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69BFB0" w14:textId="77777777" w:rsidR="00375DF3" w:rsidRPr="00071855" w:rsidRDefault="00375DF3" w:rsidP="006018AE">
      <w:pPr>
        <w:tabs>
          <w:tab w:val="left" w:pos="284"/>
        </w:tabs>
        <w:spacing w:after="480" w:line="240" w:lineRule="auto"/>
        <w:rPr>
          <w:rFonts w:ascii="Arial" w:hAnsi="Arial" w:cs="Arial"/>
        </w:rPr>
      </w:pPr>
      <w:bookmarkStart w:id="0" w:name="_Hlk83635639"/>
      <w:r w:rsidRPr="00071855">
        <w:rPr>
          <w:rFonts w:ascii="Arial" w:hAnsi="Arial" w:cs="Arial"/>
          <w:noProof/>
          <w:lang w:eastAsia="en-AU"/>
        </w:rPr>
        <mc:AlternateContent>
          <mc:Choice Requires="wps">
            <w:drawing>
              <wp:inline distT="0" distB="0" distL="0" distR="0" wp14:anchorId="3592F66E" wp14:editId="6204BB5E">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29BF3" w14:textId="77777777" w:rsidR="001275E6" w:rsidRPr="00BE2A26" w:rsidRDefault="001275E6" w:rsidP="00375DF3">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3592F66E"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" stroked="f">
                <v:textbox inset="0,0,0,0">
                  <w:txbxContent>
                    <w:p w14:paraId="11E29BF3" w14:textId="77777777" w:rsidR="001275E6" w:rsidRPr="00BE2A26" w:rsidRDefault="001275E6" w:rsidP="00375DF3">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1A3992" w:rsidRPr="00071855">
        <w:rPr>
          <w:rFonts w:ascii="Arial" w:hAnsi="Arial" w:cs="Arial"/>
        </w:rPr>
        <w:t xml:space="preserve">This medicinal product is subject to additional monitoring in Australia. This will allow quick identification of new safety information. Healthcare professionals are asked to report any suspected adverse events at </w:t>
      </w:r>
      <w:hyperlink r:id="rId8" w:history="1">
        <w:r w:rsidRPr="00071855">
          <w:rPr>
            <w:rStyle w:val="Hyperlink"/>
            <w:rFonts w:ascii="Arial" w:hAnsi="Arial" w:cs="Arial"/>
          </w:rPr>
          <w:t>www.tga.gov.au/reporting-problems</w:t>
        </w:r>
      </w:hyperlink>
      <w:r w:rsidRPr="00071855">
        <w:rPr>
          <w:rFonts w:ascii="Arial" w:hAnsi="Arial" w:cs="Arial"/>
        </w:rPr>
        <w:t>.</w:t>
      </w:r>
    </w:p>
    <w:p w14:paraId="7CEB8C5D" w14:textId="77777777" w:rsidR="00622066" w:rsidRDefault="00C327ED" w:rsidP="006E595D">
      <w:pPr>
        <w:pStyle w:val="Heading1"/>
        <w:numPr>
          <w:ilvl w:val="0"/>
          <w:numId w:val="0"/>
        </w:numPr>
        <w:spacing w:after="240"/>
        <w:jc w:val="center"/>
        <w:rPr>
          <w:rFonts w:ascii="Arial" w:eastAsia="SimSun" w:hAnsi="Arial" w:cs="Arial"/>
        </w:rPr>
      </w:pPr>
      <w:bookmarkStart w:id="1" w:name="_Hlk83635657"/>
      <w:bookmarkEnd w:id="0"/>
      <w:r>
        <w:rPr>
          <w:rFonts w:ascii="Arial" w:eastAsia="SimSun" w:hAnsi="Arial" w:cs="Arial"/>
        </w:rPr>
        <w:t>Australian PRODUCT INFORMATION</w:t>
      </w:r>
    </w:p>
    <w:p w14:paraId="7374CC49" w14:textId="33D0970D" w:rsidR="006018AE" w:rsidRDefault="00185069" w:rsidP="00622066">
      <w:pPr>
        <w:pStyle w:val="Heading1"/>
        <w:numPr>
          <w:ilvl w:val="0"/>
          <w:numId w:val="0"/>
        </w:numPr>
        <w:spacing w:before="240" w:after="240"/>
        <w:jc w:val="center"/>
        <w:rPr>
          <w:rFonts w:ascii="Arial" w:eastAsia="SimSun" w:hAnsi="Arial" w:cs="Arial"/>
          <w:caps w:val="0"/>
        </w:rPr>
      </w:pPr>
      <w:r>
        <w:rPr>
          <w:rFonts w:ascii="Arial" w:eastAsia="SimSun" w:hAnsi="Arial" w:cs="Arial"/>
        </w:rPr>
        <w:t>RUKOBIA</w:t>
      </w:r>
      <w:r>
        <w:rPr>
          <w:rFonts w:ascii="Arial" w:eastAsia="SimSun" w:hAnsi="Arial" w:cs="Arial"/>
          <w:caps w:val="0"/>
        </w:rPr>
        <w:t xml:space="preserve"> (fostemsavir) </w:t>
      </w:r>
    </w:p>
    <w:p w14:paraId="62CDFA23" w14:textId="77777777" w:rsidR="001A3992" w:rsidRPr="00071855" w:rsidRDefault="001A3992" w:rsidP="001A3992">
      <w:pPr>
        <w:pStyle w:val="Heading1"/>
        <w:spacing w:before="0" w:after="120"/>
        <w:rPr>
          <w:rFonts w:ascii="Arial" w:hAnsi="Arial" w:cs="Arial"/>
        </w:rPr>
      </w:pPr>
      <w:r w:rsidRPr="00071855">
        <w:rPr>
          <w:rFonts w:ascii="Arial" w:hAnsi="Arial" w:cs="Arial"/>
        </w:rPr>
        <w:t>Name of the medicine</w:t>
      </w:r>
    </w:p>
    <w:p w14:paraId="13020708" w14:textId="68DE7FBB" w:rsidR="00071855" w:rsidRPr="002F331B" w:rsidRDefault="002F331B" w:rsidP="00071855">
      <w:pPr>
        <w:rPr>
          <w:rFonts w:ascii="Arial" w:hAnsi="Arial" w:cs="Arial"/>
          <w:lang w:val="en"/>
        </w:rPr>
      </w:pPr>
      <w:r w:rsidRPr="002F331B">
        <w:rPr>
          <w:rFonts w:ascii="Arial" w:hAnsi="Arial" w:cs="Arial"/>
          <w:lang w:val="en"/>
        </w:rPr>
        <w:t>Fostemsavir</w:t>
      </w:r>
      <w:r w:rsidR="00F47AD4">
        <w:rPr>
          <w:rFonts w:ascii="Arial" w:hAnsi="Arial" w:cs="Arial"/>
          <w:lang w:val="en"/>
        </w:rPr>
        <w:t xml:space="preserve"> trometamol</w:t>
      </w:r>
    </w:p>
    <w:p w14:paraId="4FD46A1D" w14:textId="77777777" w:rsidR="001A3992" w:rsidRPr="00071855" w:rsidRDefault="001A3992" w:rsidP="001A3992">
      <w:pPr>
        <w:pStyle w:val="Heading1"/>
        <w:spacing w:before="0" w:after="120"/>
        <w:rPr>
          <w:rFonts w:ascii="Arial" w:hAnsi="Arial" w:cs="Arial"/>
        </w:rPr>
      </w:pPr>
      <w:r w:rsidRPr="00071855">
        <w:rPr>
          <w:rFonts w:ascii="Arial" w:hAnsi="Arial" w:cs="Arial"/>
        </w:rPr>
        <w:t>Qualitative and quantitative composition</w:t>
      </w:r>
    </w:p>
    <w:p w14:paraId="22F7BAD2" w14:textId="782EBAF0" w:rsidR="002F331B" w:rsidRPr="002F331B" w:rsidRDefault="002F331B" w:rsidP="002F331B">
      <w:pPr>
        <w:rPr>
          <w:rFonts w:ascii="Arial" w:hAnsi="Arial" w:cs="Arial"/>
          <w:lang w:val="en"/>
        </w:rPr>
      </w:pPr>
      <w:r w:rsidRPr="002F331B">
        <w:rPr>
          <w:rFonts w:ascii="Arial" w:hAnsi="Arial" w:cs="Arial"/>
          <w:lang w:val="en"/>
        </w:rPr>
        <w:t xml:space="preserve">Each film-coated tablet contains 600 mg of fostemsavir (as fostemsavir </w:t>
      </w:r>
      <w:r w:rsidR="00683890">
        <w:rPr>
          <w:rFonts w:ascii="Arial" w:hAnsi="Arial" w:cs="Arial"/>
          <w:lang w:val="en"/>
        </w:rPr>
        <w:t>trometamol</w:t>
      </w:r>
      <w:r w:rsidRPr="002F331B">
        <w:rPr>
          <w:rFonts w:ascii="Arial" w:hAnsi="Arial" w:cs="Arial"/>
          <w:lang w:val="en"/>
        </w:rPr>
        <w:t>).</w:t>
      </w:r>
    </w:p>
    <w:p w14:paraId="29C39ED9" w14:textId="77777777" w:rsidR="00E42B91" w:rsidRPr="00E42B91" w:rsidRDefault="00E42B91" w:rsidP="002F331B">
      <w:pPr>
        <w:rPr>
          <w:rFonts w:ascii="Arial" w:hAnsi="Arial" w:cs="Arial"/>
          <w:b/>
          <w:lang w:val="en"/>
        </w:rPr>
      </w:pPr>
      <w:r w:rsidRPr="00E42B91">
        <w:rPr>
          <w:rFonts w:ascii="Arial" w:hAnsi="Arial" w:cs="Arial"/>
          <w:b/>
          <w:lang w:val="en"/>
        </w:rPr>
        <w:t>List of excipients with known effect</w:t>
      </w:r>
    </w:p>
    <w:p w14:paraId="50B1B2EA" w14:textId="77777777" w:rsidR="005B2812" w:rsidRPr="00071855" w:rsidRDefault="005B2812" w:rsidP="005B2812">
      <w:pPr>
        <w:rPr>
          <w:rFonts w:ascii="Arial" w:hAnsi="Arial" w:cs="Arial"/>
        </w:rPr>
      </w:pPr>
      <w:r w:rsidRPr="00071855">
        <w:rPr>
          <w:rFonts w:ascii="Arial" w:hAnsi="Arial" w:cs="Arial"/>
          <w:lang w:val="en"/>
        </w:rPr>
        <w:t>For the full list of excipients, see Section 6.</w:t>
      </w:r>
      <w:r w:rsidR="00071973">
        <w:rPr>
          <w:rFonts w:ascii="Arial" w:hAnsi="Arial" w:cs="Arial"/>
          <w:lang w:val="en"/>
        </w:rPr>
        <w:t xml:space="preserve">1 </w:t>
      </w:r>
      <w:r w:rsidR="00FC1C5C">
        <w:rPr>
          <w:rFonts w:ascii="Arial" w:hAnsi="Arial" w:cs="Arial"/>
          <w:lang w:val="en"/>
        </w:rPr>
        <w:t>LIST OF EXCIPIENTS</w:t>
      </w:r>
      <w:r w:rsidR="00071973">
        <w:rPr>
          <w:rFonts w:ascii="Arial" w:hAnsi="Arial" w:cs="Arial"/>
          <w:lang w:val="en"/>
        </w:rPr>
        <w:t>.</w:t>
      </w:r>
    </w:p>
    <w:p w14:paraId="4C298ACE" w14:textId="77777777" w:rsidR="001A3992" w:rsidRPr="00071855" w:rsidRDefault="001A3992" w:rsidP="001A3992">
      <w:pPr>
        <w:pStyle w:val="Heading1"/>
        <w:spacing w:before="0" w:after="120"/>
        <w:rPr>
          <w:rFonts w:ascii="Arial" w:hAnsi="Arial" w:cs="Arial"/>
        </w:rPr>
      </w:pPr>
      <w:r w:rsidRPr="00071855">
        <w:rPr>
          <w:rFonts w:ascii="Arial" w:hAnsi="Arial" w:cs="Arial"/>
        </w:rPr>
        <w:t>Pharmaceutical form</w:t>
      </w:r>
    </w:p>
    <w:p w14:paraId="70BEEBD5" w14:textId="76C19969" w:rsidR="00071855" w:rsidRDefault="00F47AD4" w:rsidP="00071855">
      <w:pPr>
        <w:rPr>
          <w:rFonts w:ascii="Arial" w:hAnsi="Arial" w:cs="Arial"/>
          <w:lang w:val="en"/>
        </w:rPr>
      </w:pPr>
      <w:r>
        <w:rPr>
          <w:rFonts w:ascii="Arial" w:hAnsi="Arial" w:cs="Arial"/>
          <w:lang w:val="en"/>
        </w:rPr>
        <w:t xml:space="preserve">Extended </w:t>
      </w:r>
      <w:r w:rsidR="002F331B" w:rsidRPr="002F331B">
        <w:rPr>
          <w:rFonts w:ascii="Arial" w:hAnsi="Arial" w:cs="Arial"/>
          <w:lang w:val="en"/>
        </w:rPr>
        <w:t>release tablets</w:t>
      </w:r>
    </w:p>
    <w:p w14:paraId="6FAD8227" w14:textId="7C275923" w:rsidR="00F47AD4" w:rsidRPr="002F331B" w:rsidRDefault="00F47AD4" w:rsidP="00071855">
      <w:pPr>
        <w:rPr>
          <w:rFonts w:ascii="Arial" w:hAnsi="Arial" w:cs="Arial"/>
          <w:lang w:val="en"/>
        </w:rPr>
      </w:pPr>
      <w:r w:rsidRPr="002F331B">
        <w:rPr>
          <w:rFonts w:ascii="Arial" w:hAnsi="Arial" w:cs="Arial"/>
          <w:lang w:val="en"/>
        </w:rPr>
        <w:t xml:space="preserve">Beige, film-coated, biconvex, oval tablets which may have a slight </w:t>
      </w:r>
      <w:proofErr w:type="spellStart"/>
      <w:r w:rsidRPr="002F331B">
        <w:rPr>
          <w:rFonts w:ascii="Arial" w:hAnsi="Arial" w:cs="Arial"/>
          <w:lang w:val="en"/>
        </w:rPr>
        <w:t>odour</w:t>
      </w:r>
      <w:proofErr w:type="spellEnd"/>
      <w:r w:rsidRPr="002F331B">
        <w:rPr>
          <w:rFonts w:ascii="Arial" w:hAnsi="Arial" w:cs="Arial"/>
          <w:lang w:val="en"/>
        </w:rPr>
        <w:t xml:space="preserve"> (vinegar-like),</w:t>
      </w:r>
      <w:r>
        <w:rPr>
          <w:rFonts w:ascii="Arial" w:hAnsi="Arial" w:cs="Arial"/>
          <w:lang w:val="en"/>
        </w:rPr>
        <w:t xml:space="preserve"> </w:t>
      </w:r>
      <w:r w:rsidRPr="002F331B">
        <w:rPr>
          <w:rFonts w:ascii="Arial" w:hAnsi="Arial" w:cs="Arial"/>
          <w:lang w:val="en"/>
        </w:rPr>
        <w:t>debossed with ‘SV 1V7’ on one side.</w:t>
      </w:r>
    </w:p>
    <w:p w14:paraId="676A32E7" w14:textId="77777777" w:rsidR="001A3992" w:rsidRPr="00071855" w:rsidRDefault="001A3992" w:rsidP="001A3992">
      <w:pPr>
        <w:pStyle w:val="Heading1"/>
        <w:spacing w:before="0" w:after="120"/>
        <w:rPr>
          <w:rFonts w:ascii="Arial" w:hAnsi="Arial" w:cs="Arial"/>
        </w:rPr>
      </w:pPr>
      <w:r w:rsidRPr="00071855">
        <w:rPr>
          <w:rFonts w:ascii="Arial" w:hAnsi="Arial" w:cs="Arial"/>
        </w:rPr>
        <w:t>Clinical particulars</w:t>
      </w:r>
    </w:p>
    <w:p w14:paraId="702FB0BD" w14:textId="77777777" w:rsidR="001A3992" w:rsidRPr="00071855" w:rsidRDefault="00071855" w:rsidP="001A3992">
      <w:pPr>
        <w:pStyle w:val="Heading2"/>
        <w:spacing w:before="0" w:after="120"/>
        <w:rPr>
          <w:rFonts w:ascii="Arial" w:hAnsi="Arial" w:cs="Arial"/>
          <w:smallCaps w:val="0"/>
        </w:rPr>
      </w:pPr>
      <w:r w:rsidRPr="00071855">
        <w:rPr>
          <w:rFonts w:ascii="Arial" w:hAnsi="Arial" w:cs="Arial"/>
          <w:smallCaps w:val="0"/>
        </w:rPr>
        <w:t xml:space="preserve">THERAPEUTIC INDICATIONS </w:t>
      </w:r>
    </w:p>
    <w:p w14:paraId="709C4748" w14:textId="4C9202BA" w:rsidR="002F331B" w:rsidRPr="002F331B" w:rsidRDefault="00185069" w:rsidP="002F331B">
      <w:pPr>
        <w:rPr>
          <w:rFonts w:ascii="Arial" w:hAnsi="Arial" w:cs="Arial"/>
          <w:lang w:val="en"/>
        </w:rPr>
      </w:pPr>
      <w:r>
        <w:rPr>
          <w:rFonts w:ascii="Arial" w:hAnsi="Arial" w:cs="Arial"/>
          <w:lang w:val="en"/>
        </w:rPr>
        <w:t>RUKOBIA</w:t>
      </w:r>
      <w:r w:rsidR="002F331B" w:rsidRPr="002F331B">
        <w:rPr>
          <w:rFonts w:ascii="Arial" w:hAnsi="Arial" w:cs="Arial"/>
          <w:lang w:val="en"/>
        </w:rPr>
        <w:t xml:space="preserve"> is indicated in combination with other antiretroviral agents for the treatment</w:t>
      </w:r>
      <w:r w:rsidR="002F331B">
        <w:rPr>
          <w:rFonts w:ascii="Arial" w:hAnsi="Arial" w:cs="Arial"/>
          <w:lang w:val="en"/>
        </w:rPr>
        <w:t xml:space="preserve"> </w:t>
      </w:r>
      <w:r w:rsidR="002F331B" w:rsidRPr="002F331B">
        <w:rPr>
          <w:rFonts w:ascii="Arial" w:hAnsi="Arial" w:cs="Arial"/>
          <w:lang w:val="en"/>
        </w:rPr>
        <w:t>of heavily treatment</w:t>
      </w:r>
      <w:r w:rsidR="0047378B">
        <w:rPr>
          <w:rFonts w:ascii="Arial" w:hAnsi="Arial" w:cs="Arial"/>
          <w:lang w:val="en"/>
        </w:rPr>
        <w:t>-</w:t>
      </w:r>
      <w:r w:rsidR="002F331B" w:rsidRPr="002F331B">
        <w:rPr>
          <w:rFonts w:ascii="Arial" w:hAnsi="Arial" w:cs="Arial"/>
          <w:lang w:val="en"/>
        </w:rPr>
        <w:t>experienced adults with multidrug</w:t>
      </w:r>
      <w:r w:rsidR="0047378B">
        <w:rPr>
          <w:rFonts w:ascii="Arial" w:hAnsi="Arial" w:cs="Arial"/>
          <w:lang w:val="en"/>
        </w:rPr>
        <w:t>-</w:t>
      </w:r>
      <w:r w:rsidR="002F331B" w:rsidRPr="002F331B">
        <w:rPr>
          <w:rFonts w:ascii="Arial" w:hAnsi="Arial" w:cs="Arial"/>
          <w:lang w:val="en"/>
        </w:rPr>
        <w:t>resistant human immunodeficiency virus-1 (HIV-1) infection for whom it is otherwise not possible to construct a suppressive anti-viral regimen due to resistance, intolerance or safety considerations (see Section 5.1</w:t>
      </w:r>
      <w:r w:rsidR="00DA0E66">
        <w:rPr>
          <w:rFonts w:ascii="Arial" w:hAnsi="Arial" w:cs="Arial"/>
          <w:lang w:val="en"/>
        </w:rPr>
        <w:t xml:space="preserve"> P</w:t>
      </w:r>
      <w:r w:rsidR="002F331B" w:rsidRPr="002F331B">
        <w:rPr>
          <w:rFonts w:ascii="Arial" w:hAnsi="Arial" w:cs="Arial"/>
          <w:lang w:val="en"/>
        </w:rPr>
        <w:t>HARMACODYNAMIC PROPERTIES, Clinical Trials).</w:t>
      </w:r>
    </w:p>
    <w:p w14:paraId="3667827A" w14:textId="77777777"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 xml:space="preserve">DOSE AND METHOD OF ADMINISTRATION </w:t>
      </w:r>
    </w:p>
    <w:p w14:paraId="3C055CC2" w14:textId="77777777" w:rsidR="0024032A" w:rsidRPr="0024032A" w:rsidRDefault="0024032A" w:rsidP="0024032A">
      <w:pPr>
        <w:rPr>
          <w:rFonts w:ascii="Arial" w:hAnsi="Arial" w:cs="Arial"/>
          <w:lang w:val="en"/>
        </w:rPr>
      </w:pPr>
      <w:r w:rsidRPr="0024032A">
        <w:rPr>
          <w:rFonts w:ascii="Arial" w:hAnsi="Arial" w:cs="Arial"/>
          <w:lang w:val="en"/>
        </w:rPr>
        <w:t>Therapy should be initiated by a physician experienced in the management of HIV infection.</w:t>
      </w:r>
    </w:p>
    <w:p w14:paraId="34C46188" w14:textId="77777777" w:rsidR="0024032A" w:rsidRPr="0024032A" w:rsidRDefault="0024032A" w:rsidP="0024032A">
      <w:pPr>
        <w:rPr>
          <w:rFonts w:ascii="Arial" w:hAnsi="Arial" w:cs="Arial"/>
          <w:lang w:val="en"/>
        </w:rPr>
      </w:pPr>
      <w:r w:rsidRPr="0024032A">
        <w:rPr>
          <w:rFonts w:ascii="Arial" w:hAnsi="Arial" w:cs="Arial"/>
          <w:lang w:val="en"/>
        </w:rPr>
        <w:t>Fostemsavir can be taken with or without food.</w:t>
      </w:r>
    </w:p>
    <w:p w14:paraId="6CDE7D30" w14:textId="77777777" w:rsidR="0024032A" w:rsidRDefault="0024032A" w:rsidP="0024032A">
      <w:pPr>
        <w:rPr>
          <w:rFonts w:ascii="Arial" w:hAnsi="Arial" w:cs="Arial"/>
          <w:lang w:val="en"/>
        </w:rPr>
      </w:pPr>
      <w:r w:rsidRPr="0024032A">
        <w:rPr>
          <w:rFonts w:ascii="Arial" w:hAnsi="Arial" w:cs="Arial"/>
          <w:lang w:val="en"/>
        </w:rPr>
        <w:t xml:space="preserve">Fostemsavir tablets should be swallowed whole, and should not be chewed, </w:t>
      </w:r>
      <w:proofErr w:type="gramStart"/>
      <w:r w:rsidRPr="0024032A">
        <w:rPr>
          <w:rFonts w:ascii="Arial" w:hAnsi="Arial" w:cs="Arial"/>
          <w:lang w:val="en"/>
        </w:rPr>
        <w:t>crushed</w:t>
      </w:r>
      <w:proofErr w:type="gramEnd"/>
      <w:r w:rsidRPr="0024032A">
        <w:rPr>
          <w:rFonts w:ascii="Arial" w:hAnsi="Arial" w:cs="Arial"/>
          <w:lang w:val="en"/>
        </w:rPr>
        <w:t xml:space="preserve"> or</w:t>
      </w:r>
      <w:r>
        <w:rPr>
          <w:rFonts w:ascii="Arial" w:hAnsi="Arial" w:cs="Arial"/>
          <w:lang w:val="en"/>
        </w:rPr>
        <w:t xml:space="preserve"> </w:t>
      </w:r>
      <w:r w:rsidRPr="0024032A">
        <w:rPr>
          <w:rFonts w:ascii="Arial" w:hAnsi="Arial" w:cs="Arial"/>
          <w:lang w:val="en"/>
        </w:rPr>
        <w:t>split.</w:t>
      </w:r>
    </w:p>
    <w:p w14:paraId="2E759206" w14:textId="77777777" w:rsidR="00DA0E66" w:rsidRPr="00DA0E66" w:rsidRDefault="00DA0E66" w:rsidP="00F25D4B">
      <w:pPr>
        <w:pStyle w:val="Heading3"/>
        <w:spacing w:before="0" w:after="120"/>
        <w:ind w:left="0"/>
        <w:rPr>
          <w:rFonts w:ascii="Arial" w:hAnsi="Arial" w:cs="Arial"/>
        </w:rPr>
      </w:pPr>
      <w:r w:rsidRPr="00DA0E66">
        <w:rPr>
          <w:rFonts w:ascii="Arial" w:hAnsi="Arial" w:cs="Arial"/>
        </w:rPr>
        <w:t>Adults</w:t>
      </w:r>
    </w:p>
    <w:p w14:paraId="6F6FC61F" w14:textId="77777777" w:rsidR="00DA0E66" w:rsidRDefault="00DA0E66" w:rsidP="0024032A">
      <w:pPr>
        <w:rPr>
          <w:rFonts w:ascii="Arial" w:hAnsi="Arial" w:cs="Arial"/>
          <w:lang w:val="en"/>
        </w:rPr>
      </w:pPr>
      <w:r w:rsidRPr="00DA0E66">
        <w:rPr>
          <w:rFonts w:ascii="Arial" w:hAnsi="Arial" w:cs="Arial"/>
          <w:lang w:val="en"/>
        </w:rPr>
        <w:t>The recommended dosage of fostemsavir is 600 mg orally twice daily.</w:t>
      </w:r>
    </w:p>
    <w:p w14:paraId="2E107A37" w14:textId="77777777" w:rsidR="00DA0E66" w:rsidRDefault="00DA0E66" w:rsidP="00F25D4B">
      <w:pPr>
        <w:pStyle w:val="Heading3"/>
        <w:spacing w:before="0" w:after="120"/>
        <w:ind w:left="0"/>
        <w:rPr>
          <w:rFonts w:ascii="Arial" w:hAnsi="Arial" w:cs="Arial"/>
        </w:rPr>
      </w:pPr>
      <w:bookmarkStart w:id="2" w:name="_Hlk83635686"/>
      <w:bookmarkEnd w:id="1"/>
      <w:r w:rsidRPr="00DA0E66">
        <w:rPr>
          <w:rFonts w:ascii="Arial" w:hAnsi="Arial" w:cs="Arial"/>
        </w:rPr>
        <w:lastRenderedPageBreak/>
        <w:t>Adolescents and Children</w:t>
      </w:r>
    </w:p>
    <w:p w14:paraId="492D59A2" w14:textId="77777777" w:rsidR="00DA0E66" w:rsidRDefault="00DA0E66" w:rsidP="00DA0E66">
      <w:pPr>
        <w:rPr>
          <w:rFonts w:ascii="Arial" w:hAnsi="Arial" w:cs="Arial"/>
          <w:lang w:val="en"/>
        </w:rPr>
      </w:pPr>
      <w:r w:rsidRPr="00DA0E66">
        <w:rPr>
          <w:rFonts w:ascii="Arial" w:hAnsi="Arial" w:cs="Arial"/>
          <w:lang w:val="en"/>
        </w:rPr>
        <w:t>Fostemsavir is not recommended in children below 18 years of age due to a lack of safety</w:t>
      </w:r>
      <w:r>
        <w:rPr>
          <w:rFonts w:ascii="Arial" w:hAnsi="Arial" w:cs="Arial"/>
          <w:lang w:val="en"/>
        </w:rPr>
        <w:t xml:space="preserve"> </w:t>
      </w:r>
      <w:r w:rsidRPr="00DA0E66">
        <w:rPr>
          <w:rFonts w:ascii="Arial" w:hAnsi="Arial" w:cs="Arial"/>
          <w:lang w:val="en"/>
        </w:rPr>
        <w:t>and efficacy data.</w:t>
      </w:r>
    </w:p>
    <w:p w14:paraId="6BD48AE5" w14:textId="77777777" w:rsidR="00DA0E66" w:rsidRPr="00DA0E66" w:rsidRDefault="00DA0E66" w:rsidP="00F25D4B">
      <w:pPr>
        <w:pStyle w:val="Heading3"/>
        <w:spacing w:before="0" w:after="120"/>
        <w:ind w:left="0"/>
        <w:rPr>
          <w:rFonts w:ascii="Arial" w:hAnsi="Arial" w:cs="Arial"/>
        </w:rPr>
      </w:pPr>
      <w:r w:rsidRPr="00DA0E66">
        <w:rPr>
          <w:rFonts w:ascii="Arial" w:hAnsi="Arial" w:cs="Arial"/>
        </w:rPr>
        <w:t>Elderly</w:t>
      </w:r>
    </w:p>
    <w:p w14:paraId="53E1545F" w14:textId="7BB333C1" w:rsidR="00DA0E66" w:rsidRDefault="00DA0E66" w:rsidP="00F25D4B">
      <w:pPr>
        <w:rPr>
          <w:rFonts w:ascii="Arial" w:hAnsi="Arial" w:cs="Arial"/>
          <w:lang w:val="en"/>
        </w:rPr>
      </w:pPr>
      <w:r w:rsidRPr="00DA0E66">
        <w:rPr>
          <w:rFonts w:ascii="Arial" w:hAnsi="Arial" w:cs="Arial"/>
          <w:lang w:val="en"/>
        </w:rPr>
        <w:t>There are limited data available on the use of fostemsavir in patients aged 65 years and</w:t>
      </w:r>
      <w:r>
        <w:rPr>
          <w:rFonts w:ascii="Arial" w:hAnsi="Arial" w:cs="Arial"/>
          <w:lang w:val="en"/>
        </w:rPr>
        <w:t xml:space="preserve"> </w:t>
      </w:r>
      <w:r w:rsidRPr="00DA0E66">
        <w:rPr>
          <w:rFonts w:ascii="Arial" w:hAnsi="Arial" w:cs="Arial"/>
          <w:lang w:val="en"/>
        </w:rPr>
        <w:t>older. However, there is no evidence that elderly patients require a different dose than</w:t>
      </w:r>
      <w:r>
        <w:rPr>
          <w:rFonts w:ascii="Arial" w:hAnsi="Arial" w:cs="Arial"/>
          <w:lang w:val="en"/>
        </w:rPr>
        <w:t xml:space="preserve"> </w:t>
      </w:r>
      <w:r w:rsidRPr="00DA0E66">
        <w:rPr>
          <w:rFonts w:ascii="Arial" w:hAnsi="Arial" w:cs="Arial"/>
          <w:lang w:val="en"/>
        </w:rPr>
        <w:t xml:space="preserve">younger adult patients </w:t>
      </w:r>
      <w:r w:rsidRPr="00FA54C2">
        <w:rPr>
          <w:rFonts w:ascii="Arial" w:hAnsi="Arial" w:cs="Arial"/>
          <w:lang w:val="en"/>
        </w:rPr>
        <w:t xml:space="preserve">(see </w:t>
      </w:r>
      <w:r w:rsidR="00FA54C2" w:rsidRPr="00FA54C2">
        <w:rPr>
          <w:rFonts w:ascii="Arial" w:hAnsi="Arial" w:cs="Arial"/>
          <w:lang w:val="en"/>
        </w:rPr>
        <w:t xml:space="preserve">Section 5.2 PHARMACOKINETIC </w:t>
      </w:r>
      <w:proofErr w:type="gramStart"/>
      <w:r w:rsidR="00FA54C2" w:rsidRPr="00FA54C2">
        <w:rPr>
          <w:rFonts w:ascii="Arial" w:hAnsi="Arial" w:cs="Arial"/>
          <w:lang w:val="en"/>
        </w:rPr>
        <w:t xml:space="preserve">PROPERTIES </w:t>
      </w:r>
      <w:r w:rsidR="00177E01" w:rsidRPr="00FA54C2">
        <w:rPr>
          <w:rFonts w:ascii="Arial" w:hAnsi="Arial" w:cs="Arial"/>
          <w:lang w:val="en"/>
        </w:rPr>
        <w:t xml:space="preserve"> –</w:t>
      </w:r>
      <w:proofErr w:type="gramEnd"/>
      <w:r w:rsidR="00177E01" w:rsidRPr="00FA54C2">
        <w:rPr>
          <w:rFonts w:ascii="Arial" w:hAnsi="Arial" w:cs="Arial"/>
          <w:lang w:val="en"/>
        </w:rPr>
        <w:t xml:space="preserve"> Special Patient Populations</w:t>
      </w:r>
      <w:r w:rsidRPr="00FA54C2">
        <w:rPr>
          <w:rFonts w:ascii="Arial" w:hAnsi="Arial" w:cs="Arial"/>
          <w:lang w:val="en"/>
        </w:rPr>
        <w:t>).</w:t>
      </w:r>
    </w:p>
    <w:p w14:paraId="066EB0FC" w14:textId="77777777" w:rsidR="00DA0E66" w:rsidRPr="00DA0E66" w:rsidRDefault="00DA0E66" w:rsidP="00F25D4B">
      <w:pPr>
        <w:pStyle w:val="Heading3"/>
        <w:spacing w:before="0" w:after="120"/>
        <w:ind w:left="0"/>
        <w:rPr>
          <w:rFonts w:ascii="Arial" w:hAnsi="Arial" w:cs="Arial"/>
        </w:rPr>
      </w:pPr>
      <w:r w:rsidRPr="00DA0E66">
        <w:rPr>
          <w:rFonts w:ascii="Arial" w:hAnsi="Arial" w:cs="Arial"/>
        </w:rPr>
        <w:t>Renal impairment</w:t>
      </w:r>
    </w:p>
    <w:p w14:paraId="5F88594F" w14:textId="706E1520" w:rsidR="00DA0E66" w:rsidRPr="004203AE" w:rsidRDefault="00DA0E66" w:rsidP="004203AE">
      <w:pPr>
        <w:rPr>
          <w:rFonts w:ascii="Arial" w:hAnsi="Arial" w:cs="Arial"/>
          <w:lang w:val="en"/>
        </w:rPr>
      </w:pPr>
      <w:r w:rsidRPr="00DA0E66">
        <w:rPr>
          <w:rFonts w:ascii="Arial" w:hAnsi="Arial" w:cs="Arial"/>
          <w:lang w:val="en"/>
        </w:rPr>
        <w:t>No dosage adjustment of fostemsavir is required for patients with renal impairment and</w:t>
      </w:r>
      <w:r>
        <w:rPr>
          <w:rFonts w:ascii="Arial" w:hAnsi="Arial" w:cs="Arial"/>
          <w:lang w:val="en"/>
        </w:rPr>
        <w:t xml:space="preserve"> </w:t>
      </w:r>
      <w:r w:rsidRPr="00DA0E66">
        <w:rPr>
          <w:rFonts w:ascii="Arial" w:hAnsi="Arial" w:cs="Arial"/>
          <w:lang w:val="en"/>
        </w:rPr>
        <w:t xml:space="preserve">those on </w:t>
      </w:r>
      <w:proofErr w:type="spellStart"/>
      <w:r w:rsidRPr="00DA0E66">
        <w:rPr>
          <w:rFonts w:ascii="Arial" w:hAnsi="Arial" w:cs="Arial"/>
          <w:lang w:val="en"/>
        </w:rPr>
        <w:t>haemodialysis</w:t>
      </w:r>
      <w:proofErr w:type="spellEnd"/>
      <w:r w:rsidRPr="00DA0E66">
        <w:rPr>
          <w:rFonts w:ascii="Arial" w:hAnsi="Arial" w:cs="Arial"/>
          <w:lang w:val="en"/>
        </w:rPr>
        <w:t xml:space="preserve"> (see </w:t>
      </w:r>
      <w:r w:rsidR="00DE08E2" w:rsidRPr="00FA54C2">
        <w:rPr>
          <w:rFonts w:ascii="Arial" w:hAnsi="Arial" w:cs="Arial"/>
          <w:lang w:val="en"/>
        </w:rPr>
        <w:t xml:space="preserve">Section 5.2 PHARMACOKINETIC </w:t>
      </w:r>
      <w:proofErr w:type="gramStart"/>
      <w:r w:rsidR="00DE08E2" w:rsidRPr="00FA54C2">
        <w:rPr>
          <w:rFonts w:ascii="Arial" w:hAnsi="Arial" w:cs="Arial"/>
          <w:lang w:val="en"/>
        </w:rPr>
        <w:t>PROPERTIES  –</w:t>
      </w:r>
      <w:proofErr w:type="gramEnd"/>
      <w:r w:rsidR="00DE08E2" w:rsidRPr="00FA54C2">
        <w:rPr>
          <w:rFonts w:ascii="Arial" w:hAnsi="Arial" w:cs="Arial"/>
          <w:lang w:val="en"/>
        </w:rPr>
        <w:t xml:space="preserve"> Special Patient Populations</w:t>
      </w:r>
      <w:r w:rsidRPr="00DA0E66">
        <w:rPr>
          <w:rFonts w:ascii="Arial" w:hAnsi="Arial" w:cs="Arial"/>
          <w:lang w:val="en"/>
        </w:rPr>
        <w:t>).</w:t>
      </w:r>
    </w:p>
    <w:p w14:paraId="0CD71A86" w14:textId="77777777" w:rsidR="00DA0E66" w:rsidRPr="00DA0E66" w:rsidRDefault="00DA0E66" w:rsidP="00F25D4B">
      <w:pPr>
        <w:pStyle w:val="Heading3"/>
        <w:spacing w:before="0" w:after="120"/>
        <w:ind w:left="0"/>
        <w:rPr>
          <w:rFonts w:ascii="Arial" w:hAnsi="Arial" w:cs="Arial"/>
        </w:rPr>
      </w:pPr>
      <w:r w:rsidRPr="00DA0E66">
        <w:rPr>
          <w:rFonts w:ascii="Arial" w:hAnsi="Arial" w:cs="Arial"/>
        </w:rPr>
        <w:t>Hepatic impairment</w:t>
      </w:r>
    </w:p>
    <w:p w14:paraId="33212C98" w14:textId="4A842078" w:rsidR="00DA0E66" w:rsidRPr="00177E01" w:rsidRDefault="00DA0E66" w:rsidP="00177E01">
      <w:pPr>
        <w:rPr>
          <w:rFonts w:ascii="Arial" w:hAnsi="Arial" w:cs="Arial"/>
          <w:lang w:val="en"/>
        </w:rPr>
      </w:pPr>
      <w:r w:rsidRPr="00177E01">
        <w:rPr>
          <w:rFonts w:ascii="Arial" w:hAnsi="Arial" w:cs="Arial"/>
          <w:lang w:val="en"/>
        </w:rPr>
        <w:t xml:space="preserve">No dosage adjustment is required in patients with hepatic impairment (see </w:t>
      </w:r>
      <w:r w:rsidR="00DE08E2" w:rsidRPr="00FA54C2">
        <w:rPr>
          <w:rFonts w:ascii="Arial" w:hAnsi="Arial" w:cs="Arial"/>
          <w:lang w:val="en"/>
        </w:rPr>
        <w:t xml:space="preserve">Section 5.2 PHARMACOKINETIC </w:t>
      </w:r>
      <w:proofErr w:type="gramStart"/>
      <w:r w:rsidR="00DE08E2" w:rsidRPr="00FA54C2">
        <w:rPr>
          <w:rFonts w:ascii="Arial" w:hAnsi="Arial" w:cs="Arial"/>
          <w:lang w:val="en"/>
        </w:rPr>
        <w:t>PROPERTIES  –</w:t>
      </w:r>
      <w:proofErr w:type="gramEnd"/>
      <w:r w:rsidR="00DE08E2" w:rsidRPr="00FA54C2">
        <w:rPr>
          <w:rFonts w:ascii="Arial" w:hAnsi="Arial" w:cs="Arial"/>
          <w:lang w:val="en"/>
        </w:rPr>
        <w:t xml:space="preserve"> Special Patient Populations</w:t>
      </w:r>
      <w:r w:rsidRPr="00177E01">
        <w:rPr>
          <w:rFonts w:ascii="Arial" w:hAnsi="Arial" w:cs="Arial"/>
          <w:lang w:val="en"/>
        </w:rPr>
        <w:t>).</w:t>
      </w:r>
    </w:p>
    <w:p w14:paraId="1AB8999D" w14:textId="77777777"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CONTRAINDICATIONS</w:t>
      </w:r>
    </w:p>
    <w:p w14:paraId="36E9E012" w14:textId="77777777" w:rsidR="004203AE" w:rsidRPr="004203AE" w:rsidRDefault="004203AE" w:rsidP="004203AE">
      <w:pPr>
        <w:rPr>
          <w:rFonts w:ascii="Arial" w:hAnsi="Arial" w:cs="Arial"/>
          <w:lang w:val="en"/>
        </w:rPr>
      </w:pPr>
      <w:r w:rsidRPr="004203AE">
        <w:rPr>
          <w:rFonts w:ascii="Arial" w:hAnsi="Arial" w:cs="Arial"/>
          <w:lang w:val="en"/>
        </w:rPr>
        <w:t>Fostemsavir is contraindicated in patients who have demonstrated hypersensitivity to</w:t>
      </w:r>
      <w:r>
        <w:rPr>
          <w:rFonts w:ascii="Arial" w:hAnsi="Arial" w:cs="Arial"/>
          <w:lang w:val="en"/>
        </w:rPr>
        <w:t xml:space="preserve"> </w:t>
      </w:r>
      <w:r w:rsidRPr="004203AE">
        <w:rPr>
          <w:rFonts w:ascii="Arial" w:hAnsi="Arial" w:cs="Arial"/>
          <w:lang w:val="en"/>
        </w:rPr>
        <w:t>fostemsavir or any components of formulations of fostemsavir.</w:t>
      </w:r>
    </w:p>
    <w:p w14:paraId="4545E9AE" w14:textId="77777777" w:rsidR="004203AE" w:rsidRPr="004203AE" w:rsidRDefault="004203AE" w:rsidP="004203AE">
      <w:pPr>
        <w:rPr>
          <w:rFonts w:ascii="Arial" w:hAnsi="Arial" w:cs="Arial"/>
          <w:lang w:val="en"/>
        </w:rPr>
      </w:pPr>
      <w:r w:rsidRPr="004203AE">
        <w:rPr>
          <w:rFonts w:ascii="Arial" w:hAnsi="Arial" w:cs="Arial"/>
          <w:lang w:val="en"/>
        </w:rPr>
        <w:t>Fostemsavir is contraindicated in combination with strong CYP3A inducers including,</w:t>
      </w:r>
      <w:r>
        <w:rPr>
          <w:rFonts w:ascii="Arial" w:hAnsi="Arial" w:cs="Arial"/>
          <w:lang w:val="en"/>
        </w:rPr>
        <w:t xml:space="preserve"> </w:t>
      </w:r>
      <w:r w:rsidRPr="004203AE">
        <w:rPr>
          <w:rFonts w:ascii="Arial" w:hAnsi="Arial" w:cs="Arial"/>
          <w:lang w:val="en"/>
        </w:rPr>
        <w:t>but not limited to: carbamazepine, phenytoin (anticonvulsants), mitotane (antineoplastic),</w:t>
      </w:r>
      <w:r>
        <w:rPr>
          <w:rFonts w:ascii="Arial" w:hAnsi="Arial" w:cs="Arial"/>
          <w:lang w:val="en"/>
        </w:rPr>
        <w:t xml:space="preserve"> </w:t>
      </w:r>
      <w:r w:rsidRPr="004203AE">
        <w:rPr>
          <w:rFonts w:ascii="Arial" w:hAnsi="Arial" w:cs="Arial"/>
          <w:lang w:val="en"/>
        </w:rPr>
        <w:t>enzalutamide (androgen receptor inhibitor), rifampicin (antimycobacterial) and St John’s</w:t>
      </w:r>
      <w:r>
        <w:rPr>
          <w:rFonts w:ascii="Arial" w:hAnsi="Arial" w:cs="Arial"/>
          <w:lang w:val="en"/>
        </w:rPr>
        <w:t xml:space="preserve"> </w:t>
      </w:r>
      <w:r w:rsidRPr="004203AE">
        <w:rPr>
          <w:rFonts w:ascii="Arial" w:hAnsi="Arial" w:cs="Arial"/>
          <w:lang w:val="en"/>
        </w:rPr>
        <w:t xml:space="preserve">wort (Hypericum </w:t>
      </w:r>
      <w:proofErr w:type="spellStart"/>
      <w:r w:rsidRPr="004203AE">
        <w:rPr>
          <w:rFonts w:ascii="Arial" w:hAnsi="Arial" w:cs="Arial"/>
          <w:lang w:val="en"/>
        </w:rPr>
        <w:t>perforatum</w:t>
      </w:r>
      <w:proofErr w:type="spellEnd"/>
      <w:r w:rsidRPr="004203AE">
        <w:rPr>
          <w:rFonts w:ascii="Arial" w:hAnsi="Arial" w:cs="Arial"/>
          <w:lang w:val="en"/>
        </w:rPr>
        <w:t xml:space="preserve">, herbal supplement) (see </w:t>
      </w:r>
      <w:r>
        <w:rPr>
          <w:rFonts w:ascii="Arial" w:hAnsi="Arial" w:cs="Arial"/>
          <w:lang w:val="en"/>
        </w:rPr>
        <w:t xml:space="preserve">Section 4.5 </w:t>
      </w:r>
      <w:r w:rsidRPr="004203AE">
        <w:rPr>
          <w:rFonts w:ascii="Arial" w:hAnsi="Arial" w:cs="Arial"/>
          <w:lang w:val="en"/>
        </w:rPr>
        <w:t>INTERACTIONS WITH OTHER MEDICINES AND OTHER FORMS OF INTERACTIONS).</w:t>
      </w:r>
    </w:p>
    <w:p w14:paraId="18B6DDF9" w14:textId="77777777" w:rsidR="00071855" w:rsidRPr="006E595D"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SPECIAL WARNINGS AND PRECAUTIONS FOR USE</w:t>
      </w:r>
    </w:p>
    <w:p w14:paraId="3A6E5A32" w14:textId="77777777" w:rsidR="004203AE" w:rsidRPr="004203AE" w:rsidRDefault="004203AE" w:rsidP="00F25D4B">
      <w:pPr>
        <w:pStyle w:val="Heading3"/>
        <w:spacing w:before="0" w:after="120"/>
        <w:ind w:left="0"/>
        <w:rPr>
          <w:rFonts w:ascii="Arial" w:hAnsi="Arial" w:cs="Arial"/>
        </w:rPr>
      </w:pPr>
      <w:r w:rsidRPr="004203AE">
        <w:rPr>
          <w:rFonts w:ascii="Arial" w:hAnsi="Arial" w:cs="Arial"/>
        </w:rPr>
        <w:t>Immune Reconstitution Syndrome</w:t>
      </w:r>
    </w:p>
    <w:p w14:paraId="3687079B" w14:textId="77777777" w:rsidR="004203AE" w:rsidRPr="004203AE" w:rsidRDefault="004203AE" w:rsidP="004203AE">
      <w:pPr>
        <w:rPr>
          <w:rFonts w:ascii="Arial" w:hAnsi="Arial" w:cs="Arial"/>
          <w:lang w:val="en"/>
        </w:rPr>
      </w:pPr>
      <w:r w:rsidRPr="004203AE">
        <w:rPr>
          <w:rFonts w:ascii="Arial" w:hAnsi="Arial" w:cs="Arial"/>
          <w:lang w:val="en"/>
        </w:rPr>
        <w:t>In HIV-infected patients with severe immune deficiency at the time of initiation of antiretroviral</w:t>
      </w:r>
      <w:r>
        <w:rPr>
          <w:rFonts w:ascii="Arial" w:hAnsi="Arial" w:cs="Arial"/>
          <w:lang w:val="en"/>
        </w:rPr>
        <w:t xml:space="preserve"> </w:t>
      </w:r>
      <w:r w:rsidRPr="004203AE">
        <w:rPr>
          <w:rFonts w:ascii="Arial" w:hAnsi="Arial" w:cs="Arial"/>
          <w:lang w:val="en"/>
        </w:rPr>
        <w:t>therapy (ART), an inflammatory reaction to asymptomatic or residual</w:t>
      </w:r>
      <w:r>
        <w:rPr>
          <w:rFonts w:ascii="Arial" w:hAnsi="Arial" w:cs="Arial"/>
          <w:lang w:val="en"/>
        </w:rPr>
        <w:t xml:space="preserve"> </w:t>
      </w:r>
      <w:r w:rsidRPr="004203AE">
        <w:rPr>
          <w:rFonts w:ascii="Arial" w:hAnsi="Arial" w:cs="Arial"/>
          <w:lang w:val="en"/>
        </w:rPr>
        <w:t>opportunistic infections may arise and cause serious clinical conditions, or aggravation of</w:t>
      </w:r>
      <w:r>
        <w:rPr>
          <w:rFonts w:ascii="Arial" w:hAnsi="Arial" w:cs="Arial"/>
          <w:lang w:val="en"/>
        </w:rPr>
        <w:t xml:space="preserve"> </w:t>
      </w:r>
      <w:r w:rsidRPr="004203AE">
        <w:rPr>
          <w:rFonts w:ascii="Arial" w:hAnsi="Arial" w:cs="Arial"/>
          <w:lang w:val="en"/>
        </w:rPr>
        <w:t>symptoms. Typically, such reactions have been observed within the first few weeks or</w:t>
      </w:r>
      <w:r>
        <w:rPr>
          <w:rFonts w:ascii="Arial" w:hAnsi="Arial" w:cs="Arial"/>
          <w:lang w:val="en"/>
        </w:rPr>
        <w:t xml:space="preserve"> </w:t>
      </w:r>
      <w:r w:rsidRPr="004203AE">
        <w:rPr>
          <w:rFonts w:ascii="Arial" w:hAnsi="Arial" w:cs="Arial"/>
          <w:lang w:val="en"/>
        </w:rPr>
        <w:t>months of initiation of ART. Relevant examples are cytomegalovirus retinitis,</w:t>
      </w:r>
      <w:r>
        <w:rPr>
          <w:rFonts w:ascii="Arial" w:hAnsi="Arial" w:cs="Arial"/>
          <w:lang w:val="en"/>
        </w:rPr>
        <w:t xml:space="preserve"> </w:t>
      </w:r>
      <w:proofErr w:type="spellStart"/>
      <w:r w:rsidRPr="004203AE">
        <w:rPr>
          <w:rFonts w:ascii="Arial" w:hAnsi="Arial" w:cs="Arial"/>
          <w:lang w:val="en"/>
        </w:rPr>
        <w:t>generalised</w:t>
      </w:r>
      <w:proofErr w:type="spellEnd"/>
      <w:r w:rsidRPr="004203AE">
        <w:rPr>
          <w:rFonts w:ascii="Arial" w:hAnsi="Arial" w:cs="Arial"/>
          <w:lang w:val="en"/>
        </w:rPr>
        <w:t xml:space="preserve"> and/or focal mycobacterial infections and Pneumocystis </w:t>
      </w:r>
      <w:proofErr w:type="spellStart"/>
      <w:r w:rsidRPr="004203AE">
        <w:rPr>
          <w:rFonts w:ascii="Arial" w:hAnsi="Arial" w:cs="Arial"/>
          <w:lang w:val="en"/>
        </w:rPr>
        <w:t>jiroveci</w:t>
      </w:r>
      <w:proofErr w:type="spellEnd"/>
      <w:r w:rsidRPr="004203AE">
        <w:rPr>
          <w:rFonts w:ascii="Arial" w:hAnsi="Arial" w:cs="Arial"/>
          <w:lang w:val="en"/>
        </w:rPr>
        <w:t xml:space="preserve"> (P. carinii)</w:t>
      </w:r>
      <w:r>
        <w:rPr>
          <w:rFonts w:ascii="Arial" w:hAnsi="Arial" w:cs="Arial"/>
          <w:lang w:val="en"/>
        </w:rPr>
        <w:t xml:space="preserve"> </w:t>
      </w:r>
      <w:r w:rsidRPr="004203AE">
        <w:rPr>
          <w:rFonts w:ascii="Arial" w:hAnsi="Arial" w:cs="Arial"/>
          <w:lang w:val="en"/>
        </w:rPr>
        <w:t>pneumonia. Any inflammatory symptoms must be evaluated without delay and treatment</w:t>
      </w:r>
      <w:r>
        <w:rPr>
          <w:rFonts w:ascii="Arial" w:hAnsi="Arial" w:cs="Arial"/>
          <w:lang w:val="en"/>
        </w:rPr>
        <w:t xml:space="preserve"> </w:t>
      </w:r>
      <w:r w:rsidRPr="004203AE">
        <w:rPr>
          <w:rFonts w:ascii="Arial" w:hAnsi="Arial" w:cs="Arial"/>
          <w:lang w:val="en"/>
        </w:rPr>
        <w:t>initiated when necessary. Autoimmune disorders (such as Graves’ disease, polymyositis</w:t>
      </w:r>
      <w:r>
        <w:rPr>
          <w:rFonts w:ascii="Arial" w:hAnsi="Arial" w:cs="Arial"/>
          <w:lang w:val="en"/>
        </w:rPr>
        <w:t xml:space="preserve"> </w:t>
      </w:r>
      <w:r w:rsidRPr="004203AE">
        <w:rPr>
          <w:rFonts w:ascii="Arial" w:hAnsi="Arial" w:cs="Arial"/>
          <w:lang w:val="en"/>
        </w:rPr>
        <w:t>and Guillain-Barre syndrome) have also been reported to occur in the setting of immune</w:t>
      </w:r>
      <w:r>
        <w:rPr>
          <w:rFonts w:ascii="Arial" w:hAnsi="Arial" w:cs="Arial"/>
          <w:lang w:val="en"/>
        </w:rPr>
        <w:t xml:space="preserve"> </w:t>
      </w:r>
      <w:r w:rsidRPr="004203AE">
        <w:rPr>
          <w:rFonts w:ascii="Arial" w:hAnsi="Arial" w:cs="Arial"/>
          <w:lang w:val="en"/>
        </w:rPr>
        <w:t>reconstitution; however, the time to onset is more variable, and can occur many months</w:t>
      </w:r>
      <w:r>
        <w:rPr>
          <w:rFonts w:ascii="Arial" w:hAnsi="Arial" w:cs="Arial"/>
          <w:lang w:val="en"/>
        </w:rPr>
        <w:t xml:space="preserve"> </w:t>
      </w:r>
      <w:r w:rsidRPr="004203AE">
        <w:rPr>
          <w:rFonts w:ascii="Arial" w:hAnsi="Arial" w:cs="Arial"/>
          <w:lang w:val="en"/>
        </w:rPr>
        <w:t>after initiation of treatment and sometimes can be an atypical presentation.</w:t>
      </w:r>
    </w:p>
    <w:p w14:paraId="753B9E2C" w14:textId="77777777" w:rsidR="004203AE" w:rsidRPr="004203AE" w:rsidRDefault="004203AE" w:rsidP="00F25D4B">
      <w:pPr>
        <w:pStyle w:val="Heading3"/>
        <w:spacing w:before="0" w:after="120"/>
        <w:ind w:left="0"/>
        <w:rPr>
          <w:rFonts w:ascii="Arial" w:hAnsi="Arial" w:cs="Arial"/>
        </w:rPr>
      </w:pPr>
      <w:bookmarkStart w:id="3" w:name="_Hlk83635708"/>
      <w:bookmarkEnd w:id="2"/>
      <w:r w:rsidRPr="004203AE">
        <w:rPr>
          <w:rFonts w:ascii="Arial" w:hAnsi="Arial" w:cs="Arial"/>
        </w:rPr>
        <w:lastRenderedPageBreak/>
        <w:t>QTc Prolongation</w:t>
      </w:r>
    </w:p>
    <w:p w14:paraId="0B2FE829" w14:textId="77777777" w:rsidR="004203AE" w:rsidRPr="004203AE" w:rsidRDefault="004203AE" w:rsidP="004203AE">
      <w:pPr>
        <w:rPr>
          <w:rFonts w:ascii="Arial" w:hAnsi="Arial" w:cs="Arial"/>
          <w:lang w:val="en"/>
        </w:rPr>
      </w:pPr>
      <w:r w:rsidRPr="004203AE">
        <w:rPr>
          <w:rFonts w:ascii="Arial" w:hAnsi="Arial" w:cs="Arial"/>
          <w:lang w:val="en"/>
        </w:rPr>
        <w:t>In healthy study participants, a supratherapeutic dose of fostemsavir (2400 mg twice</w:t>
      </w:r>
      <w:r>
        <w:rPr>
          <w:rFonts w:ascii="Arial" w:hAnsi="Arial" w:cs="Arial"/>
          <w:lang w:val="en"/>
        </w:rPr>
        <w:t xml:space="preserve"> </w:t>
      </w:r>
      <w:r w:rsidRPr="004203AE">
        <w:rPr>
          <w:rFonts w:ascii="Arial" w:hAnsi="Arial" w:cs="Arial"/>
          <w:lang w:val="en"/>
        </w:rPr>
        <w:t>daily) has been shown to significantly prolong the QTc interval of the electrocardiogram</w:t>
      </w:r>
      <w:r>
        <w:rPr>
          <w:rFonts w:ascii="Arial" w:hAnsi="Arial" w:cs="Arial"/>
          <w:lang w:val="en"/>
        </w:rPr>
        <w:t xml:space="preserve"> </w:t>
      </w:r>
      <w:r w:rsidRPr="004203AE">
        <w:rPr>
          <w:rFonts w:ascii="Arial" w:hAnsi="Arial" w:cs="Arial"/>
          <w:lang w:val="en"/>
        </w:rPr>
        <w:t xml:space="preserve">(see </w:t>
      </w:r>
      <w:r>
        <w:rPr>
          <w:rFonts w:ascii="Arial" w:hAnsi="Arial" w:cs="Arial"/>
          <w:lang w:val="en"/>
        </w:rPr>
        <w:t xml:space="preserve">Section </w:t>
      </w:r>
      <w:r w:rsidRPr="004203AE">
        <w:rPr>
          <w:rFonts w:ascii="Arial" w:hAnsi="Arial" w:cs="Arial"/>
          <w:lang w:val="en"/>
        </w:rPr>
        <w:t>5.1</w:t>
      </w:r>
      <w:r>
        <w:rPr>
          <w:rFonts w:ascii="Arial" w:hAnsi="Arial" w:cs="Arial"/>
          <w:lang w:val="en"/>
        </w:rPr>
        <w:t xml:space="preserve"> </w:t>
      </w:r>
      <w:r w:rsidRPr="004203AE">
        <w:rPr>
          <w:rFonts w:ascii="Arial" w:hAnsi="Arial" w:cs="Arial"/>
          <w:lang w:val="en"/>
        </w:rPr>
        <w:t>PHARMACODYNAMIC PROPERTIES</w:t>
      </w:r>
      <w:r>
        <w:rPr>
          <w:rFonts w:ascii="Arial" w:hAnsi="Arial" w:cs="Arial"/>
          <w:lang w:val="en"/>
        </w:rPr>
        <w:t>, Pharmacodynamic effects</w:t>
      </w:r>
      <w:r w:rsidRPr="004203AE">
        <w:rPr>
          <w:rFonts w:ascii="Arial" w:hAnsi="Arial" w:cs="Arial"/>
          <w:lang w:val="en"/>
        </w:rPr>
        <w:t>). Fostemsavir should be used with caution in patients with a</w:t>
      </w:r>
      <w:r>
        <w:rPr>
          <w:rFonts w:ascii="Arial" w:hAnsi="Arial" w:cs="Arial"/>
          <w:lang w:val="en"/>
        </w:rPr>
        <w:t xml:space="preserve"> </w:t>
      </w:r>
      <w:r w:rsidRPr="004203AE">
        <w:rPr>
          <w:rFonts w:ascii="Arial" w:hAnsi="Arial" w:cs="Arial"/>
          <w:lang w:val="en"/>
        </w:rPr>
        <w:t>history of QT interval prolongation, when co-administered with a drug with a known risk</w:t>
      </w:r>
      <w:r>
        <w:rPr>
          <w:rFonts w:ascii="Arial" w:hAnsi="Arial" w:cs="Arial"/>
          <w:lang w:val="en"/>
        </w:rPr>
        <w:t xml:space="preserve"> </w:t>
      </w:r>
      <w:r w:rsidRPr="004203AE">
        <w:rPr>
          <w:rFonts w:ascii="Arial" w:hAnsi="Arial" w:cs="Arial"/>
          <w:lang w:val="en"/>
        </w:rPr>
        <w:t xml:space="preserve">of Torsade de Pointes (e.g. amiodarone, disopyramide, </w:t>
      </w:r>
      <w:proofErr w:type="spellStart"/>
      <w:r w:rsidRPr="004203AE">
        <w:rPr>
          <w:rFonts w:ascii="Arial" w:hAnsi="Arial" w:cs="Arial"/>
          <w:lang w:val="en"/>
        </w:rPr>
        <w:t>dofetilide</w:t>
      </w:r>
      <w:proofErr w:type="spellEnd"/>
      <w:r w:rsidRPr="004203AE">
        <w:rPr>
          <w:rFonts w:ascii="Arial" w:hAnsi="Arial" w:cs="Arial"/>
          <w:lang w:val="en"/>
        </w:rPr>
        <w:t xml:space="preserve">, </w:t>
      </w:r>
      <w:proofErr w:type="spellStart"/>
      <w:r w:rsidRPr="004203AE">
        <w:rPr>
          <w:rFonts w:ascii="Arial" w:hAnsi="Arial" w:cs="Arial"/>
          <w:lang w:val="en"/>
        </w:rPr>
        <w:t>ibutilide</w:t>
      </w:r>
      <w:proofErr w:type="spellEnd"/>
      <w:r w:rsidRPr="004203AE">
        <w:rPr>
          <w:rFonts w:ascii="Arial" w:hAnsi="Arial" w:cs="Arial"/>
          <w:lang w:val="en"/>
        </w:rPr>
        <w:t>, procainamide,</w:t>
      </w:r>
      <w:r>
        <w:rPr>
          <w:rFonts w:ascii="Arial" w:hAnsi="Arial" w:cs="Arial"/>
          <w:lang w:val="en"/>
        </w:rPr>
        <w:t xml:space="preserve"> </w:t>
      </w:r>
      <w:r w:rsidRPr="004203AE">
        <w:rPr>
          <w:rFonts w:ascii="Arial" w:hAnsi="Arial" w:cs="Arial"/>
          <w:lang w:val="en"/>
        </w:rPr>
        <w:t>quinidine, or sotalol) or in patients with relevant pre-existing cardiac disease. Elderly</w:t>
      </w:r>
      <w:r>
        <w:rPr>
          <w:rFonts w:ascii="Arial" w:hAnsi="Arial" w:cs="Arial"/>
          <w:lang w:val="en"/>
        </w:rPr>
        <w:t xml:space="preserve"> </w:t>
      </w:r>
      <w:r w:rsidRPr="004203AE">
        <w:rPr>
          <w:rFonts w:ascii="Arial" w:hAnsi="Arial" w:cs="Arial"/>
          <w:lang w:val="en"/>
        </w:rPr>
        <w:t>patients may be more susceptible to drug-induced QT interval prolongation.</w:t>
      </w:r>
    </w:p>
    <w:p w14:paraId="47EA2F35" w14:textId="77777777" w:rsidR="004203AE" w:rsidRPr="004203AE" w:rsidRDefault="004203AE" w:rsidP="00F25D4B">
      <w:pPr>
        <w:pStyle w:val="Heading3"/>
        <w:spacing w:before="0" w:after="120"/>
        <w:ind w:left="0"/>
        <w:rPr>
          <w:rFonts w:ascii="Arial" w:hAnsi="Arial" w:cs="Arial"/>
        </w:rPr>
      </w:pPr>
      <w:r w:rsidRPr="004203AE">
        <w:rPr>
          <w:rFonts w:ascii="Arial" w:hAnsi="Arial" w:cs="Arial"/>
        </w:rPr>
        <w:t>Patients with Hepatitis B or C Virus Co-infection</w:t>
      </w:r>
    </w:p>
    <w:p w14:paraId="7E21D493" w14:textId="77777777" w:rsidR="004203AE" w:rsidRPr="004203AE" w:rsidRDefault="004203AE" w:rsidP="004203AE">
      <w:pPr>
        <w:rPr>
          <w:rFonts w:ascii="Arial" w:hAnsi="Arial" w:cs="Arial"/>
          <w:lang w:val="en"/>
        </w:rPr>
      </w:pPr>
      <w:r w:rsidRPr="004203AE">
        <w:rPr>
          <w:rFonts w:ascii="Arial" w:hAnsi="Arial" w:cs="Arial"/>
          <w:lang w:val="en"/>
        </w:rPr>
        <w:t>Monitoring of liver chemistries is recommended in patients with hepatitis B and/or C coinfection.</w:t>
      </w:r>
      <w:r w:rsidR="00177E01">
        <w:rPr>
          <w:rFonts w:ascii="Arial" w:hAnsi="Arial" w:cs="Arial"/>
          <w:lang w:val="en"/>
        </w:rPr>
        <w:t xml:space="preserve"> </w:t>
      </w:r>
      <w:proofErr w:type="gramStart"/>
      <w:r w:rsidRPr="004203AE">
        <w:rPr>
          <w:rFonts w:ascii="Arial" w:hAnsi="Arial" w:cs="Arial"/>
          <w:lang w:val="en"/>
        </w:rPr>
        <w:t>Particular diligence</w:t>
      </w:r>
      <w:proofErr w:type="gramEnd"/>
      <w:r w:rsidRPr="004203AE">
        <w:rPr>
          <w:rFonts w:ascii="Arial" w:hAnsi="Arial" w:cs="Arial"/>
          <w:lang w:val="en"/>
        </w:rPr>
        <w:t xml:space="preserve"> should be applied in initiating or maintaining effective</w:t>
      </w:r>
      <w:r w:rsidR="00177E01">
        <w:rPr>
          <w:rFonts w:ascii="Arial" w:hAnsi="Arial" w:cs="Arial"/>
          <w:lang w:val="en"/>
        </w:rPr>
        <w:t xml:space="preserve"> </w:t>
      </w:r>
      <w:r w:rsidRPr="004203AE">
        <w:rPr>
          <w:rFonts w:ascii="Arial" w:hAnsi="Arial" w:cs="Arial"/>
          <w:lang w:val="en"/>
        </w:rPr>
        <w:t>hepatitis B therapy (referring to treatment guidelines) when starting fostemsavir therapy</w:t>
      </w:r>
      <w:r w:rsidR="00177E01">
        <w:rPr>
          <w:rFonts w:ascii="Arial" w:hAnsi="Arial" w:cs="Arial"/>
          <w:lang w:val="en"/>
        </w:rPr>
        <w:t xml:space="preserve"> </w:t>
      </w:r>
      <w:r w:rsidRPr="004203AE">
        <w:rPr>
          <w:rFonts w:ascii="Arial" w:hAnsi="Arial" w:cs="Arial"/>
          <w:lang w:val="en"/>
        </w:rPr>
        <w:t>in HIV-hepatitis B co-infected patients.</w:t>
      </w:r>
    </w:p>
    <w:p w14:paraId="72E500D0" w14:textId="77777777" w:rsidR="004203AE" w:rsidRPr="00177E01" w:rsidRDefault="004203AE" w:rsidP="00F25D4B">
      <w:pPr>
        <w:pStyle w:val="Heading3"/>
        <w:spacing w:before="0" w:after="120"/>
        <w:ind w:left="0"/>
        <w:rPr>
          <w:rFonts w:ascii="Arial" w:hAnsi="Arial" w:cs="Arial"/>
        </w:rPr>
      </w:pPr>
      <w:r w:rsidRPr="00177E01">
        <w:rPr>
          <w:rFonts w:ascii="Arial" w:hAnsi="Arial" w:cs="Arial"/>
        </w:rPr>
        <w:t>Opportunistic infections</w:t>
      </w:r>
    </w:p>
    <w:p w14:paraId="565D1DAD" w14:textId="77777777" w:rsidR="004203AE" w:rsidRPr="004203AE" w:rsidRDefault="004203AE" w:rsidP="004203AE">
      <w:pPr>
        <w:rPr>
          <w:rFonts w:ascii="Arial" w:hAnsi="Arial" w:cs="Arial"/>
          <w:lang w:val="en"/>
        </w:rPr>
      </w:pPr>
      <w:r w:rsidRPr="004203AE">
        <w:rPr>
          <w:rFonts w:ascii="Arial" w:hAnsi="Arial" w:cs="Arial"/>
          <w:lang w:val="en"/>
        </w:rPr>
        <w:t>Patients receiving fostemsavir or any other antiretroviral therapy may still develop</w:t>
      </w:r>
      <w:r w:rsidR="00177E01">
        <w:rPr>
          <w:rFonts w:ascii="Arial" w:hAnsi="Arial" w:cs="Arial"/>
          <w:lang w:val="en"/>
        </w:rPr>
        <w:t xml:space="preserve"> </w:t>
      </w:r>
      <w:r w:rsidRPr="004203AE">
        <w:rPr>
          <w:rFonts w:ascii="Arial" w:hAnsi="Arial" w:cs="Arial"/>
          <w:lang w:val="en"/>
        </w:rPr>
        <w:t>opportunistic infections and other complications of HIV infection. Therefore, patients</w:t>
      </w:r>
      <w:r w:rsidR="00177E01">
        <w:rPr>
          <w:rFonts w:ascii="Arial" w:hAnsi="Arial" w:cs="Arial"/>
          <w:lang w:val="en"/>
        </w:rPr>
        <w:t xml:space="preserve"> </w:t>
      </w:r>
      <w:r w:rsidRPr="004203AE">
        <w:rPr>
          <w:rFonts w:ascii="Arial" w:hAnsi="Arial" w:cs="Arial"/>
          <w:lang w:val="en"/>
        </w:rPr>
        <w:t>should remain under close clinical observation by physicians experienced in the treatment</w:t>
      </w:r>
      <w:r w:rsidR="00177E01">
        <w:rPr>
          <w:rFonts w:ascii="Arial" w:hAnsi="Arial" w:cs="Arial"/>
          <w:lang w:val="en"/>
        </w:rPr>
        <w:t xml:space="preserve"> </w:t>
      </w:r>
      <w:r w:rsidRPr="004203AE">
        <w:rPr>
          <w:rFonts w:ascii="Arial" w:hAnsi="Arial" w:cs="Arial"/>
          <w:lang w:val="en"/>
        </w:rPr>
        <w:t>of these associated HIV diseases.</w:t>
      </w:r>
    </w:p>
    <w:p w14:paraId="4D486843" w14:textId="77777777" w:rsidR="004203AE" w:rsidRPr="00177E01" w:rsidRDefault="004203AE" w:rsidP="00F25D4B">
      <w:pPr>
        <w:pStyle w:val="Heading3"/>
        <w:spacing w:before="0" w:after="120"/>
        <w:ind w:left="0"/>
        <w:rPr>
          <w:rFonts w:ascii="Arial" w:hAnsi="Arial" w:cs="Arial"/>
        </w:rPr>
      </w:pPr>
      <w:r w:rsidRPr="00177E01">
        <w:rPr>
          <w:rFonts w:ascii="Arial" w:hAnsi="Arial" w:cs="Arial"/>
        </w:rPr>
        <w:t>Transmission of infection</w:t>
      </w:r>
    </w:p>
    <w:p w14:paraId="6DD4BA30" w14:textId="77777777" w:rsidR="00071855" w:rsidRPr="004203AE" w:rsidRDefault="004203AE" w:rsidP="004203AE">
      <w:pPr>
        <w:rPr>
          <w:rFonts w:ascii="Arial" w:hAnsi="Arial" w:cs="Arial"/>
          <w:lang w:val="en"/>
        </w:rPr>
      </w:pPr>
      <w:r w:rsidRPr="004203AE">
        <w:rPr>
          <w:rFonts w:ascii="Arial" w:hAnsi="Arial" w:cs="Arial"/>
          <w:lang w:val="en"/>
        </w:rPr>
        <w:t>While effective viral suppression with antiretroviral therapy has been proven to</w:t>
      </w:r>
      <w:r w:rsidR="00177E01">
        <w:rPr>
          <w:rFonts w:ascii="Arial" w:hAnsi="Arial" w:cs="Arial"/>
          <w:lang w:val="en"/>
        </w:rPr>
        <w:t xml:space="preserve"> </w:t>
      </w:r>
      <w:r w:rsidRPr="004203AE">
        <w:rPr>
          <w:rFonts w:ascii="Arial" w:hAnsi="Arial" w:cs="Arial"/>
          <w:lang w:val="en"/>
        </w:rPr>
        <w:t>substantially reduce the risk of sexual transmission, a residual risk cannot be excluded.</w:t>
      </w:r>
      <w:r w:rsidR="00177E01">
        <w:rPr>
          <w:rFonts w:ascii="Arial" w:hAnsi="Arial" w:cs="Arial"/>
          <w:lang w:val="en"/>
        </w:rPr>
        <w:t xml:space="preserve"> </w:t>
      </w:r>
      <w:r w:rsidRPr="004203AE">
        <w:rPr>
          <w:rFonts w:ascii="Arial" w:hAnsi="Arial" w:cs="Arial"/>
          <w:lang w:val="en"/>
        </w:rPr>
        <w:t>Precautions to prevent transmission should be taken in accordance with national</w:t>
      </w:r>
      <w:r w:rsidR="00177E01">
        <w:rPr>
          <w:rFonts w:ascii="Arial" w:hAnsi="Arial" w:cs="Arial"/>
          <w:lang w:val="en"/>
        </w:rPr>
        <w:t xml:space="preserve"> </w:t>
      </w:r>
      <w:r w:rsidRPr="004203AE">
        <w:rPr>
          <w:rFonts w:ascii="Arial" w:hAnsi="Arial" w:cs="Arial"/>
          <w:lang w:val="en"/>
        </w:rPr>
        <w:t>guidelines.</w:t>
      </w:r>
    </w:p>
    <w:p w14:paraId="14F7BA34" w14:textId="77777777" w:rsidR="004203AE" w:rsidRPr="00177E01" w:rsidRDefault="004203AE" w:rsidP="00F25D4B">
      <w:pPr>
        <w:pStyle w:val="Heading3"/>
        <w:spacing w:before="0" w:after="120"/>
        <w:ind w:left="0"/>
        <w:rPr>
          <w:rFonts w:ascii="Arial" w:hAnsi="Arial" w:cs="Arial"/>
        </w:rPr>
      </w:pPr>
      <w:r w:rsidRPr="00177E01">
        <w:rPr>
          <w:rFonts w:ascii="Arial" w:hAnsi="Arial" w:cs="Arial"/>
        </w:rPr>
        <w:t>Drug Interactions</w:t>
      </w:r>
    </w:p>
    <w:p w14:paraId="7EAF0C9E" w14:textId="51AB94FB" w:rsidR="004203AE" w:rsidRDefault="004203AE" w:rsidP="004203AE">
      <w:pPr>
        <w:rPr>
          <w:rFonts w:ascii="Arial" w:hAnsi="Arial" w:cs="Arial"/>
          <w:lang w:val="en"/>
        </w:rPr>
      </w:pPr>
      <w:r w:rsidRPr="004203AE">
        <w:rPr>
          <w:rFonts w:ascii="Arial" w:hAnsi="Arial" w:cs="Arial"/>
          <w:lang w:val="en"/>
        </w:rPr>
        <w:t>Caution should be given to co-administering medications (prescription and non</w:t>
      </w:r>
      <w:r w:rsidR="00177E01">
        <w:rPr>
          <w:rFonts w:ascii="Arial" w:hAnsi="Arial" w:cs="Arial"/>
          <w:lang w:val="en"/>
        </w:rPr>
        <w:t>-</w:t>
      </w:r>
      <w:r w:rsidRPr="004203AE">
        <w:rPr>
          <w:rFonts w:ascii="Arial" w:hAnsi="Arial" w:cs="Arial"/>
          <w:lang w:val="en"/>
        </w:rPr>
        <w:t>prescription)</w:t>
      </w:r>
      <w:r w:rsidR="00177E01">
        <w:rPr>
          <w:rFonts w:ascii="Arial" w:hAnsi="Arial" w:cs="Arial"/>
          <w:lang w:val="en"/>
        </w:rPr>
        <w:t xml:space="preserve"> </w:t>
      </w:r>
      <w:r w:rsidRPr="004203AE">
        <w:rPr>
          <w:rFonts w:ascii="Arial" w:hAnsi="Arial" w:cs="Arial"/>
          <w:lang w:val="en"/>
        </w:rPr>
        <w:t xml:space="preserve">that may change the exposure to </w:t>
      </w:r>
      <w:proofErr w:type="spellStart"/>
      <w:r w:rsidRPr="00723B01">
        <w:rPr>
          <w:rFonts w:ascii="Arial" w:hAnsi="Arial" w:cs="Arial"/>
          <w:lang w:val="en"/>
        </w:rPr>
        <w:t>temsavir</w:t>
      </w:r>
      <w:proofErr w:type="spellEnd"/>
      <w:r w:rsidRPr="00723B01">
        <w:rPr>
          <w:rFonts w:ascii="Arial" w:hAnsi="Arial" w:cs="Arial"/>
          <w:lang w:val="en"/>
        </w:rPr>
        <w:t>, the active moiety of fostemsavir,</w:t>
      </w:r>
      <w:r w:rsidR="00177E01" w:rsidRPr="00723B01">
        <w:rPr>
          <w:rFonts w:ascii="Arial" w:hAnsi="Arial" w:cs="Arial"/>
          <w:lang w:val="en"/>
        </w:rPr>
        <w:t xml:space="preserve"> </w:t>
      </w:r>
      <w:r w:rsidRPr="00723B01">
        <w:rPr>
          <w:rFonts w:ascii="Arial" w:hAnsi="Arial" w:cs="Arial"/>
          <w:lang w:val="en"/>
        </w:rPr>
        <w:t xml:space="preserve">or medications that may have their exposure changed by </w:t>
      </w:r>
      <w:proofErr w:type="spellStart"/>
      <w:r w:rsidRPr="00723B01">
        <w:rPr>
          <w:rFonts w:ascii="Arial" w:hAnsi="Arial" w:cs="Arial"/>
          <w:lang w:val="en"/>
        </w:rPr>
        <w:t>temsavir</w:t>
      </w:r>
      <w:proofErr w:type="spellEnd"/>
      <w:r w:rsidRPr="00723B01">
        <w:rPr>
          <w:rFonts w:ascii="Arial" w:hAnsi="Arial" w:cs="Arial"/>
          <w:lang w:val="en"/>
        </w:rPr>
        <w:t xml:space="preserve"> (see </w:t>
      </w:r>
      <w:r w:rsidR="00DE08E2" w:rsidRPr="00723B01">
        <w:rPr>
          <w:rFonts w:ascii="Arial" w:hAnsi="Arial" w:cs="Arial"/>
          <w:lang w:val="en"/>
        </w:rPr>
        <w:t>Section 4.3 CONTRAINDICATIONS</w:t>
      </w:r>
      <w:r w:rsidR="00723B01">
        <w:rPr>
          <w:rFonts w:ascii="Arial" w:hAnsi="Arial" w:cs="Arial"/>
          <w:lang w:val="en"/>
        </w:rPr>
        <w:t>,</w:t>
      </w:r>
      <w:r w:rsidR="00177E01" w:rsidRPr="00723B01">
        <w:rPr>
          <w:rFonts w:ascii="Arial" w:hAnsi="Arial" w:cs="Arial"/>
          <w:lang w:val="en"/>
        </w:rPr>
        <w:t xml:space="preserve"> </w:t>
      </w:r>
      <w:r w:rsidRPr="00723B01">
        <w:rPr>
          <w:rFonts w:ascii="Arial" w:hAnsi="Arial" w:cs="Arial"/>
          <w:lang w:val="en"/>
        </w:rPr>
        <w:t xml:space="preserve">and </w:t>
      </w:r>
      <w:r w:rsidR="00DE08E2" w:rsidRPr="00723B01">
        <w:rPr>
          <w:rFonts w:ascii="Arial" w:hAnsi="Arial" w:cs="Arial"/>
          <w:lang w:val="en"/>
        </w:rPr>
        <w:t>Section 4.5 INTERACTIONS WITH OTHER MEDICINES AND OTHER FORMS OF INTERACTIONS</w:t>
      </w:r>
      <w:r w:rsidRPr="00723B01">
        <w:rPr>
          <w:rFonts w:ascii="Arial" w:hAnsi="Arial" w:cs="Arial"/>
          <w:lang w:val="en"/>
        </w:rPr>
        <w:t xml:space="preserve">). </w:t>
      </w:r>
      <w:r w:rsidR="007C2DBD" w:rsidRPr="007C2DBD">
        <w:rPr>
          <w:rFonts w:ascii="Arial" w:hAnsi="Arial" w:cs="Arial"/>
          <w:lang w:val="en"/>
        </w:rPr>
        <w:t xml:space="preserve">Reduced exposure to </w:t>
      </w:r>
      <w:proofErr w:type="spellStart"/>
      <w:r w:rsidR="007C2DBD" w:rsidRPr="007C2DBD">
        <w:rPr>
          <w:rFonts w:ascii="Arial" w:hAnsi="Arial" w:cs="Arial"/>
          <w:lang w:val="en"/>
        </w:rPr>
        <w:t>temsavir</w:t>
      </w:r>
      <w:proofErr w:type="spellEnd"/>
      <w:r w:rsidR="007C2DBD" w:rsidRPr="007C2DBD">
        <w:rPr>
          <w:rFonts w:ascii="Arial" w:hAnsi="Arial" w:cs="Arial"/>
          <w:lang w:val="en"/>
        </w:rPr>
        <w:t xml:space="preserve"> may lead to loss of therapeutic effect of RUKOBIA and possible development of resistance (see Section 4.3 CONTRAINDICATIONS). </w:t>
      </w:r>
      <w:r w:rsidRPr="00723B01">
        <w:rPr>
          <w:rFonts w:ascii="Arial" w:hAnsi="Arial" w:cs="Arial"/>
          <w:lang w:val="en"/>
        </w:rPr>
        <w:t xml:space="preserve">Increased exposure to </w:t>
      </w:r>
      <w:proofErr w:type="spellStart"/>
      <w:r w:rsidRPr="00723B01">
        <w:rPr>
          <w:rFonts w:ascii="Arial" w:hAnsi="Arial" w:cs="Arial"/>
          <w:lang w:val="en"/>
        </w:rPr>
        <w:t>temsavir</w:t>
      </w:r>
      <w:proofErr w:type="spellEnd"/>
      <w:r w:rsidRPr="00723B01">
        <w:rPr>
          <w:rFonts w:ascii="Arial" w:hAnsi="Arial" w:cs="Arial"/>
          <w:lang w:val="en"/>
        </w:rPr>
        <w:t xml:space="preserve"> may increase the risk of QTc interval</w:t>
      </w:r>
      <w:r w:rsidR="00177E01" w:rsidRPr="00723B01">
        <w:rPr>
          <w:rFonts w:ascii="Arial" w:hAnsi="Arial" w:cs="Arial"/>
          <w:lang w:val="en"/>
        </w:rPr>
        <w:t xml:space="preserve"> </w:t>
      </w:r>
      <w:r w:rsidRPr="00723B01">
        <w:rPr>
          <w:rFonts w:ascii="Arial" w:hAnsi="Arial" w:cs="Arial"/>
          <w:lang w:val="en"/>
        </w:rPr>
        <w:t xml:space="preserve">prolongation (see </w:t>
      </w:r>
      <w:r w:rsidR="00723B01" w:rsidRPr="00723B01">
        <w:rPr>
          <w:rFonts w:ascii="Arial" w:hAnsi="Arial" w:cs="Arial"/>
          <w:lang w:val="en"/>
        </w:rPr>
        <w:t>Section 4.4 SPECIAL WARNINGS AND PRECAUTIONS FOR USE</w:t>
      </w:r>
      <w:r w:rsidRPr="00723B01">
        <w:rPr>
          <w:rFonts w:ascii="Arial" w:hAnsi="Arial" w:cs="Arial"/>
          <w:lang w:val="en"/>
        </w:rPr>
        <w:t xml:space="preserve">, and </w:t>
      </w:r>
      <w:r w:rsidR="00723B01" w:rsidRPr="00723B01">
        <w:rPr>
          <w:rFonts w:ascii="Arial" w:hAnsi="Arial" w:cs="Arial"/>
          <w:lang w:val="en"/>
        </w:rPr>
        <w:t>Section 5.1 PHARMACODYNAMIC PROPERTIES, Pharmacodynamic effects</w:t>
      </w:r>
      <w:r w:rsidRPr="00723B01">
        <w:rPr>
          <w:rFonts w:ascii="Arial" w:hAnsi="Arial" w:cs="Arial"/>
          <w:lang w:val="en"/>
        </w:rPr>
        <w:t>).</w:t>
      </w:r>
    </w:p>
    <w:p w14:paraId="616C5EC1" w14:textId="1BA6AEAB" w:rsidR="00BB23FE" w:rsidRPr="004203AE" w:rsidRDefault="00BB23FE" w:rsidP="004203AE">
      <w:pPr>
        <w:rPr>
          <w:rFonts w:ascii="Arial" w:hAnsi="Arial" w:cs="Arial"/>
          <w:lang w:val="en"/>
        </w:rPr>
      </w:pPr>
      <w:r w:rsidRPr="00BB23FE">
        <w:rPr>
          <w:rFonts w:ascii="Arial" w:hAnsi="Arial" w:cs="Arial"/>
          <w:lang w:val="en"/>
        </w:rPr>
        <w:t xml:space="preserve">Co-administration of fostemsavir with elbasvir/grazoprevir is not recommended as increased grazoprevir concentrations may increase the risk of ALT elevations </w:t>
      </w:r>
      <w:r w:rsidRPr="004203AE">
        <w:rPr>
          <w:rFonts w:ascii="Arial" w:hAnsi="Arial" w:cs="Arial"/>
          <w:lang w:val="en"/>
        </w:rPr>
        <w:t xml:space="preserve">(see </w:t>
      </w:r>
      <w:r>
        <w:rPr>
          <w:rFonts w:ascii="Arial" w:hAnsi="Arial" w:cs="Arial"/>
          <w:lang w:val="en"/>
        </w:rPr>
        <w:t xml:space="preserve">Section 4.5 </w:t>
      </w:r>
      <w:r w:rsidRPr="004203AE">
        <w:rPr>
          <w:rFonts w:ascii="Arial" w:hAnsi="Arial" w:cs="Arial"/>
          <w:lang w:val="en"/>
        </w:rPr>
        <w:t>INTERACTIONS WITH OTHER MEDICINES AND OTHER FORMS OF INTERACTIONS).</w:t>
      </w:r>
    </w:p>
    <w:p w14:paraId="1C83FE4A" w14:textId="03BC8020" w:rsidR="004203AE" w:rsidRPr="004203AE" w:rsidRDefault="004203AE" w:rsidP="004203AE">
      <w:pPr>
        <w:rPr>
          <w:rFonts w:ascii="Arial" w:hAnsi="Arial" w:cs="Arial"/>
          <w:lang w:val="en"/>
        </w:rPr>
      </w:pPr>
      <w:r w:rsidRPr="004203AE">
        <w:rPr>
          <w:rFonts w:ascii="Arial" w:hAnsi="Arial" w:cs="Arial"/>
          <w:lang w:val="en"/>
        </w:rPr>
        <w:t>Dose modifications and/or careful titration of dose is recommended for certain statins that</w:t>
      </w:r>
      <w:r w:rsidR="00177E01">
        <w:rPr>
          <w:rFonts w:ascii="Arial" w:hAnsi="Arial" w:cs="Arial"/>
          <w:lang w:val="en"/>
        </w:rPr>
        <w:t xml:space="preserve"> </w:t>
      </w:r>
      <w:r w:rsidRPr="004203AE">
        <w:rPr>
          <w:rFonts w:ascii="Arial" w:hAnsi="Arial" w:cs="Arial"/>
          <w:lang w:val="en"/>
        </w:rPr>
        <w:t xml:space="preserve">are substrates of OATP1B1/3 or BCRP (rosuvastatin, atorvastatin, </w:t>
      </w:r>
      <w:proofErr w:type="spellStart"/>
      <w:r w:rsidRPr="004203AE">
        <w:rPr>
          <w:rFonts w:ascii="Arial" w:hAnsi="Arial" w:cs="Arial"/>
          <w:lang w:val="en"/>
        </w:rPr>
        <w:t>pitavastatin</w:t>
      </w:r>
      <w:proofErr w:type="spellEnd"/>
      <w:r w:rsidRPr="004203AE">
        <w:rPr>
          <w:rFonts w:ascii="Arial" w:hAnsi="Arial" w:cs="Arial"/>
          <w:lang w:val="en"/>
        </w:rPr>
        <w:t>,</w:t>
      </w:r>
      <w:r w:rsidR="00177E01">
        <w:rPr>
          <w:rFonts w:ascii="Arial" w:hAnsi="Arial" w:cs="Arial"/>
          <w:lang w:val="en"/>
        </w:rPr>
        <w:t xml:space="preserve"> </w:t>
      </w:r>
      <w:r w:rsidRPr="004203AE">
        <w:rPr>
          <w:rFonts w:ascii="Arial" w:hAnsi="Arial" w:cs="Arial"/>
          <w:lang w:val="en"/>
        </w:rPr>
        <w:t xml:space="preserve">simvastatin </w:t>
      </w:r>
      <w:bookmarkStart w:id="4" w:name="_Hlk83635729"/>
      <w:bookmarkEnd w:id="3"/>
      <w:r w:rsidRPr="004203AE">
        <w:rPr>
          <w:rFonts w:ascii="Arial" w:hAnsi="Arial" w:cs="Arial"/>
          <w:lang w:val="en"/>
        </w:rPr>
        <w:lastRenderedPageBreak/>
        <w:t xml:space="preserve">and </w:t>
      </w:r>
      <w:proofErr w:type="spellStart"/>
      <w:r w:rsidRPr="004203AE">
        <w:rPr>
          <w:rFonts w:ascii="Arial" w:hAnsi="Arial" w:cs="Arial"/>
          <w:lang w:val="en"/>
        </w:rPr>
        <w:t>fluvastatin</w:t>
      </w:r>
      <w:proofErr w:type="spellEnd"/>
      <w:r w:rsidRPr="004203AE">
        <w:rPr>
          <w:rFonts w:ascii="Arial" w:hAnsi="Arial" w:cs="Arial"/>
          <w:lang w:val="en"/>
        </w:rPr>
        <w:t xml:space="preserve">) when co-administered with </w:t>
      </w:r>
      <w:r w:rsidRPr="00723B01">
        <w:rPr>
          <w:rFonts w:ascii="Arial" w:hAnsi="Arial" w:cs="Arial"/>
          <w:lang w:val="en"/>
        </w:rPr>
        <w:t xml:space="preserve">fostemsavir (see </w:t>
      </w:r>
      <w:r w:rsidR="00723B01" w:rsidRPr="00723B01">
        <w:rPr>
          <w:rFonts w:ascii="Arial" w:hAnsi="Arial" w:cs="Arial"/>
          <w:lang w:val="en"/>
        </w:rPr>
        <w:t>Section 4.5 INTERACTIONS WITH OTHER MEDICINES AND OTHER FORMS OF INTERACTIONS</w:t>
      </w:r>
      <w:r w:rsidRPr="00723B01">
        <w:rPr>
          <w:rFonts w:ascii="Arial" w:hAnsi="Arial" w:cs="Arial"/>
          <w:lang w:val="en"/>
        </w:rPr>
        <w:t>).</w:t>
      </w:r>
    </w:p>
    <w:p w14:paraId="0EBF1E26" w14:textId="69F90A7D" w:rsidR="004203AE" w:rsidRPr="004203AE" w:rsidRDefault="004203AE" w:rsidP="004203AE">
      <w:pPr>
        <w:rPr>
          <w:rFonts w:ascii="Arial" w:hAnsi="Arial" w:cs="Arial"/>
          <w:lang w:val="en"/>
        </w:rPr>
      </w:pPr>
      <w:r w:rsidRPr="004203AE">
        <w:rPr>
          <w:rFonts w:ascii="Arial" w:hAnsi="Arial" w:cs="Arial"/>
          <w:lang w:val="en"/>
        </w:rPr>
        <w:t xml:space="preserve">When fostemsavir was co-administered with oral contraceptives, </w:t>
      </w:r>
      <w:proofErr w:type="spellStart"/>
      <w:r w:rsidRPr="004203AE">
        <w:rPr>
          <w:rFonts w:ascii="Arial" w:hAnsi="Arial" w:cs="Arial"/>
          <w:lang w:val="en"/>
        </w:rPr>
        <w:t>temsavir</w:t>
      </w:r>
      <w:proofErr w:type="spellEnd"/>
      <w:r w:rsidRPr="004203AE">
        <w:rPr>
          <w:rFonts w:ascii="Arial" w:hAnsi="Arial" w:cs="Arial"/>
          <w:lang w:val="en"/>
        </w:rPr>
        <w:t xml:space="preserve"> increased</w:t>
      </w:r>
      <w:r w:rsidR="00177E01">
        <w:rPr>
          <w:rFonts w:ascii="Arial" w:hAnsi="Arial" w:cs="Arial"/>
          <w:lang w:val="en"/>
        </w:rPr>
        <w:t xml:space="preserve"> </w:t>
      </w:r>
      <w:r w:rsidRPr="004203AE">
        <w:rPr>
          <w:rFonts w:ascii="Arial" w:hAnsi="Arial" w:cs="Arial"/>
          <w:lang w:val="en"/>
        </w:rPr>
        <w:t>concentrations of ethinyl estradiol and caution is advised particularly in patients with</w:t>
      </w:r>
      <w:r w:rsidR="00177E01">
        <w:rPr>
          <w:rFonts w:ascii="Arial" w:hAnsi="Arial" w:cs="Arial"/>
          <w:lang w:val="en"/>
        </w:rPr>
        <w:t xml:space="preserve"> </w:t>
      </w:r>
      <w:r w:rsidRPr="004203AE">
        <w:rPr>
          <w:rFonts w:ascii="Arial" w:hAnsi="Arial" w:cs="Arial"/>
          <w:lang w:val="en"/>
        </w:rPr>
        <w:t>additional risk factors for thromboembolic events. Doses of estrogen-based therapies,</w:t>
      </w:r>
      <w:r w:rsidR="00177E01">
        <w:rPr>
          <w:rFonts w:ascii="Arial" w:hAnsi="Arial" w:cs="Arial"/>
          <w:lang w:val="en"/>
        </w:rPr>
        <w:t xml:space="preserve"> </w:t>
      </w:r>
      <w:r w:rsidRPr="004203AE">
        <w:rPr>
          <w:rFonts w:ascii="Arial" w:hAnsi="Arial" w:cs="Arial"/>
          <w:lang w:val="en"/>
        </w:rPr>
        <w:t xml:space="preserve">including oral contraceptives, should </w:t>
      </w:r>
      <w:r w:rsidRPr="00723B01">
        <w:rPr>
          <w:rFonts w:ascii="Arial" w:hAnsi="Arial" w:cs="Arial"/>
          <w:lang w:val="en"/>
        </w:rPr>
        <w:t>not contain more than 30μg of ethinyl estradiol per</w:t>
      </w:r>
      <w:r w:rsidR="00177E01" w:rsidRPr="00723B01">
        <w:rPr>
          <w:rFonts w:ascii="Arial" w:hAnsi="Arial" w:cs="Arial"/>
          <w:lang w:val="en"/>
        </w:rPr>
        <w:t xml:space="preserve"> </w:t>
      </w:r>
      <w:r w:rsidRPr="00723B01">
        <w:rPr>
          <w:rFonts w:ascii="Arial" w:hAnsi="Arial" w:cs="Arial"/>
          <w:lang w:val="en"/>
        </w:rPr>
        <w:t xml:space="preserve">day in patients who are receiving fostemsavir (see </w:t>
      </w:r>
      <w:r w:rsidR="00723B01" w:rsidRPr="00723B01">
        <w:rPr>
          <w:rFonts w:ascii="Arial" w:hAnsi="Arial" w:cs="Arial"/>
          <w:lang w:val="en"/>
        </w:rPr>
        <w:t>Section 4.5 INTERACTIONS WITH OTHER MEDICINES AND OTHER FORMS OF INTERACTIONS</w:t>
      </w:r>
      <w:r w:rsidRPr="00723B01">
        <w:rPr>
          <w:rFonts w:ascii="Arial" w:hAnsi="Arial" w:cs="Arial"/>
          <w:lang w:val="en"/>
        </w:rPr>
        <w:t>).</w:t>
      </w:r>
    </w:p>
    <w:p w14:paraId="5849C0F6" w14:textId="77777777" w:rsidR="001A3992" w:rsidRPr="00071855" w:rsidRDefault="001A3992" w:rsidP="00F25D4B">
      <w:pPr>
        <w:pStyle w:val="Heading3"/>
        <w:spacing w:before="0" w:after="120"/>
        <w:ind w:left="0"/>
        <w:rPr>
          <w:rFonts w:ascii="Arial" w:hAnsi="Arial" w:cs="Arial"/>
        </w:rPr>
      </w:pPr>
      <w:r w:rsidRPr="00071855">
        <w:rPr>
          <w:rFonts w:ascii="Arial" w:hAnsi="Arial" w:cs="Arial"/>
        </w:rPr>
        <w:t>Use in the elderly</w:t>
      </w:r>
    </w:p>
    <w:p w14:paraId="207C7DA7" w14:textId="60461F4A" w:rsidR="00071855" w:rsidRPr="004C2A8F" w:rsidRDefault="004C2A8F" w:rsidP="00071855">
      <w:pPr>
        <w:rPr>
          <w:rFonts w:ascii="Arial" w:hAnsi="Arial" w:cs="Arial"/>
          <w:lang w:val="en"/>
        </w:rPr>
      </w:pPr>
      <w:r w:rsidRPr="004C2A8F">
        <w:rPr>
          <w:rFonts w:ascii="Arial" w:hAnsi="Arial" w:cs="Arial"/>
          <w:lang w:val="en"/>
        </w:rPr>
        <w:t>Refer to Section 4.2 DOSE AND METHOD OF ADMINISTRATION, Elderly.</w:t>
      </w:r>
    </w:p>
    <w:p w14:paraId="62ED32CD" w14:textId="77777777" w:rsidR="001A3992" w:rsidRPr="00071855" w:rsidRDefault="001A3992" w:rsidP="00F25D4B">
      <w:pPr>
        <w:pStyle w:val="Heading3"/>
        <w:spacing w:before="0" w:after="120"/>
        <w:ind w:left="0"/>
        <w:rPr>
          <w:rFonts w:ascii="Arial" w:hAnsi="Arial" w:cs="Arial"/>
        </w:rPr>
      </w:pPr>
      <w:r w:rsidRPr="00071855">
        <w:rPr>
          <w:rFonts w:ascii="Arial" w:hAnsi="Arial" w:cs="Arial"/>
        </w:rPr>
        <w:t>Paediatric use</w:t>
      </w:r>
    </w:p>
    <w:p w14:paraId="50A63284" w14:textId="77777777" w:rsidR="004C2A8F" w:rsidRDefault="004C2A8F" w:rsidP="004C2A8F">
      <w:pPr>
        <w:rPr>
          <w:rFonts w:ascii="Arial" w:hAnsi="Arial" w:cs="Arial"/>
          <w:lang w:val="en"/>
        </w:rPr>
      </w:pPr>
      <w:r w:rsidRPr="00DA0E66">
        <w:rPr>
          <w:rFonts w:ascii="Arial" w:hAnsi="Arial" w:cs="Arial"/>
          <w:lang w:val="en"/>
        </w:rPr>
        <w:t>Fostemsavir is not recommended in children below 18 years of age due to a lack of safety</w:t>
      </w:r>
      <w:r>
        <w:rPr>
          <w:rFonts w:ascii="Arial" w:hAnsi="Arial" w:cs="Arial"/>
          <w:lang w:val="en"/>
        </w:rPr>
        <w:t xml:space="preserve"> </w:t>
      </w:r>
      <w:r w:rsidRPr="00DA0E66">
        <w:rPr>
          <w:rFonts w:ascii="Arial" w:hAnsi="Arial" w:cs="Arial"/>
          <w:lang w:val="en"/>
        </w:rPr>
        <w:t>and efficacy data.</w:t>
      </w:r>
    </w:p>
    <w:p w14:paraId="0E0EE914" w14:textId="77777777" w:rsidR="001A3992" w:rsidRPr="00071855" w:rsidRDefault="001A3992" w:rsidP="00F25D4B">
      <w:pPr>
        <w:pStyle w:val="Heading3"/>
        <w:spacing w:before="0" w:after="120"/>
        <w:ind w:left="0"/>
        <w:rPr>
          <w:rFonts w:ascii="Arial" w:hAnsi="Arial" w:cs="Arial"/>
        </w:rPr>
      </w:pPr>
      <w:r w:rsidRPr="00071855">
        <w:rPr>
          <w:rFonts w:ascii="Arial" w:hAnsi="Arial" w:cs="Arial"/>
        </w:rPr>
        <w:t>Effects on laboratory tests</w:t>
      </w:r>
    </w:p>
    <w:p w14:paraId="6D104DB3" w14:textId="7642FBDE" w:rsidR="00071855" w:rsidRPr="004C2A8F" w:rsidRDefault="004C2A8F" w:rsidP="00071855">
      <w:pPr>
        <w:rPr>
          <w:rFonts w:ascii="Arial" w:hAnsi="Arial" w:cs="Arial"/>
          <w:lang w:val="en"/>
        </w:rPr>
      </w:pPr>
      <w:r w:rsidRPr="004C2A8F">
        <w:rPr>
          <w:rFonts w:ascii="Arial" w:hAnsi="Arial" w:cs="Arial"/>
          <w:lang w:val="en"/>
        </w:rPr>
        <w:t>No data available.</w:t>
      </w:r>
    </w:p>
    <w:p w14:paraId="2581B707" w14:textId="77777777" w:rsidR="001A3992"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INTERACTIONS WITH OTHER MEDICINES AND OTHER FORMS OF INTERACTIONS</w:t>
      </w:r>
    </w:p>
    <w:p w14:paraId="7C5749B4" w14:textId="77777777" w:rsidR="00177E01" w:rsidRPr="00177E01" w:rsidRDefault="00177E01" w:rsidP="00F25D4B">
      <w:pPr>
        <w:pStyle w:val="Heading3"/>
        <w:spacing w:before="0" w:after="120"/>
        <w:ind w:left="0"/>
        <w:rPr>
          <w:rFonts w:ascii="Arial" w:hAnsi="Arial" w:cs="Arial"/>
        </w:rPr>
      </w:pPr>
      <w:r w:rsidRPr="00177E01">
        <w:rPr>
          <w:rFonts w:ascii="Arial" w:hAnsi="Arial" w:cs="Arial"/>
        </w:rPr>
        <w:t>Effect of Fostemsavir on the Pharmacokinetics of Other Agents</w:t>
      </w:r>
    </w:p>
    <w:p w14:paraId="3BB36724" w14:textId="77777777" w:rsidR="00177E01" w:rsidRPr="00177E01" w:rsidRDefault="00177E01" w:rsidP="00177E01">
      <w:pPr>
        <w:rPr>
          <w:rFonts w:ascii="Arial" w:hAnsi="Arial" w:cs="Arial"/>
          <w:lang w:val="en"/>
        </w:rPr>
      </w:pPr>
      <w:r w:rsidRPr="00177E01">
        <w:rPr>
          <w:rFonts w:ascii="Arial" w:hAnsi="Arial" w:cs="Arial"/>
          <w:lang w:val="en"/>
        </w:rPr>
        <w:t>Significant interactions are not expected when fostemsavir is co-administered with</w:t>
      </w:r>
      <w:r>
        <w:rPr>
          <w:rFonts w:ascii="Arial" w:hAnsi="Arial" w:cs="Arial"/>
          <w:lang w:val="en"/>
        </w:rPr>
        <w:t xml:space="preserve"> </w:t>
      </w:r>
      <w:r w:rsidRPr="00177E01">
        <w:rPr>
          <w:rFonts w:ascii="Arial" w:hAnsi="Arial" w:cs="Arial"/>
          <w:lang w:val="en"/>
        </w:rPr>
        <w:t>substrates of cytochrome P</w:t>
      </w:r>
      <w:r w:rsidRPr="00150B38">
        <w:rPr>
          <w:rFonts w:ascii="Arial" w:hAnsi="Arial" w:cs="Arial"/>
          <w:vertAlign w:val="subscript"/>
          <w:lang w:val="en"/>
        </w:rPr>
        <w:t>450</w:t>
      </w:r>
      <w:r w:rsidRPr="00177E01">
        <w:rPr>
          <w:rFonts w:ascii="Arial" w:hAnsi="Arial" w:cs="Arial"/>
          <w:lang w:val="en"/>
        </w:rPr>
        <w:t xml:space="preserve"> (CYPs), uridine diphosphate </w:t>
      </w:r>
      <w:proofErr w:type="spellStart"/>
      <w:r w:rsidRPr="00177E01">
        <w:rPr>
          <w:rFonts w:ascii="Arial" w:hAnsi="Arial" w:cs="Arial"/>
          <w:lang w:val="en"/>
        </w:rPr>
        <w:t>glucuronosyl</w:t>
      </w:r>
      <w:proofErr w:type="spellEnd"/>
      <w:r w:rsidRPr="00177E01">
        <w:rPr>
          <w:rFonts w:ascii="Arial" w:hAnsi="Arial" w:cs="Arial"/>
          <w:lang w:val="en"/>
        </w:rPr>
        <w:t xml:space="preserve"> transferases</w:t>
      </w:r>
      <w:r>
        <w:rPr>
          <w:rFonts w:ascii="Arial" w:hAnsi="Arial" w:cs="Arial"/>
          <w:lang w:val="en"/>
        </w:rPr>
        <w:t xml:space="preserve"> </w:t>
      </w:r>
      <w:r w:rsidRPr="00177E01">
        <w:rPr>
          <w:rFonts w:ascii="Arial" w:hAnsi="Arial" w:cs="Arial"/>
          <w:lang w:val="en"/>
        </w:rPr>
        <w:t>(UGTs), P-glycoprotein (P-</w:t>
      </w:r>
      <w:proofErr w:type="spellStart"/>
      <w:r w:rsidRPr="00177E01">
        <w:rPr>
          <w:rFonts w:ascii="Arial" w:hAnsi="Arial" w:cs="Arial"/>
          <w:lang w:val="en"/>
        </w:rPr>
        <w:t>gp</w:t>
      </w:r>
      <w:proofErr w:type="spellEnd"/>
      <w:r w:rsidRPr="00177E01">
        <w:rPr>
          <w:rFonts w:ascii="Arial" w:hAnsi="Arial" w:cs="Arial"/>
          <w:lang w:val="en"/>
        </w:rPr>
        <w:t>), multidrug resistance protein (MRP)2, bile salt export</w:t>
      </w:r>
      <w:r>
        <w:rPr>
          <w:rFonts w:ascii="Arial" w:hAnsi="Arial" w:cs="Arial"/>
          <w:lang w:val="en"/>
        </w:rPr>
        <w:t xml:space="preserve"> </w:t>
      </w:r>
      <w:r w:rsidRPr="00177E01">
        <w:rPr>
          <w:rFonts w:ascii="Arial" w:hAnsi="Arial" w:cs="Arial"/>
          <w:lang w:val="en"/>
        </w:rPr>
        <w:t>pump (BSEP), sodium taurocholate co-transporting polypeptide (NTCP), organic anion</w:t>
      </w:r>
      <w:r>
        <w:rPr>
          <w:rFonts w:ascii="Arial" w:hAnsi="Arial" w:cs="Arial"/>
          <w:lang w:val="en"/>
        </w:rPr>
        <w:t xml:space="preserve"> </w:t>
      </w:r>
      <w:r w:rsidRPr="00177E01">
        <w:rPr>
          <w:rFonts w:ascii="Arial" w:hAnsi="Arial" w:cs="Arial"/>
          <w:lang w:val="en"/>
        </w:rPr>
        <w:t xml:space="preserve">transporters (OAT)1, OAT3, organic cation transporters (OCT)1, and OCT2 based on </w:t>
      </w:r>
      <w:r w:rsidRPr="00150B38">
        <w:rPr>
          <w:rFonts w:ascii="Arial" w:hAnsi="Arial" w:cs="Arial"/>
          <w:i/>
          <w:lang w:val="en"/>
        </w:rPr>
        <w:t>in vitro</w:t>
      </w:r>
      <w:r w:rsidRPr="00177E01">
        <w:rPr>
          <w:rFonts w:ascii="Arial" w:hAnsi="Arial" w:cs="Arial"/>
          <w:lang w:val="en"/>
        </w:rPr>
        <w:t xml:space="preserve"> and clinical drug interaction data.</w:t>
      </w:r>
    </w:p>
    <w:p w14:paraId="6C88A784" w14:textId="77777777" w:rsidR="00177E01" w:rsidRPr="00177E01" w:rsidRDefault="00177E01" w:rsidP="00177E01">
      <w:pPr>
        <w:rPr>
          <w:rFonts w:ascii="Arial" w:hAnsi="Arial" w:cs="Arial"/>
          <w:lang w:val="en"/>
        </w:rPr>
      </w:pPr>
      <w:r w:rsidRPr="00150B38">
        <w:rPr>
          <w:rFonts w:ascii="Arial" w:hAnsi="Arial" w:cs="Arial"/>
          <w:i/>
          <w:lang w:val="en"/>
        </w:rPr>
        <w:t>In vitro</w:t>
      </w:r>
      <w:r w:rsidRPr="00177E01">
        <w:rPr>
          <w:rFonts w:ascii="Arial" w:hAnsi="Arial" w:cs="Arial"/>
          <w:lang w:val="en"/>
        </w:rPr>
        <w:t xml:space="preserve">, </w:t>
      </w:r>
      <w:proofErr w:type="spellStart"/>
      <w:r w:rsidRPr="00177E01">
        <w:rPr>
          <w:rFonts w:ascii="Arial" w:hAnsi="Arial" w:cs="Arial"/>
          <w:lang w:val="en"/>
        </w:rPr>
        <w:t>temsavir</w:t>
      </w:r>
      <w:proofErr w:type="spellEnd"/>
      <w:r w:rsidRPr="00177E01">
        <w:rPr>
          <w:rFonts w:ascii="Arial" w:hAnsi="Arial" w:cs="Arial"/>
          <w:lang w:val="en"/>
        </w:rPr>
        <w:t xml:space="preserve"> was not a clinically relevant inhibitor of other transporters, major CYP</w:t>
      </w:r>
      <w:r>
        <w:rPr>
          <w:rFonts w:ascii="Arial" w:hAnsi="Arial" w:cs="Arial"/>
          <w:lang w:val="en"/>
        </w:rPr>
        <w:t xml:space="preserve"> </w:t>
      </w:r>
      <w:r w:rsidRPr="00177E01">
        <w:rPr>
          <w:rFonts w:ascii="Arial" w:hAnsi="Arial" w:cs="Arial"/>
          <w:lang w:val="en"/>
        </w:rPr>
        <w:t>enzymes or UGTs (IC</w:t>
      </w:r>
      <w:r w:rsidRPr="00150B38">
        <w:rPr>
          <w:rFonts w:ascii="Arial" w:hAnsi="Arial" w:cs="Arial"/>
          <w:vertAlign w:val="subscript"/>
          <w:lang w:val="en"/>
        </w:rPr>
        <w:t>50</w:t>
      </w:r>
      <w:r w:rsidRPr="00177E01">
        <w:rPr>
          <w:rFonts w:ascii="Arial" w:hAnsi="Arial" w:cs="Arial"/>
          <w:lang w:val="en"/>
        </w:rPr>
        <w:t xml:space="preserve"> &gt;40 </w:t>
      </w:r>
      <w:proofErr w:type="spellStart"/>
      <w:r w:rsidRPr="00177E01">
        <w:rPr>
          <w:rFonts w:ascii="Arial" w:hAnsi="Arial" w:cs="Arial"/>
          <w:lang w:val="en"/>
        </w:rPr>
        <w:t>μM</w:t>
      </w:r>
      <w:proofErr w:type="spellEnd"/>
      <w:r w:rsidRPr="00177E01">
        <w:rPr>
          <w:rFonts w:ascii="Arial" w:hAnsi="Arial" w:cs="Arial"/>
          <w:lang w:val="en"/>
        </w:rPr>
        <w:t xml:space="preserve">). In addition, </w:t>
      </w:r>
      <w:proofErr w:type="spellStart"/>
      <w:r w:rsidRPr="00177E01">
        <w:rPr>
          <w:rFonts w:ascii="Arial" w:hAnsi="Arial" w:cs="Arial"/>
          <w:lang w:val="en"/>
        </w:rPr>
        <w:t>temsavir</w:t>
      </w:r>
      <w:proofErr w:type="spellEnd"/>
      <w:r w:rsidRPr="00177E01">
        <w:rPr>
          <w:rFonts w:ascii="Arial" w:hAnsi="Arial" w:cs="Arial"/>
          <w:lang w:val="en"/>
        </w:rPr>
        <w:t xml:space="preserve"> did not induce CYP enzymes </w:t>
      </w:r>
      <w:r w:rsidRPr="00150B38">
        <w:rPr>
          <w:rFonts w:ascii="Arial" w:hAnsi="Arial" w:cs="Arial"/>
          <w:i/>
          <w:lang w:val="en"/>
        </w:rPr>
        <w:t>in vitro</w:t>
      </w:r>
      <w:r w:rsidRPr="00177E01">
        <w:rPr>
          <w:rFonts w:ascii="Arial" w:hAnsi="Arial" w:cs="Arial"/>
          <w:lang w:val="en"/>
        </w:rPr>
        <w:t>.</w:t>
      </w:r>
    </w:p>
    <w:p w14:paraId="518F722E" w14:textId="77777777" w:rsidR="00177E01" w:rsidRPr="00177E01" w:rsidRDefault="00177E01" w:rsidP="00177E01">
      <w:pPr>
        <w:rPr>
          <w:rFonts w:ascii="Arial" w:hAnsi="Arial" w:cs="Arial"/>
          <w:lang w:val="en"/>
        </w:rPr>
      </w:pPr>
      <w:r w:rsidRPr="00150B38">
        <w:rPr>
          <w:rFonts w:ascii="Arial" w:hAnsi="Arial" w:cs="Arial"/>
          <w:i/>
          <w:lang w:val="en"/>
        </w:rPr>
        <w:t>In vitro</w:t>
      </w:r>
      <w:r w:rsidRPr="00177E01">
        <w:rPr>
          <w:rFonts w:ascii="Arial" w:hAnsi="Arial" w:cs="Arial"/>
          <w:lang w:val="en"/>
        </w:rPr>
        <w:t xml:space="preserve">, </w:t>
      </w:r>
      <w:proofErr w:type="spellStart"/>
      <w:r w:rsidRPr="00177E01">
        <w:rPr>
          <w:rFonts w:ascii="Arial" w:hAnsi="Arial" w:cs="Arial"/>
          <w:lang w:val="en"/>
        </w:rPr>
        <w:t>temsavir</w:t>
      </w:r>
      <w:proofErr w:type="spellEnd"/>
      <w:r w:rsidRPr="00177E01">
        <w:rPr>
          <w:rFonts w:ascii="Arial" w:hAnsi="Arial" w:cs="Arial"/>
          <w:lang w:val="en"/>
        </w:rPr>
        <w:t xml:space="preserve"> inhibited organic anion transporter polypeptides (OATP)1B1 and</w:t>
      </w:r>
      <w:r>
        <w:rPr>
          <w:rFonts w:ascii="Arial" w:hAnsi="Arial" w:cs="Arial"/>
          <w:lang w:val="en"/>
        </w:rPr>
        <w:t xml:space="preserve"> </w:t>
      </w:r>
      <w:r w:rsidRPr="00177E01">
        <w:rPr>
          <w:rFonts w:ascii="Arial" w:hAnsi="Arial" w:cs="Arial"/>
          <w:lang w:val="en"/>
        </w:rPr>
        <w:t>OATP1B3 (IC</w:t>
      </w:r>
      <w:r w:rsidRPr="00150B38">
        <w:rPr>
          <w:rFonts w:ascii="Arial" w:hAnsi="Arial" w:cs="Arial"/>
          <w:vertAlign w:val="subscript"/>
          <w:lang w:val="en"/>
        </w:rPr>
        <w:t>50</w:t>
      </w:r>
      <w:r w:rsidRPr="00177E01">
        <w:rPr>
          <w:rFonts w:ascii="Arial" w:hAnsi="Arial" w:cs="Arial"/>
          <w:lang w:val="en"/>
        </w:rPr>
        <w:t xml:space="preserve"> = 32 and 16 </w:t>
      </w:r>
      <w:proofErr w:type="spellStart"/>
      <w:r w:rsidRPr="00177E01">
        <w:rPr>
          <w:rFonts w:ascii="Arial" w:hAnsi="Arial" w:cs="Arial"/>
          <w:lang w:val="en"/>
        </w:rPr>
        <w:t>μM</w:t>
      </w:r>
      <w:proofErr w:type="spellEnd"/>
      <w:r w:rsidRPr="00177E01">
        <w:rPr>
          <w:rFonts w:ascii="Arial" w:hAnsi="Arial" w:cs="Arial"/>
          <w:lang w:val="en"/>
        </w:rPr>
        <w:t xml:space="preserve">, respectively). Additionally, </w:t>
      </w:r>
      <w:proofErr w:type="spellStart"/>
      <w:r w:rsidRPr="00177E01">
        <w:rPr>
          <w:rFonts w:ascii="Arial" w:hAnsi="Arial" w:cs="Arial"/>
          <w:lang w:val="en"/>
        </w:rPr>
        <w:t>temsavir</w:t>
      </w:r>
      <w:proofErr w:type="spellEnd"/>
      <w:r w:rsidRPr="00177E01">
        <w:rPr>
          <w:rFonts w:ascii="Arial" w:hAnsi="Arial" w:cs="Arial"/>
          <w:lang w:val="en"/>
        </w:rPr>
        <w:t xml:space="preserve"> and its two</w:t>
      </w:r>
      <w:r>
        <w:rPr>
          <w:rFonts w:ascii="Arial" w:hAnsi="Arial" w:cs="Arial"/>
          <w:lang w:val="en"/>
        </w:rPr>
        <w:t xml:space="preserve"> </w:t>
      </w:r>
      <w:r w:rsidRPr="00177E01">
        <w:rPr>
          <w:rFonts w:ascii="Arial" w:hAnsi="Arial" w:cs="Arial"/>
          <w:lang w:val="en"/>
        </w:rPr>
        <w:t>metabolites (BMS-646915 and BMS-930644) inhibited breast cancer resistance protein</w:t>
      </w:r>
      <w:r>
        <w:rPr>
          <w:rFonts w:ascii="Arial" w:hAnsi="Arial" w:cs="Arial"/>
          <w:lang w:val="en"/>
        </w:rPr>
        <w:t xml:space="preserve"> </w:t>
      </w:r>
      <w:r w:rsidRPr="00177E01">
        <w:rPr>
          <w:rFonts w:ascii="Arial" w:hAnsi="Arial" w:cs="Arial"/>
          <w:lang w:val="en"/>
        </w:rPr>
        <w:t>(BCRP) (IC</w:t>
      </w:r>
      <w:r w:rsidRPr="00150B38">
        <w:rPr>
          <w:rFonts w:ascii="Arial" w:hAnsi="Arial" w:cs="Arial"/>
          <w:vertAlign w:val="subscript"/>
          <w:lang w:val="en"/>
        </w:rPr>
        <w:t>50</w:t>
      </w:r>
      <w:r w:rsidRPr="00177E01">
        <w:rPr>
          <w:rFonts w:ascii="Arial" w:hAnsi="Arial" w:cs="Arial"/>
          <w:lang w:val="en"/>
        </w:rPr>
        <w:t xml:space="preserve"> = 12, 35, and 3.5 to 6.3 </w:t>
      </w:r>
      <w:proofErr w:type="spellStart"/>
      <w:r w:rsidRPr="00177E01">
        <w:rPr>
          <w:rFonts w:ascii="Arial" w:hAnsi="Arial" w:cs="Arial"/>
          <w:lang w:val="en"/>
        </w:rPr>
        <w:t>μM</w:t>
      </w:r>
      <w:proofErr w:type="spellEnd"/>
      <w:r w:rsidRPr="00177E01">
        <w:rPr>
          <w:rFonts w:ascii="Arial" w:hAnsi="Arial" w:cs="Arial"/>
          <w:lang w:val="en"/>
        </w:rPr>
        <w:t xml:space="preserve">, respectively). Based on these data, </w:t>
      </w:r>
      <w:proofErr w:type="spellStart"/>
      <w:r w:rsidRPr="00177E01">
        <w:rPr>
          <w:rFonts w:ascii="Arial" w:hAnsi="Arial" w:cs="Arial"/>
          <w:lang w:val="en"/>
        </w:rPr>
        <w:t>temsavir</w:t>
      </w:r>
      <w:proofErr w:type="spellEnd"/>
      <w:r w:rsidRPr="00177E01">
        <w:rPr>
          <w:rFonts w:ascii="Arial" w:hAnsi="Arial" w:cs="Arial"/>
          <w:lang w:val="en"/>
        </w:rPr>
        <w:t xml:space="preserve"> is</w:t>
      </w:r>
      <w:r>
        <w:rPr>
          <w:rFonts w:ascii="Arial" w:hAnsi="Arial" w:cs="Arial"/>
          <w:lang w:val="en"/>
        </w:rPr>
        <w:t xml:space="preserve"> </w:t>
      </w:r>
      <w:r w:rsidRPr="00177E01">
        <w:rPr>
          <w:rFonts w:ascii="Arial" w:hAnsi="Arial" w:cs="Arial"/>
          <w:lang w:val="en"/>
        </w:rPr>
        <w:t>expected to affect the pharmacokinetics of drugs that are substrates of OATP1B1/3 or</w:t>
      </w:r>
      <w:r>
        <w:rPr>
          <w:rFonts w:ascii="Arial" w:hAnsi="Arial" w:cs="Arial"/>
          <w:lang w:val="en"/>
        </w:rPr>
        <w:t xml:space="preserve"> </w:t>
      </w:r>
      <w:r w:rsidRPr="00177E01">
        <w:rPr>
          <w:rFonts w:ascii="Arial" w:hAnsi="Arial" w:cs="Arial"/>
          <w:lang w:val="en"/>
        </w:rPr>
        <w:t xml:space="preserve">BCRP (e.g. rosuvastatin, atorvastatin, simvastatin, </w:t>
      </w:r>
      <w:proofErr w:type="spellStart"/>
      <w:r w:rsidRPr="00177E01">
        <w:rPr>
          <w:rFonts w:ascii="Arial" w:hAnsi="Arial" w:cs="Arial"/>
          <w:lang w:val="en"/>
        </w:rPr>
        <w:t>pitavastatin</w:t>
      </w:r>
      <w:proofErr w:type="spellEnd"/>
      <w:r w:rsidRPr="00177E01">
        <w:rPr>
          <w:rFonts w:ascii="Arial" w:hAnsi="Arial" w:cs="Arial"/>
          <w:lang w:val="en"/>
        </w:rPr>
        <w:t xml:space="preserve"> and </w:t>
      </w:r>
      <w:proofErr w:type="spellStart"/>
      <w:r w:rsidRPr="00177E01">
        <w:rPr>
          <w:rFonts w:ascii="Arial" w:hAnsi="Arial" w:cs="Arial"/>
          <w:lang w:val="en"/>
        </w:rPr>
        <w:t>fluvastatin</w:t>
      </w:r>
      <w:proofErr w:type="spellEnd"/>
      <w:r w:rsidRPr="00177E01">
        <w:rPr>
          <w:rFonts w:ascii="Arial" w:hAnsi="Arial" w:cs="Arial"/>
          <w:lang w:val="en"/>
        </w:rPr>
        <w:t>).</w:t>
      </w:r>
      <w:r>
        <w:rPr>
          <w:rFonts w:ascii="Arial" w:hAnsi="Arial" w:cs="Arial"/>
          <w:lang w:val="en"/>
        </w:rPr>
        <w:t xml:space="preserve"> </w:t>
      </w:r>
      <w:r w:rsidRPr="00177E01">
        <w:rPr>
          <w:rFonts w:ascii="Arial" w:hAnsi="Arial" w:cs="Arial"/>
          <w:lang w:val="en"/>
        </w:rPr>
        <w:t>Therefore, dose modifications and/or careful titration of dose is recommended for certain</w:t>
      </w:r>
      <w:r>
        <w:rPr>
          <w:rFonts w:ascii="Arial" w:hAnsi="Arial" w:cs="Arial"/>
          <w:lang w:val="en"/>
        </w:rPr>
        <w:t xml:space="preserve"> </w:t>
      </w:r>
      <w:r w:rsidRPr="00177E01">
        <w:rPr>
          <w:rFonts w:ascii="Arial" w:hAnsi="Arial" w:cs="Arial"/>
          <w:lang w:val="en"/>
        </w:rPr>
        <w:t>statins.</w:t>
      </w:r>
    </w:p>
    <w:p w14:paraId="071C390A" w14:textId="77777777" w:rsidR="00177E01" w:rsidRPr="00177E01" w:rsidRDefault="00177E01" w:rsidP="00177E01">
      <w:pPr>
        <w:rPr>
          <w:rFonts w:ascii="Arial" w:hAnsi="Arial" w:cs="Arial"/>
          <w:lang w:val="en"/>
        </w:rPr>
      </w:pPr>
      <w:r w:rsidRPr="00177E01">
        <w:rPr>
          <w:rFonts w:ascii="Arial" w:hAnsi="Arial" w:cs="Arial"/>
          <w:lang w:val="en"/>
        </w:rPr>
        <w:t xml:space="preserve">Based on </w:t>
      </w:r>
      <w:r w:rsidRPr="00150B38">
        <w:rPr>
          <w:rFonts w:ascii="Arial" w:hAnsi="Arial" w:cs="Arial"/>
          <w:i/>
          <w:lang w:val="en"/>
        </w:rPr>
        <w:t>in vitro</w:t>
      </w:r>
      <w:r w:rsidRPr="00177E01">
        <w:rPr>
          <w:rFonts w:ascii="Arial" w:hAnsi="Arial" w:cs="Arial"/>
          <w:lang w:val="en"/>
        </w:rPr>
        <w:t xml:space="preserve"> data, </w:t>
      </w:r>
      <w:proofErr w:type="spellStart"/>
      <w:r w:rsidRPr="00177E01">
        <w:rPr>
          <w:rFonts w:ascii="Arial" w:hAnsi="Arial" w:cs="Arial"/>
          <w:lang w:val="en"/>
        </w:rPr>
        <w:t>temsavir</w:t>
      </w:r>
      <w:proofErr w:type="spellEnd"/>
      <w:r w:rsidRPr="00177E01">
        <w:rPr>
          <w:rFonts w:ascii="Arial" w:hAnsi="Arial" w:cs="Arial"/>
          <w:lang w:val="en"/>
        </w:rPr>
        <w:t xml:space="preserve"> and its two metabolites (BMS-930644 and BMS-646915)</w:t>
      </w:r>
      <w:r>
        <w:rPr>
          <w:rFonts w:ascii="Arial" w:hAnsi="Arial" w:cs="Arial"/>
          <w:lang w:val="en"/>
        </w:rPr>
        <w:t xml:space="preserve"> </w:t>
      </w:r>
      <w:r w:rsidRPr="00177E01">
        <w:rPr>
          <w:rFonts w:ascii="Arial" w:hAnsi="Arial" w:cs="Arial"/>
          <w:lang w:val="en"/>
        </w:rPr>
        <w:t>inhibited multidrug and toxin extrusion protein (MATE)1/2K. However, this interaction</w:t>
      </w:r>
      <w:r>
        <w:rPr>
          <w:rFonts w:ascii="Arial" w:hAnsi="Arial" w:cs="Arial"/>
          <w:lang w:val="en"/>
        </w:rPr>
        <w:t xml:space="preserve"> </w:t>
      </w:r>
      <w:r w:rsidRPr="00177E01">
        <w:rPr>
          <w:rFonts w:ascii="Arial" w:hAnsi="Arial" w:cs="Arial"/>
          <w:lang w:val="en"/>
        </w:rPr>
        <w:t>is unlikely to be of clinical significance.</w:t>
      </w:r>
    </w:p>
    <w:p w14:paraId="60C4DE71" w14:textId="77777777" w:rsidR="00177E01" w:rsidRPr="00177E01" w:rsidRDefault="00177E01" w:rsidP="00177E01">
      <w:pPr>
        <w:rPr>
          <w:rFonts w:ascii="Arial" w:hAnsi="Arial" w:cs="Arial"/>
          <w:lang w:val="en"/>
        </w:rPr>
      </w:pPr>
      <w:bookmarkStart w:id="5" w:name="_Hlk83635850"/>
      <w:bookmarkEnd w:id="4"/>
      <w:r w:rsidRPr="00177E01">
        <w:rPr>
          <w:rFonts w:ascii="Arial" w:hAnsi="Arial" w:cs="Arial"/>
          <w:lang w:val="en"/>
        </w:rPr>
        <w:lastRenderedPageBreak/>
        <w:t xml:space="preserve">BMS-930644, a metabolite of </w:t>
      </w:r>
      <w:proofErr w:type="spellStart"/>
      <w:r w:rsidRPr="00177E01">
        <w:rPr>
          <w:rFonts w:ascii="Arial" w:hAnsi="Arial" w:cs="Arial"/>
          <w:lang w:val="en"/>
        </w:rPr>
        <w:t>temsavir</w:t>
      </w:r>
      <w:proofErr w:type="spellEnd"/>
      <w:r w:rsidRPr="00177E01">
        <w:rPr>
          <w:rFonts w:ascii="Arial" w:hAnsi="Arial" w:cs="Arial"/>
          <w:lang w:val="en"/>
        </w:rPr>
        <w:t>, inhibited CYP3A4, BCRP, MATE2K, and OCT1</w:t>
      </w:r>
      <w:r>
        <w:rPr>
          <w:rFonts w:ascii="Arial" w:hAnsi="Arial" w:cs="Arial"/>
          <w:lang w:val="en"/>
        </w:rPr>
        <w:t xml:space="preserve"> </w:t>
      </w:r>
      <w:r w:rsidRPr="00177E01">
        <w:rPr>
          <w:rFonts w:ascii="Arial" w:hAnsi="Arial" w:cs="Arial"/>
          <w:lang w:val="en"/>
        </w:rPr>
        <w:t>with IC</w:t>
      </w:r>
      <w:r w:rsidRPr="00150B38">
        <w:rPr>
          <w:rFonts w:ascii="Arial" w:hAnsi="Arial" w:cs="Arial"/>
          <w:vertAlign w:val="subscript"/>
          <w:lang w:val="en"/>
        </w:rPr>
        <w:t>50</w:t>
      </w:r>
      <w:r w:rsidRPr="00177E01">
        <w:rPr>
          <w:rFonts w:ascii="Arial" w:hAnsi="Arial" w:cs="Arial"/>
          <w:lang w:val="en"/>
        </w:rPr>
        <w:t xml:space="preserve"> values &lt;10 </w:t>
      </w:r>
      <w:proofErr w:type="spellStart"/>
      <w:r w:rsidRPr="00177E01">
        <w:rPr>
          <w:rFonts w:ascii="Arial" w:hAnsi="Arial" w:cs="Arial"/>
          <w:lang w:val="en"/>
        </w:rPr>
        <w:t>μM</w:t>
      </w:r>
      <w:proofErr w:type="spellEnd"/>
      <w:r w:rsidRPr="00177E01">
        <w:rPr>
          <w:rFonts w:ascii="Arial" w:hAnsi="Arial" w:cs="Arial"/>
          <w:lang w:val="en"/>
        </w:rPr>
        <w:t>. However, as circulating concentrations of BMS-930644 are</w:t>
      </w:r>
      <w:r>
        <w:rPr>
          <w:rFonts w:ascii="Arial" w:hAnsi="Arial" w:cs="Arial"/>
          <w:lang w:val="en"/>
        </w:rPr>
        <w:t xml:space="preserve"> </w:t>
      </w:r>
      <w:r w:rsidRPr="00177E01">
        <w:rPr>
          <w:rFonts w:ascii="Arial" w:hAnsi="Arial" w:cs="Arial"/>
          <w:lang w:val="en"/>
        </w:rPr>
        <w:t>low [</w:t>
      </w:r>
      <w:proofErr w:type="spellStart"/>
      <w:r w:rsidRPr="00177E01">
        <w:rPr>
          <w:rFonts w:ascii="Arial" w:hAnsi="Arial" w:cs="Arial"/>
          <w:lang w:val="en"/>
        </w:rPr>
        <w:t>Cmax</w:t>
      </w:r>
      <w:proofErr w:type="spellEnd"/>
      <w:r w:rsidRPr="00177E01">
        <w:rPr>
          <w:rFonts w:ascii="Arial" w:hAnsi="Arial" w:cs="Arial"/>
          <w:lang w:val="en"/>
        </w:rPr>
        <w:t xml:space="preserve"> of approximately 458 ng/mL (~1 </w:t>
      </w:r>
      <w:proofErr w:type="spellStart"/>
      <w:r w:rsidRPr="00177E01">
        <w:rPr>
          <w:rFonts w:ascii="Arial" w:hAnsi="Arial" w:cs="Arial"/>
          <w:lang w:val="en"/>
        </w:rPr>
        <w:t>μM</w:t>
      </w:r>
      <w:proofErr w:type="spellEnd"/>
      <w:r w:rsidRPr="00177E01">
        <w:rPr>
          <w:rFonts w:ascii="Arial" w:hAnsi="Arial" w:cs="Arial"/>
          <w:lang w:val="en"/>
        </w:rPr>
        <w:t>) with fostemsavir 600 mg twice daily],</w:t>
      </w:r>
      <w:r>
        <w:rPr>
          <w:rFonts w:ascii="Arial" w:hAnsi="Arial" w:cs="Arial"/>
          <w:lang w:val="en"/>
        </w:rPr>
        <w:t xml:space="preserve"> </w:t>
      </w:r>
      <w:r w:rsidRPr="00177E01">
        <w:rPr>
          <w:rFonts w:ascii="Arial" w:hAnsi="Arial" w:cs="Arial"/>
          <w:lang w:val="en"/>
        </w:rPr>
        <w:t>clinically significant interactions are unlikely.</w:t>
      </w:r>
      <w:bookmarkEnd w:id="5"/>
    </w:p>
    <w:p w14:paraId="7B967C86" w14:textId="77777777" w:rsidR="00177E01" w:rsidRPr="00177E01" w:rsidRDefault="00177E01" w:rsidP="00F25D4B">
      <w:pPr>
        <w:pStyle w:val="Heading3"/>
        <w:spacing w:before="0" w:after="120"/>
        <w:ind w:left="0"/>
        <w:rPr>
          <w:rFonts w:ascii="Arial" w:hAnsi="Arial" w:cs="Arial"/>
        </w:rPr>
      </w:pPr>
      <w:bookmarkStart w:id="6" w:name="_Hlk83636578"/>
      <w:r w:rsidRPr="00177E01">
        <w:rPr>
          <w:rFonts w:ascii="Arial" w:hAnsi="Arial" w:cs="Arial"/>
        </w:rPr>
        <w:t xml:space="preserve">Effect of Other Agents on the Pharmacokinetics of </w:t>
      </w:r>
      <w:proofErr w:type="spellStart"/>
      <w:r w:rsidRPr="00177E01">
        <w:rPr>
          <w:rFonts w:ascii="Arial" w:hAnsi="Arial" w:cs="Arial"/>
        </w:rPr>
        <w:t>Temsavir</w:t>
      </w:r>
      <w:proofErr w:type="spellEnd"/>
    </w:p>
    <w:p w14:paraId="57341AF6" w14:textId="04ACF255" w:rsidR="00177E01" w:rsidRPr="00177E01" w:rsidRDefault="00177E01" w:rsidP="00177E01">
      <w:pPr>
        <w:rPr>
          <w:rFonts w:ascii="Arial" w:hAnsi="Arial" w:cs="Arial"/>
          <w:lang w:val="en"/>
        </w:rPr>
      </w:pPr>
      <w:proofErr w:type="spellStart"/>
      <w:r w:rsidRPr="00177E01">
        <w:rPr>
          <w:rFonts w:ascii="Arial" w:hAnsi="Arial" w:cs="Arial"/>
          <w:lang w:val="en"/>
        </w:rPr>
        <w:t>Temsavir</w:t>
      </w:r>
      <w:proofErr w:type="spellEnd"/>
      <w:r w:rsidRPr="00177E01">
        <w:rPr>
          <w:rFonts w:ascii="Arial" w:hAnsi="Arial" w:cs="Arial"/>
          <w:lang w:val="en"/>
        </w:rPr>
        <w:t xml:space="preserve"> is a substrate of</w:t>
      </w:r>
      <w:r w:rsidR="0073760D">
        <w:rPr>
          <w:rFonts w:ascii="Arial" w:hAnsi="Arial" w:cs="Arial"/>
          <w:lang w:val="en"/>
        </w:rPr>
        <w:t xml:space="preserve"> CYP3A, </w:t>
      </w:r>
      <w:proofErr w:type="spellStart"/>
      <w:r w:rsidR="0073760D">
        <w:rPr>
          <w:rFonts w:ascii="Arial" w:hAnsi="Arial" w:cs="Arial"/>
          <w:lang w:val="en"/>
        </w:rPr>
        <w:t>esterases</w:t>
      </w:r>
      <w:proofErr w:type="spellEnd"/>
      <w:r w:rsidR="0073760D">
        <w:rPr>
          <w:rFonts w:ascii="Arial" w:hAnsi="Arial" w:cs="Arial"/>
          <w:lang w:val="en"/>
        </w:rPr>
        <w:t>,</w:t>
      </w:r>
      <w:r w:rsidRPr="00177E01">
        <w:rPr>
          <w:rFonts w:ascii="Arial" w:hAnsi="Arial" w:cs="Arial"/>
          <w:lang w:val="en"/>
        </w:rPr>
        <w:t xml:space="preserve"> P-</w:t>
      </w:r>
      <w:proofErr w:type="spellStart"/>
      <w:r w:rsidRPr="00177E01">
        <w:rPr>
          <w:rFonts w:ascii="Arial" w:hAnsi="Arial" w:cs="Arial"/>
          <w:lang w:val="en"/>
        </w:rPr>
        <w:t>gp</w:t>
      </w:r>
      <w:proofErr w:type="spellEnd"/>
      <w:r w:rsidRPr="00177E01">
        <w:rPr>
          <w:rFonts w:ascii="Arial" w:hAnsi="Arial" w:cs="Arial"/>
          <w:lang w:val="en"/>
        </w:rPr>
        <w:t xml:space="preserve"> and BCRP, but not of OATP1B1 or OATP1B3. Its</w:t>
      </w:r>
      <w:r>
        <w:rPr>
          <w:rFonts w:ascii="Arial" w:hAnsi="Arial" w:cs="Arial"/>
          <w:lang w:val="en"/>
        </w:rPr>
        <w:t xml:space="preserve"> </w:t>
      </w:r>
      <w:r w:rsidRPr="00177E01">
        <w:rPr>
          <w:rFonts w:ascii="Arial" w:hAnsi="Arial" w:cs="Arial"/>
          <w:lang w:val="en"/>
        </w:rPr>
        <w:t>biotransformation to two circulating metabolites, BMS-646915 and BMS-930644, is</w:t>
      </w:r>
      <w:r>
        <w:rPr>
          <w:rFonts w:ascii="Arial" w:hAnsi="Arial" w:cs="Arial"/>
          <w:lang w:val="en"/>
        </w:rPr>
        <w:t xml:space="preserve"> </w:t>
      </w:r>
      <w:r w:rsidRPr="00177E01">
        <w:rPr>
          <w:rFonts w:ascii="Arial" w:hAnsi="Arial" w:cs="Arial"/>
          <w:lang w:val="en"/>
        </w:rPr>
        <w:t xml:space="preserve">mediated by unidentified </w:t>
      </w:r>
      <w:proofErr w:type="spellStart"/>
      <w:r w:rsidRPr="00177E01">
        <w:rPr>
          <w:rFonts w:ascii="Arial" w:hAnsi="Arial" w:cs="Arial"/>
          <w:lang w:val="en"/>
        </w:rPr>
        <w:t>esterases</w:t>
      </w:r>
      <w:proofErr w:type="spellEnd"/>
      <w:r w:rsidRPr="00177E01">
        <w:rPr>
          <w:rFonts w:ascii="Arial" w:hAnsi="Arial" w:cs="Arial"/>
          <w:lang w:val="en"/>
        </w:rPr>
        <w:t xml:space="preserve"> (36.1%) and by CYP3A4 enzyme (21.2%),</w:t>
      </w:r>
      <w:r>
        <w:rPr>
          <w:rFonts w:ascii="Arial" w:hAnsi="Arial" w:cs="Arial"/>
          <w:lang w:val="en"/>
        </w:rPr>
        <w:t xml:space="preserve"> </w:t>
      </w:r>
      <w:r w:rsidRPr="00177E01">
        <w:rPr>
          <w:rFonts w:ascii="Arial" w:hAnsi="Arial" w:cs="Arial"/>
          <w:lang w:val="en"/>
        </w:rPr>
        <w:t xml:space="preserve">respectively. </w:t>
      </w:r>
      <w:proofErr w:type="spellStart"/>
      <w:r w:rsidRPr="00177E01">
        <w:rPr>
          <w:rFonts w:ascii="Arial" w:hAnsi="Arial" w:cs="Arial"/>
          <w:lang w:val="en"/>
        </w:rPr>
        <w:t>Temsavir</w:t>
      </w:r>
      <w:proofErr w:type="spellEnd"/>
      <w:r w:rsidRPr="00177E01">
        <w:rPr>
          <w:rFonts w:ascii="Arial" w:hAnsi="Arial" w:cs="Arial"/>
          <w:lang w:val="en"/>
        </w:rPr>
        <w:t xml:space="preserve"> exposures may be influenced by modulators of CYP3A4, P-</w:t>
      </w:r>
      <w:proofErr w:type="spellStart"/>
      <w:r w:rsidRPr="00177E01">
        <w:rPr>
          <w:rFonts w:ascii="Arial" w:hAnsi="Arial" w:cs="Arial"/>
          <w:lang w:val="en"/>
        </w:rPr>
        <w:t>gp</w:t>
      </w:r>
      <w:proofErr w:type="spellEnd"/>
      <w:r>
        <w:rPr>
          <w:rFonts w:ascii="Arial" w:hAnsi="Arial" w:cs="Arial"/>
          <w:lang w:val="en"/>
        </w:rPr>
        <w:t xml:space="preserve"> </w:t>
      </w:r>
      <w:r w:rsidRPr="00177E01">
        <w:rPr>
          <w:rFonts w:ascii="Arial" w:hAnsi="Arial" w:cs="Arial"/>
          <w:lang w:val="en"/>
        </w:rPr>
        <w:t>and/or BCRP activity. However, because of the primary esterase metabolism pathway,</w:t>
      </w:r>
      <w:r>
        <w:rPr>
          <w:rFonts w:ascii="Arial" w:hAnsi="Arial" w:cs="Arial"/>
          <w:lang w:val="en"/>
        </w:rPr>
        <w:t xml:space="preserve"> </w:t>
      </w:r>
      <w:r w:rsidRPr="00177E01">
        <w:rPr>
          <w:rFonts w:ascii="Arial" w:hAnsi="Arial" w:cs="Arial"/>
          <w:lang w:val="en"/>
        </w:rPr>
        <w:t>effects are expected to be less than that of substrates primarily metabolized by CYP3A4.</w:t>
      </w:r>
      <w:r>
        <w:rPr>
          <w:rFonts w:ascii="Arial" w:hAnsi="Arial" w:cs="Arial"/>
          <w:lang w:val="en"/>
        </w:rPr>
        <w:t xml:space="preserve"> </w:t>
      </w:r>
      <w:r w:rsidRPr="00177E01">
        <w:rPr>
          <w:rFonts w:ascii="Arial" w:hAnsi="Arial" w:cs="Arial"/>
          <w:lang w:val="en"/>
        </w:rPr>
        <w:t>When fostemsavir was co-administered with a strong CYP3A inducer rifampicin, a</w:t>
      </w:r>
      <w:r>
        <w:rPr>
          <w:rFonts w:ascii="Arial" w:hAnsi="Arial" w:cs="Arial"/>
          <w:lang w:val="en"/>
        </w:rPr>
        <w:t xml:space="preserve"> </w:t>
      </w:r>
      <w:r w:rsidRPr="00177E01">
        <w:rPr>
          <w:rFonts w:ascii="Arial" w:hAnsi="Arial" w:cs="Arial"/>
          <w:lang w:val="en"/>
        </w:rPr>
        <w:t xml:space="preserve">significant reduction in </w:t>
      </w:r>
      <w:proofErr w:type="spellStart"/>
      <w:r w:rsidRPr="00177E01">
        <w:rPr>
          <w:rFonts w:ascii="Arial" w:hAnsi="Arial" w:cs="Arial"/>
          <w:lang w:val="en"/>
        </w:rPr>
        <w:t>temsavir</w:t>
      </w:r>
      <w:proofErr w:type="spellEnd"/>
      <w:r w:rsidRPr="00177E01">
        <w:rPr>
          <w:rFonts w:ascii="Arial" w:hAnsi="Arial" w:cs="Arial"/>
          <w:lang w:val="en"/>
        </w:rPr>
        <w:t xml:space="preserve"> plasma concentrations was observed. Significant</w:t>
      </w:r>
      <w:r>
        <w:rPr>
          <w:rFonts w:ascii="Arial" w:hAnsi="Arial" w:cs="Arial"/>
          <w:lang w:val="en"/>
        </w:rPr>
        <w:t xml:space="preserve"> </w:t>
      </w:r>
      <w:r w:rsidRPr="00177E01">
        <w:rPr>
          <w:rFonts w:ascii="Arial" w:hAnsi="Arial" w:cs="Arial"/>
          <w:lang w:val="en"/>
        </w:rPr>
        <w:t xml:space="preserve">decreases in </w:t>
      </w:r>
      <w:proofErr w:type="spellStart"/>
      <w:r w:rsidRPr="00177E01">
        <w:rPr>
          <w:rFonts w:ascii="Arial" w:hAnsi="Arial" w:cs="Arial"/>
          <w:lang w:val="en"/>
        </w:rPr>
        <w:t>temsavir</w:t>
      </w:r>
      <w:proofErr w:type="spellEnd"/>
      <w:r w:rsidRPr="00177E01">
        <w:rPr>
          <w:rFonts w:ascii="Arial" w:hAnsi="Arial" w:cs="Arial"/>
          <w:lang w:val="en"/>
        </w:rPr>
        <w:t xml:space="preserve"> plasma concentrations may also occur when fostemsavir is co</w:t>
      </w:r>
      <w:r>
        <w:rPr>
          <w:rFonts w:ascii="Arial" w:hAnsi="Arial" w:cs="Arial"/>
          <w:lang w:val="en"/>
        </w:rPr>
        <w:t>-</w:t>
      </w:r>
      <w:r w:rsidRPr="00177E01">
        <w:rPr>
          <w:rFonts w:ascii="Arial" w:hAnsi="Arial" w:cs="Arial"/>
          <w:lang w:val="en"/>
        </w:rPr>
        <w:t>administered</w:t>
      </w:r>
      <w:r>
        <w:rPr>
          <w:rFonts w:ascii="Arial" w:hAnsi="Arial" w:cs="Arial"/>
          <w:lang w:val="en"/>
        </w:rPr>
        <w:t xml:space="preserve"> </w:t>
      </w:r>
      <w:r w:rsidRPr="00177E01">
        <w:rPr>
          <w:rFonts w:ascii="Arial" w:hAnsi="Arial" w:cs="Arial"/>
          <w:lang w:val="en"/>
        </w:rPr>
        <w:t>with other strong CYP3A inducer</w:t>
      </w:r>
      <w:r w:rsidR="006963A7">
        <w:rPr>
          <w:rFonts w:ascii="Arial" w:hAnsi="Arial" w:cs="Arial"/>
          <w:lang w:val="en"/>
        </w:rPr>
        <w:t xml:space="preserve">s </w:t>
      </w:r>
      <w:r w:rsidRPr="00177E01">
        <w:rPr>
          <w:rFonts w:ascii="Arial" w:hAnsi="Arial" w:cs="Arial"/>
          <w:lang w:val="en"/>
        </w:rPr>
        <w:t>and may result in loss of virologic</w:t>
      </w:r>
      <w:r>
        <w:rPr>
          <w:rFonts w:ascii="Arial" w:hAnsi="Arial" w:cs="Arial"/>
          <w:lang w:val="en"/>
        </w:rPr>
        <w:t xml:space="preserve"> </w:t>
      </w:r>
      <w:r w:rsidRPr="004C2A8F">
        <w:rPr>
          <w:rFonts w:ascii="Arial" w:hAnsi="Arial" w:cs="Arial"/>
          <w:lang w:val="en"/>
        </w:rPr>
        <w:t xml:space="preserve">response (see </w:t>
      </w:r>
      <w:r w:rsidR="004C2A8F" w:rsidRPr="004C2A8F">
        <w:rPr>
          <w:rFonts w:ascii="Arial" w:hAnsi="Arial" w:cs="Arial"/>
          <w:lang w:val="en"/>
        </w:rPr>
        <w:t>Section 4.3 CONTRAINDICATIONS</w:t>
      </w:r>
      <w:r w:rsidRPr="004C2A8F">
        <w:rPr>
          <w:rFonts w:ascii="Arial" w:hAnsi="Arial" w:cs="Arial"/>
          <w:lang w:val="en"/>
        </w:rPr>
        <w:t>).</w:t>
      </w:r>
    </w:p>
    <w:p w14:paraId="04FB39FE" w14:textId="77777777" w:rsidR="00177E01" w:rsidRPr="00177E01" w:rsidRDefault="00177E01" w:rsidP="00177E01">
      <w:pPr>
        <w:rPr>
          <w:rFonts w:ascii="Arial" w:hAnsi="Arial" w:cs="Arial"/>
          <w:lang w:val="en"/>
        </w:rPr>
      </w:pPr>
      <w:r w:rsidRPr="00177E01">
        <w:rPr>
          <w:rFonts w:ascii="Arial" w:hAnsi="Arial" w:cs="Arial"/>
          <w:lang w:val="en"/>
        </w:rPr>
        <w:t>Fostemsavir may be co-administered with strong CYP3A4, BCRP and/or P-</w:t>
      </w:r>
      <w:proofErr w:type="spellStart"/>
      <w:r w:rsidRPr="00177E01">
        <w:rPr>
          <w:rFonts w:ascii="Arial" w:hAnsi="Arial" w:cs="Arial"/>
          <w:lang w:val="en"/>
        </w:rPr>
        <w:t>gp</w:t>
      </w:r>
      <w:proofErr w:type="spellEnd"/>
      <w:r w:rsidRPr="00177E01">
        <w:rPr>
          <w:rFonts w:ascii="Arial" w:hAnsi="Arial" w:cs="Arial"/>
          <w:lang w:val="en"/>
        </w:rPr>
        <w:t xml:space="preserve"> inhibitors</w:t>
      </w:r>
      <w:r>
        <w:rPr>
          <w:rFonts w:ascii="Arial" w:hAnsi="Arial" w:cs="Arial"/>
          <w:lang w:val="en"/>
        </w:rPr>
        <w:t xml:space="preserve"> </w:t>
      </w:r>
      <w:r w:rsidRPr="00177E01">
        <w:rPr>
          <w:rFonts w:ascii="Arial" w:hAnsi="Arial" w:cs="Arial"/>
          <w:lang w:val="en"/>
        </w:rPr>
        <w:t xml:space="preserve">(e.g., clarithromycin, itraconazole, </w:t>
      </w:r>
      <w:proofErr w:type="spellStart"/>
      <w:r w:rsidRPr="00177E01">
        <w:rPr>
          <w:rFonts w:ascii="Arial" w:hAnsi="Arial" w:cs="Arial"/>
          <w:lang w:val="en"/>
        </w:rPr>
        <w:t>posaconazole</w:t>
      </w:r>
      <w:proofErr w:type="spellEnd"/>
      <w:r w:rsidRPr="00177E01">
        <w:rPr>
          <w:rFonts w:ascii="Arial" w:hAnsi="Arial" w:cs="Arial"/>
          <w:lang w:val="en"/>
        </w:rPr>
        <w:t>, and voriconazole) without dose</w:t>
      </w:r>
      <w:r>
        <w:rPr>
          <w:rFonts w:ascii="Arial" w:hAnsi="Arial" w:cs="Arial"/>
          <w:lang w:val="en"/>
        </w:rPr>
        <w:t xml:space="preserve"> </w:t>
      </w:r>
      <w:r w:rsidRPr="00177E01">
        <w:rPr>
          <w:rFonts w:ascii="Arial" w:hAnsi="Arial" w:cs="Arial"/>
          <w:lang w:val="en"/>
        </w:rPr>
        <w:t>adjustment based on the results of clinical drug interaction studies with cobicistat and</w:t>
      </w:r>
      <w:r>
        <w:rPr>
          <w:rFonts w:ascii="Arial" w:hAnsi="Arial" w:cs="Arial"/>
          <w:lang w:val="en"/>
        </w:rPr>
        <w:t xml:space="preserve"> </w:t>
      </w:r>
      <w:r w:rsidRPr="00177E01">
        <w:rPr>
          <w:rFonts w:ascii="Arial" w:hAnsi="Arial" w:cs="Arial"/>
          <w:lang w:val="en"/>
        </w:rPr>
        <w:t>ritonavir.</w:t>
      </w:r>
    </w:p>
    <w:p w14:paraId="34EC8AF5" w14:textId="77777777" w:rsidR="00177E01" w:rsidRDefault="00177E01" w:rsidP="00177E01">
      <w:pPr>
        <w:rPr>
          <w:rFonts w:ascii="Arial" w:hAnsi="Arial" w:cs="Arial"/>
          <w:lang w:val="en"/>
        </w:rPr>
      </w:pPr>
      <w:r w:rsidRPr="00177E01">
        <w:rPr>
          <w:rFonts w:ascii="Arial" w:hAnsi="Arial" w:cs="Arial"/>
          <w:lang w:val="en"/>
        </w:rPr>
        <w:t>Selected drug interactions are presented in Table 1. Recommendations are based on either</w:t>
      </w:r>
      <w:r>
        <w:rPr>
          <w:rFonts w:ascii="Arial" w:hAnsi="Arial" w:cs="Arial"/>
          <w:lang w:val="en"/>
        </w:rPr>
        <w:t xml:space="preserve"> </w:t>
      </w:r>
      <w:r w:rsidRPr="00177E01">
        <w:rPr>
          <w:rFonts w:ascii="Arial" w:hAnsi="Arial" w:cs="Arial"/>
          <w:lang w:val="en"/>
        </w:rPr>
        <w:t>drug interaction studies or predicted interactions due to the expected magnitude of the</w:t>
      </w:r>
      <w:r>
        <w:rPr>
          <w:rFonts w:ascii="Arial" w:hAnsi="Arial" w:cs="Arial"/>
          <w:lang w:val="en"/>
        </w:rPr>
        <w:t xml:space="preserve"> </w:t>
      </w:r>
      <w:r w:rsidRPr="00177E01">
        <w:rPr>
          <w:rFonts w:ascii="Arial" w:hAnsi="Arial" w:cs="Arial"/>
          <w:lang w:val="en"/>
        </w:rPr>
        <w:t>interaction and/or potential for serious adverse events or loss of efficacy.</w:t>
      </w:r>
    </w:p>
    <w:p w14:paraId="719BAFFE" w14:textId="77777777" w:rsidR="00177E01" w:rsidRDefault="00177E01" w:rsidP="0076337D">
      <w:pPr>
        <w:tabs>
          <w:tab w:val="left" w:pos="1656"/>
        </w:tabs>
        <w:rPr>
          <w:rFonts w:ascii="Arial"/>
          <w:b/>
        </w:rPr>
      </w:pPr>
      <w:bookmarkStart w:id="7" w:name="_Hlk83636613"/>
      <w:bookmarkEnd w:id="6"/>
      <w:r>
        <w:rPr>
          <w:rFonts w:ascii="Arial"/>
          <w:b/>
        </w:rPr>
        <w:t>Table</w:t>
      </w:r>
      <w:r>
        <w:rPr>
          <w:rFonts w:ascii="Arial"/>
          <w:b/>
          <w:spacing w:val="-2"/>
        </w:rPr>
        <w:t xml:space="preserve"> </w:t>
      </w:r>
      <w:r>
        <w:rPr>
          <w:rFonts w:ascii="Arial"/>
          <w:b/>
        </w:rPr>
        <w:t>1</w:t>
      </w:r>
      <w:r>
        <w:rPr>
          <w:rFonts w:ascii="Arial"/>
          <w:b/>
        </w:rPr>
        <w:tab/>
        <w:t>Drug</w:t>
      </w:r>
      <w:r>
        <w:rPr>
          <w:rFonts w:ascii="Arial"/>
          <w:b/>
          <w:spacing w:val="-12"/>
        </w:rPr>
        <w:t xml:space="preserve"> </w:t>
      </w:r>
      <w:r>
        <w:rPr>
          <w:rFonts w:ascii="Arial"/>
          <w:b/>
        </w:rPr>
        <w:t>Interactions</w:t>
      </w:r>
    </w:p>
    <w:tbl>
      <w:tblPr>
        <w:tblStyle w:val="TableGrid"/>
        <w:tblW w:w="0" w:type="auto"/>
        <w:tblLook w:val="04A0" w:firstRow="1" w:lastRow="0" w:firstColumn="1" w:lastColumn="0" w:noHBand="0" w:noVBand="1"/>
      </w:tblPr>
      <w:tblGrid>
        <w:gridCol w:w="3005"/>
        <w:gridCol w:w="3005"/>
        <w:gridCol w:w="3006"/>
      </w:tblGrid>
      <w:tr w:rsidR="00A0079F" w:rsidRPr="00552DFF" w14:paraId="108920E5" w14:textId="77777777" w:rsidTr="003C24F7">
        <w:trPr>
          <w:tblHeader/>
        </w:trPr>
        <w:tc>
          <w:tcPr>
            <w:tcW w:w="3005" w:type="dxa"/>
          </w:tcPr>
          <w:bookmarkEnd w:id="7"/>
          <w:p w14:paraId="7CBB9F0D" w14:textId="77777777" w:rsidR="00A0079F" w:rsidRPr="00552DFF" w:rsidRDefault="00A0079F" w:rsidP="00A0079F">
            <w:pPr>
              <w:rPr>
                <w:rFonts w:ascii="Arial Narrow" w:hAnsi="Arial Narrow" w:cstheme="minorHAnsi"/>
                <w:sz w:val="20"/>
                <w:szCs w:val="20"/>
              </w:rPr>
            </w:pPr>
            <w:r w:rsidRPr="00552DFF">
              <w:rPr>
                <w:rFonts w:ascii="Arial Narrow" w:hAnsi="Arial Narrow" w:cstheme="minorHAnsi"/>
                <w:b/>
                <w:sz w:val="20"/>
                <w:szCs w:val="20"/>
              </w:rPr>
              <w:t>Concomitant Drug Class: Drug Name</w:t>
            </w:r>
          </w:p>
        </w:tc>
        <w:tc>
          <w:tcPr>
            <w:tcW w:w="3005" w:type="dxa"/>
          </w:tcPr>
          <w:p w14:paraId="44D1B89F" w14:textId="77777777" w:rsidR="00A0079F" w:rsidRPr="00552DFF" w:rsidRDefault="00A0079F" w:rsidP="00A0079F">
            <w:pPr>
              <w:rPr>
                <w:rFonts w:ascii="Arial Narrow" w:hAnsi="Arial Narrow" w:cstheme="minorHAnsi"/>
                <w:b/>
                <w:sz w:val="20"/>
                <w:szCs w:val="20"/>
              </w:rPr>
            </w:pPr>
            <w:r w:rsidRPr="00552DFF">
              <w:rPr>
                <w:rFonts w:ascii="Arial Narrow" w:hAnsi="Arial Narrow" w:cstheme="minorHAnsi"/>
                <w:b/>
                <w:sz w:val="20"/>
                <w:szCs w:val="20"/>
              </w:rPr>
              <w:t xml:space="preserve">Effect on Concentration of </w:t>
            </w:r>
            <w:proofErr w:type="spellStart"/>
            <w:r w:rsidRPr="00552DFF">
              <w:rPr>
                <w:rFonts w:ascii="Arial Narrow" w:hAnsi="Arial Narrow" w:cstheme="minorHAnsi"/>
                <w:b/>
                <w:sz w:val="20"/>
                <w:szCs w:val="20"/>
              </w:rPr>
              <w:t>temsavir</w:t>
            </w:r>
            <w:proofErr w:type="spellEnd"/>
            <w:r w:rsidRPr="00552DFF">
              <w:rPr>
                <w:rFonts w:ascii="Arial Narrow" w:hAnsi="Arial Narrow" w:cstheme="minorHAnsi"/>
                <w:b/>
                <w:sz w:val="20"/>
                <w:szCs w:val="20"/>
              </w:rPr>
              <w:t xml:space="preserve"> or Concomitant drug</w:t>
            </w:r>
          </w:p>
        </w:tc>
        <w:tc>
          <w:tcPr>
            <w:tcW w:w="3006" w:type="dxa"/>
          </w:tcPr>
          <w:p w14:paraId="3CA49230" w14:textId="77777777" w:rsidR="00A0079F" w:rsidRPr="00552DFF" w:rsidRDefault="00A0079F" w:rsidP="00A0079F">
            <w:pPr>
              <w:rPr>
                <w:rFonts w:ascii="Arial Narrow" w:hAnsi="Arial Narrow" w:cstheme="minorHAnsi"/>
                <w:sz w:val="20"/>
                <w:szCs w:val="20"/>
              </w:rPr>
            </w:pPr>
            <w:r w:rsidRPr="00552DFF">
              <w:rPr>
                <w:rFonts w:ascii="Arial Narrow" w:hAnsi="Arial Narrow" w:cstheme="minorHAnsi"/>
                <w:b/>
                <w:sz w:val="20"/>
                <w:szCs w:val="20"/>
              </w:rPr>
              <w:t>Clinical Comment</w:t>
            </w:r>
          </w:p>
        </w:tc>
      </w:tr>
      <w:tr w:rsidR="00A0079F" w:rsidRPr="00552DFF" w14:paraId="0DC6C9AD" w14:textId="77777777" w:rsidTr="00291AD1">
        <w:tc>
          <w:tcPr>
            <w:tcW w:w="9016" w:type="dxa"/>
            <w:gridSpan w:val="3"/>
          </w:tcPr>
          <w:p w14:paraId="77BFA26B" w14:textId="77777777" w:rsidR="00A0079F" w:rsidRPr="00552DFF" w:rsidRDefault="00A0079F" w:rsidP="00177E01">
            <w:pPr>
              <w:rPr>
                <w:rFonts w:ascii="Arial Narrow" w:hAnsi="Arial Narrow" w:cstheme="minorHAnsi"/>
                <w:sz w:val="20"/>
                <w:szCs w:val="20"/>
                <w:lang w:val="en"/>
              </w:rPr>
            </w:pPr>
            <w:r w:rsidRPr="00552DFF">
              <w:rPr>
                <w:rFonts w:ascii="Arial Narrow" w:hAnsi="Arial Narrow" w:cstheme="minorHAnsi"/>
                <w:b/>
                <w:sz w:val="20"/>
                <w:szCs w:val="20"/>
              </w:rPr>
              <w:t>HIV-1 Antiviral Agents</w:t>
            </w:r>
          </w:p>
        </w:tc>
      </w:tr>
      <w:tr w:rsidR="00A0079F" w:rsidRPr="00552DFF" w14:paraId="52A339F4" w14:textId="77777777" w:rsidTr="00A0079F">
        <w:tc>
          <w:tcPr>
            <w:tcW w:w="3005" w:type="dxa"/>
          </w:tcPr>
          <w:p w14:paraId="1E33AD6B" w14:textId="77777777" w:rsidR="00A0079F" w:rsidRPr="00552DFF" w:rsidRDefault="003F21A6" w:rsidP="00177E01">
            <w:pPr>
              <w:rPr>
                <w:rFonts w:ascii="Arial Narrow" w:hAnsi="Arial Narrow" w:cstheme="minorHAnsi"/>
                <w:sz w:val="20"/>
                <w:szCs w:val="20"/>
                <w:lang w:val="en"/>
              </w:rPr>
            </w:pPr>
            <w:r w:rsidRPr="00552DFF">
              <w:rPr>
                <w:rFonts w:ascii="Arial Narrow" w:hAnsi="Arial Narrow" w:cstheme="minorHAnsi"/>
                <w:sz w:val="20"/>
                <w:szCs w:val="20"/>
                <w:lang w:val="en"/>
              </w:rPr>
              <w:t>Entry Inhibitor: Maraviroc (MVC)</w:t>
            </w:r>
          </w:p>
        </w:tc>
        <w:tc>
          <w:tcPr>
            <w:tcW w:w="3005" w:type="dxa"/>
          </w:tcPr>
          <w:p w14:paraId="3F90A4DB" w14:textId="77777777" w:rsidR="00552DFF" w:rsidRPr="00552DFF" w:rsidRDefault="00552DFF" w:rsidP="00552DFF">
            <w:pPr>
              <w:pStyle w:val="tabletextNS"/>
              <w:rPr>
                <w:rFonts w:cs="Times New Roman"/>
                <w:sz w:val="20"/>
              </w:rPr>
            </w:pPr>
            <w:proofErr w:type="spellStart"/>
            <w:r w:rsidRPr="00552DFF">
              <w:rPr>
                <w:rFonts w:eastAsia="MS Mincho" w:cs="Times New Roman"/>
                <w:sz w:val="20"/>
                <w:lang w:val="en-US"/>
              </w:rPr>
              <w:t>Temsavir</w:t>
            </w:r>
            <w:proofErr w:type="spellEnd"/>
            <w:r w:rsidRPr="00552DFF">
              <w:rPr>
                <w:rFonts w:eastAsia="MS Mincho" w:cs="Times New Roman"/>
                <w:sz w:val="20"/>
                <w:lang w:val="en-US"/>
              </w:rPr>
              <w:t xml:space="preserve"> </w:t>
            </w:r>
            <w:r w:rsidRPr="00552DFF">
              <w:rPr>
                <w:rFonts w:cs="Times New Roman"/>
                <w:sz w:val="20"/>
              </w:rPr>
              <w:sym w:font="Symbol" w:char="F0AB"/>
            </w:r>
          </w:p>
          <w:p w14:paraId="2B114E3C" w14:textId="77777777" w:rsidR="00552DFF" w:rsidRPr="00552DFF" w:rsidRDefault="00552DFF" w:rsidP="00552DFF">
            <w:pPr>
              <w:pStyle w:val="tabletextNS"/>
              <w:rPr>
                <w:rFonts w:cs="Times New Roman"/>
                <w:sz w:val="20"/>
              </w:rPr>
            </w:pPr>
            <w:proofErr w:type="spellStart"/>
            <w:r w:rsidRPr="00552DFF">
              <w:rPr>
                <w:rFonts w:cs="Times New Roman"/>
                <w:sz w:val="20"/>
              </w:rPr>
              <w:t>C</w:t>
            </w:r>
            <w:r w:rsidRPr="00552DFF">
              <w:rPr>
                <w:rFonts w:cs="Times New Roman"/>
                <w:sz w:val="20"/>
                <w:vertAlign w:val="subscript"/>
              </w:rPr>
              <w:t>max</w:t>
            </w:r>
            <w:proofErr w:type="spellEnd"/>
            <w:r w:rsidRPr="00552DFF">
              <w:rPr>
                <w:rFonts w:cs="Times New Roman"/>
                <w:sz w:val="20"/>
              </w:rPr>
              <w:t xml:space="preserve"> </w:t>
            </w:r>
            <w:r w:rsidRPr="00552DFF">
              <w:rPr>
                <w:rFonts w:cs="Times New Roman"/>
                <w:sz w:val="20"/>
              </w:rPr>
              <w:sym w:font="Symbol" w:char="F0AD"/>
            </w:r>
            <w:r w:rsidRPr="00552DFF">
              <w:rPr>
                <w:rFonts w:cs="Times New Roman"/>
                <w:sz w:val="20"/>
              </w:rPr>
              <w:t xml:space="preserve"> 13%</w:t>
            </w:r>
          </w:p>
          <w:p w14:paraId="51F3241F" w14:textId="77777777" w:rsidR="00552DFF" w:rsidRPr="00552DFF" w:rsidRDefault="00552DFF" w:rsidP="00552DFF">
            <w:pPr>
              <w:pStyle w:val="tabletextNS"/>
              <w:rPr>
                <w:rFonts w:cs="Times New Roman"/>
                <w:sz w:val="20"/>
              </w:rPr>
            </w:pPr>
            <w:r w:rsidRPr="00552DFF">
              <w:rPr>
                <w:rFonts w:cs="Times New Roman"/>
                <w:sz w:val="20"/>
              </w:rPr>
              <w:t xml:space="preserve">AUC </w:t>
            </w:r>
            <w:r w:rsidRPr="00552DFF">
              <w:rPr>
                <w:rFonts w:cs="Times New Roman"/>
                <w:sz w:val="20"/>
              </w:rPr>
              <w:sym w:font="Symbol" w:char="F0AD"/>
            </w:r>
            <w:r w:rsidRPr="00552DFF">
              <w:rPr>
                <w:rFonts w:cs="Times New Roman"/>
                <w:sz w:val="20"/>
              </w:rPr>
              <w:t xml:space="preserve"> 10%</w:t>
            </w:r>
          </w:p>
          <w:p w14:paraId="77BD884F" w14:textId="77777777" w:rsidR="00552DFF" w:rsidRPr="00552DFF" w:rsidRDefault="00552DFF" w:rsidP="00552DFF">
            <w:pPr>
              <w:pStyle w:val="tabletextNS"/>
              <w:rPr>
                <w:rFonts w:cs="Times New Roman"/>
                <w:sz w:val="20"/>
              </w:rPr>
            </w:pPr>
            <w:r w:rsidRPr="00552DFF">
              <w:rPr>
                <w:rFonts w:cs="Times New Roman"/>
                <w:sz w:val="20"/>
              </w:rPr>
              <w:t>C</w:t>
            </w:r>
            <w:r w:rsidRPr="00552DFF">
              <w:rPr>
                <w:rFonts w:cs="Times New Roman"/>
                <w:sz w:val="20"/>
              </w:rPr>
              <w:sym w:font="Symbol" w:char="F074"/>
            </w:r>
            <w:r w:rsidRPr="00552DFF">
              <w:rPr>
                <w:rFonts w:cs="Times New Roman"/>
                <w:sz w:val="20"/>
              </w:rPr>
              <w:t xml:space="preserve"> </w:t>
            </w:r>
            <w:r w:rsidRPr="00552DFF">
              <w:rPr>
                <w:rFonts w:cs="Times New Roman"/>
                <w:sz w:val="20"/>
              </w:rPr>
              <w:sym w:font="Symbol" w:char="F0AF"/>
            </w:r>
            <w:r w:rsidRPr="00552DFF">
              <w:rPr>
                <w:rFonts w:cs="Times New Roman"/>
                <w:sz w:val="20"/>
              </w:rPr>
              <w:t xml:space="preserve"> 10%</w:t>
            </w:r>
          </w:p>
          <w:p w14:paraId="3D2330BE" w14:textId="77777777" w:rsidR="00552DFF" w:rsidRPr="00552DFF" w:rsidRDefault="00552DFF" w:rsidP="00552DFF">
            <w:pPr>
              <w:pStyle w:val="tabletextNS"/>
              <w:rPr>
                <w:rFonts w:cs="Times New Roman"/>
                <w:sz w:val="20"/>
              </w:rPr>
            </w:pPr>
          </w:p>
          <w:p w14:paraId="0A11AE30" w14:textId="77777777" w:rsidR="00552DFF" w:rsidRPr="00552DFF" w:rsidRDefault="00552DFF" w:rsidP="00552DFF">
            <w:pPr>
              <w:pStyle w:val="tabletextNS"/>
              <w:rPr>
                <w:rFonts w:cs="Times New Roman"/>
                <w:sz w:val="20"/>
              </w:rPr>
            </w:pPr>
            <w:r w:rsidRPr="00552DFF">
              <w:rPr>
                <w:rFonts w:cs="Times New Roman"/>
                <w:sz w:val="20"/>
              </w:rPr>
              <w:t xml:space="preserve">MVC </w:t>
            </w:r>
            <w:r w:rsidRPr="00552DFF">
              <w:rPr>
                <w:rFonts w:cs="Times New Roman"/>
                <w:sz w:val="20"/>
              </w:rPr>
              <w:sym w:font="Symbol" w:char="F0AB"/>
            </w:r>
          </w:p>
          <w:p w14:paraId="63540DA6" w14:textId="77777777" w:rsidR="003F21A6" w:rsidRPr="00552DFF" w:rsidRDefault="00552DFF" w:rsidP="00552DFF">
            <w:pPr>
              <w:rPr>
                <w:rFonts w:ascii="Arial Narrow" w:hAnsi="Arial Narrow" w:cs="Arial"/>
                <w:sz w:val="20"/>
                <w:szCs w:val="20"/>
                <w:lang w:val="en"/>
              </w:rPr>
            </w:pPr>
            <w:r w:rsidRPr="00552DFF">
              <w:rPr>
                <w:rFonts w:ascii="Arial Narrow" w:hAnsi="Arial Narrow" w:cs="Times New Roman"/>
                <w:sz w:val="20"/>
                <w:szCs w:val="20"/>
              </w:rPr>
              <w:t xml:space="preserve">AUC </w:t>
            </w:r>
            <w:r w:rsidRPr="00552DFF">
              <w:rPr>
                <w:rFonts w:ascii="Arial Narrow" w:hAnsi="Arial Narrow" w:cs="Times New Roman"/>
                <w:sz w:val="20"/>
                <w:szCs w:val="20"/>
              </w:rPr>
              <w:sym w:font="Symbol" w:char="F0AD"/>
            </w:r>
            <w:r w:rsidRPr="00552DFF">
              <w:rPr>
                <w:rFonts w:ascii="Arial Narrow" w:hAnsi="Arial Narrow" w:cs="Times New Roman"/>
                <w:sz w:val="20"/>
                <w:szCs w:val="20"/>
              </w:rPr>
              <w:t> 25%</w:t>
            </w:r>
            <w:r w:rsidRPr="00552DFF">
              <w:rPr>
                <w:rFonts w:ascii="Arial Narrow" w:hAnsi="Arial Narrow" w:cs="Times New Roman"/>
                <w:sz w:val="20"/>
                <w:szCs w:val="20"/>
              </w:rPr>
              <w:br/>
            </w:r>
            <w:proofErr w:type="spellStart"/>
            <w:r w:rsidRPr="00552DFF">
              <w:rPr>
                <w:rFonts w:ascii="Arial Narrow" w:hAnsi="Arial Narrow" w:cs="Times New Roman"/>
                <w:sz w:val="20"/>
                <w:szCs w:val="20"/>
              </w:rPr>
              <w:t>C</w:t>
            </w:r>
            <w:r w:rsidRPr="00552DFF">
              <w:rPr>
                <w:rFonts w:ascii="Arial Narrow" w:hAnsi="Arial Narrow" w:cs="Times New Roman"/>
                <w:sz w:val="20"/>
                <w:szCs w:val="20"/>
                <w:vertAlign w:val="subscript"/>
              </w:rPr>
              <w:t>max</w:t>
            </w:r>
            <w:proofErr w:type="spellEnd"/>
            <w:r w:rsidRPr="00552DFF">
              <w:rPr>
                <w:rFonts w:ascii="Arial Narrow" w:hAnsi="Arial Narrow" w:cs="Times New Roman"/>
                <w:sz w:val="20"/>
                <w:szCs w:val="20"/>
              </w:rPr>
              <w:t xml:space="preserve"> </w:t>
            </w:r>
            <w:r w:rsidRPr="00552DFF">
              <w:rPr>
                <w:rFonts w:ascii="Arial Narrow" w:hAnsi="Arial Narrow" w:cs="Times New Roman"/>
                <w:sz w:val="20"/>
                <w:szCs w:val="20"/>
              </w:rPr>
              <w:sym w:font="Symbol" w:char="F0AD"/>
            </w:r>
            <w:r w:rsidRPr="00552DFF">
              <w:rPr>
                <w:rFonts w:ascii="Arial Narrow" w:hAnsi="Arial Narrow" w:cs="Times New Roman"/>
                <w:sz w:val="20"/>
                <w:szCs w:val="20"/>
              </w:rPr>
              <w:t> 1%</w:t>
            </w:r>
            <w:r w:rsidRPr="00552DFF">
              <w:rPr>
                <w:rFonts w:ascii="Arial Narrow" w:hAnsi="Arial Narrow" w:cs="Times New Roman"/>
                <w:sz w:val="20"/>
                <w:szCs w:val="20"/>
              </w:rPr>
              <w:br/>
              <w:t>C</w:t>
            </w:r>
            <w:r w:rsidRPr="00552DFF">
              <w:rPr>
                <w:rFonts w:ascii="Arial Narrow" w:hAnsi="Arial Narrow" w:cs="Times New Roman"/>
                <w:sz w:val="20"/>
                <w:szCs w:val="20"/>
              </w:rPr>
              <w:sym w:font="Symbol" w:char="F074"/>
            </w:r>
            <w:r w:rsidRPr="00552DFF">
              <w:rPr>
                <w:rFonts w:ascii="Arial Narrow" w:hAnsi="Arial Narrow" w:cs="Times New Roman"/>
                <w:sz w:val="20"/>
                <w:szCs w:val="20"/>
              </w:rPr>
              <w:t xml:space="preserve"> </w:t>
            </w:r>
            <w:r w:rsidRPr="00552DFF">
              <w:rPr>
                <w:rFonts w:ascii="Arial Narrow" w:hAnsi="Arial Narrow" w:cs="Times New Roman"/>
                <w:sz w:val="20"/>
                <w:szCs w:val="20"/>
              </w:rPr>
              <w:sym w:font="Symbol" w:char="F0AD"/>
            </w:r>
            <w:r w:rsidRPr="00552DFF">
              <w:rPr>
                <w:rFonts w:ascii="Arial Narrow" w:hAnsi="Arial Narrow" w:cs="Times New Roman"/>
                <w:sz w:val="20"/>
                <w:szCs w:val="20"/>
              </w:rPr>
              <w:t> 37%</w:t>
            </w:r>
          </w:p>
        </w:tc>
        <w:tc>
          <w:tcPr>
            <w:tcW w:w="3006" w:type="dxa"/>
          </w:tcPr>
          <w:p w14:paraId="2A9C8B92" w14:textId="77777777" w:rsidR="00A0079F" w:rsidRPr="00552DFF" w:rsidRDefault="003F21A6" w:rsidP="00177E01">
            <w:pPr>
              <w:rPr>
                <w:rFonts w:ascii="Arial Narrow" w:hAnsi="Arial Narrow" w:cstheme="minorHAnsi"/>
                <w:sz w:val="20"/>
                <w:szCs w:val="20"/>
                <w:lang w:val="en"/>
              </w:rPr>
            </w:pPr>
            <w:r w:rsidRPr="00552DFF">
              <w:rPr>
                <w:rFonts w:ascii="Arial Narrow" w:hAnsi="Arial Narrow" w:cstheme="minorHAnsi"/>
                <w:sz w:val="20"/>
                <w:szCs w:val="20"/>
                <w:lang w:val="en"/>
              </w:rPr>
              <w:t>No dose adjustment of either drug is necessary.</w:t>
            </w:r>
          </w:p>
        </w:tc>
      </w:tr>
      <w:tr w:rsidR="003F21A6" w:rsidRPr="00552DFF" w14:paraId="0F20EDC3" w14:textId="77777777" w:rsidTr="00A0079F">
        <w:tc>
          <w:tcPr>
            <w:tcW w:w="3005" w:type="dxa"/>
          </w:tcPr>
          <w:p w14:paraId="5AF31E48" w14:textId="77777777" w:rsidR="003F21A6" w:rsidRPr="00552DFF" w:rsidRDefault="003F21A6" w:rsidP="00177E01">
            <w:pPr>
              <w:rPr>
                <w:rFonts w:ascii="Arial Narrow" w:hAnsi="Arial Narrow" w:cstheme="minorHAnsi"/>
                <w:sz w:val="20"/>
                <w:szCs w:val="20"/>
                <w:lang w:val="en"/>
              </w:rPr>
            </w:pPr>
            <w:r w:rsidRPr="00552DFF">
              <w:rPr>
                <w:rFonts w:ascii="Arial Narrow" w:hAnsi="Arial Narrow" w:cstheme="minorHAnsi"/>
                <w:sz w:val="20"/>
                <w:szCs w:val="20"/>
                <w:lang w:val="en"/>
              </w:rPr>
              <w:t xml:space="preserve">Integrase Inhibitor: </w:t>
            </w:r>
            <w:proofErr w:type="spellStart"/>
            <w:r w:rsidRPr="00552DFF">
              <w:rPr>
                <w:rFonts w:ascii="Arial Narrow" w:hAnsi="Arial Narrow" w:cstheme="minorHAnsi"/>
                <w:sz w:val="20"/>
                <w:szCs w:val="20"/>
                <w:lang w:val="en"/>
              </w:rPr>
              <w:t>Raltegravir</w:t>
            </w:r>
            <w:proofErr w:type="spellEnd"/>
            <w:r w:rsidRPr="00552DFF">
              <w:rPr>
                <w:rFonts w:ascii="Arial Narrow" w:hAnsi="Arial Narrow" w:cstheme="minorHAnsi"/>
                <w:sz w:val="20"/>
                <w:szCs w:val="20"/>
                <w:lang w:val="en"/>
              </w:rPr>
              <w:t xml:space="preserve"> (RAL)</w:t>
            </w:r>
          </w:p>
        </w:tc>
        <w:tc>
          <w:tcPr>
            <w:tcW w:w="3005" w:type="dxa"/>
          </w:tcPr>
          <w:p w14:paraId="3BDD856D" w14:textId="77777777" w:rsidR="003F21A6" w:rsidRPr="00552DFF" w:rsidRDefault="00552DFF" w:rsidP="00902CFB">
            <w:pPr>
              <w:rPr>
                <w:rFonts w:ascii="Arial Narrow" w:hAnsi="Arial Narrow" w:cstheme="minorHAnsi"/>
                <w:sz w:val="20"/>
                <w:szCs w:val="20"/>
              </w:rPr>
            </w:pPr>
            <w:proofErr w:type="spellStart"/>
            <w:r w:rsidRPr="00552DFF">
              <w:rPr>
                <w:rFonts w:ascii="Arial Narrow" w:eastAsia="MS Mincho" w:hAnsi="Arial Narrow" w:cs="Times New Roman"/>
                <w:sz w:val="20"/>
                <w:szCs w:val="20"/>
                <w:lang w:val="en-US"/>
              </w:rPr>
              <w:t>Temsavir</w:t>
            </w:r>
            <w:proofErr w:type="spellEnd"/>
            <w:r w:rsidRPr="00552DFF">
              <w:rPr>
                <w:rFonts w:ascii="Arial Narrow" w:eastAsia="MS Mincho" w:hAnsi="Arial Narrow" w:cs="Times New Roman"/>
                <w:sz w:val="20"/>
                <w:szCs w:val="20"/>
                <w:lang w:val="en-US"/>
              </w:rPr>
              <w:t xml:space="preserve"> </w:t>
            </w:r>
            <w:r w:rsidRPr="00552DFF">
              <w:rPr>
                <w:rFonts w:ascii="Arial Narrow" w:hAnsi="Arial Narrow" w:cs="Times New Roman"/>
                <w:sz w:val="20"/>
                <w:szCs w:val="20"/>
              </w:rPr>
              <w:sym w:font="Symbol" w:char="F0AB"/>
            </w:r>
            <w:r w:rsidRPr="00552DFF">
              <w:rPr>
                <w:rFonts w:ascii="Arial Narrow" w:hAnsi="Arial Narrow" w:cs="Times New Roman"/>
                <w:sz w:val="20"/>
                <w:szCs w:val="20"/>
                <w:vertAlign w:val="superscript"/>
              </w:rPr>
              <w:t>*</w:t>
            </w:r>
            <w:r w:rsidRPr="00552DFF">
              <w:rPr>
                <w:rFonts w:ascii="Arial Narrow" w:hAnsi="Arial Narrow" w:cs="Times New Roman"/>
                <w:sz w:val="20"/>
                <w:szCs w:val="20"/>
              </w:rPr>
              <w:br/>
            </w:r>
            <w:r w:rsidRPr="00552DFF">
              <w:rPr>
                <w:rFonts w:ascii="Arial Narrow" w:hAnsi="Arial Narrow" w:cs="Times New Roman"/>
                <w:sz w:val="20"/>
                <w:szCs w:val="20"/>
              </w:rPr>
              <w:br/>
              <w:t xml:space="preserve">RAL </w:t>
            </w:r>
            <w:r w:rsidRPr="00552DFF">
              <w:rPr>
                <w:rFonts w:ascii="Arial Narrow" w:hAnsi="Arial Narrow" w:cs="Times New Roman"/>
                <w:sz w:val="20"/>
                <w:szCs w:val="20"/>
              </w:rPr>
              <w:sym w:font="Symbol" w:char="F0AB"/>
            </w:r>
            <w:r w:rsidRPr="00552DFF">
              <w:rPr>
                <w:rFonts w:ascii="Arial Narrow" w:hAnsi="Arial Narrow" w:cs="Times New Roman"/>
                <w:sz w:val="20"/>
                <w:szCs w:val="20"/>
                <w:vertAlign w:val="superscript"/>
              </w:rPr>
              <w:t>*</w:t>
            </w:r>
          </w:p>
        </w:tc>
        <w:tc>
          <w:tcPr>
            <w:tcW w:w="3006" w:type="dxa"/>
          </w:tcPr>
          <w:p w14:paraId="3C547533" w14:textId="77777777" w:rsidR="003F21A6" w:rsidRPr="00552DFF" w:rsidRDefault="003F21A6" w:rsidP="00177E01">
            <w:pPr>
              <w:rPr>
                <w:rFonts w:ascii="Arial Narrow" w:hAnsi="Arial Narrow" w:cstheme="minorHAnsi"/>
                <w:sz w:val="20"/>
                <w:szCs w:val="20"/>
                <w:lang w:val="en"/>
              </w:rPr>
            </w:pPr>
            <w:r w:rsidRPr="00552DFF">
              <w:rPr>
                <w:rFonts w:ascii="Arial Narrow" w:hAnsi="Arial Narrow" w:cstheme="minorHAnsi"/>
                <w:sz w:val="20"/>
                <w:szCs w:val="20"/>
                <w:lang w:val="en"/>
              </w:rPr>
              <w:t>No dose adjustment of either drug is necessary.</w:t>
            </w:r>
          </w:p>
        </w:tc>
      </w:tr>
      <w:tr w:rsidR="00552DFF" w:rsidRPr="00552DFF" w14:paraId="4F5EE7CB" w14:textId="77777777" w:rsidTr="00A0079F">
        <w:tc>
          <w:tcPr>
            <w:tcW w:w="3005" w:type="dxa"/>
          </w:tcPr>
          <w:p w14:paraId="7D4E0935" w14:textId="77777777" w:rsidR="00552DFF" w:rsidRPr="00552DFF" w:rsidRDefault="00552DFF" w:rsidP="00552DFF">
            <w:pPr>
              <w:rPr>
                <w:rFonts w:ascii="Arial Narrow" w:hAnsi="Arial Narrow" w:cstheme="minorHAnsi"/>
                <w:sz w:val="20"/>
                <w:szCs w:val="20"/>
                <w:lang w:val="en"/>
              </w:rPr>
            </w:pPr>
            <w:r w:rsidRPr="00552DFF">
              <w:rPr>
                <w:rFonts w:ascii="Arial Narrow" w:hAnsi="Arial Narrow" w:cstheme="minorHAnsi"/>
                <w:sz w:val="20"/>
                <w:szCs w:val="20"/>
                <w:lang w:val="en"/>
              </w:rPr>
              <w:t>Non-nucleoside Reverse Transcriptase Inhibitor:</w:t>
            </w:r>
          </w:p>
          <w:p w14:paraId="35C43F60" w14:textId="77777777" w:rsidR="00552DFF" w:rsidRPr="00552DFF" w:rsidRDefault="00552DFF" w:rsidP="00552DFF">
            <w:pPr>
              <w:rPr>
                <w:rFonts w:ascii="Arial Narrow" w:hAnsi="Arial Narrow" w:cstheme="minorHAnsi"/>
                <w:sz w:val="20"/>
                <w:szCs w:val="20"/>
                <w:lang w:val="en"/>
              </w:rPr>
            </w:pPr>
            <w:r w:rsidRPr="00552DFF">
              <w:rPr>
                <w:rFonts w:ascii="Arial Narrow" w:hAnsi="Arial Narrow" w:cstheme="minorHAnsi"/>
                <w:sz w:val="20"/>
                <w:szCs w:val="20"/>
                <w:lang w:val="en"/>
              </w:rPr>
              <w:t>Efavirenz (EFV)</w:t>
            </w:r>
          </w:p>
        </w:tc>
        <w:tc>
          <w:tcPr>
            <w:tcW w:w="3005" w:type="dxa"/>
          </w:tcPr>
          <w:p w14:paraId="44C008F0" w14:textId="77777777" w:rsidR="00552DFF" w:rsidRPr="00552DFF" w:rsidRDefault="00552DFF" w:rsidP="00552DFF">
            <w:pPr>
              <w:pStyle w:val="tabletextNS"/>
              <w:rPr>
                <w:rFonts w:cs="Times New Roman"/>
                <w:sz w:val="20"/>
              </w:rPr>
            </w:pPr>
            <w:proofErr w:type="spellStart"/>
            <w:r w:rsidRPr="00552DFF">
              <w:rPr>
                <w:rFonts w:eastAsia="MS Mincho" w:cs="Times New Roman"/>
                <w:sz w:val="20"/>
                <w:lang w:val="en-US"/>
              </w:rPr>
              <w:t>Temsavir</w:t>
            </w:r>
            <w:proofErr w:type="spellEnd"/>
            <w:r w:rsidRPr="00552DFF">
              <w:rPr>
                <w:rFonts w:eastAsia="MS Mincho" w:cs="Times New Roman"/>
                <w:sz w:val="20"/>
                <w:lang w:val="en-US"/>
              </w:rPr>
              <w:t xml:space="preserve"> </w:t>
            </w:r>
            <w:r w:rsidRPr="00552DFF">
              <w:rPr>
                <w:rFonts w:cs="Times New Roman"/>
                <w:sz w:val="20"/>
              </w:rPr>
              <w:sym w:font="Symbol" w:char="F0AF"/>
            </w:r>
          </w:p>
        </w:tc>
        <w:tc>
          <w:tcPr>
            <w:tcW w:w="3006" w:type="dxa"/>
          </w:tcPr>
          <w:p w14:paraId="1623A878" w14:textId="77777777" w:rsidR="00552DFF" w:rsidRPr="00552DFF" w:rsidRDefault="00552DFF" w:rsidP="00552DFF">
            <w:pPr>
              <w:rPr>
                <w:rFonts w:ascii="Arial Narrow" w:hAnsi="Arial Narrow" w:cstheme="minorHAnsi"/>
                <w:sz w:val="20"/>
                <w:szCs w:val="20"/>
                <w:lang w:val="en"/>
              </w:rPr>
            </w:pPr>
            <w:r w:rsidRPr="00552DFF">
              <w:rPr>
                <w:rFonts w:ascii="Arial Narrow" w:hAnsi="Arial Narrow" w:cstheme="minorHAnsi"/>
                <w:sz w:val="20"/>
                <w:szCs w:val="20"/>
                <w:lang w:val="en"/>
              </w:rPr>
              <w:t>This interaction has not been studied.</w:t>
            </w:r>
          </w:p>
          <w:p w14:paraId="7102CFCB" w14:textId="77777777" w:rsidR="00552DFF" w:rsidRPr="00552DFF" w:rsidRDefault="00552DFF" w:rsidP="00552DFF">
            <w:pPr>
              <w:rPr>
                <w:rFonts w:ascii="Arial Narrow" w:hAnsi="Arial Narrow" w:cstheme="minorHAnsi"/>
                <w:sz w:val="20"/>
                <w:szCs w:val="20"/>
                <w:lang w:val="en"/>
              </w:rPr>
            </w:pPr>
            <w:r w:rsidRPr="00552DFF">
              <w:rPr>
                <w:rFonts w:ascii="Arial Narrow" w:hAnsi="Arial Narrow" w:cstheme="minorHAnsi"/>
                <w:sz w:val="20"/>
                <w:szCs w:val="20"/>
                <w:lang w:val="en"/>
              </w:rPr>
              <w:t>Efavirenz is expected to</w:t>
            </w:r>
          </w:p>
          <w:p w14:paraId="13EA9489" w14:textId="77777777" w:rsidR="00552DFF" w:rsidRPr="00552DFF" w:rsidRDefault="00552DFF" w:rsidP="00552DFF">
            <w:pPr>
              <w:rPr>
                <w:rFonts w:ascii="Arial Narrow" w:hAnsi="Arial Narrow" w:cstheme="minorHAnsi"/>
                <w:sz w:val="20"/>
                <w:szCs w:val="20"/>
                <w:lang w:val="en"/>
              </w:rPr>
            </w:pPr>
            <w:r w:rsidRPr="00552DFF">
              <w:rPr>
                <w:rFonts w:ascii="Arial Narrow" w:hAnsi="Arial Narrow" w:cstheme="minorHAnsi"/>
                <w:sz w:val="20"/>
                <w:szCs w:val="20"/>
                <w:lang w:val="en"/>
              </w:rPr>
              <w:t xml:space="preserve">decrease </w:t>
            </w:r>
            <w:proofErr w:type="spellStart"/>
            <w:r w:rsidRPr="00552DFF">
              <w:rPr>
                <w:rFonts w:ascii="Arial Narrow" w:hAnsi="Arial Narrow" w:cstheme="minorHAnsi"/>
                <w:sz w:val="20"/>
                <w:szCs w:val="20"/>
                <w:lang w:val="en"/>
              </w:rPr>
              <w:t>temsavir</w:t>
            </w:r>
            <w:proofErr w:type="spellEnd"/>
            <w:r w:rsidRPr="00552DFF">
              <w:rPr>
                <w:rFonts w:ascii="Arial Narrow" w:hAnsi="Arial Narrow" w:cstheme="minorHAnsi"/>
                <w:sz w:val="20"/>
                <w:szCs w:val="20"/>
                <w:lang w:val="en"/>
              </w:rPr>
              <w:t xml:space="preserve"> plasma</w:t>
            </w:r>
          </w:p>
          <w:p w14:paraId="295113ED" w14:textId="77777777" w:rsidR="00552DFF" w:rsidRPr="00552DFF" w:rsidRDefault="00552DFF" w:rsidP="00552DFF">
            <w:pPr>
              <w:rPr>
                <w:rFonts w:ascii="Arial Narrow" w:hAnsi="Arial Narrow" w:cstheme="minorHAnsi"/>
                <w:sz w:val="20"/>
                <w:szCs w:val="20"/>
                <w:lang w:val="en"/>
              </w:rPr>
            </w:pPr>
            <w:r w:rsidRPr="00552DFF">
              <w:rPr>
                <w:rFonts w:ascii="Arial Narrow" w:hAnsi="Arial Narrow" w:cstheme="minorHAnsi"/>
                <w:sz w:val="20"/>
                <w:szCs w:val="20"/>
                <w:lang w:val="en"/>
              </w:rPr>
              <w:t>concentrations with no</w:t>
            </w:r>
          </w:p>
          <w:p w14:paraId="267641DE" w14:textId="77777777" w:rsidR="00552DFF" w:rsidRPr="00552DFF" w:rsidRDefault="00552DFF" w:rsidP="00552DFF">
            <w:pPr>
              <w:rPr>
                <w:rFonts w:ascii="Arial Narrow" w:hAnsi="Arial Narrow" w:cstheme="minorHAnsi"/>
                <w:sz w:val="20"/>
                <w:szCs w:val="20"/>
                <w:lang w:val="en"/>
              </w:rPr>
            </w:pPr>
            <w:r w:rsidRPr="00552DFF">
              <w:rPr>
                <w:rFonts w:ascii="Arial Narrow" w:hAnsi="Arial Narrow" w:cstheme="minorHAnsi"/>
                <w:sz w:val="20"/>
                <w:szCs w:val="20"/>
                <w:lang w:val="en"/>
              </w:rPr>
              <w:t>clinically relevant impact. No</w:t>
            </w:r>
          </w:p>
          <w:p w14:paraId="21C9A22A" w14:textId="77777777" w:rsidR="00552DFF" w:rsidRPr="00552DFF" w:rsidRDefault="00552DFF" w:rsidP="00552DFF">
            <w:pPr>
              <w:rPr>
                <w:rFonts w:ascii="Arial Narrow" w:hAnsi="Arial Narrow" w:cstheme="minorHAnsi"/>
                <w:sz w:val="20"/>
                <w:szCs w:val="20"/>
                <w:lang w:val="en"/>
              </w:rPr>
            </w:pPr>
            <w:r w:rsidRPr="00552DFF">
              <w:rPr>
                <w:rFonts w:ascii="Arial Narrow" w:hAnsi="Arial Narrow" w:cstheme="minorHAnsi"/>
                <w:sz w:val="20"/>
                <w:szCs w:val="20"/>
                <w:lang w:val="en"/>
              </w:rPr>
              <w:t>dose adjustment is necessary.</w:t>
            </w:r>
          </w:p>
        </w:tc>
      </w:tr>
      <w:tr w:rsidR="00552DFF" w:rsidRPr="00552DFF" w14:paraId="5FBFFD59" w14:textId="77777777" w:rsidTr="00291AD1">
        <w:trPr>
          <w:trHeight w:val="1764"/>
        </w:trPr>
        <w:tc>
          <w:tcPr>
            <w:tcW w:w="3005" w:type="dxa"/>
          </w:tcPr>
          <w:p w14:paraId="06EF3BFA" w14:textId="77777777" w:rsidR="00552DFF" w:rsidRPr="00552DFF" w:rsidRDefault="00552DFF" w:rsidP="00552DFF">
            <w:pPr>
              <w:rPr>
                <w:rFonts w:ascii="Arial Narrow" w:hAnsi="Arial Narrow" w:cstheme="minorHAnsi"/>
                <w:sz w:val="20"/>
                <w:szCs w:val="20"/>
                <w:lang w:val="en"/>
              </w:rPr>
            </w:pPr>
            <w:r w:rsidRPr="00552DFF">
              <w:rPr>
                <w:rFonts w:ascii="Arial Narrow" w:hAnsi="Arial Narrow" w:cstheme="minorHAnsi"/>
                <w:sz w:val="20"/>
                <w:szCs w:val="20"/>
                <w:lang w:val="en"/>
              </w:rPr>
              <w:lastRenderedPageBreak/>
              <w:t>Non-nucleoside Reverse Transcriptase Inhibitor: Etravirine (ETR) without boosted protease inhibitors</w:t>
            </w:r>
          </w:p>
        </w:tc>
        <w:tc>
          <w:tcPr>
            <w:tcW w:w="3005" w:type="dxa"/>
          </w:tcPr>
          <w:p w14:paraId="22DCA882" w14:textId="77777777" w:rsidR="00552DFF" w:rsidRPr="00552DFF" w:rsidRDefault="00552DFF" w:rsidP="00552DFF">
            <w:pPr>
              <w:pStyle w:val="tabletextNS"/>
              <w:spacing w:after="240"/>
              <w:rPr>
                <w:rFonts w:cs="Times New Roman"/>
                <w:sz w:val="20"/>
              </w:rPr>
            </w:pPr>
            <w:proofErr w:type="spellStart"/>
            <w:r w:rsidRPr="00552DFF">
              <w:rPr>
                <w:rFonts w:eastAsia="MS Mincho" w:cs="Times New Roman"/>
                <w:sz w:val="20"/>
                <w:lang w:val="en-US"/>
              </w:rPr>
              <w:t>Temsavir</w:t>
            </w:r>
            <w:proofErr w:type="spellEnd"/>
            <w:r w:rsidRPr="00552DFF">
              <w:rPr>
                <w:rFonts w:eastAsia="MS Mincho" w:cs="Times New Roman"/>
                <w:sz w:val="20"/>
                <w:lang w:val="en-US"/>
              </w:rPr>
              <w:t xml:space="preserve"> </w:t>
            </w:r>
            <w:r w:rsidRPr="00552DFF">
              <w:rPr>
                <w:rFonts w:cs="Times New Roman"/>
                <w:sz w:val="20"/>
              </w:rPr>
              <w:sym w:font="Symbol" w:char="F0AF"/>
            </w:r>
            <w:r w:rsidRPr="00552DFF">
              <w:rPr>
                <w:rFonts w:cs="Times New Roman"/>
                <w:sz w:val="20"/>
              </w:rPr>
              <w:br/>
              <w:t xml:space="preserve">AUC </w:t>
            </w:r>
            <w:r w:rsidRPr="00552DFF">
              <w:rPr>
                <w:rFonts w:cs="Times New Roman"/>
                <w:sz w:val="20"/>
              </w:rPr>
              <w:sym w:font="Symbol" w:char="F0AF"/>
            </w:r>
            <w:r w:rsidRPr="00552DFF">
              <w:rPr>
                <w:rFonts w:cs="Times New Roman"/>
                <w:sz w:val="20"/>
              </w:rPr>
              <w:t> 50%</w:t>
            </w:r>
            <w:r w:rsidRPr="00552DFF">
              <w:rPr>
                <w:rFonts w:cs="Times New Roman"/>
                <w:sz w:val="20"/>
              </w:rPr>
              <w:br/>
            </w:r>
            <w:proofErr w:type="spellStart"/>
            <w:r w:rsidRPr="00552DFF">
              <w:rPr>
                <w:rFonts w:cs="Times New Roman"/>
                <w:sz w:val="20"/>
              </w:rPr>
              <w:t>C</w:t>
            </w:r>
            <w:r w:rsidRPr="00552DFF">
              <w:rPr>
                <w:rFonts w:cs="Times New Roman"/>
                <w:sz w:val="20"/>
                <w:vertAlign w:val="subscript"/>
              </w:rPr>
              <w:t>max</w:t>
            </w:r>
            <w:proofErr w:type="spellEnd"/>
            <w:r w:rsidRPr="00552DFF">
              <w:rPr>
                <w:rFonts w:cs="Times New Roman"/>
                <w:sz w:val="20"/>
              </w:rPr>
              <w:t xml:space="preserve"> </w:t>
            </w:r>
            <w:r w:rsidRPr="00552DFF">
              <w:rPr>
                <w:rFonts w:cs="Times New Roman"/>
                <w:sz w:val="20"/>
              </w:rPr>
              <w:sym w:font="Symbol" w:char="F0AF"/>
            </w:r>
            <w:r w:rsidRPr="00552DFF">
              <w:rPr>
                <w:rFonts w:cs="Times New Roman"/>
                <w:sz w:val="20"/>
              </w:rPr>
              <w:t> 48%</w:t>
            </w:r>
            <w:r w:rsidRPr="00552DFF">
              <w:rPr>
                <w:rFonts w:cs="Times New Roman"/>
                <w:sz w:val="20"/>
              </w:rPr>
              <w:br/>
              <w:t>C</w:t>
            </w:r>
            <w:r w:rsidRPr="00552DFF">
              <w:rPr>
                <w:rFonts w:cs="Times New Roman"/>
                <w:sz w:val="20"/>
              </w:rPr>
              <w:sym w:font="Symbol" w:char="F074"/>
            </w:r>
            <w:r w:rsidRPr="00552DFF">
              <w:rPr>
                <w:rFonts w:cs="Times New Roman"/>
                <w:sz w:val="20"/>
              </w:rPr>
              <w:t xml:space="preserve"> </w:t>
            </w:r>
            <w:r w:rsidRPr="00552DFF">
              <w:rPr>
                <w:rFonts w:cs="Times New Roman"/>
                <w:sz w:val="20"/>
              </w:rPr>
              <w:sym w:font="Symbol" w:char="F0AF"/>
            </w:r>
            <w:r w:rsidRPr="00552DFF">
              <w:rPr>
                <w:rFonts w:cs="Times New Roman"/>
                <w:sz w:val="20"/>
              </w:rPr>
              <w:t> 52%</w:t>
            </w:r>
            <w:r w:rsidRPr="00552DFF">
              <w:rPr>
                <w:rFonts w:cs="Times New Roman"/>
                <w:sz w:val="20"/>
              </w:rPr>
              <w:br/>
            </w:r>
            <w:r w:rsidRPr="00552DFF">
              <w:rPr>
                <w:rFonts w:cs="Times New Roman"/>
                <w:sz w:val="20"/>
              </w:rPr>
              <w:br/>
              <w:t xml:space="preserve">ETR </w:t>
            </w:r>
            <w:r w:rsidRPr="00552DFF">
              <w:rPr>
                <w:rFonts w:cs="Times New Roman"/>
                <w:sz w:val="20"/>
              </w:rPr>
              <w:sym w:font="Symbol" w:char="F0AB"/>
            </w:r>
          </w:p>
        </w:tc>
        <w:tc>
          <w:tcPr>
            <w:tcW w:w="3006" w:type="dxa"/>
          </w:tcPr>
          <w:p w14:paraId="06395008" w14:textId="77777777" w:rsidR="00552DFF" w:rsidRPr="00552DFF" w:rsidRDefault="00552DFF" w:rsidP="00552DFF">
            <w:pPr>
              <w:rPr>
                <w:rFonts w:ascii="Arial Narrow" w:hAnsi="Arial Narrow" w:cstheme="minorHAnsi"/>
                <w:sz w:val="20"/>
                <w:szCs w:val="20"/>
                <w:lang w:val="en"/>
              </w:rPr>
            </w:pPr>
            <w:r w:rsidRPr="00552DFF">
              <w:rPr>
                <w:rFonts w:ascii="Arial Narrow" w:hAnsi="Arial Narrow" w:cstheme="minorHAnsi"/>
                <w:sz w:val="20"/>
                <w:szCs w:val="20"/>
                <w:lang w:val="en"/>
              </w:rPr>
              <w:t xml:space="preserve">Etravirine decreased </w:t>
            </w:r>
            <w:proofErr w:type="spellStart"/>
            <w:r w:rsidRPr="00552DFF">
              <w:rPr>
                <w:rFonts w:ascii="Arial Narrow" w:hAnsi="Arial Narrow" w:cstheme="minorHAnsi"/>
                <w:sz w:val="20"/>
                <w:szCs w:val="20"/>
                <w:lang w:val="en"/>
              </w:rPr>
              <w:t>temsavir</w:t>
            </w:r>
            <w:proofErr w:type="spellEnd"/>
            <w:r w:rsidRPr="00552DFF">
              <w:rPr>
                <w:rFonts w:ascii="Arial Narrow" w:hAnsi="Arial Narrow" w:cstheme="minorHAnsi"/>
                <w:sz w:val="20"/>
                <w:szCs w:val="20"/>
                <w:lang w:val="en"/>
              </w:rPr>
              <w:t xml:space="preserve"> plasma concentrations. As this decrease was not clinically relevant, no dose adjustment of either drug is necessary.</w:t>
            </w:r>
          </w:p>
        </w:tc>
      </w:tr>
      <w:tr w:rsidR="003F21A6" w:rsidRPr="00552DFF" w14:paraId="6F15B4AD" w14:textId="77777777" w:rsidTr="00A0079F">
        <w:tc>
          <w:tcPr>
            <w:tcW w:w="3005" w:type="dxa"/>
          </w:tcPr>
          <w:p w14:paraId="6367333F" w14:textId="77777777" w:rsidR="00902CFB" w:rsidRPr="00552DFF" w:rsidRDefault="00902CFB" w:rsidP="00902CFB">
            <w:pPr>
              <w:rPr>
                <w:rFonts w:ascii="Arial Narrow" w:hAnsi="Arial Narrow" w:cstheme="minorHAnsi"/>
                <w:sz w:val="20"/>
                <w:szCs w:val="20"/>
                <w:lang w:val="en"/>
              </w:rPr>
            </w:pPr>
            <w:r w:rsidRPr="00552DFF">
              <w:rPr>
                <w:rFonts w:ascii="Arial Narrow" w:hAnsi="Arial Narrow" w:cstheme="minorHAnsi"/>
                <w:sz w:val="20"/>
                <w:szCs w:val="20"/>
                <w:lang w:val="en"/>
              </w:rPr>
              <w:t>Non-nucleoside Reverse Transcriptase Inhibitor:</w:t>
            </w:r>
          </w:p>
          <w:p w14:paraId="0925D1A8" w14:textId="77777777" w:rsidR="003F21A6" w:rsidRPr="00552DFF" w:rsidRDefault="00902CFB" w:rsidP="00902CFB">
            <w:pPr>
              <w:rPr>
                <w:rFonts w:ascii="Arial Narrow" w:hAnsi="Arial Narrow" w:cstheme="minorHAnsi"/>
                <w:sz w:val="20"/>
                <w:szCs w:val="20"/>
                <w:lang w:val="en"/>
              </w:rPr>
            </w:pPr>
            <w:r w:rsidRPr="00552DFF">
              <w:rPr>
                <w:rFonts w:ascii="Arial Narrow" w:hAnsi="Arial Narrow" w:cstheme="minorHAnsi"/>
                <w:sz w:val="20"/>
                <w:szCs w:val="20"/>
                <w:lang w:val="en"/>
              </w:rPr>
              <w:t>Nevirapine (NVP)</w:t>
            </w:r>
          </w:p>
        </w:tc>
        <w:tc>
          <w:tcPr>
            <w:tcW w:w="3005" w:type="dxa"/>
          </w:tcPr>
          <w:p w14:paraId="0AE8BE60" w14:textId="77777777" w:rsidR="003F21A6" w:rsidRPr="00552DFF" w:rsidRDefault="00552DFF" w:rsidP="00902CFB">
            <w:pPr>
              <w:rPr>
                <w:rFonts w:ascii="Arial Narrow" w:hAnsi="Arial Narrow" w:cstheme="minorHAnsi"/>
                <w:sz w:val="20"/>
                <w:szCs w:val="20"/>
              </w:rPr>
            </w:pPr>
            <w:proofErr w:type="spellStart"/>
            <w:r w:rsidRPr="00552DFF">
              <w:rPr>
                <w:rFonts w:ascii="Arial Narrow" w:eastAsia="MS Mincho" w:hAnsi="Arial Narrow" w:cs="Times New Roman"/>
                <w:sz w:val="20"/>
                <w:szCs w:val="20"/>
                <w:lang w:val="en-US"/>
              </w:rPr>
              <w:t>Temsavir</w:t>
            </w:r>
            <w:proofErr w:type="spellEnd"/>
            <w:r w:rsidRPr="00552DFF">
              <w:rPr>
                <w:rFonts w:ascii="Arial Narrow" w:eastAsia="MS Mincho" w:hAnsi="Arial Narrow" w:cs="Times New Roman"/>
                <w:sz w:val="20"/>
                <w:szCs w:val="20"/>
                <w:lang w:val="en-US"/>
              </w:rPr>
              <w:t xml:space="preserve"> </w:t>
            </w:r>
            <w:r w:rsidRPr="00552DFF">
              <w:rPr>
                <w:rFonts w:ascii="Arial Narrow" w:hAnsi="Arial Narrow" w:cs="Times New Roman"/>
                <w:sz w:val="20"/>
                <w:szCs w:val="20"/>
              </w:rPr>
              <w:sym w:font="Symbol" w:char="F0AF"/>
            </w:r>
          </w:p>
        </w:tc>
        <w:tc>
          <w:tcPr>
            <w:tcW w:w="3006" w:type="dxa"/>
          </w:tcPr>
          <w:p w14:paraId="1DDC2006" w14:textId="77777777" w:rsidR="00902CFB" w:rsidRPr="00552DFF" w:rsidRDefault="00902CFB" w:rsidP="00902CFB">
            <w:pPr>
              <w:rPr>
                <w:rFonts w:ascii="Arial Narrow" w:hAnsi="Arial Narrow" w:cstheme="minorHAnsi"/>
                <w:sz w:val="20"/>
                <w:szCs w:val="20"/>
                <w:lang w:val="en"/>
              </w:rPr>
            </w:pPr>
            <w:r w:rsidRPr="00552DFF">
              <w:rPr>
                <w:rFonts w:ascii="Arial Narrow" w:hAnsi="Arial Narrow" w:cstheme="minorHAnsi"/>
                <w:sz w:val="20"/>
                <w:szCs w:val="20"/>
                <w:lang w:val="en"/>
              </w:rPr>
              <w:t>This interaction has not been studied.</w:t>
            </w:r>
          </w:p>
          <w:p w14:paraId="20C55408" w14:textId="77777777" w:rsidR="00902CFB" w:rsidRPr="00552DFF" w:rsidRDefault="00902CFB" w:rsidP="00902CFB">
            <w:pPr>
              <w:rPr>
                <w:rFonts w:ascii="Arial Narrow" w:hAnsi="Arial Narrow" w:cstheme="minorHAnsi"/>
                <w:sz w:val="20"/>
                <w:szCs w:val="20"/>
                <w:lang w:val="en"/>
              </w:rPr>
            </w:pPr>
            <w:r w:rsidRPr="00552DFF">
              <w:rPr>
                <w:rFonts w:ascii="Arial Narrow" w:hAnsi="Arial Narrow" w:cstheme="minorHAnsi"/>
                <w:sz w:val="20"/>
                <w:szCs w:val="20"/>
                <w:lang w:val="en"/>
              </w:rPr>
              <w:t>Nevirapine is expected to</w:t>
            </w:r>
          </w:p>
          <w:p w14:paraId="4D35862E" w14:textId="77777777" w:rsidR="00902CFB" w:rsidRPr="00552DFF" w:rsidRDefault="00902CFB" w:rsidP="00902CFB">
            <w:pPr>
              <w:rPr>
                <w:rFonts w:ascii="Arial Narrow" w:hAnsi="Arial Narrow" w:cstheme="minorHAnsi"/>
                <w:sz w:val="20"/>
                <w:szCs w:val="20"/>
                <w:lang w:val="en"/>
              </w:rPr>
            </w:pPr>
            <w:r w:rsidRPr="00552DFF">
              <w:rPr>
                <w:rFonts w:ascii="Arial Narrow" w:hAnsi="Arial Narrow" w:cstheme="minorHAnsi"/>
                <w:sz w:val="20"/>
                <w:szCs w:val="20"/>
                <w:lang w:val="en"/>
              </w:rPr>
              <w:t xml:space="preserve">decrease </w:t>
            </w:r>
            <w:proofErr w:type="spellStart"/>
            <w:r w:rsidRPr="00552DFF">
              <w:rPr>
                <w:rFonts w:ascii="Arial Narrow" w:hAnsi="Arial Narrow" w:cstheme="minorHAnsi"/>
                <w:sz w:val="20"/>
                <w:szCs w:val="20"/>
                <w:lang w:val="en"/>
              </w:rPr>
              <w:t>temsavir</w:t>
            </w:r>
            <w:proofErr w:type="spellEnd"/>
            <w:r w:rsidRPr="00552DFF">
              <w:rPr>
                <w:rFonts w:ascii="Arial Narrow" w:hAnsi="Arial Narrow" w:cstheme="minorHAnsi"/>
                <w:sz w:val="20"/>
                <w:szCs w:val="20"/>
                <w:lang w:val="en"/>
              </w:rPr>
              <w:t xml:space="preserve"> plasma</w:t>
            </w:r>
          </w:p>
          <w:p w14:paraId="1969734C" w14:textId="77777777" w:rsidR="00902CFB" w:rsidRPr="00552DFF" w:rsidRDefault="00902CFB" w:rsidP="00902CFB">
            <w:pPr>
              <w:rPr>
                <w:rFonts w:ascii="Arial Narrow" w:hAnsi="Arial Narrow" w:cstheme="minorHAnsi"/>
                <w:sz w:val="20"/>
                <w:szCs w:val="20"/>
                <w:lang w:val="en"/>
              </w:rPr>
            </w:pPr>
            <w:r w:rsidRPr="00552DFF">
              <w:rPr>
                <w:rFonts w:ascii="Arial Narrow" w:hAnsi="Arial Narrow" w:cstheme="minorHAnsi"/>
                <w:sz w:val="20"/>
                <w:szCs w:val="20"/>
                <w:lang w:val="en"/>
              </w:rPr>
              <w:t>concentrations with no</w:t>
            </w:r>
          </w:p>
          <w:p w14:paraId="7D78E340" w14:textId="77777777" w:rsidR="00902CFB" w:rsidRPr="00552DFF" w:rsidRDefault="00902CFB" w:rsidP="00902CFB">
            <w:pPr>
              <w:rPr>
                <w:rFonts w:ascii="Arial Narrow" w:hAnsi="Arial Narrow" w:cstheme="minorHAnsi"/>
                <w:sz w:val="20"/>
                <w:szCs w:val="20"/>
                <w:lang w:val="en"/>
              </w:rPr>
            </w:pPr>
            <w:r w:rsidRPr="00552DFF">
              <w:rPr>
                <w:rFonts w:ascii="Arial Narrow" w:hAnsi="Arial Narrow" w:cstheme="minorHAnsi"/>
                <w:sz w:val="20"/>
                <w:szCs w:val="20"/>
                <w:lang w:val="en"/>
              </w:rPr>
              <w:t>clinically relevant impact. No</w:t>
            </w:r>
          </w:p>
          <w:p w14:paraId="21B31ABE" w14:textId="77777777" w:rsidR="003F21A6" w:rsidRPr="00552DFF" w:rsidRDefault="00902CFB" w:rsidP="00902CFB">
            <w:pPr>
              <w:rPr>
                <w:rFonts w:ascii="Arial Narrow" w:hAnsi="Arial Narrow" w:cstheme="minorHAnsi"/>
                <w:sz w:val="20"/>
                <w:szCs w:val="20"/>
                <w:lang w:val="en"/>
              </w:rPr>
            </w:pPr>
            <w:r w:rsidRPr="00552DFF">
              <w:rPr>
                <w:rFonts w:ascii="Arial Narrow" w:hAnsi="Arial Narrow" w:cstheme="minorHAnsi"/>
                <w:sz w:val="20"/>
                <w:szCs w:val="20"/>
                <w:lang w:val="en"/>
              </w:rPr>
              <w:t>dose adjustment is necessary.</w:t>
            </w:r>
          </w:p>
        </w:tc>
      </w:tr>
      <w:tr w:rsidR="00902CFB" w:rsidRPr="00552DFF" w14:paraId="1A460E34" w14:textId="77777777" w:rsidTr="00291AD1">
        <w:trPr>
          <w:trHeight w:val="2772"/>
        </w:trPr>
        <w:tc>
          <w:tcPr>
            <w:tcW w:w="3005" w:type="dxa"/>
          </w:tcPr>
          <w:p w14:paraId="2EC13FE5" w14:textId="77777777" w:rsidR="00902CFB" w:rsidRPr="00552DFF" w:rsidRDefault="00902CFB" w:rsidP="00902CFB">
            <w:pPr>
              <w:rPr>
                <w:rFonts w:ascii="Arial Narrow" w:hAnsi="Arial Narrow" w:cstheme="minorHAnsi"/>
                <w:sz w:val="20"/>
                <w:szCs w:val="20"/>
                <w:lang w:val="en"/>
              </w:rPr>
            </w:pPr>
            <w:r w:rsidRPr="00552DFF">
              <w:rPr>
                <w:rFonts w:ascii="Arial Narrow" w:hAnsi="Arial Narrow" w:cstheme="minorHAnsi"/>
                <w:sz w:val="20"/>
                <w:szCs w:val="20"/>
                <w:lang w:val="en"/>
              </w:rPr>
              <w:t>Nucleoside Reverse Transcriptase Inhibitor: Tenofovir (TDF)</w:t>
            </w:r>
          </w:p>
        </w:tc>
        <w:tc>
          <w:tcPr>
            <w:tcW w:w="3005" w:type="dxa"/>
          </w:tcPr>
          <w:p w14:paraId="46BCEF29" w14:textId="77777777" w:rsidR="00902CFB" w:rsidRPr="00552DFF" w:rsidRDefault="00552DFF" w:rsidP="00902CFB">
            <w:pPr>
              <w:pStyle w:val="TableParagraph"/>
              <w:spacing w:line="285" w:lineRule="exact"/>
              <w:ind w:left="0"/>
              <w:rPr>
                <w:rFonts w:ascii="Arial Narrow" w:hAnsi="Arial Narrow"/>
                <w:sz w:val="20"/>
                <w:szCs w:val="20"/>
              </w:rPr>
            </w:pPr>
            <w:proofErr w:type="spellStart"/>
            <w:r w:rsidRPr="00552DFF">
              <w:rPr>
                <w:rFonts w:ascii="Arial Narrow" w:eastAsia="MS Mincho" w:hAnsi="Arial Narrow"/>
                <w:sz w:val="20"/>
                <w:szCs w:val="20"/>
              </w:rPr>
              <w:t>Temsavir</w:t>
            </w:r>
            <w:proofErr w:type="spellEnd"/>
            <w:r w:rsidRPr="00552DFF">
              <w:rPr>
                <w:rFonts w:ascii="Arial Narrow" w:eastAsia="MS Mincho" w:hAnsi="Arial Narrow"/>
                <w:sz w:val="20"/>
                <w:szCs w:val="20"/>
              </w:rPr>
              <w:t xml:space="preserve"> </w:t>
            </w:r>
            <w:r w:rsidRPr="00552DFF">
              <w:rPr>
                <w:rFonts w:ascii="Arial Narrow" w:hAnsi="Arial Narrow"/>
                <w:sz w:val="20"/>
                <w:szCs w:val="20"/>
              </w:rPr>
              <w:sym w:font="Symbol" w:char="F0AB"/>
            </w:r>
            <w:r w:rsidRPr="00552DFF">
              <w:rPr>
                <w:rFonts w:ascii="Arial Narrow" w:hAnsi="Arial Narrow"/>
                <w:sz w:val="20"/>
                <w:szCs w:val="20"/>
              </w:rPr>
              <w:br/>
              <w:t>AUC </w:t>
            </w:r>
            <w:r w:rsidRPr="00552DFF">
              <w:rPr>
                <w:rFonts w:ascii="Arial Narrow" w:hAnsi="Arial Narrow"/>
                <w:sz w:val="20"/>
                <w:szCs w:val="20"/>
              </w:rPr>
              <w:sym w:font="Symbol" w:char="F0AB"/>
            </w:r>
            <w:r w:rsidRPr="00552DFF">
              <w:rPr>
                <w:rFonts w:ascii="Arial Narrow" w:hAnsi="Arial Narrow"/>
                <w:sz w:val="20"/>
                <w:szCs w:val="20"/>
              </w:rPr>
              <w:br/>
            </w:r>
            <w:proofErr w:type="spellStart"/>
            <w:r w:rsidRPr="00552DFF">
              <w:rPr>
                <w:rFonts w:ascii="Arial Narrow" w:hAnsi="Arial Narrow"/>
                <w:sz w:val="20"/>
                <w:szCs w:val="20"/>
              </w:rPr>
              <w:t>C</w:t>
            </w:r>
            <w:r w:rsidRPr="00552DFF">
              <w:rPr>
                <w:rFonts w:ascii="Arial Narrow" w:hAnsi="Arial Narrow"/>
                <w:sz w:val="20"/>
                <w:szCs w:val="20"/>
                <w:vertAlign w:val="subscript"/>
              </w:rPr>
              <w:t>max</w:t>
            </w:r>
            <w:proofErr w:type="spellEnd"/>
            <w:r w:rsidRPr="00552DFF">
              <w:rPr>
                <w:rFonts w:ascii="Arial Narrow" w:hAnsi="Arial Narrow"/>
                <w:sz w:val="20"/>
                <w:szCs w:val="20"/>
              </w:rPr>
              <w:t xml:space="preserve"> </w:t>
            </w:r>
            <w:r w:rsidRPr="00552DFF">
              <w:rPr>
                <w:rFonts w:ascii="Arial Narrow" w:hAnsi="Arial Narrow"/>
                <w:sz w:val="20"/>
                <w:szCs w:val="20"/>
              </w:rPr>
              <w:sym w:font="Symbol" w:char="F0AF"/>
            </w:r>
            <w:r w:rsidRPr="00552DFF">
              <w:rPr>
                <w:rFonts w:ascii="Arial Narrow" w:hAnsi="Arial Narrow"/>
                <w:sz w:val="20"/>
                <w:szCs w:val="20"/>
              </w:rPr>
              <w:t> 1%</w:t>
            </w:r>
            <w:r w:rsidRPr="00552DFF">
              <w:rPr>
                <w:rFonts w:ascii="Arial Narrow" w:hAnsi="Arial Narrow"/>
                <w:sz w:val="20"/>
                <w:szCs w:val="20"/>
              </w:rPr>
              <w:br/>
              <w:t>C</w:t>
            </w:r>
            <w:r w:rsidRPr="00552DFF">
              <w:rPr>
                <w:rFonts w:ascii="Arial Narrow" w:hAnsi="Arial Narrow"/>
                <w:sz w:val="20"/>
                <w:szCs w:val="20"/>
              </w:rPr>
              <w:sym w:font="Symbol" w:char="F074"/>
            </w:r>
            <w:r w:rsidRPr="00552DFF">
              <w:rPr>
                <w:rFonts w:ascii="Arial Narrow" w:hAnsi="Arial Narrow"/>
                <w:sz w:val="20"/>
                <w:szCs w:val="20"/>
              </w:rPr>
              <w:t xml:space="preserve"> </w:t>
            </w:r>
            <w:r w:rsidRPr="00552DFF">
              <w:rPr>
                <w:rFonts w:ascii="Arial Narrow" w:hAnsi="Arial Narrow"/>
                <w:sz w:val="20"/>
                <w:szCs w:val="20"/>
              </w:rPr>
              <w:sym w:font="Symbol" w:char="F0AD"/>
            </w:r>
            <w:r w:rsidRPr="00552DFF">
              <w:rPr>
                <w:rFonts w:ascii="Arial Narrow" w:hAnsi="Arial Narrow"/>
                <w:sz w:val="20"/>
                <w:szCs w:val="20"/>
              </w:rPr>
              <w:t> 13%</w:t>
            </w:r>
            <w:r w:rsidRPr="00552DFF">
              <w:rPr>
                <w:rFonts w:ascii="Arial Narrow" w:hAnsi="Arial Narrow"/>
                <w:sz w:val="20"/>
                <w:szCs w:val="20"/>
              </w:rPr>
              <w:br/>
            </w:r>
            <w:r w:rsidRPr="00552DFF">
              <w:rPr>
                <w:rFonts w:ascii="Arial Narrow" w:hAnsi="Arial Narrow"/>
                <w:sz w:val="20"/>
                <w:szCs w:val="20"/>
              </w:rPr>
              <w:br/>
            </w:r>
            <w:r w:rsidRPr="00552DFF">
              <w:rPr>
                <w:rFonts w:ascii="Arial Narrow" w:eastAsia="MS Mincho" w:hAnsi="Arial Narrow"/>
                <w:sz w:val="20"/>
                <w:szCs w:val="20"/>
              </w:rPr>
              <w:t xml:space="preserve">TDF </w:t>
            </w:r>
            <w:r w:rsidRPr="00552DFF">
              <w:rPr>
                <w:rFonts w:ascii="Arial Narrow" w:hAnsi="Arial Narrow"/>
                <w:sz w:val="20"/>
                <w:szCs w:val="20"/>
              </w:rPr>
              <w:sym w:font="Symbol" w:char="F0AD"/>
            </w:r>
            <w:r w:rsidRPr="00552DFF">
              <w:rPr>
                <w:rFonts w:ascii="Arial Narrow" w:hAnsi="Arial Narrow"/>
                <w:sz w:val="20"/>
                <w:szCs w:val="20"/>
              </w:rPr>
              <w:br/>
              <w:t xml:space="preserve">AUC </w:t>
            </w:r>
            <w:r w:rsidRPr="00552DFF">
              <w:rPr>
                <w:rFonts w:ascii="Arial Narrow" w:hAnsi="Arial Narrow"/>
                <w:sz w:val="20"/>
                <w:szCs w:val="20"/>
              </w:rPr>
              <w:sym w:font="Symbol" w:char="F0AD"/>
            </w:r>
            <w:r w:rsidRPr="00552DFF">
              <w:rPr>
                <w:rFonts w:ascii="Arial Narrow" w:hAnsi="Arial Narrow"/>
                <w:sz w:val="20"/>
                <w:szCs w:val="20"/>
              </w:rPr>
              <w:t> 19%</w:t>
            </w:r>
            <w:r w:rsidRPr="00552DFF">
              <w:rPr>
                <w:rFonts w:ascii="Arial Narrow" w:hAnsi="Arial Narrow"/>
                <w:sz w:val="20"/>
                <w:szCs w:val="20"/>
              </w:rPr>
              <w:br/>
            </w:r>
            <w:proofErr w:type="spellStart"/>
            <w:r w:rsidRPr="00552DFF">
              <w:rPr>
                <w:rFonts w:ascii="Arial Narrow" w:hAnsi="Arial Narrow"/>
                <w:sz w:val="20"/>
                <w:szCs w:val="20"/>
              </w:rPr>
              <w:t>C</w:t>
            </w:r>
            <w:r w:rsidRPr="00552DFF">
              <w:rPr>
                <w:rFonts w:ascii="Arial Narrow" w:hAnsi="Arial Narrow"/>
                <w:sz w:val="20"/>
                <w:szCs w:val="20"/>
                <w:vertAlign w:val="subscript"/>
              </w:rPr>
              <w:t>max</w:t>
            </w:r>
            <w:proofErr w:type="spellEnd"/>
            <w:r w:rsidRPr="00552DFF">
              <w:rPr>
                <w:rFonts w:ascii="Arial Narrow" w:hAnsi="Arial Narrow"/>
                <w:sz w:val="20"/>
                <w:szCs w:val="20"/>
              </w:rPr>
              <w:t xml:space="preserve"> </w:t>
            </w:r>
            <w:r w:rsidRPr="00552DFF">
              <w:rPr>
                <w:rFonts w:ascii="Arial Narrow" w:hAnsi="Arial Narrow"/>
                <w:sz w:val="20"/>
                <w:szCs w:val="20"/>
              </w:rPr>
              <w:sym w:font="Symbol" w:char="F0AD"/>
            </w:r>
            <w:r w:rsidRPr="00552DFF">
              <w:rPr>
                <w:rFonts w:ascii="Arial Narrow" w:hAnsi="Arial Narrow"/>
                <w:sz w:val="20"/>
                <w:szCs w:val="20"/>
              </w:rPr>
              <w:t> 18%</w:t>
            </w:r>
            <w:r w:rsidRPr="00552DFF">
              <w:rPr>
                <w:rFonts w:ascii="Arial Narrow" w:hAnsi="Arial Narrow"/>
                <w:sz w:val="20"/>
                <w:szCs w:val="20"/>
              </w:rPr>
              <w:br/>
              <w:t>C</w:t>
            </w:r>
            <w:r w:rsidRPr="00552DFF">
              <w:rPr>
                <w:rFonts w:ascii="Arial Narrow" w:hAnsi="Arial Narrow"/>
                <w:sz w:val="20"/>
                <w:szCs w:val="20"/>
              </w:rPr>
              <w:sym w:font="Symbol" w:char="F074"/>
            </w:r>
            <w:r w:rsidRPr="00552DFF">
              <w:rPr>
                <w:rFonts w:ascii="Arial Narrow" w:hAnsi="Arial Narrow"/>
                <w:sz w:val="20"/>
                <w:szCs w:val="20"/>
              </w:rPr>
              <w:t xml:space="preserve"> </w:t>
            </w:r>
            <w:r w:rsidRPr="00552DFF">
              <w:rPr>
                <w:rFonts w:ascii="Arial Narrow" w:hAnsi="Arial Narrow"/>
                <w:sz w:val="20"/>
                <w:szCs w:val="20"/>
              </w:rPr>
              <w:sym w:font="Symbol" w:char="F0AD"/>
            </w:r>
            <w:r w:rsidRPr="00552DFF">
              <w:rPr>
                <w:rFonts w:ascii="Arial Narrow" w:hAnsi="Arial Narrow"/>
                <w:sz w:val="20"/>
                <w:szCs w:val="20"/>
              </w:rPr>
              <w:t> 28%</w:t>
            </w:r>
          </w:p>
        </w:tc>
        <w:tc>
          <w:tcPr>
            <w:tcW w:w="3006" w:type="dxa"/>
          </w:tcPr>
          <w:p w14:paraId="592FCFDC" w14:textId="77777777" w:rsidR="00902CFB" w:rsidRPr="00552DFF" w:rsidRDefault="00902CFB" w:rsidP="00902CFB">
            <w:pPr>
              <w:rPr>
                <w:rFonts w:ascii="Arial Narrow" w:hAnsi="Arial Narrow" w:cstheme="minorHAnsi"/>
                <w:sz w:val="20"/>
                <w:szCs w:val="20"/>
                <w:lang w:val="en"/>
              </w:rPr>
            </w:pPr>
            <w:r w:rsidRPr="00552DFF">
              <w:rPr>
                <w:rFonts w:ascii="Arial Narrow" w:hAnsi="Arial Narrow" w:cstheme="minorHAnsi"/>
                <w:sz w:val="20"/>
                <w:szCs w:val="20"/>
                <w:lang w:val="en"/>
              </w:rPr>
              <w:t>No dose adjustment of either drug is necessary.</w:t>
            </w:r>
          </w:p>
        </w:tc>
      </w:tr>
      <w:tr w:rsidR="00552DFF" w:rsidRPr="00552DFF" w14:paraId="120D82C1" w14:textId="77777777" w:rsidTr="00902CFB">
        <w:trPr>
          <w:trHeight w:val="1461"/>
        </w:trPr>
        <w:tc>
          <w:tcPr>
            <w:tcW w:w="3005" w:type="dxa"/>
          </w:tcPr>
          <w:p w14:paraId="0C9BAE38" w14:textId="77777777" w:rsidR="00552DFF" w:rsidRPr="00552DFF" w:rsidRDefault="00552DFF" w:rsidP="00552DFF">
            <w:pPr>
              <w:pStyle w:val="tabletextNS"/>
              <w:rPr>
                <w:rFonts w:eastAsia="MS Mincho" w:cs="Times New Roman"/>
                <w:sz w:val="20"/>
                <w:lang w:val="en-US"/>
              </w:rPr>
            </w:pPr>
            <w:r w:rsidRPr="00552DFF">
              <w:rPr>
                <w:rFonts w:eastAsia="MS Mincho" w:cs="Times New Roman"/>
                <w:sz w:val="20"/>
                <w:lang w:val="en-US"/>
              </w:rPr>
              <w:t>Nucleoside Reverse Transcriptase Inhibitor:</w:t>
            </w:r>
            <w:r w:rsidRPr="00552DFF">
              <w:rPr>
                <w:rFonts w:eastAsia="MS Mincho" w:cs="Times New Roman"/>
                <w:sz w:val="20"/>
                <w:lang w:val="en-US"/>
              </w:rPr>
              <w:br/>
              <w:t>Tenofovir alafenamide (TAF)</w:t>
            </w:r>
          </w:p>
        </w:tc>
        <w:tc>
          <w:tcPr>
            <w:tcW w:w="3005" w:type="dxa"/>
          </w:tcPr>
          <w:p w14:paraId="4B775F34" w14:textId="77777777" w:rsidR="00552DFF" w:rsidRPr="00552DFF" w:rsidRDefault="00552DFF" w:rsidP="00552DFF">
            <w:pPr>
              <w:pStyle w:val="tabletextNS"/>
              <w:spacing w:after="240"/>
              <w:rPr>
                <w:rFonts w:eastAsia="MS Mincho" w:cs="Times New Roman"/>
                <w:sz w:val="20"/>
                <w:lang w:val="en-US"/>
              </w:rPr>
            </w:pPr>
            <w:r w:rsidRPr="00552DFF">
              <w:rPr>
                <w:rFonts w:eastAsia="MS Mincho" w:cs="Times New Roman"/>
                <w:sz w:val="20"/>
                <w:lang w:val="en-US"/>
              </w:rPr>
              <w:t xml:space="preserve">TAF </w:t>
            </w:r>
            <w:r w:rsidRPr="00552DFF">
              <w:rPr>
                <w:rFonts w:cs="Times New Roman"/>
                <w:sz w:val="20"/>
              </w:rPr>
              <w:sym w:font="Symbol" w:char="F0AD"/>
            </w:r>
          </w:p>
        </w:tc>
        <w:tc>
          <w:tcPr>
            <w:tcW w:w="3006" w:type="dxa"/>
          </w:tcPr>
          <w:p w14:paraId="3D8C24F5" w14:textId="77777777" w:rsidR="00552DFF" w:rsidRPr="00552DFF" w:rsidRDefault="00552DFF" w:rsidP="00552DFF">
            <w:pPr>
              <w:rPr>
                <w:rFonts w:ascii="Arial Narrow" w:hAnsi="Arial Narrow" w:cstheme="minorHAnsi"/>
                <w:sz w:val="20"/>
                <w:szCs w:val="20"/>
                <w:lang w:val="en"/>
              </w:rPr>
            </w:pPr>
            <w:r w:rsidRPr="00552DFF">
              <w:rPr>
                <w:rFonts w:ascii="Arial Narrow" w:hAnsi="Arial Narrow" w:cstheme="minorHAnsi"/>
                <w:sz w:val="20"/>
                <w:szCs w:val="20"/>
                <w:lang w:val="en"/>
              </w:rPr>
              <w:t>This interaction has not been studied.</w:t>
            </w:r>
          </w:p>
          <w:p w14:paraId="4472A764" w14:textId="77777777" w:rsidR="00552DFF" w:rsidRPr="00552DFF" w:rsidRDefault="00552DFF" w:rsidP="00552DFF">
            <w:pPr>
              <w:rPr>
                <w:rFonts w:ascii="Arial Narrow" w:hAnsi="Arial Narrow" w:cstheme="minorHAnsi"/>
                <w:sz w:val="20"/>
                <w:szCs w:val="20"/>
                <w:lang w:val="en"/>
              </w:rPr>
            </w:pPr>
            <w:proofErr w:type="spellStart"/>
            <w:r w:rsidRPr="00552DFF">
              <w:rPr>
                <w:rFonts w:ascii="Arial Narrow" w:hAnsi="Arial Narrow" w:cstheme="minorHAnsi"/>
                <w:sz w:val="20"/>
                <w:szCs w:val="20"/>
                <w:lang w:val="en"/>
              </w:rPr>
              <w:t>Temsavir</w:t>
            </w:r>
            <w:proofErr w:type="spellEnd"/>
            <w:r w:rsidRPr="00552DFF">
              <w:rPr>
                <w:rFonts w:ascii="Arial Narrow" w:hAnsi="Arial Narrow" w:cstheme="minorHAnsi"/>
                <w:sz w:val="20"/>
                <w:szCs w:val="20"/>
                <w:lang w:val="en"/>
              </w:rPr>
              <w:t xml:space="preserve"> is expected to increase tenofovir alafenamide plasma concentrations with no clinically relevant impact. Consult the full prescribing information for TAF-containing medications when co-administered.</w:t>
            </w:r>
          </w:p>
          <w:p w14:paraId="7D8C7FBD" w14:textId="77777777" w:rsidR="00552DFF" w:rsidRPr="00552DFF" w:rsidRDefault="00552DFF" w:rsidP="00552DFF">
            <w:pPr>
              <w:rPr>
                <w:rFonts w:ascii="Arial Narrow" w:hAnsi="Arial Narrow" w:cstheme="minorHAnsi"/>
                <w:sz w:val="20"/>
                <w:szCs w:val="20"/>
                <w:lang w:val="en"/>
              </w:rPr>
            </w:pPr>
          </w:p>
        </w:tc>
      </w:tr>
      <w:tr w:rsidR="00552DFF" w:rsidRPr="00552DFF" w14:paraId="5AEC29E1" w14:textId="77777777" w:rsidTr="00902CFB">
        <w:trPr>
          <w:trHeight w:val="1461"/>
        </w:trPr>
        <w:tc>
          <w:tcPr>
            <w:tcW w:w="3005" w:type="dxa"/>
          </w:tcPr>
          <w:p w14:paraId="2B5DDACA" w14:textId="77777777" w:rsidR="00552DFF" w:rsidRPr="00552DFF" w:rsidRDefault="00552DFF" w:rsidP="00552DFF">
            <w:pPr>
              <w:rPr>
                <w:rFonts w:ascii="Arial Narrow" w:hAnsi="Arial Narrow" w:cstheme="minorHAnsi"/>
                <w:sz w:val="20"/>
                <w:szCs w:val="20"/>
                <w:lang w:val="en"/>
              </w:rPr>
            </w:pPr>
            <w:r w:rsidRPr="00552DFF">
              <w:rPr>
                <w:rFonts w:ascii="Arial Narrow" w:hAnsi="Arial Narrow" w:cstheme="minorHAnsi"/>
                <w:sz w:val="20"/>
                <w:szCs w:val="20"/>
                <w:lang w:val="en"/>
              </w:rPr>
              <w:t>Pharmacokinetic Enhancer:</w:t>
            </w:r>
          </w:p>
          <w:p w14:paraId="4A9F4575" w14:textId="77777777" w:rsidR="00552DFF" w:rsidRPr="00552DFF" w:rsidRDefault="00552DFF" w:rsidP="00552DFF">
            <w:pPr>
              <w:rPr>
                <w:rFonts w:ascii="Arial Narrow" w:hAnsi="Arial Narrow" w:cstheme="minorHAnsi"/>
                <w:sz w:val="20"/>
                <w:szCs w:val="20"/>
                <w:lang w:val="en"/>
              </w:rPr>
            </w:pPr>
            <w:r w:rsidRPr="00552DFF">
              <w:rPr>
                <w:rFonts w:ascii="Arial Narrow" w:hAnsi="Arial Narrow" w:cstheme="minorHAnsi"/>
                <w:sz w:val="20"/>
                <w:szCs w:val="20"/>
                <w:lang w:val="en"/>
              </w:rPr>
              <w:t>Cobicistat (COBI)</w:t>
            </w:r>
          </w:p>
        </w:tc>
        <w:tc>
          <w:tcPr>
            <w:tcW w:w="3005" w:type="dxa"/>
          </w:tcPr>
          <w:p w14:paraId="5B387DAF" w14:textId="77777777" w:rsidR="00552DFF" w:rsidRPr="00552DFF" w:rsidRDefault="00552DFF" w:rsidP="00552DFF">
            <w:pPr>
              <w:pStyle w:val="tabletextNS"/>
              <w:spacing w:after="240"/>
              <w:rPr>
                <w:rFonts w:eastAsia="MS Mincho" w:cs="Times New Roman"/>
                <w:sz w:val="20"/>
                <w:lang w:val="en-US"/>
              </w:rPr>
            </w:pPr>
            <w:proofErr w:type="spellStart"/>
            <w:r w:rsidRPr="00552DFF">
              <w:rPr>
                <w:rFonts w:eastAsia="MS Mincho" w:cs="Times New Roman"/>
                <w:sz w:val="20"/>
                <w:lang w:val="en-US"/>
              </w:rPr>
              <w:t>Temsavir</w:t>
            </w:r>
            <w:proofErr w:type="spellEnd"/>
            <w:r w:rsidRPr="00552DFF">
              <w:rPr>
                <w:rFonts w:eastAsia="MS Mincho" w:cs="Times New Roman"/>
                <w:sz w:val="20"/>
                <w:lang w:val="en-US"/>
              </w:rPr>
              <w:t xml:space="preserve"> </w:t>
            </w:r>
            <w:r w:rsidRPr="00552DFF">
              <w:rPr>
                <w:rFonts w:cs="Times New Roman"/>
                <w:sz w:val="20"/>
              </w:rPr>
              <w:sym w:font="Symbol" w:char="F0AD"/>
            </w:r>
            <w:r w:rsidRPr="00552DFF">
              <w:rPr>
                <w:rFonts w:cs="Times New Roman"/>
                <w:sz w:val="20"/>
              </w:rPr>
              <w:br/>
              <w:t xml:space="preserve">AUC </w:t>
            </w:r>
            <w:r w:rsidRPr="00552DFF">
              <w:rPr>
                <w:rFonts w:cs="Times New Roman"/>
                <w:sz w:val="20"/>
              </w:rPr>
              <w:sym w:font="Symbol" w:char="F0AD"/>
            </w:r>
            <w:r w:rsidRPr="00552DFF">
              <w:rPr>
                <w:rFonts w:cs="Times New Roman"/>
                <w:sz w:val="20"/>
              </w:rPr>
              <w:t> 93%</w:t>
            </w:r>
            <w:r w:rsidRPr="00552DFF">
              <w:rPr>
                <w:rFonts w:cs="Times New Roman"/>
                <w:sz w:val="20"/>
              </w:rPr>
              <w:br/>
            </w:r>
            <w:proofErr w:type="spellStart"/>
            <w:r w:rsidRPr="00552DFF">
              <w:rPr>
                <w:rFonts w:cs="Times New Roman"/>
                <w:sz w:val="20"/>
              </w:rPr>
              <w:t>C</w:t>
            </w:r>
            <w:r w:rsidRPr="00552DFF">
              <w:rPr>
                <w:rFonts w:cs="Times New Roman"/>
                <w:sz w:val="20"/>
                <w:vertAlign w:val="subscript"/>
              </w:rPr>
              <w:t>max</w:t>
            </w:r>
            <w:proofErr w:type="spellEnd"/>
            <w:r w:rsidRPr="00552DFF">
              <w:rPr>
                <w:rFonts w:cs="Times New Roman"/>
                <w:sz w:val="20"/>
              </w:rPr>
              <w:t xml:space="preserve"> </w:t>
            </w:r>
            <w:r w:rsidRPr="00552DFF">
              <w:rPr>
                <w:rFonts w:cs="Times New Roman"/>
                <w:sz w:val="20"/>
              </w:rPr>
              <w:sym w:font="Symbol" w:char="F0AD"/>
            </w:r>
            <w:r w:rsidRPr="00552DFF">
              <w:rPr>
                <w:rFonts w:cs="Times New Roman"/>
                <w:sz w:val="20"/>
              </w:rPr>
              <w:t> 71%</w:t>
            </w:r>
            <w:r w:rsidRPr="00552DFF">
              <w:rPr>
                <w:rFonts w:cs="Times New Roman"/>
                <w:sz w:val="20"/>
              </w:rPr>
              <w:br/>
              <w:t>C</w:t>
            </w:r>
            <w:r w:rsidRPr="00552DFF">
              <w:rPr>
                <w:rFonts w:cs="Times New Roman"/>
                <w:sz w:val="20"/>
              </w:rPr>
              <w:sym w:font="Symbol" w:char="F074"/>
            </w:r>
            <w:r w:rsidRPr="00552DFF">
              <w:rPr>
                <w:rFonts w:cs="Times New Roman"/>
                <w:sz w:val="20"/>
              </w:rPr>
              <w:t xml:space="preserve"> </w:t>
            </w:r>
            <w:r w:rsidRPr="00552DFF">
              <w:rPr>
                <w:rFonts w:cs="Times New Roman"/>
                <w:sz w:val="20"/>
              </w:rPr>
              <w:sym w:font="Symbol" w:char="F0AD"/>
            </w:r>
            <w:r w:rsidRPr="00552DFF">
              <w:rPr>
                <w:rFonts w:cs="Times New Roman"/>
                <w:sz w:val="20"/>
              </w:rPr>
              <w:t> 136%</w:t>
            </w:r>
          </w:p>
        </w:tc>
        <w:tc>
          <w:tcPr>
            <w:tcW w:w="3006" w:type="dxa"/>
          </w:tcPr>
          <w:p w14:paraId="213A76CC" w14:textId="77777777" w:rsidR="00552DFF" w:rsidRPr="00552DFF" w:rsidRDefault="00552DFF" w:rsidP="00552DFF">
            <w:pPr>
              <w:rPr>
                <w:rFonts w:ascii="Arial Narrow" w:hAnsi="Arial Narrow" w:cstheme="minorHAnsi"/>
                <w:sz w:val="20"/>
                <w:szCs w:val="20"/>
                <w:lang w:val="en"/>
              </w:rPr>
            </w:pPr>
            <w:r w:rsidRPr="00552DFF">
              <w:rPr>
                <w:rFonts w:ascii="Arial Narrow" w:hAnsi="Arial Narrow" w:cstheme="minorHAnsi"/>
                <w:sz w:val="20"/>
                <w:szCs w:val="20"/>
                <w:lang w:val="en"/>
              </w:rPr>
              <w:t xml:space="preserve">Cobicistat increased </w:t>
            </w:r>
            <w:proofErr w:type="spellStart"/>
            <w:r w:rsidRPr="00552DFF">
              <w:rPr>
                <w:rFonts w:ascii="Arial Narrow" w:hAnsi="Arial Narrow" w:cstheme="minorHAnsi"/>
                <w:sz w:val="20"/>
                <w:szCs w:val="20"/>
                <w:lang w:val="en"/>
              </w:rPr>
              <w:t>temsavir</w:t>
            </w:r>
            <w:proofErr w:type="spellEnd"/>
            <w:r w:rsidRPr="00552DFF">
              <w:rPr>
                <w:rFonts w:ascii="Arial Narrow" w:hAnsi="Arial Narrow" w:cstheme="minorHAnsi"/>
                <w:sz w:val="20"/>
                <w:szCs w:val="20"/>
                <w:lang w:val="en"/>
              </w:rPr>
              <w:t xml:space="preserve"> plasma concentrations with no clinically relevant impact. No dose adjustment is necessary.</w:t>
            </w:r>
          </w:p>
        </w:tc>
      </w:tr>
      <w:tr w:rsidR="00552DFF" w:rsidRPr="00552DFF" w14:paraId="57F56127" w14:textId="77777777" w:rsidTr="00902CFB">
        <w:trPr>
          <w:trHeight w:val="1553"/>
        </w:trPr>
        <w:tc>
          <w:tcPr>
            <w:tcW w:w="3005" w:type="dxa"/>
          </w:tcPr>
          <w:p w14:paraId="310F784D" w14:textId="77777777" w:rsidR="00552DFF" w:rsidRPr="00552DFF" w:rsidRDefault="00552DFF" w:rsidP="00552DFF">
            <w:pPr>
              <w:rPr>
                <w:rFonts w:ascii="Arial Narrow" w:hAnsi="Arial Narrow" w:cstheme="minorHAnsi"/>
                <w:sz w:val="20"/>
                <w:szCs w:val="20"/>
                <w:lang w:val="en"/>
              </w:rPr>
            </w:pPr>
            <w:r w:rsidRPr="00552DFF">
              <w:rPr>
                <w:rFonts w:ascii="Arial Narrow" w:hAnsi="Arial Narrow" w:cstheme="minorHAnsi"/>
                <w:sz w:val="20"/>
                <w:szCs w:val="20"/>
                <w:lang w:val="en"/>
              </w:rPr>
              <w:t>Pharmacokinetic Enhancer: Ritonavir</w:t>
            </w:r>
          </w:p>
        </w:tc>
        <w:tc>
          <w:tcPr>
            <w:tcW w:w="3005" w:type="dxa"/>
          </w:tcPr>
          <w:p w14:paraId="3986FA77" w14:textId="77777777" w:rsidR="00552DFF" w:rsidRPr="00552DFF" w:rsidRDefault="00552DFF" w:rsidP="00552DFF">
            <w:pPr>
              <w:pStyle w:val="tabletextNS"/>
              <w:spacing w:after="240"/>
              <w:rPr>
                <w:rFonts w:eastAsia="MS Mincho" w:cs="Times New Roman"/>
                <w:sz w:val="20"/>
                <w:lang w:val="en-US"/>
              </w:rPr>
            </w:pPr>
            <w:proofErr w:type="spellStart"/>
            <w:r w:rsidRPr="00552DFF">
              <w:rPr>
                <w:rFonts w:eastAsia="MS Mincho" w:cs="Times New Roman"/>
                <w:sz w:val="20"/>
                <w:lang w:val="en-US"/>
              </w:rPr>
              <w:t>Temsavir</w:t>
            </w:r>
            <w:proofErr w:type="spellEnd"/>
            <w:r w:rsidRPr="00552DFF">
              <w:rPr>
                <w:rFonts w:eastAsia="MS Mincho" w:cs="Times New Roman"/>
                <w:sz w:val="20"/>
                <w:lang w:val="en-US"/>
              </w:rPr>
              <w:t xml:space="preserve"> </w:t>
            </w:r>
            <w:r w:rsidRPr="00552DFF">
              <w:rPr>
                <w:rFonts w:cs="Times New Roman"/>
                <w:sz w:val="20"/>
              </w:rPr>
              <w:sym w:font="Symbol" w:char="F0AD"/>
            </w:r>
            <w:r w:rsidRPr="00552DFF">
              <w:rPr>
                <w:rFonts w:cs="Times New Roman"/>
                <w:sz w:val="20"/>
              </w:rPr>
              <w:br/>
              <w:t xml:space="preserve">AUC </w:t>
            </w:r>
            <w:r w:rsidRPr="00552DFF">
              <w:rPr>
                <w:rFonts w:cs="Times New Roman"/>
                <w:sz w:val="20"/>
              </w:rPr>
              <w:sym w:font="Symbol" w:char="F0AD"/>
            </w:r>
            <w:r w:rsidRPr="00552DFF">
              <w:rPr>
                <w:rFonts w:cs="Times New Roman"/>
                <w:sz w:val="20"/>
              </w:rPr>
              <w:t> 45%</w:t>
            </w:r>
            <w:r w:rsidRPr="00552DFF">
              <w:rPr>
                <w:rFonts w:cs="Times New Roman"/>
                <w:sz w:val="20"/>
              </w:rPr>
              <w:br/>
            </w:r>
            <w:proofErr w:type="spellStart"/>
            <w:r w:rsidRPr="00552DFF">
              <w:rPr>
                <w:rFonts w:cs="Times New Roman"/>
                <w:sz w:val="20"/>
              </w:rPr>
              <w:t>C</w:t>
            </w:r>
            <w:r w:rsidRPr="00552DFF">
              <w:rPr>
                <w:rFonts w:cs="Times New Roman"/>
                <w:sz w:val="20"/>
                <w:vertAlign w:val="subscript"/>
              </w:rPr>
              <w:t>max</w:t>
            </w:r>
            <w:proofErr w:type="spellEnd"/>
            <w:r w:rsidRPr="00552DFF">
              <w:rPr>
                <w:rFonts w:cs="Times New Roman"/>
                <w:sz w:val="20"/>
              </w:rPr>
              <w:t xml:space="preserve"> </w:t>
            </w:r>
            <w:r w:rsidRPr="00552DFF">
              <w:rPr>
                <w:rFonts w:cs="Times New Roman"/>
                <w:sz w:val="20"/>
              </w:rPr>
              <w:sym w:font="Symbol" w:char="F0AD"/>
            </w:r>
            <w:r w:rsidRPr="00552DFF">
              <w:rPr>
                <w:rFonts w:cs="Times New Roman"/>
                <w:sz w:val="20"/>
              </w:rPr>
              <w:t> 53%</w:t>
            </w:r>
            <w:r w:rsidRPr="00552DFF">
              <w:rPr>
                <w:rFonts w:cs="Times New Roman"/>
                <w:sz w:val="20"/>
              </w:rPr>
              <w:br/>
              <w:t>C</w:t>
            </w:r>
            <w:r w:rsidRPr="00552DFF">
              <w:rPr>
                <w:rFonts w:cs="Times New Roman"/>
                <w:sz w:val="20"/>
              </w:rPr>
              <w:sym w:font="Symbol" w:char="F074"/>
            </w:r>
            <w:r w:rsidRPr="00552DFF">
              <w:rPr>
                <w:rFonts w:cs="Times New Roman"/>
                <w:sz w:val="20"/>
              </w:rPr>
              <w:t xml:space="preserve"> </w:t>
            </w:r>
            <w:r w:rsidRPr="00552DFF">
              <w:rPr>
                <w:rFonts w:cs="Times New Roman"/>
                <w:sz w:val="20"/>
              </w:rPr>
              <w:sym w:font="Symbol" w:char="F0AD"/>
            </w:r>
            <w:r w:rsidRPr="00552DFF">
              <w:rPr>
                <w:rFonts w:cs="Times New Roman"/>
                <w:sz w:val="20"/>
              </w:rPr>
              <w:t> 44%</w:t>
            </w:r>
            <w:r w:rsidRPr="00552DFF">
              <w:rPr>
                <w:rFonts w:cs="Times New Roman"/>
                <w:sz w:val="20"/>
              </w:rPr>
              <w:br/>
            </w:r>
            <w:r w:rsidRPr="00552DFF">
              <w:rPr>
                <w:rFonts w:eastAsia="MS Mincho" w:cs="Times New Roman"/>
                <w:sz w:val="20"/>
                <w:lang w:val="en-US"/>
              </w:rPr>
              <w:br/>
              <w:t xml:space="preserve">RTV </w:t>
            </w:r>
            <w:r w:rsidRPr="00552DFF">
              <w:rPr>
                <w:rFonts w:cs="Times New Roman"/>
                <w:sz w:val="20"/>
              </w:rPr>
              <w:sym w:font="Symbol" w:char="F0AB"/>
            </w:r>
          </w:p>
        </w:tc>
        <w:tc>
          <w:tcPr>
            <w:tcW w:w="3006" w:type="dxa"/>
          </w:tcPr>
          <w:p w14:paraId="0A436E91" w14:textId="77777777" w:rsidR="00552DFF" w:rsidRPr="00552DFF" w:rsidRDefault="00552DFF" w:rsidP="00552DFF">
            <w:pPr>
              <w:rPr>
                <w:rFonts w:ascii="Arial Narrow" w:hAnsi="Arial Narrow" w:cstheme="minorHAnsi"/>
                <w:sz w:val="20"/>
                <w:szCs w:val="20"/>
                <w:lang w:val="en"/>
              </w:rPr>
            </w:pPr>
            <w:r w:rsidRPr="00552DFF">
              <w:rPr>
                <w:rFonts w:ascii="Arial Narrow" w:hAnsi="Arial Narrow" w:cstheme="minorHAnsi"/>
                <w:sz w:val="20"/>
                <w:szCs w:val="20"/>
                <w:lang w:val="en"/>
              </w:rPr>
              <w:t xml:space="preserve">Ritonavir increased </w:t>
            </w:r>
            <w:proofErr w:type="spellStart"/>
            <w:r w:rsidRPr="00552DFF">
              <w:rPr>
                <w:rFonts w:ascii="Arial Narrow" w:hAnsi="Arial Narrow" w:cstheme="minorHAnsi"/>
                <w:sz w:val="20"/>
                <w:szCs w:val="20"/>
                <w:lang w:val="en"/>
              </w:rPr>
              <w:t>temsavir</w:t>
            </w:r>
            <w:proofErr w:type="spellEnd"/>
            <w:r w:rsidRPr="00552DFF">
              <w:rPr>
                <w:rFonts w:ascii="Arial Narrow" w:hAnsi="Arial Narrow" w:cstheme="minorHAnsi"/>
                <w:sz w:val="20"/>
                <w:szCs w:val="20"/>
                <w:lang w:val="en"/>
              </w:rPr>
              <w:t xml:space="preserve"> plasma concentrations with no clinically relevant impact. No dose adjustment of either drug is necessary.</w:t>
            </w:r>
          </w:p>
        </w:tc>
      </w:tr>
      <w:tr w:rsidR="00552DFF" w:rsidRPr="00552DFF" w14:paraId="6237FCA6" w14:textId="77777777" w:rsidTr="00902CFB">
        <w:trPr>
          <w:trHeight w:val="473"/>
        </w:trPr>
        <w:tc>
          <w:tcPr>
            <w:tcW w:w="3005" w:type="dxa"/>
          </w:tcPr>
          <w:p w14:paraId="7B9D0302" w14:textId="77777777" w:rsidR="00552DFF" w:rsidRPr="00552DFF" w:rsidRDefault="00552DFF" w:rsidP="00552DFF">
            <w:pPr>
              <w:rPr>
                <w:rFonts w:ascii="Arial Narrow" w:hAnsi="Arial Narrow" w:cstheme="minorHAnsi"/>
                <w:sz w:val="20"/>
                <w:szCs w:val="20"/>
                <w:lang w:val="en"/>
              </w:rPr>
            </w:pPr>
            <w:r w:rsidRPr="00552DFF">
              <w:rPr>
                <w:rFonts w:ascii="Arial Narrow" w:hAnsi="Arial Narrow" w:cstheme="minorHAnsi"/>
                <w:sz w:val="20"/>
                <w:szCs w:val="20"/>
                <w:lang w:val="en"/>
              </w:rPr>
              <w:t>Protease Inhibitor: Atazanavir (ATV)/ritonavir (RTV)</w:t>
            </w:r>
          </w:p>
        </w:tc>
        <w:tc>
          <w:tcPr>
            <w:tcW w:w="3005" w:type="dxa"/>
          </w:tcPr>
          <w:p w14:paraId="51896EDE" w14:textId="77777777" w:rsidR="00552DFF" w:rsidRPr="00552DFF" w:rsidRDefault="00552DFF" w:rsidP="00552DFF">
            <w:pPr>
              <w:pStyle w:val="tabletextNS"/>
              <w:spacing w:after="240"/>
              <w:rPr>
                <w:rFonts w:eastAsia="MS Mincho" w:cs="Times New Roman"/>
                <w:sz w:val="20"/>
                <w:lang w:val="en-US"/>
              </w:rPr>
            </w:pPr>
            <w:proofErr w:type="spellStart"/>
            <w:r w:rsidRPr="00552DFF">
              <w:rPr>
                <w:rFonts w:eastAsia="MS Mincho" w:cs="Times New Roman"/>
                <w:sz w:val="20"/>
                <w:lang w:val="en-US"/>
              </w:rPr>
              <w:t>Temsavir</w:t>
            </w:r>
            <w:proofErr w:type="spellEnd"/>
            <w:r w:rsidRPr="00552DFF">
              <w:rPr>
                <w:rFonts w:eastAsia="MS Mincho" w:cs="Times New Roman"/>
                <w:sz w:val="20"/>
                <w:lang w:val="en-US"/>
              </w:rPr>
              <w:t xml:space="preserve"> </w:t>
            </w:r>
            <w:r w:rsidRPr="00552DFF">
              <w:rPr>
                <w:rFonts w:cs="Times New Roman"/>
                <w:sz w:val="20"/>
              </w:rPr>
              <w:sym w:font="Symbol" w:char="F0AD"/>
            </w:r>
            <w:r w:rsidRPr="00552DFF">
              <w:rPr>
                <w:rFonts w:cs="Times New Roman"/>
                <w:sz w:val="20"/>
              </w:rPr>
              <w:br/>
              <w:t xml:space="preserve">AUC </w:t>
            </w:r>
            <w:r w:rsidRPr="00552DFF">
              <w:rPr>
                <w:rFonts w:cs="Times New Roman"/>
                <w:sz w:val="20"/>
              </w:rPr>
              <w:sym w:font="Symbol" w:char="F0AD"/>
            </w:r>
            <w:r w:rsidRPr="00552DFF">
              <w:rPr>
                <w:rFonts w:cs="Times New Roman"/>
                <w:sz w:val="20"/>
              </w:rPr>
              <w:t> 54%</w:t>
            </w:r>
            <w:r w:rsidRPr="00552DFF">
              <w:rPr>
                <w:rFonts w:cs="Times New Roman"/>
                <w:sz w:val="20"/>
              </w:rPr>
              <w:br/>
            </w:r>
            <w:proofErr w:type="spellStart"/>
            <w:r w:rsidRPr="00552DFF">
              <w:rPr>
                <w:rFonts w:cs="Times New Roman"/>
                <w:sz w:val="20"/>
              </w:rPr>
              <w:t>C</w:t>
            </w:r>
            <w:r w:rsidRPr="00552DFF">
              <w:rPr>
                <w:rFonts w:cs="Times New Roman"/>
                <w:sz w:val="20"/>
                <w:vertAlign w:val="subscript"/>
              </w:rPr>
              <w:t>max</w:t>
            </w:r>
            <w:proofErr w:type="spellEnd"/>
            <w:r w:rsidRPr="00552DFF">
              <w:rPr>
                <w:rFonts w:cs="Times New Roman"/>
                <w:sz w:val="20"/>
              </w:rPr>
              <w:t xml:space="preserve"> </w:t>
            </w:r>
            <w:r w:rsidRPr="00552DFF">
              <w:rPr>
                <w:rFonts w:cs="Times New Roman"/>
                <w:sz w:val="20"/>
              </w:rPr>
              <w:sym w:font="Symbol" w:char="F0AD"/>
            </w:r>
            <w:r w:rsidRPr="00552DFF">
              <w:rPr>
                <w:rFonts w:cs="Times New Roman"/>
                <w:sz w:val="20"/>
              </w:rPr>
              <w:t> 68%</w:t>
            </w:r>
            <w:r w:rsidRPr="00552DFF">
              <w:rPr>
                <w:rFonts w:cs="Times New Roman"/>
                <w:sz w:val="20"/>
              </w:rPr>
              <w:br/>
              <w:t>C</w:t>
            </w:r>
            <w:r w:rsidRPr="00552DFF">
              <w:rPr>
                <w:rFonts w:cs="Times New Roman"/>
                <w:sz w:val="20"/>
              </w:rPr>
              <w:sym w:font="Symbol" w:char="F074"/>
            </w:r>
            <w:r w:rsidRPr="00552DFF">
              <w:rPr>
                <w:rFonts w:cs="Times New Roman"/>
                <w:sz w:val="20"/>
              </w:rPr>
              <w:t xml:space="preserve"> </w:t>
            </w:r>
            <w:r w:rsidRPr="00552DFF">
              <w:rPr>
                <w:rFonts w:cs="Times New Roman"/>
                <w:sz w:val="20"/>
              </w:rPr>
              <w:sym w:font="Symbol" w:char="F0AD"/>
            </w:r>
            <w:r w:rsidRPr="00552DFF">
              <w:rPr>
                <w:rFonts w:cs="Times New Roman"/>
                <w:sz w:val="20"/>
              </w:rPr>
              <w:t> 57%</w:t>
            </w:r>
            <w:r w:rsidRPr="00552DFF">
              <w:rPr>
                <w:rFonts w:cs="Times New Roman"/>
                <w:sz w:val="20"/>
              </w:rPr>
              <w:br/>
            </w:r>
            <w:r w:rsidRPr="00552DFF">
              <w:rPr>
                <w:rFonts w:eastAsia="MS Mincho" w:cs="Times New Roman"/>
                <w:sz w:val="20"/>
                <w:lang w:val="en-US"/>
              </w:rPr>
              <w:br/>
            </w:r>
            <w:r w:rsidRPr="00552DFF">
              <w:rPr>
                <w:rFonts w:eastAsia="MS Mincho" w:cs="Times New Roman"/>
                <w:sz w:val="20"/>
                <w:lang w:val="en-US"/>
              </w:rPr>
              <w:lastRenderedPageBreak/>
              <w:t xml:space="preserve">ATV </w:t>
            </w:r>
            <w:r w:rsidRPr="00552DFF">
              <w:rPr>
                <w:rFonts w:cs="Times New Roman"/>
                <w:sz w:val="20"/>
              </w:rPr>
              <w:sym w:font="Symbol" w:char="F0AB"/>
            </w:r>
            <w:r w:rsidRPr="00552DFF">
              <w:rPr>
                <w:rFonts w:eastAsia="MS Mincho" w:cs="Times New Roman"/>
                <w:sz w:val="20"/>
                <w:lang w:val="en-US"/>
              </w:rPr>
              <w:br/>
              <w:t xml:space="preserve">RTV </w:t>
            </w:r>
            <w:r w:rsidRPr="00552DFF">
              <w:rPr>
                <w:rFonts w:cs="Times New Roman"/>
                <w:sz w:val="20"/>
              </w:rPr>
              <w:sym w:font="Symbol" w:char="F0AB"/>
            </w:r>
          </w:p>
        </w:tc>
        <w:tc>
          <w:tcPr>
            <w:tcW w:w="3006" w:type="dxa"/>
          </w:tcPr>
          <w:p w14:paraId="206F2054" w14:textId="77777777" w:rsidR="00552DFF" w:rsidRPr="00552DFF" w:rsidRDefault="00552DFF" w:rsidP="00552DFF">
            <w:pPr>
              <w:rPr>
                <w:rFonts w:ascii="Arial Narrow" w:hAnsi="Arial Narrow" w:cstheme="minorHAnsi"/>
                <w:sz w:val="20"/>
                <w:szCs w:val="20"/>
                <w:lang w:val="en"/>
              </w:rPr>
            </w:pPr>
            <w:r w:rsidRPr="00552DFF">
              <w:rPr>
                <w:rFonts w:ascii="Arial Narrow" w:hAnsi="Arial Narrow" w:cstheme="minorHAnsi"/>
                <w:sz w:val="20"/>
                <w:szCs w:val="20"/>
                <w:lang w:val="en"/>
              </w:rPr>
              <w:lastRenderedPageBreak/>
              <w:t xml:space="preserve">Atazanavir/ritonavir increased </w:t>
            </w:r>
            <w:proofErr w:type="spellStart"/>
            <w:r w:rsidRPr="00552DFF">
              <w:rPr>
                <w:rFonts w:ascii="Arial Narrow" w:hAnsi="Arial Narrow" w:cstheme="minorHAnsi"/>
                <w:sz w:val="20"/>
                <w:szCs w:val="20"/>
                <w:lang w:val="en"/>
              </w:rPr>
              <w:t>temsavir</w:t>
            </w:r>
            <w:proofErr w:type="spellEnd"/>
            <w:r w:rsidRPr="00552DFF">
              <w:rPr>
                <w:rFonts w:ascii="Arial Narrow" w:hAnsi="Arial Narrow" w:cstheme="minorHAnsi"/>
                <w:sz w:val="20"/>
                <w:szCs w:val="20"/>
                <w:lang w:val="en"/>
              </w:rPr>
              <w:t xml:space="preserve"> concentrations with no clinically relevant impact. No dose adjustment of either drug is necessary.</w:t>
            </w:r>
          </w:p>
        </w:tc>
      </w:tr>
      <w:tr w:rsidR="00552DFF" w:rsidRPr="00552DFF" w14:paraId="505103F2" w14:textId="77777777" w:rsidTr="00902CFB">
        <w:trPr>
          <w:trHeight w:val="473"/>
        </w:trPr>
        <w:tc>
          <w:tcPr>
            <w:tcW w:w="3005" w:type="dxa"/>
          </w:tcPr>
          <w:p w14:paraId="18E446BF" w14:textId="77777777" w:rsidR="00552DFF" w:rsidRPr="00552DFF" w:rsidRDefault="00552DFF" w:rsidP="00552DFF">
            <w:pPr>
              <w:rPr>
                <w:rFonts w:ascii="Arial Narrow" w:hAnsi="Arial Narrow" w:cstheme="minorHAnsi"/>
                <w:sz w:val="20"/>
                <w:szCs w:val="20"/>
                <w:lang w:val="en"/>
              </w:rPr>
            </w:pPr>
            <w:r w:rsidRPr="00552DFF">
              <w:rPr>
                <w:rFonts w:ascii="Arial Narrow" w:hAnsi="Arial Narrow" w:cstheme="minorHAnsi"/>
                <w:sz w:val="20"/>
                <w:szCs w:val="20"/>
                <w:lang w:val="en"/>
              </w:rPr>
              <w:t>Protease Inhibitor: Darunavir (DRV)/cobicistat</w:t>
            </w:r>
          </w:p>
        </w:tc>
        <w:tc>
          <w:tcPr>
            <w:tcW w:w="3005" w:type="dxa"/>
          </w:tcPr>
          <w:p w14:paraId="087ACA15" w14:textId="77777777" w:rsidR="00552DFF" w:rsidRPr="00552DFF" w:rsidRDefault="00552DFF" w:rsidP="00552DFF">
            <w:pPr>
              <w:pStyle w:val="tabletextNS"/>
              <w:spacing w:after="240"/>
              <w:rPr>
                <w:rFonts w:cs="Times New Roman"/>
                <w:sz w:val="20"/>
              </w:rPr>
            </w:pPr>
            <w:proofErr w:type="spellStart"/>
            <w:r w:rsidRPr="00552DFF">
              <w:rPr>
                <w:rFonts w:cs="Times New Roman"/>
                <w:sz w:val="20"/>
              </w:rPr>
              <w:t>Temsavir</w:t>
            </w:r>
            <w:proofErr w:type="spellEnd"/>
            <w:r w:rsidRPr="00552DFF">
              <w:rPr>
                <w:rFonts w:cs="Times New Roman"/>
                <w:sz w:val="20"/>
              </w:rPr>
              <w:t xml:space="preserve"> </w:t>
            </w:r>
            <w:r w:rsidRPr="00552DFF">
              <w:rPr>
                <w:rFonts w:cs="Times New Roman"/>
                <w:sz w:val="20"/>
              </w:rPr>
              <w:sym w:font="Symbol" w:char="F0AD"/>
            </w:r>
            <w:r w:rsidRPr="00552DFF">
              <w:rPr>
                <w:rFonts w:cs="Times New Roman"/>
                <w:sz w:val="20"/>
              </w:rPr>
              <w:br/>
              <w:t xml:space="preserve">AUC </w:t>
            </w:r>
            <w:r w:rsidRPr="00552DFF">
              <w:rPr>
                <w:rFonts w:cs="Times New Roman"/>
                <w:sz w:val="20"/>
              </w:rPr>
              <w:sym w:font="Symbol" w:char="F0AD"/>
            </w:r>
            <w:r w:rsidRPr="00552DFF">
              <w:rPr>
                <w:rFonts w:cs="Times New Roman"/>
                <w:sz w:val="20"/>
              </w:rPr>
              <w:t> 97%</w:t>
            </w:r>
            <w:r w:rsidRPr="00552DFF">
              <w:rPr>
                <w:rFonts w:cs="Times New Roman"/>
                <w:sz w:val="20"/>
              </w:rPr>
              <w:br/>
            </w:r>
            <w:proofErr w:type="spellStart"/>
            <w:r w:rsidRPr="00552DFF">
              <w:rPr>
                <w:rFonts w:cs="Times New Roman"/>
                <w:sz w:val="20"/>
              </w:rPr>
              <w:t>C</w:t>
            </w:r>
            <w:r w:rsidRPr="00552DFF">
              <w:rPr>
                <w:rFonts w:cs="Times New Roman"/>
                <w:sz w:val="20"/>
                <w:vertAlign w:val="subscript"/>
              </w:rPr>
              <w:t>max</w:t>
            </w:r>
            <w:proofErr w:type="spellEnd"/>
            <w:r w:rsidRPr="00552DFF">
              <w:rPr>
                <w:rFonts w:cs="Times New Roman"/>
                <w:sz w:val="20"/>
              </w:rPr>
              <w:t xml:space="preserve"> </w:t>
            </w:r>
            <w:r w:rsidRPr="00552DFF">
              <w:rPr>
                <w:rFonts w:cs="Times New Roman"/>
                <w:sz w:val="20"/>
              </w:rPr>
              <w:sym w:font="Symbol" w:char="F0AD"/>
            </w:r>
            <w:r w:rsidRPr="00552DFF">
              <w:rPr>
                <w:rFonts w:cs="Times New Roman"/>
                <w:sz w:val="20"/>
              </w:rPr>
              <w:t> 79%</w:t>
            </w:r>
            <w:r w:rsidRPr="00552DFF">
              <w:rPr>
                <w:rFonts w:cs="Times New Roman"/>
                <w:sz w:val="20"/>
              </w:rPr>
              <w:br/>
              <w:t>C</w:t>
            </w:r>
            <w:r w:rsidRPr="00552DFF">
              <w:rPr>
                <w:rFonts w:cs="Times New Roman"/>
                <w:sz w:val="20"/>
              </w:rPr>
              <w:sym w:font="Symbol" w:char="F074"/>
            </w:r>
            <w:r w:rsidRPr="00552DFF">
              <w:rPr>
                <w:rFonts w:cs="Times New Roman"/>
                <w:sz w:val="20"/>
              </w:rPr>
              <w:t xml:space="preserve"> </w:t>
            </w:r>
            <w:r w:rsidRPr="00552DFF">
              <w:rPr>
                <w:rFonts w:cs="Times New Roman"/>
                <w:sz w:val="20"/>
              </w:rPr>
              <w:sym w:font="Symbol" w:char="F0AD"/>
            </w:r>
            <w:r w:rsidRPr="00552DFF">
              <w:rPr>
                <w:rFonts w:cs="Times New Roman"/>
                <w:sz w:val="20"/>
              </w:rPr>
              <w:t> 124%</w:t>
            </w:r>
          </w:p>
        </w:tc>
        <w:tc>
          <w:tcPr>
            <w:tcW w:w="3006" w:type="dxa"/>
          </w:tcPr>
          <w:p w14:paraId="69A7400C" w14:textId="77777777" w:rsidR="00552DFF" w:rsidRPr="00552DFF" w:rsidRDefault="00552DFF" w:rsidP="00552DFF">
            <w:pPr>
              <w:rPr>
                <w:rFonts w:ascii="Arial Narrow" w:hAnsi="Arial Narrow" w:cstheme="minorHAnsi"/>
                <w:sz w:val="20"/>
                <w:szCs w:val="20"/>
                <w:lang w:val="en"/>
              </w:rPr>
            </w:pPr>
            <w:r w:rsidRPr="00552DFF">
              <w:rPr>
                <w:rFonts w:ascii="Arial Narrow" w:hAnsi="Arial Narrow" w:cstheme="minorHAnsi"/>
                <w:sz w:val="20"/>
                <w:szCs w:val="20"/>
                <w:lang w:val="en"/>
              </w:rPr>
              <w:t xml:space="preserve">Darunavir/cobicistat increased </w:t>
            </w:r>
            <w:proofErr w:type="spellStart"/>
            <w:r w:rsidRPr="00552DFF">
              <w:rPr>
                <w:rFonts w:ascii="Arial Narrow" w:hAnsi="Arial Narrow" w:cstheme="minorHAnsi"/>
                <w:sz w:val="20"/>
                <w:szCs w:val="20"/>
                <w:lang w:val="en"/>
              </w:rPr>
              <w:t>temsavir</w:t>
            </w:r>
            <w:proofErr w:type="spellEnd"/>
            <w:r w:rsidRPr="00552DFF">
              <w:rPr>
                <w:rFonts w:ascii="Arial Narrow" w:hAnsi="Arial Narrow" w:cstheme="minorHAnsi"/>
                <w:sz w:val="20"/>
                <w:szCs w:val="20"/>
                <w:lang w:val="en"/>
              </w:rPr>
              <w:t xml:space="preserve"> plasma concentrations with no clinically relevant impact. No dose adjustment is necessary.</w:t>
            </w:r>
          </w:p>
        </w:tc>
      </w:tr>
      <w:tr w:rsidR="00552DFF" w:rsidRPr="00552DFF" w14:paraId="2E4CC0D4" w14:textId="77777777" w:rsidTr="00902CFB">
        <w:trPr>
          <w:trHeight w:val="473"/>
        </w:trPr>
        <w:tc>
          <w:tcPr>
            <w:tcW w:w="3005" w:type="dxa"/>
          </w:tcPr>
          <w:p w14:paraId="4F1130DB" w14:textId="77777777" w:rsidR="00552DFF" w:rsidRPr="00552DFF" w:rsidRDefault="00552DFF" w:rsidP="00552DFF">
            <w:pPr>
              <w:rPr>
                <w:rFonts w:ascii="Arial Narrow" w:hAnsi="Arial Narrow" w:cstheme="minorHAnsi"/>
                <w:sz w:val="20"/>
                <w:szCs w:val="20"/>
                <w:lang w:val="en"/>
              </w:rPr>
            </w:pPr>
            <w:r w:rsidRPr="00552DFF">
              <w:rPr>
                <w:rFonts w:ascii="Arial Narrow" w:hAnsi="Arial Narrow" w:cstheme="minorHAnsi"/>
                <w:sz w:val="20"/>
                <w:szCs w:val="20"/>
                <w:lang w:val="en"/>
              </w:rPr>
              <w:t>Protease Inhibitor: Darunavir (DRV)/ritonavir</w:t>
            </w:r>
          </w:p>
        </w:tc>
        <w:tc>
          <w:tcPr>
            <w:tcW w:w="3005" w:type="dxa"/>
          </w:tcPr>
          <w:p w14:paraId="618C2882" w14:textId="77777777" w:rsidR="00552DFF" w:rsidRPr="00552DFF" w:rsidRDefault="00552DFF" w:rsidP="00552DFF">
            <w:pPr>
              <w:pStyle w:val="tabletextNS"/>
              <w:spacing w:after="240"/>
              <w:rPr>
                <w:rFonts w:eastAsia="MS Mincho" w:cstheme="minorHAnsi"/>
                <w:sz w:val="20"/>
                <w:lang w:val="en-US"/>
              </w:rPr>
            </w:pPr>
            <w:proofErr w:type="spellStart"/>
            <w:r w:rsidRPr="00552DFF">
              <w:rPr>
                <w:rFonts w:eastAsia="MS Mincho" w:cstheme="minorHAnsi"/>
                <w:sz w:val="20"/>
                <w:lang w:val="en-US"/>
              </w:rPr>
              <w:t>Temsavir</w:t>
            </w:r>
            <w:proofErr w:type="spellEnd"/>
            <w:r w:rsidRPr="00552DFF">
              <w:rPr>
                <w:rFonts w:eastAsia="MS Mincho" w:cstheme="minorHAnsi"/>
                <w:sz w:val="20"/>
                <w:lang w:val="en-US"/>
              </w:rPr>
              <w:t xml:space="preserve"> </w:t>
            </w:r>
            <w:r w:rsidRPr="00552DFF">
              <w:rPr>
                <w:rFonts w:cstheme="minorHAnsi"/>
                <w:sz w:val="20"/>
              </w:rPr>
              <w:sym w:font="Symbol" w:char="F0AD"/>
            </w:r>
            <w:r w:rsidRPr="00552DFF">
              <w:rPr>
                <w:rFonts w:cstheme="minorHAnsi"/>
                <w:sz w:val="20"/>
              </w:rPr>
              <w:br/>
              <w:t xml:space="preserve">AUC </w:t>
            </w:r>
            <w:r w:rsidRPr="00552DFF">
              <w:rPr>
                <w:rFonts w:cstheme="minorHAnsi"/>
                <w:sz w:val="20"/>
              </w:rPr>
              <w:sym w:font="Symbol" w:char="F0AD"/>
            </w:r>
            <w:r w:rsidRPr="00552DFF">
              <w:rPr>
                <w:rFonts w:cstheme="minorHAnsi"/>
                <w:sz w:val="20"/>
              </w:rPr>
              <w:t> 34%</w:t>
            </w:r>
            <w:r w:rsidRPr="00552DFF">
              <w:rPr>
                <w:rFonts w:cstheme="minorHAnsi"/>
                <w:sz w:val="20"/>
              </w:rPr>
              <w:br/>
            </w:r>
            <w:proofErr w:type="spellStart"/>
            <w:r w:rsidRPr="00552DFF">
              <w:rPr>
                <w:rFonts w:cstheme="minorHAnsi"/>
                <w:sz w:val="20"/>
              </w:rPr>
              <w:t>C</w:t>
            </w:r>
            <w:r w:rsidRPr="00552DFF">
              <w:rPr>
                <w:rFonts w:cstheme="minorHAnsi"/>
                <w:sz w:val="20"/>
                <w:vertAlign w:val="subscript"/>
              </w:rPr>
              <w:t>max</w:t>
            </w:r>
            <w:proofErr w:type="spellEnd"/>
            <w:r w:rsidRPr="00552DFF">
              <w:rPr>
                <w:rFonts w:cstheme="minorHAnsi"/>
                <w:sz w:val="20"/>
              </w:rPr>
              <w:t xml:space="preserve"> </w:t>
            </w:r>
            <w:r w:rsidRPr="00552DFF">
              <w:rPr>
                <w:rFonts w:cstheme="minorHAnsi"/>
                <w:sz w:val="20"/>
              </w:rPr>
              <w:sym w:font="Symbol" w:char="F0AD"/>
            </w:r>
            <w:r w:rsidRPr="00552DFF">
              <w:rPr>
                <w:rFonts w:cstheme="minorHAnsi"/>
                <w:sz w:val="20"/>
              </w:rPr>
              <w:t> 53%</w:t>
            </w:r>
            <w:r w:rsidRPr="00552DFF">
              <w:rPr>
                <w:rFonts w:cstheme="minorHAnsi"/>
                <w:sz w:val="20"/>
              </w:rPr>
              <w:br/>
              <w:t>C</w:t>
            </w:r>
            <w:r w:rsidRPr="00552DFF">
              <w:rPr>
                <w:rFonts w:cstheme="minorHAnsi"/>
                <w:sz w:val="20"/>
              </w:rPr>
              <w:sym w:font="Symbol" w:char="F074"/>
            </w:r>
            <w:r w:rsidRPr="00552DFF">
              <w:rPr>
                <w:rFonts w:cstheme="minorHAnsi"/>
                <w:sz w:val="20"/>
              </w:rPr>
              <w:t xml:space="preserve"> </w:t>
            </w:r>
            <w:r w:rsidRPr="00552DFF">
              <w:rPr>
                <w:rFonts w:cstheme="minorHAnsi"/>
                <w:sz w:val="20"/>
              </w:rPr>
              <w:sym w:font="Symbol" w:char="F0AD"/>
            </w:r>
            <w:r w:rsidRPr="00552DFF">
              <w:rPr>
                <w:rFonts w:cstheme="minorHAnsi"/>
                <w:sz w:val="20"/>
              </w:rPr>
              <w:t> 33%</w:t>
            </w:r>
            <w:r w:rsidRPr="00552DFF">
              <w:rPr>
                <w:rFonts w:cstheme="minorHAnsi"/>
                <w:sz w:val="20"/>
              </w:rPr>
              <w:br/>
            </w:r>
            <w:r w:rsidRPr="00552DFF">
              <w:rPr>
                <w:rFonts w:cstheme="minorHAnsi"/>
                <w:sz w:val="20"/>
              </w:rPr>
              <w:br/>
            </w:r>
            <w:r w:rsidRPr="00552DFF">
              <w:rPr>
                <w:rFonts w:eastAsia="MS Mincho" w:cstheme="minorHAnsi"/>
                <w:sz w:val="20"/>
                <w:lang w:val="en-US"/>
              </w:rPr>
              <w:t xml:space="preserve">Darunavir </w:t>
            </w:r>
            <w:r w:rsidRPr="00552DFF">
              <w:rPr>
                <w:rFonts w:cstheme="minorHAnsi"/>
                <w:sz w:val="20"/>
              </w:rPr>
              <w:sym w:font="Symbol" w:char="F0AF"/>
            </w:r>
            <w:r w:rsidRPr="00552DFF">
              <w:rPr>
                <w:rFonts w:cstheme="minorHAnsi"/>
                <w:sz w:val="20"/>
              </w:rPr>
              <w:br/>
              <w:t xml:space="preserve">AUC </w:t>
            </w:r>
            <w:r w:rsidRPr="00552DFF">
              <w:rPr>
                <w:rFonts w:cstheme="minorHAnsi"/>
                <w:sz w:val="20"/>
              </w:rPr>
              <w:sym w:font="Symbol" w:char="F0AF"/>
            </w:r>
            <w:r w:rsidRPr="00552DFF">
              <w:rPr>
                <w:rFonts w:cstheme="minorHAnsi"/>
                <w:sz w:val="20"/>
              </w:rPr>
              <w:t> 6%</w:t>
            </w:r>
            <w:r w:rsidRPr="00552DFF">
              <w:rPr>
                <w:rFonts w:cstheme="minorHAnsi"/>
                <w:sz w:val="20"/>
              </w:rPr>
              <w:br/>
            </w:r>
            <w:proofErr w:type="spellStart"/>
            <w:r w:rsidRPr="00552DFF">
              <w:rPr>
                <w:rFonts w:cstheme="minorHAnsi"/>
                <w:sz w:val="20"/>
              </w:rPr>
              <w:t>C</w:t>
            </w:r>
            <w:r w:rsidRPr="00552DFF">
              <w:rPr>
                <w:rFonts w:cstheme="minorHAnsi"/>
                <w:sz w:val="20"/>
                <w:vertAlign w:val="subscript"/>
              </w:rPr>
              <w:t>max</w:t>
            </w:r>
            <w:proofErr w:type="spellEnd"/>
            <w:r w:rsidRPr="00552DFF">
              <w:rPr>
                <w:rFonts w:cstheme="minorHAnsi"/>
                <w:sz w:val="20"/>
              </w:rPr>
              <w:t xml:space="preserve"> </w:t>
            </w:r>
            <w:r w:rsidRPr="00552DFF">
              <w:rPr>
                <w:rFonts w:cstheme="minorHAnsi"/>
                <w:sz w:val="20"/>
              </w:rPr>
              <w:sym w:font="Symbol" w:char="F0AF"/>
            </w:r>
            <w:r w:rsidRPr="00552DFF">
              <w:rPr>
                <w:rFonts w:cstheme="minorHAnsi"/>
                <w:sz w:val="20"/>
              </w:rPr>
              <w:t> 5%</w:t>
            </w:r>
            <w:r w:rsidRPr="00552DFF">
              <w:rPr>
                <w:rFonts w:cstheme="minorHAnsi"/>
                <w:sz w:val="20"/>
              </w:rPr>
              <w:br/>
              <w:t>C</w:t>
            </w:r>
            <w:r w:rsidRPr="00552DFF">
              <w:rPr>
                <w:rFonts w:cstheme="minorHAnsi"/>
                <w:sz w:val="20"/>
              </w:rPr>
              <w:sym w:font="Symbol" w:char="F074"/>
            </w:r>
            <w:r w:rsidRPr="00552DFF">
              <w:rPr>
                <w:rFonts w:cstheme="minorHAnsi"/>
                <w:sz w:val="20"/>
              </w:rPr>
              <w:t xml:space="preserve"> </w:t>
            </w:r>
            <w:r w:rsidRPr="00552DFF">
              <w:rPr>
                <w:rFonts w:cstheme="minorHAnsi"/>
                <w:sz w:val="20"/>
              </w:rPr>
              <w:sym w:font="Symbol" w:char="F0AF"/>
            </w:r>
            <w:r w:rsidRPr="00552DFF">
              <w:rPr>
                <w:rFonts w:cstheme="minorHAnsi"/>
                <w:sz w:val="20"/>
              </w:rPr>
              <w:t> 12%</w:t>
            </w:r>
            <w:r w:rsidRPr="00552DFF">
              <w:rPr>
                <w:rFonts w:cstheme="minorHAnsi"/>
                <w:sz w:val="20"/>
              </w:rPr>
              <w:br/>
            </w:r>
            <w:r w:rsidRPr="00552DFF">
              <w:rPr>
                <w:rFonts w:cstheme="minorHAnsi"/>
                <w:sz w:val="20"/>
              </w:rPr>
              <w:br/>
            </w:r>
            <w:r w:rsidRPr="00552DFF">
              <w:rPr>
                <w:rFonts w:eastAsia="MS Mincho" w:cstheme="minorHAnsi"/>
                <w:sz w:val="20"/>
                <w:lang w:val="en-US"/>
              </w:rPr>
              <w:t xml:space="preserve">Ritonavir </w:t>
            </w:r>
            <w:r w:rsidRPr="00552DFF">
              <w:rPr>
                <w:rFonts w:cstheme="minorHAnsi"/>
                <w:sz w:val="20"/>
              </w:rPr>
              <w:sym w:font="Symbol" w:char="F0AD"/>
            </w:r>
            <w:r w:rsidRPr="00552DFF">
              <w:rPr>
                <w:rFonts w:cstheme="minorHAnsi"/>
                <w:sz w:val="20"/>
              </w:rPr>
              <w:br/>
              <w:t xml:space="preserve">AUC </w:t>
            </w:r>
            <w:r w:rsidRPr="00552DFF">
              <w:rPr>
                <w:rFonts w:cstheme="minorHAnsi"/>
                <w:sz w:val="20"/>
              </w:rPr>
              <w:sym w:font="Symbol" w:char="F0AD"/>
            </w:r>
            <w:r w:rsidRPr="00552DFF">
              <w:rPr>
                <w:rFonts w:cstheme="minorHAnsi"/>
                <w:sz w:val="20"/>
              </w:rPr>
              <w:t> 9%</w:t>
            </w:r>
            <w:r w:rsidRPr="00552DFF">
              <w:rPr>
                <w:rFonts w:cstheme="minorHAnsi"/>
                <w:sz w:val="20"/>
              </w:rPr>
              <w:br/>
            </w:r>
            <w:proofErr w:type="spellStart"/>
            <w:r w:rsidRPr="00552DFF">
              <w:rPr>
                <w:rFonts w:cstheme="minorHAnsi"/>
                <w:sz w:val="20"/>
              </w:rPr>
              <w:t>C</w:t>
            </w:r>
            <w:r w:rsidRPr="00552DFF">
              <w:rPr>
                <w:rFonts w:cstheme="minorHAnsi"/>
                <w:sz w:val="20"/>
                <w:vertAlign w:val="subscript"/>
              </w:rPr>
              <w:t>max</w:t>
            </w:r>
            <w:proofErr w:type="spellEnd"/>
            <w:r w:rsidRPr="00552DFF">
              <w:rPr>
                <w:rFonts w:cstheme="minorHAnsi"/>
                <w:sz w:val="20"/>
              </w:rPr>
              <w:t xml:space="preserve"> </w:t>
            </w:r>
            <w:r w:rsidRPr="00552DFF">
              <w:rPr>
                <w:rFonts w:cstheme="minorHAnsi"/>
                <w:sz w:val="20"/>
              </w:rPr>
              <w:sym w:font="Symbol" w:char="F0AD"/>
            </w:r>
            <w:r w:rsidRPr="00552DFF">
              <w:rPr>
                <w:rFonts w:cstheme="minorHAnsi"/>
                <w:sz w:val="20"/>
              </w:rPr>
              <w:t> 14%</w:t>
            </w:r>
            <w:r w:rsidRPr="00552DFF">
              <w:rPr>
                <w:rFonts w:cstheme="minorHAnsi"/>
                <w:sz w:val="20"/>
              </w:rPr>
              <w:br/>
              <w:t>C</w:t>
            </w:r>
            <w:r w:rsidRPr="00552DFF">
              <w:rPr>
                <w:rFonts w:cstheme="minorHAnsi"/>
                <w:sz w:val="20"/>
              </w:rPr>
              <w:sym w:font="Symbol" w:char="F074"/>
            </w:r>
            <w:r w:rsidRPr="00552DFF">
              <w:rPr>
                <w:rFonts w:cstheme="minorHAnsi"/>
                <w:sz w:val="20"/>
              </w:rPr>
              <w:t xml:space="preserve"> </w:t>
            </w:r>
            <w:r w:rsidRPr="00552DFF">
              <w:rPr>
                <w:rFonts w:cstheme="minorHAnsi"/>
                <w:sz w:val="20"/>
              </w:rPr>
              <w:sym w:font="Symbol" w:char="F0AD"/>
            </w:r>
            <w:r w:rsidRPr="00552DFF">
              <w:rPr>
                <w:rFonts w:cstheme="minorHAnsi"/>
                <w:sz w:val="20"/>
              </w:rPr>
              <w:t> 7%</w:t>
            </w:r>
            <w:r w:rsidRPr="00552DFF">
              <w:rPr>
                <w:rFonts w:cstheme="minorHAnsi"/>
                <w:sz w:val="20"/>
              </w:rPr>
              <w:br/>
            </w:r>
            <w:r w:rsidRPr="00552DFF">
              <w:rPr>
                <w:rFonts w:cstheme="minorHAnsi"/>
                <w:sz w:val="20"/>
              </w:rPr>
              <w:br/>
            </w:r>
            <w:r w:rsidRPr="00552DFF">
              <w:rPr>
                <w:rFonts w:eastAsia="MS Mincho" w:cstheme="minorHAnsi"/>
                <w:sz w:val="20"/>
                <w:lang w:val="en-US"/>
              </w:rPr>
              <w:t xml:space="preserve">Etravirine </w:t>
            </w:r>
            <w:r w:rsidRPr="00552DFF">
              <w:rPr>
                <w:rFonts w:cstheme="minorHAnsi"/>
                <w:sz w:val="20"/>
              </w:rPr>
              <w:sym w:font="Symbol" w:char="F0AB"/>
            </w:r>
            <w:r w:rsidRPr="00552DFF">
              <w:rPr>
                <w:rFonts w:cstheme="minorHAnsi"/>
                <w:sz w:val="20"/>
              </w:rPr>
              <w:br/>
              <w:t xml:space="preserve">AUC </w:t>
            </w:r>
            <w:r w:rsidRPr="00552DFF">
              <w:rPr>
                <w:rFonts w:cstheme="minorHAnsi"/>
                <w:sz w:val="20"/>
              </w:rPr>
              <w:sym w:font="Symbol" w:char="F0AD"/>
            </w:r>
            <w:r w:rsidRPr="00552DFF">
              <w:rPr>
                <w:rFonts w:cstheme="minorHAnsi"/>
                <w:sz w:val="20"/>
              </w:rPr>
              <w:t> 28%</w:t>
            </w:r>
            <w:r w:rsidRPr="00552DFF">
              <w:rPr>
                <w:rFonts w:cstheme="minorHAnsi"/>
                <w:sz w:val="20"/>
              </w:rPr>
              <w:br/>
            </w:r>
            <w:proofErr w:type="spellStart"/>
            <w:r w:rsidRPr="00552DFF">
              <w:rPr>
                <w:rFonts w:cstheme="minorHAnsi"/>
                <w:sz w:val="20"/>
              </w:rPr>
              <w:t>C</w:t>
            </w:r>
            <w:r w:rsidRPr="00552DFF">
              <w:rPr>
                <w:rFonts w:cstheme="minorHAnsi"/>
                <w:sz w:val="20"/>
                <w:vertAlign w:val="subscript"/>
              </w:rPr>
              <w:t>max</w:t>
            </w:r>
            <w:proofErr w:type="spellEnd"/>
            <w:r w:rsidRPr="00552DFF">
              <w:rPr>
                <w:rFonts w:cstheme="minorHAnsi"/>
                <w:sz w:val="20"/>
              </w:rPr>
              <w:t xml:space="preserve"> </w:t>
            </w:r>
            <w:r w:rsidRPr="00552DFF">
              <w:rPr>
                <w:rFonts w:cstheme="minorHAnsi"/>
                <w:sz w:val="20"/>
              </w:rPr>
              <w:sym w:font="Symbol" w:char="F0AD"/>
            </w:r>
            <w:r w:rsidRPr="00552DFF">
              <w:rPr>
                <w:rFonts w:cstheme="minorHAnsi"/>
                <w:sz w:val="20"/>
              </w:rPr>
              <w:t> 18%</w:t>
            </w:r>
            <w:r w:rsidRPr="00552DFF">
              <w:rPr>
                <w:rFonts w:cstheme="minorHAnsi"/>
                <w:sz w:val="20"/>
              </w:rPr>
              <w:br/>
              <w:t>C</w:t>
            </w:r>
            <w:r w:rsidRPr="00552DFF">
              <w:rPr>
                <w:rFonts w:cstheme="minorHAnsi"/>
                <w:sz w:val="20"/>
              </w:rPr>
              <w:sym w:font="Symbol" w:char="F074"/>
            </w:r>
            <w:r w:rsidRPr="00552DFF">
              <w:rPr>
                <w:rFonts w:cstheme="minorHAnsi"/>
                <w:sz w:val="20"/>
              </w:rPr>
              <w:t xml:space="preserve"> </w:t>
            </w:r>
            <w:r w:rsidRPr="00552DFF">
              <w:rPr>
                <w:rFonts w:cstheme="minorHAnsi"/>
                <w:sz w:val="20"/>
              </w:rPr>
              <w:sym w:font="Symbol" w:char="F0AD"/>
            </w:r>
            <w:r w:rsidRPr="00552DFF">
              <w:rPr>
                <w:rFonts w:cstheme="minorHAnsi"/>
                <w:sz w:val="20"/>
              </w:rPr>
              <w:t> 28%</w:t>
            </w:r>
          </w:p>
        </w:tc>
        <w:tc>
          <w:tcPr>
            <w:tcW w:w="3006" w:type="dxa"/>
          </w:tcPr>
          <w:p w14:paraId="58FAF318" w14:textId="77777777" w:rsidR="00552DFF" w:rsidRPr="00552DFF" w:rsidRDefault="00552DFF" w:rsidP="00552DFF">
            <w:pPr>
              <w:rPr>
                <w:rFonts w:ascii="Arial Narrow" w:hAnsi="Arial Narrow" w:cstheme="minorHAnsi"/>
                <w:sz w:val="20"/>
                <w:szCs w:val="20"/>
                <w:lang w:val="en"/>
              </w:rPr>
            </w:pPr>
            <w:r w:rsidRPr="00552DFF">
              <w:rPr>
                <w:rFonts w:ascii="Arial Narrow" w:hAnsi="Arial Narrow" w:cstheme="minorHAnsi"/>
                <w:sz w:val="20"/>
                <w:szCs w:val="20"/>
                <w:lang w:val="en"/>
              </w:rPr>
              <w:t xml:space="preserve">Darunavir/ritonavir increased </w:t>
            </w:r>
            <w:proofErr w:type="spellStart"/>
            <w:r w:rsidRPr="00552DFF">
              <w:rPr>
                <w:rFonts w:ascii="Arial Narrow" w:hAnsi="Arial Narrow" w:cstheme="minorHAnsi"/>
                <w:sz w:val="20"/>
                <w:szCs w:val="20"/>
                <w:lang w:val="en"/>
              </w:rPr>
              <w:t>temsavir</w:t>
            </w:r>
            <w:proofErr w:type="spellEnd"/>
            <w:r w:rsidRPr="00552DFF">
              <w:rPr>
                <w:rFonts w:ascii="Arial Narrow" w:hAnsi="Arial Narrow" w:cstheme="minorHAnsi"/>
                <w:sz w:val="20"/>
                <w:szCs w:val="20"/>
                <w:lang w:val="en"/>
              </w:rPr>
              <w:t xml:space="preserve"> plasma concentrations with no clinically relevant impact. No dose adjustment is necessary for any drug when co-administered.</w:t>
            </w:r>
          </w:p>
        </w:tc>
      </w:tr>
      <w:tr w:rsidR="00234039" w:rsidRPr="00552DFF" w14:paraId="2FF1F03D" w14:textId="77777777" w:rsidTr="00902CFB">
        <w:trPr>
          <w:trHeight w:val="473"/>
        </w:trPr>
        <w:tc>
          <w:tcPr>
            <w:tcW w:w="3005" w:type="dxa"/>
          </w:tcPr>
          <w:p w14:paraId="518E4813" w14:textId="77777777" w:rsidR="00234039" w:rsidRPr="00552DFF" w:rsidRDefault="00234039" w:rsidP="00234039">
            <w:pPr>
              <w:rPr>
                <w:rFonts w:ascii="Arial Narrow" w:hAnsi="Arial Narrow" w:cstheme="minorHAnsi"/>
                <w:sz w:val="20"/>
                <w:szCs w:val="20"/>
                <w:lang w:val="en"/>
              </w:rPr>
            </w:pPr>
            <w:r w:rsidRPr="00552DFF">
              <w:rPr>
                <w:rFonts w:ascii="Arial Narrow" w:hAnsi="Arial Narrow" w:cstheme="minorHAnsi"/>
                <w:sz w:val="20"/>
                <w:szCs w:val="20"/>
                <w:lang w:val="en"/>
              </w:rPr>
              <w:t>Protease Inhibitor:</w:t>
            </w:r>
            <w:r w:rsidRPr="00552DFF">
              <w:rPr>
                <w:rFonts w:ascii="Arial Narrow" w:hAnsi="Arial Narrow" w:cstheme="minorHAnsi"/>
                <w:sz w:val="20"/>
                <w:szCs w:val="20"/>
                <w:lang w:val="en"/>
              </w:rPr>
              <w:br/>
              <w:t>Darunavir (DRV)/ritonavir + Etravirine</w:t>
            </w:r>
          </w:p>
        </w:tc>
        <w:tc>
          <w:tcPr>
            <w:tcW w:w="3005" w:type="dxa"/>
          </w:tcPr>
          <w:p w14:paraId="5A6FF08B" w14:textId="77777777" w:rsidR="00234039" w:rsidRPr="00552DFF" w:rsidRDefault="00234039" w:rsidP="00234039">
            <w:pPr>
              <w:pStyle w:val="tabletextNS"/>
              <w:spacing w:after="240"/>
              <w:rPr>
                <w:rFonts w:eastAsia="MS Mincho" w:cstheme="minorHAnsi"/>
                <w:sz w:val="20"/>
                <w:lang w:val="en-US"/>
              </w:rPr>
            </w:pPr>
            <w:proofErr w:type="spellStart"/>
            <w:r w:rsidRPr="00552DFF">
              <w:rPr>
                <w:rFonts w:eastAsia="MS Mincho" w:cstheme="minorHAnsi"/>
                <w:sz w:val="20"/>
                <w:lang w:val="en-US"/>
              </w:rPr>
              <w:t>Temsavir</w:t>
            </w:r>
            <w:proofErr w:type="spellEnd"/>
            <w:r w:rsidRPr="00552DFF">
              <w:rPr>
                <w:rFonts w:eastAsia="MS Mincho" w:cstheme="minorHAnsi"/>
                <w:sz w:val="20"/>
                <w:lang w:val="en-US"/>
              </w:rPr>
              <w:t xml:space="preserve"> </w:t>
            </w:r>
            <w:r w:rsidRPr="00552DFF">
              <w:rPr>
                <w:rFonts w:cstheme="minorHAnsi"/>
                <w:sz w:val="20"/>
              </w:rPr>
              <w:sym w:font="Symbol" w:char="F0AD"/>
            </w:r>
            <w:r w:rsidRPr="00552DFF">
              <w:rPr>
                <w:rFonts w:cstheme="minorHAnsi"/>
                <w:sz w:val="20"/>
              </w:rPr>
              <w:br/>
              <w:t xml:space="preserve">AUC </w:t>
            </w:r>
            <w:r w:rsidRPr="00552DFF">
              <w:rPr>
                <w:rFonts w:cstheme="minorHAnsi"/>
                <w:sz w:val="20"/>
              </w:rPr>
              <w:sym w:font="Symbol" w:char="F0AD"/>
            </w:r>
            <w:r w:rsidRPr="00552DFF">
              <w:rPr>
                <w:rFonts w:cstheme="minorHAnsi"/>
                <w:sz w:val="20"/>
              </w:rPr>
              <w:t> 34%</w:t>
            </w:r>
            <w:r w:rsidRPr="00552DFF">
              <w:rPr>
                <w:rFonts w:cstheme="minorHAnsi"/>
                <w:sz w:val="20"/>
              </w:rPr>
              <w:br/>
            </w:r>
            <w:proofErr w:type="spellStart"/>
            <w:r w:rsidRPr="00552DFF">
              <w:rPr>
                <w:rFonts w:cstheme="minorHAnsi"/>
                <w:sz w:val="20"/>
              </w:rPr>
              <w:t>C</w:t>
            </w:r>
            <w:r w:rsidRPr="00552DFF">
              <w:rPr>
                <w:rFonts w:cstheme="minorHAnsi"/>
                <w:sz w:val="20"/>
                <w:vertAlign w:val="subscript"/>
              </w:rPr>
              <w:t>max</w:t>
            </w:r>
            <w:proofErr w:type="spellEnd"/>
            <w:r w:rsidRPr="00552DFF">
              <w:rPr>
                <w:rFonts w:cstheme="minorHAnsi"/>
                <w:sz w:val="20"/>
              </w:rPr>
              <w:t xml:space="preserve"> </w:t>
            </w:r>
            <w:r w:rsidRPr="00552DFF">
              <w:rPr>
                <w:rFonts w:cstheme="minorHAnsi"/>
                <w:sz w:val="20"/>
              </w:rPr>
              <w:sym w:font="Symbol" w:char="F0AD"/>
            </w:r>
            <w:r w:rsidRPr="00552DFF">
              <w:rPr>
                <w:rFonts w:cstheme="minorHAnsi"/>
                <w:sz w:val="20"/>
              </w:rPr>
              <w:t> 53%</w:t>
            </w:r>
            <w:r w:rsidRPr="00552DFF">
              <w:rPr>
                <w:rFonts w:cstheme="minorHAnsi"/>
                <w:sz w:val="20"/>
              </w:rPr>
              <w:br/>
              <w:t>C</w:t>
            </w:r>
            <w:r w:rsidRPr="00552DFF">
              <w:rPr>
                <w:rFonts w:cstheme="minorHAnsi"/>
                <w:sz w:val="20"/>
              </w:rPr>
              <w:sym w:font="Symbol" w:char="F074"/>
            </w:r>
            <w:r w:rsidRPr="00552DFF">
              <w:rPr>
                <w:rFonts w:cstheme="minorHAnsi"/>
                <w:sz w:val="20"/>
              </w:rPr>
              <w:t xml:space="preserve"> </w:t>
            </w:r>
            <w:r w:rsidRPr="00552DFF">
              <w:rPr>
                <w:rFonts w:cstheme="minorHAnsi"/>
                <w:sz w:val="20"/>
              </w:rPr>
              <w:sym w:font="Symbol" w:char="F0AD"/>
            </w:r>
            <w:r w:rsidRPr="00552DFF">
              <w:rPr>
                <w:rFonts w:cstheme="minorHAnsi"/>
                <w:sz w:val="20"/>
              </w:rPr>
              <w:t> 33%</w:t>
            </w:r>
            <w:r w:rsidRPr="00552DFF">
              <w:rPr>
                <w:rFonts w:cstheme="minorHAnsi"/>
                <w:sz w:val="20"/>
              </w:rPr>
              <w:br/>
            </w:r>
            <w:r w:rsidRPr="00552DFF">
              <w:rPr>
                <w:rFonts w:cstheme="minorHAnsi"/>
                <w:sz w:val="20"/>
              </w:rPr>
              <w:br/>
            </w:r>
            <w:r w:rsidRPr="00552DFF">
              <w:rPr>
                <w:rFonts w:eastAsia="MS Mincho" w:cstheme="minorHAnsi"/>
                <w:sz w:val="20"/>
                <w:lang w:val="en-US"/>
              </w:rPr>
              <w:t xml:space="preserve">Darunavir </w:t>
            </w:r>
            <w:r w:rsidRPr="00552DFF">
              <w:rPr>
                <w:rFonts w:cstheme="minorHAnsi"/>
                <w:sz w:val="20"/>
              </w:rPr>
              <w:sym w:font="Symbol" w:char="F0AF"/>
            </w:r>
            <w:r w:rsidRPr="00552DFF">
              <w:rPr>
                <w:rFonts w:cstheme="minorHAnsi"/>
                <w:sz w:val="20"/>
              </w:rPr>
              <w:br/>
              <w:t xml:space="preserve">AUC </w:t>
            </w:r>
            <w:r w:rsidRPr="00552DFF">
              <w:rPr>
                <w:rFonts w:cstheme="minorHAnsi"/>
                <w:sz w:val="20"/>
              </w:rPr>
              <w:sym w:font="Symbol" w:char="F0AF"/>
            </w:r>
            <w:r w:rsidRPr="00552DFF">
              <w:rPr>
                <w:rFonts w:cstheme="minorHAnsi"/>
                <w:sz w:val="20"/>
              </w:rPr>
              <w:t> 6%</w:t>
            </w:r>
            <w:r w:rsidRPr="00552DFF">
              <w:rPr>
                <w:rFonts w:cstheme="minorHAnsi"/>
                <w:sz w:val="20"/>
              </w:rPr>
              <w:br/>
            </w:r>
            <w:proofErr w:type="spellStart"/>
            <w:r w:rsidRPr="00552DFF">
              <w:rPr>
                <w:rFonts w:cstheme="minorHAnsi"/>
                <w:sz w:val="20"/>
              </w:rPr>
              <w:t>C</w:t>
            </w:r>
            <w:r w:rsidRPr="00552DFF">
              <w:rPr>
                <w:rFonts w:cstheme="minorHAnsi"/>
                <w:sz w:val="20"/>
                <w:vertAlign w:val="subscript"/>
              </w:rPr>
              <w:t>max</w:t>
            </w:r>
            <w:proofErr w:type="spellEnd"/>
            <w:r w:rsidRPr="00552DFF">
              <w:rPr>
                <w:rFonts w:cstheme="minorHAnsi"/>
                <w:sz w:val="20"/>
              </w:rPr>
              <w:t xml:space="preserve"> </w:t>
            </w:r>
            <w:r w:rsidRPr="00552DFF">
              <w:rPr>
                <w:rFonts w:cstheme="minorHAnsi"/>
                <w:sz w:val="20"/>
              </w:rPr>
              <w:sym w:font="Symbol" w:char="F0AF"/>
            </w:r>
            <w:r w:rsidRPr="00552DFF">
              <w:rPr>
                <w:rFonts w:cstheme="minorHAnsi"/>
                <w:sz w:val="20"/>
              </w:rPr>
              <w:t> 5%</w:t>
            </w:r>
            <w:r w:rsidRPr="00552DFF">
              <w:rPr>
                <w:rFonts w:cstheme="minorHAnsi"/>
                <w:sz w:val="20"/>
              </w:rPr>
              <w:br/>
              <w:t>C</w:t>
            </w:r>
            <w:r w:rsidRPr="00552DFF">
              <w:rPr>
                <w:rFonts w:cstheme="minorHAnsi"/>
                <w:sz w:val="20"/>
              </w:rPr>
              <w:sym w:font="Symbol" w:char="F074"/>
            </w:r>
            <w:r w:rsidRPr="00552DFF">
              <w:rPr>
                <w:rFonts w:cstheme="minorHAnsi"/>
                <w:sz w:val="20"/>
              </w:rPr>
              <w:t xml:space="preserve"> </w:t>
            </w:r>
            <w:r w:rsidRPr="00552DFF">
              <w:rPr>
                <w:rFonts w:cstheme="minorHAnsi"/>
                <w:sz w:val="20"/>
              </w:rPr>
              <w:sym w:font="Symbol" w:char="F0AF"/>
            </w:r>
            <w:r w:rsidRPr="00552DFF">
              <w:rPr>
                <w:rFonts w:cstheme="minorHAnsi"/>
                <w:sz w:val="20"/>
              </w:rPr>
              <w:t> 12%</w:t>
            </w:r>
            <w:r w:rsidRPr="00552DFF">
              <w:rPr>
                <w:rFonts w:cstheme="minorHAnsi"/>
                <w:sz w:val="20"/>
              </w:rPr>
              <w:br/>
            </w:r>
            <w:r w:rsidRPr="00552DFF">
              <w:rPr>
                <w:rFonts w:cstheme="minorHAnsi"/>
                <w:sz w:val="20"/>
              </w:rPr>
              <w:br/>
            </w:r>
            <w:r w:rsidRPr="00552DFF">
              <w:rPr>
                <w:rFonts w:eastAsia="MS Mincho" w:cstheme="minorHAnsi"/>
                <w:sz w:val="20"/>
                <w:lang w:val="en-US"/>
              </w:rPr>
              <w:t xml:space="preserve">Ritonavir </w:t>
            </w:r>
            <w:r w:rsidRPr="00552DFF">
              <w:rPr>
                <w:rFonts w:cstheme="minorHAnsi"/>
                <w:sz w:val="20"/>
              </w:rPr>
              <w:sym w:font="Symbol" w:char="F0AD"/>
            </w:r>
            <w:r w:rsidRPr="00552DFF">
              <w:rPr>
                <w:rFonts w:cstheme="minorHAnsi"/>
                <w:sz w:val="20"/>
              </w:rPr>
              <w:br/>
              <w:t xml:space="preserve">AUC </w:t>
            </w:r>
            <w:r w:rsidRPr="00552DFF">
              <w:rPr>
                <w:rFonts w:cstheme="minorHAnsi"/>
                <w:sz w:val="20"/>
              </w:rPr>
              <w:sym w:font="Symbol" w:char="F0AD"/>
            </w:r>
            <w:r w:rsidRPr="00552DFF">
              <w:rPr>
                <w:rFonts w:cstheme="minorHAnsi"/>
                <w:sz w:val="20"/>
              </w:rPr>
              <w:t> 9%</w:t>
            </w:r>
            <w:r w:rsidRPr="00552DFF">
              <w:rPr>
                <w:rFonts w:cstheme="minorHAnsi"/>
                <w:sz w:val="20"/>
              </w:rPr>
              <w:br/>
            </w:r>
            <w:proofErr w:type="spellStart"/>
            <w:r w:rsidRPr="00552DFF">
              <w:rPr>
                <w:rFonts w:cstheme="minorHAnsi"/>
                <w:sz w:val="20"/>
              </w:rPr>
              <w:t>C</w:t>
            </w:r>
            <w:r w:rsidRPr="00552DFF">
              <w:rPr>
                <w:rFonts w:cstheme="minorHAnsi"/>
                <w:sz w:val="20"/>
                <w:vertAlign w:val="subscript"/>
              </w:rPr>
              <w:t>max</w:t>
            </w:r>
            <w:proofErr w:type="spellEnd"/>
            <w:r w:rsidRPr="00552DFF">
              <w:rPr>
                <w:rFonts w:cstheme="minorHAnsi"/>
                <w:sz w:val="20"/>
              </w:rPr>
              <w:t xml:space="preserve"> </w:t>
            </w:r>
            <w:r w:rsidRPr="00552DFF">
              <w:rPr>
                <w:rFonts w:cstheme="minorHAnsi"/>
                <w:sz w:val="20"/>
              </w:rPr>
              <w:sym w:font="Symbol" w:char="F0AD"/>
            </w:r>
            <w:r w:rsidRPr="00552DFF">
              <w:rPr>
                <w:rFonts w:cstheme="minorHAnsi"/>
                <w:sz w:val="20"/>
              </w:rPr>
              <w:t> 14%</w:t>
            </w:r>
            <w:r w:rsidRPr="00552DFF">
              <w:rPr>
                <w:rFonts w:cstheme="minorHAnsi"/>
                <w:sz w:val="20"/>
              </w:rPr>
              <w:br/>
              <w:t>C</w:t>
            </w:r>
            <w:r w:rsidRPr="00552DFF">
              <w:rPr>
                <w:rFonts w:cstheme="minorHAnsi"/>
                <w:sz w:val="20"/>
              </w:rPr>
              <w:sym w:font="Symbol" w:char="F074"/>
            </w:r>
            <w:r w:rsidRPr="00552DFF">
              <w:rPr>
                <w:rFonts w:cstheme="minorHAnsi"/>
                <w:sz w:val="20"/>
              </w:rPr>
              <w:t xml:space="preserve"> </w:t>
            </w:r>
            <w:r w:rsidRPr="00552DFF">
              <w:rPr>
                <w:rFonts w:cstheme="minorHAnsi"/>
                <w:sz w:val="20"/>
              </w:rPr>
              <w:sym w:font="Symbol" w:char="F0AD"/>
            </w:r>
            <w:r w:rsidRPr="00552DFF">
              <w:rPr>
                <w:rFonts w:cstheme="minorHAnsi"/>
                <w:sz w:val="20"/>
              </w:rPr>
              <w:t> 7%</w:t>
            </w:r>
            <w:r w:rsidRPr="00552DFF">
              <w:rPr>
                <w:rFonts w:cstheme="minorHAnsi"/>
                <w:sz w:val="20"/>
              </w:rPr>
              <w:br/>
            </w:r>
            <w:r w:rsidRPr="00552DFF">
              <w:rPr>
                <w:rFonts w:cstheme="minorHAnsi"/>
                <w:sz w:val="20"/>
              </w:rPr>
              <w:br/>
            </w:r>
            <w:r w:rsidRPr="00552DFF">
              <w:rPr>
                <w:rFonts w:eastAsia="MS Mincho" w:cstheme="minorHAnsi"/>
                <w:sz w:val="20"/>
                <w:lang w:val="en-US"/>
              </w:rPr>
              <w:t xml:space="preserve">Etravirine </w:t>
            </w:r>
            <w:r w:rsidRPr="00552DFF">
              <w:rPr>
                <w:rFonts w:cstheme="minorHAnsi"/>
                <w:sz w:val="20"/>
              </w:rPr>
              <w:sym w:font="Symbol" w:char="F0AB"/>
            </w:r>
            <w:r w:rsidRPr="00552DFF">
              <w:rPr>
                <w:rFonts w:cstheme="minorHAnsi"/>
                <w:sz w:val="20"/>
              </w:rPr>
              <w:br/>
              <w:t xml:space="preserve">AUC </w:t>
            </w:r>
            <w:r w:rsidRPr="00552DFF">
              <w:rPr>
                <w:rFonts w:cstheme="minorHAnsi"/>
                <w:sz w:val="20"/>
              </w:rPr>
              <w:sym w:font="Symbol" w:char="F0AD"/>
            </w:r>
            <w:r w:rsidRPr="00552DFF">
              <w:rPr>
                <w:rFonts w:cstheme="minorHAnsi"/>
                <w:sz w:val="20"/>
              </w:rPr>
              <w:t> 28%</w:t>
            </w:r>
            <w:r w:rsidRPr="00552DFF">
              <w:rPr>
                <w:rFonts w:cstheme="minorHAnsi"/>
                <w:sz w:val="20"/>
              </w:rPr>
              <w:br/>
            </w:r>
            <w:proofErr w:type="spellStart"/>
            <w:r w:rsidRPr="00552DFF">
              <w:rPr>
                <w:rFonts w:cstheme="minorHAnsi"/>
                <w:sz w:val="20"/>
              </w:rPr>
              <w:t>C</w:t>
            </w:r>
            <w:r w:rsidRPr="00552DFF">
              <w:rPr>
                <w:rFonts w:cstheme="minorHAnsi"/>
                <w:sz w:val="20"/>
                <w:vertAlign w:val="subscript"/>
              </w:rPr>
              <w:t>max</w:t>
            </w:r>
            <w:proofErr w:type="spellEnd"/>
            <w:r w:rsidRPr="00552DFF">
              <w:rPr>
                <w:rFonts w:cstheme="minorHAnsi"/>
                <w:sz w:val="20"/>
              </w:rPr>
              <w:t xml:space="preserve"> </w:t>
            </w:r>
            <w:r w:rsidRPr="00552DFF">
              <w:rPr>
                <w:rFonts w:cstheme="minorHAnsi"/>
                <w:sz w:val="20"/>
              </w:rPr>
              <w:sym w:font="Symbol" w:char="F0AD"/>
            </w:r>
            <w:r w:rsidRPr="00552DFF">
              <w:rPr>
                <w:rFonts w:cstheme="minorHAnsi"/>
                <w:sz w:val="20"/>
              </w:rPr>
              <w:t> 18%</w:t>
            </w:r>
            <w:r w:rsidRPr="00552DFF">
              <w:rPr>
                <w:rFonts w:cstheme="minorHAnsi"/>
                <w:sz w:val="20"/>
              </w:rPr>
              <w:br/>
              <w:t>C</w:t>
            </w:r>
            <w:r w:rsidRPr="00552DFF">
              <w:rPr>
                <w:rFonts w:cstheme="minorHAnsi"/>
                <w:sz w:val="20"/>
              </w:rPr>
              <w:sym w:font="Symbol" w:char="F074"/>
            </w:r>
            <w:r w:rsidRPr="00552DFF">
              <w:rPr>
                <w:rFonts w:cstheme="minorHAnsi"/>
                <w:sz w:val="20"/>
              </w:rPr>
              <w:t xml:space="preserve"> </w:t>
            </w:r>
            <w:r w:rsidRPr="00552DFF">
              <w:rPr>
                <w:rFonts w:cstheme="minorHAnsi"/>
                <w:sz w:val="20"/>
              </w:rPr>
              <w:sym w:font="Symbol" w:char="F0AD"/>
            </w:r>
            <w:r w:rsidRPr="00552DFF">
              <w:rPr>
                <w:rFonts w:cstheme="minorHAnsi"/>
                <w:sz w:val="20"/>
              </w:rPr>
              <w:t> 28%</w:t>
            </w:r>
          </w:p>
        </w:tc>
        <w:tc>
          <w:tcPr>
            <w:tcW w:w="3006" w:type="dxa"/>
          </w:tcPr>
          <w:p w14:paraId="136BF711" w14:textId="77777777" w:rsidR="00234039" w:rsidRPr="00552DFF" w:rsidRDefault="00234039" w:rsidP="00234039">
            <w:pPr>
              <w:rPr>
                <w:rFonts w:ascii="Arial Narrow" w:hAnsi="Arial Narrow" w:cstheme="minorHAnsi"/>
                <w:sz w:val="20"/>
                <w:szCs w:val="20"/>
                <w:lang w:val="en"/>
              </w:rPr>
            </w:pPr>
            <w:r w:rsidRPr="00552DFF">
              <w:rPr>
                <w:rFonts w:ascii="Arial Narrow" w:hAnsi="Arial Narrow" w:cstheme="minorHAnsi"/>
                <w:sz w:val="20"/>
                <w:szCs w:val="20"/>
                <w:lang w:val="en"/>
              </w:rPr>
              <w:t xml:space="preserve">Darunavir/ritonavir co-administered with etravirine increased </w:t>
            </w:r>
            <w:proofErr w:type="spellStart"/>
            <w:r w:rsidRPr="00552DFF">
              <w:rPr>
                <w:rFonts w:ascii="Arial Narrow" w:hAnsi="Arial Narrow" w:cstheme="minorHAnsi"/>
                <w:sz w:val="20"/>
                <w:szCs w:val="20"/>
                <w:lang w:val="en"/>
              </w:rPr>
              <w:t>temsavir</w:t>
            </w:r>
            <w:proofErr w:type="spellEnd"/>
            <w:r w:rsidRPr="00552DFF">
              <w:rPr>
                <w:rFonts w:ascii="Arial Narrow" w:hAnsi="Arial Narrow" w:cstheme="minorHAnsi"/>
                <w:sz w:val="20"/>
                <w:szCs w:val="20"/>
                <w:lang w:val="en"/>
              </w:rPr>
              <w:t xml:space="preserve"> plasma concentrations with no clinically relevant impact. No dose adjustment is necessary for any drug when co-administered.</w:t>
            </w:r>
          </w:p>
        </w:tc>
      </w:tr>
      <w:tr w:rsidR="00234039" w:rsidRPr="00552DFF" w14:paraId="063D2632" w14:textId="77777777" w:rsidTr="00234039">
        <w:trPr>
          <w:trHeight w:val="60"/>
        </w:trPr>
        <w:tc>
          <w:tcPr>
            <w:tcW w:w="9016" w:type="dxa"/>
            <w:gridSpan w:val="3"/>
          </w:tcPr>
          <w:p w14:paraId="6F9A1C50" w14:textId="77777777" w:rsidR="00234039" w:rsidRPr="00552DFF" w:rsidRDefault="00234039" w:rsidP="00234039">
            <w:pPr>
              <w:rPr>
                <w:rFonts w:ascii="Arial Narrow" w:hAnsi="Arial Narrow" w:cstheme="minorHAnsi"/>
                <w:sz w:val="20"/>
                <w:szCs w:val="20"/>
                <w:lang w:val="en"/>
              </w:rPr>
            </w:pPr>
            <w:r w:rsidRPr="00552DFF">
              <w:rPr>
                <w:rFonts w:ascii="Arial Narrow" w:hAnsi="Arial Narrow" w:cstheme="minorHAnsi"/>
                <w:b/>
                <w:sz w:val="20"/>
                <w:szCs w:val="20"/>
              </w:rPr>
              <w:t>Other Agents</w:t>
            </w:r>
          </w:p>
        </w:tc>
      </w:tr>
      <w:tr w:rsidR="00234039" w:rsidRPr="00552DFF" w14:paraId="4F2010AF" w14:textId="77777777" w:rsidTr="00234039">
        <w:trPr>
          <w:trHeight w:val="171"/>
        </w:trPr>
        <w:tc>
          <w:tcPr>
            <w:tcW w:w="3005" w:type="dxa"/>
          </w:tcPr>
          <w:p w14:paraId="57CBF17D" w14:textId="4C792F9E" w:rsidR="00234039" w:rsidRPr="00552DFF" w:rsidRDefault="00234039" w:rsidP="00557F0A">
            <w:pPr>
              <w:rPr>
                <w:rFonts w:ascii="Arial Narrow" w:hAnsi="Arial Narrow" w:cstheme="minorHAnsi"/>
                <w:sz w:val="20"/>
                <w:szCs w:val="20"/>
                <w:lang w:val="en"/>
              </w:rPr>
            </w:pPr>
            <w:r w:rsidRPr="00552DFF">
              <w:rPr>
                <w:rFonts w:ascii="Arial Narrow" w:hAnsi="Arial Narrow" w:cstheme="minorHAnsi"/>
                <w:sz w:val="20"/>
                <w:szCs w:val="20"/>
                <w:lang w:val="en"/>
              </w:rPr>
              <w:t>Buprenorphine/naloxone</w:t>
            </w:r>
          </w:p>
        </w:tc>
        <w:tc>
          <w:tcPr>
            <w:tcW w:w="3005" w:type="dxa"/>
          </w:tcPr>
          <w:p w14:paraId="45FC258C" w14:textId="77777777" w:rsidR="00234039" w:rsidRPr="00552DFF" w:rsidRDefault="00234039" w:rsidP="00234039">
            <w:pPr>
              <w:pStyle w:val="tabletextNS"/>
              <w:rPr>
                <w:rFonts w:eastAsia="MS Mincho" w:cstheme="minorHAnsi"/>
                <w:sz w:val="20"/>
                <w:lang w:val="en-US"/>
              </w:rPr>
            </w:pPr>
            <w:r w:rsidRPr="00552DFF">
              <w:rPr>
                <w:rFonts w:eastAsia="MS Mincho" w:cstheme="minorHAnsi"/>
                <w:sz w:val="20"/>
                <w:lang w:val="en-US"/>
              </w:rPr>
              <w:t xml:space="preserve">Buprenorphine </w:t>
            </w:r>
            <w:r w:rsidRPr="00552DFF">
              <w:rPr>
                <w:rFonts w:eastAsia="MS Mincho" w:cstheme="minorHAnsi"/>
                <w:sz w:val="20"/>
                <w:lang w:val="en-US"/>
              </w:rPr>
              <w:sym w:font="Symbol" w:char="F0AB"/>
            </w:r>
          </w:p>
          <w:p w14:paraId="75393D3B" w14:textId="77777777" w:rsidR="00234039" w:rsidRPr="00552DFF" w:rsidRDefault="00234039" w:rsidP="00234039">
            <w:pPr>
              <w:pStyle w:val="tabletextNS"/>
              <w:rPr>
                <w:rFonts w:eastAsia="MS Mincho" w:cstheme="minorHAnsi"/>
                <w:sz w:val="20"/>
                <w:lang w:val="en-US"/>
              </w:rPr>
            </w:pPr>
            <w:r w:rsidRPr="00552DFF">
              <w:rPr>
                <w:rFonts w:eastAsia="MS Mincho" w:cstheme="minorHAnsi"/>
                <w:sz w:val="20"/>
                <w:lang w:val="en-US"/>
              </w:rPr>
              <w:t xml:space="preserve">AUC </w:t>
            </w:r>
            <w:r w:rsidRPr="00552DFF">
              <w:rPr>
                <w:rFonts w:eastAsia="MS Mincho" w:cstheme="minorHAnsi"/>
                <w:sz w:val="20"/>
                <w:lang w:val="en-US"/>
              </w:rPr>
              <w:sym w:font="Symbol" w:char="F0AD"/>
            </w:r>
            <w:r w:rsidRPr="00552DFF">
              <w:rPr>
                <w:rFonts w:eastAsia="MS Mincho" w:cstheme="minorHAnsi"/>
                <w:sz w:val="20"/>
                <w:lang w:val="en-US"/>
              </w:rPr>
              <w:t> 30%</w:t>
            </w:r>
          </w:p>
          <w:p w14:paraId="2FEEE450" w14:textId="77777777" w:rsidR="00234039" w:rsidRPr="00552DFF" w:rsidRDefault="00234039" w:rsidP="00234039">
            <w:pPr>
              <w:pStyle w:val="tabletextNS"/>
              <w:rPr>
                <w:rFonts w:eastAsia="MS Mincho" w:cstheme="minorHAnsi"/>
                <w:sz w:val="20"/>
                <w:lang w:val="en-US"/>
              </w:rPr>
            </w:pPr>
            <w:proofErr w:type="spellStart"/>
            <w:r w:rsidRPr="00552DFF">
              <w:rPr>
                <w:rFonts w:eastAsia="MS Mincho" w:cstheme="minorHAnsi"/>
                <w:sz w:val="20"/>
                <w:lang w:val="en-US"/>
              </w:rPr>
              <w:t>Cmax</w:t>
            </w:r>
            <w:proofErr w:type="spellEnd"/>
            <w:r w:rsidRPr="00552DFF">
              <w:rPr>
                <w:rFonts w:eastAsia="MS Mincho" w:cstheme="minorHAnsi"/>
                <w:sz w:val="20"/>
                <w:lang w:val="en-US"/>
              </w:rPr>
              <w:t xml:space="preserve"> </w:t>
            </w:r>
            <w:r w:rsidRPr="00552DFF">
              <w:rPr>
                <w:rFonts w:eastAsia="MS Mincho" w:cstheme="minorHAnsi"/>
                <w:sz w:val="20"/>
                <w:lang w:val="en-US"/>
              </w:rPr>
              <w:sym w:font="Symbol" w:char="F0AD"/>
            </w:r>
            <w:r w:rsidRPr="00552DFF">
              <w:rPr>
                <w:rFonts w:eastAsia="MS Mincho" w:cstheme="minorHAnsi"/>
                <w:sz w:val="20"/>
                <w:lang w:val="en-US"/>
              </w:rPr>
              <w:t> 24%</w:t>
            </w:r>
          </w:p>
          <w:p w14:paraId="7AB9AFD8" w14:textId="77777777" w:rsidR="00234039" w:rsidRPr="00552DFF" w:rsidRDefault="00234039" w:rsidP="00234039">
            <w:pPr>
              <w:pStyle w:val="tabletextNS"/>
              <w:rPr>
                <w:rFonts w:eastAsia="MS Mincho" w:cstheme="minorHAnsi"/>
                <w:sz w:val="20"/>
                <w:lang w:val="en-US"/>
              </w:rPr>
            </w:pPr>
          </w:p>
          <w:p w14:paraId="409BE90E" w14:textId="77777777" w:rsidR="00234039" w:rsidRPr="00552DFF" w:rsidRDefault="00234039" w:rsidP="00234039">
            <w:pPr>
              <w:pStyle w:val="tabletextNS"/>
              <w:rPr>
                <w:rFonts w:eastAsia="MS Mincho" w:cstheme="minorHAnsi"/>
                <w:sz w:val="20"/>
                <w:lang w:val="en-US"/>
              </w:rPr>
            </w:pPr>
            <w:r w:rsidRPr="00552DFF">
              <w:rPr>
                <w:rFonts w:eastAsia="MS Mincho" w:cstheme="minorHAnsi"/>
                <w:sz w:val="20"/>
                <w:lang w:val="en-US"/>
              </w:rPr>
              <w:lastRenderedPageBreak/>
              <w:t xml:space="preserve">Norbuprenorphine </w:t>
            </w:r>
            <w:r w:rsidRPr="00552DFF">
              <w:rPr>
                <w:rFonts w:eastAsia="MS Mincho" w:cstheme="minorHAnsi"/>
                <w:sz w:val="20"/>
                <w:lang w:val="en-US"/>
              </w:rPr>
              <w:sym w:font="Symbol" w:char="F0AB"/>
            </w:r>
          </w:p>
          <w:p w14:paraId="38489408" w14:textId="77777777" w:rsidR="00234039" w:rsidRPr="00552DFF" w:rsidRDefault="00234039" w:rsidP="00234039">
            <w:pPr>
              <w:pStyle w:val="tabletextNS"/>
              <w:rPr>
                <w:rFonts w:eastAsia="MS Mincho" w:cstheme="minorHAnsi"/>
                <w:sz w:val="20"/>
                <w:lang w:val="en-US"/>
              </w:rPr>
            </w:pPr>
            <w:r w:rsidRPr="00552DFF">
              <w:rPr>
                <w:rFonts w:eastAsia="MS Mincho" w:cstheme="minorHAnsi"/>
                <w:sz w:val="20"/>
                <w:lang w:val="en-US"/>
              </w:rPr>
              <w:t xml:space="preserve">AUC </w:t>
            </w:r>
            <w:r w:rsidRPr="00552DFF">
              <w:rPr>
                <w:rFonts w:eastAsia="MS Mincho" w:cstheme="minorHAnsi"/>
                <w:sz w:val="20"/>
                <w:lang w:val="en-US"/>
              </w:rPr>
              <w:sym w:font="Symbol" w:char="F0AD"/>
            </w:r>
            <w:r w:rsidRPr="00552DFF">
              <w:rPr>
                <w:rFonts w:eastAsia="MS Mincho" w:cstheme="minorHAnsi"/>
                <w:sz w:val="20"/>
                <w:lang w:val="en-US"/>
              </w:rPr>
              <w:t xml:space="preserve"> 39% </w:t>
            </w:r>
          </w:p>
          <w:p w14:paraId="5363B77E" w14:textId="77777777" w:rsidR="00234039" w:rsidRPr="00552DFF" w:rsidRDefault="00234039" w:rsidP="00234039">
            <w:pPr>
              <w:pStyle w:val="tabletextNS"/>
              <w:spacing w:after="240"/>
              <w:rPr>
                <w:rFonts w:eastAsia="MS Mincho" w:cstheme="minorHAnsi"/>
                <w:sz w:val="20"/>
                <w:lang w:val="en-US"/>
              </w:rPr>
            </w:pPr>
            <w:proofErr w:type="spellStart"/>
            <w:r w:rsidRPr="00552DFF">
              <w:rPr>
                <w:rFonts w:eastAsia="MS Mincho" w:cstheme="minorHAnsi"/>
                <w:sz w:val="20"/>
                <w:lang w:val="en-US"/>
              </w:rPr>
              <w:t>Cmax</w:t>
            </w:r>
            <w:proofErr w:type="spellEnd"/>
            <w:r w:rsidRPr="00552DFF">
              <w:rPr>
                <w:rFonts w:eastAsia="MS Mincho" w:cstheme="minorHAnsi"/>
                <w:sz w:val="20"/>
                <w:lang w:val="en-US"/>
              </w:rPr>
              <w:t xml:space="preserve"> </w:t>
            </w:r>
            <w:r w:rsidRPr="00552DFF">
              <w:rPr>
                <w:rFonts w:eastAsia="MS Mincho" w:cstheme="minorHAnsi"/>
                <w:sz w:val="20"/>
                <w:lang w:val="en-US"/>
              </w:rPr>
              <w:sym w:font="Symbol" w:char="F0AD"/>
            </w:r>
            <w:r w:rsidRPr="00552DFF">
              <w:rPr>
                <w:rFonts w:eastAsia="MS Mincho" w:cstheme="minorHAnsi"/>
                <w:sz w:val="20"/>
                <w:lang w:val="en-US"/>
              </w:rPr>
              <w:t> 24%</w:t>
            </w:r>
          </w:p>
        </w:tc>
        <w:tc>
          <w:tcPr>
            <w:tcW w:w="3006" w:type="dxa"/>
          </w:tcPr>
          <w:p w14:paraId="33834CA4" w14:textId="77777777" w:rsidR="00234039" w:rsidRPr="00552DFF" w:rsidRDefault="00234039" w:rsidP="00234039">
            <w:pPr>
              <w:rPr>
                <w:rFonts w:ascii="Arial Narrow" w:hAnsi="Arial Narrow" w:cs="Times New Roman"/>
                <w:sz w:val="20"/>
                <w:szCs w:val="20"/>
              </w:rPr>
            </w:pPr>
            <w:r w:rsidRPr="00552DFF">
              <w:rPr>
                <w:rFonts w:ascii="Arial Narrow" w:hAnsi="Arial Narrow" w:cstheme="minorHAnsi"/>
                <w:sz w:val="20"/>
                <w:szCs w:val="20"/>
                <w:lang w:val="en"/>
              </w:rPr>
              <w:lastRenderedPageBreak/>
              <w:t>No dose adjustment is necessary.</w:t>
            </w:r>
          </w:p>
        </w:tc>
      </w:tr>
      <w:tr w:rsidR="00234039" w:rsidRPr="00552DFF" w14:paraId="2D928098" w14:textId="77777777" w:rsidTr="00234039">
        <w:trPr>
          <w:trHeight w:val="203"/>
        </w:trPr>
        <w:tc>
          <w:tcPr>
            <w:tcW w:w="3005" w:type="dxa"/>
          </w:tcPr>
          <w:p w14:paraId="1C2CF300" w14:textId="77777777" w:rsidR="00234039" w:rsidRPr="00552DFF" w:rsidRDefault="00234039" w:rsidP="00234039">
            <w:pPr>
              <w:rPr>
                <w:rFonts w:ascii="Arial Narrow" w:hAnsi="Arial Narrow" w:cstheme="minorHAnsi"/>
                <w:sz w:val="20"/>
                <w:szCs w:val="20"/>
                <w:lang w:val="en"/>
              </w:rPr>
            </w:pPr>
            <w:r w:rsidRPr="00552DFF">
              <w:rPr>
                <w:rFonts w:ascii="Arial Narrow" w:hAnsi="Arial Narrow" w:cstheme="minorHAnsi"/>
                <w:sz w:val="20"/>
                <w:szCs w:val="20"/>
                <w:lang w:val="en"/>
              </w:rPr>
              <w:t>Methadone</w:t>
            </w:r>
          </w:p>
        </w:tc>
        <w:tc>
          <w:tcPr>
            <w:tcW w:w="3005" w:type="dxa"/>
          </w:tcPr>
          <w:p w14:paraId="03731049" w14:textId="77777777" w:rsidR="00234039" w:rsidRPr="00552DFF" w:rsidRDefault="00234039" w:rsidP="00234039">
            <w:pPr>
              <w:pStyle w:val="tabletextNS"/>
              <w:rPr>
                <w:rFonts w:eastAsia="MS Mincho" w:cstheme="minorHAnsi"/>
                <w:sz w:val="20"/>
                <w:lang w:val="en-US"/>
              </w:rPr>
            </w:pPr>
            <w:r w:rsidRPr="00552DFF">
              <w:rPr>
                <w:rFonts w:eastAsia="MS Mincho" w:cstheme="minorHAnsi"/>
                <w:sz w:val="20"/>
                <w:lang w:val="en-US"/>
              </w:rPr>
              <w:t xml:space="preserve">Methadone </w:t>
            </w:r>
            <w:r w:rsidRPr="00552DFF">
              <w:rPr>
                <w:rFonts w:eastAsia="MS Mincho" w:cstheme="minorHAnsi"/>
                <w:sz w:val="20"/>
                <w:lang w:val="en-US"/>
              </w:rPr>
              <w:sym w:font="Symbol" w:char="F0AB"/>
            </w:r>
          </w:p>
          <w:p w14:paraId="7044665B" w14:textId="77777777" w:rsidR="00234039" w:rsidRPr="00552DFF" w:rsidRDefault="00234039" w:rsidP="00234039">
            <w:pPr>
              <w:pStyle w:val="tabletextNS"/>
              <w:rPr>
                <w:rFonts w:eastAsia="MS Mincho" w:cstheme="minorHAnsi"/>
                <w:sz w:val="20"/>
                <w:lang w:val="en-US"/>
              </w:rPr>
            </w:pPr>
            <w:r w:rsidRPr="00552DFF">
              <w:rPr>
                <w:rFonts w:eastAsia="MS Mincho" w:cstheme="minorHAnsi"/>
                <w:sz w:val="20"/>
                <w:lang w:val="en-US"/>
              </w:rPr>
              <w:t>R-Methadone</w:t>
            </w:r>
          </w:p>
          <w:p w14:paraId="0B17A6D9" w14:textId="77777777" w:rsidR="00234039" w:rsidRPr="00552DFF" w:rsidRDefault="00234039" w:rsidP="00234039">
            <w:pPr>
              <w:pStyle w:val="tabletextNS"/>
              <w:rPr>
                <w:rFonts w:eastAsia="MS Mincho" w:cstheme="minorHAnsi"/>
                <w:sz w:val="20"/>
                <w:lang w:val="en-US"/>
              </w:rPr>
            </w:pPr>
            <w:r w:rsidRPr="00552DFF">
              <w:rPr>
                <w:rFonts w:eastAsia="MS Mincho" w:cstheme="minorHAnsi"/>
                <w:sz w:val="20"/>
                <w:lang w:val="en-US"/>
              </w:rPr>
              <w:t xml:space="preserve">AUC </w:t>
            </w:r>
            <w:r w:rsidRPr="00552DFF">
              <w:rPr>
                <w:rFonts w:eastAsia="MS Mincho" w:cstheme="minorHAnsi"/>
                <w:sz w:val="20"/>
                <w:lang w:val="en-US"/>
              </w:rPr>
              <w:sym w:font="Symbol" w:char="F0AD"/>
            </w:r>
            <w:r w:rsidRPr="00552DFF">
              <w:rPr>
                <w:rFonts w:eastAsia="MS Mincho" w:cstheme="minorHAnsi"/>
                <w:sz w:val="20"/>
                <w:lang w:val="en-US"/>
              </w:rPr>
              <w:t> 13%</w:t>
            </w:r>
          </w:p>
          <w:p w14:paraId="25689AFD" w14:textId="77777777" w:rsidR="00234039" w:rsidRPr="00552DFF" w:rsidRDefault="00234039" w:rsidP="00234039">
            <w:pPr>
              <w:pStyle w:val="tabletextNS"/>
              <w:rPr>
                <w:rFonts w:eastAsia="MS Mincho" w:cstheme="minorHAnsi"/>
                <w:sz w:val="20"/>
                <w:lang w:val="en-US"/>
              </w:rPr>
            </w:pPr>
            <w:proofErr w:type="spellStart"/>
            <w:r w:rsidRPr="00552DFF">
              <w:rPr>
                <w:rFonts w:eastAsia="MS Mincho" w:cstheme="minorHAnsi"/>
                <w:sz w:val="20"/>
                <w:lang w:val="en-US"/>
              </w:rPr>
              <w:t>Cmax</w:t>
            </w:r>
            <w:proofErr w:type="spellEnd"/>
            <w:r w:rsidRPr="00552DFF">
              <w:rPr>
                <w:rFonts w:eastAsia="MS Mincho" w:cstheme="minorHAnsi"/>
                <w:sz w:val="20"/>
                <w:lang w:val="en-US"/>
              </w:rPr>
              <w:t xml:space="preserve"> </w:t>
            </w:r>
            <w:r w:rsidRPr="00552DFF">
              <w:rPr>
                <w:rFonts w:eastAsia="MS Mincho" w:cstheme="minorHAnsi"/>
                <w:sz w:val="20"/>
                <w:lang w:val="en-US"/>
              </w:rPr>
              <w:sym w:font="Symbol" w:char="F0AD"/>
            </w:r>
            <w:r w:rsidRPr="00552DFF">
              <w:rPr>
                <w:rFonts w:eastAsia="MS Mincho" w:cstheme="minorHAnsi"/>
                <w:sz w:val="20"/>
                <w:lang w:val="en-US"/>
              </w:rPr>
              <w:t> 15%</w:t>
            </w:r>
          </w:p>
          <w:p w14:paraId="390EB2AE" w14:textId="77777777" w:rsidR="00234039" w:rsidRPr="00552DFF" w:rsidRDefault="00234039" w:rsidP="00234039">
            <w:pPr>
              <w:pStyle w:val="tabletextNS"/>
              <w:rPr>
                <w:rFonts w:eastAsia="MS Mincho" w:cstheme="minorHAnsi"/>
                <w:sz w:val="20"/>
                <w:lang w:val="en-US"/>
              </w:rPr>
            </w:pPr>
          </w:p>
          <w:p w14:paraId="03E97DBA" w14:textId="77777777" w:rsidR="00234039" w:rsidRPr="00552DFF" w:rsidRDefault="00234039" w:rsidP="00234039">
            <w:pPr>
              <w:pStyle w:val="tabletextNS"/>
              <w:rPr>
                <w:rFonts w:eastAsia="MS Mincho" w:cstheme="minorHAnsi"/>
                <w:sz w:val="20"/>
                <w:lang w:val="en-US"/>
              </w:rPr>
            </w:pPr>
            <w:r w:rsidRPr="00552DFF">
              <w:rPr>
                <w:rFonts w:eastAsia="MS Mincho" w:cstheme="minorHAnsi"/>
                <w:sz w:val="20"/>
                <w:lang w:val="en-US"/>
              </w:rPr>
              <w:t>S-Methadone</w:t>
            </w:r>
          </w:p>
          <w:p w14:paraId="2F890B1C" w14:textId="77777777" w:rsidR="00234039" w:rsidRPr="00552DFF" w:rsidRDefault="00234039" w:rsidP="00234039">
            <w:pPr>
              <w:pStyle w:val="tabletextNS"/>
              <w:rPr>
                <w:rFonts w:eastAsia="MS Mincho" w:cstheme="minorHAnsi"/>
                <w:sz w:val="20"/>
                <w:lang w:val="en-US"/>
              </w:rPr>
            </w:pPr>
            <w:r w:rsidRPr="00552DFF">
              <w:rPr>
                <w:rFonts w:eastAsia="MS Mincho" w:cstheme="minorHAnsi"/>
                <w:sz w:val="20"/>
                <w:lang w:val="en-US"/>
              </w:rPr>
              <w:t xml:space="preserve">AUC </w:t>
            </w:r>
            <w:r w:rsidRPr="00552DFF">
              <w:rPr>
                <w:rFonts w:eastAsia="MS Mincho" w:cstheme="minorHAnsi"/>
                <w:sz w:val="20"/>
                <w:lang w:val="en-US"/>
              </w:rPr>
              <w:sym w:font="Symbol" w:char="F0AD"/>
            </w:r>
            <w:r w:rsidRPr="00552DFF">
              <w:rPr>
                <w:rFonts w:eastAsia="MS Mincho" w:cstheme="minorHAnsi"/>
                <w:sz w:val="20"/>
                <w:lang w:val="en-US"/>
              </w:rPr>
              <w:t> 15%</w:t>
            </w:r>
          </w:p>
          <w:p w14:paraId="377BF00A" w14:textId="77777777" w:rsidR="00234039" w:rsidRPr="00552DFF" w:rsidRDefault="00234039" w:rsidP="00234039">
            <w:pPr>
              <w:pStyle w:val="tabletextNS"/>
              <w:spacing w:after="240"/>
              <w:rPr>
                <w:rFonts w:eastAsia="MS Mincho" w:cstheme="minorHAnsi"/>
                <w:sz w:val="20"/>
                <w:lang w:val="en-US"/>
              </w:rPr>
            </w:pPr>
            <w:proofErr w:type="spellStart"/>
            <w:r w:rsidRPr="00552DFF">
              <w:rPr>
                <w:rFonts w:eastAsia="MS Mincho" w:cstheme="minorHAnsi"/>
                <w:sz w:val="20"/>
                <w:lang w:val="en-US"/>
              </w:rPr>
              <w:t>Cmax</w:t>
            </w:r>
            <w:proofErr w:type="spellEnd"/>
            <w:r w:rsidRPr="00552DFF">
              <w:rPr>
                <w:rFonts w:eastAsia="MS Mincho" w:cstheme="minorHAnsi"/>
                <w:sz w:val="20"/>
                <w:lang w:val="en-US"/>
              </w:rPr>
              <w:t xml:space="preserve"> </w:t>
            </w:r>
            <w:r w:rsidRPr="00552DFF">
              <w:rPr>
                <w:rFonts w:eastAsia="MS Mincho" w:cstheme="minorHAnsi"/>
                <w:sz w:val="20"/>
                <w:lang w:val="en-US"/>
              </w:rPr>
              <w:sym w:font="Symbol" w:char="F0AD"/>
            </w:r>
            <w:r w:rsidRPr="00552DFF">
              <w:rPr>
                <w:rFonts w:eastAsia="MS Mincho" w:cstheme="minorHAnsi"/>
                <w:sz w:val="20"/>
                <w:lang w:val="en-US"/>
              </w:rPr>
              <w:t> 15%</w:t>
            </w:r>
          </w:p>
        </w:tc>
        <w:tc>
          <w:tcPr>
            <w:tcW w:w="3006" w:type="dxa"/>
          </w:tcPr>
          <w:p w14:paraId="28B47252" w14:textId="77777777" w:rsidR="00234039" w:rsidRPr="00552DFF" w:rsidRDefault="00234039" w:rsidP="00234039">
            <w:pPr>
              <w:rPr>
                <w:rFonts w:ascii="Arial Narrow" w:hAnsi="Arial Narrow" w:cstheme="minorHAnsi"/>
                <w:sz w:val="20"/>
                <w:szCs w:val="20"/>
                <w:lang w:val="en"/>
              </w:rPr>
            </w:pPr>
            <w:r w:rsidRPr="00552DFF">
              <w:rPr>
                <w:rFonts w:ascii="Arial Narrow" w:hAnsi="Arial Narrow" w:cstheme="minorHAnsi"/>
                <w:sz w:val="20"/>
                <w:szCs w:val="20"/>
                <w:lang w:val="en"/>
              </w:rPr>
              <w:t>No dose adjustment is necessary.</w:t>
            </w:r>
          </w:p>
        </w:tc>
      </w:tr>
      <w:tr w:rsidR="00234039" w:rsidRPr="00552DFF" w14:paraId="6582F1FE" w14:textId="77777777" w:rsidTr="00234039">
        <w:trPr>
          <w:trHeight w:val="199"/>
        </w:trPr>
        <w:tc>
          <w:tcPr>
            <w:tcW w:w="3005" w:type="dxa"/>
          </w:tcPr>
          <w:p w14:paraId="685C01A9" w14:textId="77777777" w:rsidR="00234039" w:rsidRPr="00552DFF" w:rsidRDefault="00234039" w:rsidP="00234039">
            <w:pPr>
              <w:rPr>
                <w:rFonts w:ascii="Arial Narrow" w:hAnsi="Arial Narrow" w:cstheme="minorHAnsi"/>
                <w:sz w:val="20"/>
                <w:szCs w:val="20"/>
                <w:lang w:val="en"/>
              </w:rPr>
            </w:pPr>
            <w:r w:rsidRPr="00552DFF">
              <w:rPr>
                <w:rFonts w:ascii="Arial Narrow" w:hAnsi="Arial Narrow" w:cstheme="minorHAnsi"/>
                <w:sz w:val="20"/>
                <w:szCs w:val="20"/>
                <w:lang w:val="en"/>
              </w:rPr>
              <w:t>H2-Receptor Antagonists: Famotidine</w:t>
            </w:r>
          </w:p>
        </w:tc>
        <w:tc>
          <w:tcPr>
            <w:tcW w:w="3005" w:type="dxa"/>
          </w:tcPr>
          <w:p w14:paraId="2CB8A44F" w14:textId="77777777" w:rsidR="00234039" w:rsidRPr="00552DFF" w:rsidRDefault="00234039" w:rsidP="00234039">
            <w:pPr>
              <w:pStyle w:val="tabletextNS"/>
              <w:rPr>
                <w:rFonts w:eastAsia="MS Mincho" w:cstheme="minorHAnsi"/>
                <w:sz w:val="20"/>
                <w:lang w:val="en-US"/>
              </w:rPr>
            </w:pPr>
            <w:proofErr w:type="spellStart"/>
            <w:r w:rsidRPr="00552DFF">
              <w:rPr>
                <w:rFonts w:eastAsia="MS Mincho" w:cstheme="minorHAnsi"/>
                <w:sz w:val="20"/>
                <w:lang w:val="en-US"/>
              </w:rPr>
              <w:t>Temsavir</w:t>
            </w:r>
            <w:proofErr w:type="spellEnd"/>
            <w:r w:rsidRPr="00552DFF">
              <w:rPr>
                <w:rFonts w:eastAsia="MS Mincho" w:cstheme="minorHAnsi"/>
                <w:sz w:val="20"/>
                <w:lang w:val="en-US"/>
              </w:rPr>
              <w:t xml:space="preserve"> </w:t>
            </w:r>
            <w:r w:rsidRPr="00552DFF">
              <w:rPr>
                <w:rFonts w:eastAsia="MS Mincho" w:cstheme="minorHAnsi"/>
                <w:sz w:val="20"/>
                <w:lang w:val="en-US"/>
              </w:rPr>
              <w:sym w:font="Symbol" w:char="F0AB"/>
            </w:r>
          </w:p>
          <w:p w14:paraId="42844477" w14:textId="77777777" w:rsidR="00234039" w:rsidRPr="00552DFF" w:rsidRDefault="00234039" w:rsidP="00234039">
            <w:pPr>
              <w:pStyle w:val="tabletextNS"/>
              <w:rPr>
                <w:rFonts w:eastAsia="MS Mincho" w:cstheme="minorHAnsi"/>
                <w:sz w:val="20"/>
                <w:lang w:val="en-US"/>
              </w:rPr>
            </w:pPr>
            <w:r w:rsidRPr="00552DFF">
              <w:rPr>
                <w:rFonts w:eastAsia="MS Mincho" w:cstheme="minorHAnsi"/>
                <w:sz w:val="20"/>
                <w:lang w:val="en-US"/>
              </w:rPr>
              <w:t xml:space="preserve">AUC </w:t>
            </w:r>
            <w:r w:rsidRPr="00552DFF">
              <w:rPr>
                <w:rFonts w:eastAsia="MS Mincho" w:cstheme="minorHAnsi"/>
                <w:sz w:val="20"/>
                <w:lang w:val="en-US"/>
              </w:rPr>
              <w:sym w:font="Symbol" w:char="F0AD"/>
            </w:r>
            <w:r w:rsidRPr="00552DFF">
              <w:rPr>
                <w:rFonts w:eastAsia="MS Mincho" w:cstheme="minorHAnsi"/>
                <w:sz w:val="20"/>
                <w:lang w:val="en-US"/>
              </w:rPr>
              <w:t> 4%</w:t>
            </w:r>
          </w:p>
          <w:p w14:paraId="674353EF" w14:textId="77777777" w:rsidR="00234039" w:rsidRPr="00552DFF" w:rsidRDefault="00234039" w:rsidP="00234039">
            <w:pPr>
              <w:pStyle w:val="tabletextNS"/>
              <w:rPr>
                <w:rFonts w:eastAsia="MS Mincho" w:cstheme="minorHAnsi"/>
                <w:sz w:val="20"/>
                <w:lang w:val="en-US"/>
              </w:rPr>
            </w:pPr>
            <w:proofErr w:type="spellStart"/>
            <w:r w:rsidRPr="00552DFF">
              <w:rPr>
                <w:rFonts w:eastAsia="MS Mincho" w:cstheme="minorHAnsi"/>
                <w:sz w:val="20"/>
                <w:lang w:val="en-US"/>
              </w:rPr>
              <w:t>Cmax</w:t>
            </w:r>
            <w:proofErr w:type="spellEnd"/>
            <w:r w:rsidRPr="00552DFF">
              <w:rPr>
                <w:rFonts w:eastAsia="MS Mincho" w:cstheme="minorHAnsi"/>
                <w:sz w:val="20"/>
                <w:lang w:val="en-US"/>
              </w:rPr>
              <w:t xml:space="preserve"> </w:t>
            </w:r>
            <w:r w:rsidRPr="00552DFF">
              <w:rPr>
                <w:rFonts w:eastAsia="MS Mincho" w:cstheme="minorHAnsi"/>
                <w:sz w:val="20"/>
                <w:lang w:val="en-US"/>
              </w:rPr>
              <w:sym w:font="Symbol" w:char="F0AD"/>
            </w:r>
            <w:r w:rsidRPr="00552DFF">
              <w:rPr>
                <w:rFonts w:eastAsia="MS Mincho" w:cstheme="minorHAnsi"/>
                <w:sz w:val="20"/>
                <w:lang w:val="en-US"/>
              </w:rPr>
              <w:t> 1%</w:t>
            </w:r>
          </w:p>
          <w:p w14:paraId="1CF7D556" w14:textId="77777777" w:rsidR="00234039" w:rsidRPr="00552DFF" w:rsidRDefault="00234039" w:rsidP="00234039">
            <w:pPr>
              <w:pStyle w:val="tabletextNS"/>
              <w:rPr>
                <w:rFonts w:eastAsia="MS Mincho" w:cstheme="minorHAnsi"/>
                <w:sz w:val="20"/>
                <w:lang w:val="en-US"/>
              </w:rPr>
            </w:pPr>
            <w:r w:rsidRPr="00552DFF">
              <w:rPr>
                <w:rFonts w:eastAsia="MS Mincho" w:cstheme="minorHAnsi"/>
                <w:sz w:val="20"/>
                <w:lang w:val="en-US"/>
              </w:rPr>
              <w:t>C</w:t>
            </w:r>
            <w:r w:rsidRPr="00552DFF">
              <w:rPr>
                <w:rFonts w:eastAsia="MS Mincho" w:cstheme="minorHAnsi"/>
                <w:sz w:val="20"/>
                <w:lang w:val="en-US"/>
              </w:rPr>
              <w:sym w:font="Symbol" w:char="F074"/>
            </w:r>
            <w:r w:rsidRPr="00552DFF">
              <w:rPr>
                <w:rFonts w:eastAsia="MS Mincho" w:cstheme="minorHAnsi"/>
                <w:sz w:val="20"/>
                <w:lang w:val="en-US"/>
              </w:rPr>
              <w:t xml:space="preserve"> </w:t>
            </w:r>
            <w:r w:rsidRPr="00552DFF">
              <w:rPr>
                <w:rFonts w:eastAsia="MS Mincho" w:cstheme="minorHAnsi"/>
                <w:sz w:val="20"/>
                <w:lang w:val="en-US"/>
              </w:rPr>
              <w:sym w:font="Symbol" w:char="F0AF"/>
            </w:r>
            <w:r w:rsidRPr="00552DFF">
              <w:rPr>
                <w:rFonts w:eastAsia="MS Mincho" w:cstheme="minorHAnsi"/>
                <w:sz w:val="20"/>
                <w:lang w:val="en-US"/>
              </w:rPr>
              <w:t> 10%</w:t>
            </w:r>
          </w:p>
        </w:tc>
        <w:tc>
          <w:tcPr>
            <w:tcW w:w="3006" w:type="dxa"/>
          </w:tcPr>
          <w:p w14:paraId="6AC01217" w14:textId="0475F652" w:rsidR="00234039" w:rsidRPr="00552DFF" w:rsidRDefault="00234039" w:rsidP="00234039">
            <w:pPr>
              <w:rPr>
                <w:rFonts w:ascii="Arial Narrow" w:hAnsi="Arial Narrow" w:cstheme="minorHAnsi"/>
                <w:sz w:val="20"/>
                <w:szCs w:val="20"/>
                <w:lang w:val="en"/>
              </w:rPr>
            </w:pPr>
            <w:r w:rsidRPr="00552DFF">
              <w:rPr>
                <w:rFonts w:ascii="Arial Narrow" w:hAnsi="Arial Narrow" w:cstheme="minorHAnsi"/>
                <w:sz w:val="20"/>
                <w:szCs w:val="20"/>
                <w:lang w:val="en"/>
              </w:rPr>
              <w:t xml:space="preserve">No dose adjustment is necessary when combined with drugs that </w:t>
            </w:r>
            <w:r w:rsidR="00F36281">
              <w:rPr>
                <w:rFonts w:ascii="Arial Narrow" w:hAnsi="Arial Narrow" w:cstheme="minorHAnsi"/>
                <w:sz w:val="20"/>
                <w:szCs w:val="20"/>
                <w:lang w:val="en"/>
              </w:rPr>
              <w:t>increase</w:t>
            </w:r>
            <w:r w:rsidR="00F36281" w:rsidRPr="00552DFF">
              <w:rPr>
                <w:rFonts w:ascii="Arial Narrow" w:hAnsi="Arial Narrow" w:cstheme="minorHAnsi"/>
                <w:sz w:val="20"/>
                <w:szCs w:val="20"/>
                <w:lang w:val="en"/>
              </w:rPr>
              <w:t xml:space="preserve"> </w:t>
            </w:r>
            <w:r w:rsidRPr="00552DFF">
              <w:rPr>
                <w:rFonts w:ascii="Arial Narrow" w:hAnsi="Arial Narrow" w:cstheme="minorHAnsi"/>
                <w:sz w:val="20"/>
                <w:szCs w:val="20"/>
                <w:lang w:val="en"/>
              </w:rPr>
              <w:t xml:space="preserve">gastric </w:t>
            </w:r>
            <w:proofErr w:type="spellStart"/>
            <w:r w:rsidRPr="00552DFF">
              <w:rPr>
                <w:rFonts w:ascii="Arial Narrow" w:hAnsi="Arial Narrow" w:cstheme="minorHAnsi"/>
                <w:sz w:val="20"/>
                <w:szCs w:val="20"/>
                <w:lang w:val="en"/>
              </w:rPr>
              <w:t>pH.</w:t>
            </w:r>
            <w:proofErr w:type="spellEnd"/>
          </w:p>
        </w:tc>
      </w:tr>
      <w:tr w:rsidR="00234039" w:rsidRPr="00552DFF" w14:paraId="62AF0C6E" w14:textId="77777777" w:rsidTr="00234039">
        <w:trPr>
          <w:trHeight w:val="199"/>
        </w:trPr>
        <w:tc>
          <w:tcPr>
            <w:tcW w:w="3005" w:type="dxa"/>
          </w:tcPr>
          <w:p w14:paraId="6B8A7DDB" w14:textId="77777777" w:rsidR="00234039" w:rsidRPr="00552DFF" w:rsidRDefault="00234039" w:rsidP="00234039">
            <w:pPr>
              <w:rPr>
                <w:rFonts w:ascii="Arial Narrow" w:hAnsi="Arial Narrow" w:cstheme="minorHAnsi"/>
                <w:sz w:val="20"/>
                <w:szCs w:val="20"/>
                <w:lang w:val="en"/>
              </w:rPr>
            </w:pPr>
            <w:r w:rsidRPr="00552DFF">
              <w:rPr>
                <w:rFonts w:ascii="Arial Narrow" w:hAnsi="Arial Narrow" w:cstheme="minorHAnsi"/>
                <w:sz w:val="20"/>
                <w:szCs w:val="20"/>
                <w:lang w:val="en"/>
              </w:rPr>
              <w:t>Oral contraceptives:</w:t>
            </w:r>
          </w:p>
          <w:p w14:paraId="3B0B1991" w14:textId="77777777" w:rsidR="00234039" w:rsidRPr="00552DFF" w:rsidRDefault="00234039" w:rsidP="00234039">
            <w:pPr>
              <w:pStyle w:val="tabletextNS"/>
              <w:keepNext/>
              <w:rPr>
                <w:rFonts w:eastAsiaTheme="minorHAnsi" w:cstheme="minorHAnsi"/>
                <w:sz w:val="20"/>
                <w:lang w:val="en" w:eastAsia="en-US"/>
              </w:rPr>
            </w:pPr>
            <w:r w:rsidRPr="00552DFF">
              <w:rPr>
                <w:rFonts w:eastAsiaTheme="minorHAnsi" w:cstheme="minorHAnsi"/>
                <w:sz w:val="20"/>
                <w:lang w:val="en" w:eastAsia="en-US"/>
              </w:rPr>
              <w:t xml:space="preserve">Ethinyl estradiol (EE) </w:t>
            </w:r>
          </w:p>
        </w:tc>
        <w:tc>
          <w:tcPr>
            <w:tcW w:w="3005" w:type="dxa"/>
          </w:tcPr>
          <w:p w14:paraId="33E0B5CE" w14:textId="77777777" w:rsidR="00234039" w:rsidRPr="00552DFF" w:rsidRDefault="00234039" w:rsidP="00234039">
            <w:pPr>
              <w:pStyle w:val="tabletextNS"/>
              <w:rPr>
                <w:rFonts w:eastAsia="MS Mincho" w:cstheme="minorHAnsi"/>
                <w:sz w:val="20"/>
                <w:lang w:val="en-US"/>
              </w:rPr>
            </w:pPr>
            <w:r w:rsidRPr="00552DFF">
              <w:rPr>
                <w:rFonts w:eastAsia="MS Mincho" w:cstheme="minorHAnsi"/>
                <w:sz w:val="20"/>
                <w:lang w:val="en-US"/>
              </w:rPr>
              <w:t>EE ↑</w:t>
            </w:r>
          </w:p>
          <w:p w14:paraId="4EAB696A" w14:textId="77777777" w:rsidR="00234039" w:rsidRPr="00552DFF" w:rsidRDefault="00234039" w:rsidP="00234039">
            <w:pPr>
              <w:pStyle w:val="tabletextNS"/>
              <w:rPr>
                <w:rFonts w:eastAsia="MS Mincho" w:cstheme="minorHAnsi"/>
                <w:sz w:val="20"/>
                <w:lang w:val="en-US"/>
              </w:rPr>
            </w:pPr>
            <w:r w:rsidRPr="00552DFF">
              <w:rPr>
                <w:rFonts w:eastAsia="MS Mincho" w:cstheme="minorHAnsi"/>
                <w:sz w:val="20"/>
                <w:lang w:val="en-US"/>
              </w:rPr>
              <w:t xml:space="preserve">AUC </w:t>
            </w:r>
            <w:r w:rsidRPr="00552DFF">
              <w:rPr>
                <w:rFonts w:eastAsia="MS Mincho" w:cstheme="minorHAnsi"/>
                <w:sz w:val="20"/>
                <w:lang w:val="en-US"/>
              </w:rPr>
              <w:sym w:font="Symbol" w:char="F0AD"/>
            </w:r>
            <w:r w:rsidRPr="00552DFF">
              <w:rPr>
                <w:rFonts w:eastAsia="MS Mincho" w:cstheme="minorHAnsi"/>
                <w:sz w:val="20"/>
                <w:lang w:val="en-US"/>
              </w:rPr>
              <w:t> 39%</w:t>
            </w:r>
            <w:r w:rsidRPr="00552DFF">
              <w:rPr>
                <w:rFonts w:eastAsia="MS Mincho" w:cstheme="minorHAnsi"/>
                <w:sz w:val="20"/>
                <w:lang w:val="en-US"/>
              </w:rPr>
              <w:br/>
            </w:r>
            <w:proofErr w:type="spellStart"/>
            <w:r w:rsidRPr="00552DFF">
              <w:rPr>
                <w:rFonts w:eastAsia="MS Mincho" w:cstheme="minorHAnsi"/>
                <w:sz w:val="20"/>
                <w:lang w:val="en-US"/>
              </w:rPr>
              <w:t>Cmax</w:t>
            </w:r>
            <w:proofErr w:type="spellEnd"/>
            <w:r w:rsidRPr="00552DFF">
              <w:rPr>
                <w:rFonts w:eastAsia="MS Mincho" w:cstheme="minorHAnsi"/>
                <w:sz w:val="20"/>
                <w:lang w:val="en-US"/>
              </w:rPr>
              <w:t xml:space="preserve"> </w:t>
            </w:r>
            <w:r w:rsidRPr="00552DFF">
              <w:rPr>
                <w:rFonts w:eastAsia="MS Mincho" w:cstheme="minorHAnsi"/>
                <w:sz w:val="20"/>
                <w:lang w:val="en-US"/>
              </w:rPr>
              <w:sym w:font="Symbol" w:char="F0AD"/>
            </w:r>
            <w:r w:rsidRPr="00552DFF">
              <w:rPr>
                <w:rFonts w:eastAsia="MS Mincho" w:cstheme="minorHAnsi"/>
                <w:sz w:val="20"/>
                <w:lang w:val="en-US"/>
              </w:rPr>
              <w:t> 40%</w:t>
            </w:r>
          </w:p>
        </w:tc>
        <w:tc>
          <w:tcPr>
            <w:tcW w:w="3006" w:type="dxa"/>
          </w:tcPr>
          <w:p w14:paraId="20F7EF96" w14:textId="54DE1D70" w:rsidR="00234039" w:rsidRPr="00552DFF" w:rsidRDefault="00234039" w:rsidP="00234039">
            <w:pPr>
              <w:rPr>
                <w:rFonts w:ascii="Arial Narrow" w:hAnsi="Arial Narrow" w:cstheme="minorHAnsi"/>
                <w:sz w:val="20"/>
                <w:szCs w:val="20"/>
                <w:lang w:val="en"/>
              </w:rPr>
            </w:pPr>
            <w:r w:rsidRPr="00552DFF">
              <w:rPr>
                <w:rFonts w:ascii="Arial Narrow" w:hAnsi="Arial Narrow" w:cstheme="minorHAnsi"/>
                <w:sz w:val="20"/>
                <w:szCs w:val="20"/>
                <w:lang w:val="en"/>
              </w:rPr>
              <w:t xml:space="preserve">Ethinyl estradiol should not exceed 30 </w:t>
            </w:r>
            <w:proofErr w:type="spellStart"/>
            <w:r w:rsidRPr="00552DFF">
              <w:rPr>
                <w:rFonts w:ascii="Arial Narrow" w:hAnsi="Arial Narrow" w:cstheme="minorHAnsi"/>
                <w:sz w:val="20"/>
                <w:szCs w:val="20"/>
                <w:lang w:val="en"/>
              </w:rPr>
              <w:t>μg</w:t>
            </w:r>
            <w:proofErr w:type="spellEnd"/>
            <w:r w:rsidRPr="00552DFF">
              <w:rPr>
                <w:rFonts w:ascii="Arial Narrow" w:hAnsi="Arial Narrow" w:cstheme="minorHAnsi"/>
                <w:sz w:val="20"/>
                <w:szCs w:val="20"/>
                <w:lang w:val="en"/>
              </w:rPr>
              <w:t xml:space="preserve"> daily. Caution is advised particularly in patients with additional risk factors for thromboembolic events (see </w:t>
            </w:r>
            <w:r w:rsidR="004C2A8F">
              <w:rPr>
                <w:rFonts w:ascii="Arial Narrow" w:hAnsi="Arial Narrow" w:cstheme="minorHAnsi"/>
                <w:sz w:val="20"/>
                <w:szCs w:val="20"/>
                <w:lang w:val="en"/>
              </w:rPr>
              <w:t xml:space="preserve">Section </w:t>
            </w:r>
            <w:r w:rsidR="004C2A8F" w:rsidRPr="004C2A8F">
              <w:rPr>
                <w:rFonts w:ascii="Arial Narrow" w:hAnsi="Arial Narrow" w:cstheme="minorHAnsi"/>
                <w:sz w:val="20"/>
                <w:szCs w:val="20"/>
                <w:lang w:val="en"/>
              </w:rPr>
              <w:t>4.4</w:t>
            </w:r>
            <w:r w:rsidR="004C2A8F">
              <w:rPr>
                <w:rFonts w:ascii="Arial Narrow" w:hAnsi="Arial Narrow" w:cstheme="minorHAnsi"/>
                <w:sz w:val="20"/>
                <w:szCs w:val="20"/>
                <w:lang w:val="en"/>
              </w:rPr>
              <w:t xml:space="preserve"> </w:t>
            </w:r>
            <w:r w:rsidR="004C2A8F" w:rsidRPr="004C2A8F">
              <w:rPr>
                <w:rFonts w:ascii="Arial Narrow" w:hAnsi="Arial Narrow" w:cstheme="minorHAnsi"/>
                <w:sz w:val="20"/>
                <w:szCs w:val="20"/>
                <w:lang w:val="en"/>
              </w:rPr>
              <w:t>SPECIAL WARNINGS AND PRECAUTIONS FOR USE</w:t>
            </w:r>
            <w:r w:rsidRPr="00552DFF">
              <w:rPr>
                <w:rFonts w:ascii="Arial Narrow" w:hAnsi="Arial Narrow" w:cstheme="minorHAnsi"/>
                <w:sz w:val="20"/>
                <w:szCs w:val="20"/>
                <w:lang w:val="en"/>
              </w:rPr>
              <w:t xml:space="preserve">). </w:t>
            </w:r>
          </w:p>
        </w:tc>
      </w:tr>
      <w:tr w:rsidR="00234039" w:rsidRPr="00552DFF" w14:paraId="24D1828B" w14:textId="77777777" w:rsidTr="00234039">
        <w:trPr>
          <w:trHeight w:val="199"/>
        </w:trPr>
        <w:tc>
          <w:tcPr>
            <w:tcW w:w="3005" w:type="dxa"/>
          </w:tcPr>
          <w:p w14:paraId="707CC7FA" w14:textId="77777777" w:rsidR="00234039" w:rsidRPr="00552DFF" w:rsidRDefault="00234039" w:rsidP="00234039">
            <w:pPr>
              <w:rPr>
                <w:rFonts w:ascii="Arial Narrow" w:hAnsi="Arial Narrow" w:cstheme="minorHAnsi"/>
                <w:sz w:val="20"/>
                <w:szCs w:val="20"/>
                <w:lang w:val="en"/>
              </w:rPr>
            </w:pPr>
            <w:r w:rsidRPr="00552DFF">
              <w:rPr>
                <w:rFonts w:ascii="Arial Narrow" w:hAnsi="Arial Narrow" w:cstheme="minorHAnsi"/>
                <w:sz w:val="20"/>
                <w:szCs w:val="20"/>
                <w:lang w:val="en"/>
              </w:rPr>
              <w:t>Norethindrone acetate (NE)</w:t>
            </w:r>
          </w:p>
        </w:tc>
        <w:tc>
          <w:tcPr>
            <w:tcW w:w="3005" w:type="dxa"/>
          </w:tcPr>
          <w:p w14:paraId="7E10B0DC" w14:textId="77777777" w:rsidR="00234039" w:rsidRPr="00552DFF" w:rsidRDefault="00234039" w:rsidP="00234039">
            <w:pPr>
              <w:pStyle w:val="tabletextNS"/>
              <w:rPr>
                <w:rFonts w:eastAsia="MS Mincho" w:cstheme="minorHAnsi"/>
                <w:sz w:val="20"/>
                <w:lang w:val="en-US"/>
              </w:rPr>
            </w:pPr>
            <w:r w:rsidRPr="00552DFF">
              <w:rPr>
                <w:rFonts w:eastAsia="MS Mincho" w:cstheme="minorHAnsi"/>
                <w:sz w:val="20"/>
                <w:lang w:val="en-US"/>
              </w:rPr>
              <w:t xml:space="preserve">NE </w:t>
            </w:r>
            <w:r w:rsidRPr="00552DFF">
              <w:rPr>
                <w:rFonts w:eastAsia="MS Mincho" w:cstheme="minorHAnsi"/>
                <w:sz w:val="20"/>
                <w:lang w:val="en-US"/>
              </w:rPr>
              <w:sym w:font="Symbol" w:char="F0AB"/>
            </w:r>
          </w:p>
          <w:p w14:paraId="615DEF9E" w14:textId="77777777" w:rsidR="00234039" w:rsidRPr="00552DFF" w:rsidRDefault="00234039" w:rsidP="00234039">
            <w:pPr>
              <w:pStyle w:val="tabletextNS"/>
              <w:rPr>
                <w:rFonts w:eastAsia="MS Mincho" w:cstheme="minorHAnsi"/>
                <w:sz w:val="20"/>
                <w:lang w:val="en-US"/>
              </w:rPr>
            </w:pPr>
            <w:r w:rsidRPr="00552DFF">
              <w:rPr>
                <w:rFonts w:eastAsia="MS Mincho" w:cstheme="minorHAnsi"/>
                <w:sz w:val="20"/>
                <w:lang w:val="en-US"/>
              </w:rPr>
              <w:t xml:space="preserve">AUC </w:t>
            </w:r>
            <w:r w:rsidRPr="00552DFF">
              <w:rPr>
                <w:rFonts w:eastAsia="MS Mincho" w:cstheme="minorHAnsi"/>
                <w:sz w:val="20"/>
                <w:lang w:val="en-US"/>
              </w:rPr>
              <w:sym w:font="Symbol" w:char="F0AD"/>
            </w:r>
            <w:r w:rsidRPr="00552DFF">
              <w:rPr>
                <w:rFonts w:eastAsia="MS Mincho" w:cstheme="minorHAnsi"/>
                <w:sz w:val="20"/>
                <w:lang w:val="en-US"/>
              </w:rPr>
              <w:t> 8%</w:t>
            </w:r>
          </w:p>
          <w:p w14:paraId="6BBE5870" w14:textId="77777777" w:rsidR="00234039" w:rsidRPr="00552DFF" w:rsidRDefault="00234039" w:rsidP="00234039">
            <w:pPr>
              <w:pStyle w:val="tabletextNS"/>
              <w:spacing w:after="240"/>
              <w:rPr>
                <w:rFonts w:eastAsia="MS Mincho" w:cstheme="minorHAnsi"/>
                <w:sz w:val="20"/>
                <w:lang w:val="en-US"/>
              </w:rPr>
            </w:pPr>
            <w:proofErr w:type="spellStart"/>
            <w:r w:rsidRPr="00552DFF">
              <w:rPr>
                <w:rFonts w:eastAsia="MS Mincho" w:cstheme="minorHAnsi"/>
                <w:sz w:val="20"/>
                <w:lang w:val="en-US"/>
              </w:rPr>
              <w:t>Cmax</w:t>
            </w:r>
            <w:proofErr w:type="spellEnd"/>
            <w:r w:rsidRPr="00552DFF">
              <w:rPr>
                <w:rFonts w:eastAsia="MS Mincho" w:cstheme="minorHAnsi"/>
                <w:sz w:val="20"/>
                <w:lang w:val="en-US"/>
              </w:rPr>
              <w:t xml:space="preserve"> </w:t>
            </w:r>
            <w:r w:rsidRPr="00552DFF">
              <w:rPr>
                <w:rFonts w:eastAsia="MS Mincho" w:cstheme="minorHAnsi"/>
                <w:sz w:val="20"/>
                <w:lang w:val="en-US"/>
              </w:rPr>
              <w:sym w:font="Symbol" w:char="F0AD"/>
            </w:r>
            <w:r w:rsidRPr="00552DFF">
              <w:rPr>
                <w:rFonts w:eastAsia="MS Mincho" w:cstheme="minorHAnsi"/>
                <w:sz w:val="20"/>
                <w:lang w:val="en-US"/>
              </w:rPr>
              <w:t> 8%</w:t>
            </w:r>
          </w:p>
        </w:tc>
        <w:tc>
          <w:tcPr>
            <w:tcW w:w="3006" w:type="dxa"/>
          </w:tcPr>
          <w:p w14:paraId="0053AAF1" w14:textId="77777777" w:rsidR="00234039" w:rsidRPr="00552DFF" w:rsidRDefault="00234039" w:rsidP="00234039">
            <w:pPr>
              <w:rPr>
                <w:rFonts w:ascii="Arial Narrow" w:hAnsi="Arial Narrow" w:cstheme="minorHAnsi"/>
                <w:sz w:val="20"/>
                <w:szCs w:val="20"/>
                <w:lang w:val="en"/>
              </w:rPr>
            </w:pPr>
            <w:r w:rsidRPr="00552DFF">
              <w:rPr>
                <w:rFonts w:ascii="Arial Narrow" w:hAnsi="Arial Narrow" w:cstheme="minorHAnsi"/>
                <w:sz w:val="20"/>
                <w:szCs w:val="20"/>
                <w:lang w:val="en"/>
              </w:rPr>
              <w:t>No dose adjustment is necessary.</w:t>
            </w:r>
          </w:p>
        </w:tc>
      </w:tr>
      <w:tr w:rsidR="00234039" w:rsidRPr="00552DFF" w14:paraId="108B7E3F" w14:textId="77777777" w:rsidTr="00234039">
        <w:trPr>
          <w:trHeight w:val="199"/>
        </w:trPr>
        <w:tc>
          <w:tcPr>
            <w:tcW w:w="3005" w:type="dxa"/>
          </w:tcPr>
          <w:p w14:paraId="1489E1AC" w14:textId="77777777" w:rsidR="00234039" w:rsidRPr="00552DFF" w:rsidRDefault="00234039" w:rsidP="00234039">
            <w:pPr>
              <w:rPr>
                <w:rFonts w:ascii="Arial Narrow" w:hAnsi="Arial Narrow" w:cstheme="minorHAnsi"/>
                <w:sz w:val="20"/>
                <w:szCs w:val="20"/>
                <w:lang w:val="en"/>
              </w:rPr>
            </w:pPr>
            <w:r w:rsidRPr="00552DFF">
              <w:rPr>
                <w:rFonts w:ascii="Arial Narrow" w:hAnsi="Arial Narrow" w:cstheme="minorHAnsi"/>
                <w:sz w:val="20"/>
                <w:szCs w:val="20"/>
                <w:lang w:val="en"/>
              </w:rPr>
              <w:t>Rifabutin</w:t>
            </w:r>
          </w:p>
        </w:tc>
        <w:tc>
          <w:tcPr>
            <w:tcW w:w="3005" w:type="dxa"/>
          </w:tcPr>
          <w:p w14:paraId="08A336D0" w14:textId="77777777" w:rsidR="00234039" w:rsidRPr="00552DFF" w:rsidRDefault="00234039" w:rsidP="00234039">
            <w:pPr>
              <w:pStyle w:val="tabletextNS"/>
              <w:rPr>
                <w:rFonts w:eastAsia="MS Mincho" w:cs="Times New Roman"/>
                <w:sz w:val="20"/>
                <w:lang w:val="en-US"/>
              </w:rPr>
            </w:pPr>
            <w:proofErr w:type="spellStart"/>
            <w:r w:rsidRPr="00552DFF">
              <w:rPr>
                <w:rFonts w:eastAsia="MS Mincho" w:cstheme="minorHAnsi"/>
                <w:sz w:val="20"/>
                <w:lang w:val="en-US"/>
              </w:rPr>
              <w:t>Temsavir</w:t>
            </w:r>
            <w:proofErr w:type="spellEnd"/>
            <w:r w:rsidRPr="00552DFF">
              <w:rPr>
                <w:rFonts w:eastAsia="MS Mincho" w:cstheme="minorHAnsi"/>
                <w:sz w:val="20"/>
                <w:lang w:val="en-US"/>
              </w:rPr>
              <w:t xml:space="preserve"> </w:t>
            </w:r>
            <w:r w:rsidRPr="00552DFF">
              <w:rPr>
                <w:rFonts w:eastAsia="MS Mincho" w:cstheme="minorHAnsi"/>
                <w:sz w:val="20"/>
                <w:lang w:val="en-US"/>
              </w:rPr>
              <w:sym w:font="Symbol" w:char="F0AF"/>
            </w:r>
            <w:r w:rsidRPr="00552DFF">
              <w:rPr>
                <w:rFonts w:eastAsia="MS Mincho" w:cstheme="minorHAnsi"/>
                <w:sz w:val="20"/>
                <w:lang w:val="en-US"/>
              </w:rPr>
              <w:br/>
              <w:t xml:space="preserve">AUC </w:t>
            </w:r>
            <w:r w:rsidRPr="00552DFF">
              <w:rPr>
                <w:rFonts w:eastAsia="MS Mincho" w:cstheme="minorHAnsi"/>
                <w:sz w:val="20"/>
                <w:lang w:val="en-US"/>
              </w:rPr>
              <w:sym w:font="Symbol" w:char="F0AF"/>
            </w:r>
            <w:r w:rsidRPr="00552DFF">
              <w:rPr>
                <w:rFonts w:eastAsia="MS Mincho" w:cstheme="minorHAnsi"/>
                <w:sz w:val="20"/>
                <w:lang w:val="en-US"/>
              </w:rPr>
              <w:t> 30%</w:t>
            </w:r>
            <w:r w:rsidRPr="00552DFF">
              <w:rPr>
                <w:rFonts w:eastAsia="MS Mincho" w:cstheme="minorHAnsi"/>
                <w:sz w:val="20"/>
                <w:lang w:val="en-US"/>
              </w:rPr>
              <w:br/>
            </w:r>
            <w:proofErr w:type="spellStart"/>
            <w:r w:rsidRPr="00552DFF">
              <w:rPr>
                <w:rFonts w:eastAsia="MS Mincho" w:cstheme="minorHAnsi"/>
                <w:sz w:val="20"/>
                <w:lang w:val="en-US"/>
              </w:rPr>
              <w:t>Cmax</w:t>
            </w:r>
            <w:proofErr w:type="spellEnd"/>
            <w:r w:rsidRPr="00552DFF">
              <w:rPr>
                <w:rFonts w:eastAsia="MS Mincho" w:cstheme="minorHAnsi"/>
                <w:sz w:val="20"/>
                <w:lang w:val="en-US"/>
              </w:rPr>
              <w:t xml:space="preserve"> </w:t>
            </w:r>
            <w:r w:rsidRPr="00552DFF">
              <w:rPr>
                <w:rFonts w:eastAsia="MS Mincho" w:cstheme="minorHAnsi"/>
                <w:sz w:val="20"/>
                <w:lang w:val="en-US"/>
              </w:rPr>
              <w:sym w:font="Symbol" w:char="F0AF"/>
            </w:r>
            <w:r w:rsidRPr="00552DFF">
              <w:rPr>
                <w:rFonts w:eastAsia="MS Mincho" w:cstheme="minorHAnsi"/>
                <w:sz w:val="20"/>
                <w:lang w:val="en-US"/>
              </w:rPr>
              <w:t> 27%</w:t>
            </w:r>
            <w:r w:rsidRPr="00552DFF">
              <w:rPr>
                <w:rFonts w:eastAsia="MS Mincho" w:cstheme="minorHAnsi"/>
                <w:sz w:val="20"/>
                <w:lang w:val="en-US"/>
              </w:rPr>
              <w:br/>
              <w:t>C</w:t>
            </w:r>
            <w:r w:rsidRPr="00552DFF">
              <w:rPr>
                <w:rFonts w:eastAsia="MS Mincho" w:cstheme="minorHAnsi"/>
                <w:sz w:val="20"/>
                <w:lang w:val="en-US"/>
              </w:rPr>
              <w:sym w:font="Symbol" w:char="F074"/>
            </w:r>
            <w:r w:rsidRPr="00552DFF">
              <w:rPr>
                <w:rFonts w:eastAsia="MS Mincho" w:cstheme="minorHAnsi"/>
                <w:sz w:val="20"/>
                <w:lang w:val="en-US"/>
              </w:rPr>
              <w:t xml:space="preserve"> </w:t>
            </w:r>
            <w:r w:rsidRPr="00552DFF">
              <w:rPr>
                <w:rFonts w:eastAsia="MS Mincho" w:cstheme="minorHAnsi"/>
                <w:sz w:val="20"/>
                <w:lang w:val="en-US"/>
              </w:rPr>
              <w:sym w:font="Symbol" w:char="F0AF"/>
            </w:r>
            <w:r w:rsidRPr="00552DFF">
              <w:rPr>
                <w:rFonts w:eastAsia="MS Mincho" w:cstheme="minorHAnsi"/>
                <w:sz w:val="20"/>
                <w:lang w:val="en-US"/>
              </w:rPr>
              <w:t> 41%</w:t>
            </w:r>
          </w:p>
        </w:tc>
        <w:tc>
          <w:tcPr>
            <w:tcW w:w="3006" w:type="dxa"/>
          </w:tcPr>
          <w:p w14:paraId="787A8D4B" w14:textId="77777777" w:rsidR="00234039" w:rsidRPr="00552DFF" w:rsidRDefault="00234039" w:rsidP="00234039">
            <w:pPr>
              <w:rPr>
                <w:rFonts w:ascii="Arial Narrow" w:hAnsi="Arial Narrow" w:cstheme="minorHAnsi"/>
                <w:sz w:val="20"/>
                <w:szCs w:val="20"/>
                <w:lang w:val="en"/>
              </w:rPr>
            </w:pPr>
            <w:r w:rsidRPr="00552DFF">
              <w:rPr>
                <w:rFonts w:ascii="Arial Narrow" w:hAnsi="Arial Narrow" w:cstheme="minorHAnsi"/>
                <w:sz w:val="20"/>
                <w:szCs w:val="20"/>
                <w:lang w:val="en"/>
              </w:rPr>
              <w:t xml:space="preserve">Rifabutin decreased </w:t>
            </w:r>
            <w:proofErr w:type="spellStart"/>
            <w:r w:rsidRPr="00552DFF">
              <w:rPr>
                <w:rFonts w:ascii="Arial Narrow" w:hAnsi="Arial Narrow" w:cstheme="minorHAnsi"/>
                <w:sz w:val="20"/>
                <w:szCs w:val="20"/>
                <w:lang w:val="en"/>
              </w:rPr>
              <w:t>temsavir</w:t>
            </w:r>
            <w:proofErr w:type="spellEnd"/>
            <w:r w:rsidRPr="00552DFF">
              <w:rPr>
                <w:rFonts w:ascii="Arial Narrow" w:hAnsi="Arial Narrow" w:cstheme="minorHAnsi"/>
                <w:sz w:val="20"/>
                <w:szCs w:val="20"/>
                <w:lang w:val="en"/>
              </w:rPr>
              <w:t xml:space="preserve"> plasma concentrations with no clinically relevant impact. No dose adjustment is necessary.</w:t>
            </w:r>
          </w:p>
        </w:tc>
      </w:tr>
      <w:tr w:rsidR="00234039" w:rsidRPr="00552DFF" w14:paraId="435C162A" w14:textId="77777777" w:rsidTr="00234039">
        <w:trPr>
          <w:trHeight w:val="199"/>
        </w:trPr>
        <w:tc>
          <w:tcPr>
            <w:tcW w:w="3005" w:type="dxa"/>
          </w:tcPr>
          <w:p w14:paraId="5276DE13" w14:textId="77777777" w:rsidR="00234039" w:rsidRPr="00552DFF" w:rsidRDefault="00234039" w:rsidP="00234039">
            <w:pPr>
              <w:pStyle w:val="tabletextNS"/>
              <w:rPr>
                <w:rFonts w:eastAsia="MS Mincho" w:cstheme="minorHAnsi"/>
                <w:sz w:val="20"/>
                <w:lang w:val="en-US"/>
              </w:rPr>
            </w:pPr>
            <w:r w:rsidRPr="00552DFF">
              <w:rPr>
                <w:rFonts w:eastAsia="MS Mincho" w:cstheme="minorHAnsi"/>
                <w:sz w:val="20"/>
                <w:lang w:val="en-US"/>
              </w:rPr>
              <w:t>Rifabutin + Ritonavir</w:t>
            </w:r>
          </w:p>
        </w:tc>
        <w:tc>
          <w:tcPr>
            <w:tcW w:w="3005" w:type="dxa"/>
          </w:tcPr>
          <w:p w14:paraId="353258AB" w14:textId="77777777" w:rsidR="00234039" w:rsidRPr="00552DFF" w:rsidRDefault="00234039" w:rsidP="00234039">
            <w:pPr>
              <w:pStyle w:val="tabletextNS"/>
              <w:rPr>
                <w:rFonts w:eastAsia="MS Mincho" w:cstheme="minorHAnsi"/>
                <w:sz w:val="20"/>
                <w:lang w:val="en-US"/>
              </w:rPr>
            </w:pPr>
            <w:proofErr w:type="spellStart"/>
            <w:r w:rsidRPr="00552DFF">
              <w:rPr>
                <w:rFonts w:eastAsia="MS Mincho" w:cstheme="minorHAnsi"/>
                <w:sz w:val="20"/>
                <w:lang w:val="en-US"/>
              </w:rPr>
              <w:t>Temsavir</w:t>
            </w:r>
            <w:proofErr w:type="spellEnd"/>
            <w:r w:rsidRPr="00552DFF">
              <w:rPr>
                <w:rFonts w:eastAsia="MS Mincho" w:cstheme="minorHAnsi"/>
                <w:sz w:val="20"/>
                <w:lang w:val="en-US"/>
              </w:rPr>
              <w:t xml:space="preserve"> </w:t>
            </w:r>
            <w:r w:rsidRPr="00552DFF">
              <w:rPr>
                <w:rFonts w:eastAsia="MS Mincho" w:cstheme="minorHAnsi"/>
                <w:sz w:val="20"/>
                <w:lang w:val="en-US"/>
              </w:rPr>
              <w:sym w:font="Symbol" w:char="F0AD"/>
            </w:r>
            <w:r w:rsidRPr="00552DFF">
              <w:rPr>
                <w:rFonts w:eastAsia="MS Mincho" w:cstheme="minorHAnsi"/>
                <w:sz w:val="20"/>
                <w:lang w:val="en-US"/>
              </w:rPr>
              <w:br/>
              <w:t xml:space="preserve">AUC </w:t>
            </w:r>
            <w:r w:rsidRPr="00552DFF">
              <w:rPr>
                <w:rFonts w:eastAsia="MS Mincho" w:cstheme="minorHAnsi"/>
                <w:sz w:val="20"/>
                <w:lang w:val="en-US"/>
              </w:rPr>
              <w:sym w:font="Symbol" w:char="F0AD"/>
            </w:r>
            <w:r w:rsidRPr="00552DFF">
              <w:rPr>
                <w:rFonts w:eastAsia="MS Mincho" w:cstheme="minorHAnsi"/>
                <w:sz w:val="20"/>
                <w:lang w:val="en-US"/>
              </w:rPr>
              <w:t> 66%</w:t>
            </w:r>
            <w:r w:rsidRPr="00552DFF">
              <w:rPr>
                <w:rFonts w:eastAsia="MS Mincho" w:cstheme="minorHAnsi"/>
                <w:sz w:val="20"/>
                <w:lang w:val="en-US"/>
              </w:rPr>
              <w:br/>
            </w:r>
            <w:proofErr w:type="spellStart"/>
            <w:r w:rsidRPr="00552DFF">
              <w:rPr>
                <w:rFonts w:eastAsia="MS Mincho" w:cstheme="minorHAnsi"/>
                <w:sz w:val="20"/>
                <w:lang w:val="en-US"/>
              </w:rPr>
              <w:t>Cmax</w:t>
            </w:r>
            <w:proofErr w:type="spellEnd"/>
            <w:r w:rsidRPr="00552DFF">
              <w:rPr>
                <w:rFonts w:eastAsia="MS Mincho" w:cstheme="minorHAnsi"/>
                <w:sz w:val="20"/>
                <w:lang w:val="en-US"/>
              </w:rPr>
              <w:t xml:space="preserve"> </w:t>
            </w:r>
            <w:r w:rsidRPr="00552DFF">
              <w:rPr>
                <w:rFonts w:eastAsia="MS Mincho" w:cstheme="minorHAnsi"/>
                <w:sz w:val="20"/>
                <w:lang w:val="en-US"/>
              </w:rPr>
              <w:sym w:font="Symbol" w:char="F0AD"/>
            </w:r>
            <w:r w:rsidRPr="00552DFF">
              <w:rPr>
                <w:rFonts w:eastAsia="MS Mincho" w:cstheme="minorHAnsi"/>
                <w:sz w:val="20"/>
                <w:lang w:val="en-US"/>
              </w:rPr>
              <w:t> 50%</w:t>
            </w:r>
            <w:r w:rsidRPr="00552DFF">
              <w:rPr>
                <w:rFonts w:eastAsia="MS Mincho" w:cstheme="minorHAnsi"/>
                <w:sz w:val="20"/>
                <w:lang w:val="en-US"/>
              </w:rPr>
              <w:br/>
              <w:t>C</w:t>
            </w:r>
            <w:r w:rsidRPr="00552DFF">
              <w:rPr>
                <w:rFonts w:eastAsia="MS Mincho" w:cstheme="minorHAnsi"/>
                <w:sz w:val="20"/>
                <w:lang w:val="en-US"/>
              </w:rPr>
              <w:sym w:font="Symbol" w:char="F074"/>
            </w:r>
            <w:r w:rsidRPr="00552DFF">
              <w:rPr>
                <w:rFonts w:eastAsia="MS Mincho" w:cstheme="minorHAnsi"/>
                <w:sz w:val="20"/>
                <w:lang w:val="en-US"/>
              </w:rPr>
              <w:t xml:space="preserve"> </w:t>
            </w:r>
            <w:r w:rsidRPr="00552DFF">
              <w:rPr>
                <w:rFonts w:eastAsia="MS Mincho" w:cstheme="minorHAnsi"/>
                <w:sz w:val="20"/>
                <w:lang w:val="en-US"/>
              </w:rPr>
              <w:sym w:font="Symbol" w:char="F0AD"/>
            </w:r>
            <w:r w:rsidRPr="00552DFF">
              <w:rPr>
                <w:rFonts w:eastAsia="MS Mincho" w:cstheme="minorHAnsi"/>
                <w:sz w:val="20"/>
                <w:lang w:val="en-US"/>
              </w:rPr>
              <w:t> 158%</w:t>
            </w:r>
          </w:p>
        </w:tc>
        <w:tc>
          <w:tcPr>
            <w:tcW w:w="3006" w:type="dxa"/>
          </w:tcPr>
          <w:p w14:paraId="678062D3" w14:textId="77777777" w:rsidR="00234039" w:rsidRPr="00552DFF" w:rsidRDefault="00234039" w:rsidP="00234039">
            <w:pPr>
              <w:rPr>
                <w:rFonts w:ascii="Arial Narrow" w:hAnsi="Arial Narrow" w:cstheme="minorHAnsi"/>
                <w:sz w:val="20"/>
                <w:szCs w:val="20"/>
                <w:lang w:val="en"/>
              </w:rPr>
            </w:pPr>
            <w:r w:rsidRPr="00552DFF">
              <w:rPr>
                <w:rFonts w:ascii="Arial Narrow" w:hAnsi="Arial Narrow" w:cstheme="minorHAnsi"/>
                <w:sz w:val="20"/>
                <w:szCs w:val="20"/>
                <w:lang w:val="en"/>
              </w:rPr>
              <w:t xml:space="preserve">Rifabutin co-administered with ritonavir increased </w:t>
            </w:r>
            <w:proofErr w:type="spellStart"/>
            <w:r w:rsidRPr="00552DFF">
              <w:rPr>
                <w:rFonts w:ascii="Arial Narrow" w:hAnsi="Arial Narrow" w:cstheme="minorHAnsi"/>
                <w:sz w:val="20"/>
                <w:szCs w:val="20"/>
                <w:lang w:val="en"/>
              </w:rPr>
              <w:t>temsavir</w:t>
            </w:r>
            <w:proofErr w:type="spellEnd"/>
            <w:r w:rsidRPr="00552DFF">
              <w:rPr>
                <w:rFonts w:ascii="Arial Narrow" w:hAnsi="Arial Narrow" w:cstheme="minorHAnsi"/>
                <w:sz w:val="20"/>
                <w:szCs w:val="20"/>
                <w:lang w:val="en"/>
              </w:rPr>
              <w:t xml:space="preserve"> plasma concentrations with no clinically relevant impact. No dose adjustment is necessary.</w:t>
            </w:r>
          </w:p>
        </w:tc>
      </w:tr>
      <w:tr w:rsidR="00234039" w:rsidRPr="00552DFF" w14:paraId="1532ACFA" w14:textId="77777777" w:rsidTr="00234039">
        <w:trPr>
          <w:trHeight w:val="199"/>
        </w:trPr>
        <w:tc>
          <w:tcPr>
            <w:tcW w:w="3005" w:type="dxa"/>
          </w:tcPr>
          <w:p w14:paraId="3ECB171C" w14:textId="77777777" w:rsidR="00234039" w:rsidRPr="00552DFF" w:rsidRDefault="00234039" w:rsidP="00234039">
            <w:pPr>
              <w:rPr>
                <w:rFonts w:ascii="Arial Narrow" w:hAnsi="Arial Narrow" w:cstheme="minorHAnsi"/>
                <w:sz w:val="20"/>
                <w:szCs w:val="20"/>
                <w:lang w:val="en"/>
              </w:rPr>
            </w:pPr>
            <w:r w:rsidRPr="00552DFF">
              <w:rPr>
                <w:rFonts w:ascii="Arial Narrow" w:hAnsi="Arial Narrow" w:cstheme="minorHAnsi"/>
                <w:sz w:val="20"/>
                <w:szCs w:val="20"/>
                <w:lang w:val="en"/>
              </w:rPr>
              <w:t xml:space="preserve">Rifampicin </w:t>
            </w:r>
          </w:p>
          <w:p w14:paraId="10425C73" w14:textId="77777777" w:rsidR="00234039" w:rsidRPr="00552DFF" w:rsidRDefault="00234039" w:rsidP="00234039">
            <w:pPr>
              <w:pStyle w:val="tabletextNS"/>
              <w:rPr>
                <w:rFonts w:eastAsiaTheme="minorHAnsi" w:cstheme="minorHAnsi"/>
                <w:sz w:val="20"/>
                <w:lang w:val="en" w:eastAsia="en-US"/>
              </w:rPr>
            </w:pPr>
          </w:p>
        </w:tc>
        <w:tc>
          <w:tcPr>
            <w:tcW w:w="3005" w:type="dxa"/>
          </w:tcPr>
          <w:p w14:paraId="5CE161FF" w14:textId="77777777" w:rsidR="00234039" w:rsidRPr="00552DFF" w:rsidRDefault="00552DFF" w:rsidP="00234039">
            <w:pPr>
              <w:pStyle w:val="tabletextNS"/>
              <w:rPr>
                <w:rFonts w:eastAsia="MS Mincho" w:cs="Times New Roman"/>
                <w:sz w:val="20"/>
                <w:lang w:val="en-US"/>
              </w:rPr>
            </w:pPr>
            <w:proofErr w:type="spellStart"/>
            <w:r w:rsidRPr="00552DFF">
              <w:rPr>
                <w:rFonts w:eastAsia="MS Mincho" w:cs="Times New Roman"/>
                <w:sz w:val="20"/>
                <w:lang w:val="en-US"/>
              </w:rPr>
              <w:t>Temsavir</w:t>
            </w:r>
            <w:proofErr w:type="spellEnd"/>
            <w:r w:rsidRPr="00552DFF">
              <w:rPr>
                <w:rFonts w:eastAsia="MS Mincho" w:cs="Times New Roman"/>
                <w:sz w:val="20"/>
                <w:lang w:val="en-US"/>
              </w:rPr>
              <w:t xml:space="preserve"> </w:t>
            </w:r>
            <w:r w:rsidRPr="00552DFF">
              <w:rPr>
                <w:rFonts w:cs="Times New Roman"/>
                <w:sz w:val="20"/>
              </w:rPr>
              <w:sym w:font="Symbol" w:char="F0AF"/>
            </w:r>
            <w:r w:rsidRPr="00552DFF">
              <w:rPr>
                <w:rFonts w:cs="Times New Roman"/>
                <w:sz w:val="20"/>
              </w:rPr>
              <w:br/>
              <w:t xml:space="preserve">AUC </w:t>
            </w:r>
            <w:r w:rsidRPr="00552DFF">
              <w:rPr>
                <w:rFonts w:cs="Times New Roman"/>
                <w:sz w:val="20"/>
              </w:rPr>
              <w:sym w:font="Symbol" w:char="F0AF"/>
            </w:r>
            <w:r w:rsidRPr="00552DFF">
              <w:rPr>
                <w:rFonts w:cs="Times New Roman"/>
                <w:sz w:val="20"/>
              </w:rPr>
              <w:t> 82%</w:t>
            </w:r>
            <w:r w:rsidRPr="00552DFF">
              <w:rPr>
                <w:rFonts w:cs="Times New Roman"/>
                <w:sz w:val="20"/>
              </w:rPr>
              <w:br/>
            </w:r>
            <w:proofErr w:type="spellStart"/>
            <w:r w:rsidRPr="004C2A8F">
              <w:rPr>
                <w:rFonts w:eastAsia="MS Mincho" w:cstheme="minorHAnsi"/>
                <w:sz w:val="20"/>
                <w:lang w:val="en-US"/>
              </w:rPr>
              <w:t>Cmax</w:t>
            </w:r>
            <w:proofErr w:type="spellEnd"/>
            <w:r w:rsidRPr="004C2A8F">
              <w:rPr>
                <w:rFonts w:eastAsia="MS Mincho" w:cstheme="minorHAnsi"/>
                <w:sz w:val="20"/>
                <w:lang w:val="en-US"/>
              </w:rPr>
              <w:t xml:space="preserve"> </w:t>
            </w:r>
            <w:r w:rsidRPr="004C2A8F">
              <w:rPr>
                <w:rFonts w:eastAsia="MS Mincho" w:cstheme="minorHAnsi"/>
                <w:sz w:val="20"/>
                <w:lang w:val="en-US"/>
              </w:rPr>
              <w:sym w:font="Symbol" w:char="F0AF"/>
            </w:r>
            <w:r w:rsidRPr="00552DFF">
              <w:rPr>
                <w:rFonts w:cs="Times New Roman"/>
                <w:sz w:val="20"/>
              </w:rPr>
              <w:t> 76%</w:t>
            </w:r>
            <w:r w:rsidR="00234039" w:rsidRPr="00552DFF">
              <w:rPr>
                <w:rFonts w:cs="Times New Roman"/>
                <w:sz w:val="20"/>
              </w:rPr>
              <w:br/>
            </w:r>
          </w:p>
        </w:tc>
        <w:tc>
          <w:tcPr>
            <w:tcW w:w="3006" w:type="dxa"/>
          </w:tcPr>
          <w:p w14:paraId="4D7952A5" w14:textId="77777777" w:rsidR="00234039" w:rsidRPr="00552DFF" w:rsidRDefault="00234039" w:rsidP="00234039">
            <w:pPr>
              <w:rPr>
                <w:rFonts w:ascii="Arial Narrow" w:hAnsi="Arial Narrow" w:cstheme="minorHAnsi"/>
                <w:sz w:val="20"/>
                <w:szCs w:val="20"/>
                <w:lang w:val="en"/>
              </w:rPr>
            </w:pPr>
            <w:bookmarkStart w:id="8" w:name="_Hlk7939559"/>
            <w:r w:rsidRPr="00552DFF">
              <w:rPr>
                <w:rFonts w:ascii="Arial Narrow" w:hAnsi="Arial Narrow" w:cstheme="minorHAnsi"/>
                <w:sz w:val="20"/>
                <w:szCs w:val="20"/>
                <w:lang w:val="en"/>
              </w:rPr>
              <w:t xml:space="preserve">May lead to loss of virologic response to fostemsavir due to significant decreases in </w:t>
            </w:r>
            <w:proofErr w:type="spellStart"/>
            <w:r w:rsidRPr="00552DFF">
              <w:rPr>
                <w:rFonts w:ascii="Arial Narrow" w:hAnsi="Arial Narrow" w:cstheme="minorHAnsi"/>
                <w:sz w:val="20"/>
                <w:szCs w:val="20"/>
                <w:lang w:val="en"/>
              </w:rPr>
              <w:t>temsavir</w:t>
            </w:r>
            <w:proofErr w:type="spellEnd"/>
            <w:r w:rsidRPr="00552DFF">
              <w:rPr>
                <w:rFonts w:ascii="Arial Narrow" w:hAnsi="Arial Narrow" w:cstheme="minorHAnsi"/>
                <w:sz w:val="20"/>
                <w:szCs w:val="20"/>
                <w:lang w:val="en"/>
              </w:rPr>
              <w:t xml:space="preserve"> plasma concentrations caused by strong CYP3A induction.  </w:t>
            </w:r>
            <w:bookmarkEnd w:id="8"/>
            <w:r w:rsidRPr="00552DFF">
              <w:rPr>
                <w:rFonts w:ascii="Arial Narrow" w:hAnsi="Arial Narrow" w:cstheme="minorHAnsi"/>
                <w:sz w:val="20"/>
                <w:szCs w:val="20"/>
                <w:lang w:val="en"/>
              </w:rPr>
              <w:t xml:space="preserve">Therefore, the concomitant use of fostemsavir and rifampicin is contraindicated. </w:t>
            </w:r>
          </w:p>
          <w:p w14:paraId="42646A12" w14:textId="77777777" w:rsidR="00234039" w:rsidRPr="00552DFF" w:rsidRDefault="00234039" w:rsidP="00234039">
            <w:pPr>
              <w:rPr>
                <w:rFonts w:ascii="Arial Narrow" w:hAnsi="Arial Narrow" w:cstheme="minorHAnsi"/>
                <w:sz w:val="20"/>
                <w:szCs w:val="20"/>
                <w:lang w:val="en"/>
              </w:rPr>
            </w:pPr>
          </w:p>
          <w:p w14:paraId="2145FE1F" w14:textId="77777777" w:rsidR="00234039" w:rsidRPr="00552DFF" w:rsidRDefault="00234039" w:rsidP="00234039">
            <w:pPr>
              <w:rPr>
                <w:rFonts w:ascii="Arial Narrow" w:hAnsi="Arial Narrow" w:cstheme="minorHAnsi"/>
                <w:sz w:val="20"/>
                <w:szCs w:val="20"/>
                <w:lang w:val="en"/>
              </w:rPr>
            </w:pPr>
            <w:r w:rsidRPr="00552DFF">
              <w:rPr>
                <w:rFonts w:ascii="Arial Narrow" w:hAnsi="Arial Narrow" w:cstheme="minorHAnsi"/>
                <w:sz w:val="20"/>
                <w:szCs w:val="20"/>
                <w:lang w:val="en"/>
              </w:rPr>
              <w:t xml:space="preserve">Although not studied, concomitant use of fostemsavir and other strong CYP3A4 inducers is contraindicated.  These include but are not limited </w:t>
            </w:r>
            <w:proofErr w:type="gramStart"/>
            <w:r w:rsidRPr="00552DFF">
              <w:rPr>
                <w:rFonts w:ascii="Arial Narrow" w:hAnsi="Arial Narrow" w:cstheme="minorHAnsi"/>
                <w:sz w:val="20"/>
                <w:szCs w:val="20"/>
                <w:lang w:val="en"/>
              </w:rPr>
              <w:t>to:</w:t>
            </w:r>
            <w:proofErr w:type="gramEnd"/>
            <w:r w:rsidRPr="00552DFF">
              <w:rPr>
                <w:rFonts w:ascii="Arial Narrow" w:hAnsi="Arial Narrow" w:cstheme="minorHAnsi"/>
                <w:sz w:val="20"/>
                <w:szCs w:val="20"/>
                <w:lang w:val="en"/>
              </w:rPr>
              <w:t xml:space="preserve"> carbamazepine, phenytoin (anticonvulsants); mitotane (antineoplastic); enzalutamide (androgen receptor inhibitor); St. </w:t>
            </w:r>
            <w:r w:rsidRPr="00552DFF">
              <w:rPr>
                <w:rFonts w:ascii="Arial Narrow" w:hAnsi="Arial Narrow" w:cstheme="minorHAnsi"/>
                <w:sz w:val="20"/>
                <w:szCs w:val="20"/>
                <w:lang w:val="en"/>
              </w:rPr>
              <w:lastRenderedPageBreak/>
              <w:t>John’s wort (</w:t>
            </w:r>
            <w:r w:rsidRPr="00552DFF">
              <w:rPr>
                <w:rFonts w:ascii="Arial Narrow" w:hAnsi="Arial Narrow" w:cstheme="minorHAnsi"/>
                <w:i/>
                <w:sz w:val="20"/>
                <w:szCs w:val="20"/>
                <w:lang w:val="en"/>
              </w:rPr>
              <w:t xml:space="preserve">Hypericum </w:t>
            </w:r>
            <w:proofErr w:type="spellStart"/>
            <w:r w:rsidRPr="00552DFF">
              <w:rPr>
                <w:rFonts w:ascii="Arial Narrow" w:hAnsi="Arial Narrow" w:cstheme="minorHAnsi"/>
                <w:i/>
                <w:sz w:val="20"/>
                <w:szCs w:val="20"/>
                <w:lang w:val="en"/>
              </w:rPr>
              <w:t>perforatum</w:t>
            </w:r>
            <w:proofErr w:type="spellEnd"/>
            <w:r w:rsidRPr="00552DFF">
              <w:rPr>
                <w:rFonts w:ascii="Arial Narrow" w:hAnsi="Arial Narrow" w:cstheme="minorHAnsi"/>
                <w:sz w:val="20"/>
                <w:szCs w:val="20"/>
                <w:lang w:val="en"/>
              </w:rPr>
              <w:t xml:space="preserve">, herbal supplement). </w:t>
            </w:r>
          </w:p>
        </w:tc>
      </w:tr>
      <w:tr w:rsidR="00234039" w:rsidRPr="00552DFF" w14:paraId="4B5BE735" w14:textId="77777777" w:rsidTr="00234039">
        <w:trPr>
          <w:trHeight w:val="199"/>
        </w:trPr>
        <w:tc>
          <w:tcPr>
            <w:tcW w:w="3005" w:type="dxa"/>
          </w:tcPr>
          <w:p w14:paraId="5422B1C2" w14:textId="77777777" w:rsidR="00234039" w:rsidRPr="00552DFF" w:rsidRDefault="00234039" w:rsidP="00234039">
            <w:pPr>
              <w:rPr>
                <w:rFonts w:ascii="Arial Narrow" w:hAnsi="Arial Narrow" w:cstheme="minorHAnsi"/>
                <w:sz w:val="20"/>
                <w:szCs w:val="20"/>
                <w:lang w:val="en"/>
              </w:rPr>
            </w:pPr>
            <w:r w:rsidRPr="00552DFF">
              <w:rPr>
                <w:rFonts w:ascii="Arial Narrow" w:hAnsi="Arial Narrow" w:cstheme="minorHAnsi"/>
                <w:sz w:val="20"/>
                <w:szCs w:val="20"/>
                <w:lang w:val="en"/>
              </w:rPr>
              <w:lastRenderedPageBreak/>
              <w:t>HMG CO-A Reductase Inhibitors:</w:t>
            </w:r>
          </w:p>
          <w:p w14:paraId="520A4F7E" w14:textId="77777777" w:rsidR="00234039" w:rsidRPr="00552DFF" w:rsidRDefault="00234039" w:rsidP="00234039">
            <w:pPr>
              <w:pStyle w:val="tabletextNS"/>
              <w:rPr>
                <w:rFonts w:eastAsiaTheme="minorHAnsi" w:cstheme="minorHAnsi"/>
                <w:sz w:val="20"/>
                <w:lang w:val="en" w:eastAsia="en-US"/>
              </w:rPr>
            </w:pPr>
            <w:r w:rsidRPr="00552DFF">
              <w:rPr>
                <w:rFonts w:eastAsiaTheme="minorHAnsi" w:cstheme="minorHAnsi"/>
                <w:sz w:val="20"/>
                <w:lang w:val="en" w:eastAsia="en-US"/>
              </w:rPr>
              <w:t>Rosuvastatin</w:t>
            </w:r>
          </w:p>
          <w:p w14:paraId="709883D1" w14:textId="77777777" w:rsidR="00234039" w:rsidRPr="00552DFF" w:rsidRDefault="00234039" w:rsidP="00234039">
            <w:pPr>
              <w:pStyle w:val="tabletextNS"/>
              <w:rPr>
                <w:rFonts w:eastAsiaTheme="minorHAnsi" w:cstheme="minorHAnsi"/>
                <w:sz w:val="20"/>
                <w:lang w:val="en" w:eastAsia="en-US"/>
              </w:rPr>
            </w:pPr>
            <w:r w:rsidRPr="00552DFF">
              <w:rPr>
                <w:rFonts w:eastAsiaTheme="minorHAnsi" w:cstheme="minorHAnsi"/>
                <w:sz w:val="20"/>
                <w:lang w:val="en" w:eastAsia="en-US"/>
              </w:rPr>
              <w:t>Atorvastatin</w:t>
            </w:r>
          </w:p>
          <w:p w14:paraId="2605CA1C" w14:textId="77777777" w:rsidR="00234039" w:rsidRPr="00552DFF" w:rsidRDefault="00234039" w:rsidP="00234039">
            <w:pPr>
              <w:pStyle w:val="tabletextNS"/>
              <w:tabs>
                <w:tab w:val="left" w:pos="1545"/>
              </w:tabs>
              <w:rPr>
                <w:rFonts w:eastAsiaTheme="minorHAnsi" w:cstheme="minorHAnsi"/>
                <w:sz w:val="20"/>
                <w:lang w:val="en" w:eastAsia="en-US"/>
              </w:rPr>
            </w:pPr>
            <w:proofErr w:type="spellStart"/>
            <w:r w:rsidRPr="00552DFF">
              <w:rPr>
                <w:rFonts w:eastAsiaTheme="minorHAnsi" w:cstheme="minorHAnsi"/>
                <w:sz w:val="20"/>
                <w:lang w:val="en" w:eastAsia="en-US"/>
              </w:rPr>
              <w:t>Pitavastatin</w:t>
            </w:r>
            <w:proofErr w:type="spellEnd"/>
            <w:r w:rsidRPr="00552DFF">
              <w:rPr>
                <w:rFonts w:eastAsiaTheme="minorHAnsi" w:cstheme="minorHAnsi"/>
                <w:sz w:val="20"/>
                <w:lang w:val="en" w:eastAsia="en-US"/>
              </w:rPr>
              <w:tab/>
            </w:r>
          </w:p>
          <w:p w14:paraId="47275E47" w14:textId="77777777" w:rsidR="00234039" w:rsidRPr="00552DFF" w:rsidRDefault="00234039" w:rsidP="00234039">
            <w:pPr>
              <w:pStyle w:val="tabletextNS"/>
              <w:rPr>
                <w:rFonts w:eastAsiaTheme="minorHAnsi" w:cstheme="minorHAnsi"/>
                <w:sz w:val="20"/>
                <w:lang w:val="en" w:eastAsia="en-US"/>
              </w:rPr>
            </w:pPr>
            <w:r w:rsidRPr="00552DFF">
              <w:rPr>
                <w:rFonts w:eastAsiaTheme="minorHAnsi" w:cstheme="minorHAnsi"/>
                <w:sz w:val="20"/>
                <w:lang w:val="en" w:eastAsia="en-US"/>
              </w:rPr>
              <w:t>Fluvastatin</w:t>
            </w:r>
          </w:p>
          <w:p w14:paraId="4C5895EB" w14:textId="77777777" w:rsidR="00234039" w:rsidRPr="00552DFF" w:rsidRDefault="00234039" w:rsidP="00234039">
            <w:pPr>
              <w:pStyle w:val="tabletextNS"/>
              <w:rPr>
                <w:rFonts w:eastAsiaTheme="minorHAnsi" w:cstheme="minorHAnsi"/>
                <w:sz w:val="20"/>
                <w:lang w:val="en" w:eastAsia="en-US"/>
              </w:rPr>
            </w:pPr>
            <w:r w:rsidRPr="00552DFF">
              <w:rPr>
                <w:rFonts w:eastAsiaTheme="minorHAnsi" w:cstheme="minorHAnsi"/>
                <w:sz w:val="20"/>
                <w:lang w:val="en" w:eastAsia="en-US"/>
              </w:rPr>
              <w:t xml:space="preserve">Simvastatin </w:t>
            </w:r>
          </w:p>
          <w:p w14:paraId="7D7C4730" w14:textId="77777777" w:rsidR="00234039" w:rsidRPr="00552DFF" w:rsidRDefault="00234039" w:rsidP="00234039">
            <w:pPr>
              <w:pStyle w:val="tabletextNS"/>
              <w:rPr>
                <w:rFonts w:eastAsiaTheme="minorHAnsi" w:cstheme="minorHAnsi"/>
                <w:sz w:val="20"/>
                <w:lang w:val="en" w:eastAsia="en-US"/>
              </w:rPr>
            </w:pPr>
          </w:p>
          <w:p w14:paraId="23C3EF14" w14:textId="77777777" w:rsidR="00234039" w:rsidRPr="00552DFF" w:rsidRDefault="00234039" w:rsidP="00234039">
            <w:pPr>
              <w:pStyle w:val="tabletextNS"/>
              <w:rPr>
                <w:rFonts w:eastAsiaTheme="minorHAnsi" w:cstheme="minorHAnsi"/>
                <w:sz w:val="20"/>
                <w:lang w:val="en" w:eastAsia="en-US"/>
              </w:rPr>
            </w:pPr>
          </w:p>
        </w:tc>
        <w:tc>
          <w:tcPr>
            <w:tcW w:w="3005" w:type="dxa"/>
          </w:tcPr>
          <w:p w14:paraId="2EB7A8CF" w14:textId="51B4CF1A" w:rsidR="00234039" w:rsidRPr="00552DFF" w:rsidRDefault="00552DFF" w:rsidP="00234039">
            <w:pPr>
              <w:pStyle w:val="tabletextNS"/>
              <w:rPr>
                <w:rFonts w:cs="Times New Roman"/>
                <w:sz w:val="20"/>
              </w:rPr>
            </w:pPr>
            <w:r w:rsidRPr="00552DFF">
              <w:rPr>
                <w:rFonts w:eastAsia="MS Mincho" w:cs="Times New Roman"/>
                <w:sz w:val="20"/>
                <w:lang w:val="en-US"/>
              </w:rPr>
              <w:t xml:space="preserve">Rosuvastatin </w:t>
            </w:r>
            <w:r w:rsidRPr="00552DFF">
              <w:rPr>
                <w:rFonts w:cs="Times New Roman"/>
                <w:sz w:val="20"/>
              </w:rPr>
              <w:sym w:font="Symbol" w:char="F0AD"/>
            </w:r>
            <w:r w:rsidRPr="00552DFF">
              <w:rPr>
                <w:rFonts w:cs="Times New Roman"/>
                <w:sz w:val="20"/>
              </w:rPr>
              <w:br/>
              <w:t xml:space="preserve">AUC </w:t>
            </w:r>
            <w:r w:rsidRPr="00552DFF">
              <w:rPr>
                <w:rFonts w:cs="Times New Roman"/>
                <w:sz w:val="20"/>
              </w:rPr>
              <w:sym w:font="Symbol" w:char="F0AD"/>
            </w:r>
            <w:r w:rsidRPr="00552DFF">
              <w:rPr>
                <w:rFonts w:cs="Times New Roman"/>
                <w:sz w:val="20"/>
              </w:rPr>
              <w:t> 69%</w:t>
            </w:r>
            <w:r w:rsidRPr="00552DFF">
              <w:rPr>
                <w:rFonts w:cs="Times New Roman"/>
                <w:sz w:val="20"/>
              </w:rPr>
              <w:br/>
            </w:r>
            <w:proofErr w:type="spellStart"/>
            <w:r w:rsidR="004C2A8F" w:rsidRPr="004C2A8F">
              <w:rPr>
                <w:rFonts w:eastAsia="MS Mincho" w:cstheme="minorHAnsi"/>
                <w:sz w:val="20"/>
                <w:lang w:val="en-US"/>
              </w:rPr>
              <w:t>Cmax</w:t>
            </w:r>
            <w:proofErr w:type="spellEnd"/>
            <w:r w:rsidRPr="00552DFF">
              <w:rPr>
                <w:rFonts w:cs="Times New Roman"/>
                <w:sz w:val="20"/>
              </w:rPr>
              <w:t xml:space="preserve"> </w:t>
            </w:r>
            <w:r w:rsidRPr="00552DFF">
              <w:rPr>
                <w:rFonts w:cs="Times New Roman"/>
                <w:sz w:val="20"/>
              </w:rPr>
              <w:sym w:font="Symbol" w:char="F0AD"/>
            </w:r>
            <w:r w:rsidRPr="00552DFF">
              <w:rPr>
                <w:rFonts w:cs="Times New Roman"/>
                <w:sz w:val="20"/>
              </w:rPr>
              <w:t> 78%</w:t>
            </w:r>
          </w:p>
        </w:tc>
        <w:tc>
          <w:tcPr>
            <w:tcW w:w="3006" w:type="dxa"/>
          </w:tcPr>
          <w:p w14:paraId="38EE772C" w14:textId="5EA352F5" w:rsidR="00002592" w:rsidRDefault="00234039" w:rsidP="00234039">
            <w:pPr>
              <w:rPr>
                <w:rFonts w:ascii="Arial Narrow" w:hAnsi="Arial Narrow" w:cstheme="minorHAnsi"/>
                <w:sz w:val="20"/>
                <w:szCs w:val="20"/>
                <w:lang w:val="en"/>
              </w:rPr>
            </w:pPr>
            <w:r w:rsidRPr="00552DFF">
              <w:rPr>
                <w:rFonts w:ascii="Arial Narrow" w:hAnsi="Arial Narrow" w:cstheme="minorHAnsi"/>
                <w:sz w:val="20"/>
                <w:szCs w:val="20"/>
                <w:lang w:val="en"/>
              </w:rPr>
              <w:t xml:space="preserve">Co-administration of fostemsavir increases rosuvastatin plasma concentrations caused by OATP1B1/3 and/or BCRP inhibition by </w:t>
            </w:r>
            <w:proofErr w:type="spellStart"/>
            <w:r w:rsidRPr="00552DFF">
              <w:rPr>
                <w:rFonts w:ascii="Arial Narrow" w:hAnsi="Arial Narrow" w:cstheme="minorHAnsi"/>
                <w:sz w:val="20"/>
                <w:szCs w:val="20"/>
                <w:lang w:val="en"/>
              </w:rPr>
              <w:t>temsavir</w:t>
            </w:r>
            <w:proofErr w:type="spellEnd"/>
            <w:r w:rsidRPr="00552DFF">
              <w:rPr>
                <w:rFonts w:ascii="Arial Narrow" w:hAnsi="Arial Narrow" w:cstheme="minorHAnsi"/>
                <w:sz w:val="20"/>
                <w:szCs w:val="20"/>
                <w:lang w:val="en"/>
              </w:rPr>
              <w:t>. Use the lowest possible starting dose of rosuvastatin with careful monitoring.</w:t>
            </w:r>
          </w:p>
          <w:p w14:paraId="56D3DF2B" w14:textId="0D4F5EA4" w:rsidR="00234039" w:rsidRPr="00552DFF" w:rsidRDefault="00234039" w:rsidP="00234039">
            <w:pPr>
              <w:rPr>
                <w:rFonts w:ascii="Arial Narrow" w:hAnsi="Arial Narrow" w:cstheme="minorHAnsi"/>
                <w:sz w:val="20"/>
                <w:szCs w:val="20"/>
                <w:lang w:val="en"/>
              </w:rPr>
            </w:pPr>
            <w:r w:rsidRPr="00552DFF">
              <w:rPr>
                <w:rFonts w:ascii="Arial Narrow" w:hAnsi="Arial Narrow" w:cstheme="minorHAnsi"/>
                <w:sz w:val="20"/>
                <w:szCs w:val="20"/>
                <w:lang w:val="en"/>
              </w:rPr>
              <w:t xml:space="preserve"> </w:t>
            </w:r>
          </w:p>
          <w:p w14:paraId="192569E3" w14:textId="6A2E014A" w:rsidR="00234039" w:rsidRPr="00552DFF" w:rsidRDefault="00234039" w:rsidP="00613EE8">
            <w:pPr>
              <w:rPr>
                <w:rFonts w:ascii="Arial Narrow" w:hAnsi="Arial Narrow" w:cstheme="minorHAnsi"/>
                <w:sz w:val="20"/>
                <w:szCs w:val="20"/>
                <w:lang w:val="en"/>
              </w:rPr>
            </w:pPr>
            <w:r w:rsidRPr="00552DFF">
              <w:rPr>
                <w:rFonts w:ascii="Arial Narrow" w:hAnsi="Arial Narrow" w:cstheme="minorHAnsi"/>
                <w:sz w:val="20"/>
                <w:szCs w:val="20"/>
                <w:lang w:val="en"/>
              </w:rPr>
              <w:t>Although not studied, use the lowest possible starting dose of other statins that are substrates of OATP1B1/3 and/or BCRP with careful monitoring for HMG-CoA reductase inhibitor-associated adverse events.</w:t>
            </w:r>
          </w:p>
        </w:tc>
      </w:tr>
      <w:tr w:rsidR="00234039" w:rsidRPr="00552DFF" w14:paraId="56EBE801" w14:textId="77777777" w:rsidTr="00234039">
        <w:trPr>
          <w:trHeight w:val="199"/>
        </w:trPr>
        <w:tc>
          <w:tcPr>
            <w:tcW w:w="3005" w:type="dxa"/>
          </w:tcPr>
          <w:p w14:paraId="1FC1A982" w14:textId="77777777" w:rsidR="00234039" w:rsidRPr="00552DFF" w:rsidRDefault="00234039" w:rsidP="00234039">
            <w:pPr>
              <w:rPr>
                <w:rFonts w:ascii="Arial Narrow" w:hAnsi="Arial Narrow" w:cstheme="minorHAnsi"/>
                <w:sz w:val="20"/>
                <w:szCs w:val="20"/>
                <w:lang w:val="en"/>
              </w:rPr>
            </w:pPr>
            <w:r w:rsidRPr="00552DFF">
              <w:rPr>
                <w:rFonts w:ascii="Arial Narrow" w:hAnsi="Arial Narrow" w:cstheme="minorHAnsi"/>
                <w:sz w:val="20"/>
                <w:szCs w:val="20"/>
                <w:lang w:val="en"/>
              </w:rPr>
              <w:t>Pravastatin</w:t>
            </w:r>
          </w:p>
        </w:tc>
        <w:tc>
          <w:tcPr>
            <w:tcW w:w="3005" w:type="dxa"/>
          </w:tcPr>
          <w:p w14:paraId="63909E1E" w14:textId="77777777" w:rsidR="00234039" w:rsidRPr="00552DFF" w:rsidRDefault="00234039" w:rsidP="00234039">
            <w:pPr>
              <w:pStyle w:val="tabletextNS"/>
              <w:rPr>
                <w:rFonts w:eastAsia="MS Mincho" w:cstheme="minorHAnsi"/>
                <w:sz w:val="20"/>
                <w:lang w:val="en-US"/>
              </w:rPr>
            </w:pPr>
            <w:r w:rsidRPr="00552DFF">
              <w:rPr>
                <w:rFonts w:eastAsia="MS Mincho" w:cstheme="minorHAnsi"/>
                <w:sz w:val="20"/>
                <w:lang w:val="en-US"/>
              </w:rPr>
              <w:t xml:space="preserve">Pravastatin </w:t>
            </w:r>
            <w:r w:rsidRPr="00552DFF">
              <w:rPr>
                <w:rFonts w:eastAsia="MS Mincho" w:cstheme="minorHAnsi"/>
                <w:sz w:val="20"/>
                <w:lang w:val="en-US"/>
              </w:rPr>
              <w:sym w:font="Symbol" w:char="F0AD"/>
            </w:r>
          </w:p>
        </w:tc>
        <w:tc>
          <w:tcPr>
            <w:tcW w:w="3006" w:type="dxa"/>
          </w:tcPr>
          <w:p w14:paraId="3E0EC016" w14:textId="77777777" w:rsidR="00234039" w:rsidRPr="00552DFF" w:rsidRDefault="00234039" w:rsidP="00234039">
            <w:pPr>
              <w:rPr>
                <w:rFonts w:ascii="Arial Narrow" w:hAnsi="Arial Narrow" w:cstheme="minorHAnsi"/>
                <w:sz w:val="20"/>
                <w:szCs w:val="20"/>
                <w:lang w:val="en"/>
              </w:rPr>
            </w:pPr>
            <w:bookmarkStart w:id="9" w:name="_Hlk530811900"/>
            <w:r w:rsidRPr="00552DFF">
              <w:rPr>
                <w:rFonts w:ascii="Arial Narrow" w:hAnsi="Arial Narrow" w:cstheme="minorHAnsi"/>
                <w:sz w:val="20"/>
                <w:szCs w:val="20"/>
                <w:lang w:val="en"/>
              </w:rPr>
              <w:t>Although not studied, clinically relevant increases in plasma concentrations of pravastatin are not expected as it is not a substrate of BCRP. No dose adjustment is anticipated.</w:t>
            </w:r>
            <w:bookmarkEnd w:id="9"/>
          </w:p>
        </w:tc>
      </w:tr>
      <w:tr w:rsidR="00234039" w:rsidRPr="00552DFF" w14:paraId="4F7D59A6" w14:textId="77777777" w:rsidTr="00234039">
        <w:trPr>
          <w:trHeight w:val="199"/>
        </w:trPr>
        <w:tc>
          <w:tcPr>
            <w:tcW w:w="3005" w:type="dxa"/>
          </w:tcPr>
          <w:p w14:paraId="33304A4D" w14:textId="77777777" w:rsidR="00234039" w:rsidRPr="00552DFF" w:rsidRDefault="00234039" w:rsidP="00234039">
            <w:pPr>
              <w:rPr>
                <w:rFonts w:ascii="Arial Narrow" w:hAnsi="Arial Narrow" w:cstheme="minorHAnsi"/>
                <w:sz w:val="20"/>
                <w:szCs w:val="20"/>
                <w:lang w:val="en"/>
              </w:rPr>
            </w:pPr>
            <w:r w:rsidRPr="00552DFF">
              <w:rPr>
                <w:rFonts w:ascii="Arial Narrow" w:hAnsi="Arial Narrow" w:cstheme="minorHAnsi"/>
                <w:sz w:val="20"/>
                <w:szCs w:val="20"/>
                <w:lang w:val="en"/>
              </w:rPr>
              <w:t>Hepatitis C Virus Direct-Acting Antivirals (HCV DAAs):</w:t>
            </w:r>
          </w:p>
          <w:p w14:paraId="5E9F40F1" w14:textId="77777777" w:rsidR="00234039" w:rsidRPr="00552DFF" w:rsidRDefault="00234039" w:rsidP="00234039">
            <w:pPr>
              <w:rPr>
                <w:rFonts w:ascii="Arial Narrow" w:hAnsi="Arial Narrow" w:cstheme="minorHAnsi"/>
                <w:sz w:val="20"/>
                <w:szCs w:val="20"/>
                <w:lang w:val="en"/>
              </w:rPr>
            </w:pPr>
            <w:r w:rsidRPr="00552DFF">
              <w:rPr>
                <w:rFonts w:ascii="Arial Narrow" w:hAnsi="Arial Narrow" w:cstheme="minorHAnsi"/>
                <w:sz w:val="20"/>
                <w:szCs w:val="20"/>
                <w:lang w:val="en"/>
              </w:rPr>
              <w:t>Elbasvir/Grazoprevir</w:t>
            </w:r>
          </w:p>
          <w:p w14:paraId="1E8B36A5" w14:textId="77777777" w:rsidR="00234039" w:rsidRPr="00552DFF" w:rsidRDefault="00234039" w:rsidP="00234039">
            <w:pPr>
              <w:rPr>
                <w:rFonts w:ascii="Arial Narrow" w:hAnsi="Arial Narrow" w:cstheme="minorHAnsi"/>
                <w:sz w:val="20"/>
                <w:szCs w:val="20"/>
                <w:lang w:val="en"/>
              </w:rPr>
            </w:pPr>
          </w:p>
        </w:tc>
        <w:tc>
          <w:tcPr>
            <w:tcW w:w="3005" w:type="dxa"/>
          </w:tcPr>
          <w:p w14:paraId="5DBC0A4B" w14:textId="77777777" w:rsidR="00234039" w:rsidRPr="00552DFF" w:rsidRDefault="00234039" w:rsidP="00234039">
            <w:pPr>
              <w:pStyle w:val="tabletextNS"/>
              <w:rPr>
                <w:rFonts w:eastAsia="MS Mincho" w:cstheme="minorHAnsi"/>
                <w:sz w:val="20"/>
                <w:lang w:val="en-US"/>
              </w:rPr>
            </w:pPr>
            <w:bookmarkStart w:id="10" w:name="_Hlk535482279"/>
            <w:r w:rsidRPr="00552DFF">
              <w:rPr>
                <w:rFonts w:eastAsia="MS Mincho" w:cstheme="minorHAnsi"/>
                <w:sz w:val="20"/>
                <w:lang w:val="en-US"/>
              </w:rPr>
              <w:t xml:space="preserve">Grazoprevir </w:t>
            </w:r>
            <w:r w:rsidRPr="00552DFF">
              <w:rPr>
                <w:rFonts w:eastAsia="MS Mincho" w:cstheme="minorHAnsi"/>
                <w:sz w:val="20"/>
                <w:lang w:val="en-US"/>
              </w:rPr>
              <w:sym w:font="Symbol" w:char="F0AD"/>
            </w:r>
            <w:bookmarkEnd w:id="10"/>
            <w:r w:rsidRPr="00552DFF">
              <w:rPr>
                <w:rFonts w:eastAsia="MS Mincho" w:cstheme="minorHAnsi"/>
                <w:sz w:val="20"/>
                <w:lang w:val="en-US"/>
              </w:rPr>
              <w:br/>
            </w:r>
          </w:p>
        </w:tc>
        <w:tc>
          <w:tcPr>
            <w:tcW w:w="3006" w:type="dxa"/>
          </w:tcPr>
          <w:p w14:paraId="11E3BB7C" w14:textId="77777777" w:rsidR="00234039" w:rsidRPr="00552DFF" w:rsidRDefault="00234039" w:rsidP="00234039">
            <w:pPr>
              <w:rPr>
                <w:rFonts w:ascii="Arial Narrow" w:hAnsi="Arial Narrow" w:cstheme="minorHAnsi"/>
                <w:sz w:val="20"/>
                <w:szCs w:val="20"/>
                <w:lang w:val="en"/>
              </w:rPr>
            </w:pPr>
            <w:r w:rsidRPr="00552DFF">
              <w:rPr>
                <w:rFonts w:ascii="Arial Narrow" w:hAnsi="Arial Narrow" w:cstheme="minorHAnsi"/>
                <w:sz w:val="20"/>
                <w:szCs w:val="20"/>
                <w:lang w:val="en"/>
              </w:rPr>
              <w:t>This interaction has not been studied.</w:t>
            </w:r>
          </w:p>
          <w:p w14:paraId="689C4E86" w14:textId="01F468B3" w:rsidR="00234039" w:rsidRPr="00552DFF" w:rsidRDefault="00234039" w:rsidP="00234039">
            <w:pPr>
              <w:rPr>
                <w:rFonts w:ascii="Arial Narrow" w:hAnsi="Arial Narrow" w:cstheme="minorHAnsi"/>
                <w:sz w:val="20"/>
                <w:szCs w:val="20"/>
                <w:lang w:val="en"/>
              </w:rPr>
            </w:pPr>
            <w:proofErr w:type="spellStart"/>
            <w:r w:rsidRPr="00552DFF">
              <w:rPr>
                <w:rFonts w:ascii="Arial Narrow" w:hAnsi="Arial Narrow" w:cstheme="minorHAnsi"/>
                <w:sz w:val="20"/>
                <w:szCs w:val="20"/>
                <w:lang w:val="en"/>
              </w:rPr>
              <w:t>Temsavir</w:t>
            </w:r>
            <w:proofErr w:type="spellEnd"/>
            <w:r w:rsidRPr="00552DFF">
              <w:rPr>
                <w:rFonts w:ascii="Arial Narrow" w:hAnsi="Arial Narrow" w:cstheme="minorHAnsi"/>
                <w:sz w:val="20"/>
                <w:szCs w:val="20"/>
                <w:lang w:val="en"/>
              </w:rPr>
              <w:t xml:space="preserve"> may increase grazoprevir plasma concentrations to a clinically relevant extent caused by OATP1B1/3 inhibition by </w:t>
            </w:r>
            <w:proofErr w:type="spellStart"/>
            <w:r w:rsidRPr="00552DFF">
              <w:rPr>
                <w:rFonts w:ascii="Arial Narrow" w:hAnsi="Arial Narrow" w:cstheme="minorHAnsi"/>
                <w:sz w:val="20"/>
                <w:szCs w:val="20"/>
                <w:lang w:val="en"/>
              </w:rPr>
              <w:t>temsavir</w:t>
            </w:r>
            <w:proofErr w:type="spellEnd"/>
            <w:r w:rsidRPr="00552DFF">
              <w:rPr>
                <w:rFonts w:ascii="Arial Narrow" w:hAnsi="Arial Narrow" w:cstheme="minorHAnsi"/>
                <w:sz w:val="20"/>
                <w:szCs w:val="20"/>
                <w:lang w:val="en"/>
              </w:rPr>
              <w:t xml:space="preserve">. Co-administration of fostemsavir with elbasvir/grazoprevir is </w:t>
            </w:r>
            <w:r w:rsidR="00BB23FE">
              <w:rPr>
                <w:rFonts w:ascii="Arial Narrow" w:hAnsi="Arial Narrow" w:cstheme="minorHAnsi"/>
                <w:sz w:val="20"/>
                <w:szCs w:val="20"/>
                <w:lang w:val="en"/>
              </w:rPr>
              <w:t>not recommended</w:t>
            </w:r>
            <w:r w:rsidR="00BB23FE" w:rsidRPr="00552DFF">
              <w:rPr>
                <w:rFonts w:ascii="Arial Narrow" w:hAnsi="Arial Narrow" w:cstheme="minorHAnsi"/>
                <w:sz w:val="20"/>
                <w:szCs w:val="20"/>
                <w:lang w:val="en"/>
              </w:rPr>
              <w:t xml:space="preserve"> </w:t>
            </w:r>
            <w:r w:rsidRPr="00552DFF">
              <w:rPr>
                <w:rFonts w:ascii="Arial Narrow" w:hAnsi="Arial Narrow" w:cstheme="minorHAnsi"/>
                <w:sz w:val="20"/>
                <w:szCs w:val="20"/>
                <w:lang w:val="en"/>
              </w:rPr>
              <w:t>as increased grazoprevir concentrations may increase the risk of ALT elevations.</w:t>
            </w:r>
          </w:p>
        </w:tc>
      </w:tr>
      <w:tr w:rsidR="00234039" w:rsidRPr="00552DFF" w14:paraId="2D458412" w14:textId="77777777" w:rsidTr="00234039">
        <w:trPr>
          <w:trHeight w:val="199"/>
        </w:trPr>
        <w:tc>
          <w:tcPr>
            <w:tcW w:w="3005" w:type="dxa"/>
          </w:tcPr>
          <w:p w14:paraId="16E50F85" w14:textId="77777777" w:rsidR="00234039" w:rsidRPr="00552DFF" w:rsidRDefault="00234039" w:rsidP="00234039">
            <w:pPr>
              <w:rPr>
                <w:rFonts w:ascii="Arial Narrow" w:hAnsi="Arial Narrow" w:cstheme="minorHAnsi"/>
                <w:sz w:val="20"/>
                <w:szCs w:val="20"/>
                <w:lang w:val="en"/>
              </w:rPr>
            </w:pPr>
            <w:bookmarkStart w:id="11" w:name="_Hlk4223344"/>
            <w:r w:rsidRPr="00552DFF">
              <w:rPr>
                <w:rFonts w:ascii="Arial Narrow" w:hAnsi="Arial Narrow" w:cstheme="minorHAnsi"/>
                <w:sz w:val="20"/>
                <w:szCs w:val="20"/>
                <w:lang w:val="en"/>
              </w:rPr>
              <w:t>Sofosbuvir</w:t>
            </w:r>
          </w:p>
          <w:p w14:paraId="6C912F77" w14:textId="77777777" w:rsidR="00234039" w:rsidRPr="00552DFF" w:rsidRDefault="00234039" w:rsidP="00234039">
            <w:pPr>
              <w:rPr>
                <w:rFonts w:ascii="Arial Narrow" w:hAnsi="Arial Narrow" w:cstheme="minorHAnsi"/>
                <w:sz w:val="20"/>
                <w:szCs w:val="20"/>
                <w:lang w:val="en"/>
              </w:rPr>
            </w:pPr>
            <w:r w:rsidRPr="00552DFF">
              <w:rPr>
                <w:rFonts w:ascii="Arial Narrow" w:hAnsi="Arial Narrow" w:cstheme="minorHAnsi"/>
                <w:sz w:val="20"/>
                <w:szCs w:val="20"/>
                <w:lang w:val="en"/>
              </w:rPr>
              <w:t>Ledipasvir</w:t>
            </w:r>
          </w:p>
          <w:p w14:paraId="18D6D361" w14:textId="77777777" w:rsidR="00234039" w:rsidRPr="00552DFF" w:rsidRDefault="00234039" w:rsidP="00234039">
            <w:pPr>
              <w:rPr>
                <w:rFonts w:ascii="Arial Narrow" w:hAnsi="Arial Narrow" w:cstheme="minorHAnsi"/>
                <w:sz w:val="20"/>
                <w:szCs w:val="20"/>
                <w:lang w:val="en"/>
              </w:rPr>
            </w:pPr>
            <w:proofErr w:type="spellStart"/>
            <w:r w:rsidRPr="00552DFF">
              <w:rPr>
                <w:rFonts w:ascii="Arial Narrow" w:hAnsi="Arial Narrow" w:cstheme="minorHAnsi"/>
                <w:sz w:val="20"/>
                <w:szCs w:val="20"/>
                <w:lang w:val="en"/>
              </w:rPr>
              <w:t>Velpatasvir</w:t>
            </w:r>
            <w:proofErr w:type="spellEnd"/>
          </w:p>
          <w:p w14:paraId="0478007E" w14:textId="77777777" w:rsidR="00234039" w:rsidRPr="00552DFF" w:rsidRDefault="00234039" w:rsidP="00234039">
            <w:pPr>
              <w:rPr>
                <w:rFonts w:ascii="Arial Narrow" w:hAnsi="Arial Narrow" w:cstheme="minorHAnsi"/>
                <w:sz w:val="20"/>
                <w:szCs w:val="20"/>
                <w:lang w:val="en"/>
              </w:rPr>
            </w:pPr>
            <w:proofErr w:type="spellStart"/>
            <w:r w:rsidRPr="00552DFF">
              <w:rPr>
                <w:rFonts w:ascii="Arial Narrow" w:hAnsi="Arial Narrow" w:cstheme="minorHAnsi"/>
                <w:sz w:val="20"/>
                <w:szCs w:val="20"/>
                <w:lang w:val="en"/>
              </w:rPr>
              <w:t>Voxilaprevir</w:t>
            </w:r>
            <w:proofErr w:type="spellEnd"/>
          </w:p>
          <w:p w14:paraId="0AB7837F" w14:textId="77777777" w:rsidR="00234039" w:rsidRPr="00552DFF" w:rsidRDefault="00234039" w:rsidP="00234039">
            <w:pPr>
              <w:rPr>
                <w:rFonts w:ascii="Arial Narrow" w:hAnsi="Arial Narrow" w:cstheme="minorHAnsi"/>
                <w:sz w:val="20"/>
                <w:szCs w:val="20"/>
                <w:lang w:val="en"/>
              </w:rPr>
            </w:pPr>
            <w:proofErr w:type="spellStart"/>
            <w:r w:rsidRPr="00552DFF">
              <w:rPr>
                <w:rFonts w:ascii="Arial Narrow" w:hAnsi="Arial Narrow" w:cstheme="minorHAnsi"/>
                <w:sz w:val="20"/>
                <w:szCs w:val="20"/>
                <w:lang w:val="en"/>
              </w:rPr>
              <w:t>Ombitasvir</w:t>
            </w:r>
            <w:proofErr w:type="spellEnd"/>
          </w:p>
          <w:p w14:paraId="3D3C4893" w14:textId="77777777" w:rsidR="00234039" w:rsidRPr="00552DFF" w:rsidRDefault="00234039" w:rsidP="00234039">
            <w:pPr>
              <w:rPr>
                <w:rFonts w:ascii="Arial Narrow" w:hAnsi="Arial Narrow" w:cstheme="minorHAnsi"/>
                <w:sz w:val="20"/>
                <w:szCs w:val="20"/>
                <w:lang w:val="en"/>
              </w:rPr>
            </w:pPr>
            <w:proofErr w:type="spellStart"/>
            <w:r w:rsidRPr="00552DFF">
              <w:rPr>
                <w:rFonts w:ascii="Arial Narrow" w:hAnsi="Arial Narrow" w:cstheme="minorHAnsi"/>
                <w:sz w:val="20"/>
                <w:szCs w:val="20"/>
                <w:lang w:val="en"/>
              </w:rPr>
              <w:t>Paritaprevir</w:t>
            </w:r>
            <w:proofErr w:type="spellEnd"/>
          </w:p>
          <w:p w14:paraId="4CB8F409" w14:textId="77777777" w:rsidR="00234039" w:rsidRPr="00552DFF" w:rsidRDefault="00234039" w:rsidP="00234039">
            <w:pPr>
              <w:rPr>
                <w:rFonts w:ascii="Arial Narrow" w:hAnsi="Arial Narrow" w:cstheme="minorHAnsi"/>
                <w:sz w:val="20"/>
                <w:szCs w:val="20"/>
                <w:lang w:val="en"/>
              </w:rPr>
            </w:pPr>
            <w:r w:rsidRPr="00552DFF">
              <w:rPr>
                <w:rFonts w:ascii="Arial Narrow" w:hAnsi="Arial Narrow" w:cstheme="minorHAnsi"/>
                <w:sz w:val="20"/>
                <w:szCs w:val="20"/>
                <w:lang w:val="en"/>
              </w:rPr>
              <w:t>Dasabuvir</w:t>
            </w:r>
          </w:p>
          <w:p w14:paraId="6E76E5CB" w14:textId="77777777" w:rsidR="00234039" w:rsidRPr="00552DFF" w:rsidRDefault="00234039" w:rsidP="00234039">
            <w:pPr>
              <w:rPr>
                <w:rFonts w:ascii="Arial Narrow" w:hAnsi="Arial Narrow" w:cstheme="minorHAnsi"/>
                <w:sz w:val="20"/>
                <w:szCs w:val="20"/>
                <w:lang w:val="en"/>
              </w:rPr>
            </w:pPr>
            <w:proofErr w:type="spellStart"/>
            <w:r w:rsidRPr="00552DFF">
              <w:rPr>
                <w:rFonts w:ascii="Arial Narrow" w:hAnsi="Arial Narrow" w:cstheme="minorHAnsi"/>
                <w:sz w:val="20"/>
                <w:szCs w:val="20"/>
                <w:lang w:val="en"/>
              </w:rPr>
              <w:t>Glecaprevir</w:t>
            </w:r>
            <w:proofErr w:type="spellEnd"/>
          </w:p>
          <w:p w14:paraId="625A857E" w14:textId="77777777" w:rsidR="00234039" w:rsidRPr="00552DFF" w:rsidRDefault="00234039" w:rsidP="00234039">
            <w:pPr>
              <w:rPr>
                <w:rFonts w:ascii="Arial Narrow" w:hAnsi="Arial Narrow" w:cstheme="minorHAnsi"/>
                <w:sz w:val="20"/>
                <w:szCs w:val="20"/>
                <w:lang w:val="en"/>
              </w:rPr>
            </w:pPr>
            <w:proofErr w:type="spellStart"/>
            <w:r w:rsidRPr="00552DFF">
              <w:rPr>
                <w:rFonts w:ascii="Arial Narrow" w:hAnsi="Arial Narrow" w:cstheme="minorHAnsi"/>
                <w:sz w:val="20"/>
                <w:szCs w:val="20"/>
                <w:lang w:val="en"/>
              </w:rPr>
              <w:t>Pibrentasvir</w:t>
            </w:r>
            <w:proofErr w:type="spellEnd"/>
          </w:p>
          <w:p w14:paraId="45C03094" w14:textId="77777777" w:rsidR="00234039" w:rsidRPr="00552DFF" w:rsidRDefault="00234039" w:rsidP="00234039">
            <w:pPr>
              <w:rPr>
                <w:rFonts w:ascii="Arial Narrow" w:hAnsi="Arial Narrow" w:cstheme="minorHAnsi"/>
                <w:sz w:val="20"/>
                <w:szCs w:val="20"/>
                <w:lang w:val="en"/>
              </w:rPr>
            </w:pPr>
            <w:r w:rsidRPr="00552DFF">
              <w:rPr>
                <w:rFonts w:ascii="Arial Narrow" w:hAnsi="Arial Narrow" w:cstheme="minorHAnsi"/>
                <w:sz w:val="20"/>
                <w:szCs w:val="20"/>
                <w:lang w:val="en"/>
              </w:rPr>
              <w:t>Daclatasvir</w:t>
            </w:r>
            <w:bookmarkEnd w:id="11"/>
          </w:p>
        </w:tc>
        <w:tc>
          <w:tcPr>
            <w:tcW w:w="3005" w:type="dxa"/>
          </w:tcPr>
          <w:p w14:paraId="791476A1" w14:textId="77777777" w:rsidR="00234039" w:rsidRPr="00552DFF" w:rsidRDefault="00234039" w:rsidP="00234039">
            <w:pPr>
              <w:pStyle w:val="tabletextNS"/>
              <w:rPr>
                <w:rFonts w:eastAsia="MS Mincho" w:cstheme="minorHAnsi"/>
                <w:sz w:val="20"/>
                <w:lang w:val="en-US"/>
              </w:rPr>
            </w:pPr>
            <w:r w:rsidRPr="00552DFF">
              <w:rPr>
                <w:rFonts w:eastAsia="MS Mincho" w:cstheme="minorHAnsi"/>
                <w:sz w:val="20"/>
                <w:lang w:val="en-US"/>
              </w:rPr>
              <w:t xml:space="preserve">HCV DAA </w:t>
            </w:r>
            <w:r w:rsidRPr="00552DFF">
              <w:rPr>
                <w:rFonts w:cstheme="minorHAnsi"/>
                <w:sz w:val="20"/>
              </w:rPr>
              <w:sym w:font="Symbol" w:char="F0AD"/>
            </w:r>
          </w:p>
        </w:tc>
        <w:tc>
          <w:tcPr>
            <w:tcW w:w="3006" w:type="dxa"/>
          </w:tcPr>
          <w:p w14:paraId="2117E8AA" w14:textId="77777777" w:rsidR="00234039" w:rsidRPr="00552DFF" w:rsidRDefault="00234039" w:rsidP="00234039">
            <w:pPr>
              <w:rPr>
                <w:rFonts w:ascii="Arial Narrow" w:hAnsi="Arial Narrow" w:cstheme="minorHAnsi"/>
                <w:sz w:val="20"/>
                <w:szCs w:val="20"/>
                <w:lang w:val="en"/>
              </w:rPr>
            </w:pPr>
            <w:bookmarkStart w:id="12" w:name="_Hlk4222868"/>
            <w:r w:rsidRPr="00552DFF">
              <w:rPr>
                <w:rFonts w:ascii="Arial Narrow" w:hAnsi="Arial Narrow" w:cstheme="minorHAnsi"/>
                <w:sz w:val="20"/>
                <w:szCs w:val="20"/>
                <w:lang w:val="en"/>
              </w:rPr>
              <w:t xml:space="preserve">Although not studied, </w:t>
            </w:r>
            <w:proofErr w:type="spellStart"/>
            <w:r w:rsidRPr="00552DFF">
              <w:rPr>
                <w:rFonts w:ascii="Arial Narrow" w:hAnsi="Arial Narrow" w:cstheme="minorHAnsi"/>
                <w:sz w:val="20"/>
                <w:szCs w:val="20"/>
                <w:lang w:val="en"/>
              </w:rPr>
              <w:t>temsavir</w:t>
            </w:r>
            <w:proofErr w:type="spellEnd"/>
            <w:r w:rsidRPr="00552DFF">
              <w:rPr>
                <w:rFonts w:ascii="Arial Narrow" w:hAnsi="Arial Narrow" w:cstheme="minorHAnsi"/>
                <w:sz w:val="20"/>
                <w:szCs w:val="20"/>
                <w:lang w:val="en"/>
              </w:rPr>
              <w:t xml:space="preserve"> may increase plasma concentrations of other HCV DAAs with no clinically relevant impact. No dose adjustment is necessary.</w:t>
            </w:r>
            <w:bookmarkEnd w:id="12"/>
          </w:p>
        </w:tc>
      </w:tr>
    </w:tbl>
    <w:p w14:paraId="5EE876DC" w14:textId="19E5F591" w:rsidR="00234039" w:rsidRPr="00552DFF" w:rsidRDefault="00234039" w:rsidP="00234039">
      <w:pPr>
        <w:spacing w:after="0"/>
        <w:rPr>
          <w:rFonts w:ascii="Arial Narrow" w:hAnsi="Arial Narrow"/>
          <w:sz w:val="20"/>
          <w:szCs w:val="20"/>
        </w:rPr>
      </w:pPr>
      <w:bookmarkStart w:id="13" w:name="_Hlk1119742"/>
      <w:bookmarkStart w:id="14" w:name="_Hlk83637201"/>
      <w:r w:rsidRPr="00552DFF">
        <w:rPr>
          <w:rFonts w:ascii="Arial Narrow" w:hAnsi="Arial Narrow"/>
          <w:sz w:val="20"/>
          <w:szCs w:val="20"/>
          <w:lang w:eastAsia="zh-CN"/>
        </w:rPr>
        <w:t xml:space="preserve">Abbreviations: </w:t>
      </w:r>
      <w:r w:rsidRPr="00552DFF">
        <w:rPr>
          <w:rFonts w:ascii="Arial Narrow" w:hAnsi="Arial Narrow"/>
          <w:sz w:val="20"/>
          <w:szCs w:val="20"/>
        </w:rPr>
        <w:sym w:font="Symbol" w:char="F0AD"/>
      </w:r>
      <w:r w:rsidRPr="00552DFF">
        <w:rPr>
          <w:rFonts w:ascii="Arial Narrow" w:hAnsi="Arial Narrow"/>
          <w:sz w:val="20"/>
          <w:szCs w:val="20"/>
          <w:lang w:eastAsia="zh-CN"/>
        </w:rPr>
        <w:t xml:space="preserve"> = Increase; </w:t>
      </w:r>
      <w:r w:rsidRPr="00552DFF">
        <w:rPr>
          <w:rFonts w:ascii="Arial Narrow" w:hAnsi="Arial Narrow"/>
          <w:sz w:val="20"/>
          <w:szCs w:val="20"/>
        </w:rPr>
        <w:sym w:font="Symbol" w:char="F0AF"/>
      </w:r>
      <w:r w:rsidRPr="00552DFF">
        <w:rPr>
          <w:rFonts w:ascii="Arial Narrow" w:hAnsi="Arial Narrow"/>
          <w:sz w:val="20"/>
          <w:szCs w:val="20"/>
          <w:lang w:eastAsia="zh-CN"/>
        </w:rPr>
        <w:t xml:space="preserve"> =decrease; </w:t>
      </w:r>
      <w:r w:rsidRPr="00552DFF">
        <w:rPr>
          <w:rFonts w:ascii="Arial Narrow" w:hAnsi="Arial Narrow"/>
          <w:sz w:val="20"/>
          <w:szCs w:val="20"/>
        </w:rPr>
        <w:sym w:font="Symbol" w:char="F0AB"/>
      </w:r>
      <w:r w:rsidRPr="00552DFF">
        <w:rPr>
          <w:rFonts w:ascii="Arial Narrow" w:hAnsi="Arial Narrow"/>
          <w:sz w:val="20"/>
          <w:szCs w:val="20"/>
          <w:lang w:eastAsia="zh-CN"/>
        </w:rPr>
        <w:t xml:space="preserve"> = no significant change; AUC=area under the concentration versus time curve; </w:t>
      </w:r>
      <w:proofErr w:type="spellStart"/>
      <w:r w:rsidR="004C2A8F" w:rsidRPr="004C2A8F">
        <w:rPr>
          <w:rFonts w:ascii="Arial Narrow" w:hAnsi="Arial Narrow"/>
          <w:sz w:val="20"/>
          <w:szCs w:val="20"/>
          <w:lang w:eastAsia="zh-CN"/>
        </w:rPr>
        <w:t>Cmax</w:t>
      </w:r>
      <w:proofErr w:type="spellEnd"/>
      <w:r w:rsidRPr="00552DFF">
        <w:rPr>
          <w:rFonts w:ascii="Arial Narrow" w:hAnsi="Arial Narrow"/>
          <w:sz w:val="20"/>
          <w:szCs w:val="20"/>
          <w:lang w:eastAsia="zh-CN"/>
        </w:rPr>
        <w:t>=maximum observed concentration,</w:t>
      </w:r>
      <w:r w:rsidRPr="00552DFF">
        <w:rPr>
          <w:rFonts w:ascii="Arial Narrow" w:hAnsi="Arial Narrow"/>
          <w:sz w:val="20"/>
          <w:szCs w:val="20"/>
        </w:rPr>
        <w:t xml:space="preserve"> C</w:t>
      </w:r>
      <w:r w:rsidRPr="00552DFF">
        <w:rPr>
          <w:rFonts w:ascii="Arial Narrow" w:hAnsi="Arial Narrow"/>
          <w:sz w:val="20"/>
          <w:szCs w:val="20"/>
        </w:rPr>
        <w:sym w:font="Symbol" w:char="F074"/>
      </w:r>
      <w:r w:rsidRPr="00552DFF">
        <w:rPr>
          <w:rFonts w:ascii="Arial Narrow" w:hAnsi="Arial Narrow"/>
          <w:sz w:val="20"/>
          <w:szCs w:val="20"/>
        </w:rPr>
        <w:t>=concentration at the end of dosing interval.</w:t>
      </w:r>
    </w:p>
    <w:p w14:paraId="1724CB56" w14:textId="77777777" w:rsidR="00177E01" w:rsidRDefault="00234039" w:rsidP="00B2206F">
      <w:pPr>
        <w:spacing w:after="0"/>
        <w:rPr>
          <w:rFonts w:ascii="Arial Narrow" w:hAnsi="Arial Narrow"/>
          <w:sz w:val="20"/>
          <w:szCs w:val="20"/>
          <w:lang w:eastAsia="zh-CN"/>
        </w:rPr>
      </w:pPr>
      <w:r w:rsidRPr="00B2206F">
        <w:rPr>
          <w:rFonts w:ascii="Arial Narrow" w:hAnsi="Arial Narrow"/>
          <w:sz w:val="20"/>
          <w:szCs w:val="20"/>
          <w:lang w:eastAsia="zh-CN"/>
        </w:rPr>
        <w:t>*</w:t>
      </w:r>
      <w:r w:rsidRPr="00552DFF">
        <w:rPr>
          <w:rFonts w:ascii="Arial Narrow" w:hAnsi="Arial Narrow"/>
          <w:sz w:val="20"/>
          <w:szCs w:val="20"/>
          <w:lang w:eastAsia="zh-CN"/>
        </w:rPr>
        <w:t xml:space="preserve"> = Using cross-study comparisons to historical pharmacokinetic data.</w:t>
      </w:r>
      <w:bookmarkEnd w:id="13"/>
    </w:p>
    <w:bookmarkEnd w:id="14"/>
    <w:p w14:paraId="79996DEB" w14:textId="77777777" w:rsidR="00B2206F" w:rsidRPr="00552DFF" w:rsidRDefault="00B2206F" w:rsidP="00B2206F">
      <w:pPr>
        <w:spacing w:after="0"/>
        <w:rPr>
          <w:rFonts w:ascii="Arial Narrow" w:hAnsi="Arial Narrow"/>
          <w:sz w:val="20"/>
          <w:szCs w:val="20"/>
          <w:lang w:eastAsia="zh-CN"/>
        </w:rPr>
      </w:pPr>
    </w:p>
    <w:p w14:paraId="0E1ABBBF" w14:textId="77777777" w:rsidR="00B2206F" w:rsidRPr="00B2206F" w:rsidRDefault="00071855" w:rsidP="00B2206F">
      <w:pPr>
        <w:pStyle w:val="Heading2"/>
        <w:spacing w:before="0" w:after="120"/>
        <w:ind w:left="578" w:hanging="578"/>
        <w:rPr>
          <w:rFonts w:ascii="Arial" w:hAnsi="Arial" w:cs="Arial"/>
          <w:smallCaps w:val="0"/>
        </w:rPr>
      </w:pPr>
      <w:bookmarkStart w:id="15" w:name="_Hlk83637298"/>
      <w:r w:rsidRPr="00071855">
        <w:rPr>
          <w:rFonts w:ascii="Arial" w:hAnsi="Arial" w:cs="Arial"/>
          <w:smallCaps w:val="0"/>
        </w:rPr>
        <w:t xml:space="preserve">FERTILITY, PREGNANCY AND LACTATION </w:t>
      </w:r>
    </w:p>
    <w:p w14:paraId="32A14D1A" w14:textId="77777777" w:rsidR="001A3992" w:rsidRPr="00071855" w:rsidRDefault="001A3992" w:rsidP="00F25D4B">
      <w:pPr>
        <w:pStyle w:val="Heading3"/>
        <w:spacing w:before="0" w:after="120"/>
        <w:ind w:left="0"/>
        <w:rPr>
          <w:rFonts w:ascii="Arial" w:hAnsi="Arial" w:cs="Arial"/>
        </w:rPr>
      </w:pPr>
      <w:r w:rsidRPr="00071855">
        <w:rPr>
          <w:rFonts w:ascii="Arial" w:hAnsi="Arial" w:cs="Arial"/>
        </w:rPr>
        <w:t>Effects on fertility</w:t>
      </w:r>
    </w:p>
    <w:p w14:paraId="7117B98E" w14:textId="0E7DB4BC" w:rsidR="00552DFF" w:rsidRPr="00552DFF" w:rsidRDefault="00552DFF" w:rsidP="00552DFF">
      <w:pPr>
        <w:rPr>
          <w:rFonts w:ascii="Arial" w:hAnsi="Arial" w:cs="Arial"/>
          <w:lang w:val="en"/>
        </w:rPr>
      </w:pPr>
      <w:r w:rsidRPr="00552DFF">
        <w:rPr>
          <w:rFonts w:ascii="Arial" w:hAnsi="Arial" w:cs="Arial"/>
          <w:lang w:val="en"/>
        </w:rPr>
        <w:t xml:space="preserve">There are no data on the effects of fostemsavir on human male or female fertility. Animal studies indicate no effects of fostemsavir on male or female fertility at clinically relevant doses. </w:t>
      </w:r>
      <w:r w:rsidR="0073760D" w:rsidRPr="0073760D">
        <w:rPr>
          <w:rFonts w:ascii="Arial" w:hAnsi="Arial" w:cs="Arial"/>
          <w:lang w:val="en"/>
        </w:rPr>
        <w:t>Oral administration of fostemsavir had no adverse effects on male or female fertility in rats at doses up to 300 mg/kg/day in males and 600 mg/kg/day in females (</w:t>
      </w:r>
      <w:r w:rsidR="003E4D3E">
        <w:rPr>
          <w:rFonts w:ascii="Arial" w:hAnsi="Arial" w:cs="Arial"/>
          <w:lang w:val="en"/>
        </w:rPr>
        <w:t xml:space="preserve">≥33 </w:t>
      </w:r>
      <w:r w:rsidR="0073760D" w:rsidRPr="0073760D">
        <w:rPr>
          <w:rFonts w:ascii="Arial" w:hAnsi="Arial" w:cs="Arial"/>
          <w:lang w:val="en"/>
        </w:rPr>
        <w:t xml:space="preserve">times the </w:t>
      </w:r>
      <w:r w:rsidR="0073760D" w:rsidRPr="0073760D">
        <w:rPr>
          <w:rFonts w:ascii="Arial" w:hAnsi="Arial" w:cs="Arial"/>
          <w:lang w:val="en"/>
        </w:rPr>
        <w:lastRenderedPageBreak/>
        <w:t xml:space="preserve">600 mg twice daily human clinical exposure based on AUC). Effects in males included dose-dependent gross and microscopic pathological findings in the testes and </w:t>
      </w:r>
      <w:proofErr w:type="spellStart"/>
      <w:r w:rsidR="0073760D" w:rsidRPr="0073760D">
        <w:rPr>
          <w:rFonts w:ascii="Arial" w:hAnsi="Arial" w:cs="Arial"/>
          <w:lang w:val="en"/>
        </w:rPr>
        <w:t>epididymides</w:t>
      </w:r>
      <w:proofErr w:type="spellEnd"/>
      <w:r w:rsidR="0073760D" w:rsidRPr="0073760D">
        <w:rPr>
          <w:rFonts w:ascii="Arial" w:hAnsi="Arial" w:cs="Arial"/>
          <w:lang w:val="en"/>
        </w:rPr>
        <w:t xml:space="preserve">, reductions in prostate gland/seminal vesicle weights, and decreased sperm density (at </w:t>
      </w:r>
      <w:r w:rsidR="003E4D3E">
        <w:rPr>
          <w:rFonts w:ascii="Arial" w:hAnsi="Arial" w:cs="Arial"/>
          <w:lang w:val="en"/>
        </w:rPr>
        <w:t>≥21</w:t>
      </w:r>
      <w:r w:rsidR="0073760D" w:rsidRPr="0073760D">
        <w:rPr>
          <w:rFonts w:ascii="Arial" w:hAnsi="Arial" w:cs="Arial"/>
          <w:lang w:val="en"/>
        </w:rPr>
        <w:t xml:space="preserve"> times the 600 mg twice daily human clinical exposure based on AUC), with decreased motility and increased abnormal sperm (at </w:t>
      </w:r>
      <w:r w:rsidR="003E4D3E">
        <w:rPr>
          <w:rFonts w:ascii="Arial" w:hAnsi="Arial" w:cs="Arial"/>
          <w:lang w:val="en"/>
        </w:rPr>
        <w:t>≥25</w:t>
      </w:r>
      <w:r w:rsidR="0073760D" w:rsidRPr="0073760D">
        <w:rPr>
          <w:rFonts w:ascii="Arial" w:hAnsi="Arial" w:cs="Arial"/>
          <w:lang w:val="en"/>
        </w:rPr>
        <w:t xml:space="preserve"> times the 600 mg twice daily human clinical exposure based on AUC). These findings were not considered clinically relevant.</w:t>
      </w:r>
    </w:p>
    <w:p w14:paraId="363677FE" w14:textId="77777777" w:rsidR="00071855" w:rsidRPr="00071855" w:rsidRDefault="00071855" w:rsidP="00F25D4B">
      <w:pPr>
        <w:pStyle w:val="Heading3"/>
        <w:spacing w:before="0" w:after="120"/>
        <w:ind w:left="0"/>
        <w:rPr>
          <w:rFonts w:ascii="Arial" w:hAnsi="Arial" w:cs="Arial"/>
        </w:rPr>
      </w:pPr>
      <w:bookmarkStart w:id="16" w:name="_Hlk83637453"/>
      <w:bookmarkEnd w:id="15"/>
      <w:r w:rsidRPr="00071855">
        <w:rPr>
          <w:rFonts w:ascii="Arial" w:hAnsi="Arial" w:cs="Arial"/>
        </w:rPr>
        <w:t>Use in pregnancy</w:t>
      </w:r>
    </w:p>
    <w:p w14:paraId="62A62B68" w14:textId="02F368C8" w:rsidR="001A3992" w:rsidRPr="00071855" w:rsidRDefault="00071855" w:rsidP="006E595D">
      <w:pPr>
        <w:pStyle w:val="Heading3"/>
        <w:spacing w:before="0" w:after="120"/>
        <w:ind w:left="0"/>
        <w:rPr>
          <w:rFonts w:ascii="Arial" w:hAnsi="Arial" w:cs="Arial"/>
        </w:rPr>
      </w:pPr>
      <w:r w:rsidRPr="00071855">
        <w:rPr>
          <w:rFonts w:ascii="Arial" w:hAnsi="Arial" w:cs="Arial"/>
        </w:rPr>
        <w:t>(</w:t>
      </w:r>
      <w:r w:rsidR="005B2812" w:rsidRPr="00071855">
        <w:rPr>
          <w:rFonts w:ascii="Arial" w:hAnsi="Arial" w:cs="Arial"/>
        </w:rPr>
        <w:t xml:space="preserve">Pregnancy Category </w:t>
      </w:r>
      <w:r w:rsidR="003E4D3E" w:rsidRPr="00071855">
        <w:rPr>
          <w:rFonts w:ascii="Arial" w:hAnsi="Arial" w:cs="Arial"/>
        </w:rPr>
        <w:t>B</w:t>
      </w:r>
      <w:r w:rsidR="003E4D3E">
        <w:rPr>
          <w:rFonts w:ascii="Arial" w:hAnsi="Arial" w:cs="Arial"/>
        </w:rPr>
        <w:t>3</w:t>
      </w:r>
      <w:r w:rsidRPr="00071855">
        <w:rPr>
          <w:rFonts w:ascii="Arial" w:hAnsi="Arial" w:cs="Arial"/>
        </w:rPr>
        <w:t>)</w:t>
      </w:r>
    </w:p>
    <w:p w14:paraId="1BDC1059" w14:textId="4F076A64" w:rsidR="00E677F5" w:rsidRPr="00E677F5" w:rsidRDefault="004945DF" w:rsidP="00E677F5">
      <w:pPr>
        <w:rPr>
          <w:rFonts w:ascii="Arial" w:hAnsi="Arial" w:cs="Arial"/>
          <w:lang w:val="en"/>
        </w:rPr>
      </w:pPr>
      <w:bookmarkStart w:id="17" w:name="_Hlk68766658"/>
      <w:r w:rsidRPr="004945DF">
        <w:rPr>
          <w:rFonts w:ascii="Arial" w:hAnsi="Arial" w:cs="Arial"/>
          <w:lang w:val="en"/>
        </w:rPr>
        <w:t>There are insufficient data to support fostemsavir use in pregnancy. The Antiviral Pregnancy Registry (APR) monitors for birth defects in neonates and other pregnancy outcomes in individuals exposed to fostemsavir during pregnancy in an observational setting</w:t>
      </w:r>
      <w:bookmarkEnd w:id="17"/>
      <w:r w:rsidRPr="004945DF">
        <w:rPr>
          <w:rFonts w:ascii="Arial" w:hAnsi="Arial" w:cs="Arial"/>
          <w:lang w:val="en"/>
        </w:rPr>
        <w:t>.</w:t>
      </w:r>
      <w:r w:rsidR="00E677F5" w:rsidRPr="00E677F5">
        <w:rPr>
          <w:rFonts w:ascii="Arial" w:hAnsi="Arial" w:cs="Arial"/>
          <w:lang w:val="en"/>
        </w:rPr>
        <w:t xml:space="preserve"> The effect of fostemsavir on human pregnancy is unknown. </w:t>
      </w:r>
    </w:p>
    <w:p w14:paraId="27CE5066" w14:textId="6A895ED6" w:rsidR="00987413" w:rsidRDefault="00E677F5" w:rsidP="00E677F5">
      <w:pPr>
        <w:rPr>
          <w:rFonts w:ascii="Arial" w:hAnsi="Arial" w:cs="Arial"/>
          <w:lang w:val="en"/>
        </w:rPr>
      </w:pPr>
      <w:r w:rsidRPr="00E677F5">
        <w:rPr>
          <w:rFonts w:ascii="Arial" w:hAnsi="Arial" w:cs="Arial"/>
          <w:lang w:val="en"/>
        </w:rPr>
        <w:t xml:space="preserve">Animal studies indicate no effects of fostemsavir on embryo-fetal development at clinically relevant exposures. Fostemsavir was associated with developmental toxicity findings in animal reproductive studies at exposures substantially higher than the therapeutic dose in the presence of maternal toxicity. </w:t>
      </w:r>
    </w:p>
    <w:p w14:paraId="7A313394" w14:textId="51EBB1C4" w:rsidR="00987413" w:rsidRPr="00987413" w:rsidRDefault="00987413" w:rsidP="00987413">
      <w:pPr>
        <w:rPr>
          <w:rFonts w:ascii="Arial" w:hAnsi="Arial" w:cs="Arial"/>
          <w:lang w:val="en"/>
        </w:rPr>
      </w:pPr>
      <w:r w:rsidRPr="00987413">
        <w:rPr>
          <w:rFonts w:ascii="Arial" w:hAnsi="Arial" w:cs="Arial"/>
          <w:lang w:val="en"/>
        </w:rPr>
        <w:t xml:space="preserve">No fetal abnormalities were observed following oral administration of fostemsavir to pregnant rats during organogenesis at 600 mg/kg/day </w:t>
      </w:r>
      <w:r w:rsidR="003C24F7">
        <w:rPr>
          <w:rFonts w:ascii="Arial" w:hAnsi="Arial" w:cs="Arial"/>
          <w:lang w:val="en"/>
        </w:rPr>
        <w:t>(</w:t>
      </w:r>
      <w:r w:rsidR="00683890">
        <w:rPr>
          <w:rFonts w:ascii="Arial" w:hAnsi="Arial" w:cs="Arial"/>
          <w:lang w:val="en"/>
        </w:rPr>
        <w:t>52</w:t>
      </w:r>
      <w:r w:rsidRPr="00987413">
        <w:rPr>
          <w:rFonts w:ascii="Arial" w:hAnsi="Arial" w:cs="Arial"/>
          <w:lang w:val="en"/>
        </w:rPr>
        <w:t xml:space="preserve"> times the predicted human exposure at the maximum recommended human dose (MRHD)</w:t>
      </w:r>
      <w:r w:rsidR="003C24F7">
        <w:rPr>
          <w:rFonts w:ascii="Arial" w:hAnsi="Arial" w:cs="Arial"/>
          <w:lang w:val="en"/>
        </w:rPr>
        <w:t>)</w:t>
      </w:r>
      <w:r w:rsidRPr="00987413">
        <w:rPr>
          <w:rFonts w:ascii="Arial" w:hAnsi="Arial" w:cs="Arial"/>
          <w:lang w:val="en"/>
        </w:rPr>
        <w:t xml:space="preserve">. No adverse effects were observed on pregnancy, </w:t>
      </w:r>
      <w:proofErr w:type="gramStart"/>
      <w:r w:rsidRPr="00987413">
        <w:rPr>
          <w:rFonts w:ascii="Arial" w:hAnsi="Arial" w:cs="Arial"/>
          <w:lang w:val="en"/>
        </w:rPr>
        <w:t>delivery</w:t>
      </w:r>
      <w:proofErr w:type="gramEnd"/>
      <w:r w:rsidRPr="00987413">
        <w:rPr>
          <w:rFonts w:ascii="Arial" w:hAnsi="Arial" w:cs="Arial"/>
          <w:lang w:val="en"/>
        </w:rPr>
        <w:t xml:space="preserve"> or fetal and early offspring development when fostemsavir was administered at oral doses up to 300 mg/kg/day through pregnancy and lactation (</w:t>
      </w:r>
      <w:r w:rsidR="00683890">
        <w:rPr>
          <w:rFonts w:ascii="Arial" w:hAnsi="Arial" w:cs="Arial"/>
          <w:lang w:val="en"/>
        </w:rPr>
        <w:t>37</w:t>
      </w:r>
      <w:r w:rsidRPr="00987413">
        <w:rPr>
          <w:rFonts w:ascii="Arial" w:hAnsi="Arial" w:cs="Arial"/>
          <w:lang w:val="en"/>
        </w:rPr>
        <w:t xml:space="preserve"> times the human exposure at the MRHD). However, oral administration of fostemsavir to pregnant rats did result in fetal abnormalities (cleft palate, open eyes, shortened snout, microstomia, misaligned mouth/jaw and protruding tongue) and reductions in fetal body weights in the presence of maternal toxicity (reductions in body weights and food consumption) when dosed at 1000 mg/kg/day (</w:t>
      </w:r>
      <w:r w:rsidR="00683890">
        <w:rPr>
          <w:rFonts w:ascii="Arial" w:hAnsi="Arial" w:cs="Arial"/>
          <w:lang w:val="en"/>
        </w:rPr>
        <w:t>65</w:t>
      </w:r>
      <w:r w:rsidRPr="00987413">
        <w:rPr>
          <w:rFonts w:ascii="Arial" w:hAnsi="Arial" w:cs="Arial"/>
          <w:lang w:val="en"/>
        </w:rPr>
        <w:t xml:space="preserve"> times the predicted human exposure at the MRHD).</w:t>
      </w:r>
    </w:p>
    <w:p w14:paraId="6DF073DC" w14:textId="28DAC2DE" w:rsidR="00987413" w:rsidRPr="00987413" w:rsidRDefault="00987413" w:rsidP="00E677F5">
      <w:pPr>
        <w:rPr>
          <w:rFonts w:ascii="Arial" w:hAnsi="Arial" w:cs="Arial"/>
          <w:lang w:val="en"/>
        </w:rPr>
      </w:pPr>
      <w:r w:rsidRPr="00987413">
        <w:rPr>
          <w:rFonts w:ascii="Arial" w:hAnsi="Arial" w:cs="Arial"/>
          <w:lang w:val="en"/>
        </w:rPr>
        <w:t>No adverse effects on embryonic survival and fetal weights were evident following oral administration of fostemsavir to pregnant rabbits during organogenesis at 50 mg/kg/day (</w:t>
      </w:r>
      <w:r w:rsidR="00683890">
        <w:rPr>
          <w:rFonts w:ascii="Arial" w:hAnsi="Arial" w:cs="Arial"/>
          <w:lang w:val="en"/>
        </w:rPr>
        <w:t>≥3</w:t>
      </w:r>
      <w:r w:rsidRPr="00987413">
        <w:rPr>
          <w:rFonts w:ascii="Arial" w:hAnsi="Arial" w:cs="Arial"/>
          <w:lang w:val="en"/>
        </w:rPr>
        <w:t xml:space="preserve"> times the predicted human exposure at the MRHD). Decreases in fetal body weights and embryonic deaths were evident at </w:t>
      </w:r>
      <w:r w:rsidR="00683890">
        <w:rPr>
          <w:rFonts w:ascii="Arial" w:hAnsi="Arial" w:cs="Arial"/>
          <w:lang w:val="en"/>
        </w:rPr>
        <w:t>6</w:t>
      </w:r>
      <w:r w:rsidRPr="00987413">
        <w:rPr>
          <w:rFonts w:ascii="Arial" w:hAnsi="Arial" w:cs="Arial"/>
          <w:lang w:val="en"/>
        </w:rPr>
        <w:t xml:space="preserve"> times the exposure at the MRHD. At doses equal to or greater than 250 mg/kg/day (</w:t>
      </w:r>
      <w:r w:rsidR="00683890">
        <w:rPr>
          <w:rFonts w:ascii="Arial" w:hAnsi="Arial" w:cs="Arial"/>
          <w:lang w:val="en"/>
        </w:rPr>
        <w:t>13</w:t>
      </w:r>
      <w:r w:rsidRPr="00987413">
        <w:rPr>
          <w:rFonts w:ascii="Arial" w:hAnsi="Arial" w:cs="Arial"/>
          <w:lang w:val="en"/>
        </w:rPr>
        <w:t xml:space="preserve"> times the exposures at MRHD), oral administration of fostemsavir to pregnant rabbits resulted in abortions in the presence of severe maternal toxicity (deaths and inappetence, body weight loss).</w:t>
      </w:r>
    </w:p>
    <w:p w14:paraId="646BD875" w14:textId="23534BA4" w:rsidR="00E677F5" w:rsidRPr="00E677F5" w:rsidRDefault="00E677F5" w:rsidP="00E677F5">
      <w:pPr>
        <w:rPr>
          <w:rFonts w:ascii="Arial" w:hAnsi="Arial" w:cs="Arial"/>
          <w:lang w:val="en"/>
        </w:rPr>
      </w:pPr>
      <w:proofErr w:type="spellStart"/>
      <w:r w:rsidRPr="00E677F5">
        <w:rPr>
          <w:rFonts w:ascii="Arial" w:hAnsi="Arial" w:cs="Arial"/>
          <w:lang w:val="en"/>
        </w:rPr>
        <w:t>Temsavir</w:t>
      </w:r>
      <w:proofErr w:type="spellEnd"/>
      <w:r w:rsidRPr="00E677F5">
        <w:rPr>
          <w:rFonts w:ascii="Arial" w:hAnsi="Arial" w:cs="Arial"/>
          <w:lang w:val="en"/>
        </w:rPr>
        <w:t xml:space="preserve"> was shown to cross the placenta in an animal distribution study after dosing with radio</w:t>
      </w:r>
      <w:r w:rsidR="009A3638">
        <w:rPr>
          <w:rFonts w:ascii="Arial" w:hAnsi="Arial" w:cs="Arial"/>
          <w:lang w:val="en"/>
        </w:rPr>
        <w:t>-</w:t>
      </w:r>
      <w:r w:rsidRPr="00E677F5">
        <w:rPr>
          <w:rFonts w:ascii="Arial" w:hAnsi="Arial" w:cs="Arial"/>
          <w:lang w:val="en"/>
        </w:rPr>
        <w:t>labelled fostemsavir.</w:t>
      </w:r>
    </w:p>
    <w:p w14:paraId="185BEE34" w14:textId="4D898A66" w:rsidR="00E677F5" w:rsidRPr="00E677F5" w:rsidRDefault="00E677F5" w:rsidP="00E677F5">
      <w:pPr>
        <w:rPr>
          <w:rFonts w:ascii="Arial" w:hAnsi="Arial" w:cs="Arial"/>
          <w:lang w:val="en"/>
        </w:rPr>
      </w:pPr>
      <w:r w:rsidRPr="00E677F5">
        <w:rPr>
          <w:rFonts w:ascii="Arial" w:hAnsi="Arial" w:cs="Arial"/>
          <w:lang w:val="en"/>
        </w:rPr>
        <w:t>Fostemsavir should be used during pregnancy only if the expected benefit justifies the potential risk to the fetus</w:t>
      </w:r>
    </w:p>
    <w:p w14:paraId="19CDF15F" w14:textId="18615553" w:rsidR="001A3992" w:rsidRPr="00071855" w:rsidRDefault="001A3992" w:rsidP="00F25D4B">
      <w:pPr>
        <w:pStyle w:val="Heading3"/>
        <w:spacing w:before="0" w:after="120"/>
        <w:ind w:left="0"/>
        <w:rPr>
          <w:rFonts w:ascii="Arial" w:hAnsi="Arial" w:cs="Arial"/>
        </w:rPr>
      </w:pPr>
      <w:r w:rsidRPr="003C68DC">
        <w:rPr>
          <w:rFonts w:ascii="Arial" w:hAnsi="Arial" w:cs="Arial"/>
        </w:rPr>
        <w:t>Use</w:t>
      </w:r>
      <w:r w:rsidRPr="00071855">
        <w:rPr>
          <w:rFonts w:ascii="Arial" w:hAnsi="Arial" w:cs="Arial"/>
        </w:rPr>
        <w:t xml:space="preserve"> in</w:t>
      </w:r>
      <w:r w:rsidR="00071855" w:rsidRPr="00071855">
        <w:rPr>
          <w:rFonts w:ascii="Arial" w:hAnsi="Arial" w:cs="Arial"/>
        </w:rPr>
        <w:t xml:space="preserve"> lactation</w:t>
      </w:r>
    </w:p>
    <w:p w14:paraId="0CB190FF" w14:textId="77777777" w:rsidR="00E677F5" w:rsidRDefault="00E677F5" w:rsidP="00E677F5">
      <w:pPr>
        <w:rPr>
          <w:rFonts w:ascii="Arial" w:hAnsi="Arial" w:cs="Arial"/>
          <w:lang w:val="en"/>
        </w:rPr>
      </w:pPr>
      <w:r w:rsidRPr="00E677F5">
        <w:rPr>
          <w:rFonts w:ascii="Arial" w:hAnsi="Arial" w:cs="Arial"/>
          <w:lang w:val="en"/>
        </w:rPr>
        <w:t xml:space="preserve">Health experts recommend that where possible, HIV-infected women do not breast feed their infants </w:t>
      </w:r>
      <w:proofErr w:type="gramStart"/>
      <w:r w:rsidRPr="00E677F5">
        <w:rPr>
          <w:rFonts w:ascii="Arial" w:hAnsi="Arial" w:cs="Arial"/>
          <w:lang w:val="en"/>
        </w:rPr>
        <w:t>in order to</w:t>
      </w:r>
      <w:proofErr w:type="gramEnd"/>
      <w:r w:rsidRPr="00E677F5">
        <w:rPr>
          <w:rFonts w:ascii="Arial" w:hAnsi="Arial" w:cs="Arial"/>
          <w:lang w:val="en"/>
        </w:rPr>
        <w:t xml:space="preserve"> avoid transmission of HIV. In settings where formula feeding is not </w:t>
      </w:r>
      <w:r w:rsidRPr="00E677F5">
        <w:rPr>
          <w:rFonts w:ascii="Arial" w:hAnsi="Arial" w:cs="Arial"/>
          <w:lang w:val="en"/>
        </w:rPr>
        <w:lastRenderedPageBreak/>
        <w:t>feasible, local official lactation and treatment guidelines should be followed when considering breast feeding during antiretroviral therapy.</w:t>
      </w:r>
    </w:p>
    <w:p w14:paraId="72EAC8C5" w14:textId="3B125454" w:rsidR="0059014B" w:rsidRPr="0059014B" w:rsidRDefault="00E677F5" w:rsidP="0059014B">
      <w:pPr>
        <w:rPr>
          <w:rFonts w:ascii="Arial" w:hAnsi="Arial" w:cs="Arial"/>
          <w:lang w:val="en"/>
        </w:rPr>
      </w:pPr>
      <w:r w:rsidRPr="00E677F5">
        <w:rPr>
          <w:rFonts w:ascii="Arial" w:hAnsi="Arial" w:cs="Arial"/>
          <w:lang w:val="en"/>
        </w:rPr>
        <w:t xml:space="preserve">It is expected that </w:t>
      </w:r>
      <w:proofErr w:type="spellStart"/>
      <w:r w:rsidRPr="00E677F5">
        <w:rPr>
          <w:rFonts w:ascii="Arial" w:hAnsi="Arial" w:cs="Arial"/>
          <w:lang w:val="en"/>
        </w:rPr>
        <w:t>temsavir</w:t>
      </w:r>
      <w:proofErr w:type="spellEnd"/>
      <w:r w:rsidRPr="00E677F5">
        <w:rPr>
          <w:rFonts w:ascii="Arial" w:hAnsi="Arial" w:cs="Arial"/>
          <w:lang w:val="en"/>
        </w:rPr>
        <w:t xml:space="preserve"> will be secreted into human milk based on animal data, although this has not been confirmed in humans.</w:t>
      </w:r>
      <w:r w:rsidR="0059014B">
        <w:rPr>
          <w:rFonts w:ascii="Arial" w:hAnsi="Arial" w:cs="Arial"/>
          <w:lang w:val="en"/>
        </w:rPr>
        <w:t xml:space="preserve"> I</w:t>
      </w:r>
      <w:r w:rsidR="0059014B" w:rsidRPr="0059014B">
        <w:rPr>
          <w:rFonts w:ascii="Arial" w:hAnsi="Arial" w:cs="Arial"/>
          <w:lang w:val="en"/>
        </w:rPr>
        <w:t xml:space="preserve">n a distribution study, fostemsavir-related drug materials (i.e., </w:t>
      </w:r>
      <w:proofErr w:type="spellStart"/>
      <w:r w:rsidR="0059014B" w:rsidRPr="0059014B">
        <w:rPr>
          <w:rFonts w:ascii="Arial" w:hAnsi="Arial" w:cs="Arial"/>
          <w:lang w:val="en"/>
        </w:rPr>
        <w:t>temsavir</w:t>
      </w:r>
      <w:proofErr w:type="spellEnd"/>
      <w:r w:rsidR="0059014B" w:rsidRPr="0059014B">
        <w:rPr>
          <w:rFonts w:ascii="Arial" w:hAnsi="Arial" w:cs="Arial"/>
          <w:lang w:val="en"/>
        </w:rPr>
        <w:t xml:space="preserve"> and/or </w:t>
      </w:r>
      <w:proofErr w:type="spellStart"/>
      <w:r w:rsidR="0059014B" w:rsidRPr="0059014B">
        <w:rPr>
          <w:rFonts w:ascii="Arial" w:hAnsi="Arial" w:cs="Arial"/>
          <w:lang w:val="en"/>
        </w:rPr>
        <w:t>temsavir</w:t>
      </w:r>
      <w:proofErr w:type="spellEnd"/>
      <w:r w:rsidR="0059014B" w:rsidRPr="0059014B">
        <w:rPr>
          <w:rFonts w:ascii="Arial" w:hAnsi="Arial" w:cs="Arial"/>
          <w:lang w:val="en"/>
        </w:rPr>
        <w:t xml:space="preserve">-derived metabolites) were excreted in rat milk following a single dose of fostemsavir administered to lactating rats 7 to 9 days postpartum. In the pre-and postnatal development study in rats, </w:t>
      </w:r>
      <w:proofErr w:type="spellStart"/>
      <w:r w:rsidR="0059014B" w:rsidRPr="0059014B">
        <w:rPr>
          <w:rFonts w:ascii="Arial" w:hAnsi="Arial" w:cs="Arial"/>
          <w:lang w:val="en"/>
        </w:rPr>
        <w:t>temsavir</w:t>
      </w:r>
      <w:proofErr w:type="spellEnd"/>
      <w:r w:rsidR="0059014B" w:rsidRPr="0059014B">
        <w:rPr>
          <w:rFonts w:ascii="Arial" w:hAnsi="Arial" w:cs="Arial"/>
          <w:lang w:val="en"/>
        </w:rPr>
        <w:t xml:space="preserve"> was present in milk at concentrations </w:t>
      </w:r>
      <w:proofErr w:type="gramStart"/>
      <w:r w:rsidR="0059014B" w:rsidRPr="0059014B">
        <w:rPr>
          <w:rFonts w:ascii="Arial" w:hAnsi="Arial" w:cs="Arial"/>
          <w:lang w:val="en"/>
        </w:rPr>
        <w:t>similar to</w:t>
      </w:r>
      <w:proofErr w:type="gramEnd"/>
      <w:r w:rsidR="0059014B" w:rsidRPr="0059014B">
        <w:rPr>
          <w:rFonts w:ascii="Arial" w:hAnsi="Arial" w:cs="Arial"/>
          <w:lang w:val="en"/>
        </w:rPr>
        <w:t xml:space="preserve"> those measured in maternal plasma, as determined 11 days postpartum. </w:t>
      </w:r>
    </w:p>
    <w:p w14:paraId="1314450E" w14:textId="0C8DF382" w:rsidR="00E677F5" w:rsidRPr="00E677F5" w:rsidRDefault="0059014B" w:rsidP="0059014B">
      <w:pPr>
        <w:rPr>
          <w:rFonts w:ascii="Arial" w:hAnsi="Arial" w:cs="Arial"/>
          <w:lang w:val="en"/>
        </w:rPr>
      </w:pPr>
      <w:r w:rsidRPr="0059014B">
        <w:rPr>
          <w:rFonts w:ascii="Arial" w:hAnsi="Arial" w:cs="Arial"/>
          <w:lang w:val="en"/>
        </w:rPr>
        <w:t xml:space="preserve">In a pre- and postnatal development study in rats, lactational exposure at 300 mg/kg/day (corresponding to a plasma exposure multiple </w:t>
      </w:r>
      <w:r w:rsidR="00986E9E">
        <w:rPr>
          <w:rFonts w:ascii="Arial" w:hAnsi="Arial" w:cs="Arial"/>
          <w:lang w:val="en"/>
        </w:rPr>
        <w:t>35</w:t>
      </w:r>
      <w:r w:rsidRPr="0059014B">
        <w:rPr>
          <w:rFonts w:ascii="Arial" w:hAnsi="Arial" w:cs="Arial"/>
          <w:lang w:val="en"/>
        </w:rPr>
        <w:t xml:space="preserve"> times that in humans at 600 mg twice daily based on AUC) was associated with reduced neonatal survival from post-natal days 7 to 14. </w:t>
      </w:r>
      <w:r w:rsidR="00E677F5" w:rsidRPr="00E677F5">
        <w:rPr>
          <w:rFonts w:ascii="Arial" w:hAnsi="Arial" w:cs="Arial"/>
          <w:lang w:val="en"/>
        </w:rPr>
        <w:t xml:space="preserve"> Therefore, it is recommended that when possible, HIV-infected women should not breast feed while receiving fostemsavir.</w:t>
      </w:r>
    </w:p>
    <w:p w14:paraId="0BA9E954" w14:textId="77777777"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 xml:space="preserve">EFFECTS ON ABILITY TO DRIVE AND USE MACHINES </w:t>
      </w:r>
    </w:p>
    <w:p w14:paraId="1068FAAF" w14:textId="77777777" w:rsidR="00E677F5" w:rsidRPr="00E677F5" w:rsidRDefault="00E677F5" w:rsidP="00E677F5">
      <w:pPr>
        <w:rPr>
          <w:rFonts w:ascii="Arial" w:hAnsi="Arial" w:cs="Arial"/>
          <w:lang w:val="en"/>
        </w:rPr>
      </w:pPr>
      <w:r w:rsidRPr="00E677F5">
        <w:rPr>
          <w:rFonts w:ascii="Arial" w:hAnsi="Arial" w:cs="Arial"/>
          <w:lang w:val="en"/>
        </w:rPr>
        <w:t>There have been no studies to investigate the effect of fostemsavir on driving performance or the ability to operate machinery. The clinical status of the patient and the adverse event profile of fostemsavir should be borne in mind when considering the patient's ability to drive or operate machinery.</w:t>
      </w:r>
    </w:p>
    <w:p w14:paraId="2665C3C6" w14:textId="77777777"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ADVERSE EFFECTS (UNDESIRABLE EFFECTS)</w:t>
      </w:r>
    </w:p>
    <w:p w14:paraId="29143F40" w14:textId="77777777" w:rsidR="00E677F5" w:rsidRDefault="00E677F5" w:rsidP="00E677F5">
      <w:pPr>
        <w:rPr>
          <w:rFonts w:ascii="Arial" w:hAnsi="Arial" w:cs="Arial"/>
          <w:b/>
          <w:lang w:val="en"/>
        </w:rPr>
      </w:pPr>
      <w:r w:rsidRPr="00E677F5">
        <w:rPr>
          <w:rFonts w:ascii="Arial" w:hAnsi="Arial" w:cs="Arial"/>
          <w:b/>
          <w:lang w:val="en"/>
        </w:rPr>
        <w:t>Clinical trial data</w:t>
      </w:r>
    </w:p>
    <w:p w14:paraId="08CB3632" w14:textId="77777777" w:rsidR="00E677F5" w:rsidRPr="00E677F5" w:rsidRDefault="00E677F5" w:rsidP="00E677F5">
      <w:pPr>
        <w:rPr>
          <w:rFonts w:ascii="Arial" w:hAnsi="Arial" w:cs="Arial"/>
          <w:lang w:val="en"/>
        </w:rPr>
      </w:pPr>
      <w:bookmarkStart w:id="18" w:name="_Hlk7939908"/>
      <w:r w:rsidRPr="00E677F5">
        <w:rPr>
          <w:rFonts w:ascii="Arial" w:hAnsi="Arial" w:cs="Arial"/>
          <w:lang w:val="en"/>
        </w:rPr>
        <w:t>A total of 620 HIV-1 infected subjects received at least one dose of fostemsavir as part of a controlled clinical trial.</w:t>
      </w:r>
    </w:p>
    <w:bookmarkEnd w:id="18"/>
    <w:p w14:paraId="76EADBA0" w14:textId="2816BE37" w:rsidR="00E677F5" w:rsidRPr="00E677F5" w:rsidRDefault="00E677F5" w:rsidP="00E677F5">
      <w:pPr>
        <w:rPr>
          <w:rFonts w:ascii="Arial" w:hAnsi="Arial" w:cs="Arial"/>
          <w:lang w:val="en"/>
        </w:rPr>
      </w:pPr>
      <w:r w:rsidRPr="00E677F5">
        <w:rPr>
          <w:rFonts w:ascii="Arial" w:hAnsi="Arial" w:cs="Arial"/>
          <w:lang w:val="en"/>
        </w:rPr>
        <w:t>The safety and tolerability of the recommended dose of fostemsavir was evaluated in a Phase III, partially-</w:t>
      </w:r>
      <w:proofErr w:type="spellStart"/>
      <w:r w:rsidRPr="00E677F5">
        <w:rPr>
          <w:rFonts w:ascii="Arial" w:hAnsi="Arial" w:cs="Arial"/>
          <w:lang w:val="en"/>
        </w:rPr>
        <w:t>randomised</w:t>
      </w:r>
      <w:proofErr w:type="spellEnd"/>
      <w:r w:rsidRPr="00E677F5">
        <w:rPr>
          <w:rFonts w:ascii="Arial" w:hAnsi="Arial" w:cs="Arial"/>
          <w:lang w:val="en"/>
        </w:rPr>
        <w:t xml:space="preserve">, double-blind, placebo-controlled trial (BRIGHTE [205888]) conducted in 371 heavily treatment-experienced adult subjects (see </w:t>
      </w:r>
      <w:r w:rsidR="007F3FFE">
        <w:rPr>
          <w:rFonts w:ascii="Arial" w:hAnsi="Arial" w:cs="Arial"/>
          <w:lang w:val="en"/>
        </w:rPr>
        <w:t>S</w:t>
      </w:r>
      <w:r w:rsidR="007F3FFE" w:rsidRPr="002F331B">
        <w:rPr>
          <w:rFonts w:ascii="Arial" w:hAnsi="Arial" w:cs="Arial"/>
          <w:lang w:val="en"/>
        </w:rPr>
        <w:t>ection 5.1</w:t>
      </w:r>
      <w:r w:rsidR="007F3FFE">
        <w:rPr>
          <w:rFonts w:ascii="Arial" w:hAnsi="Arial" w:cs="Arial"/>
          <w:lang w:val="en"/>
        </w:rPr>
        <w:t xml:space="preserve"> P</w:t>
      </w:r>
      <w:r w:rsidR="007F3FFE" w:rsidRPr="002F331B">
        <w:rPr>
          <w:rFonts w:ascii="Arial" w:hAnsi="Arial" w:cs="Arial"/>
          <w:lang w:val="en"/>
        </w:rPr>
        <w:t>HARMACODYNAMIC PROPERTIES, Clinical Trials</w:t>
      </w:r>
      <w:r w:rsidRPr="00E677F5">
        <w:rPr>
          <w:rFonts w:ascii="Arial" w:hAnsi="Arial" w:cs="Arial"/>
          <w:lang w:val="en"/>
        </w:rPr>
        <w:t xml:space="preserve">). In the </w:t>
      </w:r>
      <w:proofErr w:type="spellStart"/>
      <w:r w:rsidRPr="00E677F5">
        <w:rPr>
          <w:rFonts w:ascii="Arial" w:hAnsi="Arial" w:cs="Arial"/>
          <w:lang w:val="en"/>
        </w:rPr>
        <w:t>Randomised</w:t>
      </w:r>
      <w:proofErr w:type="spellEnd"/>
      <w:r w:rsidRPr="00E677F5">
        <w:rPr>
          <w:rFonts w:ascii="Arial" w:hAnsi="Arial" w:cs="Arial"/>
          <w:lang w:val="en"/>
        </w:rPr>
        <w:t xml:space="preserve"> Cohort, 272 subjects received either blinded fostemsavir, 600 mg twice daily (n = 203), or placebo (n = 69), in addition to their current failing regimen, for 8 days of functional monotherapy. Beyond Day 8, </w:t>
      </w:r>
      <w:proofErr w:type="spellStart"/>
      <w:r w:rsidRPr="00E677F5">
        <w:rPr>
          <w:rFonts w:ascii="Arial" w:hAnsi="Arial" w:cs="Arial"/>
          <w:lang w:val="en"/>
        </w:rPr>
        <w:t>randomised</w:t>
      </w:r>
      <w:proofErr w:type="spellEnd"/>
      <w:r w:rsidRPr="00E677F5">
        <w:rPr>
          <w:rFonts w:ascii="Arial" w:hAnsi="Arial" w:cs="Arial"/>
          <w:lang w:val="en"/>
        </w:rPr>
        <w:t xml:space="preserve"> subjects received </w:t>
      </w:r>
      <w:proofErr w:type="gramStart"/>
      <w:r w:rsidRPr="00E677F5">
        <w:rPr>
          <w:rFonts w:ascii="Arial" w:hAnsi="Arial" w:cs="Arial"/>
          <w:lang w:val="en"/>
        </w:rPr>
        <w:t>open-label</w:t>
      </w:r>
      <w:proofErr w:type="gramEnd"/>
      <w:r w:rsidRPr="00E677F5">
        <w:rPr>
          <w:rFonts w:ascii="Arial" w:hAnsi="Arial" w:cs="Arial"/>
          <w:lang w:val="en"/>
        </w:rPr>
        <w:t xml:space="preserve"> fostemsavir, 600 mg twice daily, plus an </w:t>
      </w:r>
      <w:proofErr w:type="spellStart"/>
      <w:r w:rsidRPr="00E677F5">
        <w:rPr>
          <w:rFonts w:ascii="Arial" w:hAnsi="Arial" w:cs="Arial"/>
          <w:lang w:val="en"/>
        </w:rPr>
        <w:t>optimised</w:t>
      </w:r>
      <w:proofErr w:type="spellEnd"/>
      <w:r w:rsidRPr="00E677F5">
        <w:rPr>
          <w:rFonts w:ascii="Arial" w:hAnsi="Arial" w:cs="Arial"/>
          <w:lang w:val="en"/>
        </w:rPr>
        <w:t xml:space="preserve"> background therapy (OBT). In the Non-</w:t>
      </w:r>
      <w:proofErr w:type="spellStart"/>
      <w:r w:rsidRPr="00E677F5">
        <w:rPr>
          <w:rFonts w:ascii="Arial" w:hAnsi="Arial" w:cs="Arial"/>
          <w:lang w:val="en"/>
        </w:rPr>
        <w:t>randomised</w:t>
      </w:r>
      <w:proofErr w:type="spellEnd"/>
      <w:r w:rsidRPr="00E677F5">
        <w:rPr>
          <w:rFonts w:ascii="Arial" w:hAnsi="Arial" w:cs="Arial"/>
          <w:lang w:val="en"/>
        </w:rPr>
        <w:t xml:space="preserve"> Cohort, 99 subjects received </w:t>
      </w:r>
      <w:proofErr w:type="gramStart"/>
      <w:r w:rsidRPr="00E677F5">
        <w:rPr>
          <w:rFonts w:ascii="Arial" w:hAnsi="Arial" w:cs="Arial"/>
          <w:lang w:val="en"/>
        </w:rPr>
        <w:t>open-label</w:t>
      </w:r>
      <w:proofErr w:type="gramEnd"/>
      <w:r w:rsidRPr="00E677F5">
        <w:rPr>
          <w:rFonts w:ascii="Arial" w:hAnsi="Arial" w:cs="Arial"/>
          <w:lang w:val="en"/>
        </w:rPr>
        <w:t xml:space="preserve"> fostemsavir, 600 mg twice daily, plus OBT from Day 1 onward. </w:t>
      </w:r>
    </w:p>
    <w:p w14:paraId="2AF8838F" w14:textId="77777777" w:rsidR="00E677F5" w:rsidRPr="00E677F5" w:rsidRDefault="00E677F5" w:rsidP="00E677F5">
      <w:pPr>
        <w:rPr>
          <w:rFonts w:ascii="Arial" w:hAnsi="Arial" w:cs="Arial"/>
          <w:lang w:val="en"/>
        </w:rPr>
      </w:pPr>
      <w:r w:rsidRPr="00E677F5">
        <w:rPr>
          <w:rFonts w:ascii="Arial" w:hAnsi="Arial" w:cs="Arial"/>
          <w:lang w:val="en"/>
        </w:rPr>
        <w:t xml:space="preserve">Adverse drug reactions (ADRs) identified in the Phase III clinical trial, which included a total of 370 subjects receiving at least 1 dose of fostemsavir 600 mg twice daily, are listed below by MedDRA system organ class and by frequency.  Frequencies are defined as: very common (≥1/10), common (≥1/100 and &lt;1/10), uncommon (≥1/1,000 and &lt;1/100), rare (≥1/10,000 and &lt;1/1,000) and very rare (&lt;1/10,000), including isolated reports. For many of the adverse drug reactions listed, it is unclear whether they are related to fostemsavir, or the other medicinal products used in the management of HIV infection, or whether they are a result of the underlying disease process. </w:t>
      </w:r>
    </w:p>
    <w:p w14:paraId="1ADBD74C" w14:textId="77777777" w:rsidR="00E677F5" w:rsidRPr="00E677F5" w:rsidRDefault="00E677F5" w:rsidP="00E7586B">
      <w:pPr>
        <w:keepNext/>
        <w:keepLines/>
        <w:tabs>
          <w:tab w:val="left" w:pos="1656"/>
        </w:tabs>
        <w:rPr>
          <w:rFonts w:ascii="Arial"/>
          <w:b/>
        </w:rPr>
      </w:pPr>
      <w:bookmarkStart w:id="19" w:name="_Hlk83637573"/>
      <w:bookmarkEnd w:id="16"/>
      <w:r w:rsidRPr="00E677F5">
        <w:rPr>
          <w:rFonts w:ascii="Arial"/>
          <w:b/>
        </w:rPr>
        <w:lastRenderedPageBreak/>
        <w:t>Table 2</w:t>
      </w:r>
      <w:r w:rsidRPr="00E677F5">
        <w:rPr>
          <w:rFonts w:ascii="Arial"/>
          <w:b/>
        </w:rPr>
        <w:tab/>
        <w:t xml:space="preserve">Adverse Reactions with Fostemsavir </w:t>
      </w:r>
    </w:p>
    <w:tbl>
      <w:tblPr>
        <w:tblW w:w="8730" w:type="dxa"/>
        <w:tblInd w:w="108" w:type="dxa"/>
        <w:tblLayout w:type="fixed"/>
        <w:tblLook w:val="0000" w:firstRow="0" w:lastRow="0" w:firstColumn="0" w:lastColumn="0" w:noHBand="0" w:noVBand="0"/>
      </w:tblPr>
      <w:tblGrid>
        <w:gridCol w:w="2268"/>
        <w:gridCol w:w="1422"/>
        <w:gridCol w:w="5040"/>
      </w:tblGrid>
      <w:tr w:rsidR="00E677F5" w:rsidRPr="00E677F5" w14:paraId="1BE73696" w14:textId="77777777" w:rsidTr="00291AD1">
        <w:trPr>
          <w:cantSplit/>
        </w:trPr>
        <w:tc>
          <w:tcPr>
            <w:tcW w:w="2268" w:type="dxa"/>
            <w:tcBorders>
              <w:top w:val="single" w:sz="4" w:space="0" w:color="auto"/>
              <w:left w:val="single" w:sz="4" w:space="0" w:color="auto"/>
              <w:bottom w:val="single" w:sz="4" w:space="0" w:color="auto"/>
              <w:right w:val="single" w:sz="4" w:space="0" w:color="auto"/>
            </w:tcBorders>
            <w:shd w:val="clear" w:color="auto" w:fill="auto"/>
          </w:tcPr>
          <w:bookmarkEnd w:id="19"/>
          <w:p w14:paraId="7EDF49FC" w14:textId="77777777" w:rsidR="00E677F5" w:rsidRPr="00E677F5" w:rsidRDefault="00E677F5" w:rsidP="00E7586B">
            <w:pPr>
              <w:keepNext/>
              <w:keepLines/>
              <w:spacing w:before="100" w:beforeAutospacing="1" w:after="120"/>
              <w:jc w:val="center"/>
              <w:rPr>
                <w:rFonts w:ascii="Arial Narrow" w:hAnsi="Arial Narrow"/>
                <w:b/>
                <w:sz w:val="20"/>
                <w:szCs w:val="20"/>
              </w:rPr>
            </w:pPr>
            <w:r w:rsidRPr="00E677F5">
              <w:rPr>
                <w:rFonts w:ascii="Arial Narrow" w:hAnsi="Arial Narrow"/>
                <w:b/>
                <w:sz w:val="20"/>
                <w:szCs w:val="20"/>
              </w:rPr>
              <w:t>System</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57263E68" w14:textId="77777777" w:rsidR="00E677F5" w:rsidRPr="00E677F5" w:rsidRDefault="00E677F5" w:rsidP="00E7586B">
            <w:pPr>
              <w:keepNext/>
              <w:keepLines/>
              <w:spacing w:before="100" w:beforeAutospacing="1" w:after="120"/>
              <w:jc w:val="center"/>
              <w:rPr>
                <w:rFonts w:ascii="Arial Narrow" w:hAnsi="Arial Narrow"/>
                <w:b/>
                <w:sz w:val="20"/>
                <w:szCs w:val="20"/>
              </w:rPr>
            </w:pPr>
            <w:r w:rsidRPr="00E677F5">
              <w:rPr>
                <w:rFonts w:ascii="Arial Narrow" w:hAnsi="Arial Narrow"/>
                <w:b/>
                <w:sz w:val="20"/>
                <w:szCs w:val="20"/>
              </w:rPr>
              <w:t>Frequency</w:t>
            </w:r>
          </w:p>
        </w:tc>
        <w:tc>
          <w:tcPr>
            <w:tcW w:w="5040" w:type="dxa"/>
            <w:tcBorders>
              <w:top w:val="single" w:sz="4" w:space="0" w:color="auto"/>
              <w:left w:val="single" w:sz="4" w:space="0" w:color="auto"/>
              <w:bottom w:val="single" w:sz="4" w:space="0" w:color="auto"/>
              <w:right w:val="single" w:sz="4" w:space="0" w:color="auto"/>
            </w:tcBorders>
          </w:tcPr>
          <w:p w14:paraId="71351157" w14:textId="77777777" w:rsidR="00E677F5" w:rsidRPr="00E677F5" w:rsidRDefault="00E677F5" w:rsidP="00E7586B">
            <w:pPr>
              <w:keepNext/>
              <w:keepLines/>
              <w:spacing w:before="100" w:beforeAutospacing="1" w:after="120"/>
              <w:jc w:val="center"/>
              <w:rPr>
                <w:rFonts w:ascii="Arial Narrow" w:hAnsi="Arial Narrow"/>
                <w:b/>
                <w:sz w:val="20"/>
                <w:szCs w:val="20"/>
              </w:rPr>
            </w:pPr>
            <w:r w:rsidRPr="00E677F5">
              <w:rPr>
                <w:rFonts w:ascii="Arial Narrow" w:hAnsi="Arial Narrow"/>
                <w:b/>
                <w:sz w:val="20"/>
                <w:szCs w:val="20"/>
              </w:rPr>
              <w:t>Adverse Reactions</w:t>
            </w:r>
          </w:p>
        </w:tc>
      </w:tr>
      <w:tr w:rsidR="00E677F5" w:rsidRPr="00E677F5" w14:paraId="04A2D097" w14:textId="77777777" w:rsidTr="00291AD1">
        <w:trPr>
          <w:cantSplit/>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1025D543" w14:textId="77777777" w:rsidR="00E677F5" w:rsidRPr="00E677F5" w:rsidRDefault="00E677F5" w:rsidP="00E7586B">
            <w:pPr>
              <w:keepNext/>
              <w:keepLines/>
              <w:spacing w:before="100" w:beforeAutospacing="1" w:after="120"/>
              <w:rPr>
                <w:rFonts w:ascii="Arial Narrow" w:hAnsi="Arial Narrow"/>
                <w:sz w:val="20"/>
                <w:szCs w:val="20"/>
              </w:rPr>
            </w:pPr>
            <w:r w:rsidRPr="00E677F5">
              <w:rPr>
                <w:rFonts w:ascii="Arial Narrow" w:hAnsi="Arial Narrow"/>
                <w:b/>
                <w:sz w:val="20"/>
                <w:szCs w:val="20"/>
              </w:rPr>
              <w:t>Immune system disorders</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16732ABB" w14:textId="77777777" w:rsidR="00E677F5" w:rsidRPr="00E677F5" w:rsidRDefault="00E677F5" w:rsidP="00E7586B">
            <w:pPr>
              <w:keepNext/>
              <w:keepLines/>
              <w:spacing w:before="100" w:beforeAutospacing="1" w:after="120"/>
              <w:rPr>
                <w:rFonts w:ascii="Arial Narrow" w:hAnsi="Arial Narrow"/>
                <w:sz w:val="20"/>
                <w:szCs w:val="20"/>
              </w:rPr>
            </w:pPr>
            <w:r w:rsidRPr="00E677F5">
              <w:rPr>
                <w:rFonts w:ascii="Arial Narrow" w:hAnsi="Arial Narrow"/>
                <w:sz w:val="20"/>
                <w:szCs w:val="20"/>
              </w:rPr>
              <w:t>Common</w:t>
            </w:r>
          </w:p>
        </w:tc>
        <w:tc>
          <w:tcPr>
            <w:tcW w:w="5040" w:type="dxa"/>
            <w:tcBorders>
              <w:top w:val="single" w:sz="4" w:space="0" w:color="auto"/>
              <w:left w:val="single" w:sz="4" w:space="0" w:color="auto"/>
              <w:bottom w:val="single" w:sz="4" w:space="0" w:color="auto"/>
              <w:right w:val="single" w:sz="4" w:space="0" w:color="auto"/>
            </w:tcBorders>
          </w:tcPr>
          <w:p w14:paraId="5B3B1509" w14:textId="1969FF4C" w:rsidR="00E677F5" w:rsidRPr="00E677F5" w:rsidRDefault="00E677F5" w:rsidP="00E7586B">
            <w:pPr>
              <w:keepNext/>
              <w:keepLines/>
              <w:spacing w:before="100" w:beforeAutospacing="1" w:after="120"/>
              <w:rPr>
                <w:rFonts w:ascii="Arial Narrow" w:hAnsi="Arial Narrow"/>
                <w:sz w:val="20"/>
                <w:szCs w:val="20"/>
              </w:rPr>
            </w:pPr>
            <w:r w:rsidRPr="00E677F5">
              <w:rPr>
                <w:rFonts w:ascii="Arial Narrow" w:hAnsi="Arial Narrow"/>
                <w:sz w:val="20"/>
                <w:szCs w:val="20"/>
              </w:rPr>
              <w:t>Immune Reconstitution Inflammatory Syndrome</w:t>
            </w:r>
            <w:r w:rsidRPr="00E677F5">
              <w:rPr>
                <w:rFonts w:ascii="Arial Narrow" w:hAnsi="Arial Narrow"/>
                <w:sz w:val="20"/>
                <w:szCs w:val="20"/>
                <w:vertAlign w:val="superscript"/>
              </w:rPr>
              <w:t>1</w:t>
            </w:r>
            <w:r w:rsidRPr="00E677F5">
              <w:rPr>
                <w:rFonts w:ascii="Arial Narrow" w:hAnsi="Arial Narrow"/>
                <w:sz w:val="20"/>
                <w:szCs w:val="20"/>
              </w:rPr>
              <w:t xml:space="preserve"> (see </w:t>
            </w:r>
            <w:r w:rsidR="0061437F">
              <w:rPr>
                <w:rFonts w:ascii="Arial Narrow" w:hAnsi="Arial Narrow"/>
                <w:sz w:val="20"/>
                <w:szCs w:val="20"/>
              </w:rPr>
              <w:t xml:space="preserve">Section </w:t>
            </w:r>
            <w:r w:rsidR="0061437F" w:rsidRPr="0061437F">
              <w:rPr>
                <w:rFonts w:ascii="Arial Narrow" w:hAnsi="Arial Narrow"/>
                <w:sz w:val="20"/>
                <w:szCs w:val="20"/>
              </w:rPr>
              <w:t>4.4</w:t>
            </w:r>
            <w:r w:rsidR="0061437F">
              <w:rPr>
                <w:rFonts w:ascii="Arial Narrow" w:hAnsi="Arial Narrow"/>
                <w:sz w:val="20"/>
                <w:szCs w:val="20"/>
              </w:rPr>
              <w:t xml:space="preserve"> </w:t>
            </w:r>
            <w:r w:rsidR="0061437F" w:rsidRPr="0061437F">
              <w:rPr>
                <w:rFonts w:ascii="Arial Narrow" w:hAnsi="Arial Narrow"/>
                <w:sz w:val="20"/>
                <w:szCs w:val="20"/>
              </w:rPr>
              <w:t>SPECIAL WARNINGS AND PRECAUTIONS FOR USE</w:t>
            </w:r>
            <w:r w:rsidRPr="00E677F5">
              <w:rPr>
                <w:rFonts w:ascii="Arial Narrow" w:hAnsi="Arial Narrow"/>
                <w:sz w:val="20"/>
                <w:szCs w:val="20"/>
              </w:rPr>
              <w:t>)</w:t>
            </w:r>
          </w:p>
        </w:tc>
      </w:tr>
      <w:tr w:rsidR="00E677F5" w:rsidRPr="00E677F5" w14:paraId="6698F2F4" w14:textId="77777777" w:rsidTr="00291AD1">
        <w:trPr>
          <w:cantSplit/>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7528EDEB" w14:textId="77777777" w:rsidR="00E677F5" w:rsidRPr="00E677F5" w:rsidRDefault="00E677F5" w:rsidP="00E7586B">
            <w:pPr>
              <w:keepNext/>
              <w:keepLines/>
              <w:rPr>
                <w:rFonts w:ascii="Arial Narrow" w:hAnsi="Arial Narrow"/>
                <w:b/>
                <w:sz w:val="20"/>
                <w:szCs w:val="20"/>
              </w:rPr>
            </w:pPr>
            <w:r w:rsidRPr="00E677F5">
              <w:rPr>
                <w:rFonts w:ascii="Arial Narrow" w:hAnsi="Arial Narrow"/>
                <w:b/>
                <w:sz w:val="20"/>
                <w:szCs w:val="20"/>
              </w:rPr>
              <w:t>Psychiatric disorders</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3E3C51FF" w14:textId="77777777" w:rsidR="00E677F5" w:rsidRPr="00E677F5" w:rsidRDefault="00E677F5" w:rsidP="00E7586B">
            <w:pPr>
              <w:keepNext/>
              <w:keepLines/>
              <w:rPr>
                <w:rFonts w:ascii="Arial Narrow" w:hAnsi="Arial Narrow"/>
                <w:sz w:val="20"/>
                <w:szCs w:val="20"/>
              </w:rPr>
            </w:pPr>
            <w:r w:rsidRPr="00E677F5">
              <w:rPr>
                <w:rFonts w:ascii="Arial Narrow" w:hAnsi="Arial Narrow"/>
                <w:sz w:val="20"/>
                <w:szCs w:val="20"/>
              </w:rPr>
              <w:t>Common</w:t>
            </w:r>
          </w:p>
        </w:tc>
        <w:tc>
          <w:tcPr>
            <w:tcW w:w="5040" w:type="dxa"/>
            <w:tcBorders>
              <w:top w:val="single" w:sz="4" w:space="0" w:color="auto"/>
              <w:left w:val="single" w:sz="4" w:space="0" w:color="auto"/>
              <w:bottom w:val="single" w:sz="4" w:space="0" w:color="auto"/>
              <w:right w:val="single" w:sz="4" w:space="0" w:color="auto"/>
            </w:tcBorders>
          </w:tcPr>
          <w:p w14:paraId="2B2286C5" w14:textId="77777777" w:rsidR="00E677F5" w:rsidRPr="00E677F5" w:rsidRDefault="00E677F5" w:rsidP="00E7586B">
            <w:pPr>
              <w:keepNext/>
              <w:keepLines/>
              <w:spacing w:before="100" w:beforeAutospacing="1" w:after="120"/>
              <w:rPr>
                <w:rFonts w:ascii="Arial Narrow" w:hAnsi="Arial Narrow"/>
                <w:sz w:val="20"/>
                <w:szCs w:val="20"/>
              </w:rPr>
            </w:pPr>
            <w:r w:rsidRPr="00E677F5">
              <w:rPr>
                <w:rFonts w:ascii="Arial Narrow" w:hAnsi="Arial Narrow"/>
                <w:sz w:val="20"/>
                <w:szCs w:val="20"/>
              </w:rPr>
              <w:t>Insomnia</w:t>
            </w:r>
          </w:p>
        </w:tc>
      </w:tr>
      <w:tr w:rsidR="00E677F5" w:rsidRPr="00E677F5" w14:paraId="74E41F58" w14:textId="77777777" w:rsidTr="00291AD1">
        <w:trPr>
          <w:cantSplit/>
        </w:trPr>
        <w:tc>
          <w:tcPr>
            <w:tcW w:w="2268" w:type="dxa"/>
            <w:vMerge w:val="restart"/>
            <w:tcBorders>
              <w:top w:val="single" w:sz="4" w:space="0" w:color="auto"/>
              <w:left w:val="single" w:sz="4" w:space="0" w:color="auto"/>
              <w:right w:val="single" w:sz="4" w:space="0" w:color="auto"/>
            </w:tcBorders>
            <w:shd w:val="clear" w:color="auto" w:fill="auto"/>
          </w:tcPr>
          <w:p w14:paraId="14AD6E1C" w14:textId="77777777" w:rsidR="00E677F5" w:rsidRPr="00E677F5" w:rsidRDefault="00E677F5" w:rsidP="00E7586B">
            <w:pPr>
              <w:keepNext/>
              <w:keepLines/>
              <w:rPr>
                <w:rFonts w:ascii="Arial Narrow" w:hAnsi="Arial Narrow"/>
                <w:sz w:val="20"/>
                <w:szCs w:val="20"/>
              </w:rPr>
            </w:pPr>
            <w:r w:rsidRPr="00E677F5">
              <w:rPr>
                <w:rFonts w:ascii="Arial Narrow" w:hAnsi="Arial Narrow"/>
                <w:b/>
                <w:sz w:val="20"/>
                <w:szCs w:val="20"/>
              </w:rPr>
              <w:t>Nervous system disorders</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5C65D820" w14:textId="77777777" w:rsidR="00E677F5" w:rsidRPr="00E677F5" w:rsidRDefault="00E677F5" w:rsidP="00E7586B">
            <w:pPr>
              <w:keepNext/>
              <w:keepLines/>
              <w:rPr>
                <w:rStyle w:val="CSI"/>
                <w:rFonts w:ascii="Arial Narrow" w:hAnsi="Arial Narrow"/>
                <w:sz w:val="20"/>
                <w:szCs w:val="20"/>
              </w:rPr>
            </w:pPr>
            <w:r w:rsidRPr="00E677F5">
              <w:rPr>
                <w:rFonts w:ascii="Arial Narrow" w:hAnsi="Arial Narrow"/>
                <w:sz w:val="20"/>
                <w:szCs w:val="20"/>
              </w:rPr>
              <w:t>Very common</w:t>
            </w:r>
          </w:p>
        </w:tc>
        <w:tc>
          <w:tcPr>
            <w:tcW w:w="5040" w:type="dxa"/>
            <w:tcBorders>
              <w:top w:val="single" w:sz="4" w:space="0" w:color="auto"/>
              <w:left w:val="single" w:sz="4" w:space="0" w:color="auto"/>
              <w:bottom w:val="single" w:sz="4" w:space="0" w:color="auto"/>
              <w:right w:val="single" w:sz="4" w:space="0" w:color="auto"/>
            </w:tcBorders>
          </w:tcPr>
          <w:p w14:paraId="4A21270E" w14:textId="77777777" w:rsidR="00E677F5" w:rsidRPr="00E677F5" w:rsidRDefault="00E677F5" w:rsidP="00E7586B">
            <w:pPr>
              <w:keepNext/>
              <w:keepLines/>
              <w:spacing w:before="100" w:beforeAutospacing="1" w:after="120"/>
              <w:rPr>
                <w:rFonts w:ascii="Arial Narrow" w:hAnsi="Arial Narrow"/>
                <w:sz w:val="20"/>
                <w:szCs w:val="20"/>
              </w:rPr>
            </w:pPr>
            <w:r w:rsidRPr="00E677F5">
              <w:rPr>
                <w:rFonts w:ascii="Arial Narrow" w:hAnsi="Arial Narrow"/>
                <w:sz w:val="20"/>
                <w:szCs w:val="20"/>
              </w:rPr>
              <w:t>Headache</w:t>
            </w:r>
          </w:p>
        </w:tc>
      </w:tr>
      <w:tr w:rsidR="00E677F5" w:rsidRPr="00E677F5" w14:paraId="2EF45DF6" w14:textId="77777777" w:rsidTr="00291AD1">
        <w:trPr>
          <w:cantSplit/>
        </w:trPr>
        <w:tc>
          <w:tcPr>
            <w:tcW w:w="2268" w:type="dxa"/>
            <w:vMerge/>
            <w:tcBorders>
              <w:left w:val="single" w:sz="4" w:space="0" w:color="auto"/>
              <w:bottom w:val="single" w:sz="4" w:space="0" w:color="auto"/>
              <w:right w:val="single" w:sz="4" w:space="0" w:color="auto"/>
            </w:tcBorders>
            <w:shd w:val="clear" w:color="auto" w:fill="auto"/>
          </w:tcPr>
          <w:p w14:paraId="6E937C4F" w14:textId="77777777" w:rsidR="00E677F5" w:rsidRPr="00E677F5" w:rsidRDefault="00E677F5" w:rsidP="00E7586B">
            <w:pPr>
              <w:keepNext/>
              <w:keepLines/>
              <w:rPr>
                <w:rFonts w:ascii="Arial Narrow" w:hAnsi="Arial Narrow"/>
                <w:b/>
                <w:sz w:val="20"/>
                <w:szCs w:val="20"/>
              </w:rPr>
            </w:pP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2B14E0F4" w14:textId="77777777" w:rsidR="00E677F5" w:rsidRPr="00E677F5" w:rsidRDefault="00E677F5" w:rsidP="00E7586B">
            <w:pPr>
              <w:keepNext/>
              <w:keepLines/>
              <w:rPr>
                <w:rFonts w:ascii="Arial Narrow" w:hAnsi="Arial Narrow"/>
                <w:sz w:val="20"/>
                <w:szCs w:val="20"/>
              </w:rPr>
            </w:pPr>
            <w:r w:rsidRPr="00E677F5">
              <w:rPr>
                <w:rFonts w:ascii="Arial Narrow" w:hAnsi="Arial Narrow"/>
                <w:sz w:val="20"/>
                <w:szCs w:val="20"/>
              </w:rPr>
              <w:t>Common</w:t>
            </w:r>
          </w:p>
        </w:tc>
        <w:tc>
          <w:tcPr>
            <w:tcW w:w="5040" w:type="dxa"/>
            <w:tcBorders>
              <w:top w:val="single" w:sz="4" w:space="0" w:color="auto"/>
              <w:left w:val="single" w:sz="4" w:space="0" w:color="auto"/>
              <w:bottom w:val="single" w:sz="4" w:space="0" w:color="auto"/>
              <w:right w:val="single" w:sz="4" w:space="0" w:color="auto"/>
            </w:tcBorders>
          </w:tcPr>
          <w:p w14:paraId="5B06CD07" w14:textId="77777777" w:rsidR="00E677F5" w:rsidRPr="00E677F5" w:rsidRDefault="00E677F5" w:rsidP="00E7586B">
            <w:pPr>
              <w:keepNext/>
              <w:keepLines/>
              <w:spacing w:before="100" w:beforeAutospacing="1" w:after="120"/>
              <w:rPr>
                <w:rFonts w:ascii="Arial Narrow" w:hAnsi="Arial Narrow"/>
                <w:sz w:val="20"/>
                <w:szCs w:val="20"/>
              </w:rPr>
            </w:pPr>
            <w:r w:rsidRPr="00E677F5">
              <w:rPr>
                <w:rFonts w:ascii="Arial Narrow" w:hAnsi="Arial Narrow"/>
                <w:sz w:val="20"/>
                <w:szCs w:val="20"/>
              </w:rPr>
              <w:t>Dizziness, Neuropathy peripheral</w:t>
            </w:r>
            <w:r w:rsidRPr="00E677F5">
              <w:rPr>
                <w:rFonts w:ascii="Arial Narrow" w:hAnsi="Arial Narrow"/>
                <w:sz w:val="20"/>
                <w:szCs w:val="20"/>
                <w:vertAlign w:val="superscript"/>
              </w:rPr>
              <w:t>2</w:t>
            </w:r>
            <w:r w:rsidRPr="00E677F5">
              <w:rPr>
                <w:rFonts w:ascii="Arial Narrow" w:hAnsi="Arial Narrow"/>
                <w:sz w:val="20"/>
                <w:szCs w:val="20"/>
              </w:rPr>
              <w:t>, Somnolence, Dysgeusia</w:t>
            </w:r>
          </w:p>
        </w:tc>
      </w:tr>
      <w:tr w:rsidR="00E677F5" w:rsidRPr="00E677F5" w14:paraId="178C5F71" w14:textId="77777777" w:rsidTr="00291AD1">
        <w:trPr>
          <w:cantSplit/>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6FC566BA" w14:textId="77777777" w:rsidR="00E677F5" w:rsidRPr="00E677F5" w:rsidRDefault="00E677F5" w:rsidP="00E7586B">
            <w:pPr>
              <w:keepNext/>
              <w:keepLines/>
              <w:rPr>
                <w:rFonts w:ascii="Arial Narrow" w:hAnsi="Arial Narrow"/>
                <w:b/>
                <w:sz w:val="20"/>
                <w:szCs w:val="20"/>
              </w:rPr>
            </w:pPr>
            <w:r w:rsidRPr="00E677F5">
              <w:rPr>
                <w:rFonts w:ascii="Arial Narrow" w:hAnsi="Arial Narrow"/>
                <w:b/>
                <w:sz w:val="20"/>
                <w:szCs w:val="20"/>
              </w:rPr>
              <w:t>Cardiac disorders</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0302EEE7" w14:textId="77777777" w:rsidR="00E677F5" w:rsidRPr="00E677F5" w:rsidRDefault="00E677F5" w:rsidP="00E7586B">
            <w:pPr>
              <w:keepNext/>
              <w:keepLines/>
              <w:rPr>
                <w:rFonts w:ascii="Arial Narrow" w:hAnsi="Arial Narrow"/>
                <w:sz w:val="20"/>
                <w:szCs w:val="20"/>
              </w:rPr>
            </w:pPr>
            <w:r w:rsidRPr="00E677F5">
              <w:rPr>
                <w:rFonts w:ascii="Arial Narrow" w:hAnsi="Arial Narrow"/>
                <w:sz w:val="20"/>
                <w:szCs w:val="20"/>
              </w:rPr>
              <w:t>Common</w:t>
            </w:r>
          </w:p>
        </w:tc>
        <w:tc>
          <w:tcPr>
            <w:tcW w:w="5040" w:type="dxa"/>
            <w:tcBorders>
              <w:top w:val="single" w:sz="4" w:space="0" w:color="auto"/>
              <w:left w:val="single" w:sz="4" w:space="0" w:color="auto"/>
              <w:bottom w:val="single" w:sz="4" w:space="0" w:color="auto"/>
              <w:right w:val="single" w:sz="4" w:space="0" w:color="auto"/>
            </w:tcBorders>
          </w:tcPr>
          <w:p w14:paraId="2293B4D0" w14:textId="38DCE059" w:rsidR="00E677F5" w:rsidRPr="00E677F5" w:rsidRDefault="00E677F5" w:rsidP="00E7586B">
            <w:pPr>
              <w:keepNext/>
              <w:keepLines/>
              <w:spacing w:before="100" w:beforeAutospacing="1" w:after="120"/>
              <w:rPr>
                <w:rFonts w:ascii="Arial Narrow" w:hAnsi="Arial Narrow"/>
                <w:sz w:val="20"/>
                <w:szCs w:val="20"/>
              </w:rPr>
            </w:pPr>
            <w:r w:rsidRPr="00E677F5">
              <w:rPr>
                <w:rFonts w:ascii="Arial Narrow" w:hAnsi="Arial Narrow"/>
                <w:sz w:val="20"/>
                <w:szCs w:val="20"/>
              </w:rPr>
              <w:t>Electrocardiogram QT prolonged</w:t>
            </w:r>
            <w:r w:rsidRPr="00E677F5">
              <w:rPr>
                <w:rFonts w:ascii="Arial Narrow" w:hAnsi="Arial Narrow"/>
                <w:sz w:val="20"/>
                <w:szCs w:val="20"/>
                <w:vertAlign w:val="superscript"/>
              </w:rPr>
              <w:t>3</w:t>
            </w:r>
            <w:r w:rsidRPr="00E677F5">
              <w:rPr>
                <w:rFonts w:ascii="Arial Narrow" w:hAnsi="Arial Narrow"/>
                <w:sz w:val="20"/>
                <w:szCs w:val="20"/>
              </w:rPr>
              <w:t xml:space="preserve"> (</w:t>
            </w:r>
            <w:r w:rsidR="0061437F" w:rsidRPr="00E677F5">
              <w:rPr>
                <w:rFonts w:ascii="Arial Narrow" w:hAnsi="Arial Narrow"/>
                <w:sz w:val="20"/>
                <w:szCs w:val="20"/>
              </w:rPr>
              <w:t xml:space="preserve">see </w:t>
            </w:r>
            <w:r w:rsidR="0061437F">
              <w:rPr>
                <w:rFonts w:ascii="Arial Narrow" w:hAnsi="Arial Narrow"/>
                <w:sz w:val="20"/>
                <w:szCs w:val="20"/>
              </w:rPr>
              <w:t xml:space="preserve">Section </w:t>
            </w:r>
            <w:r w:rsidR="0061437F" w:rsidRPr="0061437F">
              <w:rPr>
                <w:rFonts w:ascii="Arial Narrow" w:hAnsi="Arial Narrow"/>
                <w:sz w:val="20"/>
                <w:szCs w:val="20"/>
              </w:rPr>
              <w:t>4.4</w:t>
            </w:r>
            <w:r w:rsidR="0061437F">
              <w:rPr>
                <w:rFonts w:ascii="Arial Narrow" w:hAnsi="Arial Narrow"/>
                <w:sz w:val="20"/>
                <w:szCs w:val="20"/>
              </w:rPr>
              <w:t xml:space="preserve"> </w:t>
            </w:r>
            <w:r w:rsidR="0061437F" w:rsidRPr="0061437F">
              <w:rPr>
                <w:rFonts w:ascii="Arial Narrow" w:hAnsi="Arial Narrow"/>
                <w:sz w:val="20"/>
                <w:szCs w:val="20"/>
              </w:rPr>
              <w:t>SPECIAL WARNINGS AND PRECAUTIONS FOR USE</w:t>
            </w:r>
            <w:r w:rsidRPr="00E677F5">
              <w:rPr>
                <w:rFonts w:ascii="Arial Narrow" w:hAnsi="Arial Narrow"/>
                <w:sz w:val="20"/>
                <w:szCs w:val="20"/>
              </w:rPr>
              <w:t>)</w:t>
            </w:r>
          </w:p>
        </w:tc>
      </w:tr>
      <w:tr w:rsidR="00E677F5" w:rsidRPr="00E677F5" w14:paraId="63B5F6D4" w14:textId="77777777" w:rsidTr="00291AD1">
        <w:trPr>
          <w:cantSplit/>
        </w:trPr>
        <w:tc>
          <w:tcPr>
            <w:tcW w:w="2268" w:type="dxa"/>
            <w:vMerge w:val="restart"/>
            <w:tcBorders>
              <w:top w:val="single" w:sz="4" w:space="0" w:color="auto"/>
              <w:left w:val="single" w:sz="4" w:space="0" w:color="auto"/>
              <w:right w:val="single" w:sz="4" w:space="0" w:color="auto"/>
            </w:tcBorders>
            <w:shd w:val="clear" w:color="auto" w:fill="auto"/>
          </w:tcPr>
          <w:p w14:paraId="7F362E4A" w14:textId="77777777" w:rsidR="00E677F5" w:rsidRPr="00E677F5" w:rsidRDefault="00E677F5" w:rsidP="00E7586B">
            <w:pPr>
              <w:keepNext/>
              <w:keepLines/>
              <w:rPr>
                <w:rFonts w:ascii="Arial Narrow" w:hAnsi="Arial Narrow"/>
                <w:sz w:val="20"/>
                <w:szCs w:val="20"/>
              </w:rPr>
            </w:pPr>
            <w:r w:rsidRPr="00E677F5">
              <w:rPr>
                <w:rFonts w:ascii="Arial Narrow" w:hAnsi="Arial Narrow"/>
                <w:b/>
                <w:sz w:val="20"/>
                <w:szCs w:val="20"/>
              </w:rPr>
              <w:t>Gastrointestinal disorders</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5C9ACE95" w14:textId="77777777" w:rsidR="00E677F5" w:rsidRPr="00E677F5" w:rsidRDefault="00E677F5" w:rsidP="00E7586B">
            <w:pPr>
              <w:keepNext/>
              <w:keepLines/>
              <w:rPr>
                <w:rStyle w:val="CSI"/>
                <w:rFonts w:ascii="Arial Narrow" w:hAnsi="Arial Narrow"/>
                <w:sz w:val="20"/>
                <w:szCs w:val="20"/>
              </w:rPr>
            </w:pPr>
            <w:r w:rsidRPr="00E677F5">
              <w:rPr>
                <w:rFonts w:ascii="Arial Narrow" w:hAnsi="Arial Narrow"/>
                <w:sz w:val="20"/>
                <w:szCs w:val="20"/>
              </w:rPr>
              <w:t>Very common</w:t>
            </w:r>
          </w:p>
        </w:tc>
        <w:tc>
          <w:tcPr>
            <w:tcW w:w="5040" w:type="dxa"/>
            <w:tcBorders>
              <w:top w:val="single" w:sz="4" w:space="0" w:color="auto"/>
              <w:left w:val="single" w:sz="4" w:space="0" w:color="auto"/>
              <w:bottom w:val="single" w:sz="4" w:space="0" w:color="auto"/>
              <w:right w:val="single" w:sz="4" w:space="0" w:color="auto"/>
            </w:tcBorders>
          </w:tcPr>
          <w:p w14:paraId="39F41427" w14:textId="77777777" w:rsidR="00E677F5" w:rsidRPr="00E677F5" w:rsidRDefault="00E677F5" w:rsidP="00E7586B">
            <w:pPr>
              <w:keepNext/>
              <w:keepLines/>
              <w:spacing w:before="100" w:beforeAutospacing="1" w:after="120"/>
              <w:rPr>
                <w:rFonts w:ascii="Arial Narrow" w:hAnsi="Arial Narrow"/>
                <w:sz w:val="20"/>
                <w:szCs w:val="20"/>
              </w:rPr>
            </w:pPr>
            <w:r w:rsidRPr="00E677F5">
              <w:rPr>
                <w:rFonts w:ascii="Arial Narrow" w:hAnsi="Arial Narrow"/>
                <w:sz w:val="20"/>
                <w:szCs w:val="20"/>
              </w:rPr>
              <w:t>Diarrhoea, Nausea, Abdominal pain</w:t>
            </w:r>
            <w:r w:rsidRPr="00E677F5">
              <w:rPr>
                <w:rFonts w:ascii="Arial Narrow" w:hAnsi="Arial Narrow"/>
                <w:sz w:val="20"/>
                <w:szCs w:val="20"/>
                <w:vertAlign w:val="superscript"/>
              </w:rPr>
              <w:t>4</w:t>
            </w:r>
            <w:r w:rsidRPr="00E677F5">
              <w:rPr>
                <w:rFonts w:ascii="Arial Narrow" w:hAnsi="Arial Narrow"/>
                <w:sz w:val="20"/>
                <w:szCs w:val="20"/>
              </w:rPr>
              <w:t>, Vomiting</w:t>
            </w:r>
          </w:p>
        </w:tc>
      </w:tr>
      <w:tr w:rsidR="00E677F5" w:rsidRPr="00E677F5" w14:paraId="78063563" w14:textId="77777777" w:rsidTr="00291AD1">
        <w:trPr>
          <w:cantSplit/>
        </w:trPr>
        <w:tc>
          <w:tcPr>
            <w:tcW w:w="2268" w:type="dxa"/>
            <w:vMerge/>
            <w:tcBorders>
              <w:left w:val="single" w:sz="4" w:space="0" w:color="auto"/>
              <w:right w:val="single" w:sz="4" w:space="0" w:color="auto"/>
            </w:tcBorders>
            <w:shd w:val="clear" w:color="auto" w:fill="auto"/>
          </w:tcPr>
          <w:p w14:paraId="56CB1AFA" w14:textId="77777777" w:rsidR="00E677F5" w:rsidRPr="00E677F5" w:rsidRDefault="00E677F5" w:rsidP="00E7586B">
            <w:pPr>
              <w:keepNext/>
              <w:keepLines/>
              <w:rPr>
                <w:rFonts w:ascii="Arial Narrow" w:hAnsi="Arial Narrow"/>
                <w:sz w:val="20"/>
                <w:szCs w:val="20"/>
              </w:rPr>
            </w:pP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48D6BB3E" w14:textId="77777777" w:rsidR="00E677F5" w:rsidRPr="00E677F5" w:rsidRDefault="00E677F5" w:rsidP="00E7586B">
            <w:pPr>
              <w:keepNext/>
              <w:keepLines/>
              <w:rPr>
                <w:rStyle w:val="CSI"/>
                <w:rFonts w:ascii="Arial Narrow" w:hAnsi="Arial Narrow"/>
                <w:sz w:val="20"/>
                <w:szCs w:val="20"/>
              </w:rPr>
            </w:pPr>
            <w:r w:rsidRPr="00E677F5">
              <w:rPr>
                <w:rFonts w:ascii="Arial Narrow" w:hAnsi="Arial Narrow"/>
                <w:sz w:val="20"/>
                <w:szCs w:val="20"/>
              </w:rPr>
              <w:t>Common</w:t>
            </w:r>
          </w:p>
        </w:tc>
        <w:tc>
          <w:tcPr>
            <w:tcW w:w="5040" w:type="dxa"/>
            <w:tcBorders>
              <w:top w:val="single" w:sz="4" w:space="0" w:color="auto"/>
              <w:left w:val="single" w:sz="4" w:space="0" w:color="auto"/>
              <w:bottom w:val="single" w:sz="4" w:space="0" w:color="auto"/>
              <w:right w:val="single" w:sz="4" w:space="0" w:color="auto"/>
            </w:tcBorders>
          </w:tcPr>
          <w:p w14:paraId="70DA0BDE" w14:textId="77777777" w:rsidR="00E677F5" w:rsidRPr="00E677F5" w:rsidRDefault="00E677F5" w:rsidP="00E7586B">
            <w:pPr>
              <w:keepNext/>
              <w:keepLines/>
              <w:spacing w:before="100" w:beforeAutospacing="1" w:after="120"/>
              <w:rPr>
                <w:rFonts w:ascii="Arial Narrow" w:hAnsi="Arial Narrow"/>
                <w:sz w:val="20"/>
                <w:szCs w:val="20"/>
              </w:rPr>
            </w:pPr>
            <w:r w:rsidRPr="00E677F5">
              <w:rPr>
                <w:rFonts w:ascii="Arial Narrow" w:hAnsi="Arial Narrow"/>
                <w:sz w:val="20"/>
                <w:szCs w:val="20"/>
              </w:rPr>
              <w:t>Dyspepsia</w:t>
            </w:r>
          </w:p>
        </w:tc>
      </w:tr>
      <w:tr w:rsidR="00E677F5" w:rsidRPr="00E677F5" w14:paraId="709B15E7" w14:textId="77777777" w:rsidTr="00291AD1">
        <w:trPr>
          <w:cantSplit/>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213B0CFB" w14:textId="77777777" w:rsidR="00E677F5" w:rsidRPr="00E677F5" w:rsidRDefault="00E677F5" w:rsidP="00E7586B">
            <w:pPr>
              <w:keepNext/>
              <w:keepLines/>
              <w:rPr>
                <w:rFonts w:ascii="Arial Narrow" w:hAnsi="Arial Narrow"/>
                <w:b/>
                <w:sz w:val="20"/>
                <w:szCs w:val="20"/>
              </w:rPr>
            </w:pPr>
            <w:r w:rsidRPr="00E677F5">
              <w:rPr>
                <w:rFonts w:ascii="Arial Narrow" w:hAnsi="Arial Narrow"/>
                <w:b/>
                <w:sz w:val="20"/>
                <w:szCs w:val="20"/>
              </w:rPr>
              <w:t>Hepatobiliary disorders</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716DAFF4" w14:textId="77777777" w:rsidR="00E677F5" w:rsidRPr="00E677F5" w:rsidRDefault="00E677F5" w:rsidP="00E7586B">
            <w:pPr>
              <w:keepNext/>
              <w:keepLines/>
              <w:rPr>
                <w:rFonts w:ascii="Arial Narrow" w:hAnsi="Arial Narrow"/>
                <w:sz w:val="20"/>
                <w:szCs w:val="20"/>
              </w:rPr>
            </w:pPr>
            <w:r w:rsidRPr="00E677F5">
              <w:rPr>
                <w:rFonts w:ascii="Arial Narrow" w:hAnsi="Arial Narrow"/>
                <w:sz w:val="20"/>
                <w:szCs w:val="20"/>
              </w:rPr>
              <w:t>Common</w:t>
            </w:r>
          </w:p>
        </w:tc>
        <w:tc>
          <w:tcPr>
            <w:tcW w:w="5040" w:type="dxa"/>
            <w:tcBorders>
              <w:top w:val="single" w:sz="4" w:space="0" w:color="auto"/>
              <w:left w:val="single" w:sz="4" w:space="0" w:color="auto"/>
              <w:bottom w:val="single" w:sz="4" w:space="0" w:color="auto"/>
              <w:right w:val="single" w:sz="4" w:space="0" w:color="auto"/>
            </w:tcBorders>
          </w:tcPr>
          <w:p w14:paraId="18041B61" w14:textId="77777777" w:rsidR="00E677F5" w:rsidRPr="00E677F5" w:rsidRDefault="00E677F5" w:rsidP="00E7586B">
            <w:pPr>
              <w:keepNext/>
              <w:keepLines/>
              <w:spacing w:before="100" w:beforeAutospacing="1" w:after="120"/>
              <w:rPr>
                <w:rFonts w:ascii="Arial Narrow" w:hAnsi="Arial Narrow"/>
                <w:sz w:val="20"/>
                <w:szCs w:val="20"/>
              </w:rPr>
            </w:pPr>
            <w:r w:rsidRPr="00E677F5">
              <w:rPr>
                <w:rFonts w:ascii="Arial Narrow" w:hAnsi="Arial Narrow"/>
                <w:sz w:val="20"/>
                <w:szCs w:val="20"/>
              </w:rPr>
              <w:t>Transaminases increased</w:t>
            </w:r>
            <w:r w:rsidRPr="00E677F5">
              <w:rPr>
                <w:rFonts w:ascii="Arial Narrow" w:hAnsi="Arial Narrow"/>
                <w:sz w:val="20"/>
                <w:szCs w:val="20"/>
                <w:vertAlign w:val="superscript"/>
              </w:rPr>
              <w:t>5,6</w:t>
            </w:r>
          </w:p>
        </w:tc>
      </w:tr>
      <w:tr w:rsidR="00E677F5" w:rsidRPr="00E677F5" w14:paraId="4CFEBE10" w14:textId="77777777" w:rsidTr="00291AD1">
        <w:trPr>
          <w:cantSplit/>
        </w:trPr>
        <w:tc>
          <w:tcPr>
            <w:tcW w:w="2268" w:type="dxa"/>
            <w:vMerge w:val="restart"/>
            <w:tcBorders>
              <w:top w:val="single" w:sz="4" w:space="0" w:color="auto"/>
              <w:left w:val="single" w:sz="4" w:space="0" w:color="auto"/>
              <w:right w:val="single" w:sz="4" w:space="0" w:color="auto"/>
            </w:tcBorders>
            <w:shd w:val="clear" w:color="auto" w:fill="auto"/>
          </w:tcPr>
          <w:p w14:paraId="08A42B91" w14:textId="77777777" w:rsidR="00E677F5" w:rsidRPr="00E677F5" w:rsidRDefault="00E677F5" w:rsidP="00E7586B">
            <w:pPr>
              <w:keepNext/>
              <w:keepLines/>
              <w:rPr>
                <w:rFonts w:ascii="Arial Narrow" w:hAnsi="Arial Narrow"/>
                <w:sz w:val="20"/>
                <w:szCs w:val="20"/>
              </w:rPr>
            </w:pPr>
            <w:r w:rsidRPr="00E677F5">
              <w:rPr>
                <w:rFonts w:ascii="Arial Narrow" w:hAnsi="Arial Narrow"/>
                <w:b/>
                <w:sz w:val="20"/>
                <w:szCs w:val="20"/>
              </w:rPr>
              <w:t>Skin and subcutaneous tissue disorders</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1D281BD7" w14:textId="77777777" w:rsidR="00E677F5" w:rsidRPr="00E677F5" w:rsidRDefault="00E677F5" w:rsidP="00E7586B">
            <w:pPr>
              <w:keepNext/>
              <w:keepLines/>
              <w:rPr>
                <w:rStyle w:val="CSI"/>
                <w:rFonts w:ascii="Arial Narrow" w:hAnsi="Arial Narrow"/>
                <w:sz w:val="20"/>
                <w:szCs w:val="20"/>
              </w:rPr>
            </w:pPr>
            <w:r w:rsidRPr="00E677F5">
              <w:rPr>
                <w:rFonts w:ascii="Arial Narrow" w:hAnsi="Arial Narrow"/>
                <w:sz w:val="20"/>
                <w:szCs w:val="20"/>
              </w:rPr>
              <w:t>Very common</w:t>
            </w:r>
          </w:p>
        </w:tc>
        <w:tc>
          <w:tcPr>
            <w:tcW w:w="5040" w:type="dxa"/>
            <w:tcBorders>
              <w:top w:val="single" w:sz="4" w:space="0" w:color="auto"/>
              <w:left w:val="single" w:sz="4" w:space="0" w:color="auto"/>
              <w:bottom w:val="single" w:sz="4" w:space="0" w:color="auto"/>
              <w:right w:val="single" w:sz="4" w:space="0" w:color="auto"/>
            </w:tcBorders>
          </w:tcPr>
          <w:p w14:paraId="26C0C97E" w14:textId="77777777" w:rsidR="00E677F5" w:rsidRPr="00E677F5" w:rsidRDefault="00E677F5" w:rsidP="00E7586B">
            <w:pPr>
              <w:keepNext/>
              <w:keepLines/>
              <w:spacing w:before="100" w:beforeAutospacing="1" w:after="120"/>
              <w:rPr>
                <w:rFonts w:ascii="Arial Narrow" w:hAnsi="Arial Narrow"/>
                <w:sz w:val="20"/>
                <w:szCs w:val="20"/>
              </w:rPr>
            </w:pPr>
            <w:r w:rsidRPr="00E677F5">
              <w:rPr>
                <w:rFonts w:ascii="Arial Narrow" w:hAnsi="Arial Narrow"/>
                <w:sz w:val="20"/>
                <w:szCs w:val="20"/>
              </w:rPr>
              <w:t>Rash</w:t>
            </w:r>
            <w:r w:rsidRPr="00E677F5">
              <w:rPr>
                <w:rFonts w:ascii="Arial Narrow" w:hAnsi="Arial Narrow"/>
                <w:sz w:val="20"/>
                <w:szCs w:val="20"/>
                <w:vertAlign w:val="superscript"/>
              </w:rPr>
              <w:t>7</w:t>
            </w:r>
          </w:p>
        </w:tc>
      </w:tr>
      <w:tr w:rsidR="00E677F5" w:rsidRPr="00E677F5" w14:paraId="34921F7B" w14:textId="77777777" w:rsidTr="00291AD1">
        <w:trPr>
          <w:cantSplit/>
        </w:trPr>
        <w:tc>
          <w:tcPr>
            <w:tcW w:w="2268" w:type="dxa"/>
            <w:vMerge/>
            <w:tcBorders>
              <w:left w:val="single" w:sz="4" w:space="0" w:color="auto"/>
              <w:right w:val="single" w:sz="4" w:space="0" w:color="auto"/>
            </w:tcBorders>
            <w:shd w:val="clear" w:color="auto" w:fill="auto"/>
          </w:tcPr>
          <w:p w14:paraId="63CE5D1A" w14:textId="77777777" w:rsidR="00E677F5" w:rsidRPr="00E677F5" w:rsidRDefault="00E677F5" w:rsidP="00E7586B">
            <w:pPr>
              <w:keepNext/>
              <w:keepLines/>
              <w:rPr>
                <w:rFonts w:ascii="Arial Narrow" w:hAnsi="Arial Narrow"/>
                <w:b/>
                <w:sz w:val="20"/>
                <w:szCs w:val="20"/>
              </w:rPr>
            </w:pP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7ED6A0DB" w14:textId="77777777" w:rsidR="00E677F5" w:rsidRPr="00E677F5" w:rsidRDefault="00E677F5" w:rsidP="00E7586B">
            <w:pPr>
              <w:keepNext/>
              <w:keepLines/>
              <w:rPr>
                <w:rStyle w:val="CSI"/>
                <w:rFonts w:ascii="Arial Narrow" w:hAnsi="Arial Narrow"/>
                <w:sz w:val="20"/>
                <w:szCs w:val="20"/>
              </w:rPr>
            </w:pPr>
            <w:r w:rsidRPr="00E677F5">
              <w:rPr>
                <w:rFonts w:ascii="Arial Narrow" w:hAnsi="Arial Narrow"/>
                <w:sz w:val="20"/>
                <w:szCs w:val="20"/>
              </w:rPr>
              <w:t>Common</w:t>
            </w:r>
          </w:p>
        </w:tc>
        <w:tc>
          <w:tcPr>
            <w:tcW w:w="5040" w:type="dxa"/>
            <w:tcBorders>
              <w:top w:val="single" w:sz="4" w:space="0" w:color="auto"/>
              <w:left w:val="single" w:sz="4" w:space="0" w:color="auto"/>
              <w:bottom w:val="single" w:sz="4" w:space="0" w:color="auto"/>
              <w:right w:val="single" w:sz="4" w:space="0" w:color="auto"/>
            </w:tcBorders>
          </w:tcPr>
          <w:p w14:paraId="0AE5FFC7" w14:textId="77777777" w:rsidR="00E677F5" w:rsidRPr="00E677F5" w:rsidRDefault="00E677F5" w:rsidP="00E7586B">
            <w:pPr>
              <w:keepNext/>
              <w:keepLines/>
              <w:spacing w:before="100" w:beforeAutospacing="1" w:after="120"/>
              <w:rPr>
                <w:rFonts w:ascii="Arial Narrow" w:hAnsi="Arial Narrow"/>
                <w:sz w:val="20"/>
                <w:szCs w:val="20"/>
              </w:rPr>
            </w:pPr>
            <w:r w:rsidRPr="00E677F5">
              <w:rPr>
                <w:rFonts w:ascii="Arial Narrow" w:hAnsi="Arial Narrow"/>
                <w:sz w:val="20"/>
                <w:szCs w:val="20"/>
              </w:rPr>
              <w:t>Pruritus</w:t>
            </w:r>
            <w:r w:rsidRPr="00E677F5">
              <w:rPr>
                <w:rFonts w:ascii="Arial Narrow" w:hAnsi="Arial Narrow"/>
                <w:sz w:val="20"/>
                <w:szCs w:val="20"/>
                <w:vertAlign w:val="superscript"/>
              </w:rPr>
              <w:t>8</w:t>
            </w:r>
          </w:p>
        </w:tc>
      </w:tr>
      <w:tr w:rsidR="00E677F5" w:rsidRPr="00E677F5" w14:paraId="174688C7" w14:textId="77777777" w:rsidTr="00291AD1">
        <w:trPr>
          <w:cantSplit/>
        </w:trPr>
        <w:tc>
          <w:tcPr>
            <w:tcW w:w="2268" w:type="dxa"/>
            <w:tcBorders>
              <w:top w:val="single" w:sz="4" w:space="0" w:color="auto"/>
              <w:left w:val="single" w:sz="4" w:space="0" w:color="auto"/>
              <w:right w:val="single" w:sz="4" w:space="0" w:color="auto"/>
            </w:tcBorders>
            <w:shd w:val="clear" w:color="auto" w:fill="auto"/>
          </w:tcPr>
          <w:p w14:paraId="64CE6F46" w14:textId="77777777" w:rsidR="00E677F5" w:rsidRPr="00E677F5" w:rsidRDefault="00E677F5" w:rsidP="00E7586B">
            <w:pPr>
              <w:keepNext/>
              <w:keepLines/>
              <w:rPr>
                <w:rFonts w:ascii="Arial Narrow" w:hAnsi="Arial Narrow"/>
                <w:b/>
                <w:sz w:val="20"/>
                <w:szCs w:val="20"/>
              </w:rPr>
            </w:pPr>
            <w:r w:rsidRPr="00E677F5">
              <w:rPr>
                <w:rFonts w:ascii="Arial Narrow" w:hAnsi="Arial Narrow"/>
                <w:b/>
                <w:snapToGrid w:val="0"/>
                <w:sz w:val="20"/>
                <w:szCs w:val="20"/>
              </w:rPr>
              <w:t>Musculoskeletal and connective tissue disorders</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5E8FB61B" w14:textId="77777777" w:rsidR="00E677F5" w:rsidRPr="00E677F5" w:rsidRDefault="00E677F5" w:rsidP="00E7586B">
            <w:pPr>
              <w:keepNext/>
              <w:keepLines/>
              <w:rPr>
                <w:rFonts w:ascii="Arial Narrow" w:hAnsi="Arial Narrow"/>
                <w:sz w:val="20"/>
                <w:szCs w:val="20"/>
              </w:rPr>
            </w:pPr>
            <w:r w:rsidRPr="00E677F5">
              <w:rPr>
                <w:rFonts w:ascii="Arial Narrow" w:hAnsi="Arial Narrow"/>
                <w:sz w:val="20"/>
                <w:szCs w:val="20"/>
              </w:rPr>
              <w:t>Common</w:t>
            </w:r>
          </w:p>
        </w:tc>
        <w:tc>
          <w:tcPr>
            <w:tcW w:w="5040" w:type="dxa"/>
            <w:tcBorders>
              <w:top w:val="single" w:sz="4" w:space="0" w:color="auto"/>
              <w:left w:val="single" w:sz="4" w:space="0" w:color="auto"/>
              <w:bottom w:val="single" w:sz="4" w:space="0" w:color="auto"/>
              <w:right w:val="single" w:sz="4" w:space="0" w:color="auto"/>
            </w:tcBorders>
          </w:tcPr>
          <w:p w14:paraId="4A4A164E" w14:textId="77777777" w:rsidR="00E677F5" w:rsidRPr="00E677F5" w:rsidRDefault="00E677F5" w:rsidP="00E7586B">
            <w:pPr>
              <w:keepNext/>
              <w:keepLines/>
              <w:spacing w:before="100" w:beforeAutospacing="1" w:after="120"/>
              <w:rPr>
                <w:rFonts w:ascii="Arial Narrow" w:hAnsi="Arial Narrow"/>
                <w:sz w:val="20"/>
                <w:szCs w:val="20"/>
              </w:rPr>
            </w:pPr>
            <w:r w:rsidRPr="00E677F5">
              <w:rPr>
                <w:rFonts w:ascii="Arial Narrow" w:hAnsi="Arial Narrow"/>
                <w:sz w:val="20"/>
                <w:szCs w:val="20"/>
              </w:rPr>
              <w:t>Myalgia</w:t>
            </w:r>
          </w:p>
        </w:tc>
      </w:tr>
      <w:tr w:rsidR="00E677F5" w:rsidRPr="00E677F5" w14:paraId="0ADA5164" w14:textId="77777777" w:rsidTr="00291AD1">
        <w:trPr>
          <w:cantSplit/>
        </w:trPr>
        <w:tc>
          <w:tcPr>
            <w:tcW w:w="2268" w:type="dxa"/>
            <w:tcBorders>
              <w:top w:val="single" w:sz="4" w:space="0" w:color="auto"/>
              <w:left w:val="single" w:sz="4" w:space="0" w:color="auto"/>
              <w:right w:val="single" w:sz="4" w:space="0" w:color="auto"/>
            </w:tcBorders>
            <w:shd w:val="clear" w:color="auto" w:fill="auto"/>
          </w:tcPr>
          <w:p w14:paraId="07F9F6FD" w14:textId="77777777" w:rsidR="00E677F5" w:rsidRPr="00E677F5" w:rsidRDefault="00E677F5" w:rsidP="00E7586B">
            <w:pPr>
              <w:keepNext/>
              <w:keepLines/>
              <w:rPr>
                <w:rFonts w:ascii="Arial Narrow" w:hAnsi="Arial Narrow"/>
                <w:sz w:val="20"/>
                <w:szCs w:val="20"/>
              </w:rPr>
            </w:pPr>
            <w:r w:rsidRPr="00E677F5">
              <w:rPr>
                <w:rFonts w:ascii="Arial Narrow" w:hAnsi="Arial Narrow"/>
                <w:b/>
                <w:sz w:val="20"/>
                <w:szCs w:val="20"/>
              </w:rPr>
              <w:t>General disorders and administration site conditions</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1B850055" w14:textId="77777777" w:rsidR="00E677F5" w:rsidRPr="00E677F5" w:rsidRDefault="00E677F5" w:rsidP="00E7586B">
            <w:pPr>
              <w:keepNext/>
              <w:keepLines/>
              <w:rPr>
                <w:rStyle w:val="CSI"/>
                <w:rFonts w:ascii="Arial Narrow" w:hAnsi="Arial Narrow"/>
                <w:sz w:val="20"/>
                <w:szCs w:val="20"/>
              </w:rPr>
            </w:pPr>
            <w:r w:rsidRPr="00E677F5">
              <w:rPr>
                <w:rFonts w:ascii="Arial Narrow" w:hAnsi="Arial Narrow"/>
                <w:sz w:val="20"/>
                <w:szCs w:val="20"/>
              </w:rPr>
              <w:t>Common</w:t>
            </w:r>
          </w:p>
        </w:tc>
        <w:tc>
          <w:tcPr>
            <w:tcW w:w="5040" w:type="dxa"/>
            <w:tcBorders>
              <w:top w:val="single" w:sz="4" w:space="0" w:color="auto"/>
              <w:left w:val="single" w:sz="4" w:space="0" w:color="auto"/>
              <w:bottom w:val="single" w:sz="4" w:space="0" w:color="auto"/>
              <w:right w:val="single" w:sz="4" w:space="0" w:color="auto"/>
            </w:tcBorders>
          </w:tcPr>
          <w:p w14:paraId="586A8E1A" w14:textId="77777777" w:rsidR="00E677F5" w:rsidRPr="00E677F5" w:rsidRDefault="00E677F5" w:rsidP="00E7586B">
            <w:pPr>
              <w:keepNext/>
              <w:keepLines/>
              <w:spacing w:before="100" w:beforeAutospacing="1" w:after="120"/>
              <w:rPr>
                <w:rFonts w:ascii="Arial Narrow" w:hAnsi="Arial Narrow"/>
                <w:sz w:val="20"/>
                <w:szCs w:val="20"/>
              </w:rPr>
            </w:pPr>
            <w:r w:rsidRPr="00E677F5">
              <w:rPr>
                <w:rFonts w:ascii="Arial Narrow" w:hAnsi="Arial Narrow"/>
                <w:sz w:val="20"/>
                <w:szCs w:val="20"/>
              </w:rPr>
              <w:t>Fatigue, Asthenia</w:t>
            </w:r>
          </w:p>
        </w:tc>
      </w:tr>
      <w:tr w:rsidR="00E677F5" w:rsidRPr="00E677F5" w14:paraId="21DB6EFB" w14:textId="77777777" w:rsidTr="00291AD1">
        <w:trPr>
          <w:cantSplit/>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747129EA" w14:textId="77777777" w:rsidR="00E677F5" w:rsidRPr="00E677F5" w:rsidRDefault="00E677F5" w:rsidP="00E7586B">
            <w:pPr>
              <w:keepNext/>
              <w:keepLines/>
              <w:rPr>
                <w:rFonts w:ascii="Arial Narrow" w:hAnsi="Arial Narrow"/>
                <w:b/>
                <w:sz w:val="20"/>
                <w:szCs w:val="20"/>
              </w:rPr>
            </w:pPr>
            <w:r w:rsidRPr="00E677F5">
              <w:rPr>
                <w:rFonts w:ascii="Arial Narrow" w:hAnsi="Arial Narrow"/>
                <w:b/>
                <w:sz w:val="20"/>
                <w:szCs w:val="20"/>
              </w:rPr>
              <w:t>Investigations</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3461E5E0" w14:textId="77777777" w:rsidR="00E677F5" w:rsidRPr="00E677F5" w:rsidRDefault="00E677F5" w:rsidP="00E7586B">
            <w:pPr>
              <w:keepNext/>
              <w:keepLines/>
              <w:rPr>
                <w:rFonts w:ascii="Arial Narrow" w:hAnsi="Arial Narrow"/>
                <w:sz w:val="20"/>
                <w:szCs w:val="20"/>
              </w:rPr>
            </w:pPr>
            <w:r w:rsidRPr="00E677F5">
              <w:rPr>
                <w:rFonts w:ascii="Arial Narrow" w:hAnsi="Arial Narrow"/>
                <w:sz w:val="20"/>
                <w:szCs w:val="20"/>
              </w:rPr>
              <w:t>Common</w:t>
            </w:r>
          </w:p>
        </w:tc>
        <w:tc>
          <w:tcPr>
            <w:tcW w:w="5040" w:type="dxa"/>
            <w:tcBorders>
              <w:top w:val="single" w:sz="4" w:space="0" w:color="auto"/>
              <w:left w:val="single" w:sz="4" w:space="0" w:color="auto"/>
              <w:bottom w:val="single" w:sz="4" w:space="0" w:color="auto"/>
              <w:right w:val="single" w:sz="4" w:space="0" w:color="auto"/>
            </w:tcBorders>
          </w:tcPr>
          <w:p w14:paraId="2ABCA38F" w14:textId="77777777" w:rsidR="00E677F5" w:rsidRPr="00E677F5" w:rsidRDefault="00E677F5" w:rsidP="00E7586B">
            <w:pPr>
              <w:keepNext/>
              <w:keepLines/>
              <w:spacing w:before="100" w:beforeAutospacing="1" w:after="120"/>
              <w:rPr>
                <w:rFonts w:ascii="Arial Narrow" w:hAnsi="Arial Narrow"/>
                <w:sz w:val="20"/>
                <w:szCs w:val="20"/>
              </w:rPr>
            </w:pPr>
            <w:r w:rsidRPr="00E677F5">
              <w:rPr>
                <w:rFonts w:ascii="Arial Narrow" w:hAnsi="Arial Narrow"/>
                <w:sz w:val="20"/>
                <w:szCs w:val="20"/>
              </w:rPr>
              <w:t>Blood creatinine increased</w:t>
            </w:r>
            <w:r w:rsidRPr="00E677F5">
              <w:rPr>
                <w:rFonts w:ascii="Arial Narrow" w:hAnsi="Arial Narrow"/>
                <w:sz w:val="20"/>
                <w:szCs w:val="20"/>
                <w:vertAlign w:val="superscript"/>
              </w:rPr>
              <w:t>6</w:t>
            </w:r>
            <w:r w:rsidRPr="00E677F5">
              <w:rPr>
                <w:rFonts w:ascii="Arial Narrow" w:hAnsi="Arial Narrow"/>
                <w:sz w:val="20"/>
                <w:szCs w:val="20"/>
              </w:rPr>
              <w:t>, Blood creatine phosphokinase increased</w:t>
            </w:r>
            <w:r w:rsidRPr="00E677F5">
              <w:rPr>
                <w:rFonts w:ascii="Arial Narrow" w:hAnsi="Arial Narrow"/>
                <w:sz w:val="20"/>
                <w:szCs w:val="20"/>
                <w:vertAlign w:val="superscript"/>
              </w:rPr>
              <w:t>6</w:t>
            </w:r>
          </w:p>
        </w:tc>
      </w:tr>
    </w:tbl>
    <w:p w14:paraId="7A3D5857" w14:textId="77777777" w:rsidR="00E677F5" w:rsidRPr="00B2206F" w:rsidRDefault="00E677F5" w:rsidP="00E7586B">
      <w:pPr>
        <w:keepNext/>
        <w:keepLines/>
        <w:spacing w:after="0"/>
        <w:rPr>
          <w:rFonts w:ascii="Arial Narrow" w:hAnsi="Arial Narrow"/>
          <w:sz w:val="20"/>
          <w:szCs w:val="20"/>
          <w:lang w:eastAsia="zh-CN"/>
        </w:rPr>
      </w:pPr>
      <w:bookmarkStart w:id="20" w:name="_Hlk83643607"/>
      <w:r w:rsidRPr="00B2206F">
        <w:rPr>
          <w:rFonts w:ascii="Arial Narrow" w:hAnsi="Arial Narrow"/>
          <w:sz w:val="20"/>
          <w:szCs w:val="20"/>
          <w:vertAlign w:val="superscript"/>
          <w:lang w:eastAsia="zh-CN"/>
        </w:rPr>
        <w:t>1</w:t>
      </w:r>
      <w:r w:rsidRPr="00B2206F">
        <w:rPr>
          <w:rFonts w:ascii="Arial Narrow" w:hAnsi="Arial Narrow"/>
          <w:sz w:val="20"/>
          <w:szCs w:val="20"/>
          <w:lang w:eastAsia="zh-CN"/>
        </w:rPr>
        <w:t xml:space="preserve">Includes </w:t>
      </w:r>
      <w:r w:rsidRPr="00E677F5">
        <w:rPr>
          <w:rFonts w:ascii="Arial Narrow" w:hAnsi="Arial Narrow"/>
          <w:sz w:val="20"/>
          <w:szCs w:val="20"/>
          <w:lang w:eastAsia="zh-CN"/>
        </w:rPr>
        <w:t>Central Nervous System Immune Reconstitution Inflammatory Response and Immune Reconstitution Inflammatory Syndrome.</w:t>
      </w:r>
    </w:p>
    <w:p w14:paraId="1E72F48C" w14:textId="77777777" w:rsidR="00E677F5" w:rsidRPr="00B2206F" w:rsidRDefault="00E677F5" w:rsidP="00E7586B">
      <w:pPr>
        <w:keepNext/>
        <w:keepLines/>
        <w:spacing w:after="0"/>
        <w:rPr>
          <w:rFonts w:ascii="Arial Narrow" w:hAnsi="Arial Narrow"/>
          <w:sz w:val="20"/>
          <w:szCs w:val="20"/>
          <w:lang w:eastAsia="zh-CN"/>
        </w:rPr>
      </w:pPr>
      <w:r w:rsidRPr="00B2206F">
        <w:rPr>
          <w:rFonts w:ascii="Arial Narrow" w:hAnsi="Arial Narrow"/>
          <w:sz w:val="20"/>
          <w:szCs w:val="20"/>
          <w:vertAlign w:val="superscript"/>
          <w:lang w:eastAsia="zh-CN"/>
        </w:rPr>
        <w:t>2</w:t>
      </w:r>
      <w:r w:rsidRPr="00B2206F">
        <w:rPr>
          <w:rFonts w:ascii="Arial Narrow" w:hAnsi="Arial Narrow"/>
          <w:sz w:val="20"/>
          <w:szCs w:val="20"/>
          <w:lang w:eastAsia="zh-CN"/>
        </w:rPr>
        <w:t>Includes neuropathy peripheral and peripheral sensory neuropathy.</w:t>
      </w:r>
    </w:p>
    <w:p w14:paraId="3B1C6AEA" w14:textId="77777777" w:rsidR="00E677F5" w:rsidRPr="00E677F5" w:rsidRDefault="00E677F5" w:rsidP="00E7586B">
      <w:pPr>
        <w:keepNext/>
        <w:keepLines/>
        <w:spacing w:after="0"/>
        <w:rPr>
          <w:rFonts w:ascii="Arial Narrow" w:hAnsi="Arial Narrow"/>
          <w:sz w:val="20"/>
          <w:szCs w:val="20"/>
          <w:lang w:eastAsia="zh-CN"/>
        </w:rPr>
      </w:pPr>
      <w:r w:rsidRPr="00B2206F">
        <w:rPr>
          <w:rFonts w:ascii="Arial Narrow" w:hAnsi="Arial Narrow"/>
          <w:sz w:val="20"/>
          <w:szCs w:val="20"/>
          <w:vertAlign w:val="superscript"/>
          <w:lang w:eastAsia="zh-CN"/>
        </w:rPr>
        <w:t>3</w:t>
      </w:r>
      <w:r w:rsidRPr="00E677F5">
        <w:rPr>
          <w:rFonts w:ascii="Arial Narrow" w:hAnsi="Arial Narrow"/>
          <w:sz w:val="20"/>
          <w:szCs w:val="20"/>
          <w:lang w:eastAsia="zh-CN"/>
        </w:rPr>
        <w:t>Based on number of subjects who met QTc discontinuation criteria; all reports were asymptomatic.</w:t>
      </w:r>
    </w:p>
    <w:p w14:paraId="4C3E547F" w14:textId="77777777" w:rsidR="00E677F5" w:rsidRPr="00E677F5" w:rsidRDefault="00E677F5" w:rsidP="00E7586B">
      <w:pPr>
        <w:keepNext/>
        <w:keepLines/>
        <w:spacing w:after="0"/>
        <w:rPr>
          <w:rFonts w:ascii="Arial Narrow" w:hAnsi="Arial Narrow"/>
          <w:sz w:val="20"/>
          <w:szCs w:val="20"/>
          <w:lang w:eastAsia="zh-CN"/>
        </w:rPr>
      </w:pPr>
      <w:r w:rsidRPr="00B2206F">
        <w:rPr>
          <w:rFonts w:ascii="Arial Narrow" w:hAnsi="Arial Narrow"/>
          <w:sz w:val="20"/>
          <w:szCs w:val="20"/>
          <w:vertAlign w:val="superscript"/>
          <w:lang w:eastAsia="zh-CN"/>
        </w:rPr>
        <w:t>4</w:t>
      </w:r>
      <w:r w:rsidRPr="00E677F5">
        <w:rPr>
          <w:rFonts w:ascii="Arial Narrow" w:hAnsi="Arial Narrow"/>
          <w:sz w:val="20"/>
          <w:szCs w:val="20"/>
          <w:lang w:eastAsia="zh-CN"/>
        </w:rPr>
        <w:t xml:space="preserve">Includes abdominal discomfort, abdominal </w:t>
      </w:r>
      <w:proofErr w:type="gramStart"/>
      <w:r w:rsidRPr="00E677F5">
        <w:rPr>
          <w:rFonts w:ascii="Arial Narrow" w:hAnsi="Arial Narrow"/>
          <w:sz w:val="20"/>
          <w:szCs w:val="20"/>
          <w:lang w:eastAsia="zh-CN"/>
        </w:rPr>
        <w:t>pain</w:t>
      </w:r>
      <w:proofErr w:type="gramEnd"/>
      <w:r w:rsidRPr="00E677F5">
        <w:rPr>
          <w:rFonts w:ascii="Arial Narrow" w:hAnsi="Arial Narrow"/>
          <w:sz w:val="20"/>
          <w:szCs w:val="20"/>
          <w:lang w:eastAsia="zh-CN"/>
        </w:rPr>
        <w:t xml:space="preserve"> and abdominal pain upper.</w:t>
      </w:r>
    </w:p>
    <w:p w14:paraId="0E3C5C8A" w14:textId="77777777" w:rsidR="00E677F5" w:rsidRPr="00B2206F" w:rsidRDefault="00E677F5" w:rsidP="00E7586B">
      <w:pPr>
        <w:keepNext/>
        <w:keepLines/>
        <w:spacing w:after="0"/>
        <w:rPr>
          <w:rFonts w:ascii="Arial Narrow" w:hAnsi="Arial Narrow"/>
          <w:sz w:val="20"/>
          <w:szCs w:val="20"/>
          <w:lang w:eastAsia="zh-CN"/>
        </w:rPr>
      </w:pPr>
      <w:r w:rsidRPr="00B2206F">
        <w:rPr>
          <w:rFonts w:ascii="Arial Narrow" w:hAnsi="Arial Narrow"/>
          <w:sz w:val="20"/>
          <w:szCs w:val="20"/>
          <w:vertAlign w:val="superscript"/>
          <w:lang w:eastAsia="zh-CN"/>
        </w:rPr>
        <w:t>5</w:t>
      </w:r>
      <w:r w:rsidRPr="00E677F5">
        <w:rPr>
          <w:rFonts w:ascii="Arial Narrow" w:hAnsi="Arial Narrow"/>
          <w:sz w:val="20"/>
          <w:szCs w:val="20"/>
          <w:lang w:eastAsia="zh-CN"/>
        </w:rPr>
        <w:t>Includes ALT increased, AST increased, hepatic enzymes increased, and transaminases increased.</w:t>
      </w:r>
    </w:p>
    <w:p w14:paraId="3CB6C9CA" w14:textId="77777777" w:rsidR="00E677F5" w:rsidRPr="00E677F5" w:rsidRDefault="00E677F5" w:rsidP="00E7586B">
      <w:pPr>
        <w:keepNext/>
        <w:keepLines/>
        <w:spacing w:after="0"/>
        <w:rPr>
          <w:rFonts w:ascii="Arial Narrow" w:hAnsi="Arial Narrow"/>
          <w:sz w:val="20"/>
          <w:szCs w:val="20"/>
          <w:lang w:eastAsia="zh-CN"/>
        </w:rPr>
      </w:pPr>
      <w:r w:rsidRPr="00B2206F">
        <w:rPr>
          <w:rFonts w:ascii="Arial Narrow" w:hAnsi="Arial Narrow"/>
          <w:sz w:val="20"/>
          <w:szCs w:val="20"/>
          <w:vertAlign w:val="superscript"/>
          <w:lang w:eastAsia="zh-CN"/>
        </w:rPr>
        <w:t>6</w:t>
      </w:r>
      <w:r w:rsidRPr="00E677F5">
        <w:rPr>
          <w:rFonts w:ascii="Arial Narrow" w:hAnsi="Arial Narrow"/>
          <w:sz w:val="20"/>
          <w:szCs w:val="20"/>
          <w:lang w:eastAsia="zh-CN"/>
        </w:rPr>
        <w:t>Asymptomatic elevations in creatinine, creatine phosphokinase and liver enzymes were mainly grade 1 or 2 and did not require interruption of treatment.</w:t>
      </w:r>
    </w:p>
    <w:p w14:paraId="4B6811F0" w14:textId="77777777" w:rsidR="00E677F5" w:rsidRPr="00B2206F" w:rsidRDefault="00E677F5" w:rsidP="00E7586B">
      <w:pPr>
        <w:keepNext/>
        <w:keepLines/>
        <w:spacing w:after="0"/>
        <w:rPr>
          <w:rFonts w:ascii="Arial Narrow" w:hAnsi="Arial Narrow"/>
          <w:sz w:val="20"/>
          <w:szCs w:val="20"/>
          <w:lang w:eastAsia="zh-CN"/>
        </w:rPr>
      </w:pPr>
      <w:r w:rsidRPr="00B2206F">
        <w:rPr>
          <w:rFonts w:ascii="Arial Narrow" w:hAnsi="Arial Narrow"/>
          <w:sz w:val="20"/>
          <w:szCs w:val="20"/>
          <w:vertAlign w:val="superscript"/>
          <w:lang w:eastAsia="zh-CN"/>
        </w:rPr>
        <w:t>7</w:t>
      </w:r>
      <w:r w:rsidRPr="00E677F5">
        <w:rPr>
          <w:rFonts w:ascii="Arial Narrow" w:hAnsi="Arial Narrow"/>
          <w:sz w:val="20"/>
          <w:szCs w:val="20"/>
          <w:lang w:eastAsia="zh-CN"/>
        </w:rPr>
        <w:t xml:space="preserve">Includes rash, </w:t>
      </w:r>
      <w:r w:rsidRPr="00B2206F">
        <w:rPr>
          <w:rFonts w:ascii="Arial Narrow" w:hAnsi="Arial Narrow"/>
          <w:sz w:val="20"/>
          <w:szCs w:val="20"/>
          <w:lang w:eastAsia="zh-CN"/>
        </w:rPr>
        <w:t xml:space="preserve">rash erythematous, rash generalised, rash macular, rash maculo-papular, rash </w:t>
      </w:r>
      <w:proofErr w:type="spellStart"/>
      <w:r w:rsidRPr="00B2206F">
        <w:rPr>
          <w:rFonts w:ascii="Arial Narrow" w:hAnsi="Arial Narrow"/>
          <w:sz w:val="20"/>
          <w:szCs w:val="20"/>
          <w:lang w:eastAsia="zh-CN"/>
        </w:rPr>
        <w:t>papular</w:t>
      </w:r>
      <w:proofErr w:type="spellEnd"/>
      <w:r w:rsidRPr="00B2206F">
        <w:rPr>
          <w:rFonts w:ascii="Arial Narrow" w:hAnsi="Arial Narrow"/>
          <w:sz w:val="20"/>
          <w:szCs w:val="20"/>
          <w:lang w:eastAsia="zh-CN"/>
        </w:rPr>
        <w:t>, rash pruritic and rash vesicular.</w:t>
      </w:r>
    </w:p>
    <w:p w14:paraId="72850FEE" w14:textId="77777777" w:rsidR="00E677F5" w:rsidRPr="00E677F5" w:rsidRDefault="00E677F5" w:rsidP="00E7586B">
      <w:pPr>
        <w:keepNext/>
        <w:keepLines/>
        <w:spacing w:after="0"/>
        <w:rPr>
          <w:rFonts w:ascii="Arial Narrow" w:hAnsi="Arial Narrow"/>
          <w:sz w:val="20"/>
          <w:szCs w:val="20"/>
          <w:lang w:eastAsia="zh-CN"/>
        </w:rPr>
      </w:pPr>
      <w:r w:rsidRPr="00B2206F">
        <w:rPr>
          <w:rFonts w:ascii="Arial Narrow" w:hAnsi="Arial Narrow"/>
          <w:sz w:val="20"/>
          <w:szCs w:val="20"/>
          <w:vertAlign w:val="superscript"/>
          <w:lang w:eastAsia="zh-CN"/>
        </w:rPr>
        <w:t>8</w:t>
      </w:r>
      <w:r w:rsidRPr="00E677F5">
        <w:rPr>
          <w:rFonts w:ascii="Arial Narrow" w:hAnsi="Arial Narrow"/>
          <w:sz w:val="20"/>
          <w:szCs w:val="20"/>
          <w:lang w:eastAsia="zh-CN"/>
        </w:rPr>
        <w:t>Includes pruritus and pruritus generalised.</w:t>
      </w:r>
    </w:p>
    <w:p w14:paraId="70CE3ECD" w14:textId="77777777" w:rsidR="00291AD1" w:rsidRDefault="00291AD1" w:rsidP="00B2206F">
      <w:pPr>
        <w:rPr>
          <w:rFonts w:ascii="Arial" w:hAnsi="Arial" w:cs="Arial"/>
          <w:b/>
          <w:lang w:val="en"/>
        </w:rPr>
      </w:pPr>
      <w:bookmarkStart w:id="21" w:name="_Hlk3793907"/>
      <w:bookmarkStart w:id="22" w:name="_Hlk3792698"/>
      <w:bookmarkStart w:id="23" w:name="_Hlk3792854"/>
      <w:bookmarkEnd w:id="20"/>
    </w:p>
    <w:p w14:paraId="745C6A26" w14:textId="77777777" w:rsidR="00A05034" w:rsidRDefault="00A05034" w:rsidP="00B2206F">
      <w:pPr>
        <w:rPr>
          <w:rFonts w:ascii="Arial" w:hAnsi="Arial" w:cs="Arial"/>
          <w:b/>
          <w:lang w:val="en"/>
        </w:rPr>
      </w:pPr>
    </w:p>
    <w:p w14:paraId="62ADB2B6" w14:textId="77777777" w:rsidR="00A05034" w:rsidRDefault="00A05034" w:rsidP="00B2206F">
      <w:pPr>
        <w:rPr>
          <w:rFonts w:ascii="Arial" w:hAnsi="Arial" w:cs="Arial"/>
          <w:b/>
          <w:lang w:val="en"/>
        </w:rPr>
      </w:pPr>
    </w:p>
    <w:p w14:paraId="76A47A12" w14:textId="77777777" w:rsidR="00A05034" w:rsidRDefault="00A05034" w:rsidP="00B2206F">
      <w:pPr>
        <w:rPr>
          <w:rFonts w:ascii="Arial" w:hAnsi="Arial" w:cs="Arial"/>
          <w:b/>
          <w:lang w:val="en"/>
        </w:rPr>
      </w:pPr>
    </w:p>
    <w:p w14:paraId="75C1254E" w14:textId="1EEC099D" w:rsidR="00B2206F" w:rsidRPr="00B2206F" w:rsidRDefault="00B2206F" w:rsidP="00B2206F">
      <w:pPr>
        <w:rPr>
          <w:rFonts w:ascii="Arial" w:hAnsi="Arial" w:cs="Arial"/>
          <w:b/>
          <w:lang w:val="en"/>
        </w:rPr>
      </w:pPr>
      <w:bookmarkStart w:id="24" w:name="_Hlk83643766"/>
      <w:r w:rsidRPr="00B2206F">
        <w:rPr>
          <w:rFonts w:ascii="Arial" w:hAnsi="Arial" w:cs="Arial"/>
          <w:b/>
          <w:lang w:val="en"/>
        </w:rPr>
        <w:lastRenderedPageBreak/>
        <w:t>Changes in laboratory chemistries</w:t>
      </w:r>
    </w:p>
    <w:p w14:paraId="0DC10751" w14:textId="77777777" w:rsidR="00B2206F" w:rsidRPr="00B2206F" w:rsidRDefault="00B2206F" w:rsidP="00B2206F">
      <w:pPr>
        <w:rPr>
          <w:rFonts w:ascii="Arial" w:hAnsi="Arial" w:cs="Arial"/>
          <w:lang w:val="en"/>
        </w:rPr>
      </w:pPr>
      <w:bookmarkStart w:id="25" w:name="_Hlk3792881"/>
      <w:bookmarkEnd w:id="21"/>
      <w:r w:rsidRPr="00B2206F">
        <w:rPr>
          <w:rFonts w:ascii="Arial" w:hAnsi="Arial" w:cs="Arial"/>
          <w:lang w:val="en"/>
        </w:rPr>
        <w:t xml:space="preserve">Increases in creatine phosphokinase (CPK) were observed following treatment with fostemsavir, which were mainly mild or moderate. </w:t>
      </w:r>
      <w:bookmarkStart w:id="26" w:name="_Hlk4361191"/>
      <w:r w:rsidRPr="00B2206F">
        <w:rPr>
          <w:rFonts w:ascii="Arial" w:hAnsi="Arial" w:cs="Arial"/>
          <w:lang w:val="en"/>
        </w:rPr>
        <w:t>These changes were rarely associated with musculoskeletal complaints and are not considered clinically relevant</w:t>
      </w:r>
      <w:bookmarkEnd w:id="26"/>
      <w:r w:rsidRPr="00B2206F">
        <w:rPr>
          <w:rFonts w:ascii="Arial" w:hAnsi="Arial" w:cs="Arial"/>
          <w:lang w:val="en"/>
        </w:rPr>
        <w:t>.</w:t>
      </w:r>
    </w:p>
    <w:p w14:paraId="41426A25" w14:textId="77777777" w:rsidR="00B2206F" w:rsidRPr="00B2206F" w:rsidRDefault="00B2206F" w:rsidP="00B2206F">
      <w:pPr>
        <w:rPr>
          <w:rFonts w:ascii="Arial" w:hAnsi="Arial" w:cs="Arial"/>
          <w:lang w:val="en"/>
        </w:rPr>
      </w:pPr>
      <w:r w:rsidRPr="00B2206F">
        <w:rPr>
          <w:rFonts w:ascii="Arial" w:hAnsi="Arial" w:cs="Arial"/>
          <w:lang w:val="en"/>
        </w:rPr>
        <w:t>Clinically relevant increases in serum creatinine have primarily occurred in patients with identifiable risk factors for reduced renal function, including pre-existing medical history of renal disease and/or concomitant medications known to cause increases in creatinine. A causal association between fostemsavir and elevation in serum creatinine has not been established.</w:t>
      </w:r>
    </w:p>
    <w:p w14:paraId="2BEEDE5E" w14:textId="2E22C287" w:rsidR="00B2206F" w:rsidRPr="00B2206F" w:rsidRDefault="00B2206F" w:rsidP="00B2206F">
      <w:pPr>
        <w:rPr>
          <w:rFonts w:ascii="Arial" w:hAnsi="Arial" w:cs="Arial"/>
          <w:lang w:val="en"/>
        </w:rPr>
      </w:pPr>
      <w:r w:rsidRPr="00B2206F">
        <w:rPr>
          <w:rFonts w:ascii="Arial" w:hAnsi="Arial" w:cs="Arial"/>
          <w:lang w:val="en"/>
        </w:rPr>
        <w:t xml:space="preserve">Increases in direct (conjugated) bilirubin have been observed following treatment with fostemsavir. Cases of clinical significance were uncommon and were confounded by the presence of intercurrent serious comorbid events not related to dosing with study medication (e.g. sepsis, </w:t>
      </w:r>
      <w:proofErr w:type="gramStart"/>
      <w:r w:rsidRPr="00B2206F">
        <w:rPr>
          <w:rFonts w:ascii="Arial" w:hAnsi="Arial" w:cs="Arial"/>
          <w:lang w:val="en"/>
        </w:rPr>
        <w:t>cholangiocarcinoma</w:t>
      </w:r>
      <w:proofErr w:type="gramEnd"/>
      <w:r w:rsidRPr="00B2206F">
        <w:rPr>
          <w:rFonts w:ascii="Arial" w:hAnsi="Arial" w:cs="Arial"/>
          <w:lang w:val="en"/>
        </w:rPr>
        <w:t xml:space="preserve"> or other complications of viral hepatitis co-infection). In the remaining reports, elevations in direct bilirubin (without clinical jaundice) were typically transient, occurred without increases in liver transaminases and resolved on continued fostemsavir. </w:t>
      </w:r>
      <w:r w:rsidRPr="0061437F">
        <w:rPr>
          <w:rFonts w:ascii="Arial" w:hAnsi="Arial" w:cs="Arial"/>
          <w:i/>
          <w:lang w:val="en"/>
        </w:rPr>
        <w:t>In vitro</w:t>
      </w:r>
      <w:r w:rsidRPr="00B2206F">
        <w:rPr>
          <w:rFonts w:ascii="Arial" w:hAnsi="Arial" w:cs="Arial"/>
          <w:lang w:val="en"/>
        </w:rPr>
        <w:t xml:space="preserve">, </w:t>
      </w:r>
      <w:proofErr w:type="spellStart"/>
      <w:r w:rsidRPr="00B2206F">
        <w:rPr>
          <w:rFonts w:ascii="Arial" w:hAnsi="Arial" w:cs="Arial"/>
          <w:lang w:val="en"/>
        </w:rPr>
        <w:t>temsavir</w:t>
      </w:r>
      <w:proofErr w:type="spellEnd"/>
      <w:r w:rsidRPr="00B2206F">
        <w:rPr>
          <w:rFonts w:ascii="Arial" w:hAnsi="Arial" w:cs="Arial"/>
          <w:lang w:val="en"/>
        </w:rPr>
        <w:t xml:space="preserve"> and its metabolites inhibit OATP1B1 and OATP1B3; two well-recognized transporters of direct and indirect (unconjugated) bilirubin (s</w:t>
      </w:r>
      <w:r w:rsidR="0061437F">
        <w:rPr>
          <w:rFonts w:ascii="Arial" w:hAnsi="Arial" w:cs="Arial"/>
          <w:lang w:val="en"/>
        </w:rPr>
        <w:t xml:space="preserve">ee Section </w:t>
      </w:r>
      <w:r w:rsidR="0061437F" w:rsidRPr="0061437F">
        <w:rPr>
          <w:rFonts w:ascii="Arial" w:hAnsi="Arial" w:cs="Arial"/>
          <w:lang w:val="en"/>
        </w:rPr>
        <w:t>4.5</w:t>
      </w:r>
      <w:r w:rsidR="0061437F">
        <w:rPr>
          <w:rFonts w:ascii="Arial" w:hAnsi="Arial" w:cs="Arial"/>
          <w:lang w:val="en"/>
        </w:rPr>
        <w:t xml:space="preserve"> </w:t>
      </w:r>
      <w:r w:rsidR="0061437F" w:rsidRPr="0061437F">
        <w:rPr>
          <w:rFonts w:ascii="Arial" w:hAnsi="Arial" w:cs="Arial"/>
          <w:lang w:val="en"/>
        </w:rPr>
        <w:t>INTERACTIONS WITH OTHER MEDICINES AND OTHER FORMS OF INTERACTIONS</w:t>
      </w:r>
      <w:r w:rsidRPr="00B2206F">
        <w:rPr>
          <w:rFonts w:ascii="Arial" w:hAnsi="Arial" w:cs="Arial"/>
          <w:lang w:val="en"/>
        </w:rPr>
        <w:t>). Fostemsavir may contribute to elevations in bilirubin when co-administered with other drugs known to cause hyperbilirubinemia, or when dosed in patients with liver disease or who otherwise have reduced activity of hepatic transport proteins, including patients with HIV infection.</w:t>
      </w:r>
      <w:bookmarkEnd w:id="22"/>
    </w:p>
    <w:bookmarkEnd w:id="23"/>
    <w:bookmarkEnd w:id="25"/>
    <w:p w14:paraId="05D57639" w14:textId="77777777" w:rsidR="00B2206F" w:rsidRPr="00B2206F" w:rsidRDefault="00B2206F" w:rsidP="00B2206F">
      <w:pPr>
        <w:rPr>
          <w:rFonts w:ascii="Arial" w:hAnsi="Arial" w:cs="Arial"/>
          <w:b/>
          <w:lang w:val="en"/>
        </w:rPr>
      </w:pPr>
      <w:r w:rsidRPr="00B2206F">
        <w:rPr>
          <w:rFonts w:ascii="Arial" w:hAnsi="Arial" w:cs="Arial"/>
          <w:b/>
          <w:lang w:val="en"/>
        </w:rPr>
        <w:t>Post-marketing data</w:t>
      </w:r>
    </w:p>
    <w:p w14:paraId="6925136A" w14:textId="77777777" w:rsidR="00E677F5" w:rsidRPr="00B2206F" w:rsidRDefault="00B2206F" w:rsidP="00E677F5">
      <w:pPr>
        <w:rPr>
          <w:rFonts w:ascii="Arial" w:hAnsi="Arial" w:cs="Arial"/>
          <w:lang w:val="en"/>
        </w:rPr>
      </w:pPr>
      <w:r w:rsidRPr="00B2206F">
        <w:rPr>
          <w:rFonts w:ascii="Arial" w:hAnsi="Arial" w:cs="Arial"/>
          <w:lang w:val="en"/>
        </w:rPr>
        <w:t>No data available.</w:t>
      </w:r>
    </w:p>
    <w:p w14:paraId="4E66B7E0" w14:textId="77777777" w:rsidR="00E42B91" w:rsidRPr="00E42B91" w:rsidRDefault="00E42B91" w:rsidP="005B2812">
      <w:pPr>
        <w:rPr>
          <w:rFonts w:ascii="Arial" w:hAnsi="Arial" w:cs="Arial"/>
          <w:b/>
          <w:lang w:val="en"/>
        </w:rPr>
      </w:pPr>
      <w:r w:rsidRPr="00E42B91">
        <w:rPr>
          <w:rFonts w:ascii="Arial" w:hAnsi="Arial" w:cs="Arial"/>
          <w:b/>
          <w:lang w:val="en"/>
        </w:rPr>
        <w:t>Reporting suspected adverse effects</w:t>
      </w:r>
    </w:p>
    <w:p w14:paraId="55A8FB91" w14:textId="77777777" w:rsidR="005B2812" w:rsidRPr="00071855" w:rsidRDefault="005B2812" w:rsidP="005B2812">
      <w:pPr>
        <w:rPr>
          <w:rFonts w:ascii="Arial" w:hAnsi="Arial" w:cs="Arial"/>
        </w:rPr>
      </w:pPr>
      <w:r w:rsidRPr="00071855">
        <w:rPr>
          <w:rFonts w:ascii="Arial" w:hAnsi="Arial" w:cs="Arial"/>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9" w:history="1">
        <w:r w:rsidRPr="00071855">
          <w:rPr>
            <w:rStyle w:val="Hyperlink"/>
            <w:rFonts w:ascii="Arial" w:hAnsi="Arial" w:cs="Arial"/>
            <w:lang w:val="en"/>
          </w:rPr>
          <w:t>www.tga.gov.au/reporting-problems</w:t>
        </w:r>
      </w:hyperlink>
      <w:r w:rsidRPr="00071855">
        <w:rPr>
          <w:rFonts w:ascii="Arial" w:hAnsi="Arial" w:cs="Arial"/>
          <w:lang w:val="en"/>
        </w:rPr>
        <w:t>.</w:t>
      </w:r>
    </w:p>
    <w:p w14:paraId="4EC7D8CB" w14:textId="77777777"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OVERDOSE</w:t>
      </w:r>
    </w:p>
    <w:p w14:paraId="63D4CBE5" w14:textId="77777777" w:rsidR="00B2206F" w:rsidRPr="00986E9E" w:rsidRDefault="00B2206F" w:rsidP="00986E9E">
      <w:pPr>
        <w:pStyle w:val="Heading3"/>
        <w:spacing w:before="0" w:after="120"/>
        <w:ind w:left="0"/>
        <w:rPr>
          <w:rFonts w:ascii="Arial" w:hAnsi="Arial" w:cs="Arial"/>
        </w:rPr>
      </w:pPr>
      <w:r w:rsidRPr="00986E9E">
        <w:rPr>
          <w:rFonts w:ascii="Arial" w:hAnsi="Arial" w:cs="Arial"/>
        </w:rPr>
        <w:t>Symptoms and signs</w:t>
      </w:r>
    </w:p>
    <w:p w14:paraId="759EFC76" w14:textId="77777777" w:rsidR="00B2206F" w:rsidRPr="0061437F" w:rsidRDefault="00B2206F" w:rsidP="00B2206F">
      <w:pPr>
        <w:rPr>
          <w:rFonts w:ascii="Arial" w:hAnsi="Arial" w:cs="Arial"/>
          <w:lang w:val="en"/>
        </w:rPr>
      </w:pPr>
      <w:r w:rsidRPr="0061437F">
        <w:rPr>
          <w:rFonts w:ascii="Arial" w:hAnsi="Arial" w:cs="Arial"/>
          <w:lang w:val="en"/>
        </w:rPr>
        <w:t>There is currently limited experience of overdosage with fostemsavir.</w:t>
      </w:r>
    </w:p>
    <w:p w14:paraId="6F4826C3" w14:textId="77777777" w:rsidR="00B2206F" w:rsidRPr="00986E9E" w:rsidRDefault="00B2206F" w:rsidP="00986E9E">
      <w:pPr>
        <w:pStyle w:val="Heading3"/>
        <w:spacing w:before="0" w:after="120"/>
        <w:ind w:left="0"/>
        <w:rPr>
          <w:rFonts w:ascii="Arial" w:hAnsi="Arial" w:cs="Arial"/>
        </w:rPr>
      </w:pPr>
      <w:r w:rsidRPr="00986E9E">
        <w:rPr>
          <w:rFonts w:ascii="Arial" w:hAnsi="Arial" w:cs="Arial"/>
        </w:rPr>
        <w:t>Treatment</w:t>
      </w:r>
    </w:p>
    <w:p w14:paraId="3E03F642" w14:textId="77777777" w:rsidR="00B2206F" w:rsidRPr="00B2206F" w:rsidRDefault="00B2206F" w:rsidP="00B2206F">
      <w:pPr>
        <w:rPr>
          <w:rFonts w:ascii="Arial" w:hAnsi="Arial" w:cs="Arial"/>
          <w:lang w:val="en"/>
        </w:rPr>
      </w:pPr>
      <w:r w:rsidRPr="00B2206F">
        <w:rPr>
          <w:rFonts w:ascii="Arial" w:hAnsi="Arial" w:cs="Arial"/>
          <w:lang w:val="en"/>
        </w:rPr>
        <w:t xml:space="preserve">There is no specific treatment for overdose with fostemsavir. If overdose occurs, the patient should be treated supportively with appropriate monitoring as necessary. As </w:t>
      </w:r>
      <w:proofErr w:type="spellStart"/>
      <w:r w:rsidRPr="00B2206F">
        <w:rPr>
          <w:rFonts w:ascii="Arial" w:hAnsi="Arial" w:cs="Arial"/>
          <w:lang w:val="en"/>
        </w:rPr>
        <w:t>temsavir</w:t>
      </w:r>
      <w:proofErr w:type="spellEnd"/>
      <w:r w:rsidRPr="00B2206F">
        <w:rPr>
          <w:rFonts w:ascii="Arial" w:hAnsi="Arial" w:cs="Arial"/>
          <w:lang w:val="en"/>
        </w:rPr>
        <w:t xml:space="preserve"> is highly bound to plasma proteins, it is unlikely that it will be significantly removed by dialysis.</w:t>
      </w:r>
    </w:p>
    <w:p w14:paraId="390B1FB6" w14:textId="77777777" w:rsidR="005B2812" w:rsidRPr="00071855" w:rsidRDefault="005B2812" w:rsidP="005B2812">
      <w:pPr>
        <w:rPr>
          <w:rFonts w:ascii="Arial" w:hAnsi="Arial" w:cs="Arial"/>
        </w:rPr>
      </w:pPr>
      <w:r w:rsidRPr="00071855">
        <w:rPr>
          <w:rFonts w:ascii="Arial" w:hAnsi="Arial" w:cs="Arial"/>
          <w:lang w:val="en"/>
        </w:rPr>
        <w:lastRenderedPageBreak/>
        <w:t>For information on the management of overdose, contact the Poisons Information Centre on 13 11 26 (Australia).</w:t>
      </w:r>
    </w:p>
    <w:p w14:paraId="7ACC6BDF" w14:textId="77777777" w:rsidR="001A3992" w:rsidRPr="00071855" w:rsidRDefault="001A3992" w:rsidP="00AF5248">
      <w:pPr>
        <w:pStyle w:val="Heading1"/>
        <w:spacing w:before="0" w:after="120"/>
        <w:rPr>
          <w:rFonts w:ascii="Arial" w:hAnsi="Arial" w:cs="Arial"/>
          <w:lang w:val="en-US"/>
        </w:rPr>
      </w:pPr>
      <w:r w:rsidRPr="00071855">
        <w:rPr>
          <w:rFonts w:ascii="Arial" w:hAnsi="Arial" w:cs="Arial"/>
          <w:lang w:val="en-US"/>
        </w:rPr>
        <w:t>Pharmacological properties</w:t>
      </w:r>
    </w:p>
    <w:p w14:paraId="0F53334A" w14:textId="77777777" w:rsidR="001A3992" w:rsidRPr="00071855" w:rsidRDefault="00071855" w:rsidP="00613EE8">
      <w:pPr>
        <w:pStyle w:val="Heading2"/>
        <w:keepNext/>
        <w:keepLines/>
        <w:spacing w:before="0" w:after="120"/>
        <w:ind w:left="578" w:hanging="578"/>
        <w:rPr>
          <w:rFonts w:ascii="Arial" w:hAnsi="Arial" w:cs="Arial"/>
          <w:smallCaps w:val="0"/>
        </w:rPr>
      </w:pPr>
      <w:r w:rsidRPr="00071855">
        <w:rPr>
          <w:rFonts w:ascii="Arial" w:hAnsi="Arial" w:cs="Arial"/>
          <w:smallCaps w:val="0"/>
        </w:rPr>
        <w:t xml:space="preserve">PHARMACODYNAMIC PROPERTIES </w:t>
      </w:r>
    </w:p>
    <w:p w14:paraId="05E3594E" w14:textId="77777777" w:rsidR="001A3992" w:rsidRPr="00071855" w:rsidRDefault="001A3992" w:rsidP="00AF5248">
      <w:pPr>
        <w:pStyle w:val="Heading3"/>
        <w:spacing w:before="0" w:after="120"/>
        <w:ind w:left="0"/>
        <w:rPr>
          <w:rFonts w:ascii="Arial" w:hAnsi="Arial" w:cs="Arial"/>
        </w:rPr>
      </w:pPr>
      <w:r w:rsidRPr="00071855">
        <w:rPr>
          <w:rFonts w:ascii="Arial" w:hAnsi="Arial" w:cs="Arial"/>
        </w:rPr>
        <w:t>Mechanism of action</w:t>
      </w:r>
    </w:p>
    <w:p w14:paraId="7DE5BA62" w14:textId="77777777" w:rsidR="0021668A" w:rsidRDefault="00B2206F" w:rsidP="00613EE8">
      <w:pPr>
        <w:keepNext/>
        <w:keepLines/>
        <w:rPr>
          <w:rFonts w:ascii="Arial" w:hAnsi="Arial" w:cs="Arial"/>
          <w:lang w:val="en"/>
        </w:rPr>
      </w:pPr>
      <w:r w:rsidRPr="00B2206F">
        <w:rPr>
          <w:rFonts w:ascii="Arial" w:hAnsi="Arial" w:cs="Arial"/>
          <w:lang w:val="en"/>
        </w:rPr>
        <w:t xml:space="preserve">Fostemsavir is a prodrug without significant biochemical or antiviral activity that is hydrolyzed to the active moiety, </w:t>
      </w:r>
      <w:proofErr w:type="spellStart"/>
      <w:r w:rsidRPr="00B2206F">
        <w:rPr>
          <w:rFonts w:ascii="Arial" w:hAnsi="Arial" w:cs="Arial"/>
          <w:lang w:val="en"/>
        </w:rPr>
        <w:t>temsavir</w:t>
      </w:r>
      <w:proofErr w:type="spellEnd"/>
      <w:r w:rsidRPr="00B2206F">
        <w:rPr>
          <w:rFonts w:ascii="Arial" w:hAnsi="Arial" w:cs="Arial"/>
          <w:lang w:val="en"/>
        </w:rPr>
        <w:t xml:space="preserve">, upon cleavage of a </w:t>
      </w:r>
      <w:proofErr w:type="spellStart"/>
      <w:r w:rsidRPr="00B2206F">
        <w:rPr>
          <w:rFonts w:ascii="Arial" w:hAnsi="Arial" w:cs="Arial"/>
          <w:lang w:val="en"/>
        </w:rPr>
        <w:t>phosphonooxymethyl</w:t>
      </w:r>
      <w:proofErr w:type="spellEnd"/>
      <w:r w:rsidRPr="00B2206F">
        <w:rPr>
          <w:rFonts w:ascii="Arial" w:hAnsi="Arial" w:cs="Arial"/>
          <w:lang w:val="en"/>
        </w:rPr>
        <w:t xml:space="preserve"> group </w:t>
      </w:r>
      <w:r w:rsidRPr="0061437F">
        <w:rPr>
          <w:rFonts w:ascii="Arial" w:hAnsi="Arial" w:cs="Arial"/>
          <w:i/>
          <w:lang w:val="en"/>
        </w:rPr>
        <w:t>in vivo.</w:t>
      </w:r>
      <w:r w:rsidRPr="00B2206F">
        <w:rPr>
          <w:rFonts w:ascii="Arial" w:hAnsi="Arial" w:cs="Arial"/>
          <w:lang w:val="en"/>
        </w:rPr>
        <w:t xml:space="preserve"> </w:t>
      </w:r>
      <w:proofErr w:type="spellStart"/>
      <w:r w:rsidRPr="00B2206F">
        <w:rPr>
          <w:rFonts w:ascii="Arial" w:hAnsi="Arial" w:cs="Arial"/>
          <w:lang w:val="en"/>
        </w:rPr>
        <w:t>Temsavir</w:t>
      </w:r>
      <w:proofErr w:type="spellEnd"/>
      <w:r w:rsidRPr="00B2206F">
        <w:rPr>
          <w:rFonts w:ascii="Arial" w:hAnsi="Arial" w:cs="Arial"/>
          <w:lang w:val="en"/>
        </w:rPr>
        <w:t xml:space="preserve"> binds directly to the gp120 subunit within the HIV-1 envelope glycoprotein gp160 and selectively inhibits the interaction between the virus and cellular CD4 receptors, thereby preventing viral entry into, and infection of, host cells. </w:t>
      </w:r>
      <w:proofErr w:type="spellStart"/>
      <w:r w:rsidRPr="00B2206F">
        <w:rPr>
          <w:rFonts w:ascii="Arial" w:hAnsi="Arial" w:cs="Arial"/>
          <w:lang w:val="en"/>
        </w:rPr>
        <w:t>Temsavir</w:t>
      </w:r>
      <w:proofErr w:type="spellEnd"/>
      <w:r w:rsidRPr="00B2206F">
        <w:rPr>
          <w:rFonts w:ascii="Arial" w:hAnsi="Arial" w:cs="Arial"/>
          <w:lang w:val="en"/>
        </w:rPr>
        <w:t xml:space="preserve"> inhibited the binding of soluble CD4 to surface immobilized gp120 with an IC</w:t>
      </w:r>
      <w:r w:rsidRPr="00B2206F">
        <w:rPr>
          <w:rFonts w:ascii="Arial" w:hAnsi="Arial" w:cs="Arial"/>
          <w:vertAlign w:val="subscript"/>
          <w:lang w:val="en"/>
        </w:rPr>
        <w:t>50</w:t>
      </w:r>
      <w:r w:rsidRPr="00B2206F">
        <w:rPr>
          <w:rFonts w:ascii="Arial" w:hAnsi="Arial" w:cs="Arial"/>
          <w:lang w:val="en"/>
        </w:rPr>
        <w:t xml:space="preserve"> of 14 to 30 </w:t>
      </w:r>
      <w:proofErr w:type="spellStart"/>
      <w:r w:rsidRPr="00B2206F">
        <w:rPr>
          <w:rFonts w:ascii="Arial" w:hAnsi="Arial" w:cs="Arial"/>
          <w:lang w:val="en"/>
        </w:rPr>
        <w:t>nM</w:t>
      </w:r>
      <w:proofErr w:type="spellEnd"/>
      <w:r w:rsidRPr="00B2206F">
        <w:rPr>
          <w:rFonts w:ascii="Arial" w:hAnsi="Arial" w:cs="Arial"/>
          <w:lang w:val="en"/>
        </w:rPr>
        <w:t xml:space="preserve"> using an enzyme-linked immunosorbent assay (ELISA).</w:t>
      </w:r>
    </w:p>
    <w:p w14:paraId="712C3284" w14:textId="77777777" w:rsidR="0021668A" w:rsidRPr="0021668A" w:rsidRDefault="0021668A" w:rsidP="00F25D4B">
      <w:pPr>
        <w:pStyle w:val="Heading3"/>
        <w:spacing w:before="0" w:after="120"/>
        <w:ind w:left="0"/>
        <w:rPr>
          <w:rFonts w:ascii="Arial" w:hAnsi="Arial" w:cs="Arial"/>
        </w:rPr>
      </w:pPr>
      <w:r w:rsidRPr="0021668A">
        <w:rPr>
          <w:rFonts w:ascii="Arial" w:hAnsi="Arial" w:cs="Arial"/>
        </w:rPr>
        <w:t>Pharmacodynamic effects</w:t>
      </w:r>
    </w:p>
    <w:p w14:paraId="479AE7F7" w14:textId="77777777" w:rsidR="0021668A" w:rsidRPr="006A0340" w:rsidRDefault="0021668A" w:rsidP="006A0340">
      <w:pPr>
        <w:pStyle w:val="Heading4"/>
        <w:numPr>
          <w:ilvl w:val="0"/>
          <w:numId w:val="0"/>
        </w:numPr>
        <w:spacing w:after="240"/>
        <w:rPr>
          <w:rFonts w:ascii="Arial" w:hAnsi="Arial" w:cs="Arial"/>
          <w:color w:val="auto"/>
        </w:rPr>
      </w:pPr>
      <w:bookmarkStart w:id="27" w:name="_Hlk273872"/>
      <w:r w:rsidRPr="006A0340">
        <w:rPr>
          <w:rFonts w:ascii="Arial" w:hAnsi="Arial" w:cs="Arial"/>
          <w:color w:val="auto"/>
        </w:rPr>
        <w:t>Antiviral Activity in Cell Culture</w:t>
      </w:r>
    </w:p>
    <w:bookmarkEnd w:id="27"/>
    <w:p w14:paraId="0E234F74" w14:textId="77777777" w:rsidR="00172FB3" w:rsidRPr="00172FB3" w:rsidRDefault="00172FB3" w:rsidP="00172FB3">
      <w:pPr>
        <w:rPr>
          <w:rFonts w:ascii="Arial" w:hAnsi="Arial" w:cs="Arial"/>
          <w:lang w:val="en"/>
        </w:rPr>
      </w:pPr>
      <w:proofErr w:type="spellStart"/>
      <w:r w:rsidRPr="00172FB3">
        <w:rPr>
          <w:rFonts w:ascii="Arial" w:hAnsi="Arial" w:cs="Arial"/>
          <w:lang w:val="en"/>
        </w:rPr>
        <w:t>Temsavir</w:t>
      </w:r>
      <w:proofErr w:type="spellEnd"/>
      <w:r w:rsidRPr="00172FB3">
        <w:rPr>
          <w:rFonts w:ascii="Arial" w:hAnsi="Arial" w:cs="Arial"/>
          <w:lang w:val="en"/>
        </w:rPr>
        <w:t xml:space="preserve"> exhibited antiviral activity against CCR5-tropic (n=3; EC50 range 0.4 to 1.7 </w:t>
      </w:r>
      <w:proofErr w:type="spellStart"/>
      <w:r w:rsidRPr="00172FB3">
        <w:rPr>
          <w:rFonts w:ascii="Arial" w:hAnsi="Arial" w:cs="Arial"/>
          <w:lang w:val="en"/>
        </w:rPr>
        <w:t>nM</w:t>
      </w:r>
      <w:proofErr w:type="spellEnd"/>
      <w:r w:rsidRPr="00172FB3">
        <w:rPr>
          <w:rFonts w:ascii="Arial" w:hAnsi="Arial" w:cs="Arial"/>
          <w:lang w:val="en"/>
        </w:rPr>
        <w:t xml:space="preserve">), CXCR4-tropic (n=5; EC50 range 0.7 to &gt;2,000 </w:t>
      </w:r>
      <w:proofErr w:type="spellStart"/>
      <w:r w:rsidRPr="00172FB3">
        <w:rPr>
          <w:rFonts w:ascii="Arial" w:hAnsi="Arial" w:cs="Arial"/>
          <w:lang w:val="en"/>
        </w:rPr>
        <w:t>nM</w:t>
      </w:r>
      <w:proofErr w:type="spellEnd"/>
      <w:r w:rsidRPr="00172FB3">
        <w:rPr>
          <w:rFonts w:ascii="Arial" w:hAnsi="Arial" w:cs="Arial"/>
          <w:lang w:val="en"/>
        </w:rPr>
        <w:t xml:space="preserve">) and dual/mixed-tropic (n=1; EC50 58 </w:t>
      </w:r>
      <w:proofErr w:type="spellStart"/>
      <w:r w:rsidRPr="00172FB3">
        <w:rPr>
          <w:rFonts w:ascii="Arial" w:hAnsi="Arial" w:cs="Arial"/>
          <w:lang w:val="en"/>
        </w:rPr>
        <w:t>nM</w:t>
      </w:r>
      <w:proofErr w:type="spellEnd"/>
      <w:r w:rsidRPr="00172FB3">
        <w:rPr>
          <w:rFonts w:ascii="Arial" w:hAnsi="Arial" w:cs="Arial"/>
          <w:lang w:val="en"/>
        </w:rPr>
        <w:t>) laboratory strains of subtype B HIV-1.</w:t>
      </w:r>
    </w:p>
    <w:p w14:paraId="51B6D505" w14:textId="6E7D55AC" w:rsidR="0021668A" w:rsidRPr="0021668A" w:rsidRDefault="0021668A" w:rsidP="0021668A">
      <w:pPr>
        <w:rPr>
          <w:rFonts w:ascii="Arial" w:hAnsi="Arial" w:cs="Arial"/>
          <w:lang w:val="en"/>
        </w:rPr>
      </w:pPr>
      <w:r w:rsidRPr="0021668A">
        <w:rPr>
          <w:rFonts w:ascii="Arial" w:hAnsi="Arial" w:cs="Arial"/>
          <w:lang w:val="en"/>
        </w:rPr>
        <w:t xml:space="preserve">In one study, a total of 103 clinical isolates were examined for susceptibility to </w:t>
      </w:r>
      <w:bookmarkStart w:id="28" w:name="_Hlk531586757"/>
      <w:proofErr w:type="spellStart"/>
      <w:r w:rsidRPr="0021668A">
        <w:rPr>
          <w:rFonts w:ascii="Arial" w:hAnsi="Arial" w:cs="Arial"/>
          <w:lang w:val="en"/>
        </w:rPr>
        <w:t>temsavir</w:t>
      </w:r>
      <w:bookmarkEnd w:id="28"/>
      <w:proofErr w:type="spellEnd"/>
      <w:r w:rsidRPr="0021668A">
        <w:rPr>
          <w:rFonts w:ascii="Arial" w:hAnsi="Arial" w:cs="Arial"/>
          <w:lang w:val="en"/>
        </w:rPr>
        <w:t xml:space="preserve"> using PBMCs as the host cell. These viruses spanned multiple Group M subtypes, including A, B, B', C, D, F, CRF01_AE and G. In addition, 2 Group O viruses and 1 HIV-2 virus were tested for </w:t>
      </w:r>
      <w:proofErr w:type="spellStart"/>
      <w:r w:rsidRPr="0021668A">
        <w:rPr>
          <w:rFonts w:ascii="Arial" w:hAnsi="Arial" w:cs="Arial"/>
          <w:lang w:val="en"/>
        </w:rPr>
        <w:t>temsavir</w:t>
      </w:r>
      <w:proofErr w:type="spellEnd"/>
      <w:r w:rsidRPr="0021668A">
        <w:rPr>
          <w:rFonts w:ascii="Arial" w:hAnsi="Arial" w:cs="Arial"/>
          <w:lang w:val="en"/>
        </w:rPr>
        <w:t xml:space="preserve"> susceptibility. The cohort contained mostly CCR5-tropic viruses, but there were also some CXCR4-tropic and dual-tropic strains. For most of the subtypes, </w:t>
      </w:r>
      <w:proofErr w:type="spellStart"/>
      <w:r w:rsidRPr="0021668A">
        <w:rPr>
          <w:rFonts w:ascii="Arial" w:hAnsi="Arial" w:cs="Arial"/>
          <w:lang w:val="en"/>
        </w:rPr>
        <w:t>temsavir</w:t>
      </w:r>
      <w:proofErr w:type="spellEnd"/>
      <w:r w:rsidRPr="0021668A">
        <w:rPr>
          <w:rFonts w:ascii="Arial" w:hAnsi="Arial" w:cs="Arial"/>
          <w:lang w:val="en"/>
        </w:rPr>
        <w:t xml:space="preserve"> exhibited potent but variable activity regardless of tropism. However, all nine viruses examined from subtype CRF01_AE, both viruses examined from Group O and one HIV-2 virus all displayed reduced susceptibility to </w:t>
      </w:r>
      <w:proofErr w:type="spellStart"/>
      <w:r w:rsidRPr="0021668A">
        <w:rPr>
          <w:rFonts w:ascii="Arial" w:hAnsi="Arial" w:cs="Arial"/>
          <w:lang w:val="en"/>
        </w:rPr>
        <w:t>temsavir</w:t>
      </w:r>
      <w:proofErr w:type="spellEnd"/>
      <w:r w:rsidRPr="0021668A">
        <w:rPr>
          <w:rFonts w:ascii="Arial" w:hAnsi="Arial" w:cs="Arial"/>
          <w:lang w:val="en"/>
        </w:rPr>
        <w:t xml:space="preserve"> at the highest concentration tested.  </w:t>
      </w:r>
    </w:p>
    <w:p w14:paraId="6E1704B1" w14:textId="77777777" w:rsidR="0021668A" w:rsidRDefault="0021668A" w:rsidP="0021668A">
      <w:pPr>
        <w:rPr>
          <w:rFonts w:ascii="Arial" w:hAnsi="Arial" w:cs="Arial"/>
          <w:lang w:val="en"/>
        </w:rPr>
      </w:pPr>
      <w:r w:rsidRPr="0021668A">
        <w:rPr>
          <w:rFonts w:ascii="Arial" w:hAnsi="Arial" w:cs="Arial"/>
          <w:lang w:val="en"/>
        </w:rPr>
        <w:t xml:space="preserve">In another study, a total of 1337 isolates have been examined to date in the </w:t>
      </w:r>
      <w:proofErr w:type="spellStart"/>
      <w:r w:rsidRPr="0021668A">
        <w:rPr>
          <w:rFonts w:ascii="Arial" w:hAnsi="Arial" w:cs="Arial"/>
          <w:lang w:val="en"/>
        </w:rPr>
        <w:t>PhenoSense</w:t>
      </w:r>
      <w:proofErr w:type="spellEnd"/>
      <w:r w:rsidRPr="0021668A">
        <w:rPr>
          <w:rFonts w:ascii="Arial" w:hAnsi="Arial" w:cs="Arial"/>
          <w:lang w:val="en"/>
        </w:rPr>
        <w:t xml:space="preserve"> Entry Assay. These include viruses from all subjects in the Phase </w:t>
      </w:r>
      <w:proofErr w:type="spellStart"/>
      <w:r w:rsidRPr="0021668A">
        <w:rPr>
          <w:rFonts w:ascii="Arial" w:hAnsi="Arial" w:cs="Arial"/>
          <w:lang w:val="en"/>
        </w:rPr>
        <w:t>IIa</w:t>
      </w:r>
      <w:proofErr w:type="spellEnd"/>
      <w:r w:rsidRPr="0021668A">
        <w:rPr>
          <w:rFonts w:ascii="Arial" w:hAnsi="Arial" w:cs="Arial"/>
          <w:lang w:val="en"/>
        </w:rPr>
        <w:t xml:space="preserve"> (206267), Phase IIb (205889) and Phase III (205888) studies, plus other samples obtained from plasma samples of infected individuals. A total of 881 of these samples were from subtype B, 156 samples from subtype C, 43 samples from subtype A, 17 samples from subtype A1, 48 samples from subtype F1, 29 samples from subtype BF1 and 19 samples from subtype BF infected individuals. In addition, there were 5 CRF01_AE samples: four of these samples exhibited IC</w:t>
      </w:r>
      <w:r w:rsidRPr="0021668A">
        <w:rPr>
          <w:rFonts w:ascii="Arial" w:hAnsi="Arial" w:cs="Arial"/>
          <w:vertAlign w:val="subscript"/>
          <w:lang w:val="en"/>
        </w:rPr>
        <w:t>50</w:t>
      </w:r>
      <w:r w:rsidRPr="0021668A">
        <w:rPr>
          <w:rFonts w:ascii="Arial" w:hAnsi="Arial" w:cs="Arial"/>
          <w:lang w:val="en"/>
        </w:rPr>
        <w:t xml:space="preserve"> values above the maximum concentration of the assays used (100 </w:t>
      </w:r>
      <w:proofErr w:type="spellStart"/>
      <w:r w:rsidRPr="0021668A">
        <w:rPr>
          <w:rFonts w:ascii="Arial" w:hAnsi="Arial" w:cs="Arial"/>
          <w:lang w:val="en"/>
        </w:rPr>
        <w:t>nM</w:t>
      </w:r>
      <w:proofErr w:type="spellEnd"/>
      <w:r w:rsidRPr="0021668A">
        <w:rPr>
          <w:rFonts w:ascii="Arial" w:hAnsi="Arial" w:cs="Arial"/>
          <w:lang w:val="en"/>
        </w:rPr>
        <w:t xml:space="preserve"> or 10 </w:t>
      </w:r>
      <w:proofErr w:type="spellStart"/>
      <w:r w:rsidRPr="0021668A">
        <w:rPr>
          <w:rFonts w:ascii="Arial" w:hAnsi="Arial" w:cs="Arial"/>
          <w:lang w:val="en"/>
        </w:rPr>
        <w:t>μM</w:t>
      </w:r>
      <w:proofErr w:type="spellEnd"/>
      <w:r w:rsidRPr="0021668A">
        <w:rPr>
          <w:rFonts w:ascii="Arial" w:hAnsi="Arial" w:cs="Arial"/>
          <w:lang w:val="en"/>
        </w:rPr>
        <w:t>), while one sample exhibited an IC</w:t>
      </w:r>
      <w:r w:rsidRPr="0021668A">
        <w:rPr>
          <w:rFonts w:ascii="Arial" w:hAnsi="Arial" w:cs="Arial"/>
          <w:vertAlign w:val="subscript"/>
          <w:lang w:val="en"/>
        </w:rPr>
        <w:t>50</w:t>
      </w:r>
      <w:r w:rsidRPr="0021668A">
        <w:rPr>
          <w:rFonts w:ascii="Arial" w:hAnsi="Arial" w:cs="Arial"/>
          <w:lang w:val="en"/>
        </w:rPr>
        <w:t xml:space="preserve"> of ~222 </w:t>
      </w:r>
      <w:proofErr w:type="spellStart"/>
      <w:r w:rsidRPr="0021668A">
        <w:rPr>
          <w:rFonts w:ascii="Arial" w:hAnsi="Arial" w:cs="Arial"/>
          <w:lang w:val="en"/>
        </w:rPr>
        <w:t>nM.</w:t>
      </w:r>
      <w:proofErr w:type="spellEnd"/>
      <w:r w:rsidRPr="0021668A">
        <w:rPr>
          <w:rFonts w:ascii="Arial" w:hAnsi="Arial" w:cs="Arial"/>
          <w:lang w:val="en"/>
        </w:rPr>
        <w:t xml:space="preserve"> Of all isolates tested, 53.8% and 80.1% exhibited </w:t>
      </w:r>
      <w:bookmarkStart w:id="29" w:name="_Hlk274112"/>
      <w:r w:rsidRPr="0021668A">
        <w:rPr>
          <w:rFonts w:ascii="Arial" w:hAnsi="Arial" w:cs="Arial"/>
          <w:lang w:val="en"/>
        </w:rPr>
        <w:t>IC</w:t>
      </w:r>
      <w:r w:rsidRPr="0021668A">
        <w:rPr>
          <w:rFonts w:ascii="Arial" w:hAnsi="Arial" w:cs="Arial"/>
          <w:vertAlign w:val="subscript"/>
          <w:lang w:val="en"/>
        </w:rPr>
        <w:t>50</w:t>
      </w:r>
      <w:r w:rsidRPr="0021668A">
        <w:rPr>
          <w:rFonts w:ascii="Arial" w:hAnsi="Arial" w:cs="Arial"/>
          <w:lang w:val="en"/>
        </w:rPr>
        <w:t>s &lt; 1 </w:t>
      </w:r>
      <w:proofErr w:type="spellStart"/>
      <w:r w:rsidRPr="0021668A">
        <w:rPr>
          <w:rFonts w:ascii="Arial" w:hAnsi="Arial" w:cs="Arial"/>
          <w:lang w:val="en"/>
        </w:rPr>
        <w:t>nM</w:t>
      </w:r>
      <w:proofErr w:type="spellEnd"/>
      <w:r w:rsidRPr="0021668A">
        <w:rPr>
          <w:rFonts w:ascii="Arial" w:hAnsi="Arial" w:cs="Arial"/>
          <w:lang w:val="en"/>
        </w:rPr>
        <w:t>, and &lt; 10 </w:t>
      </w:r>
      <w:proofErr w:type="spellStart"/>
      <w:r w:rsidRPr="0021668A">
        <w:rPr>
          <w:rFonts w:ascii="Arial" w:hAnsi="Arial" w:cs="Arial"/>
          <w:lang w:val="en"/>
        </w:rPr>
        <w:t>nM</w:t>
      </w:r>
      <w:bookmarkEnd w:id="29"/>
      <w:proofErr w:type="spellEnd"/>
      <w:r w:rsidRPr="0021668A">
        <w:rPr>
          <w:rFonts w:ascii="Arial" w:hAnsi="Arial" w:cs="Arial"/>
          <w:lang w:val="en"/>
        </w:rPr>
        <w:t xml:space="preserve">, respectively, for all subtypes. Each of the subtypes displayed wide ranges of susceptibility to </w:t>
      </w:r>
      <w:proofErr w:type="spellStart"/>
      <w:r w:rsidRPr="0021668A">
        <w:rPr>
          <w:rFonts w:ascii="Arial" w:hAnsi="Arial" w:cs="Arial"/>
          <w:lang w:val="en"/>
        </w:rPr>
        <w:t>temsavir</w:t>
      </w:r>
      <w:proofErr w:type="spellEnd"/>
      <w:r w:rsidRPr="0021668A">
        <w:rPr>
          <w:rFonts w:ascii="Arial" w:hAnsi="Arial" w:cs="Arial"/>
          <w:lang w:val="en"/>
        </w:rPr>
        <w:t>. For the subtype B viruses, IC</w:t>
      </w:r>
      <w:r w:rsidRPr="0021668A">
        <w:rPr>
          <w:rFonts w:ascii="Arial" w:hAnsi="Arial" w:cs="Arial"/>
          <w:vertAlign w:val="subscript"/>
          <w:lang w:val="en"/>
        </w:rPr>
        <w:t>50</w:t>
      </w:r>
      <w:r w:rsidRPr="0021668A">
        <w:rPr>
          <w:rFonts w:ascii="Arial" w:hAnsi="Arial" w:cs="Arial"/>
          <w:lang w:val="en"/>
        </w:rPr>
        <w:t xml:space="preserve">s ranged from the low </w:t>
      </w:r>
      <w:proofErr w:type="spellStart"/>
      <w:r w:rsidRPr="0021668A">
        <w:rPr>
          <w:rFonts w:ascii="Arial" w:hAnsi="Arial" w:cs="Arial"/>
          <w:lang w:val="en"/>
        </w:rPr>
        <w:t>pM</w:t>
      </w:r>
      <w:proofErr w:type="spellEnd"/>
      <w:r w:rsidRPr="0021668A">
        <w:rPr>
          <w:rFonts w:ascii="Arial" w:hAnsi="Arial" w:cs="Arial"/>
          <w:lang w:val="en"/>
        </w:rPr>
        <w:t xml:space="preserve"> to &gt; 10 </w:t>
      </w:r>
      <w:r w:rsidRPr="00002234">
        <w:rPr>
          <w:rFonts w:ascii="Symbol" w:hAnsi="Symbol"/>
        </w:rPr>
        <w:t></w:t>
      </w:r>
      <w:r w:rsidRPr="0021668A">
        <w:rPr>
          <w:rFonts w:ascii="Arial" w:hAnsi="Arial" w:cs="Arial"/>
          <w:lang w:val="en"/>
        </w:rPr>
        <w:t>M. The other subtypes had similar ranges. Geometric mean IC</w:t>
      </w:r>
      <w:r w:rsidRPr="0021668A">
        <w:rPr>
          <w:rFonts w:ascii="Arial" w:hAnsi="Arial" w:cs="Arial"/>
          <w:vertAlign w:val="subscript"/>
          <w:lang w:val="en"/>
        </w:rPr>
        <w:t>50</w:t>
      </w:r>
      <w:r w:rsidRPr="0021668A">
        <w:rPr>
          <w:rFonts w:ascii="Arial" w:hAnsi="Arial" w:cs="Arial"/>
          <w:lang w:val="en"/>
        </w:rPr>
        <w:t xml:space="preserve">s ranged from 1.15 </w:t>
      </w:r>
      <w:proofErr w:type="spellStart"/>
      <w:r w:rsidRPr="0021668A">
        <w:rPr>
          <w:rFonts w:ascii="Arial" w:hAnsi="Arial" w:cs="Arial"/>
          <w:lang w:val="en"/>
        </w:rPr>
        <w:t>nM</w:t>
      </w:r>
      <w:proofErr w:type="spellEnd"/>
      <w:r w:rsidRPr="0021668A">
        <w:rPr>
          <w:rFonts w:ascii="Arial" w:hAnsi="Arial" w:cs="Arial"/>
          <w:lang w:val="en"/>
        </w:rPr>
        <w:t xml:space="preserve"> for subtype B virus to 34.91 </w:t>
      </w:r>
      <w:proofErr w:type="spellStart"/>
      <w:r w:rsidRPr="0021668A">
        <w:rPr>
          <w:rFonts w:ascii="Arial" w:hAnsi="Arial" w:cs="Arial"/>
          <w:lang w:val="en"/>
        </w:rPr>
        <w:t>nM</w:t>
      </w:r>
      <w:proofErr w:type="spellEnd"/>
      <w:r w:rsidRPr="0021668A">
        <w:rPr>
          <w:rFonts w:ascii="Arial" w:hAnsi="Arial" w:cs="Arial"/>
          <w:lang w:val="en"/>
        </w:rPr>
        <w:t xml:space="preserve"> for the BF1 subtype. These results demonstrate there is a large range of intrinsic susceptibility to </w:t>
      </w:r>
      <w:proofErr w:type="spellStart"/>
      <w:r w:rsidRPr="0021668A">
        <w:rPr>
          <w:rFonts w:ascii="Arial" w:hAnsi="Arial" w:cs="Arial"/>
          <w:lang w:val="en"/>
        </w:rPr>
        <w:t>temsavir</w:t>
      </w:r>
      <w:proofErr w:type="spellEnd"/>
      <w:r w:rsidRPr="0021668A">
        <w:rPr>
          <w:rFonts w:ascii="Arial" w:hAnsi="Arial" w:cs="Arial"/>
          <w:lang w:val="en"/>
        </w:rPr>
        <w:t xml:space="preserve"> in pre-treatment envelopes within the population.</w:t>
      </w:r>
    </w:p>
    <w:p w14:paraId="041BFF61" w14:textId="77777777" w:rsidR="0021668A" w:rsidRPr="006A0340" w:rsidRDefault="0021668A" w:rsidP="006A0340">
      <w:pPr>
        <w:pStyle w:val="Heading4"/>
        <w:numPr>
          <w:ilvl w:val="0"/>
          <w:numId w:val="0"/>
        </w:numPr>
        <w:spacing w:after="240"/>
        <w:rPr>
          <w:rFonts w:ascii="Arial" w:hAnsi="Arial" w:cs="Arial"/>
          <w:color w:val="auto"/>
        </w:rPr>
      </w:pPr>
      <w:bookmarkStart w:id="30" w:name="_Hlk83643995"/>
      <w:bookmarkEnd w:id="24"/>
      <w:r w:rsidRPr="006A0340">
        <w:rPr>
          <w:rFonts w:ascii="Arial" w:hAnsi="Arial" w:cs="Arial"/>
          <w:color w:val="auto"/>
        </w:rPr>
        <w:lastRenderedPageBreak/>
        <w:t>Antiviral Activity in Combination with Other Antiviral Agents</w:t>
      </w:r>
    </w:p>
    <w:p w14:paraId="4120D021" w14:textId="77777777" w:rsidR="0021668A" w:rsidRPr="0021668A" w:rsidRDefault="0021668A" w:rsidP="0021668A">
      <w:pPr>
        <w:rPr>
          <w:rFonts w:ascii="Arial" w:hAnsi="Arial" w:cs="Arial"/>
          <w:lang w:val="en"/>
        </w:rPr>
      </w:pPr>
      <w:r w:rsidRPr="0021668A">
        <w:rPr>
          <w:rFonts w:ascii="Arial" w:hAnsi="Arial" w:cs="Arial"/>
          <w:lang w:val="en"/>
        </w:rPr>
        <w:t xml:space="preserve">No drugs with inherent anti-HIV activity were antagonistic with </w:t>
      </w:r>
      <w:proofErr w:type="spellStart"/>
      <w:r w:rsidRPr="0021668A">
        <w:rPr>
          <w:rFonts w:ascii="Arial" w:hAnsi="Arial" w:cs="Arial"/>
          <w:lang w:val="en"/>
        </w:rPr>
        <w:t>temsavir</w:t>
      </w:r>
      <w:proofErr w:type="spellEnd"/>
      <w:r w:rsidRPr="0021668A">
        <w:rPr>
          <w:rFonts w:ascii="Arial" w:hAnsi="Arial" w:cs="Arial"/>
          <w:lang w:val="en"/>
        </w:rPr>
        <w:t xml:space="preserve"> (</w:t>
      </w:r>
      <w:r w:rsidRPr="0021668A">
        <w:rPr>
          <w:rFonts w:ascii="Arial" w:hAnsi="Arial" w:cs="Arial"/>
          <w:i/>
          <w:lang w:val="en"/>
        </w:rPr>
        <w:t>in vitro</w:t>
      </w:r>
      <w:r w:rsidRPr="0021668A">
        <w:rPr>
          <w:rFonts w:ascii="Arial" w:hAnsi="Arial" w:cs="Arial"/>
          <w:lang w:val="en"/>
        </w:rPr>
        <w:t xml:space="preserve"> assessments were performed in combination with abacavir, </w:t>
      </w:r>
      <w:proofErr w:type="spellStart"/>
      <w:r w:rsidRPr="0021668A">
        <w:rPr>
          <w:rFonts w:ascii="Arial" w:hAnsi="Arial" w:cs="Arial"/>
          <w:lang w:val="en"/>
        </w:rPr>
        <w:t>didanosine</w:t>
      </w:r>
      <w:proofErr w:type="spellEnd"/>
      <w:r w:rsidRPr="0021668A">
        <w:rPr>
          <w:rFonts w:ascii="Arial" w:hAnsi="Arial" w:cs="Arial"/>
          <w:lang w:val="en"/>
        </w:rPr>
        <w:t xml:space="preserve">, zalcitabine, emtricitabine, lamivudine, stavudine, tenofovir disoproxil fumarate, zidovudine, efavirenz, nevirapine, amprenavir, atazanavir, indinavir, lopinavir, nelfinavir, ritonavir, saquinavir, enfuvirtide, maraviroc, ibalizumab, delavirdine, </w:t>
      </w:r>
      <w:proofErr w:type="spellStart"/>
      <w:r w:rsidRPr="0021668A">
        <w:rPr>
          <w:rFonts w:ascii="Arial" w:hAnsi="Arial" w:cs="Arial"/>
          <w:lang w:val="en"/>
        </w:rPr>
        <w:t>rilpivirine</w:t>
      </w:r>
      <w:proofErr w:type="spellEnd"/>
      <w:r w:rsidRPr="0021668A">
        <w:rPr>
          <w:rFonts w:ascii="Arial" w:hAnsi="Arial" w:cs="Arial"/>
          <w:lang w:val="en"/>
        </w:rPr>
        <w:t xml:space="preserve">, darunavir, dolutegravir or </w:t>
      </w:r>
      <w:proofErr w:type="spellStart"/>
      <w:r w:rsidRPr="0021668A">
        <w:rPr>
          <w:rFonts w:ascii="Arial" w:hAnsi="Arial" w:cs="Arial"/>
          <w:lang w:val="en"/>
        </w:rPr>
        <w:t>raltegravir</w:t>
      </w:r>
      <w:proofErr w:type="spellEnd"/>
      <w:r w:rsidRPr="0021668A">
        <w:rPr>
          <w:rFonts w:ascii="Arial" w:hAnsi="Arial" w:cs="Arial"/>
          <w:lang w:val="en"/>
        </w:rPr>
        <w:t xml:space="preserve">). In addition, antivirals without inherent anti-HIV activity (entecavir, ribavirin) have no apparent effect on </w:t>
      </w:r>
      <w:proofErr w:type="spellStart"/>
      <w:r w:rsidRPr="0021668A">
        <w:rPr>
          <w:rFonts w:ascii="Arial" w:hAnsi="Arial" w:cs="Arial"/>
          <w:lang w:val="en"/>
        </w:rPr>
        <w:t>temsavir</w:t>
      </w:r>
      <w:proofErr w:type="spellEnd"/>
      <w:r w:rsidRPr="0021668A">
        <w:rPr>
          <w:rFonts w:ascii="Arial" w:hAnsi="Arial" w:cs="Arial"/>
          <w:lang w:val="en"/>
        </w:rPr>
        <w:t xml:space="preserve"> activity.</w:t>
      </w:r>
    </w:p>
    <w:p w14:paraId="22DD5C0E" w14:textId="77777777" w:rsidR="0021668A" w:rsidRPr="006A0340" w:rsidRDefault="0021668A" w:rsidP="006A0340">
      <w:pPr>
        <w:pStyle w:val="Heading4"/>
        <w:numPr>
          <w:ilvl w:val="0"/>
          <w:numId w:val="0"/>
        </w:numPr>
        <w:spacing w:after="240"/>
        <w:rPr>
          <w:rFonts w:ascii="Arial" w:hAnsi="Arial" w:cs="Arial"/>
          <w:color w:val="auto"/>
        </w:rPr>
      </w:pPr>
      <w:r w:rsidRPr="006A0340">
        <w:rPr>
          <w:rFonts w:ascii="Arial" w:hAnsi="Arial" w:cs="Arial"/>
          <w:color w:val="auto"/>
        </w:rPr>
        <w:t>Effect of Human Serum and Serum Proteins</w:t>
      </w:r>
    </w:p>
    <w:p w14:paraId="2121454D" w14:textId="77777777" w:rsidR="0021668A" w:rsidRPr="0021668A" w:rsidRDefault="0021668A" w:rsidP="0021668A">
      <w:pPr>
        <w:rPr>
          <w:rFonts w:ascii="Arial" w:hAnsi="Arial" w:cs="Arial"/>
          <w:lang w:val="en"/>
        </w:rPr>
      </w:pPr>
      <w:r w:rsidRPr="0021668A">
        <w:rPr>
          <w:rFonts w:ascii="Arial" w:hAnsi="Arial" w:cs="Arial"/>
          <w:i/>
          <w:lang w:val="en"/>
        </w:rPr>
        <w:t>In vitro</w:t>
      </w:r>
      <w:r w:rsidRPr="0021668A">
        <w:rPr>
          <w:rFonts w:ascii="Arial" w:hAnsi="Arial" w:cs="Arial"/>
          <w:lang w:val="en"/>
        </w:rPr>
        <w:t xml:space="preserve"> studies showed no significant serum effect. Infection of PM1 or MT-2 cells with laboratory strains HIV-1 LAI and HIV-1 NL4-3 demonstrated that the presence of 40% human serum decreased the anti-HIV potency of </w:t>
      </w:r>
      <w:proofErr w:type="spellStart"/>
      <w:r w:rsidRPr="0021668A">
        <w:rPr>
          <w:rFonts w:ascii="Arial" w:hAnsi="Arial" w:cs="Arial"/>
          <w:lang w:val="en"/>
        </w:rPr>
        <w:t>temsavir</w:t>
      </w:r>
      <w:proofErr w:type="spellEnd"/>
      <w:r w:rsidRPr="0021668A">
        <w:rPr>
          <w:rFonts w:ascii="Arial" w:hAnsi="Arial" w:cs="Arial"/>
          <w:lang w:val="en"/>
        </w:rPr>
        <w:t xml:space="preserve"> by 1.5-2.1-fold.</w:t>
      </w:r>
    </w:p>
    <w:p w14:paraId="146C6800" w14:textId="77777777" w:rsidR="0021668A" w:rsidRPr="006A0340" w:rsidRDefault="0021668A" w:rsidP="006A0340">
      <w:pPr>
        <w:pStyle w:val="Heading4"/>
        <w:numPr>
          <w:ilvl w:val="0"/>
          <w:numId w:val="0"/>
        </w:numPr>
        <w:spacing w:after="240"/>
        <w:rPr>
          <w:rFonts w:ascii="Arial" w:hAnsi="Arial" w:cs="Arial"/>
          <w:color w:val="auto"/>
        </w:rPr>
      </w:pPr>
      <w:r w:rsidRPr="006A0340">
        <w:rPr>
          <w:rFonts w:ascii="Arial" w:hAnsi="Arial" w:cs="Arial"/>
          <w:color w:val="auto"/>
        </w:rPr>
        <w:t>Resistance in vitro</w:t>
      </w:r>
    </w:p>
    <w:p w14:paraId="1DDE975A" w14:textId="77777777" w:rsidR="0021668A" w:rsidRPr="0021668A" w:rsidRDefault="0021668A" w:rsidP="0021668A">
      <w:pPr>
        <w:rPr>
          <w:rFonts w:ascii="Arial" w:hAnsi="Arial" w:cs="Arial"/>
          <w:lang w:val="en"/>
        </w:rPr>
      </w:pPr>
      <w:r w:rsidRPr="0021668A">
        <w:rPr>
          <w:rFonts w:ascii="Arial" w:hAnsi="Arial" w:cs="Arial"/>
          <w:lang w:val="en"/>
        </w:rPr>
        <w:t xml:space="preserve">HIV-1 variants with reduced susceptibility to </w:t>
      </w:r>
      <w:proofErr w:type="spellStart"/>
      <w:r w:rsidRPr="0021668A">
        <w:rPr>
          <w:rFonts w:ascii="Arial" w:hAnsi="Arial" w:cs="Arial"/>
          <w:lang w:val="en"/>
        </w:rPr>
        <w:t>temsavir</w:t>
      </w:r>
      <w:proofErr w:type="spellEnd"/>
      <w:r w:rsidRPr="0021668A">
        <w:rPr>
          <w:rFonts w:ascii="Arial" w:hAnsi="Arial" w:cs="Arial"/>
          <w:lang w:val="en"/>
        </w:rPr>
        <w:t xml:space="preserve"> were selected in cell culture following passage of NL4-3, LAI and </w:t>
      </w:r>
      <w:proofErr w:type="spellStart"/>
      <w:r w:rsidRPr="0021668A">
        <w:rPr>
          <w:rFonts w:ascii="Arial" w:hAnsi="Arial" w:cs="Arial"/>
          <w:lang w:val="en"/>
        </w:rPr>
        <w:t>BaL</w:t>
      </w:r>
      <w:proofErr w:type="spellEnd"/>
      <w:r w:rsidRPr="0021668A">
        <w:rPr>
          <w:rFonts w:ascii="Arial" w:hAnsi="Arial" w:cs="Arial"/>
          <w:lang w:val="en"/>
        </w:rPr>
        <w:t xml:space="preserve"> viruses in a T-cell line. Emerging amino acids in gp120 that reduced susceptibility were identified and included L116P/Q, A204D, M426L, M434I, and M475I (S375I/N substitutions were identified based on </w:t>
      </w:r>
      <w:r w:rsidRPr="0061437F">
        <w:rPr>
          <w:rFonts w:ascii="Arial" w:hAnsi="Arial" w:cs="Arial"/>
          <w:i/>
          <w:lang w:val="en"/>
        </w:rPr>
        <w:t xml:space="preserve">in vivo </w:t>
      </w:r>
      <w:r w:rsidRPr="0021668A">
        <w:rPr>
          <w:rFonts w:ascii="Arial" w:hAnsi="Arial" w:cs="Arial"/>
          <w:lang w:val="en"/>
        </w:rPr>
        <w:t xml:space="preserve">data with a related attachment inhibitor).  </w:t>
      </w:r>
    </w:p>
    <w:p w14:paraId="7F6118E1" w14:textId="77777777" w:rsidR="0021668A" w:rsidRPr="0021668A" w:rsidRDefault="0021668A" w:rsidP="0021668A">
      <w:pPr>
        <w:rPr>
          <w:rFonts w:ascii="Arial" w:hAnsi="Arial" w:cs="Arial"/>
          <w:lang w:val="en"/>
        </w:rPr>
      </w:pPr>
      <w:r w:rsidRPr="0021668A">
        <w:rPr>
          <w:rFonts w:ascii="Arial" w:hAnsi="Arial" w:cs="Arial"/>
          <w:lang w:val="en"/>
        </w:rPr>
        <w:t xml:space="preserve">Single-substitution recombinant viruses were engineered into the HIV-1 LAI viral background, and the resultant recombinants were examined against </w:t>
      </w:r>
      <w:proofErr w:type="spellStart"/>
      <w:r w:rsidRPr="0021668A">
        <w:rPr>
          <w:rFonts w:ascii="Arial" w:hAnsi="Arial" w:cs="Arial"/>
          <w:lang w:val="en"/>
        </w:rPr>
        <w:t>temsavir</w:t>
      </w:r>
      <w:proofErr w:type="spellEnd"/>
      <w:r w:rsidRPr="0021668A">
        <w:rPr>
          <w:rFonts w:ascii="Arial" w:hAnsi="Arial" w:cs="Arial"/>
          <w:lang w:val="en"/>
        </w:rPr>
        <w:t xml:space="preserve">. Substitution M426L was associated with an 81-fold decrease in </w:t>
      </w:r>
      <w:proofErr w:type="spellStart"/>
      <w:r w:rsidRPr="0021668A">
        <w:rPr>
          <w:rFonts w:ascii="Arial" w:hAnsi="Arial" w:cs="Arial"/>
          <w:lang w:val="en"/>
        </w:rPr>
        <w:t>temsavir</w:t>
      </w:r>
      <w:proofErr w:type="spellEnd"/>
      <w:r w:rsidRPr="0021668A">
        <w:rPr>
          <w:rFonts w:ascii="Arial" w:hAnsi="Arial" w:cs="Arial"/>
          <w:lang w:val="en"/>
        </w:rPr>
        <w:t xml:space="preserve"> sensitivity for the recombinant virus, while a M434I or M475I change displayed a moderate effect on sensitivity to the inhibitor (11- and 4.8-fold decrease, respectively). Two other amino acid substitutions, L116P and A204D, located distal to the CD4 binding pocket of gp120, conferred high levels of resistance to </w:t>
      </w:r>
      <w:proofErr w:type="spellStart"/>
      <w:r w:rsidRPr="0021668A">
        <w:rPr>
          <w:rFonts w:ascii="Arial" w:hAnsi="Arial" w:cs="Arial"/>
          <w:lang w:val="en"/>
        </w:rPr>
        <w:t>temsavir</w:t>
      </w:r>
      <w:proofErr w:type="spellEnd"/>
      <w:r w:rsidRPr="0021668A">
        <w:rPr>
          <w:rFonts w:ascii="Arial" w:hAnsi="Arial" w:cs="Arial"/>
          <w:lang w:val="en"/>
        </w:rPr>
        <w:t xml:space="preserve"> in an LAI background (&gt; 340-fold decrease). However, both amino acids are strictly conserved within clinical envelope genes and these specific polymorphisms at these positions have not been observed clinically during treatment with fostemsavir.</w:t>
      </w:r>
    </w:p>
    <w:p w14:paraId="4B0470FD" w14:textId="77777777" w:rsidR="0021668A" w:rsidRPr="0021668A" w:rsidRDefault="0021668A" w:rsidP="0021668A">
      <w:pPr>
        <w:rPr>
          <w:rFonts w:ascii="Arial" w:hAnsi="Arial" w:cs="Arial"/>
          <w:lang w:val="en"/>
        </w:rPr>
      </w:pPr>
      <w:proofErr w:type="spellStart"/>
      <w:r w:rsidRPr="0021668A">
        <w:rPr>
          <w:rFonts w:ascii="Arial" w:hAnsi="Arial" w:cs="Arial"/>
          <w:lang w:val="en"/>
        </w:rPr>
        <w:t>Temsavir</w:t>
      </w:r>
      <w:proofErr w:type="spellEnd"/>
      <w:r w:rsidRPr="0021668A">
        <w:rPr>
          <w:rFonts w:ascii="Arial" w:hAnsi="Arial" w:cs="Arial"/>
          <w:lang w:val="en"/>
        </w:rPr>
        <w:t xml:space="preserve"> remained active against laboratory derived CD4-independent viruses. Treatment with fostemsavir is therefore unlikely to promote resistance to </w:t>
      </w:r>
      <w:proofErr w:type="spellStart"/>
      <w:r w:rsidRPr="0021668A">
        <w:rPr>
          <w:rFonts w:ascii="Arial" w:hAnsi="Arial" w:cs="Arial"/>
          <w:lang w:val="en"/>
        </w:rPr>
        <w:t>temsavir</w:t>
      </w:r>
      <w:proofErr w:type="spellEnd"/>
      <w:r w:rsidRPr="0021668A">
        <w:rPr>
          <w:rFonts w:ascii="Arial" w:hAnsi="Arial" w:cs="Arial"/>
          <w:lang w:val="en"/>
        </w:rPr>
        <w:t xml:space="preserve"> via generation of CD4 independent virus.</w:t>
      </w:r>
    </w:p>
    <w:p w14:paraId="046F807E" w14:textId="594C9F5E" w:rsidR="0021668A" w:rsidRPr="0021668A" w:rsidRDefault="0021668A" w:rsidP="0021668A">
      <w:pPr>
        <w:rPr>
          <w:rFonts w:ascii="Arial" w:hAnsi="Arial" w:cs="Arial"/>
          <w:lang w:val="en"/>
        </w:rPr>
      </w:pPr>
      <w:r w:rsidRPr="0021668A">
        <w:rPr>
          <w:rFonts w:ascii="Arial" w:hAnsi="Arial" w:cs="Arial"/>
          <w:lang w:val="en"/>
        </w:rPr>
        <w:t xml:space="preserve">There was no evidence of cross-resistance to other ARVs including other HIV-1 entry inhibitors. </w:t>
      </w:r>
      <w:proofErr w:type="spellStart"/>
      <w:r w:rsidRPr="0021668A">
        <w:rPr>
          <w:rFonts w:ascii="Arial" w:hAnsi="Arial" w:cs="Arial"/>
          <w:lang w:val="en"/>
        </w:rPr>
        <w:t>Temsavir</w:t>
      </w:r>
      <w:proofErr w:type="spellEnd"/>
      <w:r w:rsidRPr="0021668A">
        <w:rPr>
          <w:rFonts w:ascii="Arial" w:hAnsi="Arial" w:cs="Arial"/>
          <w:lang w:val="en"/>
        </w:rPr>
        <w:t xml:space="preserve"> retained wild-type activity against viruses resistant to tenofovir, abacavir, zidovudine, lamivudine, </w:t>
      </w:r>
      <w:proofErr w:type="spellStart"/>
      <w:r w:rsidRPr="0021668A">
        <w:rPr>
          <w:rFonts w:ascii="Arial" w:hAnsi="Arial" w:cs="Arial"/>
          <w:lang w:val="en"/>
        </w:rPr>
        <w:t>rilpivirine</w:t>
      </w:r>
      <w:proofErr w:type="spellEnd"/>
      <w:r w:rsidRPr="0021668A">
        <w:rPr>
          <w:rFonts w:ascii="Arial" w:hAnsi="Arial" w:cs="Arial"/>
          <w:lang w:val="en"/>
        </w:rPr>
        <w:t xml:space="preserve">, atazanavir, darunavir and </w:t>
      </w:r>
      <w:proofErr w:type="spellStart"/>
      <w:r w:rsidRPr="0021668A">
        <w:rPr>
          <w:rFonts w:ascii="Arial" w:hAnsi="Arial" w:cs="Arial"/>
          <w:lang w:val="en"/>
        </w:rPr>
        <w:t>raltegravir</w:t>
      </w:r>
      <w:proofErr w:type="spellEnd"/>
      <w:r w:rsidRPr="0021668A">
        <w:rPr>
          <w:rFonts w:ascii="Arial" w:hAnsi="Arial" w:cs="Arial"/>
          <w:lang w:val="en"/>
        </w:rPr>
        <w:t xml:space="preserve"> and all viruses resistant to ibalizumab and enfuvirtide retained full susceptibility to </w:t>
      </w:r>
      <w:proofErr w:type="spellStart"/>
      <w:r w:rsidRPr="0021668A">
        <w:rPr>
          <w:rFonts w:ascii="Arial" w:hAnsi="Arial" w:cs="Arial"/>
          <w:lang w:val="en"/>
        </w:rPr>
        <w:t>temsavir</w:t>
      </w:r>
      <w:proofErr w:type="spellEnd"/>
      <w:r w:rsidRPr="0021668A">
        <w:rPr>
          <w:rFonts w:ascii="Arial" w:hAnsi="Arial" w:cs="Arial"/>
          <w:lang w:val="en"/>
        </w:rPr>
        <w:t>. Although some CCR5-tropic, maraviroc-resistant viruses showed</w:t>
      </w:r>
      <w:r w:rsidR="00172FB3">
        <w:rPr>
          <w:rFonts w:ascii="Arial" w:hAnsi="Arial" w:cs="Arial"/>
          <w:lang w:val="en"/>
        </w:rPr>
        <w:t xml:space="preserve"> reduced susceptibility</w:t>
      </w:r>
      <w:r w:rsidRPr="0021668A">
        <w:rPr>
          <w:rFonts w:ascii="Arial" w:hAnsi="Arial" w:cs="Arial"/>
          <w:lang w:val="en"/>
        </w:rPr>
        <w:t xml:space="preserve"> to </w:t>
      </w:r>
      <w:proofErr w:type="spellStart"/>
      <w:r w:rsidRPr="0021668A">
        <w:rPr>
          <w:rFonts w:ascii="Arial" w:hAnsi="Arial" w:cs="Arial"/>
          <w:lang w:val="en"/>
        </w:rPr>
        <w:t>temsavir</w:t>
      </w:r>
      <w:proofErr w:type="spellEnd"/>
      <w:r w:rsidRPr="0021668A">
        <w:rPr>
          <w:rFonts w:ascii="Arial" w:hAnsi="Arial" w:cs="Arial"/>
          <w:lang w:val="en"/>
        </w:rPr>
        <w:t xml:space="preserve">, there was no absolute correlation.  Additionally, maraviroc, ibalizumab and enfuvirtide retained activity against site-directed mutants with reduced susceptibility to </w:t>
      </w:r>
      <w:proofErr w:type="spellStart"/>
      <w:r w:rsidRPr="0021668A">
        <w:rPr>
          <w:rFonts w:ascii="Arial" w:hAnsi="Arial" w:cs="Arial"/>
          <w:lang w:val="en"/>
        </w:rPr>
        <w:t>temsavir</w:t>
      </w:r>
      <w:proofErr w:type="spellEnd"/>
      <w:r w:rsidRPr="0021668A">
        <w:rPr>
          <w:rFonts w:ascii="Arial" w:hAnsi="Arial" w:cs="Arial"/>
          <w:lang w:val="en"/>
        </w:rPr>
        <w:t xml:space="preserve">, or against clinical envelopes that had low baseline susceptibility to </w:t>
      </w:r>
      <w:proofErr w:type="spellStart"/>
      <w:r w:rsidRPr="0021668A">
        <w:rPr>
          <w:rFonts w:ascii="Arial" w:hAnsi="Arial" w:cs="Arial"/>
          <w:lang w:val="en"/>
        </w:rPr>
        <w:t>temsavir</w:t>
      </w:r>
      <w:proofErr w:type="spellEnd"/>
      <w:r w:rsidRPr="0021668A">
        <w:rPr>
          <w:rFonts w:ascii="Arial" w:hAnsi="Arial" w:cs="Arial"/>
          <w:lang w:val="en"/>
        </w:rPr>
        <w:t xml:space="preserve"> and contained S375H, M426L, or M426L plus M475I substitutions. </w:t>
      </w:r>
    </w:p>
    <w:p w14:paraId="44A10870" w14:textId="77777777" w:rsidR="0021668A" w:rsidRPr="006A0340" w:rsidRDefault="0021668A" w:rsidP="006A0340">
      <w:pPr>
        <w:pStyle w:val="Heading4"/>
        <w:numPr>
          <w:ilvl w:val="0"/>
          <w:numId w:val="0"/>
        </w:numPr>
        <w:spacing w:after="240"/>
        <w:rPr>
          <w:rFonts w:ascii="Arial" w:hAnsi="Arial" w:cs="Arial"/>
          <w:color w:val="auto"/>
        </w:rPr>
      </w:pPr>
      <w:r w:rsidRPr="006A0340">
        <w:rPr>
          <w:rFonts w:ascii="Arial" w:hAnsi="Arial" w:cs="Arial"/>
          <w:color w:val="auto"/>
        </w:rPr>
        <w:lastRenderedPageBreak/>
        <w:t xml:space="preserve">Resistance in vivo </w:t>
      </w:r>
    </w:p>
    <w:p w14:paraId="70CD8009" w14:textId="77777777" w:rsidR="0021668A" w:rsidRPr="0021668A" w:rsidRDefault="0021668A" w:rsidP="0021668A">
      <w:pPr>
        <w:rPr>
          <w:rFonts w:ascii="Arial" w:hAnsi="Arial" w:cs="Arial"/>
          <w:lang w:val="en"/>
        </w:rPr>
      </w:pPr>
      <w:r w:rsidRPr="0021668A">
        <w:rPr>
          <w:rFonts w:ascii="Arial" w:hAnsi="Arial" w:cs="Arial"/>
          <w:lang w:val="en"/>
        </w:rPr>
        <w:t xml:space="preserve">Results of the Phase III study (BRIGHTE [205888]) in heavily treatment-experienced adult subjects demonstrated that, overall, virologic response at Day 8 and subsequent timepoints (Weeks 24, 48, and 96) in the </w:t>
      </w:r>
      <w:proofErr w:type="spellStart"/>
      <w:r w:rsidRPr="0021668A">
        <w:rPr>
          <w:rFonts w:ascii="Arial" w:hAnsi="Arial" w:cs="Arial"/>
          <w:lang w:val="en"/>
        </w:rPr>
        <w:t>Randomised</w:t>
      </w:r>
      <w:proofErr w:type="spellEnd"/>
      <w:r w:rsidRPr="0021668A">
        <w:rPr>
          <w:rFonts w:ascii="Arial" w:hAnsi="Arial" w:cs="Arial"/>
          <w:lang w:val="en"/>
        </w:rPr>
        <w:t xml:space="preserve"> Cohort was not reliably predicted by baseline </w:t>
      </w:r>
      <w:proofErr w:type="spellStart"/>
      <w:r w:rsidRPr="0021668A">
        <w:rPr>
          <w:rFonts w:ascii="Arial" w:hAnsi="Arial" w:cs="Arial"/>
          <w:lang w:val="en"/>
        </w:rPr>
        <w:t>temsavir</w:t>
      </w:r>
      <w:proofErr w:type="spellEnd"/>
      <w:r w:rsidRPr="0021668A">
        <w:rPr>
          <w:rFonts w:ascii="Arial" w:hAnsi="Arial" w:cs="Arial"/>
          <w:lang w:val="en"/>
        </w:rPr>
        <w:t xml:space="preserve"> IC</w:t>
      </w:r>
      <w:r w:rsidRPr="0021668A">
        <w:rPr>
          <w:rFonts w:ascii="Arial" w:hAnsi="Arial" w:cs="Arial"/>
          <w:vertAlign w:val="subscript"/>
          <w:lang w:val="en"/>
        </w:rPr>
        <w:t>50</w:t>
      </w:r>
      <w:r w:rsidRPr="0021668A">
        <w:rPr>
          <w:rFonts w:ascii="Arial" w:hAnsi="Arial" w:cs="Arial"/>
          <w:lang w:val="en"/>
        </w:rPr>
        <w:t xml:space="preserve">-fold change value or the presence of a gp160 substitution of interest.  </w:t>
      </w:r>
    </w:p>
    <w:p w14:paraId="16B5C0D3" w14:textId="77777777" w:rsidR="0021668A" w:rsidRPr="0021668A" w:rsidRDefault="0021668A" w:rsidP="0021668A">
      <w:pPr>
        <w:rPr>
          <w:rFonts w:ascii="Arial" w:hAnsi="Arial" w:cs="Arial"/>
          <w:lang w:val="en"/>
        </w:rPr>
      </w:pPr>
      <w:proofErr w:type="spellStart"/>
      <w:r w:rsidRPr="0021668A">
        <w:rPr>
          <w:rFonts w:ascii="Arial" w:hAnsi="Arial" w:cs="Arial"/>
          <w:lang w:val="en"/>
        </w:rPr>
        <w:t>Temsavir</w:t>
      </w:r>
      <w:proofErr w:type="spellEnd"/>
      <w:r w:rsidRPr="0021668A">
        <w:rPr>
          <w:rFonts w:ascii="Arial" w:hAnsi="Arial" w:cs="Arial"/>
          <w:lang w:val="en"/>
        </w:rPr>
        <w:t xml:space="preserve"> IC</w:t>
      </w:r>
      <w:r w:rsidRPr="00C33EF2">
        <w:rPr>
          <w:rFonts w:ascii="Arial" w:hAnsi="Arial" w:cs="Arial"/>
          <w:vertAlign w:val="subscript"/>
          <w:lang w:val="en"/>
        </w:rPr>
        <w:t>50</w:t>
      </w:r>
      <w:r w:rsidRPr="0021668A">
        <w:rPr>
          <w:rFonts w:ascii="Arial" w:hAnsi="Arial" w:cs="Arial"/>
          <w:lang w:val="en"/>
        </w:rPr>
        <w:t xml:space="preserve"> FC &gt;100-fold was associated with a median change in HIV-1 RNA from Day 1 to Day 8 of &lt;0.5 log10 c/</w:t>
      </w:r>
      <w:proofErr w:type="spellStart"/>
      <w:r w:rsidRPr="0021668A">
        <w:rPr>
          <w:rFonts w:ascii="Arial" w:hAnsi="Arial" w:cs="Arial"/>
          <w:lang w:val="en"/>
        </w:rPr>
        <w:t>mL.</w:t>
      </w:r>
      <w:proofErr w:type="spellEnd"/>
      <w:r w:rsidRPr="0021668A">
        <w:rPr>
          <w:rFonts w:ascii="Arial" w:hAnsi="Arial" w:cs="Arial"/>
          <w:lang w:val="en"/>
        </w:rPr>
        <w:t xml:space="preserve"> Similarly, the presence at baseline of pre-defined gp160 substitutions, identified as potentially important for determining phenotypic susceptibility to </w:t>
      </w:r>
      <w:proofErr w:type="spellStart"/>
      <w:r w:rsidRPr="0021668A">
        <w:rPr>
          <w:rFonts w:ascii="Arial" w:hAnsi="Arial" w:cs="Arial"/>
          <w:lang w:val="en"/>
        </w:rPr>
        <w:t>temsavir</w:t>
      </w:r>
      <w:proofErr w:type="spellEnd"/>
      <w:r w:rsidRPr="0021668A">
        <w:rPr>
          <w:rFonts w:ascii="Arial" w:hAnsi="Arial" w:cs="Arial"/>
          <w:lang w:val="en"/>
        </w:rPr>
        <w:t xml:space="preserve"> (S375H/I/M/N/T, M426L/P, M434I/K and M475I), was associated with a lower decline in HIV-1 RNA. However, increased baseline </w:t>
      </w:r>
      <w:proofErr w:type="spellStart"/>
      <w:r w:rsidRPr="0021668A">
        <w:rPr>
          <w:rFonts w:ascii="Arial" w:hAnsi="Arial" w:cs="Arial"/>
          <w:lang w:val="en"/>
        </w:rPr>
        <w:t>temsavir</w:t>
      </w:r>
      <w:proofErr w:type="spellEnd"/>
      <w:r w:rsidRPr="0021668A">
        <w:rPr>
          <w:rFonts w:ascii="Arial" w:hAnsi="Arial" w:cs="Arial"/>
          <w:lang w:val="en"/>
        </w:rPr>
        <w:t xml:space="preserve"> IC</w:t>
      </w:r>
      <w:r w:rsidRPr="0021668A">
        <w:rPr>
          <w:rFonts w:ascii="Arial" w:hAnsi="Arial" w:cs="Arial"/>
          <w:vertAlign w:val="subscript"/>
          <w:lang w:val="en"/>
        </w:rPr>
        <w:t>50</w:t>
      </w:r>
      <w:r w:rsidRPr="0021668A">
        <w:rPr>
          <w:rFonts w:ascii="Arial" w:hAnsi="Arial" w:cs="Arial"/>
          <w:lang w:val="en"/>
        </w:rPr>
        <w:t xml:space="preserve"> FC, or the presence of pre-defined gp160 substitutions, did not preclude subjects from achieving a response of &gt;1 log10 c/mL at Day 8. Indeed, 8 of 21 (38%) subjects with IC50 FC &gt;100-fold did achieve a Day 8 response &gt;0.5 log10 c/mL and 7/21 (33%) subjects achieved a &gt;1 log</w:t>
      </w:r>
      <w:r w:rsidRPr="0021668A">
        <w:rPr>
          <w:rFonts w:ascii="Arial" w:hAnsi="Arial" w:cs="Arial"/>
          <w:vertAlign w:val="subscript"/>
          <w:lang w:val="en"/>
        </w:rPr>
        <w:t>10</w:t>
      </w:r>
      <w:r w:rsidRPr="0021668A">
        <w:rPr>
          <w:rFonts w:ascii="Arial" w:hAnsi="Arial" w:cs="Arial"/>
          <w:lang w:val="en"/>
        </w:rPr>
        <w:t xml:space="preserve"> c/mL decline in viral load. Subjects with no pre-defined gp160 substitutions present at baseline achieved a median change in HIV-1 RNA of -1.032 log</w:t>
      </w:r>
      <w:r w:rsidRPr="0021668A">
        <w:rPr>
          <w:rFonts w:ascii="Arial" w:hAnsi="Arial" w:cs="Arial"/>
          <w:vertAlign w:val="subscript"/>
          <w:lang w:val="en"/>
        </w:rPr>
        <w:t>10</w:t>
      </w:r>
      <w:r w:rsidRPr="0021668A">
        <w:rPr>
          <w:rFonts w:ascii="Arial" w:hAnsi="Arial" w:cs="Arial"/>
          <w:lang w:val="en"/>
        </w:rPr>
        <w:t xml:space="preserve"> c/mL at Day 8, compared to -0.652 log</w:t>
      </w:r>
      <w:r w:rsidRPr="0021668A">
        <w:rPr>
          <w:rFonts w:ascii="Arial" w:hAnsi="Arial" w:cs="Arial"/>
          <w:vertAlign w:val="subscript"/>
          <w:lang w:val="en"/>
        </w:rPr>
        <w:t>10</w:t>
      </w:r>
      <w:r w:rsidRPr="0021668A">
        <w:rPr>
          <w:rFonts w:ascii="Arial" w:hAnsi="Arial" w:cs="Arial"/>
          <w:lang w:val="en"/>
        </w:rPr>
        <w:t xml:space="preserve"> c/mL change in viral load in subjects with pre-defined gp160 substitutions present. Baseline gp160 substitutions most associated with response &lt;0.5 log</w:t>
      </w:r>
      <w:r w:rsidRPr="0021668A">
        <w:rPr>
          <w:rFonts w:ascii="Arial" w:hAnsi="Arial" w:cs="Arial"/>
          <w:vertAlign w:val="subscript"/>
          <w:lang w:val="en"/>
        </w:rPr>
        <w:t>10</w:t>
      </w:r>
      <w:r w:rsidRPr="0021668A">
        <w:rPr>
          <w:rFonts w:ascii="Arial" w:hAnsi="Arial" w:cs="Arial"/>
          <w:lang w:val="en"/>
        </w:rPr>
        <w:t xml:space="preserve"> c/mL at Day 8 were S375H/M/N and M426L.</w:t>
      </w:r>
    </w:p>
    <w:p w14:paraId="55B31353" w14:textId="77777777" w:rsidR="0021668A" w:rsidRPr="0021668A" w:rsidRDefault="0021668A" w:rsidP="0021668A">
      <w:pPr>
        <w:rPr>
          <w:rFonts w:ascii="Arial" w:hAnsi="Arial" w:cs="Arial"/>
          <w:lang w:val="en"/>
        </w:rPr>
      </w:pPr>
      <w:r w:rsidRPr="0021668A">
        <w:rPr>
          <w:rFonts w:ascii="Arial" w:hAnsi="Arial" w:cs="Arial"/>
          <w:lang w:val="en"/>
        </w:rPr>
        <w:t xml:space="preserve">With the addition of an </w:t>
      </w:r>
      <w:proofErr w:type="spellStart"/>
      <w:r w:rsidRPr="0021668A">
        <w:rPr>
          <w:rFonts w:ascii="Arial" w:hAnsi="Arial" w:cs="Arial"/>
          <w:lang w:val="en"/>
        </w:rPr>
        <w:t>optimised</w:t>
      </w:r>
      <w:proofErr w:type="spellEnd"/>
      <w:r w:rsidRPr="0021668A">
        <w:rPr>
          <w:rFonts w:ascii="Arial" w:hAnsi="Arial" w:cs="Arial"/>
          <w:lang w:val="en"/>
        </w:rPr>
        <w:t xml:space="preserve"> background therapy, increased baseline </w:t>
      </w:r>
      <w:proofErr w:type="spellStart"/>
      <w:r w:rsidRPr="0021668A">
        <w:rPr>
          <w:rFonts w:ascii="Arial" w:hAnsi="Arial" w:cs="Arial"/>
          <w:lang w:val="en"/>
        </w:rPr>
        <w:t>temsavir</w:t>
      </w:r>
      <w:proofErr w:type="spellEnd"/>
      <w:r w:rsidRPr="0021668A">
        <w:rPr>
          <w:rFonts w:ascii="Arial" w:hAnsi="Arial" w:cs="Arial"/>
          <w:lang w:val="en"/>
        </w:rPr>
        <w:t xml:space="preserve"> IC</w:t>
      </w:r>
      <w:r w:rsidRPr="00C33EF2">
        <w:rPr>
          <w:rFonts w:ascii="Arial" w:hAnsi="Arial" w:cs="Arial"/>
          <w:vertAlign w:val="subscript"/>
          <w:lang w:val="en"/>
        </w:rPr>
        <w:t>50</w:t>
      </w:r>
      <w:r w:rsidRPr="0021668A">
        <w:rPr>
          <w:rFonts w:ascii="Arial" w:hAnsi="Arial" w:cs="Arial"/>
          <w:lang w:val="en"/>
        </w:rPr>
        <w:t xml:space="preserve"> FC, or the presence of pre-defined gp160 substitutions, did not influence durability of response (HIV-1 RNA &lt;40 c/mL) through Week 96. These results demonstrate that response to fostemsavir, as determined by baseline virologic factors, is highly context dependent.</w:t>
      </w:r>
    </w:p>
    <w:p w14:paraId="51F94B97" w14:textId="6B8ACAF6" w:rsidR="0021668A" w:rsidRDefault="0021668A" w:rsidP="0021668A">
      <w:pPr>
        <w:rPr>
          <w:rFonts w:ascii="Arial" w:hAnsi="Arial" w:cs="Arial"/>
          <w:lang w:val="en"/>
        </w:rPr>
      </w:pPr>
      <w:r w:rsidRPr="0021668A">
        <w:rPr>
          <w:rFonts w:ascii="Arial" w:hAnsi="Arial" w:cs="Arial"/>
          <w:lang w:val="en"/>
        </w:rPr>
        <w:t xml:space="preserve">The percentage of </w:t>
      </w:r>
      <w:proofErr w:type="spellStart"/>
      <w:r w:rsidRPr="0021668A">
        <w:rPr>
          <w:rFonts w:ascii="Arial" w:hAnsi="Arial" w:cs="Arial"/>
          <w:lang w:val="en"/>
        </w:rPr>
        <w:t>Randomised</w:t>
      </w:r>
      <w:proofErr w:type="spellEnd"/>
      <w:r w:rsidRPr="0021668A">
        <w:rPr>
          <w:rFonts w:ascii="Arial" w:hAnsi="Arial" w:cs="Arial"/>
          <w:lang w:val="en"/>
        </w:rPr>
        <w:t xml:space="preserve"> subjects who experienced protocol defined virologic failure (PDVF) was 11% (31/272) through Week 24, 18% (49/272) through Week 48, and 23% (63/272) through Week 96. The criteria for PDVF were as follows: HIV-1 RNA confirmed, or last available prior to discontinuation, ≥400 c/mL at any time after prior confirmed suppression to &lt;400 c/mL, or confirmed, or last available, &gt;1 log</w:t>
      </w:r>
      <w:r w:rsidRPr="0021668A">
        <w:rPr>
          <w:rFonts w:ascii="Arial" w:hAnsi="Arial" w:cs="Arial"/>
          <w:vertAlign w:val="subscript"/>
          <w:lang w:val="en"/>
        </w:rPr>
        <w:t>10</w:t>
      </w:r>
      <w:r w:rsidRPr="0021668A">
        <w:rPr>
          <w:rFonts w:ascii="Arial" w:hAnsi="Arial" w:cs="Arial"/>
          <w:lang w:val="en"/>
        </w:rPr>
        <w:t xml:space="preserve"> c/mL increase in HIV-1 RNA at any time above nadir level where nadir is ≥40 c/mL (prior to Week 24); HIV-1 RNA confirmed, or last available, ≥400 c/mL (at or after Week 24). In the PDVF population through Week 96, 48% (24/50) of evaluable </w:t>
      </w:r>
      <w:proofErr w:type="spellStart"/>
      <w:r w:rsidRPr="0021668A">
        <w:rPr>
          <w:rFonts w:ascii="Arial" w:hAnsi="Arial" w:cs="Arial"/>
          <w:lang w:val="en"/>
        </w:rPr>
        <w:t>Randomised</w:t>
      </w:r>
      <w:proofErr w:type="spellEnd"/>
      <w:r w:rsidRPr="0021668A">
        <w:rPr>
          <w:rFonts w:ascii="Arial" w:hAnsi="Arial" w:cs="Arial"/>
          <w:lang w:val="en"/>
        </w:rPr>
        <w:t xml:space="preserve"> subjects had treatment-emergent gp160 genotypic substitutions of interest. Most frequently, there was emergence of M426L (32%), S375N (2</w:t>
      </w:r>
      <w:r w:rsidR="00172FB3">
        <w:rPr>
          <w:rFonts w:ascii="Arial" w:hAnsi="Arial" w:cs="Arial"/>
          <w:lang w:val="en"/>
        </w:rPr>
        <w:t>4</w:t>
      </w:r>
      <w:r w:rsidRPr="0021668A">
        <w:rPr>
          <w:rFonts w:ascii="Arial" w:hAnsi="Arial" w:cs="Arial"/>
          <w:lang w:val="en"/>
        </w:rPr>
        <w:t xml:space="preserve">%), M475I (12%) and M434I (10%).  Median increase in </w:t>
      </w:r>
      <w:proofErr w:type="spellStart"/>
      <w:r w:rsidRPr="0021668A">
        <w:rPr>
          <w:rFonts w:ascii="Arial" w:hAnsi="Arial" w:cs="Arial"/>
          <w:lang w:val="en"/>
        </w:rPr>
        <w:t>temsavir</w:t>
      </w:r>
      <w:proofErr w:type="spellEnd"/>
      <w:r w:rsidRPr="0021668A">
        <w:rPr>
          <w:rFonts w:ascii="Arial" w:hAnsi="Arial" w:cs="Arial"/>
          <w:lang w:val="en"/>
        </w:rPr>
        <w:t xml:space="preserve"> IC</w:t>
      </w:r>
      <w:r w:rsidRPr="00C33EF2">
        <w:rPr>
          <w:rFonts w:ascii="Arial" w:hAnsi="Arial" w:cs="Arial"/>
          <w:vertAlign w:val="subscript"/>
          <w:lang w:val="en"/>
        </w:rPr>
        <w:t>50</w:t>
      </w:r>
      <w:r w:rsidRPr="0021668A">
        <w:rPr>
          <w:rFonts w:ascii="Arial" w:hAnsi="Arial" w:cs="Arial"/>
          <w:lang w:val="en"/>
        </w:rPr>
        <w:t xml:space="preserve"> FC among </w:t>
      </w:r>
      <w:proofErr w:type="spellStart"/>
      <w:r w:rsidRPr="0021668A">
        <w:rPr>
          <w:rFonts w:ascii="Arial" w:hAnsi="Arial" w:cs="Arial"/>
          <w:lang w:val="en"/>
        </w:rPr>
        <w:t>Randomised</w:t>
      </w:r>
      <w:proofErr w:type="spellEnd"/>
      <w:r w:rsidRPr="0021668A">
        <w:rPr>
          <w:rFonts w:ascii="Arial" w:hAnsi="Arial" w:cs="Arial"/>
          <w:lang w:val="en"/>
        </w:rPr>
        <w:t xml:space="preserve"> subjects meeting PDVF criteria was 1.67-fold; 37% (19/51) of evaluable subjects had </w:t>
      </w:r>
      <w:proofErr w:type="spellStart"/>
      <w:r w:rsidRPr="0021668A">
        <w:rPr>
          <w:rFonts w:ascii="Arial" w:hAnsi="Arial" w:cs="Arial"/>
          <w:lang w:val="en"/>
        </w:rPr>
        <w:t>temsavir</w:t>
      </w:r>
      <w:proofErr w:type="spellEnd"/>
      <w:r w:rsidRPr="0021668A">
        <w:rPr>
          <w:rFonts w:ascii="Arial" w:hAnsi="Arial" w:cs="Arial"/>
          <w:lang w:val="en"/>
        </w:rPr>
        <w:t xml:space="preserve"> IC</w:t>
      </w:r>
      <w:r w:rsidRPr="00C33EF2">
        <w:rPr>
          <w:rFonts w:ascii="Arial" w:hAnsi="Arial" w:cs="Arial"/>
          <w:vertAlign w:val="subscript"/>
          <w:lang w:val="en"/>
        </w:rPr>
        <w:t>50</w:t>
      </w:r>
      <w:r w:rsidRPr="0021668A">
        <w:rPr>
          <w:rFonts w:ascii="Arial" w:hAnsi="Arial" w:cs="Arial"/>
          <w:lang w:val="en"/>
        </w:rPr>
        <w:t xml:space="preserve"> FC </w:t>
      </w:r>
      <w:r w:rsidR="00C33EF2" w:rsidRPr="005E5E21">
        <w:rPr>
          <w:szCs w:val="24"/>
        </w:rPr>
        <w:sym w:font="Symbol" w:char="F0A3"/>
      </w:r>
      <w:r w:rsidRPr="0021668A">
        <w:rPr>
          <w:rFonts w:ascii="Arial" w:hAnsi="Arial" w:cs="Arial"/>
          <w:lang w:val="en"/>
        </w:rPr>
        <w:t xml:space="preserve">10-fold and 49% (25/51) had </w:t>
      </w:r>
      <w:proofErr w:type="spellStart"/>
      <w:r w:rsidRPr="0021668A">
        <w:rPr>
          <w:rFonts w:ascii="Arial" w:hAnsi="Arial" w:cs="Arial"/>
          <w:lang w:val="en"/>
        </w:rPr>
        <w:t>temsavir</w:t>
      </w:r>
      <w:proofErr w:type="spellEnd"/>
      <w:r w:rsidRPr="0021668A">
        <w:rPr>
          <w:rFonts w:ascii="Arial" w:hAnsi="Arial" w:cs="Arial"/>
          <w:lang w:val="en"/>
        </w:rPr>
        <w:t xml:space="preserve"> IC</w:t>
      </w:r>
      <w:r w:rsidRPr="00C33EF2">
        <w:rPr>
          <w:rFonts w:ascii="Arial" w:hAnsi="Arial" w:cs="Arial"/>
          <w:vertAlign w:val="subscript"/>
          <w:lang w:val="en"/>
        </w:rPr>
        <w:t>50</w:t>
      </w:r>
      <w:r w:rsidRPr="0021668A">
        <w:rPr>
          <w:rFonts w:ascii="Arial" w:hAnsi="Arial" w:cs="Arial"/>
          <w:lang w:val="en"/>
        </w:rPr>
        <w:t xml:space="preserve"> FC </w:t>
      </w:r>
      <w:r w:rsidR="00C33EF2" w:rsidRPr="005E5E21">
        <w:rPr>
          <w:szCs w:val="24"/>
        </w:rPr>
        <w:sym w:font="Symbol" w:char="F0A3"/>
      </w:r>
      <w:r w:rsidRPr="0021668A">
        <w:rPr>
          <w:rFonts w:ascii="Arial" w:hAnsi="Arial" w:cs="Arial"/>
          <w:lang w:val="en"/>
        </w:rPr>
        <w:t xml:space="preserve">100-fold at the time of virologic failure, indicating that a proportion of subjects likely retained phenotypic susceptibility to </w:t>
      </w:r>
      <w:proofErr w:type="spellStart"/>
      <w:r w:rsidRPr="0021668A">
        <w:rPr>
          <w:rFonts w:ascii="Arial" w:hAnsi="Arial" w:cs="Arial"/>
          <w:lang w:val="en"/>
        </w:rPr>
        <w:t>temsavir</w:t>
      </w:r>
      <w:proofErr w:type="spellEnd"/>
      <w:r w:rsidRPr="0021668A">
        <w:rPr>
          <w:rFonts w:ascii="Arial" w:hAnsi="Arial" w:cs="Arial"/>
          <w:lang w:val="en"/>
        </w:rPr>
        <w:t>, despite meeting virologic failure criteria (</w:t>
      </w:r>
      <w:proofErr w:type="spellStart"/>
      <w:r w:rsidRPr="0021668A">
        <w:rPr>
          <w:rFonts w:ascii="Arial" w:hAnsi="Arial" w:cs="Arial"/>
          <w:lang w:val="en"/>
        </w:rPr>
        <w:t>temsavir</w:t>
      </w:r>
      <w:proofErr w:type="spellEnd"/>
      <w:r w:rsidRPr="0021668A">
        <w:rPr>
          <w:rFonts w:ascii="Arial" w:hAnsi="Arial" w:cs="Arial"/>
          <w:lang w:val="en"/>
        </w:rPr>
        <w:t xml:space="preserve"> IC</w:t>
      </w:r>
      <w:r w:rsidRPr="00C33EF2">
        <w:rPr>
          <w:rFonts w:ascii="Arial" w:hAnsi="Arial" w:cs="Arial"/>
          <w:vertAlign w:val="subscript"/>
          <w:lang w:val="en"/>
        </w:rPr>
        <w:t>50</w:t>
      </w:r>
      <w:r w:rsidRPr="0021668A">
        <w:rPr>
          <w:rFonts w:ascii="Arial" w:hAnsi="Arial" w:cs="Arial"/>
          <w:lang w:val="en"/>
        </w:rPr>
        <w:t xml:space="preserve"> FC is </w:t>
      </w:r>
      <w:proofErr w:type="spellStart"/>
      <w:r w:rsidRPr="0021668A">
        <w:rPr>
          <w:rFonts w:ascii="Arial" w:hAnsi="Arial" w:cs="Arial"/>
          <w:lang w:val="en"/>
        </w:rPr>
        <w:t>normalised</w:t>
      </w:r>
      <w:proofErr w:type="spellEnd"/>
      <w:r w:rsidRPr="0021668A">
        <w:rPr>
          <w:rFonts w:ascii="Arial" w:hAnsi="Arial" w:cs="Arial"/>
          <w:lang w:val="en"/>
        </w:rPr>
        <w:t xml:space="preserve"> to a 1nM reference virus and is therefore approximately equal to </w:t>
      </w:r>
      <w:proofErr w:type="spellStart"/>
      <w:r w:rsidRPr="0021668A">
        <w:rPr>
          <w:rFonts w:ascii="Arial" w:hAnsi="Arial" w:cs="Arial"/>
          <w:lang w:val="en"/>
        </w:rPr>
        <w:t>temsavir</w:t>
      </w:r>
      <w:proofErr w:type="spellEnd"/>
      <w:r w:rsidRPr="0021668A">
        <w:rPr>
          <w:rFonts w:ascii="Arial" w:hAnsi="Arial" w:cs="Arial"/>
          <w:lang w:val="en"/>
        </w:rPr>
        <w:t xml:space="preserve"> IC</w:t>
      </w:r>
      <w:r w:rsidRPr="00C33EF2">
        <w:rPr>
          <w:rFonts w:ascii="Arial" w:hAnsi="Arial" w:cs="Arial"/>
          <w:vertAlign w:val="subscript"/>
          <w:lang w:val="en"/>
        </w:rPr>
        <w:t>50</w:t>
      </w:r>
      <w:r w:rsidRPr="0021668A">
        <w:rPr>
          <w:rFonts w:ascii="Arial" w:hAnsi="Arial" w:cs="Arial"/>
          <w:lang w:val="en"/>
        </w:rPr>
        <w:t xml:space="preserve"> expressed in </w:t>
      </w:r>
      <w:proofErr w:type="spellStart"/>
      <w:r w:rsidRPr="0021668A">
        <w:rPr>
          <w:rFonts w:ascii="Arial" w:hAnsi="Arial" w:cs="Arial"/>
          <w:lang w:val="en"/>
        </w:rPr>
        <w:t>nM</w:t>
      </w:r>
      <w:proofErr w:type="spellEnd"/>
      <w:r w:rsidRPr="0021668A">
        <w:rPr>
          <w:rFonts w:ascii="Arial" w:hAnsi="Arial" w:cs="Arial"/>
          <w:lang w:val="en"/>
        </w:rPr>
        <w:t xml:space="preserve">). Approximately 30% (17/63) of </w:t>
      </w:r>
      <w:proofErr w:type="spellStart"/>
      <w:r w:rsidRPr="0021668A">
        <w:rPr>
          <w:rFonts w:ascii="Arial" w:hAnsi="Arial" w:cs="Arial"/>
          <w:lang w:val="en"/>
        </w:rPr>
        <w:t>Randomised</w:t>
      </w:r>
      <w:proofErr w:type="spellEnd"/>
      <w:r w:rsidRPr="0021668A">
        <w:rPr>
          <w:rFonts w:ascii="Arial" w:hAnsi="Arial" w:cs="Arial"/>
          <w:lang w:val="en"/>
        </w:rPr>
        <w:t xml:space="preserve"> subjects who met PDVF were subsequently able to achieve virologic suppression to &lt;40 c/</w:t>
      </w:r>
      <w:proofErr w:type="spellStart"/>
      <w:r w:rsidRPr="0021668A">
        <w:rPr>
          <w:rFonts w:ascii="Arial" w:hAnsi="Arial" w:cs="Arial"/>
          <w:lang w:val="en"/>
        </w:rPr>
        <w:t>mL.</w:t>
      </w:r>
      <w:proofErr w:type="spellEnd"/>
    </w:p>
    <w:p w14:paraId="00D74E1B" w14:textId="47E1455B" w:rsidR="00CB3445" w:rsidRPr="003E4D3E" w:rsidRDefault="00CB3445" w:rsidP="003E4D3E">
      <w:pPr>
        <w:pStyle w:val="Heading4"/>
        <w:numPr>
          <w:ilvl w:val="0"/>
          <w:numId w:val="0"/>
        </w:numPr>
        <w:spacing w:after="240"/>
        <w:rPr>
          <w:rFonts w:ascii="Arial" w:hAnsi="Arial" w:cs="Arial"/>
          <w:color w:val="auto"/>
        </w:rPr>
      </w:pPr>
      <w:bookmarkStart w:id="31" w:name="_Hlk83644163"/>
      <w:bookmarkEnd w:id="30"/>
      <w:r w:rsidRPr="003E4D3E">
        <w:rPr>
          <w:rFonts w:ascii="Arial" w:hAnsi="Arial" w:cs="Arial"/>
          <w:color w:val="auto"/>
        </w:rPr>
        <w:lastRenderedPageBreak/>
        <w:t>Reduced Antiviral Activity against Subtype AE</w:t>
      </w:r>
    </w:p>
    <w:p w14:paraId="63D5C408" w14:textId="77777777" w:rsidR="0021668A" w:rsidRPr="0021668A" w:rsidRDefault="0021668A" w:rsidP="0021668A">
      <w:pPr>
        <w:rPr>
          <w:rFonts w:ascii="Arial" w:hAnsi="Arial" w:cs="Arial"/>
          <w:lang w:val="en"/>
        </w:rPr>
      </w:pPr>
      <w:r w:rsidRPr="0021668A">
        <w:rPr>
          <w:rFonts w:ascii="Arial" w:hAnsi="Arial" w:cs="Arial"/>
          <w:lang w:val="en"/>
        </w:rPr>
        <w:t xml:space="preserve">There were only two subjects with subtype AE virus at screening in the </w:t>
      </w:r>
      <w:proofErr w:type="spellStart"/>
      <w:r w:rsidRPr="0021668A">
        <w:rPr>
          <w:rFonts w:ascii="Arial" w:hAnsi="Arial" w:cs="Arial"/>
          <w:lang w:val="en"/>
        </w:rPr>
        <w:t>Randomised</w:t>
      </w:r>
      <w:proofErr w:type="spellEnd"/>
      <w:r w:rsidRPr="0021668A">
        <w:rPr>
          <w:rFonts w:ascii="Arial" w:hAnsi="Arial" w:cs="Arial"/>
          <w:lang w:val="en"/>
        </w:rPr>
        <w:t xml:space="preserve"> Cohort. One subject (IC</w:t>
      </w:r>
      <w:r w:rsidRPr="006C6130">
        <w:rPr>
          <w:rFonts w:ascii="Arial" w:hAnsi="Arial" w:cs="Arial"/>
          <w:vertAlign w:val="subscript"/>
          <w:lang w:val="en"/>
        </w:rPr>
        <w:t>50</w:t>
      </w:r>
      <w:r w:rsidRPr="0021668A">
        <w:rPr>
          <w:rFonts w:ascii="Arial" w:hAnsi="Arial" w:cs="Arial"/>
          <w:lang w:val="en"/>
        </w:rPr>
        <w:t xml:space="preserve"> FC &gt;4747-fold and gp160 substitutions at S375H and M475I at baseline) did not respond to fostemsavir at Day 8. A second subject (IC</w:t>
      </w:r>
      <w:r w:rsidRPr="00C33EF2">
        <w:rPr>
          <w:rFonts w:ascii="Arial" w:hAnsi="Arial" w:cs="Arial"/>
          <w:vertAlign w:val="subscript"/>
          <w:lang w:val="en"/>
        </w:rPr>
        <w:t>50</w:t>
      </w:r>
      <w:r w:rsidRPr="0021668A">
        <w:rPr>
          <w:rFonts w:ascii="Arial" w:hAnsi="Arial" w:cs="Arial"/>
          <w:lang w:val="en"/>
        </w:rPr>
        <w:t xml:space="preserve"> FC 298-fold and gp160 substitution at S375N at baseline) received placebo during functional monotherapy. Both subjects were virologically suppressed at Week 96, while receiving fostemsavir plus </w:t>
      </w:r>
      <w:proofErr w:type="spellStart"/>
      <w:r w:rsidRPr="0021668A">
        <w:rPr>
          <w:rFonts w:ascii="Arial" w:hAnsi="Arial" w:cs="Arial"/>
          <w:lang w:val="en"/>
        </w:rPr>
        <w:t>optimised</w:t>
      </w:r>
      <w:proofErr w:type="spellEnd"/>
      <w:r w:rsidRPr="0021668A">
        <w:rPr>
          <w:rFonts w:ascii="Arial" w:hAnsi="Arial" w:cs="Arial"/>
          <w:lang w:val="en"/>
        </w:rPr>
        <w:t xml:space="preserve"> background therapy.</w:t>
      </w:r>
    </w:p>
    <w:p w14:paraId="1ACE617E" w14:textId="32BE2CD7" w:rsidR="0021668A" w:rsidRPr="006A0340" w:rsidRDefault="0021668A" w:rsidP="006A0340">
      <w:pPr>
        <w:pStyle w:val="Heading4"/>
        <w:numPr>
          <w:ilvl w:val="0"/>
          <w:numId w:val="0"/>
        </w:numPr>
        <w:spacing w:after="240"/>
        <w:rPr>
          <w:rFonts w:ascii="Arial" w:hAnsi="Arial" w:cs="Arial"/>
          <w:color w:val="auto"/>
        </w:rPr>
      </w:pPr>
      <w:r w:rsidRPr="006A0340">
        <w:rPr>
          <w:rFonts w:ascii="Arial" w:hAnsi="Arial" w:cs="Arial"/>
          <w:color w:val="auto"/>
        </w:rPr>
        <w:t>Effects on Electrocardiogram</w:t>
      </w:r>
    </w:p>
    <w:p w14:paraId="7A7ED88A" w14:textId="69B09AE1" w:rsidR="0021668A" w:rsidRPr="00B2206F" w:rsidRDefault="0021668A" w:rsidP="0021668A">
      <w:pPr>
        <w:rPr>
          <w:rFonts w:ascii="Arial" w:hAnsi="Arial" w:cs="Arial"/>
          <w:lang w:val="en"/>
        </w:rPr>
      </w:pPr>
      <w:r w:rsidRPr="0021668A">
        <w:rPr>
          <w:rFonts w:ascii="Arial" w:hAnsi="Arial" w:cs="Arial"/>
          <w:lang w:val="en"/>
        </w:rPr>
        <w:t xml:space="preserve">In a </w:t>
      </w:r>
      <w:proofErr w:type="spellStart"/>
      <w:r w:rsidRPr="0021668A">
        <w:rPr>
          <w:rFonts w:ascii="Arial" w:hAnsi="Arial" w:cs="Arial"/>
          <w:lang w:val="en"/>
        </w:rPr>
        <w:t>randomised</w:t>
      </w:r>
      <w:proofErr w:type="spellEnd"/>
      <w:r w:rsidRPr="0021668A">
        <w:rPr>
          <w:rFonts w:ascii="Arial" w:hAnsi="Arial" w:cs="Arial"/>
          <w:lang w:val="en"/>
        </w:rPr>
        <w:t>, placebo- and active-controlled, double-blind, cross-over thorough QT study, 60 healthy subjects received oral administration of placebo, fostemsavir 1200 mg once daily, fostemsavir 2400 mg twice daily and moxifloxacin 400 mg (active control) in random sequence. Fostemsavir administered at 1200 mg once daily did not have a clinically meaningful effect on the QTc interval as the maximum mean time-matched (2-sided 90% upper confidence bound) placebo-adjusted QTc change from baseline based on Fridericia’s correction method (</w:t>
      </w:r>
      <w:proofErr w:type="spellStart"/>
      <w:r w:rsidRPr="0021668A">
        <w:rPr>
          <w:rFonts w:ascii="Arial" w:hAnsi="Arial" w:cs="Arial"/>
          <w:lang w:val="en"/>
        </w:rPr>
        <w:t>QTcF</w:t>
      </w:r>
      <w:proofErr w:type="spellEnd"/>
      <w:r w:rsidRPr="0021668A">
        <w:rPr>
          <w:rFonts w:ascii="Arial" w:hAnsi="Arial" w:cs="Arial"/>
          <w:lang w:val="en"/>
        </w:rPr>
        <w:t xml:space="preserve">) was 4.3 (6.3) milliseconds (below the clinically important threshold of 10 milliseconds). However, fostemsavir administered at 2400 mg twice daily for 7 days was associated with a clinically meaningful prolongation of the QTc interval as the maximum mean time-matched (2-sided 90% upper confidence bound) for the placebo-adjusted change from baseline in </w:t>
      </w:r>
      <w:proofErr w:type="spellStart"/>
      <w:r w:rsidRPr="0021668A">
        <w:rPr>
          <w:rFonts w:ascii="Arial" w:hAnsi="Arial" w:cs="Arial"/>
          <w:lang w:val="en"/>
        </w:rPr>
        <w:t>QTcF</w:t>
      </w:r>
      <w:proofErr w:type="spellEnd"/>
      <w:r w:rsidRPr="0021668A">
        <w:rPr>
          <w:rFonts w:ascii="Arial" w:hAnsi="Arial" w:cs="Arial"/>
          <w:lang w:val="en"/>
        </w:rPr>
        <w:t xml:space="preserve"> interval was 11.2 (13.3) milliseconds. Steady-state administration of fostemsavir 600 mg twice daily resulted in a mean </w:t>
      </w:r>
      <w:proofErr w:type="spellStart"/>
      <w:r w:rsidRPr="0021668A">
        <w:rPr>
          <w:rFonts w:ascii="Arial" w:hAnsi="Arial" w:cs="Arial"/>
          <w:lang w:val="en"/>
        </w:rPr>
        <w:t>temsavir</w:t>
      </w:r>
      <w:proofErr w:type="spellEnd"/>
      <w:r w:rsidRPr="0021668A">
        <w:rPr>
          <w:rFonts w:ascii="Arial" w:hAnsi="Arial" w:cs="Arial"/>
          <w:lang w:val="en"/>
        </w:rPr>
        <w:t xml:space="preserve"> </w:t>
      </w:r>
      <w:proofErr w:type="spellStart"/>
      <w:r w:rsidRPr="0021668A">
        <w:rPr>
          <w:rFonts w:ascii="Arial" w:hAnsi="Arial" w:cs="Arial"/>
          <w:lang w:val="en"/>
        </w:rPr>
        <w:t>Cmax</w:t>
      </w:r>
      <w:proofErr w:type="spellEnd"/>
      <w:r w:rsidRPr="0021668A">
        <w:rPr>
          <w:rFonts w:ascii="Arial" w:hAnsi="Arial" w:cs="Arial"/>
          <w:lang w:val="en"/>
        </w:rPr>
        <w:t xml:space="preserve"> approximately 4.2-fold lower than the </w:t>
      </w:r>
      <w:proofErr w:type="spellStart"/>
      <w:r w:rsidRPr="0021668A">
        <w:rPr>
          <w:rFonts w:ascii="Arial" w:hAnsi="Arial" w:cs="Arial"/>
          <w:lang w:val="en"/>
        </w:rPr>
        <w:t>temsavir</w:t>
      </w:r>
      <w:proofErr w:type="spellEnd"/>
      <w:r w:rsidRPr="0021668A">
        <w:rPr>
          <w:rFonts w:ascii="Arial" w:hAnsi="Arial" w:cs="Arial"/>
          <w:lang w:val="en"/>
        </w:rPr>
        <w:t xml:space="preserve"> concentration predicted to increase </w:t>
      </w:r>
      <w:proofErr w:type="spellStart"/>
      <w:r w:rsidRPr="0021668A">
        <w:rPr>
          <w:rFonts w:ascii="Arial" w:hAnsi="Arial" w:cs="Arial"/>
          <w:lang w:val="en"/>
        </w:rPr>
        <w:t>QTcF</w:t>
      </w:r>
      <w:proofErr w:type="spellEnd"/>
      <w:r w:rsidRPr="0021668A">
        <w:rPr>
          <w:rFonts w:ascii="Arial" w:hAnsi="Arial" w:cs="Arial"/>
          <w:lang w:val="en"/>
        </w:rPr>
        <w:t xml:space="preserve"> interval 10 milliseconds (see </w:t>
      </w:r>
      <w:r w:rsidR="00124DDA">
        <w:rPr>
          <w:rFonts w:ascii="Arial" w:hAnsi="Arial" w:cs="Arial"/>
          <w:lang w:val="en"/>
        </w:rPr>
        <w:t xml:space="preserve">Section </w:t>
      </w:r>
      <w:r w:rsidR="00124DDA" w:rsidRPr="00124DDA">
        <w:rPr>
          <w:rFonts w:ascii="Arial" w:hAnsi="Arial" w:cs="Arial"/>
          <w:lang w:val="en"/>
        </w:rPr>
        <w:t>4.4</w:t>
      </w:r>
      <w:r w:rsidR="00124DDA">
        <w:rPr>
          <w:rFonts w:ascii="Arial" w:hAnsi="Arial" w:cs="Arial"/>
          <w:lang w:val="en"/>
        </w:rPr>
        <w:t xml:space="preserve"> </w:t>
      </w:r>
      <w:r w:rsidR="00124DDA" w:rsidRPr="00124DDA">
        <w:rPr>
          <w:rFonts w:ascii="Arial" w:hAnsi="Arial" w:cs="Arial"/>
          <w:lang w:val="en"/>
        </w:rPr>
        <w:t>SPECIAL WARNINGS AND PRECAUTIONS FOR USE</w:t>
      </w:r>
      <w:r w:rsidRPr="0021668A">
        <w:rPr>
          <w:rFonts w:ascii="Arial" w:hAnsi="Arial" w:cs="Arial"/>
          <w:lang w:val="en"/>
        </w:rPr>
        <w:t>).</w:t>
      </w:r>
    </w:p>
    <w:p w14:paraId="6F46280E" w14:textId="77777777" w:rsidR="001A3992" w:rsidRPr="00071855" w:rsidRDefault="001A3992" w:rsidP="00F25D4B">
      <w:pPr>
        <w:pStyle w:val="Heading3"/>
        <w:spacing w:before="0" w:after="120"/>
        <w:ind w:left="0"/>
        <w:rPr>
          <w:rFonts w:ascii="Arial" w:hAnsi="Arial" w:cs="Arial"/>
          <w:lang w:val="en-US"/>
        </w:rPr>
      </w:pPr>
      <w:r w:rsidRPr="00071855">
        <w:rPr>
          <w:rFonts w:ascii="Arial" w:hAnsi="Arial" w:cs="Arial"/>
        </w:rPr>
        <w:t>Clinical</w:t>
      </w:r>
      <w:r w:rsidRPr="00071855">
        <w:rPr>
          <w:rFonts w:ascii="Arial" w:hAnsi="Arial" w:cs="Arial"/>
          <w:lang w:val="en-US"/>
        </w:rPr>
        <w:t xml:space="preserve"> trials</w:t>
      </w:r>
    </w:p>
    <w:p w14:paraId="1C486A01" w14:textId="77777777" w:rsidR="00291AD1" w:rsidRPr="00291AD1" w:rsidRDefault="00291AD1" w:rsidP="00291AD1">
      <w:pPr>
        <w:rPr>
          <w:rFonts w:ascii="Arial" w:eastAsia="MS Mincho" w:hAnsi="Arial" w:cs="Arial"/>
          <w:lang w:val="en-US"/>
        </w:rPr>
      </w:pPr>
      <w:r w:rsidRPr="00291AD1">
        <w:rPr>
          <w:rFonts w:ascii="Arial" w:hAnsi="Arial" w:cs="Arial"/>
          <w:bCs/>
          <w:szCs w:val="24"/>
        </w:rPr>
        <w:t xml:space="preserve">The efficacy of fostemsavir in HIV-infected, heavily treatment-experienced adult subjects is based on data from a Phase III, </w:t>
      </w:r>
      <w:proofErr w:type="gramStart"/>
      <w:r w:rsidRPr="00291AD1">
        <w:rPr>
          <w:rFonts w:ascii="Arial" w:hAnsi="Arial" w:cs="Arial"/>
          <w:bCs/>
          <w:szCs w:val="24"/>
        </w:rPr>
        <w:t>partially-randomised</w:t>
      </w:r>
      <w:proofErr w:type="gramEnd"/>
      <w:r w:rsidRPr="00291AD1">
        <w:rPr>
          <w:rFonts w:ascii="Arial" w:hAnsi="Arial" w:cs="Arial"/>
          <w:bCs/>
          <w:szCs w:val="24"/>
        </w:rPr>
        <w:t xml:space="preserve">, international, double-blind, placebo-controlled trial (BRIGHTE [205888]). </w:t>
      </w:r>
    </w:p>
    <w:p w14:paraId="2117746B" w14:textId="4BDA2144" w:rsidR="00291AD1" w:rsidRPr="00291AD1" w:rsidRDefault="00291AD1" w:rsidP="00291AD1">
      <w:pPr>
        <w:rPr>
          <w:rFonts w:ascii="Arial" w:eastAsia="Times New Roman" w:hAnsi="Arial" w:cs="Arial"/>
          <w:szCs w:val="24"/>
          <w:lang w:val="en-GB" w:eastAsia="en-GB"/>
        </w:rPr>
      </w:pPr>
      <w:bookmarkStart w:id="32" w:name="_Hlk517699533"/>
      <w:r w:rsidRPr="00291AD1">
        <w:rPr>
          <w:rFonts w:ascii="Arial" w:hAnsi="Arial" w:cs="Arial"/>
          <w:bCs/>
          <w:szCs w:val="24"/>
        </w:rPr>
        <w:t xml:space="preserve">The BRIGHTE study was conducted in 371 heavily-treatment experienced HIV-1 infected subjects with multi-class resistance. All subjects were required to have a viral load greater than or equal to 400 copies/mL and ≤2 antiretroviral (ARV) classes remaining at baseline due to resistance, intolerability, contraindication, or other safety concerns. At Screening, subjects from the Randomised Cohort had one, but no more than two, fully active and available antiretroviral agents which could be combined as part of an efficacious background regimen. Within the Randomised Cohort, 272 subjects received either blinded fostemsavir, 600 mg twice daily (n= 203), or placebo (n= 69), in addition to their current failing regimen, for 8 days of functional monotherapy. Beyond Day 8, Randomised subjects received </w:t>
      </w:r>
      <w:proofErr w:type="gramStart"/>
      <w:r w:rsidRPr="00291AD1">
        <w:rPr>
          <w:rFonts w:ascii="Arial" w:hAnsi="Arial" w:cs="Arial"/>
          <w:bCs/>
          <w:szCs w:val="24"/>
        </w:rPr>
        <w:t>open-label</w:t>
      </w:r>
      <w:proofErr w:type="gramEnd"/>
      <w:r w:rsidRPr="00291AD1">
        <w:rPr>
          <w:rFonts w:ascii="Arial" w:hAnsi="Arial" w:cs="Arial"/>
          <w:bCs/>
          <w:szCs w:val="24"/>
        </w:rPr>
        <w:t xml:space="preserve"> fostemsavir, 600 mg twice daily, plus an optimised background therapy (OBT) selected by the Principal Investigator. The Randomised Cohort provides primary evidence of efficacy of fostemsavir. Within the Non-randomised Cohort, 99 subjects with </w:t>
      </w:r>
      <w:proofErr w:type="gramStart"/>
      <w:r w:rsidRPr="00291AD1">
        <w:rPr>
          <w:rFonts w:ascii="Arial" w:hAnsi="Arial" w:cs="Arial"/>
          <w:bCs/>
          <w:szCs w:val="24"/>
        </w:rPr>
        <w:t>no</w:t>
      </w:r>
      <w:proofErr w:type="gramEnd"/>
      <w:r w:rsidRPr="00291AD1">
        <w:rPr>
          <w:rFonts w:ascii="Arial" w:hAnsi="Arial" w:cs="Arial"/>
          <w:bCs/>
          <w:szCs w:val="24"/>
        </w:rPr>
        <w:t xml:space="preserve"> fully active and approved antiretroviral agents available at Screening, were treated with open-label fostemsavir, 600 mg twice daily, plus OBT from Day 1 onward. </w:t>
      </w:r>
      <w:r w:rsidRPr="00291AD1">
        <w:rPr>
          <w:rFonts w:ascii="Arial" w:hAnsi="Arial" w:cs="Arial"/>
          <w:bCs/>
          <w:color w:val="000000"/>
          <w:szCs w:val="24"/>
        </w:rPr>
        <w:t>The use of an investigational drug(s) as a component of the OBT was permitted in the Non-randomised Cohort.</w:t>
      </w:r>
    </w:p>
    <w:bookmarkEnd w:id="32"/>
    <w:p w14:paraId="1BD9EE5C" w14:textId="77777777" w:rsidR="00291AD1" w:rsidRPr="00291AD1" w:rsidRDefault="00291AD1" w:rsidP="00291AD1">
      <w:pPr>
        <w:rPr>
          <w:rFonts w:ascii="Arial" w:eastAsia="MS Mincho" w:hAnsi="Arial" w:cs="Arial"/>
          <w:szCs w:val="24"/>
          <w:lang w:val="en-US"/>
        </w:rPr>
      </w:pPr>
      <w:r w:rsidRPr="00291AD1">
        <w:rPr>
          <w:rFonts w:ascii="Arial" w:eastAsia="MS Mincho" w:hAnsi="Arial" w:cs="Arial"/>
          <w:lang w:val="en-US"/>
        </w:rPr>
        <w:lastRenderedPageBreak/>
        <w:t xml:space="preserve">Overall, </w:t>
      </w:r>
      <w:proofErr w:type="gramStart"/>
      <w:r w:rsidRPr="00291AD1">
        <w:rPr>
          <w:rFonts w:ascii="Arial" w:eastAsia="MS Mincho" w:hAnsi="Arial" w:cs="Arial"/>
          <w:lang w:val="en-US"/>
        </w:rPr>
        <w:t>the majority of</w:t>
      </w:r>
      <w:proofErr w:type="gramEnd"/>
      <w:r w:rsidRPr="00291AD1">
        <w:rPr>
          <w:rFonts w:ascii="Arial" w:eastAsia="MS Mincho" w:hAnsi="Arial" w:cs="Arial"/>
          <w:lang w:val="en-US"/>
        </w:rPr>
        <w:t xml:space="preserve"> subjects were male (78%), white (70%), and the median age was 49.0 years (range: 17-73 years)</w:t>
      </w:r>
      <w:r w:rsidRPr="00291AD1">
        <w:rPr>
          <w:rFonts w:ascii="Arial" w:eastAsia="MS Mincho" w:hAnsi="Arial" w:cs="Arial"/>
          <w:szCs w:val="24"/>
          <w:lang w:val="en-US"/>
        </w:rPr>
        <w:t xml:space="preserve">. At baseline, the median HIV-1 RNA was </w:t>
      </w:r>
      <w:r w:rsidRPr="00291AD1">
        <w:rPr>
          <w:rFonts w:ascii="Arial" w:hAnsi="Arial" w:cs="Arial"/>
          <w:szCs w:val="24"/>
          <w:lang w:val="en-US"/>
        </w:rPr>
        <w:t>4.6</w:t>
      </w:r>
      <w:r w:rsidRPr="00291AD1">
        <w:rPr>
          <w:rFonts w:ascii="Arial" w:eastAsia="MS Mincho" w:hAnsi="Arial" w:cs="Arial"/>
          <w:szCs w:val="24"/>
          <w:lang w:val="en-US"/>
        </w:rPr>
        <w:t> log10 copies/mL and the median CD4+ cell count was 80.0 cells/mm</w:t>
      </w:r>
      <w:r w:rsidRPr="00291AD1">
        <w:rPr>
          <w:rFonts w:ascii="Arial" w:eastAsia="MS Mincho" w:hAnsi="Arial" w:cs="Arial"/>
          <w:szCs w:val="24"/>
          <w:vertAlign w:val="superscript"/>
          <w:lang w:val="en-US"/>
        </w:rPr>
        <w:t>3</w:t>
      </w:r>
      <w:r w:rsidRPr="00291AD1">
        <w:rPr>
          <w:rFonts w:ascii="Arial" w:eastAsia="MS Mincho" w:hAnsi="Arial" w:cs="Arial"/>
          <w:szCs w:val="24"/>
          <w:lang w:val="en-US"/>
        </w:rPr>
        <w:t xml:space="preserve"> (100 and 41 cells/mm</w:t>
      </w:r>
      <w:r w:rsidRPr="00291AD1">
        <w:rPr>
          <w:rFonts w:ascii="Arial" w:eastAsia="MS Mincho" w:hAnsi="Arial" w:cs="Arial"/>
          <w:szCs w:val="24"/>
          <w:vertAlign w:val="superscript"/>
          <w:lang w:val="en-US"/>
        </w:rPr>
        <w:t>3</w:t>
      </w:r>
      <w:r w:rsidRPr="00291AD1">
        <w:rPr>
          <w:rFonts w:ascii="Arial" w:eastAsia="MS Mincho" w:hAnsi="Arial" w:cs="Arial"/>
          <w:szCs w:val="24"/>
          <w:lang w:val="en-US"/>
        </w:rPr>
        <w:t xml:space="preserve"> for </w:t>
      </w:r>
      <w:proofErr w:type="spellStart"/>
      <w:r w:rsidRPr="00291AD1">
        <w:rPr>
          <w:rFonts w:ascii="Arial" w:eastAsia="MS Mincho" w:hAnsi="Arial" w:cs="Arial"/>
          <w:szCs w:val="24"/>
          <w:lang w:val="en-US"/>
        </w:rPr>
        <w:t>Randomised</w:t>
      </w:r>
      <w:proofErr w:type="spellEnd"/>
      <w:r w:rsidRPr="00291AD1">
        <w:rPr>
          <w:rFonts w:ascii="Arial" w:eastAsia="MS Mincho" w:hAnsi="Arial" w:cs="Arial"/>
          <w:szCs w:val="24"/>
          <w:lang w:val="en-US"/>
        </w:rPr>
        <w:t xml:space="preserve"> and Non-</w:t>
      </w:r>
      <w:proofErr w:type="spellStart"/>
      <w:r w:rsidRPr="00291AD1">
        <w:rPr>
          <w:rFonts w:ascii="Arial" w:eastAsia="MS Mincho" w:hAnsi="Arial" w:cs="Arial"/>
          <w:szCs w:val="24"/>
          <w:lang w:val="en-US"/>
        </w:rPr>
        <w:t>randomised</w:t>
      </w:r>
      <w:proofErr w:type="spellEnd"/>
      <w:r w:rsidRPr="00291AD1">
        <w:rPr>
          <w:rFonts w:ascii="Arial" w:eastAsia="MS Mincho" w:hAnsi="Arial" w:cs="Arial"/>
          <w:szCs w:val="24"/>
          <w:lang w:val="en-US"/>
        </w:rPr>
        <w:t xml:space="preserve"> subjects, respectively). Seventy-five percent (75%) of all treated subjects had a CD4+ T-cell count &lt;200 cells/mm</w:t>
      </w:r>
      <w:r w:rsidRPr="00291AD1">
        <w:rPr>
          <w:rFonts w:ascii="Arial" w:eastAsia="MS Mincho" w:hAnsi="Arial" w:cs="Arial"/>
          <w:szCs w:val="24"/>
          <w:vertAlign w:val="superscript"/>
          <w:lang w:val="en-US"/>
        </w:rPr>
        <w:t>3</w:t>
      </w:r>
      <w:r w:rsidRPr="00291AD1">
        <w:rPr>
          <w:rFonts w:ascii="Arial" w:eastAsia="MS Mincho" w:hAnsi="Arial" w:cs="Arial"/>
          <w:szCs w:val="24"/>
          <w:lang w:val="en-US"/>
        </w:rPr>
        <w:t xml:space="preserve"> at baseline (with 30% &lt;20 cells/mm</w:t>
      </w:r>
      <w:r w:rsidRPr="00291AD1">
        <w:rPr>
          <w:rFonts w:ascii="Arial" w:eastAsia="MS Mincho" w:hAnsi="Arial" w:cs="Arial"/>
          <w:szCs w:val="24"/>
          <w:vertAlign w:val="superscript"/>
          <w:lang w:val="en-US"/>
        </w:rPr>
        <w:t>3</w:t>
      </w:r>
      <w:r w:rsidRPr="00291AD1">
        <w:rPr>
          <w:rFonts w:ascii="Arial" w:eastAsia="MS Mincho" w:hAnsi="Arial" w:cs="Arial"/>
          <w:szCs w:val="24"/>
          <w:lang w:val="en-US"/>
        </w:rPr>
        <w:t xml:space="preserve">). Overall, 86% had a history of </w:t>
      </w:r>
      <w:r w:rsidRPr="00291AD1">
        <w:rPr>
          <w:rFonts w:ascii="Arial" w:eastAsia="MS Mincho" w:hAnsi="Arial" w:cs="Arial"/>
          <w:szCs w:val="24"/>
        </w:rPr>
        <w:t>Acquired Immune Deficiency Syndrome</w:t>
      </w:r>
      <w:r w:rsidRPr="00291AD1">
        <w:rPr>
          <w:rFonts w:ascii="Arial" w:eastAsia="MS Mincho" w:hAnsi="Arial" w:cs="Arial"/>
          <w:szCs w:val="24"/>
          <w:lang w:val="en-US"/>
        </w:rPr>
        <w:t xml:space="preserve"> (AIDS), and 8% had a history of </w:t>
      </w:r>
      <w:r w:rsidRPr="00291AD1">
        <w:rPr>
          <w:rFonts w:ascii="Arial" w:hAnsi="Arial" w:cs="Arial"/>
          <w:bCs/>
        </w:rPr>
        <w:t>hepatitis B and/or C virus co-infection</w:t>
      </w:r>
      <w:r w:rsidRPr="00291AD1">
        <w:rPr>
          <w:rFonts w:ascii="Arial" w:eastAsia="MS Mincho" w:hAnsi="Arial" w:cs="Arial"/>
          <w:szCs w:val="24"/>
          <w:lang w:val="en-US"/>
        </w:rPr>
        <w:t>. Seventy one percent (71%) of subjects had been treated for HIV for &gt;15 years, 85% had been exposed to ≥5 different HIV treatment regimens upon entry into the study.</w:t>
      </w:r>
    </w:p>
    <w:p w14:paraId="129A0FD3" w14:textId="77777777" w:rsidR="00291AD1" w:rsidRPr="00291AD1" w:rsidRDefault="00291AD1" w:rsidP="00291AD1">
      <w:pPr>
        <w:rPr>
          <w:rFonts w:ascii="Arial" w:eastAsia="MS Mincho" w:hAnsi="Arial" w:cs="Arial"/>
          <w:szCs w:val="24"/>
          <w:lang w:val="en-US"/>
        </w:rPr>
      </w:pPr>
      <w:r w:rsidRPr="00291AD1">
        <w:rPr>
          <w:rFonts w:ascii="Arial" w:hAnsi="Arial" w:cs="Arial"/>
        </w:rPr>
        <w:t xml:space="preserve">Fifty two percent of subjects in the Randomised Cohort had one fully active agent within their initial OBT, 42% had two, and 6% had zero. Within the Non-randomised Cohort, 81% of subjects had no fully active agents in their original OBT and 19% had one, including 15% (n=15) who received ibalizumab, which was an investigational agent at the time of BRIGHTE study start-up.  </w:t>
      </w:r>
    </w:p>
    <w:p w14:paraId="3B5DC14F" w14:textId="06A97D37" w:rsidR="00291AD1" w:rsidRDefault="00291AD1" w:rsidP="00291AD1">
      <w:pPr>
        <w:rPr>
          <w:rFonts w:ascii="Arial" w:hAnsi="Arial" w:cs="Arial"/>
          <w:bCs/>
          <w:szCs w:val="24"/>
        </w:rPr>
      </w:pPr>
      <w:r w:rsidRPr="00291AD1">
        <w:rPr>
          <w:rFonts w:ascii="Arial" w:hAnsi="Arial" w:cs="Arial"/>
          <w:bCs/>
          <w:szCs w:val="24"/>
        </w:rPr>
        <w:t>The primary endpoint analysis, based on the adjusted mean decline in HIV-1 RNA from Day 1 at Day 8 in the Randomised Cohort, demonstrated superiority of fostemsavir to placebo (0.79 vs. 0.17 log10 decline, respectively; p&lt;0.0001, Intent To Treat-Exposed [ITT-E] population) (Table 3).</w:t>
      </w:r>
    </w:p>
    <w:p w14:paraId="23FC8959" w14:textId="3CCAB073" w:rsidR="00291AD1" w:rsidRPr="00291AD1" w:rsidRDefault="00291AD1" w:rsidP="0076337D">
      <w:pPr>
        <w:keepNext/>
        <w:keepLines/>
        <w:tabs>
          <w:tab w:val="left" w:pos="1656"/>
        </w:tabs>
        <w:rPr>
          <w:rFonts w:ascii="Arial"/>
          <w:b/>
        </w:rPr>
      </w:pPr>
      <w:bookmarkStart w:id="33" w:name="_Ref490845007"/>
      <w:r w:rsidRPr="00291AD1">
        <w:rPr>
          <w:rFonts w:ascii="Arial"/>
          <w:b/>
        </w:rPr>
        <w:t xml:space="preserve">Table </w:t>
      </w:r>
      <w:r>
        <w:rPr>
          <w:rFonts w:ascii="Arial"/>
          <w:b/>
        </w:rPr>
        <w:t>3</w:t>
      </w:r>
      <w:r w:rsidRPr="00291AD1">
        <w:rPr>
          <w:rFonts w:ascii="Arial"/>
          <w:b/>
        </w:rPr>
        <w:tab/>
      </w:r>
      <w:bookmarkEnd w:id="33"/>
      <w:r w:rsidRPr="00291AD1">
        <w:rPr>
          <w:rFonts w:ascii="Arial"/>
          <w:b/>
        </w:rPr>
        <w:t>Plasma HIV-1 RNA Log10 (copies/mL) Change from Day</w:t>
      </w:r>
      <w:r w:rsidRPr="00291AD1">
        <w:rPr>
          <w:rFonts w:ascii="Arial"/>
          <w:b/>
        </w:rPr>
        <w:t> </w:t>
      </w:r>
      <w:r w:rsidRPr="00291AD1">
        <w:rPr>
          <w:rFonts w:ascii="Arial"/>
          <w:b/>
        </w:rPr>
        <w:t xml:space="preserve">1 at Day 8 (Randomised Cohort) in BRIGHTE trial </w:t>
      </w:r>
      <w:r w:rsidRPr="00291AD1">
        <w:rPr>
          <w:rFonts w:ascii="Arial"/>
          <w:b/>
        </w:rPr>
        <w:t>–</w:t>
      </w:r>
      <w:r w:rsidRPr="00291AD1">
        <w:rPr>
          <w:rFonts w:ascii="Arial"/>
          <w:b/>
        </w:rPr>
        <w:t xml:space="preserve"> ITT-E Population</w:t>
      </w:r>
    </w:p>
    <w:tbl>
      <w:tblPr>
        <w:tblW w:w="7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630"/>
        <w:gridCol w:w="1979"/>
        <w:gridCol w:w="1619"/>
        <w:gridCol w:w="1170"/>
      </w:tblGrid>
      <w:tr w:rsidR="00291AD1" w:rsidRPr="00291AD1" w14:paraId="494CEE17" w14:textId="77777777" w:rsidTr="00291AD1">
        <w:trPr>
          <w:cantSplit/>
        </w:trPr>
        <w:tc>
          <w:tcPr>
            <w:tcW w:w="2268" w:type="dxa"/>
            <w:tcBorders>
              <w:top w:val="single" w:sz="4" w:space="0" w:color="auto"/>
              <w:left w:val="single" w:sz="4" w:space="0" w:color="auto"/>
              <w:bottom w:val="single" w:sz="4" w:space="0" w:color="auto"/>
              <w:right w:val="single" w:sz="4" w:space="0" w:color="auto"/>
            </w:tcBorders>
            <w:vAlign w:val="bottom"/>
            <w:hideMark/>
          </w:tcPr>
          <w:bookmarkEnd w:id="31"/>
          <w:p w14:paraId="2A2DD70D" w14:textId="77777777" w:rsidR="00291AD1" w:rsidRPr="00291AD1" w:rsidRDefault="00291AD1" w:rsidP="00124DDA">
            <w:pPr>
              <w:pStyle w:val="tabletextNS"/>
              <w:keepNext/>
              <w:keepLines/>
              <w:rPr>
                <w:b/>
                <w:sz w:val="20"/>
                <w:lang w:val="en-US" w:eastAsia="en-US"/>
              </w:rPr>
            </w:pPr>
            <w:proofErr w:type="spellStart"/>
            <w:r w:rsidRPr="00291AD1">
              <w:rPr>
                <w:b/>
                <w:sz w:val="20"/>
                <w:lang w:val="en-US" w:eastAsia="en-US"/>
              </w:rPr>
              <w:t>Randomised</w:t>
            </w:r>
            <w:proofErr w:type="spellEnd"/>
            <w:r w:rsidRPr="00291AD1">
              <w:rPr>
                <w:b/>
                <w:sz w:val="20"/>
                <w:lang w:val="en-US" w:eastAsia="en-US"/>
              </w:rPr>
              <w:t xml:space="preserve"> Treatment</w:t>
            </w:r>
          </w:p>
        </w:tc>
        <w:tc>
          <w:tcPr>
            <w:tcW w:w="630" w:type="dxa"/>
            <w:tcBorders>
              <w:top w:val="single" w:sz="4" w:space="0" w:color="auto"/>
              <w:left w:val="single" w:sz="4" w:space="0" w:color="auto"/>
              <w:bottom w:val="single" w:sz="4" w:space="0" w:color="auto"/>
              <w:right w:val="single" w:sz="4" w:space="0" w:color="auto"/>
            </w:tcBorders>
            <w:hideMark/>
          </w:tcPr>
          <w:p w14:paraId="3B9FDEA5" w14:textId="77777777" w:rsidR="00291AD1" w:rsidRPr="00291AD1" w:rsidRDefault="00291AD1" w:rsidP="00124DDA">
            <w:pPr>
              <w:pStyle w:val="tabletextNS"/>
              <w:keepNext/>
              <w:keepLines/>
              <w:jc w:val="center"/>
              <w:rPr>
                <w:b/>
                <w:sz w:val="20"/>
                <w:lang w:val="en-US" w:eastAsia="en-US"/>
              </w:rPr>
            </w:pPr>
            <w:r w:rsidRPr="00291AD1">
              <w:rPr>
                <w:b/>
                <w:sz w:val="20"/>
                <w:lang w:val="en-US" w:eastAsia="en-US"/>
              </w:rPr>
              <w:t>n</w:t>
            </w:r>
          </w:p>
        </w:tc>
        <w:tc>
          <w:tcPr>
            <w:tcW w:w="1980" w:type="dxa"/>
            <w:tcBorders>
              <w:top w:val="single" w:sz="4" w:space="0" w:color="auto"/>
              <w:left w:val="single" w:sz="4" w:space="0" w:color="auto"/>
              <w:bottom w:val="single" w:sz="4" w:space="0" w:color="auto"/>
              <w:right w:val="single" w:sz="4" w:space="0" w:color="auto"/>
            </w:tcBorders>
            <w:hideMark/>
          </w:tcPr>
          <w:p w14:paraId="7F2D405F" w14:textId="77777777" w:rsidR="00291AD1" w:rsidRPr="00291AD1" w:rsidRDefault="00291AD1" w:rsidP="00124DDA">
            <w:pPr>
              <w:pStyle w:val="tabletextNS"/>
              <w:keepNext/>
              <w:keepLines/>
              <w:jc w:val="center"/>
              <w:rPr>
                <w:b/>
                <w:sz w:val="20"/>
                <w:lang w:val="en-US" w:eastAsia="en-US"/>
              </w:rPr>
            </w:pPr>
            <w:r w:rsidRPr="00291AD1">
              <w:rPr>
                <w:b/>
                <w:sz w:val="20"/>
                <w:lang w:val="en-US" w:eastAsia="en-US"/>
              </w:rPr>
              <w:t>Adjusted Mean</w:t>
            </w:r>
            <w:r w:rsidRPr="00291AD1">
              <w:rPr>
                <w:b/>
                <w:sz w:val="20"/>
                <w:vertAlign w:val="superscript"/>
                <w:lang w:val="en-US" w:eastAsia="en-US"/>
              </w:rPr>
              <w:t>a</w:t>
            </w:r>
            <w:r w:rsidRPr="00291AD1">
              <w:rPr>
                <w:b/>
                <w:sz w:val="20"/>
                <w:lang w:val="en-US" w:eastAsia="en-US"/>
              </w:rPr>
              <w:br/>
              <w:t>(95% CI)</w:t>
            </w:r>
          </w:p>
        </w:tc>
        <w:tc>
          <w:tcPr>
            <w:tcW w:w="1620" w:type="dxa"/>
            <w:tcBorders>
              <w:top w:val="single" w:sz="4" w:space="0" w:color="auto"/>
              <w:left w:val="single" w:sz="4" w:space="0" w:color="auto"/>
              <w:bottom w:val="single" w:sz="4" w:space="0" w:color="auto"/>
              <w:right w:val="single" w:sz="4" w:space="0" w:color="auto"/>
            </w:tcBorders>
            <w:hideMark/>
          </w:tcPr>
          <w:p w14:paraId="060B73F4" w14:textId="77777777" w:rsidR="00291AD1" w:rsidRPr="00291AD1" w:rsidRDefault="00291AD1" w:rsidP="00124DDA">
            <w:pPr>
              <w:pStyle w:val="tabletextNS"/>
              <w:keepNext/>
              <w:keepLines/>
              <w:ind w:left="-104" w:right="-105"/>
              <w:jc w:val="center"/>
              <w:rPr>
                <w:b/>
                <w:sz w:val="20"/>
                <w:lang w:val="en-US" w:eastAsia="en-US"/>
              </w:rPr>
            </w:pPr>
            <w:proofErr w:type="spellStart"/>
            <w:r w:rsidRPr="00291AD1">
              <w:rPr>
                <w:b/>
                <w:sz w:val="20"/>
                <w:lang w:val="en-US" w:eastAsia="en-US"/>
              </w:rPr>
              <w:t>Difference</w:t>
            </w:r>
            <w:r w:rsidRPr="00291AD1">
              <w:rPr>
                <w:b/>
                <w:sz w:val="20"/>
                <w:vertAlign w:val="superscript"/>
                <w:lang w:val="en-US" w:eastAsia="en-US"/>
              </w:rPr>
              <w:t>b</w:t>
            </w:r>
            <w:proofErr w:type="spellEnd"/>
            <w:r w:rsidRPr="00291AD1">
              <w:rPr>
                <w:b/>
                <w:sz w:val="20"/>
                <w:lang w:val="en-US" w:eastAsia="en-US"/>
              </w:rPr>
              <w:br/>
              <w:t>(95% CI)</w:t>
            </w:r>
          </w:p>
        </w:tc>
        <w:tc>
          <w:tcPr>
            <w:tcW w:w="1170" w:type="dxa"/>
            <w:tcBorders>
              <w:top w:val="single" w:sz="4" w:space="0" w:color="auto"/>
              <w:left w:val="single" w:sz="4" w:space="0" w:color="auto"/>
              <w:bottom w:val="single" w:sz="4" w:space="0" w:color="auto"/>
              <w:right w:val="single" w:sz="4" w:space="0" w:color="auto"/>
            </w:tcBorders>
            <w:hideMark/>
          </w:tcPr>
          <w:p w14:paraId="006BF970" w14:textId="77777777" w:rsidR="00291AD1" w:rsidRPr="00291AD1" w:rsidRDefault="00291AD1" w:rsidP="00124DDA">
            <w:pPr>
              <w:pStyle w:val="tabletextNS"/>
              <w:keepNext/>
              <w:keepLines/>
              <w:ind w:left="-104" w:right="-104"/>
              <w:jc w:val="center"/>
              <w:rPr>
                <w:b/>
                <w:sz w:val="20"/>
                <w:vertAlign w:val="superscript"/>
                <w:lang w:val="en-US" w:eastAsia="en-US"/>
              </w:rPr>
            </w:pPr>
            <w:r w:rsidRPr="00291AD1">
              <w:rPr>
                <w:b/>
                <w:sz w:val="20"/>
                <w:lang w:val="en-US" w:eastAsia="en-US"/>
              </w:rPr>
              <w:t>p-</w:t>
            </w:r>
            <w:proofErr w:type="spellStart"/>
            <w:r w:rsidRPr="00291AD1">
              <w:rPr>
                <w:b/>
                <w:sz w:val="20"/>
                <w:lang w:val="en-US" w:eastAsia="en-US"/>
              </w:rPr>
              <w:t>value</w:t>
            </w:r>
            <w:r w:rsidRPr="00291AD1">
              <w:rPr>
                <w:b/>
                <w:sz w:val="20"/>
                <w:vertAlign w:val="superscript"/>
                <w:lang w:val="en-US" w:eastAsia="en-US"/>
              </w:rPr>
              <w:t>c</w:t>
            </w:r>
            <w:proofErr w:type="spellEnd"/>
          </w:p>
        </w:tc>
      </w:tr>
      <w:tr w:rsidR="00291AD1" w:rsidRPr="00291AD1" w14:paraId="5AE8A69F" w14:textId="77777777" w:rsidTr="00291AD1">
        <w:trPr>
          <w:cantSplit/>
        </w:trPr>
        <w:tc>
          <w:tcPr>
            <w:tcW w:w="2268" w:type="dxa"/>
            <w:tcBorders>
              <w:top w:val="single" w:sz="4" w:space="0" w:color="auto"/>
              <w:left w:val="single" w:sz="4" w:space="0" w:color="auto"/>
              <w:bottom w:val="single" w:sz="4" w:space="0" w:color="auto"/>
              <w:right w:val="single" w:sz="4" w:space="0" w:color="auto"/>
            </w:tcBorders>
            <w:hideMark/>
          </w:tcPr>
          <w:p w14:paraId="2756CF3C" w14:textId="77777777" w:rsidR="00291AD1" w:rsidRPr="00291AD1" w:rsidRDefault="00291AD1" w:rsidP="00124DDA">
            <w:pPr>
              <w:pStyle w:val="tabletextNS"/>
              <w:keepNext/>
              <w:keepLines/>
              <w:rPr>
                <w:rFonts w:cs="Arial"/>
                <w:color w:val="000000"/>
                <w:sz w:val="20"/>
                <w:lang w:val="en-US" w:eastAsia="en-US"/>
              </w:rPr>
            </w:pPr>
            <w:r w:rsidRPr="00291AD1">
              <w:rPr>
                <w:rFonts w:cs="Arial"/>
                <w:b/>
                <w:color w:val="000000"/>
                <w:sz w:val="20"/>
                <w:lang w:val="en-US" w:eastAsia="en-US"/>
              </w:rPr>
              <w:t>Placebo</w:t>
            </w:r>
          </w:p>
        </w:tc>
        <w:tc>
          <w:tcPr>
            <w:tcW w:w="630" w:type="dxa"/>
            <w:tcBorders>
              <w:top w:val="single" w:sz="4" w:space="0" w:color="auto"/>
              <w:left w:val="single" w:sz="4" w:space="0" w:color="auto"/>
              <w:bottom w:val="single" w:sz="4" w:space="0" w:color="auto"/>
              <w:right w:val="single" w:sz="4" w:space="0" w:color="auto"/>
            </w:tcBorders>
            <w:hideMark/>
          </w:tcPr>
          <w:p w14:paraId="4858FECC" w14:textId="77777777" w:rsidR="00291AD1" w:rsidRPr="00291AD1" w:rsidRDefault="00291AD1" w:rsidP="00124DDA">
            <w:pPr>
              <w:pStyle w:val="tabletextNS"/>
              <w:keepNext/>
              <w:keepLines/>
              <w:jc w:val="center"/>
              <w:rPr>
                <w:rFonts w:cs="Arial"/>
                <w:color w:val="000000"/>
                <w:sz w:val="20"/>
                <w:lang w:val="en-US" w:eastAsia="en-US"/>
              </w:rPr>
            </w:pPr>
            <w:r w:rsidRPr="00291AD1">
              <w:rPr>
                <w:rFonts w:cs="Arial"/>
                <w:color w:val="000000"/>
                <w:sz w:val="20"/>
                <w:lang w:val="en-US" w:eastAsia="en-US"/>
              </w:rPr>
              <w:t>69</w:t>
            </w:r>
          </w:p>
        </w:tc>
        <w:tc>
          <w:tcPr>
            <w:tcW w:w="1980" w:type="dxa"/>
            <w:tcBorders>
              <w:top w:val="single" w:sz="4" w:space="0" w:color="auto"/>
              <w:left w:val="single" w:sz="4" w:space="0" w:color="auto"/>
              <w:bottom w:val="single" w:sz="4" w:space="0" w:color="auto"/>
              <w:right w:val="single" w:sz="4" w:space="0" w:color="auto"/>
            </w:tcBorders>
            <w:hideMark/>
          </w:tcPr>
          <w:p w14:paraId="1933B553" w14:textId="77777777" w:rsidR="00291AD1" w:rsidRPr="00291AD1" w:rsidRDefault="00291AD1" w:rsidP="00124DDA">
            <w:pPr>
              <w:pStyle w:val="tabletextNS"/>
              <w:keepNext/>
              <w:keepLines/>
              <w:jc w:val="center"/>
              <w:rPr>
                <w:rFonts w:cs="Arial"/>
                <w:color w:val="000000"/>
                <w:sz w:val="20"/>
                <w:lang w:val="en-US" w:eastAsia="en-US"/>
              </w:rPr>
            </w:pPr>
            <w:r w:rsidRPr="00291AD1">
              <w:rPr>
                <w:rFonts w:cs="Arial"/>
                <w:color w:val="000000"/>
                <w:sz w:val="20"/>
                <w:lang w:val="en-US" w:eastAsia="en-US"/>
              </w:rPr>
              <w:t>-0.166</w:t>
            </w:r>
            <w:r w:rsidRPr="00291AD1">
              <w:rPr>
                <w:rFonts w:cs="Arial"/>
                <w:color w:val="000000"/>
                <w:sz w:val="20"/>
                <w:lang w:val="en-US" w:eastAsia="en-US"/>
              </w:rPr>
              <w:br/>
              <w:t>(-0.326, -0.007)</w:t>
            </w:r>
          </w:p>
        </w:tc>
        <w:tc>
          <w:tcPr>
            <w:tcW w:w="1620" w:type="dxa"/>
            <w:tcBorders>
              <w:top w:val="single" w:sz="4" w:space="0" w:color="auto"/>
              <w:left w:val="single" w:sz="4" w:space="0" w:color="auto"/>
              <w:bottom w:val="single" w:sz="4" w:space="0" w:color="auto"/>
              <w:right w:val="single" w:sz="4" w:space="0" w:color="auto"/>
            </w:tcBorders>
            <w:hideMark/>
          </w:tcPr>
          <w:p w14:paraId="6FBFE320" w14:textId="77777777" w:rsidR="00291AD1" w:rsidRPr="00291AD1" w:rsidRDefault="00291AD1" w:rsidP="00124DDA">
            <w:pPr>
              <w:pStyle w:val="tabletextNS"/>
              <w:keepNext/>
              <w:keepLines/>
              <w:ind w:left="-104" w:right="-105"/>
              <w:jc w:val="center"/>
              <w:rPr>
                <w:sz w:val="20"/>
                <w:lang w:val="en-US" w:eastAsia="en-US"/>
              </w:rPr>
            </w:pPr>
            <w:r w:rsidRPr="00291AD1">
              <w:rPr>
                <w:sz w:val="20"/>
                <w:lang w:val="en-US" w:eastAsia="en-US"/>
              </w:rPr>
              <w:t>-</w:t>
            </w:r>
          </w:p>
        </w:tc>
        <w:tc>
          <w:tcPr>
            <w:tcW w:w="1170" w:type="dxa"/>
            <w:tcBorders>
              <w:top w:val="single" w:sz="4" w:space="0" w:color="auto"/>
              <w:left w:val="single" w:sz="4" w:space="0" w:color="auto"/>
              <w:bottom w:val="single" w:sz="4" w:space="0" w:color="auto"/>
              <w:right w:val="single" w:sz="4" w:space="0" w:color="auto"/>
            </w:tcBorders>
            <w:hideMark/>
          </w:tcPr>
          <w:p w14:paraId="2F7948BF" w14:textId="77777777" w:rsidR="00291AD1" w:rsidRPr="00291AD1" w:rsidRDefault="00291AD1" w:rsidP="00124DDA">
            <w:pPr>
              <w:pStyle w:val="tabletextNS"/>
              <w:keepNext/>
              <w:keepLines/>
              <w:ind w:left="-104" w:right="-104"/>
              <w:jc w:val="center"/>
              <w:rPr>
                <w:sz w:val="20"/>
                <w:lang w:val="en-US" w:eastAsia="en-US"/>
              </w:rPr>
            </w:pPr>
            <w:r w:rsidRPr="00291AD1">
              <w:rPr>
                <w:sz w:val="20"/>
                <w:lang w:val="en-US" w:eastAsia="en-US"/>
              </w:rPr>
              <w:t>-</w:t>
            </w:r>
          </w:p>
        </w:tc>
      </w:tr>
      <w:tr w:rsidR="00291AD1" w:rsidRPr="00291AD1" w14:paraId="1C2F06A0" w14:textId="77777777" w:rsidTr="00291AD1">
        <w:trPr>
          <w:cantSplit/>
        </w:trPr>
        <w:tc>
          <w:tcPr>
            <w:tcW w:w="2268" w:type="dxa"/>
            <w:tcBorders>
              <w:top w:val="single" w:sz="4" w:space="0" w:color="auto"/>
              <w:left w:val="single" w:sz="4" w:space="0" w:color="auto"/>
              <w:bottom w:val="single" w:sz="4" w:space="0" w:color="auto"/>
              <w:right w:val="single" w:sz="4" w:space="0" w:color="auto"/>
            </w:tcBorders>
            <w:hideMark/>
          </w:tcPr>
          <w:p w14:paraId="2A4CF66F" w14:textId="77777777" w:rsidR="00291AD1" w:rsidRPr="00291AD1" w:rsidRDefault="00291AD1" w:rsidP="00124DDA">
            <w:pPr>
              <w:pStyle w:val="tabletextNS"/>
              <w:keepNext/>
              <w:keepLines/>
              <w:ind w:right="-105"/>
              <w:rPr>
                <w:rFonts w:cs="Arial"/>
                <w:b/>
                <w:color w:val="000000"/>
                <w:sz w:val="20"/>
                <w:lang w:val="en-US" w:eastAsia="en-US"/>
              </w:rPr>
            </w:pPr>
            <w:r w:rsidRPr="00291AD1">
              <w:rPr>
                <w:rFonts w:cs="Arial"/>
                <w:b/>
                <w:color w:val="000000"/>
                <w:sz w:val="20"/>
                <w:lang w:val="en-US" w:eastAsia="en-US"/>
              </w:rPr>
              <w:t xml:space="preserve">Fostemsavir 600 mg </w:t>
            </w:r>
          </w:p>
          <w:p w14:paraId="6596BD8A" w14:textId="77777777" w:rsidR="00291AD1" w:rsidRPr="00291AD1" w:rsidRDefault="00291AD1" w:rsidP="00124DDA">
            <w:pPr>
              <w:pStyle w:val="tabletextNS"/>
              <w:keepNext/>
              <w:keepLines/>
              <w:ind w:right="-105"/>
              <w:rPr>
                <w:rFonts w:cs="Arial"/>
                <w:color w:val="000000"/>
                <w:sz w:val="20"/>
                <w:lang w:val="en-US" w:eastAsia="en-US"/>
              </w:rPr>
            </w:pPr>
            <w:r w:rsidRPr="00291AD1">
              <w:rPr>
                <w:rFonts w:cs="Arial"/>
                <w:b/>
                <w:color w:val="000000"/>
                <w:sz w:val="20"/>
                <w:lang w:val="en-US" w:eastAsia="en-US"/>
              </w:rPr>
              <w:t>twice daily</w:t>
            </w:r>
            <w:r w:rsidRPr="00291AD1">
              <w:rPr>
                <w:rFonts w:cs="Arial"/>
                <w:color w:val="000000"/>
                <w:sz w:val="20"/>
                <w:lang w:val="en-US" w:eastAsia="en-US"/>
              </w:rPr>
              <w:t xml:space="preserve"> </w:t>
            </w:r>
          </w:p>
        </w:tc>
        <w:tc>
          <w:tcPr>
            <w:tcW w:w="630" w:type="dxa"/>
            <w:tcBorders>
              <w:top w:val="single" w:sz="4" w:space="0" w:color="auto"/>
              <w:left w:val="single" w:sz="4" w:space="0" w:color="auto"/>
              <w:bottom w:val="single" w:sz="4" w:space="0" w:color="auto"/>
              <w:right w:val="single" w:sz="4" w:space="0" w:color="auto"/>
            </w:tcBorders>
            <w:hideMark/>
          </w:tcPr>
          <w:p w14:paraId="62F24055" w14:textId="77777777" w:rsidR="00291AD1" w:rsidRPr="00291AD1" w:rsidRDefault="00291AD1" w:rsidP="00124DDA">
            <w:pPr>
              <w:pStyle w:val="tabletextNS"/>
              <w:keepNext/>
              <w:keepLines/>
              <w:jc w:val="center"/>
              <w:rPr>
                <w:rFonts w:cs="Arial"/>
                <w:color w:val="000000"/>
                <w:sz w:val="20"/>
                <w:lang w:val="en-US" w:eastAsia="en-US"/>
              </w:rPr>
            </w:pPr>
            <w:r w:rsidRPr="00291AD1">
              <w:rPr>
                <w:rFonts w:cs="Arial"/>
                <w:color w:val="000000"/>
                <w:sz w:val="20"/>
                <w:lang w:val="en-US" w:eastAsia="en-US"/>
              </w:rPr>
              <w:t>201</w:t>
            </w:r>
            <w:r w:rsidRPr="00291AD1">
              <w:rPr>
                <w:rFonts w:cs="Arial"/>
                <w:color w:val="000000"/>
                <w:sz w:val="20"/>
                <w:vertAlign w:val="superscript"/>
                <w:lang w:val="en-US" w:eastAsia="en-US"/>
              </w:rPr>
              <w:t>d</w:t>
            </w:r>
          </w:p>
        </w:tc>
        <w:tc>
          <w:tcPr>
            <w:tcW w:w="1980" w:type="dxa"/>
            <w:tcBorders>
              <w:top w:val="single" w:sz="4" w:space="0" w:color="auto"/>
              <w:left w:val="single" w:sz="4" w:space="0" w:color="auto"/>
              <w:bottom w:val="single" w:sz="4" w:space="0" w:color="auto"/>
              <w:right w:val="single" w:sz="4" w:space="0" w:color="auto"/>
            </w:tcBorders>
            <w:hideMark/>
          </w:tcPr>
          <w:p w14:paraId="029AD79F" w14:textId="77777777" w:rsidR="00291AD1" w:rsidRPr="00291AD1" w:rsidRDefault="00291AD1" w:rsidP="00124DDA">
            <w:pPr>
              <w:pStyle w:val="tabletextNS"/>
              <w:keepNext/>
              <w:keepLines/>
              <w:jc w:val="center"/>
              <w:rPr>
                <w:sz w:val="20"/>
                <w:lang w:val="en-US" w:eastAsia="en-US"/>
              </w:rPr>
            </w:pPr>
            <w:r w:rsidRPr="00291AD1">
              <w:rPr>
                <w:rFonts w:cs="Arial"/>
                <w:color w:val="000000"/>
                <w:sz w:val="20"/>
                <w:lang w:val="en-US" w:eastAsia="en-US"/>
              </w:rPr>
              <w:t>-0.791</w:t>
            </w:r>
            <w:r w:rsidRPr="00291AD1">
              <w:rPr>
                <w:rFonts w:cs="Arial"/>
                <w:color w:val="000000"/>
                <w:sz w:val="20"/>
                <w:lang w:val="en-US" w:eastAsia="en-US"/>
              </w:rPr>
              <w:br/>
              <w:t>(-0.885, -0.698)</w:t>
            </w:r>
          </w:p>
        </w:tc>
        <w:tc>
          <w:tcPr>
            <w:tcW w:w="1620" w:type="dxa"/>
            <w:tcBorders>
              <w:top w:val="single" w:sz="4" w:space="0" w:color="auto"/>
              <w:left w:val="single" w:sz="4" w:space="0" w:color="auto"/>
              <w:bottom w:val="single" w:sz="4" w:space="0" w:color="auto"/>
              <w:right w:val="single" w:sz="4" w:space="0" w:color="auto"/>
            </w:tcBorders>
            <w:hideMark/>
          </w:tcPr>
          <w:p w14:paraId="094EA0F8" w14:textId="77777777" w:rsidR="00291AD1" w:rsidRPr="00291AD1" w:rsidRDefault="00291AD1" w:rsidP="00124DDA">
            <w:pPr>
              <w:pStyle w:val="tabletextNS"/>
              <w:keepNext/>
              <w:keepLines/>
              <w:ind w:left="-104" w:right="-105"/>
              <w:jc w:val="center"/>
              <w:rPr>
                <w:sz w:val="20"/>
                <w:lang w:val="en-US" w:eastAsia="en-US"/>
              </w:rPr>
            </w:pPr>
            <w:r w:rsidRPr="00291AD1">
              <w:rPr>
                <w:rFonts w:cs="Arial"/>
                <w:color w:val="000000"/>
                <w:sz w:val="20"/>
                <w:lang w:val="en-US" w:eastAsia="en-US"/>
              </w:rPr>
              <w:t>-0.625</w:t>
            </w:r>
            <w:r w:rsidRPr="00291AD1">
              <w:rPr>
                <w:rFonts w:cs="Arial"/>
                <w:color w:val="000000"/>
                <w:sz w:val="20"/>
                <w:lang w:val="en-US" w:eastAsia="en-US"/>
              </w:rPr>
              <w:br/>
              <w:t>(-0.810, -0.441)</w:t>
            </w:r>
          </w:p>
        </w:tc>
        <w:tc>
          <w:tcPr>
            <w:tcW w:w="1170" w:type="dxa"/>
            <w:tcBorders>
              <w:top w:val="single" w:sz="4" w:space="0" w:color="auto"/>
              <w:left w:val="single" w:sz="4" w:space="0" w:color="auto"/>
              <w:bottom w:val="single" w:sz="4" w:space="0" w:color="auto"/>
              <w:right w:val="single" w:sz="4" w:space="0" w:color="auto"/>
            </w:tcBorders>
            <w:hideMark/>
          </w:tcPr>
          <w:p w14:paraId="2881F209" w14:textId="77777777" w:rsidR="00291AD1" w:rsidRPr="00291AD1" w:rsidRDefault="00291AD1" w:rsidP="00124DDA">
            <w:pPr>
              <w:pStyle w:val="tabletextNS"/>
              <w:keepNext/>
              <w:keepLines/>
              <w:ind w:left="-104" w:right="-104"/>
              <w:jc w:val="center"/>
              <w:rPr>
                <w:sz w:val="20"/>
                <w:lang w:val="en-US" w:eastAsia="en-US"/>
              </w:rPr>
            </w:pPr>
            <w:r w:rsidRPr="00291AD1">
              <w:rPr>
                <w:rFonts w:cs="Arial"/>
                <w:color w:val="000000"/>
                <w:sz w:val="20"/>
                <w:lang w:val="en-US" w:eastAsia="en-US"/>
              </w:rPr>
              <w:t>&lt;0.0001</w:t>
            </w:r>
          </w:p>
        </w:tc>
      </w:tr>
    </w:tbl>
    <w:p w14:paraId="531DD7AB" w14:textId="77777777" w:rsidR="00291AD1" w:rsidRPr="00291AD1" w:rsidRDefault="00291AD1" w:rsidP="00C658C1">
      <w:pPr>
        <w:keepNext/>
        <w:keepLines/>
        <w:numPr>
          <w:ilvl w:val="0"/>
          <w:numId w:val="24"/>
        </w:numPr>
        <w:tabs>
          <w:tab w:val="left" w:pos="360"/>
        </w:tabs>
        <w:spacing w:after="0" w:line="240" w:lineRule="auto"/>
        <w:ind w:left="426"/>
        <w:rPr>
          <w:rFonts w:ascii="Arial Narrow" w:hAnsi="Arial Narrow" w:cs="Arial Narrow"/>
          <w:sz w:val="20"/>
          <w:szCs w:val="20"/>
          <w:lang w:val="en-US" w:eastAsia="en-GB"/>
        </w:rPr>
      </w:pPr>
      <w:bookmarkStart w:id="34" w:name="_Hlk83644265"/>
      <w:r w:rsidRPr="00291AD1">
        <w:rPr>
          <w:rFonts w:ascii="Arial Narrow" w:hAnsi="Arial Narrow" w:cs="Arial Narrow"/>
          <w:sz w:val="20"/>
          <w:szCs w:val="20"/>
          <w:lang w:val="en-US"/>
        </w:rPr>
        <w:t>Mean adjusted by Day 1 log</w:t>
      </w:r>
      <w:r w:rsidRPr="00291AD1">
        <w:rPr>
          <w:rFonts w:ascii="Arial Narrow" w:hAnsi="Arial Narrow" w:cs="Arial Narrow"/>
          <w:sz w:val="20"/>
          <w:szCs w:val="20"/>
          <w:vertAlign w:val="subscript"/>
          <w:lang w:val="en-US"/>
        </w:rPr>
        <w:t>10</w:t>
      </w:r>
      <w:r w:rsidRPr="00291AD1">
        <w:rPr>
          <w:rFonts w:ascii="Arial Narrow" w:hAnsi="Arial Narrow" w:cs="Arial Narrow"/>
          <w:sz w:val="20"/>
          <w:szCs w:val="20"/>
          <w:lang w:val="en-US"/>
        </w:rPr>
        <w:t xml:space="preserve"> HIV-1 RNA.</w:t>
      </w:r>
    </w:p>
    <w:p w14:paraId="3AE78B68" w14:textId="77777777" w:rsidR="00291AD1" w:rsidRPr="00291AD1" w:rsidRDefault="00291AD1" w:rsidP="00C658C1">
      <w:pPr>
        <w:keepNext/>
        <w:keepLines/>
        <w:numPr>
          <w:ilvl w:val="0"/>
          <w:numId w:val="24"/>
        </w:numPr>
        <w:tabs>
          <w:tab w:val="left" w:pos="360"/>
        </w:tabs>
        <w:spacing w:after="0" w:line="240" w:lineRule="auto"/>
        <w:ind w:left="426"/>
        <w:rPr>
          <w:rFonts w:ascii="Arial Narrow" w:hAnsi="Arial Narrow" w:cs="Arial Narrow"/>
          <w:sz w:val="20"/>
          <w:szCs w:val="20"/>
          <w:lang w:val="en-US"/>
        </w:rPr>
      </w:pPr>
      <w:r w:rsidRPr="00291AD1">
        <w:rPr>
          <w:rFonts w:ascii="Arial Narrow" w:hAnsi="Arial Narrow" w:cs="Arial Narrow"/>
          <w:sz w:val="20"/>
          <w:szCs w:val="20"/>
          <w:lang w:val="en-US"/>
        </w:rPr>
        <w:t>Difference: Fostemsavir - Placebo.</w:t>
      </w:r>
    </w:p>
    <w:p w14:paraId="5FDBF37D" w14:textId="77777777" w:rsidR="00291AD1" w:rsidRPr="00291AD1" w:rsidRDefault="00291AD1" w:rsidP="00C658C1">
      <w:pPr>
        <w:keepNext/>
        <w:keepLines/>
        <w:numPr>
          <w:ilvl w:val="0"/>
          <w:numId w:val="24"/>
        </w:numPr>
        <w:tabs>
          <w:tab w:val="left" w:pos="360"/>
        </w:tabs>
        <w:spacing w:after="0" w:line="240" w:lineRule="auto"/>
        <w:ind w:left="426"/>
        <w:rPr>
          <w:rFonts w:ascii="Arial Narrow" w:hAnsi="Arial Narrow" w:cs="Arial Narrow"/>
          <w:sz w:val="20"/>
          <w:szCs w:val="20"/>
          <w:lang w:val="en-US"/>
        </w:rPr>
      </w:pPr>
      <w:bookmarkStart w:id="35" w:name="_Hlk4616015"/>
      <w:r w:rsidRPr="00291AD1">
        <w:rPr>
          <w:rFonts w:ascii="Arial Narrow" w:hAnsi="Arial Narrow" w:cs="Arial Narrow"/>
          <w:sz w:val="20"/>
          <w:szCs w:val="20"/>
          <w:lang w:val="en-US"/>
        </w:rPr>
        <w:t>M</w:t>
      </w:r>
      <w:proofErr w:type="spellStart"/>
      <w:r w:rsidRPr="00291AD1">
        <w:rPr>
          <w:rFonts w:ascii="Arial Narrow" w:hAnsi="Arial Narrow"/>
          <w:sz w:val="20"/>
          <w:szCs w:val="20"/>
        </w:rPr>
        <w:t>ean</w:t>
      </w:r>
      <w:proofErr w:type="spellEnd"/>
      <w:r w:rsidRPr="00291AD1">
        <w:rPr>
          <w:rFonts w:ascii="Arial Narrow" w:hAnsi="Arial Narrow"/>
          <w:sz w:val="20"/>
          <w:szCs w:val="20"/>
        </w:rPr>
        <w:t xml:space="preserve"> value of viral load change from baseline (Fostemsavir = Placebo).</w:t>
      </w:r>
    </w:p>
    <w:p w14:paraId="1418F308" w14:textId="25542FC1" w:rsidR="00291AD1" w:rsidRPr="00BC61E5" w:rsidRDefault="00C658C1" w:rsidP="00C658C1">
      <w:pPr>
        <w:keepNext/>
        <w:keepLines/>
        <w:tabs>
          <w:tab w:val="left" w:pos="360"/>
        </w:tabs>
        <w:spacing w:after="0"/>
        <w:ind w:left="66"/>
        <w:rPr>
          <w:rFonts w:ascii="Arial Narrow" w:hAnsi="Arial Narrow" w:cs="Arial Narrow"/>
          <w:sz w:val="20"/>
          <w:szCs w:val="20"/>
          <w:lang w:val="en-US"/>
        </w:rPr>
      </w:pPr>
      <w:r>
        <w:rPr>
          <w:rFonts w:ascii="Arial Narrow" w:hAnsi="Arial Narrow" w:cs="Arial Narrow"/>
          <w:sz w:val="20"/>
          <w:szCs w:val="20"/>
          <w:lang w:val="en-US"/>
        </w:rPr>
        <w:tab/>
      </w:r>
      <w:r w:rsidR="00291AD1" w:rsidRPr="00BC61E5">
        <w:rPr>
          <w:rFonts w:ascii="Arial Narrow" w:hAnsi="Arial Narrow" w:cs="Arial Narrow"/>
          <w:sz w:val="20"/>
          <w:szCs w:val="20"/>
          <w:lang w:val="en-US"/>
        </w:rPr>
        <w:t xml:space="preserve">Note: p-value from </w:t>
      </w:r>
      <w:proofErr w:type="spellStart"/>
      <w:r w:rsidR="00291AD1" w:rsidRPr="00BC61E5">
        <w:rPr>
          <w:rFonts w:ascii="Arial Narrow" w:hAnsi="Arial Narrow" w:cs="Arial Narrow"/>
          <w:sz w:val="20"/>
          <w:szCs w:val="20"/>
          <w:lang w:val="en-US"/>
        </w:rPr>
        <w:t>Levene’s</w:t>
      </w:r>
      <w:proofErr w:type="spellEnd"/>
      <w:r w:rsidR="00291AD1" w:rsidRPr="00BC61E5">
        <w:rPr>
          <w:rFonts w:ascii="Arial Narrow" w:hAnsi="Arial Narrow" w:cs="Arial Narrow"/>
          <w:sz w:val="20"/>
          <w:szCs w:val="20"/>
          <w:lang w:val="en-US"/>
        </w:rPr>
        <w:t xml:space="preserve"> Test of Homogeneity of variance 0.2082.</w:t>
      </w:r>
    </w:p>
    <w:bookmarkEnd w:id="35"/>
    <w:p w14:paraId="1C302D9C" w14:textId="77777777" w:rsidR="00291AD1" w:rsidRPr="00291AD1" w:rsidRDefault="00291AD1" w:rsidP="00C658C1">
      <w:pPr>
        <w:keepNext/>
        <w:keepLines/>
        <w:numPr>
          <w:ilvl w:val="0"/>
          <w:numId w:val="24"/>
        </w:numPr>
        <w:tabs>
          <w:tab w:val="left" w:pos="360"/>
        </w:tabs>
        <w:spacing w:after="240" w:line="240" w:lineRule="auto"/>
        <w:ind w:left="426"/>
        <w:rPr>
          <w:rFonts w:ascii="Arial Narrow" w:hAnsi="Arial Narrow" w:cs="Arial Narrow"/>
          <w:sz w:val="20"/>
          <w:szCs w:val="20"/>
          <w:lang w:val="en-US"/>
        </w:rPr>
      </w:pPr>
      <w:r w:rsidRPr="00291AD1">
        <w:rPr>
          <w:rFonts w:ascii="Arial Narrow" w:hAnsi="Arial Narrow" w:cs="Arial Narrow"/>
          <w:sz w:val="20"/>
          <w:szCs w:val="20"/>
          <w:lang w:val="en-US"/>
        </w:rPr>
        <w:t xml:space="preserve">Two subjects (both in the fostemsavir arm) who had missing Day 1 HIV-1 RNA values were not included in the analysis. </w:t>
      </w:r>
    </w:p>
    <w:p w14:paraId="390DC3FB" w14:textId="77777777" w:rsidR="00291AD1" w:rsidRPr="00291AD1" w:rsidRDefault="00291AD1" w:rsidP="00291AD1">
      <w:pPr>
        <w:pStyle w:val="CommentText"/>
        <w:rPr>
          <w:rFonts w:ascii="Arial" w:hAnsi="Arial" w:cs="Arial"/>
          <w:bCs/>
          <w:sz w:val="22"/>
          <w:szCs w:val="22"/>
        </w:rPr>
      </w:pPr>
      <w:bookmarkStart w:id="36" w:name="_Hlk83644299"/>
      <w:bookmarkEnd w:id="34"/>
      <w:r w:rsidRPr="00291AD1">
        <w:rPr>
          <w:rFonts w:ascii="Arial" w:hAnsi="Arial" w:cs="Arial"/>
          <w:color w:val="000000"/>
          <w:sz w:val="22"/>
          <w:szCs w:val="22"/>
        </w:rPr>
        <w:t xml:space="preserve">At Day 8, 65% (131/203) </w:t>
      </w:r>
      <w:r w:rsidRPr="00291AD1">
        <w:rPr>
          <w:rFonts w:ascii="Arial" w:hAnsi="Arial" w:cs="Arial"/>
          <w:sz w:val="22"/>
          <w:szCs w:val="22"/>
        </w:rPr>
        <w:t xml:space="preserve">and 46% (93/203) of subjects had a reduction in viral load from baseline </w:t>
      </w:r>
      <w:r w:rsidRPr="00291AD1">
        <w:rPr>
          <w:rFonts w:ascii="Arial" w:hAnsi="Arial" w:cs="Arial"/>
          <w:sz w:val="22"/>
          <w:szCs w:val="22"/>
        </w:rPr>
        <w:sym w:font="Symbol" w:char="F03E"/>
      </w:r>
      <w:r w:rsidRPr="00291AD1">
        <w:rPr>
          <w:rFonts w:ascii="Arial" w:hAnsi="Arial" w:cs="Arial"/>
          <w:sz w:val="22"/>
          <w:szCs w:val="22"/>
        </w:rPr>
        <w:t xml:space="preserve"> </w:t>
      </w:r>
      <w:r w:rsidRPr="00291AD1">
        <w:rPr>
          <w:rFonts w:ascii="Arial" w:hAnsi="Arial" w:cs="Arial"/>
          <w:sz w:val="22"/>
          <w:szCs w:val="22"/>
          <w:lang w:val="en-US"/>
        </w:rPr>
        <w:t>0.5 log</w:t>
      </w:r>
      <w:r w:rsidRPr="00291AD1">
        <w:rPr>
          <w:rFonts w:ascii="Arial" w:hAnsi="Arial" w:cs="Arial"/>
          <w:sz w:val="22"/>
          <w:szCs w:val="22"/>
          <w:vertAlign w:val="subscript"/>
          <w:lang w:val="en-US"/>
        </w:rPr>
        <w:t>10</w:t>
      </w:r>
      <w:r w:rsidRPr="00291AD1">
        <w:rPr>
          <w:rFonts w:ascii="Arial" w:hAnsi="Arial" w:cs="Arial"/>
          <w:sz w:val="22"/>
          <w:szCs w:val="22"/>
          <w:lang w:val="en-US"/>
        </w:rPr>
        <w:t xml:space="preserve"> c/mL and </w:t>
      </w:r>
      <w:r w:rsidRPr="00291AD1">
        <w:rPr>
          <w:rFonts w:ascii="Arial" w:hAnsi="Arial" w:cs="Arial"/>
          <w:sz w:val="22"/>
          <w:szCs w:val="22"/>
        </w:rPr>
        <w:sym w:font="Symbol" w:char="F03E"/>
      </w:r>
      <w:r w:rsidRPr="00291AD1">
        <w:rPr>
          <w:rFonts w:ascii="Arial" w:hAnsi="Arial" w:cs="Arial"/>
          <w:sz w:val="22"/>
          <w:szCs w:val="22"/>
        </w:rPr>
        <w:t xml:space="preserve"> </w:t>
      </w:r>
      <w:r w:rsidRPr="00291AD1">
        <w:rPr>
          <w:rFonts w:ascii="Arial" w:hAnsi="Arial" w:cs="Arial"/>
          <w:sz w:val="22"/>
          <w:szCs w:val="22"/>
          <w:lang w:val="en-US"/>
        </w:rPr>
        <w:t>1 log</w:t>
      </w:r>
      <w:r w:rsidRPr="00291AD1">
        <w:rPr>
          <w:rFonts w:ascii="Arial" w:hAnsi="Arial" w:cs="Arial"/>
          <w:sz w:val="22"/>
          <w:szCs w:val="22"/>
          <w:vertAlign w:val="subscript"/>
          <w:lang w:val="en-US"/>
        </w:rPr>
        <w:t>10</w:t>
      </w:r>
      <w:r w:rsidRPr="00291AD1">
        <w:rPr>
          <w:rFonts w:ascii="Arial" w:hAnsi="Arial" w:cs="Arial"/>
          <w:sz w:val="22"/>
          <w:szCs w:val="22"/>
          <w:lang w:val="en-US"/>
        </w:rPr>
        <w:t xml:space="preserve"> c/mL, respectively, </w:t>
      </w:r>
      <w:r w:rsidRPr="00291AD1">
        <w:rPr>
          <w:rFonts w:ascii="Arial" w:hAnsi="Arial" w:cs="Arial"/>
          <w:sz w:val="22"/>
          <w:szCs w:val="22"/>
        </w:rPr>
        <w:t xml:space="preserve">in the fostemsavir group, compared with </w:t>
      </w:r>
      <w:bookmarkStart w:id="37" w:name="_Hlk2495763"/>
      <w:r w:rsidRPr="00291AD1">
        <w:rPr>
          <w:rFonts w:ascii="Arial" w:hAnsi="Arial" w:cs="Arial"/>
          <w:sz w:val="22"/>
          <w:szCs w:val="22"/>
        </w:rPr>
        <w:t>19% (13/69) and 10% (7/69)</w:t>
      </w:r>
      <w:bookmarkEnd w:id="37"/>
      <w:r w:rsidRPr="00291AD1">
        <w:rPr>
          <w:rFonts w:ascii="Arial" w:hAnsi="Arial" w:cs="Arial"/>
          <w:sz w:val="22"/>
          <w:szCs w:val="22"/>
        </w:rPr>
        <w:t xml:space="preserve"> of subjects, respectively, in the placebo group. </w:t>
      </w:r>
      <w:bookmarkStart w:id="38" w:name="_Hlk530726906"/>
    </w:p>
    <w:p w14:paraId="60243A77" w14:textId="77777777" w:rsidR="00291AD1" w:rsidRPr="00291AD1" w:rsidRDefault="00291AD1" w:rsidP="00291AD1">
      <w:pPr>
        <w:pStyle w:val="CommentText"/>
        <w:rPr>
          <w:rFonts w:ascii="Arial" w:hAnsi="Arial" w:cs="Arial"/>
          <w:bCs/>
          <w:color w:val="0000FF"/>
          <w:sz w:val="22"/>
          <w:szCs w:val="22"/>
        </w:rPr>
      </w:pPr>
      <w:r w:rsidRPr="00291AD1">
        <w:rPr>
          <w:rFonts w:ascii="Arial" w:eastAsia="MS Mincho" w:hAnsi="Arial" w:cs="Arial"/>
          <w:sz w:val="22"/>
          <w:szCs w:val="22"/>
        </w:rPr>
        <w:t>By subgroup analysis, fostemsavir-treated Randomised s</w:t>
      </w:r>
      <w:r w:rsidRPr="00291AD1">
        <w:rPr>
          <w:rFonts w:ascii="Arial" w:hAnsi="Arial" w:cs="Arial"/>
          <w:bCs/>
          <w:sz w:val="22"/>
          <w:szCs w:val="22"/>
        </w:rPr>
        <w:t>ubjects with baseline HIV</w:t>
      </w:r>
      <w:r w:rsidRPr="00291AD1">
        <w:rPr>
          <w:rFonts w:ascii="Arial" w:hAnsi="Arial" w:cs="Arial"/>
          <w:bCs/>
          <w:sz w:val="22"/>
          <w:szCs w:val="22"/>
        </w:rPr>
        <w:noBreakHyphen/>
        <w:t>1 RNA &gt;1,000 c/mL achieved a median decline in viral load of 1.02 log</w:t>
      </w:r>
      <w:r w:rsidRPr="00291AD1">
        <w:rPr>
          <w:rFonts w:ascii="Arial" w:hAnsi="Arial" w:cs="Arial"/>
          <w:bCs/>
          <w:sz w:val="22"/>
          <w:szCs w:val="22"/>
          <w:vertAlign w:val="subscript"/>
        </w:rPr>
        <w:t>10</w:t>
      </w:r>
      <w:r w:rsidRPr="00291AD1">
        <w:rPr>
          <w:rFonts w:ascii="Arial" w:hAnsi="Arial" w:cs="Arial"/>
          <w:bCs/>
          <w:sz w:val="22"/>
          <w:szCs w:val="22"/>
        </w:rPr>
        <w:t xml:space="preserve"> c/mL at Day 8, compared with 0.00 log</w:t>
      </w:r>
      <w:r w:rsidRPr="00291AD1">
        <w:rPr>
          <w:rFonts w:ascii="Arial" w:hAnsi="Arial" w:cs="Arial"/>
          <w:bCs/>
          <w:sz w:val="22"/>
          <w:szCs w:val="22"/>
          <w:vertAlign w:val="subscript"/>
        </w:rPr>
        <w:t>10</w:t>
      </w:r>
      <w:r w:rsidRPr="00291AD1">
        <w:rPr>
          <w:rFonts w:ascii="Arial" w:hAnsi="Arial" w:cs="Arial"/>
          <w:bCs/>
          <w:sz w:val="22"/>
          <w:szCs w:val="22"/>
        </w:rPr>
        <w:t xml:space="preserve"> c/mL decline in subjects treated with blinded placebo.</w:t>
      </w:r>
    </w:p>
    <w:bookmarkEnd w:id="38"/>
    <w:p w14:paraId="68E3CF9A" w14:textId="1721ECD4" w:rsidR="00291AD1" w:rsidRPr="00291AD1" w:rsidRDefault="00291AD1" w:rsidP="00291AD1">
      <w:pPr>
        <w:rPr>
          <w:rFonts w:ascii="Arial" w:eastAsia="MS Mincho" w:hAnsi="Arial" w:cs="Arial"/>
          <w:lang w:val="en-US"/>
        </w:rPr>
      </w:pPr>
      <w:r w:rsidRPr="00291AD1">
        <w:rPr>
          <w:rFonts w:ascii="Arial" w:hAnsi="Arial" w:cs="Arial"/>
          <w:bCs/>
        </w:rPr>
        <w:t xml:space="preserve">Virologic outcomes </w:t>
      </w:r>
      <w:r w:rsidRPr="00291AD1">
        <w:rPr>
          <w:rFonts w:ascii="Arial" w:hAnsi="Arial" w:cs="Arial"/>
        </w:rPr>
        <w:t xml:space="preserve">by ITT-E Snapshot Analysis </w:t>
      </w:r>
      <w:r w:rsidRPr="00291AD1">
        <w:rPr>
          <w:rFonts w:ascii="Arial" w:hAnsi="Arial" w:cs="Arial"/>
          <w:bCs/>
        </w:rPr>
        <w:t xml:space="preserve">at Weeks 24, 48 and 96 in the BRIGHTE trial (including outcomes by key baseline covariates) are shown in Table </w:t>
      </w:r>
      <w:r w:rsidR="007F3FFE">
        <w:rPr>
          <w:rFonts w:ascii="Arial" w:hAnsi="Arial" w:cs="Arial"/>
          <w:bCs/>
        </w:rPr>
        <w:t>4</w:t>
      </w:r>
      <w:r w:rsidRPr="00291AD1">
        <w:rPr>
          <w:rFonts w:ascii="Arial" w:hAnsi="Arial" w:cs="Arial"/>
          <w:bCs/>
        </w:rPr>
        <w:t xml:space="preserve"> for the Randomised Cohort. </w:t>
      </w:r>
    </w:p>
    <w:p w14:paraId="55AA6C38" w14:textId="5DE0C451" w:rsidR="00291AD1" w:rsidRPr="00291AD1" w:rsidRDefault="00291AD1" w:rsidP="0076337D">
      <w:pPr>
        <w:keepNext/>
        <w:keepLines/>
        <w:tabs>
          <w:tab w:val="left" w:pos="1656"/>
        </w:tabs>
        <w:rPr>
          <w:rFonts w:ascii="Arial"/>
          <w:b/>
        </w:rPr>
      </w:pPr>
      <w:bookmarkStart w:id="39" w:name="_Hlk83644364"/>
      <w:bookmarkEnd w:id="36"/>
      <w:r w:rsidRPr="00291AD1">
        <w:rPr>
          <w:rFonts w:ascii="Arial"/>
          <w:b/>
        </w:rPr>
        <w:lastRenderedPageBreak/>
        <w:t xml:space="preserve">Table </w:t>
      </w:r>
      <w:r>
        <w:rPr>
          <w:rFonts w:ascii="Arial"/>
          <w:b/>
        </w:rPr>
        <w:t>4</w:t>
      </w:r>
      <w:r w:rsidRPr="00291AD1">
        <w:rPr>
          <w:rFonts w:ascii="Arial"/>
          <w:b/>
        </w:rPr>
        <w:t xml:space="preserve"> </w:t>
      </w:r>
      <w:r w:rsidRPr="00291AD1">
        <w:rPr>
          <w:rFonts w:ascii="Arial"/>
          <w:b/>
        </w:rPr>
        <w:tab/>
        <w:t>Virologic Outcomes (HIV-1 RNA &lt;40 copies/mL) at Weeks 24, 48 and 96 with Fostemsavir (600</w:t>
      </w:r>
      <w:r w:rsidRPr="00291AD1">
        <w:rPr>
          <w:rFonts w:ascii="Arial"/>
          <w:b/>
        </w:rPr>
        <w:t> </w:t>
      </w:r>
      <w:r w:rsidRPr="00291AD1">
        <w:rPr>
          <w:rFonts w:ascii="Arial"/>
          <w:b/>
        </w:rPr>
        <w:t xml:space="preserve">mg twice daily) plus Optimised Background Treatment (Randomised Cohort) in BRIGHTE trial (ITT-E Population, Snapshot Algorithm) </w:t>
      </w:r>
    </w:p>
    <w:bookmarkEnd w:id="39"/>
    <w:tbl>
      <w:tblPr>
        <w:tblW w:w="86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0"/>
        <w:gridCol w:w="1530"/>
        <w:gridCol w:w="1350"/>
        <w:gridCol w:w="1440"/>
      </w:tblGrid>
      <w:tr w:rsidR="00291AD1" w:rsidRPr="00956694" w14:paraId="1C093DD6" w14:textId="77777777" w:rsidTr="00291AD1">
        <w:trPr>
          <w:cantSplit/>
          <w:trHeight w:val="147"/>
        </w:trPr>
        <w:tc>
          <w:tcPr>
            <w:tcW w:w="4320" w:type="dxa"/>
            <w:vMerge w:val="restart"/>
            <w:tcBorders>
              <w:top w:val="single" w:sz="4" w:space="0" w:color="auto"/>
              <w:left w:val="single" w:sz="4" w:space="0" w:color="auto"/>
              <w:bottom w:val="single" w:sz="4" w:space="0" w:color="auto"/>
              <w:right w:val="single" w:sz="4" w:space="0" w:color="auto"/>
            </w:tcBorders>
          </w:tcPr>
          <w:p w14:paraId="536B26D6" w14:textId="77777777" w:rsidR="00291AD1" w:rsidRPr="00956694" w:rsidRDefault="00291AD1" w:rsidP="00124DDA">
            <w:pPr>
              <w:pStyle w:val="tabletextNS"/>
              <w:keepNext/>
              <w:keepLines/>
              <w:rPr>
                <w:b/>
                <w:sz w:val="20"/>
              </w:rPr>
            </w:pPr>
          </w:p>
        </w:tc>
        <w:tc>
          <w:tcPr>
            <w:tcW w:w="4320" w:type="dxa"/>
            <w:gridSpan w:val="3"/>
            <w:tcBorders>
              <w:top w:val="single" w:sz="4" w:space="0" w:color="auto"/>
              <w:left w:val="single" w:sz="4" w:space="0" w:color="auto"/>
              <w:bottom w:val="single" w:sz="4" w:space="0" w:color="auto"/>
              <w:right w:val="single" w:sz="4" w:space="0" w:color="auto"/>
            </w:tcBorders>
            <w:vAlign w:val="bottom"/>
            <w:hideMark/>
          </w:tcPr>
          <w:p w14:paraId="50BDCA5D" w14:textId="77777777" w:rsidR="00291AD1" w:rsidRPr="00956694" w:rsidRDefault="00291AD1" w:rsidP="00124DDA">
            <w:pPr>
              <w:pStyle w:val="tabletextNS"/>
              <w:keepNext/>
              <w:keepLines/>
              <w:jc w:val="center"/>
              <w:rPr>
                <w:rFonts w:eastAsia="MS Mincho"/>
                <w:b/>
                <w:sz w:val="20"/>
                <w:lang w:val="en-US" w:eastAsia="en-US"/>
              </w:rPr>
            </w:pPr>
            <w:r w:rsidRPr="00956694">
              <w:rPr>
                <w:b/>
                <w:sz w:val="20"/>
              </w:rPr>
              <w:t xml:space="preserve"> </w:t>
            </w:r>
            <w:r w:rsidRPr="00956694">
              <w:rPr>
                <w:rFonts w:eastAsia="MS Mincho"/>
                <w:b/>
                <w:sz w:val="20"/>
                <w:lang w:val="en-US" w:eastAsia="en-US"/>
              </w:rPr>
              <w:t xml:space="preserve">Fostemsavir 600 mg twice daily </w:t>
            </w:r>
          </w:p>
        </w:tc>
      </w:tr>
      <w:tr w:rsidR="00291AD1" w:rsidRPr="00956694" w14:paraId="7E0D2C4A" w14:textId="77777777" w:rsidTr="00956694">
        <w:trPr>
          <w:cantSplit/>
        </w:trPr>
        <w:tc>
          <w:tcPr>
            <w:tcW w:w="4320" w:type="dxa"/>
            <w:vMerge/>
            <w:tcBorders>
              <w:top w:val="single" w:sz="4" w:space="0" w:color="auto"/>
              <w:left w:val="single" w:sz="4" w:space="0" w:color="auto"/>
              <w:bottom w:val="single" w:sz="4" w:space="0" w:color="auto"/>
              <w:right w:val="single" w:sz="4" w:space="0" w:color="auto"/>
            </w:tcBorders>
            <w:vAlign w:val="center"/>
            <w:hideMark/>
          </w:tcPr>
          <w:p w14:paraId="2995EB5F" w14:textId="77777777" w:rsidR="00291AD1" w:rsidRPr="00956694" w:rsidRDefault="00291AD1" w:rsidP="00124DDA">
            <w:pPr>
              <w:keepNext/>
              <w:keepLines/>
              <w:spacing w:after="0"/>
              <w:rPr>
                <w:rFonts w:ascii="Arial Narrow" w:hAnsi="Arial Narrow" w:cs="Arial Narrow"/>
                <w:b/>
                <w:sz w:val="20"/>
                <w:szCs w:val="20"/>
                <w:lang w:val="en-GB" w:eastAsia="en-GB"/>
              </w:rPr>
            </w:pPr>
          </w:p>
        </w:tc>
        <w:tc>
          <w:tcPr>
            <w:tcW w:w="1530" w:type="dxa"/>
            <w:tcBorders>
              <w:top w:val="single" w:sz="4" w:space="0" w:color="auto"/>
              <w:left w:val="single" w:sz="4" w:space="0" w:color="auto"/>
              <w:bottom w:val="single" w:sz="4" w:space="0" w:color="auto"/>
              <w:right w:val="single" w:sz="4" w:space="0" w:color="auto"/>
            </w:tcBorders>
            <w:vAlign w:val="bottom"/>
            <w:hideMark/>
          </w:tcPr>
          <w:p w14:paraId="777370ED" w14:textId="77777777" w:rsidR="00291AD1" w:rsidRPr="00956694" w:rsidRDefault="00291AD1" w:rsidP="00124DDA">
            <w:pPr>
              <w:pStyle w:val="tabletextNS"/>
              <w:keepNext/>
              <w:keepLines/>
              <w:jc w:val="center"/>
              <w:rPr>
                <w:rFonts w:eastAsia="MS Mincho"/>
                <w:b/>
                <w:sz w:val="20"/>
                <w:lang w:val="en-US" w:eastAsia="en-US"/>
              </w:rPr>
            </w:pPr>
            <w:r w:rsidRPr="00956694">
              <w:rPr>
                <w:b/>
                <w:sz w:val="20"/>
              </w:rPr>
              <w:t xml:space="preserve"> </w:t>
            </w:r>
            <w:r w:rsidRPr="00956694">
              <w:rPr>
                <w:rFonts w:eastAsia="MS Mincho"/>
                <w:b/>
                <w:sz w:val="20"/>
                <w:lang w:val="en-US" w:eastAsia="en-US"/>
              </w:rPr>
              <w:t>Week 24</w:t>
            </w:r>
          </w:p>
          <w:p w14:paraId="22C03700" w14:textId="77777777" w:rsidR="00291AD1" w:rsidRPr="00956694" w:rsidRDefault="00291AD1" w:rsidP="00124DDA">
            <w:pPr>
              <w:pStyle w:val="tabletextNS"/>
              <w:keepNext/>
              <w:keepLines/>
              <w:jc w:val="center"/>
              <w:rPr>
                <w:b/>
                <w:sz w:val="20"/>
              </w:rPr>
            </w:pPr>
            <w:r w:rsidRPr="00956694">
              <w:rPr>
                <w:b/>
                <w:sz w:val="20"/>
              </w:rPr>
              <w:t>(N = 272)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430ABB10" w14:textId="77777777" w:rsidR="00291AD1" w:rsidRPr="00956694" w:rsidRDefault="00291AD1" w:rsidP="00124DDA">
            <w:pPr>
              <w:pStyle w:val="tabletextNS"/>
              <w:keepNext/>
              <w:keepLines/>
              <w:jc w:val="center"/>
              <w:rPr>
                <w:rFonts w:eastAsia="MS Mincho"/>
                <w:b/>
                <w:sz w:val="20"/>
                <w:lang w:val="en-US" w:eastAsia="en-US"/>
              </w:rPr>
            </w:pPr>
            <w:r w:rsidRPr="00956694">
              <w:rPr>
                <w:rFonts w:eastAsia="MS Mincho"/>
                <w:b/>
                <w:sz w:val="20"/>
                <w:lang w:val="en-US" w:eastAsia="en-US"/>
              </w:rPr>
              <w:t>Week 48</w:t>
            </w:r>
          </w:p>
          <w:p w14:paraId="0DB73A45" w14:textId="77777777" w:rsidR="00291AD1" w:rsidRPr="00956694" w:rsidRDefault="00291AD1" w:rsidP="00124DDA">
            <w:pPr>
              <w:pStyle w:val="tabletextNS"/>
              <w:keepNext/>
              <w:keepLines/>
              <w:jc w:val="center"/>
              <w:rPr>
                <w:b/>
                <w:sz w:val="20"/>
              </w:rPr>
            </w:pPr>
            <w:r w:rsidRPr="00956694">
              <w:rPr>
                <w:b/>
                <w:sz w:val="20"/>
              </w:rPr>
              <w:t>(N = 272)</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9431A4B" w14:textId="77777777" w:rsidR="00291AD1" w:rsidRPr="00956694" w:rsidRDefault="00291AD1" w:rsidP="00124DDA">
            <w:pPr>
              <w:pStyle w:val="tabletextNS"/>
              <w:keepNext/>
              <w:keepLines/>
              <w:jc w:val="center"/>
              <w:rPr>
                <w:rFonts w:eastAsia="MS Mincho"/>
                <w:b/>
                <w:sz w:val="20"/>
                <w:lang w:val="en-US" w:eastAsia="en-US"/>
              </w:rPr>
            </w:pPr>
            <w:r w:rsidRPr="00956694">
              <w:rPr>
                <w:rFonts w:eastAsia="MS Mincho"/>
                <w:b/>
                <w:sz w:val="20"/>
                <w:lang w:val="en-US" w:eastAsia="en-US"/>
              </w:rPr>
              <w:t>Week 96</w:t>
            </w:r>
          </w:p>
          <w:p w14:paraId="2E54960D" w14:textId="77777777" w:rsidR="00291AD1" w:rsidRPr="00956694" w:rsidRDefault="00291AD1" w:rsidP="00124DDA">
            <w:pPr>
              <w:pStyle w:val="tabletextNS"/>
              <w:keepNext/>
              <w:keepLines/>
              <w:jc w:val="center"/>
              <w:rPr>
                <w:b/>
                <w:sz w:val="20"/>
              </w:rPr>
            </w:pPr>
            <w:r w:rsidRPr="00956694">
              <w:rPr>
                <w:b/>
                <w:sz w:val="20"/>
              </w:rPr>
              <w:t>(N = 272)</w:t>
            </w:r>
          </w:p>
        </w:tc>
      </w:tr>
      <w:tr w:rsidR="00291AD1" w:rsidRPr="00956694" w14:paraId="5582C685" w14:textId="77777777" w:rsidTr="00291AD1">
        <w:trPr>
          <w:cantSplit/>
        </w:trPr>
        <w:tc>
          <w:tcPr>
            <w:tcW w:w="4320"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A68FC3B" w14:textId="77777777" w:rsidR="00291AD1" w:rsidRPr="00956694" w:rsidRDefault="00291AD1" w:rsidP="00124DDA">
            <w:pPr>
              <w:pStyle w:val="tabletextNS"/>
              <w:keepNext/>
              <w:keepLines/>
              <w:rPr>
                <w:sz w:val="20"/>
              </w:rPr>
            </w:pPr>
            <w:r w:rsidRPr="00956694">
              <w:rPr>
                <w:b/>
                <w:bCs/>
                <w:sz w:val="20"/>
              </w:rPr>
              <w:t xml:space="preserve">HIV-1 RNA &lt;40 copies/mL </w:t>
            </w:r>
          </w:p>
        </w:tc>
        <w:tc>
          <w:tcPr>
            <w:tcW w:w="1530" w:type="dxa"/>
            <w:tcBorders>
              <w:top w:val="single" w:sz="4" w:space="0" w:color="auto"/>
              <w:left w:val="single" w:sz="4" w:space="0" w:color="auto"/>
              <w:bottom w:val="single" w:sz="4" w:space="0" w:color="auto"/>
              <w:right w:val="single" w:sz="4" w:space="0" w:color="auto"/>
            </w:tcBorders>
            <w:shd w:val="pct5" w:color="auto" w:fill="auto"/>
            <w:hideMark/>
          </w:tcPr>
          <w:p w14:paraId="08A14C43" w14:textId="77777777" w:rsidR="00291AD1" w:rsidRPr="00956694" w:rsidRDefault="00291AD1" w:rsidP="00124DDA">
            <w:pPr>
              <w:pStyle w:val="tabletextNS"/>
              <w:keepNext/>
              <w:keepLines/>
              <w:jc w:val="center"/>
              <w:rPr>
                <w:sz w:val="20"/>
              </w:rPr>
            </w:pPr>
            <w:r w:rsidRPr="00956694">
              <w:rPr>
                <w:sz w:val="20"/>
              </w:rPr>
              <w:t>53%</w:t>
            </w:r>
          </w:p>
        </w:tc>
        <w:tc>
          <w:tcPr>
            <w:tcW w:w="1350" w:type="dxa"/>
            <w:tcBorders>
              <w:top w:val="single" w:sz="4" w:space="0" w:color="auto"/>
              <w:left w:val="single" w:sz="4" w:space="0" w:color="auto"/>
              <w:bottom w:val="single" w:sz="4" w:space="0" w:color="auto"/>
              <w:right w:val="single" w:sz="4" w:space="0" w:color="auto"/>
            </w:tcBorders>
            <w:shd w:val="pct5" w:color="auto" w:fill="auto"/>
            <w:hideMark/>
          </w:tcPr>
          <w:p w14:paraId="2EF75E3D" w14:textId="77777777" w:rsidR="00291AD1" w:rsidRPr="00956694" w:rsidRDefault="00291AD1" w:rsidP="00124DDA">
            <w:pPr>
              <w:pStyle w:val="tabletextNS"/>
              <w:keepNext/>
              <w:keepLines/>
              <w:jc w:val="center"/>
              <w:rPr>
                <w:sz w:val="20"/>
              </w:rPr>
            </w:pPr>
            <w:r w:rsidRPr="00956694">
              <w:rPr>
                <w:sz w:val="20"/>
              </w:rPr>
              <w:t>54%</w:t>
            </w:r>
          </w:p>
        </w:tc>
        <w:tc>
          <w:tcPr>
            <w:tcW w:w="1440" w:type="dxa"/>
            <w:tcBorders>
              <w:top w:val="single" w:sz="4" w:space="0" w:color="auto"/>
              <w:left w:val="single" w:sz="4" w:space="0" w:color="auto"/>
              <w:bottom w:val="single" w:sz="4" w:space="0" w:color="auto"/>
              <w:right w:val="single" w:sz="4" w:space="0" w:color="auto"/>
            </w:tcBorders>
            <w:shd w:val="pct5" w:color="auto" w:fill="auto"/>
            <w:hideMark/>
          </w:tcPr>
          <w:p w14:paraId="62E710F7" w14:textId="77777777" w:rsidR="00291AD1" w:rsidRPr="00956694" w:rsidRDefault="00291AD1" w:rsidP="00124DDA">
            <w:pPr>
              <w:pStyle w:val="tabletextNS"/>
              <w:keepNext/>
              <w:keepLines/>
              <w:jc w:val="center"/>
              <w:rPr>
                <w:sz w:val="20"/>
              </w:rPr>
            </w:pPr>
            <w:r w:rsidRPr="00956694">
              <w:rPr>
                <w:sz w:val="20"/>
              </w:rPr>
              <w:t>60%</w:t>
            </w:r>
          </w:p>
        </w:tc>
      </w:tr>
      <w:tr w:rsidR="00291AD1" w:rsidRPr="00956694" w14:paraId="370EE504" w14:textId="77777777" w:rsidTr="00291AD1">
        <w:trPr>
          <w:cantSplit/>
        </w:trPr>
        <w:tc>
          <w:tcPr>
            <w:tcW w:w="4320" w:type="dxa"/>
            <w:tcBorders>
              <w:top w:val="single" w:sz="4" w:space="0" w:color="auto"/>
              <w:left w:val="single" w:sz="4" w:space="0" w:color="auto"/>
              <w:bottom w:val="single" w:sz="4" w:space="0" w:color="auto"/>
              <w:right w:val="single" w:sz="4" w:space="0" w:color="auto"/>
            </w:tcBorders>
            <w:hideMark/>
          </w:tcPr>
          <w:p w14:paraId="1506C0A6" w14:textId="77777777" w:rsidR="00291AD1" w:rsidRPr="00956694" w:rsidRDefault="00291AD1" w:rsidP="00124DDA">
            <w:pPr>
              <w:pStyle w:val="tabletextNS"/>
              <w:keepNext/>
              <w:keepLines/>
              <w:rPr>
                <w:sz w:val="20"/>
              </w:rPr>
            </w:pPr>
            <w:r w:rsidRPr="00956694">
              <w:rPr>
                <w:b/>
                <w:bCs/>
                <w:sz w:val="20"/>
              </w:rPr>
              <w:t>HIV-1 RNA ≥40 copies/mL</w:t>
            </w:r>
          </w:p>
        </w:tc>
        <w:tc>
          <w:tcPr>
            <w:tcW w:w="1530" w:type="dxa"/>
            <w:tcBorders>
              <w:top w:val="single" w:sz="4" w:space="0" w:color="auto"/>
              <w:left w:val="single" w:sz="4" w:space="0" w:color="auto"/>
              <w:bottom w:val="single" w:sz="4" w:space="0" w:color="auto"/>
              <w:right w:val="single" w:sz="4" w:space="0" w:color="auto"/>
            </w:tcBorders>
            <w:hideMark/>
          </w:tcPr>
          <w:p w14:paraId="3F195C19" w14:textId="77777777" w:rsidR="00291AD1" w:rsidRPr="00956694" w:rsidRDefault="00291AD1" w:rsidP="00124DDA">
            <w:pPr>
              <w:pStyle w:val="tabletextNS"/>
              <w:keepNext/>
              <w:keepLines/>
              <w:jc w:val="center"/>
              <w:rPr>
                <w:sz w:val="20"/>
              </w:rPr>
            </w:pPr>
            <w:r w:rsidRPr="00956694">
              <w:rPr>
                <w:sz w:val="20"/>
              </w:rPr>
              <w:t>40%</w:t>
            </w:r>
          </w:p>
        </w:tc>
        <w:tc>
          <w:tcPr>
            <w:tcW w:w="1350" w:type="dxa"/>
            <w:tcBorders>
              <w:top w:val="single" w:sz="4" w:space="0" w:color="auto"/>
              <w:left w:val="single" w:sz="4" w:space="0" w:color="auto"/>
              <w:bottom w:val="single" w:sz="4" w:space="0" w:color="auto"/>
              <w:right w:val="single" w:sz="4" w:space="0" w:color="auto"/>
            </w:tcBorders>
            <w:hideMark/>
          </w:tcPr>
          <w:p w14:paraId="4AEF02F9" w14:textId="77777777" w:rsidR="00291AD1" w:rsidRPr="00956694" w:rsidRDefault="00291AD1" w:rsidP="00124DDA">
            <w:pPr>
              <w:pStyle w:val="tabletextNS"/>
              <w:keepNext/>
              <w:keepLines/>
              <w:jc w:val="center"/>
              <w:rPr>
                <w:sz w:val="20"/>
              </w:rPr>
            </w:pPr>
            <w:r w:rsidRPr="00956694">
              <w:rPr>
                <w:sz w:val="20"/>
              </w:rPr>
              <w:t>38%</w:t>
            </w:r>
          </w:p>
        </w:tc>
        <w:tc>
          <w:tcPr>
            <w:tcW w:w="1440" w:type="dxa"/>
            <w:tcBorders>
              <w:top w:val="single" w:sz="4" w:space="0" w:color="auto"/>
              <w:left w:val="single" w:sz="4" w:space="0" w:color="auto"/>
              <w:bottom w:val="single" w:sz="4" w:space="0" w:color="auto"/>
              <w:right w:val="single" w:sz="4" w:space="0" w:color="auto"/>
            </w:tcBorders>
            <w:hideMark/>
          </w:tcPr>
          <w:p w14:paraId="4E51E6C5" w14:textId="77777777" w:rsidR="00291AD1" w:rsidRPr="00956694" w:rsidRDefault="00291AD1" w:rsidP="00124DDA">
            <w:pPr>
              <w:pStyle w:val="tabletextNS"/>
              <w:keepNext/>
              <w:keepLines/>
              <w:jc w:val="center"/>
              <w:rPr>
                <w:sz w:val="20"/>
              </w:rPr>
            </w:pPr>
            <w:r w:rsidRPr="00956694">
              <w:rPr>
                <w:sz w:val="20"/>
              </w:rPr>
              <w:t>30%</w:t>
            </w:r>
          </w:p>
        </w:tc>
      </w:tr>
      <w:tr w:rsidR="00291AD1" w:rsidRPr="00956694" w14:paraId="6478D8C3" w14:textId="77777777" w:rsidTr="00291AD1">
        <w:trPr>
          <w:cantSplit/>
        </w:trPr>
        <w:tc>
          <w:tcPr>
            <w:tcW w:w="4320" w:type="dxa"/>
            <w:tcBorders>
              <w:top w:val="nil"/>
              <w:left w:val="single" w:sz="4" w:space="0" w:color="auto"/>
              <w:bottom w:val="nil"/>
              <w:right w:val="single" w:sz="4" w:space="0" w:color="auto"/>
            </w:tcBorders>
            <w:hideMark/>
          </w:tcPr>
          <w:p w14:paraId="51748EF0" w14:textId="77777777" w:rsidR="00291AD1" w:rsidRPr="00956694" w:rsidRDefault="00291AD1" w:rsidP="00124DDA">
            <w:pPr>
              <w:pStyle w:val="tabletextNS"/>
              <w:keepNext/>
              <w:keepLines/>
              <w:ind w:left="144"/>
              <w:rPr>
                <w:sz w:val="20"/>
              </w:rPr>
            </w:pPr>
            <w:r w:rsidRPr="00956694">
              <w:rPr>
                <w:sz w:val="20"/>
              </w:rPr>
              <w:t>Data in window not &lt;40 copies/mL</w:t>
            </w:r>
          </w:p>
        </w:tc>
        <w:tc>
          <w:tcPr>
            <w:tcW w:w="1530" w:type="dxa"/>
            <w:tcBorders>
              <w:top w:val="nil"/>
              <w:left w:val="single" w:sz="4" w:space="0" w:color="auto"/>
              <w:bottom w:val="nil"/>
              <w:right w:val="single" w:sz="4" w:space="0" w:color="auto"/>
            </w:tcBorders>
            <w:hideMark/>
          </w:tcPr>
          <w:p w14:paraId="7F9C67C6" w14:textId="77777777" w:rsidR="00291AD1" w:rsidRPr="00956694" w:rsidRDefault="00291AD1" w:rsidP="00124DDA">
            <w:pPr>
              <w:pStyle w:val="tabletextNS"/>
              <w:keepNext/>
              <w:keepLines/>
              <w:jc w:val="center"/>
              <w:rPr>
                <w:sz w:val="20"/>
              </w:rPr>
            </w:pPr>
            <w:r w:rsidRPr="00956694">
              <w:rPr>
                <w:sz w:val="20"/>
              </w:rPr>
              <w:t>32%</w:t>
            </w:r>
          </w:p>
        </w:tc>
        <w:tc>
          <w:tcPr>
            <w:tcW w:w="1350" w:type="dxa"/>
            <w:tcBorders>
              <w:top w:val="nil"/>
              <w:left w:val="single" w:sz="4" w:space="0" w:color="auto"/>
              <w:bottom w:val="nil"/>
              <w:right w:val="single" w:sz="4" w:space="0" w:color="auto"/>
            </w:tcBorders>
            <w:hideMark/>
          </w:tcPr>
          <w:p w14:paraId="2E4607EC" w14:textId="77777777" w:rsidR="00291AD1" w:rsidRPr="00956694" w:rsidRDefault="00291AD1" w:rsidP="00124DDA">
            <w:pPr>
              <w:pStyle w:val="tabletextNS"/>
              <w:keepNext/>
              <w:keepLines/>
              <w:jc w:val="center"/>
              <w:rPr>
                <w:sz w:val="20"/>
              </w:rPr>
            </w:pPr>
            <w:r w:rsidRPr="00956694">
              <w:rPr>
                <w:sz w:val="20"/>
              </w:rPr>
              <w:t>26%</w:t>
            </w:r>
          </w:p>
        </w:tc>
        <w:tc>
          <w:tcPr>
            <w:tcW w:w="1440" w:type="dxa"/>
            <w:tcBorders>
              <w:top w:val="nil"/>
              <w:left w:val="single" w:sz="4" w:space="0" w:color="auto"/>
              <w:bottom w:val="nil"/>
              <w:right w:val="single" w:sz="4" w:space="0" w:color="auto"/>
            </w:tcBorders>
            <w:hideMark/>
          </w:tcPr>
          <w:p w14:paraId="4FAABF47" w14:textId="77777777" w:rsidR="00291AD1" w:rsidRPr="00956694" w:rsidRDefault="00291AD1" w:rsidP="00124DDA">
            <w:pPr>
              <w:pStyle w:val="tabletextNS"/>
              <w:keepNext/>
              <w:keepLines/>
              <w:jc w:val="center"/>
              <w:rPr>
                <w:sz w:val="20"/>
              </w:rPr>
            </w:pPr>
            <w:r w:rsidRPr="00956694">
              <w:rPr>
                <w:sz w:val="20"/>
              </w:rPr>
              <w:t>12%</w:t>
            </w:r>
          </w:p>
        </w:tc>
      </w:tr>
      <w:tr w:rsidR="00291AD1" w:rsidRPr="00956694" w14:paraId="446851AD" w14:textId="77777777" w:rsidTr="00291AD1">
        <w:trPr>
          <w:cantSplit/>
        </w:trPr>
        <w:tc>
          <w:tcPr>
            <w:tcW w:w="4320" w:type="dxa"/>
            <w:tcBorders>
              <w:top w:val="nil"/>
              <w:left w:val="single" w:sz="4" w:space="0" w:color="auto"/>
              <w:bottom w:val="nil"/>
              <w:right w:val="single" w:sz="4" w:space="0" w:color="auto"/>
            </w:tcBorders>
            <w:hideMark/>
          </w:tcPr>
          <w:p w14:paraId="0B20A61B" w14:textId="77777777" w:rsidR="00291AD1" w:rsidRPr="00956694" w:rsidRDefault="00291AD1" w:rsidP="00124DDA">
            <w:pPr>
              <w:pStyle w:val="tabletextNS"/>
              <w:keepNext/>
              <w:keepLines/>
              <w:ind w:left="144"/>
              <w:rPr>
                <w:sz w:val="20"/>
              </w:rPr>
            </w:pPr>
            <w:r w:rsidRPr="00956694">
              <w:rPr>
                <w:sz w:val="20"/>
              </w:rPr>
              <w:t>Discontinued for lack of efficacy</w:t>
            </w:r>
          </w:p>
        </w:tc>
        <w:tc>
          <w:tcPr>
            <w:tcW w:w="1530" w:type="dxa"/>
            <w:tcBorders>
              <w:top w:val="nil"/>
              <w:left w:val="single" w:sz="4" w:space="0" w:color="auto"/>
              <w:bottom w:val="nil"/>
              <w:right w:val="single" w:sz="4" w:space="0" w:color="auto"/>
            </w:tcBorders>
            <w:hideMark/>
          </w:tcPr>
          <w:p w14:paraId="7E91178C" w14:textId="77777777" w:rsidR="00291AD1" w:rsidRPr="00956694" w:rsidRDefault="00291AD1" w:rsidP="00124DDA">
            <w:pPr>
              <w:pStyle w:val="tabletextNS"/>
              <w:keepNext/>
              <w:keepLines/>
              <w:jc w:val="center"/>
              <w:rPr>
                <w:sz w:val="20"/>
              </w:rPr>
            </w:pPr>
            <w:r w:rsidRPr="00956694">
              <w:rPr>
                <w:sz w:val="20"/>
              </w:rPr>
              <w:t>&lt;1%</w:t>
            </w:r>
          </w:p>
        </w:tc>
        <w:tc>
          <w:tcPr>
            <w:tcW w:w="1350" w:type="dxa"/>
            <w:tcBorders>
              <w:top w:val="nil"/>
              <w:left w:val="single" w:sz="4" w:space="0" w:color="auto"/>
              <w:bottom w:val="nil"/>
              <w:right w:val="single" w:sz="4" w:space="0" w:color="auto"/>
            </w:tcBorders>
            <w:hideMark/>
          </w:tcPr>
          <w:p w14:paraId="1F41497A" w14:textId="77777777" w:rsidR="00291AD1" w:rsidRPr="00956694" w:rsidRDefault="00291AD1" w:rsidP="00124DDA">
            <w:pPr>
              <w:pStyle w:val="tabletextNS"/>
              <w:keepNext/>
              <w:keepLines/>
              <w:jc w:val="center"/>
              <w:rPr>
                <w:sz w:val="20"/>
              </w:rPr>
            </w:pPr>
            <w:r w:rsidRPr="00956694">
              <w:rPr>
                <w:sz w:val="20"/>
              </w:rPr>
              <w:t>2%</w:t>
            </w:r>
          </w:p>
        </w:tc>
        <w:tc>
          <w:tcPr>
            <w:tcW w:w="1440" w:type="dxa"/>
            <w:tcBorders>
              <w:top w:val="nil"/>
              <w:left w:val="single" w:sz="4" w:space="0" w:color="auto"/>
              <w:bottom w:val="nil"/>
              <w:right w:val="single" w:sz="4" w:space="0" w:color="auto"/>
            </w:tcBorders>
            <w:hideMark/>
          </w:tcPr>
          <w:p w14:paraId="26AC8B4A" w14:textId="77777777" w:rsidR="00291AD1" w:rsidRPr="00956694" w:rsidRDefault="00291AD1" w:rsidP="00124DDA">
            <w:pPr>
              <w:pStyle w:val="tabletextNS"/>
              <w:keepNext/>
              <w:keepLines/>
              <w:jc w:val="center"/>
              <w:rPr>
                <w:sz w:val="20"/>
              </w:rPr>
            </w:pPr>
            <w:r w:rsidRPr="00956694">
              <w:rPr>
                <w:sz w:val="20"/>
              </w:rPr>
              <w:t>4%</w:t>
            </w:r>
          </w:p>
        </w:tc>
      </w:tr>
      <w:tr w:rsidR="00291AD1" w:rsidRPr="00956694" w14:paraId="64A671CA" w14:textId="77777777" w:rsidTr="00291AD1">
        <w:trPr>
          <w:cantSplit/>
        </w:trPr>
        <w:tc>
          <w:tcPr>
            <w:tcW w:w="4320" w:type="dxa"/>
            <w:tcBorders>
              <w:top w:val="nil"/>
              <w:left w:val="single" w:sz="4" w:space="0" w:color="auto"/>
              <w:bottom w:val="nil"/>
              <w:right w:val="single" w:sz="4" w:space="0" w:color="auto"/>
            </w:tcBorders>
            <w:hideMark/>
          </w:tcPr>
          <w:p w14:paraId="711231BC" w14:textId="77777777" w:rsidR="00291AD1" w:rsidRPr="00956694" w:rsidRDefault="00291AD1" w:rsidP="00124DDA">
            <w:pPr>
              <w:pStyle w:val="tabletextNS"/>
              <w:keepNext/>
              <w:keepLines/>
              <w:ind w:left="144"/>
              <w:rPr>
                <w:sz w:val="20"/>
              </w:rPr>
            </w:pPr>
            <w:r w:rsidRPr="00956694">
              <w:rPr>
                <w:sz w:val="20"/>
              </w:rPr>
              <w:t>Discontinued for other reasons while not suppressed</w:t>
            </w:r>
          </w:p>
        </w:tc>
        <w:tc>
          <w:tcPr>
            <w:tcW w:w="1530" w:type="dxa"/>
            <w:tcBorders>
              <w:top w:val="nil"/>
              <w:left w:val="single" w:sz="4" w:space="0" w:color="auto"/>
              <w:bottom w:val="nil"/>
              <w:right w:val="single" w:sz="4" w:space="0" w:color="auto"/>
            </w:tcBorders>
            <w:hideMark/>
          </w:tcPr>
          <w:p w14:paraId="620AFBF8" w14:textId="77777777" w:rsidR="00291AD1" w:rsidRPr="00956694" w:rsidRDefault="00291AD1" w:rsidP="00124DDA">
            <w:pPr>
              <w:pStyle w:val="tabletextNS"/>
              <w:keepNext/>
              <w:keepLines/>
              <w:jc w:val="center"/>
              <w:rPr>
                <w:sz w:val="20"/>
              </w:rPr>
            </w:pPr>
            <w:r w:rsidRPr="00956694">
              <w:rPr>
                <w:sz w:val="20"/>
              </w:rPr>
              <w:t>1%</w:t>
            </w:r>
          </w:p>
        </w:tc>
        <w:tc>
          <w:tcPr>
            <w:tcW w:w="1350" w:type="dxa"/>
            <w:tcBorders>
              <w:top w:val="nil"/>
              <w:left w:val="single" w:sz="4" w:space="0" w:color="auto"/>
              <w:bottom w:val="nil"/>
              <w:right w:val="single" w:sz="4" w:space="0" w:color="auto"/>
            </w:tcBorders>
            <w:hideMark/>
          </w:tcPr>
          <w:p w14:paraId="5A7150E7" w14:textId="77777777" w:rsidR="00291AD1" w:rsidRPr="00956694" w:rsidRDefault="00291AD1" w:rsidP="00124DDA">
            <w:pPr>
              <w:pStyle w:val="tabletextNS"/>
              <w:keepNext/>
              <w:keepLines/>
              <w:jc w:val="center"/>
              <w:rPr>
                <w:sz w:val="20"/>
              </w:rPr>
            </w:pPr>
            <w:r w:rsidRPr="00956694">
              <w:rPr>
                <w:sz w:val="20"/>
              </w:rPr>
              <w:t>3%</w:t>
            </w:r>
          </w:p>
        </w:tc>
        <w:tc>
          <w:tcPr>
            <w:tcW w:w="1440" w:type="dxa"/>
            <w:tcBorders>
              <w:top w:val="nil"/>
              <w:left w:val="single" w:sz="4" w:space="0" w:color="auto"/>
              <w:bottom w:val="nil"/>
              <w:right w:val="single" w:sz="4" w:space="0" w:color="auto"/>
            </w:tcBorders>
            <w:hideMark/>
          </w:tcPr>
          <w:p w14:paraId="483998C4" w14:textId="77777777" w:rsidR="00291AD1" w:rsidRPr="00956694" w:rsidRDefault="00291AD1" w:rsidP="00124DDA">
            <w:pPr>
              <w:pStyle w:val="tabletextNS"/>
              <w:keepNext/>
              <w:keepLines/>
              <w:jc w:val="center"/>
              <w:rPr>
                <w:sz w:val="20"/>
              </w:rPr>
            </w:pPr>
            <w:r w:rsidRPr="00956694">
              <w:rPr>
                <w:sz w:val="20"/>
              </w:rPr>
              <w:t>6%</w:t>
            </w:r>
          </w:p>
        </w:tc>
      </w:tr>
      <w:tr w:rsidR="00291AD1" w:rsidRPr="00956694" w14:paraId="3AEF4D41" w14:textId="77777777" w:rsidTr="00291AD1">
        <w:trPr>
          <w:cantSplit/>
        </w:trPr>
        <w:tc>
          <w:tcPr>
            <w:tcW w:w="4320" w:type="dxa"/>
            <w:tcBorders>
              <w:top w:val="nil"/>
              <w:left w:val="single" w:sz="4" w:space="0" w:color="auto"/>
              <w:bottom w:val="single" w:sz="4" w:space="0" w:color="auto"/>
              <w:right w:val="single" w:sz="4" w:space="0" w:color="auto"/>
            </w:tcBorders>
            <w:hideMark/>
          </w:tcPr>
          <w:p w14:paraId="6068435F" w14:textId="77777777" w:rsidR="00291AD1" w:rsidRPr="00956694" w:rsidRDefault="00291AD1" w:rsidP="00124DDA">
            <w:pPr>
              <w:pStyle w:val="tabletextNS"/>
              <w:keepNext/>
              <w:keepLines/>
              <w:ind w:left="144"/>
              <w:rPr>
                <w:sz w:val="20"/>
              </w:rPr>
            </w:pPr>
            <w:r w:rsidRPr="00956694">
              <w:rPr>
                <w:sz w:val="20"/>
              </w:rPr>
              <w:t>Change in ART regimen</w:t>
            </w:r>
          </w:p>
        </w:tc>
        <w:tc>
          <w:tcPr>
            <w:tcW w:w="1530" w:type="dxa"/>
            <w:tcBorders>
              <w:top w:val="nil"/>
              <w:left w:val="single" w:sz="4" w:space="0" w:color="auto"/>
              <w:bottom w:val="single" w:sz="4" w:space="0" w:color="auto"/>
              <w:right w:val="single" w:sz="4" w:space="0" w:color="auto"/>
            </w:tcBorders>
            <w:hideMark/>
          </w:tcPr>
          <w:p w14:paraId="1AED906B" w14:textId="77777777" w:rsidR="00291AD1" w:rsidRPr="00956694" w:rsidRDefault="00291AD1" w:rsidP="00124DDA">
            <w:pPr>
              <w:pStyle w:val="tabletextNS"/>
              <w:keepNext/>
              <w:keepLines/>
              <w:jc w:val="center"/>
              <w:rPr>
                <w:sz w:val="20"/>
              </w:rPr>
            </w:pPr>
            <w:r w:rsidRPr="00956694">
              <w:rPr>
                <w:sz w:val="20"/>
              </w:rPr>
              <w:t>6%</w:t>
            </w:r>
          </w:p>
        </w:tc>
        <w:tc>
          <w:tcPr>
            <w:tcW w:w="1350" w:type="dxa"/>
            <w:tcBorders>
              <w:top w:val="nil"/>
              <w:left w:val="single" w:sz="4" w:space="0" w:color="auto"/>
              <w:bottom w:val="single" w:sz="4" w:space="0" w:color="auto"/>
              <w:right w:val="single" w:sz="4" w:space="0" w:color="auto"/>
            </w:tcBorders>
            <w:hideMark/>
          </w:tcPr>
          <w:p w14:paraId="26CA2AD8" w14:textId="77777777" w:rsidR="00291AD1" w:rsidRPr="00956694" w:rsidRDefault="00291AD1" w:rsidP="00124DDA">
            <w:pPr>
              <w:pStyle w:val="tabletextNS"/>
              <w:keepNext/>
              <w:keepLines/>
              <w:jc w:val="center"/>
              <w:rPr>
                <w:sz w:val="20"/>
              </w:rPr>
            </w:pPr>
            <w:r w:rsidRPr="00956694">
              <w:rPr>
                <w:sz w:val="20"/>
              </w:rPr>
              <w:t>7%</w:t>
            </w:r>
          </w:p>
        </w:tc>
        <w:tc>
          <w:tcPr>
            <w:tcW w:w="1440" w:type="dxa"/>
            <w:tcBorders>
              <w:top w:val="nil"/>
              <w:left w:val="single" w:sz="4" w:space="0" w:color="auto"/>
              <w:bottom w:val="single" w:sz="4" w:space="0" w:color="auto"/>
              <w:right w:val="single" w:sz="4" w:space="0" w:color="auto"/>
            </w:tcBorders>
            <w:hideMark/>
          </w:tcPr>
          <w:p w14:paraId="34DA6F5F" w14:textId="77777777" w:rsidR="00291AD1" w:rsidRPr="00956694" w:rsidRDefault="00291AD1" w:rsidP="00124DDA">
            <w:pPr>
              <w:pStyle w:val="tabletextNS"/>
              <w:keepNext/>
              <w:keepLines/>
              <w:jc w:val="center"/>
              <w:rPr>
                <w:sz w:val="20"/>
              </w:rPr>
            </w:pPr>
            <w:r w:rsidRPr="00956694">
              <w:rPr>
                <w:sz w:val="20"/>
              </w:rPr>
              <w:t>8%</w:t>
            </w:r>
          </w:p>
        </w:tc>
      </w:tr>
      <w:tr w:rsidR="00291AD1" w:rsidRPr="00956694" w14:paraId="25BE9369" w14:textId="77777777" w:rsidTr="00291AD1">
        <w:trPr>
          <w:cantSplit/>
        </w:trPr>
        <w:tc>
          <w:tcPr>
            <w:tcW w:w="4320" w:type="dxa"/>
            <w:tcBorders>
              <w:top w:val="single" w:sz="4" w:space="0" w:color="auto"/>
              <w:left w:val="single" w:sz="4" w:space="0" w:color="auto"/>
              <w:bottom w:val="single" w:sz="4" w:space="0" w:color="auto"/>
              <w:right w:val="single" w:sz="4" w:space="0" w:color="auto"/>
            </w:tcBorders>
            <w:hideMark/>
          </w:tcPr>
          <w:p w14:paraId="097383DE" w14:textId="77777777" w:rsidR="00291AD1" w:rsidRPr="00956694" w:rsidRDefault="00291AD1" w:rsidP="00124DDA">
            <w:pPr>
              <w:pStyle w:val="tabletextNS"/>
              <w:keepNext/>
              <w:keepLines/>
              <w:rPr>
                <w:b/>
                <w:sz w:val="20"/>
              </w:rPr>
            </w:pPr>
            <w:r w:rsidRPr="00956694">
              <w:rPr>
                <w:b/>
                <w:sz w:val="20"/>
              </w:rPr>
              <w:t>No virologic data</w:t>
            </w:r>
          </w:p>
        </w:tc>
        <w:tc>
          <w:tcPr>
            <w:tcW w:w="1530" w:type="dxa"/>
            <w:tcBorders>
              <w:top w:val="single" w:sz="4" w:space="0" w:color="auto"/>
              <w:left w:val="single" w:sz="4" w:space="0" w:color="auto"/>
              <w:bottom w:val="single" w:sz="4" w:space="0" w:color="auto"/>
              <w:right w:val="single" w:sz="4" w:space="0" w:color="auto"/>
            </w:tcBorders>
            <w:hideMark/>
          </w:tcPr>
          <w:p w14:paraId="2F96998A" w14:textId="77777777" w:rsidR="00291AD1" w:rsidRPr="00956694" w:rsidRDefault="00291AD1" w:rsidP="00124DDA">
            <w:pPr>
              <w:pStyle w:val="tabletextNS"/>
              <w:keepNext/>
              <w:keepLines/>
              <w:jc w:val="center"/>
              <w:rPr>
                <w:sz w:val="20"/>
              </w:rPr>
            </w:pPr>
            <w:r w:rsidRPr="00956694">
              <w:rPr>
                <w:sz w:val="20"/>
              </w:rPr>
              <w:t>7%</w:t>
            </w:r>
          </w:p>
        </w:tc>
        <w:tc>
          <w:tcPr>
            <w:tcW w:w="1350" w:type="dxa"/>
            <w:tcBorders>
              <w:top w:val="single" w:sz="4" w:space="0" w:color="auto"/>
              <w:left w:val="single" w:sz="4" w:space="0" w:color="auto"/>
              <w:bottom w:val="single" w:sz="4" w:space="0" w:color="auto"/>
              <w:right w:val="single" w:sz="4" w:space="0" w:color="auto"/>
            </w:tcBorders>
            <w:hideMark/>
          </w:tcPr>
          <w:p w14:paraId="3F8D1E52" w14:textId="77777777" w:rsidR="00291AD1" w:rsidRPr="00956694" w:rsidRDefault="00291AD1" w:rsidP="00124DDA">
            <w:pPr>
              <w:pStyle w:val="tabletextNS"/>
              <w:keepNext/>
              <w:keepLines/>
              <w:jc w:val="center"/>
              <w:rPr>
                <w:sz w:val="20"/>
              </w:rPr>
            </w:pPr>
            <w:r w:rsidRPr="00956694">
              <w:rPr>
                <w:sz w:val="20"/>
              </w:rPr>
              <w:t>8%</w:t>
            </w:r>
          </w:p>
        </w:tc>
        <w:tc>
          <w:tcPr>
            <w:tcW w:w="1440" w:type="dxa"/>
            <w:tcBorders>
              <w:top w:val="single" w:sz="4" w:space="0" w:color="auto"/>
              <w:left w:val="single" w:sz="4" w:space="0" w:color="auto"/>
              <w:bottom w:val="single" w:sz="4" w:space="0" w:color="auto"/>
              <w:right w:val="single" w:sz="4" w:space="0" w:color="auto"/>
            </w:tcBorders>
            <w:hideMark/>
          </w:tcPr>
          <w:p w14:paraId="23D10BCE" w14:textId="77777777" w:rsidR="00291AD1" w:rsidRPr="00956694" w:rsidRDefault="00291AD1" w:rsidP="00124DDA">
            <w:pPr>
              <w:pStyle w:val="tabletextNS"/>
              <w:keepNext/>
              <w:keepLines/>
              <w:jc w:val="center"/>
              <w:rPr>
                <w:sz w:val="20"/>
              </w:rPr>
            </w:pPr>
            <w:r w:rsidRPr="00956694">
              <w:rPr>
                <w:sz w:val="20"/>
              </w:rPr>
              <w:t>10%</w:t>
            </w:r>
          </w:p>
        </w:tc>
      </w:tr>
      <w:tr w:rsidR="00291AD1" w:rsidRPr="00956694" w14:paraId="410E8D73" w14:textId="77777777" w:rsidTr="00291AD1">
        <w:trPr>
          <w:cantSplit/>
        </w:trPr>
        <w:tc>
          <w:tcPr>
            <w:tcW w:w="4320" w:type="dxa"/>
            <w:tcBorders>
              <w:top w:val="single" w:sz="4" w:space="0" w:color="auto"/>
              <w:left w:val="single" w:sz="4" w:space="0" w:color="auto"/>
              <w:bottom w:val="nil"/>
              <w:right w:val="single" w:sz="4" w:space="0" w:color="auto"/>
            </w:tcBorders>
            <w:hideMark/>
          </w:tcPr>
          <w:p w14:paraId="1B29F81E" w14:textId="77777777" w:rsidR="00291AD1" w:rsidRPr="00956694" w:rsidRDefault="00291AD1" w:rsidP="00124DDA">
            <w:pPr>
              <w:pStyle w:val="tabletextNS"/>
              <w:keepNext/>
              <w:keepLines/>
              <w:rPr>
                <w:b/>
                <w:sz w:val="20"/>
              </w:rPr>
            </w:pPr>
            <w:r w:rsidRPr="00956694">
              <w:rPr>
                <w:sz w:val="20"/>
              </w:rPr>
              <w:t>Reasons</w:t>
            </w:r>
          </w:p>
        </w:tc>
        <w:tc>
          <w:tcPr>
            <w:tcW w:w="1530" w:type="dxa"/>
            <w:tcBorders>
              <w:top w:val="single" w:sz="4" w:space="0" w:color="auto"/>
              <w:left w:val="single" w:sz="4" w:space="0" w:color="auto"/>
              <w:bottom w:val="nil"/>
              <w:right w:val="single" w:sz="4" w:space="0" w:color="auto"/>
            </w:tcBorders>
          </w:tcPr>
          <w:p w14:paraId="342049A0" w14:textId="77777777" w:rsidR="00291AD1" w:rsidRPr="00956694" w:rsidRDefault="00291AD1" w:rsidP="00124DDA">
            <w:pPr>
              <w:pStyle w:val="tabletextNS"/>
              <w:keepNext/>
              <w:keepLines/>
              <w:jc w:val="center"/>
              <w:rPr>
                <w:sz w:val="20"/>
              </w:rPr>
            </w:pPr>
          </w:p>
        </w:tc>
        <w:tc>
          <w:tcPr>
            <w:tcW w:w="1350" w:type="dxa"/>
            <w:tcBorders>
              <w:top w:val="single" w:sz="4" w:space="0" w:color="auto"/>
              <w:left w:val="single" w:sz="4" w:space="0" w:color="auto"/>
              <w:bottom w:val="nil"/>
              <w:right w:val="single" w:sz="4" w:space="0" w:color="auto"/>
            </w:tcBorders>
          </w:tcPr>
          <w:p w14:paraId="55B557D7" w14:textId="77777777" w:rsidR="00291AD1" w:rsidRPr="00956694" w:rsidRDefault="00291AD1" w:rsidP="00124DDA">
            <w:pPr>
              <w:pStyle w:val="tabletextNS"/>
              <w:keepNext/>
              <w:keepLines/>
              <w:jc w:val="center"/>
              <w:rPr>
                <w:sz w:val="20"/>
              </w:rPr>
            </w:pPr>
          </w:p>
        </w:tc>
        <w:tc>
          <w:tcPr>
            <w:tcW w:w="1440" w:type="dxa"/>
            <w:tcBorders>
              <w:top w:val="single" w:sz="4" w:space="0" w:color="auto"/>
              <w:left w:val="single" w:sz="4" w:space="0" w:color="auto"/>
              <w:bottom w:val="nil"/>
              <w:right w:val="single" w:sz="4" w:space="0" w:color="auto"/>
            </w:tcBorders>
          </w:tcPr>
          <w:p w14:paraId="28F7AF58" w14:textId="77777777" w:rsidR="00291AD1" w:rsidRPr="00956694" w:rsidRDefault="00291AD1" w:rsidP="00124DDA">
            <w:pPr>
              <w:pStyle w:val="tabletextNS"/>
              <w:keepNext/>
              <w:keepLines/>
              <w:jc w:val="center"/>
              <w:rPr>
                <w:sz w:val="20"/>
              </w:rPr>
            </w:pPr>
          </w:p>
        </w:tc>
      </w:tr>
      <w:tr w:rsidR="00291AD1" w:rsidRPr="00956694" w14:paraId="7CDC70B0" w14:textId="77777777" w:rsidTr="00291AD1">
        <w:trPr>
          <w:cantSplit/>
        </w:trPr>
        <w:tc>
          <w:tcPr>
            <w:tcW w:w="4320" w:type="dxa"/>
            <w:tcBorders>
              <w:top w:val="nil"/>
              <w:left w:val="single" w:sz="4" w:space="0" w:color="auto"/>
              <w:bottom w:val="nil"/>
              <w:right w:val="single" w:sz="4" w:space="0" w:color="auto"/>
            </w:tcBorders>
            <w:hideMark/>
          </w:tcPr>
          <w:p w14:paraId="66553D61" w14:textId="77777777" w:rsidR="00291AD1" w:rsidRPr="00956694" w:rsidRDefault="00291AD1" w:rsidP="00124DDA">
            <w:pPr>
              <w:pStyle w:val="tabletextNS"/>
              <w:keepNext/>
              <w:keepLines/>
              <w:ind w:left="144"/>
              <w:rPr>
                <w:sz w:val="20"/>
              </w:rPr>
            </w:pPr>
            <w:r w:rsidRPr="00956694">
              <w:rPr>
                <w:sz w:val="20"/>
              </w:rPr>
              <w:t>Discontinued study/study drug due to adverse event or death</w:t>
            </w:r>
            <w:r w:rsidRPr="00956694">
              <w:rPr>
                <w:sz w:val="20"/>
                <w:vertAlign w:val="superscript"/>
              </w:rPr>
              <w:t xml:space="preserve"> </w:t>
            </w:r>
          </w:p>
        </w:tc>
        <w:tc>
          <w:tcPr>
            <w:tcW w:w="1530" w:type="dxa"/>
            <w:tcBorders>
              <w:top w:val="nil"/>
              <w:left w:val="single" w:sz="4" w:space="0" w:color="auto"/>
              <w:bottom w:val="nil"/>
              <w:right w:val="single" w:sz="4" w:space="0" w:color="auto"/>
            </w:tcBorders>
            <w:hideMark/>
          </w:tcPr>
          <w:p w14:paraId="6F20B2D0" w14:textId="77777777" w:rsidR="00291AD1" w:rsidRPr="00956694" w:rsidRDefault="00291AD1" w:rsidP="00124DDA">
            <w:pPr>
              <w:pStyle w:val="tabletextNS"/>
              <w:keepNext/>
              <w:keepLines/>
              <w:jc w:val="center"/>
              <w:rPr>
                <w:sz w:val="20"/>
              </w:rPr>
            </w:pPr>
            <w:r w:rsidRPr="00956694">
              <w:rPr>
                <w:sz w:val="20"/>
              </w:rPr>
              <w:t>4%</w:t>
            </w:r>
          </w:p>
        </w:tc>
        <w:tc>
          <w:tcPr>
            <w:tcW w:w="1350" w:type="dxa"/>
            <w:tcBorders>
              <w:top w:val="nil"/>
              <w:left w:val="single" w:sz="4" w:space="0" w:color="auto"/>
              <w:bottom w:val="nil"/>
              <w:right w:val="single" w:sz="4" w:space="0" w:color="auto"/>
            </w:tcBorders>
            <w:hideMark/>
          </w:tcPr>
          <w:p w14:paraId="5478CA13" w14:textId="77777777" w:rsidR="00291AD1" w:rsidRPr="00956694" w:rsidRDefault="00291AD1" w:rsidP="00124DDA">
            <w:pPr>
              <w:pStyle w:val="tabletextNS"/>
              <w:keepNext/>
              <w:keepLines/>
              <w:jc w:val="center"/>
              <w:rPr>
                <w:sz w:val="20"/>
              </w:rPr>
            </w:pPr>
            <w:r w:rsidRPr="00956694">
              <w:rPr>
                <w:sz w:val="20"/>
              </w:rPr>
              <w:t>5%</w:t>
            </w:r>
          </w:p>
        </w:tc>
        <w:tc>
          <w:tcPr>
            <w:tcW w:w="1440" w:type="dxa"/>
            <w:tcBorders>
              <w:top w:val="nil"/>
              <w:left w:val="single" w:sz="4" w:space="0" w:color="auto"/>
              <w:bottom w:val="nil"/>
              <w:right w:val="single" w:sz="4" w:space="0" w:color="auto"/>
            </w:tcBorders>
            <w:hideMark/>
          </w:tcPr>
          <w:p w14:paraId="38ED2620" w14:textId="77777777" w:rsidR="00291AD1" w:rsidRPr="00956694" w:rsidRDefault="00291AD1" w:rsidP="00124DDA">
            <w:pPr>
              <w:pStyle w:val="tabletextNS"/>
              <w:keepNext/>
              <w:keepLines/>
              <w:jc w:val="center"/>
              <w:rPr>
                <w:sz w:val="20"/>
              </w:rPr>
            </w:pPr>
            <w:r w:rsidRPr="00956694">
              <w:rPr>
                <w:sz w:val="20"/>
              </w:rPr>
              <w:t>6%</w:t>
            </w:r>
          </w:p>
        </w:tc>
      </w:tr>
      <w:tr w:rsidR="00291AD1" w:rsidRPr="00956694" w14:paraId="18A4E2D7" w14:textId="77777777" w:rsidTr="00291AD1">
        <w:trPr>
          <w:cantSplit/>
        </w:trPr>
        <w:tc>
          <w:tcPr>
            <w:tcW w:w="4320" w:type="dxa"/>
            <w:tcBorders>
              <w:top w:val="nil"/>
              <w:left w:val="single" w:sz="4" w:space="0" w:color="auto"/>
              <w:bottom w:val="nil"/>
              <w:right w:val="single" w:sz="4" w:space="0" w:color="auto"/>
            </w:tcBorders>
            <w:vAlign w:val="center"/>
            <w:hideMark/>
          </w:tcPr>
          <w:p w14:paraId="2FDC12B0" w14:textId="77777777" w:rsidR="00291AD1" w:rsidRPr="00956694" w:rsidRDefault="00291AD1" w:rsidP="00124DDA">
            <w:pPr>
              <w:pStyle w:val="tabletextNS"/>
              <w:keepNext/>
              <w:keepLines/>
              <w:ind w:left="144"/>
              <w:rPr>
                <w:sz w:val="20"/>
              </w:rPr>
            </w:pPr>
            <w:r w:rsidRPr="00956694">
              <w:rPr>
                <w:sz w:val="20"/>
              </w:rPr>
              <w:t>Discontinued study/study drug for other reasons</w:t>
            </w:r>
          </w:p>
        </w:tc>
        <w:tc>
          <w:tcPr>
            <w:tcW w:w="1530" w:type="dxa"/>
            <w:tcBorders>
              <w:top w:val="nil"/>
              <w:left w:val="single" w:sz="4" w:space="0" w:color="auto"/>
              <w:bottom w:val="nil"/>
              <w:right w:val="single" w:sz="4" w:space="0" w:color="auto"/>
            </w:tcBorders>
            <w:hideMark/>
          </w:tcPr>
          <w:p w14:paraId="28C5C26E" w14:textId="77777777" w:rsidR="00291AD1" w:rsidRPr="00956694" w:rsidRDefault="00291AD1" w:rsidP="00124DDA">
            <w:pPr>
              <w:pStyle w:val="tabletextNS"/>
              <w:keepNext/>
              <w:keepLines/>
              <w:jc w:val="center"/>
              <w:rPr>
                <w:sz w:val="20"/>
              </w:rPr>
            </w:pPr>
            <w:r w:rsidRPr="00956694">
              <w:rPr>
                <w:sz w:val="20"/>
              </w:rPr>
              <w:t>2%</w:t>
            </w:r>
          </w:p>
        </w:tc>
        <w:tc>
          <w:tcPr>
            <w:tcW w:w="1350" w:type="dxa"/>
            <w:tcBorders>
              <w:top w:val="nil"/>
              <w:left w:val="single" w:sz="4" w:space="0" w:color="auto"/>
              <w:bottom w:val="nil"/>
              <w:right w:val="single" w:sz="4" w:space="0" w:color="auto"/>
            </w:tcBorders>
            <w:hideMark/>
          </w:tcPr>
          <w:p w14:paraId="45C0BD4B" w14:textId="77777777" w:rsidR="00291AD1" w:rsidRPr="00956694" w:rsidRDefault="00291AD1" w:rsidP="00124DDA">
            <w:pPr>
              <w:pStyle w:val="tabletextNS"/>
              <w:keepNext/>
              <w:keepLines/>
              <w:jc w:val="center"/>
              <w:rPr>
                <w:sz w:val="20"/>
              </w:rPr>
            </w:pPr>
            <w:r w:rsidRPr="00956694">
              <w:rPr>
                <w:sz w:val="20"/>
              </w:rPr>
              <w:t>3%</w:t>
            </w:r>
          </w:p>
        </w:tc>
        <w:tc>
          <w:tcPr>
            <w:tcW w:w="1440" w:type="dxa"/>
            <w:tcBorders>
              <w:top w:val="nil"/>
              <w:left w:val="single" w:sz="4" w:space="0" w:color="auto"/>
              <w:bottom w:val="nil"/>
              <w:right w:val="single" w:sz="4" w:space="0" w:color="auto"/>
            </w:tcBorders>
            <w:hideMark/>
          </w:tcPr>
          <w:p w14:paraId="0E2ABD17" w14:textId="77777777" w:rsidR="00291AD1" w:rsidRPr="00956694" w:rsidRDefault="00291AD1" w:rsidP="00124DDA">
            <w:pPr>
              <w:pStyle w:val="tabletextNS"/>
              <w:keepNext/>
              <w:keepLines/>
              <w:jc w:val="center"/>
              <w:rPr>
                <w:sz w:val="20"/>
              </w:rPr>
            </w:pPr>
            <w:r w:rsidRPr="00956694">
              <w:rPr>
                <w:sz w:val="20"/>
              </w:rPr>
              <w:t>3%</w:t>
            </w:r>
          </w:p>
        </w:tc>
      </w:tr>
      <w:tr w:rsidR="00291AD1" w:rsidRPr="00956694" w14:paraId="6241A45D" w14:textId="77777777" w:rsidTr="00291AD1">
        <w:trPr>
          <w:cantSplit/>
        </w:trPr>
        <w:tc>
          <w:tcPr>
            <w:tcW w:w="4320" w:type="dxa"/>
            <w:tcBorders>
              <w:top w:val="nil"/>
              <w:left w:val="single" w:sz="4" w:space="0" w:color="auto"/>
              <w:bottom w:val="single" w:sz="4" w:space="0" w:color="auto"/>
              <w:right w:val="single" w:sz="4" w:space="0" w:color="auto"/>
            </w:tcBorders>
            <w:hideMark/>
          </w:tcPr>
          <w:p w14:paraId="089F1086" w14:textId="77777777" w:rsidR="00291AD1" w:rsidRPr="00956694" w:rsidRDefault="00291AD1" w:rsidP="00124DDA">
            <w:pPr>
              <w:pStyle w:val="tabletextNS"/>
              <w:keepNext/>
              <w:keepLines/>
              <w:ind w:left="144"/>
              <w:rPr>
                <w:sz w:val="20"/>
              </w:rPr>
            </w:pPr>
            <w:r w:rsidRPr="00956694">
              <w:rPr>
                <w:sz w:val="20"/>
              </w:rPr>
              <w:t>Missing data during window but on study</w:t>
            </w:r>
          </w:p>
        </w:tc>
        <w:tc>
          <w:tcPr>
            <w:tcW w:w="1530" w:type="dxa"/>
            <w:tcBorders>
              <w:top w:val="nil"/>
              <w:left w:val="single" w:sz="4" w:space="0" w:color="auto"/>
              <w:bottom w:val="single" w:sz="4" w:space="0" w:color="auto"/>
              <w:right w:val="single" w:sz="4" w:space="0" w:color="auto"/>
            </w:tcBorders>
            <w:hideMark/>
          </w:tcPr>
          <w:p w14:paraId="5949A3EB" w14:textId="77777777" w:rsidR="00291AD1" w:rsidRPr="00956694" w:rsidRDefault="00291AD1" w:rsidP="00124DDA">
            <w:pPr>
              <w:pStyle w:val="tabletextNS"/>
              <w:keepNext/>
              <w:keepLines/>
              <w:jc w:val="center"/>
              <w:rPr>
                <w:sz w:val="20"/>
              </w:rPr>
            </w:pPr>
            <w:r w:rsidRPr="00956694">
              <w:rPr>
                <w:sz w:val="20"/>
              </w:rPr>
              <w:t>1%</w:t>
            </w:r>
          </w:p>
        </w:tc>
        <w:tc>
          <w:tcPr>
            <w:tcW w:w="1350" w:type="dxa"/>
            <w:tcBorders>
              <w:top w:val="nil"/>
              <w:left w:val="single" w:sz="4" w:space="0" w:color="auto"/>
              <w:bottom w:val="single" w:sz="4" w:space="0" w:color="auto"/>
              <w:right w:val="single" w:sz="4" w:space="0" w:color="auto"/>
            </w:tcBorders>
            <w:hideMark/>
          </w:tcPr>
          <w:p w14:paraId="792253E5" w14:textId="77777777" w:rsidR="00291AD1" w:rsidRPr="00956694" w:rsidRDefault="00291AD1" w:rsidP="00124DDA">
            <w:pPr>
              <w:pStyle w:val="tabletextNS"/>
              <w:keepNext/>
              <w:keepLines/>
              <w:jc w:val="center"/>
              <w:rPr>
                <w:sz w:val="20"/>
              </w:rPr>
            </w:pPr>
            <w:r w:rsidRPr="00956694">
              <w:rPr>
                <w:sz w:val="20"/>
              </w:rPr>
              <w:t>&lt;1%</w:t>
            </w:r>
          </w:p>
        </w:tc>
        <w:tc>
          <w:tcPr>
            <w:tcW w:w="1440" w:type="dxa"/>
            <w:tcBorders>
              <w:top w:val="nil"/>
              <w:left w:val="single" w:sz="4" w:space="0" w:color="auto"/>
              <w:bottom w:val="single" w:sz="4" w:space="0" w:color="auto"/>
              <w:right w:val="single" w:sz="4" w:space="0" w:color="auto"/>
            </w:tcBorders>
            <w:hideMark/>
          </w:tcPr>
          <w:p w14:paraId="34F97D1D" w14:textId="77777777" w:rsidR="00291AD1" w:rsidRPr="00956694" w:rsidRDefault="00291AD1" w:rsidP="00124DDA">
            <w:pPr>
              <w:pStyle w:val="tabletextNS"/>
              <w:keepNext/>
              <w:keepLines/>
              <w:jc w:val="center"/>
              <w:rPr>
                <w:sz w:val="20"/>
              </w:rPr>
            </w:pPr>
            <w:r w:rsidRPr="00956694">
              <w:rPr>
                <w:sz w:val="20"/>
              </w:rPr>
              <w:t>2%</w:t>
            </w:r>
          </w:p>
        </w:tc>
      </w:tr>
      <w:tr w:rsidR="00291AD1" w:rsidRPr="00956694" w14:paraId="68AF0E20" w14:textId="77777777" w:rsidTr="00291AD1">
        <w:trPr>
          <w:cantSplit/>
        </w:trPr>
        <w:tc>
          <w:tcPr>
            <w:tcW w:w="8640" w:type="dxa"/>
            <w:gridSpan w:val="4"/>
            <w:tcBorders>
              <w:top w:val="single" w:sz="4" w:space="0" w:color="auto"/>
              <w:left w:val="single" w:sz="4" w:space="0" w:color="auto"/>
              <w:bottom w:val="nil"/>
              <w:right w:val="single" w:sz="4" w:space="0" w:color="auto"/>
            </w:tcBorders>
            <w:shd w:val="pct5" w:color="auto" w:fill="auto"/>
            <w:hideMark/>
          </w:tcPr>
          <w:p w14:paraId="0B4B7408" w14:textId="77777777" w:rsidR="00291AD1" w:rsidRPr="00956694" w:rsidRDefault="00291AD1" w:rsidP="00124DDA">
            <w:pPr>
              <w:pStyle w:val="tabletextNS"/>
              <w:keepNext/>
              <w:keepLines/>
              <w:rPr>
                <w:sz w:val="20"/>
              </w:rPr>
            </w:pPr>
            <w:r w:rsidRPr="00956694">
              <w:rPr>
                <w:b/>
                <w:sz w:val="20"/>
              </w:rPr>
              <w:t xml:space="preserve">HIV-1 RNA &lt;40 copies/mL by Baseline Covariates </w:t>
            </w:r>
            <w:r w:rsidRPr="00956694">
              <w:rPr>
                <w:b/>
                <w:sz w:val="20"/>
                <w:lang w:val="en-US"/>
              </w:rPr>
              <w:t>n/N (%)</w:t>
            </w:r>
          </w:p>
        </w:tc>
      </w:tr>
      <w:tr w:rsidR="00291AD1" w:rsidRPr="00956694" w14:paraId="67A35ADE" w14:textId="77777777" w:rsidTr="00291AD1">
        <w:trPr>
          <w:cantSplit/>
        </w:trPr>
        <w:tc>
          <w:tcPr>
            <w:tcW w:w="4320" w:type="dxa"/>
            <w:tcBorders>
              <w:top w:val="single" w:sz="4" w:space="0" w:color="auto"/>
              <w:left w:val="single" w:sz="4" w:space="0" w:color="auto"/>
              <w:bottom w:val="nil"/>
              <w:right w:val="single" w:sz="4" w:space="0" w:color="auto"/>
            </w:tcBorders>
            <w:vAlign w:val="bottom"/>
            <w:hideMark/>
          </w:tcPr>
          <w:p w14:paraId="1EBDDCCF" w14:textId="77777777" w:rsidR="00291AD1" w:rsidRPr="00956694" w:rsidRDefault="00291AD1" w:rsidP="00124DDA">
            <w:pPr>
              <w:pStyle w:val="tabletextNS"/>
              <w:keepNext/>
              <w:keepLines/>
              <w:rPr>
                <w:sz w:val="20"/>
                <w:lang w:val="es-ES"/>
              </w:rPr>
            </w:pPr>
            <w:proofErr w:type="spellStart"/>
            <w:r w:rsidRPr="00956694">
              <w:rPr>
                <w:b/>
                <w:sz w:val="20"/>
                <w:lang w:val="es-ES"/>
              </w:rPr>
              <w:t>Baseline</w:t>
            </w:r>
            <w:proofErr w:type="spellEnd"/>
            <w:r w:rsidRPr="00956694">
              <w:rPr>
                <w:b/>
                <w:sz w:val="20"/>
                <w:lang w:val="es-ES"/>
              </w:rPr>
              <w:t xml:space="preserve"> Plasma viral load (copies/</w:t>
            </w:r>
            <w:proofErr w:type="spellStart"/>
            <w:r w:rsidRPr="00956694">
              <w:rPr>
                <w:b/>
                <w:sz w:val="20"/>
                <w:lang w:val="es-ES"/>
              </w:rPr>
              <w:t>mL</w:t>
            </w:r>
            <w:proofErr w:type="spellEnd"/>
            <w:r w:rsidRPr="00956694">
              <w:rPr>
                <w:b/>
                <w:sz w:val="20"/>
                <w:lang w:val="es-ES"/>
              </w:rPr>
              <w:t>)</w:t>
            </w:r>
          </w:p>
        </w:tc>
        <w:tc>
          <w:tcPr>
            <w:tcW w:w="1530" w:type="dxa"/>
            <w:tcBorders>
              <w:top w:val="single" w:sz="4" w:space="0" w:color="auto"/>
              <w:left w:val="single" w:sz="4" w:space="0" w:color="auto"/>
              <w:bottom w:val="nil"/>
              <w:right w:val="single" w:sz="4" w:space="0" w:color="auto"/>
            </w:tcBorders>
            <w:vAlign w:val="bottom"/>
          </w:tcPr>
          <w:p w14:paraId="74CCBC59" w14:textId="77777777" w:rsidR="00291AD1" w:rsidRPr="00956694" w:rsidRDefault="00291AD1" w:rsidP="00124DDA">
            <w:pPr>
              <w:pStyle w:val="tabletextNS"/>
              <w:keepNext/>
              <w:keepLines/>
              <w:rPr>
                <w:sz w:val="20"/>
                <w:lang w:val="es-ES"/>
              </w:rPr>
            </w:pPr>
          </w:p>
        </w:tc>
        <w:tc>
          <w:tcPr>
            <w:tcW w:w="1350" w:type="dxa"/>
            <w:tcBorders>
              <w:top w:val="single" w:sz="4" w:space="0" w:color="auto"/>
              <w:left w:val="single" w:sz="4" w:space="0" w:color="auto"/>
              <w:bottom w:val="nil"/>
              <w:right w:val="single" w:sz="4" w:space="0" w:color="auto"/>
            </w:tcBorders>
            <w:vAlign w:val="bottom"/>
          </w:tcPr>
          <w:p w14:paraId="6D62A9A6" w14:textId="77777777" w:rsidR="00291AD1" w:rsidRPr="00956694" w:rsidRDefault="00291AD1" w:rsidP="00124DDA">
            <w:pPr>
              <w:pStyle w:val="tabletextNS"/>
              <w:keepNext/>
              <w:keepLines/>
              <w:rPr>
                <w:sz w:val="20"/>
                <w:lang w:val="es-ES"/>
              </w:rPr>
            </w:pPr>
          </w:p>
        </w:tc>
        <w:tc>
          <w:tcPr>
            <w:tcW w:w="1440" w:type="dxa"/>
            <w:tcBorders>
              <w:top w:val="single" w:sz="4" w:space="0" w:color="auto"/>
              <w:left w:val="single" w:sz="4" w:space="0" w:color="auto"/>
              <w:bottom w:val="nil"/>
              <w:right w:val="single" w:sz="4" w:space="0" w:color="auto"/>
            </w:tcBorders>
          </w:tcPr>
          <w:p w14:paraId="7D13474D" w14:textId="77777777" w:rsidR="00291AD1" w:rsidRPr="00956694" w:rsidRDefault="00291AD1" w:rsidP="00124DDA">
            <w:pPr>
              <w:pStyle w:val="tabletextNS"/>
              <w:keepNext/>
              <w:keepLines/>
              <w:rPr>
                <w:sz w:val="20"/>
                <w:lang w:val="es-ES"/>
              </w:rPr>
            </w:pPr>
          </w:p>
        </w:tc>
      </w:tr>
      <w:tr w:rsidR="00291AD1" w:rsidRPr="00956694" w14:paraId="1A6F1BE1" w14:textId="77777777" w:rsidTr="00291AD1">
        <w:trPr>
          <w:cantSplit/>
        </w:trPr>
        <w:tc>
          <w:tcPr>
            <w:tcW w:w="4320" w:type="dxa"/>
            <w:tcBorders>
              <w:top w:val="nil"/>
              <w:left w:val="single" w:sz="4" w:space="0" w:color="auto"/>
              <w:bottom w:val="nil"/>
              <w:right w:val="single" w:sz="4" w:space="0" w:color="auto"/>
            </w:tcBorders>
            <w:hideMark/>
          </w:tcPr>
          <w:p w14:paraId="00E1E745" w14:textId="77777777" w:rsidR="00291AD1" w:rsidRPr="00956694" w:rsidRDefault="00291AD1" w:rsidP="00124DDA">
            <w:pPr>
              <w:pStyle w:val="tabletextNS"/>
              <w:keepNext/>
              <w:keepLines/>
              <w:ind w:left="144"/>
              <w:rPr>
                <w:sz w:val="20"/>
              </w:rPr>
            </w:pPr>
            <w:r w:rsidRPr="00956694">
              <w:rPr>
                <w:sz w:val="20"/>
              </w:rPr>
              <w:t xml:space="preserve">&lt;100,000 </w:t>
            </w:r>
          </w:p>
        </w:tc>
        <w:tc>
          <w:tcPr>
            <w:tcW w:w="1530" w:type="dxa"/>
            <w:tcBorders>
              <w:top w:val="nil"/>
              <w:left w:val="single" w:sz="4" w:space="0" w:color="auto"/>
              <w:bottom w:val="nil"/>
              <w:right w:val="single" w:sz="4" w:space="0" w:color="auto"/>
            </w:tcBorders>
            <w:hideMark/>
          </w:tcPr>
          <w:p w14:paraId="7571F5C4" w14:textId="77777777" w:rsidR="00291AD1" w:rsidRPr="00956694" w:rsidRDefault="00291AD1" w:rsidP="00124DDA">
            <w:pPr>
              <w:pStyle w:val="tabletextNS"/>
              <w:keepNext/>
              <w:keepLines/>
              <w:jc w:val="center"/>
              <w:rPr>
                <w:sz w:val="20"/>
              </w:rPr>
            </w:pPr>
            <w:r w:rsidRPr="00956694">
              <w:rPr>
                <w:sz w:val="20"/>
              </w:rPr>
              <w:t>116 / 192 (60%)</w:t>
            </w:r>
          </w:p>
        </w:tc>
        <w:tc>
          <w:tcPr>
            <w:tcW w:w="1350" w:type="dxa"/>
            <w:tcBorders>
              <w:top w:val="nil"/>
              <w:left w:val="single" w:sz="4" w:space="0" w:color="auto"/>
              <w:bottom w:val="nil"/>
              <w:right w:val="single" w:sz="4" w:space="0" w:color="auto"/>
            </w:tcBorders>
            <w:hideMark/>
          </w:tcPr>
          <w:p w14:paraId="2FEE46C8" w14:textId="77777777" w:rsidR="00291AD1" w:rsidRPr="00956694" w:rsidRDefault="00291AD1" w:rsidP="00124DDA">
            <w:pPr>
              <w:pStyle w:val="tabletextNS"/>
              <w:keepNext/>
              <w:keepLines/>
              <w:ind w:left="-99" w:right="-110"/>
              <w:rPr>
                <w:sz w:val="20"/>
              </w:rPr>
            </w:pPr>
            <w:r w:rsidRPr="00956694">
              <w:rPr>
                <w:sz w:val="20"/>
              </w:rPr>
              <w:t xml:space="preserve"> 118 / 192 (61%)</w:t>
            </w:r>
          </w:p>
        </w:tc>
        <w:tc>
          <w:tcPr>
            <w:tcW w:w="1440" w:type="dxa"/>
            <w:tcBorders>
              <w:top w:val="nil"/>
              <w:left w:val="single" w:sz="4" w:space="0" w:color="auto"/>
              <w:bottom w:val="nil"/>
              <w:right w:val="single" w:sz="4" w:space="0" w:color="auto"/>
            </w:tcBorders>
            <w:hideMark/>
          </w:tcPr>
          <w:p w14:paraId="631E3F4B" w14:textId="77777777" w:rsidR="00291AD1" w:rsidRPr="00956694" w:rsidRDefault="00291AD1" w:rsidP="00124DDA">
            <w:pPr>
              <w:pStyle w:val="tabletextNS"/>
              <w:keepNext/>
              <w:keepLines/>
              <w:ind w:left="-106" w:right="-110"/>
              <w:jc w:val="center"/>
              <w:rPr>
                <w:sz w:val="20"/>
              </w:rPr>
            </w:pPr>
            <w:r w:rsidRPr="00956694">
              <w:rPr>
                <w:sz w:val="20"/>
              </w:rPr>
              <w:t>124 / 192 (65%)</w:t>
            </w:r>
          </w:p>
        </w:tc>
      </w:tr>
      <w:tr w:rsidR="00291AD1" w:rsidRPr="00956694" w14:paraId="72DD822C" w14:textId="77777777" w:rsidTr="00291AD1">
        <w:trPr>
          <w:cantSplit/>
        </w:trPr>
        <w:tc>
          <w:tcPr>
            <w:tcW w:w="4320" w:type="dxa"/>
            <w:tcBorders>
              <w:top w:val="nil"/>
              <w:left w:val="single" w:sz="4" w:space="0" w:color="auto"/>
              <w:bottom w:val="single" w:sz="4" w:space="0" w:color="auto"/>
              <w:right w:val="single" w:sz="4" w:space="0" w:color="auto"/>
            </w:tcBorders>
            <w:vAlign w:val="center"/>
            <w:hideMark/>
          </w:tcPr>
          <w:p w14:paraId="338D5557" w14:textId="77777777" w:rsidR="00291AD1" w:rsidRPr="00956694" w:rsidRDefault="00291AD1" w:rsidP="00124DDA">
            <w:pPr>
              <w:pStyle w:val="tabletextNS"/>
              <w:keepNext/>
              <w:keepLines/>
              <w:ind w:left="144"/>
              <w:rPr>
                <w:sz w:val="20"/>
              </w:rPr>
            </w:pPr>
            <w:r w:rsidRPr="00956694">
              <w:rPr>
                <w:sz w:val="20"/>
              </w:rPr>
              <w:t xml:space="preserve">≥100,000 </w:t>
            </w:r>
          </w:p>
        </w:tc>
        <w:tc>
          <w:tcPr>
            <w:tcW w:w="1530" w:type="dxa"/>
            <w:tcBorders>
              <w:top w:val="nil"/>
              <w:left w:val="single" w:sz="4" w:space="0" w:color="auto"/>
              <w:bottom w:val="single" w:sz="4" w:space="0" w:color="auto"/>
              <w:right w:val="single" w:sz="4" w:space="0" w:color="auto"/>
            </w:tcBorders>
            <w:hideMark/>
          </w:tcPr>
          <w:p w14:paraId="500FB2D6" w14:textId="77777777" w:rsidR="00291AD1" w:rsidRPr="00956694" w:rsidRDefault="00291AD1" w:rsidP="00124DDA">
            <w:pPr>
              <w:pStyle w:val="tabletextNS"/>
              <w:keepNext/>
              <w:keepLines/>
              <w:jc w:val="center"/>
              <w:rPr>
                <w:sz w:val="20"/>
              </w:rPr>
            </w:pPr>
            <w:r w:rsidRPr="00956694">
              <w:rPr>
                <w:sz w:val="20"/>
              </w:rPr>
              <w:t>28 / 80 (35%)</w:t>
            </w:r>
          </w:p>
        </w:tc>
        <w:tc>
          <w:tcPr>
            <w:tcW w:w="1350" w:type="dxa"/>
            <w:tcBorders>
              <w:top w:val="nil"/>
              <w:left w:val="single" w:sz="4" w:space="0" w:color="auto"/>
              <w:bottom w:val="single" w:sz="4" w:space="0" w:color="auto"/>
              <w:right w:val="single" w:sz="4" w:space="0" w:color="auto"/>
            </w:tcBorders>
            <w:hideMark/>
          </w:tcPr>
          <w:p w14:paraId="054C997B" w14:textId="77777777" w:rsidR="00291AD1" w:rsidRPr="00956694" w:rsidRDefault="00291AD1" w:rsidP="00124DDA">
            <w:pPr>
              <w:pStyle w:val="tabletextNS"/>
              <w:keepNext/>
              <w:keepLines/>
              <w:jc w:val="center"/>
              <w:rPr>
                <w:sz w:val="20"/>
              </w:rPr>
            </w:pPr>
            <w:r w:rsidRPr="00956694">
              <w:rPr>
                <w:sz w:val="20"/>
              </w:rPr>
              <w:t>28 / 80 (35%)</w:t>
            </w:r>
          </w:p>
        </w:tc>
        <w:tc>
          <w:tcPr>
            <w:tcW w:w="1440" w:type="dxa"/>
            <w:tcBorders>
              <w:top w:val="nil"/>
              <w:left w:val="single" w:sz="4" w:space="0" w:color="auto"/>
              <w:bottom w:val="single" w:sz="4" w:space="0" w:color="auto"/>
              <w:right w:val="single" w:sz="4" w:space="0" w:color="auto"/>
            </w:tcBorders>
            <w:hideMark/>
          </w:tcPr>
          <w:p w14:paraId="66A8C013" w14:textId="77777777" w:rsidR="00291AD1" w:rsidRPr="00956694" w:rsidRDefault="00291AD1" w:rsidP="00124DDA">
            <w:pPr>
              <w:pStyle w:val="tabletextNS"/>
              <w:keepNext/>
              <w:keepLines/>
              <w:jc w:val="center"/>
              <w:rPr>
                <w:sz w:val="20"/>
              </w:rPr>
            </w:pPr>
            <w:r w:rsidRPr="00956694">
              <w:rPr>
                <w:sz w:val="20"/>
              </w:rPr>
              <w:t>39 / 80 (49%)</w:t>
            </w:r>
          </w:p>
        </w:tc>
      </w:tr>
      <w:tr w:rsidR="00291AD1" w:rsidRPr="00956694" w14:paraId="52108DA1" w14:textId="77777777" w:rsidTr="00291AD1">
        <w:trPr>
          <w:cantSplit/>
        </w:trPr>
        <w:tc>
          <w:tcPr>
            <w:tcW w:w="4320" w:type="dxa"/>
            <w:tcBorders>
              <w:top w:val="single" w:sz="4" w:space="0" w:color="auto"/>
              <w:left w:val="single" w:sz="4" w:space="0" w:color="auto"/>
              <w:bottom w:val="nil"/>
              <w:right w:val="single" w:sz="4" w:space="0" w:color="auto"/>
            </w:tcBorders>
            <w:hideMark/>
          </w:tcPr>
          <w:p w14:paraId="36D7DA0E" w14:textId="77777777" w:rsidR="00291AD1" w:rsidRPr="00956694" w:rsidRDefault="00291AD1" w:rsidP="00124DDA">
            <w:pPr>
              <w:pStyle w:val="tabletextNS"/>
              <w:keepNext/>
              <w:keepLines/>
              <w:rPr>
                <w:b/>
                <w:sz w:val="20"/>
              </w:rPr>
            </w:pPr>
            <w:r w:rsidRPr="00956694">
              <w:rPr>
                <w:b/>
                <w:sz w:val="20"/>
              </w:rPr>
              <w:t>Baseline CD4+ (cells/</w:t>
            </w:r>
            <w:r w:rsidRPr="00956694">
              <w:rPr>
                <w:b/>
                <w:bCs/>
                <w:sz w:val="20"/>
              </w:rPr>
              <w:t xml:space="preserve"> mm</w:t>
            </w:r>
            <w:r w:rsidRPr="00956694">
              <w:rPr>
                <w:b/>
                <w:bCs/>
                <w:sz w:val="20"/>
                <w:vertAlign w:val="superscript"/>
              </w:rPr>
              <w:t>3</w:t>
            </w:r>
            <w:r w:rsidRPr="00956694">
              <w:rPr>
                <w:b/>
                <w:sz w:val="20"/>
              </w:rPr>
              <w:t>)</w:t>
            </w:r>
          </w:p>
        </w:tc>
        <w:tc>
          <w:tcPr>
            <w:tcW w:w="1530" w:type="dxa"/>
            <w:tcBorders>
              <w:top w:val="single" w:sz="4" w:space="0" w:color="auto"/>
              <w:left w:val="single" w:sz="4" w:space="0" w:color="auto"/>
              <w:bottom w:val="nil"/>
              <w:right w:val="single" w:sz="4" w:space="0" w:color="auto"/>
            </w:tcBorders>
          </w:tcPr>
          <w:p w14:paraId="11D51F89" w14:textId="77777777" w:rsidR="00291AD1" w:rsidRPr="00956694" w:rsidRDefault="00291AD1" w:rsidP="00124DDA">
            <w:pPr>
              <w:pStyle w:val="tabletextNS"/>
              <w:keepNext/>
              <w:keepLines/>
              <w:jc w:val="center"/>
              <w:rPr>
                <w:b/>
                <w:sz w:val="20"/>
                <w:lang w:val="en-US"/>
              </w:rPr>
            </w:pPr>
          </w:p>
        </w:tc>
        <w:tc>
          <w:tcPr>
            <w:tcW w:w="1350" w:type="dxa"/>
            <w:tcBorders>
              <w:top w:val="single" w:sz="4" w:space="0" w:color="auto"/>
              <w:left w:val="single" w:sz="4" w:space="0" w:color="auto"/>
              <w:bottom w:val="nil"/>
              <w:right w:val="single" w:sz="4" w:space="0" w:color="auto"/>
            </w:tcBorders>
          </w:tcPr>
          <w:p w14:paraId="38277315" w14:textId="77777777" w:rsidR="00291AD1" w:rsidRPr="00956694" w:rsidRDefault="00291AD1" w:rsidP="00124DDA">
            <w:pPr>
              <w:pStyle w:val="tabletextNS"/>
              <w:keepNext/>
              <w:keepLines/>
              <w:jc w:val="center"/>
              <w:rPr>
                <w:b/>
                <w:sz w:val="20"/>
                <w:lang w:val="en-US"/>
              </w:rPr>
            </w:pPr>
          </w:p>
        </w:tc>
        <w:tc>
          <w:tcPr>
            <w:tcW w:w="1440" w:type="dxa"/>
            <w:tcBorders>
              <w:top w:val="single" w:sz="4" w:space="0" w:color="auto"/>
              <w:left w:val="single" w:sz="4" w:space="0" w:color="auto"/>
              <w:bottom w:val="nil"/>
              <w:right w:val="single" w:sz="4" w:space="0" w:color="auto"/>
            </w:tcBorders>
          </w:tcPr>
          <w:p w14:paraId="5C76BBD4" w14:textId="77777777" w:rsidR="00291AD1" w:rsidRPr="00956694" w:rsidRDefault="00291AD1" w:rsidP="00124DDA">
            <w:pPr>
              <w:pStyle w:val="tabletextNS"/>
              <w:keepNext/>
              <w:keepLines/>
              <w:jc w:val="center"/>
              <w:rPr>
                <w:b/>
                <w:sz w:val="20"/>
                <w:lang w:val="en-US"/>
              </w:rPr>
            </w:pPr>
          </w:p>
        </w:tc>
      </w:tr>
      <w:tr w:rsidR="00291AD1" w:rsidRPr="00956694" w14:paraId="2B835408" w14:textId="77777777" w:rsidTr="00291AD1">
        <w:trPr>
          <w:cantSplit/>
        </w:trPr>
        <w:tc>
          <w:tcPr>
            <w:tcW w:w="4320" w:type="dxa"/>
            <w:tcBorders>
              <w:top w:val="nil"/>
              <w:left w:val="single" w:sz="4" w:space="0" w:color="auto"/>
              <w:bottom w:val="nil"/>
              <w:right w:val="single" w:sz="4" w:space="0" w:color="auto"/>
            </w:tcBorders>
            <w:hideMark/>
          </w:tcPr>
          <w:p w14:paraId="60163C9E" w14:textId="77777777" w:rsidR="00291AD1" w:rsidRPr="00956694" w:rsidRDefault="00291AD1" w:rsidP="00124DDA">
            <w:pPr>
              <w:pStyle w:val="tabletextNS"/>
              <w:keepNext/>
              <w:keepLines/>
              <w:rPr>
                <w:sz w:val="20"/>
              </w:rPr>
            </w:pPr>
            <w:r w:rsidRPr="00956694">
              <w:rPr>
                <w:sz w:val="20"/>
              </w:rPr>
              <w:t xml:space="preserve">  &lt;20</w:t>
            </w:r>
            <w:r w:rsidRPr="00956694">
              <w:rPr>
                <w:bCs/>
                <w:sz w:val="20"/>
              </w:rPr>
              <w:t xml:space="preserve"> </w:t>
            </w:r>
          </w:p>
        </w:tc>
        <w:tc>
          <w:tcPr>
            <w:tcW w:w="1530" w:type="dxa"/>
            <w:tcBorders>
              <w:top w:val="nil"/>
              <w:left w:val="single" w:sz="4" w:space="0" w:color="auto"/>
              <w:bottom w:val="nil"/>
              <w:right w:val="single" w:sz="4" w:space="0" w:color="auto"/>
            </w:tcBorders>
            <w:hideMark/>
          </w:tcPr>
          <w:p w14:paraId="50205F27" w14:textId="77777777" w:rsidR="00291AD1" w:rsidRPr="00956694" w:rsidRDefault="00291AD1" w:rsidP="00124DDA">
            <w:pPr>
              <w:pStyle w:val="tabletextNS"/>
              <w:keepNext/>
              <w:keepLines/>
              <w:jc w:val="center"/>
              <w:rPr>
                <w:sz w:val="20"/>
              </w:rPr>
            </w:pPr>
            <w:r w:rsidRPr="00956694">
              <w:rPr>
                <w:sz w:val="20"/>
                <w:lang w:eastAsia="en-US"/>
              </w:rPr>
              <w:t>23 / 72 (32%)</w:t>
            </w:r>
          </w:p>
        </w:tc>
        <w:tc>
          <w:tcPr>
            <w:tcW w:w="1350" w:type="dxa"/>
            <w:tcBorders>
              <w:top w:val="nil"/>
              <w:left w:val="single" w:sz="4" w:space="0" w:color="auto"/>
              <w:bottom w:val="nil"/>
              <w:right w:val="single" w:sz="4" w:space="0" w:color="auto"/>
            </w:tcBorders>
            <w:hideMark/>
          </w:tcPr>
          <w:p w14:paraId="04EF2846" w14:textId="77777777" w:rsidR="00291AD1" w:rsidRPr="00956694" w:rsidRDefault="00291AD1" w:rsidP="00124DDA">
            <w:pPr>
              <w:pStyle w:val="tabletextNS"/>
              <w:keepNext/>
              <w:keepLines/>
              <w:jc w:val="center"/>
              <w:rPr>
                <w:sz w:val="20"/>
              </w:rPr>
            </w:pPr>
            <w:r w:rsidRPr="00956694">
              <w:rPr>
                <w:sz w:val="20"/>
                <w:lang w:eastAsia="en-US"/>
              </w:rPr>
              <w:t>25 / 72 (35%)</w:t>
            </w:r>
          </w:p>
        </w:tc>
        <w:tc>
          <w:tcPr>
            <w:tcW w:w="1440" w:type="dxa"/>
            <w:tcBorders>
              <w:top w:val="nil"/>
              <w:left w:val="single" w:sz="4" w:space="0" w:color="auto"/>
              <w:bottom w:val="nil"/>
              <w:right w:val="single" w:sz="4" w:space="0" w:color="auto"/>
            </w:tcBorders>
            <w:hideMark/>
          </w:tcPr>
          <w:p w14:paraId="65E8B562" w14:textId="77777777" w:rsidR="00291AD1" w:rsidRPr="00956694" w:rsidRDefault="00291AD1" w:rsidP="00124DDA">
            <w:pPr>
              <w:pStyle w:val="tabletextNS"/>
              <w:keepNext/>
              <w:keepLines/>
              <w:jc w:val="center"/>
              <w:rPr>
                <w:sz w:val="20"/>
              </w:rPr>
            </w:pPr>
            <w:r w:rsidRPr="00956694">
              <w:rPr>
                <w:sz w:val="20"/>
                <w:lang w:eastAsia="en-US"/>
              </w:rPr>
              <w:t>33 / 72 (46%)</w:t>
            </w:r>
          </w:p>
        </w:tc>
      </w:tr>
      <w:tr w:rsidR="00291AD1" w:rsidRPr="00956694" w14:paraId="0D824FA5" w14:textId="77777777" w:rsidTr="00291AD1">
        <w:trPr>
          <w:cantSplit/>
        </w:trPr>
        <w:tc>
          <w:tcPr>
            <w:tcW w:w="4320" w:type="dxa"/>
            <w:tcBorders>
              <w:top w:val="nil"/>
              <w:left w:val="single" w:sz="4" w:space="0" w:color="auto"/>
              <w:bottom w:val="nil"/>
              <w:right w:val="single" w:sz="4" w:space="0" w:color="auto"/>
            </w:tcBorders>
            <w:hideMark/>
          </w:tcPr>
          <w:p w14:paraId="683B922B" w14:textId="77777777" w:rsidR="00291AD1" w:rsidRPr="00956694" w:rsidRDefault="00291AD1" w:rsidP="00124DDA">
            <w:pPr>
              <w:pStyle w:val="tabletextNS"/>
              <w:keepNext/>
              <w:keepLines/>
              <w:rPr>
                <w:sz w:val="20"/>
              </w:rPr>
            </w:pPr>
            <w:r w:rsidRPr="00956694">
              <w:rPr>
                <w:sz w:val="20"/>
              </w:rPr>
              <w:t xml:space="preserve">  20 to &lt;50</w:t>
            </w:r>
            <w:r w:rsidRPr="00956694">
              <w:rPr>
                <w:bCs/>
                <w:sz w:val="20"/>
              </w:rPr>
              <w:t xml:space="preserve"> </w:t>
            </w:r>
          </w:p>
        </w:tc>
        <w:tc>
          <w:tcPr>
            <w:tcW w:w="1530" w:type="dxa"/>
            <w:tcBorders>
              <w:top w:val="nil"/>
              <w:left w:val="single" w:sz="4" w:space="0" w:color="auto"/>
              <w:bottom w:val="nil"/>
              <w:right w:val="single" w:sz="4" w:space="0" w:color="auto"/>
            </w:tcBorders>
            <w:hideMark/>
          </w:tcPr>
          <w:p w14:paraId="50635E9A" w14:textId="77777777" w:rsidR="00291AD1" w:rsidRPr="00956694" w:rsidRDefault="00291AD1" w:rsidP="00124DDA">
            <w:pPr>
              <w:keepNext/>
              <w:keepLines/>
              <w:spacing w:after="0"/>
              <w:jc w:val="center"/>
              <w:rPr>
                <w:rFonts w:ascii="Arial Narrow" w:hAnsi="Arial Narrow"/>
                <w:sz w:val="20"/>
                <w:szCs w:val="20"/>
              </w:rPr>
            </w:pPr>
            <w:r w:rsidRPr="00956694">
              <w:rPr>
                <w:rFonts w:ascii="Arial Narrow" w:hAnsi="Arial Narrow"/>
                <w:sz w:val="20"/>
                <w:szCs w:val="20"/>
              </w:rPr>
              <w:t>12 / 25 (48%)</w:t>
            </w:r>
          </w:p>
        </w:tc>
        <w:tc>
          <w:tcPr>
            <w:tcW w:w="1350" w:type="dxa"/>
            <w:tcBorders>
              <w:top w:val="nil"/>
              <w:left w:val="single" w:sz="4" w:space="0" w:color="auto"/>
              <w:bottom w:val="nil"/>
              <w:right w:val="single" w:sz="4" w:space="0" w:color="auto"/>
            </w:tcBorders>
            <w:hideMark/>
          </w:tcPr>
          <w:p w14:paraId="0F3111C4" w14:textId="77777777" w:rsidR="00291AD1" w:rsidRPr="00956694" w:rsidRDefault="00291AD1" w:rsidP="00124DDA">
            <w:pPr>
              <w:keepNext/>
              <w:keepLines/>
              <w:spacing w:after="0"/>
              <w:jc w:val="center"/>
              <w:rPr>
                <w:rFonts w:ascii="Arial Narrow" w:hAnsi="Arial Narrow"/>
                <w:sz w:val="20"/>
                <w:szCs w:val="20"/>
              </w:rPr>
            </w:pPr>
            <w:r w:rsidRPr="00956694">
              <w:rPr>
                <w:rFonts w:ascii="Arial Narrow" w:hAnsi="Arial Narrow"/>
                <w:sz w:val="20"/>
                <w:szCs w:val="20"/>
              </w:rPr>
              <w:t>12 / 25 (48%)</w:t>
            </w:r>
          </w:p>
        </w:tc>
        <w:tc>
          <w:tcPr>
            <w:tcW w:w="1440" w:type="dxa"/>
            <w:tcBorders>
              <w:top w:val="nil"/>
              <w:left w:val="single" w:sz="4" w:space="0" w:color="auto"/>
              <w:bottom w:val="nil"/>
              <w:right w:val="single" w:sz="4" w:space="0" w:color="auto"/>
            </w:tcBorders>
            <w:hideMark/>
          </w:tcPr>
          <w:p w14:paraId="68833B2E" w14:textId="77777777" w:rsidR="00291AD1" w:rsidRPr="00956694" w:rsidRDefault="00291AD1" w:rsidP="00124DDA">
            <w:pPr>
              <w:keepNext/>
              <w:keepLines/>
              <w:spacing w:after="0"/>
              <w:jc w:val="center"/>
              <w:rPr>
                <w:rFonts w:ascii="Arial Narrow" w:hAnsi="Arial Narrow"/>
                <w:sz w:val="20"/>
                <w:szCs w:val="20"/>
              </w:rPr>
            </w:pPr>
            <w:r w:rsidRPr="00956694">
              <w:rPr>
                <w:rFonts w:ascii="Arial Narrow" w:hAnsi="Arial Narrow"/>
                <w:sz w:val="20"/>
                <w:szCs w:val="20"/>
              </w:rPr>
              <w:t>14 / 25 (56%)</w:t>
            </w:r>
          </w:p>
        </w:tc>
      </w:tr>
      <w:tr w:rsidR="00291AD1" w:rsidRPr="00956694" w14:paraId="68EA96F8" w14:textId="77777777" w:rsidTr="00291AD1">
        <w:trPr>
          <w:cantSplit/>
        </w:trPr>
        <w:tc>
          <w:tcPr>
            <w:tcW w:w="4320" w:type="dxa"/>
            <w:tcBorders>
              <w:top w:val="nil"/>
              <w:left w:val="single" w:sz="4" w:space="0" w:color="auto"/>
              <w:bottom w:val="nil"/>
              <w:right w:val="single" w:sz="4" w:space="0" w:color="auto"/>
            </w:tcBorders>
            <w:hideMark/>
          </w:tcPr>
          <w:p w14:paraId="5B36310D" w14:textId="77777777" w:rsidR="00291AD1" w:rsidRPr="00956694" w:rsidRDefault="00291AD1" w:rsidP="00124DDA">
            <w:pPr>
              <w:pStyle w:val="tabletextNS"/>
              <w:keepNext/>
              <w:keepLines/>
              <w:rPr>
                <w:sz w:val="20"/>
              </w:rPr>
            </w:pPr>
            <w:r w:rsidRPr="00956694">
              <w:rPr>
                <w:sz w:val="20"/>
              </w:rPr>
              <w:t xml:space="preserve">  50 to &lt;200</w:t>
            </w:r>
            <w:r w:rsidRPr="00956694">
              <w:rPr>
                <w:bCs/>
                <w:sz w:val="20"/>
              </w:rPr>
              <w:t xml:space="preserve"> </w:t>
            </w:r>
          </w:p>
        </w:tc>
        <w:tc>
          <w:tcPr>
            <w:tcW w:w="1530" w:type="dxa"/>
            <w:tcBorders>
              <w:top w:val="nil"/>
              <w:left w:val="single" w:sz="4" w:space="0" w:color="auto"/>
              <w:bottom w:val="nil"/>
              <w:right w:val="single" w:sz="4" w:space="0" w:color="auto"/>
            </w:tcBorders>
            <w:hideMark/>
          </w:tcPr>
          <w:p w14:paraId="49049DD5" w14:textId="77777777" w:rsidR="00291AD1" w:rsidRPr="00956694" w:rsidRDefault="00291AD1" w:rsidP="00124DDA">
            <w:pPr>
              <w:pStyle w:val="tabletextNS"/>
              <w:keepNext/>
              <w:keepLines/>
              <w:jc w:val="center"/>
              <w:rPr>
                <w:sz w:val="20"/>
              </w:rPr>
            </w:pPr>
            <w:r w:rsidRPr="00956694">
              <w:rPr>
                <w:sz w:val="20"/>
              </w:rPr>
              <w:t>59 / 102 (58%)</w:t>
            </w:r>
          </w:p>
        </w:tc>
        <w:tc>
          <w:tcPr>
            <w:tcW w:w="1350" w:type="dxa"/>
            <w:tcBorders>
              <w:top w:val="nil"/>
              <w:left w:val="single" w:sz="4" w:space="0" w:color="auto"/>
              <w:bottom w:val="nil"/>
              <w:right w:val="single" w:sz="4" w:space="0" w:color="auto"/>
            </w:tcBorders>
            <w:hideMark/>
          </w:tcPr>
          <w:p w14:paraId="5127D39D" w14:textId="77777777" w:rsidR="00291AD1" w:rsidRPr="00956694" w:rsidRDefault="00291AD1" w:rsidP="00124DDA">
            <w:pPr>
              <w:pStyle w:val="tabletextNS"/>
              <w:keepNext/>
              <w:keepLines/>
              <w:ind w:left="-99" w:right="-110"/>
              <w:jc w:val="center"/>
              <w:rPr>
                <w:sz w:val="20"/>
              </w:rPr>
            </w:pPr>
            <w:r w:rsidRPr="00956694">
              <w:rPr>
                <w:sz w:val="20"/>
              </w:rPr>
              <w:t>59 / 102 (58%)</w:t>
            </w:r>
          </w:p>
        </w:tc>
        <w:tc>
          <w:tcPr>
            <w:tcW w:w="1440" w:type="dxa"/>
            <w:tcBorders>
              <w:top w:val="nil"/>
              <w:left w:val="single" w:sz="4" w:space="0" w:color="auto"/>
              <w:bottom w:val="nil"/>
              <w:right w:val="single" w:sz="4" w:space="0" w:color="auto"/>
            </w:tcBorders>
            <w:hideMark/>
          </w:tcPr>
          <w:p w14:paraId="7FEE02B3" w14:textId="77777777" w:rsidR="00291AD1" w:rsidRPr="00956694" w:rsidRDefault="00291AD1" w:rsidP="00124DDA">
            <w:pPr>
              <w:pStyle w:val="tabletextNS"/>
              <w:keepNext/>
              <w:keepLines/>
              <w:jc w:val="center"/>
              <w:rPr>
                <w:sz w:val="20"/>
              </w:rPr>
            </w:pPr>
            <w:r w:rsidRPr="00956694">
              <w:rPr>
                <w:sz w:val="20"/>
              </w:rPr>
              <w:t>62 / 102 (61%)</w:t>
            </w:r>
          </w:p>
        </w:tc>
      </w:tr>
      <w:tr w:rsidR="00291AD1" w:rsidRPr="00956694" w14:paraId="01E0D9D6" w14:textId="77777777" w:rsidTr="00291AD1">
        <w:trPr>
          <w:cantSplit/>
        </w:trPr>
        <w:tc>
          <w:tcPr>
            <w:tcW w:w="4320" w:type="dxa"/>
            <w:tcBorders>
              <w:top w:val="nil"/>
              <w:left w:val="single" w:sz="4" w:space="0" w:color="auto"/>
              <w:bottom w:val="single" w:sz="4" w:space="0" w:color="auto"/>
              <w:right w:val="single" w:sz="4" w:space="0" w:color="auto"/>
            </w:tcBorders>
            <w:hideMark/>
          </w:tcPr>
          <w:p w14:paraId="0AAE915F" w14:textId="77777777" w:rsidR="00291AD1" w:rsidRPr="00956694" w:rsidRDefault="00291AD1" w:rsidP="00124DDA">
            <w:pPr>
              <w:pStyle w:val="tabletextNS"/>
              <w:keepNext/>
              <w:keepLines/>
              <w:rPr>
                <w:sz w:val="20"/>
              </w:rPr>
            </w:pPr>
            <w:r w:rsidRPr="00956694">
              <w:rPr>
                <w:sz w:val="20"/>
              </w:rPr>
              <w:t xml:space="preserve">  ≥200 </w:t>
            </w:r>
          </w:p>
        </w:tc>
        <w:tc>
          <w:tcPr>
            <w:tcW w:w="1530" w:type="dxa"/>
            <w:tcBorders>
              <w:top w:val="nil"/>
              <w:left w:val="single" w:sz="4" w:space="0" w:color="auto"/>
              <w:bottom w:val="single" w:sz="4" w:space="0" w:color="auto"/>
              <w:right w:val="single" w:sz="4" w:space="0" w:color="auto"/>
            </w:tcBorders>
            <w:hideMark/>
          </w:tcPr>
          <w:p w14:paraId="660BA4DA" w14:textId="77777777" w:rsidR="00291AD1" w:rsidRPr="00956694" w:rsidRDefault="00291AD1" w:rsidP="00124DDA">
            <w:pPr>
              <w:pStyle w:val="tabletextNS"/>
              <w:keepNext/>
              <w:keepLines/>
              <w:jc w:val="center"/>
              <w:rPr>
                <w:sz w:val="20"/>
              </w:rPr>
            </w:pPr>
            <w:r w:rsidRPr="00956694">
              <w:rPr>
                <w:sz w:val="20"/>
              </w:rPr>
              <w:t>50 / 73 (68%)</w:t>
            </w:r>
          </w:p>
        </w:tc>
        <w:tc>
          <w:tcPr>
            <w:tcW w:w="1350" w:type="dxa"/>
            <w:tcBorders>
              <w:top w:val="nil"/>
              <w:left w:val="single" w:sz="4" w:space="0" w:color="auto"/>
              <w:bottom w:val="single" w:sz="4" w:space="0" w:color="auto"/>
              <w:right w:val="single" w:sz="4" w:space="0" w:color="auto"/>
            </w:tcBorders>
            <w:hideMark/>
          </w:tcPr>
          <w:p w14:paraId="67C03A00" w14:textId="77777777" w:rsidR="00291AD1" w:rsidRPr="00956694" w:rsidRDefault="00291AD1" w:rsidP="00124DDA">
            <w:pPr>
              <w:pStyle w:val="tabletextNS"/>
              <w:keepNext/>
              <w:keepLines/>
              <w:jc w:val="center"/>
              <w:rPr>
                <w:sz w:val="20"/>
              </w:rPr>
            </w:pPr>
            <w:r w:rsidRPr="00956694">
              <w:rPr>
                <w:sz w:val="20"/>
              </w:rPr>
              <w:t>50 / 73 (68%)</w:t>
            </w:r>
          </w:p>
        </w:tc>
        <w:tc>
          <w:tcPr>
            <w:tcW w:w="1440" w:type="dxa"/>
            <w:tcBorders>
              <w:top w:val="nil"/>
              <w:left w:val="single" w:sz="4" w:space="0" w:color="auto"/>
              <w:bottom w:val="single" w:sz="4" w:space="0" w:color="auto"/>
              <w:right w:val="single" w:sz="4" w:space="0" w:color="auto"/>
            </w:tcBorders>
            <w:hideMark/>
          </w:tcPr>
          <w:p w14:paraId="547E0709" w14:textId="77777777" w:rsidR="00291AD1" w:rsidRPr="00956694" w:rsidRDefault="00291AD1" w:rsidP="00124DDA">
            <w:pPr>
              <w:pStyle w:val="tabletextNS"/>
              <w:keepNext/>
              <w:keepLines/>
              <w:jc w:val="center"/>
              <w:rPr>
                <w:sz w:val="20"/>
              </w:rPr>
            </w:pPr>
            <w:r w:rsidRPr="00956694">
              <w:rPr>
                <w:sz w:val="20"/>
              </w:rPr>
              <w:t>54 / 73 (74%)</w:t>
            </w:r>
          </w:p>
        </w:tc>
      </w:tr>
      <w:tr w:rsidR="00291AD1" w:rsidRPr="00956694" w14:paraId="5B4E4321" w14:textId="77777777" w:rsidTr="00291AD1">
        <w:trPr>
          <w:cantSplit/>
        </w:trPr>
        <w:tc>
          <w:tcPr>
            <w:tcW w:w="4320" w:type="dxa"/>
            <w:tcBorders>
              <w:top w:val="single" w:sz="4" w:space="0" w:color="auto"/>
              <w:left w:val="single" w:sz="4" w:space="0" w:color="auto"/>
              <w:bottom w:val="nil"/>
              <w:right w:val="single" w:sz="4" w:space="0" w:color="auto"/>
            </w:tcBorders>
            <w:vAlign w:val="center"/>
            <w:hideMark/>
          </w:tcPr>
          <w:p w14:paraId="2A1199FF" w14:textId="77777777" w:rsidR="00291AD1" w:rsidRPr="00956694" w:rsidRDefault="00291AD1" w:rsidP="00124DDA">
            <w:pPr>
              <w:pStyle w:val="tabletextNS"/>
              <w:keepNext/>
              <w:keepLines/>
              <w:rPr>
                <w:rFonts w:eastAsia="MS Mincho"/>
                <w:b/>
                <w:sz w:val="20"/>
                <w:lang w:val="en-US" w:eastAsia="en-US"/>
              </w:rPr>
            </w:pPr>
            <w:r w:rsidRPr="00956694">
              <w:rPr>
                <w:b/>
                <w:sz w:val="20"/>
              </w:rPr>
              <w:t>Number of Fully Active and Available Antiretroviral (ARV) Classes in initial OBT</w:t>
            </w:r>
          </w:p>
        </w:tc>
        <w:tc>
          <w:tcPr>
            <w:tcW w:w="1530" w:type="dxa"/>
            <w:tcBorders>
              <w:top w:val="single" w:sz="4" w:space="0" w:color="auto"/>
              <w:left w:val="single" w:sz="4" w:space="0" w:color="auto"/>
              <w:bottom w:val="nil"/>
              <w:right w:val="single" w:sz="4" w:space="0" w:color="auto"/>
            </w:tcBorders>
          </w:tcPr>
          <w:p w14:paraId="004D8869" w14:textId="77777777" w:rsidR="00291AD1" w:rsidRPr="00956694" w:rsidRDefault="00291AD1" w:rsidP="00124DDA">
            <w:pPr>
              <w:pStyle w:val="tabletextNS"/>
              <w:keepNext/>
              <w:keepLines/>
              <w:jc w:val="center"/>
              <w:rPr>
                <w:b/>
                <w:sz w:val="20"/>
                <w:highlight w:val="yellow"/>
                <w:lang w:val="en-US"/>
              </w:rPr>
            </w:pPr>
          </w:p>
        </w:tc>
        <w:tc>
          <w:tcPr>
            <w:tcW w:w="1350" w:type="dxa"/>
            <w:tcBorders>
              <w:top w:val="single" w:sz="4" w:space="0" w:color="auto"/>
              <w:left w:val="single" w:sz="4" w:space="0" w:color="auto"/>
              <w:bottom w:val="nil"/>
              <w:right w:val="single" w:sz="4" w:space="0" w:color="auto"/>
            </w:tcBorders>
          </w:tcPr>
          <w:p w14:paraId="3976D42D" w14:textId="77777777" w:rsidR="00291AD1" w:rsidRPr="00956694" w:rsidRDefault="00291AD1" w:rsidP="00124DDA">
            <w:pPr>
              <w:pStyle w:val="tabletextNS"/>
              <w:keepNext/>
              <w:keepLines/>
              <w:jc w:val="center"/>
              <w:rPr>
                <w:b/>
                <w:sz w:val="20"/>
                <w:highlight w:val="yellow"/>
                <w:lang w:val="en-US"/>
              </w:rPr>
            </w:pPr>
          </w:p>
        </w:tc>
        <w:tc>
          <w:tcPr>
            <w:tcW w:w="1440" w:type="dxa"/>
            <w:tcBorders>
              <w:top w:val="single" w:sz="4" w:space="0" w:color="auto"/>
              <w:left w:val="single" w:sz="4" w:space="0" w:color="auto"/>
              <w:bottom w:val="nil"/>
              <w:right w:val="single" w:sz="4" w:space="0" w:color="auto"/>
            </w:tcBorders>
          </w:tcPr>
          <w:p w14:paraId="1EB68663" w14:textId="77777777" w:rsidR="00291AD1" w:rsidRPr="00956694" w:rsidRDefault="00291AD1" w:rsidP="00124DDA">
            <w:pPr>
              <w:pStyle w:val="tabletextNS"/>
              <w:keepNext/>
              <w:keepLines/>
              <w:jc w:val="center"/>
              <w:rPr>
                <w:b/>
                <w:sz w:val="20"/>
                <w:lang w:val="en-US"/>
              </w:rPr>
            </w:pPr>
          </w:p>
        </w:tc>
      </w:tr>
      <w:tr w:rsidR="00291AD1" w:rsidRPr="00956694" w14:paraId="539B0A06" w14:textId="77777777" w:rsidTr="00291AD1">
        <w:trPr>
          <w:cantSplit/>
        </w:trPr>
        <w:tc>
          <w:tcPr>
            <w:tcW w:w="4320" w:type="dxa"/>
            <w:tcBorders>
              <w:top w:val="nil"/>
              <w:left w:val="single" w:sz="4" w:space="0" w:color="auto"/>
              <w:bottom w:val="nil"/>
              <w:right w:val="single" w:sz="4" w:space="0" w:color="auto"/>
            </w:tcBorders>
            <w:vAlign w:val="center"/>
            <w:hideMark/>
          </w:tcPr>
          <w:p w14:paraId="6472278C" w14:textId="77777777" w:rsidR="00291AD1" w:rsidRPr="00956694" w:rsidRDefault="00291AD1" w:rsidP="00124DDA">
            <w:pPr>
              <w:pStyle w:val="tabletextNS"/>
              <w:keepNext/>
              <w:keepLines/>
              <w:ind w:left="90"/>
              <w:rPr>
                <w:rFonts w:eastAsia="MS Mincho"/>
                <w:sz w:val="20"/>
                <w:lang w:val="en-US" w:eastAsia="en-US"/>
              </w:rPr>
            </w:pPr>
            <w:r w:rsidRPr="00956694">
              <w:rPr>
                <w:rFonts w:eastAsia="MS Mincho"/>
                <w:sz w:val="20"/>
                <w:lang w:val="en-US" w:eastAsia="en-US"/>
              </w:rPr>
              <w:t>0</w:t>
            </w:r>
            <w:r w:rsidRPr="00956694">
              <w:rPr>
                <w:sz w:val="20"/>
                <w:lang w:val="en-US" w:eastAsia="en-US"/>
              </w:rPr>
              <w:t>*</w:t>
            </w:r>
            <w:r w:rsidRPr="00956694">
              <w:rPr>
                <w:rFonts w:eastAsia="MS Mincho"/>
                <w:sz w:val="20"/>
                <w:lang w:val="en-US" w:eastAsia="en-US"/>
              </w:rPr>
              <w:t xml:space="preserve"> </w:t>
            </w:r>
          </w:p>
        </w:tc>
        <w:tc>
          <w:tcPr>
            <w:tcW w:w="1530" w:type="dxa"/>
            <w:tcBorders>
              <w:top w:val="nil"/>
              <w:left w:val="single" w:sz="4" w:space="0" w:color="auto"/>
              <w:bottom w:val="nil"/>
              <w:right w:val="single" w:sz="4" w:space="0" w:color="auto"/>
            </w:tcBorders>
            <w:hideMark/>
          </w:tcPr>
          <w:p w14:paraId="0A64088B" w14:textId="77777777" w:rsidR="00291AD1" w:rsidRPr="00956694" w:rsidRDefault="00291AD1" w:rsidP="00124DDA">
            <w:pPr>
              <w:pStyle w:val="tabletextNS"/>
              <w:keepNext/>
              <w:keepLines/>
              <w:jc w:val="center"/>
              <w:rPr>
                <w:sz w:val="20"/>
                <w:lang w:val="en-US"/>
              </w:rPr>
            </w:pPr>
            <w:r w:rsidRPr="00956694">
              <w:rPr>
                <w:sz w:val="20"/>
                <w:lang w:val="en-US"/>
              </w:rPr>
              <w:t>5 / 16 (31%)</w:t>
            </w:r>
          </w:p>
        </w:tc>
        <w:tc>
          <w:tcPr>
            <w:tcW w:w="1350" w:type="dxa"/>
            <w:tcBorders>
              <w:top w:val="nil"/>
              <w:left w:val="single" w:sz="4" w:space="0" w:color="auto"/>
              <w:bottom w:val="nil"/>
              <w:right w:val="single" w:sz="4" w:space="0" w:color="auto"/>
            </w:tcBorders>
            <w:hideMark/>
          </w:tcPr>
          <w:p w14:paraId="3AA87870" w14:textId="77777777" w:rsidR="00291AD1" w:rsidRPr="00956694" w:rsidRDefault="00291AD1" w:rsidP="00124DDA">
            <w:pPr>
              <w:pStyle w:val="tabletextNS"/>
              <w:keepNext/>
              <w:keepLines/>
              <w:jc w:val="center"/>
              <w:rPr>
                <w:sz w:val="20"/>
                <w:lang w:val="en-US"/>
              </w:rPr>
            </w:pPr>
            <w:r w:rsidRPr="00956694">
              <w:rPr>
                <w:sz w:val="20"/>
                <w:lang w:val="en-US"/>
              </w:rPr>
              <w:t>5 / 16 (31%)</w:t>
            </w:r>
          </w:p>
        </w:tc>
        <w:tc>
          <w:tcPr>
            <w:tcW w:w="1440" w:type="dxa"/>
            <w:tcBorders>
              <w:top w:val="nil"/>
              <w:left w:val="single" w:sz="4" w:space="0" w:color="auto"/>
              <w:bottom w:val="nil"/>
              <w:right w:val="single" w:sz="4" w:space="0" w:color="auto"/>
            </w:tcBorders>
            <w:hideMark/>
          </w:tcPr>
          <w:p w14:paraId="6C214683" w14:textId="77777777" w:rsidR="00291AD1" w:rsidRPr="00956694" w:rsidRDefault="00291AD1" w:rsidP="00124DDA">
            <w:pPr>
              <w:pStyle w:val="tabletextNS"/>
              <w:keepNext/>
              <w:keepLines/>
              <w:jc w:val="center"/>
              <w:rPr>
                <w:sz w:val="20"/>
                <w:lang w:val="en-US"/>
              </w:rPr>
            </w:pPr>
            <w:r w:rsidRPr="00956694">
              <w:rPr>
                <w:sz w:val="20"/>
                <w:lang w:val="en-US"/>
              </w:rPr>
              <w:t>3 / 16 (19%)</w:t>
            </w:r>
          </w:p>
        </w:tc>
      </w:tr>
      <w:tr w:rsidR="00291AD1" w:rsidRPr="00956694" w14:paraId="0D890AAA" w14:textId="77777777" w:rsidTr="00291AD1">
        <w:trPr>
          <w:cantSplit/>
        </w:trPr>
        <w:tc>
          <w:tcPr>
            <w:tcW w:w="4320" w:type="dxa"/>
            <w:tcBorders>
              <w:top w:val="nil"/>
              <w:left w:val="single" w:sz="4" w:space="0" w:color="auto"/>
              <w:bottom w:val="nil"/>
              <w:right w:val="single" w:sz="4" w:space="0" w:color="auto"/>
            </w:tcBorders>
            <w:vAlign w:val="center"/>
            <w:hideMark/>
          </w:tcPr>
          <w:p w14:paraId="7DDC5A86" w14:textId="77777777" w:rsidR="00291AD1" w:rsidRPr="00956694" w:rsidRDefault="00291AD1" w:rsidP="00124DDA">
            <w:pPr>
              <w:pStyle w:val="tabletextNS"/>
              <w:keepNext/>
              <w:keepLines/>
              <w:ind w:left="90"/>
              <w:rPr>
                <w:rFonts w:eastAsia="MS Mincho"/>
                <w:sz w:val="20"/>
                <w:lang w:val="en-US" w:eastAsia="en-US"/>
              </w:rPr>
            </w:pPr>
            <w:r w:rsidRPr="00956694">
              <w:rPr>
                <w:rFonts w:eastAsia="MS Mincho"/>
                <w:sz w:val="20"/>
                <w:lang w:val="en-US" w:eastAsia="en-US"/>
              </w:rPr>
              <w:t xml:space="preserve">1 </w:t>
            </w:r>
          </w:p>
        </w:tc>
        <w:tc>
          <w:tcPr>
            <w:tcW w:w="1530" w:type="dxa"/>
            <w:tcBorders>
              <w:top w:val="nil"/>
              <w:left w:val="single" w:sz="4" w:space="0" w:color="auto"/>
              <w:bottom w:val="nil"/>
              <w:right w:val="single" w:sz="4" w:space="0" w:color="auto"/>
            </w:tcBorders>
            <w:hideMark/>
          </w:tcPr>
          <w:p w14:paraId="0989B86D" w14:textId="77777777" w:rsidR="00291AD1" w:rsidRPr="00956694" w:rsidRDefault="00291AD1" w:rsidP="00124DDA">
            <w:pPr>
              <w:pStyle w:val="tabletextNS"/>
              <w:keepNext/>
              <w:keepLines/>
              <w:jc w:val="center"/>
              <w:rPr>
                <w:sz w:val="20"/>
                <w:lang w:val="en-US"/>
              </w:rPr>
            </w:pPr>
            <w:r w:rsidRPr="00956694">
              <w:rPr>
                <w:sz w:val="20"/>
                <w:lang w:val="en-US"/>
              </w:rPr>
              <w:t>80 / 142 (56%)</w:t>
            </w:r>
          </w:p>
        </w:tc>
        <w:tc>
          <w:tcPr>
            <w:tcW w:w="1350" w:type="dxa"/>
            <w:tcBorders>
              <w:top w:val="nil"/>
              <w:left w:val="single" w:sz="4" w:space="0" w:color="auto"/>
              <w:bottom w:val="nil"/>
              <w:right w:val="single" w:sz="4" w:space="0" w:color="auto"/>
            </w:tcBorders>
            <w:hideMark/>
          </w:tcPr>
          <w:p w14:paraId="0374D6E3" w14:textId="77777777" w:rsidR="00291AD1" w:rsidRPr="00956694" w:rsidRDefault="00291AD1" w:rsidP="00124DDA">
            <w:pPr>
              <w:pStyle w:val="tabletextNS"/>
              <w:keepNext/>
              <w:keepLines/>
              <w:ind w:left="-99" w:right="-110"/>
              <w:jc w:val="center"/>
              <w:rPr>
                <w:sz w:val="20"/>
                <w:lang w:val="en-US"/>
              </w:rPr>
            </w:pPr>
            <w:r w:rsidRPr="00956694">
              <w:rPr>
                <w:sz w:val="20"/>
                <w:lang w:val="en-US"/>
              </w:rPr>
              <w:t>82 / 142 (58%)</w:t>
            </w:r>
          </w:p>
        </w:tc>
        <w:tc>
          <w:tcPr>
            <w:tcW w:w="1440" w:type="dxa"/>
            <w:tcBorders>
              <w:top w:val="nil"/>
              <w:left w:val="single" w:sz="4" w:space="0" w:color="auto"/>
              <w:bottom w:val="nil"/>
              <w:right w:val="single" w:sz="4" w:space="0" w:color="auto"/>
            </w:tcBorders>
            <w:hideMark/>
          </w:tcPr>
          <w:p w14:paraId="3464792A" w14:textId="77777777" w:rsidR="00291AD1" w:rsidRPr="00956694" w:rsidRDefault="00291AD1" w:rsidP="00124DDA">
            <w:pPr>
              <w:pStyle w:val="tabletextNS"/>
              <w:keepNext/>
              <w:keepLines/>
              <w:jc w:val="center"/>
              <w:rPr>
                <w:sz w:val="20"/>
                <w:lang w:val="en-US"/>
              </w:rPr>
            </w:pPr>
            <w:r w:rsidRPr="00956694">
              <w:rPr>
                <w:sz w:val="20"/>
                <w:lang w:val="en-US"/>
              </w:rPr>
              <w:t>92 / 142 (65%)</w:t>
            </w:r>
          </w:p>
        </w:tc>
      </w:tr>
      <w:tr w:rsidR="00291AD1" w:rsidRPr="00956694" w14:paraId="6827A36C" w14:textId="77777777" w:rsidTr="00291AD1">
        <w:trPr>
          <w:cantSplit/>
        </w:trPr>
        <w:tc>
          <w:tcPr>
            <w:tcW w:w="4320" w:type="dxa"/>
            <w:tcBorders>
              <w:top w:val="nil"/>
              <w:left w:val="single" w:sz="4" w:space="0" w:color="auto"/>
              <w:bottom w:val="single" w:sz="4" w:space="0" w:color="auto"/>
              <w:right w:val="single" w:sz="4" w:space="0" w:color="auto"/>
            </w:tcBorders>
            <w:vAlign w:val="center"/>
            <w:hideMark/>
          </w:tcPr>
          <w:p w14:paraId="5D6ADD65" w14:textId="77777777" w:rsidR="00291AD1" w:rsidRPr="00956694" w:rsidRDefault="00291AD1" w:rsidP="00124DDA">
            <w:pPr>
              <w:pStyle w:val="tabletextNS"/>
              <w:keepNext/>
              <w:keepLines/>
              <w:ind w:left="90"/>
              <w:rPr>
                <w:rFonts w:eastAsia="MS Mincho"/>
                <w:sz w:val="20"/>
                <w:lang w:val="en-US" w:eastAsia="en-US"/>
              </w:rPr>
            </w:pPr>
            <w:r w:rsidRPr="00956694">
              <w:rPr>
                <w:rFonts w:eastAsia="MS Mincho"/>
                <w:sz w:val="20"/>
                <w:lang w:val="en-US" w:eastAsia="en-US"/>
              </w:rPr>
              <w:t xml:space="preserve">2 </w:t>
            </w:r>
          </w:p>
        </w:tc>
        <w:tc>
          <w:tcPr>
            <w:tcW w:w="1530" w:type="dxa"/>
            <w:tcBorders>
              <w:top w:val="nil"/>
              <w:left w:val="single" w:sz="4" w:space="0" w:color="auto"/>
              <w:bottom w:val="single" w:sz="4" w:space="0" w:color="auto"/>
              <w:right w:val="single" w:sz="4" w:space="0" w:color="auto"/>
            </w:tcBorders>
            <w:hideMark/>
          </w:tcPr>
          <w:p w14:paraId="67BC4A06" w14:textId="77777777" w:rsidR="00291AD1" w:rsidRPr="00956694" w:rsidRDefault="00291AD1" w:rsidP="00124DDA">
            <w:pPr>
              <w:pStyle w:val="tabletextNS"/>
              <w:keepNext/>
              <w:keepLines/>
              <w:jc w:val="center"/>
              <w:rPr>
                <w:sz w:val="20"/>
                <w:lang w:val="en-US"/>
              </w:rPr>
            </w:pPr>
            <w:r w:rsidRPr="00956694">
              <w:rPr>
                <w:sz w:val="20"/>
                <w:lang w:val="en-US"/>
              </w:rPr>
              <w:t>59 / 114 (52%)</w:t>
            </w:r>
          </w:p>
        </w:tc>
        <w:tc>
          <w:tcPr>
            <w:tcW w:w="1350" w:type="dxa"/>
            <w:tcBorders>
              <w:top w:val="nil"/>
              <w:left w:val="single" w:sz="4" w:space="0" w:color="auto"/>
              <w:bottom w:val="single" w:sz="4" w:space="0" w:color="auto"/>
              <w:right w:val="single" w:sz="4" w:space="0" w:color="auto"/>
            </w:tcBorders>
            <w:hideMark/>
          </w:tcPr>
          <w:p w14:paraId="3D70BC52" w14:textId="77777777" w:rsidR="00291AD1" w:rsidRPr="00956694" w:rsidRDefault="00291AD1" w:rsidP="00124DDA">
            <w:pPr>
              <w:pStyle w:val="tabletextNS"/>
              <w:keepNext/>
              <w:keepLines/>
              <w:ind w:left="-99" w:right="-110"/>
              <w:jc w:val="center"/>
              <w:rPr>
                <w:sz w:val="20"/>
                <w:lang w:val="en-US"/>
              </w:rPr>
            </w:pPr>
            <w:r w:rsidRPr="00956694">
              <w:rPr>
                <w:sz w:val="20"/>
                <w:lang w:val="en-US"/>
              </w:rPr>
              <w:t>59 / 114 (52%)</w:t>
            </w:r>
          </w:p>
        </w:tc>
        <w:tc>
          <w:tcPr>
            <w:tcW w:w="1440" w:type="dxa"/>
            <w:tcBorders>
              <w:top w:val="nil"/>
              <w:left w:val="single" w:sz="4" w:space="0" w:color="auto"/>
              <w:bottom w:val="single" w:sz="4" w:space="0" w:color="auto"/>
              <w:right w:val="single" w:sz="4" w:space="0" w:color="auto"/>
            </w:tcBorders>
            <w:hideMark/>
          </w:tcPr>
          <w:p w14:paraId="28F55E19" w14:textId="77777777" w:rsidR="00291AD1" w:rsidRPr="00956694" w:rsidRDefault="00291AD1" w:rsidP="00124DDA">
            <w:pPr>
              <w:pStyle w:val="tabletextNS"/>
              <w:keepNext/>
              <w:keepLines/>
              <w:jc w:val="center"/>
              <w:rPr>
                <w:sz w:val="20"/>
                <w:lang w:val="en-US"/>
              </w:rPr>
            </w:pPr>
            <w:r w:rsidRPr="00956694">
              <w:rPr>
                <w:sz w:val="20"/>
                <w:lang w:val="en-US"/>
              </w:rPr>
              <w:t>68 / 114 (60%)</w:t>
            </w:r>
          </w:p>
        </w:tc>
      </w:tr>
      <w:tr w:rsidR="00291AD1" w:rsidRPr="00956694" w14:paraId="602DFAB2" w14:textId="77777777" w:rsidTr="00291AD1">
        <w:trPr>
          <w:cantSplit/>
        </w:trPr>
        <w:tc>
          <w:tcPr>
            <w:tcW w:w="4320" w:type="dxa"/>
            <w:tcBorders>
              <w:top w:val="single" w:sz="4" w:space="0" w:color="auto"/>
              <w:left w:val="single" w:sz="4" w:space="0" w:color="auto"/>
              <w:bottom w:val="nil"/>
              <w:right w:val="single" w:sz="4" w:space="0" w:color="auto"/>
            </w:tcBorders>
            <w:vAlign w:val="bottom"/>
            <w:hideMark/>
          </w:tcPr>
          <w:p w14:paraId="53B544DE" w14:textId="77777777" w:rsidR="00291AD1" w:rsidRPr="00956694" w:rsidRDefault="00291AD1" w:rsidP="00124DDA">
            <w:pPr>
              <w:pStyle w:val="tabletextNS"/>
              <w:keepNext/>
              <w:keepLines/>
              <w:rPr>
                <w:b/>
                <w:sz w:val="20"/>
                <w:lang w:val="en-US"/>
              </w:rPr>
            </w:pPr>
            <w:r w:rsidRPr="00956694">
              <w:rPr>
                <w:b/>
                <w:sz w:val="20"/>
                <w:lang w:val="en-US"/>
              </w:rPr>
              <w:t>Gender</w:t>
            </w:r>
          </w:p>
        </w:tc>
        <w:tc>
          <w:tcPr>
            <w:tcW w:w="1530" w:type="dxa"/>
            <w:tcBorders>
              <w:top w:val="single" w:sz="4" w:space="0" w:color="auto"/>
              <w:left w:val="single" w:sz="4" w:space="0" w:color="auto"/>
              <w:bottom w:val="nil"/>
              <w:right w:val="single" w:sz="4" w:space="0" w:color="auto"/>
            </w:tcBorders>
          </w:tcPr>
          <w:p w14:paraId="6C1FE24C" w14:textId="77777777" w:rsidR="00291AD1" w:rsidRPr="00956694" w:rsidRDefault="00291AD1" w:rsidP="00124DDA">
            <w:pPr>
              <w:pStyle w:val="tabletextNS"/>
              <w:keepNext/>
              <w:keepLines/>
              <w:jc w:val="center"/>
              <w:rPr>
                <w:b/>
                <w:sz w:val="20"/>
                <w:highlight w:val="yellow"/>
                <w:lang w:val="en-US"/>
              </w:rPr>
            </w:pPr>
          </w:p>
        </w:tc>
        <w:tc>
          <w:tcPr>
            <w:tcW w:w="1350" w:type="dxa"/>
            <w:tcBorders>
              <w:top w:val="single" w:sz="4" w:space="0" w:color="auto"/>
              <w:left w:val="single" w:sz="4" w:space="0" w:color="auto"/>
              <w:bottom w:val="nil"/>
              <w:right w:val="single" w:sz="4" w:space="0" w:color="auto"/>
            </w:tcBorders>
          </w:tcPr>
          <w:p w14:paraId="1E395BCC" w14:textId="77777777" w:rsidR="00291AD1" w:rsidRPr="00956694" w:rsidRDefault="00291AD1" w:rsidP="00124DDA">
            <w:pPr>
              <w:pStyle w:val="tabletextNS"/>
              <w:keepNext/>
              <w:keepLines/>
              <w:jc w:val="center"/>
              <w:rPr>
                <w:b/>
                <w:sz w:val="20"/>
                <w:highlight w:val="yellow"/>
                <w:lang w:val="en-US"/>
              </w:rPr>
            </w:pPr>
          </w:p>
        </w:tc>
        <w:tc>
          <w:tcPr>
            <w:tcW w:w="1440" w:type="dxa"/>
            <w:tcBorders>
              <w:top w:val="single" w:sz="4" w:space="0" w:color="auto"/>
              <w:left w:val="single" w:sz="4" w:space="0" w:color="auto"/>
              <w:bottom w:val="nil"/>
              <w:right w:val="single" w:sz="4" w:space="0" w:color="auto"/>
            </w:tcBorders>
          </w:tcPr>
          <w:p w14:paraId="19836107" w14:textId="77777777" w:rsidR="00291AD1" w:rsidRPr="00956694" w:rsidRDefault="00291AD1" w:rsidP="00124DDA">
            <w:pPr>
              <w:pStyle w:val="tabletextNS"/>
              <w:keepNext/>
              <w:keepLines/>
              <w:jc w:val="center"/>
              <w:rPr>
                <w:b/>
                <w:sz w:val="20"/>
                <w:lang w:val="en-US"/>
              </w:rPr>
            </w:pPr>
          </w:p>
        </w:tc>
      </w:tr>
      <w:tr w:rsidR="00291AD1" w:rsidRPr="00956694" w14:paraId="27C2C489" w14:textId="77777777" w:rsidTr="00291AD1">
        <w:trPr>
          <w:cantSplit/>
        </w:trPr>
        <w:tc>
          <w:tcPr>
            <w:tcW w:w="4320" w:type="dxa"/>
            <w:tcBorders>
              <w:top w:val="nil"/>
              <w:left w:val="single" w:sz="4" w:space="0" w:color="auto"/>
              <w:bottom w:val="nil"/>
              <w:right w:val="single" w:sz="4" w:space="0" w:color="auto"/>
            </w:tcBorders>
            <w:vAlign w:val="center"/>
            <w:hideMark/>
          </w:tcPr>
          <w:p w14:paraId="5EF75E7F" w14:textId="77777777" w:rsidR="00291AD1" w:rsidRPr="00956694" w:rsidRDefault="00291AD1" w:rsidP="00124DDA">
            <w:pPr>
              <w:pStyle w:val="tabletextNS"/>
              <w:keepNext/>
              <w:keepLines/>
              <w:ind w:left="144"/>
              <w:rPr>
                <w:sz w:val="20"/>
              </w:rPr>
            </w:pPr>
            <w:r w:rsidRPr="00956694">
              <w:rPr>
                <w:sz w:val="20"/>
              </w:rPr>
              <w:t xml:space="preserve">Male </w:t>
            </w:r>
          </w:p>
        </w:tc>
        <w:tc>
          <w:tcPr>
            <w:tcW w:w="1530" w:type="dxa"/>
            <w:tcBorders>
              <w:top w:val="nil"/>
              <w:left w:val="single" w:sz="4" w:space="0" w:color="auto"/>
              <w:bottom w:val="nil"/>
              <w:right w:val="single" w:sz="4" w:space="0" w:color="auto"/>
            </w:tcBorders>
            <w:hideMark/>
          </w:tcPr>
          <w:p w14:paraId="52F11430" w14:textId="77777777" w:rsidR="00291AD1" w:rsidRPr="00956694" w:rsidRDefault="00291AD1" w:rsidP="00124DDA">
            <w:pPr>
              <w:pStyle w:val="tabletextNS"/>
              <w:keepNext/>
              <w:keepLines/>
              <w:jc w:val="center"/>
              <w:rPr>
                <w:sz w:val="20"/>
              </w:rPr>
            </w:pPr>
            <w:r w:rsidRPr="00956694">
              <w:rPr>
                <w:sz w:val="20"/>
              </w:rPr>
              <w:t>104 / 200 (52</w:t>
            </w:r>
            <w:r w:rsidRPr="00956694">
              <w:rPr>
                <w:sz w:val="20"/>
                <w:lang w:val="en-US"/>
              </w:rPr>
              <w:t>%</w:t>
            </w:r>
            <w:r w:rsidRPr="00956694">
              <w:rPr>
                <w:sz w:val="20"/>
              </w:rPr>
              <w:t>)</w:t>
            </w:r>
          </w:p>
        </w:tc>
        <w:tc>
          <w:tcPr>
            <w:tcW w:w="1350" w:type="dxa"/>
            <w:tcBorders>
              <w:top w:val="nil"/>
              <w:left w:val="single" w:sz="4" w:space="0" w:color="auto"/>
              <w:bottom w:val="nil"/>
              <w:right w:val="single" w:sz="4" w:space="0" w:color="auto"/>
            </w:tcBorders>
            <w:hideMark/>
          </w:tcPr>
          <w:p w14:paraId="05A05E6A" w14:textId="77777777" w:rsidR="00291AD1" w:rsidRPr="00956694" w:rsidRDefault="00291AD1" w:rsidP="00124DDA">
            <w:pPr>
              <w:pStyle w:val="tabletextNS"/>
              <w:keepNext/>
              <w:keepLines/>
              <w:ind w:left="-99" w:right="-110"/>
              <w:jc w:val="center"/>
              <w:rPr>
                <w:sz w:val="20"/>
              </w:rPr>
            </w:pPr>
            <w:r w:rsidRPr="00956694">
              <w:rPr>
                <w:sz w:val="20"/>
              </w:rPr>
              <w:t>102 / 200 (51</w:t>
            </w:r>
            <w:r w:rsidRPr="00956694">
              <w:rPr>
                <w:sz w:val="20"/>
                <w:lang w:val="en-US"/>
              </w:rPr>
              <w:t>%</w:t>
            </w:r>
            <w:r w:rsidRPr="00956694">
              <w:rPr>
                <w:sz w:val="20"/>
              </w:rPr>
              <w:t>)</w:t>
            </w:r>
          </w:p>
        </w:tc>
        <w:tc>
          <w:tcPr>
            <w:tcW w:w="1440" w:type="dxa"/>
            <w:tcBorders>
              <w:top w:val="nil"/>
              <w:left w:val="single" w:sz="4" w:space="0" w:color="auto"/>
              <w:bottom w:val="nil"/>
              <w:right w:val="single" w:sz="4" w:space="0" w:color="auto"/>
            </w:tcBorders>
            <w:hideMark/>
          </w:tcPr>
          <w:p w14:paraId="7452CE57" w14:textId="77777777" w:rsidR="00291AD1" w:rsidRPr="00956694" w:rsidRDefault="00291AD1" w:rsidP="00124DDA">
            <w:pPr>
              <w:pStyle w:val="tabletextNS"/>
              <w:keepNext/>
              <w:keepLines/>
              <w:ind w:left="-106" w:right="-110"/>
              <w:jc w:val="center"/>
              <w:rPr>
                <w:sz w:val="20"/>
              </w:rPr>
            </w:pPr>
            <w:r w:rsidRPr="00956694">
              <w:rPr>
                <w:sz w:val="20"/>
              </w:rPr>
              <w:t>118 / 200 (59</w:t>
            </w:r>
            <w:r w:rsidRPr="00956694">
              <w:rPr>
                <w:sz w:val="20"/>
                <w:lang w:val="en-US"/>
              </w:rPr>
              <w:t>%</w:t>
            </w:r>
            <w:r w:rsidRPr="00956694">
              <w:rPr>
                <w:sz w:val="20"/>
              </w:rPr>
              <w:t>)</w:t>
            </w:r>
          </w:p>
        </w:tc>
      </w:tr>
      <w:tr w:rsidR="00291AD1" w:rsidRPr="00956694" w14:paraId="6899B4D8" w14:textId="77777777" w:rsidTr="00291AD1">
        <w:trPr>
          <w:cantSplit/>
        </w:trPr>
        <w:tc>
          <w:tcPr>
            <w:tcW w:w="4320" w:type="dxa"/>
            <w:tcBorders>
              <w:top w:val="nil"/>
              <w:left w:val="single" w:sz="4" w:space="0" w:color="auto"/>
              <w:bottom w:val="single" w:sz="4" w:space="0" w:color="auto"/>
              <w:right w:val="single" w:sz="4" w:space="0" w:color="auto"/>
            </w:tcBorders>
            <w:vAlign w:val="center"/>
            <w:hideMark/>
          </w:tcPr>
          <w:p w14:paraId="75FA8905" w14:textId="77777777" w:rsidR="00291AD1" w:rsidRPr="00956694" w:rsidRDefault="00291AD1" w:rsidP="00124DDA">
            <w:pPr>
              <w:pStyle w:val="tabletextNS"/>
              <w:keepNext/>
              <w:keepLines/>
              <w:ind w:left="144"/>
              <w:rPr>
                <w:sz w:val="20"/>
              </w:rPr>
            </w:pPr>
            <w:r w:rsidRPr="00956694">
              <w:rPr>
                <w:sz w:val="20"/>
              </w:rPr>
              <w:t xml:space="preserve">Female </w:t>
            </w:r>
          </w:p>
        </w:tc>
        <w:tc>
          <w:tcPr>
            <w:tcW w:w="1530" w:type="dxa"/>
            <w:tcBorders>
              <w:top w:val="nil"/>
              <w:left w:val="single" w:sz="4" w:space="0" w:color="auto"/>
              <w:bottom w:val="single" w:sz="4" w:space="0" w:color="auto"/>
              <w:right w:val="single" w:sz="4" w:space="0" w:color="auto"/>
            </w:tcBorders>
            <w:hideMark/>
          </w:tcPr>
          <w:p w14:paraId="27676913" w14:textId="77777777" w:rsidR="00291AD1" w:rsidRPr="00956694" w:rsidRDefault="00291AD1" w:rsidP="00124DDA">
            <w:pPr>
              <w:pStyle w:val="tabletextNS"/>
              <w:keepNext/>
              <w:keepLines/>
              <w:jc w:val="center"/>
              <w:rPr>
                <w:sz w:val="20"/>
              </w:rPr>
            </w:pPr>
            <w:r w:rsidRPr="00956694">
              <w:rPr>
                <w:sz w:val="20"/>
              </w:rPr>
              <w:t>40 / 72 (56</w:t>
            </w:r>
            <w:r w:rsidRPr="00956694">
              <w:rPr>
                <w:sz w:val="20"/>
                <w:lang w:val="en-US"/>
              </w:rPr>
              <w:t>%</w:t>
            </w:r>
            <w:r w:rsidRPr="00956694">
              <w:rPr>
                <w:sz w:val="20"/>
              </w:rPr>
              <w:t>)</w:t>
            </w:r>
          </w:p>
        </w:tc>
        <w:tc>
          <w:tcPr>
            <w:tcW w:w="1350" w:type="dxa"/>
            <w:tcBorders>
              <w:top w:val="nil"/>
              <w:left w:val="single" w:sz="4" w:space="0" w:color="auto"/>
              <w:bottom w:val="single" w:sz="4" w:space="0" w:color="auto"/>
              <w:right w:val="single" w:sz="4" w:space="0" w:color="auto"/>
            </w:tcBorders>
            <w:hideMark/>
          </w:tcPr>
          <w:p w14:paraId="4536B2E0" w14:textId="77777777" w:rsidR="00291AD1" w:rsidRPr="00956694" w:rsidRDefault="00291AD1" w:rsidP="00124DDA">
            <w:pPr>
              <w:pStyle w:val="tabletextNS"/>
              <w:keepNext/>
              <w:keepLines/>
              <w:jc w:val="center"/>
              <w:rPr>
                <w:sz w:val="20"/>
              </w:rPr>
            </w:pPr>
            <w:r w:rsidRPr="00956694">
              <w:rPr>
                <w:sz w:val="20"/>
              </w:rPr>
              <w:t>44 / 72 (61</w:t>
            </w:r>
            <w:r w:rsidRPr="00956694">
              <w:rPr>
                <w:sz w:val="20"/>
                <w:lang w:val="en-US"/>
              </w:rPr>
              <w:t>%</w:t>
            </w:r>
            <w:r w:rsidRPr="00956694">
              <w:rPr>
                <w:sz w:val="20"/>
              </w:rPr>
              <w:t>)</w:t>
            </w:r>
          </w:p>
        </w:tc>
        <w:tc>
          <w:tcPr>
            <w:tcW w:w="1440" w:type="dxa"/>
            <w:tcBorders>
              <w:top w:val="nil"/>
              <w:left w:val="single" w:sz="4" w:space="0" w:color="auto"/>
              <w:bottom w:val="single" w:sz="4" w:space="0" w:color="auto"/>
              <w:right w:val="single" w:sz="4" w:space="0" w:color="auto"/>
            </w:tcBorders>
            <w:hideMark/>
          </w:tcPr>
          <w:p w14:paraId="5E792552" w14:textId="77777777" w:rsidR="00291AD1" w:rsidRPr="00956694" w:rsidRDefault="00291AD1" w:rsidP="00124DDA">
            <w:pPr>
              <w:pStyle w:val="tabletextNS"/>
              <w:keepNext/>
              <w:keepLines/>
              <w:jc w:val="center"/>
              <w:rPr>
                <w:sz w:val="20"/>
              </w:rPr>
            </w:pPr>
            <w:r w:rsidRPr="00956694">
              <w:rPr>
                <w:sz w:val="20"/>
              </w:rPr>
              <w:t>45 / 72 (63</w:t>
            </w:r>
            <w:r w:rsidRPr="00956694">
              <w:rPr>
                <w:sz w:val="20"/>
                <w:lang w:val="en-US"/>
              </w:rPr>
              <w:t>%</w:t>
            </w:r>
            <w:r w:rsidRPr="00956694">
              <w:rPr>
                <w:sz w:val="20"/>
              </w:rPr>
              <w:t>)</w:t>
            </w:r>
          </w:p>
        </w:tc>
      </w:tr>
      <w:tr w:rsidR="00291AD1" w:rsidRPr="00956694" w14:paraId="6D2995DD" w14:textId="77777777" w:rsidTr="00291AD1">
        <w:trPr>
          <w:cantSplit/>
        </w:trPr>
        <w:tc>
          <w:tcPr>
            <w:tcW w:w="4320" w:type="dxa"/>
            <w:tcBorders>
              <w:top w:val="single" w:sz="4" w:space="0" w:color="auto"/>
              <w:left w:val="single" w:sz="4" w:space="0" w:color="auto"/>
              <w:bottom w:val="nil"/>
              <w:right w:val="single" w:sz="4" w:space="0" w:color="auto"/>
            </w:tcBorders>
            <w:vAlign w:val="bottom"/>
            <w:hideMark/>
          </w:tcPr>
          <w:p w14:paraId="6BBBBE8C" w14:textId="77777777" w:rsidR="00291AD1" w:rsidRPr="00956694" w:rsidRDefault="00291AD1" w:rsidP="00124DDA">
            <w:pPr>
              <w:pStyle w:val="tabletextNS"/>
              <w:keepNext/>
              <w:keepLines/>
              <w:rPr>
                <w:sz w:val="20"/>
              </w:rPr>
            </w:pPr>
            <w:r w:rsidRPr="00956694">
              <w:rPr>
                <w:b/>
                <w:sz w:val="20"/>
              </w:rPr>
              <w:t xml:space="preserve">Race </w:t>
            </w:r>
          </w:p>
        </w:tc>
        <w:tc>
          <w:tcPr>
            <w:tcW w:w="1530" w:type="dxa"/>
            <w:tcBorders>
              <w:top w:val="single" w:sz="4" w:space="0" w:color="auto"/>
              <w:left w:val="single" w:sz="4" w:space="0" w:color="auto"/>
              <w:bottom w:val="nil"/>
              <w:right w:val="single" w:sz="4" w:space="0" w:color="auto"/>
            </w:tcBorders>
          </w:tcPr>
          <w:p w14:paraId="1C89F946" w14:textId="77777777" w:rsidR="00291AD1" w:rsidRPr="00956694" w:rsidRDefault="00291AD1" w:rsidP="00124DDA">
            <w:pPr>
              <w:pStyle w:val="tabletextNS"/>
              <w:keepNext/>
              <w:keepLines/>
              <w:jc w:val="center"/>
              <w:rPr>
                <w:sz w:val="20"/>
              </w:rPr>
            </w:pPr>
          </w:p>
        </w:tc>
        <w:tc>
          <w:tcPr>
            <w:tcW w:w="1350" w:type="dxa"/>
            <w:tcBorders>
              <w:top w:val="single" w:sz="4" w:space="0" w:color="auto"/>
              <w:left w:val="single" w:sz="4" w:space="0" w:color="auto"/>
              <w:bottom w:val="nil"/>
              <w:right w:val="single" w:sz="4" w:space="0" w:color="auto"/>
            </w:tcBorders>
          </w:tcPr>
          <w:p w14:paraId="742CA202" w14:textId="77777777" w:rsidR="00291AD1" w:rsidRPr="00956694" w:rsidRDefault="00291AD1" w:rsidP="00124DDA">
            <w:pPr>
              <w:pStyle w:val="tabletextNS"/>
              <w:keepNext/>
              <w:keepLines/>
              <w:jc w:val="center"/>
              <w:rPr>
                <w:sz w:val="20"/>
              </w:rPr>
            </w:pPr>
          </w:p>
        </w:tc>
        <w:tc>
          <w:tcPr>
            <w:tcW w:w="1440" w:type="dxa"/>
            <w:tcBorders>
              <w:top w:val="single" w:sz="4" w:space="0" w:color="auto"/>
              <w:left w:val="single" w:sz="4" w:space="0" w:color="auto"/>
              <w:bottom w:val="nil"/>
              <w:right w:val="single" w:sz="4" w:space="0" w:color="auto"/>
            </w:tcBorders>
          </w:tcPr>
          <w:p w14:paraId="6F500DAD" w14:textId="77777777" w:rsidR="00291AD1" w:rsidRPr="00956694" w:rsidRDefault="00291AD1" w:rsidP="00124DDA">
            <w:pPr>
              <w:pStyle w:val="tabletextNS"/>
              <w:keepNext/>
              <w:keepLines/>
              <w:jc w:val="center"/>
              <w:rPr>
                <w:sz w:val="20"/>
              </w:rPr>
            </w:pPr>
          </w:p>
        </w:tc>
      </w:tr>
      <w:tr w:rsidR="00291AD1" w:rsidRPr="00956694" w14:paraId="0E9D58B7" w14:textId="77777777" w:rsidTr="00291AD1">
        <w:trPr>
          <w:cantSplit/>
        </w:trPr>
        <w:tc>
          <w:tcPr>
            <w:tcW w:w="4320" w:type="dxa"/>
            <w:tcBorders>
              <w:top w:val="nil"/>
              <w:left w:val="single" w:sz="4" w:space="0" w:color="auto"/>
              <w:bottom w:val="nil"/>
              <w:right w:val="single" w:sz="4" w:space="0" w:color="auto"/>
            </w:tcBorders>
            <w:vAlign w:val="center"/>
            <w:hideMark/>
          </w:tcPr>
          <w:p w14:paraId="6F672E67" w14:textId="77777777" w:rsidR="00291AD1" w:rsidRPr="00956694" w:rsidRDefault="00291AD1" w:rsidP="00124DDA">
            <w:pPr>
              <w:pStyle w:val="tabletextNS"/>
              <w:keepNext/>
              <w:keepLines/>
              <w:ind w:left="144"/>
              <w:rPr>
                <w:sz w:val="20"/>
              </w:rPr>
            </w:pPr>
            <w:r w:rsidRPr="00956694">
              <w:rPr>
                <w:sz w:val="20"/>
              </w:rPr>
              <w:t xml:space="preserve">White </w:t>
            </w:r>
          </w:p>
        </w:tc>
        <w:tc>
          <w:tcPr>
            <w:tcW w:w="1530" w:type="dxa"/>
            <w:tcBorders>
              <w:top w:val="nil"/>
              <w:left w:val="single" w:sz="4" w:space="0" w:color="auto"/>
              <w:bottom w:val="nil"/>
              <w:right w:val="single" w:sz="4" w:space="0" w:color="auto"/>
            </w:tcBorders>
            <w:hideMark/>
          </w:tcPr>
          <w:p w14:paraId="646C0DA4" w14:textId="77777777" w:rsidR="00291AD1" w:rsidRPr="00956694" w:rsidRDefault="00291AD1" w:rsidP="00124DDA">
            <w:pPr>
              <w:pStyle w:val="tabletextNS"/>
              <w:keepNext/>
              <w:keepLines/>
              <w:jc w:val="center"/>
              <w:rPr>
                <w:sz w:val="20"/>
              </w:rPr>
            </w:pPr>
            <w:r w:rsidRPr="00956694">
              <w:rPr>
                <w:sz w:val="20"/>
              </w:rPr>
              <w:t>90 / 185 (49</w:t>
            </w:r>
            <w:r w:rsidRPr="00956694">
              <w:rPr>
                <w:sz w:val="20"/>
                <w:lang w:val="en-US"/>
              </w:rPr>
              <w:t>%</w:t>
            </w:r>
            <w:r w:rsidRPr="00956694">
              <w:rPr>
                <w:sz w:val="20"/>
              </w:rPr>
              <w:t>)</w:t>
            </w:r>
          </w:p>
        </w:tc>
        <w:tc>
          <w:tcPr>
            <w:tcW w:w="1350" w:type="dxa"/>
            <w:tcBorders>
              <w:top w:val="nil"/>
              <w:left w:val="single" w:sz="4" w:space="0" w:color="auto"/>
              <w:bottom w:val="nil"/>
              <w:right w:val="single" w:sz="4" w:space="0" w:color="auto"/>
            </w:tcBorders>
            <w:hideMark/>
          </w:tcPr>
          <w:p w14:paraId="20543FE5" w14:textId="77777777" w:rsidR="00291AD1" w:rsidRPr="00956694" w:rsidRDefault="00291AD1" w:rsidP="00124DDA">
            <w:pPr>
              <w:pStyle w:val="tabletextNS"/>
              <w:keepNext/>
              <w:keepLines/>
              <w:ind w:left="-99" w:right="-110"/>
              <w:jc w:val="center"/>
              <w:rPr>
                <w:sz w:val="20"/>
              </w:rPr>
            </w:pPr>
            <w:r w:rsidRPr="00956694">
              <w:rPr>
                <w:sz w:val="20"/>
              </w:rPr>
              <w:t>92 / 185 (50</w:t>
            </w:r>
            <w:r w:rsidRPr="00956694">
              <w:rPr>
                <w:sz w:val="20"/>
                <w:lang w:val="en-US"/>
              </w:rPr>
              <w:t>%</w:t>
            </w:r>
            <w:r w:rsidRPr="00956694">
              <w:rPr>
                <w:sz w:val="20"/>
              </w:rPr>
              <w:t>)</w:t>
            </w:r>
          </w:p>
        </w:tc>
        <w:tc>
          <w:tcPr>
            <w:tcW w:w="1440" w:type="dxa"/>
            <w:tcBorders>
              <w:top w:val="nil"/>
              <w:left w:val="single" w:sz="4" w:space="0" w:color="auto"/>
              <w:bottom w:val="nil"/>
              <w:right w:val="single" w:sz="4" w:space="0" w:color="auto"/>
            </w:tcBorders>
            <w:hideMark/>
          </w:tcPr>
          <w:p w14:paraId="5B23FC92" w14:textId="77777777" w:rsidR="00291AD1" w:rsidRPr="00956694" w:rsidRDefault="00291AD1" w:rsidP="00124DDA">
            <w:pPr>
              <w:pStyle w:val="tabletextNS"/>
              <w:keepNext/>
              <w:keepLines/>
              <w:ind w:left="-106" w:right="-110"/>
              <w:jc w:val="center"/>
              <w:rPr>
                <w:sz w:val="20"/>
              </w:rPr>
            </w:pPr>
            <w:r w:rsidRPr="00956694">
              <w:rPr>
                <w:sz w:val="20"/>
              </w:rPr>
              <w:t>103 / 185 (56</w:t>
            </w:r>
            <w:r w:rsidRPr="00956694">
              <w:rPr>
                <w:sz w:val="20"/>
                <w:lang w:val="en-US"/>
              </w:rPr>
              <w:t>%</w:t>
            </w:r>
            <w:r w:rsidRPr="00956694">
              <w:rPr>
                <w:sz w:val="20"/>
              </w:rPr>
              <w:t>)</w:t>
            </w:r>
          </w:p>
        </w:tc>
      </w:tr>
      <w:tr w:rsidR="00291AD1" w:rsidRPr="00956694" w14:paraId="0204030B" w14:textId="77777777" w:rsidTr="00291AD1">
        <w:trPr>
          <w:cantSplit/>
        </w:trPr>
        <w:tc>
          <w:tcPr>
            <w:tcW w:w="4320" w:type="dxa"/>
            <w:tcBorders>
              <w:top w:val="nil"/>
              <w:left w:val="single" w:sz="4" w:space="0" w:color="auto"/>
              <w:bottom w:val="single" w:sz="4" w:space="0" w:color="auto"/>
              <w:right w:val="single" w:sz="4" w:space="0" w:color="auto"/>
            </w:tcBorders>
            <w:vAlign w:val="center"/>
            <w:hideMark/>
          </w:tcPr>
          <w:p w14:paraId="456118A1" w14:textId="77777777" w:rsidR="00291AD1" w:rsidRPr="00956694" w:rsidRDefault="00291AD1" w:rsidP="00124DDA">
            <w:pPr>
              <w:pStyle w:val="tabletextNS"/>
              <w:keepNext/>
              <w:keepLines/>
              <w:ind w:left="144"/>
              <w:rPr>
                <w:sz w:val="20"/>
              </w:rPr>
            </w:pPr>
            <w:r w:rsidRPr="00956694">
              <w:rPr>
                <w:sz w:val="20"/>
                <w:lang w:val="en-US"/>
              </w:rPr>
              <w:t xml:space="preserve">Black or </w:t>
            </w:r>
            <w:proofErr w:type="gramStart"/>
            <w:r w:rsidRPr="00956694">
              <w:rPr>
                <w:sz w:val="20"/>
                <w:lang w:val="en-US"/>
              </w:rPr>
              <w:t>African-American</w:t>
            </w:r>
            <w:proofErr w:type="gramEnd"/>
            <w:r w:rsidRPr="00956694">
              <w:rPr>
                <w:sz w:val="20"/>
                <w:lang w:val="en-US"/>
              </w:rPr>
              <w:t>/Others</w:t>
            </w:r>
          </w:p>
        </w:tc>
        <w:tc>
          <w:tcPr>
            <w:tcW w:w="1530" w:type="dxa"/>
            <w:tcBorders>
              <w:top w:val="nil"/>
              <w:left w:val="single" w:sz="4" w:space="0" w:color="auto"/>
              <w:bottom w:val="single" w:sz="4" w:space="0" w:color="auto"/>
              <w:right w:val="single" w:sz="4" w:space="0" w:color="auto"/>
            </w:tcBorders>
            <w:hideMark/>
          </w:tcPr>
          <w:p w14:paraId="38FAC283" w14:textId="77777777" w:rsidR="00291AD1" w:rsidRPr="00956694" w:rsidRDefault="00291AD1" w:rsidP="00124DDA">
            <w:pPr>
              <w:pStyle w:val="tabletextNS"/>
              <w:keepNext/>
              <w:keepLines/>
              <w:jc w:val="center"/>
              <w:rPr>
                <w:sz w:val="20"/>
              </w:rPr>
            </w:pPr>
            <w:r w:rsidRPr="00956694">
              <w:rPr>
                <w:sz w:val="20"/>
              </w:rPr>
              <w:t>54 / 87 (62</w:t>
            </w:r>
            <w:r w:rsidRPr="00956694">
              <w:rPr>
                <w:sz w:val="20"/>
                <w:lang w:val="en-US"/>
              </w:rPr>
              <w:t>%</w:t>
            </w:r>
            <w:r w:rsidRPr="00956694">
              <w:rPr>
                <w:sz w:val="20"/>
              </w:rPr>
              <w:t>)</w:t>
            </w:r>
          </w:p>
        </w:tc>
        <w:tc>
          <w:tcPr>
            <w:tcW w:w="1350" w:type="dxa"/>
            <w:tcBorders>
              <w:top w:val="nil"/>
              <w:left w:val="single" w:sz="4" w:space="0" w:color="auto"/>
              <w:bottom w:val="single" w:sz="4" w:space="0" w:color="auto"/>
              <w:right w:val="single" w:sz="4" w:space="0" w:color="auto"/>
            </w:tcBorders>
            <w:hideMark/>
          </w:tcPr>
          <w:p w14:paraId="0704F642" w14:textId="77777777" w:rsidR="00291AD1" w:rsidRPr="00956694" w:rsidRDefault="00291AD1" w:rsidP="00124DDA">
            <w:pPr>
              <w:pStyle w:val="tabletextNS"/>
              <w:keepNext/>
              <w:keepLines/>
              <w:ind w:left="-99" w:right="-110"/>
              <w:jc w:val="center"/>
              <w:rPr>
                <w:sz w:val="20"/>
              </w:rPr>
            </w:pPr>
            <w:r w:rsidRPr="00956694">
              <w:rPr>
                <w:sz w:val="20"/>
              </w:rPr>
              <w:t>54 / 87 (62</w:t>
            </w:r>
            <w:r w:rsidRPr="00956694">
              <w:rPr>
                <w:sz w:val="20"/>
                <w:lang w:val="en-US"/>
              </w:rPr>
              <w:t>%</w:t>
            </w:r>
            <w:r w:rsidRPr="00956694">
              <w:rPr>
                <w:sz w:val="20"/>
              </w:rPr>
              <w:t>)</w:t>
            </w:r>
          </w:p>
        </w:tc>
        <w:tc>
          <w:tcPr>
            <w:tcW w:w="1440" w:type="dxa"/>
            <w:tcBorders>
              <w:top w:val="nil"/>
              <w:left w:val="single" w:sz="4" w:space="0" w:color="auto"/>
              <w:bottom w:val="single" w:sz="4" w:space="0" w:color="auto"/>
              <w:right w:val="single" w:sz="4" w:space="0" w:color="auto"/>
            </w:tcBorders>
            <w:hideMark/>
          </w:tcPr>
          <w:p w14:paraId="6467ED35" w14:textId="77777777" w:rsidR="00291AD1" w:rsidRPr="00956694" w:rsidRDefault="00291AD1" w:rsidP="00124DDA">
            <w:pPr>
              <w:pStyle w:val="tabletextNS"/>
              <w:keepNext/>
              <w:keepLines/>
              <w:jc w:val="center"/>
              <w:rPr>
                <w:sz w:val="20"/>
              </w:rPr>
            </w:pPr>
            <w:r w:rsidRPr="00956694">
              <w:rPr>
                <w:sz w:val="20"/>
              </w:rPr>
              <w:t>60 / 87 (69%)</w:t>
            </w:r>
          </w:p>
        </w:tc>
      </w:tr>
      <w:tr w:rsidR="00291AD1" w:rsidRPr="00956694" w14:paraId="307915E9" w14:textId="77777777" w:rsidTr="00291AD1">
        <w:trPr>
          <w:cantSplit/>
        </w:trPr>
        <w:tc>
          <w:tcPr>
            <w:tcW w:w="4320" w:type="dxa"/>
            <w:tcBorders>
              <w:top w:val="single" w:sz="4" w:space="0" w:color="auto"/>
              <w:left w:val="single" w:sz="4" w:space="0" w:color="auto"/>
              <w:bottom w:val="nil"/>
              <w:right w:val="single" w:sz="4" w:space="0" w:color="auto"/>
            </w:tcBorders>
            <w:vAlign w:val="bottom"/>
            <w:hideMark/>
          </w:tcPr>
          <w:p w14:paraId="6EF568FA" w14:textId="77777777" w:rsidR="00291AD1" w:rsidRPr="00956694" w:rsidRDefault="00291AD1" w:rsidP="00124DDA">
            <w:pPr>
              <w:pStyle w:val="tabletextNS"/>
              <w:keepNext/>
              <w:keepLines/>
              <w:rPr>
                <w:sz w:val="20"/>
              </w:rPr>
            </w:pPr>
            <w:r w:rsidRPr="00956694">
              <w:rPr>
                <w:b/>
                <w:sz w:val="20"/>
              </w:rPr>
              <w:t>Age (years)</w:t>
            </w:r>
          </w:p>
        </w:tc>
        <w:tc>
          <w:tcPr>
            <w:tcW w:w="1530" w:type="dxa"/>
            <w:tcBorders>
              <w:top w:val="single" w:sz="4" w:space="0" w:color="auto"/>
              <w:left w:val="single" w:sz="4" w:space="0" w:color="auto"/>
              <w:bottom w:val="nil"/>
              <w:right w:val="single" w:sz="4" w:space="0" w:color="auto"/>
            </w:tcBorders>
          </w:tcPr>
          <w:p w14:paraId="57C93090" w14:textId="77777777" w:rsidR="00291AD1" w:rsidRPr="00956694" w:rsidRDefault="00291AD1" w:rsidP="00124DDA">
            <w:pPr>
              <w:pStyle w:val="tabletextNS"/>
              <w:keepNext/>
              <w:keepLines/>
              <w:jc w:val="center"/>
              <w:rPr>
                <w:sz w:val="20"/>
              </w:rPr>
            </w:pPr>
          </w:p>
        </w:tc>
        <w:tc>
          <w:tcPr>
            <w:tcW w:w="1350" w:type="dxa"/>
            <w:tcBorders>
              <w:top w:val="single" w:sz="4" w:space="0" w:color="auto"/>
              <w:left w:val="single" w:sz="4" w:space="0" w:color="auto"/>
              <w:bottom w:val="nil"/>
              <w:right w:val="single" w:sz="4" w:space="0" w:color="auto"/>
            </w:tcBorders>
          </w:tcPr>
          <w:p w14:paraId="5C58EAE3" w14:textId="77777777" w:rsidR="00291AD1" w:rsidRPr="00956694" w:rsidRDefault="00291AD1" w:rsidP="00124DDA">
            <w:pPr>
              <w:pStyle w:val="tabletextNS"/>
              <w:keepNext/>
              <w:keepLines/>
              <w:ind w:left="-99" w:right="-110"/>
              <w:jc w:val="center"/>
              <w:rPr>
                <w:sz w:val="20"/>
              </w:rPr>
            </w:pPr>
          </w:p>
        </w:tc>
        <w:tc>
          <w:tcPr>
            <w:tcW w:w="1440" w:type="dxa"/>
            <w:tcBorders>
              <w:top w:val="single" w:sz="4" w:space="0" w:color="auto"/>
              <w:left w:val="single" w:sz="4" w:space="0" w:color="auto"/>
              <w:bottom w:val="nil"/>
              <w:right w:val="single" w:sz="4" w:space="0" w:color="auto"/>
            </w:tcBorders>
          </w:tcPr>
          <w:p w14:paraId="5A37F9DA" w14:textId="77777777" w:rsidR="00291AD1" w:rsidRPr="00956694" w:rsidRDefault="00291AD1" w:rsidP="00124DDA">
            <w:pPr>
              <w:pStyle w:val="tabletextNS"/>
              <w:keepNext/>
              <w:keepLines/>
              <w:jc w:val="center"/>
              <w:rPr>
                <w:sz w:val="20"/>
              </w:rPr>
            </w:pPr>
          </w:p>
        </w:tc>
      </w:tr>
      <w:tr w:rsidR="00291AD1" w:rsidRPr="00956694" w14:paraId="04B14489" w14:textId="77777777" w:rsidTr="00291AD1">
        <w:trPr>
          <w:cantSplit/>
        </w:trPr>
        <w:tc>
          <w:tcPr>
            <w:tcW w:w="4320" w:type="dxa"/>
            <w:tcBorders>
              <w:top w:val="nil"/>
              <w:left w:val="single" w:sz="4" w:space="0" w:color="auto"/>
              <w:bottom w:val="nil"/>
              <w:right w:val="single" w:sz="4" w:space="0" w:color="auto"/>
            </w:tcBorders>
            <w:vAlign w:val="center"/>
            <w:hideMark/>
          </w:tcPr>
          <w:p w14:paraId="304A4CD5" w14:textId="77777777" w:rsidR="00291AD1" w:rsidRPr="00956694" w:rsidRDefault="00291AD1" w:rsidP="00124DDA">
            <w:pPr>
              <w:pStyle w:val="tabletextNS"/>
              <w:keepNext/>
              <w:keepLines/>
              <w:ind w:left="144"/>
              <w:rPr>
                <w:sz w:val="20"/>
              </w:rPr>
            </w:pPr>
            <w:r w:rsidRPr="00956694">
              <w:rPr>
                <w:sz w:val="20"/>
              </w:rPr>
              <w:t xml:space="preserve">&lt;50 </w:t>
            </w:r>
          </w:p>
        </w:tc>
        <w:tc>
          <w:tcPr>
            <w:tcW w:w="1530" w:type="dxa"/>
            <w:tcBorders>
              <w:top w:val="nil"/>
              <w:left w:val="single" w:sz="4" w:space="0" w:color="auto"/>
              <w:bottom w:val="nil"/>
              <w:right w:val="single" w:sz="4" w:space="0" w:color="auto"/>
            </w:tcBorders>
            <w:hideMark/>
          </w:tcPr>
          <w:p w14:paraId="2D726245" w14:textId="77777777" w:rsidR="00291AD1" w:rsidRPr="00956694" w:rsidRDefault="00291AD1" w:rsidP="00124DDA">
            <w:pPr>
              <w:pStyle w:val="tabletextNS"/>
              <w:keepNext/>
              <w:keepLines/>
              <w:jc w:val="center"/>
              <w:rPr>
                <w:sz w:val="20"/>
              </w:rPr>
            </w:pPr>
            <w:r w:rsidRPr="00956694">
              <w:rPr>
                <w:sz w:val="20"/>
              </w:rPr>
              <w:t>81 / 162 (50%)</w:t>
            </w:r>
          </w:p>
        </w:tc>
        <w:tc>
          <w:tcPr>
            <w:tcW w:w="1350" w:type="dxa"/>
            <w:tcBorders>
              <w:top w:val="nil"/>
              <w:left w:val="single" w:sz="4" w:space="0" w:color="auto"/>
              <w:bottom w:val="nil"/>
              <w:right w:val="single" w:sz="4" w:space="0" w:color="auto"/>
            </w:tcBorders>
            <w:hideMark/>
          </w:tcPr>
          <w:p w14:paraId="1830B135" w14:textId="77777777" w:rsidR="00291AD1" w:rsidRPr="00956694" w:rsidRDefault="00291AD1" w:rsidP="00124DDA">
            <w:pPr>
              <w:pStyle w:val="tabletextNS"/>
              <w:keepNext/>
              <w:keepLines/>
              <w:ind w:left="-99" w:right="-110"/>
              <w:jc w:val="center"/>
              <w:rPr>
                <w:sz w:val="20"/>
              </w:rPr>
            </w:pPr>
            <w:r w:rsidRPr="00956694">
              <w:rPr>
                <w:sz w:val="20"/>
              </w:rPr>
              <w:t>81 / 162 (50%)</w:t>
            </w:r>
          </w:p>
        </w:tc>
        <w:tc>
          <w:tcPr>
            <w:tcW w:w="1440" w:type="dxa"/>
            <w:tcBorders>
              <w:top w:val="nil"/>
              <w:left w:val="single" w:sz="4" w:space="0" w:color="auto"/>
              <w:bottom w:val="nil"/>
              <w:right w:val="single" w:sz="4" w:space="0" w:color="auto"/>
            </w:tcBorders>
            <w:hideMark/>
          </w:tcPr>
          <w:p w14:paraId="1F0B0450" w14:textId="77777777" w:rsidR="00291AD1" w:rsidRPr="00956694" w:rsidRDefault="00291AD1" w:rsidP="00124DDA">
            <w:pPr>
              <w:pStyle w:val="tabletextNS"/>
              <w:keepNext/>
              <w:keepLines/>
              <w:jc w:val="center"/>
              <w:rPr>
                <w:sz w:val="20"/>
              </w:rPr>
            </w:pPr>
            <w:r w:rsidRPr="00956694">
              <w:rPr>
                <w:sz w:val="20"/>
              </w:rPr>
              <w:t>96 / 162 (59%)</w:t>
            </w:r>
          </w:p>
        </w:tc>
      </w:tr>
      <w:tr w:rsidR="00291AD1" w:rsidRPr="00956694" w14:paraId="6E8DB9CF" w14:textId="77777777" w:rsidTr="00291AD1">
        <w:trPr>
          <w:cantSplit/>
        </w:trPr>
        <w:tc>
          <w:tcPr>
            <w:tcW w:w="4320" w:type="dxa"/>
            <w:tcBorders>
              <w:top w:val="nil"/>
              <w:left w:val="single" w:sz="4" w:space="0" w:color="auto"/>
              <w:bottom w:val="single" w:sz="4" w:space="0" w:color="auto"/>
              <w:right w:val="single" w:sz="4" w:space="0" w:color="auto"/>
            </w:tcBorders>
            <w:vAlign w:val="center"/>
            <w:hideMark/>
          </w:tcPr>
          <w:p w14:paraId="1F9EFC96" w14:textId="77777777" w:rsidR="00291AD1" w:rsidRPr="00956694" w:rsidRDefault="00291AD1" w:rsidP="00124DDA">
            <w:pPr>
              <w:pStyle w:val="tabletextNS"/>
              <w:keepNext/>
              <w:keepLines/>
              <w:ind w:left="144"/>
              <w:rPr>
                <w:sz w:val="20"/>
              </w:rPr>
            </w:pPr>
            <w:r w:rsidRPr="00956694">
              <w:rPr>
                <w:sz w:val="20"/>
              </w:rPr>
              <w:sym w:font="Symbol" w:char="F0B3"/>
            </w:r>
            <w:r w:rsidRPr="00956694">
              <w:rPr>
                <w:sz w:val="20"/>
              </w:rPr>
              <w:t xml:space="preserve">50 </w:t>
            </w:r>
          </w:p>
        </w:tc>
        <w:tc>
          <w:tcPr>
            <w:tcW w:w="1530" w:type="dxa"/>
            <w:tcBorders>
              <w:top w:val="nil"/>
              <w:left w:val="single" w:sz="4" w:space="0" w:color="auto"/>
              <w:bottom w:val="single" w:sz="4" w:space="0" w:color="auto"/>
              <w:right w:val="single" w:sz="4" w:space="0" w:color="auto"/>
            </w:tcBorders>
            <w:hideMark/>
          </w:tcPr>
          <w:p w14:paraId="314CBE8A" w14:textId="77777777" w:rsidR="00291AD1" w:rsidRPr="00956694" w:rsidRDefault="00291AD1" w:rsidP="00124DDA">
            <w:pPr>
              <w:pStyle w:val="tabletextNS"/>
              <w:keepNext/>
              <w:keepLines/>
              <w:jc w:val="center"/>
              <w:rPr>
                <w:sz w:val="20"/>
              </w:rPr>
            </w:pPr>
            <w:r w:rsidRPr="00956694">
              <w:rPr>
                <w:sz w:val="20"/>
              </w:rPr>
              <w:t>63 / 110 (57%)</w:t>
            </w:r>
          </w:p>
        </w:tc>
        <w:tc>
          <w:tcPr>
            <w:tcW w:w="1350" w:type="dxa"/>
            <w:tcBorders>
              <w:top w:val="nil"/>
              <w:left w:val="single" w:sz="4" w:space="0" w:color="auto"/>
              <w:bottom w:val="single" w:sz="4" w:space="0" w:color="auto"/>
              <w:right w:val="single" w:sz="4" w:space="0" w:color="auto"/>
            </w:tcBorders>
            <w:hideMark/>
          </w:tcPr>
          <w:p w14:paraId="683688E0" w14:textId="77777777" w:rsidR="00291AD1" w:rsidRPr="00956694" w:rsidRDefault="00291AD1" w:rsidP="00124DDA">
            <w:pPr>
              <w:pStyle w:val="tabletextNS"/>
              <w:keepNext/>
              <w:keepLines/>
              <w:ind w:left="-99" w:right="-110"/>
              <w:jc w:val="center"/>
              <w:rPr>
                <w:sz w:val="20"/>
              </w:rPr>
            </w:pPr>
            <w:r w:rsidRPr="00956694">
              <w:rPr>
                <w:sz w:val="20"/>
              </w:rPr>
              <w:t>65 / 110 (59%)</w:t>
            </w:r>
          </w:p>
        </w:tc>
        <w:tc>
          <w:tcPr>
            <w:tcW w:w="1440" w:type="dxa"/>
            <w:tcBorders>
              <w:top w:val="nil"/>
              <w:left w:val="single" w:sz="4" w:space="0" w:color="auto"/>
              <w:bottom w:val="single" w:sz="4" w:space="0" w:color="auto"/>
              <w:right w:val="single" w:sz="4" w:space="0" w:color="auto"/>
            </w:tcBorders>
            <w:hideMark/>
          </w:tcPr>
          <w:p w14:paraId="0F2DE3ED" w14:textId="77777777" w:rsidR="00291AD1" w:rsidRPr="00956694" w:rsidRDefault="00291AD1" w:rsidP="00124DDA">
            <w:pPr>
              <w:pStyle w:val="tabletextNS"/>
              <w:keepNext/>
              <w:keepLines/>
              <w:jc w:val="center"/>
              <w:rPr>
                <w:sz w:val="20"/>
              </w:rPr>
            </w:pPr>
            <w:r w:rsidRPr="00956694">
              <w:rPr>
                <w:sz w:val="20"/>
              </w:rPr>
              <w:t>67 / 110 (61%)</w:t>
            </w:r>
          </w:p>
        </w:tc>
      </w:tr>
    </w:tbl>
    <w:p w14:paraId="30F6C352" w14:textId="77777777" w:rsidR="00956694" w:rsidRPr="00956694" w:rsidRDefault="00956694" w:rsidP="00124DDA">
      <w:pPr>
        <w:pStyle w:val="LBLTableFootnotes"/>
        <w:keepNext/>
        <w:keepLines/>
        <w:spacing w:line="240" w:lineRule="auto"/>
        <w:ind w:left="0" w:firstLine="0"/>
        <w:rPr>
          <w:rFonts w:ascii="Arial Narrow" w:hAnsi="Arial Narrow"/>
          <w:sz w:val="20"/>
          <w:szCs w:val="20"/>
          <w:lang w:val="en-GB"/>
        </w:rPr>
      </w:pPr>
      <w:bookmarkStart w:id="40" w:name="_Hlk83644945"/>
      <w:r w:rsidRPr="00956694">
        <w:rPr>
          <w:rFonts w:ascii="Arial Narrow" w:hAnsi="Arial Narrow"/>
          <w:sz w:val="20"/>
          <w:szCs w:val="20"/>
          <w:lang w:val="en-GB"/>
        </w:rPr>
        <w:t>N = Number of subjects in the Randomised Cohort.</w:t>
      </w:r>
    </w:p>
    <w:p w14:paraId="05AFDF35" w14:textId="77777777" w:rsidR="00956694" w:rsidRPr="00956694" w:rsidRDefault="00956694" w:rsidP="00124DDA">
      <w:pPr>
        <w:pStyle w:val="LBLTableFootnotes"/>
        <w:keepNext/>
        <w:keepLines/>
        <w:spacing w:line="240" w:lineRule="auto"/>
        <w:ind w:left="0" w:firstLine="0"/>
        <w:jc w:val="both"/>
        <w:rPr>
          <w:rFonts w:ascii="Arial Narrow" w:eastAsia="MS Mincho" w:hAnsi="Arial Narrow" w:cs="Arial"/>
          <w:sz w:val="20"/>
          <w:szCs w:val="20"/>
        </w:rPr>
      </w:pPr>
      <w:r w:rsidRPr="00956694">
        <w:rPr>
          <w:rFonts w:ascii="Arial Narrow" w:eastAsia="MS Mincho" w:hAnsi="Arial Narrow" w:cs="Arial"/>
          <w:sz w:val="20"/>
          <w:szCs w:val="20"/>
        </w:rPr>
        <w:t xml:space="preserve">OBT = Optimised Background Therapy. </w:t>
      </w:r>
    </w:p>
    <w:p w14:paraId="4712B37E" w14:textId="77777777" w:rsidR="00956694" w:rsidRPr="00956694" w:rsidRDefault="00956694" w:rsidP="00124DDA">
      <w:pPr>
        <w:pStyle w:val="LBLTableFootnotes"/>
        <w:keepNext/>
        <w:keepLines/>
        <w:spacing w:after="240" w:line="240" w:lineRule="auto"/>
        <w:ind w:left="0" w:firstLine="0"/>
        <w:jc w:val="both"/>
        <w:rPr>
          <w:rFonts w:ascii="Arial Narrow" w:eastAsia="MS Mincho" w:hAnsi="Arial Narrow" w:cs="Arial"/>
          <w:sz w:val="20"/>
          <w:szCs w:val="20"/>
        </w:rPr>
      </w:pPr>
      <w:r w:rsidRPr="00956694">
        <w:rPr>
          <w:rFonts w:ascii="Arial Narrow" w:hAnsi="Arial Narrow" w:cs="Arial Narrow"/>
          <w:sz w:val="20"/>
          <w:szCs w:val="20"/>
        </w:rPr>
        <w:t xml:space="preserve">* </w:t>
      </w:r>
      <w:bookmarkStart w:id="41" w:name="_Hlk4617475"/>
      <w:r w:rsidRPr="00956694">
        <w:rPr>
          <w:rFonts w:ascii="Arial Narrow" w:hAnsi="Arial Narrow"/>
          <w:sz w:val="20"/>
          <w:szCs w:val="20"/>
        </w:rPr>
        <w:t>Includes subjects who never initiated OBT, were incorrectly assigned to the Randomised Cohort or had one or more active ARV agents available at screening but did not use these as part of the initial OBT</w:t>
      </w:r>
      <w:bookmarkEnd w:id="41"/>
      <w:r w:rsidRPr="00956694">
        <w:rPr>
          <w:rStyle w:val="commenttext0"/>
          <w:rFonts w:ascii="Arial Narrow" w:hAnsi="Arial Narrow"/>
          <w:sz w:val="20"/>
          <w:szCs w:val="20"/>
        </w:rPr>
        <w:t>.</w:t>
      </w:r>
    </w:p>
    <w:p w14:paraId="3709A23F" w14:textId="0D0413E8" w:rsidR="00291AD1" w:rsidRDefault="00956694" w:rsidP="00956694">
      <w:pPr>
        <w:pStyle w:val="LBLTableFootnotes"/>
        <w:widowControl w:val="0"/>
        <w:spacing w:after="240" w:line="240" w:lineRule="auto"/>
        <w:ind w:left="0" w:firstLine="0"/>
        <w:rPr>
          <w:rFonts w:ascii="Arial" w:hAnsi="Arial" w:cs="Arial"/>
          <w:sz w:val="22"/>
        </w:rPr>
      </w:pPr>
      <w:bookmarkStart w:id="42" w:name="_Hlk83645049"/>
      <w:bookmarkEnd w:id="40"/>
      <w:r w:rsidRPr="00956694">
        <w:rPr>
          <w:rFonts w:ascii="Arial" w:eastAsia="MS Mincho" w:hAnsi="Arial" w:cs="Arial"/>
          <w:sz w:val="22"/>
        </w:rPr>
        <w:t>In the Randomised Cohort, viral load &lt;200 HIV-1 RNA copies/mL was achieved in 68%, 69% and 64% of subjects at Weeks 24, 48 and 96, respectively. At these timepoints, the proportion of subjects with viral load &lt;400 HIV-1 RNA copies/mL was 75%, 70% and 64%</w:t>
      </w:r>
      <w:r w:rsidRPr="00956694">
        <w:rPr>
          <w:rFonts w:ascii="Arial" w:hAnsi="Arial" w:cs="Arial"/>
          <w:sz w:val="22"/>
        </w:rPr>
        <w:t>, respectively (ITT-E, Snapshot algorithm)</w:t>
      </w:r>
      <w:r w:rsidRPr="00956694">
        <w:rPr>
          <w:rFonts w:ascii="Arial" w:eastAsia="MS Mincho" w:hAnsi="Arial" w:cs="Arial"/>
          <w:sz w:val="22"/>
        </w:rPr>
        <w:t>. Mean changes in CD4+ T-cell count from baseline continued to increase over time (i.e. 90 cells/mm</w:t>
      </w:r>
      <w:r w:rsidRPr="00956694">
        <w:rPr>
          <w:rFonts w:ascii="Arial" w:eastAsia="MS Mincho" w:hAnsi="Arial" w:cs="Arial"/>
          <w:sz w:val="22"/>
          <w:vertAlign w:val="superscript"/>
        </w:rPr>
        <w:t>3</w:t>
      </w:r>
      <w:r w:rsidRPr="00956694">
        <w:rPr>
          <w:rFonts w:ascii="Arial" w:eastAsia="MS Mincho" w:hAnsi="Arial" w:cs="Arial"/>
          <w:sz w:val="22"/>
        </w:rPr>
        <w:t xml:space="preserve"> at Week 24, 139 cells/mm</w:t>
      </w:r>
      <w:r w:rsidRPr="00956694">
        <w:rPr>
          <w:rFonts w:ascii="Arial" w:eastAsia="MS Mincho" w:hAnsi="Arial" w:cs="Arial"/>
          <w:sz w:val="22"/>
          <w:vertAlign w:val="superscript"/>
        </w:rPr>
        <w:t>3</w:t>
      </w:r>
      <w:r w:rsidRPr="00956694">
        <w:rPr>
          <w:rFonts w:ascii="Arial" w:eastAsia="MS Mincho" w:hAnsi="Arial" w:cs="Arial"/>
          <w:sz w:val="22"/>
        </w:rPr>
        <w:t xml:space="preserve"> at Week 48 and 205 cells/mm</w:t>
      </w:r>
      <w:r w:rsidRPr="00956694">
        <w:rPr>
          <w:rFonts w:ascii="Arial" w:eastAsia="MS Mincho" w:hAnsi="Arial" w:cs="Arial"/>
          <w:sz w:val="22"/>
          <w:vertAlign w:val="superscript"/>
        </w:rPr>
        <w:t>3</w:t>
      </w:r>
      <w:r w:rsidRPr="00956694">
        <w:rPr>
          <w:rFonts w:ascii="Arial" w:eastAsia="MS Mincho" w:hAnsi="Arial" w:cs="Arial"/>
          <w:sz w:val="22"/>
        </w:rPr>
        <w:t xml:space="preserve"> at Week 96). </w:t>
      </w:r>
      <w:r w:rsidRPr="00956694">
        <w:rPr>
          <w:rFonts w:ascii="Arial" w:hAnsi="Arial" w:cs="Arial"/>
          <w:sz w:val="22"/>
        </w:rPr>
        <w:t xml:space="preserve">Based on a sub-analysis </w:t>
      </w:r>
      <w:r w:rsidRPr="00956694">
        <w:rPr>
          <w:rFonts w:ascii="Arial" w:hAnsi="Arial" w:cs="Arial"/>
          <w:bCs/>
          <w:sz w:val="22"/>
        </w:rPr>
        <w:t xml:space="preserve">in the Randomised Cohort, </w:t>
      </w:r>
      <w:r w:rsidRPr="00956694">
        <w:rPr>
          <w:rFonts w:ascii="Arial" w:hAnsi="Arial" w:cs="Arial"/>
          <w:sz w:val="22"/>
        </w:rPr>
        <w:t xml:space="preserve">subjects with the lowest baseline CD4+ T-cell counts (&lt;20 </w:t>
      </w:r>
      <w:r w:rsidRPr="00956694">
        <w:rPr>
          <w:rFonts w:ascii="Arial" w:eastAsia="MS Mincho" w:hAnsi="Arial" w:cs="Arial"/>
          <w:sz w:val="22"/>
        </w:rPr>
        <w:t>cells/mm</w:t>
      </w:r>
      <w:r w:rsidRPr="00956694">
        <w:rPr>
          <w:rFonts w:ascii="Arial" w:eastAsia="MS Mincho" w:hAnsi="Arial" w:cs="Arial"/>
          <w:sz w:val="22"/>
          <w:vertAlign w:val="superscript"/>
        </w:rPr>
        <w:t>3</w:t>
      </w:r>
      <w:r w:rsidRPr="00956694">
        <w:rPr>
          <w:rFonts w:ascii="Arial" w:hAnsi="Arial" w:cs="Arial"/>
          <w:sz w:val="22"/>
        </w:rPr>
        <w:t xml:space="preserve">) had a similar increase in CD4+ count over time compared with subjects with higher baseline CD4+ T-cell count </w:t>
      </w:r>
      <w:r w:rsidRPr="00956694">
        <w:rPr>
          <w:rFonts w:ascii="Arial" w:hAnsi="Arial" w:cs="Arial"/>
          <w:sz w:val="22"/>
        </w:rPr>
        <w:lastRenderedPageBreak/>
        <w:t xml:space="preserve">(&gt;50, &gt;100, &gt;200 </w:t>
      </w:r>
      <w:r w:rsidRPr="00956694">
        <w:rPr>
          <w:rFonts w:ascii="Arial" w:eastAsia="MS Mincho" w:hAnsi="Arial" w:cs="Arial"/>
          <w:sz w:val="22"/>
        </w:rPr>
        <w:t>cells/mm</w:t>
      </w:r>
      <w:r w:rsidRPr="00956694">
        <w:rPr>
          <w:rFonts w:ascii="Arial" w:eastAsia="MS Mincho" w:hAnsi="Arial" w:cs="Arial"/>
          <w:sz w:val="22"/>
          <w:vertAlign w:val="superscript"/>
        </w:rPr>
        <w:t>3</w:t>
      </w:r>
      <w:r w:rsidRPr="00956694">
        <w:rPr>
          <w:rFonts w:ascii="Arial" w:hAnsi="Arial" w:cs="Arial"/>
          <w:sz w:val="22"/>
        </w:rPr>
        <w:t>).</w:t>
      </w:r>
      <w:bookmarkStart w:id="43" w:name="_Hlk452398"/>
      <w:bookmarkEnd w:id="43"/>
    </w:p>
    <w:p w14:paraId="0E8C1DDC" w14:textId="6C4478C8" w:rsidR="00BB23FE" w:rsidRPr="00BB23FE" w:rsidRDefault="00BB23FE" w:rsidP="00956694">
      <w:pPr>
        <w:pStyle w:val="LBLTableFootnotes"/>
        <w:widowControl w:val="0"/>
        <w:spacing w:after="240" w:line="240" w:lineRule="auto"/>
        <w:ind w:left="0" w:firstLine="0"/>
        <w:rPr>
          <w:rFonts w:ascii="Arial" w:eastAsia="MS Mincho" w:hAnsi="Arial" w:cs="Arial"/>
          <w:sz w:val="22"/>
        </w:rPr>
      </w:pPr>
      <w:r w:rsidRPr="00613EE8">
        <w:rPr>
          <w:rFonts w:ascii="Arial" w:hAnsi="Arial" w:cs="Arial"/>
          <w:sz w:val="22"/>
          <w:lang w:val="en-GB"/>
        </w:rPr>
        <w:t>In the Non-randomised Cohort</w:t>
      </w:r>
      <w:r w:rsidR="00064EA8" w:rsidRPr="00064EA8">
        <w:t xml:space="preserve"> </w:t>
      </w:r>
      <w:r w:rsidR="00064EA8" w:rsidRPr="00064EA8">
        <w:rPr>
          <w:rFonts w:ascii="Arial" w:hAnsi="Arial" w:cs="Arial"/>
          <w:sz w:val="22"/>
          <w:lang w:val="en-GB"/>
        </w:rPr>
        <w:t xml:space="preserve">(subjects with </w:t>
      </w:r>
      <w:proofErr w:type="gramStart"/>
      <w:r w:rsidR="00064EA8" w:rsidRPr="00064EA8">
        <w:rPr>
          <w:rFonts w:ascii="Arial" w:hAnsi="Arial" w:cs="Arial"/>
          <w:sz w:val="22"/>
          <w:lang w:val="en-GB"/>
        </w:rPr>
        <w:t>no</w:t>
      </w:r>
      <w:proofErr w:type="gramEnd"/>
      <w:r w:rsidR="00064EA8" w:rsidRPr="00064EA8">
        <w:rPr>
          <w:rFonts w:ascii="Arial" w:hAnsi="Arial" w:cs="Arial"/>
          <w:sz w:val="22"/>
          <w:lang w:val="en-GB"/>
        </w:rPr>
        <w:t xml:space="preserve"> fully active and approved antiretroviral agents available at </w:t>
      </w:r>
      <w:r w:rsidR="00064EA8">
        <w:rPr>
          <w:rFonts w:ascii="Arial" w:hAnsi="Arial" w:cs="Arial"/>
          <w:sz w:val="22"/>
          <w:lang w:val="en-GB"/>
        </w:rPr>
        <w:t>s</w:t>
      </w:r>
      <w:r w:rsidR="00064EA8" w:rsidRPr="00064EA8">
        <w:rPr>
          <w:rFonts w:ascii="Arial" w:hAnsi="Arial" w:cs="Arial"/>
          <w:sz w:val="22"/>
          <w:lang w:val="en-GB"/>
        </w:rPr>
        <w:t>creening)</w:t>
      </w:r>
      <w:r w:rsidRPr="00613EE8">
        <w:rPr>
          <w:rFonts w:ascii="Arial" w:hAnsi="Arial" w:cs="Arial"/>
          <w:sz w:val="22"/>
          <w:lang w:val="en-GB"/>
        </w:rPr>
        <w:t>, HIV-1 RNA &lt;40 copies/mL was achieved in 37%, 38% and 37% of subjects at Weeks 24, 48 and 96, respectively. At these timepoints, the proportion of subjects with HIV-1 RNA &lt;200 copies/mL was 42%, 43% and 39%, and the proportion of subjects with HIV-1 RNA &lt;400 copies/mL was 44%, 44% and 40%, respectively (ITT-E, Snapshot algorithm). Mean changes in CD4+ cell count from baseline increased over time: 41 cells/mm</w:t>
      </w:r>
      <w:r w:rsidRPr="00613EE8">
        <w:rPr>
          <w:rFonts w:ascii="Arial" w:hAnsi="Arial" w:cs="Arial"/>
          <w:sz w:val="22"/>
          <w:vertAlign w:val="superscript"/>
          <w:lang w:val="en-GB"/>
        </w:rPr>
        <w:t>3</w:t>
      </w:r>
      <w:r w:rsidRPr="00613EE8">
        <w:rPr>
          <w:rFonts w:ascii="Arial" w:hAnsi="Arial" w:cs="Arial"/>
          <w:sz w:val="22"/>
          <w:lang w:val="en-GB"/>
        </w:rPr>
        <w:t xml:space="preserve"> at Week 24, 64 cells/mm</w:t>
      </w:r>
      <w:r w:rsidRPr="00613EE8">
        <w:rPr>
          <w:rFonts w:ascii="Arial" w:hAnsi="Arial" w:cs="Arial"/>
          <w:sz w:val="22"/>
          <w:vertAlign w:val="superscript"/>
          <w:lang w:val="en-GB"/>
        </w:rPr>
        <w:t>3</w:t>
      </w:r>
      <w:r w:rsidRPr="00613EE8">
        <w:rPr>
          <w:rFonts w:ascii="Arial" w:hAnsi="Arial" w:cs="Arial"/>
          <w:sz w:val="22"/>
          <w:lang w:val="en-GB"/>
        </w:rPr>
        <w:t xml:space="preserve"> at Week 48 and 119 cells/mm</w:t>
      </w:r>
      <w:r w:rsidRPr="00613EE8">
        <w:rPr>
          <w:rFonts w:ascii="Arial" w:hAnsi="Arial" w:cs="Arial"/>
          <w:sz w:val="22"/>
          <w:vertAlign w:val="superscript"/>
          <w:lang w:val="en-GB"/>
        </w:rPr>
        <w:t>3</w:t>
      </w:r>
      <w:r w:rsidRPr="00613EE8">
        <w:rPr>
          <w:rFonts w:ascii="Arial" w:hAnsi="Arial" w:cs="Arial"/>
          <w:sz w:val="22"/>
          <w:lang w:val="en-GB"/>
        </w:rPr>
        <w:t xml:space="preserve"> at Week 96.</w:t>
      </w:r>
    </w:p>
    <w:p w14:paraId="2EB967B3" w14:textId="77777777" w:rsidR="001A3992"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 xml:space="preserve">PHARMACOKINETIC PROPERTIES </w:t>
      </w:r>
    </w:p>
    <w:p w14:paraId="19CC13AC" w14:textId="77777777" w:rsidR="00C33EF2" w:rsidRDefault="00C33EF2" w:rsidP="00C33EF2">
      <w:pPr>
        <w:rPr>
          <w:rFonts w:ascii="Arial" w:hAnsi="Arial" w:cs="Arial"/>
          <w:szCs w:val="24"/>
        </w:rPr>
      </w:pPr>
      <w:bookmarkStart w:id="44" w:name="_Hlk1042151"/>
      <w:r w:rsidRPr="00C33EF2">
        <w:rPr>
          <w:rFonts w:ascii="Arial" w:eastAsia="MS Mincho" w:hAnsi="Arial" w:cs="Arial"/>
          <w:szCs w:val="24"/>
          <w:lang w:val="en-US"/>
        </w:rPr>
        <w:t xml:space="preserve">The pharmacokinetics of </w:t>
      </w:r>
      <w:proofErr w:type="spellStart"/>
      <w:r w:rsidRPr="00C33EF2">
        <w:rPr>
          <w:rFonts w:ascii="Arial" w:eastAsia="MS Mincho" w:hAnsi="Arial" w:cs="Arial"/>
          <w:szCs w:val="24"/>
          <w:lang w:val="en-US"/>
        </w:rPr>
        <w:t>temsavir</w:t>
      </w:r>
      <w:proofErr w:type="spellEnd"/>
      <w:r w:rsidRPr="00C33EF2">
        <w:rPr>
          <w:rFonts w:ascii="Arial" w:eastAsia="MS Mincho" w:hAnsi="Arial" w:cs="Arial"/>
          <w:szCs w:val="24"/>
          <w:lang w:val="en-US"/>
        </w:rPr>
        <w:t xml:space="preserve"> following administration of fostemsavir are similar between healthy and HIV-infected subjects. </w:t>
      </w:r>
      <w:bookmarkStart w:id="45" w:name="_Hlk1396774"/>
      <w:r w:rsidRPr="00C33EF2">
        <w:rPr>
          <w:rFonts w:ascii="Arial" w:hAnsi="Arial" w:cs="Arial"/>
          <w:szCs w:val="24"/>
        </w:rPr>
        <w:t xml:space="preserve">Between-subject variability (%CV) in plasma </w:t>
      </w:r>
      <w:proofErr w:type="spellStart"/>
      <w:r w:rsidRPr="00C33EF2">
        <w:rPr>
          <w:rFonts w:ascii="Arial" w:hAnsi="Arial" w:cs="Arial"/>
          <w:szCs w:val="24"/>
        </w:rPr>
        <w:t>temsavir</w:t>
      </w:r>
      <w:proofErr w:type="spellEnd"/>
      <w:r w:rsidRPr="00C33EF2">
        <w:rPr>
          <w:rFonts w:ascii="Arial" w:hAnsi="Arial" w:cs="Arial"/>
          <w:szCs w:val="24"/>
        </w:rPr>
        <w:t xml:space="preserve"> </w:t>
      </w:r>
      <w:proofErr w:type="spellStart"/>
      <w:r w:rsidRPr="00C33EF2">
        <w:rPr>
          <w:rFonts w:ascii="Arial" w:hAnsi="Arial" w:cs="Arial"/>
          <w:szCs w:val="24"/>
        </w:rPr>
        <w:t>C</w:t>
      </w:r>
      <w:r w:rsidRPr="00C33EF2">
        <w:rPr>
          <w:rFonts w:ascii="Arial" w:hAnsi="Arial" w:cs="Arial"/>
          <w:szCs w:val="24"/>
          <w:vertAlign w:val="subscript"/>
        </w:rPr>
        <w:t>max</w:t>
      </w:r>
      <w:proofErr w:type="spellEnd"/>
      <w:r w:rsidRPr="00C33EF2">
        <w:rPr>
          <w:rFonts w:ascii="Arial" w:hAnsi="Arial" w:cs="Arial"/>
          <w:szCs w:val="24"/>
        </w:rPr>
        <w:t xml:space="preserve"> and AUC ranged from 22 to 50% and </w:t>
      </w:r>
      <w:r w:rsidRPr="00C33EF2">
        <w:rPr>
          <w:rFonts w:ascii="Arial" w:hAnsi="Arial" w:cs="Arial"/>
        </w:rPr>
        <w:t>C</w:t>
      </w:r>
      <w:r w:rsidRPr="00C33EF2">
        <w:rPr>
          <w:rFonts w:ascii="Arial" w:hAnsi="Arial" w:cs="Arial"/>
        </w:rPr>
        <w:sym w:font="Symbol" w:char="F074"/>
      </w:r>
      <w:r w:rsidRPr="00C33EF2">
        <w:rPr>
          <w:rFonts w:ascii="Arial" w:hAnsi="Arial" w:cs="Arial"/>
          <w:szCs w:val="24"/>
        </w:rPr>
        <w:t xml:space="preserve"> from 50 to 127% across Phase I studies in healthy subjects. The magnitude of variability was similar in HIV infected subjects (%CV in plasma </w:t>
      </w:r>
      <w:proofErr w:type="spellStart"/>
      <w:r w:rsidRPr="00C33EF2">
        <w:rPr>
          <w:rFonts w:ascii="Arial" w:hAnsi="Arial" w:cs="Arial"/>
          <w:szCs w:val="24"/>
        </w:rPr>
        <w:t>temsavir</w:t>
      </w:r>
      <w:proofErr w:type="spellEnd"/>
      <w:r w:rsidRPr="00C33EF2">
        <w:rPr>
          <w:rFonts w:ascii="Arial" w:hAnsi="Arial" w:cs="Arial"/>
          <w:szCs w:val="24"/>
        </w:rPr>
        <w:t xml:space="preserve"> </w:t>
      </w:r>
      <w:proofErr w:type="spellStart"/>
      <w:r w:rsidRPr="00C33EF2">
        <w:rPr>
          <w:rFonts w:ascii="Arial" w:hAnsi="Arial" w:cs="Arial"/>
          <w:szCs w:val="24"/>
        </w:rPr>
        <w:t>C</w:t>
      </w:r>
      <w:r w:rsidRPr="00C33EF2">
        <w:rPr>
          <w:rFonts w:ascii="Arial" w:hAnsi="Arial" w:cs="Arial"/>
          <w:szCs w:val="24"/>
          <w:vertAlign w:val="subscript"/>
        </w:rPr>
        <w:t>max</w:t>
      </w:r>
      <w:proofErr w:type="spellEnd"/>
      <w:r w:rsidRPr="00C33EF2">
        <w:rPr>
          <w:rFonts w:ascii="Arial" w:hAnsi="Arial" w:cs="Arial"/>
          <w:szCs w:val="24"/>
        </w:rPr>
        <w:t xml:space="preserve"> and AUC ranged from 20.5 to 63% and </w:t>
      </w:r>
      <w:r w:rsidRPr="00C33EF2">
        <w:rPr>
          <w:rFonts w:ascii="Arial" w:hAnsi="Arial" w:cs="Arial"/>
        </w:rPr>
        <w:t>C</w:t>
      </w:r>
      <w:r w:rsidRPr="00C33EF2">
        <w:rPr>
          <w:rFonts w:ascii="Arial" w:hAnsi="Arial" w:cs="Arial"/>
        </w:rPr>
        <w:sym w:font="Symbol" w:char="F074"/>
      </w:r>
      <w:r w:rsidRPr="00C33EF2">
        <w:rPr>
          <w:rFonts w:ascii="Arial" w:hAnsi="Arial" w:cs="Arial"/>
          <w:szCs w:val="24"/>
        </w:rPr>
        <w:t xml:space="preserve"> from 20 to 165%). </w:t>
      </w:r>
      <w:bookmarkStart w:id="46" w:name="_Hlk1040651"/>
      <w:bookmarkEnd w:id="44"/>
      <w:r w:rsidRPr="00C33EF2">
        <w:rPr>
          <w:rFonts w:ascii="Arial" w:hAnsi="Arial" w:cs="Arial"/>
          <w:szCs w:val="24"/>
        </w:rPr>
        <w:t>Between-subject variability in oral clearance and central oral volume of distribution estimated from population pharmacokinetic analysis of healthy subjects from selected Phase I studies and HIV-1 infected patients were 43% and 48%, respectively.</w:t>
      </w:r>
      <w:bookmarkEnd w:id="45"/>
      <w:bookmarkEnd w:id="46"/>
    </w:p>
    <w:p w14:paraId="451B7890" w14:textId="77777777" w:rsidR="001A3992" w:rsidRPr="00071855" w:rsidRDefault="001A3992" w:rsidP="00F25D4B">
      <w:pPr>
        <w:pStyle w:val="Heading3"/>
        <w:spacing w:before="0" w:after="120"/>
        <w:ind w:left="0"/>
        <w:rPr>
          <w:rFonts w:ascii="Arial" w:hAnsi="Arial" w:cs="Arial"/>
        </w:rPr>
      </w:pPr>
      <w:r w:rsidRPr="00071855">
        <w:rPr>
          <w:rFonts w:ascii="Arial" w:hAnsi="Arial" w:cs="Arial"/>
        </w:rPr>
        <w:t>Absorption</w:t>
      </w:r>
    </w:p>
    <w:p w14:paraId="76BBFE94" w14:textId="77777777" w:rsidR="007A36BA" w:rsidRPr="007A36BA" w:rsidRDefault="007A36BA" w:rsidP="007A36BA">
      <w:pPr>
        <w:autoSpaceDE w:val="0"/>
        <w:autoSpaceDN w:val="0"/>
        <w:adjustRightInd w:val="0"/>
        <w:rPr>
          <w:rFonts w:ascii="Arial" w:hAnsi="Arial" w:cs="Arial"/>
          <w:lang w:val="en-US"/>
        </w:rPr>
      </w:pPr>
      <w:r w:rsidRPr="007A36BA">
        <w:rPr>
          <w:rFonts w:ascii="Arial" w:eastAsia="MS Mincho" w:hAnsi="Arial" w:cs="Arial"/>
          <w:lang w:val="en-US"/>
        </w:rPr>
        <w:t xml:space="preserve">Fostemsavir </w:t>
      </w:r>
      <w:r w:rsidRPr="007A36BA">
        <w:rPr>
          <w:rFonts w:ascii="Arial" w:hAnsi="Arial" w:cs="Arial"/>
        </w:rPr>
        <w:t xml:space="preserve">is a highly soluble prodrug that is metabolized to </w:t>
      </w:r>
      <w:proofErr w:type="spellStart"/>
      <w:r w:rsidRPr="007A36BA">
        <w:rPr>
          <w:rFonts w:ascii="Arial" w:hAnsi="Arial" w:cs="Arial"/>
        </w:rPr>
        <w:t>temsavir</w:t>
      </w:r>
      <w:proofErr w:type="spellEnd"/>
      <w:r w:rsidRPr="007A36BA">
        <w:rPr>
          <w:rFonts w:ascii="Arial" w:hAnsi="Arial" w:cs="Arial"/>
        </w:rPr>
        <w:t xml:space="preserve"> by alkaline phosphatase at the luminal surface of the small intestine and is</w:t>
      </w:r>
      <w:r w:rsidRPr="007A36BA">
        <w:rPr>
          <w:rFonts w:ascii="Arial" w:eastAsia="MS Mincho" w:hAnsi="Arial" w:cs="Arial"/>
          <w:lang w:val="en-US"/>
        </w:rPr>
        <w:t xml:space="preserve"> generally not detectable in plasma following oral administration. The active moiety, </w:t>
      </w:r>
      <w:proofErr w:type="spellStart"/>
      <w:r w:rsidRPr="007A36BA">
        <w:rPr>
          <w:rFonts w:ascii="Arial" w:eastAsia="MS Mincho" w:hAnsi="Arial" w:cs="Arial"/>
          <w:lang w:val="en-US"/>
        </w:rPr>
        <w:t>temsavir</w:t>
      </w:r>
      <w:proofErr w:type="spellEnd"/>
      <w:r w:rsidRPr="007A36BA">
        <w:rPr>
          <w:rFonts w:ascii="Arial" w:eastAsia="MS Mincho" w:hAnsi="Arial" w:cs="Arial"/>
          <w:lang w:val="en-US"/>
        </w:rPr>
        <w:t xml:space="preserve">, is readily absorbed with </w:t>
      </w:r>
      <w:r w:rsidRPr="007A36BA">
        <w:rPr>
          <w:rFonts w:ascii="Arial" w:hAnsi="Arial" w:cs="Arial"/>
          <w:lang w:val="en-US"/>
        </w:rPr>
        <w:t xml:space="preserve">the </w:t>
      </w:r>
      <w:r w:rsidRPr="007A36BA">
        <w:rPr>
          <w:rFonts w:ascii="Arial" w:hAnsi="Arial" w:cs="Arial"/>
        </w:rPr>
        <w:t>median time to maximal plasma concentrations (</w:t>
      </w:r>
      <w:proofErr w:type="spellStart"/>
      <w:r w:rsidRPr="007A36BA">
        <w:rPr>
          <w:rFonts w:ascii="Arial" w:hAnsi="Arial" w:cs="Arial"/>
        </w:rPr>
        <w:t>T</w:t>
      </w:r>
      <w:r w:rsidRPr="007A36BA">
        <w:rPr>
          <w:rFonts w:ascii="Arial" w:hAnsi="Arial" w:cs="Arial"/>
          <w:vertAlign w:val="subscript"/>
        </w:rPr>
        <w:t>max</w:t>
      </w:r>
      <w:proofErr w:type="spellEnd"/>
      <w:r w:rsidRPr="007A36BA">
        <w:rPr>
          <w:rFonts w:ascii="Arial" w:hAnsi="Arial" w:cs="Arial"/>
        </w:rPr>
        <w:t xml:space="preserve">) at 2 hours post dose (fasted). Following oral administration, increases in plasma </w:t>
      </w:r>
      <w:proofErr w:type="spellStart"/>
      <w:r w:rsidRPr="007A36BA">
        <w:rPr>
          <w:rFonts w:ascii="Arial" w:hAnsi="Arial" w:cs="Arial"/>
        </w:rPr>
        <w:t>temsavir</w:t>
      </w:r>
      <w:proofErr w:type="spellEnd"/>
      <w:r w:rsidRPr="007A36BA">
        <w:rPr>
          <w:rFonts w:ascii="Arial" w:hAnsi="Arial" w:cs="Arial"/>
        </w:rPr>
        <w:t xml:space="preserve"> exposure (</w:t>
      </w:r>
      <w:proofErr w:type="spellStart"/>
      <w:r w:rsidRPr="007A36BA">
        <w:rPr>
          <w:rFonts w:ascii="Arial" w:hAnsi="Arial" w:cs="Arial"/>
        </w:rPr>
        <w:t>C</w:t>
      </w:r>
      <w:r w:rsidRPr="007A36BA">
        <w:rPr>
          <w:rFonts w:ascii="Arial" w:hAnsi="Arial" w:cs="Arial"/>
          <w:vertAlign w:val="subscript"/>
        </w:rPr>
        <w:t>max</w:t>
      </w:r>
      <w:proofErr w:type="spellEnd"/>
      <w:r w:rsidRPr="007A36BA">
        <w:rPr>
          <w:rFonts w:ascii="Arial" w:hAnsi="Arial" w:cs="Arial"/>
        </w:rPr>
        <w:t xml:space="preserve"> and AUC) appeared dose proportional, or slightly greater than dose proportional, over the range of 600 mg to 1,800 mg of fostemsavir. </w:t>
      </w:r>
      <w:proofErr w:type="spellStart"/>
      <w:r w:rsidRPr="007A36BA">
        <w:rPr>
          <w:rFonts w:ascii="Arial" w:hAnsi="Arial" w:cs="Arial"/>
        </w:rPr>
        <w:t>Temsavir</w:t>
      </w:r>
      <w:proofErr w:type="spellEnd"/>
      <w:r w:rsidRPr="007A36BA">
        <w:rPr>
          <w:rFonts w:ascii="Arial" w:hAnsi="Arial" w:cs="Arial"/>
        </w:rPr>
        <w:t xml:space="preserve"> is absorbed across the small intestine and cecum/proximal ascending colon. </w:t>
      </w:r>
      <w:bookmarkStart w:id="47" w:name="_Hlk1120451"/>
    </w:p>
    <w:p w14:paraId="252268CE" w14:textId="0A808ABE" w:rsidR="007A36BA" w:rsidRPr="007A36BA" w:rsidRDefault="007A36BA" w:rsidP="007A36BA">
      <w:pPr>
        <w:autoSpaceDE w:val="0"/>
        <w:autoSpaceDN w:val="0"/>
        <w:adjustRightInd w:val="0"/>
        <w:rPr>
          <w:rFonts w:ascii="Arial" w:hAnsi="Arial" w:cs="Arial"/>
          <w:color w:val="0000FF"/>
        </w:rPr>
      </w:pPr>
      <w:r w:rsidRPr="007A36BA">
        <w:rPr>
          <w:rFonts w:ascii="Arial" w:hAnsi="Arial" w:cs="Arial"/>
        </w:rPr>
        <w:t xml:space="preserve">Pharmacokinetic parameters following multiple oral doses of fostemsavir 600 mg twice daily in healthy and </w:t>
      </w:r>
      <w:r w:rsidRPr="007A36BA">
        <w:rPr>
          <w:rFonts w:ascii="Arial" w:hAnsi="Arial" w:cs="Arial"/>
          <w:bCs/>
        </w:rPr>
        <w:t xml:space="preserve">HIV-1 infected, heavily-treatment experienced adult subjects </w:t>
      </w:r>
      <w:r w:rsidRPr="007A36BA">
        <w:rPr>
          <w:rFonts w:ascii="Arial" w:hAnsi="Arial" w:cs="Arial"/>
        </w:rPr>
        <w:t xml:space="preserve">are shown in Table </w:t>
      </w:r>
      <w:r w:rsidR="00291AD1">
        <w:rPr>
          <w:rFonts w:ascii="Arial" w:hAnsi="Arial" w:cs="Arial"/>
        </w:rPr>
        <w:t>5</w:t>
      </w:r>
      <w:r w:rsidRPr="007A36BA">
        <w:rPr>
          <w:rFonts w:ascii="Arial" w:hAnsi="Arial" w:cs="Arial"/>
          <w:bCs/>
        </w:rPr>
        <w:t>.</w:t>
      </w:r>
    </w:p>
    <w:p w14:paraId="341B7630" w14:textId="0FD1D6BC" w:rsidR="007A36BA" w:rsidRPr="00E111C1" w:rsidRDefault="007A36BA" w:rsidP="0076337D">
      <w:pPr>
        <w:keepNext/>
        <w:keepLines/>
        <w:tabs>
          <w:tab w:val="left" w:pos="1656"/>
        </w:tabs>
        <w:rPr>
          <w:rFonts w:ascii="Arial"/>
          <w:b/>
        </w:rPr>
      </w:pPr>
      <w:bookmarkStart w:id="48" w:name="_Hlk3805163"/>
      <w:r w:rsidRPr="00E111C1">
        <w:rPr>
          <w:rFonts w:ascii="Arial"/>
          <w:b/>
        </w:rPr>
        <w:t xml:space="preserve">Table </w:t>
      </w:r>
      <w:r w:rsidR="00291AD1">
        <w:rPr>
          <w:rFonts w:ascii="Arial"/>
          <w:b/>
        </w:rPr>
        <w:t>5</w:t>
      </w:r>
      <w:r w:rsidRPr="00E111C1">
        <w:rPr>
          <w:rFonts w:ascii="Arial"/>
          <w:b/>
        </w:rPr>
        <w:tab/>
        <w:t xml:space="preserve">Multiple-Dose Pharmacokinetic Parameters of </w:t>
      </w:r>
      <w:proofErr w:type="spellStart"/>
      <w:r w:rsidRPr="00E111C1">
        <w:rPr>
          <w:rFonts w:ascii="Arial"/>
          <w:b/>
        </w:rPr>
        <w:t>Temsavir</w:t>
      </w:r>
      <w:proofErr w:type="spellEnd"/>
      <w:r w:rsidRPr="00E111C1">
        <w:rPr>
          <w:rFonts w:ascii="Arial"/>
          <w:b/>
        </w:rPr>
        <w:t xml:space="preserve"> following oral administration of Fostemsavir 600 mg twice daily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430"/>
        <w:gridCol w:w="2970"/>
      </w:tblGrid>
      <w:tr w:rsidR="007A36BA" w:rsidRPr="00E111C1" w14:paraId="3FB82F47" w14:textId="77777777" w:rsidTr="00291AD1">
        <w:tc>
          <w:tcPr>
            <w:tcW w:w="2358" w:type="dxa"/>
            <w:tcBorders>
              <w:bottom w:val="single" w:sz="4" w:space="0" w:color="auto"/>
            </w:tcBorders>
            <w:shd w:val="clear" w:color="auto" w:fill="auto"/>
          </w:tcPr>
          <w:bookmarkEnd w:id="42"/>
          <w:p w14:paraId="1C91D0A1" w14:textId="77777777" w:rsidR="007A36BA" w:rsidRPr="00E111C1" w:rsidRDefault="007A36BA" w:rsidP="00124DDA">
            <w:pPr>
              <w:keepNext/>
              <w:keepLines/>
              <w:spacing w:after="0"/>
              <w:rPr>
                <w:rFonts w:ascii="Arial Narrow" w:hAnsi="Arial Narrow" w:cs="Arial"/>
                <w:b/>
                <w:sz w:val="20"/>
                <w:szCs w:val="20"/>
              </w:rPr>
            </w:pPr>
            <w:r w:rsidRPr="00E111C1">
              <w:rPr>
                <w:rFonts w:ascii="Arial Narrow" w:hAnsi="Arial Narrow" w:cs="Arial"/>
                <w:b/>
                <w:sz w:val="20"/>
                <w:szCs w:val="20"/>
              </w:rPr>
              <w:t>Parameter Mean (CV%)</w:t>
            </w:r>
          </w:p>
        </w:tc>
        <w:tc>
          <w:tcPr>
            <w:tcW w:w="2430" w:type="dxa"/>
            <w:tcBorders>
              <w:bottom w:val="single" w:sz="4" w:space="0" w:color="auto"/>
            </w:tcBorders>
            <w:shd w:val="clear" w:color="auto" w:fill="auto"/>
          </w:tcPr>
          <w:p w14:paraId="20FD6504" w14:textId="77777777" w:rsidR="007A36BA" w:rsidRPr="00E111C1" w:rsidRDefault="007A36BA" w:rsidP="00124DDA">
            <w:pPr>
              <w:keepNext/>
              <w:keepLines/>
              <w:spacing w:after="0"/>
              <w:jc w:val="center"/>
              <w:rPr>
                <w:rFonts w:ascii="Arial Narrow" w:hAnsi="Arial Narrow" w:cs="Arial"/>
                <w:b/>
                <w:sz w:val="20"/>
                <w:szCs w:val="20"/>
              </w:rPr>
            </w:pPr>
            <w:r w:rsidRPr="00E111C1">
              <w:rPr>
                <w:rFonts w:ascii="Arial Narrow" w:hAnsi="Arial Narrow" w:cs="Arial"/>
                <w:b/>
                <w:sz w:val="20"/>
                <w:szCs w:val="20"/>
              </w:rPr>
              <w:t>Healthy subjects</w:t>
            </w:r>
            <w:r w:rsidRPr="00E111C1">
              <w:rPr>
                <w:rFonts w:ascii="Arial Narrow" w:hAnsi="Arial Narrow" w:cs="Arial"/>
                <w:b/>
                <w:sz w:val="20"/>
                <w:szCs w:val="20"/>
                <w:vertAlign w:val="superscript"/>
                <w:lang w:val="en-US"/>
              </w:rPr>
              <w:t>a</w:t>
            </w:r>
          </w:p>
        </w:tc>
        <w:tc>
          <w:tcPr>
            <w:tcW w:w="2970" w:type="dxa"/>
            <w:tcBorders>
              <w:bottom w:val="single" w:sz="4" w:space="0" w:color="auto"/>
            </w:tcBorders>
            <w:shd w:val="clear" w:color="auto" w:fill="auto"/>
          </w:tcPr>
          <w:p w14:paraId="34190A98" w14:textId="77777777" w:rsidR="007A36BA" w:rsidRPr="00E111C1" w:rsidRDefault="007A36BA" w:rsidP="00124DDA">
            <w:pPr>
              <w:keepNext/>
              <w:keepLines/>
              <w:spacing w:after="0"/>
              <w:jc w:val="center"/>
              <w:rPr>
                <w:rFonts w:ascii="Arial Narrow" w:hAnsi="Arial Narrow" w:cs="Arial"/>
                <w:b/>
                <w:sz w:val="20"/>
                <w:szCs w:val="20"/>
              </w:rPr>
            </w:pPr>
            <w:bookmarkStart w:id="49" w:name="_Hlk5006436"/>
            <w:r w:rsidRPr="00E111C1">
              <w:rPr>
                <w:rFonts w:ascii="Arial Narrow" w:hAnsi="Arial Narrow" w:cs="Arial"/>
                <w:b/>
                <w:sz w:val="20"/>
                <w:szCs w:val="20"/>
              </w:rPr>
              <w:t xml:space="preserve">Heavily Treatment-Experienced </w:t>
            </w:r>
            <w:r w:rsidRPr="00E111C1">
              <w:rPr>
                <w:rFonts w:ascii="Arial Narrow" w:hAnsi="Arial Narrow" w:cs="Arial"/>
                <w:b/>
                <w:sz w:val="20"/>
                <w:szCs w:val="20"/>
              </w:rPr>
              <w:br/>
              <w:t>HIV-1 infected subjects</w:t>
            </w:r>
            <w:r w:rsidRPr="00E111C1">
              <w:rPr>
                <w:rFonts w:ascii="Arial Narrow" w:hAnsi="Arial Narrow" w:cs="Arial"/>
                <w:b/>
                <w:sz w:val="20"/>
                <w:szCs w:val="20"/>
                <w:vertAlign w:val="superscript"/>
                <w:lang w:val="en-US"/>
              </w:rPr>
              <w:t>b</w:t>
            </w:r>
            <w:bookmarkEnd w:id="49"/>
          </w:p>
        </w:tc>
      </w:tr>
      <w:tr w:rsidR="007A36BA" w:rsidRPr="00E111C1" w14:paraId="443FFD88" w14:textId="77777777" w:rsidTr="00291AD1">
        <w:tc>
          <w:tcPr>
            <w:tcW w:w="2358" w:type="dxa"/>
            <w:shd w:val="clear" w:color="auto" w:fill="auto"/>
          </w:tcPr>
          <w:p w14:paraId="17FA8A44" w14:textId="77777777" w:rsidR="007A36BA" w:rsidRPr="00E111C1" w:rsidRDefault="007A36BA" w:rsidP="00124DDA">
            <w:pPr>
              <w:keepNext/>
              <w:keepLines/>
              <w:spacing w:after="0"/>
              <w:rPr>
                <w:rFonts w:ascii="Arial Narrow" w:hAnsi="Arial Narrow" w:cs="Arial"/>
                <w:sz w:val="20"/>
                <w:szCs w:val="20"/>
              </w:rPr>
            </w:pPr>
            <w:proofErr w:type="spellStart"/>
            <w:r w:rsidRPr="00E111C1">
              <w:rPr>
                <w:rFonts w:ascii="Arial Narrow" w:hAnsi="Arial Narrow" w:cs="Arial"/>
                <w:sz w:val="20"/>
                <w:szCs w:val="20"/>
              </w:rPr>
              <w:t>C</w:t>
            </w:r>
            <w:r w:rsidRPr="00E111C1">
              <w:rPr>
                <w:rFonts w:ascii="Arial Narrow" w:hAnsi="Arial Narrow" w:cs="Arial"/>
                <w:sz w:val="20"/>
                <w:szCs w:val="20"/>
                <w:vertAlign w:val="subscript"/>
              </w:rPr>
              <w:t>max</w:t>
            </w:r>
            <w:proofErr w:type="spellEnd"/>
            <w:r w:rsidRPr="00E111C1">
              <w:rPr>
                <w:rFonts w:ascii="Arial Narrow" w:hAnsi="Arial Narrow" w:cs="Arial"/>
                <w:sz w:val="20"/>
                <w:szCs w:val="20"/>
              </w:rPr>
              <w:t xml:space="preserve"> (</w:t>
            </w:r>
            <w:r w:rsidRPr="00E111C1">
              <w:rPr>
                <w:rFonts w:ascii="Arial Narrow" w:eastAsia="MS Mincho" w:hAnsi="Arial Narrow" w:cs="Arial"/>
                <w:sz w:val="20"/>
                <w:szCs w:val="20"/>
              </w:rPr>
              <w:sym w:font="Symbol" w:char="F06D"/>
            </w:r>
            <w:r w:rsidRPr="00E111C1">
              <w:rPr>
                <w:rFonts w:ascii="Arial Narrow" w:eastAsia="MS Mincho" w:hAnsi="Arial Narrow" w:cs="Arial"/>
                <w:sz w:val="20"/>
                <w:szCs w:val="20"/>
              </w:rPr>
              <w:t>g</w:t>
            </w:r>
            <w:r w:rsidRPr="00E111C1">
              <w:rPr>
                <w:rFonts w:ascii="Arial Narrow" w:hAnsi="Arial Narrow" w:cs="Arial"/>
                <w:sz w:val="20"/>
                <w:szCs w:val="20"/>
              </w:rPr>
              <w:t>/mL)</w:t>
            </w:r>
          </w:p>
        </w:tc>
        <w:tc>
          <w:tcPr>
            <w:tcW w:w="2430" w:type="dxa"/>
            <w:shd w:val="clear" w:color="auto" w:fill="auto"/>
          </w:tcPr>
          <w:p w14:paraId="01971385" w14:textId="77777777" w:rsidR="007A36BA" w:rsidRPr="00E111C1" w:rsidRDefault="007A36BA" w:rsidP="00124DDA">
            <w:pPr>
              <w:keepNext/>
              <w:keepLines/>
              <w:spacing w:after="0"/>
              <w:jc w:val="center"/>
              <w:rPr>
                <w:rFonts w:ascii="Arial Narrow" w:hAnsi="Arial Narrow" w:cs="Arial"/>
                <w:sz w:val="20"/>
                <w:szCs w:val="20"/>
              </w:rPr>
            </w:pPr>
            <w:r w:rsidRPr="00E111C1">
              <w:rPr>
                <w:rFonts w:ascii="Arial Narrow" w:hAnsi="Arial Narrow" w:cs="Arial"/>
                <w:sz w:val="20"/>
                <w:szCs w:val="20"/>
              </w:rPr>
              <w:t>1.64 (45)</w:t>
            </w:r>
          </w:p>
        </w:tc>
        <w:tc>
          <w:tcPr>
            <w:tcW w:w="2970" w:type="dxa"/>
            <w:shd w:val="clear" w:color="auto" w:fill="auto"/>
          </w:tcPr>
          <w:p w14:paraId="1BD48D5E" w14:textId="77777777" w:rsidR="007A36BA" w:rsidRPr="00E111C1" w:rsidRDefault="007A36BA" w:rsidP="00124DDA">
            <w:pPr>
              <w:keepNext/>
              <w:keepLines/>
              <w:spacing w:after="0"/>
              <w:jc w:val="center"/>
              <w:rPr>
                <w:rFonts w:ascii="Arial Narrow" w:hAnsi="Arial Narrow" w:cs="Arial"/>
                <w:sz w:val="20"/>
                <w:szCs w:val="20"/>
              </w:rPr>
            </w:pPr>
            <w:r w:rsidRPr="00E111C1">
              <w:rPr>
                <w:rFonts w:ascii="Arial Narrow" w:hAnsi="Arial Narrow" w:cs="Arial"/>
                <w:sz w:val="20"/>
                <w:szCs w:val="20"/>
              </w:rPr>
              <w:t>1.77 (39.9)</w:t>
            </w:r>
          </w:p>
        </w:tc>
      </w:tr>
      <w:tr w:rsidR="007A36BA" w:rsidRPr="00E111C1" w14:paraId="7E0A807B" w14:textId="77777777" w:rsidTr="00291AD1">
        <w:tc>
          <w:tcPr>
            <w:tcW w:w="2358" w:type="dxa"/>
            <w:tcBorders>
              <w:bottom w:val="single" w:sz="4" w:space="0" w:color="auto"/>
            </w:tcBorders>
            <w:shd w:val="clear" w:color="auto" w:fill="auto"/>
          </w:tcPr>
          <w:p w14:paraId="65EE1A17" w14:textId="77777777" w:rsidR="007A36BA" w:rsidRPr="00E111C1" w:rsidRDefault="007A36BA" w:rsidP="00124DDA">
            <w:pPr>
              <w:keepNext/>
              <w:keepLines/>
              <w:spacing w:after="0"/>
              <w:rPr>
                <w:rFonts w:ascii="Arial Narrow" w:hAnsi="Arial Narrow" w:cs="Arial"/>
                <w:sz w:val="20"/>
                <w:szCs w:val="20"/>
              </w:rPr>
            </w:pPr>
            <w:r w:rsidRPr="00E111C1">
              <w:rPr>
                <w:rFonts w:ascii="Arial Narrow" w:hAnsi="Arial Narrow" w:cs="Arial"/>
                <w:sz w:val="20"/>
                <w:szCs w:val="20"/>
              </w:rPr>
              <w:t>AUC (</w:t>
            </w:r>
            <w:r w:rsidRPr="00E111C1">
              <w:rPr>
                <w:rFonts w:ascii="Arial Narrow" w:eastAsia="MS Mincho" w:hAnsi="Arial Narrow" w:cs="Arial"/>
                <w:sz w:val="20"/>
                <w:szCs w:val="20"/>
              </w:rPr>
              <w:sym w:font="Symbol" w:char="F06D"/>
            </w:r>
            <w:r w:rsidRPr="00E111C1">
              <w:rPr>
                <w:rFonts w:ascii="Arial Narrow" w:eastAsia="MS Mincho" w:hAnsi="Arial Narrow" w:cs="Arial"/>
                <w:sz w:val="20"/>
                <w:szCs w:val="20"/>
              </w:rPr>
              <w:t>g.hr/mL</w:t>
            </w:r>
            <w:r w:rsidRPr="00E111C1">
              <w:rPr>
                <w:rFonts w:ascii="Arial Narrow" w:hAnsi="Arial Narrow" w:cs="Arial"/>
                <w:sz w:val="20"/>
                <w:szCs w:val="20"/>
              </w:rPr>
              <w:t>)</w:t>
            </w:r>
          </w:p>
        </w:tc>
        <w:tc>
          <w:tcPr>
            <w:tcW w:w="2430" w:type="dxa"/>
            <w:tcBorders>
              <w:bottom w:val="single" w:sz="4" w:space="0" w:color="auto"/>
            </w:tcBorders>
            <w:shd w:val="clear" w:color="auto" w:fill="auto"/>
          </w:tcPr>
          <w:p w14:paraId="7A6BD80B" w14:textId="77777777" w:rsidR="007A36BA" w:rsidRPr="00E111C1" w:rsidRDefault="007A36BA" w:rsidP="00124DDA">
            <w:pPr>
              <w:keepNext/>
              <w:keepLines/>
              <w:spacing w:after="0"/>
              <w:jc w:val="center"/>
              <w:rPr>
                <w:rFonts w:ascii="Arial Narrow" w:hAnsi="Arial Narrow" w:cs="Arial"/>
                <w:sz w:val="20"/>
                <w:szCs w:val="20"/>
              </w:rPr>
            </w:pPr>
            <w:r w:rsidRPr="00E111C1">
              <w:rPr>
                <w:rFonts w:ascii="Arial Narrow" w:hAnsi="Arial Narrow" w:cs="Arial"/>
                <w:sz w:val="20"/>
                <w:szCs w:val="20"/>
              </w:rPr>
              <w:t>9.70 (42)</w:t>
            </w:r>
          </w:p>
        </w:tc>
        <w:tc>
          <w:tcPr>
            <w:tcW w:w="2970" w:type="dxa"/>
            <w:tcBorders>
              <w:bottom w:val="single" w:sz="4" w:space="0" w:color="auto"/>
            </w:tcBorders>
            <w:shd w:val="clear" w:color="auto" w:fill="auto"/>
          </w:tcPr>
          <w:p w14:paraId="164C0939" w14:textId="77777777" w:rsidR="007A36BA" w:rsidRPr="00E111C1" w:rsidRDefault="007A36BA" w:rsidP="00124DDA">
            <w:pPr>
              <w:keepNext/>
              <w:keepLines/>
              <w:spacing w:after="0"/>
              <w:jc w:val="center"/>
              <w:rPr>
                <w:rFonts w:ascii="Arial Narrow" w:hAnsi="Arial Narrow" w:cs="Arial"/>
                <w:sz w:val="20"/>
                <w:szCs w:val="20"/>
              </w:rPr>
            </w:pPr>
            <w:r w:rsidRPr="00E111C1">
              <w:rPr>
                <w:rFonts w:ascii="Arial Narrow" w:hAnsi="Arial Narrow" w:cs="Arial"/>
                <w:sz w:val="20"/>
                <w:szCs w:val="20"/>
              </w:rPr>
              <w:t>12.90 (46.4)</w:t>
            </w:r>
          </w:p>
        </w:tc>
      </w:tr>
      <w:tr w:rsidR="007A36BA" w:rsidRPr="00E111C1" w14:paraId="1502BB71" w14:textId="77777777" w:rsidTr="00291AD1">
        <w:tc>
          <w:tcPr>
            <w:tcW w:w="2358" w:type="dxa"/>
            <w:tcBorders>
              <w:bottom w:val="single" w:sz="4" w:space="0" w:color="auto"/>
            </w:tcBorders>
            <w:shd w:val="clear" w:color="auto" w:fill="auto"/>
          </w:tcPr>
          <w:p w14:paraId="73EFF866" w14:textId="77777777" w:rsidR="007A36BA" w:rsidRPr="00E111C1" w:rsidRDefault="007A36BA" w:rsidP="00124DDA">
            <w:pPr>
              <w:keepNext/>
              <w:keepLines/>
              <w:spacing w:after="0"/>
              <w:rPr>
                <w:rFonts w:ascii="Arial Narrow" w:hAnsi="Arial Narrow" w:cs="Arial"/>
                <w:sz w:val="20"/>
                <w:szCs w:val="20"/>
              </w:rPr>
            </w:pPr>
            <w:r w:rsidRPr="00E111C1">
              <w:rPr>
                <w:rFonts w:ascii="Arial Narrow" w:hAnsi="Arial Narrow" w:cs="Arial"/>
                <w:sz w:val="20"/>
                <w:szCs w:val="20"/>
              </w:rPr>
              <w:t>C</w:t>
            </w:r>
            <w:r w:rsidRPr="00E111C1">
              <w:rPr>
                <w:rFonts w:ascii="Arial Narrow" w:hAnsi="Arial Narrow" w:cs="Arial"/>
                <w:sz w:val="20"/>
                <w:szCs w:val="20"/>
                <w:vertAlign w:val="subscript"/>
              </w:rPr>
              <w:t xml:space="preserve">12 </w:t>
            </w:r>
            <w:r w:rsidRPr="00E111C1">
              <w:rPr>
                <w:rFonts w:ascii="Arial Narrow" w:hAnsi="Arial Narrow" w:cs="Arial"/>
                <w:sz w:val="20"/>
                <w:szCs w:val="20"/>
              </w:rPr>
              <w:t>(</w:t>
            </w:r>
            <w:r w:rsidRPr="00E111C1">
              <w:rPr>
                <w:rFonts w:ascii="Arial Narrow" w:eastAsia="MS Mincho" w:hAnsi="Arial Narrow" w:cs="Arial"/>
                <w:sz w:val="20"/>
                <w:szCs w:val="20"/>
              </w:rPr>
              <w:sym w:font="Symbol" w:char="F06D"/>
            </w:r>
            <w:r w:rsidRPr="00E111C1">
              <w:rPr>
                <w:rFonts w:ascii="Arial Narrow" w:eastAsia="MS Mincho" w:hAnsi="Arial Narrow" w:cs="Arial"/>
                <w:sz w:val="20"/>
                <w:szCs w:val="20"/>
              </w:rPr>
              <w:t>g</w:t>
            </w:r>
            <w:r w:rsidRPr="00E111C1">
              <w:rPr>
                <w:rFonts w:ascii="Arial Narrow" w:hAnsi="Arial Narrow" w:cs="Arial"/>
                <w:sz w:val="20"/>
                <w:szCs w:val="20"/>
              </w:rPr>
              <w:t>/mL)</w:t>
            </w:r>
          </w:p>
        </w:tc>
        <w:tc>
          <w:tcPr>
            <w:tcW w:w="2430" w:type="dxa"/>
            <w:tcBorders>
              <w:bottom w:val="single" w:sz="4" w:space="0" w:color="auto"/>
            </w:tcBorders>
            <w:shd w:val="clear" w:color="auto" w:fill="auto"/>
          </w:tcPr>
          <w:p w14:paraId="58195BDC" w14:textId="77777777" w:rsidR="007A36BA" w:rsidRPr="00E111C1" w:rsidRDefault="007A36BA" w:rsidP="00124DDA">
            <w:pPr>
              <w:keepNext/>
              <w:keepLines/>
              <w:spacing w:after="0"/>
              <w:jc w:val="center"/>
              <w:rPr>
                <w:rFonts w:ascii="Arial Narrow" w:hAnsi="Arial Narrow" w:cs="Arial"/>
                <w:sz w:val="20"/>
                <w:szCs w:val="20"/>
              </w:rPr>
            </w:pPr>
            <w:r w:rsidRPr="00E111C1">
              <w:rPr>
                <w:rFonts w:ascii="Arial Narrow" w:hAnsi="Arial Narrow" w:cs="Arial"/>
                <w:sz w:val="20"/>
                <w:szCs w:val="20"/>
              </w:rPr>
              <w:t>0.312 (45)</w:t>
            </w:r>
          </w:p>
        </w:tc>
        <w:tc>
          <w:tcPr>
            <w:tcW w:w="2970" w:type="dxa"/>
            <w:tcBorders>
              <w:bottom w:val="single" w:sz="4" w:space="0" w:color="auto"/>
            </w:tcBorders>
            <w:shd w:val="clear" w:color="auto" w:fill="auto"/>
          </w:tcPr>
          <w:p w14:paraId="5FE5FC08" w14:textId="77777777" w:rsidR="007A36BA" w:rsidRPr="00E111C1" w:rsidRDefault="007A36BA" w:rsidP="00124DDA">
            <w:pPr>
              <w:keepNext/>
              <w:keepLines/>
              <w:spacing w:after="0"/>
              <w:jc w:val="center"/>
              <w:rPr>
                <w:rFonts w:ascii="Arial Narrow" w:hAnsi="Arial Narrow" w:cs="Arial"/>
                <w:sz w:val="20"/>
                <w:szCs w:val="20"/>
              </w:rPr>
            </w:pPr>
            <w:r w:rsidRPr="00E111C1">
              <w:rPr>
                <w:rFonts w:ascii="Arial Narrow" w:hAnsi="Arial Narrow" w:cs="Arial"/>
                <w:sz w:val="20"/>
                <w:szCs w:val="20"/>
              </w:rPr>
              <w:t>0.478 (81.5)</w:t>
            </w:r>
          </w:p>
        </w:tc>
      </w:tr>
    </w:tbl>
    <w:p w14:paraId="24DD8D2F" w14:textId="77777777" w:rsidR="007A36BA" w:rsidRPr="00E111C1" w:rsidRDefault="007A36BA" w:rsidP="00BC61E5">
      <w:pPr>
        <w:keepNext/>
        <w:keepLines/>
        <w:numPr>
          <w:ilvl w:val="0"/>
          <w:numId w:val="23"/>
        </w:numPr>
        <w:tabs>
          <w:tab w:val="left" w:pos="360"/>
        </w:tabs>
        <w:spacing w:after="0" w:line="240" w:lineRule="auto"/>
        <w:rPr>
          <w:rFonts w:ascii="Arial Narrow" w:hAnsi="Arial Narrow" w:cs="Arial"/>
          <w:sz w:val="20"/>
          <w:szCs w:val="20"/>
          <w:lang w:val="en-US"/>
        </w:rPr>
      </w:pPr>
      <w:bookmarkStart w:id="50" w:name="_Hlk83645208"/>
      <w:r w:rsidRPr="00E111C1">
        <w:rPr>
          <w:rFonts w:ascii="Arial Narrow" w:hAnsi="Arial Narrow" w:cs="Arial"/>
          <w:sz w:val="20"/>
          <w:szCs w:val="20"/>
          <w:lang w:val="en-US"/>
        </w:rPr>
        <w:t>With a standard meal.</w:t>
      </w:r>
    </w:p>
    <w:p w14:paraId="627E0137" w14:textId="77777777" w:rsidR="007A36BA" w:rsidRPr="00E111C1" w:rsidRDefault="007A36BA" w:rsidP="00BC61E5">
      <w:pPr>
        <w:keepNext/>
        <w:keepLines/>
        <w:numPr>
          <w:ilvl w:val="0"/>
          <w:numId w:val="23"/>
        </w:numPr>
        <w:tabs>
          <w:tab w:val="left" w:pos="360"/>
        </w:tabs>
        <w:spacing w:after="0" w:line="240" w:lineRule="auto"/>
        <w:rPr>
          <w:rFonts w:ascii="Arial Narrow" w:hAnsi="Arial Narrow" w:cs="Arial"/>
          <w:sz w:val="20"/>
          <w:szCs w:val="20"/>
          <w:lang w:val="en-US"/>
        </w:rPr>
      </w:pPr>
      <w:r w:rsidRPr="00E111C1">
        <w:rPr>
          <w:rFonts w:ascii="Arial Narrow" w:hAnsi="Arial Narrow" w:cs="Arial"/>
          <w:sz w:val="20"/>
          <w:szCs w:val="20"/>
        </w:rPr>
        <w:t>Based on population pharmacokinetic analyses</w:t>
      </w:r>
      <w:r w:rsidRPr="00E111C1">
        <w:rPr>
          <w:rFonts w:ascii="Arial Narrow" w:hAnsi="Arial Narrow" w:cs="Arial"/>
          <w:sz w:val="20"/>
          <w:szCs w:val="20"/>
          <w:lang w:val="en-US"/>
        </w:rPr>
        <w:t xml:space="preserve"> with or without food, in combination with other antiretroviral drugs.</w:t>
      </w:r>
    </w:p>
    <w:p w14:paraId="17017D37" w14:textId="77777777" w:rsidR="007A36BA" w:rsidRPr="00E111C1" w:rsidRDefault="007A36BA" w:rsidP="00124DDA">
      <w:pPr>
        <w:pStyle w:val="LBLTableFootnotes"/>
        <w:keepNext/>
        <w:keepLines/>
        <w:tabs>
          <w:tab w:val="clear" w:pos="720"/>
          <w:tab w:val="clear" w:pos="994"/>
        </w:tabs>
        <w:spacing w:after="240" w:line="240" w:lineRule="auto"/>
        <w:ind w:left="144" w:hanging="144"/>
        <w:rPr>
          <w:rFonts w:ascii="Arial Narrow" w:hAnsi="Arial Narrow" w:cs="Arial"/>
          <w:sz w:val="20"/>
          <w:szCs w:val="20"/>
        </w:rPr>
      </w:pPr>
      <w:r w:rsidRPr="00E111C1">
        <w:rPr>
          <w:rFonts w:ascii="Arial Narrow" w:hAnsi="Arial Narrow" w:cs="Arial"/>
          <w:sz w:val="20"/>
          <w:szCs w:val="20"/>
        </w:rPr>
        <w:t>CV = Coefficient of Variation.</w:t>
      </w:r>
    </w:p>
    <w:p w14:paraId="2F2D5F7A" w14:textId="77777777" w:rsidR="007A36BA" w:rsidRPr="007A36BA" w:rsidRDefault="007A36BA" w:rsidP="007A36BA">
      <w:pPr>
        <w:autoSpaceDE w:val="0"/>
        <w:autoSpaceDN w:val="0"/>
        <w:adjustRightInd w:val="0"/>
        <w:rPr>
          <w:rFonts w:ascii="Arial" w:hAnsi="Arial" w:cs="Arial"/>
        </w:rPr>
      </w:pPr>
      <w:bookmarkStart w:id="51" w:name="_Hlk83645320"/>
      <w:bookmarkEnd w:id="47"/>
      <w:bookmarkEnd w:id="48"/>
      <w:bookmarkEnd w:id="50"/>
      <w:r w:rsidRPr="007A36BA">
        <w:rPr>
          <w:rFonts w:ascii="Arial" w:hAnsi="Arial" w:cs="Arial"/>
        </w:rPr>
        <w:t xml:space="preserve">The absolute bioavailability of </w:t>
      </w:r>
      <w:proofErr w:type="spellStart"/>
      <w:r w:rsidRPr="007A36BA">
        <w:rPr>
          <w:rFonts w:ascii="Arial" w:hAnsi="Arial" w:cs="Arial"/>
        </w:rPr>
        <w:t>temsavir</w:t>
      </w:r>
      <w:proofErr w:type="spellEnd"/>
      <w:r w:rsidRPr="007A36BA">
        <w:rPr>
          <w:rFonts w:ascii="Arial" w:hAnsi="Arial" w:cs="Arial"/>
        </w:rPr>
        <w:t xml:space="preserve"> was 26.9% following oral administration of a single </w:t>
      </w:r>
      <w:r w:rsidRPr="007A36BA">
        <w:rPr>
          <w:rFonts w:ascii="Arial" w:eastAsia="MS Mincho" w:hAnsi="Arial" w:cs="Arial"/>
          <w:lang w:val="en-US"/>
        </w:rPr>
        <w:t>600 mg</w:t>
      </w:r>
      <w:r w:rsidRPr="007A36BA">
        <w:rPr>
          <w:rFonts w:ascii="Arial" w:hAnsi="Arial" w:cs="Arial"/>
        </w:rPr>
        <w:t xml:space="preserve"> dose of fostemsavir. </w:t>
      </w:r>
    </w:p>
    <w:p w14:paraId="7AB4A382" w14:textId="77777777" w:rsidR="007A36BA" w:rsidRPr="001E6E28" w:rsidRDefault="007A36BA" w:rsidP="001E6E28">
      <w:pPr>
        <w:pStyle w:val="Heading3"/>
        <w:spacing w:before="0" w:after="120"/>
        <w:ind w:left="0"/>
        <w:rPr>
          <w:rFonts w:ascii="Arial" w:hAnsi="Arial" w:cs="Arial"/>
        </w:rPr>
      </w:pPr>
      <w:bookmarkStart w:id="52" w:name="_Hlk7179490"/>
      <w:r w:rsidRPr="001E6E28">
        <w:rPr>
          <w:rFonts w:ascii="Arial" w:hAnsi="Arial" w:cs="Arial"/>
        </w:rPr>
        <w:lastRenderedPageBreak/>
        <w:t>Effect of Food</w:t>
      </w:r>
    </w:p>
    <w:p w14:paraId="7EF1AA68" w14:textId="2F864381" w:rsidR="007A36BA" w:rsidRPr="000B7FC9" w:rsidRDefault="007A36BA" w:rsidP="007A36BA">
      <w:pPr>
        <w:autoSpaceDE w:val="0"/>
        <w:autoSpaceDN w:val="0"/>
        <w:adjustRightInd w:val="0"/>
        <w:rPr>
          <w:rFonts w:ascii="Arial" w:hAnsi="Arial" w:cs="Arial"/>
        </w:rPr>
      </w:pPr>
      <w:r w:rsidRPr="007A36BA">
        <w:rPr>
          <w:rFonts w:ascii="Arial" w:hAnsi="Arial" w:cs="Arial"/>
        </w:rPr>
        <w:t xml:space="preserve">Fostemsavir may be administered with or without food. </w:t>
      </w:r>
      <w:proofErr w:type="spellStart"/>
      <w:r w:rsidRPr="007A36BA">
        <w:rPr>
          <w:rFonts w:ascii="Arial" w:hAnsi="Arial" w:cs="Arial"/>
        </w:rPr>
        <w:t>Temsavir</w:t>
      </w:r>
      <w:proofErr w:type="spellEnd"/>
      <w:r w:rsidRPr="007A36BA">
        <w:rPr>
          <w:rFonts w:ascii="Arial" w:hAnsi="Arial" w:cs="Arial"/>
        </w:rPr>
        <w:t xml:space="preserve"> bioavailability (AUC) was not impacted by a standard meal (approximately 423 kcal, 36% fat) but increased 81% with a high-fat meal (approximately </w:t>
      </w:r>
      <w:r w:rsidRPr="007A36BA">
        <w:rPr>
          <w:rFonts w:ascii="Arial" w:hAnsi="Arial" w:cs="Arial"/>
          <w:bCs/>
        </w:rPr>
        <w:t>985 kcal, 60% fat</w:t>
      </w:r>
      <w:r w:rsidRPr="007A36BA">
        <w:rPr>
          <w:rFonts w:ascii="Arial" w:hAnsi="Arial" w:cs="Arial"/>
        </w:rPr>
        <w:t xml:space="preserve">) and is not considered clinically significant. Regardless of calorie and fat content, food had no impact on plasma </w:t>
      </w:r>
      <w:proofErr w:type="spellStart"/>
      <w:r w:rsidRPr="007A36BA">
        <w:rPr>
          <w:rFonts w:ascii="Arial" w:hAnsi="Arial" w:cs="Arial"/>
        </w:rPr>
        <w:t>temsavir</w:t>
      </w:r>
      <w:proofErr w:type="spellEnd"/>
      <w:r w:rsidRPr="007A36BA">
        <w:rPr>
          <w:rFonts w:ascii="Arial" w:hAnsi="Arial" w:cs="Arial"/>
        </w:rPr>
        <w:t xml:space="preserve"> </w:t>
      </w:r>
      <w:proofErr w:type="spellStart"/>
      <w:r w:rsidRPr="007A36BA">
        <w:rPr>
          <w:rFonts w:ascii="Arial" w:hAnsi="Arial" w:cs="Arial"/>
        </w:rPr>
        <w:t>C</w:t>
      </w:r>
      <w:r w:rsidRPr="007A36BA">
        <w:rPr>
          <w:rFonts w:ascii="Arial" w:hAnsi="Arial" w:cs="Arial"/>
          <w:vertAlign w:val="subscript"/>
        </w:rPr>
        <w:t>max</w:t>
      </w:r>
      <w:proofErr w:type="spellEnd"/>
      <w:r w:rsidRPr="007A36BA">
        <w:rPr>
          <w:rFonts w:ascii="Arial" w:hAnsi="Arial" w:cs="Arial"/>
        </w:rPr>
        <w:t xml:space="preserve">. </w:t>
      </w:r>
      <w:r w:rsidR="000B7FC9" w:rsidRPr="000B7FC9">
        <w:rPr>
          <w:rFonts w:ascii="Arial" w:hAnsi="Arial" w:cs="Arial"/>
        </w:rPr>
        <w:t>In the Phase 3 BRIGHTE study that demonstrated efficacy and safety, fostemsavir was taken with or without food (see Section 5.1 PHARMACODYNAMIC PROPERTIES, Clinical Trials).</w:t>
      </w:r>
    </w:p>
    <w:bookmarkEnd w:id="52"/>
    <w:p w14:paraId="25179795" w14:textId="77777777" w:rsidR="001A3992" w:rsidRPr="00071855" w:rsidRDefault="001A3992" w:rsidP="00F25D4B">
      <w:pPr>
        <w:pStyle w:val="Heading3"/>
        <w:spacing w:before="0" w:after="120"/>
        <w:ind w:left="0"/>
        <w:rPr>
          <w:rFonts w:ascii="Arial" w:hAnsi="Arial" w:cs="Arial"/>
        </w:rPr>
      </w:pPr>
      <w:r w:rsidRPr="00071855">
        <w:rPr>
          <w:rFonts w:ascii="Arial" w:hAnsi="Arial" w:cs="Arial"/>
        </w:rPr>
        <w:t>Distribution</w:t>
      </w:r>
    </w:p>
    <w:p w14:paraId="151F0047" w14:textId="2526ACEB" w:rsidR="00071855" w:rsidRPr="00E111C1" w:rsidRDefault="00E111C1" w:rsidP="00071855">
      <w:pPr>
        <w:rPr>
          <w:rFonts w:ascii="Arial" w:hAnsi="Arial" w:cs="Arial"/>
          <w:i/>
        </w:rPr>
      </w:pPr>
      <w:bookmarkStart w:id="53" w:name="_Hlk39070124"/>
      <w:proofErr w:type="spellStart"/>
      <w:r w:rsidRPr="00E111C1">
        <w:rPr>
          <w:rFonts w:ascii="Arial" w:hAnsi="Arial" w:cs="Arial"/>
          <w:szCs w:val="24"/>
        </w:rPr>
        <w:t>Temsavir</w:t>
      </w:r>
      <w:proofErr w:type="spellEnd"/>
      <w:r w:rsidRPr="00E111C1">
        <w:rPr>
          <w:rFonts w:ascii="Arial" w:hAnsi="Arial" w:cs="Arial"/>
          <w:szCs w:val="24"/>
        </w:rPr>
        <w:t xml:space="preserve"> is approximately 88% bound to human plasma proteins based on </w:t>
      </w:r>
      <w:r w:rsidRPr="00E111C1">
        <w:rPr>
          <w:rFonts w:ascii="Arial" w:hAnsi="Arial" w:cs="Arial"/>
          <w:i/>
          <w:szCs w:val="24"/>
        </w:rPr>
        <w:t>in vivo</w:t>
      </w:r>
      <w:r w:rsidRPr="00E111C1">
        <w:rPr>
          <w:rFonts w:ascii="Arial" w:hAnsi="Arial" w:cs="Arial"/>
          <w:szCs w:val="24"/>
        </w:rPr>
        <w:t xml:space="preserve"> data. </w:t>
      </w:r>
      <w:bookmarkStart w:id="54" w:name="_Hlk2411481"/>
      <w:r w:rsidRPr="00E111C1">
        <w:rPr>
          <w:rFonts w:ascii="Arial" w:hAnsi="Arial" w:cs="Arial"/>
          <w:szCs w:val="24"/>
        </w:rPr>
        <w:t xml:space="preserve">Human serum albumin </w:t>
      </w:r>
      <w:bookmarkEnd w:id="54"/>
      <w:r w:rsidRPr="00E111C1">
        <w:rPr>
          <w:rFonts w:ascii="Arial" w:hAnsi="Arial" w:cs="Arial"/>
          <w:szCs w:val="24"/>
        </w:rPr>
        <w:t xml:space="preserve">is the major contributor to plasma protein binding of </w:t>
      </w:r>
      <w:proofErr w:type="spellStart"/>
      <w:r w:rsidRPr="00E111C1">
        <w:rPr>
          <w:rFonts w:ascii="Arial" w:hAnsi="Arial" w:cs="Arial"/>
          <w:szCs w:val="24"/>
        </w:rPr>
        <w:t>temsavir</w:t>
      </w:r>
      <w:proofErr w:type="spellEnd"/>
      <w:r w:rsidRPr="00E111C1">
        <w:rPr>
          <w:rFonts w:ascii="Arial" w:hAnsi="Arial" w:cs="Arial"/>
          <w:szCs w:val="24"/>
        </w:rPr>
        <w:t xml:space="preserve"> in humans. The volume of distribution of </w:t>
      </w:r>
      <w:proofErr w:type="spellStart"/>
      <w:r w:rsidRPr="00E111C1">
        <w:rPr>
          <w:rFonts w:ascii="Arial" w:hAnsi="Arial" w:cs="Arial"/>
          <w:szCs w:val="24"/>
        </w:rPr>
        <w:t>temsavir</w:t>
      </w:r>
      <w:proofErr w:type="spellEnd"/>
      <w:r w:rsidRPr="00E111C1">
        <w:rPr>
          <w:rFonts w:ascii="Arial" w:hAnsi="Arial" w:cs="Arial"/>
          <w:szCs w:val="24"/>
        </w:rPr>
        <w:t xml:space="preserve"> at steady state (</w:t>
      </w:r>
      <w:proofErr w:type="spellStart"/>
      <w:r w:rsidRPr="00E111C1">
        <w:rPr>
          <w:rFonts w:ascii="Arial" w:hAnsi="Arial" w:cs="Arial"/>
          <w:szCs w:val="24"/>
        </w:rPr>
        <w:t>Vss</w:t>
      </w:r>
      <w:proofErr w:type="spellEnd"/>
      <w:r w:rsidRPr="00E111C1">
        <w:rPr>
          <w:rFonts w:ascii="Arial" w:hAnsi="Arial" w:cs="Arial"/>
          <w:szCs w:val="24"/>
        </w:rPr>
        <w:t xml:space="preserve">) following intravenous administration is estimated at 29.5 L. The blood-to-plasma total radiocarbon </w:t>
      </w:r>
      <w:proofErr w:type="spellStart"/>
      <w:r w:rsidRPr="00E111C1">
        <w:rPr>
          <w:rFonts w:ascii="Arial" w:hAnsi="Arial" w:cs="Arial"/>
          <w:szCs w:val="24"/>
        </w:rPr>
        <w:t>C</w:t>
      </w:r>
      <w:r w:rsidRPr="00E111C1">
        <w:rPr>
          <w:rFonts w:ascii="Arial" w:hAnsi="Arial" w:cs="Arial"/>
          <w:szCs w:val="24"/>
          <w:vertAlign w:val="subscript"/>
        </w:rPr>
        <w:t>max</w:t>
      </w:r>
      <w:proofErr w:type="spellEnd"/>
      <w:r w:rsidRPr="00E111C1">
        <w:rPr>
          <w:rFonts w:ascii="Arial" w:hAnsi="Arial" w:cs="Arial"/>
          <w:szCs w:val="24"/>
        </w:rPr>
        <w:t xml:space="preserve"> ratio was approximately 0.74, indicating minimal association of </w:t>
      </w:r>
      <w:proofErr w:type="spellStart"/>
      <w:r w:rsidRPr="00E111C1">
        <w:rPr>
          <w:rFonts w:ascii="Arial" w:hAnsi="Arial" w:cs="Arial"/>
          <w:szCs w:val="24"/>
        </w:rPr>
        <w:t>temsavir</w:t>
      </w:r>
      <w:proofErr w:type="spellEnd"/>
      <w:r w:rsidRPr="00E111C1">
        <w:rPr>
          <w:rFonts w:ascii="Arial" w:hAnsi="Arial" w:cs="Arial"/>
          <w:szCs w:val="24"/>
        </w:rPr>
        <w:t xml:space="preserve"> or its</w:t>
      </w:r>
      <w:bookmarkEnd w:id="53"/>
      <w:r w:rsidRPr="00E111C1">
        <w:rPr>
          <w:rFonts w:ascii="Arial" w:hAnsi="Arial" w:cs="Arial"/>
          <w:szCs w:val="24"/>
        </w:rPr>
        <w:t xml:space="preserve"> metabolites with red blood cells. </w:t>
      </w:r>
      <w:r w:rsidRPr="00E111C1">
        <w:rPr>
          <w:rStyle w:val="hilighti1"/>
          <w:rFonts w:ascii="Arial" w:hAnsi="Arial" w:cs="Arial"/>
          <w:i/>
          <w:color w:val="auto"/>
          <w:szCs w:val="24"/>
          <w:u w:val="none"/>
        </w:rPr>
        <w:t>Ex vivo</w:t>
      </w:r>
      <w:r w:rsidRPr="00E111C1">
        <w:rPr>
          <w:rStyle w:val="hilighti1"/>
          <w:rFonts w:ascii="Arial" w:hAnsi="Arial" w:cs="Arial"/>
          <w:color w:val="auto"/>
          <w:szCs w:val="24"/>
          <w:u w:val="none"/>
        </w:rPr>
        <w:t>, the blood-to-plasma ratio (determined at 300, 1000, and 10,000 nanogram/mL) ranged from 0.785 to 0.963 [overall mean (SD) 0.869 ± 0.0599] with no apparent concentration dependence in the concentration range tested.</w:t>
      </w:r>
      <w:r w:rsidRPr="00E111C1">
        <w:rPr>
          <w:rFonts w:ascii="Arial" w:hAnsi="Arial" w:cs="Arial"/>
          <w:szCs w:val="24"/>
        </w:rPr>
        <w:t xml:space="preserve"> Free fraction of </w:t>
      </w:r>
      <w:proofErr w:type="spellStart"/>
      <w:r w:rsidRPr="00E111C1">
        <w:rPr>
          <w:rFonts w:ascii="Arial" w:hAnsi="Arial" w:cs="Arial"/>
          <w:szCs w:val="24"/>
        </w:rPr>
        <w:t>temsavir</w:t>
      </w:r>
      <w:proofErr w:type="spellEnd"/>
      <w:r w:rsidRPr="00E111C1">
        <w:rPr>
          <w:rFonts w:ascii="Arial" w:hAnsi="Arial" w:cs="Arial"/>
          <w:szCs w:val="24"/>
        </w:rPr>
        <w:t xml:space="preserve"> in plasma was approximately 12 to 18% in healthy subjects, 23% in subjects with severe hepatic impairment, and 19% in subjects with severe renal impairment, and 12% in HIV-1 infected patients.</w:t>
      </w:r>
    </w:p>
    <w:p w14:paraId="615A72C4" w14:textId="33C58E6B" w:rsidR="001A3992" w:rsidRPr="00071855" w:rsidRDefault="001A3992" w:rsidP="00F25D4B">
      <w:pPr>
        <w:pStyle w:val="Heading3"/>
        <w:spacing w:before="0" w:after="120"/>
        <w:ind w:left="0"/>
        <w:rPr>
          <w:rFonts w:ascii="Arial" w:hAnsi="Arial" w:cs="Arial"/>
        </w:rPr>
      </w:pPr>
      <w:r w:rsidRPr="00071855">
        <w:rPr>
          <w:rFonts w:ascii="Arial" w:hAnsi="Arial" w:cs="Arial"/>
        </w:rPr>
        <w:t>Metabolism</w:t>
      </w:r>
    </w:p>
    <w:p w14:paraId="6E94AD4E" w14:textId="77777777" w:rsidR="00E111C1" w:rsidRPr="00E111C1" w:rsidRDefault="00E111C1" w:rsidP="00E111C1">
      <w:pPr>
        <w:rPr>
          <w:rFonts w:ascii="Arial" w:eastAsia="MS Mincho" w:hAnsi="Arial" w:cs="Arial"/>
          <w:lang w:val="en-US"/>
        </w:rPr>
      </w:pPr>
      <w:r w:rsidRPr="00E111C1">
        <w:rPr>
          <w:rFonts w:ascii="Arial" w:eastAsia="MS Mincho" w:hAnsi="Arial" w:cs="Arial"/>
          <w:i/>
          <w:lang w:val="en-US"/>
        </w:rPr>
        <w:t>In vivo</w:t>
      </w:r>
      <w:r w:rsidRPr="00E111C1">
        <w:rPr>
          <w:rFonts w:ascii="Arial" w:eastAsia="MS Mincho" w:hAnsi="Arial" w:cs="Arial"/>
          <w:lang w:val="en-US"/>
        </w:rPr>
        <w:t xml:space="preserve">, </w:t>
      </w:r>
      <w:proofErr w:type="spellStart"/>
      <w:r w:rsidRPr="00E111C1">
        <w:rPr>
          <w:rFonts w:ascii="Arial" w:eastAsia="MS Mincho" w:hAnsi="Arial" w:cs="Arial"/>
          <w:lang w:val="en-US"/>
        </w:rPr>
        <w:t>temsavir</w:t>
      </w:r>
      <w:proofErr w:type="spellEnd"/>
      <w:r w:rsidRPr="00E111C1">
        <w:rPr>
          <w:rFonts w:ascii="Arial" w:eastAsia="MS Mincho" w:hAnsi="Arial" w:cs="Arial"/>
          <w:lang w:val="en-US"/>
        </w:rPr>
        <w:t xml:space="preserve"> is primarily </w:t>
      </w:r>
      <w:proofErr w:type="spellStart"/>
      <w:r w:rsidRPr="00E111C1">
        <w:rPr>
          <w:rFonts w:ascii="Arial" w:eastAsia="MS Mincho" w:hAnsi="Arial" w:cs="Arial"/>
          <w:lang w:val="en-US"/>
        </w:rPr>
        <w:t>metabolised</w:t>
      </w:r>
      <w:proofErr w:type="spellEnd"/>
      <w:r w:rsidRPr="00E111C1">
        <w:rPr>
          <w:rFonts w:ascii="Arial" w:eastAsia="MS Mincho" w:hAnsi="Arial" w:cs="Arial"/>
          <w:lang w:val="en-US"/>
        </w:rPr>
        <w:t xml:space="preserve"> via esterase hydrolysis (36.1% of administered dose) and secondarily by </w:t>
      </w:r>
      <w:r w:rsidRPr="00E111C1">
        <w:rPr>
          <w:rFonts w:ascii="Arial" w:hAnsi="Arial" w:cs="Arial"/>
        </w:rPr>
        <w:t xml:space="preserve">CYP3A4-mediated </w:t>
      </w:r>
      <w:r w:rsidRPr="00E111C1">
        <w:rPr>
          <w:rFonts w:ascii="Arial" w:eastAsia="MS Mincho" w:hAnsi="Arial" w:cs="Arial"/>
          <w:lang w:val="en-US"/>
        </w:rPr>
        <w:t>oxidative (21.2% of administered dose) pathways. Other non-CYP3A4 metabolites account for 7.2% of the administered dose. Glucuronidation is a minor metabolic pathway (&lt;1% of administered dose).</w:t>
      </w:r>
    </w:p>
    <w:p w14:paraId="58C977C7" w14:textId="2281B1A2" w:rsidR="00E111C1" w:rsidRPr="00E111C1" w:rsidRDefault="00E111C1" w:rsidP="00E111C1">
      <w:pPr>
        <w:autoSpaceDE w:val="0"/>
        <w:autoSpaceDN w:val="0"/>
        <w:adjustRightInd w:val="0"/>
        <w:rPr>
          <w:rFonts w:ascii="Arial" w:eastAsia="MS Mincho" w:hAnsi="Arial" w:cs="Arial"/>
          <w:color w:val="0000FF"/>
          <w:lang w:val="en-US"/>
        </w:rPr>
      </w:pPr>
      <w:proofErr w:type="spellStart"/>
      <w:r w:rsidRPr="00E111C1">
        <w:rPr>
          <w:rFonts w:ascii="Arial" w:hAnsi="Arial" w:cs="Arial"/>
        </w:rPr>
        <w:t>Temsavir</w:t>
      </w:r>
      <w:proofErr w:type="spellEnd"/>
      <w:r w:rsidRPr="00E111C1">
        <w:rPr>
          <w:rFonts w:ascii="Arial" w:hAnsi="Arial" w:cs="Arial"/>
        </w:rPr>
        <w:t xml:space="preserve"> is extensively metabolized, accounting for the fact that only 3% of the administered dose is recovered in human urine and faeces. </w:t>
      </w:r>
      <w:proofErr w:type="spellStart"/>
      <w:r w:rsidRPr="00E111C1">
        <w:rPr>
          <w:rFonts w:ascii="Arial" w:hAnsi="Arial" w:cs="Arial"/>
        </w:rPr>
        <w:t>Temsavir</w:t>
      </w:r>
      <w:proofErr w:type="spellEnd"/>
      <w:r w:rsidRPr="00E111C1">
        <w:rPr>
          <w:rFonts w:ascii="Arial" w:hAnsi="Arial" w:cs="Arial"/>
        </w:rPr>
        <w:t xml:space="preserve"> is </w:t>
      </w:r>
      <w:proofErr w:type="spellStart"/>
      <w:r w:rsidRPr="00E111C1">
        <w:rPr>
          <w:rFonts w:ascii="Arial" w:hAnsi="Arial" w:cs="Arial"/>
        </w:rPr>
        <w:t>biotransformed</w:t>
      </w:r>
      <w:proofErr w:type="spellEnd"/>
      <w:r w:rsidRPr="00E111C1">
        <w:rPr>
          <w:rFonts w:ascii="Arial" w:hAnsi="Arial" w:cs="Arial"/>
        </w:rPr>
        <w:t xml:space="preserve"> into two predominant circulating inactive metabolites, BMS-646915 (a product of hydrolysis) and BMS-930644 (a product of N-dealkylation). Drugs that are strong inducers of CYP3A are contraindicated with fostemsavir </w:t>
      </w:r>
      <w:r w:rsidRPr="00124DDA">
        <w:rPr>
          <w:rFonts w:ascii="Arial" w:hAnsi="Arial" w:cs="Arial"/>
        </w:rPr>
        <w:t>(see</w:t>
      </w:r>
      <w:r w:rsidRPr="00E111C1">
        <w:rPr>
          <w:rFonts w:ascii="Arial" w:hAnsi="Arial" w:cs="Arial"/>
          <w:i/>
        </w:rPr>
        <w:t xml:space="preserve"> </w:t>
      </w:r>
      <w:r w:rsidR="00124DDA" w:rsidRPr="00124DDA">
        <w:rPr>
          <w:rFonts w:ascii="Arial" w:hAnsi="Arial" w:cs="Arial"/>
        </w:rPr>
        <w:t>Section 4.3 CONTRAINDICATIONS</w:t>
      </w:r>
      <w:r w:rsidRPr="00124DDA">
        <w:rPr>
          <w:rFonts w:ascii="Arial" w:hAnsi="Arial" w:cs="Arial"/>
        </w:rPr>
        <w:t xml:space="preserve"> and </w:t>
      </w:r>
      <w:r w:rsidR="00124DDA" w:rsidRPr="00124DDA">
        <w:rPr>
          <w:rFonts w:ascii="Arial" w:hAnsi="Arial" w:cs="Arial"/>
        </w:rPr>
        <w:t>Section 4.</w:t>
      </w:r>
      <w:r w:rsidR="00124DDA">
        <w:rPr>
          <w:rFonts w:ascii="Arial" w:hAnsi="Arial" w:cs="Arial"/>
        </w:rPr>
        <w:t xml:space="preserve">5 </w:t>
      </w:r>
      <w:r w:rsidR="00124DDA" w:rsidRPr="00124DDA">
        <w:rPr>
          <w:rFonts w:ascii="Arial" w:hAnsi="Arial" w:cs="Arial"/>
        </w:rPr>
        <w:t>INTERACTIONS WITH OTHER MEDICINES AND OTHER FORMS OF INTERACTIONS</w:t>
      </w:r>
      <w:r w:rsidRPr="00124DDA">
        <w:rPr>
          <w:rFonts w:ascii="Arial" w:hAnsi="Arial" w:cs="Arial"/>
        </w:rPr>
        <w:t>).</w:t>
      </w:r>
      <w:r w:rsidRPr="00E111C1">
        <w:rPr>
          <w:rFonts w:ascii="Arial" w:hAnsi="Arial" w:cs="Arial"/>
          <w:color w:val="0000FF"/>
        </w:rPr>
        <w:t xml:space="preserve"> </w:t>
      </w:r>
    </w:p>
    <w:p w14:paraId="1D535FAD" w14:textId="680FFC83" w:rsidR="00E111C1" w:rsidRPr="00E111C1" w:rsidRDefault="00BC61E5" w:rsidP="00F25D4B">
      <w:pPr>
        <w:pStyle w:val="Heading3"/>
        <w:spacing w:before="0" w:after="120"/>
        <w:ind w:left="0"/>
        <w:rPr>
          <w:rFonts w:ascii="Arial" w:hAnsi="Arial" w:cs="Arial"/>
        </w:rPr>
      </w:pPr>
      <w:r>
        <w:rPr>
          <w:rFonts w:ascii="Arial" w:hAnsi="Arial" w:cs="Arial"/>
        </w:rPr>
        <w:t>Excretion</w:t>
      </w:r>
    </w:p>
    <w:p w14:paraId="228A3801" w14:textId="0B0832E6" w:rsidR="00E111C1" w:rsidRDefault="00E111C1" w:rsidP="00E111C1">
      <w:pPr>
        <w:rPr>
          <w:rFonts w:ascii="Arial" w:hAnsi="Arial" w:cs="Arial"/>
        </w:rPr>
      </w:pPr>
      <w:proofErr w:type="spellStart"/>
      <w:r w:rsidRPr="00E111C1">
        <w:rPr>
          <w:rFonts w:ascii="Arial" w:eastAsia="MS Mincho" w:hAnsi="Arial" w:cs="Arial"/>
          <w:lang w:val="en-US"/>
        </w:rPr>
        <w:t>Temsavir</w:t>
      </w:r>
      <w:proofErr w:type="spellEnd"/>
      <w:r w:rsidRPr="00E111C1">
        <w:rPr>
          <w:rFonts w:ascii="Arial" w:eastAsia="MS Mincho" w:hAnsi="Arial" w:cs="Arial"/>
          <w:lang w:val="en-US"/>
        </w:rPr>
        <w:t xml:space="preserve"> has a terminal half-life of approximately 11 hours. </w:t>
      </w:r>
      <w:r w:rsidRPr="00E111C1">
        <w:rPr>
          <w:rFonts w:ascii="Arial" w:hAnsi="Arial" w:cs="Arial"/>
          <w:lang w:val="en-US"/>
        </w:rPr>
        <w:t xml:space="preserve">Plasma </w:t>
      </w:r>
      <w:proofErr w:type="spellStart"/>
      <w:r w:rsidRPr="00E111C1">
        <w:rPr>
          <w:rFonts w:ascii="Arial" w:hAnsi="Arial" w:cs="Arial"/>
          <w:lang w:val="en-US"/>
        </w:rPr>
        <w:t>temsavir</w:t>
      </w:r>
      <w:proofErr w:type="spellEnd"/>
      <w:r w:rsidRPr="00E111C1">
        <w:rPr>
          <w:rFonts w:ascii="Arial" w:hAnsi="Arial" w:cs="Arial"/>
          <w:lang w:val="en-US"/>
        </w:rPr>
        <w:t xml:space="preserve"> clearance following intravenous administration was 17.9 L/</w:t>
      </w:r>
      <w:proofErr w:type="spellStart"/>
      <w:r w:rsidRPr="00E111C1">
        <w:rPr>
          <w:rFonts w:ascii="Arial" w:hAnsi="Arial" w:cs="Arial"/>
          <w:lang w:val="en-US"/>
        </w:rPr>
        <w:t>hr</w:t>
      </w:r>
      <w:proofErr w:type="spellEnd"/>
      <w:r w:rsidRPr="00E111C1">
        <w:rPr>
          <w:rFonts w:ascii="Arial" w:hAnsi="Arial" w:cs="Arial"/>
          <w:lang w:val="en-US"/>
        </w:rPr>
        <w:t xml:space="preserve">, and the </w:t>
      </w:r>
      <w:r w:rsidRPr="00E111C1">
        <w:rPr>
          <w:rFonts w:ascii="Arial" w:eastAsia="MS Mincho" w:hAnsi="Arial" w:cs="Arial"/>
          <w:lang w:val="en-US"/>
        </w:rPr>
        <w:t>apparent clearance (CL/F) following oral dosing was 66.4 L/hr</w:t>
      </w:r>
      <w:r w:rsidRPr="00E111C1">
        <w:rPr>
          <w:rFonts w:ascii="Arial" w:hAnsi="Arial" w:cs="Arial"/>
          <w:lang w:val="en-US"/>
        </w:rPr>
        <w:t>.</w:t>
      </w:r>
      <w:r w:rsidRPr="00E111C1">
        <w:rPr>
          <w:rFonts w:ascii="Arial" w:hAnsi="Arial" w:cs="Arial"/>
        </w:rPr>
        <w:t xml:space="preserve"> After oral administration of a single 300 mg dose of </w:t>
      </w:r>
      <w:r w:rsidRPr="00E111C1">
        <w:rPr>
          <w:rFonts w:ascii="Arial" w:hAnsi="Arial" w:cs="Arial"/>
          <w:vertAlign w:val="superscript"/>
        </w:rPr>
        <w:t>14</w:t>
      </w:r>
      <w:r w:rsidRPr="00E111C1">
        <w:rPr>
          <w:rFonts w:ascii="Arial" w:hAnsi="Arial" w:cs="Arial"/>
        </w:rPr>
        <w:t>C-labeled fostemsavir in a human mass balance study, 51% and 33% of the radioactivity was retrieved in the urine and faeces, respectively. Based on limited bile collection in this study (3 to 8 hours post dose), biliary clearance accounted for 5% of the radioactive dose, suggesting that a fraction of faecal excretion is from biliary excretion.</w:t>
      </w:r>
    </w:p>
    <w:p w14:paraId="04933D9C" w14:textId="77777777" w:rsidR="00291AD1" w:rsidRPr="00291AD1" w:rsidRDefault="00291AD1" w:rsidP="00F25D4B">
      <w:pPr>
        <w:pStyle w:val="Heading3"/>
        <w:spacing w:before="0" w:after="120"/>
        <w:ind w:left="0"/>
        <w:rPr>
          <w:rFonts w:ascii="Arial" w:hAnsi="Arial" w:cs="Arial"/>
        </w:rPr>
      </w:pPr>
      <w:r w:rsidRPr="00291AD1">
        <w:rPr>
          <w:rFonts w:ascii="Arial" w:hAnsi="Arial" w:cs="Arial"/>
        </w:rPr>
        <w:lastRenderedPageBreak/>
        <w:t>Special patient populations</w:t>
      </w:r>
    </w:p>
    <w:p w14:paraId="1FAF46AA" w14:textId="77777777" w:rsidR="00291AD1" w:rsidRPr="00986E9E" w:rsidRDefault="00291AD1" w:rsidP="00986E9E">
      <w:pPr>
        <w:pStyle w:val="Heading5"/>
        <w:numPr>
          <w:ilvl w:val="0"/>
          <w:numId w:val="0"/>
        </w:numPr>
        <w:rPr>
          <w:rFonts w:ascii="Arial" w:hAnsi="Arial" w:cs="Arial"/>
          <w:b/>
          <w:bCs/>
          <w:i/>
          <w:iCs/>
        </w:rPr>
      </w:pPr>
      <w:r w:rsidRPr="00986E9E">
        <w:rPr>
          <w:rFonts w:ascii="Arial" w:hAnsi="Arial" w:cs="Arial"/>
          <w:b/>
          <w:bCs/>
          <w:i/>
          <w:iCs/>
        </w:rPr>
        <w:t>Children</w:t>
      </w:r>
    </w:p>
    <w:p w14:paraId="2236BC0E" w14:textId="77777777" w:rsidR="00291AD1" w:rsidRPr="00291AD1" w:rsidRDefault="00291AD1" w:rsidP="00291AD1">
      <w:pPr>
        <w:rPr>
          <w:rFonts w:ascii="Arial" w:eastAsia="MS Mincho" w:hAnsi="Arial" w:cs="Arial"/>
          <w:lang w:val="en-US"/>
        </w:rPr>
      </w:pPr>
      <w:r w:rsidRPr="00291AD1">
        <w:rPr>
          <w:rFonts w:ascii="Arial" w:eastAsia="MS Mincho" w:hAnsi="Arial" w:cs="Arial"/>
          <w:lang w:val="en-US"/>
        </w:rPr>
        <w:t xml:space="preserve">The pharmacokinetics of </w:t>
      </w:r>
      <w:proofErr w:type="spellStart"/>
      <w:r w:rsidRPr="00291AD1">
        <w:rPr>
          <w:rFonts w:ascii="Arial" w:eastAsia="MS Mincho" w:hAnsi="Arial" w:cs="Arial"/>
          <w:lang w:val="en-US"/>
        </w:rPr>
        <w:t>temsavir</w:t>
      </w:r>
      <w:proofErr w:type="spellEnd"/>
      <w:r w:rsidRPr="00291AD1">
        <w:rPr>
          <w:rFonts w:ascii="Arial" w:eastAsia="MS Mincho" w:hAnsi="Arial" w:cs="Arial"/>
          <w:lang w:val="en-US"/>
        </w:rPr>
        <w:t xml:space="preserve"> have not been evaluated in children younger than 18 years.</w:t>
      </w:r>
    </w:p>
    <w:p w14:paraId="28D925D3" w14:textId="77777777" w:rsidR="00291AD1" w:rsidRPr="00986E9E" w:rsidRDefault="00291AD1" w:rsidP="00986E9E">
      <w:pPr>
        <w:pStyle w:val="Heading5"/>
        <w:numPr>
          <w:ilvl w:val="0"/>
          <w:numId w:val="0"/>
        </w:numPr>
        <w:rPr>
          <w:rFonts w:ascii="Arial" w:hAnsi="Arial" w:cs="Arial"/>
          <w:b/>
          <w:bCs/>
          <w:i/>
          <w:iCs/>
        </w:rPr>
      </w:pPr>
      <w:r w:rsidRPr="00986E9E">
        <w:rPr>
          <w:rFonts w:ascii="Arial" w:hAnsi="Arial" w:cs="Arial"/>
          <w:b/>
          <w:bCs/>
          <w:i/>
          <w:iCs/>
        </w:rPr>
        <w:t>Elderly</w:t>
      </w:r>
    </w:p>
    <w:p w14:paraId="549546B8" w14:textId="12C54FA4" w:rsidR="00291AD1" w:rsidRDefault="00291AD1" w:rsidP="00291AD1">
      <w:pPr>
        <w:rPr>
          <w:rFonts w:ascii="Arial" w:eastAsia="MS Mincho" w:hAnsi="Arial" w:cs="Arial"/>
          <w:lang w:val="en-US"/>
        </w:rPr>
      </w:pPr>
      <w:r w:rsidRPr="00291AD1">
        <w:rPr>
          <w:rFonts w:ascii="Arial" w:eastAsia="MS Mincho" w:hAnsi="Arial" w:cs="Arial"/>
          <w:lang w:val="en-US"/>
        </w:rPr>
        <w:t xml:space="preserve">Population pharmacokinetic analysis of </w:t>
      </w:r>
      <w:proofErr w:type="spellStart"/>
      <w:r w:rsidRPr="00291AD1">
        <w:rPr>
          <w:rFonts w:ascii="Arial" w:eastAsia="MS Mincho" w:hAnsi="Arial" w:cs="Arial"/>
          <w:lang w:val="en-US"/>
        </w:rPr>
        <w:t>temsavir</w:t>
      </w:r>
      <w:proofErr w:type="spellEnd"/>
      <w:r w:rsidRPr="00291AD1">
        <w:rPr>
          <w:rFonts w:ascii="Arial" w:eastAsia="MS Mincho" w:hAnsi="Arial" w:cs="Arial"/>
          <w:lang w:val="en-US"/>
        </w:rPr>
        <w:t xml:space="preserve"> using data in HIV-1 infected adults showed that there was no clinically relevant effect of age on </w:t>
      </w:r>
      <w:proofErr w:type="spellStart"/>
      <w:r w:rsidRPr="00291AD1">
        <w:rPr>
          <w:rFonts w:ascii="Arial" w:eastAsia="MS Mincho" w:hAnsi="Arial" w:cs="Arial"/>
          <w:lang w:val="en-US"/>
        </w:rPr>
        <w:t>temsavir</w:t>
      </w:r>
      <w:proofErr w:type="spellEnd"/>
      <w:r w:rsidRPr="00291AD1">
        <w:rPr>
          <w:rFonts w:ascii="Arial" w:eastAsia="MS Mincho" w:hAnsi="Arial" w:cs="Arial"/>
          <w:lang w:val="en-US"/>
        </w:rPr>
        <w:t xml:space="preserve"> exposure. Pharmacokinetic data for </w:t>
      </w:r>
      <w:proofErr w:type="spellStart"/>
      <w:r w:rsidRPr="00291AD1">
        <w:rPr>
          <w:rFonts w:ascii="Arial" w:eastAsia="MS Mincho" w:hAnsi="Arial" w:cs="Arial"/>
          <w:lang w:val="en-US"/>
        </w:rPr>
        <w:t>temsavir</w:t>
      </w:r>
      <w:proofErr w:type="spellEnd"/>
      <w:r w:rsidRPr="00291AD1">
        <w:rPr>
          <w:rFonts w:ascii="Arial" w:eastAsia="MS Mincho" w:hAnsi="Arial" w:cs="Arial"/>
          <w:lang w:val="en-US"/>
        </w:rPr>
        <w:t xml:space="preserve"> in subjects aged 65 years and older are limited. Elderly patients may be more susceptible to drug-induced QT interval prolongation</w:t>
      </w:r>
      <w:r>
        <w:rPr>
          <w:rFonts w:ascii="Arial" w:eastAsia="MS Mincho" w:hAnsi="Arial" w:cs="Arial"/>
          <w:lang w:val="en-US"/>
        </w:rPr>
        <w:t xml:space="preserve"> (see </w:t>
      </w:r>
      <w:r w:rsidR="00124DDA">
        <w:rPr>
          <w:rFonts w:ascii="Arial" w:eastAsia="MS Mincho" w:hAnsi="Arial" w:cs="Arial"/>
          <w:lang w:val="en-US"/>
        </w:rPr>
        <w:t xml:space="preserve">Section </w:t>
      </w:r>
      <w:r w:rsidR="00124DDA" w:rsidRPr="00124DDA">
        <w:rPr>
          <w:rFonts w:ascii="Arial" w:eastAsia="MS Mincho" w:hAnsi="Arial" w:cs="Arial"/>
          <w:lang w:val="en-US"/>
        </w:rPr>
        <w:t>4.</w:t>
      </w:r>
      <w:r w:rsidR="00124DDA">
        <w:rPr>
          <w:rFonts w:ascii="Arial" w:eastAsia="MS Mincho" w:hAnsi="Arial" w:cs="Arial"/>
          <w:lang w:val="en-US"/>
        </w:rPr>
        <w:t xml:space="preserve">4 </w:t>
      </w:r>
      <w:r w:rsidR="00124DDA" w:rsidRPr="00124DDA">
        <w:rPr>
          <w:rFonts w:ascii="Arial" w:eastAsia="MS Mincho" w:hAnsi="Arial" w:cs="Arial"/>
          <w:lang w:val="en-US"/>
        </w:rPr>
        <w:t>SPECIAL WARNINGS AND PRECAUTIONS FOR USE</w:t>
      </w:r>
      <w:r>
        <w:rPr>
          <w:rFonts w:ascii="Arial" w:eastAsia="MS Mincho" w:hAnsi="Arial" w:cs="Arial"/>
          <w:lang w:val="en-US"/>
        </w:rPr>
        <w:t>).</w:t>
      </w:r>
    </w:p>
    <w:p w14:paraId="2AD3D738" w14:textId="77777777" w:rsidR="00291AD1" w:rsidRPr="00986E9E" w:rsidRDefault="00291AD1" w:rsidP="00986E9E">
      <w:pPr>
        <w:pStyle w:val="Heading5"/>
        <w:numPr>
          <w:ilvl w:val="0"/>
          <w:numId w:val="0"/>
        </w:numPr>
        <w:rPr>
          <w:rFonts w:ascii="Arial" w:hAnsi="Arial" w:cs="Arial"/>
          <w:b/>
          <w:bCs/>
          <w:i/>
          <w:iCs/>
        </w:rPr>
      </w:pPr>
      <w:r w:rsidRPr="00986E9E">
        <w:rPr>
          <w:rFonts w:ascii="Arial" w:hAnsi="Arial" w:cs="Arial"/>
          <w:b/>
          <w:bCs/>
          <w:i/>
          <w:iCs/>
        </w:rPr>
        <w:t>Renal impairment</w:t>
      </w:r>
    </w:p>
    <w:p w14:paraId="4B0BCF8F" w14:textId="013B2C3F" w:rsidR="000B7FC9" w:rsidRPr="000B7FC9" w:rsidRDefault="00291AD1" w:rsidP="000B7FC9">
      <w:pPr>
        <w:autoSpaceDE w:val="0"/>
        <w:autoSpaceDN w:val="0"/>
        <w:adjustRightInd w:val="0"/>
        <w:rPr>
          <w:rFonts w:ascii="Arial" w:hAnsi="Arial" w:cs="Arial"/>
        </w:rPr>
      </w:pPr>
      <w:r w:rsidRPr="00291AD1">
        <w:rPr>
          <w:rFonts w:ascii="Arial" w:hAnsi="Arial" w:cs="Arial"/>
        </w:rPr>
        <w:t xml:space="preserve">No dosage adjustment of fostemsavir is required for patients with mild, moderate, or severe renal impairment and for patients with end stage renal disease (ESRD). The effect of renal impairment on the exposure of </w:t>
      </w:r>
      <w:proofErr w:type="spellStart"/>
      <w:r w:rsidRPr="00291AD1">
        <w:rPr>
          <w:rFonts w:ascii="Arial" w:hAnsi="Arial" w:cs="Arial"/>
        </w:rPr>
        <w:t>temsavir</w:t>
      </w:r>
      <w:proofErr w:type="spellEnd"/>
      <w:r w:rsidRPr="00291AD1">
        <w:rPr>
          <w:rFonts w:ascii="Arial" w:hAnsi="Arial" w:cs="Arial"/>
        </w:rPr>
        <w:t xml:space="preserve"> after a single 600 mg dose of fostemsavir was evaluated in an open-label study in 30 adult subjects with normal renal function, mild, moderate, and severe renal impairment, and subjects with ESRD on haemodialysis (n=6 per group). Classification of renal function was based on estimated glomerular filtration rate (eGFR), as follows: 60 ≤eGFR ≤89 (mild), 30 ≤eGFR &lt;60 (moderate), eGFR &lt;30 (severe, and ESRD on haemodialysis) mL/min/1.73 m</w:t>
      </w:r>
      <w:r w:rsidRPr="00291AD1">
        <w:rPr>
          <w:rFonts w:ascii="Arial" w:hAnsi="Arial" w:cs="Arial"/>
          <w:vertAlign w:val="superscript"/>
        </w:rPr>
        <w:t>2</w:t>
      </w:r>
      <w:r w:rsidRPr="00291AD1">
        <w:rPr>
          <w:rFonts w:ascii="Arial" w:hAnsi="Arial" w:cs="Arial"/>
        </w:rPr>
        <w:t xml:space="preserve">. There was no effect of renal impairment on total and unbound </w:t>
      </w:r>
      <w:proofErr w:type="spellStart"/>
      <w:r w:rsidR="000B7FC9" w:rsidRPr="00291AD1">
        <w:rPr>
          <w:rFonts w:ascii="Arial" w:hAnsi="Arial" w:cs="Arial"/>
        </w:rPr>
        <w:t>temsavir</w:t>
      </w:r>
      <w:proofErr w:type="spellEnd"/>
      <w:r w:rsidR="000B7FC9" w:rsidRPr="00291AD1">
        <w:rPr>
          <w:rFonts w:ascii="Arial" w:hAnsi="Arial" w:cs="Arial"/>
        </w:rPr>
        <w:t xml:space="preserve"> </w:t>
      </w:r>
      <w:proofErr w:type="spellStart"/>
      <w:r w:rsidR="000B7FC9" w:rsidRPr="00291AD1">
        <w:rPr>
          <w:rFonts w:ascii="Arial" w:hAnsi="Arial" w:cs="Arial"/>
        </w:rPr>
        <w:t>C</w:t>
      </w:r>
      <w:r w:rsidR="000B7FC9" w:rsidRPr="00291AD1">
        <w:rPr>
          <w:rFonts w:ascii="Arial" w:hAnsi="Arial" w:cs="Arial"/>
          <w:vertAlign w:val="subscript"/>
        </w:rPr>
        <w:t>max</w:t>
      </w:r>
      <w:proofErr w:type="spellEnd"/>
      <w:r w:rsidR="000B7FC9" w:rsidRPr="00291AD1">
        <w:rPr>
          <w:rFonts w:ascii="Arial" w:hAnsi="Arial" w:cs="Arial"/>
        </w:rPr>
        <w:t xml:space="preserve"> </w:t>
      </w:r>
      <w:r w:rsidR="000B7FC9">
        <w:rPr>
          <w:rFonts w:ascii="Arial" w:hAnsi="Arial" w:cs="Arial"/>
        </w:rPr>
        <w:t xml:space="preserve"> and AUC </w:t>
      </w:r>
      <w:r w:rsidRPr="00291AD1">
        <w:rPr>
          <w:rFonts w:ascii="Arial" w:hAnsi="Arial" w:cs="Arial"/>
        </w:rPr>
        <w:t>based on both eGFR and creatinine clearance (</w:t>
      </w:r>
      <w:proofErr w:type="spellStart"/>
      <w:r w:rsidRPr="00291AD1">
        <w:rPr>
          <w:rFonts w:ascii="Arial" w:hAnsi="Arial" w:cs="Arial"/>
        </w:rPr>
        <w:t>CLcr</w:t>
      </w:r>
      <w:proofErr w:type="spellEnd"/>
      <w:r w:rsidRPr="00291AD1">
        <w:rPr>
          <w:rFonts w:ascii="Arial" w:hAnsi="Arial" w:cs="Arial"/>
        </w:rPr>
        <w:t>)</w:t>
      </w:r>
      <w:r w:rsidR="000B7FC9" w:rsidRPr="000B7FC9">
        <w:rPr>
          <w:rFonts w:ascii="Arial" w:hAnsi="Arial" w:cs="Arial"/>
        </w:rPr>
        <w:t xml:space="preserve">; however, the upper bounds of the 2-sided 90% CI for the impact of renal impairment on plasma unbound </w:t>
      </w:r>
      <w:proofErr w:type="spellStart"/>
      <w:r w:rsidR="000B7FC9" w:rsidRPr="000B7FC9">
        <w:rPr>
          <w:rFonts w:ascii="Arial" w:hAnsi="Arial" w:cs="Arial"/>
        </w:rPr>
        <w:t>temsavir</w:t>
      </w:r>
      <w:proofErr w:type="spellEnd"/>
      <w:r w:rsidR="000B7FC9" w:rsidRPr="000B7FC9">
        <w:rPr>
          <w:rFonts w:ascii="Arial" w:hAnsi="Arial" w:cs="Arial"/>
        </w:rPr>
        <w:t xml:space="preserve"> </w:t>
      </w:r>
      <w:proofErr w:type="spellStart"/>
      <w:r w:rsidR="000B7FC9" w:rsidRPr="000B7FC9">
        <w:rPr>
          <w:rFonts w:ascii="Arial" w:hAnsi="Arial" w:cs="Arial"/>
        </w:rPr>
        <w:t>C</w:t>
      </w:r>
      <w:r w:rsidR="000B7FC9" w:rsidRPr="000B7FC9">
        <w:rPr>
          <w:rFonts w:ascii="Arial" w:hAnsi="Arial" w:cs="Arial"/>
          <w:vertAlign w:val="subscript"/>
        </w:rPr>
        <w:t>max</w:t>
      </w:r>
      <w:proofErr w:type="spellEnd"/>
      <w:r w:rsidR="000B7FC9" w:rsidRPr="000B7FC9">
        <w:rPr>
          <w:rFonts w:ascii="Arial" w:hAnsi="Arial" w:cs="Arial"/>
        </w:rPr>
        <w:t xml:space="preserve"> are as high as 2.7-fold with severe renal impairment which is lower than the 4.2-fold </w:t>
      </w:r>
      <w:proofErr w:type="spellStart"/>
      <w:r w:rsidR="000B7FC9" w:rsidRPr="000B7FC9">
        <w:rPr>
          <w:rFonts w:ascii="Arial" w:hAnsi="Arial" w:cs="Arial"/>
        </w:rPr>
        <w:t>C</w:t>
      </w:r>
      <w:r w:rsidR="000B7FC9" w:rsidRPr="000B7FC9">
        <w:rPr>
          <w:rFonts w:ascii="Arial" w:hAnsi="Arial" w:cs="Arial"/>
          <w:vertAlign w:val="subscript"/>
        </w:rPr>
        <w:t>max</w:t>
      </w:r>
      <w:proofErr w:type="spellEnd"/>
      <w:r w:rsidR="000B7FC9" w:rsidRPr="000B7FC9">
        <w:rPr>
          <w:rFonts w:ascii="Arial" w:hAnsi="Arial" w:cs="Arial"/>
        </w:rPr>
        <w:t xml:space="preserve"> threshold established based on </w:t>
      </w:r>
      <w:proofErr w:type="spellStart"/>
      <w:r w:rsidR="000B7FC9" w:rsidRPr="000B7FC9">
        <w:rPr>
          <w:rFonts w:ascii="Arial" w:hAnsi="Arial" w:cs="Arial"/>
        </w:rPr>
        <w:t>temsavir</w:t>
      </w:r>
      <w:proofErr w:type="spellEnd"/>
      <w:r w:rsidR="000B7FC9" w:rsidRPr="000B7FC9">
        <w:rPr>
          <w:rFonts w:ascii="Arial" w:hAnsi="Arial" w:cs="Arial"/>
        </w:rPr>
        <w:t xml:space="preserve"> exposure-safety response relationship (see Section 5.1 PHARMACODYNAMIC PROPERTIES, Effects on Electrocardiogram). Thus, increases in </w:t>
      </w:r>
      <w:proofErr w:type="spellStart"/>
      <w:r w:rsidR="000B7FC9" w:rsidRPr="000B7FC9">
        <w:rPr>
          <w:rFonts w:ascii="Arial" w:hAnsi="Arial" w:cs="Arial"/>
        </w:rPr>
        <w:t>temsavir</w:t>
      </w:r>
      <w:proofErr w:type="spellEnd"/>
      <w:r w:rsidR="000B7FC9" w:rsidRPr="000B7FC9">
        <w:rPr>
          <w:rFonts w:ascii="Arial" w:hAnsi="Arial" w:cs="Arial"/>
        </w:rPr>
        <w:t xml:space="preserve"> exposures are not considered clinically relevant.</w:t>
      </w:r>
    </w:p>
    <w:p w14:paraId="1BF43FB6" w14:textId="561D1D5D" w:rsidR="00291AD1" w:rsidRPr="00291AD1" w:rsidRDefault="00291AD1" w:rsidP="00291AD1">
      <w:pPr>
        <w:autoSpaceDE w:val="0"/>
        <w:autoSpaceDN w:val="0"/>
        <w:adjustRightInd w:val="0"/>
        <w:rPr>
          <w:rFonts w:ascii="Arial" w:eastAsia="Times New Roman" w:hAnsi="Arial" w:cs="Arial"/>
          <w:color w:val="0070C0"/>
          <w:lang w:val="en-GB"/>
        </w:rPr>
      </w:pPr>
      <w:r w:rsidRPr="00291AD1">
        <w:rPr>
          <w:rFonts w:ascii="Arial" w:hAnsi="Arial" w:cs="Arial"/>
        </w:rPr>
        <w:t xml:space="preserve">Fostemsavir may be administered to patients with ESRD without regard to time of haemodialysis because </w:t>
      </w:r>
      <w:proofErr w:type="spellStart"/>
      <w:r w:rsidRPr="00291AD1">
        <w:rPr>
          <w:rFonts w:ascii="Arial" w:hAnsi="Arial" w:cs="Arial"/>
        </w:rPr>
        <w:t>temsavir</w:t>
      </w:r>
      <w:proofErr w:type="spellEnd"/>
      <w:r w:rsidRPr="00291AD1">
        <w:rPr>
          <w:rFonts w:ascii="Arial" w:hAnsi="Arial" w:cs="Arial"/>
        </w:rPr>
        <w:t xml:space="preserve"> was not readily cleared by haemodialysis, with approximately 12.3% of the administered dose removed during the 4-hour haemodialysis session.  Haemodialysis initiated 4 hours after </w:t>
      </w:r>
      <w:proofErr w:type="spellStart"/>
      <w:r w:rsidRPr="00291AD1">
        <w:rPr>
          <w:rFonts w:ascii="Arial" w:hAnsi="Arial" w:cs="Arial"/>
        </w:rPr>
        <w:t>temsavir</w:t>
      </w:r>
      <w:proofErr w:type="spellEnd"/>
      <w:r w:rsidRPr="00291AD1">
        <w:rPr>
          <w:rFonts w:ascii="Arial" w:hAnsi="Arial" w:cs="Arial"/>
        </w:rPr>
        <w:t xml:space="preserve"> dosing was associated with an average 46% increase in plasma total </w:t>
      </w:r>
      <w:proofErr w:type="spellStart"/>
      <w:r w:rsidRPr="00291AD1">
        <w:rPr>
          <w:rFonts w:ascii="Arial" w:hAnsi="Arial" w:cs="Arial"/>
        </w:rPr>
        <w:t>temsavir</w:t>
      </w:r>
      <w:proofErr w:type="spellEnd"/>
      <w:r w:rsidRPr="00291AD1">
        <w:rPr>
          <w:rFonts w:ascii="Arial" w:hAnsi="Arial" w:cs="Arial"/>
        </w:rPr>
        <w:t xml:space="preserve"> </w:t>
      </w:r>
      <w:proofErr w:type="spellStart"/>
      <w:r w:rsidRPr="00291AD1">
        <w:rPr>
          <w:rFonts w:ascii="Arial" w:hAnsi="Arial" w:cs="Arial"/>
        </w:rPr>
        <w:t>C</w:t>
      </w:r>
      <w:r w:rsidRPr="00291AD1">
        <w:rPr>
          <w:rFonts w:ascii="Arial" w:hAnsi="Arial" w:cs="Arial"/>
          <w:vertAlign w:val="subscript"/>
        </w:rPr>
        <w:t>max</w:t>
      </w:r>
      <w:proofErr w:type="spellEnd"/>
      <w:r w:rsidRPr="00291AD1">
        <w:rPr>
          <w:rFonts w:ascii="Arial" w:hAnsi="Arial" w:cs="Arial"/>
        </w:rPr>
        <w:t xml:space="preserve"> and an average 11% decrease in AUC relative to pharmacokinetics off haemodialysis.</w:t>
      </w:r>
    </w:p>
    <w:p w14:paraId="043CDDB9" w14:textId="77777777" w:rsidR="00291AD1" w:rsidRPr="001E6E28" w:rsidRDefault="00291AD1" w:rsidP="001E6E28">
      <w:pPr>
        <w:pStyle w:val="Heading5"/>
        <w:numPr>
          <w:ilvl w:val="0"/>
          <w:numId w:val="0"/>
        </w:numPr>
        <w:rPr>
          <w:rFonts w:ascii="Arial" w:hAnsi="Arial" w:cs="Arial"/>
          <w:b/>
          <w:bCs/>
          <w:i/>
          <w:iCs/>
        </w:rPr>
      </w:pPr>
      <w:r w:rsidRPr="001E6E28">
        <w:rPr>
          <w:rFonts w:ascii="Arial" w:hAnsi="Arial" w:cs="Arial"/>
          <w:b/>
          <w:bCs/>
          <w:i/>
          <w:iCs/>
        </w:rPr>
        <w:t>Hepatic impairment</w:t>
      </w:r>
    </w:p>
    <w:p w14:paraId="2E12A2F4" w14:textId="4C79C985" w:rsidR="00291AD1" w:rsidRPr="000B7FC9" w:rsidRDefault="00291AD1" w:rsidP="00291AD1">
      <w:pPr>
        <w:autoSpaceDE w:val="0"/>
        <w:autoSpaceDN w:val="0"/>
        <w:adjustRightInd w:val="0"/>
        <w:rPr>
          <w:rFonts w:ascii="Arial" w:hAnsi="Arial" w:cs="Arial"/>
          <w:szCs w:val="24"/>
        </w:rPr>
      </w:pPr>
      <w:r w:rsidRPr="00291AD1">
        <w:rPr>
          <w:rFonts w:ascii="Arial" w:hAnsi="Arial" w:cs="Arial"/>
          <w:szCs w:val="24"/>
        </w:rPr>
        <w:t xml:space="preserve">No dosage adjustment of fostemsavir is necessary for patients with mild, </w:t>
      </w:r>
      <w:proofErr w:type="gramStart"/>
      <w:r w:rsidRPr="00291AD1">
        <w:rPr>
          <w:rFonts w:ascii="Arial" w:hAnsi="Arial" w:cs="Arial"/>
          <w:szCs w:val="24"/>
        </w:rPr>
        <w:t>moderate</w:t>
      </w:r>
      <w:proofErr w:type="gramEnd"/>
      <w:r w:rsidRPr="00291AD1">
        <w:rPr>
          <w:rFonts w:ascii="Arial" w:hAnsi="Arial" w:cs="Arial"/>
          <w:szCs w:val="24"/>
        </w:rPr>
        <w:t xml:space="preserve"> and severe hepatic impairment. The effect of hepatic impairment on the exposure of </w:t>
      </w:r>
      <w:proofErr w:type="spellStart"/>
      <w:r w:rsidRPr="00291AD1">
        <w:rPr>
          <w:rFonts w:ascii="Arial" w:hAnsi="Arial" w:cs="Arial"/>
          <w:szCs w:val="24"/>
        </w:rPr>
        <w:t>temsavir</w:t>
      </w:r>
      <w:proofErr w:type="spellEnd"/>
      <w:r w:rsidRPr="00291AD1">
        <w:rPr>
          <w:rFonts w:ascii="Arial" w:hAnsi="Arial" w:cs="Arial"/>
          <w:szCs w:val="24"/>
        </w:rPr>
        <w:t xml:space="preserve"> after a single 600 mg dose of fostemsavir was evaluated in an open-label study in 30 adult subjects with normal (n=12), mild (Child-Pugh Score A, n=6), moderate (Child-Pugh Score B, n=6), and severe (Child-Pugh Score C, n=6) hepatic impairment. Total and unbound </w:t>
      </w:r>
      <w:proofErr w:type="spellStart"/>
      <w:r w:rsidRPr="00291AD1">
        <w:rPr>
          <w:rFonts w:ascii="Arial" w:hAnsi="Arial" w:cs="Arial"/>
          <w:szCs w:val="24"/>
        </w:rPr>
        <w:t>temsavir</w:t>
      </w:r>
      <w:proofErr w:type="spellEnd"/>
      <w:r w:rsidRPr="00291AD1">
        <w:rPr>
          <w:rFonts w:ascii="Arial" w:hAnsi="Arial" w:cs="Arial"/>
          <w:szCs w:val="24"/>
        </w:rPr>
        <w:t xml:space="preserve"> exposures increased with increasing severity of hepatic impairment classified by Child-Pugh classes. In patients with mild to severe hepatic impairment, the increased exposure</w:t>
      </w:r>
      <w:r w:rsidR="006C6130">
        <w:rPr>
          <w:rFonts w:ascii="Arial" w:hAnsi="Arial" w:cs="Arial"/>
          <w:szCs w:val="24"/>
        </w:rPr>
        <w:t>s</w:t>
      </w:r>
      <w:r w:rsidRPr="00291AD1">
        <w:rPr>
          <w:rFonts w:ascii="Arial" w:hAnsi="Arial" w:cs="Arial"/>
          <w:szCs w:val="24"/>
        </w:rPr>
        <w:t xml:space="preserve"> to both unbound and total</w:t>
      </w:r>
      <w:r w:rsidR="000B7FC9">
        <w:rPr>
          <w:rFonts w:ascii="Arial" w:hAnsi="Arial" w:cs="Arial"/>
          <w:szCs w:val="24"/>
        </w:rPr>
        <w:t xml:space="preserve"> </w:t>
      </w:r>
      <w:r w:rsidR="000B7FC9" w:rsidRPr="000B7FC9">
        <w:rPr>
          <w:rFonts w:ascii="Arial" w:hAnsi="Arial" w:cs="Arial"/>
          <w:szCs w:val="24"/>
        </w:rPr>
        <w:t xml:space="preserve">geometric mean </w:t>
      </w:r>
      <w:proofErr w:type="spellStart"/>
      <w:r w:rsidR="000B7FC9" w:rsidRPr="000B7FC9">
        <w:rPr>
          <w:rFonts w:ascii="Arial" w:hAnsi="Arial" w:cs="Arial"/>
          <w:szCs w:val="24"/>
        </w:rPr>
        <w:t>temsavir</w:t>
      </w:r>
      <w:proofErr w:type="spellEnd"/>
      <w:r w:rsidRPr="00291AD1">
        <w:rPr>
          <w:rFonts w:ascii="Arial" w:hAnsi="Arial" w:cs="Arial"/>
          <w:szCs w:val="24"/>
        </w:rPr>
        <w:t xml:space="preserve"> </w:t>
      </w:r>
      <w:proofErr w:type="spellStart"/>
      <w:r w:rsidRPr="00291AD1">
        <w:rPr>
          <w:rFonts w:ascii="Arial" w:hAnsi="Arial" w:cs="Arial"/>
          <w:szCs w:val="24"/>
        </w:rPr>
        <w:t>C</w:t>
      </w:r>
      <w:r w:rsidRPr="00291AD1">
        <w:rPr>
          <w:rFonts w:ascii="Arial" w:hAnsi="Arial" w:cs="Arial"/>
          <w:szCs w:val="24"/>
          <w:vertAlign w:val="subscript"/>
        </w:rPr>
        <w:t>max</w:t>
      </w:r>
      <w:proofErr w:type="spellEnd"/>
      <w:r w:rsidRPr="00291AD1">
        <w:rPr>
          <w:rFonts w:ascii="Arial" w:hAnsi="Arial" w:cs="Arial"/>
          <w:szCs w:val="24"/>
        </w:rPr>
        <w:t xml:space="preserve"> and AUC range</w:t>
      </w:r>
      <w:r w:rsidR="000B7FC9">
        <w:rPr>
          <w:rFonts w:ascii="Arial" w:hAnsi="Arial" w:cs="Arial"/>
          <w:szCs w:val="24"/>
        </w:rPr>
        <w:t xml:space="preserve"> from</w:t>
      </w:r>
      <w:r w:rsidRPr="00291AD1">
        <w:rPr>
          <w:rFonts w:ascii="Arial" w:hAnsi="Arial" w:cs="Arial"/>
          <w:szCs w:val="24"/>
        </w:rPr>
        <w:t xml:space="preserve"> 1.2- to 2.2-fold; however, the upper bounds of the 2-sided 90% CI for the impact of hepatic </w:t>
      </w:r>
      <w:r w:rsidRPr="00291AD1">
        <w:rPr>
          <w:rFonts w:ascii="Arial" w:hAnsi="Arial" w:cs="Arial"/>
          <w:szCs w:val="24"/>
        </w:rPr>
        <w:lastRenderedPageBreak/>
        <w:t xml:space="preserve">impairment on plasma unbound </w:t>
      </w:r>
      <w:proofErr w:type="spellStart"/>
      <w:r w:rsidRPr="00291AD1">
        <w:rPr>
          <w:rFonts w:ascii="Arial" w:hAnsi="Arial" w:cs="Arial"/>
          <w:szCs w:val="24"/>
        </w:rPr>
        <w:t>temsavir</w:t>
      </w:r>
      <w:proofErr w:type="spellEnd"/>
      <w:r w:rsidRPr="00291AD1">
        <w:rPr>
          <w:rFonts w:ascii="Arial" w:hAnsi="Arial" w:cs="Arial"/>
          <w:szCs w:val="24"/>
        </w:rPr>
        <w:t xml:space="preserve"> </w:t>
      </w:r>
      <w:proofErr w:type="spellStart"/>
      <w:r w:rsidRPr="00291AD1">
        <w:rPr>
          <w:rFonts w:ascii="Arial" w:hAnsi="Arial" w:cs="Arial"/>
          <w:szCs w:val="24"/>
        </w:rPr>
        <w:t>C</w:t>
      </w:r>
      <w:r w:rsidRPr="00291AD1">
        <w:rPr>
          <w:rFonts w:ascii="Arial" w:hAnsi="Arial" w:cs="Arial"/>
          <w:szCs w:val="24"/>
          <w:vertAlign w:val="subscript"/>
        </w:rPr>
        <w:t>max</w:t>
      </w:r>
      <w:proofErr w:type="spellEnd"/>
      <w:r w:rsidRPr="00291AD1">
        <w:rPr>
          <w:rFonts w:ascii="Arial" w:hAnsi="Arial" w:cs="Arial"/>
          <w:szCs w:val="24"/>
        </w:rPr>
        <w:t xml:space="preserve"> are </w:t>
      </w:r>
      <w:r w:rsidR="000B7FC9">
        <w:rPr>
          <w:rFonts w:ascii="Arial" w:hAnsi="Arial" w:cs="Arial"/>
          <w:szCs w:val="24"/>
        </w:rPr>
        <w:t>as</w:t>
      </w:r>
      <w:r w:rsidR="000B7FC9" w:rsidRPr="000B7FC9">
        <w:rPr>
          <w:rFonts w:ascii="Arial" w:hAnsi="Arial" w:cs="Arial"/>
          <w:szCs w:val="24"/>
        </w:rPr>
        <w:t xml:space="preserve"> high as 3-fold with severe hepatic impairment which is</w:t>
      </w:r>
      <w:r w:rsidR="000B7FC9" w:rsidRPr="00291AD1">
        <w:rPr>
          <w:rFonts w:ascii="Arial" w:hAnsi="Arial" w:cs="Arial"/>
          <w:szCs w:val="24"/>
        </w:rPr>
        <w:t xml:space="preserve"> </w:t>
      </w:r>
      <w:r w:rsidRPr="00291AD1">
        <w:rPr>
          <w:rFonts w:ascii="Arial" w:hAnsi="Arial" w:cs="Arial"/>
          <w:szCs w:val="24"/>
        </w:rPr>
        <w:t>lower than the</w:t>
      </w:r>
      <w:r w:rsidR="000B7FC9">
        <w:rPr>
          <w:rFonts w:ascii="Arial" w:hAnsi="Arial" w:cs="Arial"/>
          <w:szCs w:val="24"/>
        </w:rPr>
        <w:t xml:space="preserve"> 4.2-fold</w:t>
      </w:r>
      <w:r w:rsidRPr="00291AD1">
        <w:rPr>
          <w:rFonts w:ascii="Arial" w:hAnsi="Arial" w:cs="Arial"/>
          <w:szCs w:val="24"/>
        </w:rPr>
        <w:t xml:space="preserve"> </w:t>
      </w:r>
      <w:proofErr w:type="spellStart"/>
      <w:r w:rsidRPr="00291AD1">
        <w:rPr>
          <w:rFonts w:ascii="Arial" w:hAnsi="Arial" w:cs="Arial"/>
          <w:szCs w:val="24"/>
        </w:rPr>
        <w:t>C</w:t>
      </w:r>
      <w:r w:rsidRPr="00291AD1">
        <w:rPr>
          <w:rFonts w:ascii="Arial" w:hAnsi="Arial" w:cs="Arial"/>
          <w:szCs w:val="24"/>
          <w:vertAlign w:val="subscript"/>
        </w:rPr>
        <w:t>max</w:t>
      </w:r>
      <w:proofErr w:type="spellEnd"/>
      <w:r w:rsidRPr="00291AD1">
        <w:rPr>
          <w:rFonts w:ascii="Arial" w:hAnsi="Arial" w:cs="Arial"/>
          <w:szCs w:val="24"/>
        </w:rPr>
        <w:t xml:space="preserve"> threshold established based on </w:t>
      </w:r>
      <w:proofErr w:type="spellStart"/>
      <w:r w:rsidRPr="00291AD1">
        <w:rPr>
          <w:rFonts w:ascii="Arial" w:hAnsi="Arial" w:cs="Arial"/>
          <w:szCs w:val="24"/>
        </w:rPr>
        <w:t>temsavir</w:t>
      </w:r>
      <w:proofErr w:type="spellEnd"/>
      <w:r w:rsidRPr="00291AD1">
        <w:rPr>
          <w:rFonts w:ascii="Arial" w:hAnsi="Arial" w:cs="Arial"/>
          <w:szCs w:val="24"/>
        </w:rPr>
        <w:t xml:space="preserve"> exposure-</w:t>
      </w:r>
      <w:r w:rsidR="000B7FC9">
        <w:rPr>
          <w:rFonts w:ascii="Arial" w:hAnsi="Arial" w:cs="Arial"/>
          <w:szCs w:val="24"/>
        </w:rPr>
        <w:t xml:space="preserve">safety </w:t>
      </w:r>
      <w:r w:rsidRPr="00124DDA">
        <w:rPr>
          <w:rFonts w:ascii="Arial" w:hAnsi="Arial" w:cs="Arial"/>
          <w:szCs w:val="24"/>
        </w:rPr>
        <w:t xml:space="preserve">response </w:t>
      </w:r>
      <w:r w:rsidR="000B7FC9">
        <w:rPr>
          <w:rFonts w:ascii="Arial" w:hAnsi="Arial" w:cs="Arial"/>
          <w:szCs w:val="24"/>
        </w:rPr>
        <w:t xml:space="preserve">relationship </w:t>
      </w:r>
      <w:r w:rsidRPr="00124DDA">
        <w:rPr>
          <w:rFonts w:ascii="Arial" w:hAnsi="Arial" w:cs="Arial"/>
          <w:szCs w:val="24"/>
        </w:rPr>
        <w:t xml:space="preserve">(see </w:t>
      </w:r>
      <w:r w:rsidR="00124DDA" w:rsidRPr="00124DDA">
        <w:rPr>
          <w:rFonts w:ascii="Arial" w:hAnsi="Arial" w:cs="Arial"/>
          <w:szCs w:val="24"/>
        </w:rPr>
        <w:t>Section 5.1 PHARMACODYNAMIC PROPERTIES</w:t>
      </w:r>
      <w:r w:rsidRPr="00124DDA">
        <w:rPr>
          <w:rFonts w:ascii="Arial" w:hAnsi="Arial" w:cs="Arial"/>
          <w:szCs w:val="24"/>
        </w:rPr>
        <w:t>, Effects on Electrocardiogram).</w:t>
      </w:r>
      <w:r w:rsidR="000B7FC9">
        <w:rPr>
          <w:rFonts w:ascii="Arial" w:hAnsi="Arial" w:cs="Arial"/>
          <w:szCs w:val="24"/>
        </w:rPr>
        <w:t xml:space="preserve"> </w:t>
      </w:r>
      <w:r w:rsidR="000B7FC9" w:rsidRPr="000B7FC9">
        <w:rPr>
          <w:rFonts w:ascii="Arial" w:hAnsi="Arial" w:cs="Arial"/>
          <w:szCs w:val="24"/>
        </w:rPr>
        <w:t xml:space="preserve">Thus, increases in </w:t>
      </w:r>
      <w:proofErr w:type="spellStart"/>
      <w:r w:rsidR="000B7FC9" w:rsidRPr="000B7FC9">
        <w:rPr>
          <w:rFonts w:ascii="Arial" w:hAnsi="Arial" w:cs="Arial"/>
          <w:szCs w:val="24"/>
        </w:rPr>
        <w:t>temsavir</w:t>
      </w:r>
      <w:proofErr w:type="spellEnd"/>
      <w:r w:rsidR="000B7FC9" w:rsidRPr="000B7FC9">
        <w:rPr>
          <w:rFonts w:ascii="Arial" w:hAnsi="Arial" w:cs="Arial"/>
          <w:szCs w:val="24"/>
        </w:rPr>
        <w:t xml:space="preserve"> exposures are not considered clinically relevant.</w:t>
      </w:r>
    </w:p>
    <w:p w14:paraId="1C022C94" w14:textId="77777777" w:rsidR="00291AD1" w:rsidRPr="001E6E28" w:rsidRDefault="00291AD1" w:rsidP="001E6E28">
      <w:pPr>
        <w:pStyle w:val="Heading5"/>
        <w:numPr>
          <w:ilvl w:val="0"/>
          <w:numId w:val="0"/>
        </w:numPr>
        <w:rPr>
          <w:rFonts w:ascii="Arial" w:hAnsi="Arial" w:cs="Arial"/>
          <w:b/>
          <w:bCs/>
          <w:i/>
          <w:iCs/>
        </w:rPr>
      </w:pPr>
      <w:r w:rsidRPr="001E6E28">
        <w:rPr>
          <w:rFonts w:ascii="Arial" w:hAnsi="Arial" w:cs="Arial"/>
          <w:b/>
          <w:bCs/>
          <w:i/>
          <w:iCs/>
        </w:rPr>
        <w:t>Gender</w:t>
      </w:r>
    </w:p>
    <w:p w14:paraId="1A74FD9D" w14:textId="77777777" w:rsidR="00291AD1" w:rsidRPr="00291AD1" w:rsidRDefault="00291AD1" w:rsidP="00291AD1">
      <w:pPr>
        <w:rPr>
          <w:rFonts w:ascii="Arial" w:eastAsia="Times New Roman" w:hAnsi="Arial" w:cs="Arial"/>
        </w:rPr>
      </w:pPr>
      <w:r w:rsidRPr="00291AD1">
        <w:rPr>
          <w:rFonts w:ascii="Arial" w:eastAsia="MS Mincho" w:hAnsi="Arial" w:cs="Arial"/>
        </w:rPr>
        <w:t xml:space="preserve">Population pharmacokinetic analyses indicated no clinically relevant effect of gender on the exposure of </w:t>
      </w:r>
      <w:proofErr w:type="spellStart"/>
      <w:r w:rsidRPr="00291AD1">
        <w:rPr>
          <w:rFonts w:ascii="Arial" w:hAnsi="Arial" w:cs="Arial"/>
          <w:szCs w:val="24"/>
          <w:lang w:val="en-US"/>
        </w:rPr>
        <w:t>temsavir</w:t>
      </w:r>
      <w:proofErr w:type="spellEnd"/>
      <w:r w:rsidRPr="00291AD1">
        <w:rPr>
          <w:rFonts w:ascii="Arial" w:eastAsia="MS Mincho" w:hAnsi="Arial" w:cs="Arial"/>
        </w:rPr>
        <w:t>.</w:t>
      </w:r>
      <w:r w:rsidRPr="00291AD1">
        <w:rPr>
          <w:rFonts w:ascii="Arial" w:hAnsi="Arial" w:cs="Arial"/>
        </w:rPr>
        <w:t xml:space="preserve"> Of the 764 subjects included in the analysis, 216 (28%) were female.</w:t>
      </w:r>
    </w:p>
    <w:p w14:paraId="15322D54" w14:textId="77777777" w:rsidR="00291AD1" w:rsidRPr="001E6E28" w:rsidRDefault="00291AD1" w:rsidP="001E6E28">
      <w:pPr>
        <w:pStyle w:val="Heading5"/>
        <w:numPr>
          <w:ilvl w:val="0"/>
          <w:numId w:val="0"/>
        </w:numPr>
        <w:rPr>
          <w:rFonts w:ascii="Arial" w:hAnsi="Arial" w:cs="Arial"/>
          <w:b/>
          <w:bCs/>
          <w:i/>
          <w:iCs/>
        </w:rPr>
      </w:pPr>
      <w:r w:rsidRPr="001E6E28">
        <w:rPr>
          <w:rFonts w:ascii="Arial" w:hAnsi="Arial" w:cs="Arial"/>
          <w:b/>
          <w:bCs/>
          <w:i/>
          <w:iCs/>
        </w:rPr>
        <w:t>Race</w:t>
      </w:r>
    </w:p>
    <w:p w14:paraId="4101B952" w14:textId="5283F164" w:rsidR="00291AD1" w:rsidRPr="00291AD1" w:rsidRDefault="00291AD1" w:rsidP="00291AD1">
      <w:pPr>
        <w:rPr>
          <w:rFonts w:ascii="Arial" w:eastAsia="MS Mincho" w:hAnsi="Arial" w:cs="Arial"/>
        </w:rPr>
      </w:pPr>
      <w:r w:rsidRPr="00291AD1">
        <w:rPr>
          <w:rFonts w:ascii="Arial" w:eastAsia="MS Mincho" w:hAnsi="Arial" w:cs="Arial"/>
        </w:rPr>
        <w:t xml:space="preserve">Population pharmacokinetic analyses indicated no clinically relevant effect of race on the exposure of </w:t>
      </w:r>
      <w:proofErr w:type="spellStart"/>
      <w:r w:rsidRPr="00291AD1">
        <w:rPr>
          <w:rFonts w:ascii="Arial" w:hAnsi="Arial" w:cs="Arial"/>
          <w:szCs w:val="24"/>
          <w:lang w:val="en-US"/>
        </w:rPr>
        <w:t>temsavir</w:t>
      </w:r>
      <w:proofErr w:type="spellEnd"/>
      <w:r w:rsidRPr="00291AD1">
        <w:rPr>
          <w:rFonts w:ascii="Arial" w:eastAsia="MS Mincho" w:hAnsi="Arial" w:cs="Arial"/>
        </w:rPr>
        <w:t xml:space="preserve">. </w:t>
      </w:r>
      <w:r w:rsidRPr="00291AD1">
        <w:rPr>
          <w:rFonts w:ascii="Arial" w:hAnsi="Arial" w:cs="Arial"/>
        </w:rPr>
        <w:t xml:space="preserve">Of the 764 subjects included in the analysis, 490 (64%) were White, 177 (23%) were Black/African American, 5 (1%) were Asian, and 92 (12%) were of </w:t>
      </w:r>
      <w:r w:rsidR="007D736D">
        <w:rPr>
          <w:rFonts w:ascii="Arial" w:hAnsi="Arial" w:cs="Arial"/>
        </w:rPr>
        <w:t>“</w:t>
      </w:r>
      <w:r w:rsidRPr="00291AD1">
        <w:rPr>
          <w:rFonts w:ascii="Arial" w:hAnsi="Arial" w:cs="Arial"/>
        </w:rPr>
        <w:t>other</w:t>
      </w:r>
      <w:r w:rsidR="007D736D">
        <w:rPr>
          <w:rFonts w:ascii="Arial" w:hAnsi="Arial" w:cs="Arial"/>
        </w:rPr>
        <w:t>”</w:t>
      </w:r>
      <w:r w:rsidRPr="00291AD1">
        <w:rPr>
          <w:rFonts w:ascii="Arial" w:hAnsi="Arial" w:cs="Arial"/>
        </w:rPr>
        <w:t xml:space="preserve"> race.</w:t>
      </w:r>
    </w:p>
    <w:p w14:paraId="7A2F5567" w14:textId="77777777" w:rsidR="00291AD1" w:rsidRPr="001E6E28" w:rsidRDefault="00291AD1" w:rsidP="001E6E28">
      <w:pPr>
        <w:pStyle w:val="Heading5"/>
        <w:numPr>
          <w:ilvl w:val="0"/>
          <w:numId w:val="0"/>
        </w:numPr>
        <w:rPr>
          <w:rFonts w:ascii="Arial" w:hAnsi="Arial" w:cs="Arial"/>
          <w:b/>
          <w:bCs/>
          <w:i/>
          <w:iCs/>
        </w:rPr>
      </w:pPr>
      <w:r w:rsidRPr="001E6E28">
        <w:rPr>
          <w:rFonts w:ascii="Arial" w:hAnsi="Arial" w:cs="Arial"/>
          <w:b/>
          <w:bCs/>
          <w:i/>
          <w:iCs/>
        </w:rPr>
        <w:t xml:space="preserve">Co-infection with Hepatitis B or C </w:t>
      </w:r>
    </w:p>
    <w:p w14:paraId="04EC4FBA" w14:textId="14BBEFBE" w:rsidR="00291AD1" w:rsidRPr="00291AD1" w:rsidRDefault="00291AD1" w:rsidP="00291AD1">
      <w:pPr>
        <w:rPr>
          <w:rFonts w:ascii="Arial" w:eastAsia="MS Mincho" w:hAnsi="Arial" w:cs="Arial"/>
        </w:rPr>
      </w:pPr>
      <w:r w:rsidRPr="00291AD1">
        <w:rPr>
          <w:rFonts w:ascii="Arial" w:eastAsia="MS Mincho" w:hAnsi="Arial" w:cs="Arial"/>
        </w:rPr>
        <w:t xml:space="preserve">Pharmacokinetic data for </w:t>
      </w:r>
      <w:proofErr w:type="spellStart"/>
      <w:r w:rsidRPr="00291AD1">
        <w:rPr>
          <w:rFonts w:ascii="Arial" w:eastAsia="MS Mincho" w:hAnsi="Arial" w:cs="Arial"/>
        </w:rPr>
        <w:t>temsavir</w:t>
      </w:r>
      <w:proofErr w:type="spellEnd"/>
      <w:r w:rsidRPr="00291AD1">
        <w:rPr>
          <w:rFonts w:ascii="Arial" w:eastAsia="MS Mincho" w:hAnsi="Arial" w:cs="Arial"/>
        </w:rPr>
        <w:t xml:space="preserve"> in patients co-infected with </w:t>
      </w:r>
      <w:r w:rsidRPr="00291AD1">
        <w:rPr>
          <w:rFonts w:ascii="Arial" w:hAnsi="Arial" w:cs="Arial"/>
          <w:bCs/>
        </w:rPr>
        <w:t xml:space="preserve">hepatitis B and/or C virus </w:t>
      </w:r>
      <w:r w:rsidRPr="00291AD1">
        <w:rPr>
          <w:rFonts w:ascii="Arial" w:eastAsia="MS Mincho" w:hAnsi="Arial" w:cs="Arial"/>
        </w:rPr>
        <w:t>are limited.</w:t>
      </w:r>
    </w:p>
    <w:p w14:paraId="77E71173" w14:textId="77777777" w:rsidR="001A3992" w:rsidRPr="00071855" w:rsidRDefault="00071855" w:rsidP="00124DDA">
      <w:pPr>
        <w:pStyle w:val="Heading2"/>
        <w:keepNext/>
        <w:keepLines/>
        <w:spacing w:before="0" w:after="120"/>
        <w:ind w:left="578" w:hanging="578"/>
        <w:rPr>
          <w:rFonts w:ascii="Arial" w:hAnsi="Arial" w:cs="Arial"/>
          <w:smallCaps w:val="0"/>
        </w:rPr>
      </w:pPr>
      <w:bookmarkStart w:id="55" w:name="_Hlk83645351"/>
      <w:bookmarkEnd w:id="51"/>
      <w:r w:rsidRPr="00071855">
        <w:rPr>
          <w:rFonts w:ascii="Arial" w:hAnsi="Arial" w:cs="Arial"/>
          <w:smallCaps w:val="0"/>
        </w:rPr>
        <w:t>PRECLINICAL SAFETY DATA</w:t>
      </w:r>
    </w:p>
    <w:p w14:paraId="024367CB" w14:textId="057E5FAC" w:rsidR="001A3992" w:rsidRPr="00956694" w:rsidRDefault="0059014B" w:rsidP="00F25D4B">
      <w:pPr>
        <w:pStyle w:val="Heading3"/>
        <w:spacing w:before="0" w:after="120"/>
        <w:ind w:left="0"/>
        <w:rPr>
          <w:rFonts w:ascii="Arial" w:hAnsi="Arial" w:cs="Arial"/>
        </w:rPr>
      </w:pPr>
      <w:r>
        <w:rPr>
          <w:rFonts w:ascii="Arial" w:hAnsi="Arial" w:cs="Arial"/>
        </w:rPr>
        <w:t>Genotoxicity</w:t>
      </w:r>
    </w:p>
    <w:p w14:paraId="254E7A2E" w14:textId="0BE05AC0" w:rsidR="00956694" w:rsidRDefault="00956694" w:rsidP="00124DDA">
      <w:pPr>
        <w:keepNext/>
        <w:keepLines/>
        <w:rPr>
          <w:rFonts w:ascii="Arial" w:eastAsia="MS Mincho" w:hAnsi="Arial" w:cs="Arial"/>
        </w:rPr>
      </w:pPr>
      <w:r w:rsidRPr="00956694">
        <w:rPr>
          <w:rFonts w:ascii="Arial" w:hAnsi="Arial" w:cs="Arial"/>
          <w:lang w:val="en-US"/>
        </w:rPr>
        <w:t xml:space="preserve">Neither fostemsavir nor </w:t>
      </w:r>
      <w:proofErr w:type="spellStart"/>
      <w:r w:rsidRPr="00956694">
        <w:rPr>
          <w:rFonts w:ascii="Arial" w:hAnsi="Arial" w:cs="Arial"/>
          <w:lang w:val="en-US"/>
        </w:rPr>
        <w:t>temsavir</w:t>
      </w:r>
      <w:proofErr w:type="spellEnd"/>
      <w:r w:rsidRPr="00956694">
        <w:rPr>
          <w:rFonts w:ascii="Arial" w:hAnsi="Arial" w:cs="Arial"/>
          <w:lang w:val="en-US"/>
        </w:rPr>
        <w:t xml:space="preserve"> were mutagenic or clastogenic using </w:t>
      </w:r>
      <w:r w:rsidRPr="00956694">
        <w:rPr>
          <w:rFonts w:ascii="Arial" w:hAnsi="Arial" w:cs="Arial"/>
          <w:i/>
          <w:lang w:val="en-US"/>
        </w:rPr>
        <w:t>in vitro</w:t>
      </w:r>
      <w:r w:rsidRPr="00956694">
        <w:rPr>
          <w:rFonts w:ascii="Arial" w:hAnsi="Arial" w:cs="Arial"/>
          <w:lang w:val="en-US"/>
        </w:rPr>
        <w:t xml:space="preserve"> tests in bacteria and cultured mammalian cells and an </w:t>
      </w:r>
      <w:r w:rsidRPr="00956694">
        <w:rPr>
          <w:rFonts w:ascii="Arial" w:hAnsi="Arial" w:cs="Arial"/>
          <w:i/>
          <w:lang w:val="en-US"/>
        </w:rPr>
        <w:t>in vivo</w:t>
      </w:r>
      <w:r w:rsidRPr="00956694">
        <w:rPr>
          <w:rFonts w:ascii="Arial" w:hAnsi="Arial" w:cs="Arial"/>
          <w:lang w:val="en-US"/>
        </w:rPr>
        <w:t xml:space="preserve"> rat micronucleus assay. </w:t>
      </w:r>
    </w:p>
    <w:p w14:paraId="3CF3B198" w14:textId="399ED908" w:rsidR="0059014B" w:rsidRDefault="0059014B" w:rsidP="00124DDA">
      <w:pPr>
        <w:keepNext/>
        <w:keepLines/>
        <w:rPr>
          <w:rFonts w:ascii="Arial" w:eastAsiaTheme="majorEastAsia" w:hAnsi="Arial" w:cs="Arial"/>
          <w:b/>
          <w:bCs/>
        </w:rPr>
      </w:pPr>
      <w:r w:rsidRPr="0059014B">
        <w:rPr>
          <w:rFonts w:ascii="Arial" w:eastAsiaTheme="majorEastAsia" w:hAnsi="Arial" w:cs="Arial"/>
          <w:b/>
          <w:bCs/>
        </w:rPr>
        <w:t>Carcinogenicity</w:t>
      </w:r>
    </w:p>
    <w:p w14:paraId="613CE955" w14:textId="3A412FE6" w:rsidR="00956694" w:rsidRPr="00956694" w:rsidRDefault="0059014B" w:rsidP="00956694">
      <w:pPr>
        <w:rPr>
          <w:rFonts w:ascii="Arial" w:hAnsi="Arial" w:cs="Arial"/>
          <w:lang w:val="en-US"/>
        </w:rPr>
      </w:pPr>
      <w:r w:rsidRPr="0059014B">
        <w:rPr>
          <w:rFonts w:ascii="Arial" w:hAnsi="Arial" w:cs="Arial"/>
          <w:lang w:val="en-US"/>
        </w:rPr>
        <w:t xml:space="preserve">In a 2-year carcinogenicity study conducted in rats and a 26-week carcinogenicity study conducted in transgenic mice, fostemsavir produced no statistically significant increases in </w:t>
      </w:r>
      <w:proofErr w:type="spellStart"/>
      <w:r w:rsidRPr="0059014B">
        <w:rPr>
          <w:rFonts w:ascii="Arial" w:hAnsi="Arial" w:cs="Arial"/>
          <w:lang w:val="en-US"/>
        </w:rPr>
        <w:t>tumours</w:t>
      </w:r>
      <w:proofErr w:type="spellEnd"/>
      <w:r w:rsidRPr="0059014B">
        <w:rPr>
          <w:rFonts w:ascii="Arial" w:hAnsi="Arial" w:cs="Arial"/>
          <w:lang w:val="en-US"/>
        </w:rPr>
        <w:t xml:space="preserve"> over controls. The maximum daily exposures in transgenic mice were approximately 1</w:t>
      </w:r>
      <w:r w:rsidR="00986E9E">
        <w:rPr>
          <w:rFonts w:ascii="Arial" w:hAnsi="Arial" w:cs="Arial"/>
          <w:lang w:val="en-US"/>
        </w:rPr>
        <w:t>8</w:t>
      </w:r>
      <w:r w:rsidRPr="0059014B">
        <w:rPr>
          <w:rFonts w:ascii="Arial" w:hAnsi="Arial" w:cs="Arial"/>
          <w:lang w:val="en-US"/>
        </w:rPr>
        <w:t xml:space="preserve"> times (males) and 3</w:t>
      </w:r>
      <w:r w:rsidR="00986E9E">
        <w:rPr>
          <w:rFonts w:ascii="Arial" w:hAnsi="Arial" w:cs="Arial"/>
          <w:lang w:val="en-US"/>
        </w:rPr>
        <w:t>9</w:t>
      </w:r>
      <w:r w:rsidRPr="0059014B">
        <w:rPr>
          <w:rFonts w:ascii="Arial" w:hAnsi="Arial" w:cs="Arial"/>
          <w:lang w:val="en-US"/>
        </w:rPr>
        <w:t xml:space="preserve"> times (females) greater than those in humans at the maximum recommended human dose, based on AUC. The maximum daily exposures in rats were approximately </w:t>
      </w:r>
      <w:r w:rsidR="00986E9E">
        <w:rPr>
          <w:rFonts w:ascii="Arial" w:hAnsi="Arial" w:cs="Arial"/>
          <w:lang w:val="en-US"/>
        </w:rPr>
        <w:t>6</w:t>
      </w:r>
      <w:r w:rsidRPr="0059014B">
        <w:rPr>
          <w:rFonts w:ascii="Arial" w:hAnsi="Arial" w:cs="Arial"/>
          <w:lang w:val="en-US"/>
        </w:rPr>
        <w:t xml:space="preserve"> times (males) and </w:t>
      </w:r>
      <w:r w:rsidR="00986E9E">
        <w:rPr>
          <w:rFonts w:ascii="Arial" w:hAnsi="Arial" w:cs="Arial"/>
          <w:lang w:val="en-US"/>
        </w:rPr>
        <w:t>38</w:t>
      </w:r>
      <w:r w:rsidRPr="0059014B">
        <w:rPr>
          <w:rFonts w:ascii="Arial" w:hAnsi="Arial" w:cs="Arial"/>
          <w:lang w:val="en-US"/>
        </w:rPr>
        <w:t xml:space="preserve"> times (females) greater than those in humans at the maximum recommended human dose.</w:t>
      </w:r>
    </w:p>
    <w:p w14:paraId="456FC5F0" w14:textId="77777777" w:rsidR="001A3992" w:rsidRPr="00071855" w:rsidRDefault="001A3992" w:rsidP="001A3992">
      <w:pPr>
        <w:pStyle w:val="Heading1"/>
        <w:spacing w:before="0" w:after="120"/>
        <w:rPr>
          <w:rFonts w:ascii="Arial" w:hAnsi="Arial" w:cs="Arial"/>
          <w:lang w:val="en-US"/>
        </w:rPr>
      </w:pPr>
      <w:r w:rsidRPr="00071855">
        <w:rPr>
          <w:rFonts w:ascii="Arial" w:hAnsi="Arial" w:cs="Arial"/>
          <w:lang w:val="en-US"/>
        </w:rPr>
        <w:t>Pharmaceutical particulars</w:t>
      </w:r>
    </w:p>
    <w:p w14:paraId="6C096CF7" w14:textId="77777777" w:rsidR="005B281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 xml:space="preserve">LIST OF EXCIPIENTS </w:t>
      </w:r>
    </w:p>
    <w:p w14:paraId="648448DC" w14:textId="5FAD3826" w:rsidR="00692CDC" w:rsidRPr="007F3FFE" w:rsidRDefault="007F3FFE" w:rsidP="00692CDC">
      <w:pPr>
        <w:rPr>
          <w:rFonts w:ascii="Arial" w:hAnsi="Arial" w:cs="Arial"/>
        </w:rPr>
      </w:pPr>
      <w:r w:rsidRPr="007F3FFE">
        <w:rPr>
          <w:rFonts w:ascii="Arial" w:hAnsi="Arial" w:cs="Arial"/>
        </w:rPr>
        <w:t>C</w:t>
      </w:r>
      <w:r w:rsidR="00692CDC" w:rsidRPr="007F3FFE">
        <w:rPr>
          <w:rFonts w:ascii="Arial" w:hAnsi="Arial" w:cs="Arial"/>
        </w:rPr>
        <w:t>olloidal anhydrous silica</w:t>
      </w:r>
    </w:p>
    <w:p w14:paraId="17962EA4" w14:textId="7AD18321" w:rsidR="00CF7331" w:rsidRPr="007F3FFE" w:rsidRDefault="007F3FFE" w:rsidP="006E595D">
      <w:pPr>
        <w:rPr>
          <w:rFonts w:ascii="Arial" w:hAnsi="Arial" w:cs="Arial"/>
        </w:rPr>
      </w:pPr>
      <w:proofErr w:type="spellStart"/>
      <w:r w:rsidRPr="007F3FFE">
        <w:rPr>
          <w:rFonts w:ascii="Arial" w:hAnsi="Arial" w:cs="Arial"/>
        </w:rPr>
        <w:t>H</w:t>
      </w:r>
      <w:r w:rsidR="00CF7331" w:rsidRPr="007F3FFE">
        <w:rPr>
          <w:rFonts w:ascii="Arial" w:hAnsi="Arial" w:cs="Arial"/>
        </w:rPr>
        <w:t>yprolose</w:t>
      </w:r>
      <w:proofErr w:type="spellEnd"/>
    </w:p>
    <w:p w14:paraId="0CCDFE8B" w14:textId="70635516" w:rsidR="00CF7331" w:rsidRPr="007F3FFE" w:rsidRDefault="007F3FFE" w:rsidP="006E595D">
      <w:pPr>
        <w:rPr>
          <w:rFonts w:ascii="Arial" w:hAnsi="Arial" w:cs="Arial"/>
        </w:rPr>
      </w:pPr>
      <w:bookmarkStart w:id="56" w:name="_Hlk39160371"/>
      <w:r w:rsidRPr="007F3FFE">
        <w:rPr>
          <w:rFonts w:ascii="Arial" w:hAnsi="Arial" w:cs="Arial"/>
        </w:rPr>
        <w:t>H</w:t>
      </w:r>
      <w:r w:rsidR="00CF7331" w:rsidRPr="007F3FFE">
        <w:rPr>
          <w:rFonts w:ascii="Arial" w:hAnsi="Arial" w:cs="Arial"/>
        </w:rPr>
        <w:t>ypromellose</w:t>
      </w:r>
    </w:p>
    <w:bookmarkEnd w:id="56"/>
    <w:p w14:paraId="3B7AC2F9" w14:textId="55523F06" w:rsidR="00692CDC" w:rsidRPr="007F3FFE" w:rsidRDefault="007F3FFE" w:rsidP="006E595D">
      <w:pPr>
        <w:rPr>
          <w:rFonts w:ascii="Arial" w:hAnsi="Arial" w:cs="Arial"/>
        </w:rPr>
      </w:pPr>
      <w:r w:rsidRPr="007F3FFE">
        <w:rPr>
          <w:rFonts w:ascii="Arial" w:hAnsi="Arial" w:cs="Arial"/>
        </w:rPr>
        <w:t>M</w:t>
      </w:r>
      <w:r w:rsidR="00692CDC" w:rsidRPr="007F3FFE">
        <w:rPr>
          <w:rFonts w:ascii="Arial" w:hAnsi="Arial" w:cs="Arial"/>
        </w:rPr>
        <w:t>agnesium stearate</w:t>
      </w:r>
    </w:p>
    <w:p w14:paraId="0D07BDB7" w14:textId="71D76404" w:rsidR="00CF7331" w:rsidRPr="007F3FFE" w:rsidRDefault="00CF7331" w:rsidP="006E595D">
      <w:pPr>
        <w:rPr>
          <w:rFonts w:ascii="Arial" w:hAnsi="Arial" w:cs="Arial"/>
        </w:rPr>
      </w:pPr>
      <w:r w:rsidRPr="007F3FFE">
        <w:rPr>
          <w:rFonts w:ascii="Arial" w:hAnsi="Arial" w:cs="Arial"/>
        </w:rPr>
        <w:t xml:space="preserve">OPADRY II complete film coating system </w:t>
      </w:r>
      <w:r w:rsidR="00BC61E5" w:rsidRPr="007F3FFE">
        <w:rPr>
          <w:rFonts w:ascii="Arial" w:hAnsi="Arial" w:cs="Arial"/>
        </w:rPr>
        <w:t>85F17002</w:t>
      </w:r>
      <w:r w:rsidR="00BC61E5">
        <w:rPr>
          <w:rFonts w:ascii="Arial" w:hAnsi="Arial" w:cs="Arial"/>
        </w:rPr>
        <w:t>2</w:t>
      </w:r>
      <w:r w:rsidR="00BC61E5" w:rsidRPr="007F3FFE">
        <w:rPr>
          <w:rFonts w:ascii="Arial" w:hAnsi="Arial" w:cs="Arial"/>
        </w:rPr>
        <w:t xml:space="preserve"> </w:t>
      </w:r>
      <w:r w:rsidRPr="007F3FFE">
        <w:rPr>
          <w:rFonts w:ascii="Arial" w:hAnsi="Arial" w:cs="Arial"/>
        </w:rPr>
        <w:t>BEIGE</w:t>
      </w:r>
    </w:p>
    <w:p w14:paraId="40F31368" w14:textId="58BA5DF0" w:rsidR="005B281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lastRenderedPageBreak/>
        <w:t xml:space="preserve">INCOMPATIBILITIES </w:t>
      </w:r>
    </w:p>
    <w:p w14:paraId="4E88FB49" w14:textId="0F484489" w:rsidR="005B2812" w:rsidRPr="00071855" w:rsidRDefault="005B2812" w:rsidP="005B2812">
      <w:pPr>
        <w:rPr>
          <w:rFonts w:ascii="Arial" w:hAnsi="Arial" w:cs="Arial"/>
          <w:lang w:val="en-US"/>
        </w:rPr>
      </w:pPr>
      <w:r w:rsidRPr="00071855">
        <w:rPr>
          <w:rFonts w:ascii="Arial" w:hAnsi="Arial" w:cs="Arial"/>
          <w:lang w:val="en"/>
        </w:rPr>
        <w:t>Incompatibilities were either not assessed or not identified as part of the registration of this medicine.</w:t>
      </w:r>
    </w:p>
    <w:p w14:paraId="781D01D3" w14:textId="77777777" w:rsidR="005B281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 xml:space="preserve">SHELF LIFE </w:t>
      </w:r>
    </w:p>
    <w:p w14:paraId="0BDBE17C" w14:textId="77777777" w:rsidR="005B2812" w:rsidRPr="00071855" w:rsidRDefault="005B2812" w:rsidP="005B2812">
      <w:pPr>
        <w:rPr>
          <w:rFonts w:ascii="Arial" w:hAnsi="Arial" w:cs="Arial"/>
          <w:lang w:val="en-US"/>
        </w:rPr>
      </w:pPr>
      <w:r w:rsidRPr="00071855">
        <w:rPr>
          <w:rFonts w:ascii="Arial" w:hAnsi="Arial" w:cs="Arial"/>
          <w:lang w:val="en"/>
        </w:rPr>
        <w:t xml:space="preserve">In Australia, information on the shelf life can be found on the public summary of the Australian Register of Therapeutic Goods (ARTG). The expiry date can be found on the packaging. </w:t>
      </w:r>
    </w:p>
    <w:p w14:paraId="0D65FFD5" w14:textId="77777777" w:rsidR="005B281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 xml:space="preserve">SPECIAL PRECAUTIONS FOR STORAGE </w:t>
      </w:r>
    </w:p>
    <w:p w14:paraId="1D14412F" w14:textId="580A5450" w:rsidR="00071855" w:rsidRPr="00C3759F" w:rsidRDefault="00C3759F" w:rsidP="00071855">
      <w:pPr>
        <w:rPr>
          <w:rFonts w:ascii="Arial" w:hAnsi="Arial" w:cs="Arial"/>
        </w:rPr>
      </w:pPr>
      <w:bookmarkStart w:id="57" w:name="_Hlk39160260"/>
      <w:r w:rsidRPr="00C3759F">
        <w:rPr>
          <w:rFonts w:ascii="Arial" w:hAnsi="Arial" w:cs="Arial"/>
        </w:rPr>
        <w:t>Store below 30°C</w:t>
      </w:r>
    </w:p>
    <w:bookmarkEnd w:id="57"/>
    <w:p w14:paraId="2D156165" w14:textId="77777777" w:rsidR="005B281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 xml:space="preserve">NATURE AND CONTENTS OF CONTAINER </w:t>
      </w:r>
    </w:p>
    <w:p w14:paraId="2ADB6879" w14:textId="5954B0EB" w:rsidR="00C3759F" w:rsidRPr="00C3759F" w:rsidRDefault="00C3759F" w:rsidP="00C3759F">
      <w:pPr>
        <w:rPr>
          <w:rFonts w:ascii="Arial" w:hAnsi="Arial" w:cs="Arial"/>
          <w:color w:val="000000"/>
          <w:szCs w:val="24"/>
        </w:rPr>
      </w:pPr>
      <w:r w:rsidRPr="00C3759F">
        <w:rPr>
          <w:rFonts w:ascii="Arial" w:hAnsi="Arial" w:cs="Arial"/>
          <w:color w:val="000000"/>
          <w:szCs w:val="24"/>
        </w:rPr>
        <w:t>Fostemsavir tablets are supplied in white high</w:t>
      </w:r>
      <w:r w:rsidR="009670D3">
        <w:rPr>
          <w:rFonts w:ascii="Arial" w:hAnsi="Arial" w:cs="Arial"/>
          <w:color w:val="000000"/>
          <w:szCs w:val="24"/>
        </w:rPr>
        <w:t>-</w:t>
      </w:r>
      <w:r w:rsidRPr="00C3759F">
        <w:rPr>
          <w:rFonts w:ascii="Arial" w:hAnsi="Arial" w:cs="Arial"/>
          <w:color w:val="000000"/>
          <w:szCs w:val="24"/>
        </w:rPr>
        <w:t xml:space="preserve">density polyethylene (HDPE) bottles with polypropylene child resistant closures that include a polyethylene faced induction heat seal liner.  Each bottle contains 60 film-coated tablets. </w:t>
      </w:r>
    </w:p>
    <w:p w14:paraId="79959D2B" w14:textId="3E43AEAB" w:rsidR="005B2812" w:rsidRPr="00071855" w:rsidRDefault="00C3759F" w:rsidP="00C3759F">
      <w:pPr>
        <w:pStyle w:val="Heading2"/>
        <w:spacing w:before="0" w:after="120"/>
        <w:ind w:left="578" w:hanging="578"/>
        <w:rPr>
          <w:rFonts w:ascii="Arial" w:hAnsi="Arial" w:cs="Arial"/>
          <w:smallCaps w:val="0"/>
        </w:rPr>
      </w:pPr>
      <w:r w:rsidRPr="00071855">
        <w:rPr>
          <w:rFonts w:ascii="Arial" w:hAnsi="Arial" w:cs="Arial"/>
          <w:smallCaps w:val="0"/>
        </w:rPr>
        <w:t xml:space="preserve"> </w:t>
      </w:r>
      <w:r w:rsidR="00071855" w:rsidRPr="00071855">
        <w:rPr>
          <w:rFonts w:ascii="Arial" w:hAnsi="Arial" w:cs="Arial"/>
          <w:smallCaps w:val="0"/>
        </w:rPr>
        <w:t xml:space="preserve">SPECIAL PRECAUTIONS FOR DISPOSAL </w:t>
      </w:r>
    </w:p>
    <w:p w14:paraId="5F5BA551" w14:textId="664D0446" w:rsidR="005B2812" w:rsidRPr="00071855" w:rsidRDefault="005B2812" w:rsidP="005B2812">
      <w:pPr>
        <w:rPr>
          <w:rFonts w:ascii="Arial" w:hAnsi="Arial" w:cs="Arial"/>
          <w:lang w:val="en-US"/>
        </w:rPr>
      </w:pPr>
      <w:r w:rsidRPr="00071855">
        <w:rPr>
          <w:rFonts w:ascii="Arial" w:hAnsi="Arial" w:cs="Arial"/>
          <w:lang w:val="en"/>
        </w:rPr>
        <w:t>In Australia, any unused medicine or waste material should be disposed of by taking to your local pharmacy.</w:t>
      </w:r>
    </w:p>
    <w:p w14:paraId="59E1F502" w14:textId="77777777"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PHYSICOCHEMICAL PROPERTIES</w:t>
      </w:r>
    </w:p>
    <w:p w14:paraId="4C812CBC" w14:textId="77777777" w:rsidR="001A3992" w:rsidRPr="00071855" w:rsidRDefault="001A3992" w:rsidP="00F25D4B">
      <w:pPr>
        <w:pStyle w:val="Heading3"/>
        <w:spacing w:before="0" w:after="120"/>
        <w:ind w:left="0"/>
        <w:rPr>
          <w:rFonts w:ascii="Arial" w:hAnsi="Arial" w:cs="Arial"/>
          <w:lang w:val="en-US"/>
        </w:rPr>
      </w:pPr>
      <w:r w:rsidRPr="00071855">
        <w:rPr>
          <w:rFonts w:ascii="Arial" w:hAnsi="Arial" w:cs="Arial"/>
          <w:lang w:val="en-US"/>
        </w:rPr>
        <w:t>Chemical structure</w:t>
      </w:r>
    </w:p>
    <w:p w14:paraId="64517136" w14:textId="00B2B6CE" w:rsidR="00956694" w:rsidRDefault="00956694" w:rsidP="00956694">
      <w:pPr>
        <w:rPr>
          <w:rFonts w:ascii="Arial" w:hAnsi="Arial" w:cs="Arial"/>
          <w:bCs/>
          <w:szCs w:val="24"/>
        </w:rPr>
      </w:pPr>
      <w:r w:rsidRPr="00956694">
        <w:rPr>
          <w:rFonts w:ascii="Arial" w:hAnsi="Arial" w:cs="Arial"/>
          <w:bCs/>
          <w:szCs w:val="24"/>
        </w:rPr>
        <w:t xml:space="preserve">Fostemsavir is a prodrug of </w:t>
      </w:r>
      <w:proofErr w:type="spellStart"/>
      <w:r w:rsidRPr="00956694">
        <w:rPr>
          <w:rFonts w:ascii="Arial" w:hAnsi="Arial" w:cs="Arial"/>
          <w:bCs/>
          <w:szCs w:val="24"/>
        </w:rPr>
        <w:t>temsavir</w:t>
      </w:r>
      <w:proofErr w:type="spellEnd"/>
      <w:r w:rsidRPr="00956694">
        <w:rPr>
          <w:rFonts w:ascii="Arial" w:hAnsi="Arial" w:cs="Arial"/>
          <w:bCs/>
          <w:szCs w:val="24"/>
        </w:rPr>
        <w:t xml:space="preserve">, a human immunodeficiency virus (HIV) attachment inhibitor. The chemical name of fostemsavir </w:t>
      </w:r>
      <w:r w:rsidR="003C24F7">
        <w:rPr>
          <w:rFonts w:ascii="Arial" w:hAnsi="Arial" w:cs="Arial"/>
          <w:bCs/>
          <w:szCs w:val="24"/>
        </w:rPr>
        <w:t>trometamol</w:t>
      </w:r>
      <w:r w:rsidR="003C24F7" w:rsidRPr="00956694">
        <w:rPr>
          <w:rFonts w:ascii="Arial" w:hAnsi="Arial" w:cs="Arial"/>
          <w:bCs/>
          <w:szCs w:val="24"/>
        </w:rPr>
        <w:t xml:space="preserve"> </w:t>
      </w:r>
      <w:r w:rsidRPr="00956694">
        <w:rPr>
          <w:rFonts w:ascii="Arial" w:hAnsi="Arial" w:cs="Arial"/>
          <w:bCs/>
          <w:szCs w:val="24"/>
        </w:rPr>
        <w:t>is (3-((4-benzoyl-1-piperazinyl)(oxo)acetyl)-4-methoxy-7-(3-methyl-1</w:t>
      </w:r>
      <w:r w:rsidRPr="00956694">
        <w:rPr>
          <w:rFonts w:ascii="Arial" w:hAnsi="Arial" w:cs="Arial"/>
          <w:bCs/>
          <w:i/>
          <w:szCs w:val="24"/>
        </w:rPr>
        <w:t>H</w:t>
      </w:r>
      <w:r w:rsidRPr="00956694">
        <w:rPr>
          <w:rFonts w:ascii="Arial" w:hAnsi="Arial" w:cs="Arial"/>
          <w:bCs/>
          <w:szCs w:val="24"/>
        </w:rPr>
        <w:t>-1,2,4-triazol-1-yl)-1</w:t>
      </w:r>
      <w:r w:rsidRPr="00956694">
        <w:rPr>
          <w:rFonts w:ascii="Arial" w:hAnsi="Arial" w:cs="Arial"/>
          <w:bCs/>
          <w:i/>
          <w:szCs w:val="24"/>
        </w:rPr>
        <w:t>H</w:t>
      </w:r>
      <w:r w:rsidRPr="00956694">
        <w:rPr>
          <w:rFonts w:ascii="Arial" w:hAnsi="Arial" w:cs="Arial"/>
          <w:bCs/>
          <w:szCs w:val="24"/>
        </w:rPr>
        <w:t>-pyrrolo[2,3-c]pyridin-1-yl)methyl dihydrogen phosphate, 2-amino-2-(hydroxymethyl)-1,3-propanediol (1:1).  The empirical formula is C</w:t>
      </w:r>
      <w:r w:rsidRPr="00956694">
        <w:rPr>
          <w:rFonts w:ascii="Arial" w:hAnsi="Arial" w:cs="Arial"/>
          <w:bCs/>
          <w:vertAlign w:val="subscript"/>
        </w:rPr>
        <w:t>25</w:t>
      </w:r>
      <w:r w:rsidRPr="00956694">
        <w:rPr>
          <w:rFonts w:ascii="Arial" w:hAnsi="Arial" w:cs="Arial"/>
          <w:bCs/>
          <w:szCs w:val="24"/>
        </w:rPr>
        <w:t>H</w:t>
      </w:r>
      <w:r w:rsidRPr="00956694">
        <w:rPr>
          <w:rFonts w:ascii="Arial" w:hAnsi="Arial" w:cs="Arial"/>
          <w:bCs/>
          <w:vertAlign w:val="subscript"/>
        </w:rPr>
        <w:t>26</w:t>
      </w:r>
      <w:r w:rsidRPr="00956694">
        <w:rPr>
          <w:rFonts w:ascii="Arial" w:hAnsi="Arial" w:cs="Arial"/>
          <w:bCs/>
          <w:szCs w:val="24"/>
        </w:rPr>
        <w:t>N</w:t>
      </w:r>
      <w:r w:rsidRPr="00956694">
        <w:rPr>
          <w:rFonts w:ascii="Arial" w:hAnsi="Arial" w:cs="Arial"/>
          <w:bCs/>
          <w:vertAlign w:val="subscript"/>
        </w:rPr>
        <w:t>7</w:t>
      </w:r>
      <w:r w:rsidRPr="00956694">
        <w:rPr>
          <w:rFonts w:ascii="Arial" w:hAnsi="Arial" w:cs="Arial"/>
          <w:bCs/>
          <w:szCs w:val="24"/>
        </w:rPr>
        <w:t>O</w:t>
      </w:r>
      <w:r w:rsidRPr="00956694">
        <w:rPr>
          <w:rFonts w:ascii="Arial" w:hAnsi="Arial" w:cs="Arial"/>
          <w:bCs/>
          <w:vertAlign w:val="subscript"/>
        </w:rPr>
        <w:t>8</w:t>
      </w:r>
      <w:r w:rsidRPr="00956694">
        <w:rPr>
          <w:rFonts w:ascii="Arial" w:hAnsi="Arial" w:cs="Arial"/>
          <w:bCs/>
          <w:szCs w:val="24"/>
        </w:rPr>
        <w:t>P·C</w:t>
      </w:r>
      <w:r w:rsidRPr="00956694">
        <w:rPr>
          <w:rFonts w:ascii="Arial" w:hAnsi="Arial" w:cs="Arial"/>
          <w:bCs/>
          <w:vertAlign w:val="subscript"/>
        </w:rPr>
        <w:t>4</w:t>
      </w:r>
      <w:r w:rsidRPr="00956694">
        <w:rPr>
          <w:rFonts w:ascii="Arial" w:hAnsi="Arial" w:cs="Arial"/>
          <w:bCs/>
          <w:szCs w:val="24"/>
        </w:rPr>
        <w:t>H</w:t>
      </w:r>
      <w:r w:rsidRPr="00956694">
        <w:rPr>
          <w:rFonts w:ascii="Arial" w:hAnsi="Arial" w:cs="Arial"/>
          <w:bCs/>
          <w:vertAlign w:val="subscript"/>
        </w:rPr>
        <w:t>11</w:t>
      </w:r>
      <w:r w:rsidRPr="00956694">
        <w:rPr>
          <w:rFonts w:ascii="Arial" w:hAnsi="Arial" w:cs="Arial"/>
          <w:bCs/>
          <w:szCs w:val="24"/>
        </w:rPr>
        <w:t>NO</w:t>
      </w:r>
      <w:r w:rsidRPr="00956694">
        <w:rPr>
          <w:rFonts w:ascii="Arial" w:hAnsi="Arial" w:cs="Arial"/>
          <w:bCs/>
          <w:vertAlign w:val="subscript"/>
        </w:rPr>
        <w:t xml:space="preserve">3.  </w:t>
      </w:r>
      <w:r w:rsidRPr="00956694">
        <w:rPr>
          <w:rFonts w:ascii="Arial" w:hAnsi="Arial" w:cs="Arial"/>
          <w:bCs/>
          <w:szCs w:val="24"/>
        </w:rPr>
        <w:t>The molecular weight is 704.6 g per mol.  It has the following structural formula:</w:t>
      </w:r>
    </w:p>
    <w:p w14:paraId="12982481" w14:textId="7B78207D" w:rsidR="00956694" w:rsidRPr="00956694" w:rsidRDefault="00A05034" w:rsidP="00956694">
      <w:pPr>
        <w:rPr>
          <w:rFonts w:ascii="Times New Roman" w:eastAsia="Times New Roman" w:hAnsi="Times New Roman" w:cs="Times New Roman"/>
          <w:sz w:val="24"/>
          <w:szCs w:val="20"/>
          <w:lang w:val="en-GB" w:eastAsia="en-GB"/>
        </w:rPr>
      </w:pPr>
      <w:r>
        <w:rPr>
          <w:rFonts w:ascii="Times New Roman" w:eastAsia="Times New Roman" w:hAnsi="Times New Roman" w:cs="Times New Roman"/>
          <w:sz w:val="24"/>
          <w:szCs w:val="20"/>
          <w:lang w:val="en-GB" w:eastAsia="en-GB"/>
        </w:rPr>
        <w:object w:dxaOrig="3840" w:dyaOrig="4470" w14:anchorId="69BF69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9pt;height:192.2pt" o:ole="">
            <v:imagedata r:id="rId10" o:title=""/>
          </v:shape>
          <o:OLEObject Type="Embed" ProgID="ChemDraw.Document.6.0" ShapeID="_x0000_i1025" DrawAspect="Content" ObjectID="_1694258592" r:id="rId11"/>
        </w:object>
      </w:r>
    </w:p>
    <w:p w14:paraId="505E9BCB" w14:textId="280A0BE7" w:rsidR="008070BC" w:rsidRDefault="008070BC" w:rsidP="00F25D4B">
      <w:pPr>
        <w:pStyle w:val="Heading3"/>
        <w:spacing w:before="0" w:after="120"/>
        <w:ind w:left="0"/>
        <w:rPr>
          <w:rFonts w:ascii="Arial" w:hAnsi="Arial" w:cs="Arial"/>
          <w:lang w:val="en-US"/>
        </w:rPr>
      </w:pPr>
      <w:r>
        <w:rPr>
          <w:rFonts w:ascii="Arial" w:hAnsi="Arial" w:cs="Arial"/>
          <w:lang w:val="en-US"/>
        </w:rPr>
        <w:lastRenderedPageBreak/>
        <w:t>Molecular Formula</w:t>
      </w:r>
    </w:p>
    <w:p w14:paraId="247762D4" w14:textId="6568A1E7" w:rsidR="008070BC" w:rsidRDefault="008070BC" w:rsidP="008070BC">
      <w:pPr>
        <w:rPr>
          <w:rFonts w:ascii="Arial" w:hAnsi="Arial" w:cs="Arial"/>
          <w:vertAlign w:val="subscript"/>
          <w:lang w:val="en-US"/>
        </w:rPr>
      </w:pPr>
      <w:r w:rsidRPr="008070BC">
        <w:rPr>
          <w:rFonts w:ascii="Arial" w:hAnsi="Arial" w:cs="Arial"/>
          <w:lang w:val="en-US"/>
        </w:rPr>
        <w:t>C</w:t>
      </w:r>
      <w:r w:rsidRPr="008070BC">
        <w:rPr>
          <w:rFonts w:ascii="Arial" w:hAnsi="Arial" w:cs="Arial"/>
          <w:vertAlign w:val="subscript"/>
          <w:lang w:val="en-US"/>
        </w:rPr>
        <w:t>25</w:t>
      </w:r>
      <w:r w:rsidRPr="008070BC">
        <w:rPr>
          <w:rFonts w:ascii="Arial" w:hAnsi="Arial" w:cs="Arial"/>
          <w:lang w:val="en-US"/>
        </w:rPr>
        <w:t>H</w:t>
      </w:r>
      <w:r w:rsidRPr="008070BC">
        <w:rPr>
          <w:rFonts w:ascii="Arial" w:hAnsi="Arial" w:cs="Arial"/>
          <w:vertAlign w:val="subscript"/>
          <w:lang w:val="en-US"/>
        </w:rPr>
        <w:t>26</w:t>
      </w:r>
      <w:r w:rsidRPr="008070BC">
        <w:rPr>
          <w:rFonts w:ascii="Arial" w:hAnsi="Arial" w:cs="Arial"/>
          <w:lang w:val="en-US"/>
        </w:rPr>
        <w:t>N</w:t>
      </w:r>
      <w:r w:rsidRPr="008070BC">
        <w:rPr>
          <w:rFonts w:ascii="Arial" w:hAnsi="Arial" w:cs="Arial"/>
          <w:vertAlign w:val="subscript"/>
          <w:lang w:val="en-US"/>
        </w:rPr>
        <w:t>7</w:t>
      </w:r>
      <w:r w:rsidRPr="008070BC">
        <w:rPr>
          <w:rFonts w:ascii="Arial" w:hAnsi="Arial" w:cs="Arial"/>
          <w:lang w:val="en-US"/>
        </w:rPr>
        <w:t>O</w:t>
      </w:r>
      <w:r w:rsidRPr="008070BC">
        <w:rPr>
          <w:rFonts w:ascii="Arial" w:hAnsi="Arial" w:cs="Arial"/>
          <w:vertAlign w:val="subscript"/>
          <w:lang w:val="en-US"/>
        </w:rPr>
        <w:t>8</w:t>
      </w:r>
      <w:proofErr w:type="gramStart"/>
      <w:r w:rsidRPr="008070BC">
        <w:rPr>
          <w:rFonts w:ascii="Arial" w:hAnsi="Arial" w:cs="Arial"/>
          <w:lang w:val="en-US"/>
        </w:rPr>
        <w:t xml:space="preserve">P </w:t>
      </w:r>
      <w:r w:rsidRPr="008070BC">
        <w:rPr>
          <w:rFonts w:ascii="Arial" w:hAnsi="Arial" w:cs="Arial"/>
          <w:vertAlign w:val="superscript"/>
          <w:lang w:val="en-US"/>
        </w:rPr>
        <w:t>.</w:t>
      </w:r>
      <w:proofErr w:type="gramEnd"/>
      <w:r w:rsidRPr="008070BC">
        <w:rPr>
          <w:rFonts w:ascii="Arial" w:hAnsi="Arial" w:cs="Arial"/>
          <w:vertAlign w:val="superscript"/>
          <w:lang w:val="en-US"/>
        </w:rPr>
        <w:t xml:space="preserve"> </w:t>
      </w:r>
      <w:r w:rsidRPr="008070BC">
        <w:rPr>
          <w:rFonts w:ascii="Arial" w:hAnsi="Arial" w:cs="Arial"/>
          <w:lang w:val="en-US"/>
        </w:rPr>
        <w:t>C</w:t>
      </w:r>
      <w:r w:rsidRPr="008070BC">
        <w:rPr>
          <w:rFonts w:ascii="Arial" w:hAnsi="Arial" w:cs="Arial"/>
          <w:vertAlign w:val="subscript"/>
          <w:lang w:val="en-US"/>
        </w:rPr>
        <w:t>4</w:t>
      </w:r>
      <w:r w:rsidRPr="008070BC">
        <w:rPr>
          <w:rFonts w:ascii="Arial" w:hAnsi="Arial" w:cs="Arial"/>
          <w:lang w:val="en-US"/>
        </w:rPr>
        <w:t>H</w:t>
      </w:r>
      <w:r w:rsidRPr="008070BC">
        <w:rPr>
          <w:rFonts w:ascii="Arial" w:hAnsi="Arial" w:cs="Arial"/>
          <w:vertAlign w:val="subscript"/>
          <w:lang w:val="en-US"/>
        </w:rPr>
        <w:t>11</w:t>
      </w:r>
      <w:r w:rsidRPr="008070BC">
        <w:rPr>
          <w:rFonts w:ascii="Arial" w:hAnsi="Arial" w:cs="Arial"/>
          <w:lang w:val="en-US"/>
        </w:rPr>
        <w:t>NO</w:t>
      </w:r>
      <w:r w:rsidRPr="008070BC">
        <w:rPr>
          <w:rFonts w:ascii="Arial" w:hAnsi="Arial" w:cs="Arial"/>
          <w:vertAlign w:val="subscript"/>
          <w:lang w:val="en-US"/>
        </w:rPr>
        <w:t>3</w:t>
      </w:r>
    </w:p>
    <w:p w14:paraId="2BE6B124" w14:textId="0EF29CB2" w:rsidR="008070BC" w:rsidRDefault="008070BC" w:rsidP="00F25D4B">
      <w:pPr>
        <w:pStyle w:val="Heading3"/>
        <w:spacing w:before="0" w:after="120"/>
        <w:ind w:left="0"/>
        <w:rPr>
          <w:rFonts w:ascii="Arial" w:hAnsi="Arial" w:cs="Arial"/>
          <w:lang w:val="en-US"/>
        </w:rPr>
      </w:pPr>
      <w:r>
        <w:rPr>
          <w:rFonts w:ascii="Arial" w:hAnsi="Arial" w:cs="Arial"/>
          <w:lang w:val="en-US"/>
        </w:rPr>
        <w:t>Molecular Mass</w:t>
      </w:r>
    </w:p>
    <w:p w14:paraId="7A17FFD8" w14:textId="631B9E8D" w:rsidR="008070BC" w:rsidRPr="008070BC" w:rsidRDefault="008070BC" w:rsidP="008070BC">
      <w:pPr>
        <w:rPr>
          <w:rFonts w:ascii="Arial" w:hAnsi="Arial" w:cs="Arial"/>
          <w:lang w:val="en-US"/>
        </w:rPr>
      </w:pPr>
      <w:r w:rsidRPr="008070BC">
        <w:rPr>
          <w:rFonts w:ascii="Arial" w:hAnsi="Arial" w:cs="Arial"/>
          <w:lang w:val="en-US"/>
        </w:rPr>
        <w:t>704.62 (</w:t>
      </w:r>
      <w:r w:rsidR="003C24F7">
        <w:rPr>
          <w:rFonts w:ascii="Arial" w:hAnsi="Arial" w:cs="Arial"/>
          <w:lang w:val="en-US"/>
        </w:rPr>
        <w:t>trometamol</w:t>
      </w:r>
      <w:r w:rsidR="003C24F7" w:rsidRPr="008070BC">
        <w:rPr>
          <w:rFonts w:ascii="Arial" w:hAnsi="Arial" w:cs="Arial"/>
          <w:lang w:val="en-US"/>
        </w:rPr>
        <w:t xml:space="preserve"> </w:t>
      </w:r>
      <w:r w:rsidRPr="008070BC">
        <w:rPr>
          <w:rFonts w:ascii="Arial" w:hAnsi="Arial" w:cs="Arial"/>
          <w:lang w:val="en-US"/>
        </w:rPr>
        <w:t>salt)</w:t>
      </w:r>
    </w:p>
    <w:p w14:paraId="549C352D" w14:textId="24441DD9" w:rsidR="001A3992" w:rsidRPr="00071855" w:rsidRDefault="001A3992" w:rsidP="00F25D4B">
      <w:pPr>
        <w:pStyle w:val="Heading3"/>
        <w:spacing w:before="0" w:after="120"/>
        <w:ind w:left="0"/>
        <w:rPr>
          <w:rFonts w:ascii="Arial" w:hAnsi="Arial" w:cs="Arial"/>
          <w:lang w:val="en-US"/>
        </w:rPr>
      </w:pPr>
      <w:r w:rsidRPr="00071855">
        <w:rPr>
          <w:rFonts w:ascii="Arial" w:hAnsi="Arial" w:cs="Arial"/>
          <w:lang w:val="en-US"/>
        </w:rPr>
        <w:t>CAS number</w:t>
      </w:r>
    </w:p>
    <w:p w14:paraId="07B0E76D" w14:textId="359E7D63" w:rsidR="00071855" w:rsidRPr="008070BC" w:rsidRDefault="008070BC" w:rsidP="00071855">
      <w:pPr>
        <w:rPr>
          <w:rFonts w:ascii="Arial" w:hAnsi="Arial" w:cs="Arial"/>
          <w:lang w:val="en-US"/>
        </w:rPr>
      </w:pPr>
      <w:r w:rsidRPr="008070BC">
        <w:rPr>
          <w:rFonts w:ascii="Arial" w:hAnsi="Arial" w:cs="Arial"/>
          <w:lang w:val="en-US"/>
        </w:rPr>
        <w:t>864953-39-9 (</w:t>
      </w:r>
      <w:r w:rsidR="003C24F7">
        <w:rPr>
          <w:rFonts w:ascii="Arial" w:hAnsi="Arial" w:cs="Arial"/>
          <w:lang w:val="en-US"/>
        </w:rPr>
        <w:t>trometamol</w:t>
      </w:r>
      <w:r w:rsidR="003C24F7" w:rsidRPr="008070BC">
        <w:rPr>
          <w:rFonts w:ascii="Arial" w:hAnsi="Arial" w:cs="Arial"/>
          <w:lang w:val="en-US"/>
        </w:rPr>
        <w:t xml:space="preserve"> </w:t>
      </w:r>
      <w:r w:rsidRPr="008070BC">
        <w:rPr>
          <w:rFonts w:ascii="Arial" w:hAnsi="Arial" w:cs="Arial"/>
          <w:lang w:val="en-US"/>
        </w:rPr>
        <w:t>salt)</w:t>
      </w:r>
    </w:p>
    <w:p w14:paraId="28AAFF8A" w14:textId="77777777" w:rsidR="001A3992" w:rsidRPr="00071855" w:rsidRDefault="001A3992" w:rsidP="001A3992">
      <w:pPr>
        <w:pStyle w:val="Heading1"/>
        <w:spacing w:before="0" w:after="120"/>
        <w:rPr>
          <w:rFonts w:ascii="Arial" w:hAnsi="Arial" w:cs="Arial"/>
          <w:lang w:val="en-US"/>
        </w:rPr>
      </w:pPr>
      <w:r w:rsidRPr="00071855">
        <w:rPr>
          <w:rFonts w:ascii="Arial" w:hAnsi="Arial" w:cs="Arial"/>
          <w:lang w:val="en-US"/>
        </w:rPr>
        <w:t>Medicine schedule (Poisons Standard)</w:t>
      </w:r>
    </w:p>
    <w:p w14:paraId="431A1ACA" w14:textId="159D3FF6" w:rsidR="00071855" w:rsidRPr="006E595D" w:rsidRDefault="006E595D" w:rsidP="006E595D">
      <w:pPr>
        <w:spacing w:after="240"/>
        <w:jc w:val="both"/>
        <w:rPr>
          <w:rFonts w:ascii="Arial" w:hAnsi="Arial" w:cs="Arial"/>
          <w:color w:val="000000"/>
        </w:rPr>
      </w:pPr>
      <w:r w:rsidRPr="00571510">
        <w:rPr>
          <w:rFonts w:ascii="Arial" w:hAnsi="Arial" w:cs="Arial"/>
          <w:color w:val="000000"/>
        </w:rPr>
        <w:t>Schedule 4 – Prescription Only Medicine</w:t>
      </w:r>
    </w:p>
    <w:p w14:paraId="5B828010" w14:textId="77777777" w:rsidR="00285173" w:rsidRPr="00071855" w:rsidRDefault="001A3992" w:rsidP="00285173">
      <w:pPr>
        <w:pStyle w:val="Heading1"/>
        <w:spacing w:before="0" w:after="120"/>
        <w:rPr>
          <w:rFonts w:ascii="Arial" w:hAnsi="Arial" w:cs="Arial"/>
          <w:lang w:val="en-US"/>
        </w:rPr>
      </w:pPr>
      <w:r w:rsidRPr="00071855">
        <w:rPr>
          <w:rFonts w:ascii="Arial" w:hAnsi="Arial" w:cs="Arial"/>
          <w:lang w:val="en-US"/>
        </w:rPr>
        <w:t>Sponsor</w:t>
      </w:r>
      <w:r w:rsidR="00285173" w:rsidRPr="00071855">
        <w:rPr>
          <w:rFonts w:ascii="Arial" w:hAnsi="Arial" w:cs="Arial"/>
          <w:lang w:val="en-US"/>
        </w:rPr>
        <w:t xml:space="preserve"> </w:t>
      </w:r>
    </w:p>
    <w:p w14:paraId="62266933" w14:textId="77777777" w:rsidR="00622066" w:rsidRPr="008F4ADC" w:rsidRDefault="00622066" w:rsidP="00622066">
      <w:pPr>
        <w:spacing w:after="120" w:line="240" w:lineRule="auto"/>
        <w:jc w:val="both"/>
        <w:rPr>
          <w:rFonts w:ascii="Arial" w:hAnsi="Arial" w:cs="Arial"/>
          <w:color w:val="000000"/>
        </w:rPr>
      </w:pPr>
      <w:proofErr w:type="spellStart"/>
      <w:r w:rsidRPr="008F4ADC">
        <w:rPr>
          <w:rFonts w:ascii="Arial" w:hAnsi="Arial" w:cs="Arial"/>
          <w:color w:val="000000"/>
        </w:rPr>
        <w:t>ViiV</w:t>
      </w:r>
      <w:proofErr w:type="spellEnd"/>
      <w:r w:rsidRPr="008F4ADC">
        <w:rPr>
          <w:rFonts w:ascii="Arial" w:hAnsi="Arial" w:cs="Arial"/>
          <w:color w:val="000000"/>
        </w:rPr>
        <w:t xml:space="preserve"> Healthcare Pty Ltd</w:t>
      </w:r>
    </w:p>
    <w:p w14:paraId="769EA370" w14:textId="77777777" w:rsidR="00622066" w:rsidRPr="008F4ADC" w:rsidRDefault="00622066" w:rsidP="00622066">
      <w:pPr>
        <w:spacing w:after="120" w:line="240" w:lineRule="auto"/>
        <w:jc w:val="both"/>
        <w:rPr>
          <w:rFonts w:ascii="Arial" w:hAnsi="Arial" w:cs="Arial"/>
          <w:color w:val="000000"/>
        </w:rPr>
      </w:pPr>
      <w:r w:rsidRPr="008F4ADC">
        <w:rPr>
          <w:rFonts w:ascii="Arial" w:hAnsi="Arial" w:cs="Arial"/>
          <w:color w:val="000000"/>
        </w:rPr>
        <w:t xml:space="preserve">Level 4, 436 Johnston Street, </w:t>
      </w:r>
    </w:p>
    <w:p w14:paraId="3EF0FEB1" w14:textId="77777777" w:rsidR="00622066" w:rsidRPr="008F4ADC" w:rsidRDefault="00622066" w:rsidP="00622066">
      <w:pPr>
        <w:spacing w:after="240"/>
        <w:jc w:val="both"/>
        <w:rPr>
          <w:rFonts w:ascii="Arial" w:hAnsi="Arial" w:cs="Arial"/>
          <w:color w:val="000000"/>
        </w:rPr>
      </w:pPr>
      <w:r w:rsidRPr="008F4ADC">
        <w:rPr>
          <w:rFonts w:ascii="Arial" w:hAnsi="Arial" w:cs="Arial"/>
          <w:color w:val="000000"/>
        </w:rPr>
        <w:t>Abbotsford, Victoria, 3067</w:t>
      </w:r>
    </w:p>
    <w:p w14:paraId="3E67A1A5" w14:textId="77777777" w:rsidR="00285173" w:rsidRPr="00071855" w:rsidRDefault="00285173" w:rsidP="00285173">
      <w:pPr>
        <w:pStyle w:val="Heading1"/>
        <w:spacing w:before="0" w:after="120"/>
        <w:rPr>
          <w:rFonts w:ascii="Arial" w:hAnsi="Arial" w:cs="Arial"/>
          <w:lang w:val="en-US"/>
        </w:rPr>
      </w:pPr>
      <w:r w:rsidRPr="00071855">
        <w:rPr>
          <w:rFonts w:ascii="Arial" w:hAnsi="Arial" w:cs="Arial"/>
          <w:lang w:val="en-US"/>
        </w:rPr>
        <w:t xml:space="preserve">Date of first approval  </w:t>
      </w:r>
    </w:p>
    <w:p w14:paraId="28B10C83" w14:textId="2CDD3DB9" w:rsidR="00071855" w:rsidRPr="00C3759F" w:rsidRDefault="00F34B12" w:rsidP="00071855">
      <w:pPr>
        <w:rPr>
          <w:rFonts w:ascii="Arial" w:hAnsi="Arial" w:cs="Arial"/>
        </w:rPr>
      </w:pPr>
      <w:r>
        <w:rPr>
          <w:rFonts w:ascii="Arial" w:hAnsi="Arial" w:cs="Arial"/>
        </w:rPr>
        <w:t>14 July 2021</w:t>
      </w:r>
    </w:p>
    <w:p w14:paraId="2B39C1B4" w14:textId="77777777" w:rsidR="00285173" w:rsidRPr="00071855" w:rsidRDefault="00285173" w:rsidP="00285173">
      <w:pPr>
        <w:pStyle w:val="Heading1"/>
        <w:spacing w:before="0" w:after="120"/>
        <w:rPr>
          <w:rFonts w:ascii="Arial" w:hAnsi="Arial" w:cs="Arial"/>
          <w:lang w:val="en-US"/>
        </w:rPr>
      </w:pPr>
      <w:r w:rsidRPr="00071855">
        <w:rPr>
          <w:rFonts w:ascii="Arial" w:hAnsi="Arial" w:cs="Arial"/>
          <w:lang w:val="en-US"/>
        </w:rPr>
        <w:t xml:space="preserve">Date of revision </w:t>
      </w:r>
    </w:p>
    <w:p w14:paraId="4DD22025" w14:textId="0B584515" w:rsidR="00285173" w:rsidRPr="00C3759F" w:rsidRDefault="00C3759F" w:rsidP="00C3759F">
      <w:pPr>
        <w:rPr>
          <w:rFonts w:ascii="Arial" w:hAnsi="Arial" w:cs="Arial"/>
          <w:lang w:val="en-US"/>
        </w:rPr>
      </w:pPr>
      <w:r>
        <w:rPr>
          <w:rFonts w:ascii="Arial" w:hAnsi="Arial" w:cs="Arial"/>
        </w:rPr>
        <w:t>Not applicable</w:t>
      </w:r>
    </w:p>
    <w:p w14:paraId="11280B5A" w14:textId="77777777" w:rsidR="006E595D" w:rsidRPr="00E116C7" w:rsidRDefault="006E595D" w:rsidP="006E595D">
      <w:pPr>
        <w:spacing w:after="240"/>
        <w:jc w:val="both"/>
        <w:rPr>
          <w:rFonts w:ascii="Arial" w:hAnsi="Arial" w:cs="Arial"/>
          <w:color w:val="000000"/>
        </w:rPr>
      </w:pPr>
      <w:r w:rsidRPr="00E116C7">
        <w:rPr>
          <w:rFonts w:ascii="Arial" w:hAnsi="Arial" w:cs="Arial"/>
          <w:color w:val="000000"/>
        </w:rPr>
        <w:t xml:space="preserve">Version </w:t>
      </w:r>
      <w:r w:rsidRPr="00C3759F">
        <w:rPr>
          <w:rFonts w:ascii="Arial" w:hAnsi="Arial" w:cs="Arial"/>
        </w:rPr>
        <w:t>1.0</w:t>
      </w:r>
    </w:p>
    <w:p w14:paraId="4848425A" w14:textId="2114033C" w:rsidR="006E595D" w:rsidRPr="00E116C7" w:rsidRDefault="006E595D" w:rsidP="006E595D">
      <w:pPr>
        <w:spacing w:after="240"/>
        <w:jc w:val="both"/>
        <w:rPr>
          <w:rFonts w:ascii="Arial" w:hAnsi="Arial" w:cs="Arial"/>
        </w:rPr>
      </w:pPr>
      <w:r w:rsidRPr="00E116C7">
        <w:rPr>
          <w:rFonts w:ascii="Arial" w:hAnsi="Arial" w:cs="Arial"/>
        </w:rPr>
        <w:t xml:space="preserve">Trademarks are owned by or licensed to the </w:t>
      </w:r>
      <w:proofErr w:type="spellStart"/>
      <w:r>
        <w:rPr>
          <w:rFonts w:ascii="Arial" w:hAnsi="Arial" w:cs="Arial"/>
        </w:rPr>
        <w:t>ViiV</w:t>
      </w:r>
      <w:proofErr w:type="spellEnd"/>
      <w:r w:rsidR="00EC1110">
        <w:rPr>
          <w:rFonts w:ascii="Arial" w:hAnsi="Arial" w:cs="Arial"/>
        </w:rPr>
        <w:t xml:space="preserve"> Healthcare</w:t>
      </w:r>
      <w:r>
        <w:rPr>
          <w:rFonts w:ascii="Arial" w:hAnsi="Arial" w:cs="Arial"/>
        </w:rPr>
        <w:t xml:space="preserve"> </w:t>
      </w:r>
      <w:r w:rsidRPr="00E116C7">
        <w:rPr>
          <w:rFonts w:ascii="Arial" w:hAnsi="Arial" w:cs="Arial"/>
        </w:rPr>
        <w:t>group of companies.</w:t>
      </w:r>
    </w:p>
    <w:p w14:paraId="17265B8D" w14:textId="1C3D0F11" w:rsidR="006E595D" w:rsidRPr="00622066" w:rsidRDefault="006E595D" w:rsidP="00622066">
      <w:pPr>
        <w:spacing w:after="240"/>
        <w:jc w:val="both"/>
        <w:rPr>
          <w:rFonts w:ascii="Arial" w:hAnsi="Arial" w:cs="Arial"/>
          <w:color w:val="000000"/>
        </w:rPr>
      </w:pPr>
      <w:r w:rsidRPr="00E116C7">
        <w:rPr>
          <w:rFonts w:ascii="Arial" w:hAnsi="Arial" w:cs="Arial"/>
          <w:color w:val="000000"/>
        </w:rPr>
        <w:t>©</w:t>
      </w:r>
      <w:r w:rsidR="00C3759F">
        <w:rPr>
          <w:rFonts w:ascii="Arial" w:hAnsi="Arial" w:cs="Arial"/>
          <w:color w:val="000000"/>
        </w:rPr>
        <w:t xml:space="preserve"> 202</w:t>
      </w:r>
      <w:r w:rsidR="007C2DBD">
        <w:rPr>
          <w:rFonts w:ascii="Arial" w:hAnsi="Arial" w:cs="Arial"/>
          <w:color w:val="000000"/>
        </w:rPr>
        <w:t>1</w:t>
      </w:r>
      <w:r w:rsidRPr="00E116C7">
        <w:rPr>
          <w:rFonts w:ascii="Arial" w:hAnsi="Arial" w:cs="Arial"/>
          <w:color w:val="000000"/>
        </w:rPr>
        <w:t xml:space="preserve"> </w:t>
      </w:r>
      <w:proofErr w:type="spellStart"/>
      <w:r>
        <w:rPr>
          <w:rFonts w:ascii="Arial" w:hAnsi="Arial" w:cs="Arial"/>
          <w:color w:val="000000"/>
        </w:rPr>
        <w:t>ViiV</w:t>
      </w:r>
      <w:proofErr w:type="spellEnd"/>
      <w:r w:rsidR="00EC1110">
        <w:rPr>
          <w:rFonts w:ascii="Arial" w:hAnsi="Arial" w:cs="Arial"/>
          <w:color w:val="000000"/>
        </w:rPr>
        <w:t xml:space="preserve"> Healthcare</w:t>
      </w:r>
      <w:r w:rsidRPr="00E116C7">
        <w:rPr>
          <w:rFonts w:ascii="Arial" w:hAnsi="Arial" w:cs="Arial"/>
          <w:color w:val="000000"/>
        </w:rPr>
        <w:t xml:space="preserve"> group of companies</w:t>
      </w:r>
      <w:r>
        <w:rPr>
          <w:rFonts w:ascii="Arial" w:hAnsi="Arial" w:cs="Arial"/>
          <w:color w:val="000000"/>
        </w:rPr>
        <w:t xml:space="preserve"> or its licensor</w:t>
      </w:r>
      <w:r w:rsidRPr="00E116C7">
        <w:rPr>
          <w:rFonts w:ascii="Arial" w:hAnsi="Arial" w:cs="Arial"/>
          <w:color w:val="000000"/>
        </w:rPr>
        <w:t>.</w:t>
      </w:r>
      <w:bookmarkEnd w:id="55"/>
    </w:p>
    <w:sectPr w:rsidR="006E595D" w:rsidRPr="0062206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8D593" w14:textId="77777777" w:rsidR="001275E6" w:rsidRDefault="001275E6" w:rsidP="001A3992">
      <w:pPr>
        <w:spacing w:after="0" w:line="240" w:lineRule="auto"/>
      </w:pPr>
      <w:r>
        <w:separator/>
      </w:r>
    </w:p>
  </w:endnote>
  <w:endnote w:type="continuationSeparator" w:id="0">
    <w:p w14:paraId="16328638" w14:textId="77777777" w:rsidR="001275E6" w:rsidRDefault="001275E6"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E0C31" w14:textId="77777777" w:rsidR="001275E6" w:rsidRDefault="00127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3163430"/>
      <w:docPartObj>
        <w:docPartGallery w:val="Page Numbers (Bottom of Page)"/>
        <w:docPartUnique/>
      </w:docPartObj>
    </w:sdtPr>
    <w:sdtEndPr>
      <w:rPr>
        <w:rFonts w:ascii="Arial" w:hAnsi="Arial" w:cs="Arial"/>
        <w:noProof/>
        <w:sz w:val="20"/>
        <w:szCs w:val="20"/>
      </w:rPr>
    </w:sdtEndPr>
    <w:sdtContent>
      <w:p w14:paraId="48A211E8" w14:textId="77777777" w:rsidR="001275E6" w:rsidRPr="008F4ADC" w:rsidRDefault="001275E6" w:rsidP="00291AD1">
        <w:pPr>
          <w:pStyle w:val="Footer"/>
          <w:jc w:val="right"/>
          <w:rPr>
            <w:rFonts w:ascii="Arial" w:hAnsi="Arial" w:cs="Arial"/>
            <w:sz w:val="20"/>
            <w:szCs w:val="20"/>
          </w:rPr>
        </w:pPr>
        <w:r w:rsidRPr="008F4ADC">
          <w:rPr>
            <w:rFonts w:ascii="Arial" w:hAnsi="Arial" w:cs="Arial"/>
            <w:sz w:val="20"/>
            <w:szCs w:val="20"/>
          </w:rPr>
          <w:fldChar w:fldCharType="begin"/>
        </w:r>
        <w:r w:rsidRPr="008F4ADC">
          <w:rPr>
            <w:rFonts w:ascii="Arial" w:hAnsi="Arial" w:cs="Arial"/>
            <w:sz w:val="20"/>
            <w:szCs w:val="20"/>
          </w:rPr>
          <w:instrText xml:space="preserve"> PAGE   \* MERGEFORMAT </w:instrText>
        </w:r>
        <w:r w:rsidRPr="008F4ADC">
          <w:rPr>
            <w:rFonts w:ascii="Arial" w:hAnsi="Arial" w:cs="Arial"/>
            <w:sz w:val="20"/>
            <w:szCs w:val="20"/>
          </w:rPr>
          <w:fldChar w:fldCharType="separate"/>
        </w:r>
        <w:r>
          <w:rPr>
            <w:rFonts w:ascii="Arial" w:hAnsi="Arial" w:cs="Arial"/>
            <w:noProof/>
            <w:sz w:val="20"/>
            <w:szCs w:val="20"/>
          </w:rPr>
          <w:t>3</w:t>
        </w:r>
        <w:r w:rsidRPr="008F4ADC">
          <w:rPr>
            <w:rFonts w:ascii="Arial" w:hAnsi="Arial" w:cs="Arial"/>
            <w:noProof/>
            <w:sz w:val="20"/>
            <w:szCs w:val="20"/>
          </w:rPr>
          <w:fldChar w:fldCharType="end"/>
        </w:r>
      </w:p>
    </w:sdtContent>
  </w:sdt>
  <w:p w14:paraId="0C95DD1B" w14:textId="77777777" w:rsidR="001275E6" w:rsidRDefault="001275E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C4F91" w14:textId="77777777" w:rsidR="001275E6" w:rsidRDefault="00127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44B0B" w14:textId="77777777" w:rsidR="001275E6" w:rsidRDefault="001275E6" w:rsidP="001A3992">
      <w:pPr>
        <w:spacing w:after="0" w:line="240" w:lineRule="auto"/>
      </w:pPr>
      <w:r>
        <w:separator/>
      </w:r>
    </w:p>
  </w:footnote>
  <w:footnote w:type="continuationSeparator" w:id="0">
    <w:p w14:paraId="3126098B" w14:textId="77777777" w:rsidR="001275E6" w:rsidRDefault="001275E6"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4E3D" w14:textId="77777777" w:rsidR="001275E6" w:rsidRDefault="00127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shd w:val="clear" w:color="auto" w:fill="E4F2E0"/>
      <w:tblLook w:val="04A0" w:firstRow="1" w:lastRow="0" w:firstColumn="1" w:lastColumn="0" w:noHBand="0" w:noVBand="1"/>
    </w:tblPr>
    <w:tblGrid>
      <w:gridCol w:w="9016"/>
    </w:tblGrid>
    <w:tr w:rsidR="001275E6" w:rsidRPr="000B2145" w14:paraId="0989901F" w14:textId="77777777" w:rsidTr="001275E6">
      <w:trPr>
        <w:trHeight w:val="1012"/>
      </w:trPr>
      <w:tc>
        <w:tcPr>
          <w:tcW w:w="9039" w:type="dxa"/>
          <w:shd w:val="clear" w:color="auto" w:fill="E4F2E0"/>
        </w:tcPr>
        <w:p w14:paraId="15FC4256" w14:textId="77777777" w:rsidR="001275E6" w:rsidRPr="000E4791" w:rsidRDefault="001275E6" w:rsidP="00A05034">
          <w:pPr>
            <w:pStyle w:val="Footer"/>
            <w:rPr>
              <w:b/>
              <w:sz w:val="18"/>
              <w:szCs w:val="18"/>
            </w:rPr>
          </w:pPr>
          <w:bookmarkStart w:id="58" w:name="_Hlk80611440"/>
          <w:r w:rsidRPr="000E4791">
            <w:rPr>
              <w:b/>
              <w:sz w:val="18"/>
              <w:szCs w:val="18"/>
            </w:rPr>
            <w:t>Attachment 1</w:t>
          </w:r>
          <w:r>
            <w:t xml:space="preserve"> </w:t>
          </w:r>
          <w:proofErr w:type="spellStart"/>
          <w:r w:rsidRPr="001E5116">
            <w:rPr>
              <w:b/>
              <w:sz w:val="18"/>
              <w:szCs w:val="18"/>
            </w:rPr>
            <w:t>AusPAR</w:t>
          </w:r>
          <w:proofErr w:type="spellEnd"/>
          <w:r w:rsidRPr="001E5116">
            <w:rPr>
              <w:b/>
              <w:sz w:val="18"/>
              <w:szCs w:val="18"/>
            </w:rPr>
            <w:t xml:space="preserve"> – </w:t>
          </w:r>
          <w:proofErr w:type="spellStart"/>
          <w:r w:rsidRPr="001E5116">
            <w:rPr>
              <w:b/>
              <w:sz w:val="18"/>
              <w:szCs w:val="18"/>
            </w:rPr>
            <w:t>Rukobia</w:t>
          </w:r>
          <w:proofErr w:type="spellEnd"/>
          <w:r w:rsidRPr="001E5116">
            <w:rPr>
              <w:b/>
              <w:sz w:val="18"/>
              <w:szCs w:val="18"/>
            </w:rPr>
            <w:t xml:space="preserve"> - fostemsavir trometamol - </w:t>
          </w:r>
          <w:proofErr w:type="spellStart"/>
          <w:r w:rsidRPr="001E5116">
            <w:rPr>
              <w:b/>
              <w:sz w:val="18"/>
              <w:szCs w:val="18"/>
            </w:rPr>
            <w:t>ViiV</w:t>
          </w:r>
          <w:proofErr w:type="spellEnd"/>
          <w:r w:rsidRPr="001E5116">
            <w:rPr>
              <w:b/>
              <w:sz w:val="18"/>
              <w:szCs w:val="18"/>
            </w:rPr>
            <w:t xml:space="preserve"> Healthcare Pty Ltd - PM-2020-02898-1-2</w:t>
          </w:r>
          <w:r>
            <w:rPr>
              <w:b/>
              <w:sz w:val="18"/>
              <w:szCs w:val="18"/>
            </w:rPr>
            <w:t xml:space="preserve"> </w:t>
          </w:r>
          <w:r w:rsidRPr="001E5116">
            <w:rPr>
              <w:b/>
              <w:sz w:val="18"/>
              <w:szCs w:val="18"/>
            </w:rPr>
            <w:t>FINAL 6 September 2021</w:t>
          </w:r>
          <w:r w:rsidRPr="000E4791">
            <w:rPr>
              <w:b/>
            </w:rPr>
            <w:t>.</w:t>
          </w:r>
          <w:r w:rsidRPr="000E4791">
            <w:rPr>
              <w:b/>
              <w:sz w:val="18"/>
              <w:szCs w:val="18"/>
            </w:rPr>
            <w:t xml:space="preserve"> This is the Product Information that was approved with the submission described in this </w:t>
          </w:r>
          <w:proofErr w:type="spellStart"/>
          <w:r w:rsidRPr="000E4791">
            <w:rPr>
              <w:b/>
              <w:sz w:val="18"/>
              <w:szCs w:val="18"/>
            </w:rPr>
            <w:t>AusPAR</w:t>
          </w:r>
          <w:proofErr w:type="spellEnd"/>
          <w:r w:rsidRPr="000E4791">
            <w:rPr>
              <w:b/>
              <w:sz w:val="18"/>
              <w:szCs w:val="18"/>
            </w:rPr>
            <w:t>. It may have been superseded. For the most recent PI, please refer to the TGA website at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58"/>
  </w:tbl>
  <w:p w14:paraId="6347A36F" w14:textId="77777777" w:rsidR="001275E6" w:rsidRDefault="001275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B92D1" w14:textId="77777777" w:rsidR="001275E6" w:rsidRDefault="00127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BC0886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7894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B8490A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5FECF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8B0B2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AAEE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62500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900F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6EF006"/>
    <w:lvl w:ilvl="0">
      <w:start w:val="1"/>
      <w:numFmt w:val="decimal"/>
      <w:pStyle w:val="ListNumber"/>
      <w:lvlText w:val="%1."/>
      <w:lvlJc w:val="left"/>
      <w:pPr>
        <w:tabs>
          <w:tab w:val="num" w:pos="360"/>
        </w:tabs>
        <w:ind w:left="360" w:hanging="360"/>
      </w:pPr>
    </w:lvl>
  </w:abstractNum>
  <w:abstractNum w:abstractNumId="9" w15:restartNumberingAfterBreak="0">
    <w:nsid w:val="02534F52"/>
    <w:multiLevelType w:val="hybridMultilevel"/>
    <w:tmpl w:val="A3903E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7D31F40"/>
    <w:multiLevelType w:val="hybridMultilevel"/>
    <w:tmpl w:val="33AA72D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8BC65E5"/>
    <w:multiLevelType w:val="hybridMultilevel"/>
    <w:tmpl w:val="B6624744"/>
    <w:lvl w:ilvl="0" w:tplc="3AD68DF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B230EF"/>
    <w:multiLevelType w:val="hybridMultilevel"/>
    <w:tmpl w:val="25547FF8"/>
    <w:lvl w:ilvl="0" w:tplc="3AD68DF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7E97BB6"/>
    <w:multiLevelType w:val="multilevel"/>
    <w:tmpl w:val="88AEED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89B15D7"/>
    <w:multiLevelType w:val="hybridMultilevel"/>
    <w:tmpl w:val="15500A44"/>
    <w:lvl w:ilvl="0" w:tplc="0D8CFC42">
      <w:start w:val="1"/>
      <w:numFmt w:val="bullet"/>
      <w:pStyle w:val="Bulletpoint"/>
      <w:lvlText w:val=""/>
      <w:lvlJc w:val="left"/>
      <w:pPr>
        <w:tabs>
          <w:tab w:val="num" w:pos="511"/>
        </w:tabs>
        <w:ind w:left="511" w:hanging="227"/>
      </w:pPr>
      <w:rPr>
        <w:rFonts w:ascii="Symbol" w:hAnsi="Symbol" w:hint="default"/>
        <w:color w:val="auto"/>
        <w:position w:val="0"/>
        <w:sz w:val="22"/>
        <w:szCs w:val="22"/>
      </w:rPr>
    </w:lvl>
    <w:lvl w:ilvl="1" w:tplc="0C090003">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305542"/>
    <w:multiLevelType w:val="multilevel"/>
    <w:tmpl w:val="F3664366"/>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6"/>
  </w:num>
  <w:num w:numId="18">
    <w:abstractNumId w:val="16"/>
  </w:num>
  <w:num w:numId="19">
    <w:abstractNumId w:val="16"/>
  </w:num>
  <w:num w:numId="20">
    <w:abstractNumId w:val="1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992"/>
    <w:rsid w:val="00002592"/>
    <w:rsid w:val="00042302"/>
    <w:rsid w:val="00054970"/>
    <w:rsid w:val="00064EA8"/>
    <w:rsid w:val="00071855"/>
    <w:rsid w:val="00071973"/>
    <w:rsid w:val="000845BD"/>
    <w:rsid w:val="000B7FC9"/>
    <w:rsid w:val="00116397"/>
    <w:rsid w:val="00124DDA"/>
    <w:rsid w:val="001275E6"/>
    <w:rsid w:val="00150B38"/>
    <w:rsid w:val="00172DB4"/>
    <w:rsid w:val="00172FB3"/>
    <w:rsid w:val="00177E01"/>
    <w:rsid w:val="00185069"/>
    <w:rsid w:val="00196677"/>
    <w:rsid w:val="001A3992"/>
    <w:rsid w:val="001E3868"/>
    <w:rsid w:val="001E6E28"/>
    <w:rsid w:val="001F0FB2"/>
    <w:rsid w:val="00200C87"/>
    <w:rsid w:val="0021668A"/>
    <w:rsid w:val="00234039"/>
    <w:rsid w:val="0024032A"/>
    <w:rsid w:val="00276C84"/>
    <w:rsid w:val="00285173"/>
    <w:rsid w:val="00291AD1"/>
    <w:rsid w:val="002E277D"/>
    <w:rsid w:val="002F331B"/>
    <w:rsid w:val="00375DF3"/>
    <w:rsid w:val="003B7639"/>
    <w:rsid w:val="003C24F7"/>
    <w:rsid w:val="003C68DC"/>
    <w:rsid w:val="003E19E6"/>
    <w:rsid w:val="003E2C49"/>
    <w:rsid w:val="003E4D3E"/>
    <w:rsid w:val="003F21A6"/>
    <w:rsid w:val="00401B52"/>
    <w:rsid w:val="004203AE"/>
    <w:rsid w:val="00431ACD"/>
    <w:rsid w:val="00456C5E"/>
    <w:rsid w:val="0047378B"/>
    <w:rsid w:val="0048684D"/>
    <w:rsid w:val="004945DF"/>
    <w:rsid w:val="004A4C33"/>
    <w:rsid w:val="004B6B19"/>
    <w:rsid w:val="004C2A8F"/>
    <w:rsid w:val="004C7193"/>
    <w:rsid w:val="004D4313"/>
    <w:rsid w:val="00552DFF"/>
    <w:rsid w:val="00557F0A"/>
    <w:rsid w:val="0059014B"/>
    <w:rsid w:val="005B2812"/>
    <w:rsid w:val="006018AE"/>
    <w:rsid w:val="00613EE8"/>
    <w:rsid w:val="0061437F"/>
    <w:rsid w:val="00622066"/>
    <w:rsid w:val="00626BA6"/>
    <w:rsid w:val="00641083"/>
    <w:rsid w:val="006411B6"/>
    <w:rsid w:val="00682E2E"/>
    <w:rsid w:val="00683890"/>
    <w:rsid w:val="00687A56"/>
    <w:rsid w:val="00692CDC"/>
    <w:rsid w:val="006963A7"/>
    <w:rsid w:val="006A0340"/>
    <w:rsid w:val="006C6130"/>
    <w:rsid w:val="006E595D"/>
    <w:rsid w:val="00723B01"/>
    <w:rsid w:val="0073760D"/>
    <w:rsid w:val="00745400"/>
    <w:rsid w:val="0076337D"/>
    <w:rsid w:val="00767165"/>
    <w:rsid w:val="00787A93"/>
    <w:rsid w:val="00793C69"/>
    <w:rsid w:val="00795657"/>
    <w:rsid w:val="007A36BA"/>
    <w:rsid w:val="007C1C32"/>
    <w:rsid w:val="007C2DBD"/>
    <w:rsid w:val="007C66C8"/>
    <w:rsid w:val="007D736D"/>
    <w:rsid w:val="007F3FFE"/>
    <w:rsid w:val="008070BC"/>
    <w:rsid w:val="008258F4"/>
    <w:rsid w:val="0089497A"/>
    <w:rsid w:val="008F4ADC"/>
    <w:rsid w:val="00902CFB"/>
    <w:rsid w:val="00905FE6"/>
    <w:rsid w:val="00916590"/>
    <w:rsid w:val="00952EFF"/>
    <w:rsid w:val="00956694"/>
    <w:rsid w:val="00960CD5"/>
    <w:rsid w:val="009652F5"/>
    <w:rsid w:val="009670D3"/>
    <w:rsid w:val="00973FE3"/>
    <w:rsid w:val="00986E9E"/>
    <w:rsid w:val="00987413"/>
    <w:rsid w:val="00996E4A"/>
    <w:rsid w:val="009A3638"/>
    <w:rsid w:val="00A0079F"/>
    <w:rsid w:val="00A05034"/>
    <w:rsid w:val="00A64655"/>
    <w:rsid w:val="00A70E39"/>
    <w:rsid w:val="00AB696A"/>
    <w:rsid w:val="00AC2C1A"/>
    <w:rsid w:val="00AF238D"/>
    <w:rsid w:val="00AF5248"/>
    <w:rsid w:val="00B2206F"/>
    <w:rsid w:val="00B46EC4"/>
    <w:rsid w:val="00B66FA5"/>
    <w:rsid w:val="00B82BCB"/>
    <w:rsid w:val="00B83D21"/>
    <w:rsid w:val="00BA64CC"/>
    <w:rsid w:val="00BB23FE"/>
    <w:rsid w:val="00BC61E5"/>
    <w:rsid w:val="00BD03EB"/>
    <w:rsid w:val="00BE2A26"/>
    <w:rsid w:val="00C058C5"/>
    <w:rsid w:val="00C07562"/>
    <w:rsid w:val="00C327ED"/>
    <w:rsid w:val="00C33EF2"/>
    <w:rsid w:val="00C3759F"/>
    <w:rsid w:val="00C658C1"/>
    <w:rsid w:val="00CB3445"/>
    <w:rsid w:val="00CF7331"/>
    <w:rsid w:val="00D37551"/>
    <w:rsid w:val="00DA0E66"/>
    <w:rsid w:val="00DE08E2"/>
    <w:rsid w:val="00E00856"/>
    <w:rsid w:val="00E111C1"/>
    <w:rsid w:val="00E35EBA"/>
    <w:rsid w:val="00E42B91"/>
    <w:rsid w:val="00E67301"/>
    <w:rsid w:val="00E677F5"/>
    <w:rsid w:val="00E74A56"/>
    <w:rsid w:val="00E7586B"/>
    <w:rsid w:val="00EC1110"/>
    <w:rsid w:val="00EE591B"/>
    <w:rsid w:val="00F25D4B"/>
    <w:rsid w:val="00F34B12"/>
    <w:rsid w:val="00F36281"/>
    <w:rsid w:val="00F47AD4"/>
    <w:rsid w:val="00F73511"/>
    <w:rsid w:val="00F86802"/>
    <w:rsid w:val="00F86DC6"/>
    <w:rsid w:val="00FA54C2"/>
    <w:rsid w:val="00FC1C5C"/>
    <w:rsid w:val="00FD24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E65D4E"/>
  <w15:docId w15:val="{4B1AF6D6-D220-4564-A51A-1C28A0A0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aliases w:val="Annotationtext,Comment Text Char Char,Comment Text Char1 Char Char,Comment Text Char Char Char Char,Comment Text Char Char1,Comment Text Char2 Char"/>
    <w:basedOn w:val="Normal"/>
    <w:link w:val="CommentTextChar"/>
    <w:uiPriority w:val="99"/>
    <w:unhideWhenUsed/>
    <w:qFormat/>
    <w:rsid w:val="001A3992"/>
    <w:pPr>
      <w:spacing w:line="240" w:lineRule="auto"/>
    </w:pPr>
    <w:rPr>
      <w:rFonts w:ascii="Cambria" w:hAnsi="Cambria"/>
      <w:sz w:val="20"/>
      <w:szCs w:val="20"/>
    </w:rPr>
  </w:style>
  <w:style w:type="character" w:customStyle="1" w:styleId="CommentTextChar">
    <w:name w:val="Comment Text Char"/>
    <w:aliases w:val="Annotationtext Char,Comment Text Char Char Char,Comment Text Char1 Char Char Char,Comment Text Char Char Char Char Char,Comment Text Char Char1 Char,Comment Text Char2 Char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Bibliography">
    <w:name w:val="Bibliography"/>
    <w:basedOn w:val="Normal"/>
    <w:next w:val="Normal"/>
    <w:uiPriority w:val="37"/>
    <w:semiHidden/>
    <w:unhideWhenUsed/>
    <w:rsid w:val="00071855"/>
  </w:style>
  <w:style w:type="paragraph" w:styleId="BlockText">
    <w:name w:val="Block Text"/>
    <w:basedOn w:val="Normal"/>
    <w:uiPriority w:val="99"/>
    <w:semiHidden/>
    <w:unhideWhenUsed/>
    <w:rsid w:val="0007185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071855"/>
    <w:pPr>
      <w:spacing w:after="120"/>
    </w:pPr>
  </w:style>
  <w:style w:type="character" w:customStyle="1" w:styleId="BodyTextChar">
    <w:name w:val="Body Text Char"/>
    <w:basedOn w:val="DefaultParagraphFont"/>
    <w:link w:val="BodyText"/>
    <w:uiPriority w:val="99"/>
    <w:semiHidden/>
    <w:rsid w:val="00071855"/>
  </w:style>
  <w:style w:type="paragraph" w:styleId="BodyText2">
    <w:name w:val="Body Text 2"/>
    <w:basedOn w:val="Normal"/>
    <w:link w:val="BodyText2Char"/>
    <w:uiPriority w:val="99"/>
    <w:semiHidden/>
    <w:unhideWhenUsed/>
    <w:rsid w:val="00071855"/>
    <w:pPr>
      <w:spacing w:after="120" w:line="480" w:lineRule="auto"/>
    </w:pPr>
  </w:style>
  <w:style w:type="character" w:customStyle="1" w:styleId="BodyText2Char">
    <w:name w:val="Body Text 2 Char"/>
    <w:basedOn w:val="DefaultParagraphFont"/>
    <w:link w:val="BodyText2"/>
    <w:uiPriority w:val="99"/>
    <w:semiHidden/>
    <w:rsid w:val="00071855"/>
  </w:style>
  <w:style w:type="paragraph" w:styleId="BodyText3">
    <w:name w:val="Body Text 3"/>
    <w:basedOn w:val="Normal"/>
    <w:link w:val="BodyText3Char"/>
    <w:uiPriority w:val="99"/>
    <w:semiHidden/>
    <w:unhideWhenUsed/>
    <w:rsid w:val="00071855"/>
    <w:pPr>
      <w:spacing w:after="120"/>
    </w:pPr>
    <w:rPr>
      <w:sz w:val="16"/>
      <w:szCs w:val="16"/>
    </w:rPr>
  </w:style>
  <w:style w:type="character" w:customStyle="1" w:styleId="BodyText3Char">
    <w:name w:val="Body Text 3 Char"/>
    <w:basedOn w:val="DefaultParagraphFont"/>
    <w:link w:val="BodyText3"/>
    <w:uiPriority w:val="99"/>
    <w:semiHidden/>
    <w:rsid w:val="00071855"/>
    <w:rPr>
      <w:sz w:val="16"/>
      <w:szCs w:val="16"/>
    </w:rPr>
  </w:style>
  <w:style w:type="paragraph" w:styleId="BodyTextFirstIndent">
    <w:name w:val="Body Text First Indent"/>
    <w:basedOn w:val="BodyText"/>
    <w:link w:val="BodyTextFirstIndentChar"/>
    <w:uiPriority w:val="99"/>
    <w:semiHidden/>
    <w:unhideWhenUsed/>
    <w:rsid w:val="00071855"/>
    <w:pPr>
      <w:spacing w:after="200"/>
      <w:ind w:firstLine="360"/>
    </w:pPr>
  </w:style>
  <w:style w:type="character" w:customStyle="1" w:styleId="BodyTextFirstIndentChar">
    <w:name w:val="Body Text First Indent Char"/>
    <w:basedOn w:val="BodyTextChar"/>
    <w:link w:val="BodyTextFirstIndent"/>
    <w:uiPriority w:val="99"/>
    <w:semiHidden/>
    <w:rsid w:val="00071855"/>
  </w:style>
  <w:style w:type="paragraph" w:styleId="BodyTextIndent">
    <w:name w:val="Body Text Indent"/>
    <w:basedOn w:val="Normal"/>
    <w:link w:val="BodyTextIndentChar"/>
    <w:uiPriority w:val="99"/>
    <w:semiHidden/>
    <w:unhideWhenUsed/>
    <w:rsid w:val="00071855"/>
    <w:pPr>
      <w:spacing w:after="120"/>
      <w:ind w:left="283"/>
    </w:pPr>
  </w:style>
  <w:style w:type="character" w:customStyle="1" w:styleId="BodyTextIndentChar">
    <w:name w:val="Body Text Indent Char"/>
    <w:basedOn w:val="DefaultParagraphFont"/>
    <w:link w:val="BodyTextIndent"/>
    <w:uiPriority w:val="99"/>
    <w:semiHidden/>
    <w:rsid w:val="00071855"/>
  </w:style>
  <w:style w:type="paragraph" w:styleId="BodyTextFirstIndent2">
    <w:name w:val="Body Text First Indent 2"/>
    <w:basedOn w:val="BodyTextIndent"/>
    <w:link w:val="BodyTextFirstIndent2Char"/>
    <w:uiPriority w:val="99"/>
    <w:semiHidden/>
    <w:unhideWhenUsed/>
    <w:rsid w:val="0007185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71855"/>
  </w:style>
  <w:style w:type="paragraph" w:styleId="BodyTextIndent2">
    <w:name w:val="Body Text Indent 2"/>
    <w:basedOn w:val="Normal"/>
    <w:link w:val="BodyTextIndent2Char"/>
    <w:uiPriority w:val="99"/>
    <w:semiHidden/>
    <w:unhideWhenUsed/>
    <w:rsid w:val="00071855"/>
    <w:pPr>
      <w:spacing w:after="120" w:line="480" w:lineRule="auto"/>
      <w:ind w:left="283"/>
    </w:pPr>
  </w:style>
  <w:style w:type="character" w:customStyle="1" w:styleId="BodyTextIndent2Char">
    <w:name w:val="Body Text Indent 2 Char"/>
    <w:basedOn w:val="DefaultParagraphFont"/>
    <w:link w:val="BodyTextIndent2"/>
    <w:uiPriority w:val="99"/>
    <w:semiHidden/>
    <w:rsid w:val="00071855"/>
  </w:style>
  <w:style w:type="paragraph" w:styleId="BodyTextIndent3">
    <w:name w:val="Body Text Indent 3"/>
    <w:basedOn w:val="Normal"/>
    <w:link w:val="BodyTextIndent3Char"/>
    <w:uiPriority w:val="99"/>
    <w:semiHidden/>
    <w:unhideWhenUsed/>
    <w:rsid w:val="0007185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71855"/>
    <w:rPr>
      <w:sz w:val="16"/>
      <w:szCs w:val="16"/>
    </w:rPr>
  </w:style>
  <w:style w:type="paragraph" w:styleId="Caption">
    <w:name w:val="caption"/>
    <w:basedOn w:val="Normal"/>
    <w:next w:val="Normal"/>
    <w:semiHidden/>
    <w:unhideWhenUsed/>
    <w:qFormat/>
    <w:rsid w:val="00071855"/>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071855"/>
    <w:pPr>
      <w:spacing w:after="0" w:line="240" w:lineRule="auto"/>
      <w:ind w:left="4252"/>
    </w:pPr>
  </w:style>
  <w:style w:type="character" w:customStyle="1" w:styleId="ClosingChar">
    <w:name w:val="Closing Char"/>
    <w:basedOn w:val="DefaultParagraphFont"/>
    <w:link w:val="Closing"/>
    <w:uiPriority w:val="99"/>
    <w:semiHidden/>
    <w:rsid w:val="00071855"/>
  </w:style>
  <w:style w:type="paragraph" w:styleId="CommentSubject">
    <w:name w:val="annotation subject"/>
    <w:basedOn w:val="CommentText"/>
    <w:next w:val="CommentText"/>
    <w:link w:val="CommentSubjectChar"/>
    <w:uiPriority w:val="99"/>
    <w:semiHidden/>
    <w:unhideWhenUsed/>
    <w:rsid w:val="00071855"/>
    <w:rPr>
      <w:rFonts w:asciiTheme="minorHAnsi" w:hAnsiTheme="minorHAnsi"/>
      <w:b/>
      <w:bCs/>
    </w:rPr>
  </w:style>
  <w:style w:type="character" w:customStyle="1" w:styleId="CommentSubjectChar">
    <w:name w:val="Comment Subject Char"/>
    <w:basedOn w:val="CommentTextChar"/>
    <w:link w:val="CommentSubject"/>
    <w:uiPriority w:val="99"/>
    <w:semiHidden/>
    <w:rsid w:val="00071855"/>
    <w:rPr>
      <w:rFonts w:ascii="Cambria" w:hAnsi="Cambria"/>
      <w:b/>
      <w:bCs/>
      <w:sz w:val="20"/>
      <w:szCs w:val="20"/>
    </w:rPr>
  </w:style>
  <w:style w:type="paragraph" w:styleId="Date">
    <w:name w:val="Date"/>
    <w:basedOn w:val="Normal"/>
    <w:next w:val="Normal"/>
    <w:link w:val="DateChar"/>
    <w:uiPriority w:val="99"/>
    <w:semiHidden/>
    <w:unhideWhenUsed/>
    <w:rsid w:val="00071855"/>
  </w:style>
  <w:style w:type="character" w:customStyle="1" w:styleId="DateChar">
    <w:name w:val="Date Char"/>
    <w:basedOn w:val="DefaultParagraphFont"/>
    <w:link w:val="Date"/>
    <w:uiPriority w:val="99"/>
    <w:semiHidden/>
    <w:rsid w:val="00071855"/>
  </w:style>
  <w:style w:type="paragraph" w:styleId="DocumentMap">
    <w:name w:val="Document Map"/>
    <w:basedOn w:val="Normal"/>
    <w:link w:val="DocumentMapChar"/>
    <w:uiPriority w:val="99"/>
    <w:semiHidden/>
    <w:unhideWhenUsed/>
    <w:rsid w:val="0007185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71855"/>
    <w:rPr>
      <w:rFonts w:ascii="Segoe UI" w:hAnsi="Segoe UI" w:cs="Segoe UI"/>
      <w:sz w:val="16"/>
      <w:szCs w:val="16"/>
    </w:rPr>
  </w:style>
  <w:style w:type="paragraph" w:styleId="E-mailSignature">
    <w:name w:val="E-mail Signature"/>
    <w:basedOn w:val="Normal"/>
    <w:link w:val="E-mailSignatureChar"/>
    <w:uiPriority w:val="99"/>
    <w:semiHidden/>
    <w:unhideWhenUsed/>
    <w:rsid w:val="00071855"/>
    <w:pPr>
      <w:spacing w:after="0" w:line="240" w:lineRule="auto"/>
    </w:pPr>
  </w:style>
  <w:style w:type="character" w:customStyle="1" w:styleId="E-mailSignatureChar">
    <w:name w:val="E-mail Signature Char"/>
    <w:basedOn w:val="DefaultParagraphFont"/>
    <w:link w:val="E-mailSignature"/>
    <w:uiPriority w:val="99"/>
    <w:semiHidden/>
    <w:rsid w:val="00071855"/>
  </w:style>
  <w:style w:type="paragraph" w:styleId="EndnoteText">
    <w:name w:val="endnote text"/>
    <w:basedOn w:val="Normal"/>
    <w:link w:val="EndnoteTextChar"/>
    <w:uiPriority w:val="99"/>
    <w:semiHidden/>
    <w:unhideWhenUsed/>
    <w:rsid w:val="000718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71855"/>
    <w:rPr>
      <w:sz w:val="20"/>
      <w:szCs w:val="20"/>
    </w:rPr>
  </w:style>
  <w:style w:type="paragraph" w:styleId="EnvelopeAddress">
    <w:name w:val="envelope address"/>
    <w:basedOn w:val="Normal"/>
    <w:uiPriority w:val="99"/>
    <w:semiHidden/>
    <w:unhideWhenUsed/>
    <w:rsid w:val="0007185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71855"/>
    <w:pPr>
      <w:spacing w:after="0" w:line="240" w:lineRule="auto"/>
    </w:pPr>
    <w:rPr>
      <w:rFonts w:asciiTheme="majorHAnsi" w:eastAsiaTheme="majorEastAsia" w:hAnsiTheme="majorHAnsi" w:cstheme="majorBidi"/>
      <w:sz w:val="20"/>
      <w:szCs w:val="20"/>
    </w:rPr>
  </w:style>
  <w:style w:type="paragraph" w:styleId="Header">
    <w:name w:val="header"/>
    <w:basedOn w:val="Normal"/>
    <w:link w:val="HeaderChar"/>
    <w:uiPriority w:val="99"/>
    <w:unhideWhenUsed/>
    <w:rsid w:val="000718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855"/>
  </w:style>
  <w:style w:type="paragraph" w:styleId="HTMLAddress">
    <w:name w:val="HTML Address"/>
    <w:basedOn w:val="Normal"/>
    <w:link w:val="HTMLAddressChar"/>
    <w:uiPriority w:val="99"/>
    <w:semiHidden/>
    <w:unhideWhenUsed/>
    <w:rsid w:val="00071855"/>
    <w:pPr>
      <w:spacing w:after="0" w:line="240" w:lineRule="auto"/>
    </w:pPr>
    <w:rPr>
      <w:i/>
      <w:iCs/>
    </w:rPr>
  </w:style>
  <w:style w:type="character" w:customStyle="1" w:styleId="HTMLAddressChar">
    <w:name w:val="HTML Address Char"/>
    <w:basedOn w:val="DefaultParagraphFont"/>
    <w:link w:val="HTMLAddress"/>
    <w:uiPriority w:val="99"/>
    <w:semiHidden/>
    <w:rsid w:val="00071855"/>
    <w:rPr>
      <w:i/>
      <w:iCs/>
    </w:rPr>
  </w:style>
  <w:style w:type="paragraph" w:styleId="HTMLPreformatted">
    <w:name w:val="HTML Preformatted"/>
    <w:basedOn w:val="Normal"/>
    <w:link w:val="HTMLPreformattedChar"/>
    <w:uiPriority w:val="99"/>
    <w:semiHidden/>
    <w:unhideWhenUsed/>
    <w:rsid w:val="0007185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71855"/>
    <w:rPr>
      <w:rFonts w:ascii="Consolas" w:hAnsi="Consolas" w:cs="Consolas"/>
      <w:sz w:val="20"/>
      <w:szCs w:val="20"/>
    </w:rPr>
  </w:style>
  <w:style w:type="paragraph" w:styleId="Index1">
    <w:name w:val="index 1"/>
    <w:basedOn w:val="Normal"/>
    <w:next w:val="Normal"/>
    <w:autoRedefine/>
    <w:uiPriority w:val="99"/>
    <w:semiHidden/>
    <w:unhideWhenUsed/>
    <w:rsid w:val="00071855"/>
    <w:pPr>
      <w:spacing w:after="0" w:line="240" w:lineRule="auto"/>
      <w:ind w:left="220" w:hanging="220"/>
    </w:pPr>
  </w:style>
  <w:style w:type="paragraph" w:styleId="Index2">
    <w:name w:val="index 2"/>
    <w:basedOn w:val="Normal"/>
    <w:next w:val="Normal"/>
    <w:autoRedefine/>
    <w:uiPriority w:val="99"/>
    <w:semiHidden/>
    <w:unhideWhenUsed/>
    <w:rsid w:val="00071855"/>
    <w:pPr>
      <w:spacing w:after="0" w:line="240" w:lineRule="auto"/>
      <w:ind w:left="440" w:hanging="220"/>
    </w:pPr>
  </w:style>
  <w:style w:type="paragraph" w:styleId="Index3">
    <w:name w:val="index 3"/>
    <w:basedOn w:val="Normal"/>
    <w:next w:val="Normal"/>
    <w:autoRedefine/>
    <w:uiPriority w:val="99"/>
    <w:semiHidden/>
    <w:unhideWhenUsed/>
    <w:rsid w:val="00071855"/>
    <w:pPr>
      <w:spacing w:after="0" w:line="240" w:lineRule="auto"/>
      <w:ind w:left="660" w:hanging="220"/>
    </w:pPr>
  </w:style>
  <w:style w:type="paragraph" w:styleId="Index4">
    <w:name w:val="index 4"/>
    <w:basedOn w:val="Normal"/>
    <w:next w:val="Normal"/>
    <w:autoRedefine/>
    <w:uiPriority w:val="99"/>
    <w:semiHidden/>
    <w:unhideWhenUsed/>
    <w:rsid w:val="00071855"/>
    <w:pPr>
      <w:spacing w:after="0" w:line="240" w:lineRule="auto"/>
      <w:ind w:left="880" w:hanging="220"/>
    </w:pPr>
  </w:style>
  <w:style w:type="paragraph" w:styleId="Index5">
    <w:name w:val="index 5"/>
    <w:basedOn w:val="Normal"/>
    <w:next w:val="Normal"/>
    <w:autoRedefine/>
    <w:uiPriority w:val="99"/>
    <w:semiHidden/>
    <w:unhideWhenUsed/>
    <w:rsid w:val="00071855"/>
    <w:pPr>
      <w:spacing w:after="0" w:line="240" w:lineRule="auto"/>
      <w:ind w:left="1100" w:hanging="220"/>
    </w:pPr>
  </w:style>
  <w:style w:type="paragraph" w:styleId="Index6">
    <w:name w:val="index 6"/>
    <w:basedOn w:val="Normal"/>
    <w:next w:val="Normal"/>
    <w:autoRedefine/>
    <w:uiPriority w:val="99"/>
    <w:semiHidden/>
    <w:unhideWhenUsed/>
    <w:rsid w:val="00071855"/>
    <w:pPr>
      <w:spacing w:after="0" w:line="240" w:lineRule="auto"/>
      <w:ind w:left="1320" w:hanging="220"/>
    </w:pPr>
  </w:style>
  <w:style w:type="paragraph" w:styleId="Index7">
    <w:name w:val="index 7"/>
    <w:basedOn w:val="Normal"/>
    <w:next w:val="Normal"/>
    <w:autoRedefine/>
    <w:uiPriority w:val="99"/>
    <w:semiHidden/>
    <w:unhideWhenUsed/>
    <w:rsid w:val="00071855"/>
    <w:pPr>
      <w:spacing w:after="0" w:line="240" w:lineRule="auto"/>
      <w:ind w:left="1540" w:hanging="220"/>
    </w:pPr>
  </w:style>
  <w:style w:type="paragraph" w:styleId="Index8">
    <w:name w:val="index 8"/>
    <w:basedOn w:val="Normal"/>
    <w:next w:val="Normal"/>
    <w:autoRedefine/>
    <w:uiPriority w:val="99"/>
    <w:semiHidden/>
    <w:unhideWhenUsed/>
    <w:rsid w:val="00071855"/>
    <w:pPr>
      <w:spacing w:after="0" w:line="240" w:lineRule="auto"/>
      <w:ind w:left="1760" w:hanging="220"/>
    </w:pPr>
  </w:style>
  <w:style w:type="paragraph" w:styleId="Index9">
    <w:name w:val="index 9"/>
    <w:basedOn w:val="Normal"/>
    <w:next w:val="Normal"/>
    <w:autoRedefine/>
    <w:uiPriority w:val="99"/>
    <w:semiHidden/>
    <w:unhideWhenUsed/>
    <w:rsid w:val="00071855"/>
    <w:pPr>
      <w:spacing w:after="0" w:line="240" w:lineRule="auto"/>
      <w:ind w:left="1980" w:hanging="220"/>
    </w:pPr>
  </w:style>
  <w:style w:type="paragraph" w:styleId="IndexHeading">
    <w:name w:val="index heading"/>
    <w:basedOn w:val="Normal"/>
    <w:next w:val="Index1"/>
    <w:uiPriority w:val="99"/>
    <w:semiHidden/>
    <w:unhideWhenUsed/>
    <w:rsid w:val="0007185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7185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71855"/>
    <w:rPr>
      <w:i/>
      <w:iCs/>
      <w:color w:val="4F81BD" w:themeColor="accent1"/>
    </w:rPr>
  </w:style>
  <w:style w:type="paragraph" w:styleId="List">
    <w:name w:val="List"/>
    <w:basedOn w:val="Normal"/>
    <w:uiPriority w:val="99"/>
    <w:semiHidden/>
    <w:unhideWhenUsed/>
    <w:rsid w:val="00071855"/>
    <w:pPr>
      <w:ind w:left="283" w:hanging="283"/>
      <w:contextualSpacing/>
    </w:pPr>
  </w:style>
  <w:style w:type="paragraph" w:styleId="List2">
    <w:name w:val="List 2"/>
    <w:basedOn w:val="Normal"/>
    <w:uiPriority w:val="99"/>
    <w:semiHidden/>
    <w:unhideWhenUsed/>
    <w:rsid w:val="00071855"/>
    <w:pPr>
      <w:ind w:left="566" w:hanging="283"/>
      <w:contextualSpacing/>
    </w:pPr>
  </w:style>
  <w:style w:type="paragraph" w:styleId="List3">
    <w:name w:val="List 3"/>
    <w:basedOn w:val="Normal"/>
    <w:uiPriority w:val="99"/>
    <w:semiHidden/>
    <w:unhideWhenUsed/>
    <w:rsid w:val="00071855"/>
    <w:pPr>
      <w:ind w:left="849" w:hanging="283"/>
      <w:contextualSpacing/>
    </w:pPr>
  </w:style>
  <w:style w:type="paragraph" w:styleId="List4">
    <w:name w:val="List 4"/>
    <w:basedOn w:val="Normal"/>
    <w:uiPriority w:val="99"/>
    <w:semiHidden/>
    <w:unhideWhenUsed/>
    <w:rsid w:val="00071855"/>
    <w:pPr>
      <w:ind w:left="1132" w:hanging="283"/>
      <w:contextualSpacing/>
    </w:pPr>
  </w:style>
  <w:style w:type="paragraph" w:styleId="List5">
    <w:name w:val="List 5"/>
    <w:basedOn w:val="Normal"/>
    <w:uiPriority w:val="99"/>
    <w:semiHidden/>
    <w:unhideWhenUsed/>
    <w:rsid w:val="00071855"/>
    <w:pPr>
      <w:ind w:left="1415" w:hanging="283"/>
      <w:contextualSpacing/>
    </w:pPr>
  </w:style>
  <w:style w:type="paragraph" w:styleId="ListBullet2">
    <w:name w:val="List Bullet 2"/>
    <w:basedOn w:val="Normal"/>
    <w:uiPriority w:val="99"/>
    <w:semiHidden/>
    <w:unhideWhenUsed/>
    <w:rsid w:val="00071855"/>
    <w:pPr>
      <w:numPr>
        <w:numId w:val="2"/>
      </w:numPr>
      <w:contextualSpacing/>
    </w:pPr>
  </w:style>
  <w:style w:type="paragraph" w:styleId="ListBullet3">
    <w:name w:val="List Bullet 3"/>
    <w:basedOn w:val="Normal"/>
    <w:uiPriority w:val="99"/>
    <w:semiHidden/>
    <w:unhideWhenUsed/>
    <w:rsid w:val="00071855"/>
    <w:pPr>
      <w:numPr>
        <w:numId w:val="3"/>
      </w:numPr>
      <w:contextualSpacing/>
    </w:pPr>
  </w:style>
  <w:style w:type="paragraph" w:styleId="ListBullet4">
    <w:name w:val="List Bullet 4"/>
    <w:basedOn w:val="Normal"/>
    <w:uiPriority w:val="99"/>
    <w:semiHidden/>
    <w:unhideWhenUsed/>
    <w:rsid w:val="00071855"/>
    <w:pPr>
      <w:numPr>
        <w:numId w:val="4"/>
      </w:numPr>
      <w:contextualSpacing/>
    </w:pPr>
  </w:style>
  <w:style w:type="paragraph" w:styleId="ListBullet5">
    <w:name w:val="List Bullet 5"/>
    <w:basedOn w:val="Normal"/>
    <w:uiPriority w:val="99"/>
    <w:semiHidden/>
    <w:unhideWhenUsed/>
    <w:rsid w:val="00071855"/>
    <w:pPr>
      <w:numPr>
        <w:numId w:val="5"/>
      </w:numPr>
      <w:contextualSpacing/>
    </w:pPr>
  </w:style>
  <w:style w:type="paragraph" w:styleId="ListContinue">
    <w:name w:val="List Continue"/>
    <w:basedOn w:val="Normal"/>
    <w:uiPriority w:val="99"/>
    <w:semiHidden/>
    <w:unhideWhenUsed/>
    <w:rsid w:val="00071855"/>
    <w:pPr>
      <w:spacing w:after="120"/>
      <w:ind w:left="283"/>
      <w:contextualSpacing/>
    </w:pPr>
  </w:style>
  <w:style w:type="paragraph" w:styleId="ListContinue2">
    <w:name w:val="List Continue 2"/>
    <w:basedOn w:val="Normal"/>
    <w:uiPriority w:val="99"/>
    <w:semiHidden/>
    <w:unhideWhenUsed/>
    <w:rsid w:val="00071855"/>
    <w:pPr>
      <w:spacing w:after="120"/>
      <w:ind w:left="566"/>
      <w:contextualSpacing/>
    </w:pPr>
  </w:style>
  <w:style w:type="paragraph" w:styleId="ListContinue3">
    <w:name w:val="List Continue 3"/>
    <w:basedOn w:val="Normal"/>
    <w:uiPriority w:val="99"/>
    <w:semiHidden/>
    <w:unhideWhenUsed/>
    <w:rsid w:val="00071855"/>
    <w:pPr>
      <w:spacing w:after="120"/>
      <w:ind w:left="849"/>
      <w:contextualSpacing/>
    </w:pPr>
  </w:style>
  <w:style w:type="paragraph" w:styleId="ListContinue4">
    <w:name w:val="List Continue 4"/>
    <w:basedOn w:val="Normal"/>
    <w:uiPriority w:val="99"/>
    <w:semiHidden/>
    <w:unhideWhenUsed/>
    <w:rsid w:val="00071855"/>
    <w:pPr>
      <w:spacing w:after="120"/>
      <w:ind w:left="1132"/>
      <w:contextualSpacing/>
    </w:pPr>
  </w:style>
  <w:style w:type="paragraph" w:styleId="ListContinue5">
    <w:name w:val="List Continue 5"/>
    <w:basedOn w:val="Normal"/>
    <w:uiPriority w:val="99"/>
    <w:semiHidden/>
    <w:unhideWhenUsed/>
    <w:rsid w:val="00071855"/>
    <w:pPr>
      <w:spacing w:after="120"/>
      <w:ind w:left="1415"/>
      <w:contextualSpacing/>
    </w:pPr>
  </w:style>
  <w:style w:type="paragraph" w:styleId="ListNumber">
    <w:name w:val="List Number"/>
    <w:basedOn w:val="Normal"/>
    <w:uiPriority w:val="99"/>
    <w:semiHidden/>
    <w:unhideWhenUsed/>
    <w:rsid w:val="00071855"/>
    <w:pPr>
      <w:numPr>
        <w:numId w:val="6"/>
      </w:numPr>
      <w:contextualSpacing/>
    </w:pPr>
  </w:style>
  <w:style w:type="paragraph" w:styleId="ListNumber2">
    <w:name w:val="List Number 2"/>
    <w:basedOn w:val="Normal"/>
    <w:uiPriority w:val="99"/>
    <w:semiHidden/>
    <w:unhideWhenUsed/>
    <w:rsid w:val="00071855"/>
    <w:pPr>
      <w:numPr>
        <w:numId w:val="7"/>
      </w:numPr>
      <w:contextualSpacing/>
    </w:pPr>
  </w:style>
  <w:style w:type="paragraph" w:styleId="ListNumber3">
    <w:name w:val="List Number 3"/>
    <w:basedOn w:val="Normal"/>
    <w:uiPriority w:val="99"/>
    <w:semiHidden/>
    <w:unhideWhenUsed/>
    <w:rsid w:val="00071855"/>
    <w:pPr>
      <w:numPr>
        <w:numId w:val="8"/>
      </w:numPr>
      <w:contextualSpacing/>
    </w:pPr>
  </w:style>
  <w:style w:type="paragraph" w:styleId="ListNumber4">
    <w:name w:val="List Number 4"/>
    <w:basedOn w:val="Normal"/>
    <w:uiPriority w:val="99"/>
    <w:semiHidden/>
    <w:unhideWhenUsed/>
    <w:rsid w:val="00071855"/>
    <w:pPr>
      <w:numPr>
        <w:numId w:val="9"/>
      </w:numPr>
      <w:contextualSpacing/>
    </w:pPr>
  </w:style>
  <w:style w:type="paragraph" w:styleId="ListNumber5">
    <w:name w:val="List Number 5"/>
    <w:basedOn w:val="Normal"/>
    <w:uiPriority w:val="99"/>
    <w:semiHidden/>
    <w:unhideWhenUsed/>
    <w:rsid w:val="00071855"/>
    <w:pPr>
      <w:numPr>
        <w:numId w:val="10"/>
      </w:numPr>
      <w:contextualSpacing/>
    </w:pPr>
  </w:style>
  <w:style w:type="paragraph" w:styleId="MacroText">
    <w:name w:val="macro"/>
    <w:link w:val="MacroTextChar"/>
    <w:uiPriority w:val="99"/>
    <w:semiHidden/>
    <w:unhideWhenUsed/>
    <w:rsid w:val="0007185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71855"/>
    <w:rPr>
      <w:rFonts w:ascii="Consolas" w:hAnsi="Consolas" w:cs="Consolas"/>
      <w:sz w:val="20"/>
      <w:szCs w:val="20"/>
    </w:rPr>
  </w:style>
  <w:style w:type="paragraph" w:styleId="MessageHeader">
    <w:name w:val="Message Header"/>
    <w:basedOn w:val="Normal"/>
    <w:link w:val="MessageHeaderChar"/>
    <w:uiPriority w:val="99"/>
    <w:semiHidden/>
    <w:unhideWhenUsed/>
    <w:rsid w:val="0007185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71855"/>
    <w:rPr>
      <w:rFonts w:asciiTheme="majorHAnsi" w:eastAsiaTheme="majorEastAsia" w:hAnsiTheme="majorHAnsi" w:cstheme="majorBidi"/>
      <w:sz w:val="24"/>
      <w:szCs w:val="24"/>
      <w:shd w:val="pct20" w:color="auto" w:fill="auto"/>
    </w:rPr>
  </w:style>
  <w:style w:type="paragraph" w:styleId="NoSpacing">
    <w:name w:val="No Spacing"/>
    <w:uiPriority w:val="1"/>
    <w:qFormat/>
    <w:rsid w:val="00071855"/>
    <w:pPr>
      <w:spacing w:after="0" w:line="240" w:lineRule="auto"/>
    </w:pPr>
  </w:style>
  <w:style w:type="paragraph" w:styleId="NormalWeb">
    <w:name w:val="Normal (Web)"/>
    <w:basedOn w:val="Normal"/>
    <w:uiPriority w:val="99"/>
    <w:semiHidden/>
    <w:unhideWhenUsed/>
    <w:rsid w:val="00071855"/>
    <w:rPr>
      <w:rFonts w:ascii="Times New Roman" w:hAnsi="Times New Roman" w:cs="Times New Roman"/>
      <w:sz w:val="24"/>
      <w:szCs w:val="24"/>
    </w:rPr>
  </w:style>
  <w:style w:type="paragraph" w:styleId="NormalIndent">
    <w:name w:val="Normal Indent"/>
    <w:basedOn w:val="Normal"/>
    <w:uiPriority w:val="99"/>
    <w:semiHidden/>
    <w:unhideWhenUsed/>
    <w:rsid w:val="00071855"/>
    <w:pPr>
      <w:ind w:left="720"/>
    </w:pPr>
  </w:style>
  <w:style w:type="paragraph" w:styleId="NoteHeading">
    <w:name w:val="Note Heading"/>
    <w:basedOn w:val="Normal"/>
    <w:next w:val="Normal"/>
    <w:link w:val="NoteHeadingChar"/>
    <w:uiPriority w:val="99"/>
    <w:semiHidden/>
    <w:unhideWhenUsed/>
    <w:rsid w:val="00071855"/>
    <w:pPr>
      <w:spacing w:after="0" w:line="240" w:lineRule="auto"/>
    </w:pPr>
  </w:style>
  <w:style w:type="character" w:customStyle="1" w:styleId="NoteHeadingChar">
    <w:name w:val="Note Heading Char"/>
    <w:basedOn w:val="DefaultParagraphFont"/>
    <w:link w:val="NoteHeading"/>
    <w:uiPriority w:val="99"/>
    <w:semiHidden/>
    <w:rsid w:val="00071855"/>
  </w:style>
  <w:style w:type="paragraph" w:styleId="PlainText">
    <w:name w:val="Plain Text"/>
    <w:basedOn w:val="Normal"/>
    <w:link w:val="PlainTextChar"/>
    <w:uiPriority w:val="99"/>
    <w:semiHidden/>
    <w:unhideWhenUsed/>
    <w:rsid w:val="0007185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71855"/>
    <w:rPr>
      <w:rFonts w:ascii="Consolas" w:hAnsi="Consolas" w:cs="Consolas"/>
      <w:sz w:val="21"/>
      <w:szCs w:val="21"/>
    </w:rPr>
  </w:style>
  <w:style w:type="paragraph" w:styleId="Quote">
    <w:name w:val="Quote"/>
    <w:basedOn w:val="Normal"/>
    <w:next w:val="Normal"/>
    <w:link w:val="QuoteChar"/>
    <w:uiPriority w:val="29"/>
    <w:qFormat/>
    <w:rsid w:val="000718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71855"/>
    <w:rPr>
      <w:i/>
      <w:iCs/>
      <w:color w:val="404040" w:themeColor="text1" w:themeTint="BF"/>
    </w:rPr>
  </w:style>
  <w:style w:type="paragraph" w:styleId="Salutation">
    <w:name w:val="Salutation"/>
    <w:basedOn w:val="Normal"/>
    <w:next w:val="Normal"/>
    <w:link w:val="SalutationChar"/>
    <w:uiPriority w:val="99"/>
    <w:semiHidden/>
    <w:unhideWhenUsed/>
    <w:rsid w:val="00071855"/>
  </w:style>
  <w:style w:type="character" w:customStyle="1" w:styleId="SalutationChar">
    <w:name w:val="Salutation Char"/>
    <w:basedOn w:val="DefaultParagraphFont"/>
    <w:link w:val="Salutation"/>
    <w:uiPriority w:val="99"/>
    <w:semiHidden/>
    <w:rsid w:val="00071855"/>
  </w:style>
  <w:style w:type="paragraph" w:styleId="Signature">
    <w:name w:val="Signature"/>
    <w:basedOn w:val="Normal"/>
    <w:link w:val="SignatureChar"/>
    <w:uiPriority w:val="99"/>
    <w:semiHidden/>
    <w:unhideWhenUsed/>
    <w:rsid w:val="00071855"/>
    <w:pPr>
      <w:spacing w:after="0" w:line="240" w:lineRule="auto"/>
      <w:ind w:left="4252"/>
    </w:pPr>
  </w:style>
  <w:style w:type="character" w:customStyle="1" w:styleId="SignatureChar">
    <w:name w:val="Signature Char"/>
    <w:basedOn w:val="DefaultParagraphFont"/>
    <w:link w:val="Signature"/>
    <w:uiPriority w:val="99"/>
    <w:semiHidden/>
    <w:rsid w:val="00071855"/>
  </w:style>
  <w:style w:type="paragraph" w:styleId="Subtitle">
    <w:name w:val="Subtitle"/>
    <w:basedOn w:val="Normal"/>
    <w:next w:val="Normal"/>
    <w:link w:val="SubtitleChar"/>
    <w:uiPriority w:val="11"/>
    <w:qFormat/>
    <w:rsid w:val="0007185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71855"/>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71855"/>
    <w:pPr>
      <w:spacing w:after="0"/>
      <w:ind w:left="220" w:hanging="220"/>
    </w:pPr>
  </w:style>
  <w:style w:type="paragraph" w:styleId="TableofFigures">
    <w:name w:val="table of figures"/>
    <w:basedOn w:val="Normal"/>
    <w:next w:val="Normal"/>
    <w:uiPriority w:val="99"/>
    <w:semiHidden/>
    <w:unhideWhenUsed/>
    <w:rsid w:val="00071855"/>
    <w:pPr>
      <w:spacing w:after="0"/>
    </w:pPr>
  </w:style>
  <w:style w:type="paragraph" w:styleId="Title">
    <w:name w:val="Title"/>
    <w:basedOn w:val="Normal"/>
    <w:next w:val="Normal"/>
    <w:link w:val="TitleChar"/>
    <w:uiPriority w:val="10"/>
    <w:qFormat/>
    <w:rsid w:val="000718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85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7185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71855"/>
    <w:pPr>
      <w:spacing w:after="100"/>
    </w:pPr>
  </w:style>
  <w:style w:type="paragraph" w:styleId="TOC2">
    <w:name w:val="toc 2"/>
    <w:basedOn w:val="Normal"/>
    <w:next w:val="Normal"/>
    <w:autoRedefine/>
    <w:uiPriority w:val="39"/>
    <w:semiHidden/>
    <w:unhideWhenUsed/>
    <w:rsid w:val="00071855"/>
    <w:pPr>
      <w:spacing w:after="100"/>
      <w:ind w:left="220"/>
    </w:pPr>
  </w:style>
  <w:style w:type="paragraph" w:styleId="TOC3">
    <w:name w:val="toc 3"/>
    <w:basedOn w:val="Normal"/>
    <w:next w:val="Normal"/>
    <w:autoRedefine/>
    <w:uiPriority w:val="39"/>
    <w:semiHidden/>
    <w:unhideWhenUsed/>
    <w:rsid w:val="00071855"/>
    <w:pPr>
      <w:spacing w:after="100"/>
      <w:ind w:left="440"/>
    </w:pPr>
  </w:style>
  <w:style w:type="paragraph" w:styleId="TOC4">
    <w:name w:val="toc 4"/>
    <w:basedOn w:val="Normal"/>
    <w:next w:val="Normal"/>
    <w:autoRedefine/>
    <w:uiPriority w:val="39"/>
    <w:semiHidden/>
    <w:unhideWhenUsed/>
    <w:rsid w:val="00071855"/>
    <w:pPr>
      <w:spacing w:after="100"/>
      <w:ind w:left="660"/>
    </w:pPr>
  </w:style>
  <w:style w:type="paragraph" w:styleId="TOC5">
    <w:name w:val="toc 5"/>
    <w:basedOn w:val="Normal"/>
    <w:next w:val="Normal"/>
    <w:autoRedefine/>
    <w:uiPriority w:val="39"/>
    <w:semiHidden/>
    <w:unhideWhenUsed/>
    <w:rsid w:val="00071855"/>
    <w:pPr>
      <w:spacing w:after="100"/>
      <w:ind w:left="880"/>
    </w:pPr>
  </w:style>
  <w:style w:type="paragraph" w:styleId="TOC6">
    <w:name w:val="toc 6"/>
    <w:basedOn w:val="Normal"/>
    <w:next w:val="Normal"/>
    <w:autoRedefine/>
    <w:uiPriority w:val="39"/>
    <w:semiHidden/>
    <w:unhideWhenUsed/>
    <w:rsid w:val="00071855"/>
    <w:pPr>
      <w:spacing w:after="100"/>
      <w:ind w:left="1100"/>
    </w:pPr>
  </w:style>
  <w:style w:type="paragraph" w:styleId="TOC7">
    <w:name w:val="toc 7"/>
    <w:basedOn w:val="Normal"/>
    <w:next w:val="Normal"/>
    <w:autoRedefine/>
    <w:uiPriority w:val="39"/>
    <w:semiHidden/>
    <w:unhideWhenUsed/>
    <w:rsid w:val="00071855"/>
    <w:pPr>
      <w:spacing w:after="100"/>
      <w:ind w:left="1320"/>
    </w:pPr>
  </w:style>
  <w:style w:type="paragraph" w:styleId="TOC8">
    <w:name w:val="toc 8"/>
    <w:basedOn w:val="Normal"/>
    <w:next w:val="Normal"/>
    <w:autoRedefine/>
    <w:uiPriority w:val="39"/>
    <w:semiHidden/>
    <w:unhideWhenUsed/>
    <w:rsid w:val="00071855"/>
    <w:pPr>
      <w:spacing w:after="100"/>
      <w:ind w:left="1540"/>
    </w:pPr>
  </w:style>
  <w:style w:type="paragraph" w:styleId="TOC9">
    <w:name w:val="toc 9"/>
    <w:basedOn w:val="Normal"/>
    <w:next w:val="Normal"/>
    <w:autoRedefine/>
    <w:uiPriority w:val="39"/>
    <w:semiHidden/>
    <w:unhideWhenUsed/>
    <w:rsid w:val="00071855"/>
    <w:pPr>
      <w:spacing w:after="100"/>
      <w:ind w:left="1760"/>
    </w:pPr>
  </w:style>
  <w:style w:type="paragraph" w:styleId="TOCHeading">
    <w:name w:val="TOC Heading"/>
    <w:basedOn w:val="Heading1"/>
    <w:next w:val="Normal"/>
    <w:uiPriority w:val="39"/>
    <w:semiHidden/>
    <w:unhideWhenUsed/>
    <w:qFormat/>
    <w:rsid w:val="00071855"/>
    <w:pPr>
      <w:numPr>
        <w:numId w:val="0"/>
      </w:numPr>
      <w:spacing w:before="240"/>
      <w:outlineLvl w:val="9"/>
    </w:pPr>
    <w:rPr>
      <w:b w:val="0"/>
      <w:bCs w:val="0"/>
      <w:caps w:val="0"/>
      <w:color w:val="365F91" w:themeColor="accent1" w:themeShade="BF"/>
      <w:sz w:val="32"/>
      <w:szCs w:val="32"/>
    </w:rPr>
  </w:style>
  <w:style w:type="character" w:styleId="HTMLTypewriter">
    <w:name w:val="HTML Typewriter"/>
    <w:basedOn w:val="DefaultParagraphFont"/>
    <w:uiPriority w:val="99"/>
    <w:semiHidden/>
    <w:unhideWhenUsed/>
    <w:rsid w:val="006E595D"/>
    <w:rPr>
      <w:rFonts w:ascii="Courier New" w:eastAsia="Calibri" w:hAnsi="Courier New" w:cs="Courier New" w:hint="default"/>
      <w:sz w:val="20"/>
      <w:szCs w:val="20"/>
    </w:rPr>
  </w:style>
  <w:style w:type="paragraph" w:customStyle="1" w:styleId="TableParagraph">
    <w:name w:val="Table Paragraph"/>
    <w:basedOn w:val="Normal"/>
    <w:uiPriority w:val="1"/>
    <w:qFormat/>
    <w:rsid w:val="00177E01"/>
    <w:pPr>
      <w:widowControl w:val="0"/>
      <w:autoSpaceDE w:val="0"/>
      <w:autoSpaceDN w:val="0"/>
      <w:spacing w:after="0" w:line="240" w:lineRule="auto"/>
      <w:ind w:left="103"/>
    </w:pPr>
    <w:rPr>
      <w:rFonts w:ascii="Times New Roman" w:eastAsia="Times New Roman" w:hAnsi="Times New Roman" w:cs="Times New Roman"/>
      <w:lang w:val="en-US"/>
    </w:rPr>
  </w:style>
  <w:style w:type="table" w:styleId="TableGrid">
    <w:name w:val="Table Grid"/>
    <w:basedOn w:val="TableNormal"/>
    <w:uiPriority w:val="59"/>
    <w:rsid w:val="00A00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S">
    <w:name w:val="table:textNS"/>
    <w:basedOn w:val="Normal"/>
    <w:link w:val="tabletextNSChar"/>
    <w:qFormat/>
    <w:rsid w:val="00234039"/>
    <w:pPr>
      <w:spacing w:after="0" w:line="240" w:lineRule="auto"/>
    </w:pPr>
    <w:rPr>
      <w:rFonts w:ascii="Arial Narrow" w:eastAsia="Times New Roman" w:hAnsi="Arial Narrow" w:cs="Arial Narrow"/>
      <w:sz w:val="24"/>
      <w:szCs w:val="20"/>
      <w:lang w:val="en-GB" w:eastAsia="en-GB"/>
    </w:rPr>
  </w:style>
  <w:style w:type="character" w:customStyle="1" w:styleId="tabletextNSChar">
    <w:name w:val="table:textNS Char"/>
    <w:link w:val="tabletextNS"/>
    <w:rsid w:val="00234039"/>
    <w:rPr>
      <w:rFonts w:ascii="Arial Narrow" w:eastAsia="Times New Roman" w:hAnsi="Arial Narrow" w:cs="Arial Narrow"/>
      <w:sz w:val="24"/>
      <w:szCs w:val="20"/>
      <w:lang w:val="en-GB" w:eastAsia="en-GB"/>
    </w:rPr>
  </w:style>
  <w:style w:type="character" w:customStyle="1" w:styleId="CSI">
    <w:name w:val="CSI"/>
    <w:uiPriority w:val="1"/>
    <w:qFormat/>
    <w:rsid w:val="00234039"/>
    <w:rPr>
      <w:shd w:val="clear" w:color="auto" w:fill="BFBFBF"/>
    </w:rPr>
  </w:style>
  <w:style w:type="character" w:customStyle="1" w:styleId="CSIchar">
    <w:name w:val="CSIchar"/>
    <w:qFormat/>
    <w:rsid w:val="00234039"/>
    <w:rPr>
      <w:bdr w:val="none" w:sz="0" w:space="0" w:color="auto"/>
      <w:shd w:val="clear" w:color="auto" w:fill="CCCCCC"/>
    </w:rPr>
  </w:style>
  <w:style w:type="paragraph" w:customStyle="1" w:styleId="Default">
    <w:name w:val="Default"/>
    <w:basedOn w:val="Normal"/>
    <w:rsid w:val="00234039"/>
    <w:pPr>
      <w:autoSpaceDE w:val="0"/>
      <w:autoSpaceDN w:val="0"/>
      <w:spacing w:after="0" w:line="240" w:lineRule="auto"/>
    </w:pPr>
    <w:rPr>
      <w:rFonts w:ascii="Times New Roman" w:eastAsia="Calibri" w:hAnsi="Times New Roman" w:cs="Times New Roman"/>
      <w:color w:val="000000"/>
      <w:sz w:val="24"/>
      <w:szCs w:val="24"/>
      <w:lang w:val="en-GB" w:eastAsia="en-GB"/>
    </w:rPr>
  </w:style>
  <w:style w:type="character" w:customStyle="1" w:styleId="underline1">
    <w:name w:val="underline1"/>
    <w:rsid w:val="00234039"/>
    <w:rPr>
      <w:u w:val="single"/>
    </w:rPr>
  </w:style>
  <w:style w:type="paragraph" w:customStyle="1" w:styleId="NoNumHead3">
    <w:name w:val="NoNum:Head3"/>
    <w:basedOn w:val="Normal"/>
    <w:next w:val="Normal"/>
    <w:rsid w:val="00E677F5"/>
    <w:pPr>
      <w:keepNext/>
      <w:spacing w:before="120" w:after="240" w:line="240" w:lineRule="auto"/>
      <w:outlineLvl w:val="0"/>
    </w:pPr>
    <w:rPr>
      <w:rFonts w:ascii="Arial" w:eastAsia="Times New Roman" w:hAnsi="Arial" w:cs="Arial"/>
      <w:b/>
      <w:bCs/>
      <w:sz w:val="24"/>
      <w:szCs w:val="24"/>
      <w:lang w:val="en-GB" w:eastAsia="en-GB"/>
    </w:rPr>
  </w:style>
  <w:style w:type="paragraph" w:customStyle="1" w:styleId="captiontable">
    <w:name w:val="caption:table"/>
    <w:basedOn w:val="Normal"/>
    <w:next w:val="Normal"/>
    <w:link w:val="captiontableChar"/>
    <w:rsid w:val="00E677F5"/>
    <w:pPr>
      <w:keepNext/>
      <w:spacing w:after="240" w:line="240" w:lineRule="auto"/>
      <w:ind w:left="1440" w:hanging="1440"/>
    </w:pPr>
    <w:rPr>
      <w:rFonts w:ascii="Arial" w:eastAsia="Times New Roman" w:hAnsi="Arial" w:cs="Arial"/>
      <w:b/>
      <w:bCs/>
      <w:lang w:val="en-GB" w:eastAsia="en-GB"/>
    </w:rPr>
  </w:style>
  <w:style w:type="character" w:customStyle="1" w:styleId="captiontableChar">
    <w:name w:val="caption:table Char"/>
    <w:link w:val="captiontable"/>
    <w:rsid w:val="00E677F5"/>
    <w:rPr>
      <w:rFonts w:ascii="Arial" w:eastAsia="Times New Roman" w:hAnsi="Arial" w:cs="Arial"/>
      <w:b/>
      <w:bCs/>
      <w:lang w:val="en-GB" w:eastAsia="en-GB"/>
    </w:rPr>
  </w:style>
  <w:style w:type="paragraph" w:customStyle="1" w:styleId="NoNumHead4">
    <w:name w:val="NoNum:Head4"/>
    <w:basedOn w:val="NoNumHead3"/>
    <w:next w:val="Normal"/>
    <w:link w:val="NoNumHead4Char"/>
    <w:rsid w:val="00B2206F"/>
    <w:rPr>
      <w:sz w:val="22"/>
      <w:szCs w:val="22"/>
    </w:rPr>
  </w:style>
  <w:style w:type="character" w:customStyle="1" w:styleId="NoNumHead4Char">
    <w:name w:val="NoNum:Head4 Char"/>
    <w:link w:val="NoNumHead4"/>
    <w:rsid w:val="00B2206F"/>
    <w:rPr>
      <w:rFonts w:ascii="Arial" w:eastAsia="Times New Roman" w:hAnsi="Arial" w:cs="Arial"/>
      <w:b/>
      <w:bCs/>
      <w:lang w:val="en-GB" w:eastAsia="en-GB"/>
    </w:rPr>
  </w:style>
  <w:style w:type="character" w:customStyle="1" w:styleId="commenttext0">
    <w:name w:val="commenttext"/>
    <w:rsid w:val="00B2206F"/>
  </w:style>
  <w:style w:type="paragraph" w:customStyle="1" w:styleId="NoNumHead5">
    <w:name w:val="NoNum:Head5"/>
    <w:basedOn w:val="NoNumHead4"/>
    <w:next w:val="Normal"/>
    <w:rsid w:val="0021668A"/>
    <w:pPr>
      <w:spacing w:before="0"/>
    </w:pPr>
    <w:rPr>
      <w:i/>
      <w:iCs/>
    </w:rPr>
  </w:style>
  <w:style w:type="character" w:customStyle="1" w:styleId="LBLTableFootnotesChar">
    <w:name w:val="LBL Table Footnotes Char"/>
    <w:link w:val="LBLTableFootnotes"/>
    <w:rsid w:val="007A36BA"/>
    <w:rPr>
      <w:sz w:val="24"/>
    </w:rPr>
  </w:style>
  <w:style w:type="paragraph" w:customStyle="1" w:styleId="LBLTableFootnotes">
    <w:name w:val="LBL Table Footnotes"/>
    <w:basedOn w:val="Normal"/>
    <w:link w:val="LBLTableFootnotesChar"/>
    <w:rsid w:val="007A36BA"/>
    <w:pPr>
      <w:tabs>
        <w:tab w:val="left" w:pos="720"/>
        <w:tab w:val="left" w:pos="994"/>
      </w:tabs>
      <w:spacing w:after="0" w:line="320" w:lineRule="atLeast"/>
      <w:ind w:left="274" w:hanging="274"/>
    </w:pPr>
    <w:rPr>
      <w:sz w:val="24"/>
    </w:rPr>
  </w:style>
  <w:style w:type="character" w:customStyle="1" w:styleId="hilighti1">
    <w:name w:val="hilighti1"/>
    <w:rsid w:val="00E111C1"/>
    <w:rPr>
      <w:color w:val="FF0000"/>
      <w:u w:val="single"/>
    </w:rPr>
  </w:style>
  <w:style w:type="character" w:customStyle="1" w:styleId="NoNumHead2Char">
    <w:name w:val="NoNum:Head2 Char"/>
    <w:link w:val="NoNumHead2"/>
    <w:locked/>
    <w:rsid w:val="00956694"/>
    <w:rPr>
      <w:rFonts w:ascii="Arial" w:hAnsi="Arial" w:cs="Arial"/>
      <w:b/>
      <w:bCs/>
      <w:sz w:val="26"/>
      <w:szCs w:val="26"/>
      <w:lang w:val="en-GB" w:eastAsia="en-GB"/>
    </w:rPr>
  </w:style>
  <w:style w:type="paragraph" w:customStyle="1" w:styleId="NoNumHead2">
    <w:name w:val="NoNum:Head2"/>
    <w:basedOn w:val="Normal"/>
    <w:next w:val="Normal"/>
    <w:link w:val="NoNumHead2Char"/>
    <w:rsid w:val="00956694"/>
    <w:pPr>
      <w:keepNext/>
      <w:spacing w:before="120" w:after="240" w:line="240" w:lineRule="auto"/>
      <w:outlineLvl w:val="0"/>
    </w:pPr>
    <w:rPr>
      <w:rFonts w:ascii="Arial" w:hAnsi="Arial" w:cs="Arial"/>
      <w:b/>
      <w:bCs/>
      <w:sz w:val="26"/>
      <w:szCs w:val="26"/>
      <w:lang w:val="en-GB" w:eastAsia="en-GB"/>
    </w:rPr>
  </w:style>
  <w:style w:type="character" w:customStyle="1" w:styleId="LBLLevel4">
    <w:name w:val="LBLLevel 4"/>
    <w:rsid w:val="00956694"/>
    <w:rPr>
      <w:rFonts w:ascii="Arial" w:hAnsi="Arial" w:cs="Arial" w:hint="default"/>
      <w:i/>
      <w:iCs/>
    </w:rPr>
  </w:style>
  <w:style w:type="paragraph" w:customStyle="1" w:styleId="Bulletpoint">
    <w:name w:val="Bullet point"/>
    <w:basedOn w:val="Normal"/>
    <w:link w:val="BulletpointChar"/>
    <w:rsid w:val="0073760D"/>
    <w:pPr>
      <w:numPr>
        <w:numId w:val="14"/>
      </w:numPr>
      <w:tabs>
        <w:tab w:val="left" w:pos="397"/>
      </w:tabs>
      <w:spacing w:after="180" w:line="252" w:lineRule="auto"/>
    </w:pPr>
    <w:rPr>
      <w:rFonts w:ascii="Cambria" w:eastAsia="Times New Roman" w:hAnsi="Cambria" w:cs="Times New Roman"/>
      <w:snapToGrid w:val="0"/>
      <w:kern w:val="16"/>
      <w:szCs w:val="24"/>
    </w:rPr>
  </w:style>
  <w:style w:type="character" w:customStyle="1" w:styleId="BulletpointChar">
    <w:name w:val="Bullet point Char"/>
    <w:basedOn w:val="DefaultParagraphFont"/>
    <w:link w:val="Bulletpoint"/>
    <w:rsid w:val="0073760D"/>
    <w:rPr>
      <w:rFonts w:ascii="Cambria" w:eastAsia="Times New Roman" w:hAnsi="Cambria" w:cs="Times New Roman"/>
      <w:snapToGrid w:val="0"/>
      <w:kern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29765">
      <w:bodyDiv w:val="1"/>
      <w:marLeft w:val="0"/>
      <w:marRight w:val="0"/>
      <w:marTop w:val="0"/>
      <w:marBottom w:val="0"/>
      <w:divBdr>
        <w:top w:val="none" w:sz="0" w:space="0" w:color="auto"/>
        <w:left w:val="none" w:sz="0" w:space="0" w:color="auto"/>
        <w:bottom w:val="none" w:sz="0" w:space="0" w:color="auto"/>
        <w:right w:val="none" w:sz="0" w:space="0" w:color="auto"/>
      </w:divBdr>
    </w:div>
    <w:div w:id="102456320">
      <w:bodyDiv w:val="1"/>
      <w:marLeft w:val="0"/>
      <w:marRight w:val="0"/>
      <w:marTop w:val="0"/>
      <w:marBottom w:val="0"/>
      <w:divBdr>
        <w:top w:val="none" w:sz="0" w:space="0" w:color="auto"/>
        <w:left w:val="none" w:sz="0" w:space="0" w:color="auto"/>
        <w:bottom w:val="none" w:sz="0" w:space="0" w:color="auto"/>
        <w:right w:val="none" w:sz="0" w:space="0" w:color="auto"/>
      </w:divBdr>
    </w:div>
    <w:div w:id="156119120">
      <w:bodyDiv w:val="1"/>
      <w:marLeft w:val="0"/>
      <w:marRight w:val="0"/>
      <w:marTop w:val="0"/>
      <w:marBottom w:val="0"/>
      <w:divBdr>
        <w:top w:val="none" w:sz="0" w:space="0" w:color="auto"/>
        <w:left w:val="none" w:sz="0" w:space="0" w:color="auto"/>
        <w:bottom w:val="none" w:sz="0" w:space="0" w:color="auto"/>
        <w:right w:val="none" w:sz="0" w:space="0" w:color="auto"/>
      </w:divBdr>
    </w:div>
    <w:div w:id="418449741">
      <w:bodyDiv w:val="1"/>
      <w:marLeft w:val="0"/>
      <w:marRight w:val="0"/>
      <w:marTop w:val="0"/>
      <w:marBottom w:val="0"/>
      <w:divBdr>
        <w:top w:val="none" w:sz="0" w:space="0" w:color="auto"/>
        <w:left w:val="none" w:sz="0" w:space="0" w:color="auto"/>
        <w:bottom w:val="none" w:sz="0" w:space="0" w:color="auto"/>
        <w:right w:val="none" w:sz="0" w:space="0" w:color="auto"/>
      </w:divBdr>
    </w:div>
    <w:div w:id="484736780">
      <w:bodyDiv w:val="1"/>
      <w:marLeft w:val="0"/>
      <w:marRight w:val="0"/>
      <w:marTop w:val="0"/>
      <w:marBottom w:val="0"/>
      <w:divBdr>
        <w:top w:val="none" w:sz="0" w:space="0" w:color="auto"/>
        <w:left w:val="none" w:sz="0" w:space="0" w:color="auto"/>
        <w:bottom w:val="none" w:sz="0" w:space="0" w:color="auto"/>
        <w:right w:val="none" w:sz="0" w:space="0" w:color="auto"/>
      </w:divBdr>
    </w:div>
    <w:div w:id="578750970">
      <w:bodyDiv w:val="1"/>
      <w:marLeft w:val="0"/>
      <w:marRight w:val="0"/>
      <w:marTop w:val="0"/>
      <w:marBottom w:val="0"/>
      <w:divBdr>
        <w:top w:val="none" w:sz="0" w:space="0" w:color="auto"/>
        <w:left w:val="none" w:sz="0" w:space="0" w:color="auto"/>
        <w:bottom w:val="none" w:sz="0" w:space="0" w:color="auto"/>
        <w:right w:val="none" w:sz="0" w:space="0" w:color="auto"/>
      </w:divBdr>
    </w:div>
    <w:div w:id="765617876">
      <w:bodyDiv w:val="1"/>
      <w:marLeft w:val="0"/>
      <w:marRight w:val="0"/>
      <w:marTop w:val="0"/>
      <w:marBottom w:val="0"/>
      <w:divBdr>
        <w:top w:val="none" w:sz="0" w:space="0" w:color="auto"/>
        <w:left w:val="none" w:sz="0" w:space="0" w:color="auto"/>
        <w:bottom w:val="none" w:sz="0" w:space="0" w:color="auto"/>
        <w:right w:val="none" w:sz="0" w:space="0" w:color="auto"/>
      </w:divBdr>
    </w:div>
    <w:div w:id="793446553">
      <w:bodyDiv w:val="1"/>
      <w:marLeft w:val="0"/>
      <w:marRight w:val="0"/>
      <w:marTop w:val="0"/>
      <w:marBottom w:val="0"/>
      <w:divBdr>
        <w:top w:val="none" w:sz="0" w:space="0" w:color="auto"/>
        <w:left w:val="none" w:sz="0" w:space="0" w:color="auto"/>
        <w:bottom w:val="none" w:sz="0" w:space="0" w:color="auto"/>
        <w:right w:val="none" w:sz="0" w:space="0" w:color="auto"/>
      </w:divBdr>
    </w:div>
    <w:div w:id="825828176">
      <w:bodyDiv w:val="1"/>
      <w:marLeft w:val="0"/>
      <w:marRight w:val="0"/>
      <w:marTop w:val="0"/>
      <w:marBottom w:val="0"/>
      <w:divBdr>
        <w:top w:val="none" w:sz="0" w:space="0" w:color="auto"/>
        <w:left w:val="none" w:sz="0" w:space="0" w:color="auto"/>
        <w:bottom w:val="none" w:sz="0" w:space="0" w:color="auto"/>
        <w:right w:val="none" w:sz="0" w:space="0" w:color="auto"/>
      </w:divBdr>
    </w:div>
    <w:div w:id="1056858407">
      <w:bodyDiv w:val="1"/>
      <w:marLeft w:val="0"/>
      <w:marRight w:val="0"/>
      <w:marTop w:val="0"/>
      <w:marBottom w:val="0"/>
      <w:divBdr>
        <w:top w:val="none" w:sz="0" w:space="0" w:color="auto"/>
        <w:left w:val="none" w:sz="0" w:space="0" w:color="auto"/>
        <w:bottom w:val="none" w:sz="0" w:space="0" w:color="auto"/>
        <w:right w:val="none" w:sz="0" w:space="0" w:color="auto"/>
      </w:divBdr>
    </w:div>
    <w:div w:id="1064721229">
      <w:bodyDiv w:val="1"/>
      <w:marLeft w:val="0"/>
      <w:marRight w:val="0"/>
      <w:marTop w:val="0"/>
      <w:marBottom w:val="0"/>
      <w:divBdr>
        <w:top w:val="none" w:sz="0" w:space="0" w:color="auto"/>
        <w:left w:val="none" w:sz="0" w:space="0" w:color="auto"/>
        <w:bottom w:val="none" w:sz="0" w:space="0" w:color="auto"/>
        <w:right w:val="none" w:sz="0" w:space="0" w:color="auto"/>
      </w:divBdr>
    </w:div>
    <w:div w:id="1206525461">
      <w:bodyDiv w:val="1"/>
      <w:marLeft w:val="0"/>
      <w:marRight w:val="0"/>
      <w:marTop w:val="0"/>
      <w:marBottom w:val="0"/>
      <w:divBdr>
        <w:top w:val="none" w:sz="0" w:space="0" w:color="auto"/>
        <w:left w:val="none" w:sz="0" w:space="0" w:color="auto"/>
        <w:bottom w:val="none" w:sz="0" w:space="0" w:color="auto"/>
        <w:right w:val="none" w:sz="0" w:space="0" w:color="auto"/>
      </w:divBdr>
    </w:div>
    <w:div w:id="1246651725">
      <w:bodyDiv w:val="1"/>
      <w:marLeft w:val="0"/>
      <w:marRight w:val="0"/>
      <w:marTop w:val="0"/>
      <w:marBottom w:val="0"/>
      <w:divBdr>
        <w:top w:val="none" w:sz="0" w:space="0" w:color="auto"/>
        <w:left w:val="none" w:sz="0" w:space="0" w:color="auto"/>
        <w:bottom w:val="none" w:sz="0" w:space="0" w:color="auto"/>
        <w:right w:val="none" w:sz="0" w:space="0" w:color="auto"/>
      </w:divBdr>
    </w:div>
    <w:div w:id="1272325756">
      <w:bodyDiv w:val="1"/>
      <w:marLeft w:val="0"/>
      <w:marRight w:val="0"/>
      <w:marTop w:val="0"/>
      <w:marBottom w:val="0"/>
      <w:divBdr>
        <w:top w:val="none" w:sz="0" w:space="0" w:color="auto"/>
        <w:left w:val="none" w:sz="0" w:space="0" w:color="auto"/>
        <w:bottom w:val="none" w:sz="0" w:space="0" w:color="auto"/>
        <w:right w:val="none" w:sz="0" w:space="0" w:color="auto"/>
      </w:divBdr>
    </w:div>
    <w:div w:id="1390230732">
      <w:bodyDiv w:val="1"/>
      <w:marLeft w:val="0"/>
      <w:marRight w:val="0"/>
      <w:marTop w:val="0"/>
      <w:marBottom w:val="0"/>
      <w:divBdr>
        <w:top w:val="none" w:sz="0" w:space="0" w:color="auto"/>
        <w:left w:val="none" w:sz="0" w:space="0" w:color="auto"/>
        <w:bottom w:val="none" w:sz="0" w:space="0" w:color="auto"/>
        <w:right w:val="none" w:sz="0" w:space="0" w:color="auto"/>
      </w:divBdr>
    </w:div>
    <w:div w:id="1460487263">
      <w:bodyDiv w:val="1"/>
      <w:marLeft w:val="0"/>
      <w:marRight w:val="0"/>
      <w:marTop w:val="0"/>
      <w:marBottom w:val="0"/>
      <w:divBdr>
        <w:top w:val="none" w:sz="0" w:space="0" w:color="auto"/>
        <w:left w:val="none" w:sz="0" w:space="0" w:color="auto"/>
        <w:bottom w:val="none" w:sz="0" w:space="0" w:color="auto"/>
        <w:right w:val="none" w:sz="0" w:space="0" w:color="auto"/>
      </w:divBdr>
    </w:div>
    <w:div w:id="196307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ga.gov.au/reporting-problem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B1F99-BECB-49F7-87DE-8E9AB3F77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25</Pages>
  <Words>8740</Words>
  <Characters>50867</Characters>
  <Application>Microsoft Office Word</Application>
  <DocSecurity>0</DocSecurity>
  <Lines>1271</Lines>
  <Paragraphs>655</Paragraphs>
  <ScaleCrop>false</ScaleCrop>
  <HeadingPairs>
    <vt:vector size="2" baseType="variant">
      <vt:variant>
        <vt:lpstr>Title</vt:lpstr>
      </vt:variant>
      <vt:variant>
        <vt:i4>1</vt:i4>
      </vt:variant>
    </vt:vector>
  </HeadingPairs>
  <TitlesOfParts>
    <vt:vector size="1" baseType="lpstr">
      <vt:lpstr>Attachment: Product Information for Fostemsavir trometamol</vt:lpstr>
    </vt:vector>
  </TitlesOfParts>
  <Company>Therapeutic Goods Administration</Company>
  <LinksUpToDate>false</LinksUpToDate>
  <CharactersWithSpaces>58952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Fostemsavir trometamol</dc:title>
  <dc:creator>Therapeutic Goods Administration</dc:creator>
  <cp:keywords>template</cp:keywords>
  <cp:lastPrinted>2017-11-13T05:13:00Z</cp:lastPrinted>
  <dcterms:created xsi:type="dcterms:W3CDTF">2021-09-23T05:57:00Z</dcterms:created>
  <dcterms:modified xsi:type="dcterms:W3CDTF">2021-09-27T04:37:00Z</dcterms:modified>
</cp:coreProperties>
</file>