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D3C20" w14:textId="77777777" w:rsidR="00B40DDE" w:rsidRDefault="0078753A" w:rsidP="00EC4A2E">
      <w:pPr>
        <w:pStyle w:val="C-Heading1nopagebreak0"/>
        <w:jc w:val="center"/>
        <w:rPr>
          <w:vertAlign w:val="superscript"/>
        </w:rPr>
      </w:pPr>
      <w:r>
        <w:t>MONUROL</w:t>
      </w:r>
      <w:r w:rsidR="00C1514D" w:rsidRPr="00C1514D">
        <w:rPr>
          <w:vertAlign w:val="superscript"/>
        </w:rPr>
        <w:t>®</w:t>
      </w:r>
    </w:p>
    <w:p w14:paraId="12FD2133" w14:textId="59664F4E" w:rsidR="002A50DF" w:rsidRPr="002A50DF" w:rsidRDefault="0010341F" w:rsidP="00EC4A2E">
      <w:pPr>
        <w:pStyle w:val="C-Heading1nopagebreak0"/>
        <w:jc w:val="center"/>
        <w:rPr>
          <w:rFonts w:eastAsia="Arial"/>
          <w:szCs w:val="24"/>
        </w:rPr>
      </w:pPr>
      <w:proofErr w:type="gramStart"/>
      <w:r>
        <w:rPr>
          <w:caps w:val="0"/>
        </w:rPr>
        <w:t>granules</w:t>
      </w:r>
      <w:proofErr w:type="gramEnd"/>
      <w:r>
        <w:rPr>
          <w:caps w:val="0"/>
        </w:rPr>
        <w:t xml:space="preserve"> for oral solution</w:t>
      </w:r>
    </w:p>
    <w:p w14:paraId="13EF5B13" w14:textId="77777777" w:rsidR="002A50DF" w:rsidRPr="002A50DF" w:rsidRDefault="002A50DF" w:rsidP="00C07648">
      <w:pPr>
        <w:pStyle w:val="C-Heading1nopagebreak0"/>
        <w:rPr>
          <w:bCs/>
        </w:rPr>
      </w:pPr>
      <w:r w:rsidRPr="002A50DF">
        <w:t>NAME OF THE MEDICINE</w:t>
      </w:r>
    </w:p>
    <w:p w14:paraId="6085AE8F" w14:textId="77777777" w:rsidR="002A50DF" w:rsidRPr="002A50DF" w:rsidRDefault="0010341F" w:rsidP="00F17201">
      <w:pPr>
        <w:pStyle w:val="C-BodyText"/>
      </w:pPr>
      <w:proofErr w:type="spellStart"/>
      <w:r>
        <w:t>Fosfomycin</w:t>
      </w:r>
      <w:proofErr w:type="spellEnd"/>
      <w:r>
        <w:t xml:space="preserve"> trometamol</w:t>
      </w:r>
    </w:p>
    <w:p w14:paraId="038688CF" w14:textId="77777777" w:rsidR="002A50DF" w:rsidRPr="002A50DF" w:rsidRDefault="001165A7" w:rsidP="00F17201">
      <w:pPr>
        <w:pStyle w:val="C-BodyText"/>
      </w:pPr>
      <w:r w:rsidRPr="00121DF4">
        <w:t>Chemically,</w:t>
      </w:r>
      <w:r w:rsidRPr="00121DF4">
        <w:rPr>
          <w:spacing w:val="2"/>
        </w:rPr>
        <w:t xml:space="preserve"> </w:t>
      </w:r>
      <w:proofErr w:type="spellStart"/>
      <w:r w:rsidRPr="00121DF4">
        <w:rPr>
          <w:spacing w:val="-1"/>
        </w:rPr>
        <w:t>fosfomycin</w:t>
      </w:r>
      <w:proofErr w:type="spellEnd"/>
      <w:r w:rsidRPr="00121DF4">
        <w:rPr>
          <w:spacing w:val="-1"/>
        </w:rPr>
        <w:t xml:space="preserve"> trometamol</w:t>
      </w:r>
      <w:r>
        <w:rPr>
          <w:spacing w:val="-1"/>
        </w:rPr>
        <w:t xml:space="preserve"> is</w:t>
      </w:r>
      <w:r w:rsidRPr="00121DF4">
        <w:rPr>
          <w:spacing w:val="-1"/>
        </w:rPr>
        <w:t xml:space="preserve"> </w:t>
      </w:r>
      <w:r w:rsidRPr="00121DF4">
        <w:t>2-hydroxy-1</w:t>
      </w:r>
      <w:proofErr w:type="gramStart"/>
      <w:r w:rsidRPr="00121DF4">
        <w:t>,1</w:t>
      </w:r>
      <w:proofErr w:type="gramEnd"/>
      <w:r w:rsidRPr="00121DF4">
        <w:t>-bis(</w:t>
      </w:r>
      <w:proofErr w:type="spellStart"/>
      <w:r w:rsidRPr="00121DF4">
        <w:t>hydroxymethyl</w:t>
      </w:r>
      <w:proofErr w:type="spellEnd"/>
      <w:r w:rsidRPr="00121DF4">
        <w:t>)</w:t>
      </w:r>
      <w:r w:rsidR="0034037B">
        <w:t xml:space="preserve"> </w:t>
      </w:r>
      <w:proofErr w:type="spellStart"/>
      <w:r w:rsidRPr="00121DF4">
        <w:t>ethylammonium</w:t>
      </w:r>
      <w:proofErr w:type="spellEnd"/>
      <w:r w:rsidR="0034037B">
        <w:t xml:space="preserve"> </w:t>
      </w:r>
      <w:r w:rsidRPr="00121DF4">
        <w:t>(2R,3S)-(3-methyloxiran-2-yl) phosphonate</w:t>
      </w:r>
      <w:r>
        <w:rPr>
          <w:spacing w:val="-1"/>
        </w:rPr>
        <w:t xml:space="preserve"> and has the following </w:t>
      </w:r>
      <w:r w:rsidR="002A50DF" w:rsidRPr="002A50DF">
        <w:t>chemical</w:t>
      </w:r>
      <w:r w:rsidR="002A50DF" w:rsidRPr="002A50DF">
        <w:rPr>
          <w:spacing w:val="-3"/>
        </w:rPr>
        <w:t xml:space="preserve"> </w:t>
      </w:r>
      <w:r w:rsidR="002A50DF" w:rsidRPr="002A50DF">
        <w:t>structure</w:t>
      </w:r>
      <w:r w:rsidR="002A50DF" w:rsidRPr="002A50DF">
        <w:rPr>
          <w:spacing w:val="-2"/>
        </w:rPr>
        <w:t>:</w:t>
      </w:r>
    </w:p>
    <w:p w14:paraId="5B3B0D0B" w14:textId="77777777" w:rsidR="0010341F" w:rsidRPr="002A50DF" w:rsidRDefault="00121DF4" w:rsidP="002A50DF">
      <w:pPr>
        <w:pStyle w:val="C-BodyText"/>
        <w:rPr>
          <w:rFonts w:eastAsia="Arial"/>
        </w:rPr>
      </w:pPr>
      <w:bookmarkStart w:id="0" w:name="_GoBack"/>
      <w:bookmarkEnd w:id="0"/>
      <w:r>
        <w:rPr>
          <w:rFonts w:eastAsia="Arial"/>
          <w:noProof/>
          <w:color w:val="00B050"/>
          <w:lang w:val="en-AU" w:eastAsia="en-AU"/>
        </w:rPr>
        <w:drawing>
          <wp:inline distT="0" distB="0" distL="0" distR="0" wp14:anchorId="72098128" wp14:editId="71ACD18A">
            <wp:extent cx="3964275" cy="14578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599" cy="1463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704068" w14:textId="77777777" w:rsidR="009E154B" w:rsidRPr="001029E1" w:rsidRDefault="009E154B" w:rsidP="009E154B">
      <w:pPr>
        <w:pStyle w:val="C-BodyText"/>
        <w:rPr>
          <w:lang w:val="en-AU"/>
        </w:rPr>
      </w:pPr>
      <w:r w:rsidRPr="001029E1">
        <w:rPr>
          <w:lang w:val="en-AU"/>
        </w:rPr>
        <w:t>Molecular formula: C</w:t>
      </w:r>
      <w:r w:rsidRPr="001029E1">
        <w:rPr>
          <w:vertAlign w:val="subscript"/>
          <w:lang w:val="en-AU"/>
        </w:rPr>
        <w:t>7</w:t>
      </w:r>
      <w:r w:rsidRPr="001029E1">
        <w:rPr>
          <w:lang w:val="en-AU"/>
        </w:rPr>
        <w:t>H</w:t>
      </w:r>
      <w:r w:rsidRPr="001029E1">
        <w:rPr>
          <w:vertAlign w:val="subscript"/>
          <w:lang w:val="en-AU"/>
        </w:rPr>
        <w:t>18</w:t>
      </w:r>
      <w:r w:rsidRPr="001029E1">
        <w:rPr>
          <w:lang w:val="en-AU"/>
        </w:rPr>
        <w:t>NO</w:t>
      </w:r>
      <w:r w:rsidRPr="001029E1">
        <w:rPr>
          <w:vertAlign w:val="subscript"/>
          <w:lang w:val="en-AU"/>
        </w:rPr>
        <w:t>7</w:t>
      </w:r>
      <w:r w:rsidRPr="001029E1">
        <w:rPr>
          <w:lang w:val="en-AU"/>
        </w:rPr>
        <w:t>P</w:t>
      </w:r>
    </w:p>
    <w:p w14:paraId="04638E5B" w14:textId="77777777" w:rsidR="009E154B" w:rsidRPr="001029E1" w:rsidRDefault="009E154B" w:rsidP="009E154B">
      <w:pPr>
        <w:pStyle w:val="C-BodyText"/>
        <w:rPr>
          <w:lang w:val="en-AU"/>
        </w:rPr>
      </w:pPr>
      <w:r w:rsidRPr="001029E1">
        <w:rPr>
          <w:lang w:val="en-AU"/>
        </w:rPr>
        <w:t>Relative molecular mass: 259.2</w:t>
      </w:r>
    </w:p>
    <w:p w14:paraId="7A58F1DA" w14:textId="11D09544" w:rsidR="002A50DF" w:rsidRPr="002A50DF" w:rsidRDefault="002A50DF" w:rsidP="00652DEF">
      <w:pPr>
        <w:pStyle w:val="C-BodyText"/>
      </w:pPr>
      <w:r w:rsidRPr="00121DF4">
        <w:t>CAS Registry</w:t>
      </w:r>
      <w:r w:rsidRPr="00121DF4">
        <w:rPr>
          <w:spacing w:val="-2"/>
        </w:rPr>
        <w:t xml:space="preserve"> </w:t>
      </w:r>
      <w:r w:rsidRPr="00121DF4">
        <w:t>No.:</w:t>
      </w:r>
      <w:r w:rsidR="00FD4BE1">
        <w:t xml:space="preserve"> </w:t>
      </w:r>
      <w:r w:rsidR="00121DF4" w:rsidRPr="00121DF4">
        <w:rPr>
          <w:rFonts w:eastAsia="Arial"/>
          <w:noProof/>
          <w:lang w:val="en-AU" w:eastAsia="en-AU"/>
        </w:rPr>
        <w:t>78964-85-9</w:t>
      </w:r>
    </w:p>
    <w:p w14:paraId="41432C42" w14:textId="77777777" w:rsidR="002A50DF" w:rsidRPr="002A50DF" w:rsidRDefault="002A50DF" w:rsidP="00C07648">
      <w:pPr>
        <w:pStyle w:val="C-Heading1nopagebreak0"/>
        <w:rPr>
          <w:bCs/>
        </w:rPr>
      </w:pPr>
      <w:r w:rsidRPr="002A50DF">
        <w:t>DESCRIPTION</w:t>
      </w:r>
    </w:p>
    <w:p w14:paraId="4905C7C1" w14:textId="27460F7B" w:rsidR="001165A7" w:rsidRDefault="001165A7" w:rsidP="00F17201">
      <w:pPr>
        <w:pStyle w:val="C-BodyText"/>
        <w:rPr>
          <w:lang w:val="en-AU" w:eastAsia="en-AU"/>
        </w:rPr>
      </w:pPr>
      <w:r w:rsidRPr="00772403">
        <w:rPr>
          <w:lang w:val="en-AU" w:eastAsia="en-AU"/>
        </w:rPr>
        <w:t>One sachet</w:t>
      </w:r>
      <w:r>
        <w:rPr>
          <w:lang w:val="en-AU" w:eastAsia="en-AU"/>
        </w:rPr>
        <w:t xml:space="preserve"> of </w:t>
      </w:r>
      <w:r w:rsidR="0078753A">
        <w:rPr>
          <w:lang w:val="en-AU" w:eastAsia="en-AU"/>
        </w:rPr>
        <w:t>MONUROL</w:t>
      </w:r>
      <w:r>
        <w:rPr>
          <w:lang w:val="en-AU" w:eastAsia="en-AU"/>
        </w:rPr>
        <w:t xml:space="preserve"> granules for oral solution </w:t>
      </w:r>
      <w:r w:rsidRPr="00772403">
        <w:rPr>
          <w:lang w:val="en-AU" w:eastAsia="en-AU"/>
        </w:rPr>
        <w:t xml:space="preserve">contains 5.631 g of </w:t>
      </w:r>
      <w:proofErr w:type="spellStart"/>
      <w:r w:rsidRPr="00772403">
        <w:rPr>
          <w:lang w:val="en-AU" w:eastAsia="en-AU"/>
        </w:rPr>
        <w:t>fosfomycin</w:t>
      </w:r>
      <w:proofErr w:type="spellEnd"/>
      <w:r w:rsidRPr="00772403">
        <w:rPr>
          <w:lang w:val="en-AU" w:eastAsia="en-AU"/>
        </w:rPr>
        <w:t xml:space="preserve"> trometamol equivalent to 3.0 g </w:t>
      </w:r>
      <w:proofErr w:type="spellStart"/>
      <w:r w:rsidRPr="00772403">
        <w:rPr>
          <w:lang w:val="en-AU" w:eastAsia="en-AU"/>
        </w:rPr>
        <w:t>fosfomy</w:t>
      </w:r>
      <w:r w:rsidRPr="001165A7">
        <w:rPr>
          <w:lang w:val="en-AU" w:eastAsia="en-AU"/>
        </w:rPr>
        <w:t>cin</w:t>
      </w:r>
      <w:proofErr w:type="spellEnd"/>
      <w:r w:rsidRPr="001165A7">
        <w:rPr>
          <w:lang w:val="en-AU" w:eastAsia="en-AU"/>
        </w:rPr>
        <w:t>. One sachet also contains the following excipie</w:t>
      </w:r>
      <w:r w:rsidRPr="009C0F62">
        <w:rPr>
          <w:lang w:val="en-AU" w:eastAsia="en-AU"/>
        </w:rPr>
        <w:t xml:space="preserve">nts: </w:t>
      </w:r>
      <w:r w:rsidR="001C0946">
        <w:rPr>
          <w:lang w:val="en-AU" w:eastAsia="en-AU"/>
        </w:rPr>
        <w:t>Tangerine</w:t>
      </w:r>
      <w:r w:rsidR="001C0946" w:rsidRPr="009C0F62">
        <w:rPr>
          <w:lang w:val="en-AU" w:eastAsia="en-AU"/>
        </w:rPr>
        <w:t xml:space="preserve"> </w:t>
      </w:r>
      <w:r w:rsidRPr="009C0F62">
        <w:rPr>
          <w:lang w:val="en-AU" w:eastAsia="en-AU"/>
        </w:rPr>
        <w:t>flavour</w:t>
      </w:r>
      <w:r w:rsidR="00603163">
        <w:rPr>
          <w:lang w:val="en-AU" w:eastAsia="en-AU"/>
        </w:rPr>
        <w:t xml:space="preserve"> </w:t>
      </w:r>
      <w:r w:rsidR="00603163" w:rsidRPr="001029E1">
        <w:rPr>
          <w:color w:val="000000"/>
          <w:lang w:val="en-AU"/>
        </w:rPr>
        <w:t>PHP-139220</w:t>
      </w:r>
      <w:r w:rsidRPr="009C0F62">
        <w:rPr>
          <w:lang w:val="en-AU" w:eastAsia="en-AU"/>
        </w:rPr>
        <w:t xml:space="preserve">, Orange </w:t>
      </w:r>
      <w:r w:rsidR="001C0946">
        <w:rPr>
          <w:lang w:val="en-AU" w:eastAsia="en-AU"/>
        </w:rPr>
        <w:t xml:space="preserve">Juice </w:t>
      </w:r>
      <w:r w:rsidRPr="009C0F62">
        <w:rPr>
          <w:lang w:val="en-AU" w:eastAsia="en-AU"/>
        </w:rPr>
        <w:t>flavour</w:t>
      </w:r>
      <w:r w:rsidR="00846D72">
        <w:rPr>
          <w:lang w:val="en-AU" w:eastAsia="en-AU"/>
        </w:rPr>
        <w:t xml:space="preserve"> </w:t>
      </w:r>
      <w:r w:rsidR="00846D72" w:rsidRPr="001029E1">
        <w:rPr>
          <w:color w:val="000000"/>
          <w:lang w:val="en-AU"/>
        </w:rPr>
        <w:t>P</w:t>
      </w:r>
      <w:r w:rsidR="00846D72">
        <w:rPr>
          <w:color w:val="000000"/>
          <w:lang w:val="en-AU"/>
        </w:rPr>
        <w:t>HS-192439</w:t>
      </w:r>
      <w:r w:rsidRPr="009C0F62">
        <w:rPr>
          <w:lang w:val="en-AU" w:eastAsia="en-AU"/>
        </w:rPr>
        <w:t>, saccharin</w:t>
      </w:r>
      <w:r>
        <w:rPr>
          <w:lang w:val="en-AU" w:eastAsia="en-AU"/>
        </w:rPr>
        <w:t xml:space="preserve"> and 2.2</w:t>
      </w:r>
      <w:r w:rsidRPr="00772403">
        <w:rPr>
          <w:lang w:val="en-AU" w:eastAsia="en-AU"/>
        </w:rPr>
        <w:t xml:space="preserve">13 g </w:t>
      </w:r>
      <w:r>
        <w:rPr>
          <w:lang w:val="en-AU" w:eastAsia="en-AU"/>
        </w:rPr>
        <w:t xml:space="preserve">of </w:t>
      </w:r>
      <w:r w:rsidRPr="00772403">
        <w:rPr>
          <w:lang w:val="en-AU" w:eastAsia="en-AU"/>
        </w:rPr>
        <w:t>sucrose.</w:t>
      </w:r>
    </w:p>
    <w:p w14:paraId="7DCD008A" w14:textId="77777777" w:rsidR="001165A7" w:rsidRDefault="001165A7" w:rsidP="00F17201">
      <w:pPr>
        <w:pStyle w:val="C-BodyText"/>
      </w:pPr>
      <w:proofErr w:type="spellStart"/>
      <w:r>
        <w:t>Fosfomycin</w:t>
      </w:r>
      <w:proofErr w:type="spellEnd"/>
      <w:r>
        <w:t xml:space="preserve"> trometamol </w:t>
      </w:r>
      <w:r w:rsidRPr="00121DF4">
        <w:t>is</w:t>
      </w:r>
      <w:r w:rsidRPr="00121DF4">
        <w:rPr>
          <w:spacing w:val="1"/>
        </w:rPr>
        <w:t xml:space="preserve"> </w:t>
      </w:r>
      <w:r w:rsidRPr="00121DF4">
        <w:t>a white or nearly white crystalline powder.</w:t>
      </w:r>
      <w:r w:rsidRPr="00121DF4">
        <w:rPr>
          <w:spacing w:val="2"/>
        </w:rPr>
        <w:t xml:space="preserve"> </w:t>
      </w:r>
      <w:r w:rsidRPr="00121DF4">
        <w:t>It</w:t>
      </w:r>
      <w:r w:rsidRPr="00121DF4">
        <w:rPr>
          <w:spacing w:val="55"/>
        </w:rPr>
        <w:t xml:space="preserve"> </w:t>
      </w:r>
      <w:r w:rsidRPr="00121DF4">
        <w:t xml:space="preserve">is very soluble in water, slightly soluble in 95% methanol and ethanol, almost insoluble in anhydrous acetone, in ether and in chlorinated solvents. </w:t>
      </w:r>
    </w:p>
    <w:p w14:paraId="3C9AAEA3" w14:textId="77777777" w:rsidR="002A50DF" w:rsidRPr="002A50DF" w:rsidRDefault="002A50DF" w:rsidP="00C07648">
      <w:pPr>
        <w:pStyle w:val="C-Heading1nopagebreak0"/>
        <w:rPr>
          <w:bCs/>
        </w:rPr>
      </w:pPr>
      <w:r w:rsidRPr="002A50DF">
        <w:t>PHARMACOLOGY</w:t>
      </w:r>
    </w:p>
    <w:p w14:paraId="0B469FA2" w14:textId="77777777" w:rsidR="00F9268D" w:rsidRDefault="00024273" w:rsidP="00F9268D">
      <w:pPr>
        <w:pStyle w:val="C-Heading2non-numbered"/>
        <w:rPr>
          <w:lang w:val="en-AU"/>
        </w:rPr>
      </w:pPr>
      <w:r>
        <w:rPr>
          <w:lang w:val="en-AU"/>
        </w:rPr>
        <w:t>Mechanism of Action</w:t>
      </w:r>
    </w:p>
    <w:p w14:paraId="174373D5" w14:textId="1000D70C" w:rsidR="00652DEF" w:rsidRDefault="00652DEF" w:rsidP="00652DEF">
      <w:pPr>
        <w:pStyle w:val="C-BodyText"/>
        <w:rPr>
          <w:lang w:val="en-AU" w:eastAsia="en-AU"/>
        </w:rPr>
      </w:pPr>
      <w:proofErr w:type="spellStart"/>
      <w:r>
        <w:rPr>
          <w:lang w:val="en-AU" w:eastAsia="en-AU"/>
        </w:rPr>
        <w:t>Fosfomycin</w:t>
      </w:r>
      <w:proofErr w:type="spellEnd"/>
      <w:r>
        <w:rPr>
          <w:lang w:val="en-AU" w:eastAsia="en-AU"/>
        </w:rPr>
        <w:t xml:space="preserve"> </w:t>
      </w:r>
      <w:r w:rsidR="00603163">
        <w:rPr>
          <w:lang w:val="en-AU" w:eastAsia="en-AU"/>
        </w:rPr>
        <w:t xml:space="preserve">inhibits </w:t>
      </w:r>
      <w:r>
        <w:rPr>
          <w:lang w:val="en-AU" w:eastAsia="en-AU"/>
        </w:rPr>
        <w:t>the first stage of bacterial wall synthesis. It inhibits the phosphoenolpyruvate transferase enzyme, thereby irreversibly blocking the condensation of uridine diphosphate-N-</w:t>
      </w:r>
      <w:proofErr w:type="spellStart"/>
      <w:r>
        <w:rPr>
          <w:lang w:val="en-AU" w:eastAsia="en-AU"/>
        </w:rPr>
        <w:t>acetylglucosamine</w:t>
      </w:r>
      <w:proofErr w:type="spellEnd"/>
      <w:r>
        <w:rPr>
          <w:lang w:val="en-AU" w:eastAsia="en-AU"/>
        </w:rPr>
        <w:t xml:space="preserve"> with p-</w:t>
      </w:r>
      <w:proofErr w:type="spellStart"/>
      <w:r>
        <w:rPr>
          <w:lang w:val="en-AU" w:eastAsia="en-AU"/>
        </w:rPr>
        <w:t>enolpyruvate</w:t>
      </w:r>
      <w:proofErr w:type="spellEnd"/>
      <w:r>
        <w:rPr>
          <w:lang w:val="en-AU" w:eastAsia="en-AU"/>
        </w:rPr>
        <w:t xml:space="preserve">. </w:t>
      </w:r>
    </w:p>
    <w:p w14:paraId="11BF7DFC" w14:textId="47D3E9D7" w:rsidR="00652DEF" w:rsidRDefault="00652DEF" w:rsidP="00652DEF">
      <w:pPr>
        <w:pStyle w:val="C-BodyText"/>
        <w:rPr>
          <w:lang w:val="en-AU" w:eastAsia="en-AU"/>
        </w:rPr>
      </w:pPr>
      <w:proofErr w:type="spellStart"/>
      <w:r>
        <w:rPr>
          <w:lang w:val="en-AU" w:eastAsia="en-AU"/>
        </w:rPr>
        <w:t>Fosfomycin</w:t>
      </w:r>
      <w:proofErr w:type="spellEnd"/>
      <w:r>
        <w:rPr>
          <w:lang w:val="en-AU" w:eastAsia="en-AU"/>
        </w:rPr>
        <w:t xml:space="preserve"> is actively transported into the bacterial cell via two different transport systems (the sn-glycerol-3-phosphate and hexose-6 transport systems). </w:t>
      </w:r>
      <w:proofErr w:type="spellStart"/>
      <w:r w:rsidR="00A818FF">
        <w:rPr>
          <w:lang w:val="en-AU" w:eastAsia="en-AU"/>
        </w:rPr>
        <w:t>Fosfomycin</w:t>
      </w:r>
      <w:proofErr w:type="spellEnd"/>
      <w:r w:rsidR="00A818FF">
        <w:rPr>
          <w:lang w:val="en-AU" w:eastAsia="en-AU"/>
        </w:rPr>
        <w:t xml:space="preserve"> has a mainly bactericidal </w:t>
      </w:r>
      <w:r w:rsidR="00963022">
        <w:rPr>
          <w:lang w:val="en-AU" w:eastAsia="en-AU"/>
        </w:rPr>
        <w:lastRenderedPageBreak/>
        <w:t xml:space="preserve">action. </w:t>
      </w:r>
      <w:r>
        <w:rPr>
          <w:lang w:val="en-AU" w:eastAsia="en-AU"/>
        </w:rPr>
        <w:t xml:space="preserve">It can also reduce bacterial adhesion to bladder mucosa, which can be a predisposing factor for recurring infections. </w:t>
      </w:r>
      <w:r w:rsidR="00603163">
        <w:rPr>
          <w:lang w:val="en-AU" w:eastAsia="en-AU"/>
        </w:rPr>
        <w:t>As this</w:t>
      </w:r>
      <w:r>
        <w:rPr>
          <w:lang w:val="en-AU" w:eastAsia="en-AU"/>
        </w:rPr>
        <w:t xml:space="preserve"> mechanism of action </w:t>
      </w:r>
      <w:r w:rsidR="00603163">
        <w:rPr>
          <w:lang w:val="en-AU" w:eastAsia="en-AU"/>
        </w:rPr>
        <w:t xml:space="preserve">is unique to </w:t>
      </w:r>
      <w:proofErr w:type="spellStart"/>
      <w:r w:rsidR="00603163">
        <w:rPr>
          <w:lang w:val="en-AU" w:eastAsia="en-AU"/>
        </w:rPr>
        <w:t>fosfomycin</w:t>
      </w:r>
      <w:proofErr w:type="spellEnd"/>
      <w:r>
        <w:rPr>
          <w:lang w:val="en-AU" w:eastAsia="en-AU"/>
        </w:rPr>
        <w:t xml:space="preserve"> cross-resistance </w:t>
      </w:r>
      <w:r w:rsidR="00603163">
        <w:rPr>
          <w:lang w:val="en-AU" w:eastAsia="en-AU"/>
        </w:rPr>
        <w:t xml:space="preserve">is not expected </w:t>
      </w:r>
      <w:r>
        <w:rPr>
          <w:lang w:val="en-AU" w:eastAsia="en-AU"/>
        </w:rPr>
        <w:t>with other antibiotics.</w:t>
      </w:r>
    </w:p>
    <w:p w14:paraId="7A50EA96" w14:textId="77777777" w:rsidR="00603163" w:rsidRPr="001029E1" w:rsidRDefault="00603163" w:rsidP="00603163">
      <w:pPr>
        <w:pStyle w:val="C-Heading2non-numbered"/>
        <w:rPr>
          <w:color w:val="000000"/>
          <w:lang w:val="en-AU"/>
        </w:rPr>
      </w:pPr>
      <w:r w:rsidRPr="002466AF">
        <w:rPr>
          <w:lang w:val="en-AU"/>
        </w:rPr>
        <w:t>Microbiology</w:t>
      </w:r>
    </w:p>
    <w:p w14:paraId="219E0E6D" w14:textId="77777777" w:rsidR="00024273" w:rsidRPr="00FE010B" w:rsidRDefault="00024273" w:rsidP="00024273">
      <w:pPr>
        <w:pStyle w:val="C-BodyText"/>
        <w:rPr>
          <w:lang w:val="en-AU"/>
        </w:rPr>
      </w:pPr>
      <w:r w:rsidRPr="00FE010B">
        <w:rPr>
          <w:lang w:val="en-AU"/>
        </w:rPr>
        <w:t xml:space="preserve">There has been very limited </w:t>
      </w:r>
      <w:proofErr w:type="spellStart"/>
      <w:r w:rsidRPr="00FE010B">
        <w:rPr>
          <w:lang w:val="en-AU"/>
        </w:rPr>
        <w:t>fosfomycin</w:t>
      </w:r>
      <w:proofErr w:type="spellEnd"/>
      <w:r w:rsidRPr="00FE010B">
        <w:rPr>
          <w:lang w:val="en-AU"/>
        </w:rPr>
        <w:t xml:space="preserve"> susceptibility testing performed in Australia to date.</w:t>
      </w:r>
      <w:r>
        <w:rPr>
          <w:lang w:val="en-AU"/>
        </w:rPr>
        <w:t xml:space="preserve"> </w:t>
      </w:r>
      <w:r w:rsidRPr="00FE010B">
        <w:rPr>
          <w:lang w:val="en-AU"/>
        </w:rPr>
        <w:t>Recommendations are based on studies performed overseas.</w:t>
      </w:r>
    </w:p>
    <w:p w14:paraId="479C3614" w14:textId="77777777" w:rsidR="00024273" w:rsidRPr="00FE010B" w:rsidRDefault="00024273" w:rsidP="00024273">
      <w:pPr>
        <w:pStyle w:val="C-Heading3non-numbered"/>
        <w:rPr>
          <w:lang w:val="en-AU"/>
        </w:rPr>
      </w:pPr>
      <w:r w:rsidRPr="00FE010B">
        <w:rPr>
          <w:lang w:val="en-AU"/>
        </w:rPr>
        <w:t xml:space="preserve">Activity </w:t>
      </w:r>
      <w:r w:rsidRPr="00FE010B">
        <w:rPr>
          <w:i/>
          <w:lang w:val="en-AU"/>
        </w:rPr>
        <w:t>in vitro</w:t>
      </w:r>
    </w:p>
    <w:p w14:paraId="4ED365DF" w14:textId="77777777" w:rsidR="00024273" w:rsidRPr="00FE010B" w:rsidRDefault="00024273" w:rsidP="00024273">
      <w:pPr>
        <w:pStyle w:val="C-BodyText"/>
        <w:rPr>
          <w:lang w:val="en-AU"/>
        </w:rPr>
      </w:pPr>
      <w:r w:rsidRPr="00FE010B">
        <w:rPr>
          <w:lang w:val="en-AU"/>
        </w:rPr>
        <w:t xml:space="preserve">Bacterial species commonly susceptible to </w:t>
      </w:r>
      <w:proofErr w:type="spellStart"/>
      <w:r w:rsidRPr="00FE010B">
        <w:rPr>
          <w:lang w:val="en-AU"/>
        </w:rPr>
        <w:t>fosfomycin</w:t>
      </w:r>
      <w:proofErr w:type="spellEnd"/>
      <w:r w:rsidRPr="00FE010B">
        <w:rPr>
          <w:lang w:val="en-AU"/>
        </w:rPr>
        <w:t xml:space="preserve"> using</w:t>
      </w:r>
      <w:r>
        <w:rPr>
          <w:lang w:val="en-AU"/>
        </w:rPr>
        <w:t xml:space="preserve"> </w:t>
      </w:r>
      <w:r w:rsidRPr="001029E1">
        <w:rPr>
          <w:lang w:val="en-AU"/>
        </w:rPr>
        <w:t>E</w:t>
      </w:r>
      <w:r w:rsidRPr="001029E1">
        <w:rPr>
          <w:lang w:val="en-AU" w:eastAsia="en-AU"/>
        </w:rPr>
        <w:t>uropean Committee on Antimicrobial Susceptibility Testing</w:t>
      </w:r>
      <w:r w:rsidRPr="00FE010B">
        <w:rPr>
          <w:lang w:val="en-AU"/>
        </w:rPr>
        <w:t xml:space="preserve"> </w:t>
      </w:r>
      <w:r>
        <w:rPr>
          <w:lang w:val="en-AU"/>
        </w:rPr>
        <w:t>(</w:t>
      </w:r>
      <w:r w:rsidRPr="00FE010B">
        <w:rPr>
          <w:lang w:val="en-AU"/>
        </w:rPr>
        <w:t>EUCAST</w:t>
      </w:r>
      <w:r>
        <w:rPr>
          <w:lang w:val="en-AU"/>
        </w:rPr>
        <w:t>)</w:t>
      </w:r>
      <w:r w:rsidRPr="00FE010B">
        <w:rPr>
          <w:lang w:val="en-AU"/>
        </w:rPr>
        <w:t xml:space="preserve"> or </w:t>
      </w:r>
      <w:r>
        <w:t>Clinical and Laboratory Standard Institute (</w:t>
      </w:r>
      <w:r w:rsidRPr="00FE010B">
        <w:rPr>
          <w:lang w:val="en-AU"/>
        </w:rPr>
        <w:t>CLSI</w:t>
      </w:r>
      <w:r>
        <w:rPr>
          <w:lang w:val="en-AU"/>
        </w:rPr>
        <w:t>)</w:t>
      </w:r>
      <w:r w:rsidRPr="00FE010B">
        <w:rPr>
          <w:lang w:val="en-AU"/>
        </w:rPr>
        <w:t xml:space="preserve"> susceptibility</w:t>
      </w:r>
      <w:r>
        <w:rPr>
          <w:lang w:val="en-AU"/>
        </w:rPr>
        <w:t xml:space="preserve"> </w:t>
      </w:r>
      <w:r w:rsidRPr="00FE010B">
        <w:rPr>
          <w:lang w:val="en-AU"/>
        </w:rPr>
        <w:t>testing guidelines:</w:t>
      </w:r>
    </w:p>
    <w:p w14:paraId="1EF7F63A" w14:textId="77777777" w:rsidR="00024273" w:rsidRDefault="00024273" w:rsidP="00024273">
      <w:pPr>
        <w:pStyle w:val="C-BodyText"/>
        <w:rPr>
          <w:lang w:val="en-AU"/>
        </w:rPr>
      </w:pPr>
      <w:r w:rsidRPr="0099424D">
        <w:rPr>
          <w:i/>
          <w:lang w:val="en-AU"/>
        </w:rPr>
        <w:t>Escherichia coli</w:t>
      </w:r>
      <w:r w:rsidRPr="00FE010B">
        <w:rPr>
          <w:lang w:val="en-AU"/>
        </w:rPr>
        <w:t xml:space="preserve">, </w:t>
      </w:r>
      <w:r w:rsidRPr="0099424D">
        <w:rPr>
          <w:i/>
          <w:lang w:val="en-AU"/>
        </w:rPr>
        <w:t>Proteus</w:t>
      </w:r>
      <w:r w:rsidRPr="00FE010B">
        <w:rPr>
          <w:lang w:val="en-AU"/>
        </w:rPr>
        <w:t xml:space="preserve"> </w:t>
      </w:r>
      <w:proofErr w:type="spellStart"/>
      <w:r w:rsidRPr="00FE010B">
        <w:rPr>
          <w:lang w:val="en-AU"/>
        </w:rPr>
        <w:t>spp</w:t>
      </w:r>
      <w:proofErr w:type="spellEnd"/>
      <w:r w:rsidRPr="00FE010B">
        <w:rPr>
          <w:lang w:val="en-AU"/>
        </w:rPr>
        <w:t xml:space="preserve">, </w:t>
      </w:r>
      <w:proofErr w:type="spellStart"/>
      <w:r w:rsidRPr="0099424D">
        <w:rPr>
          <w:i/>
          <w:lang w:val="en-AU"/>
        </w:rPr>
        <w:t>Klebsiella</w:t>
      </w:r>
      <w:proofErr w:type="spellEnd"/>
      <w:r w:rsidRPr="00FE010B">
        <w:rPr>
          <w:lang w:val="en-AU"/>
        </w:rPr>
        <w:t xml:space="preserve"> spp., </w:t>
      </w:r>
      <w:proofErr w:type="spellStart"/>
      <w:r w:rsidRPr="0099424D">
        <w:rPr>
          <w:i/>
          <w:lang w:val="en-AU"/>
        </w:rPr>
        <w:t>Citrobacter</w:t>
      </w:r>
      <w:proofErr w:type="spellEnd"/>
      <w:r w:rsidRPr="00FE010B">
        <w:rPr>
          <w:lang w:val="en-AU"/>
        </w:rPr>
        <w:t xml:space="preserve"> spp., </w:t>
      </w:r>
      <w:r w:rsidRPr="0099424D">
        <w:rPr>
          <w:i/>
          <w:lang w:val="en-AU"/>
        </w:rPr>
        <w:t xml:space="preserve">Enterococcus </w:t>
      </w:r>
      <w:proofErr w:type="spellStart"/>
      <w:r w:rsidRPr="0099424D">
        <w:rPr>
          <w:i/>
          <w:lang w:val="en-AU"/>
        </w:rPr>
        <w:t>faecalis</w:t>
      </w:r>
      <w:proofErr w:type="spellEnd"/>
    </w:p>
    <w:p w14:paraId="77BE0DF0" w14:textId="77777777" w:rsidR="001B7003" w:rsidRDefault="001B7003" w:rsidP="00024273">
      <w:pPr>
        <w:pStyle w:val="C-BodyText"/>
        <w:rPr>
          <w:lang w:val="en-AU"/>
        </w:rPr>
      </w:pPr>
    </w:p>
    <w:p w14:paraId="29ADDD39" w14:textId="3FBE0477" w:rsidR="00024273" w:rsidRPr="00FE010B" w:rsidRDefault="00024273" w:rsidP="00024273">
      <w:pPr>
        <w:pStyle w:val="C-BodyText"/>
        <w:rPr>
          <w:lang w:val="en-AU"/>
        </w:rPr>
      </w:pPr>
      <w:r w:rsidRPr="00FE010B">
        <w:rPr>
          <w:lang w:val="en-AU"/>
        </w:rPr>
        <w:t xml:space="preserve">Bacterial species variably susceptible or resistant to </w:t>
      </w:r>
      <w:proofErr w:type="spellStart"/>
      <w:r w:rsidRPr="00FE010B">
        <w:rPr>
          <w:lang w:val="en-AU"/>
        </w:rPr>
        <w:t>fosfomycin</w:t>
      </w:r>
      <w:proofErr w:type="spellEnd"/>
      <w:r w:rsidRPr="00FE010B">
        <w:rPr>
          <w:lang w:val="en-AU"/>
        </w:rPr>
        <w:t xml:space="preserve"> using EUCAST or CLSI</w:t>
      </w:r>
      <w:r>
        <w:rPr>
          <w:lang w:val="en-AU"/>
        </w:rPr>
        <w:t xml:space="preserve"> </w:t>
      </w:r>
      <w:r w:rsidRPr="00FE010B">
        <w:rPr>
          <w:lang w:val="en-AU"/>
        </w:rPr>
        <w:t>susceptibility testing guidelines:</w:t>
      </w:r>
    </w:p>
    <w:p w14:paraId="0E0C987F" w14:textId="77777777" w:rsidR="00024273" w:rsidRDefault="00024273" w:rsidP="00024273">
      <w:pPr>
        <w:pStyle w:val="C-BodyText"/>
        <w:rPr>
          <w:lang w:val="en-AU"/>
        </w:rPr>
      </w:pPr>
      <w:proofErr w:type="gramStart"/>
      <w:r w:rsidRPr="0099424D">
        <w:rPr>
          <w:i/>
          <w:lang w:val="en-AU"/>
        </w:rPr>
        <w:t>Enterobacter</w:t>
      </w:r>
      <w:r w:rsidRPr="00FE010B">
        <w:rPr>
          <w:lang w:val="en-AU"/>
        </w:rPr>
        <w:t xml:space="preserve"> </w:t>
      </w:r>
      <w:proofErr w:type="spellStart"/>
      <w:r w:rsidRPr="00FE010B">
        <w:rPr>
          <w:lang w:val="en-AU"/>
        </w:rPr>
        <w:t>spp</w:t>
      </w:r>
      <w:proofErr w:type="spellEnd"/>
      <w:r w:rsidRPr="00FE010B">
        <w:rPr>
          <w:lang w:val="en-AU"/>
        </w:rPr>
        <w:t xml:space="preserve">, </w:t>
      </w:r>
      <w:proofErr w:type="spellStart"/>
      <w:r w:rsidRPr="0099424D">
        <w:rPr>
          <w:i/>
          <w:lang w:val="en-AU"/>
        </w:rPr>
        <w:t>Serratia</w:t>
      </w:r>
      <w:proofErr w:type="spellEnd"/>
      <w:r w:rsidRPr="0099424D">
        <w:rPr>
          <w:i/>
          <w:lang w:val="en-AU"/>
        </w:rPr>
        <w:t xml:space="preserve"> </w:t>
      </w:r>
      <w:proofErr w:type="spellStart"/>
      <w:r w:rsidRPr="0099424D">
        <w:rPr>
          <w:i/>
          <w:lang w:val="en-AU"/>
        </w:rPr>
        <w:t>marcescens</w:t>
      </w:r>
      <w:proofErr w:type="spellEnd"/>
      <w:r w:rsidRPr="00FE010B">
        <w:rPr>
          <w:lang w:val="en-AU"/>
        </w:rPr>
        <w:t xml:space="preserve">, </w:t>
      </w:r>
      <w:r w:rsidRPr="0099424D">
        <w:rPr>
          <w:i/>
          <w:lang w:val="en-AU"/>
        </w:rPr>
        <w:t>Providencia</w:t>
      </w:r>
      <w:r w:rsidRPr="00FE010B">
        <w:rPr>
          <w:lang w:val="en-AU"/>
        </w:rPr>
        <w:t xml:space="preserve"> spp.</w:t>
      </w:r>
      <w:proofErr w:type="gramEnd"/>
    </w:p>
    <w:p w14:paraId="1442E9E0" w14:textId="77777777" w:rsidR="00024273" w:rsidRPr="00FE010B" w:rsidRDefault="00024273" w:rsidP="00024273">
      <w:pPr>
        <w:pStyle w:val="C-BodyText"/>
        <w:rPr>
          <w:lang w:val="en-AU"/>
        </w:rPr>
      </w:pPr>
    </w:p>
    <w:p w14:paraId="6612F084" w14:textId="77777777" w:rsidR="00024273" w:rsidRPr="00FE010B" w:rsidRDefault="00024273" w:rsidP="00024273">
      <w:pPr>
        <w:pStyle w:val="C-BodyText"/>
        <w:rPr>
          <w:lang w:val="en-AU"/>
        </w:rPr>
      </w:pPr>
      <w:r w:rsidRPr="00FE010B">
        <w:rPr>
          <w:lang w:val="en-AU"/>
        </w:rPr>
        <w:t xml:space="preserve">Bacterial species frequently resistant to </w:t>
      </w:r>
      <w:proofErr w:type="spellStart"/>
      <w:r w:rsidRPr="00FE010B">
        <w:rPr>
          <w:lang w:val="en-AU"/>
        </w:rPr>
        <w:t>fosfomycin</w:t>
      </w:r>
      <w:proofErr w:type="spellEnd"/>
      <w:r w:rsidRPr="00FE010B">
        <w:rPr>
          <w:lang w:val="en-AU"/>
        </w:rPr>
        <w:t xml:space="preserve"> using EUCAST or CLSI susceptibility testing</w:t>
      </w:r>
      <w:r>
        <w:rPr>
          <w:lang w:val="en-AU"/>
        </w:rPr>
        <w:t xml:space="preserve"> </w:t>
      </w:r>
      <w:r w:rsidRPr="00FE010B">
        <w:rPr>
          <w:lang w:val="en-AU"/>
        </w:rPr>
        <w:t>guidelines:</w:t>
      </w:r>
    </w:p>
    <w:p w14:paraId="7FA1F65B" w14:textId="77777777" w:rsidR="00024273" w:rsidRPr="0099424D" w:rsidRDefault="00024273" w:rsidP="00024273">
      <w:pPr>
        <w:pStyle w:val="C-BodyText"/>
        <w:rPr>
          <w:i/>
          <w:lang w:val="en-AU"/>
        </w:rPr>
      </w:pPr>
      <w:proofErr w:type="spellStart"/>
      <w:r w:rsidRPr="0099424D">
        <w:rPr>
          <w:i/>
          <w:lang w:val="en-AU"/>
        </w:rPr>
        <w:t>Morganella</w:t>
      </w:r>
      <w:proofErr w:type="spellEnd"/>
      <w:r w:rsidRPr="0099424D">
        <w:rPr>
          <w:i/>
          <w:lang w:val="en-AU"/>
        </w:rPr>
        <w:t xml:space="preserve"> </w:t>
      </w:r>
      <w:proofErr w:type="spellStart"/>
      <w:r w:rsidRPr="0099424D">
        <w:rPr>
          <w:i/>
          <w:lang w:val="en-AU"/>
        </w:rPr>
        <w:t>morganii</w:t>
      </w:r>
      <w:proofErr w:type="spellEnd"/>
    </w:p>
    <w:p w14:paraId="0374EB50" w14:textId="77777777" w:rsidR="00024273" w:rsidRPr="00FE010B" w:rsidRDefault="00024273" w:rsidP="00024273">
      <w:pPr>
        <w:pStyle w:val="C-BodyText"/>
        <w:rPr>
          <w:lang w:val="en-AU"/>
        </w:rPr>
      </w:pPr>
    </w:p>
    <w:p w14:paraId="3773FF0E" w14:textId="77777777" w:rsidR="00024273" w:rsidRPr="00FE010B" w:rsidRDefault="00024273" w:rsidP="00024273">
      <w:pPr>
        <w:pStyle w:val="C-BodyText"/>
        <w:rPr>
          <w:lang w:val="en-AU"/>
        </w:rPr>
      </w:pPr>
      <w:r>
        <w:rPr>
          <w:lang w:val="en-AU"/>
        </w:rPr>
        <w:t xml:space="preserve">Oral </w:t>
      </w:r>
      <w:proofErr w:type="spellStart"/>
      <w:r>
        <w:rPr>
          <w:lang w:val="en-AU"/>
        </w:rPr>
        <w:t>f</w:t>
      </w:r>
      <w:r w:rsidRPr="00FE010B">
        <w:rPr>
          <w:lang w:val="en-AU"/>
        </w:rPr>
        <w:t>osfomycin</w:t>
      </w:r>
      <w:proofErr w:type="spellEnd"/>
      <w:r w:rsidRPr="00FE010B">
        <w:rPr>
          <w:lang w:val="en-AU"/>
        </w:rPr>
        <w:t xml:space="preserve"> is not recommended in the treatment of the following bacterial species which do</w:t>
      </w:r>
      <w:r>
        <w:rPr>
          <w:lang w:val="en-AU"/>
        </w:rPr>
        <w:t xml:space="preserve"> </w:t>
      </w:r>
      <w:r w:rsidRPr="00FE010B">
        <w:rPr>
          <w:lang w:val="en-AU"/>
        </w:rPr>
        <w:t>not have EUCAST or CLSI susceptibility testing guidelines:</w:t>
      </w:r>
    </w:p>
    <w:p w14:paraId="780C8F41" w14:textId="77777777" w:rsidR="00024273" w:rsidRPr="00FE010B" w:rsidRDefault="00024273" w:rsidP="00024273">
      <w:pPr>
        <w:pStyle w:val="C-BodyText"/>
        <w:rPr>
          <w:lang w:val="en-AU"/>
        </w:rPr>
      </w:pPr>
      <w:proofErr w:type="gramStart"/>
      <w:r w:rsidRPr="0099424D">
        <w:rPr>
          <w:i/>
          <w:lang w:val="en-AU"/>
        </w:rPr>
        <w:t xml:space="preserve">Staphylococcus </w:t>
      </w:r>
      <w:proofErr w:type="spellStart"/>
      <w:r w:rsidRPr="0099424D">
        <w:rPr>
          <w:i/>
          <w:lang w:val="en-AU"/>
        </w:rPr>
        <w:t>saphrophyticus</w:t>
      </w:r>
      <w:proofErr w:type="spellEnd"/>
      <w:r w:rsidRPr="00FE010B">
        <w:rPr>
          <w:lang w:val="en-AU"/>
        </w:rPr>
        <w:t xml:space="preserve">, </w:t>
      </w:r>
      <w:r w:rsidRPr="0099424D">
        <w:rPr>
          <w:i/>
          <w:lang w:val="en-AU"/>
        </w:rPr>
        <w:t>Pseudomonas aeruginosa</w:t>
      </w:r>
      <w:r w:rsidRPr="00FE010B">
        <w:rPr>
          <w:lang w:val="en-AU"/>
        </w:rPr>
        <w:t xml:space="preserve">, </w:t>
      </w:r>
      <w:r w:rsidRPr="0099424D">
        <w:rPr>
          <w:i/>
          <w:lang w:val="en-AU"/>
        </w:rPr>
        <w:t xml:space="preserve">Enterococcus </w:t>
      </w:r>
      <w:proofErr w:type="spellStart"/>
      <w:r w:rsidRPr="0099424D">
        <w:rPr>
          <w:i/>
          <w:lang w:val="en-AU"/>
        </w:rPr>
        <w:t>faecium</w:t>
      </w:r>
      <w:proofErr w:type="spellEnd"/>
      <w:r w:rsidRPr="00FE010B">
        <w:rPr>
          <w:lang w:val="en-AU"/>
        </w:rPr>
        <w:t xml:space="preserve">, </w:t>
      </w:r>
      <w:r w:rsidRPr="0099424D">
        <w:rPr>
          <w:i/>
          <w:lang w:val="en-AU"/>
        </w:rPr>
        <w:t>Staphylococcus</w:t>
      </w:r>
      <w:r>
        <w:rPr>
          <w:i/>
          <w:lang w:val="en-AU"/>
        </w:rPr>
        <w:t xml:space="preserve"> </w:t>
      </w:r>
      <w:r w:rsidRPr="0099424D">
        <w:rPr>
          <w:i/>
          <w:lang w:val="en-AU"/>
        </w:rPr>
        <w:t>aureus</w:t>
      </w:r>
      <w:r w:rsidRPr="00FE010B">
        <w:rPr>
          <w:lang w:val="en-AU"/>
        </w:rPr>
        <w:t xml:space="preserve">, </w:t>
      </w:r>
      <w:r w:rsidRPr="0099424D">
        <w:rPr>
          <w:i/>
          <w:lang w:val="en-AU"/>
        </w:rPr>
        <w:t>Acinetobacter</w:t>
      </w:r>
      <w:r w:rsidRPr="00FE010B">
        <w:rPr>
          <w:lang w:val="en-AU"/>
        </w:rPr>
        <w:t xml:space="preserve"> </w:t>
      </w:r>
      <w:proofErr w:type="spellStart"/>
      <w:r w:rsidRPr="00FE010B">
        <w:rPr>
          <w:lang w:val="en-AU"/>
        </w:rPr>
        <w:t>spp</w:t>
      </w:r>
      <w:proofErr w:type="spellEnd"/>
      <w:r w:rsidRPr="00FE010B">
        <w:rPr>
          <w:lang w:val="en-AU"/>
        </w:rPr>
        <w:t xml:space="preserve">, </w:t>
      </w:r>
      <w:proofErr w:type="spellStart"/>
      <w:r w:rsidRPr="0099424D">
        <w:rPr>
          <w:i/>
          <w:lang w:val="en-AU"/>
        </w:rPr>
        <w:t>Stenotrophomonas</w:t>
      </w:r>
      <w:proofErr w:type="spellEnd"/>
      <w:r w:rsidRPr="0099424D">
        <w:rPr>
          <w:i/>
          <w:lang w:val="en-AU"/>
        </w:rPr>
        <w:t xml:space="preserve"> </w:t>
      </w:r>
      <w:proofErr w:type="spellStart"/>
      <w:r w:rsidRPr="0099424D">
        <w:rPr>
          <w:i/>
          <w:lang w:val="en-AU"/>
        </w:rPr>
        <w:t>maltophilia</w:t>
      </w:r>
      <w:proofErr w:type="spellEnd"/>
      <w:r w:rsidRPr="00FE010B">
        <w:rPr>
          <w:lang w:val="en-AU"/>
        </w:rPr>
        <w:t xml:space="preserve">, </w:t>
      </w:r>
      <w:proofErr w:type="spellStart"/>
      <w:r w:rsidRPr="0099424D">
        <w:rPr>
          <w:i/>
          <w:lang w:val="en-AU"/>
        </w:rPr>
        <w:t>Bacteroides</w:t>
      </w:r>
      <w:proofErr w:type="spellEnd"/>
      <w:r w:rsidRPr="00FE010B">
        <w:rPr>
          <w:lang w:val="en-AU"/>
        </w:rPr>
        <w:t xml:space="preserve"> </w:t>
      </w:r>
      <w:proofErr w:type="spellStart"/>
      <w:r w:rsidRPr="00FE010B">
        <w:rPr>
          <w:lang w:val="en-AU"/>
        </w:rPr>
        <w:t>spp</w:t>
      </w:r>
      <w:proofErr w:type="spellEnd"/>
      <w:r w:rsidRPr="00FE010B">
        <w:rPr>
          <w:lang w:val="en-AU"/>
        </w:rPr>
        <w:t xml:space="preserve"> and other anaerobic</w:t>
      </w:r>
      <w:r>
        <w:rPr>
          <w:lang w:val="en-AU"/>
        </w:rPr>
        <w:t xml:space="preserve"> </w:t>
      </w:r>
      <w:r w:rsidRPr="00FE010B">
        <w:rPr>
          <w:lang w:val="en-AU"/>
        </w:rPr>
        <w:t>bacteria.</w:t>
      </w:r>
      <w:proofErr w:type="gramEnd"/>
    </w:p>
    <w:p w14:paraId="0C5C5D40" w14:textId="35F0AD7F" w:rsidR="00652DEF" w:rsidRPr="00652DEF" w:rsidRDefault="00652DEF" w:rsidP="00E8625A">
      <w:pPr>
        <w:pStyle w:val="C-Heading3non-numbered"/>
        <w:rPr>
          <w:b w:val="0"/>
          <w:lang w:val="en-AU" w:eastAsia="en-AU"/>
        </w:rPr>
      </w:pPr>
      <w:r w:rsidRPr="00652DEF">
        <w:rPr>
          <w:lang w:val="en-AU" w:eastAsia="en-AU"/>
        </w:rPr>
        <w:t>Resistance</w:t>
      </w:r>
    </w:p>
    <w:p w14:paraId="7B135434" w14:textId="77777777" w:rsidR="00D623EB" w:rsidRPr="00792503" w:rsidRDefault="00652DEF" w:rsidP="00D623EB">
      <w:pPr>
        <w:pStyle w:val="C-BodyText"/>
        <w:rPr>
          <w:color w:val="000000"/>
          <w:lang w:val="en-AU"/>
        </w:rPr>
      </w:pPr>
      <w:r>
        <w:rPr>
          <w:lang w:val="en-AU" w:eastAsia="en-AU"/>
        </w:rPr>
        <w:t xml:space="preserve">Main mechanism of resistance is a chromosomal mutation causing an alteration of the bacterial </w:t>
      </w:r>
      <w:proofErr w:type="spellStart"/>
      <w:r>
        <w:rPr>
          <w:lang w:val="en-AU" w:eastAsia="en-AU"/>
        </w:rPr>
        <w:t>fosfomycin</w:t>
      </w:r>
      <w:proofErr w:type="spellEnd"/>
      <w:r>
        <w:rPr>
          <w:lang w:val="en-AU" w:eastAsia="en-AU"/>
        </w:rPr>
        <w:t xml:space="preserve"> transport systems.</w:t>
      </w:r>
      <w:r w:rsidR="00D623EB">
        <w:rPr>
          <w:lang w:val="en-AU" w:eastAsia="en-AU"/>
        </w:rPr>
        <w:t xml:space="preserve"> </w:t>
      </w:r>
      <w:r w:rsidR="00D623EB" w:rsidRPr="001029E1">
        <w:rPr>
          <w:color w:val="000000"/>
          <w:lang w:val="en-AU"/>
        </w:rPr>
        <w:t xml:space="preserve">Plasmid-encoded mechanisms of resistance to </w:t>
      </w:r>
      <w:proofErr w:type="spellStart"/>
      <w:r w:rsidR="00D623EB" w:rsidRPr="001029E1">
        <w:rPr>
          <w:color w:val="000000"/>
          <w:lang w:val="en-AU"/>
        </w:rPr>
        <w:t>fosfomycin</w:t>
      </w:r>
      <w:proofErr w:type="spellEnd"/>
      <w:r w:rsidR="00D623EB" w:rsidRPr="001029E1">
        <w:rPr>
          <w:color w:val="000000"/>
          <w:lang w:val="en-AU"/>
        </w:rPr>
        <w:t xml:space="preserve"> have also been documented.</w:t>
      </w:r>
    </w:p>
    <w:p w14:paraId="3040668C" w14:textId="77777777" w:rsidR="004753C0" w:rsidRDefault="004753C0">
      <w:pPr>
        <w:rPr>
          <w:rFonts w:cs="Times New Roman"/>
          <w:b/>
          <w:bCs/>
          <w:szCs w:val="24"/>
          <w:lang w:val="en-AU"/>
        </w:rPr>
      </w:pPr>
      <w:r>
        <w:rPr>
          <w:lang w:val="en-AU"/>
        </w:rPr>
        <w:br w:type="page"/>
      </w:r>
    </w:p>
    <w:p w14:paraId="3302A7B2" w14:textId="4C7B462F" w:rsidR="006A74B5" w:rsidRPr="001029E1" w:rsidRDefault="006A74B5" w:rsidP="006A74B5">
      <w:pPr>
        <w:pStyle w:val="Caption"/>
        <w:rPr>
          <w:lang w:val="en-AU"/>
        </w:rPr>
      </w:pPr>
      <w:r>
        <w:rPr>
          <w:lang w:val="en-AU"/>
        </w:rPr>
        <w:lastRenderedPageBreak/>
        <w:t>Table </w:t>
      </w:r>
      <w:r>
        <w:rPr>
          <w:lang w:val="en-AU"/>
        </w:rPr>
        <w:fldChar w:fldCharType="begin"/>
      </w:r>
      <w:r>
        <w:rPr>
          <w:lang w:val="en-AU"/>
        </w:rPr>
        <w:instrText xml:space="preserve"> SEQ Table \* ARABIC \* MERGEFORMAT </w:instrText>
      </w:r>
      <w:r>
        <w:rPr>
          <w:lang w:val="en-AU"/>
        </w:rPr>
        <w:fldChar w:fldCharType="separate"/>
      </w:r>
      <w:r>
        <w:rPr>
          <w:noProof/>
          <w:lang w:val="en-AU"/>
        </w:rPr>
        <w:t>1</w:t>
      </w:r>
      <w:r>
        <w:rPr>
          <w:lang w:val="en-AU"/>
        </w:rPr>
        <w:fldChar w:fldCharType="end"/>
      </w:r>
      <w:r>
        <w:rPr>
          <w:lang w:val="en-AU"/>
        </w:rPr>
        <w:t>:</w:t>
      </w:r>
      <w:r>
        <w:rPr>
          <w:lang w:val="en-AU"/>
        </w:rPr>
        <w:tab/>
        <w:t>Susceptibility testing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1984"/>
        <w:gridCol w:w="2410"/>
      </w:tblGrid>
      <w:tr w:rsidR="006A74B5" w14:paraId="70B49F8F" w14:textId="77777777" w:rsidTr="007D004D">
        <w:tc>
          <w:tcPr>
            <w:tcW w:w="6912" w:type="dxa"/>
            <w:gridSpan w:val="3"/>
          </w:tcPr>
          <w:p w14:paraId="07E82A8A" w14:textId="77777777" w:rsidR="006A74B5" w:rsidRDefault="006A74B5" w:rsidP="007D004D">
            <w:pPr>
              <w:pStyle w:val="C-BodyText"/>
              <w:jc w:val="center"/>
              <w:rPr>
                <w:lang w:val="en-AU"/>
              </w:rPr>
            </w:pPr>
            <w:r>
              <w:rPr>
                <w:lang w:val="en-AU"/>
              </w:rPr>
              <w:t xml:space="preserve">Breakpoints for </w:t>
            </w:r>
            <w:proofErr w:type="spellStart"/>
            <w:r>
              <w:rPr>
                <w:lang w:val="en-AU"/>
              </w:rPr>
              <w:t>Fosfomycin</w:t>
            </w:r>
            <w:proofErr w:type="spellEnd"/>
          </w:p>
        </w:tc>
      </w:tr>
      <w:tr w:rsidR="006A74B5" w14:paraId="4D343722" w14:textId="77777777" w:rsidTr="007D004D">
        <w:tc>
          <w:tcPr>
            <w:tcW w:w="2518" w:type="dxa"/>
          </w:tcPr>
          <w:p w14:paraId="5C5A3053" w14:textId="77777777" w:rsidR="006A74B5" w:rsidRDefault="006A74B5" w:rsidP="007D004D">
            <w:pPr>
              <w:pStyle w:val="C-BodyText"/>
              <w:rPr>
                <w:lang w:val="en-AU"/>
              </w:rPr>
            </w:pPr>
          </w:p>
        </w:tc>
        <w:tc>
          <w:tcPr>
            <w:tcW w:w="1984" w:type="dxa"/>
          </w:tcPr>
          <w:p w14:paraId="0AFCD844" w14:textId="77777777" w:rsidR="006A74B5" w:rsidRDefault="006A74B5" w:rsidP="007D004D">
            <w:pPr>
              <w:pStyle w:val="C-BodyText"/>
              <w:jc w:val="center"/>
              <w:rPr>
                <w:lang w:val="en-AU"/>
              </w:rPr>
            </w:pPr>
            <w:r>
              <w:rPr>
                <w:lang w:val="en-AU"/>
              </w:rPr>
              <w:t>EUCAST</w:t>
            </w:r>
          </w:p>
        </w:tc>
        <w:tc>
          <w:tcPr>
            <w:tcW w:w="2410" w:type="dxa"/>
          </w:tcPr>
          <w:p w14:paraId="210162B3" w14:textId="77777777" w:rsidR="006A74B5" w:rsidRDefault="006A74B5" w:rsidP="007D004D">
            <w:pPr>
              <w:pStyle w:val="C-BodyText"/>
              <w:jc w:val="center"/>
              <w:rPr>
                <w:lang w:val="en-AU"/>
              </w:rPr>
            </w:pPr>
            <w:r>
              <w:rPr>
                <w:lang w:val="en-AU"/>
              </w:rPr>
              <w:t>CLSI</w:t>
            </w:r>
          </w:p>
        </w:tc>
      </w:tr>
      <w:tr w:rsidR="006A74B5" w:rsidRPr="000827CE" w14:paraId="71D2B37D" w14:textId="77777777" w:rsidTr="007D004D">
        <w:tc>
          <w:tcPr>
            <w:tcW w:w="2518" w:type="dxa"/>
          </w:tcPr>
          <w:p w14:paraId="6733DF7A" w14:textId="77777777" w:rsidR="006A74B5" w:rsidRPr="00301E37" w:rsidRDefault="006A74B5" w:rsidP="007D004D">
            <w:pPr>
              <w:pStyle w:val="C-BodyText"/>
              <w:rPr>
                <w:i/>
                <w:lang w:val="en-AU" w:eastAsia="en-AU"/>
              </w:rPr>
            </w:pPr>
            <w:proofErr w:type="spellStart"/>
            <w:r w:rsidRPr="00301E37">
              <w:rPr>
                <w:i/>
                <w:lang w:val="en-AU" w:eastAsia="en-AU"/>
              </w:rPr>
              <w:t>Enterobacteriac</w:t>
            </w:r>
            <w:r>
              <w:rPr>
                <w:i/>
                <w:lang w:val="en-AU" w:eastAsia="en-AU"/>
              </w:rPr>
              <w:t>e</w:t>
            </w:r>
            <w:r w:rsidRPr="00301E37">
              <w:rPr>
                <w:i/>
                <w:lang w:val="en-AU" w:eastAsia="en-AU"/>
              </w:rPr>
              <w:t>ae</w:t>
            </w:r>
            <w:proofErr w:type="spellEnd"/>
          </w:p>
          <w:p w14:paraId="4C113A24" w14:textId="77777777" w:rsidR="006A74B5" w:rsidRPr="00301E37" w:rsidRDefault="006A74B5" w:rsidP="007D004D">
            <w:pPr>
              <w:pStyle w:val="C-BodyText"/>
              <w:rPr>
                <w:lang w:val="en-AU"/>
              </w:rPr>
            </w:pPr>
          </w:p>
        </w:tc>
        <w:tc>
          <w:tcPr>
            <w:tcW w:w="1984" w:type="dxa"/>
            <w:vAlign w:val="center"/>
          </w:tcPr>
          <w:p w14:paraId="4BF0435B" w14:textId="77777777" w:rsidR="006A74B5" w:rsidRPr="00B66C6D" w:rsidRDefault="006A74B5" w:rsidP="007D004D">
            <w:pPr>
              <w:pStyle w:val="C-BodyText"/>
              <w:spacing w:before="0" w:after="0" w:line="240" w:lineRule="auto"/>
              <w:jc w:val="center"/>
              <w:rPr>
                <w:lang w:val="pt-BR" w:eastAsia="en-AU"/>
              </w:rPr>
            </w:pPr>
            <w:r w:rsidRPr="00B66C6D">
              <w:rPr>
                <w:lang w:val="pt-BR" w:eastAsia="en-AU"/>
              </w:rPr>
              <w:t xml:space="preserve">≤32 </w:t>
            </w:r>
            <w:r>
              <w:rPr>
                <w:lang w:val="pt-BR" w:eastAsia="en-AU"/>
              </w:rPr>
              <w:t>mg</w:t>
            </w:r>
            <w:r w:rsidRPr="00B66C6D">
              <w:rPr>
                <w:lang w:val="pt-BR" w:eastAsia="en-AU"/>
              </w:rPr>
              <w:t>/l (S)*</w:t>
            </w:r>
          </w:p>
          <w:p w14:paraId="5B54D073" w14:textId="77777777" w:rsidR="006A74B5" w:rsidRPr="00B66C6D" w:rsidRDefault="006A74B5" w:rsidP="007D004D">
            <w:pPr>
              <w:pStyle w:val="C-BodyText"/>
              <w:spacing w:before="0" w:after="0" w:line="240" w:lineRule="auto"/>
              <w:jc w:val="center"/>
              <w:rPr>
                <w:lang w:val="pt-BR" w:eastAsia="en-AU"/>
              </w:rPr>
            </w:pPr>
            <w:r w:rsidRPr="00B66C6D">
              <w:rPr>
                <w:lang w:val="pt-BR" w:eastAsia="en-AU"/>
              </w:rPr>
              <w:t>&gt;</w:t>
            </w:r>
            <w:r>
              <w:rPr>
                <w:lang w:val="pt-BR" w:eastAsia="en-AU"/>
              </w:rPr>
              <w:t>32 mg</w:t>
            </w:r>
            <w:r w:rsidRPr="00B66C6D">
              <w:rPr>
                <w:lang w:val="pt-BR" w:eastAsia="en-AU"/>
              </w:rPr>
              <w:t>/l (R)*</w:t>
            </w:r>
          </w:p>
        </w:tc>
        <w:tc>
          <w:tcPr>
            <w:tcW w:w="2410" w:type="dxa"/>
          </w:tcPr>
          <w:p w14:paraId="5FCDB62D" w14:textId="77777777" w:rsidR="006A74B5" w:rsidRPr="00B66C6D" w:rsidRDefault="006A74B5" w:rsidP="007D004D">
            <w:pPr>
              <w:pStyle w:val="C-BodyText"/>
              <w:jc w:val="center"/>
              <w:rPr>
                <w:lang w:val="pt-BR"/>
              </w:rPr>
            </w:pPr>
          </w:p>
        </w:tc>
      </w:tr>
      <w:tr w:rsidR="006A74B5" w:rsidRPr="000827CE" w14:paraId="010A23EE" w14:textId="77777777" w:rsidTr="007D004D">
        <w:trPr>
          <w:trHeight w:val="993"/>
        </w:trPr>
        <w:tc>
          <w:tcPr>
            <w:tcW w:w="2518" w:type="dxa"/>
          </w:tcPr>
          <w:p w14:paraId="3B3CA5C4" w14:textId="77777777" w:rsidR="006A74B5" w:rsidRPr="00D85302" w:rsidRDefault="006A74B5" w:rsidP="007D004D">
            <w:pPr>
              <w:pStyle w:val="C-BodyText"/>
              <w:rPr>
                <w:lang w:val="en-AU"/>
              </w:rPr>
            </w:pPr>
            <w:r>
              <w:rPr>
                <w:i/>
              </w:rPr>
              <w:t>E.c</w:t>
            </w:r>
            <w:r w:rsidRPr="00301E37">
              <w:rPr>
                <w:i/>
              </w:rPr>
              <w:t>oli</w:t>
            </w:r>
          </w:p>
        </w:tc>
        <w:tc>
          <w:tcPr>
            <w:tcW w:w="1984" w:type="dxa"/>
            <w:vAlign w:val="center"/>
          </w:tcPr>
          <w:p w14:paraId="20B024A6" w14:textId="77777777" w:rsidR="006A74B5" w:rsidRDefault="006A74B5" w:rsidP="007D004D">
            <w:pPr>
              <w:pStyle w:val="C-BodyText"/>
              <w:spacing w:before="0" w:after="0"/>
              <w:jc w:val="center"/>
              <w:rPr>
                <w:lang w:val="en-AU" w:eastAsia="en-AU"/>
              </w:rPr>
            </w:pPr>
            <w:r>
              <w:rPr>
                <w:lang w:val="en-AU" w:eastAsia="en-AU"/>
              </w:rPr>
              <w:t>≥24 mm (S)**</w:t>
            </w:r>
          </w:p>
          <w:p w14:paraId="207AC2FB" w14:textId="77777777" w:rsidR="006A74B5" w:rsidRPr="00301E37" w:rsidRDefault="006A74B5" w:rsidP="007D004D">
            <w:pPr>
              <w:pStyle w:val="C-BodyText"/>
              <w:spacing w:before="0" w:after="0"/>
              <w:jc w:val="center"/>
              <w:rPr>
                <w:lang w:val="en-AU" w:eastAsia="en-AU"/>
              </w:rPr>
            </w:pPr>
            <w:r>
              <w:rPr>
                <w:lang w:val="en-AU" w:eastAsia="en-AU"/>
              </w:rPr>
              <w:t>&lt;24 mm (R)**</w:t>
            </w:r>
          </w:p>
        </w:tc>
        <w:tc>
          <w:tcPr>
            <w:tcW w:w="2410" w:type="dxa"/>
            <w:vAlign w:val="center"/>
          </w:tcPr>
          <w:p w14:paraId="2096E663" w14:textId="77777777" w:rsidR="006A74B5" w:rsidRPr="00B66C6D" w:rsidRDefault="006A74B5" w:rsidP="007D004D">
            <w:pPr>
              <w:pStyle w:val="C-BodyText"/>
              <w:spacing w:before="0"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≤64 m</w:t>
            </w:r>
            <w:r w:rsidRPr="00B66C6D">
              <w:rPr>
                <w:lang w:val="pt-BR"/>
              </w:rPr>
              <w:t>g/l (S)*</w:t>
            </w:r>
          </w:p>
          <w:p w14:paraId="58111737" w14:textId="77777777" w:rsidR="006A74B5" w:rsidRPr="00B66C6D" w:rsidRDefault="006A74B5" w:rsidP="007D004D">
            <w:pPr>
              <w:pStyle w:val="C-BodyText"/>
              <w:spacing w:before="0"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128 mg/</w:t>
            </w:r>
            <w:r w:rsidRPr="00B66C6D">
              <w:rPr>
                <w:lang w:val="pt-BR"/>
              </w:rPr>
              <w:t>l (I)*</w:t>
            </w:r>
          </w:p>
          <w:p w14:paraId="22B47C1D" w14:textId="77777777" w:rsidR="006A74B5" w:rsidRPr="00B66C6D" w:rsidRDefault="006A74B5" w:rsidP="007D004D">
            <w:pPr>
              <w:pStyle w:val="C-BodyText"/>
              <w:spacing w:before="0"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≥256 m</w:t>
            </w:r>
            <w:r w:rsidRPr="00B66C6D">
              <w:rPr>
                <w:lang w:val="pt-BR"/>
              </w:rPr>
              <w:t>g/l (R)*</w:t>
            </w:r>
          </w:p>
        </w:tc>
      </w:tr>
      <w:tr w:rsidR="006A74B5" w:rsidRPr="000827CE" w14:paraId="44AC6866" w14:textId="77777777" w:rsidTr="007D004D">
        <w:trPr>
          <w:trHeight w:val="980"/>
        </w:trPr>
        <w:tc>
          <w:tcPr>
            <w:tcW w:w="2518" w:type="dxa"/>
          </w:tcPr>
          <w:p w14:paraId="7D110832" w14:textId="77777777" w:rsidR="006A74B5" w:rsidRDefault="006A74B5" w:rsidP="007D004D">
            <w:pPr>
              <w:pStyle w:val="C-BodyText"/>
              <w:rPr>
                <w:lang w:val="en-AU"/>
              </w:rPr>
            </w:pPr>
            <w:r w:rsidRPr="00A778EA">
              <w:rPr>
                <w:i/>
              </w:rPr>
              <w:t xml:space="preserve">Enterococcus </w:t>
            </w:r>
            <w:proofErr w:type="spellStart"/>
            <w:r w:rsidRPr="00A778EA">
              <w:rPr>
                <w:i/>
              </w:rPr>
              <w:t>faecalis</w:t>
            </w:r>
            <w:proofErr w:type="spellEnd"/>
          </w:p>
        </w:tc>
        <w:tc>
          <w:tcPr>
            <w:tcW w:w="1984" w:type="dxa"/>
          </w:tcPr>
          <w:p w14:paraId="117462D9" w14:textId="77777777" w:rsidR="006A74B5" w:rsidRDefault="006A74B5" w:rsidP="007D004D">
            <w:pPr>
              <w:pStyle w:val="C-BodyText"/>
              <w:spacing w:before="0" w:after="0"/>
              <w:jc w:val="center"/>
              <w:rPr>
                <w:lang w:val="en-AU"/>
              </w:rPr>
            </w:pPr>
          </w:p>
        </w:tc>
        <w:tc>
          <w:tcPr>
            <w:tcW w:w="2410" w:type="dxa"/>
            <w:vAlign w:val="center"/>
          </w:tcPr>
          <w:p w14:paraId="3900E770" w14:textId="77777777" w:rsidR="006A74B5" w:rsidRPr="00B66C6D" w:rsidRDefault="006A74B5" w:rsidP="007D004D">
            <w:pPr>
              <w:pStyle w:val="C-BodyText"/>
              <w:spacing w:before="0" w:after="0"/>
              <w:jc w:val="center"/>
              <w:rPr>
                <w:lang w:val="pt-BR"/>
              </w:rPr>
            </w:pPr>
            <w:r w:rsidRPr="00B66C6D">
              <w:rPr>
                <w:lang w:val="pt-BR"/>
              </w:rPr>
              <w:t>≤64</w:t>
            </w:r>
            <w:r>
              <w:rPr>
                <w:lang w:val="pt-BR"/>
              </w:rPr>
              <w:t xml:space="preserve"> m</w:t>
            </w:r>
            <w:r w:rsidRPr="00B66C6D">
              <w:rPr>
                <w:lang w:val="pt-BR"/>
              </w:rPr>
              <w:t>g/l (S)*</w:t>
            </w:r>
          </w:p>
          <w:p w14:paraId="72BB8DE6" w14:textId="77777777" w:rsidR="006A74B5" w:rsidRPr="00B66C6D" w:rsidRDefault="006A74B5" w:rsidP="007D004D">
            <w:pPr>
              <w:pStyle w:val="C-BodyText"/>
              <w:spacing w:before="0"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128 mg/</w:t>
            </w:r>
            <w:r w:rsidRPr="00B66C6D">
              <w:rPr>
                <w:lang w:val="pt-BR"/>
              </w:rPr>
              <w:t>l (I)*</w:t>
            </w:r>
          </w:p>
          <w:p w14:paraId="203FA512" w14:textId="77777777" w:rsidR="006A74B5" w:rsidRPr="00B66C6D" w:rsidRDefault="006A74B5" w:rsidP="007D004D">
            <w:pPr>
              <w:pStyle w:val="C-BodyText"/>
              <w:spacing w:before="0" w:after="0"/>
              <w:jc w:val="center"/>
              <w:rPr>
                <w:lang w:val="pt-BR"/>
              </w:rPr>
            </w:pPr>
            <w:r>
              <w:rPr>
                <w:lang w:val="pt-BR"/>
              </w:rPr>
              <w:t>≥256 m</w:t>
            </w:r>
            <w:r w:rsidRPr="00B66C6D">
              <w:rPr>
                <w:lang w:val="pt-BR"/>
              </w:rPr>
              <w:t>g/l (R)*</w:t>
            </w:r>
          </w:p>
        </w:tc>
      </w:tr>
    </w:tbl>
    <w:p w14:paraId="252DE820" w14:textId="77777777" w:rsidR="006A74B5" w:rsidRPr="00B66C6D" w:rsidRDefault="006A74B5" w:rsidP="006A74B5">
      <w:pPr>
        <w:pStyle w:val="C-BodyText"/>
        <w:spacing w:before="0" w:after="0"/>
        <w:rPr>
          <w:sz w:val="22"/>
          <w:szCs w:val="22"/>
          <w:lang w:val="pt-BR" w:eastAsia="en-AU"/>
        </w:rPr>
      </w:pPr>
      <w:r w:rsidRPr="00B66C6D">
        <w:rPr>
          <w:sz w:val="22"/>
          <w:szCs w:val="22"/>
          <w:lang w:val="pt-BR" w:eastAsia="en-AU"/>
        </w:rPr>
        <w:t>*MIC breakpoints</w:t>
      </w:r>
    </w:p>
    <w:p w14:paraId="6D2EC9A5" w14:textId="77777777" w:rsidR="006A74B5" w:rsidRPr="00B66C6D" w:rsidRDefault="006A74B5" w:rsidP="006A74B5">
      <w:pPr>
        <w:pStyle w:val="C-BodyText"/>
        <w:spacing w:before="0" w:after="0"/>
        <w:rPr>
          <w:lang w:val="pt-BR"/>
        </w:rPr>
      </w:pPr>
      <w:r w:rsidRPr="00B66C6D">
        <w:rPr>
          <w:sz w:val="22"/>
          <w:szCs w:val="22"/>
          <w:lang w:val="pt-BR" w:eastAsia="en-AU"/>
        </w:rPr>
        <w:t>**disc diffusion zone diameter breakpoints</w:t>
      </w:r>
    </w:p>
    <w:p w14:paraId="6924DE12" w14:textId="1DCD0A3E" w:rsidR="00B06A62" w:rsidRDefault="00B06A62" w:rsidP="00B06A62">
      <w:pPr>
        <w:pStyle w:val="C-BodyText"/>
        <w:rPr>
          <w:lang w:val="en-AU" w:eastAsia="en-AU"/>
        </w:rPr>
      </w:pPr>
      <w:r w:rsidRPr="001029E1">
        <w:rPr>
          <w:lang w:val="en-AU"/>
        </w:rPr>
        <w:t>Based on E</w:t>
      </w:r>
      <w:r w:rsidRPr="001029E1">
        <w:rPr>
          <w:lang w:val="en-AU" w:eastAsia="en-AU"/>
        </w:rPr>
        <w:t xml:space="preserve">uropean Committee on Antimicrobial Susceptibility Testing (EUCAST) </w:t>
      </w:r>
      <w:r>
        <w:rPr>
          <w:lang w:val="en-AU" w:eastAsia="en-AU"/>
        </w:rPr>
        <w:t xml:space="preserve">criteria, </w:t>
      </w:r>
      <w:proofErr w:type="spellStart"/>
      <w:r>
        <w:rPr>
          <w:lang w:val="en-AU" w:eastAsia="en-AU"/>
        </w:rPr>
        <w:t>fosfomycin</w:t>
      </w:r>
      <w:proofErr w:type="spellEnd"/>
      <w:r>
        <w:rPr>
          <w:lang w:val="en-AU" w:eastAsia="en-AU"/>
        </w:rPr>
        <w:t xml:space="preserve"> trometamol single 3 g oral dose is calibrated for the treatment of acute uncomplicated urinary tract infection (UTI) caused by </w:t>
      </w:r>
      <w:proofErr w:type="spellStart"/>
      <w:r w:rsidRPr="0099424D">
        <w:rPr>
          <w:lang w:val="en-AU" w:eastAsia="en-AU"/>
        </w:rPr>
        <w:t>Enterobacteriac</w:t>
      </w:r>
      <w:r>
        <w:rPr>
          <w:lang w:val="en-AU" w:eastAsia="en-AU"/>
        </w:rPr>
        <w:t>e</w:t>
      </w:r>
      <w:r w:rsidRPr="0099424D">
        <w:rPr>
          <w:lang w:val="en-AU" w:eastAsia="en-AU"/>
        </w:rPr>
        <w:t>ae</w:t>
      </w:r>
      <w:proofErr w:type="spellEnd"/>
      <w:r w:rsidRPr="0099424D">
        <w:rPr>
          <w:lang w:val="en-AU" w:eastAsia="en-AU"/>
        </w:rPr>
        <w:t xml:space="preserve">. MIC breakpoints are </w:t>
      </w:r>
      <w:r w:rsidRPr="00B66C6D">
        <w:rPr>
          <w:lang w:val="pt-BR" w:eastAsia="en-AU"/>
        </w:rPr>
        <w:t>≤</w:t>
      </w:r>
      <w:r w:rsidRPr="0099424D">
        <w:rPr>
          <w:lang w:val="en-AU" w:eastAsia="en-AU"/>
        </w:rPr>
        <w:t>32 (less than or equal</w:t>
      </w:r>
      <w:r>
        <w:rPr>
          <w:lang w:val="en-AU" w:eastAsia="en-AU"/>
        </w:rPr>
        <w:t xml:space="preserve"> </w:t>
      </w:r>
      <w:r w:rsidRPr="0099424D">
        <w:rPr>
          <w:lang w:val="en-AU" w:eastAsia="en-AU"/>
        </w:rPr>
        <w:t>than) mg/l (S) and &gt;</w:t>
      </w:r>
      <w:r>
        <w:rPr>
          <w:lang w:val="en-AU" w:eastAsia="en-AU"/>
        </w:rPr>
        <w:t>32</w:t>
      </w:r>
      <w:r w:rsidRPr="0099424D">
        <w:rPr>
          <w:lang w:val="en-AU" w:eastAsia="en-AU"/>
        </w:rPr>
        <w:t>mg/l (R).</w:t>
      </w:r>
      <w:r w:rsidR="0042097F">
        <w:rPr>
          <w:lang w:val="en-AU" w:eastAsia="en-AU"/>
        </w:rPr>
        <w:t xml:space="preserve"> </w:t>
      </w:r>
      <w:r w:rsidRPr="00A4085B">
        <w:rPr>
          <w:lang w:val="en-AU" w:eastAsia="en-AU"/>
        </w:rPr>
        <w:t>EUCAST dis</w:t>
      </w:r>
      <w:r>
        <w:rPr>
          <w:lang w:val="en-AU" w:eastAsia="en-AU"/>
        </w:rPr>
        <w:t>c</w:t>
      </w:r>
      <w:r w:rsidRPr="00A4085B">
        <w:rPr>
          <w:lang w:val="en-AU" w:eastAsia="en-AU"/>
        </w:rPr>
        <w:t xml:space="preserve"> diffusion zone diameter breakpoints for </w:t>
      </w:r>
      <w:r w:rsidRPr="00A4085B">
        <w:rPr>
          <w:i/>
          <w:lang w:val="en-AU" w:eastAsia="en-AU"/>
        </w:rPr>
        <w:t xml:space="preserve">E. coli </w:t>
      </w:r>
      <w:r w:rsidRPr="00A4085B">
        <w:rPr>
          <w:lang w:val="en-AU" w:eastAsia="en-AU"/>
        </w:rPr>
        <w:t xml:space="preserve">only are </w:t>
      </w:r>
      <w:r>
        <w:rPr>
          <w:lang w:val="en-AU" w:eastAsia="en-AU"/>
        </w:rPr>
        <w:t>&gt;</w:t>
      </w:r>
      <w:r w:rsidRPr="00A4085B">
        <w:rPr>
          <w:lang w:val="en-AU" w:eastAsia="en-AU"/>
        </w:rPr>
        <w:t xml:space="preserve">24 mm (S) and &lt;24 mm (R). For other </w:t>
      </w:r>
      <w:proofErr w:type="spellStart"/>
      <w:r w:rsidRPr="00A4085B">
        <w:rPr>
          <w:lang w:val="en-AU" w:eastAsia="en-AU"/>
        </w:rPr>
        <w:t>Enterobacteriaceae</w:t>
      </w:r>
      <w:proofErr w:type="spellEnd"/>
      <w:r>
        <w:rPr>
          <w:lang w:val="en-AU" w:eastAsia="en-AU"/>
        </w:rPr>
        <w:t>,</w:t>
      </w:r>
      <w:r w:rsidRPr="00A4085B">
        <w:rPr>
          <w:lang w:val="en-AU" w:eastAsia="en-AU"/>
        </w:rPr>
        <w:t xml:space="preserve"> an MIC method should be used.</w:t>
      </w:r>
      <w:r>
        <w:rPr>
          <w:lang w:val="en-AU" w:eastAsia="en-AU"/>
        </w:rPr>
        <w:t xml:space="preserve"> All methods require glucose-6-phosphate supplementation.</w:t>
      </w:r>
    </w:p>
    <w:p w14:paraId="46684C87" w14:textId="77777777" w:rsidR="00B06A62" w:rsidRDefault="00B06A62" w:rsidP="00B06A62">
      <w:pPr>
        <w:pStyle w:val="C-BodyText"/>
        <w:rPr>
          <w:lang w:val="en-AU" w:eastAsia="en-AU"/>
        </w:rPr>
      </w:pPr>
      <w:r w:rsidRPr="00A778EA">
        <w:rPr>
          <w:lang w:val="en-AU" w:eastAsia="en-AU"/>
        </w:rPr>
        <w:t xml:space="preserve">There are no EUCAST guidelines for other urinary pathogens such as </w:t>
      </w:r>
      <w:r w:rsidRPr="00A778EA">
        <w:rPr>
          <w:i/>
          <w:lang w:val="en-AU" w:eastAsia="en-AU"/>
        </w:rPr>
        <w:t>Pseudomonas</w:t>
      </w:r>
      <w:r w:rsidRPr="00A778EA">
        <w:rPr>
          <w:lang w:val="en-AU" w:eastAsia="en-AU"/>
        </w:rPr>
        <w:t>,</w:t>
      </w:r>
      <w:r>
        <w:rPr>
          <w:lang w:val="en-AU" w:eastAsia="en-AU"/>
        </w:rPr>
        <w:t xml:space="preserve"> </w:t>
      </w:r>
      <w:r w:rsidRPr="00A778EA">
        <w:rPr>
          <w:i/>
          <w:lang w:val="en-AU" w:eastAsia="en-AU"/>
        </w:rPr>
        <w:t xml:space="preserve">Staphylococcus </w:t>
      </w:r>
      <w:proofErr w:type="spellStart"/>
      <w:r w:rsidRPr="00A778EA">
        <w:rPr>
          <w:i/>
          <w:lang w:val="en-AU" w:eastAsia="en-AU"/>
        </w:rPr>
        <w:t>saphrophyticus</w:t>
      </w:r>
      <w:proofErr w:type="spellEnd"/>
      <w:r w:rsidRPr="00A778EA">
        <w:rPr>
          <w:lang w:val="en-AU" w:eastAsia="en-AU"/>
        </w:rPr>
        <w:t xml:space="preserve">, or </w:t>
      </w:r>
      <w:r w:rsidRPr="00A778EA">
        <w:rPr>
          <w:i/>
          <w:lang w:val="en-AU" w:eastAsia="en-AU"/>
        </w:rPr>
        <w:t>Enterococcus</w:t>
      </w:r>
      <w:r w:rsidRPr="00A778EA">
        <w:rPr>
          <w:lang w:val="en-AU" w:eastAsia="en-AU"/>
        </w:rPr>
        <w:t xml:space="preserve"> spp.</w:t>
      </w:r>
    </w:p>
    <w:p w14:paraId="2A4CB7C7" w14:textId="77777777" w:rsidR="00B06A62" w:rsidRDefault="00B06A62" w:rsidP="00B06A62">
      <w:pPr>
        <w:pStyle w:val="C-BodyText"/>
      </w:pPr>
      <w:r>
        <w:t xml:space="preserve">Based on Clinical and Laboratory Standard Institute (CLSI) criteria, only </w:t>
      </w:r>
      <w:r w:rsidRPr="00A778EA">
        <w:rPr>
          <w:i/>
        </w:rPr>
        <w:t>E coli</w:t>
      </w:r>
      <w:r>
        <w:t xml:space="preserve"> and </w:t>
      </w:r>
      <w:r w:rsidRPr="00A778EA">
        <w:rPr>
          <w:i/>
        </w:rPr>
        <w:t xml:space="preserve">Enterococcus </w:t>
      </w:r>
      <w:proofErr w:type="spellStart"/>
      <w:r w:rsidRPr="00A778EA">
        <w:rPr>
          <w:i/>
        </w:rPr>
        <w:t>faecalis</w:t>
      </w:r>
      <w:proofErr w:type="spellEnd"/>
      <w:r>
        <w:t xml:space="preserve"> from urinary tract isolates are calibrated. MIC breakpoints for both are &lt;64 mg/l (S), 128 mg/l (I), and &gt;256 mg/l (R). Disc and agar dilution MIC methods are approved provided there is supplemental glucose-6-phosphate. CLSI does not recommend broth dilution </w:t>
      </w:r>
      <w:proofErr w:type="spellStart"/>
      <w:r>
        <w:t>fosfomycin</w:t>
      </w:r>
      <w:proofErr w:type="spellEnd"/>
      <w:r>
        <w:t xml:space="preserve"> susceptibility testing.</w:t>
      </w:r>
    </w:p>
    <w:p w14:paraId="566019FA" w14:textId="77777777" w:rsidR="00B06A62" w:rsidRDefault="00B06A62" w:rsidP="00B06A62">
      <w:pPr>
        <w:pStyle w:val="C-BodyText"/>
      </w:pPr>
      <w:r>
        <w:t xml:space="preserve">There are no CLSI guidelines for any other bacteria apart from </w:t>
      </w:r>
      <w:r w:rsidRPr="00A778EA">
        <w:rPr>
          <w:i/>
        </w:rPr>
        <w:t>E coli</w:t>
      </w:r>
      <w:r>
        <w:t xml:space="preserve"> and </w:t>
      </w:r>
      <w:r w:rsidRPr="00A778EA">
        <w:rPr>
          <w:i/>
        </w:rPr>
        <w:t xml:space="preserve">Enterococcus </w:t>
      </w:r>
      <w:proofErr w:type="spellStart"/>
      <w:r w:rsidRPr="00A778EA">
        <w:rPr>
          <w:i/>
        </w:rPr>
        <w:t>faecalis</w:t>
      </w:r>
      <w:proofErr w:type="spellEnd"/>
      <w:r>
        <w:t>.</w:t>
      </w:r>
    </w:p>
    <w:p w14:paraId="51AD3EAA" w14:textId="7ADDC267" w:rsidR="00652DEF" w:rsidRPr="00652DEF" w:rsidRDefault="00652DEF" w:rsidP="00E8625A">
      <w:pPr>
        <w:pStyle w:val="C-Heading3non-numbered"/>
        <w:rPr>
          <w:b w:val="0"/>
          <w:lang w:val="en-AU" w:eastAsia="en-AU"/>
        </w:rPr>
      </w:pPr>
      <w:r w:rsidRPr="00652DEF">
        <w:rPr>
          <w:lang w:val="en-AU" w:eastAsia="en-AU"/>
        </w:rPr>
        <w:t>Clinical efficacy against specific pathogens</w:t>
      </w:r>
    </w:p>
    <w:p w14:paraId="7E49DFAA" w14:textId="358A964F" w:rsidR="00652DEF" w:rsidRDefault="00652DEF" w:rsidP="00652DEF">
      <w:pPr>
        <w:pStyle w:val="C-BodyText"/>
        <w:rPr>
          <w:lang w:val="en-AU" w:eastAsia="en-AU"/>
        </w:rPr>
      </w:pPr>
      <w:r>
        <w:rPr>
          <w:lang w:val="en-AU" w:eastAsia="en-AU"/>
        </w:rPr>
        <w:t>The prevalence of acquired resistance may vary geographically and with time for selected species and local information on resistance is desirable.</w:t>
      </w:r>
    </w:p>
    <w:p w14:paraId="20B52EFD" w14:textId="396265D7" w:rsidR="00AB3EF9" w:rsidRPr="00772FC8" w:rsidRDefault="00AB3EF9" w:rsidP="0050640E">
      <w:pPr>
        <w:pStyle w:val="C-BodyText"/>
        <w:rPr>
          <w:lang w:val="en-AU" w:eastAsia="en-AU"/>
        </w:rPr>
      </w:pPr>
      <w:r w:rsidRPr="00772FC8">
        <w:rPr>
          <w:lang w:val="en-AU" w:eastAsia="en-AU"/>
        </w:rPr>
        <w:t xml:space="preserve">Oral </w:t>
      </w:r>
      <w:proofErr w:type="spellStart"/>
      <w:r w:rsidRPr="00772FC8">
        <w:rPr>
          <w:lang w:val="en-AU" w:eastAsia="en-AU"/>
        </w:rPr>
        <w:t>fosfomycin</w:t>
      </w:r>
      <w:proofErr w:type="spellEnd"/>
      <w:r w:rsidR="007D7BFA" w:rsidRPr="00772FC8">
        <w:rPr>
          <w:lang w:val="en-AU" w:eastAsia="en-AU"/>
        </w:rPr>
        <w:t xml:space="preserve"> should be used where there is resistance to </w:t>
      </w:r>
      <w:r w:rsidRPr="00772FC8">
        <w:rPr>
          <w:lang w:val="en-AU" w:eastAsia="en-AU"/>
        </w:rPr>
        <w:t xml:space="preserve">other suitable antibiotics, including trimethoprim, cephalexin and </w:t>
      </w:r>
      <w:proofErr w:type="spellStart"/>
      <w:r w:rsidRPr="00772FC8">
        <w:rPr>
          <w:lang w:val="en-AU" w:eastAsia="en-AU"/>
        </w:rPr>
        <w:t>amoxycillin</w:t>
      </w:r>
      <w:proofErr w:type="spellEnd"/>
      <w:r w:rsidRPr="00772FC8">
        <w:rPr>
          <w:lang w:val="en-AU" w:eastAsia="en-AU"/>
        </w:rPr>
        <w:t>/clavulanic acid.</w:t>
      </w:r>
    </w:p>
    <w:p w14:paraId="731669C7" w14:textId="2877DF6F" w:rsidR="00652DEF" w:rsidRPr="00652DEF" w:rsidRDefault="00652DEF" w:rsidP="00E8625A">
      <w:pPr>
        <w:pStyle w:val="C-Heading3non-numbered"/>
        <w:rPr>
          <w:b w:val="0"/>
          <w:lang w:val="en-AU" w:eastAsia="en-AU"/>
        </w:rPr>
      </w:pPr>
      <w:r w:rsidRPr="00652DEF">
        <w:rPr>
          <w:lang w:val="en-AU" w:eastAsia="en-AU"/>
        </w:rPr>
        <w:t>Pharmacokinetic (PK)/</w:t>
      </w:r>
      <w:proofErr w:type="spellStart"/>
      <w:r w:rsidRPr="00652DEF">
        <w:rPr>
          <w:lang w:val="en-AU" w:eastAsia="en-AU"/>
        </w:rPr>
        <w:t>pharmacodynamic</w:t>
      </w:r>
      <w:proofErr w:type="spellEnd"/>
      <w:r w:rsidRPr="00652DEF">
        <w:rPr>
          <w:lang w:val="en-AU" w:eastAsia="en-AU"/>
        </w:rPr>
        <w:t xml:space="preserve"> (PD) relationship</w:t>
      </w:r>
    </w:p>
    <w:p w14:paraId="3DE4DC39" w14:textId="19C35C19" w:rsidR="00F0208A" w:rsidRDefault="00652DEF" w:rsidP="00F0208A">
      <w:pPr>
        <w:pStyle w:val="C-BodyText"/>
        <w:rPr>
          <w:lang w:val="en-AU" w:eastAsia="en-AU"/>
        </w:rPr>
      </w:pPr>
      <w:r>
        <w:rPr>
          <w:lang w:val="en-AU" w:eastAsia="en-AU"/>
        </w:rPr>
        <w:t xml:space="preserve">Limited data indicate that </w:t>
      </w:r>
      <w:proofErr w:type="spellStart"/>
      <w:r>
        <w:rPr>
          <w:lang w:val="en-AU" w:eastAsia="en-AU"/>
        </w:rPr>
        <w:t>fosfomycin</w:t>
      </w:r>
      <w:proofErr w:type="spellEnd"/>
      <w:r>
        <w:rPr>
          <w:lang w:val="en-AU" w:eastAsia="en-AU"/>
        </w:rPr>
        <w:t xml:space="preserve"> most likely acts in a </w:t>
      </w:r>
      <w:r w:rsidR="006069BB">
        <w:rPr>
          <w:lang w:val="en-AU" w:eastAsia="en-AU"/>
        </w:rPr>
        <w:t>concentration</w:t>
      </w:r>
      <w:r>
        <w:rPr>
          <w:lang w:val="en-AU" w:eastAsia="en-AU"/>
        </w:rPr>
        <w:t>-dependent manner.</w:t>
      </w:r>
      <w:r w:rsidR="00854572" w:rsidRPr="00854572">
        <w:rPr>
          <w:lang w:val="en-AU" w:eastAsia="en-AU"/>
        </w:rPr>
        <w:t xml:space="preserve"> </w:t>
      </w:r>
      <w:r w:rsidR="00854572">
        <w:rPr>
          <w:lang w:val="en-AU" w:eastAsia="en-AU"/>
        </w:rPr>
        <w:t xml:space="preserve">There are no known PK/PD breakpoints for </w:t>
      </w:r>
      <w:proofErr w:type="spellStart"/>
      <w:r w:rsidR="00854572">
        <w:rPr>
          <w:lang w:val="en-AU" w:eastAsia="en-AU"/>
        </w:rPr>
        <w:t>fosfomycin</w:t>
      </w:r>
      <w:proofErr w:type="spellEnd"/>
      <w:r w:rsidR="00854572">
        <w:rPr>
          <w:lang w:val="en-AU" w:eastAsia="en-AU"/>
        </w:rPr>
        <w:t>.</w:t>
      </w:r>
    </w:p>
    <w:p w14:paraId="0FE143F6" w14:textId="77777777" w:rsidR="00121DF4" w:rsidRDefault="00121DF4" w:rsidP="00F0208A">
      <w:pPr>
        <w:pStyle w:val="C-Heading2non-numbered"/>
      </w:pPr>
      <w:r>
        <w:lastRenderedPageBreak/>
        <w:t>Pharm</w:t>
      </w:r>
      <w:r w:rsidR="00EF4963">
        <w:t>a</w:t>
      </w:r>
      <w:r>
        <w:t>cokinetics</w:t>
      </w:r>
    </w:p>
    <w:p w14:paraId="4FF8F242" w14:textId="77777777" w:rsidR="00121DF4" w:rsidRDefault="00121DF4" w:rsidP="00121DF4">
      <w:pPr>
        <w:pStyle w:val="C-Heading3non-numbered"/>
      </w:pPr>
      <w:r>
        <w:t>Absorption</w:t>
      </w:r>
    </w:p>
    <w:p w14:paraId="1C72A92B" w14:textId="76B0FC73" w:rsidR="00C07648" w:rsidRPr="00C07648" w:rsidRDefault="00054EC2" w:rsidP="00F0208A">
      <w:pPr>
        <w:pStyle w:val="C-BodyText"/>
        <w:rPr>
          <w:b/>
          <w:lang w:val="en-AU" w:eastAsia="en-AU"/>
        </w:rPr>
      </w:pPr>
      <w:r w:rsidRPr="00C07648">
        <w:rPr>
          <w:lang w:val="en-AU" w:eastAsia="en-AU"/>
        </w:rPr>
        <w:t xml:space="preserve">After oral administration, </w:t>
      </w:r>
      <w:proofErr w:type="spellStart"/>
      <w:r w:rsidRPr="00C07648">
        <w:rPr>
          <w:lang w:val="en-AU" w:eastAsia="en-AU"/>
        </w:rPr>
        <w:t>fosfomycin</w:t>
      </w:r>
      <w:proofErr w:type="spellEnd"/>
      <w:r w:rsidRPr="00C07648">
        <w:rPr>
          <w:lang w:val="en-AU" w:eastAsia="en-AU"/>
        </w:rPr>
        <w:t xml:space="preserve"> is well absorbed from the gut and has an absolute bioavailability of about </w:t>
      </w:r>
      <w:r w:rsidR="006069BB">
        <w:rPr>
          <w:lang w:val="en-AU" w:eastAsia="en-AU"/>
        </w:rPr>
        <w:t>35-40</w:t>
      </w:r>
      <w:r w:rsidRPr="00C07648">
        <w:rPr>
          <w:lang w:val="en-AU" w:eastAsia="en-AU"/>
        </w:rPr>
        <w:t>%. Food delays absorption, not influencing urinary concentrations.</w:t>
      </w:r>
    </w:p>
    <w:p w14:paraId="75D08C44" w14:textId="77777777" w:rsidR="00121DF4" w:rsidRDefault="00121DF4" w:rsidP="00121DF4">
      <w:pPr>
        <w:pStyle w:val="C-Heading3non-numbered"/>
      </w:pPr>
      <w:r>
        <w:t>Distribution</w:t>
      </w:r>
    </w:p>
    <w:p w14:paraId="5CA20F01" w14:textId="77777777" w:rsidR="00054EC2" w:rsidRPr="00054EC2" w:rsidRDefault="00054EC2" w:rsidP="00054EC2">
      <w:pPr>
        <w:pStyle w:val="C-BodyText"/>
        <w:rPr>
          <w:lang w:val="en-AU" w:eastAsia="en-AU"/>
        </w:rPr>
      </w:pPr>
      <w:proofErr w:type="spellStart"/>
      <w:r w:rsidRPr="00054EC2">
        <w:rPr>
          <w:lang w:val="en-AU" w:eastAsia="en-AU"/>
        </w:rPr>
        <w:t>Fosfomycin</w:t>
      </w:r>
      <w:proofErr w:type="spellEnd"/>
      <w:r w:rsidRPr="00054EC2">
        <w:rPr>
          <w:lang w:val="en-AU" w:eastAsia="en-AU"/>
        </w:rPr>
        <w:t xml:space="preserve"> is distributed to the kidneys, bladder wall,</w:t>
      </w:r>
      <w:r>
        <w:rPr>
          <w:lang w:val="en-AU" w:eastAsia="en-AU"/>
        </w:rPr>
        <w:t xml:space="preserve"> prostate and seminal vesicles</w:t>
      </w:r>
      <w:r w:rsidRPr="00054EC2">
        <w:rPr>
          <w:lang w:val="en-AU" w:eastAsia="en-AU"/>
        </w:rPr>
        <w:t xml:space="preserve">. Sustained concentrations of </w:t>
      </w:r>
      <w:proofErr w:type="spellStart"/>
      <w:r w:rsidRPr="00054EC2">
        <w:rPr>
          <w:lang w:val="en-AU" w:eastAsia="en-AU"/>
        </w:rPr>
        <w:t>fosfomycin</w:t>
      </w:r>
      <w:proofErr w:type="spellEnd"/>
      <w:r w:rsidRPr="00054EC2">
        <w:rPr>
          <w:lang w:val="en-AU" w:eastAsia="en-AU"/>
        </w:rPr>
        <w:t xml:space="preserve"> higher than the minimum inhibitory concentrations (MIC) are obtained in urine for 24-48 h</w:t>
      </w:r>
      <w:r>
        <w:rPr>
          <w:lang w:val="en-AU" w:eastAsia="en-AU"/>
        </w:rPr>
        <w:t>ours after oral administration</w:t>
      </w:r>
      <w:r w:rsidRPr="00054EC2">
        <w:rPr>
          <w:lang w:val="en-AU" w:eastAsia="en-AU"/>
        </w:rPr>
        <w:t>.</w:t>
      </w:r>
    </w:p>
    <w:p w14:paraId="50266E68" w14:textId="081AF669" w:rsidR="00C07648" w:rsidRDefault="00054EC2" w:rsidP="00C07648">
      <w:pPr>
        <w:pStyle w:val="C-BodyText"/>
        <w:rPr>
          <w:lang w:val="en-AU" w:eastAsia="en-AU"/>
        </w:rPr>
      </w:pPr>
      <w:proofErr w:type="spellStart"/>
      <w:r w:rsidRPr="00054EC2">
        <w:rPr>
          <w:lang w:val="en-AU" w:eastAsia="en-AU"/>
        </w:rPr>
        <w:t>Fosfomycin</w:t>
      </w:r>
      <w:proofErr w:type="spellEnd"/>
      <w:r w:rsidRPr="00054EC2">
        <w:rPr>
          <w:lang w:val="en-AU" w:eastAsia="en-AU"/>
        </w:rPr>
        <w:t xml:space="preserve"> </w:t>
      </w:r>
      <w:r w:rsidR="003439A1">
        <w:rPr>
          <w:lang w:val="en-AU" w:eastAsia="en-AU"/>
        </w:rPr>
        <w:t>does</w:t>
      </w:r>
      <w:r>
        <w:rPr>
          <w:lang w:val="en-AU" w:eastAsia="en-AU"/>
        </w:rPr>
        <w:t xml:space="preserve"> not </w:t>
      </w:r>
      <w:r w:rsidR="003439A1">
        <w:rPr>
          <w:lang w:val="en-AU" w:eastAsia="en-AU"/>
        </w:rPr>
        <w:t>bind</w:t>
      </w:r>
      <w:r>
        <w:rPr>
          <w:lang w:val="en-AU" w:eastAsia="en-AU"/>
        </w:rPr>
        <w:t xml:space="preserve"> to plasma </w:t>
      </w:r>
      <w:proofErr w:type="gramStart"/>
      <w:r>
        <w:rPr>
          <w:lang w:val="en-AU" w:eastAsia="en-AU"/>
        </w:rPr>
        <w:t>proteins</w:t>
      </w:r>
      <w:r w:rsidR="003439A1">
        <w:rPr>
          <w:lang w:val="en-AU" w:eastAsia="en-AU"/>
        </w:rPr>
        <w:t>,</w:t>
      </w:r>
      <w:proofErr w:type="gramEnd"/>
      <w:r w:rsidRPr="00054EC2">
        <w:rPr>
          <w:lang w:val="en-AU" w:eastAsia="en-AU"/>
        </w:rPr>
        <w:t xml:space="preserve"> </w:t>
      </w:r>
      <w:proofErr w:type="spellStart"/>
      <w:r w:rsidR="003439A1">
        <w:rPr>
          <w:lang w:val="en-AU" w:eastAsia="en-AU"/>
        </w:rPr>
        <w:t>fosfomycin</w:t>
      </w:r>
      <w:proofErr w:type="spellEnd"/>
      <w:r w:rsidR="003439A1">
        <w:rPr>
          <w:lang w:val="en-AU" w:eastAsia="en-AU"/>
        </w:rPr>
        <w:t xml:space="preserve"> has </w:t>
      </w:r>
      <w:r w:rsidR="00854572">
        <w:rPr>
          <w:lang w:val="en-AU" w:eastAsia="en-AU"/>
        </w:rPr>
        <w:t xml:space="preserve">been </w:t>
      </w:r>
      <w:r w:rsidR="003439A1">
        <w:rPr>
          <w:lang w:val="en-AU" w:eastAsia="en-AU"/>
        </w:rPr>
        <w:t xml:space="preserve">shown to cross </w:t>
      </w:r>
      <w:r>
        <w:rPr>
          <w:lang w:val="en-AU" w:eastAsia="en-AU"/>
        </w:rPr>
        <w:t>the placental barrier</w:t>
      </w:r>
      <w:r w:rsidR="003439A1">
        <w:rPr>
          <w:lang w:val="en-AU" w:eastAsia="en-AU"/>
        </w:rPr>
        <w:t xml:space="preserve"> in</w:t>
      </w:r>
      <w:r w:rsidR="00854572">
        <w:rPr>
          <w:lang w:val="en-AU" w:eastAsia="en-AU"/>
        </w:rPr>
        <w:t xml:space="preserve"> humans and </w:t>
      </w:r>
      <w:r w:rsidR="003439A1">
        <w:rPr>
          <w:lang w:val="en-AU" w:eastAsia="en-AU"/>
        </w:rPr>
        <w:t>animals</w:t>
      </w:r>
      <w:r w:rsidRPr="00054EC2">
        <w:rPr>
          <w:lang w:val="en-AU" w:eastAsia="en-AU"/>
        </w:rPr>
        <w:t>.</w:t>
      </w:r>
    </w:p>
    <w:p w14:paraId="6D666BD6" w14:textId="77777777" w:rsidR="00121DF4" w:rsidRPr="00C07648" w:rsidRDefault="00121DF4" w:rsidP="00C07648">
      <w:pPr>
        <w:pStyle w:val="C-Heading3non-numbered"/>
        <w:rPr>
          <w:lang w:val="en-AU" w:eastAsia="en-AU"/>
        </w:rPr>
      </w:pPr>
      <w:r w:rsidRPr="00C07648">
        <w:rPr>
          <w:lang w:val="en-AU" w:eastAsia="en-AU"/>
        </w:rPr>
        <w:t>Metabolism</w:t>
      </w:r>
    </w:p>
    <w:p w14:paraId="0D43EBB4" w14:textId="77777777" w:rsidR="00652DEF" w:rsidRPr="00652DEF" w:rsidRDefault="00652DEF" w:rsidP="00652DEF">
      <w:pPr>
        <w:pStyle w:val="C-BodyText"/>
      </w:pPr>
      <w:proofErr w:type="spellStart"/>
      <w:r>
        <w:rPr>
          <w:lang w:val="en-AU" w:eastAsia="en-AU"/>
        </w:rPr>
        <w:t>Fosfomycin</w:t>
      </w:r>
      <w:proofErr w:type="spellEnd"/>
      <w:r>
        <w:rPr>
          <w:lang w:val="en-AU" w:eastAsia="en-AU"/>
        </w:rPr>
        <w:t xml:space="preserve"> does not appear to be metabolised.  </w:t>
      </w:r>
    </w:p>
    <w:p w14:paraId="01B60EB8" w14:textId="77777777" w:rsidR="00121DF4" w:rsidRPr="00121DF4" w:rsidRDefault="00121DF4" w:rsidP="00121DF4">
      <w:pPr>
        <w:pStyle w:val="C-Heading3non-numbered"/>
      </w:pPr>
      <w:r>
        <w:t>Excretion</w:t>
      </w:r>
    </w:p>
    <w:p w14:paraId="405F5068" w14:textId="77777777" w:rsidR="00C07648" w:rsidRDefault="00054EC2" w:rsidP="00C07648">
      <w:pPr>
        <w:pStyle w:val="C-BodyText"/>
        <w:rPr>
          <w:lang w:val="en-AU" w:eastAsia="en-AU"/>
        </w:rPr>
      </w:pPr>
      <w:proofErr w:type="spellStart"/>
      <w:r w:rsidRPr="00054EC2">
        <w:rPr>
          <w:lang w:val="en-AU" w:eastAsia="en-AU"/>
        </w:rPr>
        <w:t>Fosfomycin</w:t>
      </w:r>
      <w:proofErr w:type="spellEnd"/>
      <w:r w:rsidRPr="00054EC2">
        <w:rPr>
          <w:lang w:val="en-AU" w:eastAsia="en-AU"/>
        </w:rPr>
        <w:t xml:space="preserve"> is excreted unchanged mainly via the kidneys by glomerular filtration (40-50% of the dose is found in the urine) with an elimination half-life of about 4 hours and to a lesser extent</w:t>
      </w:r>
      <w:r>
        <w:rPr>
          <w:lang w:val="en-AU" w:eastAsia="en-AU"/>
        </w:rPr>
        <w:t xml:space="preserve"> in f</w:t>
      </w:r>
      <w:r w:rsidR="001D733A">
        <w:rPr>
          <w:lang w:val="en-AU" w:eastAsia="en-AU"/>
        </w:rPr>
        <w:t>a</w:t>
      </w:r>
      <w:r>
        <w:rPr>
          <w:lang w:val="en-AU" w:eastAsia="en-AU"/>
        </w:rPr>
        <w:t>eces (18-28% of the dose)</w:t>
      </w:r>
      <w:r w:rsidRPr="00054EC2">
        <w:rPr>
          <w:lang w:val="en-AU" w:eastAsia="en-AU"/>
        </w:rPr>
        <w:t>. The appearance of a second serum peak 6 and 10 hours after drug intake suggests that the drug is subject to enterohepatic recirculation</w:t>
      </w:r>
      <w:r w:rsidR="009C5C69">
        <w:rPr>
          <w:lang w:val="en-AU" w:eastAsia="en-AU"/>
        </w:rPr>
        <w:t>.</w:t>
      </w:r>
    </w:p>
    <w:p w14:paraId="239C7C07" w14:textId="77777777" w:rsidR="00C07648" w:rsidRDefault="00652DEF" w:rsidP="00C07648">
      <w:pPr>
        <w:pStyle w:val="C-Heading3non-numbered"/>
      </w:pPr>
      <w:r w:rsidRPr="00C07648">
        <w:t xml:space="preserve">Special </w:t>
      </w:r>
      <w:r w:rsidR="00D73CF6">
        <w:t>P</w:t>
      </w:r>
      <w:r w:rsidRPr="00C07648">
        <w:t>opulations</w:t>
      </w:r>
    </w:p>
    <w:p w14:paraId="5C750F90" w14:textId="77777777" w:rsidR="00DC1F1A" w:rsidRPr="00A2011F" w:rsidRDefault="00DC1F1A" w:rsidP="00DC1F1A">
      <w:pPr>
        <w:pStyle w:val="C-Heading4non-numbered"/>
        <w:rPr>
          <w:lang w:val="en-AU"/>
        </w:rPr>
      </w:pPr>
      <w:r>
        <w:rPr>
          <w:lang w:val="en-AU"/>
        </w:rPr>
        <w:t>Geriatric</w:t>
      </w:r>
    </w:p>
    <w:p w14:paraId="454EE5A5" w14:textId="26190EAD" w:rsidR="003439A1" w:rsidRDefault="00054EC2" w:rsidP="00F0208A">
      <w:pPr>
        <w:pStyle w:val="C-BodyText"/>
        <w:rPr>
          <w:lang w:val="en-AU" w:eastAsia="en-AU"/>
        </w:rPr>
      </w:pPr>
      <w:r w:rsidRPr="00C07648">
        <w:rPr>
          <w:lang w:val="en-AU" w:eastAsia="en-AU"/>
        </w:rPr>
        <w:t xml:space="preserve">The pharmacokinetic features of </w:t>
      </w:r>
      <w:proofErr w:type="spellStart"/>
      <w:r w:rsidRPr="00C07648">
        <w:rPr>
          <w:lang w:val="en-AU" w:eastAsia="en-AU"/>
        </w:rPr>
        <w:t>fosfomycin</w:t>
      </w:r>
      <w:proofErr w:type="spellEnd"/>
      <w:r w:rsidRPr="00C07648">
        <w:rPr>
          <w:lang w:val="en-AU" w:eastAsia="en-AU"/>
        </w:rPr>
        <w:t xml:space="preserve"> are not modified by age. </w:t>
      </w:r>
    </w:p>
    <w:p w14:paraId="5654474D" w14:textId="77777777" w:rsidR="00DC1F1A" w:rsidRPr="009630D7" w:rsidRDefault="00DC1F1A" w:rsidP="00DC1F1A">
      <w:pPr>
        <w:pStyle w:val="C-Heading4non-numbered"/>
        <w:rPr>
          <w:lang w:val="en-AU"/>
        </w:rPr>
      </w:pPr>
      <w:r w:rsidRPr="009630D7">
        <w:rPr>
          <w:lang w:val="en-AU"/>
        </w:rPr>
        <w:t>Pregnancy</w:t>
      </w:r>
    </w:p>
    <w:p w14:paraId="7ECCC141" w14:textId="1452A13C" w:rsidR="00C07648" w:rsidRDefault="003439A1" w:rsidP="00F0208A">
      <w:pPr>
        <w:pStyle w:val="C-BodyText"/>
        <w:rPr>
          <w:lang w:val="en-AU" w:eastAsia="en-AU"/>
        </w:rPr>
      </w:pPr>
      <w:r>
        <w:rPr>
          <w:lang w:val="en-AU" w:eastAsia="en-AU"/>
        </w:rPr>
        <w:t xml:space="preserve">The pharmacokinetic features of </w:t>
      </w:r>
      <w:proofErr w:type="spellStart"/>
      <w:r>
        <w:rPr>
          <w:lang w:val="en-AU" w:eastAsia="en-AU"/>
        </w:rPr>
        <w:t>fosfomycin</w:t>
      </w:r>
      <w:proofErr w:type="spellEnd"/>
      <w:r>
        <w:rPr>
          <w:lang w:val="en-AU" w:eastAsia="en-AU"/>
        </w:rPr>
        <w:t xml:space="preserve"> do not appear to be modified by pregnancy in a study of 4 pregnant patients. </w:t>
      </w:r>
    </w:p>
    <w:p w14:paraId="5A9F4E5E" w14:textId="77777777" w:rsidR="00DC1F1A" w:rsidRPr="001029E1" w:rsidRDefault="00DC1F1A" w:rsidP="00DC1F1A">
      <w:pPr>
        <w:pStyle w:val="C-Heading4non-numbered"/>
        <w:rPr>
          <w:lang w:val="en-AU"/>
        </w:rPr>
      </w:pPr>
      <w:r>
        <w:rPr>
          <w:lang w:val="en-AU"/>
        </w:rPr>
        <w:t>Hepatic Insufficiency</w:t>
      </w:r>
    </w:p>
    <w:p w14:paraId="101EE469" w14:textId="3807AB4C" w:rsidR="003439A1" w:rsidRPr="001029E1" w:rsidRDefault="003439A1" w:rsidP="003439A1">
      <w:pPr>
        <w:pStyle w:val="C-BodyText"/>
        <w:rPr>
          <w:color w:val="000000"/>
          <w:lang w:val="en-AU"/>
        </w:rPr>
      </w:pPr>
      <w:r w:rsidRPr="001029E1">
        <w:rPr>
          <w:color w:val="000000"/>
          <w:lang w:val="en-AU"/>
        </w:rPr>
        <w:t xml:space="preserve">The pharmacokinetic features of </w:t>
      </w:r>
      <w:proofErr w:type="spellStart"/>
      <w:r w:rsidRPr="001029E1">
        <w:rPr>
          <w:color w:val="000000"/>
          <w:lang w:val="en-AU"/>
        </w:rPr>
        <w:t>fosfomycin</w:t>
      </w:r>
      <w:proofErr w:type="spellEnd"/>
      <w:r w:rsidRPr="001029E1">
        <w:rPr>
          <w:color w:val="000000"/>
          <w:lang w:val="en-AU"/>
        </w:rPr>
        <w:t xml:space="preserve"> have not been studied in patients with impaired hepatic function. However, </w:t>
      </w:r>
      <w:proofErr w:type="spellStart"/>
      <w:r w:rsidRPr="001029E1">
        <w:rPr>
          <w:color w:val="000000"/>
          <w:lang w:val="en-AU"/>
        </w:rPr>
        <w:t>fosfomycin</w:t>
      </w:r>
      <w:proofErr w:type="spellEnd"/>
      <w:r w:rsidRPr="001029E1">
        <w:rPr>
          <w:color w:val="000000"/>
          <w:lang w:val="en-AU"/>
        </w:rPr>
        <w:t xml:space="preserve"> does not undergo hepatic metabolism and clearance is known to be predominantly renal with urinary excretion.</w:t>
      </w:r>
      <w:r w:rsidR="00FB7DD1">
        <w:rPr>
          <w:color w:val="000000"/>
          <w:lang w:val="en-AU"/>
        </w:rPr>
        <w:t xml:space="preserve"> Limited studies confirm that there is an enterohepatic recirculation which does not influence bioavailability.</w:t>
      </w:r>
    </w:p>
    <w:p w14:paraId="29FA528B" w14:textId="77777777" w:rsidR="00DC1F1A" w:rsidRPr="009630D7" w:rsidRDefault="00DC1F1A" w:rsidP="00DC1F1A">
      <w:pPr>
        <w:pStyle w:val="C-Heading4non-numbered"/>
        <w:rPr>
          <w:lang w:val="en-AU"/>
        </w:rPr>
      </w:pPr>
      <w:r w:rsidRPr="009630D7">
        <w:rPr>
          <w:lang w:val="en-AU"/>
        </w:rPr>
        <w:t>Renal Insufficiency</w:t>
      </w:r>
    </w:p>
    <w:p w14:paraId="62E3DDC1" w14:textId="77777777" w:rsidR="00DC1F1A" w:rsidRDefault="003439A1" w:rsidP="003439A1">
      <w:pPr>
        <w:pStyle w:val="C-BodyText"/>
        <w:rPr>
          <w:color w:val="000000"/>
          <w:lang w:val="en-AU"/>
        </w:rPr>
      </w:pPr>
      <w:r w:rsidRPr="00DC1F1A">
        <w:rPr>
          <w:lang w:val="en-AU"/>
        </w:rPr>
        <w:t>Renal Insufficiency:</w:t>
      </w:r>
      <w:r w:rsidRPr="001029E1">
        <w:rPr>
          <w:lang w:val="en-AU"/>
        </w:rPr>
        <w:t xml:space="preserve"> </w:t>
      </w:r>
      <w:r w:rsidR="00DC1F1A">
        <w:rPr>
          <w:color w:val="000000"/>
          <w:lang w:val="en-AU"/>
        </w:rPr>
        <w:t>P</w:t>
      </w:r>
      <w:r w:rsidRPr="001029E1">
        <w:rPr>
          <w:color w:val="000000"/>
          <w:lang w:val="en-AU"/>
        </w:rPr>
        <w:t>eritoneal dialysis</w:t>
      </w:r>
      <w:r w:rsidR="00DC1F1A">
        <w:rPr>
          <w:color w:val="000000"/>
          <w:lang w:val="en-AU"/>
        </w:rPr>
        <w:t xml:space="preserve"> and </w:t>
      </w:r>
      <w:proofErr w:type="spellStart"/>
      <w:r w:rsidR="00DC1F1A">
        <w:rPr>
          <w:color w:val="000000"/>
          <w:lang w:val="en-AU"/>
        </w:rPr>
        <w:t>haemofiltration</w:t>
      </w:r>
      <w:proofErr w:type="spellEnd"/>
      <w:r w:rsidRPr="001029E1">
        <w:rPr>
          <w:color w:val="000000"/>
          <w:lang w:val="en-AU"/>
        </w:rPr>
        <w:t xml:space="preserve">. </w:t>
      </w:r>
    </w:p>
    <w:p w14:paraId="150E5F97" w14:textId="77777777" w:rsidR="00DC1F1A" w:rsidRDefault="00DC1F1A" w:rsidP="00DC1F1A">
      <w:pPr>
        <w:pStyle w:val="C-BodyText"/>
        <w:rPr>
          <w:color w:val="000000"/>
          <w:lang w:val="en-AU"/>
        </w:rPr>
      </w:pPr>
      <w:r>
        <w:rPr>
          <w:color w:val="000000"/>
          <w:lang w:val="en-AU"/>
        </w:rPr>
        <w:t xml:space="preserve">The pharmacokinetics of </w:t>
      </w:r>
      <w:proofErr w:type="spellStart"/>
      <w:r>
        <w:rPr>
          <w:color w:val="000000"/>
          <w:lang w:val="en-AU"/>
        </w:rPr>
        <w:t>fosfomycin</w:t>
      </w:r>
      <w:proofErr w:type="spellEnd"/>
      <w:r>
        <w:rPr>
          <w:color w:val="000000"/>
          <w:lang w:val="en-AU"/>
        </w:rPr>
        <w:t xml:space="preserve"> trometamol </w:t>
      </w:r>
      <w:proofErr w:type="gramStart"/>
      <w:r>
        <w:rPr>
          <w:color w:val="000000"/>
          <w:lang w:val="en-AU"/>
        </w:rPr>
        <w:t>have</w:t>
      </w:r>
      <w:proofErr w:type="gramEnd"/>
      <w:r>
        <w:rPr>
          <w:color w:val="000000"/>
          <w:lang w:val="en-AU"/>
        </w:rPr>
        <w:t xml:space="preserve"> not been studied in patients undergoing peritoneal dialysis or </w:t>
      </w:r>
      <w:proofErr w:type="spellStart"/>
      <w:r>
        <w:rPr>
          <w:color w:val="000000"/>
          <w:lang w:val="en-AU"/>
        </w:rPr>
        <w:t>haemofiltration</w:t>
      </w:r>
      <w:proofErr w:type="spellEnd"/>
      <w:r>
        <w:rPr>
          <w:color w:val="000000"/>
          <w:lang w:val="en-AU"/>
        </w:rPr>
        <w:t>.</w:t>
      </w:r>
    </w:p>
    <w:p w14:paraId="6375E74A" w14:textId="77777777" w:rsidR="00DC1F1A" w:rsidRDefault="00DC1F1A" w:rsidP="00DC1F1A">
      <w:pPr>
        <w:pStyle w:val="C-BodyText"/>
        <w:rPr>
          <w:color w:val="000000"/>
          <w:lang w:val="en-AU"/>
        </w:rPr>
      </w:pPr>
      <w:r>
        <w:rPr>
          <w:color w:val="000000"/>
          <w:lang w:val="en-AU"/>
        </w:rPr>
        <w:t>Renal Insufficiency: Renal impairment and haemodialysis.</w:t>
      </w:r>
    </w:p>
    <w:p w14:paraId="0C2D451F" w14:textId="0941DF41" w:rsidR="003439A1" w:rsidRPr="002435A1" w:rsidRDefault="003439A1" w:rsidP="003439A1">
      <w:pPr>
        <w:pStyle w:val="C-BodyText"/>
        <w:rPr>
          <w:lang w:val="en-AU"/>
        </w:rPr>
      </w:pPr>
      <w:r w:rsidRPr="001029E1">
        <w:rPr>
          <w:lang w:val="en-AU"/>
        </w:rPr>
        <w:lastRenderedPageBreak/>
        <w:t xml:space="preserve">In 5 </w:t>
      </w:r>
      <w:proofErr w:type="spellStart"/>
      <w:r w:rsidRPr="001029E1">
        <w:rPr>
          <w:lang w:val="en-AU"/>
        </w:rPr>
        <w:t>anuric</w:t>
      </w:r>
      <w:proofErr w:type="spellEnd"/>
      <w:r w:rsidRPr="001029E1">
        <w:rPr>
          <w:lang w:val="en-AU"/>
        </w:rPr>
        <w:t xml:space="preserve"> patients undergoing h</w:t>
      </w:r>
      <w:r w:rsidR="00DC1F1A">
        <w:rPr>
          <w:lang w:val="en-AU"/>
        </w:rPr>
        <w:t>a</w:t>
      </w:r>
      <w:r w:rsidRPr="001029E1">
        <w:rPr>
          <w:lang w:val="en-AU"/>
        </w:rPr>
        <w:t>emodialysis, the t</w:t>
      </w:r>
      <w:r w:rsidRPr="001029E1">
        <w:rPr>
          <w:vertAlign w:val="subscript"/>
          <w:lang w:val="en-AU"/>
        </w:rPr>
        <w:t>1/2</w:t>
      </w:r>
      <w:r w:rsidRPr="001029E1">
        <w:rPr>
          <w:lang w:val="en-AU"/>
        </w:rPr>
        <w:t xml:space="preserve"> of </w:t>
      </w:r>
      <w:proofErr w:type="spellStart"/>
      <w:r w:rsidRPr="001029E1">
        <w:rPr>
          <w:lang w:val="en-AU"/>
        </w:rPr>
        <w:t>fosfomycin</w:t>
      </w:r>
      <w:proofErr w:type="spellEnd"/>
      <w:r w:rsidRPr="001029E1">
        <w:rPr>
          <w:lang w:val="en-AU"/>
        </w:rPr>
        <w:t xml:space="preserve"> during h</w:t>
      </w:r>
      <w:r w:rsidR="00DC1F1A">
        <w:rPr>
          <w:lang w:val="en-AU"/>
        </w:rPr>
        <w:t>a</w:t>
      </w:r>
      <w:r w:rsidRPr="001029E1">
        <w:rPr>
          <w:lang w:val="en-AU"/>
        </w:rPr>
        <w:t>emodialysis was 40 hours. In patients with varying degrees of renal impairment (creatini</w:t>
      </w:r>
      <w:r w:rsidR="00DC1F1A">
        <w:rPr>
          <w:lang w:val="en-AU"/>
        </w:rPr>
        <w:t>ne clearances varying from 54 ml</w:t>
      </w:r>
      <w:r w:rsidRPr="001029E1">
        <w:rPr>
          <w:lang w:val="en-AU"/>
        </w:rPr>
        <w:t>/min to 7 m</w:t>
      </w:r>
      <w:r w:rsidR="00DC1F1A">
        <w:rPr>
          <w:lang w:val="en-AU"/>
        </w:rPr>
        <w:t>l</w:t>
      </w:r>
      <w:r w:rsidRPr="001029E1">
        <w:rPr>
          <w:lang w:val="en-AU"/>
        </w:rPr>
        <w:t>/min), the t</w:t>
      </w:r>
      <w:r w:rsidRPr="001029E1">
        <w:rPr>
          <w:vertAlign w:val="subscript"/>
          <w:lang w:val="en-AU"/>
        </w:rPr>
        <w:t>1/2</w:t>
      </w:r>
      <w:r w:rsidRPr="001029E1">
        <w:rPr>
          <w:lang w:val="en-AU"/>
        </w:rPr>
        <w:t xml:space="preserve"> of </w:t>
      </w:r>
      <w:proofErr w:type="spellStart"/>
      <w:r w:rsidRPr="001029E1">
        <w:rPr>
          <w:lang w:val="en-AU"/>
        </w:rPr>
        <w:t>fosfomycin</w:t>
      </w:r>
      <w:proofErr w:type="spellEnd"/>
      <w:r w:rsidRPr="001029E1">
        <w:rPr>
          <w:lang w:val="en-AU"/>
        </w:rPr>
        <w:t xml:space="preserve"> increased from 11 hours to 50 hours. The percent of </w:t>
      </w:r>
      <w:proofErr w:type="spellStart"/>
      <w:r w:rsidRPr="001029E1">
        <w:rPr>
          <w:lang w:val="en-AU"/>
        </w:rPr>
        <w:t>fosfomycin</w:t>
      </w:r>
      <w:proofErr w:type="spellEnd"/>
      <w:r w:rsidRPr="001029E1">
        <w:rPr>
          <w:lang w:val="en-AU"/>
        </w:rPr>
        <w:t xml:space="preserve"> recovered in urine decreased from 32% to 11% indicating that renal impairment significantly decreases the excretion of </w:t>
      </w:r>
      <w:proofErr w:type="spellStart"/>
      <w:r w:rsidRPr="001029E1">
        <w:rPr>
          <w:lang w:val="en-AU"/>
        </w:rPr>
        <w:t>fosfomycin</w:t>
      </w:r>
      <w:proofErr w:type="spellEnd"/>
      <w:r w:rsidRPr="001029E1">
        <w:rPr>
          <w:lang w:val="en-AU"/>
        </w:rPr>
        <w:t>.</w:t>
      </w:r>
    </w:p>
    <w:p w14:paraId="3FC179D9" w14:textId="160B5451" w:rsidR="003439A1" w:rsidRPr="001029E1" w:rsidRDefault="003439A1" w:rsidP="003439A1">
      <w:pPr>
        <w:pStyle w:val="C-BodyText"/>
        <w:rPr>
          <w:color w:val="FF0000"/>
          <w:lang w:val="en-AU"/>
        </w:rPr>
      </w:pPr>
      <w:r w:rsidRPr="001029E1">
        <w:rPr>
          <w:color w:val="000000"/>
          <w:lang w:val="en-AU"/>
        </w:rPr>
        <w:t xml:space="preserve">The drug accumulates in patients with severe renal impairment but the significance of this is unknown. </w:t>
      </w:r>
      <w:r w:rsidR="0037203C">
        <w:rPr>
          <w:color w:val="000000"/>
          <w:lang w:val="en-AU"/>
        </w:rPr>
        <w:t>L</w:t>
      </w:r>
      <w:r w:rsidRPr="001029E1">
        <w:rPr>
          <w:color w:val="000000"/>
          <w:lang w:val="en-AU"/>
        </w:rPr>
        <w:t xml:space="preserve">inear relationships have been established between </w:t>
      </w:r>
      <w:proofErr w:type="spellStart"/>
      <w:r w:rsidRPr="001029E1">
        <w:rPr>
          <w:color w:val="000000"/>
          <w:lang w:val="en-AU"/>
        </w:rPr>
        <w:t>fosfomycin</w:t>
      </w:r>
      <w:proofErr w:type="spellEnd"/>
      <w:r w:rsidRPr="001029E1">
        <w:rPr>
          <w:color w:val="000000"/>
          <w:lang w:val="en-AU"/>
        </w:rPr>
        <w:t xml:space="preserve"> pharmacokinetic parameters and glomerular filtration rate.</w:t>
      </w:r>
    </w:p>
    <w:p w14:paraId="7C6C4D86" w14:textId="42DB8DA6" w:rsidR="003439A1" w:rsidRDefault="00DC1F1A" w:rsidP="003439A1">
      <w:pPr>
        <w:pStyle w:val="C-BodyText"/>
        <w:rPr>
          <w:lang w:val="en-AU"/>
        </w:rPr>
      </w:pPr>
      <w:r>
        <w:rPr>
          <w:lang w:val="en-AU"/>
        </w:rPr>
        <w:t>In consideration of the s</w:t>
      </w:r>
      <w:r w:rsidR="003439A1" w:rsidRPr="001029E1">
        <w:rPr>
          <w:lang w:val="en-AU"/>
        </w:rPr>
        <w:t>afety profile of the drug and of single dose treatment, in patients with</w:t>
      </w:r>
      <w:r>
        <w:rPr>
          <w:lang w:val="en-AU"/>
        </w:rPr>
        <w:t xml:space="preserve"> mild to moderate renal impairment (define as creatinine clearance</w:t>
      </w:r>
      <w:r w:rsidR="003439A1" w:rsidRPr="001029E1">
        <w:rPr>
          <w:lang w:val="en-AU"/>
        </w:rPr>
        <w:t xml:space="preserve"> &gt;10</w:t>
      </w:r>
      <w:r w:rsidR="003439A1">
        <w:rPr>
          <w:lang w:val="en-AU"/>
        </w:rPr>
        <w:t xml:space="preserve"> </w:t>
      </w:r>
      <w:r>
        <w:rPr>
          <w:lang w:val="en-AU"/>
        </w:rPr>
        <w:t>ml</w:t>
      </w:r>
      <w:r w:rsidR="003439A1" w:rsidRPr="001029E1">
        <w:rPr>
          <w:lang w:val="en-AU"/>
        </w:rPr>
        <w:t>/min</w:t>
      </w:r>
      <w:r>
        <w:rPr>
          <w:lang w:val="en-AU"/>
        </w:rPr>
        <w:t>) it</w:t>
      </w:r>
      <w:r w:rsidR="003439A1" w:rsidRPr="001029E1">
        <w:rPr>
          <w:lang w:val="en-AU"/>
        </w:rPr>
        <w:t xml:space="preserve"> is not necessary to adjust the dose but these patients have to be carefully monitored.</w:t>
      </w:r>
    </w:p>
    <w:p w14:paraId="7BD5FC6E" w14:textId="043B6D64" w:rsidR="00DC1F1A" w:rsidRPr="001029E1" w:rsidRDefault="00DC1F1A" w:rsidP="003439A1">
      <w:pPr>
        <w:pStyle w:val="C-BodyText"/>
        <w:rPr>
          <w:b/>
          <w:lang w:val="en-AU" w:eastAsia="en-AU"/>
        </w:rPr>
      </w:pPr>
      <w:r>
        <w:rPr>
          <w:lang w:val="en-AU"/>
        </w:rPr>
        <w:t xml:space="preserve">Due to reduced excretion of drug and limited data, </w:t>
      </w:r>
      <w:proofErr w:type="spellStart"/>
      <w:r>
        <w:rPr>
          <w:lang w:val="en-AU"/>
        </w:rPr>
        <w:t>fosfomycin</w:t>
      </w:r>
      <w:proofErr w:type="spellEnd"/>
      <w:r>
        <w:rPr>
          <w:lang w:val="en-AU"/>
        </w:rPr>
        <w:t xml:space="preserve"> trometamol is contraindicated in severe renal failure (creatinine </w:t>
      </w:r>
      <w:r w:rsidRPr="008E6784">
        <w:rPr>
          <w:lang w:val="en-AU"/>
        </w:rPr>
        <w:t>clearance &lt;10 ml</w:t>
      </w:r>
      <w:r w:rsidRPr="00AE2F07">
        <w:rPr>
          <w:lang w:val="en-AU"/>
        </w:rPr>
        <w:t>/</w:t>
      </w:r>
      <w:r w:rsidRPr="0094191B">
        <w:rPr>
          <w:lang w:val="en-AU"/>
        </w:rPr>
        <w:t>m</w:t>
      </w:r>
      <w:r>
        <w:rPr>
          <w:lang w:val="en-AU"/>
        </w:rPr>
        <w:t xml:space="preserve">in), haemodialysis, peritoneal dialysis and </w:t>
      </w:r>
      <w:proofErr w:type="spellStart"/>
      <w:r>
        <w:rPr>
          <w:lang w:val="en-AU"/>
        </w:rPr>
        <w:t>haemofiltration</w:t>
      </w:r>
      <w:proofErr w:type="spellEnd"/>
      <w:r>
        <w:rPr>
          <w:lang w:val="en-AU"/>
        </w:rPr>
        <w:t xml:space="preserve"> (see </w:t>
      </w:r>
      <w:r w:rsidRPr="008E6784">
        <w:rPr>
          <w:b/>
          <w:lang w:val="en-AU"/>
        </w:rPr>
        <w:t>CONTRAINDICATIONS</w:t>
      </w:r>
      <w:r>
        <w:rPr>
          <w:lang w:val="en-AU"/>
        </w:rPr>
        <w:t>).</w:t>
      </w:r>
    </w:p>
    <w:p w14:paraId="776E4FE2" w14:textId="77777777" w:rsidR="00E064C8" w:rsidRDefault="00E064C8" w:rsidP="0050640E">
      <w:pPr>
        <w:pStyle w:val="C-Heading1nopagebreak0"/>
      </w:pPr>
      <w:r>
        <w:t>cLINICAL TRIALS</w:t>
      </w:r>
    </w:p>
    <w:p w14:paraId="4736D434" w14:textId="6721CB5E" w:rsidR="00DC1F1A" w:rsidRDefault="00DC1F1A" w:rsidP="00DC1F1A">
      <w:pPr>
        <w:pStyle w:val="C-BodyText"/>
        <w:rPr>
          <w:lang w:val="en-AU" w:eastAsia="it-IT"/>
        </w:rPr>
      </w:pPr>
      <w:r w:rsidRPr="00981FF1">
        <w:rPr>
          <w:lang w:val="en-AU" w:eastAsia="it-IT"/>
        </w:rPr>
        <w:t>In three phase 3 prospective parallel multi-centre double-blind double-dummy randomised</w:t>
      </w:r>
      <w:r>
        <w:rPr>
          <w:lang w:val="en-AU" w:eastAsia="it-IT"/>
        </w:rPr>
        <w:t xml:space="preserve"> </w:t>
      </w:r>
      <w:r w:rsidRPr="00981FF1">
        <w:rPr>
          <w:lang w:val="en-AU" w:eastAsia="it-IT"/>
        </w:rPr>
        <w:t xml:space="preserve">trials of acute uncomplicated </w:t>
      </w:r>
      <w:r>
        <w:rPr>
          <w:lang w:val="en-AU" w:eastAsia="it-IT"/>
        </w:rPr>
        <w:t>urinary tract infection (</w:t>
      </w:r>
      <w:r w:rsidRPr="00981FF1">
        <w:rPr>
          <w:lang w:val="en-AU" w:eastAsia="it-IT"/>
        </w:rPr>
        <w:t>UTI</w:t>
      </w:r>
      <w:r>
        <w:rPr>
          <w:lang w:val="en-AU" w:eastAsia="it-IT"/>
        </w:rPr>
        <w:t>)</w:t>
      </w:r>
      <w:r w:rsidRPr="00981FF1">
        <w:rPr>
          <w:lang w:val="en-AU" w:eastAsia="it-IT"/>
        </w:rPr>
        <w:t xml:space="preserve"> performed in the 1990s, a single 3</w:t>
      </w:r>
      <w:r>
        <w:rPr>
          <w:lang w:val="en-AU" w:eastAsia="it-IT"/>
        </w:rPr>
        <w:t xml:space="preserve"> </w:t>
      </w:r>
      <w:r w:rsidRPr="00981FF1">
        <w:rPr>
          <w:lang w:val="en-AU" w:eastAsia="it-IT"/>
        </w:rPr>
        <w:t>g oral dose of MONUROL</w:t>
      </w:r>
      <w:r>
        <w:rPr>
          <w:lang w:val="en-AU" w:eastAsia="it-IT"/>
        </w:rPr>
        <w:t xml:space="preserve"> </w:t>
      </w:r>
      <w:r w:rsidRPr="00981FF1">
        <w:rPr>
          <w:lang w:val="en-AU" w:eastAsia="it-IT"/>
        </w:rPr>
        <w:t>was compared to three other oral antibiotics (</w:t>
      </w:r>
      <w:r>
        <w:rPr>
          <w:lang w:val="en-AU" w:eastAsia="it-IT"/>
        </w:rPr>
        <w:t>s</w:t>
      </w:r>
      <w:r w:rsidRPr="00981FF1">
        <w:rPr>
          <w:lang w:val="en-AU" w:eastAsia="it-IT"/>
        </w:rPr>
        <w:t xml:space="preserve">ee </w:t>
      </w:r>
      <w:r>
        <w:rPr>
          <w:lang w:val="en-AU" w:eastAsia="it-IT"/>
        </w:rPr>
        <w:t>Table 2</w:t>
      </w:r>
      <w:r w:rsidRPr="00981FF1">
        <w:rPr>
          <w:lang w:val="en-AU" w:eastAsia="it-IT"/>
        </w:rPr>
        <w:t xml:space="preserve"> below). The study population</w:t>
      </w:r>
      <w:r>
        <w:rPr>
          <w:lang w:val="en-AU" w:eastAsia="it-IT"/>
        </w:rPr>
        <w:t xml:space="preserve"> </w:t>
      </w:r>
      <w:r w:rsidRPr="00981FF1">
        <w:rPr>
          <w:lang w:val="en-AU" w:eastAsia="it-IT"/>
        </w:rPr>
        <w:t>consisted of female patients with symptoms and signs of acute lower UTI of less than 4 days</w:t>
      </w:r>
      <w:r>
        <w:rPr>
          <w:lang w:val="en-AU" w:eastAsia="it-IT"/>
        </w:rPr>
        <w:t xml:space="preserve"> </w:t>
      </w:r>
      <w:r w:rsidRPr="00981FF1">
        <w:rPr>
          <w:lang w:val="en-AU" w:eastAsia="it-IT"/>
        </w:rPr>
        <w:t>duration, no manifestations of upper tract infection (e.g., flank pain, chills, fever), no history of</w:t>
      </w:r>
      <w:r>
        <w:rPr>
          <w:lang w:val="en-AU" w:eastAsia="it-IT"/>
        </w:rPr>
        <w:t xml:space="preserve"> </w:t>
      </w:r>
      <w:r w:rsidRPr="00981FF1">
        <w:rPr>
          <w:lang w:val="en-AU" w:eastAsia="it-IT"/>
        </w:rPr>
        <w:t>recurrent urinary tract infections (20% of patients in the clinical studies had a prior episode of</w:t>
      </w:r>
      <w:r>
        <w:rPr>
          <w:lang w:val="en-AU" w:eastAsia="it-IT"/>
        </w:rPr>
        <w:t xml:space="preserve"> </w:t>
      </w:r>
      <w:r w:rsidRPr="00981FF1">
        <w:rPr>
          <w:lang w:val="en-AU" w:eastAsia="it-IT"/>
        </w:rPr>
        <w:t>acute cystitis within the preceding year), no known structural abnormalities, no clinical or</w:t>
      </w:r>
      <w:r>
        <w:rPr>
          <w:lang w:val="en-AU" w:eastAsia="it-IT"/>
        </w:rPr>
        <w:t xml:space="preserve"> </w:t>
      </w:r>
      <w:r w:rsidRPr="00981FF1">
        <w:rPr>
          <w:lang w:val="en-AU" w:eastAsia="it-IT"/>
        </w:rPr>
        <w:t>laboratory evidence of hepatic dysfunction, and no known or suspected CNS disorders, such as</w:t>
      </w:r>
      <w:r>
        <w:rPr>
          <w:lang w:val="en-AU" w:eastAsia="it-IT"/>
        </w:rPr>
        <w:t xml:space="preserve"> </w:t>
      </w:r>
      <w:r w:rsidRPr="00981FF1">
        <w:rPr>
          <w:lang w:val="en-AU" w:eastAsia="it-IT"/>
        </w:rPr>
        <w:t>epilepsy, or other factors which would predispose to seizures. In the first two studies (US-MON-01 comparator arm ciprofloxacin and US-MON-02 comparator arm</w:t>
      </w:r>
      <w:r>
        <w:rPr>
          <w:lang w:val="en-AU" w:eastAsia="it-IT"/>
        </w:rPr>
        <w:t xml:space="preserve"> </w:t>
      </w:r>
      <w:r w:rsidRPr="00981FF1">
        <w:rPr>
          <w:lang w:val="en-AU" w:eastAsia="it-IT"/>
        </w:rPr>
        <w:t>trimethoprim/</w:t>
      </w:r>
      <w:proofErr w:type="spellStart"/>
      <w:r w:rsidRPr="00981FF1">
        <w:rPr>
          <w:lang w:val="en-AU" w:eastAsia="it-IT"/>
        </w:rPr>
        <w:t>sulphamethoxazole</w:t>
      </w:r>
      <w:proofErr w:type="spellEnd"/>
      <w:r w:rsidRPr="00981FF1">
        <w:rPr>
          <w:lang w:val="en-AU" w:eastAsia="it-IT"/>
        </w:rPr>
        <w:t>), adult females aged 18 years and older were enrolled and</w:t>
      </w:r>
      <w:r>
        <w:rPr>
          <w:lang w:val="en-AU" w:eastAsia="it-IT"/>
        </w:rPr>
        <w:t xml:space="preserve"> </w:t>
      </w:r>
      <w:r w:rsidRPr="00981FF1">
        <w:rPr>
          <w:lang w:val="en-AU" w:eastAsia="it-IT"/>
        </w:rPr>
        <w:t xml:space="preserve">patients with renal dysfunction (defined as serum creatinine clearance &lt;30 </w:t>
      </w:r>
      <w:proofErr w:type="spellStart"/>
      <w:r w:rsidRPr="00981FF1">
        <w:rPr>
          <w:lang w:val="en-AU" w:eastAsia="it-IT"/>
        </w:rPr>
        <w:t>mls</w:t>
      </w:r>
      <w:proofErr w:type="spellEnd"/>
      <w:r w:rsidRPr="00981FF1">
        <w:rPr>
          <w:lang w:val="en-AU" w:eastAsia="it-IT"/>
        </w:rPr>
        <w:t>/min)</w:t>
      </w:r>
      <w:r>
        <w:rPr>
          <w:lang w:val="en-AU" w:eastAsia="it-IT"/>
        </w:rPr>
        <w:t xml:space="preserve"> </w:t>
      </w:r>
      <w:r w:rsidRPr="00981FF1">
        <w:rPr>
          <w:lang w:val="en-AU" w:eastAsia="it-IT"/>
        </w:rPr>
        <w:t>were excluded. In the third study (US-MON-03, nitrofurantoin comparator), females aged 12</w:t>
      </w:r>
      <w:r>
        <w:rPr>
          <w:lang w:val="en-AU" w:eastAsia="it-IT"/>
        </w:rPr>
        <w:t xml:space="preserve"> </w:t>
      </w:r>
      <w:r w:rsidRPr="00981FF1">
        <w:rPr>
          <w:lang w:val="en-AU" w:eastAsia="it-IT"/>
        </w:rPr>
        <w:t>years and older were enrolled and patients with severe renal dysfunction (defined as serum</w:t>
      </w:r>
      <w:r>
        <w:rPr>
          <w:lang w:val="en-AU" w:eastAsia="it-IT"/>
        </w:rPr>
        <w:t xml:space="preserve"> </w:t>
      </w:r>
      <w:r w:rsidRPr="00981FF1">
        <w:rPr>
          <w:lang w:val="en-AU" w:eastAsia="it-IT"/>
        </w:rPr>
        <w:t xml:space="preserve">creatinine clearance &lt;60 </w:t>
      </w:r>
      <w:proofErr w:type="spellStart"/>
      <w:r w:rsidRPr="00981FF1">
        <w:rPr>
          <w:lang w:val="en-AU" w:eastAsia="it-IT"/>
        </w:rPr>
        <w:t>mls</w:t>
      </w:r>
      <w:proofErr w:type="spellEnd"/>
      <w:r w:rsidRPr="00981FF1">
        <w:rPr>
          <w:lang w:val="en-AU" w:eastAsia="it-IT"/>
        </w:rPr>
        <w:t>/min) were excluded. In all three studies, pregnancy,</w:t>
      </w:r>
      <w:r>
        <w:rPr>
          <w:lang w:val="en-AU" w:eastAsia="it-IT"/>
        </w:rPr>
        <w:t xml:space="preserve"> </w:t>
      </w:r>
      <w:r w:rsidRPr="00981FF1">
        <w:rPr>
          <w:lang w:val="en-AU" w:eastAsia="it-IT"/>
        </w:rPr>
        <w:t>immunosuppression and neutropenia were exclusion criteria.</w:t>
      </w:r>
    </w:p>
    <w:p w14:paraId="1D779853" w14:textId="77777777" w:rsidR="00DC1F1A" w:rsidRDefault="00DC1F1A" w:rsidP="00DC1F1A">
      <w:pPr>
        <w:pStyle w:val="C-BodyText"/>
        <w:rPr>
          <w:lang w:val="en-AU" w:eastAsia="it-IT"/>
        </w:rPr>
      </w:pPr>
      <w:r w:rsidRPr="00981FF1">
        <w:rPr>
          <w:lang w:val="en-AU" w:eastAsia="it-IT"/>
        </w:rPr>
        <w:t>In these studies, the following clinical success (resolution of symptoms) and microbiologic</w:t>
      </w:r>
      <w:r>
        <w:rPr>
          <w:lang w:val="en-AU" w:eastAsia="it-IT"/>
        </w:rPr>
        <w:t xml:space="preserve"> </w:t>
      </w:r>
      <w:r w:rsidRPr="00981FF1">
        <w:rPr>
          <w:lang w:val="en-AU" w:eastAsia="it-IT"/>
        </w:rPr>
        <w:t xml:space="preserve">eradication rates were obtained (Table </w:t>
      </w:r>
      <w:r>
        <w:rPr>
          <w:lang w:val="en-AU" w:eastAsia="it-IT"/>
        </w:rPr>
        <w:t>2</w:t>
      </w:r>
      <w:r w:rsidRPr="00981FF1">
        <w:rPr>
          <w:lang w:val="en-AU" w:eastAsia="it-IT"/>
        </w:rPr>
        <w:t>):</w:t>
      </w:r>
    </w:p>
    <w:p w14:paraId="67E987B9" w14:textId="77777777" w:rsidR="004753C0" w:rsidRDefault="004753C0">
      <w:pPr>
        <w:rPr>
          <w:rFonts w:cs="Times New Roman"/>
          <w:b/>
          <w:bCs/>
          <w:szCs w:val="24"/>
          <w:lang w:val="en-AU" w:eastAsia="it-IT"/>
        </w:rPr>
      </w:pPr>
      <w:r>
        <w:rPr>
          <w:lang w:val="en-AU" w:eastAsia="it-IT"/>
        </w:rPr>
        <w:br w:type="page"/>
      </w:r>
    </w:p>
    <w:p w14:paraId="101B5BEE" w14:textId="238607E4" w:rsidR="00DC1F1A" w:rsidRPr="002334F8" w:rsidRDefault="00DC1F1A" w:rsidP="00DC1F1A">
      <w:pPr>
        <w:pStyle w:val="Caption"/>
        <w:rPr>
          <w:lang w:val="en-AU" w:eastAsia="it-IT"/>
        </w:rPr>
      </w:pPr>
      <w:r>
        <w:rPr>
          <w:lang w:val="en-AU" w:eastAsia="it-IT"/>
        </w:rPr>
        <w:lastRenderedPageBreak/>
        <w:t>Table </w:t>
      </w:r>
      <w:r>
        <w:rPr>
          <w:lang w:val="en-AU" w:eastAsia="it-IT"/>
        </w:rPr>
        <w:fldChar w:fldCharType="begin"/>
      </w:r>
      <w:r>
        <w:rPr>
          <w:lang w:val="en-AU" w:eastAsia="it-IT"/>
        </w:rPr>
        <w:instrText xml:space="preserve"> SEQ Table \* ARABIC \* MERGEFORMAT </w:instrText>
      </w:r>
      <w:r>
        <w:rPr>
          <w:lang w:val="en-AU" w:eastAsia="it-IT"/>
        </w:rPr>
        <w:fldChar w:fldCharType="separate"/>
      </w:r>
      <w:r>
        <w:rPr>
          <w:noProof/>
          <w:lang w:val="en-AU" w:eastAsia="it-IT"/>
        </w:rPr>
        <w:t>2</w:t>
      </w:r>
      <w:r>
        <w:rPr>
          <w:lang w:val="en-AU" w:eastAsia="it-IT"/>
        </w:rPr>
        <w:fldChar w:fldCharType="end"/>
      </w:r>
      <w:r>
        <w:rPr>
          <w:lang w:val="en-AU" w:eastAsia="it-IT"/>
        </w:rPr>
        <w:t>:</w:t>
      </w:r>
      <w:r>
        <w:rPr>
          <w:lang w:val="en-AU" w:eastAsia="it-IT"/>
        </w:rPr>
        <w:tab/>
      </w:r>
      <w:r w:rsidRPr="002334F8">
        <w:rPr>
          <w:lang w:val="en-AU" w:eastAsia="it-IT"/>
        </w:rPr>
        <w:t>Clinical and microbiological effi</w:t>
      </w:r>
      <w:r>
        <w:rPr>
          <w:lang w:val="en-AU" w:eastAsia="it-IT"/>
        </w:rPr>
        <w:t>c</w:t>
      </w:r>
      <w:r w:rsidRPr="002334F8">
        <w:rPr>
          <w:lang w:val="en-AU" w:eastAsia="it-IT"/>
        </w:rPr>
        <w:t xml:space="preserve">acy of </w:t>
      </w:r>
      <w:proofErr w:type="spellStart"/>
      <w:r w:rsidRPr="002334F8">
        <w:rPr>
          <w:lang w:val="en-AU" w:eastAsia="it-IT"/>
        </w:rPr>
        <w:t>fosfomycin</w:t>
      </w:r>
      <w:proofErr w:type="spellEnd"/>
      <w:r w:rsidRPr="002334F8">
        <w:rPr>
          <w:lang w:val="en-AU" w:eastAsia="it-IT"/>
        </w:rPr>
        <w:t xml:space="preserve"> trometamol versus three comparator antibiotics, three pivotal studies of the treatment of females with acute uncomplicated lower UTI (studies MON-US-01, MON-US-02 and MON-US-03)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7"/>
        <w:gridCol w:w="1376"/>
        <w:gridCol w:w="1297"/>
        <w:gridCol w:w="1265"/>
        <w:gridCol w:w="1273"/>
        <w:gridCol w:w="2738"/>
      </w:tblGrid>
      <w:tr w:rsidR="00DC1F1A" w:rsidRPr="002334F8" w14:paraId="4BE9CB96" w14:textId="77777777" w:rsidTr="007D004D">
        <w:tc>
          <w:tcPr>
            <w:tcW w:w="1552" w:type="dxa"/>
            <w:vMerge w:val="restart"/>
          </w:tcPr>
          <w:p w14:paraId="04A280A6" w14:textId="77777777" w:rsidR="00DC1F1A" w:rsidRPr="002334F8" w:rsidRDefault="00DC1F1A" w:rsidP="007D004D">
            <w:pPr>
              <w:pStyle w:val="C-BodyText"/>
              <w:jc w:val="center"/>
              <w:rPr>
                <w:b/>
                <w:sz w:val="20"/>
                <w:lang w:val="en-AU" w:eastAsia="it-IT"/>
              </w:rPr>
            </w:pPr>
            <w:r w:rsidRPr="002334F8">
              <w:rPr>
                <w:b/>
                <w:sz w:val="20"/>
                <w:lang w:val="en-AU" w:eastAsia="it-IT"/>
              </w:rPr>
              <w:t>Treatment Arm</w:t>
            </w:r>
          </w:p>
        </w:tc>
        <w:tc>
          <w:tcPr>
            <w:tcW w:w="1552" w:type="dxa"/>
            <w:vMerge w:val="restart"/>
          </w:tcPr>
          <w:p w14:paraId="692E02D8" w14:textId="77777777" w:rsidR="00DC1F1A" w:rsidRPr="002334F8" w:rsidRDefault="00DC1F1A" w:rsidP="007D004D">
            <w:pPr>
              <w:pStyle w:val="C-BodyText"/>
              <w:jc w:val="center"/>
              <w:rPr>
                <w:b/>
                <w:sz w:val="20"/>
                <w:lang w:val="en-AU" w:eastAsia="it-IT"/>
              </w:rPr>
            </w:pPr>
            <w:r w:rsidRPr="002334F8">
              <w:rPr>
                <w:b/>
                <w:sz w:val="20"/>
                <w:lang w:val="en-AU" w:eastAsia="it-IT"/>
              </w:rPr>
              <w:t>Treatment Duration (days)</w:t>
            </w:r>
          </w:p>
        </w:tc>
        <w:tc>
          <w:tcPr>
            <w:tcW w:w="3134" w:type="dxa"/>
            <w:gridSpan w:val="2"/>
          </w:tcPr>
          <w:p w14:paraId="25300E8F" w14:textId="77777777" w:rsidR="00DC1F1A" w:rsidRPr="002334F8" w:rsidRDefault="00DC1F1A" w:rsidP="007D004D">
            <w:pPr>
              <w:pStyle w:val="C-BodyText"/>
              <w:jc w:val="center"/>
              <w:rPr>
                <w:b/>
                <w:sz w:val="20"/>
                <w:lang w:val="en-AU" w:eastAsia="it-IT"/>
              </w:rPr>
            </w:pPr>
            <w:r w:rsidRPr="002334F8">
              <w:rPr>
                <w:b/>
                <w:sz w:val="20"/>
                <w:lang w:val="en-AU" w:eastAsia="it-IT"/>
              </w:rPr>
              <w:t>Microbiologic Eradication Rate</w:t>
            </w:r>
          </w:p>
        </w:tc>
        <w:tc>
          <w:tcPr>
            <w:tcW w:w="1549" w:type="dxa"/>
            <w:vMerge w:val="restart"/>
          </w:tcPr>
          <w:p w14:paraId="3FAB419E" w14:textId="77777777" w:rsidR="00DC1F1A" w:rsidRPr="002334F8" w:rsidRDefault="00DC1F1A" w:rsidP="007D004D">
            <w:pPr>
              <w:pStyle w:val="C-BodyText"/>
              <w:jc w:val="center"/>
              <w:rPr>
                <w:b/>
                <w:sz w:val="20"/>
                <w:lang w:val="en-AU" w:eastAsia="it-IT"/>
              </w:rPr>
            </w:pPr>
            <w:r w:rsidRPr="002334F8">
              <w:rPr>
                <w:b/>
                <w:sz w:val="20"/>
                <w:lang w:val="en-AU" w:eastAsia="it-IT"/>
              </w:rPr>
              <w:t>Clinical Success Rate</w:t>
            </w:r>
          </w:p>
        </w:tc>
        <w:tc>
          <w:tcPr>
            <w:tcW w:w="1563" w:type="dxa"/>
            <w:vMerge w:val="restart"/>
          </w:tcPr>
          <w:p w14:paraId="280110AF" w14:textId="77777777" w:rsidR="00DC1F1A" w:rsidRPr="002334F8" w:rsidRDefault="00DC1F1A" w:rsidP="007D004D">
            <w:pPr>
              <w:pStyle w:val="C-BodyText"/>
              <w:jc w:val="center"/>
              <w:rPr>
                <w:b/>
                <w:sz w:val="20"/>
                <w:lang w:val="en-AU" w:eastAsia="it-IT"/>
              </w:rPr>
            </w:pPr>
            <w:r>
              <w:rPr>
                <w:b/>
                <w:sz w:val="20"/>
                <w:lang w:val="en-AU" w:eastAsia="it-IT"/>
              </w:rPr>
              <w:t>Outcome</w:t>
            </w:r>
            <w:r>
              <w:rPr>
                <w:b/>
                <w:sz w:val="20"/>
                <w:lang w:val="en-AU" w:eastAsia="it-IT"/>
              </w:rPr>
              <w:br/>
            </w:r>
            <w:r w:rsidRPr="002334F8">
              <w:rPr>
                <w:b/>
                <w:sz w:val="20"/>
                <w:lang w:val="en-AU" w:eastAsia="it-IT"/>
              </w:rPr>
              <w:t>(based on difference in microbiologic rates 5-11 days post therapy)</w:t>
            </w:r>
          </w:p>
        </w:tc>
      </w:tr>
      <w:tr w:rsidR="00DC1F1A" w:rsidRPr="002334F8" w14:paraId="32D4BDA1" w14:textId="77777777" w:rsidTr="007D004D">
        <w:tc>
          <w:tcPr>
            <w:tcW w:w="1552" w:type="dxa"/>
            <w:vMerge/>
          </w:tcPr>
          <w:p w14:paraId="6334144E" w14:textId="77777777" w:rsidR="00DC1F1A" w:rsidRPr="002334F8" w:rsidRDefault="00DC1F1A" w:rsidP="007D004D">
            <w:pPr>
              <w:pStyle w:val="C-BodyText"/>
              <w:rPr>
                <w:sz w:val="20"/>
                <w:lang w:val="en-AU" w:eastAsia="it-IT"/>
              </w:rPr>
            </w:pPr>
          </w:p>
        </w:tc>
        <w:tc>
          <w:tcPr>
            <w:tcW w:w="1552" w:type="dxa"/>
            <w:vMerge/>
          </w:tcPr>
          <w:p w14:paraId="5FFBD3DE" w14:textId="77777777" w:rsidR="00DC1F1A" w:rsidRPr="002334F8" w:rsidRDefault="00DC1F1A" w:rsidP="007D004D">
            <w:pPr>
              <w:pStyle w:val="C-BodyText"/>
              <w:rPr>
                <w:sz w:val="20"/>
                <w:lang w:val="en-AU" w:eastAsia="it-IT"/>
              </w:rPr>
            </w:pPr>
          </w:p>
        </w:tc>
        <w:tc>
          <w:tcPr>
            <w:tcW w:w="1590" w:type="dxa"/>
          </w:tcPr>
          <w:p w14:paraId="5AFBDC30" w14:textId="77777777" w:rsidR="00DC1F1A" w:rsidRPr="002334F8" w:rsidRDefault="00DC1F1A" w:rsidP="007D004D">
            <w:pPr>
              <w:pStyle w:val="C-BodyText"/>
              <w:jc w:val="center"/>
              <w:rPr>
                <w:b/>
                <w:sz w:val="20"/>
                <w:lang w:val="en-AU" w:eastAsia="it-IT"/>
              </w:rPr>
            </w:pPr>
            <w:r w:rsidRPr="002334F8">
              <w:rPr>
                <w:b/>
                <w:sz w:val="20"/>
                <w:lang w:val="en-AU" w:eastAsia="it-IT"/>
              </w:rPr>
              <w:t>5-11 days post therapy</w:t>
            </w:r>
          </w:p>
        </w:tc>
        <w:tc>
          <w:tcPr>
            <w:tcW w:w="1544" w:type="dxa"/>
          </w:tcPr>
          <w:p w14:paraId="0B3B16E6" w14:textId="77777777" w:rsidR="00DC1F1A" w:rsidRPr="002334F8" w:rsidRDefault="00DC1F1A" w:rsidP="007D004D">
            <w:pPr>
              <w:pStyle w:val="C-BodyText"/>
              <w:jc w:val="center"/>
              <w:rPr>
                <w:b/>
                <w:sz w:val="20"/>
                <w:lang w:val="en-AU" w:eastAsia="it-IT"/>
              </w:rPr>
            </w:pPr>
            <w:r w:rsidRPr="002334F8">
              <w:rPr>
                <w:b/>
                <w:sz w:val="20"/>
                <w:lang w:val="en-AU" w:eastAsia="it-IT"/>
              </w:rPr>
              <w:t>Study day 12-21</w:t>
            </w:r>
          </w:p>
        </w:tc>
        <w:tc>
          <w:tcPr>
            <w:tcW w:w="1549" w:type="dxa"/>
            <w:vMerge/>
          </w:tcPr>
          <w:p w14:paraId="74EA39E3" w14:textId="77777777" w:rsidR="00DC1F1A" w:rsidRPr="002334F8" w:rsidRDefault="00DC1F1A" w:rsidP="007D004D">
            <w:pPr>
              <w:pStyle w:val="C-BodyText"/>
              <w:rPr>
                <w:sz w:val="20"/>
                <w:lang w:val="en-AU" w:eastAsia="it-IT"/>
              </w:rPr>
            </w:pPr>
          </w:p>
        </w:tc>
        <w:tc>
          <w:tcPr>
            <w:tcW w:w="1563" w:type="dxa"/>
            <w:vMerge/>
          </w:tcPr>
          <w:p w14:paraId="58BBAC7B" w14:textId="77777777" w:rsidR="00DC1F1A" w:rsidRPr="002334F8" w:rsidRDefault="00DC1F1A" w:rsidP="007D004D">
            <w:pPr>
              <w:pStyle w:val="C-BodyText"/>
              <w:rPr>
                <w:sz w:val="20"/>
                <w:lang w:val="en-AU" w:eastAsia="it-IT"/>
              </w:rPr>
            </w:pPr>
          </w:p>
        </w:tc>
      </w:tr>
      <w:tr w:rsidR="00DC1F1A" w:rsidRPr="002334F8" w14:paraId="6D678178" w14:textId="77777777" w:rsidTr="007D004D">
        <w:tc>
          <w:tcPr>
            <w:tcW w:w="1552" w:type="dxa"/>
          </w:tcPr>
          <w:p w14:paraId="267BA640" w14:textId="77777777" w:rsidR="00DC1F1A" w:rsidRPr="002334F8" w:rsidRDefault="00DC1F1A" w:rsidP="007D004D">
            <w:pPr>
              <w:pStyle w:val="C-BodyText"/>
              <w:rPr>
                <w:sz w:val="20"/>
                <w:lang w:val="en-AU" w:eastAsia="it-IT"/>
              </w:rPr>
            </w:pPr>
            <w:proofErr w:type="spellStart"/>
            <w:r w:rsidRPr="002334F8">
              <w:rPr>
                <w:sz w:val="20"/>
                <w:lang w:val="en-AU" w:eastAsia="it-IT"/>
              </w:rPr>
              <w:t>Fosfomycin</w:t>
            </w:r>
            <w:proofErr w:type="spellEnd"/>
          </w:p>
        </w:tc>
        <w:tc>
          <w:tcPr>
            <w:tcW w:w="1552" w:type="dxa"/>
          </w:tcPr>
          <w:p w14:paraId="70A5BA24" w14:textId="77777777" w:rsidR="00DC1F1A" w:rsidRPr="002334F8" w:rsidRDefault="00DC1F1A" w:rsidP="007D004D">
            <w:pPr>
              <w:pStyle w:val="C-BodyText"/>
              <w:jc w:val="center"/>
              <w:rPr>
                <w:sz w:val="20"/>
                <w:lang w:val="en-AU" w:eastAsia="it-IT"/>
              </w:rPr>
            </w:pPr>
            <w:r w:rsidRPr="002334F8">
              <w:rPr>
                <w:sz w:val="20"/>
                <w:lang w:val="en-AU" w:eastAsia="it-IT"/>
              </w:rPr>
              <w:t>1</w:t>
            </w:r>
          </w:p>
        </w:tc>
        <w:tc>
          <w:tcPr>
            <w:tcW w:w="1590" w:type="dxa"/>
          </w:tcPr>
          <w:p w14:paraId="20E2EF91" w14:textId="77777777" w:rsidR="00DC1F1A" w:rsidRPr="002334F8" w:rsidRDefault="00DC1F1A" w:rsidP="007D004D">
            <w:pPr>
              <w:pStyle w:val="C-BodyText"/>
              <w:jc w:val="center"/>
              <w:rPr>
                <w:sz w:val="20"/>
                <w:lang w:val="en-AU" w:eastAsia="it-IT"/>
              </w:rPr>
            </w:pPr>
            <w:r w:rsidRPr="002334F8">
              <w:rPr>
                <w:sz w:val="20"/>
                <w:lang w:val="en-AU" w:eastAsia="it-IT"/>
              </w:rPr>
              <w:t>630/771 (82%)</w:t>
            </w:r>
          </w:p>
        </w:tc>
        <w:tc>
          <w:tcPr>
            <w:tcW w:w="1544" w:type="dxa"/>
          </w:tcPr>
          <w:p w14:paraId="3D0D4426" w14:textId="77777777" w:rsidR="00DC1F1A" w:rsidRPr="002334F8" w:rsidRDefault="00DC1F1A" w:rsidP="007D004D">
            <w:pPr>
              <w:pStyle w:val="C-BodyText"/>
              <w:jc w:val="center"/>
              <w:rPr>
                <w:sz w:val="20"/>
                <w:lang w:val="en-AU" w:eastAsia="it-IT"/>
              </w:rPr>
            </w:pPr>
            <w:r w:rsidRPr="002334F8">
              <w:rPr>
                <w:sz w:val="20"/>
                <w:lang w:val="en-AU" w:eastAsia="it-IT"/>
              </w:rPr>
              <w:t>591/771 (77%)</w:t>
            </w:r>
          </w:p>
        </w:tc>
        <w:tc>
          <w:tcPr>
            <w:tcW w:w="1549" w:type="dxa"/>
          </w:tcPr>
          <w:p w14:paraId="40FC41AB" w14:textId="77777777" w:rsidR="00DC1F1A" w:rsidRPr="002334F8" w:rsidRDefault="00DC1F1A" w:rsidP="007D004D">
            <w:pPr>
              <w:pStyle w:val="C-BodyText"/>
              <w:jc w:val="center"/>
              <w:rPr>
                <w:sz w:val="20"/>
                <w:lang w:val="en-AU" w:eastAsia="it-IT"/>
              </w:rPr>
            </w:pPr>
            <w:r w:rsidRPr="002334F8">
              <w:rPr>
                <w:sz w:val="20"/>
                <w:lang w:val="en-AU" w:eastAsia="it-IT"/>
              </w:rPr>
              <w:t>542/771 (70%)</w:t>
            </w:r>
          </w:p>
        </w:tc>
        <w:tc>
          <w:tcPr>
            <w:tcW w:w="1563" w:type="dxa"/>
          </w:tcPr>
          <w:p w14:paraId="28700B20" w14:textId="77777777" w:rsidR="00DC1F1A" w:rsidRPr="002334F8" w:rsidRDefault="00DC1F1A" w:rsidP="007D004D">
            <w:pPr>
              <w:pStyle w:val="C-BodyText"/>
              <w:jc w:val="center"/>
              <w:rPr>
                <w:sz w:val="20"/>
                <w:lang w:val="en-AU" w:eastAsia="it-IT"/>
              </w:rPr>
            </w:pPr>
          </w:p>
        </w:tc>
      </w:tr>
      <w:tr w:rsidR="00DC1F1A" w:rsidRPr="002334F8" w14:paraId="747F33FB" w14:textId="77777777" w:rsidTr="007D004D">
        <w:tc>
          <w:tcPr>
            <w:tcW w:w="1552" w:type="dxa"/>
          </w:tcPr>
          <w:p w14:paraId="36DED74C" w14:textId="77777777" w:rsidR="00DC1F1A" w:rsidRPr="002334F8" w:rsidRDefault="00DC1F1A" w:rsidP="007D004D">
            <w:pPr>
              <w:pStyle w:val="C-BodyText"/>
              <w:rPr>
                <w:sz w:val="20"/>
                <w:lang w:val="en-AU" w:eastAsia="it-IT"/>
              </w:rPr>
            </w:pPr>
            <w:r w:rsidRPr="002334F8">
              <w:rPr>
                <w:sz w:val="20"/>
                <w:lang w:val="en-AU" w:eastAsia="it-IT"/>
              </w:rPr>
              <w:t>Ciprofloxacin</w:t>
            </w:r>
          </w:p>
        </w:tc>
        <w:tc>
          <w:tcPr>
            <w:tcW w:w="1552" w:type="dxa"/>
          </w:tcPr>
          <w:p w14:paraId="1DF65E72" w14:textId="77777777" w:rsidR="00DC1F1A" w:rsidRPr="002334F8" w:rsidRDefault="00DC1F1A" w:rsidP="007D004D">
            <w:pPr>
              <w:pStyle w:val="C-BodyText"/>
              <w:jc w:val="center"/>
              <w:rPr>
                <w:sz w:val="20"/>
                <w:lang w:val="en-AU" w:eastAsia="it-IT"/>
              </w:rPr>
            </w:pPr>
            <w:r w:rsidRPr="002334F8">
              <w:rPr>
                <w:sz w:val="20"/>
                <w:lang w:val="en-AU" w:eastAsia="it-IT"/>
              </w:rPr>
              <w:t>7</w:t>
            </w:r>
          </w:p>
        </w:tc>
        <w:tc>
          <w:tcPr>
            <w:tcW w:w="1590" w:type="dxa"/>
          </w:tcPr>
          <w:p w14:paraId="0F91FB1B" w14:textId="77777777" w:rsidR="00DC1F1A" w:rsidRPr="002334F8" w:rsidRDefault="00DC1F1A" w:rsidP="007D004D">
            <w:pPr>
              <w:pStyle w:val="C-BodyText"/>
              <w:jc w:val="center"/>
              <w:rPr>
                <w:sz w:val="20"/>
                <w:lang w:val="en-AU" w:eastAsia="it-IT"/>
              </w:rPr>
            </w:pPr>
            <w:r w:rsidRPr="002334F8">
              <w:rPr>
                <w:sz w:val="20"/>
                <w:lang w:val="en-AU" w:eastAsia="it-IT"/>
              </w:rPr>
              <w:t>219/222 (98%)</w:t>
            </w:r>
          </w:p>
        </w:tc>
        <w:tc>
          <w:tcPr>
            <w:tcW w:w="1544" w:type="dxa"/>
          </w:tcPr>
          <w:p w14:paraId="6E5AFD6B" w14:textId="77777777" w:rsidR="00DC1F1A" w:rsidRPr="002334F8" w:rsidRDefault="00DC1F1A" w:rsidP="007D004D">
            <w:pPr>
              <w:pStyle w:val="C-BodyText"/>
              <w:jc w:val="center"/>
              <w:rPr>
                <w:sz w:val="20"/>
                <w:lang w:val="en-AU" w:eastAsia="it-IT"/>
              </w:rPr>
            </w:pPr>
            <w:r w:rsidRPr="002334F8">
              <w:rPr>
                <w:sz w:val="20"/>
                <w:lang w:val="en-AU" w:eastAsia="it-IT"/>
              </w:rPr>
              <w:t>219/222 (98%)</w:t>
            </w:r>
          </w:p>
        </w:tc>
        <w:tc>
          <w:tcPr>
            <w:tcW w:w="1549" w:type="dxa"/>
          </w:tcPr>
          <w:p w14:paraId="33B8DE12" w14:textId="77777777" w:rsidR="00DC1F1A" w:rsidRPr="002334F8" w:rsidRDefault="00DC1F1A" w:rsidP="007D004D">
            <w:pPr>
              <w:pStyle w:val="C-BodyText"/>
              <w:jc w:val="center"/>
              <w:rPr>
                <w:sz w:val="20"/>
                <w:lang w:val="en-AU" w:eastAsia="it-IT"/>
              </w:rPr>
            </w:pPr>
            <w:r w:rsidRPr="002334F8">
              <w:rPr>
                <w:sz w:val="20"/>
                <w:lang w:val="en-AU" w:eastAsia="it-IT"/>
              </w:rPr>
              <w:t>213/222 (96%)</w:t>
            </w:r>
          </w:p>
        </w:tc>
        <w:tc>
          <w:tcPr>
            <w:tcW w:w="1563" w:type="dxa"/>
          </w:tcPr>
          <w:p w14:paraId="562C171A" w14:textId="77777777" w:rsidR="00DC1F1A" w:rsidRPr="002334F8" w:rsidRDefault="00DC1F1A" w:rsidP="007D004D">
            <w:pPr>
              <w:pStyle w:val="C-BodyText"/>
              <w:jc w:val="center"/>
              <w:rPr>
                <w:sz w:val="20"/>
                <w:lang w:val="en-AU" w:eastAsia="it-IT"/>
              </w:rPr>
            </w:pPr>
            <w:proofErr w:type="spellStart"/>
            <w:r>
              <w:rPr>
                <w:sz w:val="20"/>
                <w:lang w:val="en-AU" w:eastAsia="it-IT"/>
              </w:rPr>
              <w:t>Fosfomycin</w:t>
            </w:r>
            <w:proofErr w:type="spellEnd"/>
            <w:r>
              <w:rPr>
                <w:sz w:val="20"/>
                <w:lang w:val="en-AU" w:eastAsia="it-IT"/>
              </w:rPr>
              <w:t xml:space="preserve"> inferior to ciprofloxacin</w:t>
            </w:r>
          </w:p>
        </w:tc>
      </w:tr>
      <w:tr w:rsidR="00DC1F1A" w:rsidRPr="002334F8" w14:paraId="51668FBE" w14:textId="77777777" w:rsidTr="007D004D">
        <w:tc>
          <w:tcPr>
            <w:tcW w:w="1552" w:type="dxa"/>
          </w:tcPr>
          <w:p w14:paraId="4EFA27D5" w14:textId="77777777" w:rsidR="00DC1F1A" w:rsidRPr="002334F8" w:rsidRDefault="00DC1F1A" w:rsidP="007D004D">
            <w:pPr>
              <w:pStyle w:val="C-BodyText"/>
              <w:rPr>
                <w:sz w:val="20"/>
                <w:lang w:val="en-AU" w:eastAsia="it-IT"/>
              </w:rPr>
            </w:pPr>
            <w:r w:rsidRPr="002334F8">
              <w:rPr>
                <w:sz w:val="20"/>
                <w:lang w:val="en-AU" w:eastAsia="it-IT"/>
              </w:rPr>
              <w:t>Trimethoprim/</w:t>
            </w:r>
            <w:r>
              <w:rPr>
                <w:sz w:val="20"/>
                <w:lang w:val="en-AU" w:eastAsia="it-IT"/>
              </w:rPr>
              <w:t xml:space="preserve"> </w:t>
            </w:r>
            <w:r w:rsidRPr="002334F8">
              <w:rPr>
                <w:sz w:val="20"/>
                <w:lang w:val="en-AU" w:eastAsia="it-IT"/>
              </w:rPr>
              <w:t>sulfamethoxazole</w:t>
            </w:r>
          </w:p>
        </w:tc>
        <w:tc>
          <w:tcPr>
            <w:tcW w:w="1552" w:type="dxa"/>
          </w:tcPr>
          <w:p w14:paraId="6DD6F5C3" w14:textId="77777777" w:rsidR="00DC1F1A" w:rsidRPr="002334F8" w:rsidRDefault="00DC1F1A" w:rsidP="007D004D">
            <w:pPr>
              <w:pStyle w:val="C-BodyText"/>
              <w:jc w:val="center"/>
              <w:rPr>
                <w:sz w:val="20"/>
                <w:lang w:val="en-AU" w:eastAsia="it-IT"/>
              </w:rPr>
            </w:pPr>
            <w:r w:rsidRPr="002334F8">
              <w:rPr>
                <w:sz w:val="20"/>
                <w:lang w:val="en-AU" w:eastAsia="it-IT"/>
              </w:rPr>
              <w:t>10</w:t>
            </w:r>
          </w:p>
        </w:tc>
        <w:tc>
          <w:tcPr>
            <w:tcW w:w="1590" w:type="dxa"/>
          </w:tcPr>
          <w:p w14:paraId="6A9F1C71" w14:textId="77777777" w:rsidR="00DC1F1A" w:rsidRPr="002334F8" w:rsidRDefault="00DC1F1A" w:rsidP="007D004D">
            <w:pPr>
              <w:pStyle w:val="C-BodyText"/>
              <w:jc w:val="center"/>
              <w:rPr>
                <w:sz w:val="20"/>
                <w:lang w:val="en-AU" w:eastAsia="it-IT"/>
              </w:rPr>
            </w:pPr>
            <w:r w:rsidRPr="002334F8">
              <w:rPr>
                <w:sz w:val="20"/>
                <w:lang w:val="en-AU" w:eastAsia="it-IT"/>
              </w:rPr>
              <w:t>194/197 (98%)</w:t>
            </w:r>
          </w:p>
        </w:tc>
        <w:tc>
          <w:tcPr>
            <w:tcW w:w="1544" w:type="dxa"/>
          </w:tcPr>
          <w:p w14:paraId="75131CC0" w14:textId="77777777" w:rsidR="00DC1F1A" w:rsidRPr="002334F8" w:rsidRDefault="00DC1F1A" w:rsidP="007D004D">
            <w:pPr>
              <w:pStyle w:val="C-BodyText"/>
              <w:jc w:val="center"/>
              <w:rPr>
                <w:sz w:val="20"/>
                <w:lang w:val="en-AU" w:eastAsia="it-IT"/>
              </w:rPr>
            </w:pPr>
            <w:r w:rsidRPr="002334F8">
              <w:rPr>
                <w:sz w:val="20"/>
                <w:lang w:val="en-AU" w:eastAsia="it-IT"/>
              </w:rPr>
              <w:t>194/197 (98%)</w:t>
            </w:r>
          </w:p>
        </w:tc>
        <w:tc>
          <w:tcPr>
            <w:tcW w:w="1549" w:type="dxa"/>
          </w:tcPr>
          <w:p w14:paraId="7942DBB2" w14:textId="77777777" w:rsidR="00DC1F1A" w:rsidRPr="002334F8" w:rsidRDefault="00DC1F1A" w:rsidP="007D004D">
            <w:pPr>
              <w:pStyle w:val="C-BodyText"/>
              <w:jc w:val="center"/>
              <w:rPr>
                <w:sz w:val="20"/>
                <w:lang w:val="en-AU" w:eastAsia="it-IT"/>
              </w:rPr>
            </w:pPr>
            <w:r w:rsidRPr="002334F8">
              <w:rPr>
                <w:sz w:val="20"/>
                <w:lang w:val="en-AU" w:eastAsia="it-IT"/>
              </w:rPr>
              <w:t>186/197 (94%)</w:t>
            </w:r>
          </w:p>
        </w:tc>
        <w:tc>
          <w:tcPr>
            <w:tcW w:w="1563" w:type="dxa"/>
          </w:tcPr>
          <w:p w14:paraId="14F335E0" w14:textId="77777777" w:rsidR="00DC1F1A" w:rsidRPr="002334F8" w:rsidRDefault="00DC1F1A" w:rsidP="007D004D">
            <w:pPr>
              <w:pStyle w:val="C-BodyText"/>
              <w:jc w:val="center"/>
              <w:rPr>
                <w:sz w:val="20"/>
                <w:lang w:val="en-AU" w:eastAsia="it-IT"/>
              </w:rPr>
            </w:pPr>
            <w:proofErr w:type="spellStart"/>
            <w:r>
              <w:rPr>
                <w:sz w:val="20"/>
                <w:lang w:val="en-AU" w:eastAsia="it-IT"/>
              </w:rPr>
              <w:t>Fosfomycin</w:t>
            </w:r>
            <w:proofErr w:type="spellEnd"/>
            <w:r>
              <w:rPr>
                <w:sz w:val="20"/>
                <w:lang w:val="en-AU" w:eastAsia="it-IT"/>
              </w:rPr>
              <w:t xml:space="preserve"> inferior to trimethoprim/sulfamethoxazole</w:t>
            </w:r>
          </w:p>
        </w:tc>
      </w:tr>
      <w:tr w:rsidR="00DC1F1A" w:rsidRPr="002334F8" w14:paraId="35BC9824" w14:textId="77777777" w:rsidTr="007D004D">
        <w:tc>
          <w:tcPr>
            <w:tcW w:w="1552" w:type="dxa"/>
          </w:tcPr>
          <w:p w14:paraId="66A53CCB" w14:textId="77777777" w:rsidR="00DC1F1A" w:rsidRPr="002334F8" w:rsidRDefault="00DC1F1A" w:rsidP="007D004D">
            <w:pPr>
              <w:pStyle w:val="C-BodyText"/>
              <w:rPr>
                <w:sz w:val="20"/>
                <w:lang w:val="en-AU" w:eastAsia="it-IT"/>
              </w:rPr>
            </w:pPr>
            <w:r w:rsidRPr="002334F8">
              <w:rPr>
                <w:sz w:val="20"/>
                <w:lang w:val="en-AU" w:eastAsia="it-IT"/>
              </w:rPr>
              <w:t>Nitrofurantoin</w:t>
            </w:r>
          </w:p>
        </w:tc>
        <w:tc>
          <w:tcPr>
            <w:tcW w:w="1552" w:type="dxa"/>
          </w:tcPr>
          <w:p w14:paraId="6C1A309A" w14:textId="77777777" w:rsidR="00DC1F1A" w:rsidRPr="002334F8" w:rsidRDefault="00DC1F1A" w:rsidP="007D004D">
            <w:pPr>
              <w:pStyle w:val="C-BodyText"/>
              <w:jc w:val="center"/>
              <w:rPr>
                <w:sz w:val="20"/>
                <w:lang w:val="en-AU" w:eastAsia="it-IT"/>
              </w:rPr>
            </w:pPr>
            <w:r w:rsidRPr="002334F8">
              <w:rPr>
                <w:sz w:val="20"/>
                <w:lang w:val="en-AU" w:eastAsia="it-IT"/>
              </w:rPr>
              <w:t>7</w:t>
            </w:r>
          </w:p>
        </w:tc>
        <w:tc>
          <w:tcPr>
            <w:tcW w:w="1590" w:type="dxa"/>
          </w:tcPr>
          <w:p w14:paraId="43C783A0" w14:textId="77777777" w:rsidR="00DC1F1A" w:rsidRPr="002334F8" w:rsidRDefault="00DC1F1A" w:rsidP="007D004D">
            <w:pPr>
              <w:pStyle w:val="C-BodyText"/>
              <w:jc w:val="center"/>
              <w:rPr>
                <w:sz w:val="20"/>
                <w:lang w:val="en-AU" w:eastAsia="it-IT"/>
              </w:rPr>
            </w:pPr>
            <w:r w:rsidRPr="002334F8">
              <w:rPr>
                <w:sz w:val="20"/>
                <w:lang w:val="en-AU" w:eastAsia="it-IT"/>
              </w:rPr>
              <w:t>180/238 (76%)</w:t>
            </w:r>
          </w:p>
        </w:tc>
        <w:tc>
          <w:tcPr>
            <w:tcW w:w="1544" w:type="dxa"/>
          </w:tcPr>
          <w:p w14:paraId="58115861" w14:textId="77777777" w:rsidR="00DC1F1A" w:rsidRPr="002334F8" w:rsidRDefault="00DC1F1A" w:rsidP="007D004D">
            <w:pPr>
              <w:pStyle w:val="C-BodyText"/>
              <w:jc w:val="center"/>
              <w:rPr>
                <w:sz w:val="20"/>
                <w:lang w:val="en-AU" w:eastAsia="it-IT"/>
              </w:rPr>
            </w:pPr>
            <w:r w:rsidRPr="002334F8">
              <w:rPr>
                <w:sz w:val="20"/>
                <w:lang w:val="en-AU" w:eastAsia="it-IT"/>
              </w:rPr>
              <w:t>180/238 (76%)</w:t>
            </w:r>
          </w:p>
        </w:tc>
        <w:tc>
          <w:tcPr>
            <w:tcW w:w="1549" w:type="dxa"/>
          </w:tcPr>
          <w:p w14:paraId="2C78777A" w14:textId="77777777" w:rsidR="00DC1F1A" w:rsidRPr="002334F8" w:rsidRDefault="00DC1F1A" w:rsidP="007D004D">
            <w:pPr>
              <w:pStyle w:val="C-BodyText"/>
              <w:jc w:val="center"/>
              <w:rPr>
                <w:sz w:val="20"/>
                <w:lang w:val="en-AU" w:eastAsia="it-IT"/>
              </w:rPr>
            </w:pPr>
            <w:r w:rsidRPr="002334F8">
              <w:rPr>
                <w:sz w:val="20"/>
                <w:lang w:val="en-AU" w:eastAsia="it-IT"/>
              </w:rPr>
              <w:t>183/238 (77%)</w:t>
            </w:r>
          </w:p>
        </w:tc>
        <w:tc>
          <w:tcPr>
            <w:tcW w:w="1563" w:type="dxa"/>
          </w:tcPr>
          <w:p w14:paraId="248C4EED" w14:textId="77777777" w:rsidR="00DC1F1A" w:rsidRPr="002334F8" w:rsidRDefault="00DC1F1A" w:rsidP="007D004D">
            <w:pPr>
              <w:pStyle w:val="C-BodyText"/>
              <w:jc w:val="center"/>
              <w:rPr>
                <w:sz w:val="20"/>
                <w:lang w:val="en-AU" w:eastAsia="it-IT"/>
              </w:rPr>
            </w:pPr>
            <w:proofErr w:type="spellStart"/>
            <w:r>
              <w:rPr>
                <w:sz w:val="20"/>
                <w:lang w:val="en-AU" w:eastAsia="it-IT"/>
              </w:rPr>
              <w:t>Fosfomycin</w:t>
            </w:r>
            <w:proofErr w:type="spellEnd"/>
            <w:r>
              <w:rPr>
                <w:sz w:val="20"/>
                <w:lang w:val="en-AU" w:eastAsia="it-IT"/>
              </w:rPr>
              <w:t xml:space="preserve"> equivalent to nitrofurantoin</w:t>
            </w:r>
          </w:p>
        </w:tc>
      </w:tr>
    </w:tbl>
    <w:p w14:paraId="1F255FD7" w14:textId="77777777" w:rsidR="00DC1F1A" w:rsidRDefault="00DC1F1A" w:rsidP="00DC1F1A">
      <w:pPr>
        <w:pStyle w:val="C-BodyText"/>
        <w:rPr>
          <w:lang w:val="en-AU" w:eastAsia="it-IT"/>
        </w:rPr>
      </w:pPr>
      <w:r w:rsidRPr="002334F8">
        <w:rPr>
          <w:lang w:val="en-AU" w:eastAsia="it-IT"/>
        </w:rPr>
        <w:t>In the 3 pivotal studies, median age of patients enrolled was 27-32 years (</w:t>
      </w:r>
      <w:proofErr w:type="spellStart"/>
      <w:r w:rsidRPr="002334F8">
        <w:rPr>
          <w:lang w:val="en-AU" w:eastAsia="it-IT"/>
        </w:rPr>
        <w:t>fosfomycin</w:t>
      </w:r>
      <w:proofErr w:type="spellEnd"/>
      <w:r w:rsidRPr="002334F8">
        <w:rPr>
          <w:lang w:val="en-AU" w:eastAsia="it-IT"/>
        </w:rPr>
        <w:t>) and 27-31.5 years (comparator arms). In all 3 studies, approximately half the patients were aged 30</w:t>
      </w:r>
      <w:r>
        <w:rPr>
          <w:lang w:val="en-AU" w:eastAsia="it-IT"/>
        </w:rPr>
        <w:t xml:space="preserve"> </w:t>
      </w:r>
      <w:r w:rsidRPr="002334F8">
        <w:rPr>
          <w:lang w:val="en-AU" w:eastAsia="it-IT"/>
        </w:rPr>
        <w:t xml:space="preserve">years or less. The most common pathogen in the three pivotal studies was </w:t>
      </w:r>
      <w:r w:rsidRPr="006676F2">
        <w:rPr>
          <w:i/>
          <w:lang w:val="en-AU" w:eastAsia="it-IT"/>
        </w:rPr>
        <w:t>E coli</w:t>
      </w:r>
      <w:r w:rsidRPr="002334F8">
        <w:rPr>
          <w:lang w:val="en-AU" w:eastAsia="it-IT"/>
        </w:rPr>
        <w:t>, which caused</w:t>
      </w:r>
      <w:r>
        <w:rPr>
          <w:lang w:val="en-AU" w:eastAsia="it-IT"/>
        </w:rPr>
        <w:t xml:space="preserve"> </w:t>
      </w:r>
      <w:r w:rsidRPr="002334F8">
        <w:rPr>
          <w:lang w:val="en-AU" w:eastAsia="it-IT"/>
        </w:rPr>
        <w:t xml:space="preserve">82-86% of UTIs. Table </w:t>
      </w:r>
      <w:r>
        <w:rPr>
          <w:lang w:val="en-AU" w:eastAsia="it-IT"/>
        </w:rPr>
        <w:t>3</w:t>
      </w:r>
      <w:r w:rsidRPr="002334F8">
        <w:rPr>
          <w:lang w:val="en-AU" w:eastAsia="it-IT"/>
        </w:rPr>
        <w:t xml:space="preserve"> shows microbiological cure rates from pooled data from the 3 studies</w:t>
      </w:r>
      <w:r>
        <w:rPr>
          <w:lang w:val="en-AU" w:eastAsia="it-IT"/>
        </w:rPr>
        <w:t xml:space="preserve"> </w:t>
      </w:r>
      <w:r w:rsidRPr="002334F8">
        <w:rPr>
          <w:lang w:val="en-AU" w:eastAsia="it-IT"/>
        </w:rPr>
        <w:t>by pathogen.</w:t>
      </w:r>
    </w:p>
    <w:p w14:paraId="77DA8EDF" w14:textId="77777777" w:rsidR="00DC1F1A" w:rsidRDefault="00DC1F1A" w:rsidP="00DC1F1A">
      <w:pPr>
        <w:pStyle w:val="Caption"/>
        <w:rPr>
          <w:lang w:val="en-AU" w:eastAsia="it-IT"/>
        </w:rPr>
      </w:pPr>
      <w:r>
        <w:rPr>
          <w:lang w:val="en-AU" w:eastAsia="it-IT"/>
        </w:rPr>
        <w:t>Table </w:t>
      </w:r>
      <w:r>
        <w:rPr>
          <w:lang w:val="en-AU" w:eastAsia="it-IT"/>
        </w:rPr>
        <w:fldChar w:fldCharType="begin"/>
      </w:r>
      <w:r>
        <w:rPr>
          <w:lang w:val="en-AU" w:eastAsia="it-IT"/>
        </w:rPr>
        <w:instrText xml:space="preserve"> SEQ Table \* ARABIC \* MERGEFORMAT </w:instrText>
      </w:r>
      <w:r>
        <w:rPr>
          <w:lang w:val="en-AU" w:eastAsia="it-IT"/>
        </w:rPr>
        <w:fldChar w:fldCharType="separate"/>
      </w:r>
      <w:r>
        <w:rPr>
          <w:noProof/>
          <w:lang w:val="en-AU" w:eastAsia="it-IT"/>
        </w:rPr>
        <w:t>3</w:t>
      </w:r>
      <w:r>
        <w:rPr>
          <w:lang w:val="en-AU" w:eastAsia="it-IT"/>
        </w:rPr>
        <w:fldChar w:fldCharType="end"/>
      </w:r>
      <w:r>
        <w:rPr>
          <w:lang w:val="en-AU" w:eastAsia="it-IT"/>
        </w:rPr>
        <w:t>:</w:t>
      </w:r>
      <w:r>
        <w:rPr>
          <w:lang w:val="en-AU" w:eastAsia="it-IT"/>
        </w:rPr>
        <w:tab/>
      </w:r>
      <w:r w:rsidRPr="002334F8">
        <w:rPr>
          <w:lang w:val="en-AU" w:eastAsia="it-IT"/>
        </w:rPr>
        <w:t xml:space="preserve">Dosing schedules and microbiological cure rates by pathogen at day 5-11 post-therapy, </w:t>
      </w:r>
      <w:r w:rsidRPr="00737059">
        <w:rPr>
          <w:lang w:val="en-AU" w:eastAsia="it-IT"/>
        </w:rPr>
        <w:t>ITT and modified ITT populations</w:t>
      </w:r>
      <w:r w:rsidRPr="002334F8">
        <w:rPr>
          <w:lang w:val="en-AU" w:eastAsia="it-IT"/>
        </w:rPr>
        <w:t>, three pivotal studies of the treatment of females with acute uncomplicated lower UTI (studies MON-US-01, MON-US-02 and MON-US-03)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990"/>
        <w:gridCol w:w="1870"/>
      </w:tblGrid>
      <w:tr w:rsidR="00DC1F1A" w14:paraId="47FA55BB" w14:textId="77777777" w:rsidTr="007D004D">
        <w:tc>
          <w:tcPr>
            <w:tcW w:w="1870" w:type="dxa"/>
          </w:tcPr>
          <w:p w14:paraId="16A80410" w14:textId="77777777" w:rsidR="00DC1F1A" w:rsidRDefault="00DC1F1A" w:rsidP="007D004D">
            <w:pPr>
              <w:pStyle w:val="C-BodyText"/>
              <w:rPr>
                <w:b/>
                <w:lang w:val="en-AU" w:eastAsia="it-IT"/>
              </w:rPr>
            </w:pPr>
            <w:r>
              <w:rPr>
                <w:b/>
                <w:lang w:val="en-AU" w:eastAsia="it-IT"/>
              </w:rPr>
              <w:t>Pathogen</w:t>
            </w:r>
          </w:p>
        </w:tc>
        <w:tc>
          <w:tcPr>
            <w:tcW w:w="1870" w:type="dxa"/>
          </w:tcPr>
          <w:p w14:paraId="46B0A7D0" w14:textId="77777777" w:rsidR="00DC1F1A" w:rsidRDefault="00DC1F1A" w:rsidP="007D004D">
            <w:pPr>
              <w:pStyle w:val="C-BodyText"/>
              <w:rPr>
                <w:b/>
                <w:lang w:val="en-AU" w:eastAsia="it-IT"/>
              </w:rPr>
            </w:pPr>
            <w:proofErr w:type="spellStart"/>
            <w:r>
              <w:rPr>
                <w:b/>
                <w:lang w:val="en-AU" w:eastAsia="it-IT"/>
              </w:rPr>
              <w:t>Fosfomycin</w:t>
            </w:r>
            <w:proofErr w:type="spellEnd"/>
            <w:r>
              <w:rPr>
                <w:b/>
                <w:lang w:val="en-AU" w:eastAsia="it-IT"/>
              </w:rPr>
              <w:t xml:space="preserve"> 3 g single dose</w:t>
            </w:r>
          </w:p>
        </w:tc>
        <w:tc>
          <w:tcPr>
            <w:tcW w:w="1870" w:type="dxa"/>
          </w:tcPr>
          <w:p w14:paraId="0222B3C7" w14:textId="77777777" w:rsidR="00DC1F1A" w:rsidRDefault="00DC1F1A" w:rsidP="007D004D">
            <w:pPr>
              <w:pStyle w:val="C-BodyText"/>
              <w:rPr>
                <w:b/>
                <w:lang w:val="en-AU" w:eastAsia="it-IT"/>
              </w:rPr>
            </w:pPr>
            <w:r>
              <w:rPr>
                <w:b/>
                <w:lang w:val="en-AU" w:eastAsia="it-IT"/>
              </w:rPr>
              <w:t>Ciprofloxacin 250 mg bid x 7d</w:t>
            </w:r>
          </w:p>
        </w:tc>
        <w:tc>
          <w:tcPr>
            <w:tcW w:w="1870" w:type="dxa"/>
          </w:tcPr>
          <w:p w14:paraId="08578B46" w14:textId="77777777" w:rsidR="00DC1F1A" w:rsidRDefault="00DC1F1A" w:rsidP="007D004D">
            <w:pPr>
              <w:pStyle w:val="C-BodyText"/>
              <w:rPr>
                <w:b/>
                <w:lang w:val="en-AU" w:eastAsia="it-IT"/>
              </w:rPr>
            </w:pPr>
            <w:r>
              <w:rPr>
                <w:b/>
                <w:lang w:val="en-AU" w:eastAsia="it-IT"/>
              </w:rPr>
              <w:t>Trimethoprim/ sulfamethoxazole 160 mg/800 mg bid x 10d</w:t>
            </w:r>
          </w:p>
        </w:tc>
        <w:tc>
          <w:tcPr>
            <w:tcW w:w="1870" w:type="dxa"/>
          </w:tcPr>
          <w:p w14:paraId="2186B5D4" w14:textId="77777777" w:rsidR="00DC1F1A" w:rsidRDefault="00DC1F1A" w:rsidP="007D004D">
            <w:pPr>
              <w:pStyle w:val="C-BodyText"/>
              <w:rPr>
                <w:b/>
                <w:lang w:val="en-AU" w:eastAsia="it-IT"/>
              </w:rPr>
            </w:pPr>
            <w:r>
              <w:rPr>
                <w:b/>
                <w:lang w:val="en-AU" w:eastAsia="it-IT"/>
              </w:rPr>
              <w:t>Nitrofurantoin 100 mg bid x 7d</w:t>
            </w:r>
          </w:p>
        </w:tc>
      </w:tr>
      <w:tr w:rsidR="00DC1F1A" w14:paraId="6057C470" w14:textId="77777777" w:rsidTr="007D004D">
        <w:tc>
          <w:tcPr>
            <w:tcW w:w="1870" w:type="dxa"/>
          </w:tcPr>
          <w:p w14:paraId="69B7BBB6" w14:textId="77777777" w:rsidR="00DC1F1A" w:rsidRPr="00DB3050" w:rsidRDefault="00DC1F1A" w:rsidP="007D004D">
            <w:pPr>
              <w:pStyle w:val="C-BodyText"/>
              <w:rPr>
                <w:i/>
                <w:lang w:val="en-AU" w:eastAsia="it-IT"/>
              </w:rPr>
            </w:pPr>
            <w:r w:rsidRPr="00DB3050">
              <w:rPr>
                <w:i/>
                <w:lang w:val="en-AU" w:eastAsia="it-IT"/>
              </w:rPr>
              <w:t xml:space="preserve">E. </w:t>
            </w:r>
            <w:r>
              <w:rPr>
                <w:i/>
                <w:lang w:val="en-AU" w:eastAsia="it-IT"/>
              </w:rPr>
              <w:t>c</w:t>
            </w:r>
            <w:r w:rsidRPr="00DB3050">
              <w:rPr>
                <w:i/>
                <w:lang w:val="en-AU" w:eastAsia="it-IT"/>
              </w:rPr>
              <w:t>oli</w:t>
            </w:r>
          </w:p>
        </w:tc>
        <w:tc>
          <w:tcPr>
            <w:tcW w:w="1870" w:type="dxa"/>
          </w:tcPr>
          <w:p w14:paraId="48A9364B" w14:textId="77777777" w:rsidR="00DC1F1A" w:rsidRPr="00DB3050" w:rsidRDefault="00DC1F1A" w:rsidP="007D004D">
            <w:pPr>
              <w:pStyle w:val="C-BodyText"/>
              <w:jc w:val="center"/>
              <w:rPr>
                <w:lang w:val="en-AU" w:eastAsia="it-IT"/>
              </w:rPr>
            </w:pPr>
            <w:r>
              <w:rPr>
                <w:lang w:val="en-AU" w:eastAsia="it-IT"/>
              </w:rPr>
              <w:t>509/644 (79%)</w:t>
            </w:r>
          </w:p>
        </w:tc>
        <w:tc>
          <w:tcPr>
            <w:tcW w:w="1870" w:type="dxa"/>
          </w:tcPr>
          <w:p w14:paraId="1E94BAC8" w14:textId="77777777" w:rsidR="00DC1F1A" w:rsidRPr="00DB3050" w:rsidRDefault="00DC1F1A" w:rsidP="007D004D">
            <w:pPr>
              <w:pStyle w:val="C-BodyText"/>
              <w:jc w:val="center"/>
              <w:rPr>
                <w:lang w:val="en-AU" w:eastAsia="it-IT"/>
              </w:rPr>
            </w:pPr>
            <w:r>
              <w:rPr>
                <w:lang w:val="en-AU" w:eastAsia="it-IT"/>
              </w:rPr>
              <w:t>184/187 (98%)</w:t>
            </w:r>
          </w:p>
        </w:tc>
        <w:tc>
          <w:tcPr>
            <w:tcW w:w="1870" w:type="dxa"/>
          </w:tcPr>
          <w:p w14:paraId="4ACE54D6" w14:textId="77777777" w:rsidR="00DC1F1A" w:rsidRPr="00DB3050" w:rsidRDefault="00DC1F1A" w:rsidP="007D004D">
            <w:pPr>
              <w:pStyle w:val="C-BodyText"/>
              <w:jc w:val="center"/>
              <w:rPr>
                <w:lang w:val="en-AU" w:eastAsia="it-IT"/>
              </w:rPr>
            </w:pPr>
            <w:r>
              <w:rPr>
                <w:lang w:val="en-AU" w:eastAsia="it-IT"/>
              </w:rPr>
              <w:t>171/174 (98%)</w:t>
            </w:r>
          </w:p>
        </w:tc>
        <w:tc>
          <w:tcPr>
            <w:tcW w:w="1870" w:type="dxa"/>
          </w:tcPr>
          <w:p w14:paraId="689968D6" w14:textId="77777777" w:rsidR="00DC1F1A" w:rsidRPr="00DB3050" w:rsidRDefault="00DC1F1A" w:rsidP="007D004D">
            <w:pPr>
              <w:pStyle w:val="C-BodyText"/>
              <w:jc w:val="center"/>
              <w:rPr>
                <w:lang w:val="en-AU" w:eastAsia="it-IT"/>
              </w:rPr>
            </w:pPr>
            <w:r>
              <w:rPr>
                <w:lang w:val="en-AU" w:eastAsia="it-IT"/>
              </w:rPr>
              <w:t>146/187 (78%)</w:t>
            </w:r>
          </w:p>
        </w:tc>
      </w:tr>
      <w:tr w:rsidR="00DC1F1A" w14:paraId="0BF2848D" w14:textId="77777777" w:rsidTr="007D004D">
        <w:tc>
          <w:tcPr>
            <w:tcW w:w="1870" w:type="dxa"/>
          </w:tcPr>
          <w:p w14:paraId="2217EFB4" w14:textId="77777777" w:rsidR="00DC1F1A" w:rsidRPr="00DB3050" w:rsidRDefault="00DC1F1A" w:rsidP="007D004D">
            <w:pPr>
              <w:pStyle w:val="C-BodyText"/>
              <w:rPr>
                <w:i/>
                <w:lang w:val="en-AU" w:eastAsia="it-IT"/>
              </w:rPr>
            </w:pPr>
            <w:r w:rsidRPr="00DB3050">
              <w:rPr>
                <w:i/>
                <w:lang w:val="en-AU" w:eastAsia="it-IT"/>
              </w:rPr>
              <w:t xml:space="preserve">E. </w:t>
            </w:r>
            <w:proofErr w:type="spellStart"/>
            <w:r w:rsidRPr="00DB3050">
              <w:rPr>
                <w:i/>
                <w:lang w:val="en-AU" w:eastAsia="it-IT"/>
              </w:rPr>
              <w:t>faecalis</w:t>
            </w:r>
            <w:proofErr w:type="spellEnd"/>
          </w:p>
        </w:tc>
        <w:tc>
          <w:tcPr>
            <w:tcW w:w="1870" w:type="dxa"/>
          </w:tcPr>
          <w:p w14:paraId="0B539F44" w14:textId="77777777" w:rsidR="00DC1F1A" w:rsidRPr="00DB3050" w:rsidRDefault="00DC1F1A" w:rsidP="007D004D">
            <w:pPr>
              <w:pStyle w:val="C-BodyText"/>
              <w:jc w:val="center"/>
              <w:rPr>
                <w:lang w:val="en-AU" w:eastAsia="it-IT"/>
              </w:rPr>
            </w:pPr>
            <w:r>
              <w:rPr>
                <w:lang w:val="en-AU" w:eastAsia="it-IT"/>
              </w:rPr>
              <w:t>10/10 (100%)</w:t>
            </w:r>
          </w:p>
        </w:tc>
        <w:tc>
          <w:tcPr>
            <w:tcW w:w="1870" w:type="dxa"/>
          </w:tcPr>
          <w:p w14:paraId="2211A323" w14:textId="77777777" w:rsidR="00DC1F1A" w:rsidRPr="00DB3050" w:rsidRDefault="00DC1F1A" w:rsidP="007D004D">
            <w:pPr>
              <w:pStyle w:val="C-BodyText"/>
              <w:jc w:val="center"/>
              <w:rPr>
                <w:lang w:val="en-AU" w:eastAsia="it-IT"/>
              </w:rPr>
            </w:pPr>
            <w:r>
              <w:rPr>
                <w:lang w:val="en-AU" w:eastAsia="it-IT"/>
              </w:rPr>
              <w:t>0/0</w:t>
            </w:r>
          </w:p>
        </w:tc>
        <w:tc>
          <w:tcPr>
            <w:tcW w:w="1870" w:type="dxa"/>
          </w:tcPr>
          <w:p w14:paraId="19AC285E" w14:textId="77777777" w:rsidR="00DC1F1A" w:rsidRPr="00DB3050" w:rsidRDefault="00DC1F1A" w:rsidP="007D004D">
            <w:pPr>
              <w:pStyle w:val="C-BodyText"/>
              <w:jc w:val="center"/>
              <w:rPr>
                <w:lang w:val="en-AU" w:eastAsia="it-IT"/>
              </w:rPr>
            </w:pPr>
            <w:r>
              <w:rPr>
                <w:lang w:val="en-AU" w:eastAsia="it-IT"/>
              </w:rPr>
              <w:t>4/4 (100%)</w:t>
            </w:r>
          </w:p>
        </w:tc>
        <w:tc>
          <w:tcPr>
            <w:tcW w:w="1870" w:type="dxa"/>
          </w:tcPr>
          <w:p w14:paraId="7C956FE4" w14:textId="77777777" w:rsidR="00DC1F1A" w:rsidRPr="00DB3050" w:rsidRDefault="00DC1F1A" w:rsidP="007D004D">
            <w:pPr>
              <w:pStyle w:val="C-BodyText"/>
              <w:jc w:val="center"/>
              <w:rPr>
                <w:lang w:val="en-AU" w:eastAsia="it-IT"/>
              </w:rPr>
            </w:pPr>
            <w:r>
              <w:rPr>
                <w:lang w:val="en-AU" w:eastAsia="it-IT"/>
              </w:rPr>
              <w:t>1/2 (50%)</w:t>
            </w:r>
          </w:p>
        </w:tc>
      </w:tr>
    </w:tbl>
    <w:p w14:paraId="71D3DF79" w14:textId="77777777" w:rsidR="00DC1F1A" w:rsidRDefault="00DC1F1A" w:rsidP="00DC1F1A">
      <w:pPr>
        <w:pStyle w:val="C-BodyText"/>
        <w:rPr>
          <w:lang w:val="en-AU" w:eastAsia="it-IT"/>
        </w:rPr>
      </w:pPr>
      <w:r w:rsidRPr="002334F8">
        <w:rPr>
          <w:lang w:val="en-AU" w:eastAsia="it-IT"/>
        </w:rPr>
        <w:t>There have been no other phase 3 prospective, parallel, multicentre, double-blind, double</w:t>
      </w:r>
      <w:r>
        <w:rPr>
          <w:lang w:val="en-AU" w:eastAsia="it-IT"/>
        </w:rPr>
        <w:t>-</w:t>
      </w:r>
      <w:r w:rsidRPr="002334F8">
        <w:rPr>
          <w:lang w:val="en-AU" w:eastAsia="it-IT"/>
        </w:rPr>
        <w:t>dummy</w:t>
      </w:r>
      <w:r>
        <w:rPr>
          <w:lang w:val="en-AU" w:eastAsia="it-IT"/>
        </w:rPr>
        <w:t xml:space="preserve"> </w:t>
      </w:r>
      <w:r w:rsidRPr="002334F8">
        <w:rPr>
          <w:lang w:val="en-AU" w:eastAsia="it-IT"/>
        </w:rPr>
        <w:t>randomised efficacy and safety trials for the treatment of acute uncomplicated UTI since</w:t>
      </w:r>
      <w:r>
        <w:rPr>
          <w:lang w:val="en-AU" w:eastAsia="it-IT"/>
        </w:rPr>
        <w:t xml:space="preserve"> </w:t>
      </w:r>
      <w:r w:rsidRPr="002334F8">
        <w:rPr>
          <w:lang w:val="en-AU" w:eastAsia="it-IT"/>
        </w:rPr>
        <w:t>the three pivotal studies US-MON-01, US-MON-02, and US-MON-03 performed in the 1990s.</w:t>
      </w:r>
    </w:p>
    <w:p w14:paraId="085F0778" w14:textId="250A9B90" w:rsidR="002A50DF" w:rsidRDefault="002A50DF" w:rsidP="00C07648">
      <w:pPr>
        <w:pStyle w:val="C-Heading1nopagebreak0"/>
      </w:pPr>
      <w:r w:rsidRPr="002A50DF">
        <w:lastRenderedPageBreak/>
        <w:t>INDICATIONS</w:t>
      </w:r>
    </w:p>
    <w:p w14:paraId="40AE3C05" w14:textId="0892E023" w:rsidR="0074333B" w:rsidRDefault="0078753A" w:rsidP="0074333B">
      <w:pPr>
        <w:pStyle w:val="C-BodyText"/>
        <w:rPr>
          <w:lang w:val="en-AU" w:eastAsia="en-AU"/>
        </w:rPr>
      </w:pPr>
      <w:r>
        <w:rPr>
          <w:lang w:val="en-AU" w:eastAsia="en-AU"/>
        </w:rPr>
        <w:t>MONUROL</w:t>
      </w:r>
      <w:r w:rsidR="0074333B">
        <w:rPr>
          <w:lang w:val="en-AU" w:eastAsia="en-AU"/>
        </w:rPr>
        <w:t xml:space="preserve"> is indicated </w:t>
      </w:r>
      <w:r w:rsidR="00AF2356">
        <w:rPr>
          <w:lang w:val="en-AU" w:eastAsia="en-AU"/>
        </w:rPr>
        <w:t xml:space="preserve">only </w:t>
      </w:r>
      <w:r w:rsidR="007D004D">
        <w:rPr>
          <w:lang w:val="en-AU" w:eastAsia="en-AU"/>
        </w:rPr>
        <w:t xml:space="preserve">for </w:t>
      </w:r>
      <w:r w:rsidR="0074333B">
        <w:rPr>
          <w:lang w:val="en-AU" w:eastAsia="en-AU"/>
        </w:rPr>
        <w:t>the treatment of acute uncomplicated lower urinary tract infections</w:t>
      </w:r>
      <w:r w:rsidR="007D004D">
        <w:rPr>
          <w:lang w:val="en-AU" w:eastAsia="en-AU"/>
        </w:rPr>
        <w:t xml:space="preserve"> (acute cystitis)</w:t>
      </w:r>
      <w:r w:rsidR="008F661A">
        <w:rPr>
          <w:lang w:val="en-AU" w:eastAsia="en-AU"/>
        </w:rPr>
        <w:t xml:space="preserve"> </w:t>
      </w:r>
      <w:r w:rsidR="00BB0C13">
        <w:rPr>
          <w:lang w:val="en-AU" w:eastAsia="en-AU"/>
        </w:rPr>
        <w:t xml:space="preserve">in </w:t>
      </w:r>
      <w:r w:rsidR="007D004D">
        <w:rPr>
          <w:lang w:val="en-AU" w:eastAsia="en-AU"/>
        </w:rPr>
        <w:t xml:space="preserve">females </w:t>
      </w:r>
      <w:r w:rsidR="008F661A">
        <w:rPr>
          <w:lang w:val="en-AU" w:eastAsia="en-AU"/>
        </w:rPr>
        <w:t>above 12 years of age</w:t>
      </w:r>
      <w:r w:rsidR="007D004D">
        <w:rPr>
          <w:lang w:val="en-AU" w:eastAsia="en-AU"/>
        </w:rPr>
        <w:t xml:space="preserve"> caused by the following susceptible pathogens: </w:t>
      </w:r>
      <w:proofErr w:type="spellStart"/>
      <w:r w:rsidR="007D004D" w:rsidRPr="00A81384">
        <w:rPr>
          <w:lang w:val="en-AU" w:eastAsia="en-AU"/>
        </w:rPr>
        <w:t>Enterobacteriaceae</w:t>
      </w:r>
      <w:proofErr w:type="spellEnd"/>
      <w:r w:rsidR="007D004D" w:rsidRPr="00A81384">
        <w:rPr>
          <w:lang w:val="en-AU" w:eastAsia="en-AU"/>
        </w:rPr>
        <w:t xml:space="preserve"> (including </w:t>
      </w:r>
      <w:r w:rsidR="007D004D" w:rsidRPr="00A81384">
        <w:rPr>
          <w:i/>
          <w:lang w:val="en-AU" w:eastAsia="en-AU"/>
        </w:rPr>
        <w:t>Escherichia coli</w:t>
      </w:r>
      <w:r w:rsidR="007D004D" w:rsidRPr="00A81384">
        <w:rPr>
          <w:lang w:val="en-AU" w:eastAsia="en-AU"/>
        </w:rPr>
        <w:t xml:space="preserve">), </w:t>
      </w:r>
      <w:r w:rsidR="007D004D" w:rsidRPr="00A81384">
        <w:rPr>
          <w:i/>
          <w:lang w:val="en-AU" w:eastAsia="en-AU"/>
        </w:rPr>
        <w:t xml:space="preserve">Enterococcus </w:t>
      </w:r>
      <w:proofErr w:type="spellStart"/>
      <w:r w:rsidR="007D004D" w:rsidRPr="00A81384">
        <w:rPr>
          <w:i/>
          <w:lang w:val="en-AU" w:eastAsia="en-AU"/>
        </w:rPr>
        <w:t>faecalis</w:t>
      </w:r>
      <w:proofErr w:type="spellEnd"/>
      <w:r w:rsidR="007D004D" w:rsidRPr="001029E1">
        <w:rPr>
          <w:lang w:val="en-AU" w:eastAsia="en-AU"/>
        </w:rPr>
        <w:t>.</w:t>
      </w:r>
    </w:p>
    <w:p w14:paraId="2014302B" w14:textId="1737A270" w:rsidR="00EB31DF" w:rsidRPr="001029E1" w:rsidRDefault="00EB31DF" w:rsidP="00EB31DF">
      <w:pPr>
        <w:pStyle w:val="C-BodyText"/>
        <w:rPr>
          <w:lang w:val="en-AU" w:eastAsia="en-AU"/>
        </w:rPr>
      </w:pPr>
      <w:r w:rsidRPr="001029E1">
        <w:rPr>
          <w:color w:val="000000"/>
          <w:lang w:val="en-AU"/>
        </w:rPr>
        <w:t>MONUROL is not indicated for the treatment of pyelonephritis or perinephric abscess</w:t>
      </w:r>
      <w:r w:rsidR="00AF2356">
        <w:rPr>
          <w:color w:val="000000"/>
          <w:lang w:val="en-AU"/>
        </w:rPr>
        <w:t xml:space="preserve"> or where resistance is likely (previous treatment failure, infection due to non-susceptible organism)</w:t>
      </w:r>
      <w:r w:rsidRPr="001029E1">
        <w:rPr>
          <w:color w:val="000000"/>
          <w:lang w:val="en-AU"/>
        </w:rPr>
        <w:t>.</w:t>
      </w:r>
      <w:r w:rsidR="00AD1915">
        <w:rPr>
          <w:color w:val="000000"/>
          <w:lang w:val="en-AU"/>
        </w:rPr>
        <w:t xml:space="preserve"> </w:t>
      </w:r>
    </w:p>
    <w:p w14:paraId="4188934C" w14:textId="2A260F87" w:rsidR="00556EAF" w:rsidRPr="0074333B" w:rsidDel="007D7BFA" w:rsidRDefault="00556EAF" w:rsidP="0074333B">
      <w:pPr>
        <w:pStyle w:val="C-BodyText"/>
      </w:pPr>
      <w:r>
        <w:rPr>
          <w:lang w:val="en-AU" w:eastAsia="en-AU"/>
        </w:rPr>
        <w:t>Appropriate culture and susceptibility studies should be performed to identify the causative organism</w:t>
      </w:r>
      <w:r w:rsidR="00BC4621">
        <w:rPr>
          <w:lang w:val="en-AU" w:eastAsia="en-AU"/>
        </w:rPr>
        <w:t>(s)</w:t>
      </w:r>
      <w:r>
        <w:rPr>
          <w:lang w:val="en-AU" w:eastAsia="en-AU"/>
        </w:rPr>
        <w:t xml:space="preserve"> and determine its </w:t>
      </w:r>
      <w:r w:rsidR="00BC4621">
        <w:rPr>
          <w:lang w:val="en-AU" w:eastAsia="en-AU"/>
        </w:rPr>
        <w:t xml:space="preserve">(their) </w:t>
      </w:r>
      <w:r>
        <w:rPr>
          <w:lang w:val="en-AU" w:eastAsia="en-AU"/>
        </w:rPr>
        <w:t xml:space="preserve">susceptibility to </w:t>
      </w:r>
      <w:r w:rsidR="0078753A">
        <w:rPr>
          <w:lang w:val="en-AU" w:eastAsia="en-AU"/>
        </w:rPr>
        <w:t>MONUROL</w:t>
      </w:r>
      <w:r>
        <w:rPr>
          <w:lang w:val="en-AU" w:eastAsia="en-AU"/>
        </w:rPr>
        <w:t xml:space="preserve">. </w:t>
      </w:r>
      <w:r w:rsidR="007D7BFA">
        <w:rPr>
          <w:lang w:val="en-AU" w:eastAsia="en-AU"/>
        </w:rPr>
        <w:t>However, t</w:t>
      </w:r>
      <w:r w:rsidR="007D7BFA" w:rsidRPr="00772FC8">
        <w:rPr>
          <w:lang w:val="en-AU" w:eastAsia="en-AU"/>
        </w:rPr>
        <w:t>herapy may be initiated before results of these tests are known; once results become available, appropriate therapy should be continued.</w:t>
      </w:r>
      <w:r w:rsidR="007D7BFA">
        <w:rPr>
          <w:lang w:val="en-AU" w:eastAsia="en-AU"/>
        </w:rPr>
        <w:t xml:space="preserve"> </w:t>
      </w:r>
      <w:r w:rsidR="007D004D" w:rsidDel="007D7BFA">
        <w:rPr>
          <w:lang w:val="en-AU" w:eastAsia="en-AU"/>
        </w:rPr>
        <w:t>Consideration should be given to the relevant clinical guidelines on the appropriate use of antibacterial agents.</w:t>
      </w:r>
    </w:p>
    <w:p w14:paraId="2F87B4DC" w14:textId="77777777" w:rsidR="002A50DF" w:rsidRPr="002A50DF" w:rsidRDefault="002A50DF" w:rsidP="00C07648">
      <w:pPr>
        <w:pStyle w:val="C-Heading1nopagebreak0"/>
        <w:rPr>
          <w:bCs/>
        </w:rPr>
      </w:pPr>
      <w:r w:rsidRPr="002A50DF">
        <w:t>CONTRAINDICATIONS</w:t>
      </w:r>
    </w:p>
    <w:p w14:paraId="04322521" w14:textId="77777777" w:rsidR="0074333B" w:rsidRDefault="0074333B" w:rsidP="0074333B">
      <w:pPr>
        <w:pStyle w:val="C-BodyText"/>
        <w:rPr>
          <w:lang w:val="en-AU" w:eastAsia="en-AU"/>
        </w:rPr>
      </w:pPr>
      <w:proofErr w:type="gramStart"/>
      <w:r>
        <w:rPr>
          <w:lang w:val="en-AU" w:eastAsia="en-AU"/>
        </w:rPr>
        <w:t xml:space="preserve">Hypersensitivity to </w:t>
      </w:r>
      <w:proofErr w:type="spellStart"/>
      <w:r>
        <w:rPr>
          <w:lang w:val="en-AU" w:eastAsia="en-AU"/>
        </w:rPr>
        <w:t>fosfomycin</w:t>
      </w:r>
      <w:proofErr w:type="spellEnd"/>
      <w:r>
        <w:rPr>
          <w:lang w:val="en-AU" w:eastAsia="en-AU"/>
        </w:rPr>
        <w:t xml:space="preserve"> trometamol or to any of the excipients.</w:t>
      </w:r>
      <w:proofErr w:type="gramEnd"/>
    </w:p>
    <w:p w14:paraId="12C7283A" w14:textId="59237391" w:rsidR="0074333B" w:rsidRDefault="0074333B" w:rsidP="0074333B">
      <w:pPr>
        <w:pStyle w:val="C-BodyText"/>
        <w:rPr>
          <w:lang w:val="en-AU" w:eastAsia="en-AU"/>
        </w:rPr>
      </w:pPr>
      <w:proofErr w:type="gramStart"/>
      <w:r>
        <w:rPr>
          <w:lang w:val="en-AU" w:eastAsia="en-AU"/>
        </w:rPr>
        <w:t xml:space="preserve">Patients with severe renal insufficiency (creatinine clearance &lt; 10 </w:t>
      </w:r>
      <w:r w:rsidR="00772403">
        <w:rPr>
          <w:lang w:val="en-AU" w:eastAsia="en-AU"/>
        </w:rPr>
        <w:t>m</w:t>
      </w:r>
      <w:r w:rsidR="009A7635">
        <w:rPr>
          <w:lang w:val="en-AU" w:eastAsia="en-AU"/>
        </w:rPr>
        <w:t>l</w:t>
      </w:r>
      <w:r>
        <w:rPr>
          <w:lang w:val="en-AU" w:eastAsia="en-AU"/>
        </w:rPr>
        <w:t>/min).</w:t>
      </w:r>
      <w:proofErr w:type="gramEnd"/>
    </w:p>
    <w:p w14:paraId="7D5EE640" w14:textId="192F6501" w:rsidR="0074333B" w:rsidRDefault="0074333B" w:rsidP="0074333B">
      <w:pPr>
        <w:pStyle w:val="C-BodyText"/>
        <w:rPr>
          <w:lang w:val="en-AU" w:eastAsia="en-AU"/>
        </w:rPr>
      </w:pPr>
      <w:proofErr w:type="gramStart"/>
      <w:r>
        <w:rPr>
          <w:lang w:val="en-AU" w:eastAsia="en-AU"/>
        </w:rPr>
        <w:t xml:space="preserve">Patients undergoing </w:t>
      </w:r>
      <w:proofErr w:type="spellStart"/>
      <w:r w:rsidR="003B19A2">
        <w:rPr>
          <w:lang w:val="en-AU" w:eastAsia="en-AU"/>
        </w:rPr>
        <w:t>haemofiltration</w:t>
      </w:r>
      <w:proofErr w:type="spellEnd"/>
      <w:r w:rsidR="003B19A2">
        <w:rPr>
          <w:lang w:val="en-AU" w:eastAsia="en-AU"/>
        </w:rPr>
        <w:t xml:space="preserve">, </w:t>
      </w:r>
      <w:r>
        <w:rPr>
          <w:lang w:val="en-AU" w:eastAsia="en-AU"/>
        </w:rPr>
        <w:t>haemodialysis</w:t>
      </w:r>
      <w:r w:rsidR="003B19A2">
        <w:rPr>
          <w:lang w:val="en-AU" w:eastAsia="en-AU"/>
        </w:rPr>
        <w:t xml:space="preserve"> or peritoneal dialysis</w:t>
      </w:r>
      <w:r>
        <w:rPr>
          <w:lang w:val="en-AU" w:eastAsia="en-AU"/>
        </w:rPr>
        <w:t>.</w:t>
      </w:r>
      <w:proofErr w:type="gramEnd"/>
    </w:p>
    <w:p w14:paraId="3CB41365" w14:textId="77777777" w:rsidR="002A50DF" w:rsidRPr="002A50DF" w:rsidRDefault="002A50DF" w:rsidP="00C07648">
      <w:pPr>
        <w:pStyle w:val="C-Heading1nopagebreak0"/>
        <w:rPr>
          <w:bCs/>
        </w:rPr>
      </w:pPr>
      <w:r w:rsidRPr="002A50DF">
        <w:t>PRECAUTIONS</w:t>
      </w:r>
    </w:p>
    <w:p w14:paraId="6358E421" w14:textId="77777777" w:rsidR="00DC3E2A" w:rsidRPr="001029E1" w:rsidRDefault="00DC3E2A" w:rsidP="00DC3E2A">
      <w:pPr>
        <w:spacing w:before="251" w:line="562" w:lineRule="exact"/>
        <w:textAlignment w:val="baseline"/>
        <w:rPr>
          <w:b/>
          <w:color w:val="000000"/>
          <w:sz w:val="28"/>
          <w:lang w:val="en-AU"/>
        </w:rPr>
      </w:pPr>
      <w:r w:rsidRPr="001029E1">
        <w:rPr>
          <w:b/>
          <w:color w:val="000000"/>
          <w:sz w:val="28"/>
          <w:lang w:val="en-AU"/>
        </w:rPr>
        <w:t>General</w:t>
      </w:r>
    </w:p>
    <w:p w14:paraId="6434A90B" w14:textId="26F98F26" w:rsidR="00DC3E2A" w:rsidRPr="001029E1" w:rsidRDefault="00DC3E2A" w:rsidP="00DC3E2A">
      <w:pPr>
        <w:pStyle w:val="C-BodyText"/>
        <w:rPr>
          <w:lang w:val="en-AU"/>
        </w:rPr>
      </w:pPr>
      <w:r w:rsidRPr="001029E1">
        <w:rPr>
          <w:lang w:val="en-AU"/>
        </w:rPr>
        <w:t>Do not use more than one single dose of MONUROL to treat a single episode of acute cystitis. Repeated d</w:t>
      </w:r>
      <w:r w:rsidR="00FE1B35">
        <w:rPr>
          <w:lang w:val="en-AU"/>
        </w:rPr>
        <w:t xml:space="preserve">aily doses of MONUROL </w:t>
      </w:r>
      <w:r w:rsidRPr="001029E1">
        <w:rPr>
          <w:lang w:val="en-AU"/>
        </w:rPr>
        <w:t>did not improve the clinical success or microbiological eradication rates c</w:t>
      </w:r>
      <w:r w:rsidR="00FE1B35">
        <w:rPr>
          <w:lang w:val="en-AU"/>
        </w:rPr>
        <w:t>ompared to single dose therapy, but did i</w:t>
      </w:r>
      <w:r w:rsidRPr="006234A3">
        <w:rPr>
          <w:lang w:val="en-AU"/>
        </w:rPr>
        <w:t xml:space="preserve">ncrease the incidence of adverse events. </w:t>
      </w:r>
    </w:p>
    <w:p w14:paraId="7748B28A" w14:textId="77777777" w:rsidR="00FE1B35" w:rsidRDefault="00FE1B35" w:rsidP="00FE1B35">
      <w:pPr>
        <w:pStyle w:val="C-Heading2non-numbered"/>
        <w:rPr>
          <w:lang w:val="en-AU"/>
        </w:rPr>
      </w:pPr>
      <w:r>
        <w:rPr>
          <w:lang w:val="en-AU"/>
        </w:rPr>
        <w:t>Gender</w:t>
      </w:r>
    </w:p>
    <w:p w14:paraId="3AF65FC1" w14:textId="77777777" w:rsidR="00FE1B35" w:rsidRPr="00F903BA" w:rsidRDefault="00FE1B35" w:rsidP="00FE1B35">
      <w:pPr>
        <w:pStyle w:val="C-BodyText"/>
        <w:rPr>
          <w:lang w:val="en-AU"/>
        </w:rPr>
      </w:pPr>
      <w:r w:rsidRPr="00F903BA">
        <w:rPr>
          <w:lang w:val="en-AU"/>
        </w:rPr>
        <w:t>The three pivotal trials US-MON-01, US-MON-02 and US-MON-03 were conducted in female</w:t>
      </w:r>
      <w:r>
        <w:rPr>
          <w:lang w:val="en-AU"/>
        </w:rPr>
        <w:t xml:space="preserve"> </w:t>
      </w:r>
      <w:r w:rsidRPr="00F903BA">
        <w:rPr>
          <w:lang w:val="en-AU"/>
        </w:rPr>
        <w:t>patients only. However, there is extensive early clinical trial and post-marketing experience in</w:t>
      </w:r>
      <w:r>
        <w:rPr>
          <w:lang w:val="en-AU"/>
        </w:rPr>
        <w:t xml:space="preserve"> </w:t>
      </w:r>
      <w:r w:rsidRPr="00F903BA">
        <w:rPr>
          <w:lang w:val="en-AU"/>
        </w:rPr>
        <w:t>males. There do not appear to be any gender-associated differences in the safety profile of</w:t>
      </w:r>
      <w:r>
        <w:rPr>
          <w:lang w:val="en-AU"/>
        </w:rPr>
        <w:t xml:space="preserve"> </w:t>
      </w:r>
      <w:r w:rsidRPr="00F903BA">
        <w:rPr>
          <w:lang w:val="en-AU"/>
        </w:rPr>
        <w:t xml:space="preserve">MONUROL. Efficacy data in male patients with </w:t>
      </w:r>
      <w:r>
        <w:rPr>
          <w:lang w:val="en-AU"/>
        </w:rPr>
        <w:t>urinary tract infection (</w:t>
      </w:r>
      <w:r w:rsidRPr="00F903BA">
        <w:rPr>
          <w:lang w:val="en-AU"/>
        </w:rPr>
        <w:t>UTI</w:t>
      </w:r>
      <w:r>
        <w:rPr>
          <w:lang w:val="en-AU"/>
        </w:rPr>
        <w:t>)</w:t>
      </w:r>
      <w:r w:rsidRPr="00F903BA">
        <w:rPr>
          <w:lang w:val="en-AU"/>
        </w:rPr>
        <w:t xml:space="preserve"> is limited so MONUROL is not recommended</w:t>
      </w:r>
      <w:r>
        <w:rPr>
          <w:lang w:val="en-AU"/>
        </w:rPr>
        <w:t xml:space="preserve"> </w:t>
      </w:r>
      <w:r w:rsidRPr="00F903BA">
        <w:rPr>
          <w:lang w:val="en-AU"/>
        </w:rPr>
        <w:t>in males.</w:t>
      </w:r>
    </w:p>
    <w:p w14:paraId="5345E9C8" w14:textId="77777777" w:rsidR="002A50DF" w:rsidRPr="009012FE" w:rsidRDefault="002A50DF" w:rsidP="002A50DF">
      <w:pPr>
        <w:pStyle w:val="C-Heading2non-numbered"/>
        <w:rPr>
          <w:bCs/>
        </w:rPr>
      </w:pPr>
      <w:r w:rsidRPr="009012FE">
        <w:t>Hype</w:t>
      </w:r>
      <w:r w:rsidRPr="009012FE">
        <w:rPr>
          <w:spacing w:val="9"/>
        </w:rPr>
        <w:t>r</w:t>
      </w:r>
      <w:r w:rsidRPr="009012FE">
        <w:t>sens</w:t>
      </w:r>
      <w:r w:rsidRPr="009012FE">
        <w:rPr>
          <w:spacing w:val="10"/>
        </w:rPr>
        <w:t>i</w:t>
      </w:r>
      <w:r w:rsidRPr="009012FE">
        <w:rPr>
          <w:spacing w:val="9"/>
        </w:rPr>
        <w:t>t</w:t>
      </w:r>
      <w:r w:rsidRPr="009012FE">
        <w:rPr>
          <w:spacing w:val="10"/>
        </w:rPr>
        <w:t>i</w:t>
      </w:r>
      <w:r w:rsidRPr="009012FE">
        <w:t>v</w:t>
      </w:r>
      <w:r w:rsidRPr="009012FE">
        <w:rPr>
          <w:spacing w:val="10"/>
        </w:rPr>
        <w:t>i</w:t>
      </w:r>
      <w:r w:rsidRPr="009012FE">
        <w:rPr>
          <w:spacing w:val="9"/>
        </w:rPr>
        <w:t>t</w:t>
      </w:r>
      <w:r w:rsidRPr="009012FE">
        <w:t>y</w:t>
      </w:r>
    </w:p>
    <w:p w14:paraId="3C266EE1" w14:textId="77777777" w:rsidR="002A50DF" w:rsidRDefault="009012FE" w:rsidP="009012FE">
      <w:pPr>
        <w:pStyle w:val="C-BodyText"/>
        <w:rPr>
          <w:lang w:val="en-AU" w:eastAsia="en-AU"/>
        </w:rPr>
      </w:pPr>
      <w:r>
        <w:rPr>
          <w:lang w:val="en-AU" w:eastAsia="en-AU"/>
        </w:rPr>
        <w:t xml:space="preserve">Hypersensitivity reactions, including anaphylaxis and anaphylactic shock, may occur during </w:t>
      </w:r>
      <w:proofErr w:type="spellStart"/>
      <w:r>
        <w:rPr>
          <w:lang w:val="en-AU" w:eastAsia="en-AU"/>
        </w:rPr>
        <w:t>fosfomycin</w:t>
      </w:r>
      <w:proofErr w:type="spellEnd"/>
      <w:r>
        <w:rPr>
          <w:lang w:val="en-AU" w:eastAsia="en-AU"/>
        </w:rPr>
        <w:t xml:space="preserve"> treatment and may be life-threatening (see </w:t>
      </w:r>
      <w:r w:rsidRPr="009012FE">
        <w:rPr>
          <w:b/>
          <w:lang w:val="en-AU" w:eastAsia="en-AU"/>
        </w:rPr>
        <w:t>ADVERSE EFFECTS</w:t>
      </w:r>
      <w:r>
        <w:rPr>
          <w:lang w:val="en-AU" w:eastAsia="en-AU"/>
        </w:rPr>
        <w:t xml:space="preserve">). If such reaction occurs, </w:t>
      </w:r>
      <w:proofErr w:type="spellStart"/>
      <w:r>
        <w:rPr>
          <w:lang w:val="en-AU" w:eastAsia="en-AU"/>
        </w:rPr>
        <w:t>fosfomycin</w:t>
      </w:r>
      <w:proofErr w:type="spellEnd"/>
      <w:r>
        <w:rPr>
          <w:lang w:val="en-AU" w:eastAsia="en-AU"/>
        </w:rPr>
        <w:t xml:space="preserve"> should never be re-administrated and an</w:t>
      </w:r>
      <w:r w:rsidR="00D24FF1">
        <w:rPr>
          <w:lang w:val="en-AU" w:eastAsia="en-AU"/>
        </w:rPr>
        <w:t xml:space="preserve"> adequate medical treatment is r</w:t>
      </w:r>
      <w:r>
        <w:rPr>
          <w:lang w:val="en-AU" w:eastAsia="en-AU"/>
        </w:rPr>
        <w:t>equired.</w:t>
      </w:r>
    </w:p>
    <w:p w14:paraId="297883AF" w14:textId="77777777" w:rsidR="002A50DF" w:rsidRPr="00EF4963" w:rsidRDefault="009012FE" w:rsidP="002A50DF">
      <w:pPr>
        <w:pStyle w:val="C-Heading2non-numbered"/>
        <w:rPr>
          <w:bCs/>
        </w:rPr>
      </w:pPr>
      <w:r w:rsidRPr="00EF4963">
        <w:lastRenderedPageBreak/>
        <w:t xml:space="preserve">Antibiotic-associated </w:t>
      </w:r>
      <w:proofErr w:type="spellStart"/>
      <w:r w:rsidR="00D73CF6">
        <w:t>D</w:t>
      </w:r>
      <w:r w:rsidRPr="00EF4963">
        <w:t>iarrhoea</w:t>
      </w:r>
      <w:proofErr w:type="spellEnd"/>
    </w:p>
    <w:p w14:paraId="0F60912A" w14:textId="0EC0A47D" w:rsidR="009012FE" w:rsidRDefault="009012FE" w:rsidP="009012FE">
      <w:pPr>
        <w:pStyle w:val="C-BodyText"/>
        <w:rPr>
          <w:lang w:val="en-AU" w:eastAsia="en-AU"/>
        </w:rPr>
      </w:pPr>
      <w:r>
        <w:rPr>
          <w:lang w:val="en-AU" w:eastAsia="en-AU"/>
        </w:rPr>
        <w:t xml:space="preserve">Antibiotic-associated diarrhoea has been reported with use of nearly all antibacterial agents, including </w:t>
      </w:r>
      <w:proofErr w:type="spellStart"/>
      <w:r>
        <w:rPr>
          <w:lang w:val="en-AU" w:eastAsia="en-AU"/>
        </w:rPr>
        <w:t>fosfomycin</w:t>
      </w:r>
      <w:proofErr w:type="spellEnd"/>
      <w:r>
        <w:rPr>
          <w:lang w:val="en-AU" w:eastAsia="en-AU"/>
        </w:rPr>
        <w:t xml:space="preserve"> </w:t>
      </w:r>
      <w:r w:rsidR="000D28AC" w:rsidRPr="009C0F62">
        <w:rPr>
          <w:lang w:val="en-AU" w:eastAsia="en-AU"/>
        </w:rPr>
        <w:t xml:space="preserve">(see </w:t>
      </w:r>
      <w:r w:rsidR="000D28AC" w:rsidRPr="009C0F62">
        <w:rPr>
          <w:b/>
          <w:lang w:val="en-AU" w:eastAsia="en-AU"/>
        </w:rPr>
        <w:t>ADVERSE EFFECTS</w:t>
      </w:r>
      <w:r w:rsidR="000D28AC" w:rsidRPr="009C0F62">
        <w:rPr>
          <w:lang w:val="en-AU" w:eastAsia="en-AU"/>
        </w:rPr>
        <w:t>)</w:t>
      </w:r>
      <w:r w:rsidR="000D28AC">
        <w:rPr>
          <w:lang w:val="en-AU" w:eastAsia="en-AU"/>
        </w:rPr>
        <w:t xml:space="preserve"> </w:t>
      </w:r>
      <w:r>
        <w:rPr>
          <w:lang w:val="en-AU" w:eastAsia="en-AU"/>
        </w:rPr>
        <w:t xml:space="preserve">and may range in severity from mild diarrhoea to fatal colitis. Diarrhoea, particularly if severe, persistent and/or bloody, during or after treatment with </w:t>
      </w:r>
      <w:r w:rsidR="0078753A">
        <w:rPr>
          <w:lang w:val="en-AU" w:eastAsia="en-AU"/>
        </w:rPr>
        <w:t>MONUROL</w:t>
      </w:r>
      <w:r>
        <w:rPr>
          <w:lang w:val="en-AU" w:eastAsia="en-AU"/>
        </w:rPr>
        <w:t xml:space="preserve"> (including several weeks after treatment), may be symptomatic of Clostridium difficile-associated disease (CDAD). It is therefore important to consider this diagnosis in patients who develop serious diarrhoea during or after treatment with </w:t>
      </w:r>
      <w:r w:rsidR="0078753A">
        <w:rPr>
          <w:lang w:val="en-AU" w:eastAsia="en-AU"/>
        </w:rPr>
        <w:t>MONUROL</w:t>
      </w:r>
      <w:r>
        <w:rPr>
          <w:lang w:val="en-AU" w:eastAsia="en-AU"/>
        </w:rPr>
        <w:t xml:space="preserve">. If CDAD is suspected or confirmed, appropriate treatment should be initiated without delay. </w:t>
      </w:r>
    </w:p>
    <w:p w14:paraId="06ADC1C4" w14:textId="77777777" w:rsidR="00E73A37" w:rsidRDefault="00E73A37" w:rsidP="00E73A37">
      <w:pPr>
        <w:pStyle w:val="C-Heading2non-numbered"/>
        <w:rPr>
          <w:lang w:val="en-AU" w:eastAsia="en-AU"/>
        </w:rPr>
      </w:pPr>
      <w:r>
        <w:rPr>
          <w:lang w:val="en-AU" w:eastAsia="en-AU"/>
        </w:rPr>
        <w:t>Renal Insufficiency</w:t>
      </w:r>
    </w:p>
    <w:p w14:paraId="52EF36F2" w14:textId="0F731805" w:rsidR="00E73A37" w:rsidRDefault="00E73A37" w:rsidP="00DC451F">
      <w:pPr>
        <w:pStyle w:val="C-BodyText"/>
        <w:rPr>
          <w:lang w:val="en-AU" w:eastAsia="en-AU"/>
        </w:rPr>
      </w:pPr>
      <w:r>
        <w:rPr>
          <w:lang w:val="en-AU" w:eastAsia="en-AU"/>
        </w:rPr>
        <w:t xml:space="preserve">Urinary concentrations of </w:t>
      </w:r>
      <w:proofErr w:type="spellStart"/>
      <w:r>
        <w:rPr>
          <w:lang w:val="en-AU" w:eastAsia="en-AU"/>
        </w:rPr>
        <w:t>fosfomycin</w:t>
      </w:r>
      <w:proofErr w:type="spellEnd"/>
      <w:r>
        <w:rPr>
          <w:lang w:val="en-AU" w:eastAsia="en-AU"/>
        </w:rPr>
        <w:t xml:space="preserve"> remain effective for 48</w:t>
      </w:r>
      <w:r w:rsidR="001429C1">
        <w:rPr>
          <w:lang w:val="en-AU" w:eastAsia="en-AU"/>
        </w:rPr>
        <w:t xml:space="preserve"> </w:t>
      </w:r>
      <w:r>
        <w:rPr>
          <w:lang w:val="en-AU" w:eastAsia="en-AU"/>
        </w:rPr>
        <w:t xml:space="preserve">hours after a usual dose if creatinine clearance is above 10 </w:t>
      </w:r>
      <w:r w:rsidR="00772403">
        <w:rPr>
          <w:lang w:val="en-AU" w:eastAsia="en-AU"/>
        </w:rPr>
        <w:t>m</w:t>
      </w:r>
      <w:r w:rsidR="009A7635">
        <w:rPr>
          <w:lang w:val="en-AU" w:eastAsia="en-AU"/>
        </w:rPr>
        <w:t>l</w:t>
      </w:r>
      <w:r>
        <w:rPr>
          <w:lang w:val="en-AU" w:eastAsia="en-AU"/>
        </w:rPr>
        <w:t>/min.</w:t>
      </w:r>
    </w:p>
    <w:p w14:paraId="3E1BCB57" w14:textId="77777777" w:rsidR="002A50DF" w:rsidRPr="002A50DF" w:rsidRDefault="002A50DF" w:rsidP="00E73A37">
      <w:pPr>
        <w:pStyle w:val="C-Heading2non-numbered"/>
        <w:rPr>
          <w:bCs/>
        </w:rPr>
      </w:pPr>
      <w:r w:rsidRPr="002A50DF">
        <w:t>Effects</w:t>
      </w:r>
      <w:r w:rsidRPr="002A50DF">
        <w:rPr>
          <w:spacing w:val="-2"/>
        </w:rPr>
        <w:t xml:space="preserve"> </w:t>
      </w:r>
      <w:r w:rsidRPr="002A50DF">
        <w:t>on Fertility</w:t>
      </w:r>
    </w:p>
    <w:p w14:paraId="4B5491E3" w14:textId="02AB0EC4" w:rsidR="004328FF" w:rsidRDefault="00EB228B" w:rsidP="004328FF">
      <w:pPr>
        <w:pStyle w:val="C-BodyText"/>
        <w:rPr>
          <w:lang w:val="en-AU" w:eastAsia="en-AU"/>
        </w:rPr>
      </w:pPr>
      <w:proofErr w:type="spellStart"/>
      <w:r w:rsidRPr="001029E1">
        <w:rPr>
          <w:lang w:val="en-AU"/>
        </w:rPr>
        <w:t>Fosfomycin</w:t>
      </w:r>
      <w:proofErr w:type="spellEnd"/>
      <w:r w:rsidRPr="001029E1">
        <w:rPr>
          <w:lang w:val="en-AU"/>
        </w:rPr>
        <w:t xml:space="preserve"> had no effect on fertility in male and female rats at doses up to 1000 mg/kg/day (3-times the clinical dose relative to body surface area).</w:t>
      </w:r>
      <w:r w:rsidR="00F9268D">
        <w:rPr>
          <w:lang w:val="en-AU"/>
        </w:rPr>
        <w:t xml:space="preserve"> </w:t>
      </w:r>
      <w:r w:rsidR="004328FF">
        <w:rPr>
          <w:lang w:val="en-AU" w:eastAsia="en-AU"/>
        </w:rPr>
        <w:t>No data are available in human</w:t>
      </w:r>
      <w:r w:rsidR="007D231E">
        <w:rPr>
          <w:lang w:val="en-AU" w:eastAsia="en-AU"/>
        </w:rPr>
        <w:t>s</w:t>
      </w:r>
      <w:r w:rsidR="004328FF">
        <w:rPr>
          <w:lang w:val="en-AU" w:eastAsia="en-AU"/>
        </w:rPr>
        <w:t>.</w:t>
      </w:r>
    </w:p>
    <w:p w14:paraId="066D7DAC" w14:textId="77777777" w:rsidR="002A50DF" w:rsidRPr="002A50DF" w:rsidRDefault="002A50DF" w:rsidP="00E73A37">
      <w:pPr>
        <w:pStyle w:val="C-Heading2non-numbered"/>
        <w:rPr>
          <w:bCs/>
        </w:rPr>
      </w:pPr>
      <w:r w:rsidRPr="002A50DF">
        <w:t xml:space="preserve">Use in </w:t>
      </w:r>
      <w:r w:rsidRPr="002A50DF">
        <w:rPr>
          <w:spacing w:val="-2"/>
        </w:rPr>
        <w:t>Pregnancy</w:t>
      </w:r>
    </w:p>
    <w:p w14:paraId="317AD88C" w14:textId="77777777" w:rsidR="00EB228B" w:rsidRPr="001029E1" w:rsidRDefault="00EB228B" w:rsidP="00EB228B">
      <w:pPr>
        <w:pStyle w:val="C-BodyText"/>
        <w:rPr>
          <w:lang w:val="en-AU"/>
        </w:rPr>
      </w:pPr>
      <w:r w:rsidRPr="001029E1">
        <w:rPr>
          <w:lang w:val="en-AU"/>
        </w:rPr>
        <w:t xml:space="preserve">Pregnancy Category B2 </w:t>
      </w:r>
    </w:p>
    <w:p w14:paraId="50D23B04" w14:textId="05AD46E1" w:rsidR="00EB228B" w:rsidRPr="001029E1" w:rsidRDefault="00EB228B" w:rsidP="00EB228B">
      <w:pPr>
        <w:pStyle w:val="C-BodyText"/>
        <w:rPr>
          <w:lang w:val="en-AU"/>
        </w:rPr>
      </w:pPr>
      <w:proofErr w:type="spellStart"/>
      <w:r w:rsidRPr="001029E1">
        <w:rPr>
          <w:lang w:val="en-AU"/>
        </w:rPr>
        <w:t>Fosfomycin</w:t>
      </w:r>
      <w:proofErr w:type="spellEnd"/>
      <w:r w:rsidRPr="001029E1">
        <w:rPr>
          <w:lang w:val="en-AU"/>
        </w:rPr>
        <w:t xml:space="preserve"> was not found to be teratogenic in rats and rabbits when tested at doses of up to 1000 mg/kg/day and 500 mg/kg/day, respectively (3– and 3.8–times the clinical dose relative to body surface area, respectively). </w:t>
      </w:r>
      <w:proofErr w:type="spellStart"/>
      <w:r w:rsidRPr="001029E1">
        <w:rPr>
          <w:lang w:val="en-AU"/>
        </w:rPr>
        <w:t>Fetoxicity</w:t>
      </w:r>
      <w:proofErr w:type="spellEnd"/>
      <w:r w:rsidRPr="001029E1">
        <w:rPr>
          <w:lang w:val="en-AU"/>
        </w:rPr>
        <w:t xml:space="preserve"> was observed in rabbits at doses ≥1000 mg/kg/day, which was secondary to </w:t>
      </w:r>
      <w:proofErr w:type="spellStart"/>
      <w:r w:rsidRPr="001029E1">
        <w:rPr>
          <w:lang w:val="en-AU"/>
        </w:rPr>
        <w:t>maternotoxicity</w:t>
      </w:r>
      <w:proofErr w:type="spellEnd"/>
      <w:r w:rsidRPr="001029E1">
        <w:rPr>
          <w:lang w:val="en-AU"/>
        </w:rPr>
        <w:t xml:space="preserve"> (maternal deaths and body weight losses). No adverse findings were reported in peri-postnatal studies in rats treated at up to 1000 mg/kg/day (3-times the clinical dose relative to body surface area).</w:t>
      </w:r>
    </w:p>
    <w:p w14:paraId="312B61D8" w14:textId="77777777" w:rsidR="007D004D" w:rsidRPr="00FB2BE7" w:rsidRDefault="007D004D" w:rsidP="007D004D">
      <w:pPr>
        <w:pStyle w:val="C-BodyText"/>
        <w:rPr>
          <w:lang w:val="en-AU"/>
        </w:rPr>
      </w:pPr>
      <w:r w:rsidRPr="00FB2BE7">
        <w:rPr>
          <w:lang w:val="en-AU"/>
        </w:rPr>
        <w:t xml:space="preserve">In early clinical trials and in the post-marketing period, at least 1400 pregnant human patients are known to have received </w:t>
      </w:r>
      <w:proofErr w:type="spellStart"/>
      <w:r w:rsidRPr="00FB2BE7">
        <w:rPr>
          <w:lang w:val="en-AU"/>
        </w:rPr>
        <w:t>fosfomycin</w:t>
      </w:r>
      <w:proofErr w:type="spellEnd"/>
      <w:r w:rsidRPr="00FB2BE7">
        <w:rPr>
          <w:lang w:val="en-AU"/>
        </w:rPr>
        <w:t xml:space="preserve"> during pregnancy, usually a 3 g single oral dose. Most patients received the drug during the second and third trimesters. There is no evidence based on review of human data that </w:t>
      </w:r>
      <w:proofErr w:type="spellStart"/>
      <w:r w:rsidRPr="00FB2BE7">
        <w:rPr>
          <w:lang w:val="en-AU"/>
        </w:rPr>
        <w:t>fosfomycin</w:t>
      </w:r>
      <w:proofErr w:type="spellEnd"/>
      <w:r w:rsidRPr="00FB2BE7">
        <w:rPr>
          <w:lang w:val="en-AU"/>
        </w:rPr>
        <w:t xml:space="preserve"> is associated with adverse foetal or maternal outcomes or teratogenicity. At the present time, single-dose antibacterial treatments are not considered suitable to treat urinary tract infections in pregnant women. </w:t>
      </w:r>
    </w:p>
    <w:p w14:paraId="547A66C0" w14:textId="77777777" w:rsidR="004328FF" w:rsidRDefault="004328FF" w:rsidP="004328FF">
      <w:pPr>
        <w:pStyle w:val="C-Heading2non-numbered"/>
      </w:pPr>
      <w:r>
        <w:t>Use in Lactation</w:t>
      </w:r>
    </w:p>
    <w:p w14:paraId="76C4BCCC" w14:textId="77777777" w:rsidR="00920D30" w:rsidRPr="00A45B04" w:rsidRDefault="00920D30" w:rsidP="00D73CF6">
      <w:pPr>
        <w:pStyle w:val="C-BodyText"/>
        <w:rPr>
          <w:lang w:val="en-AU" w:eastAsia="en-AU"/>
        </w:rPr>
      </w:pPr>
      <w:proofErr w:type="spellStart"/>
      <w:r w:rsidRPr="00A45B04">
        <w:rPr>
          <w:lang w:val="en-AU" w:eastAsia="en-AU"/>
        </w:rPr>
        <w:t>Fosfomycin</w:t>
      </w:r>
      <w:proofErr w:type="spellEnd"/>
      <w:r w:rsidRPr="00A45B04">
        <w:rPr>
          <w:lang w:val="en-AU" w:eastAsia="en-AU"/>
        </w:rPr>
        <w:t xml:space="preserve"> is excreted in breast milk.</w:t>
      </w:r>
    </w:p>
    <w:p w14:paraId="748BD145" w14:textId="77777777" w:rsidR="004328FF" w:rsidRDefault="0078753A" w:rsidP="00920D30">
      <w:pPr>
        <w:pStyle w:val="C-BodyText"/>
        <w:rPr>
          <w:lang w:val="en-AU" w:eastAsia="en-AU"/>
        </w:rPr>
      </w:pPr>
      <w:r>
        <w:t>MONUROL</w:t>
      </w:r>
      <w:r w:rsidR="00920D30">
        <w:t xml:space="preserve"> therapy should therefore not be used in breastfeeding mothers unless the potential benefit outweighs the potential risks.</w:t>
      </w:r>
    </w:p>
    <w:p w14:paraId="32E84B50" w14:textId="77777777" w:rsidR="002A50DF" w:rsidRPr="002A50DF" w:rsidRDefault="002A50DF" w:rsidP="004328FF">
      <w:pPr>
        <w:pStyle w:val="C-Heading2non-numbered"/>
        <w:rPr>
          <w:bCs/>
        </w:rPr>
      </w:pPr>
      <w:proofErr w:type="spellStart"/>
      <w:r w:rsidRPr="002A50DF">
        <w:t>Paediatric</w:t>
      </w:r>
      <w:proofErr w:type="spellEnd"/>
      <w:r w:rsidRPr="002A50DF">
        <w:t xml:space="preserve"> </w:t>
      </w:r>
      <w:r w:rsidRPr="002A50DF">
        <w:rPr>
          <w:spacing w:val="-2"/>
        </w:rPr>
        <w:t>Use</w:t>
      </w:r>
    </w:p>
    <w:p w14:paraId="149E10A9" w14:textId="77777777" w:rsidR="002A50DF" w:rsidRPr="002A50DF" w:rsidRDefault="009012FE" w:rsidP="009012FE">
      <w:pPr>
        <w:pStyle w:val="C-BodyText"/>
      </w:pPr>
      <w:r>
        <w:rPr>
          <w:lang w:val="en-AU" w:eastAsia="en-AU"/>
        </w:rPr>
        <w:t xml:space="preserve">Experience in children with </w:t>
      </w:r>
      <w:r w:rsidR="0078753A">
        <w:rPr>
          <w:lang w:val="en-AU" w:eastAsia="en-AU"/>
        </w:rPr>
        <w:t>MONUROL</w:t>
      </w:r>
      <w:r>
        <w:rPr>
          <w:lang w:val="en-AU" w:eastAsia="en-AU"/>
        </w:rPr>
        <w:t xml:space="preserve"> 3 g is limited. The product is not recommended for children below the age of 12.</w:t>
      </w:r>
    </w:p>
    <w:p w14:paraId="2C72D0D0" w14:textId="77777777" w:rsidR="00C74908" w:rsidRDefault="00C74908" w:rsidP="00C74908">
      <w:pPr>
        <w:pStyle w:val="C-Heading2non-numbered"/>
        <w:rPr>
          <w:lang w:val="en-AU"/>
        </w:rPr>
      </w:pPr>
      <w:r>
        <w:rPr>
          <w:lang w:val="en-AU"/>
        </w:rPr>
        <w:lastRenderedPageBreak/>
        <w:t>Use in the Elderly</w:t>
      </w:r>
    </w:p>
    <w:p w14:paraId="4BC1745C" w14:textId="77777777" w:rsidR="00C74908" w:rsidRPr="00372ECF" w:rsidRDefault="00C74908" w:rsidP="00C74908">
      <w:pPr>
        <w:pStyle w:val="C-BodyText"/>
        <w:rPr>
          <w:lang w:val="en-AU"/>
        </w:rPr>
      </w:pPr>
      <w:proofErr w:type="spellStart"/>
      <w:r w:rsidRPr="00372ECF">
        <w:rPr>
          <w:lang w:val="en-AU"/>
        </w:rPr>
        <w:t>Fosfomycin</w:t>
      </w:r>
      <w:proofErr w:type="spellEnd"/>
      <w:r w:rsidRPr="00372ECF">
        <w:rPr>
          <w:lang w:val="en-AU"/>
        </w:rPr>
        <w:t xml:space="preserve"> may be given in the elderly. In elderly patients with good renal function,</w:t>
      </w:r>
      <w:r>
        <w:rPr>
          <w:lang w:val="en-AU"/>
        </w:rPr>
        <w:t xml:space="preserve"> </w:t>
      </w:r>
      <w:r w:rsidRPr="00372ECF">
        <w:rPr>
          <w:lang w:val="en-AU"/>
        </w:rPr>
        <w:t xml:space="preserve">pharmacokinetics, efficacy and safety appear similar to younger adults. </w:t>
      </w:r>
      <w:proofErr w:type="gramStart"/>
      <w:r w:rsidRPr="00372ECF">
        <w:rPr>
          <w:lang w:val="en-AU"/>
        </w:rPr>
        <w:t>For elderly patients</w:t>
      </w:r>
      <w:r>
        <w:rPr>
          <w:lang w:val="en-AU"/>
        </w:rPr>
        <w:t xml:space="preserve"> </w:t>
      </w:r>
      <w:r w:rsidRPr="00372ECF">
        <w:rPr>
          <w:lang w:val="en-AU"/>
        </w:rPr>
        <w:t xml:space="preserve">with age-related or other renal insufficiency, see </w:t>
      </w:r>
      <w:r w:rsidRPr="005A30D6">
        <w:rPr>
          <w:b/>
          <w:lang w:val="en-AU"/>
        </w:rPr>
        <w:t>Special Populations</w:t>
      </w:r>
      <w:r w:rsidRPr="00372ECF">
        <w:rPr>
          <w:lang w:val="en-AU"/>
        </w:rPr>
        <w:t xml:space="preserve"> section.</w:t>
      </w:r>
      <w:proofErr w:type="gramEnd"/>
    </w:p>
    <w:p w14:paraId="0EF1D9A5" w14:textId="77777777" w:rsidR="002A50DF" w:rsidRPr="002A50DF" w:rsidRDefault="002A50DF" w:rsidP="00E73A37">
      <w:pPr>
        <w:pStyle w:val="C-Heading2non-numbered"/>
        <w:rPr>
          <w:bCs/>
        </w:rPr>
      </w:pPr>
      <w:r w:rsidRPr="002A50DF">
        <w:t>Genotoxicity</w:t>
      </w:r>
    </w:p>
    <w:p w14:paraId="38E732EB" w14:textId="77777777" w:rsidR="002F5133" w:rsidRPr="001029E1" w:rsidRDefault="002F5133" w:rsidP="002F5133">
      <w:pPr>
        <w:pStyle w:val="C-BodyText"/>
        <w:rPr>
          <w:color w:val="000000"/>
          <w:lang w:val="en-AU"/>
        </w:rPr>
      </w:pPr>
      <w:proofErr w:type="spellStart"/>
      <w:r w:rsidRPr="001029E1">
        <w:rPr>
          <w:color w:val="000000"/>
          <w:lang w:val="en-AU"/>
        </w:rPr>
        <w:t>Fosfomycin</w:t>
      </w:r>
      <w:proofErr w:type="spellEnd"/>
      <w:r w:rsidRPr="001029E1">
        <w:rPr>
          <w:color w:val="000000"/>
          <w:lang w:val="en-AU"/>
        </w:rPr>
        <w:t xml:space="preserve"> was not found to be genotoxic under </w:t>
      </w:r>
      <w:r w:rsidRPr="001029E1">
        <w:rPr>
          <w:i/>
          <w:color w:val="000000"/>
          <w:lang w:val="en-AU"/>
        </w:rPr>
        <w:t>in vitro</w:t>
      </w:r>
      <w:r w:rsidRPr="001029E1">
        <w:rPr>
          <w:color w:val="000000"/>
          <w:lang w:val="en-AU"/>
        </w:rPr>
        <w:t xml:space="preserve"> (bacterial reverse mutation assay, mammalian mutation assay, chromosomal aberration test) or </w:t>
      </w:r>
      <w:r w:rsidRPr="006D62AE">
        <w:rPr>
          <w:i/>
          <w:color w:val="000000"/>
          <w:lang w:val="en-AU"/>
        </w:rPr>
        <w:t>in vivo</w:t>
      </w:r>
      <w:r w:rsidRPr="001029E1">
        <w:rPr>
          <w:color w:val="000000"/>
          <w:lang w:val="en-AU"/>
        </w:rPr>
        <w:t xml:space="preserve"> conditions (mouse micronucleus test).</w:t>
      </w:r>
    </w:p>
    <w:p w14:paraId="18993D9C" w14:textId="77777777" w:rsidR="002F5133" w:rsidRPr="001029E1" w:rsidRDefault="002F5133" w:rsidP="002F5133">
      <w:pPr>
        <w:pStyle w:val="C-Heading2non-numbered"/>
        <w:rPr>
          <w:lang w:val="en-AU"/>
        </w:rPr>
      </w:pPr>
      <w:r w:rsidRPr="001029E1">
        <w:rPr>
          <w:lang w:val="en-AU"/>
        </w:rPr>
        <w:t>Carcinogenicity</w:t>
      </w:r>
    </w:p>
    <w:p w14:paraId="49DD5426" w14:textId="77777777" w:rsidR="002F5133" w:rsidRPr="009012FE" w:rsidRDefault="002F5133" w:rsidP="009012FE">
      <w:pPr>
        <w:pStyle w:val="C-BodyText"/>
        <w:rPr>
          <w:lang w:val="en-AU"/>
        </w:rPr>
      </w:pPr>
      <w:r w:rsidRPr="001029E1">
        <w:rPr>
          <w:lang w:val="en-AU"/>
        </w:rPr>
        <w:t xml:space="preserve">Carcinogenicity studies in rodents have not been conducted. Based on the short-term use of </w:t>
      </w:r>
      <w:proofErr w:type="spellStart"/>
      <w:r w:rsidRPr="001029E1">
        <w:rPr>
          <w:lang w:val="en-AU"/>
        </w:rPr>
        <w:t>fosfomycin</w:t>
      </w:r>
      <w:proofErr w:type="spellEnd"/>
      <w:r w:rsidRPr="001029E1">
        <w:rPr>
          <w:lang w:val="en-AU"/>
        </w:rPr>
        <w:t xml:space="preserve"> and the lack of evidence of genotoxicity, </w:t>
      </w:r>
      <w:proofErr w:type="spellStart"/>
      <w:r w:rsidRPr="001029E1">
        <w:rPr>
          <w:lang w:val="en-AU"/>
        </w:rPr>
        <w:t>fosfomycin</w:t>
      </w:r>
      <w:proofErr w:type="spellEnd"/>
      <w:r w:rsidRPr="001029E1">
        <w:rPr>
          <w:lang w:val="en-AU"/>
        </w:rPr>
        <w:t xml:space="preserve"> is not anticipated to be carcinogenic.</w:t>
      </w:r>
    </w:p>
    <w:p w14:paraId="4AF224C6" w14:textId="77777777" w:rsidR="001429C1" w:rsidRPr="00E73A37" w:rsidRDefault="001429C1" w:rsidP="001429C1">
      <w:pPr>
        <w:pStyle w:val="C-Heading2non-numbered"/>
        <w:rPr>
          <w:lang w:val="en-AU" w:eastAsia="en-AU"/>
        </w:rPr>
      </w:pPr>
      <w:r>
        <w:rPr>
          <w:lang w:val="en-AU" w:eastAsia="en-AU"/>
        </w:rPr>
        <w:t xml:space="preserve">Sucrose </w:t>
      </w:r>
      <w:r w:rsidR="00D73CF6">
        <w:rPr>
          <w:lang w:val="en-AU" w:eastAsia="en-AU"/>
        </w:rPr>
        <w:t>C</w:t>
      </w:r>
      <w:r>
        <w:rPr>
          <w:lang w:val="en-AU" w:eastAsia="en-AU"/>
        </w:rPr>
        <w:t>ontent</w:t>
      </w:r>
    </w:p>
    <w:p w14:paraId="46799A25" w14:textId="07FDF897" w:rsidR="001429C1" w:rsidRPr="009012FE" w:rsidRDefault="0078753A" w:rsidP="001429C1">
      <w:pPr>
        <w:pStyle w:val="C-BodyText"/>
        <w:rPr>
          <w:highlight w:val="yellow"/>
        </w:rPr>
      </w:pPr>
      <w:r>
        <w:rPr>
          <w:lang w:val="en-AU" w:eastAsia="en-AU"/>
        </w:rPr>
        <w:t>MONUROL</w:t>
      </w:r>
      <w:r w:rsidR="001429C1">
        <w:rPr>
          <w:lang w:val="en-AU" w:eastAsia="en-AU"/>
        </w:rPr>
        <w:t xml:space="preserve"> contains sucrose. Its use is not recommended in patients with hereditary problems of fructose intolerance, glucose-galactose malabsorption or </w:t>
      </w:r>
      <w:proofErr w:type="spellStart"/>
      <w:r w:rsidR="001429C1">
        <w:rPr>
          <w:lang w:val="en-AU" w:eastAsia="en-AU"/>
        </w:rPr>
        <w:t>sucrase</w:t>
      </w:r>
      <w:r w:rsidR="00F9268D">
        <w:rPr>
          <w:lang w:val="en-AU" w:eastAsia="en-AU"/>
        </w:rPr>
        <w:t>-</w:t>
      </w:r>
      <w:r w:rsidR="001429C1">
        <w:rPr>
          <w:lang w:val="en-AU" w:eastAsia="en-AU"/>
        </w:rPr>
        <w:t>isomaltase</w:t>
      </w:r>
      <w:proofErr w:type="spellEnd"/>
      <w:r w:rsidR="001429C1">
        <w:rPr>
          <w:lang w:val="en-AU" w:eastAsia="en-AU"/>
        </w:rPr>
        <w:t xml:space="preserve"> insufficiency.</w:t>
      </w:r>
    </w:p>
    <w:p w14:paraId="421B4B98" w14:textId="77777777" w:rsidR="001429C1" w:rsidRDefault="001429C1" w:rsidP="001429C1">
      <w:pPr>
        <w:pStyle w:val="C-Heading2non-numbered"/>
        <w:rPr>
          <w:lang w:val="en-AU" w:eastAsia="en-AU"/>
        </w:rPr>
      </w:pPr>
      <w:r>
        <w:rPr>
          <w:lang w:val="en-AU" w:eastAsia="en-AU"/>
        </w:rPr>
        <w:t>Food</w:t>
      </w:r>
    </w:p>
    <w:p w14:paraId="2C2FCB01" w14:textId="77777777" w:rsidR="001429C1" w:rsidRDefault="001429C1" w:rsidP="001429C1">
      <w:pPr>
        <w:pStyle w:val="C-BodyText"/>
        <w:rPr>
          <w:lang w:val="en-AU" w:eastAsia="en-AU"/>
        </w:rPr>
      </w:pPr>
      <w:r>
        <w:rPr>
          <w:lang w:val="en-AU" w:eastAsia="en-AU"/>
        </w:rPr>
        <w:t xml:space="preserve">Food may delay the absorption of the active ingredient of </w:t>
      </w:r>
      <w:r w:rsidR="0078753A">
        <w:rPr>
          <w:lang w:val="en-AU" w:eastAsia="en-AU"/>
        </w:rPr>
        <w:t>MONUROL</w:t>
      </w:r>
      <w:r>
        <w:rPr>
          <w:lang w:val="en-AU" w:eastAsia="en-AU"/>
        </w:rPr>
        <w:t>, with consequent slight decrease in peak plasma levels and urinary concentrations. It is therefore preferable to take the medicine on an empty stomach or about 2 – 3 hours after meals.</w:t>
      </w:r>
    </w:p>
    <w:p w14:paraId="408BB576" w14:textId="77777777" w:rsidR="001429C1" w:rsidRPr="00D7521A" w:rsidRDefault="001429C1" w:rsidP="001429C1">
      <w:pPr>
        <w:pStyle w:val="C-Heading2non-numbered"/>
        <w:rPr>
          <w:lang w:eastAsia="en-AU"/>
        </w:rPr>
      </w:pPr>
      <w:r>
        <w:rPr>
          <w:lang w:val="en-AU" w:eastAsia="en-AU"/>
        </w:rPr>
        <w:t xml:space="preserve">Effects on </w:t>
      </w:r>
      <w:r w:rsidR="00D73CF6">
        <w:rPr>
          <w:lang w:val="en-AU" w:eastAsia="en-AU"/>
        </w:rPr>
        <w:t>Laboratory T</w:t>
      </w:r>
      <w:r>
        <w:rPr>
          <w:lang w:val="en-AU" w:eastAsia="en-AU"/>
        </w:rPr>
        <w:t>ests</w:t>
      </w:r>
    </w:p>
    <w:p w14:paraId="1A977230" w14:textId="77777777" w:rsidR="00C74908" w:rsidRDefault="00C74908" w:rsidP="00C74908">
      <w:pPr>
        <w:pStyle w:val="C-BodyText"/>
        <w:rPr>
          <w:lang w:val="en-AU" w:eastAsia="en-AU"/>
        </w:rPr>
      </w:pPr>
      <w:r w:rsidRPr="00372ECF">
        <w:rPr>
          <w:lang w:val="en-AU" w:eastAsia="en-AU"/>
        </w:rPr>
        <w:t>In post-marketing surveillance, three cases of increased INR (prothrombin time) and two cases</w:t>
      </w:r>
      <w:r>
        <w:rPr>
          <w:lang w:val="en-AU" w:eastAsia="en-AU"/>
        </w:rPr>
        <w:t xml:space="preserve"> </w:t>
      </w:r>
      <w:r w:rsidRPr="00372ECF">
        <w:rPr>
          <w:lang w:val="en-AU" w:eastAsia="en-AU"/>
        </w:rPr>
        <w:t>of decreased INR (prothrombin time) were reported. No further clinical information is available</w:t>
      </w:r>
      <w:r>
        <w:rPr>
          <w:lang w:val="en-AU" w:eastAsia="en-AU"/>
        </w:rPr>
        <w:t xml:space="preserve"> </w:t>
      </w:r>
      <w:r w:rsidRPr="00372ECF">
        <w:rPr>
          <w:lang w:val="en-AU" w:eastAsia="en-AU"/>
        </w:rPr>
        <w:t xml:space="preserve">regarding these patients. As </w:t>
      </w:r>
      <w:proofErr w:type="spellStart"/>
      <w:r w:rsidRPr="00372ECF">
        <w:rPr>
          <w:lang w:val="en-AU" w:eastAsia="en-AU"/>
        </w:rPr>
        <w:t>fosfomycin</w:t>
      </w:r>
      <w:proofErr w:type="spellEnd"/>
      <w:r w:rsidRPr="00372ECF">
        <w:rPr>
          <w:lang w:val="en-AU" w:eastAsia="en-AU"/>
        </w:rPr>
        <w:t xml:space="preserve"> does not bind to plasma proteins and does not undergo</w:t>
      </w:r>
      <w:r>
        <w:rPr>
          <w:lang w:val="en-AU" w:eastAsia="en-AU"/>
        </w:rPr>
        <w:t xml:space="preserve"> </w:t>
      </w:r>
      <w:r w:rsidRPr="00372ECF">
        <w:rPr>
          <w:lang w:val="en-AU" w:eastAsia="en-AU"/>
        </w:rPr>
        <w:t xml:space="preserve">metabolism, an interaction with anticoagulant drugs of the </w:t>
      </w:r>
      <w:proofErr w:type="spellStart"/>
      <w:r w:rsidRPr="00372ECF">
        <w:rPr>
          <w:lang w:val="en-AU" w:eastAsia="en-AU"/>
        </w:rPr>
        <w:t>coumarin</w:t>
      </w:r>
      <w:proofErr w:type="spellEnd"/>
      <w:r w:rsidRPr="00372ECF">
        <w:rPr>
          <w:lang w:val="en-AU" w:eastAsia="en-AU"/>
        </w:rPr>
        <w:t xml:space="preserve"> type such as warfarin is</w:t>
      </w:r>
      <w:r>
        <w:rPr>
          <w:lang w:val="en-AU" w:eastAsia="en-AU"/>
        </w:rPr>
        <w:t xml:space="preserve"> </w:t>
      </w:r>
      <w:r w:rsidRPr="00372ECF">
        <w:rPr>
          <w:lang w:val="en-AU" w:eastAsia="en-AU"/>
        </w:rPr>
        <w:t xml:space="preserve">not anticipated, although </w:t>
      </w:r>
      <w:proofErr w:type="spellStart"/>
      <w:r w:rsidRPr="00372ECF">
        <w:rPr>
          <w:lang w:val="en-AU" w:eastAsia="en-AU"/>
        </w:rPr>
        <w:t>fosfomycin</w:t>
      </w:r>
      <w:proofErr w:type="spellEnd"/>
      <w:r w:rsidRPr="00372ECF">
        <w:rPr>
          <w:lang w:val="en-AU" w:eastAsia="en-AU"/>
        </w:rPr>
        <w:t xml:space="preserve"> has not been studied in patients taking antico</w:t>
      </w:r>
      <w:r>
        <w:rPr>
          <w:lang w:val="en-AU" w:eastAsia="en-AU"/>
        </w:rPr>
        <w:t>a</w:t>
      </w:r>
      <w:r w:rsidRPr="00372ECF">
        <w:rPr>
          <w:lang w:val="en-AU" w:eastAsia="en-AU"/>
        </w:rPr>
        <w:t>gulants.</w:t>
      </w:r>
      <w:r>
        <w:rPr>
          <w:lang w:val="en-AU" w:eastAsia="en-AU"/>
        </w:rPr>
        <w:t xml:space="preserve"> </w:t>
      </w:r>
      <w:r w:rsidRPr="00372ECF">
        <w:rPr>
          <w:lang w:val="en-AU" w:eastAsia="en-AU"/>
        </w:rPr>
        <w:t xml:space="preserve">Recommend monitoring of coagulation in patients receiving </w:t>
      </w:r>
      <w:proofErr w:type="spellStart"/>
      <w:r w:rsidRPr="00372ECF">
        <w:rPr>
          <w:lang w:val="en-AU" w:eastAsia="en-AU"/>
        </w:rPr>
        <w:t>coumarins</w:t>
      </w:r>
      <w:proofErr w:type="spellEnd"/>
      <w:r w:rsidRPr="00372ECF">
        <w:rPr>
          <w:lang w:val="en-AU" w:eastAsia="en-AU"/>
        </w:rPr>
        <w:t>.</w:t>
      </w:r>
    </w:p>
    <w:p w14:paraId="0F2BF62F" w14:textId="77777777" w:rsidR="004328FF" w:rsidRDefault="004328FF" w:rsidP="004328FF">
      <w:pPr>
        <w:pStyle w:val="C-Heading2non-numbered"/>
        <w:rPr>
          <w:lang w:val="en-AU" w:eastAsia="en-AU"/>
        </w:rPr>
      </w:pPr>
      <w:r>
        <w:rPr>
          <w:lang w:val="en-AU" w:eastAsia="en-AU"/>
        </w:rPr>
        <w:t xml:space="preserve">Effects on </w:t>
      </w:r>
      <w:r w:rsidR="00D73CF6">
        <w:rPr>
          <w:lang w:val="en-AU" w:eastAsia="en-AU"/>
        </w:rPr>
        <w:t>A</w:t>
      </w:r>
      <w:r>
        <w:rPr>
          <w:lang w:val="en-AU" w:eastAsia="en-AU"/>
        </w:rPr>
        <w:t xml:space="preserve">bility to </w:t>
      </w:r>
      <w:r w:rsidR="00D73CF6">
        <w:rPr>
          <w:lang w:val="en-AU" w:eastAsia="en-AU"/>
        </w:rPr>
        <w:t>D</w:t>
      </w:r>
      <w:r>
        <w:rPr>
          <w:lang w:val="en-AU" w:eastAsia="en-AU"/>
        </w:rPr>
        <w:t xml:space="preserve">rive and </w:t>
      </w:r>
      <w:r w:rsidR="00D73CF6">
        <w:rPr>
          <w:lang w:val="en-AU" w:eastAsia="en-AU"/>
        </w:rPr>
        <w:t>U</w:t>
      </w:r>
      <w:r>
        <w:rPr>
          <w:lang w:val="en-AU" w:eastAsia="en-AU"/>
        </w:rPr>
        <w:t xml:space="preserve">se </w:t>
      </w:r>
      <w:r w:rsidR="00D73CF6">
        <w:rPr>
          <w:lang w:val="en-AU" w:eastAsia="en-AU"/>
        </w:rPr>
        <w:t>M</w:t>
      </w:r>
      <w:r>
        <w:rPr>
          <w:lang w:val="en-AU" w:eastAsia="en-AU"/>
        </w:rPr>
        <w:t>achines</w:t>
      </w:r>
    </w:p>
    <w:p w14:paraId="24902E4F" w14:textId="77777777" w:rsidR="004328FF" w:rsidRPr="001429C1" w:rsidRDefault="004328FF" w:rsidP="004328FF">
      <w:pPr>
        <w:pStyle w:val="C-BodyText"/>
        <w:rPr>
          <w:lang w:val="en-AU" w:eastAsia="en-AU"/>
        </w:rPr>
      </w:pPr>
      <w:r>
        <w:rPr>
          <w:lang w:val="en-AU" w:eastAsia="en-AU"/>
        </w:rPr>
        <w:t>No specific studies have been performed but patients should be informed that dizziness has been reported. This may influence some patients’ ability to drive and use machines.</w:t>
      </w:r>
    </w:p>
    <w:p w14:paraId="4A4D603E" w14:textId="77777777" w:rsidR="002A50DF" w:rsidRPr="002A50DF" w:rsidRDefault="002A50DF" w:rsidP="00C07648">
      <w:pPr>
        <w:pStyle w:val="C-Heading1nopagebreak0"/>
        <w:rPr>
          <w:bCs/>
        </w:rPr>
      </w:pPr>
      <w:r w:rsidRPr="002A50DF">
        <w:t>INTERACTIONS WITH OTHER MEDICINES</w:t>
      </w:r>
    </w:p>
    <w:p w14:paraId="157218AC" w14:textId="77777777" w:rsidR="00E73A37" w:rsidRDefault="00E73A37" w:rsidP="00E73A37">
      <w:pPr>
        <w:pStyle w:val="C-BodyText"/>
        <w:rPr>
          <w:lang w:val="en-AU" w:eastAsia="en-AU"/>
        </w:rPr>
      </w:pPr>
      <w:r>
        <w:rPr>
          <w:lang w:val="en-AU" w:eastAsia="en-AU"/>
        </w:rPr>
        <w:t xml:space="preserve">Concomitant administration of metoclopramide has been shown to lower serum and urinary concentrations of </w:t>
      </w:r>
      <w:proofErr w:type="spellStart"/>
      <w:r>
        <w:rPr>
          <w:lang w:val="en-AU" w:eastAsia="en-AU"/>
        </w:rPr>
        <w:t>fosfomycin</w:t>
      </w:r>
      <w:proofErr w:type="spellEnd"/>
      <w:r>
        <w:rPr>
          <w:lang w:val="en-AU" w:eastAsia="en-AU"/>
        </w:rPr>
        <w:t xml:space="preserve"> and should be avoided.</w:t>
      </w:r>
    </w:p>
    <w:p w14:paraId="55293269" w14:textId="77777777" w:rsidR="00E73A37" w:rsidRDefault="00E73A37" w:rsidP="00E73A37">
      <w:pPr>
        <w:pStyle w:val="C-BodyText"/>
        <w:rPr>
          <w:lang w:val="en-AU" w:eastAsia="en-AU"/>
        </w:rPr>
      </w:pPr>
      <w:r>
        <w:rPr>
          <w:lang w:val="en-AU" w:eastAsia="en-AU"/>
        </w:rPr>
        <w:t>Other drugs that increase gastrointestinal motility may produce similar effects.</w:t>
      </w:r>
    </w:p>
    <w:p w14:paraId="71DE572B" w14:textId="77777777" w:rsidR="00C74908" w:rsidRPr="001029E1" w:rsidRDefault="00C74908" w:rsidP="00C74908">
      <w:pPr>
        <w:pStyle w:val="C-BodyText"/>
        <w:rPr>
          <w:lang w:val="en-AU" w:eastAsia="en-AU"/>
        </w:rPr>
      </w:pPr>
      <w:r>
        <w:rPr>
          <w:lang w:val="en-AU" w:eastAsia="en-AU"/>
        </w:rPr>
        <w:lastRenderedPageBreak/>
        <w:t xml:space="preserve">Cimetidine does not alter the pharmacokinetics of </w:t>
      </w:r>
      <w:proofErr w:type="spellStart"/>
      <w:r>
        <w:rPr>
          <w:lang w:val="en-AU" w:eastAsia="en-AU"/>
        </w:rPr>
        <w:t>fosfomycin</w:t>
      </w:r>
      <w:proofErr w:type="spellEnd"/>
      <w:r>
        <w:rPr>
          <w:lang w:val="en-AU" w:eastAsia="en-AU"/>
        </w:rPr>
        <w:t>.</w:t>
      </w:r>
    </w:p>
    <w:p w14:paraId="56107CF4" w14:textId="6BA45AD7" w:rsidR="00C74908" w:rsidRDefault="001429C1" w:rsidP="00C74908">
      <w:pPr>
        <w:pStyle w:val="C-BodyText"/>
        <w:rPr>
          <w:lang w:val="en-AU" w:eastAsia="en-AU"/>
        </w:rPr>
      </w:pPr>
      <w:r>
        <w:rPr>
          <w:lang w:val="en-AU" w:eastAsia="en-AU"/>
        </w:rPr>
        <w:t xml:space="preserve">Interaction studies </w:t>
      </w:r>
      <w:r w:rsidR="00C74908">
        <w:rPr>
          <w:lang w:val="en-AU" w:eastAsia="en-AU"/>
        </w:rPr>
        <w:t xml:space="preserve">with metoclopramide and cimetidine </w:t>
      </w:r>
      <w:r>
        <w:rPr>
          <w:lang w:val="en-AU" w:eastAsia="en-AU"/>
        </w:rPr>
        <w:t xml:space="preserve">have only been performed in </w:t>
      </w:r>
      <w:r w:rsidR="00C74908">
        <w:rPr>
          <w:lang w:val="en-AU" w:eastAsia="en-AU"/>
        </w:rPr>
        <w:t xml:space="preserve">healthy </w:t>
      </w:r>
      <w:r>
        <w:rPr>
          <w:lang w:val="en-AU" w:eastAsia="en-AU"/>
        </w:rPr>
        <w:t>adult</w:t>
      </w:r>
      <w:r w:rsidR="00C74908">
        <w:rPr>
          <w:lang w:val="en-AU" w:eastAsia="en-AU"/>
        </w:rPr>
        <w:t xml:space="preserve"> volunteers aged 20 years and over. No other drugs have been studied for potential interactions with </w:t>
      </w:r>
      <w:proofErr w:type="spellStart"/>
      <w:r w:rsidR="00C74908">
        <w:rPr>
          <w:lang w:val="en-AU" w:eastAsia="en-AU"/>
        </w:rPr>
        <w:t>fosfomycin</w:t>
      </w:r>
      <w:proofErr w:type="spellEnd"/>
      <w:r w:rsidR="00C74908">
        <w:rPr>
          <w:lang w:val="en-AU" w:eastAsia="en-AU"/>
        </w:rPr>
        <w:t>. No drug interaction studies have been performed in humans aged less than 20 years</w:t>
      </w:r>
      <w:r w:rsidR="00C74908" w:rsidRPr="001029E1">
        <w:rPr>
          <w:lang w:val="en-AU" w:eastAsia="en-AU"/>
        </w:rPr>
        <w:t>.</w:t>
      </w:r>
    </w:p>
    <w:p w14:paraId="287FBB44" w14:textId="28727B61" w:rsidR="001429C1" w:rsidRDefault="00C74908" w:rsidP="004328FF">
      <w:pPr>
        <w:pStyle w:val="C-BodyText"/>
        <w:rPr>
          <w:lang w:val="en-AU" w:eastAsia="en-AU"/>
        </w:rPr>
      </w:pPr>
      <w:r w:rsidRPr="00314F43">
        <w:rPr>
          <w:lang w:val="en-AU" w:eastAsia="en-AU"/>
        </w:rPr>
        <w:t xml:space="preserve">Concomitant usage with urinary </w:t>
      </w:r>
      <w:proofErr w:type="spellStart"/>
      <w:r w:rsidRPr="00314F43">
        <w:rPr>
          <w:lang w:val="en-AU" w:eastAsia="en-AU"/>
        </w:rPr>
        <w:t>alkalinisers</w:t>
      </w:r>
      <w:proofErr w:type="spellEnd"/>
      <w:r w:rsidRPr="00314F43">
        <w:rPr>
          <w:lang w:val="en-AU" w:eastAsia="en-AU"/>
        </w:rPr>
        <w:t xml:space="preserve"> is not recommended. MONUROL is most</w:t>
      </w:r>
      <w:r>
        <w:rPr>
          <w:lang w:val="en-AU" w:eastAsia="en-AU"/>
        </w:rPr>
        <w:t xml:space="preserve"> </w:t>
      </w:r>
      <w:r w:rsidRPr="00314F43">
        <w:rPr>
          <w:lang w:val="en-AU" w:eastAsia="en-AU"/>
        </w:rPr>
        <w:t xml:space="preserve">bactericidal at typical urinary </w:t>
      </w:r>
      <w:proofErr w:type="spellStart"/>
      <w:r w:rsidRPr="00314F43">
        <w:rPr>
          <w:lang w:val="en-AU" w:eastAsia="en-AU"/>
        </w:rPr>
        <w:t>pH.</w:t>
      </w:r>
      <w:proofErr w:type="spellEnd"/>
      <w:r w:rsidRPr="00314F43">
        <w:rPr>
          <w:lang w:val="en-AU" w:eastAsia="en-AU"/>
        </w:rPr>
        <w:t xml:space="preserve"> Also, potential for resistance development appears less at acid</w:t>
      </w:r>
      <w:r>
        <w:rPr>
          <w:lang w:val="en-AU" w:eastAsia="en-AU"/>
        </w:rPr>
        <w:t xml:space="preserve"> </w:t>
      </w:r>
      <w:proofErr w:type="spellStart"/>
      <w:r w:rsidRPr="00314F43">
        <w:rPr>
          <w:lang w:val="en-AU" w:eastAsia="en-AU"/>
        </w:rPr>
        <w:t>pH.</w:t>
      </w:r>
      <w:proofErr w:type="spellEnd"/>
    </w:p>
    <w:p w14:paraId="473FE05E" w14:textId="77777777" w:rsidR="002A50DF" w:rsidRPr="002A50DF" w:rsidRDefault="002A50DF" w:rsidP="00C07648">
      <w:pPr>
        <w:pStyle w:val="C-Heading1nopagebreak0"/>
        <w:rPr>
          <w:bCs/>
        </w:rPr>
      </w:pPr>
      <w:r w:rsidRPr="002A50DF">
        <w:t xml:space="preserve">ADVERSE </w:t>
      </w:r>
      <w:r w:rsidRPr="002A50DF">
        <w:rPr>
          <w:spacing w:val="-1"/>
        </w:rPr>
        <w:t>EFFECTS</w:t>
      </w:r>
    </w:p>
    <w:p w14:paraId="788F469E" w14:textId="5379BC74" w:rsidR="004328FF" w:rsidRPr="004328FF" w:rsidRDefault="005F23A9" w:rsidP="004328FF">
      <w:pPr>
        <w:pStyle w:val="C-BodyText"/>
        <w:rPr>
          <w:lang w:val="en-AU" w:eastAsia="en-AU"/>
        </w:rPr>
      </w:pPr>
      <w:r>
        <w:rPr>
          <w:lang w:val="en-AU" w:eastAsia="en-AU"/>
        </w:rPr>
        <w:t xml:space="preserve">The majority of clinical trials have been conducted in adult or adolescent females aged 12 years or above. </w:t>
      </w:r>
      <w:r w:rsidR="004328FF" w:rsidRPr="004328FF">
        <w:rPr>
          <w:lang w:val="en-AU" w:eastAsia="en-AU"/>
        </w:rPr>
        <w:t>The most common adverse reactions following the single</w:t>
      </w:r>
      <w:r>
        <w:rPr>
          <w:lang w:val="en-AU" w:eastAsia="en-AU"/>
        </w:rPr>
        <w:t xml:space="preserve"> 3 g </w:t>
      </w:r>
      <w:r w:rsidR="004328FF" w:rsidRPr="004328FF">
        <w:rPr>
          <w:lang w:val="en-AU" w:eastAsia="en-AU"/>
        </w:rPr>
        <w:t>dose of</w:t>
      </w:r>
      <w:r w:rsidR="004328FF">
        <w:rPr>
          <w:lang w:val="en-AU" w:eastAsia="en-AU"/>
        </w:rPr>
        <w:t xml:space="preserve"> </w:t>
      </w:r>
      <w:proofErr w:type="spellStart"/>
      <w:r w:rsidR="004328FF" w:rsidRPr="004328FF">
        <w:rPr>
          <w:lang w:val="en-AU" w:eastAsia="en-AU"/>
        </w:rPr>
        <w:t>fosfomycin</w:t>
      </w:r>
      <w:proofErr w:type="spellEnd"/>
      <w:r w:rsidR="004328FF" w:rsidRPr="004328FF">
        <w:rPr>
          <w:lang w:val="en-AU" w:eastAsia="en-AU"/>
        </w:rPr>
        <w:t xml:space="preserve"> trometamol involve</w:t>
      </w:r>
      <w:r>
        <w:rPr>
          <w:lang w:val="en-AU" w:eastAsia="en-AU"/>
        </w:rPr>
        <w:t>d</w:t>
      </w:r>
      <w:r w:rsidR="004328FF" w:rsidRPr="004328FF">
        <w:rPr>
          <w:lang w:val="en-AU" w:eastAsia="en-AU"/>
        </w:rPr>
        <w:t xml:space="preserve"> the gastrointestinal tract, mainly diarrhoea. These</w:t>
      </w:r>
      <w:r w:rsidR="004328FF">
        <w:rPr>
          <w:lang w:val="en-AU" w:eastAsia="en-AU"/>
        </w:rPr>
        <w:t xml:space="preserve"> </w:t>
      </w:r>
      <w:r w:rsidR="004328FF" w:rsidRPr="004328FF">
        <w:rPr>
          <w:lang w:val="en-AU" w:eastAsia="en-AU"/>
        </w:rPr>
        <w:t xml:space="preserve">events </w:t>
      </w:r>
      <w:r>
        <w:rPr>
          <w:lang w:val="en-AU" w:eastAsia="en-AU"/>
        </w:rPr>
        <w:t>were</w:t>
      </w:r>
      <w:r w:rsidR="004328FF" w:rsidRPr="004328FF">
        <w:rPr>
          <w:lang w:val="en-AU" w:eastAsia="en-AU"/>
        </w:rPr>
        <w:t xml:space="preserve"> usually self-limited in duration and resolve spontaneously.</w:t>
      </w:r>
      <w:r>
        <w:rPr>
          <w:lang w:val="en-AU" w:eastAsia="en-AU"/>
        </w:rPr>
        <w:t xml:space="preserve"> Table 4 lists drug-related adverse events which occurred in 1% or more of </w:t>
      </w:r>
      <w:proofErr w:type="spellStart"/>
      <w:r>
        <w:rPr>
          <w:lang w:val="en-AU" w:eastAsia="en-AU"/>
        </w:rPr>
        <w:t>fosfomycin</w:t>
      </w:r>
      <w:proofErr w:type="spellEnd"/>
      <w:r>
        <w:rPr>
          <w:lang w:val="en-AU" w:eastAsia="en-AU"/>
        </w:rPr>
        <w:t xml:space="preserve"> recipients in the three pivotal trials.</w:t>
      </w:r>
    </w:p>
    <w:p w14:paraId="45CA2450" w14:textId="77777777" w:rsidR="005F23A9" w:rsidRPr="00B5424C" w:rsidRDefault="005F23A9" w:rsidP="005F23A9">
      <w:pPr>
        <w:pStyle w:val="Caption"/>
        <w:rPr>
          <w:lang w:val="en-AU" w:eastAsia="en-AU"/>
        </w:rPr>
      </w:pPr>
      <w:r>
        <w:rPr>
          <w:lang w:val="en-AU" w:eastAsia="en-AU"/>
        </w:rPr>
        <w:t>Table </w:t>
      </w:r>
      <w:r>
        <w:rPr>
          <w:lang w:val="en-AU" w:eastAsia="en-AU"/>
        </w:rPr>
        <w:fldChar w:fldCharType="begin"/>
      </w:r>
      <w:r>
        <w:rPr>
          <w:lang w:val="en-AU" w:eastAsia="en-AU"/>
        </w:rPr>
        <w:instrText xml:space="preserve"> SEQ Table \* ARABIC \* MERGEFORMAT </w:instrText>
      </w:r>
      <w:r>
        <w:rPr>
          <w:lang w:val="en-AU" w:eastAsia="en-AU"/>
        </w:rPr>
        <w:fldChar w:fldCharType="separate"/>
      </w:r>
      <w:r>
        <w:rPr>
          <w:noProof/>
          <w:lang w:val="en-AU" w:eastAsia="en-AU"/>
        </w:rPr>
        <w:t>4</w:t>
      </w:r>
      <w:r>
        <w:rPr>
          <w:lang w:val="en-AU" w:eastAsia="en-AU"/>
        </w:rPr>
        <w:fldChar w:fldCharType="end"/>
      </w:r>
      <w:r>
        <w:rPr>
          <w:lang w:val="en-AU" w:eastAsia="en-AU"/>
        </w:rPr>
        <w:t>:</w:t>
      </w:r>
      <w:r>
        <w:rPr>
          <w:lang w:val="en-AU" w:eastAsia="en-AU"/>
        </w:rPr>
        <w:tab/>
      </w:r>
      <w:r w:rsidRPr="00B5424C">
        <w:rPr>
          <w:lang w:val="en-AU" w:eastAsia="en-AU"/>
        </w:rPr>
        <w:t xml:space="preserve">Drug-related adverse events occurring in &gt;1% of </w:t>
      </w:r>
      <w:proofErr w:type="spellStart"/>
      <w:r w:rsidRPr="00B5424C">
        <w:rPr>
          <w:lang w:val="en-AU" w:eastAsia="en-AU"/>
        </w:rPr>
        <w:t>fosfomycin</w:t>
      </w:r>
      <w:proofErr w:type="spellEnd"/>
      <w:r w:rsidRPr="00B5424C">
        <w:rPr>
          <w:lang w:val="en-AU" w:eastAsia="en-AU"/>
        </w:rPr>
        <w:t xml:space="preserve"> recipients in the 3 pivotal efficacy and safety trials US-MON-01, US-MON-02 and US-MON-03</w:t>
      </w:r>
    </w:p>
    <w:p w14:paraId="76DFFDDB" w14:textId="77777777" w:rsidR="005F23A9" w:rsidRPr="00B5424C" w:rsidRDefault="005F23A9" w:rsidP="005F23A9">
      <w:pPr>
        <w:pStyle w:val="C-BodyText"/>
        <w:rPr>
          <w:b/>
          <w:lang w:val="en-AU" w:eastAsia="en-AU"/>
        </w:rPr>
      </w:pPr>
      <w:r w:rsidRPr="00B5424C">
        <w:rPr>
          <w:b/>
          <w:lang w:val="en-AU" w:eastAsia="en-AU"/>
        </w:rPr>
        <w:t xml:space="preserve">Drug-Related Adverse Events (%) in </w:t>
      </w:r>
      <w:proofErr w:type="spellStart"/>
      <w:r w:rsidRPr="00B5424C">
        <w:rPr>
          <w:b/>
          <w:lang w:val="en-AU" w:eastAsia="en-AU"/>
        </w:rPr>
        <w:t>Fosfomycin</w:t>
      </w:r>
      <w:proofErr w:type="spellEnd"/>
      <w:r w:rsidRPr="00B5424C">
        <w:rPr>
          <w:b/>
          <w:lang w:val="en-AU" w:eastAsia="en-AU"/>
        </w:rPr>
        <w:t xml:space="preserve"> and Comparator Populations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990"/>
        <w:gridCol w:w="1870"/>
      </w:tblGrid>
      <w:tr w:rsidR="005F23A9" w14:paraId="7EB2673F" w14:textId="77777777" w:rsidTr="00CA480E">
        <w:tc>
          <w:tcPr>
            <w:tcW w:w="1870" w:type="dxa"/>
          </w:tcPr>
          <w:p w14:paraId="0A1AB0E0" w14:textId="77777777" w:rsidR="005F23A9" w:rsidRPr="00292E10" w:rsidRDefault="005F23A9" w:rsidP="00CA480E">
            <w:pPr>
              <w:pStyle w:val="C-BodyText"/>
              <w:rPr>
                <w:b/>
                <w:lang w:val="en-AU" w:eastAsia="en-AU"/>
              </w:rPr>
            </w:pPr>
            <w:r w:rsidRPr="00292E10">
              <w:rPr>
                <w:b/>
                <w:lang w:val="en-AU" w:eastAsia="en-AU"/>
              </w:rPr>
              <w:t>Adverse Events</w:t>
            </w:r>
          </w:p>
        </w:tc>
        <w:tc>
          <w:tcPr>
            <w:tcW w:w="1870" w:type="dxa"/>
          </w:tcPr>
          <w:p w14:paraId="3D002DA8" w14:textId="77777777" w:rsidR="005F23A9" w:rsidRPr="00292E10" w:rsidRDefault="005F23A9" w:rsidP="00CA480E">
            <w:pPr>
              <w:pStyle w:val="C-BodyText"/>
              <w:jc w:val="center"/>
              <w:rPr>
                <w:b/>
                <w:lang w:val="en-AU" w:eastAsia="en-AU"/>
              </w:rPr>
            </w:pPr>
            <w:proofErr w:type="spellStart"/>
            <w:r w:rsidRPr="00292E10">
              <w:rPr>
                <w:b/>
                <w:lang w:val="en-AU" w:eastAsia="en-AU"/>
              </w:rPr>
              <w:t>Fosfomycin</w:t>
            </w:r>
            <w:proofErr w:type="spellEnd"/>
            <w:r w:rsidRPr="00292E10">
              <w:rPr>
                <w:b/>
                <w:lang w:val="en-AU" w:eastAsia="en-AU"/>
              </w:rPr>
              <w:br/>
              <w:t>N = 1233</w:t>
            </w:r>
          </w:p>
        </w:tc>
        <w:tc>
          <w:tcPr>
            <w:tcW w:w="1870" w:type="dxa"/>
          </w:tcPr>
          <w:p w14:paraId="4AE46D48" w14:textId="77777777" w:rsidR="005F23A9" w:rsidRPr="00292E10" w:rsidRDefault="005F23A9" w:rsidP="00CA480E">
            <w:pPr>
              <w:pStyle w:val="C-BodyText"/>
              <w:jc w:val="center"/>
              <w:rPr>
                <w:b/>
                <w:lang w:val="en-AU" w:eastAsia="en-AU"/>
              </w:rPr>
            </w:pPr>
            <w:r w:rsidRPr="00292E10">
              <w:rPr>
                <w:b/>
                <w:lang w:val="en-AU" w:eastAsia="en-AU"/>
              </w:rPr>
              <w:t>Nitrofurantoin</w:t>
            </w:r>
            <w:r w:rsidRPr="00292E10">
              <w:rPr>
                <w:b/>
                <w:lang w:val="en-AU" w:eastAsia="en-AU"/>
              </w:rPr>
              <w:br/>
              <w:t>N = 374</w:t>
            </w:r>
          </w:p>
        </w:tc>
        <w:tc>
          <w:tcPr>
            <w:tcW w:w="1870" w:type="dxa"/>
          </w:tcPr>
          <w:p w14:paraId="38414889" w14:textId="77777777" w:rsidR="005F23A9" w:rsidRPr="00292E10" w:rsidRDefault="005F23A9" w:rsidP="00CA480E">
            <w:pPr>
              <w:pStyle w:val="C-BodyText"/>
              <w:jc w:val="center"/>
              <w:rPr>
                <w:b/>
                <w:lang w:val="en-AU" w:eastAsia="en-AU"/>
              </w:rPr>
            </w:pPr>
            <w:r w:rsidRPr="00292E10">
              <w:rPr>
                <w:b/>
                <w:lang w:val="en-AU" w:eastAsia="en-AU"/>
              </w:rPr>
              <w:t>Trimethoprim/ sulfamethoxazole</w:t>
            </w:r>
            <w:r w:rsidRPr="00292E10">
              <w:rPr>
                <w:b/>
                <w:lang w:val="en-AU" w:eastAsia="en-AU"/>
              </w:rPr>
              <w:br/>
              <w:t>N = 428</w:t>
            </w:r>
          </w:p>
        </w:tc>
        <w:tc>
          <w:tcPr>
            <w:tcW w:w="1870" w:type="dxa"/>
          </w:tcPr>
          <w:p w14:paraId="3B888065" w14:textId="77777777" w:rsidR="005F23A9" w:rsidRPr="00292E10" w:rsidRDefault="005F23A9" w:rsidP="00CA480E">
            <w:pPr>
              <w:pStyle w:val="C-BodyText"/>
              <w:jc w:val="center"/>
              <w:rPr>
                <w:b/>
                <w:lang w:val="en-AU" w:eastAsia="en-AU"/>
              </w:rPr>
            </w:pPr>
            <w:r w:rsidRPr="00292E10">
              <w:rPr>
                <w:b/>
                <w:lang w:val="en-AU" w:eastAsia="en-AU"/>
              </w:rPr>
              <w:t>Ciprofloxacin</w:t>
            </w:r>
            <w:r w:rsidRPr="00292E10">
              <w:rPr>
                <w:b/>
                <w:lang w:val="en-AU" w:eastAsia="en-AU"/>
              </w:rPr>
              <w:br/>
              <w:t>N = 455</w:t>
            </w:r>
          </w:p>
        </w:tc>
      </w:tr>
      <w:tr w:rsidR="005F23A9" w14:paraId="25543467" w14:textId="77777777" w:rsidTr="00CA480E">
        <w:tc>
          <w:tcPr>
            <w:tcW w:w="1870" w:type="dxa"/>
          </w:tcPr>
          <w:p w14:paraId="1D2FE3CF" w14:textId="77777777" w:rsidR="005F23A9" w:rsidRDefault="005F23A9" w:rsidP="00CA480E">
            <w:pPr>
              <w:pStyle w:val="C-BodyText"/>
              <w:rPr>
                <w:lang w:val="en-AU" w:eastAsia="en-AU"/>
              </w:rPr>
            </w:pPr>
            <w:r>
              <w:rPr>
                <w:lang w:val="en-AU" w:eastAsia="en-AU"/>
              </w:rPr>
              <w:t>Diarrhoea</w:t>
            </w:r>
          </w:p>
        </w:tc>
        <w:tc>
          <w:tcPr>
            <w:tcW w:w="1870" w:type="dxa"/>
          </w:tcPr>
          <w:p w14:paraId="514342DB" w14:textId="77777777" w:rsidR="005F23A9" w:rsidRDefault="005F23A9" w:rsidP="00CA480E">
            <w:pPr>
              <w:pStyle w:val="C-BodyText"/>
              <w:jc w:val="center"/>
              <w:rPr>
                <w:lang w:val="en-AU" w:eastAsia="en-AU"/>
              </w:rPr>
            </w:pPr>
            <w:r>
              <w:rPr>
                <w:lang w:val="en-AU" w:eastAsia="en-AU"/>
              </w:rPr>
              <w:t>9.0</w:t>
            </w:r>
          </w:p>
        </w:tc>
        <w:tc>
          <w:tcPr>
            <w:tcW w:w="1870" w:type="dxa"/>
          </w:tcPr>
          <w:p w14:paraId="1C68B06A" w14:textId="77777777" w:rsidR="005F23A9" w:rsidRDefault="005F23A9" w:rsidP="00CA480E">
            <w:pPr>
              <w:pStyle w:val="C-BodyText"/>
              <w:jc w:val="center"/>
              <w:rPr>
                <w:lang w:val="en-AU" w:eastAsia="en-AU"/>
              </w:rPr>
            </w:pPr>
            <w:r>
              <w:rPr>
                <w:lang w:val="en-AU" w:eastAsia="en-AU"/>
              </w:rPr>
              <w:t>6.4</w:t>
            </w:r>
          </w:p>
        </w:tc>
        <w:tc>
          <w:tcPr>
            <w:tcW w:w="1870" w:type="dxa"/>
          </w:tcPr>
          <w:p w14:paraId="774498B6" w14:textId="77777777" w:rsidR="005F23A9" w:rsidRDefault="005F23A9" w:rsidP="00CA480E">
            <w:pPr>
              <w:pStyle w:val="C-BodyText"/>
              <w:jc w:val="center"/>
              <w:rPr>
                <w:lang w:val="en-AU" w:eastAsia="en-AU"/>
              </w:rPr>
            </w:pPr>
            <w:r>
              <w:rPr>
                <w:lang w:val="en-AU" w:eastAsia="en-AU"/>
              </w:rPr>
              <w:t>2.3</w:t>
            </w:r>
          </w:p>
        </w:tc>
        <w:tc>
          <w:tcPr>
            <w:tcW w:w="1870" w:type="dxa"/>
          </w:tcPr>
          <w:p w14:paraId="1DA385E4" w14:textId="77777777" w:rsidR="005F23A9" w:rsidRDefault="005F23A9" w:rsidP="00CA480E">
            <w:pPr>
              <w:pStyle w:val="C-BodyText"/>
              <w:jc w:val="center"/>
              <w:rPr>
                <w:lang w:val="en-AU" w:eastAsia="en-AU"/>
              </w:rPr>
            </w:pPr>
            <w:r>
              <w:rPr>
                <w:lang w:val="en-AU" w:eastAsia="en-AU"/>
              </w:rPr>
              <w:t>3.1</w:t>
            </w:r>
          </w:p>
        </w:tc>
      </w:tr>
      <w:tr w:rsidR="005F23A9" w14:paraId="2484115E" w14:textId="77777777" w:rsidTr="00CA480E">
        <w:tc>
          <w:tcPr>
            <w:tcW w:w="1870" w:type="dxa"/>
          </w:tcPr>
          <w:p w14:paraId="2A6B0C37" w14:textId="77777777" w:rsidR="005F23A9" w:rsidRDefault="005F23A9" w:rsidP="00CA480E">
            <w:pPr>
              <w:pStyle w:val="C-BodyText"/>
              <w:rPr>
                <w:lang w:val="en-AU" w:eastAsia="en-AU"/>
              </w:rPr>
            </w:pPr>
            <w:r>
              <w:rPr>
                <w:lang w:val="en-AU" w:eastAsia="en-AU"/>
              </w:rPr>
              <w:t>Vaginitis</w:t>
            </w:r>
          </w:p>
        </w:tc>
        <w:tc>
          <w:tcPr>
            <w:tcW w:w="1870" w:type="dxa"/>
          </w:tcPr>
          <w:p w14:paraId="67C067AE" w14:textId="77777777" w:rsidR="005F23A9" w:rsidRDefault="005F23A9" w:rsidP="00CA480E">
            <w:pPr>
              <w:pStyle w:val="C-BodyText"/>
              <w:jc w:val="center"/>
              <w:rPr>
                <w:lang w:val="en-AU" w:eastAsia="en-AU"/>
              </w:rPr>
            </w:pPr>
            <w:r>
              <w:rPr>
                <w:lang w:val="en-AU" w:eastAsia="en-AU"/>
              </w:rPr>
              <w:t>5.5</w:t>
            </w:r>
          </w:p>
        </w:tc>
        <w:tc>
          <w:tcPr>
            <w:tcW w:w="1870" w:type="dxa"/>
          </w:tcPr>
          <w:p w14:paraId="5B5665E9" w14:textId="77777777" w:rsidR="005F23A9" w:rsidRDefault="005F23A9" w:rsidP="00CA480E">
            <w:pPr>
              <w:pStyle w:val="C-BodyText"/>
              <w:jc w:val="center"/>
              <w:rPr>
                <w:lang w:val="en-AU" w:eastAsia="en-AU"/>
              </w:rPr>
            </w:pPr>
            <w:r>
              <w:rPr>
                <w:lang w:val="en-AU" w:eastAsia="en-AU"/>
              </w:rPr>
              <w:t>5.3</w:t>
            </w:r>
          </w:p>
        </w:tc>
        <w:tc>
          <w:tcPr>
            <w:tcW w:w="1870" w:type="dxa"/>
          </w:tcPr>
          <w:p w14:paraId="1C908479" w14:textId="77777777" w:rsidR="005F23A9" w:rsidRDefault="005F23A9" w:rsidP="00CA480E">
            <w:pPr>
              <w:pStyle w:val="C-BodyText"/>
              <w:jc w:val="center"/>
              <w:rPr>
                <w:lang w:val="en-AU" w:eastAsia="en-AU"/>
              </w:rPr>
            </w:pPr>
            <w:r>
              <w:rPr>
                <w:lang w:val="en-AU" w:eastAsia="en-AU"/>
              </w:rPr>
              <w:t>4.7</w:t>
            </w:r>
          </w:p>
        </w:tc>
        <w:tc>
          <w:tcPr>
            <w:tcW w:w="1870" w:type="dxa"/>
          </w:tcPr>
          <w:p w14:paraId="6F36CDDA" w14:textId="77777777" w:rsidR="005F23A9" w:rsidRDefault="005F23A9" w:rsidP="00CA480E">
            <w:pPr>
              <w:pStyle w:val="C-BodyText"/>
              <w:jc w:val="center"/>
              <w:rPr>
                <w:lang w:val="en-AU" w:eastAsia="en-AU"/>
              </w:rPr>
            </w:pPr>
            <w:r>
              <w:rPr>
                <w:lang w:val="en-AU" w:eastAsia="en-AU"/>
              </w:rPr>
              <w:t>6.3</w:t>
            </w:r>
          </w:p>
        </w:tc>
      </w:tr>
      <w:tr w:rsidR="005F23A9" w14:paraId="751B11E1" w14:textId="77777777" w:rsidTr="00CA480E">
        <w:tc>
          <w:tcPr>
            <w:tcW w:w="1870" w:type="dxa"/>
          </w:tcPr>
          <w:p w14:paraId="799B0FA6" w14:textId="77777777" w:rsidR="005F23A9" w:rsidRDefault="005F23A9" w:rsidP="00CA480E">
            <w:pPr>
              <w:pStyle w:val="C-BodyText"/>
              <w:rPr>
                <w:lang w:val="en-AU" w:eastAsia="en-AU"/>
              </w:rPr>
            </w:pPr>
            <w:r>
              <w:rPr>
                <w:lang w:val="en-AU" w:eastAsia="en-AU"/>
              </w:rPr>
              <w:t>Nausea</w:t>
            </w:r>
          </w:p>
        </w:tc>
        <w:tc>
          <w:tcPr>
            <w:tcW w:w="1870" w:type="dxa"/>
          </w:tcPr>
          <w:p w14:paraId="4CB43E9A" w14:textId="77777777" w:rsidR="005F23A9" w:rsidRDefault="005F23A9" w:rsidP="00CA480E">
            <w:pPr>
              <w:pStyle w:val="C-BodyText"/>
              <w:jc w:val="center"/>
              <w:rPr>
                <w:lang w:val="en-AU" w:eastAsia="en-AU"/>
              </w:rPr>
            </w:pPr>
            <w:r>
              <w:rPr>
                <w:lang w:val="en-AU" w:eastAsia="en-AU"/>
              </w:rPr>
              <w:t>4.1</w:t>
            </w:r>
          </w:p>
        </w:tc>
        <w:tc>
          <w:tcPr>
            <w:tcW w:w="1870" w:type="dxa"/>
          </w:tcPr>
          <w:p w14:paraId="39D277FB" w14:textId="77777777" w:rsidR="005F23A9" w:rsidRDefault="005F23A9" w:rsidP="00CA480E">
            <w:pPr>
              <w:pStyle w:val="C-BodyText"/>
              <w:jc w:val="center"/>
              <w:rPr>
                <w:lang w:val="en-AU" w:eastAsia="en-AU"/>
              </w:rPr>
            </w:pPr>
            <w:r>
              <w:rPr>
                <w:lang w:val="en-AU" w:eastAsia="en-AU"/>
              </w:rPr>
              <w:t>7.2</w:t>
            </w:r>
          </w:p>
        </w:tc>
        <w:tc>
          <w:tcPr>
            <w:tcW w:w="1870" w:type="dxa"/>
          </w:tcPr>
          <w:p w14:paraId="5A51B073" w14:textId="77777777" w:rsidR="005F23A9" w:rsidRDefault="005F23A9" w:rsidP="00CA480E">
            <w:pPr>
              <w:pStyle w:val="C-BodyText"/>
              <w:jc w:val="center"/>
              <w:rPr>
                <w:lang w:val="en-AU" w:eastAsia="en-AU"/>
              </w:rPr>
            </w:pPr>
            <w:r>
              <w:rPr>
                <w:lang w:val="en-AU" w:eastAsia="en-AU"/>
              </w:rPr>
              <w:t>8.6</w:t>
            </w:r>
          </w:p>
        </w:tc>
        <w:tc>
          <w:tcPr>
            <w:tcW w:w="1870" w:type="dxa"/>
          </w:tcPr>
          <w:p w14:paraId="0AEB0492" w14:textId="77777777" w:rsidR="005F23A9" w:rsidRDefault="005F23A9" w:rsidP="00CA480E">
            <w:pPr>
              <w:pStyle w:val="C-BodyText"/>
              <w:jc w:val="center"/>
              <w:rPr>
                <w:lang w:val="en-AU" w:eastAsia="en-AU"/>
              </w:rPr>
            </w:pPr>
            <w:r>
              <w:rPr>
                <w:lang w:val="en-AU" w:eastAsia="en-AU"/>
              </w:rPr>
              <w:t>3.4</w:t>
            </w:r>
          </w:p>
        </w:tc>
      </w:tr>
      <w:tr w:rsidR="005F23A9" w14:paraId="4EB8C7D0" w14:textId="77777777" w:rsidTr="00CA480E">
        <w:tc>
          <w:tcPr>
            <w:tcW w:w="1870" w:type="dxa"/>
          </w:tcPr>
          <w:p w14:paraId="2A89D176" w14:textId="77777777" w:rsidR="005F23A9" w:rsidRDefault="005F23A9" w:rsidP="00CA480E">
            <w:pPr>
              <w:pStyle w:val="C-BodyText"/>
              <w:rPr>
                <w:lang w:val="en-AU" w:eastAsia="en-AU"/>
              </w:rPr>
            </w:pPr>
            <w:r>
              <w:rPr>
                <w:lang w:val="en-AU" w:eastAsia="en-AU"/>
              </w:rPr>
              <w:t>Headache</w:t>
            </w:r>
          </w:p>
        </w:tc>
        <w:tc>
          <w:tcPr>
            <w:tcW w:w="1870" w:type="dxa"/>
          </w:tcPr>
          <w:p w14:paraId="043564ED" w14:textId="77777777" w:rsidR="005F23A9" w:rsidRDefault="005F23A9" w:rsidP="00CA480E">
            <w:pPr>
              <w:pStyle w:val="C-BodyText"/>
              <w:jc w:val="center"/>
              <w:rPr>
                <w:lang w:val="en-AU" w:eastAsia="en-AU"/>
              </w:rPr>
            </w:pPr>
            <w:r>
              <w:rPr>
                <w:lang w:val="en-AU" w:eastAsia="en-AU"/>
              </w:rPr>
              <w:t>3.9</w:t>
            </w:r>
          </w:p>
        </w:tc>
        <w:tc>
          <w:tcPr>
            <w:tcW w:w="1870" w:type="dxa"/>
          </w:tcPr>
          <w:p w14:paraId="0F6D8F66" w14:textId="77777777" w:rsidR="005F23A9" w:rsidRDefault="005F23A9" w:rsidP="00CA480E">
            <w:pPr>
              <w:pStyle w:val="C-BodyText"/>
              <w:jc w:val="center"/>
              <w:rPr>
                <w:lang w:val="en-AU" w:eastAsia="en-AU"/>
              </w:rPr>
            </w:pPr>
            <w:r>
              <w:rPr>
                <w:lang w:val="en-AU" w:eastAsia="en-AU"/>
              </w:rPr>
              <w:t>5.9</w:t>
            </w:r>
          </w:p>
        </w:tc>
        <w:tc>
          <w:tcPr>
            <w:tcW w:w="1870" w:type="dxa"/>
          </w:tcPr>
          <w:p w14:paraId="7922F17A" w14:textId="77777777" w:rsidR="005F23A9" w:rsidRDefault="005F23A9" w:rsidP="00CA480E">
            <w:pPr>
              <w:pStyle w:val="C-BodyText"/>
              <w:jc w:val="center"/>
              <w:rPr>
                <w:lang w:val="en-AU" w:eastAsia="en-AU"/>
              </w:rPr>
            </w:pPr>
            <w:r>
              <w:rPr>
                <w:lang w:val="en-AU" w:eastAsia="en-AU"/>
              </w:rPr>
              <w:t>5.4</w:t>
            </w:r>
          </w:p>
        </w:tc>
        <w:tc>
          <w:tcPr>
            <w:tcW w:w="1870" w:type="dxa"/>
          </w:tcPr>
          <w:p w14:paraId="4C96C2B7" w14:textId="77777777" w:rsidR="005F23A9" w:rsidRDefault="005F23A9" w:rsidP="00CA480E">
            <w:pPr>
              <w:pStyle w:val="C-BodyText"/>
              <w:jc w:val="center"/>
              <w:rPr>
                <w:lang w:val="en-AU" w:eastAsia="en-AU"/>
              </w:rPr>
            </w:pPr>
            <w:r>
              <w:rPr>
                <w:lang w:val="en-AU" w:eastAsia="en-AU"/>
              </w:rPr>
              <w:t>3.4</w:t>
            </w:r>
          </w:p>
        </w:tc>
      </w:tr>
      <w:tr w:rsidR="005F23A9" w14:paraId="4ED57FB3" w14:textId="77777777" w:rsidTr="00CA480E">
        <w:tc>
          <w:tcPr>
            <w:tcW w:w="1870" w:type="dxa"/>
          </w:tcPr>
          <w:p w14:paraId="21D64E88" w14:textId="77777777" w:rsidR="005F23A9" w:rsidRDefault="005F23A9" w:rsidP="00CA480E">
            <w:pPr>
              <w:pStyle w:val="C-BodyText"/>
              <w:rPr>
                <w:lang w:val="en-AU" w:eastAsia="en-AU"/>
              </w:rPr>
            </w:pPr>
            <w:r>
              <w:rPr>
                <w:lang w:val="en-AU" w:eastAsia="en-AU"/>
              </w:rPr>
              <w:t>Dizziness</w:t>
            </w:r>
          </w:p>
        </w:tc>
        <w:tc>
          <w:tcPr>
            <w:tcW w:w="1870" w:type="dxa"/>
          </w:tcPr>
          <w:p w14:paraId="358F7453" w14:textId="77777777" w:rsidR="005F23A9" w:rsidRDefault="005F23A9" w:rsidP="00CA480E">
            <w:pPr>
              <w:pStyle w:val="C-BodyText"/>
              <w:jc w:val="center"/>
              <w:rPr>
                <w:lang w:val="en-AU" w:eastAsia="en-AU"/>
              </w:rPr>
            </w:pPr>
            <w:r>
              <w:rPr>
                <w:lang w:val="en-AU" w:eastAsia="en-AU"/>
              </w:rPr>
              <w:t>1.3</w:t>
            </w:r>
          </w:p>
        </w:tc>
        <w:tc>
          <w:tcPr>
            <w:tcW w:w="1870" w:type="dxa"/>
          </w:tcPr>
          <w:p w14:paraId="5B6E617A" w14:textId="77777777" w:rsidR="005F23A9" w:rsidRDefault="005F23A9" w:rsidP="00CA480E">
            <w:pPr>
              <w:pStyle w:val="C-BodyText"/>
              <w:jc w:val="center"/>
              <w:rPr>
                <w:lang w:val="en-AU" w:eastAsia="en-AU"/>
              </w:rPr>
            </w:pPr>
            <w:r>
              <w:rPr>
                <w:lang w:val="en-AU" w:eastAsia="en-AU"/>
              </w:rPr>
              <w:t>1.9</w:t>
            </w:r>
          </w:p>
        </w:tc>
        <w:tc>
          <w:tcPr>
            <w:tcW w:w="1870" w:type="dxa"/>
          </w:tcPr>
          <w:p w14:paraId="349E708B" w14:textId="77777777" w:rsidR="005F23A9" w:rsidRDefault="005F23A9" w:rsidP="00CA480E">
            <w:pPr>
              <w:pStyle w:val="C-BodyText"/>
              <w:jc w:val="center"/>
              <w:rPr>
                <w:lang w:val="en-AU" w:eastAsia="en-AU"/>
              </w:rPr>
            </w:pPr>
            <w:r>
              <w:rPr>
                <w:lang w:val="en-AU" w:eastAsia="en-AU"/>
              </w:rPr>
              <w:t>2.3</w:t>
            </w:r>
          </w:p>
        </w:tc>
        <w:tc>
          <w:tcPr>
            <w:tcW w:w="1870" w:type="dxa"/>
          </w:tcPr>
          <w:p w14:paraId="3D505B90" w14:textId="77777777" w:rsidR="005F23A9" w:rsidRDefault="005F23A9" w:rsidP="00CA480E">
            <w:pPr>
              <w:pStyle w:val="C-BodyText"/>
              <w:jc w:val="center"/>
              <w:rPr>
                <w:lang w:val="en-AU" w:eastAsia="en-AU"/>
              </w:rPr>
            </w:pPr>
            <w:r>
              <w:rPr>
                <w:lang w:val="en-AU" w:eastAsia="en-AU"/>
              </w:rPr>
              <w:t>2.2</w:t>
            </w:r>
          </w:p>
        </w:tc>
      </w:tr>
      <w:tr w:rsidR="005F23A9" w14:paraId="49ACC682" w14:textId="77777777" w:rsidTr="00CA480E">
        <w:tc>
          <w:tcPr>
            <w:tcW w:w="1870" w:type="dxa"/>
          </w:tcPr>
          <w:p w14:paraId="6F90CE71" w14:textId="77777777" w:rsidR="005F23A9" w:rsidRDefault="005F23A9" w:rsidP="00CA480E">
            <w:pPr>
              <w:pStyle w:val="C-BodyText"/>
              <w:rPr>
                <w:lang w:val="en-AU" w:eastAsia="en-AU"/>
              </w:rPr>
            </w:pPr>
            <w:r>
              <w:rPr>
                <w:lang w:val="en-AU" w:eastAsia="en-AU"/>
              </w:rPr>
              <w:t>Asthenia</w:t>
            </w:r>
          </w:p>
        </w:tc>
        <w:tc>
          <w:tcPr>
            <w:tcW w:w="1870" w:type="dxa"/>
          </w:tcPr>
          <w:p w14:paraId="214CABC8" w14:textId="77777777" w:rsidR="005F23A9" w:rsidRDefault="005F23A9" w:rsidP="00CA480E">
            <w:pPr>
              <w:pStyle w:val="C-BodyText"/>
              <w:jc w:val="center"/>
              <w:rPr>
                <w:lang w:val="en-AU" w:eastAsia="en-AU"/>
              </w:rPr>
            </w:pPr>
            <w:r>
              <w:rPr>
                <w:lang w:val="en-AU" w:eastAsia="en-AU"/>
              </w:rPr>
              <w:t>1.1</w:t>
            </w:r>
          </w:p>
        </w:tc>
        <w:tc>
          <w:tcPr>
            <w:tcW w:w="1870" w:type="dxa"/>
          </w:tcPr>
          <w:p w14:paraId="1566CC55" w14:textId="77777777" w:rsidR="005F23A9" w:rsidRDefault="005F23A9" w:rsidP="00CA480E">
            <w:pPr>
              <w:pStyle w:val="C-BodyText"/>
              <w:jc w:val="center"/>
              <w:rPr>
                <w:lang w:val="en-AU" w:eastAsia="en-AU"/>
              </w:rPr>
            </w:pPr>
            <w:r>
              <w:rPr>
                <w:lang w:val="en-AU" w:eastAsia="en-AU"/>
              </w:rPr>
              <w:t>0.3</w:t>
            </w:r>
          </w:p>
        </w:tc>
        <w:tc>
          <w:tcPr>
            <w:tcW w:w="1870" w:type="dxa"/>
          </w:tcPr>
          <w:p w14:paraId="23B9A6F5" w14:textId="77777777" w:rsidR="005F23A9" w:rsidRDefault="005F23A9" w:rsidP="00CA480E">
            <w:pPr>
              <w:pStyle w:val="C-BodyText"/>
              <w:jc w:val="center"/>
              <w:rPr>
                <w:lang w:val="en-AU" w:eastAsia="en-AU"/>
              </w:rPr>
            </w:pPr>
            <w:r>
              <w:rPr>
                <w:lang w:val="en-AU" w:eastAsia="en-AU"/>
              </w:rPr>
              <w:t>0.5</w:t>
            </w:r>
          </w:p>
        </w:tc>
        <w:tc>
          <w:tcPr>
            <w:tcW w:w="1870" w:type="dxa"/>
          </w:tcPr>
          <w:p w14:paraId="2446C2D2" w14:textId="77777777" w:rsidR="005F23A9" w:rsidRDefault="005F23A9" w:rsidP="00CA480E">
            <w:pPr>
              <w:pStyle w:val="C-BodyText"/>
              <w:jc w:val="center"/>
              <w:rPr>
                <w:lang w:val="en-AU" w:eastAsia="en-AU"/>
              </w:rPr>
            </w:pPr>
            <w:r>
              <w:rPr>
                <w:lang w:val="en-AU" w:eastAsia="en-AU"/>
              </w:rPr>
              <w:t>0.0</w:t>
            </w:r>
          </w:p>
        </w:tc>
      </w:tr>
      <w:tr w:rsidR="005F23A9" w14:paraId="0D9E7BE3" w14:textId="77777777" w:rsidTr="00CA480E">
        <w:tc>
          <w:tcPr>
            <w:tcW w:w="1870" w:type="dxa"/>
          </w:tcPr>
          <w:p w14:paraId="0448495D" w14:textId="77777777" w:rsidR="005F23A9" w:rsidRDefault="005F23A9" w:rsidP="00CA480E">
            <w:pPr>
              <w:pStyle w:val="C-BodyText"/>
              <w:rPr>
                <w:lang w:val="en-AU" w:eastAsia="en-AU"/>
              </w:rPr>
            </w:pPr>
            <w:r>
              <w:rPr>
                <w:lang w:val="en-AU" w:eastAsia="en-AU"/>
              </w:rPr>
              <w:t>Dyspepsia</w:t>
            </w:r>
          </w:p>
        </w:tc>
        <w:tc>
          <w:tcPr>
            <w:tcW w:w="1870" w:type="dxa"/>
          </w:tcPr>
          <w:p w14:paraId="643329FB" w14:textId="77777777" w:rsidR="005F23A9" w:rsidRDefault="005F23A9" w:rsidP="00CA480E">
            <w:pPr>
              <w:pStyle w:val="C-BodyText"/>
              <w:jc w:val="center"/>
              <w:rPr>
                <w:lang w:val="en-AU" w:eastAsia="en-AU"/>
              </w:rPr>
            </w:pPr>
            <w:r>
              <w:rPr>
                <w:lang w:val="en-AU" w:eastAsia="en-AU"/>
              </w:rPr>
              <w:t>1.1</w:t>
            </w:r>
          </w:p>
        </w:tc>
        <w:tc>
          <w:tcPr>
            <w:tcW w:w="1870" w:type="dxa"/>
          </w:tcPr>
          <w:p w14:paraId="19DE810A" w14:textId="77777777" w:rsidR="005F23A9" w:rsidRDefault="005F23A9" w:rsidP="00CA480E">
            <w:pPr>
              <w:pStyle w:val="C-BodyText"/>
              <w:jc w:val="center"/>
              <w:rPr>
                <w:lang w:val="en-AU" w:eastAsia="en-AU"/>
              </w:rPr>
            </w:pPr>
            <w:r>
              <w:rPr>
                <w:lang w:val="en-AU" w:eastAsia="en-AU"/>
              </w:rPr>
              <w:t>2.1</w:t>
            </w:r>
          </w:p>
        </w:tc>
        <w:tc>
          <w:tcPr>
            <w:tcW w:w="1870" w:type="dxa"/>
          </w:tcPr>
          <w:p w14:paraId="080923F8" w14:textId="77777777" w:rsidR="005F23A9" w:rsidRDefault="005F23A9" w:rsidP="00CA480E">
            <w:pPr>
              <w:pStyle w:val="C-BodyText"/>
              <w:jc w:val="center"/>
              <w:rPr>
                <w:lang w:val="en-AU" w:eastAsia="en-AU"/>
              </w:rPr>
            </w:pPr>
            <w:r>
              <w:rPr>
                <w:lang w:val="en-AU" w:eastAsia="en-AU"/>
              </w:rPr>
              <w:t>0.7</w:t>
            </w:r>
          </w:p>
        </w:tc>
        <w:tc>
          <w:tcPr>
            <w:tcW w:w="1870" w:type="dxa"/>
          </w:tcPr>
          <w:p w14:paraId="61B59192" w14:textId="77777777" w:rsidR="005F23A9" w:rsidRDefault="005F23A9" w:rsidP="00CA480E">
            <w:pPr>
              <w:pStyle w:val="C-BodyText"/>
              <w:jc w:val="center"/>
              <w:rPr>
                <w:lang w:val="en-AU" w:eastAsia="en-AU"/>
              </w:rPr>
            </w:pPr>
            <w:r>
              <w:rPr>
                <w:lang w:val="en-AU" w:eastAsia="en-AU"/>
              </w:rPr>
              <w:t>1.1</w:t>
            </w:r>
          </w:p>
        </w:tc>
      </w:tr>
    </w:tbl>
    <w:p w14:paraId="2B951EC0" w14:textId="77777777" w:rsidR="004328FF" w:rsidRPr="004328FF" w:rsidRDefault="004328FF" w:rsidP="004328FF">
      <w:pPr>
        <w:pStyle w:val="C-BodyText"/>
        <w:rPr>
          <w:lang w:val="en-AU" w:eastAsia="en-AU"/>
        </w:rPr>
      </w:pPr>
      <w:r w:rsidRPr="004328FF">
        <w:rPr>
          <w:lang w:val="en-AU" w:eastAsia="en-AU"/>
        </w:rPr>
        <w:t xml:space="preserve">The following </w:t>
      </w:r>
      <w:r w:rsidR="007966D3">
        <w:rPr>
          <w:lang w:val="en-AU" w:eastAsia="en-AU"/>
        </w:rPr>
        <w:t>list</w:t>
      </w:r>
      <w:r w:rsidRPr="004328FF">
        <w:rPr>
          <w:lang w:val="en-AU" w:eastAsia="en-AU"/>
        </w:rPr>
        <w:t xml:space="preserve"> displays ADRs that have been reported with the use of </w:t>
      </w:r>
      <w:r w:rsidR="0078753A">
        <w:rPr>
          <w:lang w:val="en-AU" w:eastAsia="en-AU"/>
        </w:rPr>
        <w:t>MONUROL</w:t>
      </w:r>
      <w:r>
        <w:rPr>
          <w:lang w:val="en-AU" w:eastAsia="en-AU"/>
        </w:rPr>
        <w:t xml:space="preserve"> </w:t>
      </w:r>
      <w:r w:rsidRPr="004328FF">
        <w:rPr>
          <w:lang w:val="en-AU" w:eastAsia="en-AU"/>
        </w:rPr>
        <w:t>from either clinical-trial or post-marketing experiences.</w:t>
      </w:r>
    </w:p>
    <w:p w14:paraId="12C96F43" w14:textId="77777777" w:rsidR="004328FF" w:rsidRPr="004328FF" w:rsidRDefault="004328FF" w:rsidP="004328FF">
      <w:pPr>
        <w:pStyle w:val="C-BodyText"/>
        <w:rPr>
          <w:lang w:val="en-AU" w:eastAsia="en-AU"/>
        </w:rPr>
      </w:pPr>
      <w:r w:rsidRPr="004328FF">
        <w:rPr>
          <w:lang w:val="en-AU" w:eastAsia="en-AU"/>
        </w:rPr>
        <w:t>The displayed frequency categories use the following convention:</w:t>
      </w:r>
    </w:p>
    <w:p w14:paraId="54BE2A11" w14:textId="77777777" w:rsidR="004328FF" w:rsidRPr="004328FF" w:rsidRDefault="004328FF" w:rsidP="004328FF">
      <w:pPr>
        <w:pStyle w:val="C-BodyText"/>
        <w:rPr>
          <w:lang w:val="en-AU" w:eastAsia="en-AU"/>
        </w:rPr>
      </w:pPr>
      <w:r w:rsidRPr="004328FF">
        <w:rPr>
          <w:rFonts w:eastAsia="TimesNewRomanPSMT"/>
          <w:lang w:val="en-AU" w:eastAsia="en-AU"/>
        </w:rPr>
        <w:lastRenderedPageBreak/>
        <w:t>Very common (≥ 1/10); common (≥ 1/100 to &lt; 1/10); uncommon (≥ 1/1,000 to &lt;</w:t>
      </w:r>
      <w:r>
        <w:rPr>
          <w:rFonts w:eastAsia="TimesNewRomanPSMT"/>
          <w:lang w:val="en-AU" w:eastAsia="en-AU"/>
        </w:rPr>
        <w:t xml:space="preserve"> </w:t>
      </w:r>
      <w:r w:rsidRPr="004328FF">
        <w:rPr>
          <w:rFonts w:eastAsia="TimesNewRomanPSMT"/>
          <w:lang w:val="en-AU" w:eastAsia="en-AU"/>
        </w:rPr>
        <w:t>1/100); rare (≥ 1/10,000 to &lt;1/1,000); very rare (&lt;1/10,000), not known (cannot be</w:t>
      </w:r>
      <w:r>
        <w:rPr>
          <w:rFonts w:eastAsia="TimesNewRomanPSMT"/>
          <w:lang w:val="en-AU" w:eastAsia="en-AU"/>
        </w:rPr>
        <w:t xml:space="preserve"> </w:t>
      </w:r>
      <w:r w:rsidRPr="004328FF">
        <w:rPr>
          <w:lang w:val="en-AU" w:eastAsia="en-AU"/>
        </w:rPr>
        <w:t>estimated form the available data).</w:t>
      </w:r>
    </w:p>
    <w:p w14:paraId="1E60A804" w14:textId="77777777" w:rsidR="000C00A0" w:rsidRPr="000C00A0" w:rsidRDefault="000C00A0" w:rsidP="004328FF">
      <w:pPr>
        <w:pStyle w:val="C-BodyText"/>
        <w:rPr>
          <w:b/>
          <w:lang w:val="en-AU" w:eastAsia="en-AU"/>
        </w:rPr>
      </w:pPr>
      <w:r w:rsidRPr="000C00A0">
        <w:rPr>
          <w:b/>
          <w:lang w:val="en-AU" w:eastAsia="en-AU"/>
        </w:rPr>
        <w:t>Infections and infestations:</w:t>
      </w:r>
    </w:p>
    <w:p w14:paraId="7D1A731F" w14:textId="77777777" w:rsidR="000C00A0" w:rsidRDefault="000C00A0" w:rsidP="004328FF">
      <w:pPr>
        <w:pStyle w:val="C-BodyText"/>
        <w:rPr>
          <w:lang w:val="en-AU" w:eastAsia="en-AU"/>
        </w:rPr>
      </w:pPr>
      <w:r>
        <w:rPr>
          <w:lang w:val="en-AU" w:eastAsia="en-AU"/>
        </w:rPr>
        <w:t xml:space="preserve">Common: </w:t>
      </w:r>
      <w:proofErr w:type="spellStart"/>
      <w:r>
        <w:rPr>
          <w:lang w:val="en-AU" w:eastAsia="en-AU"/>
        </w:rPr>
        <w:t>vulvovaginitis</w:t>
      </w:r>
      <w:proofErr w:type="spellEnd"/>
    </w:p>
    <w:p w14:paraId="7ABF6C03" w14:textId="77777777" w:rsidR="000C00A0" w:rsidRPr="000C00A0" w:rsidRDefault="000C00A0" w:rsidP="004328FF">
      <w:pPr>
        <w:pStyle w:val="C-BodyText"/>
        <w:rPr>
          <w:b/>
          <w:lang w:val="en-AU" w:eastAsia="en-AU"/>
        </w:rPr>
      </w:pPr>
      <w:r w:rsidRPr="000C00A0">
        <w:rPr>
          <w:b/>
          <w:lang w:val="en-AU" w:eastAsia="en-AU"/>
        </w:rPr>
        <w:t>Immune system disorders:</w:t>
      </w:r>
    </w:p>
    <w:p w14:paraId="1C9FA3C1" w14:textId="77777777" w:rsidR="000C00A0" w:rsidRDefault="000C00A0" w:rsidP="004328FF">
      <w:pPr>
        <w:pStyle w:val="C-BodyText"/>
        <w:rPr>
          <w:lang w:val="en-AU" w:eastAsia="en-AU"/>
        </w:rPr>
      </w:pPr>
      <w:r>
        <w:rPr>
          <w:lang w:val="en-AU" w:eastAsia="en-AU"/>
        </w:rPr>
        <w:t>Not known: anaphylactic reactions including anaphylactic shock, hypersensitivity</w:t>
      </w:r>
    </w:p>
    <w:p w14:paraId="3359F5E9" w14:textId="77777777" w:rsidR="000C00A0" w:rsidRPr="000C00A0" w:rsidRDefault="000C00A0" w:rsidP="004328FF">
      <w:pPr>
        <w:pStyle w:val="C-BodyText"/>
        <w:rPr>
          <w:b/>
          <w:lang w:val="en-AU" w:eastAsia="en-AU"/>
        </w:rPr>
      </w:pPr>
      <w:r w:rsidRPr="000C00A0">
        <w:rPr>
          <w:b/>
          <w:lang w:val="en-AU" w:eastAsia="en-AU"/>
        </w:rPr>
        <w:t xml:space="preserve">Nervous systems disorders: </w:t>
      </w:r>
    </w:p>
    <w:p w14:paraId="1D3BBA79" w14:textId="77777777" w:rsidR="000C00A0" w:rsidRDefault="000C00A0" w:rsidP="004328FF">
      <w:pPr>
        <w:pStyle w:val="C-BodyText"/>
        <w:rPr>
          <w:lang w:val="en-AU" w:eastAsia="en-AU"/>
        </w:rPr>
      </w:pPr>
      <w:r>
        <w:rPr>
          <w:lang w:val="en-AU" w:eastAsia="en-AU"/>
        </w:rPr>
        <w:t>Common: headache, dizziness</w:t>
      </w:r>
    </w:p>
    <w:p w14:paraId="176D6ABB" w14:textId="5A70B79F" w:rsidR="000C00A0" w:rsidRDefault="000C00A0" w:rsidP="004328FF">
      <w:pPr>
        <w:pStyle w:val="C-BodyText"/>
        <w:rPr>
          <w:lang w:val="en-AU" w:eastAsia="en-AU"/>
        </w:rPr>
      </w:pPr>
      <w:r>
        <w:rPr>
          <w:lang w:val="en-AU" w:eastAsia="en-AU"/>
        </w:rPr>
        <w:t xml:space="preserve">Uncommon: </w:t>
      </w:r>
      <w:r w:rsidR="005F23A9">
        <w:rPr>
          <w:lang w:val="en-AU" w:eastAsia="en-AU"/>
        </w:rPr>
        <w:t>p</w:t>
      </w:r>
      <w:r>
        <w:rPr>
          <w:lang w:val="en-AU" w:eastAsia="en-AU"/>
        </w:rPr>
        <w:t>araesthesia</w:t>
      </w:r>
    </w:p>
    <w:p w14:paraId="5BA4594E" w14:textId="77777777" w:rsidR="000C00A0" w:rsidRPr="000C00A0" w:rsidRDefault="000C00A0" w:rsidP="004328FF">
      <w:pPr>
        <w:pStyle w:val="C-BodyText"/>
        <w:rPr>
          <w:b/>
          <w:lang w:val="en-AU" w:eastAsia="en-AU"/>
        </w:rPr>
      </w:pPr>
      <w:r w:rsidRPr="000C00A0">
        <w:rPr>
          <w:b/>
          <w:lang w:val="en-AU" w:eastAsia="en-AU"/>
        </w:rPr>
        <w:t xml:space="preserve">Cardiac disorders: </w:t>
      </w:r>
    </w:p>
    <w:p w14:paraId="4B02E937" w14:textId="77777777" w:rsidR="000C00A0" w:rsidRDefault="000C00A0" w:rsidP="004328FF">
      <w:pPr>
        <w:pStyle w:val="C-BodyText"/>
        <w:rPr>
          <w:lang w:val="en-AU" w:eastAsia="en-AU"/>
        </w:rPr>
      </w:pPr>
      <w:r>
        <w:rPr>
          <w:lang w:val="en-AU" w:eastAsia="en-AU"/>
        </w:rPr>
        <w:t>Rare: tachycardia</w:t>
      </w:r>
    </w:p>
    <w:p w14:paraId="49B9C1B1" w14:textId="77777777" w:rsidR="007966D3" w:rsidRPr="000C00A0" w:rsidRDefault="007966D3" w:rsidP="007966D3">
      <w:pPr>
        <w:pStyle w:val="C-BodyText"/>
        <w:rPr>
          <w:b/>
          <w:lang w:val="en-AU" w:eastAsia="en-AU"/>
        </w:rPr>
      </w:pPr>
      <w:r w:rsidRPr="000C00A0">
        <w:rPr>
          <w:b/>
          <w:lang w:val="en-AU" w:eastAsia="en-AU"/>
        </w:rPr>
        <w:t xml:space="preserve">Vascular disorders: </w:t>
      </w:r>
    </w:p>
    <w:p w14:paraId="76486D8D" w14:textId="77777777" w:rsidR="007966D3" w:rsidRDefault="007966D3" w:rsidP="007966D3">
      <w:pPr>
        <w:pStyle w:val="C-BodyText"/>
        <w:rPr>
          <w:lang w:val="en-AU" w:eastAsia="en-AU"/>
        </w:rPr>
      </w:pPr>
      <w:r>
        <w:rPr>
          <w:lang w:val="en-AU" w:eastAsia="en-AU"/>
        </w:rPr>
        <w:t>Not known: hypotension</w:t>
      </w:r>
    </w:p>
    <w:p w14:paraId="539FBAA6" w14:textId="77777777" w:rsidR="000C00A0" w:rsidRPr="000C00A0" w:rsidRDefault="000C00A0" w:rsidP="004328FF">
      <w:pPr>
        <w:pStyle w:val="C-BodyText"/>
        <w:rPr>
          <w:b/>
          <w:lang w:val="en-AU" w:eastAsia="en-AU"/>
        </w:rPr>
      </w:pPr>
      <w:r w:rsidRPr="000C00A0">
        <w:rPr>
          <w:b/>
          <w:lang w:val="en-AU" w:eastAsia="en-AU"/>
        </w:rPr>
        <w:t>Respiratory, thoracic and mediastinal disorders:</w:t>
      </w:r>
    </w:p>
    <w:p w14:paraId="31C85908" w14:textId="475B8F82" w:rsidR="000C00A0" w:rsidRDefault="000C00A0" w:rsidP="004328FF">
      <w:pPr>
        <w:pStyle w:val="C-BodyText"/>
        <w:rPr>
          <w:lang w:val="en-AU" w:eastAsia="en-AU"/>
        </w:rPr>
      </w:pPr>
      <w:r>
        <w:rPr>
          <w:lang w:val="en-AU" w:eastAsia="en-AU"/>
        </w:rPr>
        <w:t xml:space="preserve">Not known: </w:t>
      </w:r>
      <w:r w:rsidR="00E61ACB">
        <w:rPr>
          <w:lang w:val="en-AU" w:eastAsia="en-AU"/>
        </w:rPr>
        <w:t>a</w:t>
      </w:r>
      <w:r>
        <w:rPr>
          <w:lang w:val="en-AU" w:eastAsia="en-AU"/>
        </w:rPr>
        <w:t>sthma</w:t>
      </w:r>
    </w:p>
    <w:p w14:paraId="6E0C62DE" w14:textId="77777777" w:rsidR="000C00A0" w:rsidRPr="000C00A0" w:rsidRDefault="000C00A0" w:rsidP="004328FF">
      <w:pPr>
        <w:pStyle w:val="C-BodyText"/>
        <w:rPr>
          <w:b/>
          <w:lang w:val="en-AU" w:eastAsia="en-AU"/>
        </w:rPr>
      </w:pPr>
      <w:r w:rsidRPr="000C00A0">
        <w:rPr>
          <w:b/>
          <w:lang w:val="en-AU" w:eastAsia="en-AU"/>
        </w:rPr>
        <w:t>Gastrointestinal disorders:</w:t>
      </w:r>
    </w:p>
    <w:p w14:paraId="6C39CC1E" w14:textId="77777777" w:rsidR="000C00A0" w:rsidRDefault="000C00A0" w:rsidP="004328FF">
      <w:pPr>
        <w:pStyle w:val="C-BodyText"/>
        <w:rPr>
          <w:lang w:val="en-AU" w:eastAsia="en-AU"/>
        </w:rPr>
      </w:pPr>
      <w:r>
        <w:rPr>
          <w:lang w:val="en-AU" w:eastAsia="en-AU"/>
        </w:rPr>
        <w:t>Common: diarrhoea, nausea, dyspepsia</w:t>
      </w:r>
    </w:p>
    <w:p w14:paraId="00588347" w14:textId="6060EF0C" w:rsidR="000C00A0" w:rsidRDefault="000C00A0" w:rsidP="004328FF">
      <w:pPr>
        <w:pStyle w:val="C-BodyText"/>
        <w:rPr>
          <w:lang w:val="en-AU" w:eastAsia="en-AU"/>
        </w:rPr>
      </w:pPr>
      <w:r>
        <w:rPr>
          <w:lang w:val="en-AU" w:eastAsia="en-AU"/>
        </w:rPr>
        <w:t>Uncommon: vomiting, abdominal pain</w:t>
      </w:r>
      <w:r w:rsidR="00E61ACB">
        <w:rPr>
          <w:lang w:val="en-AU" w:eastAsia="en-AU"/>
        </w:rPr>
        <w:t>, anorexia, dry mouth, flatulence</w:t>
      </w:r>
    </w:p>
    <w:p w14:paraId="5EB0EF51" w14:textId="173F45B1" w:rsidR="000C00A0" w:rsidRDefault="000C00A0" w:rsidP="004328FF">
      <w:pPr>
        <w:pStyle w:val="C-BodyText"/>
        <w:rPr>
          <w:lang w:val="en-AU" w:eastAsia="en-AU"/>
        </w:rPr>
      </w:pPr>
      <w:r>
        <w:rPr>
          <w:lang w:val="en-AU" w:eastAsia="en-AU"/>
        </w:rPr>
        <w:t xml:space="preserve">Not known: antibiotic-associated colitis (see </w:t>
      </w:r>
      <w:r w:rsidRPr="000C00A0">
        <w:rPr>
          <w:b/>
          <w:lang w:val="en-AU" w:eastAsia="en-AU"/>
        </w:rPr>
        <w:t>PRECAUTIONS</w:t>
      </w:r>
      <w:r>
        <w:rPr>
          <w:lang w:val="en-AU" w:eastAsia="en-AU"/>
        </w:rPr>
        <w:t>)</w:t>
      </w:r>
      <w:r w:rsidR="00E61ACB">
        <w:rPr>
          <w:lang w:val="en-AU" w:eastAsia="en-AU"/>
        </w:rPr>
        <w:t xml:space="preserve">, </w:t>
      </w:r>
      <w:r w:rsidR="00E61ACB">
        <w:rPr>
          <w:lang w:eastAsia="en-AU"/>
        </w:rPr>
        <w:t xml:space="preserve">oral </w:t>
      </w:r>
      <w:proofErr w:type="spellStart"/>
      <w:r w:rsidR="00E61ACB">
        <w:rPr>
          <w:lang w:eastAsia="en-AU"/>
        </w:rPr>
        <w:t>paraesthesias</w:t>
      </w:r>
      <w:proofErr w:type="spellEnd"/>
      <w:r w:rsidR="00E61ACB">
        <w:rPr>
          <w:lang w:eastAsia="en-AU"/>
        </w:rPr>
        <w:t xml:space="preserve"> (temporary tingling of mouth, tongue and cheek), </w:t>
      </w:r>
      <w:r w:rsidR="00E61ACB">
        <w:rPr>
          <w:lang w:val="en-AU" w:eastAsia="en-AU"/>
        </w:rPr>
        <w:t>temporary alterations of taste (</w:t>
      </w:r>
      <w:proofErr w:type="spellStart"/>
      <w:r w:rsidR="00E61ACB">
        <w:rPr>
          <w:lang w:val="en-AU" w:eastAsia="en-AU"/>
        </w:rPr>
        <w:t>dysgeusia</w:t>
      </w:r>
      <w:proofErr w:type="spellEnd"/>
      <w:r w:rsidR="00E61ACB">
        <w:rPr>
          <w:lang w:val="en-AU" w:eastAsia="en-AU"/>
        </w:rPr>
        <w:t xml:space="preserve"> and </w:t>
      </w:r>
      <w:proofErr w:type="spellStart"/>
      <w:r w:rsidR="00E61ACB">
        <w:rPr>
          <w:lang w:val="en-AU" w:eastAsia="en-AU"/>
        </w:rPr>
        <w:t>hypogeusia</w:t>
      </w:r>
      <w:proofErr w:type="spellEnd"/>
      <w:r w:rsidR="00E61ACB">
        <w:rPr>
          <w:lang w:val="en-AU" w:eastAsia="en-AU"/>
        </w:rPr>
        <w:t>)</w:t>
      </w:r>
    </w:p>
    <w:p w14:paraId="44D9DCEE" w14:textId="77777777" w:rsidR="000C00A0" w:rsidRPr="000C00A0" w:rsidRDefault="000C00A0" w:rsidP="004328FF">
      <w:pPr>
        <w:pStyle w:val="C-BodyText"/>
        <w:rPr>
          <w:b/>
          <w:lang w:val="en-AU" w:eastAsia="en-AU"/>
        </w:rPr>
      </w:pPr>
      <w:r w:rsidRPr="000C00A0">
        <w:rPr>
          <w:b/>
          <w:lang w:val="en-AU" w:eastAsia="en-AU"/>
        </w:rPr>
        <w:t>Skin and subcutaneous tissue disorders:</w:t>
      </w:r>
    </w:p>
    <w:p w14:paraId="74FD6AE7" w14:textId="77777777" w:rsidR="000C00A0" w:rsidRDefault="000C00A0" w:rsidP="004328FF">
      <w:pPr>
        <w:pStyle w:val="C-BodyText"/>
        <w:rPr>
          <w:lang w:val="en-AU" w:eastAsia="en-AU"/>
        </w:rPr>
      </w:pPr>
      <w:r>
        <w:rPr>
          <w:lang w:val="en-AU" w:eastAsia="en-AU"/>
        </w:rPr>
        <w:t xml:space="preserve">Uncommon: rash, </w:t>
      </w:r>
      <w:proofErr w:type="spellStart"/>
      <w:r>
        <w:rPr>
          <w:lang w:val="en-AU" w:eastAsia="en-AU"/>
        </w:rPr>
        <w:t>urticaria</w:t>
      </w:r>
      <w:proofErr w:type="spellEnd"/>
      <w:r>
        <w:rPr>
          <w:lang w:val="en-AU" w:eastAsia="en-AU"/>
        </w:rPr>
        <w:t>, pruritus</w:t>
      </w:r>
    </w:p>
    <w:p w14:paraId="38FB14F5" w14:textId="77777777" w:rsidR="000C00A0" w:rsidRDefault="000C00A0" w:rsidP="004328FF">
      <w:pPr>
        <w:pStyle w:val="C-BodyText"/>
        <w:rPr>
          <w:lang w:val="en-AU" w:eastAsia="en-AU"/>
        </w:rPr>
      </w:pPr>
      <w:r>
        <w:rPr>
          <w:lang w:val="en-AU" w:eastAsia="en-AU"/>
        </w:rPr>
        <w:t>Not known: angioedema</w:t>
      </w:r>
    </w:p>
    <w:p w14:paraId="135FCA5B" w14:textId="77777777" w:rsidR="000C00A0" w:rsidRPr="000C00A0" w:rsidRDefault="000C00A0" w:rsidP="004328FF">
      <w:pPr>
        <w:pStyle w:val="C-BodyText"/>
        <w:rPr>
          <w:b/>
          <w:lang w:val="en-AU" w:eastAsia="en-AU"/>
        </w:rPr>
      </w:pPr>
      <w:r w:rsidRPr="000C00A0">
        <w:rPr>
          <w:b/>
          <w:lang w:val="en-AU" w:eastAsia="en-AU"/>
        </w:rPr>
        <w:t xml:space="preserve">General disorders and administration site conditions: </w:t>
      </w:r>
    </w:p>
    <w:p w14:paraId="5CE2C63F" w14:textId="50EDC0E3" w:rsidR="000C00A0" w:rsidRDefault="000C00A0" w:rsidP="004328FF">
      <w:pPr>
        <w:pStyle w:val="C-BodyText"/>
        <w:rPr>
          <w:lang w:val="en-AU" w:eastAsia="en-AU"/>
        </w:rPr>
      </w:pPr>
      <w:r>
        <w:rPr>
          <w:lang w:val="en-AU" w:eastAsia="en-AU"/>
        </w:rPr>
        <w:t>Uncommon: fatigue</w:t>
      </w:r>
      <w:r w:rsidR="00E61ACB">
        <w:rPr>
          <w:lang w:val="en-AU" w:eastAsia="en-AU"/>
        </w:rPr>
        <w:t>, asthenia</w:t>
      </w:r>
    </w:p>
    <w:p w14:paraId="4FC9EB95" w14:textId="664C78F1" w:rsidR="00E61ACB" w:rsidRDefault="00E61ACB" w:rsidP="004328FF">
      <w:pPr>
        <w:pStyle w:val="C-BodyText"/>
        <w:rPr>
          <w:lang w:val="en-AU" w:eastAsia="en-AU"/>
        </w:rPr>
      </w:pPr>
    </w:p>
    <w:p w14:paraId="166B215F" w14:textId="77777777" w:rsidR="00E61ACB" w:rsidRPr="001029E1" w:rsidRDefault="00E61ACB" w:rsidP="00E61ACB">
      <w:pPr>
        <w:pStyle w:val="C-BodyText"/>
        <w:rPr>
          <w:lang w:val="en-AU" w:eastAsia="en-AU"/>
        </w:rPr>
      </w:pPr>
      <w:r>
        <w:rPr>
          <w:lang w:val="en-AU" w:eastAsia="en-AU"/>
        </w:rPr>
        <w:t>One patient in a pivotal trial developed unilateral optic neuritis, considered possibly related to MONUROL therapy.</w:t>
      </w:r>
    </w:p>
    <w:p w14:paraId="02DC39C7" w14:textId="77777777" w:rsidR="002A50DF" w:rsidRPr="002A50DF" w:rsidRDefault="002A50DF" w:rsidP="00C07648">
      <w:pPr>
        <w:pStyle w:val="C-Heading1nopagebreak0"/>
        <w:rPr>
          <w:bCs/>
        </w:rPr>
      </w:pPr>
      <w:r w:rsidRPr="002A50DF">
        <w:t>DOSAGE</w:t>
      </w:r>
      <w:r w:rsidRPr="002A50DF">
        <w:rPr>
          <w:spacing w:val="5"/>
        </w:rPr>
        <w:t xml:space="preserve"> </w:t>
      </w:r>
      <w:r w:rsidRPr="002A50DF">
        <w:rPr>
          <w:spacing w:val="-3"/>
        </w:rPr>
        <w:t>AND</w:t>
      </w:r>
      <w:r w:rsidRPr="002A50DF">
        <w:rPr>
          <w:spacing w:val="4"/>
        </w:rPr>
        <w:t xml:space="preserve"> </w:t>
      </w:r>
      <w:r w:rsidRPr="002A50DF">
        <w:rPr>
          <w:spacing w:val="-1"/>
        </w:rPr>
        <w:t>ADMINISTRATION</w:t>
      </w:r>
    </w:p>
    <w:p w14:paraId="55A1476E" w14:textId="2B86068C" w:rsidR="00CE029D" w:rsidRDefault="00CE029D" w:rsidP="00CE029D">
      <w:pPr>
        <w:pStyle w:val="C-BodyText"/>
        <w:rPr>
          <w:lang w:val="en-AU" w:eastAsia="en-AU"/>
        </w:rPr>
      </w:pPr>
      <w:r>
        <w:rPr>
          <w:lang w:val="en-AU" w:eastAsia="en-AU"/>
        </w:rPr>
        <w:t xml:space="preserve">The recommended dose for the treatment of acute uncomplicated lower urinary tract infections </w:t>
      </w:r>
      <w:r w:rsidR="00F10A54">
        <w:rPr>
          <w:lang w:val="en-AU" w:eastAsia="en-AU"/>
        </w:rPr>
        <w:t xml:space="preserve">(acute cystitis) </w:t>
      </w:r>
      <w:r>
        <w:rPr>
          <w:lang w:val="en-AU" w:eastAsia="en-AU"/>
        </w:rPr>
        <w:t xml:space="preserve">is a single </w:t>
      </w:r>
      <w:r w:rsidR="0078753A">
        <w:rPr>
          <w:lang w:val="en-AU" w:eastAsia="en-AU"/>
        </w:rPr>
        <w:t>MONUROL</w:t>
      </w:r>
      <w:r>
        <w:rPr>
          <w:lang w:val="en-AU" w:eastAsia="en-AU"/>
        </w:rPr>
        <w:t xml:space="preserve"> 3 g sachet in women above 12 years of age. </w:t>
      </w:r>
    </w:p>
    <w:p w14:paraId="18462114" w14:textId="3F9260D9" w:rsidR="00CE029D" w:rsidRDefault="0078753A" w:rsidP="00CE029D">
      <w:pPr>
        <w:pStyle w:val="C-BodyText"/>
        <w:rPr>
          <w:lang w:val="en-AU" w:eastAsia="en-AU"/>
        </w:rPr>
      </w:pPr>
      <w:r>
        <w:rPr>
          <w:lang w:val="en-AU" w:eastAsia="en-AU"/>
        </w:rPr>
        <w:t>MONUROL</w:t>
      </w:r>
      <w:r w:rsidR="00CE029D">
        <w:rPr>
          <w:lang w:val="en-AU" w:eastAsia="en-AU"/>
        </w:rPr>
        <w:t xml:space="preserve"> is for oral administration.</w:t>
      </w:r>
    </w:p>
    <w:p w14:paraId="556FB403" w14:textId="77777777" w:rsidR="00CE029D" w:rsidRDefault="00CE029D" w:rsidP="00CE029D">
      <w:pPr>
        <w:pStyle w:val="C-BodyText"/>
        <w:rPr>
          <w:lang w:val="en-AU" w:eastAsia="en-AU"/>
        </w:rPr>
      </w:pPr>
      <w:r>
        <w:rPr>
          <w:lang w:val="en-AU" w:eastAsia="en-AU"/>
        </w:rPr>
        <w:lastRenderedPageBreak/>
        <w:t>It should be taken on an empty stomach or about 2 – 3 hours after meals, preferably before bedtime and after emptying the bladder.</w:t>
      </w:r>
    </w:p>
    <w:p w14:paraId="3959B653" w14:textId="77777777" w:rsidR="00CE029D" w:rsidRDefault="00CE029D" w:rsidP="00CE029D">
      <w:pPr>
        <w:pStyle w:val="C-BodyText"/>
        <w:rPr>
          <w:lang w:val="en-AU" w:eastAsia="en-AU"/>
        </w:rPr>
      </w:pPr>
      <w:r>
        <w:rPr>
          <w:lang w:val="en-AU" w:eastAsia="en-AU"/>
        </w:rPr>
        <w:t>The dose should be dissolved into a glass of water and taken immediately after its preparation.</w:t>
      </w:r>
    </w:p>
    <w:p w14:paraId="41B462D2" w14:textId="77777777" w:rsidR="007E3E24" w:rsidRDefault="007E3E24" w:rsidP="00CE029D">
      <w:pPr>
        <w:pStyle w:val="C-BodyText"/>
        <w:rPr>
          <w:lang w:val="en-AU" w:eastAsia="en-AU"/>
        </w:rPr>
      </w:pPr>
      <w:r w:rsidRPr="000158AE">
        <w:rPr>
          <w:lang w:val="en-AU" w:eastAsia="en-AU"/>
        </w:rPr>
        <w:t>MONUROL should not be taken in its dry form. Always mix MONUROL with water before ingesting. Do not use hot water. MONUROL should be taken immediately after dissolving in water.</w:t>
      </w:r>
    </w:p>
    <w:p w14:paraId="403FF5DE" w14:textId="77777777" w:rsidR="00CE029D" w:rsidRDefault="00CE029D" w:rsidP="00CE029D">
      <w:pPr>
        <w:pStyle w:val="C-Heading2non-numbered"/>
        <w:rPr>
          <w:lang w:val="en-AU" w:eastAsia="en-AU"/>
        </w:rPr>
      </w:pPr>
      <w:r>
        <w:rPr>
          <w:lang w:val="en-AU" w:eastAsia="en-AU"/>
        </w:rPr>
        <w:t>Paediatric population</w:t>
      </w:r>
    </w:p>
    <w:p w14:paraId="70C82ED8" w14:textId="77777777" w:rsidR="00CE029D" w:rsidRPr="002A50DF" w:rsidRDefault="00CE029D" w:rsidP="00CE029D">
      <w:pPr>
        <w:pStyle w:val="C-BodyText"/>
      </w:pPr>
      <w:r>
        <w:rPr>
          <w:lang w:val="en-AU" w:eastAsia="en-AU"/>
        </w:rPr>
        <w:t xml:space="preserve">The safety and efficacy of </w:t>
      </w:r>
      <w:r w:rsidR="0078753A">
        <w:rPr>
          <w:lang w:val="en-AU" w:eastAsia="en-AU"/>
        </w:rPr>
        <w:t>MONUROL</w:t>
      </w:r>
      <w:r>
        <w:rPr>
          <w:lang w:val="en-AU" w:eastAsia="en-AU"/>
        </w:rPr>
        <w:t xml:space="preserve"> 3 g in children below 12 years have not been established. No data are available.</w:t>
      </w:r>
    </w:p>
    <w:p w14:paraId="4ABA1592" w14:textId="77777777" w:rsidR="002A50DF" w:rsidRPr="002A50DF" w:rsidRDefault="002A50DF" w:rsidP="00C07648">
      <w:pPr>
        <w:pStyle w:val="C-Heading1nopagebreak0"/>
        <w:rPr>
          <w:bCs/>
        </w:rPr>
      </w:pPr>
      <w:r w:rsidRPr="002A50DF">
        <w:t>OVERDOSAGE</w:t>
      </w:r>
    </w:p>
    <w:p w14:paraId="5FDA5AAD" w14:textId="77777777" w:rsidR="00E01E17" w:rsidRPr="00E01E17" w:rsidRDefault="00E01E17" w:rsidP="00E01E17">
      <w:pPr>
        <w:pStyle w:val="C-BodyText"/>
        <w:rPr>
          <w:lang w:val="en-AU" w:eastAsia="en-AU"/>
        </w:rPr>
      </w:pPr>
      <w:r w:rsidRPr="00E01E17">
        <w:rPr>
          <w:lang w:val="en-AU" w:eastAsia="en-AU"/>
        </w:rPr>
        <w:t>In acute toxicity studies a single oral dose of 5000 mg/kg was well tolerated both in mice and rats and a single dose of 2000 mg/kg did not produce changes in rabbits and dogs.</w:t>
      </w:r>
    </w:p>
    <w:p w14:paraId="56D59A7A" w14:textId="77777777" w:rsidR="00E01E17" w:rsidRPr="00E01E17" w:rsidRDefault="00E01E17" w:rsidP="00E01E17">
      <w:pPr>
        <w:pStyle w:val="C-BodyText"/>
        <w:rPr>
          <w:lang w:val="en-AU" w:eastAsia="en-AU"/>
        </w:rPr>
      </w:pPr>
      <w:r w:rsidRPr="00E01E17">
        <w:rPr>
          <w:lang w:val="en-AU" w:eastAsia="en-AU"/>
        </w:rPr>
        <w:t>Repeated dose studies by oral route showed that the no-effect dose was between 100 and 200 mg/kg after 4 weeks of treatment in dogs and rats, respectively.</w:t>
      </w:r>
    </w:p>
    <w:p w14:paraId="5B942F48" w14:textId="77777777" w:rsidR="00C84FE1" w:rsidRDefault="00C84FE1" w:rsidP="00C84FE1">
      <w:pPr>
        <w:pStyle w:val="C-BodyText"/>
        <w:rPr>
          <w:lang w:val="en-AU" w:eastAsia="en-AU"/>
        </w:rPr>
      </w:pPr>
      <w:r>
        <w:rPr>
          <w:lang w:val="en-AU" w:eastAsia="en-AU"/>
        </w:rPr>
        <w:t xml:space="preserve">Experience regarding the overdose of oral </w:t>
      </w:r>
      <w:proofErr w:type="spellStart"/>
      <w:r>
        <w:rPr>
          <w:lang w:val="en-AU" w:eastAsia="en-AU"/>
        </w:rPr>
        <w:t>fosfomycin</w:t>
      </w:r>
      <w:proofErr w:type="spellEnd"/>
      <w:r>
        <w:rPr>
          <w:lang w:val="en-AU" w:eastAsia="en-AU"/>
        </w:rPr>
        <w:t xml:space="preserve"> is limited. The following events have been observed in patients who have taken </w:t>
      </w:r>
      <w:r w:rsidR="0078753A">
        <w:rPr>
          <w:lang w:val="en-AU" w:eastAsia="en-AU"/>
        </w:rPr>
        <w:t>MONUROL</w:t>
      </w:r>
      <w:r>
        <w:rPr>
          <w:lang w:val="en-AU" w:eastAsia="en-AU"/>
        </w:rPr>
        <w:t xml:space="preserve"> 3 g in overdose: vestibular loss, impaired hearing, metallic taste, and general decline in taste perception.</w:t>
      </w:r>
    </w:p>
    <w:p w14:paraId="5EE6CBC0" w14:textId="77777777" w:rsidR="00C84FE1" w:rsidRDefault="00C84FE1" w:rsidP="00C84FE1">
      <w:pPr>
        <w:pStyle w:val="C-BodyText"/>
        <w:rPr>
          <w:lang w:val="en-AU" w:eastAsia="en-AU"/>
        </w:rPr>
      </w:pPr>
      <w:r>
        <w:rPr>
          <w:lang w:val="en-AU" w:eastAsia="en-AU"/>
        </w:rPr>
        <w:t xml:space="preserve">Cases of </w:t>
      </w:r>
      <w:proofErr w:type="spellStart"/>
      <w:r>
        <w:rPr>
          <w:lang w:val="en-AU" w:eastAsia="en-AU"/>
        </w:rPr>
        <w:t>hypotonia</w:t>
      </w:r>
      <w:proofErr w:type="spellEnd"/>
      <w:r>
        <w:rPr>
          <w:lang w:val="en-AU" w:eastAsia="en-AU"/>
        </w:rPr>
        <w:t xml:space="preserve">, somnolence, electrolytes disturbances, thrombocytopenia and hypoprothrombinemia have been reported with parenteral use of </w:t>
      </w:r>
      <w:proofErr w:type="spellStart"/>
      <w:r>
        <w:rPr>
          <w:lang w:val="en-AU" w:eastAsia="en-AU"/>
        </w:rPr>
        <w:t>fosfomycin</w:t>
      </w:r>
      <w:proofErr w:type="spellEnd"/>
      <w:r>
        <w:rPr>
          <w:lang w:val="en-AU" w:eastAsia="en-AU"/>
        </w:rPr>
        <w:t>.</w:t>
      </w:r>
    </w:p>
    <w:p w14:paraId="5723627C" w14:textId="6D9A4C28" w:rsidR="00C84FE1" w:rsidRDefault="00C84FE1" w:rsidP="00C84FE1">
      <w:pPr>
        <w:pStyle w:val="C-BodyText"/>
        <w:rPr>
          <w:lang w:val="en-AU" w:eastAsia="en-AU"/>
        </w:rPr>
      </w:pPr>
      <w:r>
        <w:rPr>
          <w:lang w:val="en-AU" w:eastAsia="en-AU"/>
        </w:rPr>
        <w:t>In the event of overdose, treatment should be symptomatic and supportive. Rehydration is recommended to promote urinary elimination of the drug.</w:t>
      </w:r>
    </w:p>
    <w:p w14:paraId="038611CE" w14:textId="77777777" w:rsidR="002A50DF" w:rsidRPr="00F5119D" w:rsidRDefault="002A50DF" w:rsidP="00C84FE1">
      <w:pPr>
        <w:pStyle w:val="C-BodyText"/>
        <w:rPr>
          <w:rFonts w:eastAsia="Arial"/>
          <w:szCs w:val="24"/>
        </w:rPr>
      </w:pPr>
      <w:r w:rsidRPr="009C0F62">
        <w:t>In</w:t>
      </w:r>
      <w:r w:rsidRPr="009C0F62">
        <w:rPr>
          <w:spacing w:val="17"/>
        </w:rPr>
        <w:t xml:space="preserve"> </w:t>
      </w:r>
      <w:r w:rsidRPr="009C0F62">
        <w:rPr>
          <w:spacing w:val="-1"/>
        </w:rPr>
        <w:t>case</w:t>
      </w:r>
      <w:r w:rsidRPr="009C0F62">
        <w:rPr>
          <w:spacing w:val="15"/>
        </w:rPr>
        <w:t xml:space="preserve"> </w:t>
      </w:r>
      <w:r w:rsidRPr="009C0F62">
        <w:rPr>
          <w:spacing w:val="-2"/>
        </w:rPr>
        <w:t>of</w:t>
      </w:r>
      <w:r w:rsidRPr="009C0F62">
        <w:rPr>
          <w:spacing w:val="19"/>
        </w:rPr>
        <w:t xml:space="preserve"> </w:t>
      </w:r>
      <w:r w:rsidRPr="009C0F62">
        <w:rPr>
          <w:spacing w:val="-1"/>
        </w:rPr>
        <w:t>overdose,</w:t>
      </w:r>
      <w:r w:rsidRPr="009C0F62">
        <w:rPr>
          <w:spacing w:val="16"/>
        </w:rPr>
        <w:t xml:space="preserve"> </w:t>
      </w:r>
      <w:r w:rsidRPr="009C0F62">
        <w:rPr>
          <w:spacing w:val="-1"/>
        </w:rPr>
        <w:t>immediately</w:t>
      </w:r>
      <w:r w:rsidRPr="009C0F62">
        <w:rPr>
          <w:spacing w:val="15"/>
        </w:rPr>
        <w:t xml:space="preserve"> </w:t>
      </w:r>
      <w:r w:rsidRPr="009C0F62">
        <w:rPr>
          <w:spacing w:val="-1"/>
        </w:rPr>
        <w:t>contact</w:t>
      </w:r>
      <w:r w:rsidRPr="009C0F62">
        <w:rPr>
          <w:spacing w:val="16"/>
        </w:rPr>
        <w:t xml:space="preserve"> </w:t>
      </w:r>
      <w:r w:rsidRPr="009C0F62">
        <w:t>the</w:t>
      </w:r>
      <w:r w:rsidRPr="009C0F62">
        <w:rPr>
          <w:spacing w:val="17"/>
        </w:rPr>
        <w:t xml:space="preserve"> </w:t>
      </w:r>
      <w:r w:rsidRPr="009C0F62">
        <w:rPr>
          <w:spacing w:val="-2"/>
        </w:rPr>
        <w:t>Poisons</w:t>
      </w:r>
      <w:r w:rsidRPr="009C0F62">
        <w:rPr>
          <w:spacing w:val="18"/>
        </w:rPr>
        <w:t xml:space="preserve"> </w:t>
      </w:r>
      <w:r w:rsidRPr="009C0F62">
        <w:rPr>
          <w:spacing w:val="-1"/>
        </w:rPr>
        <w:t>Information</w:t>
      </w:r>
      <w:r w:rsidRPr="009C0F62">
        <w:rPr>
          <w:spacing w:val="17"/>
        </w:rPr>
        <w:t xml:space="preserve"> </w:t>
      </w:r>
      <w:r w:rsidRPr="009C0F62">
        <w:rPr>
          <w:spacing w:val="-2"/>
        </w:rPr>
        <w:t>Centre</w:t>
      </w:r>
      <w:r w:rsidRPr="009C0F62">
        <w:rPr>
          <w:spacing w:val="15"/>
        </w:rPr>
        <w:t xml:space="preserve"> </w:t>
      </w:r>
      <w:r w:rsidRPr="009C0F62">
        <w:t>for</w:t>
      </w:r>
      <w:r w:rsidRPr="009C0F62">
        <w:rPr>
          <w:spacing w:val="16"/>
        </w:rPr>
        <w:t xml:space="preserve"> </w:t>
      </w:r>
      <w:r w:rsidRPr="009C0F62">
        <w:rPr>
          <w:spacing w:val="-2"/>
        </w:rPr>
        <w:t>advice</w:t>
      </w:r>
      <w:r w:rsidRPr="009C0F62">
        <w:rPr>
          <w:spacing w:val="18"/>
        </w:rPr>
        <w:t xml:space="preserve"> </w:t>
      </w:r>
      <w:r w:rsidRPr="009C0F62">
        <w:rPr>
          <w:spacing w:val="-1"/>
        </w:rPr>
        <w:t>(13</w:t>
      </w:r>
      <w:r w:rsidRPr="009C0F62">
        <w:t xml:space="preserve"> </w:t>
      </w:r>
      <w:r w:rsidRPr="009C0F62">
        <w:rPr>
          <w:spacing w:val="-1"/>
        </w:rPr>
        <w:t>11</w:t>
      </w:r>
      <w:r w:rsidRPr="009C0F62">
        <w:t xml:space="preserve"> </w:t>
      </w:r>
      <w:r w:rsidRPr="009C0F62">
        <w:rPr>
          <w:spacing w:val="-2"/>
        </w:rPr>
        <w:t>26</w:t>
      </w:r>
      <w:r w:rsidRPr="009C0F62">
        <w:rPr>
          <w:spacing w:val="-1"/>
        </w:rPr>
        <w:t>).</w:t>
      </w:r>
    </w:p>
    <w:p w14:paraId="4965CEBF" w14:textId="77777777" w:rsidR="002A50DF" w:rsidRPr="002A50DF" w:rsidRDefault="002A50DF" w:rsidP="00C07648">
      <w:pPr>
        <w:pStyle w:val="C-Heading1nopagebreak0"/>
        <w:rPr>
          <w:bCs/>
        </w:rPr>
      </w:pPr>
      <w:r w:rsidRPr="002A50DF">
        <w:t>PRESENTATION</w:t>
      </w:r>
      <w:r w:rsidRPr="002A50DF">
        <w:rPr>
          <w:spacing w:val="2"/>
        </w:rPr>
        <w:t xml:space="preserve"> </w:t>
      </w:r>
      <w:r w:rsidRPr="002A50DF">
        <w:rPr>
          <w:spacing w:val="-3"/>
        </w:rPr>
        <w:t>AND</w:t>
      </w:r>
      <w:r w:rsidRPr="002A50DF">
        <w:rPr>
          <w:spacing w:val="2"/>
        </w:rPr>
        <w:t xml:space="preserve"> </w:t>
      </w:r>
      <w:r w:rsidRPr="002A50DF">
        <w:rPr>
          <w:spacing w:val="-2"/>
        </w:rPr>
        <w:t>STORAGE</w:t>
      </w:r>
      <w:r w:rsidRPr="002A50DF">
        <w:t xml:space="preserve"> CONDITIONS</w:t>
      </w:r>
    </w:p>
    <w:p w14:paraId="61B95717" w14:textId="77777777" w:rsidR="00772403" w:rsidRDefault="0078753A" w:rsidP="00772403">
      <w:pPr>
        <w:pStyle w:val="C-BodyText"/>
        <w:rPr>
          <w:lang w:val="en-AU" w:eastAsia="en-AU"/>
        </w:rPr>
      </w:pPr>
      <w:r>
        <w:rPr>
          <w:lang w:val="en-AU" w:eastAsia="en-AU"/>
        </w:rPr>
        <w:t>MONUROL</w:t>
      </w:r>
      <w:r w:rsidR="00CE029D">
        <w:rPr>
          <w:lang w:val="en-AU" w:eastAsia="en-AU"/>
        </w:rPr>
        <w:t xml:space="preserve"> contains </w:t>
      </w:r>
      <w:r w:rsidR="0034037B">
        <w:rPr>
          <w:lang w:val="en-AU" w:eastAsia="en-AU"/>
        </w:rPr>
        <w:t xml:space="preserve">3 g </w:t>
      </w:r>
      <w:proofErr w:type="spellStart"/>
      <w:r w:rsidR="0034037B">
        <w:rPr>
          <w:lang w:val="en-AU" w:eastAsia="en-AU"/>
        </w:rPr>
        <w:t>fosfomycin</w:t>
      </w:r>
      <w:proofErr w:type="spellEnd"/>
      <w:r w:rsidR="0034037B">
        <w:rPr>
          <w:lang w:val="en-AU" w:eastAsia="en-AU"/>
        </w:rPr>
        <w:t xml:space="preserve"> (as</w:t>
      </w:r>
      <w:r w:rsidR="00E21913">
        <w:rPr>
          <w:lang w:val="en-AU" w:eastAsia="en-AU"/>
        </w:rPr>
        <w:t xml:space="preserve"> </w:t>
      </w:r>
      <w:proofErr w:type="spellStart"/>
      <w:r w:rsidR="00E21913">
        <w:rPr>
          <w:lang w:val="en-AU" w:eastAsia="en-AU"/>
        </w:rPr>
        <w:t>fosfomycin</w:t>
      </w:r>
      <w:proofErr w:type="spellEnd"/>
      <w:r w:rsidR="0034037B">
        <w:rPr>
          <w:lang w:val="en-AU" w:eastAsia="en-AU"/>
        </w:rPr>
        <w:t xml:space="preserve"> trometamol), presen</w:t>
      </w:r>
      <w:r w:rsidR="009F2490">
        <w:rPr>
          <w:lang w:val="en-AU" w:eastAsia="en-AU"/>
        </w:rPr>
        <w:t xml:space="preserve">ted as </w:t>
      </w:r>
      <w:r w:rsidR="009F2490" w:rsidRPr="00A45B04">
        <w:rPr>
          <w:lang w:val="en-AU" w:eastAsia="en-AU"/>
        </w:rPr>
        <w:t>white</w:t>
      </w:r>
      <w:r w:rsidR="009F2490">
        <w:rPr>
          <w:lang w:val="en-AU" w:eastAsia="en-AU"/>
        </w:rPr>
        <w:t xml:space="preserve"> granules for oral solution</w:t>
      </w:r>
      <w:r w:rsidR="0034037B">
        <w:rPr>
          <w:lang w:val="en-AU" w:eastAsia="en-AU"/>
        </w:rPr>
        <w:t xml:space="preserve"> </w:t>
      </w:r>
      <w:r w:rsidR="00B16FF4">
        <w:rPr>
          <w:lang w:val="en-AU" w:eastAsia="en-AU"/>
        </w:rPr>
        <w:t>in single use sachet</w:t>
      </w:r>
      <w:r w:rsidR="00772403">
        <w:rPr>
          <w:lang w:val="en-AU" w:eastAsia="en-AU"/>
        </w:rPr>
        <w:t xml:space="preserve">. The </w:t>
      </w:r>
      <w:r w:rsidR="0015468F">
        <w:rPr>
          <w:lang w:val="en-AU" w:eastAsia="en-AU"/>
        </w:rPr>
        <w:t>s</w:t>
      </w:r>
      <w:r w:rsidR="00B16FF4">
        <w:rPr>
          <w:lang w:val="en-AU" w:eastAsia="en-AU"/>
        </w:rPr>
        <w:t>achet is</w:t>
      </w:r>
      <w:r w:rsidR="00772403">
        <w:rPr>
          <w:lang w:val="en-AU" w:eastAsia="en-AU"/>
        </w:rPr>
        <w:t xml:space="preserve"> </w:t>
      </w:r>
      <w:r w:rsidR="001A36D9">
        <w:rPr>
          <w:lang w:val="en-AU" w:eastAsia="en-AU"/>
        </w:rPr>
        <w:t>a</w:t>
      </w:r>
      <w:r w:rsidR="00B22042">
        <w:rPr>
          <w:lang w:val="en-AU" w:eastAsia="en-AU"/>
        </w:rPr>
        <w:t xml:space="preserve"> four layer laminate</w:t>
      </w:r>
      <w:r w:rsidR="00B16FF4">
        <w:rPr>
          <w:lang w:val="en-AU" w:eastAsia="en-AU"/>
        </w:rPr>
        <w:t xml:space="preserve"> comprising of paper, polyethylene, aluminium and</w:t>
      </w:r>
      <w:r w:rsidR="00772403">
        <w:rPr>
          <w:lang w:val="en-AU" w:eastAsia="en-AU"/>
        </w:rPr>
        <w:t xml:space="preserve"> polyethylene, and</w:t>
      </w:r>
      <w:r w:rsidR="00B16FF4">
        <w:rPr>
          <w:lang w:val="en-AU" w:eastAsia="en-AU"/>
        </w:rPr>
        <w:t xml:space="preserve"> is</w:t>
      </w:r>
      <w:r w:rsidR="00772403">
        <w:rPr>
          <w:lang w:val="en-AU" w:eastAsia="en-AU"/>
        </w:rPr>
        <w:t xml:space="preserve"> supplied in</w:t>
      </w:r>
      <w:r w:rsidR="00B22042">
        <w:rPr>
          <w:lang w:val="en-AU" w:eastAsia="en-AU"/>
        </w:rPr>
        <w:t xml:space="preserve"> </w:t>
      </w:r>
      <w:r w:rsidR="00B16FF4">
        <w:rPr>
          <w:lang w:val="en-AU" w:eastAsia="en-AU"/>
        </w:rPr>
        <w:t>a</w:t>
      </w:r>
      <w:r w:rsidR="00F134DF">
        <w:rPr>
          <w:lang w:val="en-AU" w:eastAsia="en-AU"/>
        </w:rPr>
        <w:t xml:space="preserve">n outer </w:t>
      </w:r>
      <w:r w:rsidR="00B16FF4">
        <w:rPr>
          <w:lang w:val="en-AU" w:eastAsia="en-AU"/>
        </w:rPr>
        <w:t xml:space="preserve">cardboard </w:t>
      </w:r>
      <w:r w:rsidR="00772403">
        <w:rPr>
          <w:lang w:val="en-AU" w:eastAsia="en-AU"/>
        </w:rPr>
        <w:t>car</w:t>
      </w:r>
      <w:r w:rsidR="00B22042">
        <w:rPr>
          <w:lang w:val="en-AU" w:eastAsia="en-AU"/>
        </w:rPr>
        <w:t>ton</w:t>
      </w:r>
      <w:r w:rsidR="001D733A">
        <w:rPr>
          <w:lang w:val="en-AU" w:eastAsia="en-AU"/>
        </w:rPr>
        <w:t>, one sachet per carton</w:t>
      </w:r>
      <w:r w:rsidR="00B16FF4">
        <w:rPr>
          <w:lang w:val="en-AU" w:eastAsia="en-AU"/>
        </w:rPr>
        <w:t>.</w:t>
      </w:r>
    </w:p>
    <w:p w14:paraId="1E4F082A" w14:textId="77777777" w:rsidR="002A50DF" w:rsidRPr="002A50DF" w:rsidRDefault="002A50DF" w:rsidP="00772403">
      <w:pPr>
        <w:pStyle w:val="C-BodyText"/>
      </w:pPr>
      <w:r w:rsidRPr="002A50DF">
        <w:t xml:space="preserve">Store </w:t>
      </w:r>
      <w:r w:rsidRPr="001D733A">
        <w:t>below</w:t>
      </w:r>
      <w:r w:rsidRPr="001D733A">
        <w:rPr>
          <w:spacing w:val="-3"/>
        </w:rPr>
        <w:t xml:space="preserve"> </w:t>
      </w:r>
      <w:r w:rsidR="00DD7B97" w:rsidRPr="001D733A">
        <w:t>25</w:t>
      </w:r>
      <w:r w:rsidRPr="001D733A">
        <w:t>ºC.</w:t>
      </w:r>
    </w:p>
    <w:p w14:paraId="58F901EE" w14:textId="77777777" w:rsidR="002A50DF" w:rsidRPr="002A50DF" w:rsidRDefault="002A50DF" w:rsidP="00C07648">
      <w:pPr>
        <w:pStyle w:val="C-Heading1nopagebreak0"/>
        <w:rPr>
          <w:bCs/>
        </w:rPr>
      </w:pPr>
      <w:r w:rsidRPr="002A50DF">
        <w:t>NAME</w:t>
      </w:r>
      <w:r w:rsidRPr="002A50DF">
        <w:rPr>
          <w:spacing w:val="5"/>
        </w:rPr>
        <w:t xml:space="preserve"> </w:t>
      </w:r>
      <w:r w:rsidRPr="002A50DF">
        <w:rPr>
          <w:spacing w:val="-3"/>
        </w:rPr>
        <w:t>AND</w:t>
      </w:r>
      <w:r w:rsidRPr="002A50DF">
        <w:rPr>
          <w:spacing w:val="4"/>
        </w:rPr>
        <w:t xml:space="preserve"> </w:t>
      </w:r>
      <w:r w:rsidRPr="002A50DF">
        <w:t xml:space="preserve">ADDRESS OF THE </w:t>
      </w:r>
      <w:r w:rsidRPr="002A50DF">
        <w:rPr>
          <w:spacing w:val="-1"/>
        </w:rPr>
        <w:t>SPONSOR</w:t>
      </w:r>
    </w:p>
    <w:p w14:paraId="63CBFD06" w14:textId="77777777" w:rsidR="00276890" w:rsidRDefault="00701680" w:rsidP="00F5119D">
      <w:pPr>
        <w:pStyle w:val="C-BodyText"/>
        <w:spacing w:before="60" w:after="60"/>
      </w:pPr>
      <w:r>
        <w:t>Mayne Pharma International Pty L</w:t>
      </w:r>
      <w:r w:rsidR="00CF7D4A">
        <w:t>t</w:t>
      </w:r>
      <w:r>
        <w:t>d</w:t>
      </w:r>
    </w:p>
    <w:p w14:paraId="23B6A8CC" w14:textId="77777777" w:rsidR="00701680" w:rsidRDefault="00701680" w:rsidP="00F5119D">
      <w:pPr>
        <w:pStyle w:val="C-BodyText"/>
        <w:spacing w:before="60" w:after="60"/>
      </w:pPr>
      <w:r>
        <w:t>ABN 88 007 870 984</w:t>
      </w:r>
    </w:p>
    <w:p w14:paraId="317656E1" w14:textId="77777777" w:rsidR="00701680" w:rsidRDefault="00701680" w:rsidP="00F5119D">
      <w:pPr>
        <w:pStyle w:val="C-BodyText"/>
        <w:spacing w:before="60" w:after="60"/>
      </w:pPr>
      <w:r>
        <w:t xml:space="preserve">1538 Main North Road </w:t>
      </w:r>
    </w:p>
    <w:p w14:paraId="23EFB521" w14:textId="77777777" w:rsidR="00701680" w:rsidRPr="002A50DF" w:rsidRDefault="00701680" w:rsidP="00F5119D">
      <w:pPr>
        <w:pStyle w:val="C-BodyText"/>
        <w:spacing w:before="60"/>
      </w:pPr>
      <w:r>
        <w:t>Salisbury South, SA 5106</w:t>
      </w:r>
    </w:p>
    <w:p w14:paraId="3E048017" w14:textId="77777777" w:rsidR="002A50DF" w:rsidRPr="002A50DF" w:rsidRDefault="002A50DF" w:rsidP="00C07648">
      <w:pPr>
        <w:pStyle w:val="C-Heading1nopagebreak0"/>
      </w:pPr>
      <w:r w:rsidRPr="002A50DF">
        <w:lastRenderedPageBreak/>
        <w:t xml:space="preserve">POISON </w:t>
      </w:r>
      <w:r w:rsidRPr="002A50DF">
        <w:rPr>
          <w:spacing w:val="-2"/>
        </w:rPr>
        <w:t>SCHEDULE</w:t>
      </w:r>
      <w:r w:rsidRPr="002A50DF">
        <w:t xml:space="preserve"> OF </w:t>
      </w:r>
      <w:r w:rsidRPr="002A50DF">
        <w:rPr>
          <w:spacing w:val="-2"/>
        </w:rPr>
        <w:t>THE</w:t>
      </w:r>
      <w:r w:rsidRPr="002A50DF">
        <w:t xml:space="preserve"> MEDICINE</w:t>
      </w:r>
    </w:p>
    <w:p w14:paraId="4DB2C8AC" w14:textId="77777777" w:rsidR="002A50DF" w:rsidRPr="002A50DF" w:rsidRDefault="002A50DF" w:rsidP="00701680">
      <w:pPr>
        <w:pStyle w:val="C-BodyText"/>
      </w:pPr>
      <w:r w:rsidRPr="009C0F62">
        <w:t>S4</w:t>
      </w:r>
      <w:r w:rsidRPr="009C0F62">
        <w:rPr>
          <w:b/>
        </w:rPr>
        <w:t xml:space="preserve"> </w:t>
      </w:r>
      <w:r w:rsidRPr="009C0F62">
        <w:t>(Prescription</w:t>
      </w:r>
      <w:r w:rsidRPr="009C0F62">
        <w:rPr>
          <w:spacing w:val="-2"/>
        </w:rPr>
        <w:t xml:space="preserve"> </w:t>
      </w:r>
      <w:r w:rsidRPr="009C0F62">
        <w:t>Only</w:t>
      </w:r>
      <w:r w:rsidRPr="009C0F62">
        <w:rPr>
          <w:spacing w:val="-2"/>
        </w:rPr>
        <w:t xml:space="preserve"> Medicine)</w:t>
      </w:r>
    </w:p>
    <w:p w14:paraId="5EC951EA" w14:textId="77777777" w:rsidR="002A50DF" w:rsidRPr="002A50DF" w:rsidRDefault="002A50DF" w:rsidP="002A50DF">
      <w:pPr>
        <w:pStyle w:val="C-Heading1nopagebreak0"/>
        <w:tabs>
          <w:tab w:val="clear" w:pos="1080"/>
        </w:tabs>
        <w:ind w:left="0" w:firstLine="0"/>
      </w:pPr>
      <w:r w:rsidRPr="002A50DF">
        <w:t xml:space="preserve">DATE OF </w:t>
      </w:r>
      <w:r w:rsidRPr="002A50DF">
        <w:rPr>
          <w:spacing w:val="-1"/>
        </w:rPr>
        <w:t>FIRST</w:t>
      </w:r>
      <w:r w:rsidRPr="002A50DF">
        <w:t xml:space="preserve"> </w:t>
      </w:r>
      <w:r w:rsidRPr="002A50DF">
        <w:rPr>
          <w:spacing w:val="-1"/>
        </w:rPr>
        <w:t>INCLUSION</w:t>
      </w:r>
      <w:r w:rsidRPr="002A50DF">
        <w:rPr>
          <w:spacing w:val="-3"/>
        </w:rPr>
        <w:t xml:space="preserve"> </w:t>
      </w:r>
      <w:r w:rsidRPr="002A50DF">
        <w:t>IN THE</w:t>
      </w:r>
      <w:r w:rsidRPr="002A50DF">
        <w:rPr>
          <w:spacing w:val="2"/>
        </w:rPr>
        <w:t xml:space="preserve"> </w:t>
      </w:r>
      <w:r w:rsidRPr="002A50DF">
        <w:t xml:space="preserve">AUSTRALIAN </w:t>
      </w:r>
      <w:r w:rsidRPr="002A50DF">
        <w:rPr>
          <w:spacing w:val="-1"/>
        </w:rPr>
        <w:t>REGISTER</w:t>
      </w:r>
      <w:r w:rsidRPr="002A50DF">
        <w:t xml:space="preserve"> OF </w:t>
      </w:r>
      <w:r w:rsidRPr="002A50DF">
        <w:rPr>
          <w:spacing w:val="-1"/>
        </w:rPr>
        <w:t>THERAPEUTIC</w:t>
      </w:r>
      <w:r w:rsidRPr="002A50DF">
        <w:t xml:space="preserve"> </w:t>
      </w:r>
      <w:r w:rsidRPr="002A50DF">
        <w:rPr>
          <w:spacing w:val="-1"/>
        </w:rPr>
        <w:t>GOODS</w:t>
      </w:r>
      <w:r w:rsidRPr="002A50DF">
        <w:rPr>
          <w:spacing w:val="45"/>
        </w:rPr>
        <w:t xml:space="preserve"> </w:t>
      </w:r>
      <w:r w:rsidRPr="002A50DF">
        <w:t>(THE</w:t>
      </w:r>
      <w:r w:rsidRPr="002A50DF">
        <w:rPr>
          <w:spacing w:val="5"/>
        </w:rPr>
        <w:t xml:space="preserve"> </w:t>
      </w:r>
      <w:r w:rsidRPr="002A50DF">
        <w:t>ARTG)</w:t>
      </w:r>
    </w:p>
    <w:p w14:paraId="6C585945" w14:textId="55D29267" w:rsidR="00F17201" w:rsidRDefault="00FE4B0D" w:rsidP="003E5167">
      <w:pPr>
        <w:pStyle w:val="C-BodyText"/>
      </w:pPr>
      <w:r>
        <w:t>4 September 2017</w:t>
      </w:r>
    </w:p>
    <w:p w14:paraId="14658F0D" w14:textId="77777777" w:rsidR="00F17201" w:rsidRDefault="00F17201" w:rsidP="003E5167">
      <w:pPr>
        <w:pStyle w:val="C-BodyText"/>
      </w:pPr>
    </w:p>
    <w:p w14:paraId="172D9741" w14:textId="77777777" w:rsidR="00DB233A" w:rsidRPr="002A50DF" w:rsidRDefault="00DB233A" w:rsidP="003E5167">
      <w:pPr>
        <w:pStyle w:val="C-BodyText"/>
      </w:pPr>
      <w:proofErr w:type="spellStart"/>
      <w:r w:rsidRPr="00DB233A">
        <w:t>Monurol</w:t>
      </w:r>
      <w:proofErr w:type="spellEnd"/>
      <w:r w:rsidRPr="00DB233A">
        <w:t xml:space="preserve"> is a registered trade mark of </w:t>
      </w:r>
      <w:proofErr w:type="spellStart"/>
      <w:r w:rsidRPr="00DB233A">
        <w:t>Zambon</w:t>
      </w:r>
      <w:proofErr w:type="spellEnd"/>
      <w:r w:rsidRPr="00DB233A">
        <w:t xml:space="preserve"> </w:t>
      </w:r>
      <w:proofErr w:type="spellStart"/>
      <w:r w:rsidRPr="00DB233A">
        <w:t>SpA</w:t>
      </w:r>
      <w:proofErr w:type="spellEnd"/>
      <w:r w:rsidRPr="00DB233A">
        <w:t xml:space="preserve"> used under </w:t>
      </w:r>
      <w:proofErr w:type="spellStart"/>
      <w:r w:rsidRPr="00DB233A">
        <w:t>licence</w:t>
      </w:r>
      <w:proofErr w:type="spellEnd"/>
      <w:r w:rsidRPr="00DB233A">
        <w:t>.</w:t>
      </w:r>
    </w:p>
    <w:sectPr w:rsidR="00DB233A" w:rsidRPr="002A50DF" w:rsidSect="00CE39A5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pgNumType w:start="1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4816D" w14:textId="77777777" w:rsidR="00A60F36" w:rsidRDefault="00A60F36" w:rsidP="00C30D4F">
      <w:pPr>
        <w:pStyle w:val="C-BodyText"/>
      </w:pPr>
      <w:r>
        <w:separator/>
      </w:r>
    </w:p>
  </w:endnote>
  <w:endnote w:type="continuationSeparator" w:id="0">
    <w:p w14:paraId="59391039" w14:textId="77777777" w:rsidR="00A60F36" w:rsidRDefault="00A60F36" w:rsidP="00C30D4F">
      <w:pPr>
        <w:pStyle w:val="C-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Yu Gothic"/>
    <w:charset w:val="00"/>
    <w:family w:val="auto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26258" w14:textId="419CDAC6" w:rsidR="00A60F36" w:rsidRDefault="00A60F36" w:rsidP="00CE39A5">
    <w:pPr>
      <w:pStyle w:val="C-Footer"/>
      <w:tabs>
        <w:tab w:val="left" w:pos="2604"/>
        <w:tab w:val="left" w:pos="2635"/>
        <w:tab w:val="center" w:pos="4680"/>
        <w:tab w:val="right" w:pos="9360"/>
      </w:tabs>
    </w:pPr>
    <w:proofErr w:type="gramStart"/>
    <w:r>
      <w:t>v</w:t>
    </w:r>
    <w:proofErr w:type="gramEnd"/>
    <w:r w:rsidR="00FD4BE1">
      <w:t xml:space="preserve"> 1.0</w:t>
    </w: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B10FDD">
      <w:rPr>
        <w:noProof/>
      </w:rPr>
      <w:t>13</w:t>
    </w:r>
    <w:r>
      <w:rPr>
        <w:noProof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CF6B8" w14:textId="77777777" w:rsidR="00A60F36" w:rsidRDefault="00A60F36" w:rsidP="00C30D4F">
      <w:pPr>
        <w:pStyle w:val="C-BodyText"/>
      </w:pPr>
      <w:r>
        <w:separator/>
      </w:r>
    </w:p>
  </w:footnote>
  <w:footnote w:type="continuationSeparator" w:id="0">
    <w:p w14:paraId="09EEB4DD" w14:textId="77777777" w:rsidR="00A60F36" w:rsidRDefault="00A60F36" w:rsidP="00C30D4F">
      <w:pPr>
        <w:pStyle w:val="C-Body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shd w:val="clear" w:color="auto" w:fill="E4F2E0"/>
      <w:tblLook w:val="04A0" w:firstRow="1" w:lastRow="0" w:firstColumn="1" w:lastColumn="0" w:noHBand="0" w:noVBand="1"/>
    </w:tblPr>
    <w:tblGrid>
      <w:gridCol w:w="8720"/>
    </w:tblGrid>
    <w:tr w:rsidR="00B10FDD" w:rsidRPr="001C184C" w14:paraId="68A54CE7" w14:textId="77777777" w:rsidTr="001C6619">
      <w:tc>
        <w:tcPr>
          <w:tcW w:w="8720" w:type="dxa"/>
          <w:shd w:val="clear" w:color="auto" w:fill="E4F2E0"/>
        </w:tcPr>
        <w:p w14:paraId="293B7286" w14:textId="77777777" w:rsidR="00B10FDD" w:rsidRPr="001C184C" w:rsidRDefault="00B10FDD" w:rsidP="001C6619">
          <w:pPr>
            <w:pStyle w:val="Footer"/>
            <w:rPr>
              <w:b/>
              <w:sz w:val="18"/>
              <w:szCs w:val="18"/>
            </w:rPr>
          </w:pPr>
          <w:r w:rsidRPr="001C184C">
            <w:rPr>
              <w:b/>
              <w:sz w:val="18"/>
              <w:szCs w:val="18"/>
            </w:rPr>
            <w:t xml:space="preserve">Attachment 1: Product information </w:t>
          </w:r>
          <w:r w:rsidRPr="002F0859">
            <w:rPr>
              <w:b/>
              <w:sz w:val="18"/>
              <w:szCs w:val="18"/>
            </w:rPr>
            <w:t xml:space="preserve">AusPAR </w:t>
          </w:r>
          <w:proofErr w:type="spellStart"/>
          <w:r w:rsidRPr="002F0859">
            <w:rPr>
              <w:b/>
              <w:sz w:val="18"/>
              <w:szCs w:val="18"/>
            </w:rPr>
            <w:t>Monurol</w:t>
          </w:r>
          <w:proofErr w:type="spellEnd"/>
          <w:r w:rsidRPr="002F0859">
            <w:rPr>
              <w:b/>
              <w:sz w:val="18"/>
              <w:szCs w:val="18"/>
            </w:rPr>
            <w:t xml:space="preserve"> Mayne Pharma International Pty Ltd PM-2016-01944-1-2</w:t>
          </w:r>
          <w:r>
            <w:rPr>
              <w:b/>
              <w:sz w:val="18"/>
              <w:szCs w:val="18"/>
            </w:rPr>
            <w:t xml:space="preserve"> </w:t>
          </w:r>
          <w:r w:rsidRPr="002F0859">
            <w:rPr>
              <w:b/>
              <w:sz w:val="18"/>
              <w:szCs w:val="18"/>
            </w:rPr>
            <w:t>Final 7 September 2018</w:t>
          </w:r>
          <w:r w:rsidRPr="001C184C">
            <w:rPr>
              <w:b/>
              <w:sz w:val="18"/>
              <w:szCs w:val="18"/>
            </w:rPr>
            <w:t>. This Product information was approved at the time this AusPAR was published.</w:t>
          </w:r>
        </w:p>
      </w:tc>
    </w:tr>
  </w:tbl>
  <w:p w14:paraId="5B4417E1" w14:textId="69ACE789" w:rsidR="00A60F36" w:rsidRPr="00B10FDD" w:rsidRDefault="00A60F36" w:rsidP="00B10F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2EC14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56AB1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E8A6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500F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10B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522B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4A74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8B6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6CE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E0ED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45AA7"/>
    <w:multiLevelType w:val="hybridMultilevel"/>
    <w:tmpl w:val="A9BE7986"/>
    <w:name w:val="C-Number List Template"/>
    <w:lvl w:ilvl="0" w:tplc="17D0C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B721A"/>
    <w:multiLevelType w:val="singleLevel"/>
    <w:tmpl w:val="29F2817E"/>
    <w:name w:val="TableNoteNumeric"/>
    <w:lvl w:ilvl="0">
      <w:start w:val="1"/>
      <w:numFmt w:val="decimal"/>
      <w:suff w:val="nothing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12">
    <w:nsid w:val="0D0364A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DBD3D4B"/>
    <w:multiLevelType w:val="hybridMultilevel"/>
    <w:tmpl w:val="AAC004AE"/>
    <w:lvl w:ilvl="0" w:tplc="064002EA">
      <w:start w:val="1"/>
      <w:numFmt w:val="upperLetter"/>
      <w:pStyle w:val="C-Alphabetic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181C02"/>
    <w:multiLevelType w:val="singleLevel"/>
    <w:tmpl w:val="B4EC40C4"/>
    <w:name w:val="TableNoteAlpha"/>
    <w:lvl w:ilvl="0">
      <w:start w:val="1"/>
      <w:numFmt w:val="lowerLetter"/>
      <w:suff w:val="nothing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15">
    <w:nsid w:val="142172AD"/>
    <w:multiLevelType w:val="multilevel"/>
    <w:tmpl w:val="08DAD354"/>
    <w:lvl w:ilvl="0">
      <w:start w:val="1"/>
      <w:numFmt w:val="upperLetter"/>
      <w:lvlText w:val="Appendix %1"/>
      <w:lvlJc w:val="left"/>
      <w:pPr>
        <w:tabs>
          <w:tab w:val="num" w:pos="1987"/>
        </w:tabs>
        <w:ind w:left="1987" w:hanging="198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133865"/>
    <w:multiLevelType w:val="hybridMultilevel"/>
    <w:tmpl w:val="735C2B1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497758C"/>
    <w:multiLevelType w:val="hybridMultilevel"/>
    <w:tmpl w:val="016AAAE6"/>
    <w:lvl w:ilvl="0" w:tplc="D93EBD12">
      <w:start w:val="1"/>
      <w:numFmt w:val="decimal"/>
      <w:pStyle w:val="C-AppendixNumbered"/>
      <w:lvlText w:val="Appendix 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>
    <w:nsid w:val="2C433127"/>
    <w:multiLevelType w:val="multilevel"/>
    <w:tmpl w:val="F2F66A26"/>
    <w:numStyleLink w:val="SPNumberedTabs"/>
  </w:abstractNum>
  <w:abstractNum w:abstractNumId="19">
    <w:nsid w:val="32C60FEA"/>
    <w:multiLevelType w:val="hybridMultilevel"/>
    <w:tmpl w:val="6C9E5236"/>
    <w:lvl w:ilvl="0" w:tplc="CAA840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74E756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F7641A9"/>
    <w:multiLevelType w:val="multilevel"/>
    <w:tmpl w:val="268040E8"/>
    <w:lvl w:ilvl="0">
      <w:start w:val="1"/>
      <w:numFmt w:val="decimal"/>
      <w:pStyle w:val="C-Heading1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C-Heading2"/>
      <w:lvlText w:val="%1.%2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pStyle w:val="C-Heading3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C-Heading4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C-Heading5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C-Heading6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1080" w:hanging="1080"/>
      </w:pPr>
      <w:rPr>
        <w:rFonts w:hint="default"/>
      </w:rPr>
    </w:lvl>
  </w:abstractNum>
  <w:abstractNum w:abstractNumId="22">
    <w:nsid w:val="404E2D22"/>
    <w:multiLevelType w:val="hybridMultilevel"/>
    <w:tmpl w:val="3FF02902"/>
    <w:lvl w:ilvl="0" w:tplc="BDD6509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A37A97"/>
    <w:multiLevelType w:val="hybridMultilevel"/>
    <w:tmpl w:val="77B6E4AE"/>
    <w:lvl w:ilvl="0" w:tplc="42784AB4">
      <w:start w:val="1"/>
      <w:numFmt w:val="bullet"/>
      <w:pStyle w:val="C-PLR-BulletIndented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AE6311"/>
    <w:multiLevelType w:val="multilevel"/>
    <w:tmpl w:val="4FA4CF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</w:abstractNum>
  <w:abstractNum w:abstractNumId="25">
    <w:nsid w:val="49C54B39"/>
    <w:multiLevelType w:val="multilevel"/>
    <w:tmpl w:val="F2F66A26"/>
    <w:lvl w:ilvl="0">
      <w:start w:val="1"/>
      <w:numFmt w:val="decimal"/>
      <w:pStyle w:val="C-NumberedList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pStyle w:val="C-AlphabeticList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4B8C094E"/>
    <w:multiLevelType w:val="multilevel"/>
    <w:tmpl w:val="37004A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>
    <w:nsid w:val="4FB63B5A"/>
    <w:multiLevelType w:val="hybridMultilevel"/>
    <w:tmpl w:val="4BC074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D0080E"/>
    <w:multiLevelType w:val="multilevel"/>
    <w:tmpl w:val="F2F66A26"/>
    <w:styleLink w:val="SPNumberedTabs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51CD67E6"/>
    <w:multiLevelType w:val="multilevel"/>
    <w:tmpl w:val="0FC8E5A8"/>
    <w:lvl w:ilvl="0">
      <w:start w:val="1"/>
      <w:numFmt w:val="decimal"/>
      <w:pStyle w:val="C-PLR-Heading1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C-PLR-Heading2"/>
      <w:lvlText w:val="%1.%2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pStyle w:val="C-PLR-Heading3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C-PLR-Heading4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C-PLR-Heading5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C-PLR-Heading6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1080" w:hanging="1080"/>
      </w:pPr>
      <w:rPr>
        <w:rFonts w:hint="default"/>
      </w:rPr>
    </w:lvl>
  </w:abstractNum>
  <w:abstractNum w:abstractNumId="30">
    <w:nsid w:val="52FE2CFA"/>
    <w:multiLevelType w:val="hybridMultilevel"/>
    <w:tmpl w:val="EF5C1A9E"/>
    <w:lvl w:ilvl="0" w:tplc="474A4A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3814F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39D6478"/>
    <w:multiLevelType w:val="multilevel"/>
    <w:tmpl w:val="88DCF0C0"/>
    <w:styleLink w:val="SPBulletTabs"/>
    <w:lvl w:ilvl="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</w:abstractNum>
  <w:abstractNum w:abstractNumId="33">
    <w:nsid w:val="54DA76CF"/>
    <w:multiLevelType w:val="hybridMultilevel"/>
    <w:tmpl w:val="074EA7C6"/>
    <w:lvl w:ilvl="0" w:tplc="BDD6509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980D01"/>
    <w:multiLevelType w:val="hybridMultilevel"/>
    <w:tmpl w:val="125466B8"/>
    <w:lvl w:ilvl="0" w:tplc="6DC22D0A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AB1534"/>
    <w:multiLevelType w:val="multilevel"/>
    <w:tmpl w:val="88DCF0C0"/>
    <w:numStyleLink w:val="SPBulletTabs"/>
  </w:abstractNum>
  <w:abstractNum w:abstractNumId="36">
    <w:nsid w:val="69B877FF"/>
    <w:multiLevelType w:val="multilevel"/>
    <w:tmpl w:val="BE42665A"/>
    <w:lvl w:ilvl="0">
      <w:start w:val="1"/>
      <w:numFmt w:val="bullet"/>
      <w:pStyle w:val="C-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pStyle w:val="C-BulletIndented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</w:abstractNum>
  <w:abstractNum w:abstractNumId="37">
    <w:nsid w:val="69E42151"/>
    <w:multiLevelType w:val="hybridMultilevel"/>
    <w:tmpl w:val="935CB0C6"/>
    <w:lvl w:ilvl="0" w:tplc="62D29A18">
      <w:start w:val="1"/>
      <w:numFmt w:val="bullet"/>
      <w:pStyle w:val="C-PLR-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DB75DA"/>
    <w:multiLevelType w:val="hybridMultilevel"/>
    <w:tmpl w:val="15023650"/>
    <w:lvl w:ilvl="0" w:tplc="8856ED3E">
      <w:start w:val="1"/>
      <w:numFmt w:val="decimal"/>
      <w:pStyle w:val="C-PLR-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DB75DF"/>
    <w:multiLevelType w:val="hybridMultilevel"/>
    <w:tmpl w:val="853E0C4E"/>
    <w:lvl w:ilvl="0" w:tplc="8E189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E6D116B"/>
    <w:multiLevelType w:val="multilevel"/>
    <w:tmpl w:val="D3BC6E0C"/>
    <w:lvl w:ilvl="0">
      <w:start w:val="1"/>
      <w:numFmt w:val="upperLetter"/>
      <w:lvlText w:val="Appendix %1:"/>
      <w:lvlJc w:val="left"/>
      <w:pPr>
        <w:tabs>
          <w:tab w:val="num" w:pos="1987"/>
        </w:tabs>
        <w:ind w:left="1987" w:hanging="198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1035A3"/>
    <w:multiLevelType w:val="multilevel"/>
    <w:tmpl w:val="51DE486A"/>
    <w:lvl w:ilvl="0">
      <w:start w:val="1"/>
      <w:numFmt w:val="upperLetter"/>
      <w:pStyle w:val="C-Appendix"/>
      <w:lvlText w:val="Appendix %1."/>
      <w:lvlJc w:val="left"/>
      <w:pPr>
        <w:tabs>
          <w:tab w:val="num" w:pos="1987"/>
        </w:tabs>
        <w:ind w:left="1987" w:hanging="198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>
    <w:nsid w:val="75F75C57"/>
    <w:multiLevelType w:val="hybridMultilevel"/>
    <w:tmpl w:val="AC246424"/>
    <w:lvl w:ilvl="0" w:tplc="C5001C28">
      <w:start w:val="1"/>
      <w:numFmt w:val="lowerLetter"/>
      <w:pStyle w:val="C-PLR-AlphabeticList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16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1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180"/>
      </w:pPr>
      <w:rPr>
        <w:rFonts w:ascii="Wingdings" w:hAnsi="Wingdings" w:hint="default"/>
      </w:rPr>
    </w:lvl>
  </w:abstractNum>
  <w:abstractNum w:abstractNumId="43">
    <w:nsid w:val="774905D3"/>
    <w:multiLevelType w:val="multilevel"/>
    <w:tmpl w:val="03FC50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1080" w:hanging="1080"/>
      </w:pPr>
      <w:rPr>
        <w:rFonts w:hint="default"/>
      </w:rPr>
    </w:lvl>
  </w:abstractNum>
  <w:num w:numId="1">
    <w:abstractNumId w:val="10"/>
  </w:num>
  <w:num w:numId="2">
    <w:abstractNumId w:val="34"/>
  </w:num>
  <w:num w:numId="3">
    <w:abstractNumId w:val="30"/>
  </w:num>
  <w:num w:numId="4">
    <w:abstractNumId w:val="26"/>
  </w:num>
  <w:num w:numId="5">
    <w:abstractNumId w:val="21"/>
  </w:num>
  <w:num w:numId="6">
    <w:abstractNumId w:val="41"/>
  </w:num>
  <w:num w:numId="7">
    <w:abstractNumId w:val="39"/>
  </w:num>
  <w:num w:numId="8">
    <w:abstractNumId w:val="37"/>
  </w:num>
  <w:num w:numId="9">
    <w:abstractNumId w:val="23"/>
  </w:num>
  <w:num w:numId="10">
    <w:abstractNumId w:val="19"/>
  </w:num>
  <w:num w:numId="11">
    <w:abstractNumId w:val="40"/>
  </w:num>
  <w:num w:numId="12">
    <w:abstractNumId w:val="15"/>
  </w:num>
  <w:num w:numId="13">
    <w:abstractNumId w:val="43"/>
  </w:num>
  <w:num w:numId="14">
    <w:abstractNumId w:val="27"/>
  </w:num>
  <w:num w:numId="15">
    <w:abstractNumId w:val="29"/>
  </w:num>
  <w:num w:numId="16">
    <w:abstractNumId w:val="42"/>
  </w:num>
  <w:num w:numId="17">
    <w:abstractNumId w:val="38"/>
  </w:num>
  <w:num w:numId="18">
    <w:abstractNumId w:val="11"/>
  </w:num>
  <w:num w:numId="19">
    <w:abstractNumId w:val="14"/>
  </w:num>
  <w:num w:numId="20">
    <w:abstractNumId w:val="2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7"/>
  </w:num>
  <w:num w:numId="32">
    <w:abstractNumId w:val="31"/>
  </w:num>
  <w:num w:numId="33">
    <w:abstractNumId w:val="12"/>
  </w:num>
  <w:num w:numId="34">
    <w:abstractNumId w:val="28"/>
  </w:num>
  <w:num w:numId="35">
    <w:abstractNumId w:val="18"/>
  </w:num>
  <w:num w:numId="36">
    <w:abstractNumId w:val="32"/>
  </w:num>
  <w:num w:numId="37">
    <w:abstractNumId w:val="25"/>
  </w:num>
  <w:num w:numId="38">
    <w:abstractNumId w:val="35"/>
  </w:num>
  <w:num w:numId="39">
    <w:abstractNumId w:val="13"/>
  </w:num>
  <w:num w:numId="40">
    <w:abstractNumId w:val="36"/>
  </w:num>
  <w:num w:numId="41">
    <w:abstractNumId w:val="24"/>
  </w:num>
  <w:num w:numId="42">
    <w:abstractNumId w:val="16"/>
  </w:num>
  <w:num w:numId="43">
    <w:abstractNumId w:val="33"/>
  </w:num>
  <w:num w:numId="44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283"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nfidential" w:val=" "/>
    <w:docVar w:name="SP_INTERNAL_QA_CHECKS" w:val="11111"/>
    <w:docVar w:name="SP_INTERNAL_QA_FORM_POSITION" w:val="216.75 363"/>
    <w:docVar w:name="SP_INTERNAL_QA_OPTIONS" w:val="1"/>
  </w:docVars>
  <w:rsids>
    <w:rsidRoot w:val="00894F36"/>
    <w:rsid w:val="00011EA7"/>
    <w:rsid w:val="0001264A"/>
    <w:rsid w:val="00024273"/>
    <w:rsid w:val="00043086"/>
    <w:rsid w:val="00054EC2"/>
    <w:rsid w:val="000B267E"/>
    <w:rsid w:val="000B7043"/>
    <w:rsid w:val="000C00A0"/>
    <w:rsid w:val="000C20C0"/>
    <w:rsid w:val="000C2EA9"/>
    <w:rsid w:val="000D28AC"/>
    <w:rsid w:val="000D2A90"/>
    <w:rsid w:val="000F156F"/>
    <w:rsid w:val="0010341F"/>
    <w:rsid w:val="001044D4"/>
    <w:rsid w:val="00114687"/>
    <w:rsid w:val="001165A7"/>
    <w:rsid w:val="001208DB"/>
    <w:rsid w:val="00121DF4"/>
    <w:rsid w:val="00126E93"/>
    <w:rsid w:val="00136170"/>
    <w:rsid w:val="001411F4"/>
    <w:rsid w:val="001429C1"/>
    <w:rsid w:val="0015468F"/>
    <w:rsid w:val="001604FF"/>
    <w:rsid w:val="00161778"/>
    <w:rsid w:val="001A36D9"/>
    <w:rsid w:val="001B6460"/>
    <w:rsid w:val="001B7003"/>
    <w:rsid w:val="001C0946"/>
    <w:rsid w:val="001D078B"/>
    <w:rsid w:val="001D733A"/>
    <w:rsid w:val="001D7F8C"/>
    <w:rsid w:val="001F10F2"/>
    <w:rsid w:val="00212477"/>
    <w:rsid w:val="0022075F"/>
    <w:rsid w:val="0022470E"/>
    <w:rsid w:val="002363A1"/>
    <w:rsid w:val="0024153E"/>
    <w:rsid w:val="00243578"/>
    <w:rsid w:val="002435A1"/>
    <w:rsid w:val="00247E3E"/>
    <w:rsid w:val="0025266E"/>
    <w:rsid w:val="0025635F"/>
    <w:rsid w:val="002615C5"/>
    <w:rsid w:val="00265811"/>
    <w:rsid w:val="002760F3"/>
    <w:rsid w:val="00276890"/>
    <w:rsid w:val="00282C40"/>
    <w:rsid w:val="0029081E"/>
    <w:rsid w:val="00295011"/>
    <w:rsid w:val="002A50DF"/>
    <w:rsid w:val="002B7BDC"/>
    <w:rsid w:val="002C2C06"/>
    <w:rsid w:val="002C66E3"/>
    <w:rsid w:val="002F057D"/>
    <w:rsid w:val="002F5133"/>
    <w:rsid w:val="0030239D"/>
    <w:rsid w:val="00305A54"/>
    <w:rsid w:val="00312784"/>
    <w:rsid w:val="003230EB"/>
    <w:rsid w:val="00327263"/>
    <w:rsid w:val="003358CB"/>
    <w:rsid w:val="0034037B"/>
    <w:rsid w:val="003439A1"/>
    <w:rsid w:val="003715FB"/>
    <w:rsid w:val="0037203C"/>
    <w:rsid w:val="00384F48"/>
    <w:rsid w:val="003937FC"/>
    <w:rsid w:val="003B19A2"/>
    <w:rsid w:val="003B2CC2"/>
    <w:rsid w:val="003B6D03"/>
    <w:rsid w:val="003C1072"/>
    <w:rsid w:val="003C6A89"/>
    <w:rsid w:val="003D066E"/>
    <w:rsid w:val="003E5167"/>
    <w:rsid w:val="004011DB"/>
    <w:rsid w:val="0042097F"/>
    <w:rsid w:val="004328FF"/>
    <w:rsid w:val="00444473"/>
    <w:rsid w:val="00464BF9"/>
    <w:rsid w:val="0047088B"/>
    <w:rsid w:val="004753C0"/>
    <w:rsid w:val="00487CA0"/>
    <w:rsid w:val="0049574C"/>
    <w:rsid w:val="004A237A"/>
    <w:rsid w:val="004A584B"/>
    <w:rsid w:val="004A651C"/>
    <w:rsid w:val="004B1B7F"/>
    <w:rsid w:val="004C5071"/>
    <w:rsid w:val="004C618A"/>
    <w:rsid w:val="004D7C87"/>
    <w:rsid w:val="004E1471"/>
    <w:rsid w:val="004F0E3A"/>
    <w:rsid w:val="004F232E"/>
    <w:rsid w:val="004F40BB"/>
    <w:rsid w:val="0050640E"/>
    <w:rsid w:val="00520705"/>
    <w:rsid w:val="005230DA"/>
    <w:rsid w:val="00526159"/>
    <w:rsid w:val="005443AE"/>
    <w:rsid w:val="005505F9"/>
    <w:rsid w:val="00550817"/>
    <w:rsid w:val="005551D0"/>
    <w:rsid w:val="00556EAF"/>
    <w:rsid w:val="00562C02"/>
    <w:rsid w:val="00570150"/>
    <w:rsid w:val="0057793B"/>
    <w:rsid w:val="005A158B"/>
    <w:rsid w:val="005B26D5"/>
    <w:rsid w:val="005B7796"/>
    <w:rsid w:val="005D311F"/>
    <w:rsid w:val="005D62E4"/>
    <w:rsid w:val="005E300D"/>
    <w:rsid w:val="005F23A9"/>
    <w:rsid w:val="005F502A"/>
    <w:rsid w:val="005F6DF3"/>
    <w:rsid w:val="00603163"/>
    <w:rsid w:val="006069BB"/>
    <w:rsid w:val="00620811"/>
    <w:rsid w:val="006259CF"/>
    <w:rsid w:val="00652DEF"/>
    <w:rsid w:val="00673004"/>
    <w:rsid w:val="006A74B5"/>
    <w:rsid w:val="006C31C5"/>
    <w:rsid w:val="006C3FDC"/>
    <w:rsid w:val="006C421D"/>
    <w:rsid w:val="006E3B20"/>
    <w:rsid w:val="006E65D6"/>
    <w:rsid w:val="00701680"/>
    <w:rsid w:val="00702E04"/>
    <w:rsid w:val="00715A3F"/>
    <w:rsid w:val="00721BC1"/>
    <w:rsid w:val="007374BE"/>
    <w:rsid w:val="0074333B"/>
    <w:rsid w:val="00747090"/>
    <w:rsid w:val="007528A2"/>
    <w:rsid w:val="007563E9"/>
    <w:rsid w:val="00763DA6"/>
    <w:rsid w:val="007679F3"/>
    <w:rsid w:val="00772403"/>
    <w:rsid w:val="00772FC8"/>
    <w:rsid w:val="00784009"/>
    <w:rsid w:val="0078753A"/>
    <w:rsid w:val="00792503"/>
    <w:rsid w:val="007966D3"/>
    <w:rsid w:val="007A4BA4"/>
    <w:rsid w:val="007A768A"/>
    <w:rsid w:val="007C2BDC"/>
    <w:rsid w:val="007C3494"/>
    <w:rsid w:val="007D004D"/>
    <w:rsid w:val="007D231E"/>
    <w:rsid w:val="007D7BFA"/>
    <w:rsid w:val="007E3E24"/>
    <w:rsid w:val="00802292"/>
    <w:rsid w:val="0080292A"/>
    <w:rsid w:val="008046FE"/>
    <w:rsid w:val="008138FA"/>
    <w:rsid w:val="00825F91"/>
    <w:rsid w:val="0083319F"/>
    <w:rsid w:val="00835288"/>
    <w:rsid w:val="00835DC0"/>
    <w:rsid w:val="00837AED"/>
    <w:rsid w:val="00843A05"/>
    <w:rsid w:val="00846D72"/>
    <w:rsid w:val="00851D13"/>
    <w:rsid w:val="00854572"/>
    <w:rsid w:val="00860899"/>
    <w:rsid w:val="008638CB"/>
    <w:rsid w:val="00870A06"/>
    <w:rsid w:val="00894F36"/>
    <w:rsid w:val="008A2B48"/>
    <w:rsid w:val="008B2002"/>
    <w:rsid w:val="008B723E"/>
    <w:rsid w:val="008C7E56"/>
    <w:rsid w:val="008E14BB"/>
    <w:rsid w:val="008F0C06"/>
    <w:rsid w:val="008F661A"/>
    <w:rsid w:val="009012FE"/>
    <w:rsid w:val="00903B92"/>
    <w:rsid w:val="00920D30"/>
    <w:rsid w:val="009411E1"/>
    <w:rsid w:val="009418D2"/>
    <w:rsid w:val="00941AC0"/>
    <w:rsid w:val="00941FE3"/>
    <w:rsid w:val="00956E80"/>
    <w:rsid w:val="00960E43"/>
    <w:rsid w:val="00963022"/>
    <w:rsid w:val="00973173"/>
    <w:rsid w:val="009775D6"/>
    <w:rsid w:val="00981D4F"/>
    <w:rsid w:val="00992740"/>
    <w:rsid w:val="009934FF"/>
    <w:rsid w:val="00994034"/>
    <w:rsid w:val="009964B7"/>
    <w:rsid w:val="00996532"/>
    <w:rsid w:val="00996AFD"/>
    <w:rsid w:val="009A64D7"/>
    <w:rsid w:val="009A7635"/>
    <w:rsid w:val="009B0CA0"/>
    <w:rsid w:val="009C0F62"/>
    <w:rsid w:val="009C5C69"/>
    <w:rsid w:val="009E154B"/>
    <w:rsid w:val="009F21DF"/>
    <w:rsid w:val="009F2490"/>
    <w:rsid w:val="00A022A5"/>
    <w:rsid w:val="00A046D7"/>
    <w:rsid w:val="00A16B18"/>
    <w:rsid w:val="00A22EBC"/>
    <w:rsid w:val="00A24996"/>
    <w:rsid w:val="00A24F12"/>
    <w:rsid w:val="00A36437"/>
    <w:rsid w:val="00A36C78"/>
    <w:rsid w:val="00A40488"/>
    <w:rsid w:val="00A43BEE"/>
    <w:rsid w:val="00A43E64"/>
    <w:rsid w:val="00A45B04"/>
    <w:rsid w:val="00A60F36"/>
    <w:rsid w:val="00A818FF"/>
    <w:rsid w:val="00A97F22"/>
    <w:rsid w:val="00AB3EF9"/>
    <w:rsid w:val="00AC2FCF"/>
    <w:rsid w:val="00AD1915"/>
    <w:rsid w:val="00AE13C6"/>
    <w:rsid w:val="00AE32A8"/>
    <w:rsid w:val="00AE6C33"/>
    <w:rsid w:val="00AF2356"/>
    <w:rsid w:val="00AF7C68"/>
    <w:rsid w:val="00B005DC"/>
    <w:rsid w:val="00B06A62"/>
    <w:rsid w:val="00B10FDD"/>
    <w:rsid w:val="00B16FF4"/>
    <w:rsid w:val="00B22042"/>
    <w:rsid w:val="00B37D5C"/>
    <w:rsid w:val="00B40DDE"/>
    <w:rsid w:val="00B43066"/>
    <w:rsid w:val="00B61769"/>
    <w:rsid w:val="00B80CA2"/>
    <w:rsid w:val="00B84273"/>
    <w:rsid w:val="00B9230F"/>
    <w:rsid w:val="00B93E21"/>
    <w:rsid w:val="00B979CC"/>
    <w:rsid w:val="00BB0C13"/>
    <w:rsid w:val="00BB1110"/>
    <w:rsid w:val="00BB4C9F"/>
    <w:rsid w:val="00BC4621"/>
    <w:rsid w:val="00BD7AE4"/>
    <w:rsid w:val="00BE2F20"/>
    <w:rsid w:val="00BE4BBC"/>
    <w:rsid w:val="00BF2346"/>
    <w:rsid w:val="00BF7FBC"/>
    <w:rsid w:val="00C07648"/>
    <w:rsid w:val="00C1514D"/>
    <w:rsid w:val="00C1703E"/>
    <w:rsid w:val="00C1757B"/>
    <w:rsid w:val="00C2362C"/>
    <w:rsid w:val="00C26C09"/>
    <w:rsid w:val="00C30D4F"/>
    <w:rsid w:val="00C3499D"/>
    <w:rsid w:val="00C42CFD"/>
    <w:rsid w:val="00C45658"/>
    <w:rsid w:val="00C733B0"/>
    <w:rsid w:val="00C74908"/>
    <w:rsid w:val="00C77C6C"/>
    <w:rsid w:val="00C84FE1"/>
    <w:rsid w:val="00C868EB"/>
    <w:rsid w:val="00C87AB2"/>
    <w:rsid w:val="00C92F5A"/>
    <w:rsid w:val="00CA480E"/>
    <w:rsid w:val="00CB34EE"/>
    <w:rsid w:val="00CE029D"/>
    <w:rsid w:val="00CE0C98"/>
    <w:rsid w:val="00CE39A5"/>
    <w:rsid w:val="00CE41DC"/>
    <w:rsid w:val="00CF0D1F"/>
    <w:rsid w:val="00CF7D4A"/>
    <w:rsid w:val="00D12411"/>
    <w:rsid w:val="00D13E59"/>
    <w:rsid w:val="00D16080"/>
    <w:rsid w:val="00D235DB"/>
    <w:rsid w:val="00D24FF1"/>
    <w:rsid w:val="00D272D2"/>
    <w:rsid w:val="00D42A72"/>
    <w:rsid w:val="00D53CCD"/>
    <w:rsid w:val="00D623EB"/>
    <w:rsid w:val="00D73CF6"/>
    <w:rsid w:val="00D7521A"/>
    <w:rsid w:val="00D77D63"/>
    <w:rsid w:val="00D85A74"/>
    <w:rsid w:val="00D97E4F"/>
    <w:rsid w:val="00DB233A"/>
    <w:rsid w:val="00DC1B24"/>
    <w:rsid w:val="00DC1CB3"/>
    <w:rsid w:val="00DC1F1A"/>
    <w:rsid w:val="00DC3E2A"/>
    <w:rsid w:val="00DC451F"/>
    <w:rsid w:val="00DC596F"/>
    <w:rsid w:val="00DD010C"/>
    <w:rsid w:val="00DD3114"/>
    <w:rsid w:val="00DD55F0"/>
    <w:rsid w:val="00DD7B97"/>
    <w:rsid w:val="00DE0AF7"/>
    <w:rsid w:val="00E00631"/>
    <w:rsid w:val="00E01E17"/>
    <w:rsid w:val="00E02F5B"/>
    <w:rsid w:val="00E064C8"/>
    <w:rsid w:val="00E13951"/>
    <w:rsid w:val="00E14ABD"/>
    <w:rsid w:val="00E14E4C"/>
    <w:rsid w:val="00E21913"/>
    <w:rsid w:val="00E219AA"/>
    <w:rsid w:val="00E321EA"/>
    <w:rsid w:val="00E44960"/>
    <w:rsid w:val="00E45F21"/>
    <w:rsid w:val="00E52E6A"/>
    <w:rsid w:val="00E61ACB"/>
    <w:rsid w:val="00E62E27"/>
    <w:rsid w:val="00E71952"/>
    <w:rsid w:val="00E73A37"/>
    <w:rsid w:val="00E74856"/>
    <w:rsid w:val="00E77507"/>
    <w:rsid w:val="00E8625A"/>
    <w:rsid w:val="00E94C86"/>
    <w:rsid w:val="00EA30D1"/>
    <w:rsid w:val="00EB0A58"/>
    <w:rsid w:val="00EB228B"/>
    <w:rsid w:val="00EB31DF"/>
    <w:rsid w:val="00EC0854"/>
    <w:rsid w:val="00EC4A2E"/>
    <w:rsid w:val="00ED73BE"/>
    <w:rsid w:val="00EE1491"/>
    <w:rsid w:val="00EF4963"/>
    <w:rsid w:val="00EF7861"/>
    <w:rsid w:val="00EF7BAD"/>
    <w:rsid w:val="00F01161"/>
    <w:rsid w:val="00F0208A"/>
    <w:rsid w:val="00F06652"/>
    <w:rsid w:val="00F10A54"/>
    <w:rsid w:val="00F134DF"/>
    <w:rsid w:val="00F17201"/>
    <w:rsid w:val="00F2479D"/>
    <w:rsid w:val="00F27DD1"/>
    <w:rsid w:val="00F33255"/>
    <w:rsid w:val="00F41770"/>
    <w:rsid w:val="00F46854"/>
    <w:rsid w:val="00F5119D"/>
    <w:rsid w:val="00F75DB5"/>
    <w:rsid w:val="00F76666"/>
    <w:rsid w:val="00F83C4F"/>
    <w:rsid w:val="00F9268D"/>
    <w:rsid w:val="00FA4C7B"/>
    <w:rsid w:val="00FB3CDA"/>
    <w:rsid w:val="00FB4113"/>
    <w:rsid w:val="00FB7DD1"/>
    <w:rsid w:val="00FC2418"/>
    <w:rsid w:val="00FD4BE1"/>
    <w:rsid w:val="00FE1B35"/>
    <w:rsid w:val="00FE428D"/>
    <w:rsid w:val="00FE4B0D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6208A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DE"/>
    <w:rPr>
      <w:rFonts w:cs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B40DDE"/>
    <w:pPr>
      <w:keepNext/>
      <w:tabs>
        <w:tab w:val="num" w:pos="360"/>
      </w:tabs>
      <w:spacing w:before="480" w:after="240"/>
      <w:outlineLvl w:val="0"/>
    </w:pPr>
    <w:rPr>
      <w:b/>
      <w:bCs/>
      <w:cap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0DDE"/>
    <w:pPr>
      <w:keepNext/>
      <w:tabs>
        <w:tab w:val="num" w:pos="360"/>
      </w:tabs>
      <w:spacing w:before="120" w:after="1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B40DDE"/>
    <w:pPr>
      <w:keepNext/>
      <w:tabs>
        <w:tab w:val="num" w:pos="360"/>
      </w:tabs>
      <w:spacing w:after="12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40DDE"/>
    <w:pPr>
      <w:keepNext/>
      <w:tabs>
        <w:tab w:val="num" w:pos="360"/>
      </w:tabs>
      <w:spacing w:after="120"/>
      <w:outlineLvl w:val="3"/>
    </w:pPr>
    <w:rPr>
      <w:rFonts w:cs="Times New Roman"/>
      <w:b/>
      <w:bCs/>
      <w:szCs w:val="28"/>
    </w:rPr>
  </w:style>
  <w:style w:type="paragraph" w:styleId="Heading5">
    <w:name w:val="heading 5"/>
    <w:basedOn w:val="Normal"/>
    <w:next w:val="Normal"/>
    <w:qFormat/>
    <w:rsid w:val="00B40DDE"/>
    <w:pPr>
      <w:keepNext/>
      <w:tabs>
        <w:tab w:val="num" w:pos="360"/>
      </w:tabs>
      <w:spacing w:after="120"/>
      <w:outlineLvl w:val="4"/>
    </w:pPr>
    <w:rPr>
      <w:b/>
      <w:bCs/>
      <w:szCs w:val="26"/>
    </w:rPr>
  </w:style>
  <w:style w:type="paragraph" w:styleId="Heading6">
    <w:name w:val="heading 6"/>
    <w:basedOn w:val="Normal"/>
    <w:next w:val="Normal"/>
    <w:qFormat/>
    <w:rsid w:val="00B40DDE"/>
    <w:pPr>
      <w:keepNext/>
      <w:tabs>
        <w:tab w:val="num" w:pos="360"/>
      </w:tabs>
      <w:spacing w:after="120"/>
      <w:outlineLvl w:val="5"/>
    </w:pPr>
    <w:rPr>
      <w:rFonts w:cs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B40DDE"/>
    <w:pPr>
      <w:tabs>
        <w:tab w:val="num" w:pos="360"/>
      </w:tabs>
      <w:spacing w:before="240" w:after="60"/>
      <w:outlineLvl w:val="6"/>
    </w:pPr>
    <w:rPr>
      <w:rFonts w:cs="Times New Roman"/>
      <w:szCs w:val="24"/>
    </w:rPr>
  </w:style>
  <w:style w:type="paragraph" w:styleId="Heading8">
    <w:name w:val="heading 8"/>
    <w:basedOn w:val="Normal"/>
    <w:next w:val="Normal"/>
    <w:qFormat/>
    <w:rsid w:val="00B40DDE"/>
    <w:pPr>
      <w:tabs>
        <w:tab w:val="num" w:pos="360"/>
      </w:tabs>
      <w:spacing w:before="240" w:after="60"/>
      <w:outlineLvl w:val="7"/>
    </w:pPr>
    <w:rPr>
      <w:rFonts w:cs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B40DDE"/>
    <w:pPr>
      <w:tabs>
        <w:tab w:val="num" w:pos="360"/>
      </w:tabs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next w:val="C-BodyText"/>
    <w:qFormat/>
    <w:rsid w:val="00B40DDE"/>
    <w:pPr>
      <w:keepNext/>
      <w:spacing w:before="120" w:after="120" w:line="280" w:lineRule="atLeast"/>
      <w:ind w:left="1440" w:hanging="1440"/>
    </w:pPr>
    <w:rPr>
      <w:b/>
      <w:bCs/>
      <w:sz w:val="24"/>
      <w:szCs w:val="24"/>
      <w:lang w:val="en-US" w:eastAsia="en-US"/>
    </w:rPr>
  </w:style>
  <w:style w:type="paragraph" w:customStyle="1" w:styleId="C-BodyText">
    <w:name w:val="C-Body Text"/>
    <w:rsid w:val="00B40DDE"/>
    <w:pPr>
      <w:spacing w:before="120" w:after="120" w:line="280" w:lineRule="atLeast"/>
    </w:pPr>
    <w:rPr>
      <w:sz w:val="24"/>
      <w:lang w:val="en-US" w:eastAsia="en-US"/>
    </w:rPr>
  </w:style>
  <w:style w:type="paragraph" w:styleId="TOC1">
    <w:name w:val="toc 1"/>
    <w:next w:val="C-BodyText"/>
    <w:rsid w:val="00B40DDE"/>
    <w:pPr>
      <w:tabs>
        <w:tab w:val="left" w:pos="1152"/>
        <w:tab w:val="right" w:leader="dot" w:pos="9360"/>
      </w:tabs>
      <w:spacing w:before="120"/>
      <w:ind w:left="1152" w:right="792" w:hanging="1152"/>
    </w:pPr>
    <w:rPr>
      <w:rFonts w:cs="Arial"/>
      <w:caps/>
      <w:color w:val="0000FF"/>
      <w:sz w:val="24"/>
      <w:szCs w:val="24"/>
      <w:lang w:val="en-US" w:eastAsia="en-US"/>
    </w:rPr>
  </w:style>
  <w:style w:type="paragraph" w:styleId="TOC2">
    <w:name w:val="toc 2"/>
    <w:basedOn w:val="TOC1"/>
    <w:next w:val="C-BodyText"/>
    <w:rsid w:val="00B40DDE"/>
    <w:rPr>
      <w:caps w:val="0"/>
    </w:rPr>
  </w:style>
  <w:style w:type="paragraph" w:styleId="TOC3">
    <w:name w:val="toc 3"/>
    <w:basedOn w:val="TOC1"/>
    <w:next w:val="C-BodyText"/>
    <w:rsid w:val="00B40DDE"/>
    <w:rPr>
      <w:caps w:val="0"/>
    </w:rPr>
  </w:style>
  <w:style w:type="paragraph" w:styleId="TOC4">
    <w:name w:val="toc 4"/>
    <w:basedOn w:val="TOC1"/>
    <w:next w:val="C-BodyText"/>
    <w:rsid w:val="00B40DDE"/>
    <w:rPr>
      <w:caps w:val="0"/>
    </w:rPr>
  </w:style>
  <w:style w:type="paragraph" w:customStyle="1" w:styleId="C-Heading1">
    <w:name w:val="C-Heading 1"/>
    <w:next w:val="C-BodyText"/>
    <w:link w:val="C-Heading1Char"/>
    <w:rsid w:val="00B40DDE"/>
    <w:pPr>
      <w:keepNext/>
      <w:pageBreakBefore/>
      <w:numPr>
        <w:numId w:val="5"/>
      </w:numPr>
      <w:spacing w:before="480" w:after="120"/>
      <w:outlineLvl w:val="0"/>
    </w:pPr>
    <w:rPr>
      <w:b/>
      <w:caps/>
      <w:sz w:val="28"/>
      <w:lang w:val="en-US" w:eastAsia="en-US"/>
    </w:rPr>
  </w:style>
  <w:style w:type="paragraph" w:customStyle="1" w:styleId="C-Heading2">
    <w:name w:val="C-Heading 2"/>
    <w:next w:val="C-BodyText"/>
    <w:rsid w:val="00B40DDE"/>
    <w:pPr>
      <w:keepNext/>
      <w:numPr>
        <w:ilvl w:val="1"/>
        <w:numId w:val="5"/>
      </w:numPr>
      <w:spacing w:before="240"/>
      <w:outlineLvl w:val="1"/>
    </w:pPr>
    <w:rPr>
      <w:b/>
      <w:sz w:val="28"/>
      <w:lang w:val="en-US" w:eastAsia="en-US"/>
    </w:rPr>
  </w:style>
  <w:style w:type="paragraph" w:customStyle="1" w:styleId="C-Heading3">
    <w:name w:val="C-Heading 3"/>
    <w:next w:val="C-BodyText"/>
    <w:rsid w:val="00B40DDE"/>
    <w:pPr>
      <w:keepNext/>
      <w:numPr>
        <w:ilvl w:val="2"/>
        <w:numId w:val="5"/>
      </w:numPr>
      <w:spacing w:before="240"/>
      <w:outlineLvl w:val="2"/>
    </w:pPr>
    <w:rPr>
      <w:b/>
      <w:sz w:val="24"/>
      <w:lang w:val="en-US" w:eastAsia="en-US"/>
    </w:rPr>
  </w:style>
  <w:style w:type="paragraph" w:customStyle="1" w:styleId="C-Heading4">
    <w:name w:val="C-Heading 4"/>
    <w:next w:val="C-BodyText"/>
    <w:rsid w:val="00B40DDE"/>
    <w:pPr>
      <w:keepNext/>
      <w:numPr>
        <w:ilvl w:val="3"/>
        <w:numId w:val="5"/>
      </w:numPr>
      <w:spacing w:before="240"/>
      <w:outlineLvl w:val="3"/>
    </w:pPr>
    <w:rPr>
      <w:b/>
      <w:sz w:val="24"/>
      <w:lang w:val="en-US" w:eastAsia="en-US"/>
    </w:rPr>
  </w:style>
  <w:style w:type="paragraph" w:customStyle="1" w:styleId="C-Heading5">
    <w:name w:val="C-Heading 5"/>
    <w:next w:val="C-BodyText"/>
    <w:rsid w:val="00B40DDE"/>
    <w:pPr>
      <w:keepNext/>
      <w:numPr>
        <w:ilvl w:val="4"/>
        <w:numId w:val="5"/>
      </w:numPr>
      <w:spacing w:before="240"/>
      <w:outlineLvl w:val="4"/>
    </w:pPr>
    <w:rPr>
      <w:b/>
      <w:sz w:val="24"/>
      <w:lang w:val="en-US" w:eastAsia="en-US"/>
    </w:rPr>
  </w:style>
  <w:style w:type="paragraph" w:customStyle="1" w:styleId="C-Heading6">
    <w:name w:val="C-Heading 6"/>
    <w:next w:val="C-BodyText"/>
    <w:rsid w:val="00B40DDE"/>
    <w:pPr>
      <w:keepNext/>
      <w:numPr>
        <w:ilvl w:val="5"/>
        <w:numId w:val="5"/>
      </w:numPr>
      <w:tabs>
        <w:tab w:val="clear" w:pos="1080"/>
        <w:tab w:val="num" w:pos="1224"/>
      </w:tabs>
      <w:spacing w:before="240"/>
      <w:ind w:left="1224" w:hanging="1224"/>
      <w:outlineLvl w:val="5"/>
    </w:pPr>
    <w:rPr>
      <w:b/>
      <w:sz w:val="24"/>
      <w:lang w:val="en-US" w:eastAsia="en-US"/>
    </w:rPr>
  </w:style>
  <w:style w:type="paragraph" w:customStyle="1" w:styleId="C-BodyTextIndent">
    <w:name w:val="C-Body Text Indent"/>
    <w:rsid w:val="00B40DDE"/>
    <w:pPr>
      <w:spacing w:before="120" w:after="120" w:line="280" w:lineRule="atLeast"/>
      <w:ind w:left="360"/>
    </w:pPr>
    <w:rPr>
      <w:sz w:val="24"/>
      <w:lang w:val="en-US" w:eastAsia="en-US"/>
    </w:rPr>
  </w:style>
  <w:style w:type="paragraph" w:customStyle="1" w:styleId="C-Bullet">
    <w:name w:val="C-Bullet"/>
    <w:rsid w:val="00B40DDE"/>
    <w:pPr>
      <w:numPr>
        <w:numId w:val="40"/>
      </w:numPr>
      <w:spacing w:before="120" w:after="120" w:line="280" w:lineRule="atLeast"/>
    </w:pPr>
    <w:rPr>
      <w:sz w:val="24"/>
      <w:lang w:val="en-US" w:eastAsia="en-US"/>
    </w:rPr>
  </w:style>
  <w:style w:type="paragraph" w:customStyle="1" w:styleId="C-BulletIndented">
    <w:name w:val="C-Bullet Indented"/>
    <w:rsid w:val="00B40DDE"/>
    <w:pPr>
      <w:numPr>
        <w:ilvl w:val="1"/>
        <w:numId w:val="40"/>
      </w:numPr>
      <w:spacing w:before="120" w:after="120" w:line="280" w:lineRule="atLeast"/>
    </w:pPr>
    <w:rPr>
      <w:rFonts w:cs="Arial"/>
      <w:sz w:val="24"/>
      <w:lang w:val="en-US" w:eastAsia="en-US"/>
    </w:rPr>
  </w:style>
  <w:style w:type="paragraph" w:customStyle="1" w:styleId="C-TableHeader">
    <w:name w:val="C-Table Header"/>
    <w:next w:val="C-TableText"/>
    <w:rsid w:val="00B40DDE"/>
    <w:pPr>
      <w:keepNext/>
      <w:spacing w:before="60" w:after="60"/>
    </w:pPr>
    <w:rPr>
      <w:b/>
      <w:sz w:val="22"/>
      <w:lang w:val="en-US" w:eastAsia="en-US"/>
    </w:rPr>
  </w:style>
  <w:style w:type="paragraph" w:customStyle="1" w:styleId="C-TableText">
    <w:name w:val="C-Table Text"/>
    <w:rsid w:val="00B40DDE"/>
    <w:pPr>
      <w:spacing w:before="60" w:after="60"/>
    </w:pPr>
    <w:rPr>
      <w:sz w:val="22"/>
      <w:lang w:val="en-US" w:eastAsia="en-US"/>
    </w:rPr>
  </w:style>
  <w:style w:type="paragraph" w:customStyle="1" w:styleId="C-TableFootnote">
    <w:name w:val="C-Table Footnote"/>
    <w:next w:val="C-BodyText"/>
    <w:rsid w:val="00B40DDE"/>
    <w:pPr>
      <w:tabs>
        <w:tab w:val="left" w:pos="144"/>
      </w:tabs>
      <w:ind w:left="144" w:hanging="144"/>
    </w:pPr>
    <w:rPr>
      <w:rFonts w:cs="Arial"/>
      <w:lang w:val="en-US" w:eastAsia="en-US"/>
    </w:rPr>
  </w:style>
  <w:style w:type="paragraph" w:styleId="TOC5">
    <w:name w:val="toc 5"/>
    <w:basedOn w:val="TOC1"/>
    <w:next w:val="C-BodyText"/>
    <w:rsid w:val="00B40DDE"/>
    <w:rPr>
      <w:caps w:val="0"/>
    </w:rPr>
  </w:style>
  <w:style w:type="paragraph" w:styleId="TOC6">
    <w:name w:val="toc 6"/>
    <w:basedOn w:val="TOC1"/>
    <w:next w:val="C-BodyText"/>
    <w:rsid w:val="00B40DDE"/>
    <w:rPr>
      <w:caps w:val="0"/>
    </w:rPr>
  </w:style>
  <w:style w:type="paragraph" w:styleId="TOC7">
    <w:name w:val="toc 7"/>
    <w:basedOn w:val="TOC1"/>
    <w:next w:val="C-BodyText"/>
    <w:rsid w:val="00B40DDE"/>
    <w:rPr>
      <w:caps w:val="0"/>
    </w:rPr>
  </w:style>
  <w:style w:type="paragraph" w:styleId="TOC8">
    <w:name w:val="toc 8"/>
    <w:basedOn w:val="TOC1"/>
    <w:next w:val="C-BodyText"/>
    <w:rsid w:val="00B40DDE"/>
    <w:rPr>
      <w:caps w:val="0"/>
    </w:rPr>
  </w:style>
  <w:style w:type="paragraph" w:styleId="TOC9">
    <w:name w:val="toc 9"/>
    <w:basedOn w:val="TOC1"/>
    <w:next w:val="C-BodyText"/>
    <w:rsid w:val="00B40DDE"/>
    <w:rPr>
      <w:caps w:val="0"/>
    </w:rPr>
  </w:style>
  <w:style w:type="paragraph" w:styleId="TableofFigures">
    <w:name w:val="table of figures"/>
    <w:next w:val="C-BodyText"/>
    <w:rsid w:val="00B40DDE"/>
    <w:pPr>
      <w:tabs>
        <w:tab w:val="left" w:pos="1152"/>
        <w:tab w:val="right" w:leader="dot" w:pos="9360"/>
      </w:tabs>
      <w:spacing w:before="120" w:line="280" w:lineRule="atLeast"/>
      <w:ind w:left="1152" w:right="792" w:hanging="1152"/>
    </w:pPr>
    <w:rPr>
      <w:rFonts w:cs="Arial"/>
      <w:color w:val="0000FF"/>
      <w:sz w:val="24"/>
      <w:lang w:val="en-US" w:eastAsia="en-US"/>
    </w:rPr>
  </w:style>
  <w:style w:type="paragraph" w:customStyle="1" w:styleId="C-TOCTitle">
    <w:name w:val="C-TOC Title"/>
    <w:next w:val="C-BodyText"/>
    <w:rsid w:val="00B40DDE"/>
    <w:pPr>
      <w:spacing w:after="120"/>
      <w:jc w:val="center"/>
    </w:pPr>
    <w:rPr>
      <w:b/>
      <w:caps/>
      <w:sz w:val="28"/>
      <w:szCs w:val="28"/>
      <w:lang w:val="en-US" w:eastAsia="en-US"/>
    </w:rPr>
  </w:style>
  <w:style w:type="paragraph" w:customStyle="1" w:styleId="C-CaptionContinued">
    <w:name w:val="C-Caption Continued"/>
    <w:next w:val="C-BodyText"/>
    <w:rsid w:val="00B40DDE"/>
    <w:pPr>
      <w:keepNext/>
      <w:spacing w:before="120" w:after="120" w:line="280" w:lineRule="atLeast"/>
      <w:ind w:left="1440" w:hanging="1440"/>
    </w:pPr>
    <w:rPr>
      <w:rFonts w:cs="Arial"/>
      <w:b/>
      <w:sz w:val="24"/>
      <w:lang w:val="en-US" w:eastAsia="en-US"/>
    </w:rPr>
  </w:style>
  <w:style w:type="paragraph" w:customStyle="1" w:styleId="C-NumberedList">
    <w:name w:val="C-Numbered List"/>
    <w:rsid w:val="00B40DDE"/>
    <w:pPr>
      <w:numPr>
        <w:numId w:val="37"/>
      </w:numPr>
      <w:spacing w:before="120" w:after="120" w:line="280" w:lineRule="atLeast"/>
    </w:pPr>
    <w:rPr>
      <w:sz w:val="24"/>
      <w:lang w:val="en-US" w:eastAsia="en-US"/>
    </w:rPr>
  </w:style>
  <w:style w:type="paragraph" w:customStyle="1" w:styleId="C-InstructionText">
    <w:name w:val="C-Instruction Text"/>
    <w:rsid w:val="00B40DDE"/>
    <w:pPr>
      <w:spacing w:before="120" w:after="120" w:line="280" w:lineRule="atLeast"/>
    </w:pPr>
    <w:rPr>
      <w:vanish/>
      <w:color w:val="FF0000"/>
      <w:sz w:val="24"/>
      <w:szCs w:val="24"/>
      <w:lang w:val="en-US" w:eastAsia="en-US"/>
    </w:rPr>
  </w:style>
  <w:style w:type="paragraph" w:styleId="TOAHeading">
    <w:name w:val="toa heading"/>
    <w:basedOn w:val="Normal"/>
    <w:next w:val="Normal"/>
    <w:rsid w:val="00B40DDE"/>
    <w:pPr>
      <w:spacing w:before="120"/>
    </w:pPr>
    <w:rPr>
      <w:rFonts w:ascii="Arial" w:hAnsi="Arial"/>
      <w:b/>
      <w:bCs/>
      <w:szCs w:val="24"/>
    </w:rPr>
  </w:style>
  <w:style w:type="paragraph" w:styleId="Header">
    <w:name w:val="header"/>
    <w:basedOn w:val="Normal"/>
    <w:link w:val="HeaderChar"/>
    <w:uiPriority w:val="99"/>
    <w:rsid w:val="00A404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40488"/>
    <w:pPr>
      <w:tabs>
        <w:tab w:val="center" w:pos="4320"/>
        <w:tab w:val="right" w:pos="8640"/>
      </w:tabs>
    </w:pPr>
  </w:style>
  <w:style w:type="paragraph" w:customStyle="1" w:styleId="C-Title">
    <w:name w:val="C-Title"/>
    <w:next w:val="C-BodyText"/>
    <w:rsid w:val="00B40DDE"/>
    <w:pPr>
      <w:spacing w:after="120"/>
      <w:jc w:val="center"/>
    </w:pPr>
    <w:rPr>
      <w:b/>
      <w:caps/>
      <w:sz w:val="36"/>
      <w:lang w:val="en-US" w:eastAsia="en-US"/>
    </w:rPr>
  </w:style>
  <w:style w:type="paragraph" w:customStyle="1" w:styleId="C-Header">
    <w:name w:val="C-Header"/>
    <w:rsid w:val="00B40DDE"/>
    <w:rPr>
      <w:sz w:val="24"/>
      <w:lang w:val="en-US" w:eastAsia="en-US"/>
    </w:rPr>
  </w:style>
  <w:style w:type="paragraph" w:customStyle="1" w:styleId="C-Footer">
    <w:name w:val="C-Footer"/>
    <w:rsid w:val="00B40DDE"/>
    <w:rPr>
      <w:sz w:val="24"/>
      <w:lang w:val="en-US" w:eastAsia="en-US"/>
    </w:rPr>
  </w:style>
  <w:style w:type="paragraph" w:customStyle="1" w:styleId="C-Heading1non-numbered">
    <w:name w:val="C-Heading 1 (non-numbered)"/>
    <w:basedOn w:val="C-Heading1"/>
    <w:next w:val="C-BodyText"/>
    <w:rsid w:val="00B40DDE"/>
    <w:pPr>
      <w:numPr>
        <w:numId w:val="0"/>
      </w:numPr>
      <w:tabs>
        <w:tab w:val="left" w:pos="1080"/>
      </w:tabs>
      <w:ind w:left="1080" w:hanging="1080"/>
    </w:pPr>
  </w:style>
  <w:style w:type="paragraph" w:customStyle="1" w:styleId="C-Heading2non-numbered">
    <w:name w:val="C-Heading 2 (non-numbered)"/>
    <w:basedOn w:val="C-Heading2"/>
    <w:next w:val="C-BodyText"/>
    <w:rsid w:val="00B40DDE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3non-numbered">
    <w:name w:val="C-Heading 3 (non-numbered)"/>
    <w:basedOn w:val="C-Heading3"/>
    <w:next w:val="C-BodyText"/>
    <w:rsid w:val="00B40DDE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4non-numbered">
    <w:name w:val="C-Heading 4 (non-numbered)"/>
    <w:basedOn w:val="C-Heading4"/>
    <w:next w:val="C-BodyText"/>
    <w:rsid w:val="00B40DDE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5non-numbered">
    <w:name w:val="C-Heading 5 (non-numbered)"/>
    <w:basedOn w:val="C-Heading5"/>
    <w:next w:val="C-BodyText"/>
    <w:rsid w:val="00B40DDE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6non-numbered">
    <w:name w:val="C-Heading 6 (non-numbered)"/>
    <w:basedOn w:val="C-Heading6"/>
    <w:next w:val="C-BodyText"/>
    <w:rsid w:val="00B40DDE"/>
    <w:pPr>
      <w:numPr>
        <w:ilvl w:val="0"/>
        <w:numId w:val="0"/>
      </w:numPr>
      <w:tabs>
        <w:tab w:val="left" w:pos="1080"/>
      </w:tabs>
      <w:ind w:left="1080" w:hanging="1080"/>
    </w:pPr>
  </w:style>
  <w:style w:type="character" w:styleId="Hyperlink">
    <w:name w:val="Hyperlink"/>
    <w:rsid w:val="00B40DDE"/>
    <w:rPr>
      <w:color w:val="0000FF"/>
      <w:u w:val="single"/>
    </w:rPr>
  </w:style>
  <w:style w:type="paragraph" w:customStyle="1" w:styleId="C-Heading1nopagebreak">
    <w:name w:val="C-Heading 1 (no page break)"/>
    <w:basedOn w:val="C-Heading1"/>
    <w:next w:val="C-BodyText"/>
    <w:rsid w:val="00B40DDE"/>
    <w:pPr>
      <w:pageBreakBefore w:val="0"/>
    </w:pPr>
  </w:style>
  <w:style w:type="paragraph" w:customStyle="1" w:styleId="C-Heading1nopagebreak0">
    <w:name w:val="C-Heading 1 (no page break"/>
    <w:aliases w:val="non-numbered)"/>
    <w:basedOn w:val="C-Heading1non-numbered"/>
    <w:next w:val="C-BodyText"/>
    <w:rsid w:val="00B40DDE"/>
    <w:pPr>
      <w:pageBreakBefore w:val="0"/>
    </w:pPr>
  </w:style>
  <w:style w:type="character" w:styleId="HTMLKeyboard">
    <w:name w:val="HTML Keyboard"/>
    <w:rsid w:val="00B40DDE"/>
    <w:rPr>
      <w:rFonts w:ascii="Courier New" w:hAnsi="Courier New"/>
      <w:sz w:val="20"/>
      <w:szCs w:val="20"/>
    </w:rPr>
  </w:style>
  <w:style w:type="paragraph" w:customStyle="1" w:styleId="C-Appendix">
    <w:name w:val="C-Appendix"/>
    <w:next w:val="C-BodyText"/>
    <w:rsid w:val="00B40DDE"/>
    <w:pPr>
      <w:keepNext/>
      <w:pageBreakBefore/>
      <w:numPr>
        <w:numId w:val="6"/>
      </w:numPr>
      <w:spacing w:before="480" w:after="120"/>
      <w:outlineLvl w:val="0"/>
    </w:pPr>
    <w:rPr>
      <w:b/>
      <w:caps/>
      <w:sz w:val="28"/>
      <w:lang w:val="en-US" w:eastAsia="en-US"/>
    </w:rPr>
  </w:style>
  <w:style w:type="paragraph" w:customStyle="1" w:styleId="C-PLR-NumberedList">
    <w:name w:val="C-PLR-Numbered List"/>
    <w:rsid w:val="00B40DDE"/>
    <w:pPr>
      <w:numPr>
        <w:numId w:val="17"/>
      </w:numPr>
    </w:pPr>
    <w:rPr>
      <w:sz w:val="16"/>
      <w:lang w:val="en-US" w:eastAsia="en-US"/>
    </w:rPr>
  </w:style>
  <w:style w:type="paragraph" w:customStyle="1" w:styleId="C-PLR-BodyText">
    <w:name w:val="C-PLR-Body Text"/>
    <w:rsid w:val="00B40DDE"/>
    <w:rPr>
      <w:sz w:val="16"/>
      <w:lang w:val="en-US" w:eastAsia="en-US"/>
    </w:rPr>
  </w:style>
  <w:style w:type="paragraph" w:customStyle="1" w:styleId="C-PLR-BodyTextIndent">
    <w:name w:val="C-PLR-Body Text Indent"/>
    <w:rsid w:val="00B40DDE"/>
    <w:pPr>
      <w:ind w:left="360"/>
    </w:pPr>
    <w:rPr>
      <w:sz w:val="16"/>
      <w:lang w:val="en-US" w:eastAsia="en-US"/>
    </w:rPr>
  </w:style>
  <w:style w:type="paragraph" w:customStyle="1" w:styleId="C-PLR-Bullet">
    <w:name w:val="C-PLR-Bullet"/>
    <w:rsid w:val="00B40DDE"/>
    <w:pPr>
      <w:numPr>
        <w:numId w:val="8"/>
      </w:numPr>
    </w:pPr>
    <w:rPr>
      <w:sz w:val="16"/>
      <w:lang w:val="en-US" w:eastAsia="en-US"/>
    </w:rPr>
  </w:style>
  <w:style w:type="paragraph" w:customStyle="1" w:styleId="C-PLR-BulletIndented">
    <w:name w:val="C-PLR-Bullet Indented"/>
    <w:rsid w:val="00B40DDE"/>
    <w:pPr>
      <w:numPr>
        <w:numId w:val="9"/>
      </w:numPr>
    </w:pPr>
    <w:rPr>
      <w:sz w:val="16"/>
      <w:lang w:val="en-US" w:eastAsia="en-US"/>
    </w:rPr>
  </w:style>
  <w:style w:type="paragraph" w:customStyle="1" w:styleId="C-PLR-Caption">
    <w:name w:val="C-PLR-Caption"/>
    <w:next w:val="C-PLR-BodyText"/>
    <w:rsid w:val="00B40DDE"/>
    <w:pPr>
      <w:keepNext/>
      <w:ind w:left="360" w:hanging="360"/>
    </w:pPr>
    <w:rPr>
      <w:b/>
      <w:sz w:val="16"/>
      <w:lang w:val="en-US" w:eastAsia="en-US"/>
    </w:rPr>
  </w:style>
  <w:style w:type="paragraph" w:customStyle="1" w:styleId="C-PLR-Heading1nopagebreaknon-numbered">
    <w:name w:val="C-PLR-Heading 1 (no page break.non-numbered)"/>
    <w:basedOn w:val="C-PLR-Heading1non-numbered"/>
    <w:next w:val="C-PLR-BodyText"/>
    <w:rsid w:val="00B40DDE"/>
  </w:style>
  <w:style w:type="paragraph" w:customStyle="1" w:styleId="C-PLR-Heading2non-numbered">
    <w:name w:val="C-PLR-Heading 2 (non-numbered)"/>
    <w:basedOn w:val="C-PLR-Heading2"/>
    <w:next w:val="C-PLR-BodyText"/>
    <w:rsid w:val="00B40DDE"/>
    <w:pPr>
      <w:numPr>
        <w:ilvl w:val="0"/>
        <w:numId w:val="0"/>
      </w:numPr>
      <w:ind w:left="720" w:hanging="720"/>
    </w:pPr>
  </w:style>
  <w:style w:type="paragraph" w:customStyle="1" w:styleId="C-PLR-TableHeader">
    <w:name w:val="C-PLR-Table Header"/>
    <w:next w:val="C-PLR-TableText"/>
    <w:rsid w:val="00B40DDE"/>
    <w:pPr>
      <w:keepNext/>
    </w:pPr>
    <w:rPr>
      <w:b/>
      <w:sz w:val="16"/>
      <w:lang w:val="en-US" w:eastAsia="en-US"/>
    </w:rPr>
  </w:style>
  <w:style w:type="paragraph" w:customStyle="1" w:styleId="C-PLR-TableText">
    <w:name w:val="C-PLR-Table Text"/>
    <w:rsid w:val="00B40DDE"/>
    <w:rPr>
      <w:sz w:val="16"/>
      <w:lang w:val="en-US" w:eastAsia="en-US"/>
    </w:rPr>
  </w:style>
  <w:style w:type="paragraph" w:customStyle="1" w:styleId="C-PLR-Title">
    <w:name w:val="C-PLR-Title"/>
    <w:next w:val="C-PLR-BodyText"/>
    <w:rsid w:val="00B40DDE"/>
    <w:pPr>
      <w:jc w:val="center"/>
    </w:pPr>
    <w:rPr>
      <w:b/>
      <w:caps/>
      <w:sz w:val="16"/>
      <w:lang w:val="en-US" w:eastAsia="en-US"/>
    </w:rPr>
  </w:style>
  <w:style w:type="paragraph" w:customStyle="1" w:styleId="C-PLR-TOCTitle">
    <w:name w:val="C-PLR-TOC Title"/>
    <w:next w:val="C-PLR-BodyText"/>
    <w:rsid w:val="00B40DDE"/>
    <w:pPr>
      <w:tabs>
        <w:tab w:val="center" w:leader="underscore" w:pos="2520"/>
        <w:tab w:val="right" w:leader="underscore" w:pos="5040"/>
      </w:tabs>
      <w:jc w:val="center"/>
    </w:pPr>
    <w:rPr>
      <w:b/>
      <w:caps/>
      <w:sz w:val="16"/>
      <w:lang w:val="en-US" w:eastAsia="en-US"/>
    </w:rPr>
  </w:style>
  <w:style w:type="paragraph" w:customStyle="1" w:styleId="C-PLR-TOC1">
    <w:name w:val="C-PLR-TOC 1"/>
    <w:next w:val="C-PLR-BodyText"/>
    <w:rsid w:val="00B40DDE"/>
    <w:pPr>
      <w:ind w:left="432" w:hanging="432"/>
    </w:pPr>
    <w:rPr>
      <w:rFonts w:ascii="Times New Roman Bold" w:hAnsi="Times New Roman Bold"/>
      <w:b/>
      <w:caps/>
      <w:color w:val="0000FF"/>
      <w:sz w:val="16"/>
      <w:lang w:val="en-US" w:eastAsia="en-US"/>
    </w:rPr>
  </w:style>
  <w:style w:type="paragraph" w:customStyle="1" w:styleId="C-PLR-TOC2">
    <w:name w:val="C-PLR-TOC 2"/>
    <w:basedOn w:val="C-PLR-TOC1"/>
    <w:next w:val="C-PLR-BodyText"/>
    <w:rsid w:val="00B40DDE"/>
    <w:pPr>
      <w:ind w:left="864"/>
    </w:pPr>
    <w:rPr>
      <w:rFonts w:ascii="Times New Roman" w:hAnsi="Times New Roman"/>
      <w:b w:val="0"/>
      <w:caps w:val="0"/>
    </w:rPr>
  </w:style>
  <w:style w:type="paragraph" w:customStyle="1" w:styleId="C-PLR-TableFootnote">
    <w:name w:val="C-PLR-Table Footnote"/>
    <w:next w:val="C-PLR-BodyText"/>
    <w:rsid w:val="00B40DDE"/>
    <w:pPr>
      <w:tabs>
        <w:tab w:val="left" w:pos="432"/>
      </w:tabs>
      <w:ind w:left="432" w:hanging="432"/>
    </w:pPr>
    <w:rPr>
      <w:sz w:val="16"/>
      <w:lang w:val="en-US" w:eastAsia="en-US"/>
    </w:rPr>
  </w:style>
  <w:style w:type="paragraph" w:customStyle="1" w:styleId="C-AlphabeticList">
    <w:name w:val="C-Alphabetic List"/>
    <w:rsid w:val="00B40DDE"/>
    <w:pPr>
      <w:numPr>
        <w:ilvl w:val="1"/>
        <w:numId w:val="37"/>
      </w:numPr>
    </w:pPr>
    <w:rPr>
      <w:sz w:val="24"/>
      <w:lang w:val="en-US" w:eastAsia="en-US"/>
    </w:rPr>
  </w:style>
  <w:style w:type="character" w:customStyle="1" w:styleId="C-Hyperlink">
    <w:name w:val="C-Hyperlink"/>
    <w:rsid w:val="00B40DDE"/>
    <w:rPr>
      <w:color w:val="0000FF"/>
    </w:rPr>
  </w:style>
  <w:style w:type="character" w:customStyle="1" w:styleId="C-TableCallout">
    <w:name w:val="C-Table Callout"/>
    <w:rsid w:val="00B40DDE"/>
    <w:rPr>
      <w:rFonts w:ascii="Times New Roman" w:hAnsi="Times New Roman"/>
      <w:dstrike w:val="0"/>
      <w:color w:val="auto"/>
      <w:spacing w:val="0"/>
      <w:w w:val="100"/>
      <w:position w:val="-1"/>
      <w:sz w:val="22"/>
      <w:szCs w:val="22"/>
      <w:u w:val="none"/>
      <w:effect w:val="none"/>
      <w:vertAlign w:val="superscript"/>
      <w:em w:val="none"/>
    </w:rPr>
  </w:style>
  <w:style w:type="paragraph" w:styleId="CommentText">
    <w:name w:val="annotation text"/>
    <w:basedOn w:val="Normal"/>
    <w:link w:val="CommentTextChar"/>
    <w:rsid w:val="00B40DDE"/>
    <w:rPr>
      <w:sz w:val="20"/>
    </w:rPr>
  </w:style>
  <w:style w:type="paragraph" w:styleId="CommentSubject">
    <w:name w:val="annotation subject"/>
    <w:basedOn w:val="CommentText"/>
    <w:next w:val="CommentText"/>
    <w:rsid w:val="00B40DDE"/>
    <w:rPr>
      <w:b/>
      <w:bCs/>
    </w:rPr>
  </w:style>
  <w:style w:type="table" w:customStyle="1" w:styleId="C-Table">
    <w:name w:val="C-Table"/>
    <w:basedOn w:val="TableNormal"/>
    <w:rsid w:val="00B40DDE"/>
    <w:rPr>
      <w:lang w:val="en-US" w:eastAsia="en-US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</w:style>
  <w:style w:type="paragraph" w:customStyle="1" w:styleId="C-PLR-AlphabeticList">
    <w:name w:val="C-PLR-Alphabetic List"/>
    <w:rsid w:val="00B40DDE"/>
    <w:pPr>
      <w:numPr>
        <w:numId w:val="16"/>
      </w:numPr>
    </w:pPr>
    <w:rPr>
      <w:rFonts w:cs="Arial"/>
      <w:sz w:val="16"/>
      <w:lang w:val="en-US" w:eastAsia="en-US"/>
    </w:rPr>
  </w:style>
  <w:style w:type="paragraph" w:customStyle="1" w:styleId="C-PLR-CaptionContinued">
    <w:name w:val="C-PLR-Caption Continued"/>
    <w:next w:val="C-PLR-BodyText"/>
    <w:rsid w:val="00B40DDE"/>
    <w:pPr>
      <w:keepNext/>
      <w:ind w:left="360" w:hanging="360"/>
    </w:pPr>
    <w:rPr>
      <w:rFonts w:ascii="Times New Roman Bold" w:hAnsi="Times New Roman Bold" w:cs="Arial"/>
      <w:b/>
      <w:sz w:val="16"/>
      <w:lang w:val="en-US" w:eastAsia="en-US"/>
    </w:rPr>
  </w:style>
  <w:style w:type="paragraph" w:customStyle="1" w:styleId="C-PLR-Heading1">
    <w:name w:val="C-PLR-Heading 1"/>
    <w:next w:val="C-PLR-BodyText"/>
    <w:rsid w:val="00B40DDE"/>
    <w:pPr>
      <w:keepNext/>
      <w:numPr>
        <w:numId w:val="15"/>
      </w:numPr>
      <w:tabs>
        <w:tab w:val="clear" w:pos="1080"/>
        <w:tab w:val="left" w:pos="720"/>
      </w:tabs>
      <w:ind w:left="720" w:hanging="720"/>
      <w:outlineLvl w:val="0"/>
    </w:pPr>
    <w:rPr>
      <w:rFonts w:ascii="Times New Roman Bold" w:hAnsi="Times New Roman Bold"/>
      <w:caps/>
      <w:sz w:val="16"/>
      <w:lang w:val="en-US" w:eastAsia="en-US"/>
    </w:rPr>
  </w:style>
  <w:style w:type="paragraph" w:customStyle="1" w:styleId="C-PLR-Heading1nopagebreak">
    <w:name w:val="C-PLR-Heading 1 (no page break)"/>
    <w:basedOn w:val="C-PLR-Heading1"/>
    <w:next w:val="C-PLR-BodyText"/>
    <w:rsid w:val="00B40DDE"/>
  </w:style>
  <w:style w:type="paragraph" w:customStyle="1" w:styleId="C-PLR-Heading2">
    <w:name w:val="C-PLR-Heading 2"/>
    <w:next w:val="C-PLR-BodyText"/>
    <w:rsid w:val="00B40DDE"/>
    <w:pPr>
      <w:numPr>
        <w:ilvl w:val="1"/>
        <w:numId w:val="15"/>
      </w:numPr>
      <w:tabs>
        <w:tab w:val="clear" w:pos="1080"/>
        <w:tab w:val="left" w:pos="720"/>
      </w:tabs>
      <w:ind w:left="720" w:hanging="720"/>
      <w:outlineLvl w:val="1"/>
    </w:pPr>
    <w:rPr>
      <w:rFonts w:ascii="Times New Roman Bold" w:hAnsi="Times New Roman Bold" w:cs="Arial"/>
      <w:sz w:val="16"/>
      <w:lang w:val="en-US" w:eastAsia="en-US"/>
    </w:rPr>
  </w:style>
  <w:style w:type="paragraph" w:customStyle="1" w:styleId="C-PLR-Heading3">
    <w:name w:val="C-PLR-Heading 3"/>
    <w:next w:val="C-PLR-BodyText"/>
    <w:rsid w:val="00B40DDE"/>
    <w:pPr>
      <w:numPr>
        <w:ilvl w:val="2"/>
        <w:numId w:val="15"/>
      </w:numPr>
      <w:tabs>
        <w:tab w:val="clear" w:pos="1080"/>
        <w:tab w:val="left" w:pos="720"/>
      </w:tabs>
      <w:ind w:left="720" w:hanging="720"/>
      <w:outlineLvl w:val="2"/>
    </w:pPr>
    <w:rPr>
      <w:rFonts w:ascii="Times New Roman Bold" w:hAnsi="Times New Roman Bold" w:cs="Arial"/>
      <w:sz w:val="16"/>
      <w:lang w:val="en-US" w:eastAsia="en-US"/>
    </w:rPr>
  </w:style>
  <w:style w:type="paragraph" w:customStyle="1" w:styleId="C-PLR-Heading3non-numbered">
    <w:name w:val="C-PLR-Heading 3 (non-numbered)"/>
    <w:basedOn w:val="C-PLR-Heading3"/>
    <w:next w:val="C-PLR-BodyText"/>
    <w:rsid w:val="00B40DDE"/>
    <w:pPr>
      <w:numPr>
        <w:ilvl w:val="0"/>
        <w:numId w:val="0"/>
      </w:numPr>
      <w:ind w:left="720" w:hanging="720"/>
    </w:pPr>
  </w:style>
  <w:style w:type="paragraph" w:customStyle="1" w:styleId="C-PLR-Heading4">
    <w:name w:val="C-PLR-Heading 4"/>
    <w:next w:val="C-PLR-BodyText"/>
    <w:rsid w:val="00B40DDE"/>
    <w:pPr>
      <w:numPr>
        <w:ilvl w:val="3"/>
        <w:numId w:val="15"/>
      </w:numPr>
      <w:tabs>
        <w:tab w:val="clear" w:pos="1080"/>
        <w:tab w:val="left" w:pos="720"/>
      </w:tabs>
      <w:ind w:left="720" w:hanging="720"/>
      <w:outlineLvl w:val="3"/>
    </w:pPr>
    <w:rPr>
      <w:rFonts w:ascii="Times New Roman Bold" w:hAnsi="Times New Roman Bold" w:cs="Arial"/>
      <w:sz w:val="16"/>
      <w:lang w:val="en-US" w:eastAsia="en-US"/>
    </w:rPr>
  </w:style>
  <w:style w:type="paragraph" w:customStyle="1" w:styleId="C-PLR-Heading4non-numbered">
    <w:name w:val="C-PLR-Heading 4 (non-numbered)"/>
    <w:basedOn w:val="C-PLR-Heading4"/>
    <w:next w:val="C-PLR-BodyText"/>
    <w:rsid w:val="00B40DDE"/>
    <w:pPr>
      <w:numPr>
        <w:ilvl w:val="0"/>
        <w:numId w:val="0"/>
      </w:numPr>
      <w:ind w:left="720" w:hanging="720"/>
    </w:pPr>
  </w:style>
  <w:style w:type="paragraph" w:customStyle="1" w:styleId="C-PLR-Heading5">
    <w:name w:val="C-PLR-Heading 5"/>
    <w:next w:val="C-PLR-BodyText"/>
    <w:rsid w:val="00B40DDE"/>
    <w:pPr>
      <w:numPr>
        <w:ilvl w:val="4"/>
        <w:numId w:val="15"/>
      </w:numPr>
      <w:tabs>
        <w:tab w:val="clear" w:pos="1080"/>
        <w:tab w:val="left" w:pos="720"/>
      </w:tabs>
      <w:ind w:left="720" w:hanging="720"/>
      <w:outlineLvl w:val="4"/>
    </w:pPr>
    <w:rPr>
      <w:rFonts w:ascii="Times New Roman Bold" w:hAnsi="Times New Roman Bold" w:cs="Arial"/>
      <w:sz w:val="16"/>
      <w:lang w:val="en-US" w:eastAsia="en-US"/>
    </w:rPr>
  </w:style>
  <w:style w:type="paragraph" w:customStyle="1" w:styleId="C-PLR-Heading5non-numbered">
    <w:name w:val="C-PLR-Heading 5 (non-numbered)"/>
    <w:basedOn w:val="C-PLR-Heading5"/>
    <w:next w:val="C-PLR-BodyText"/>
    <w:rsid w:val="00B40DDE"/>
    <w:pPr>
      <w:numPr>
        <w:ilvl w:val="0"/>
        <w:numId w:val="0"/>
      </w:numPr>
      <w:ind w:left="720" w:hanging="720"/>
    </w:pPr>
  </w:style>
  <w:style w:type="paragraph" w:customStyle="1" w:styleId="C-PLR-Heading6">
    <w:name w:val="C-PLR-Heading 6"/>
    <w:next w:val="C-PLR-BodyText"/>
    <w:rsid w:val="00B40DDE"/>
    <w:pPr>
      <w:numPr>
        <w:ilvl w:val="5"/>
        <w:numId w:val="15"/>
      </w:numPr>
      <w:tabs>
        <w:tab w:val="clear" w:pos="1080"/>
        <w:tab w:val="left" w:pos="864"/>
      </w:tabs>
      <w:ind w:left="864" w:hanging="864"/>
      <w:outlineLvl w:val="5"/>
    </w:pPr>
    <w:rPr>
      <w:rFonts w:ascii="Times New Roman Bold" w:hAnsi="Times New Roman Bold" w:cs="Arial"/>
      <w:sz w:val="16"/>
      <w:lang w:val="en-US" w:eastAsia="en-US"/>
    </w:rPr>
  </w:style>
  <w:style w:type="paragraph" w:customStyle="1" w:styleId="C-PLR-Heading6non-numbered">
    <w:name w:val="C-PLR-Heading 6 (non-numbered)"/>
    <w:basedOn w:val="C-PLR-Heading6"/>
    <w:next w:val="C-PLR-BodyText"/>
    <w:rsid w:val="00B40DDE"/>
    <w:pPr>
      <w:numPr>
        <w:ilvl w:val="0"/>
        <w:numId w:val="0"/>
      </w:numPr>
      <w:ind w:left="864" w:hanging="864"/>
    </w:pPr>
  </w:style>
  <w:style w:type="paragraph" w:customStyle="1" w:styleId="C-PLR-InstructionText">
    <w:name w:val="C-PLR-Instruction Text"/>
    <w:rsid w:val="00B40DDE"/>
    <w:rPr>
      <w:rFonts w:ascii="Times New Roman Bold" w:hAnsi="Times New Roman Bold" w:cs="Arial"/>
      <w:vanish/>
      <w:color w:val="FF0000"/>
      <w:sz w:val="16"/>
      <w:lang w:val="en-US" w:eastAsia="en-US"/>
    </w:rPr>
  </w:style>
  <w:style w:type="paragraph" w:customStyle="1" w:styleId="C-PLR-TOC3">
    <w:name w:val="C-PLR-TOC 3"/>
    <w:basedOn w:val="C-PLR-TOC1"/>
    <w:next w:val="C-PLR-BodyText"/>
    <w:rsid w:val="00B40DDE"/>
    <w:pPr>
      <w:tabs>
        <w:tab w:val="left" w:pos="432"/>
      </w:tabs>
      <w:ind w:left="864"/>
    </w:pPr>
    <w:rPr>
      <w:rFonts w:ascii="Times New Roman" w:hAnsi="Times New Roman"/>
      <w:b w:val="0"/>
      <w:caps w:val="0"/>
    </w:rPr>
  </w:style>
  <w:style w:type="paragraph" w:customStyle="1" w:styleId="C-PLR-TOC4">
    <w:name w:val="C-PLR-TOC 4"/>
    <w:basedOn w:val="C-PLR-TOC1"/>
    <w:next w:val="C-PLR-BodyText"/>
    <w:rsid w:val="00B40DDE"/>
    <w:pPr>
      <w:tabs>
        <w:tab w:val="left" w:pos="432"/>
      </w:tabs>
      <w:ind w:left="864"/>
    </w:pPr>
    <w:rPr>
      <w:rFonts w:ascii="Times New Roman" w:hAnsi="Times New Roman"/>
      <w:b w:val="0"/>
      <w:caps w:val="0"/>
    </w:rPr>
  </w:style>
  <w:style w:type="paragraph" w:styleId="BodyTextIndent">
    <w:name w:val="Body Text Indent"/>
    <w:basedOn w:val="Normal"/>
    <w:rsid w:val="00B40DDE"/>
    <w:pPr>
      <w:spacing w:after="120"/>
      <w:ind w:left="360"/>
    </w:pPr>
  </w:style>
  <w:style w:type="paragraph" w:styleId="BodyTextFirstIndent2">
    <w:name w:val="Body Text First Indent 2"/>
    <w:basedOn w:val="BodyTextIndent"/>
    <w:rsid w:val="00B40DDE"/>
    <w:pPr>
      <w:ind w:firstLine="210"/>
    </w:pPr>
  </w:style>
  <w:style w:type="paragraph" w:customStyle="1" w:styleId="C-PLR-Heading1non-numbered">
    <w:name w:val="C-PLR-Heading 1 (non-numbered)"/>
    <w:basedOn w:val="C-PLR-Heading1"/>
    <w:next w:val="C-PLR-BodyText"/>
    <w:rsid w:val="00B40DDE"/>
    <w:pPr>
      <w:numPr>
        <w:numId w:val="0"/>
      </w:numPr>
      <w:ind w:left="720" w:hanging="720"/>
    </w:pPr>
  </w:style>
  <w:style w:type="paragraph" w:customStyle="1" w:styleId="C-AppendixNumbered">
    <w:name w:val="C-Appendix (Numbered)"/>
    <w:basedOn w:val="C-Appendix"/>
    <w:next w:val="C-BodyText"/>
    <w:rsid w:val="00B40DDE"/>
    <w:pPr>
      <w:numPr>
        <w:numId w:val="31"/>
      </w:numPr>
      <w:tabs>
        <w:tab w:val="left" w:pos="1987"/>
      </w:tabs>
      <w:ind w:left="1987" w:hanging="1987"/>
    </w:pPr>
  </w:style>
  <w:style w:type="numbering" w:customStyle="1" w:styleId="SPNumberedTabs">
    <w:name w:val="SP Numbered Tabs"/>
    <w:rsid w:val="00B40DDE"/>
    <w:pPr>
      <w:numPr>
        <w:numId w:val="34"/>
      </w:numPr>
    </w:pPr>
  </w:style>
  <w:style w:type="numbering" w:customStyle="1" w:styleId="SPBulletTabs">
    <w:name w:val="SP Bullet Tabs"/>
    <w:rsid w:val="00B40DDE"/>
    <w:pPr>
      <w:numPr>
        <w:numId w:val="36"/>
      </w:numPr>
    </w:pPr>
  </w:style>
  <w:style w:type="paragraph" w:customStyle="1" w:styleId="C-Alphabetic">
    <w:name w:val="C-Alphabetic"/>
    <w:basedOn w:val="C-Heading1"/>
    <w:next w:val="C-BodyText"/>
    <w:link w:val="C-AlphabeticChar"/>
    <w:qFormat/>
    <w:rsid w:val="00B40DDE"/>
    <w:pPr>
      <w:numPr>
        <w:numId w:val="39"/>
      </w:numPr>
      <w:tabs>
        <w:tab w:val="left" w:pos="1080"/>
      </w:tabs>
      <w:ind w:left="1080" w:hanging="1080"/>
    </w:pPr>
  </w:style>
  <w:style w:type="character" w:customStyle="1" w:styleId="C-Heading1Char">
    <w:name w:val="C-Heading 1 Char"/>
    <w:link w:val="C-Heading1"/>
    <w:rsid w:val="00B40DDE"/>
    <w:rPr>
      <w:b/>
      <w:caps/>
      <w:sz w:val="28"/>
      <w:lang w:val="en-US" w:eastAsia="en-US"/>
    </w:rPr>
  </w:style>
  <w:style w:type="character" w:customStyle="1" w:styleId="C-AlphabeticChar">
    <w:name w:val="C-Alphabetic Char"/>
    <w:basedOn w:val="C-Heading1Char"/>
    <w:link w:val="C-Alphabetic"/>
    <w:rsid w:val="00B40DDE"/>
    <w:rPr>
      <w:b/>
      <w:caps/>
      <w:sz w:val="28"/>
      <w:lang w:val="en-US" w:eastAsia="en-US"/>
    </w:rPr>
  </w:style>
  <w:style w:type="paragraph" w:customStyle="1" w:styleId="C-Footnote">
    <w:name w:val="C-Footnote"/>
    <w:basedOn w:val="C-TableFootnote"/>
    <w:qFormat/>
    <w:rsid w:val="00B40DDE"/>
    <w:pPr>
      <w:ind w:left="0" w:firstLine="0"/>
    </w:pPr>
  </w:style>
  <w:style w:type="paragraph" w:styleId="BodyText">
    <w:name w:val="Body Text"/>
    <w:basedOn w:val="Normal"/>
    <w:link w:val="BodyTextChar"/>
    <w:uiPriority w:val="1"/>
    <w:qFormat/>
    <w:rsid w:val="002A50D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A50DF"/>
    <w:rPr>
      <w:rFonts w:cs="Arial"/>
      <w:sz w:val="24"/>
    </w:rPr>
  </w:style>
  <w:style w:type="paragraph" w:styleId="ListParagraph">
    <w:name w:val="List Paragraph"/>
    <w:basedOn w:val="Normal"/>
    <w:uiPriority w:val="1"/>
    <w:qFormat/>
    <w:rsid w:val="002A50DF"/>
  </w:style>
  <w:style w:type="paragraph" w:customStyle="1" w:styleId="TableParagraph">
    <w:name w:val="Table Paragraph"/>
    <w:basedOn w:val="Normal"/>
    <w:uiPriority w:val="1"/>
    <w:qFormat/>
    <w:rsid w:val="002A50DF"/>
  </w:style>
  <w:style w:type="paragraph" w:styleId="BalloonText">
    <w:name w:val="Balloon Text"/>
    <w:basedOn w:val="Normal"/>
    <w:link w:val="BalloonTextChar"/>
    <w:uiPriority w:val="99"/>
    <w:unhideWhenUsed/>
    <w:rsid w:val="002A50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A50DF"/>
    <w:rPr>
      <w:rFonts w:ascii="Tahoma" w:eastAsia="Calibri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A50DF"/>
    <w:rPr>
      <w:rFonts w:ascii="Calibri" w:eastAsia="Calibri" w:hAnsi="Calibr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2A50DF"/>
    <w:rPr>
      <w:rFonts w:ascii="Calibri" w:eastAsia="Calibr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rsid w:val="00701680"/>
    <w:rPr>
      <w:sz w:val="16"/>
      <w:szCs w:val="16"/>
    </w:rPr>
  </w:style>
  <w:style w:type="paragraph" w:customStyle="1" w:styleId="Default">
    <w:name w:val="Default"/>
    <w:rsid w:val="007016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76890"/>
    <w:rPr>
      <w:rFonts w:cs="Arial"/>
      <w:sz w:val="24"/>
      <w:lang w:val="en-US" w:eastAsia="en-US"/>
    </w:rPr>
  </w:style>
  <w:style w:type="paragraph" w:customStyle="1" w:styleId="StileInterlinea15righe">
    <w:name w:val="Stile Interlinea 15 righe"/>
    <w:basedOn w:val="Normal"/>
    <w:semiHidden/>
    <w:rsid w:val="00464BF9"/>
    <w:pPr>
      <w:spacing w:before="120"/>
      <w:jc w:val="both"/>
    </w:pPr>
    <w:rPr>
      <w:rFonts w:cs="Times New Roman"/>
      <w:lang w:val="it-IT"/>
    </w:rPr>
  </w:style>
  <w:style w:type="paragraph" w:customStyle="1" w:styleId="Testo2">
    <w:name w:val="Testo 2"/>
    <w:basedOn w:val="Normal"/>
    <w:semiHidden/>
    <w:rsid w:val="00464BF9"/>
    <w:pPr>
      <w:widowControl w:val="0"/>
      <w:spacing w:before="120" w:line="360" w:lineRule="exact"/>
      <w:jc w:val="both"/>
    </w:pPr>
    <w:rPr>
      <w:rFonts w:eastAsia="MS Mincho" w:cs="Times New Roman"/>
      <w:szCs w:val="16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rsid w:val="009E154B"/>
    <w:rPr>
      <w:rFonts w:cs="Arial"/>
      <w:lang w:val="en-US" w:eastAsia="en-US"/>
    </w:rPr>
  </w:style>
  <w:style w:type="table" w:styleId="TableGrid">
    <w:name w:val="Table Grid"/>
    <w:basedOn w:val="TableNormal"/>
    <w:uiPriority w:val="59"/>
    <w:rsid w:val="006A7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9A76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Default Paragraph Font" w:uiPriority="1"/>
    <w:lsdException w:name="Body Text" w:uiPriority="1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DE"/>
    <w:rPr>
      <w:rFonts w:cs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B40DDE"/>
    <w:pPr>
      <w:keepNext/>
      <w:tabs>
        <w:tab w:val="num" w:pos="360"/>
      </w:tabs>
      <w:spacing w:before="480" w:after="240"/>
      <w:outlineLvl w:val="0"/>
    </w:pPr>
    <w:rPr>
      <w:b/>
      <w:bCs/>
      <w:cap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0DDE"/>
    <w:pPr>
      <w:keepNext/>
      <w:tabs>
        <w:tab w:val="num" w:pos="360"/>
      </w:tabs>
      <w:spacing w:before="120" w:after="1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B40DDE"/>
    <w:pPr>
      <w:keepNext/>
      <w:tabs>
        <w:tab w:val="num" w:pos="360"/>
      </w:tabs>
      <w:spacing w:after="12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40DDE"/>
    <w:pPr>
      <w:keepNext/>
      <w:tabs>
        <w:tab w:val="num" w:pos="360"/>
      </w:tabs>
      <w:spacing w:after="120"/>
      <w:outlineLvl w:val="3"/>
    </w:pPr>
    <w:rPr>
      <w:rFonts w:cs="Times New Roman"/>
      <w:b/>
      <w:bCs/>
      <w:szCs w:val="28"/>
    </w:rPr>
  </w:style>
  <w:style w:type="paragraph" w:styleId="Heading5">
    <w:name w:val="heading 5"/>
    <w:basedOn w:val="Normal"/>
    <w:next w:val="Normal"/>
    <w:qFormat/>
    <w:rsid w:val="00B40DDE"/>
    <w:pPr>
      <w:keepNext/>
      <w:tabs>
        <w:tab w:val="num" w:pos="360"/>
      </w:tabs>
      <w:spacing w:after="120"/>
      <w:outlineLvl w:val="4"/>
    </w:pPr>
    <w:rPr>
      <w:b/>
      <w:bCs/>
      <w:szCs w:val="26"/>
    </w:rPr>
  </w:style>
  <w:style w:type="paragraph" w:styleId="Heading6">
    <w:name w:val="heading 6"/>
    <w:basedOn w:val="Normal"/>
    <w:next w:val="Normal"/>
    <w:qFormat/>
    <w:rsid w:val="00B40DDE"/>
    <w:pPr>
      <w:keepNext/>
      <w:tabs>
        <w:tab w:val="num" w:pos="360"/>
      </w:tabs>
      <w:spacing w:after="120"/>
      <w:outlineLvl w:val="5"/>
    </w:pPr>
    <w:rPr>
      <w:rFonts w:cs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B40DDE"/>
    <w:pPr>
      <w:tabs>
        <w:tab w:val="num" w:pos="360"/>
      </w:tabs>
      <w:spacing w:before="240" w:after="60"/>
      <w:outlineLvl w:val="6"/>
    </w:pPr>
    <w:rPr>
      <w:rFonts w:cs="Times New Roman"/>
      <w:szCs w:val="24"/>
    </w:rPr>
  </w:style>
  <w:style w:type="paragraph" w:styleId="Heading8">
    <w:name w:val="heading 8"/>
    <w:basedOn w:val="Normal"/>
    <w:next w:val="Normal"/>
    <w:qFormat/>
    <w:rsid w:val="00B40DDE"/>
    <w:pPr>
      <w:tabs>
        <w:tab w:val="num" w:pos="360"/>
      </w:tabs>
      <w:spacing w:before="240" w:after="60"/>
      <w:outlineLvl w:val="7"/>
    </w:pPr>
    <w:rPr>
      <w:rFonts w:cs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B40DDE"/>
    <w:pPr>
      <w:tabs>
        <w:tab w:val="num" w:pos="360"/>
      </w:tabs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next w:val="C-BodyText"/>
    <w:qFormat/>
    <w:rsid w:val="00B40DDE"/>
    <w:pPr>
      <w:keepNext/>
      <w:spacing w:before="120" w:after="120" w:line="280" w:lineRule="atLeast"/>
      <w:ind w:left="1440" w:hanging="1440"/>
    </w:pPr>
    <w:rPr>
      <w:b/>
      <w:bCs/>
      <w:sz w:val="24"/>
      <w:szCs w:val="24"/>
      <w:lang w:val="en-US" w:eastAsia="en-US"/>
    </w:rPr>
  </w:style>
  <w:style w:type="paragraph" w:customStyle="1" w:styleId="C-BodyText">
    <w:name w:val="C-Body Text"/>
    <w:rsid w:val="00B40DDE"/>
    <w:pPr>
      <w:spacing w:before="120" w:after="120" w:line="280" w:lineRule="atLeast"/>
    </w:pPr>
    <w:rPr>
      <w:sz w:val="24"/>
      <w:lang w:val="en-US" w:eastAsia="en-US"/>
    </w:rPr>
  </w:style>
  <w:style w:type="paragraph" w:styleId="TOC1">
    <w:name w:val="toc 1"/>
    <w:next w:val="C-BodyText"/>
    <w:rsid w:val="00B40DDE"/>
    <w:pPr>
      <w:tabs>
        <w:tab w:val="left" w:pos="1152"/>
        <w:tab w:val="right" w:leader="dot" w:pos="9360"/>
      </w:tabs>
      <w:spacing w:before="120"/>
      <w:ind w:left="1152" w:right="792" w:hanging="1152"/>
    </w:pPr>
    <w:rPr>
      <w:rFonts w:cs="Arial"/>
      <w:caps/>
      <w:color w:val="0000FF"/>
      <w:sz w:val="24"/>
      <w:szCs w:val="24"/>
      <w:lang w:val="en-US" w:eastAsia="en-US"/>
    </w:rPr>
  </w:style>
  <w:style w:type="paragraph" w:styleId="TOC2">
    <w:name w:val="toc 2"/>
    <w:basedOn w:val="TOC1"/>
    <w:next w:val="C-BodyText"/>
    <w:rsid w:val="00B40DDE"/>
    <w:rPr>
      <w:caps w:val="0"/>
    </w:rPr>
  </w:style>
  <w:style w:type="paragraph" w:styleId="TOC3">
    <w:name w:val="toc 3"/>
    <w:basedOn w:val="TOC1"/>
    <w:next w:val="C-BodyText"/>
    <w:rsid w:val="00B40DDE"/>
    <w:rPr>
      <w:caps w:val="0"/>
    </w:rPr>
  </w:style>
  <w:style w:type="paragraph" w:styleId="TOC4">
    <w:name w:val="toc 4"/>
    <w:basedOn w:val="TOC1"/>
    <w:next w:val="C-BodyText"/>
    <w:rsid w:val="00B40DDE"/>
    <w:rPr>
      <w:caps w:val="0"/>
    </w:rPr>
  </w:style>
  <w:style w:type="paragraph" w:customStyle="1" w:styleId="C-Heading1">
    <w:name w:val="C-Heading 1"/>
    <w:next w:val="C-BodyText"/>
    <w:link w:val="C-Heading1Char"/>
    <w:rsid w:val="00B40DDE"/>
    <w:pPr>
      <w:keepNext/>
      <w:pageBreakBefore/>
      <w:numPr>
        <w:numId w:val="5"/>
      </w:numPr>
      <w:spacing w:before="480" w:after="120"/>
      <w:outlineLvl w:val="0"/>
    </w:pPr>
    <w:rPr>
      <w:b/>
      <w:caps/>
      <w:sz w:val="28"/>
      <w:lang w:val="en-US" w:eastAsia="en-US"/>
    </w:rPr>
  </w:style>
  <w:style w:type="paragraph" w:customStyle="1" w:styleId="C-Heading2">
    <w:name w:val="C-Heading 2"/>
    <w:next w:val="C-BodyText"/>
    <w:rsid w:val="00B40DDE"/>
    <w:pPr>
      <w:keepNext/>
      <w:numPr>
        <w:ilvl w:val="1"/>
        <w:numId w:val="5"/>
      </w:numPr>
      <w:spacing w:before="240"/>
      <w:outlineLvl w:val="1"/>
    </w:pPr>
    <w:rPr>
      <w:b/>
      <w:sz w:val="28"/>
      <w:lang w:val="en-US" w:eastAsia="en-US"/>
    </w:rPr>
  </w:style>
  <w:style w:type="paragraph" w:customStyle="1" w:styleId="C-Heading3">
    <w:name w:val="C-Heading 3"/>
    <w:next w:val="C-BodyText"/>
    <w:rsid w:val="00B40DDE"/>
    <w:pPr>
      <w:keepNext/>
      <w:numPr>
        <w:ilvl w:val="2"/>
        <w:numId w:val="5"/>
      </w:numPr>
      <w:spacing w:before="240"/>
      <w:outlineLvl w:val="2"/>
    </w:pPr>
    <w:rPr>
      <w:b/>
      <w:sz w:val="24"/>
      <w:lang w:val="en-US" w:eastAsia="en-US"/>
    </w:rPr>
  </w:style>
  <w:style w:type="paragraph" w:customStyle="1" w:styleId="C-Heading4">
    <w:name w:val="C-Heading 4"/>
    <w:next w:val="C-BodyText"/>
    <w:rsid w:val="00B40DDE"/>
    <w:pPr>
      <w:keepNext/>
      <w:numPr>
        <w:ilvl w:val="3"/>
        <w:numId w:val="5"/>
      </w:numPr>
      <w:spacing w:before="240"/>
      <w:outlineLvl w:val="3"/>
    </w:pPr>
    <w:rPr>
      <w:b/>
      <w:sz w:val="24"/>
      <w:lang w:val="en-US" w:eastAsia="en-US"/>
    </w:rPr>
  </w:style>
  <w:style w:type="paragraph" w:customStyle="1" w:styleId="C-Heading5">
    <w:name w:val="C-Heading 5"/>
    <w:next w:val="C-BodyText"/>
    <w:rsid w:val="00B40DDE"/>
    <w:pPr>
      <w:keepNext/>
      <w:numPr>
        <w:ilvl w:val="4"/>
        <w:numId w:val="5"/>
      </w:numPr>
      <w:spacing w:before="240"/>
      <w:outlineLvl w:val="4"/>
    </w:pPr>
    <w:rPr>
      <w:b/>
      <w:sz w:val="24"/>
      <w:lang w:val="en-US" w:eastAsia="en-US"/>
    </w:rPr>
  </w:style>
  <w:style w:type="paragraph" w:customStyle="1" w:styleId="C-Heading6">
    <w:name w:val="C-Heading 6"/>
    <w:next w:val="C-BodyText"/>
    <w:rsid w:val="00B40DDE"/>
    <w:pPr>
      <w:keepNext/>
      <w:numPr>
        <w:ilvl w:val="5"/>
        <w:numId w:val="5"/>
      </w:numPr>
      <w:tabs>
        <w:tab w:val="clear" w:pos="1080"/>
        <w:tab w:val="num" w:pos="1224"/>
      </w:tabs>
      <w:spacing w:before="240"/>
      <w:ind w:left="1224" w:hanging="1224"/>
      <w:outlineLvl w:val="5"/>
    </w:pPr>
    <w:rPr>
      <w:b/>
      <w:sz w:val="24"/>
      <w:lang w:val="en-US" w:eastAsia="en-US"/>
    </w:rPr>
  </w:style>
  <w:style w:type="paragraph" w:customStyle="1" w:styleId="C-BodyTextIndent">
    <w:name w:val="C-Body Text Indent"/>
    <w:rsid w:val="00B40DDE"/>
    <w:pPr>
      <w:spacing w:before="120" w:after="120" w:line="280" w:lineRule="atLeast"/>
      <w:ind w:left="360"/>
    </w:pPr>
    <w:rPr>
      <w:sz w:val="24"/>
      <w:lang w:val="en-US" w:eastAsia="en-US"/>
    </w:rPr>
  </w:style>
  <w:style w:type="paragraph" w:customStyle="1" w:styleId="C-Bullet">
    <w:name w:val="C-Bullet"/>
    <w:rsid w:val="00B40DDE"/>
    <w:pPr>
      <w:numPr>
        <w:numId w:val="40"/>
      </w:numPr>
      <w:spacing w:before="120" w:after="120" w:line="280" w:lineRule="atLeast"/>
    </w:pPr>
    <w:rPr>
      <w:sz w:val="24"/>
      <w:lang w:val="en-US" w:eastAsia="en-US"/>
    </w:rPr>
  </w:style>
  <w:style w:type="paragraph" w:customStyle="1" w:styleId="C-BulletIndented">
    <w:name w:val="C-Bullet Indented"/>
    <w:rsid w:val="00B40DDE"/>
    <w:pPr>
      <w:numPr>
        <w:ilvl w:val="1"/>
        <w:numId w:val="40"/>
      </w:numPr>
      <w:spacing w:before="120" w:after="120" w:line="280" w:lineRule="atLeast"/>
    </w:pPr>
    <w:rPr>
      <w:rFonts w:cs="Arial"/>
      <w:sz w:val="24"/>
      <w:lang w:val="en-US" w:eastAsia="en-US"/>
    </w:rPr>
  </w:style>
  <w:style w:type="paragraph" w:customStyle="1" w:styleId="C-TableHeader">
    <w:name w:val="C-Table Header"/>
    <w:next w:val="C-TableText"/>
    <w:rsid w:val="00B40DDE"/>
    <w:pPr>
      <w:keepNext/>
      <w:spacing w:before="60" w:after="60"/>
    </w:pPr>
    <w:rPr>
      <w:b/>
      <w:sz w:val="22"/>
      <w:lang w:val="en-US" w:eastAsia="en-US"/>
    </w:rPr>
  </w:style>
  <w:style w:type="paragraph" w:customStyle="1" w:styleId="C-TableText">
    <w:name w:val="C-Table Text"/>
    <w:rsid w:val="00B40DDE"/>
    <w:pPr>
      <w:spacing w:before="60" w:after="60"/>
    </w:pPr>
    <w:rPr>
      <w:sz w:val="22"/>
      <w:lang w:val="en-US" w:eastAsia="en-US"/>
    </w:rPr>
  </w:style>
  <w:style w:type="paragraph" w:customStyle="1" w:styleId="C-TableFootnote">
    <w:name w:val="C-Table Footnote"/>
    <w:next w:val="C-BodyText"/>
    <w:rsid w:val="00B40DDE"/>
    <w:pPr>
      <w:tabs>
        <w:tab w:val="left" w:pos="144"/>
      </w:tabs>
      <w:ind w:left="144" w:hanging="144"/>
    </w:pPr>
    <w:rPr>
      <w:rFonts w:cs="Arial"/>
      <w:lang w:val="en-US" w:eastAsia="en-US"/>
    </w:rPr>
  </w:style>
  <w:style w:type="paragraph" w:styleId="TOC5">
    <w:name w:val="toc 5"/>
    <w:basedOn w:val="TOC1"/>
    <w:next w:val="C-BodyText"/>
    <w:rsid w:val="00B40DDE"/>
    <w:rPr>
      <w:caps w:val="0"/>
    </w:rPr>
  </w:style>
  <w:style w:type="paragraph" w:styleId="TOC6">
    <w:name w:val="toc 6"/>
    <w:basedOn w:val="TOC1"/>
    <w:next w:val="C-BodyText"/>
    <w:rsid w:val="00B40DDE"/>
    <w:rPr>
      <w:caps w:val="0"/>
    </w:rPr>
  </w:style>
  <w:style w:type="paragraph" w:styleId="TOC7">
    <w:name w:val="toc 7"/>
    <w:basedOn w:val="TOC1"/>
    <w:next w:val="C-BodyText"/>
    <w:rsid w:val="00B40DDE"/>
    <w:rPr>
      <w:caps w:val="0"/>
    </w:rPr>
  </w:style>
  <w:style w:type="paragraph" w:styleId="TOC8">
    <w:name w:val="toc 8"/>
    <w:basedOn w:val="TOC1"/>
    <w:next w:val="C-BodyText"/>
    <w:rsid w:val="00B40DDE"/>
    <w:rPr>
      <w:caps w:val="0"/>
    </w:rPr>
  </w:style>
  <w:style w:type="paragraph" w:styleId="TOC9">
    <w:name w:val="toc 9"/>
    <w:basedOn w:val="TOC1"/>
    <w:next w:val="C-BodyText"/>
    <w:rsid w:val="00B40DDE"/>
    <w:rPr>
      <w:caps w:val="0"/>
    </w:rPr>
  </w:style>
  <w:style w:type="paragraph" w:styleId="TableofFigures">
    <w:name w:val="table of figures"/>
    <w:next w:val="C-BodyText"/>
    <w:rsid w:val="00B40DDE"/>
    <w:pPr>
      <w:tabs>
        <w:tab w:val="left" w:pos="1152"/>
        <w:tab w:val="right" w:leader="dot" w:pos="9360"/>
      </w:tabs>
      <w:spacing w:before="120" w:line="280" w:lineRule="atLeast"/>
      <w:ind w:left="1152" w:right="792" w:hanging="1152"/>
    </w:pPr>
    <w:rPr>
      <w:rFonts w:cs="Arial"/>
      <w:color w:val="0000FF"/>
      <w:sz w:val="24"/>
      <w:lang w:val="en-US" w:eastAsia="en-US"/>
    </w:rPr>
  </w:style>
  <w:style w:type="paragraph" w:customStyle="1" w:styleId="C-TOCTitle">
    <w:name w:val="C-TOC Title"/>
    <w:next w:val="C-BodyText"/>
    <w:rsid w:val="00B40DDE"/>
    <w:pPr>
      <w:spacing w:after="120"/>
      <w:jc w:val="center"/>
    </w:pPr>
    <w:rPr>
      <w:b/>
      <w:caps/>
      <w:sz w:val="28"/>
      <w:szCs w:val="28"/>
      <w:lang w:val="en-US" w:eastAsia="en-US"/>
    </w:rPr>
  </w:style>
  <w:style w:type="paragraph" w:customStyle="1" w:styleId="C-CaptionContinued">
    <w:name w:val="C-Caption Continued"/>
    <w:next w:val="C-BodyText"/>
    <w:rsid w:val="00B40DDE"/>
    <w:pPr>
      <w:keepNext/>
      <w:spacing w:before="120" w:after="120" w:line="280" w:lineRule="atLeast"/>
      <w:ind w:left="1440" w:hanging="1440"/>
    </w:pPr>
    <w:rPr>
      <w:rFonts w:cs="Arial"/>
      <w:b/>
      <w:sz w:val="24"/>
      <w:lang w:val="en-US" w:eastAsia="en-US"/>
    </w:rPr>
  </w:style>
  <w:style w:type="paragraph" w:customStyle="1" w:styleId="C-NumberedList">
    <w:name w:val="C-Numbered List"/>
    <w:rsid w:val="00B40DDE"/>
    <w:pPr>
      <w:numPr>
        <w:numId w:val="37"/>
      </w:numPr>
      <w:spacing w:before="120" w:after="120" w:line="280" w:lineRule="atLeast"/>
    </w:pPr>
    <w:rPr>
      <w:sz w:val="24"/>
      <w:lang w:val="en-US" w:eastAsia="en-US"/>
    </w:rPr>
  </w:style>
  <w:style w:type="paragraph" w:customStyle="1" w:styleId="C-InstructionText">
    <w:name w:val="C-Instruction Text"/>
    <w:rsid w:val="00B40DDE"/>
    <w:pPr>
      <w:spacing w:before="120" w:after="120" w:line="280" w:lineRule="atLeast"/>
    </w:pPr>
    <w:rPr>
      <w:vanish/>
      <w:color w:val="FF0000"/>
      <w:sz w:val="24"/>
      <w:szCs w:val="24"/>
      <w:lang w:val="en-US" w:eastAsia="en-US"/>
    </w:rPr>
  </w:style>
  <w:style w:type="paragraph" w:styleId="TOAHeading">
    <w:name w:val="toa heading"/>
    <w:basedOn w:val="Normal"/>
    <w:next w:val="Normal"/>
    <w:rsid w:val="00B40DDE"/>
    <w:pPr>
      <w:spacing w:before="120"/>
    </w:pPr>
    <w:rPr>
      <w:rFonts w:ascii="Arial" w:hAnsi="Arial"/>
      <w:b/>
      <w:bCs/>
      <w:szCs w:val="24"/>
    </w:rPr>
  </w:style>
  <w:style w:type="paragraph" w:styleId="Header">
    <w:name w:val="header"/>
    <w:basedOn w:val="Normal"/>
    <w:link w:val="HeaderChar"/>
    <w:uiPriority w:val="99"/>
    <w:rsid w:val="00A404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40488"/>
    <w:pPr>
      <w:tabs>
        <w:tab w:val="center" w:pos="4320"/>
        <w:tab w:val="right" w:pos="8640"/>
      </w:tabs>
    </w:pPr>
  </w:style>
  <w:style w:type="paragraph" w:customStyle="1" w:styleId="C-Title">
    <w:name w:val="C-Title"/>
    <w:next w:val="C-BodyText"/>
    <w:rsid w:val="00B40DDE"/>
    <w:pPr>
      <w:spacing w:after="120"/>
      <w:jc w:val="center"/>
    </w:pPr>
    <w:rPr>
      <w:b/>
      <w:caps/>
      <w:sz w:val="36"/>
      <w:lang w:val="en-US" w:eastAsia="en-US"/>
    </w:rPr>
  </w:style>
  <w:style w:type="paragraph" w:customStyle="1" w:styleId="C-Header">
    <w:name w:val="C-Header"/>
    <w:rsid w:val="00B40DDE"/>
    <w:rPr>
      <w:sz w:val="24"/>
      <w:lang w:val="en-US" w:eastAsia="en-US"/>
    </w:rPr>
  </w:style>
  <w:style w:type="paragraph" w:customStyle="1" w:styleId="C-Footer">
    <w:name w:val="C-Footer"/>
    <w:rsid w:val="00B40DDE"/>
    <w:rPr>
      <w:sz w:val="24"/>
      <w:lang w:val="en-US" w:eastAsia="en-US"/>
    </w:rPr>
  </w:style>
  <w:style w:type="paragraph" w:customStyle="1" w:styleId="C-Heading1non-numbered">
    <w:name w:val="C-Heading 1 (non-numbered)"/>
    <w:basedOn w:val="C-Heading1"/>
    <w:next w:val="C-BodyText"/>
    <w:rsid w:val="00B40DDE"/>
    <w:pPr>
      <w:numPr>
        <w:numId w:val="0"/>
      </w:numPr>
      <w:tabs>
        <w:tab w:val="left" w:pos="1080"/>
      </w:tabs>
      <w:ind w:left="1080" w:hanging="1080"/>
    </w:pPr>
  </w:style>
  <w:style w:type="paragraph" w:customStyle="1" w:styleId="C-Heading2non-numbered">
    <w:name w:val="C-Heading 2 (non-numbered)"/>
    <w:basedOn w:val="C-Heading2"/>
    <w:next w:val="C-BodyText"/>
    <w:rsid w:val="00B40DDE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3non-numbered">
    <w:name w:val="C-Heading 3 (non-numbered)"/>
    <w:basedOn w:val="C-Heading3"/>
    <w:next w:val="C-BodyText"/>
    <w:rsid w:val="00B40DDE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4non-numbered">
    <w:name w:val="C-Heading 4 (non-numbered)"/>
    <w:basedOn w:val="C-Heading4"/>
    <w:next w:val="C-BodyText"/>
    <w:rsid w:val="00B40DDE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5non-numbered">
    <w:name w:val="C-Heading 5 (non-numbered)"/>
    <w:basedOn w:val="C-Heading5"/>
    <w:next w:val="C-BodyText"/>
    <w:rsid w:val="00B40DDE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6non-numbered">
    <w:name w:val="C-Heading 6 (non-numbered)"/>
    <w:basedOn w:val="C-Heading6"/>
    <w:next w:val="C-BodyText"/>
    <w:rsid w:val="00B40DDE"/>
    <w:pPr>
      <w:numPr>
        <w:ilvl w:val="0"/>
        <w:numId w:val="0"/>
      </w:numPr>
      <w:tabs>
        <w:tab w:val="left" w:pos="1080"/>
      </w:tabs>
      <w:ind w:left="1080" w:hanging="1080"/>
    </w:pPr>
  </w:style>
  <w:style w:type="character" w:styleId="Hyperlink">
    <w:name w:val="Hyperlink"/>
    <w:rsid w:val="00B40DDE"/>
    <w:rPr>
      <w:color w:val="0000FF"/>
      <w:u w:val="single"/>
    </w:rPr>
  </w:style>
  <w:style w:type="paragraph" w:customStyle="1" w:styleId="C-Heading1nopagebreak">
    <w:name w:val="C-Heading 1 (no page break)"/>
    <w:basedOn w:val="C-Heading1"/>
    <w:next w:val="C-BodyText"/>
    <w:rsid w:val="00B40DDE"/>
    <w:pPr>
      <w:pageBreakBefore w:val="0"/>
    </w:pPr>
  </w:style>
  <w:style w:type="paragraph" w:customStyle="1" w:styleId="C-Heading1nopagebreak0">
    <w:name w:val="C-Heading 1 (no page break"/>
    <w:aliases w:val="non-numbered)"/>
    <w:basedOn w:val="C-Heading1non-numbered"/>
    <w:next w:val="C-BodyText"/>
    <w:rsid w:val="00B40DDE"/>
    <w:pPr>
      <w:pageBreakBefore w:val="0"/>
    </w:pPr>
  </w:style>
  <w:style w:type="character" w:styleId="HTMLKeyboard">
    <w:name w:val="HTML Keyboard"/>
    <w:rsid w:val="00B40DDE"/>
    <w:rPr>
      <w:rFonts w:ascii="Courier New" w:hAnsi="Courier New"/>
      <w:sz w:val="20"/>
      <w:szCs w:val="20"/>
    </w:rPr>
  </w:style>
  <w:style w:type="paragraph" w:customStyle="1" w:styleId="C-Appendix">
    <w:name w:val="C-Appendix"/>
    <w:next w:val="C-BodyText"/>
    <w:rsid w:val="00B40DDE"/>
    <w:pPr>
      <w:keepNext/>
      <w:pageBreakBefore/>
      <w:numPr>
        <w:numId w:val="6"/>
      </w:numPr>
      <w:spacing w:before="480" w:after="120"/>
      <w:outlineLvl w:val="0"/>
    </w:pPr>
    <w:rPr>
      <w:b/>
      <w:caps/>
      <w:sz w:val="28"/>
      <w:lang w:val="en-US" w:eastAsia="en-US"/>
    </w:rPr>
  </w:style>
  <w:style w:type="paragraph" w:customStyle="1" w:styleId="C-PLR-NumberedList">
    <w:name w:val="C-PLR-Numbered List"/>
    <w:rsid w:val="00B40DDE"/>
    <w:pPr>
      <w:numPr>
        <w:numId w:val="17"/>
      </w:numPr>
    </w:pPr>
    <w:rPr>
      <w:sz w:val="16"/>
      <w:lang w:val="en-US" w:eastAsia="en-US"/>
    </w:rPr>
  </w:style>
  <w:style w:type="paragraph" w:customStyle="1" w:styleId="C-PLR-BodyText">
    <w:name w:val="C-PLR-Body Text"/>
    <w:rsid w:val="00B40DDE"/>
    <w:rPr>
      <w:sz w:val="16"/>
      <w:lang w:val="en-US" w:eastAsia="en-US"/>
    </w:rPr>
  </w:style>
  <w:style w:type="paragraph" w:customStyle="1" w:styleId="C-PLR-BodyTextIndent">
    <w:name w:val="C-PLR-Body Text Indent"/>
    <w:rsid w:val="00B40DDE"/>
    <w:pPr>
      <w:ind w:left="360"/>
    </w:pPr>
    <w:rPr>
      <w:sz w:val="16"/>
      <w:lang w:val="en-US" w:eastAsia="en-US"/>
    </w:rPr>
  </w:style>
  <w:style w:type="paragraph" w:customStyle="1" w:styleId="C-PLR-Bullet">
    <w:name w:val="C-PLR-Bullet"/>
    <w:rsid w:val="00B40DDE"/>
    <w:pPr>
      <w:numPr>
        <w:numId w:val="8"/>
      </w:numPr>
    </w:pPr>
    <w:rPr>
      <w:sz w:val="16"/>
      <w:lang w:val="en-US" w:eastAsia="en-US"/>
    </w:rPr>
  </w:style>
  <w:style w:type="paragraph" w:customStyle="1" w:styleId="C-PLR-BulletIndented">
    <w:name w:val="C-PLR-Bullet Indented"/>
    <w:rsid w:val="00B40DDE"/>
    <w:pPr>
      <w:numPr>
        <w:numId w:val="9"/>
      </w:numPr>
    </w:pPr>
    <w:rPr>
      <w:sz w:val="16"/>
      <w:lang w:val="en-US" w:eastAsia="en-US"/>
    </w:rPr>
  </w:style>
  <w:style w:type="paragraph" w:customStyle="1" w:styleId="C-PLR-Caption">
    <w:name w:val="C-PLR-Caption"/>
    <w:next w:val="C-PLR-BodyText"/>
    <w:rsid w:val="00B40DDE"/>
    <w:pPr>
      <w:keepNext/>
      <w:ind w:left="360" w:hanging="360"/>
    </w:pPr>
    <w:rPr>
      <w:b/>
      <w:sz w:val="16"/>
      <w:lang w:val="en-US" w:eastAsia="en-US"/>
    </w:rPr>
  </w:style>
  <w:style w:type="paragraph" w:customStyle="1" w:styleId="C-PLR-Heading1nopagebreaknon-numbered">
    <w:name w:val="C-PLR-Heading 1 (no page break.non-numbered)"/>
    <w:basedOn w:val="C-PLR-Heading1non-numbered"/>
    <w:next w:val="C-PLR-BodyText"/>
    <w:rsid w:val="00B40DDE"/>
  </w:style>
  <w:style w:type="paragraph" w:customStyle="1" w:styleId="C-PLR-Heading2non-numbered">
    <w:name w:val="C-PLR-Heading 2 (non-numbered)"/>
    <w:basedOn w:val="C-PLR-Heading2"/>
    <w:next w:val="C-PLR-BodyText"/>
    <w:rsid w:val="00B40DDE"/>
    <w:pPr>
      <w:numPr>
        <w:ilvl w:val="0"/>
        <w:numId w:val="0"/>
      </w:numPr>
      <w:ind w:left="720" w:hanging="720"/>
    </w:pPr>
  </w:style>
  <w:style w:type="paragraph" w:customStyle="1" w:styleId="C-PLR-TableHeader">
    <w:name w:val="C-PLR-Table Header"/>
    <w:next w:val="C-PLR-TableText"/>
    <w:rsid w:val="00B40DDE"/>
    <w:pPr>
      <w:keepNext/>
    </w:pPr>
    <w:rPr>
      <w:b/>
      <w:sz w:val="16"/>
      <w:lang w:val="en-US" w:eastAsia="en-US"/>
    </w:rPr>
  </w:style>
  <w:style w:type="paragraph" w:customStyle="1" w:styleId="C-PLR-TableText">
    <w:name w:val="C-PLR-Table Text"/>
    <w:rsid w:val="00B40DDE"/>
    <w:rPr>
      <w:sz w:val="16"/>
      <w:lang w:val="en-US" w:eastAsia="en-US"/>
    </w:rPr>
  </w:style>
  <w:style w:type="paragraph" w:customStyle="1" w:styleId="C-PLR-Title">
    <w:name w:val="C-PLR-Title"/>
    <w:next w:val="C-PLR-BodyText"/>
    <w:rsid w:val="00B40DDE"/>
    <w:pPr>
      <w:jc w:val="center"/>
    </w:pPr>
    <w:rPr>
      <w:b/>
      <w:caps/>
      <w:sz w:val="16"/>
      <w:lang w:val="en-US" w:eastAsia="en-US"/>
    </w:rPr>
  </w:style>
  <w:style w:type="paragraph" w:customStyle="1" w:styleId="C-PLR-TOCTitle">
    <w:name w:val="C-PLR-TOC Title"/>
    <w:next w:val="C-PLR-BodyText"/>
    <w:rsid w:val="00B40DDE"/>
    <w:pPr>
      <w:tabs>
        <w:tab w:val="center" w:leader="underscore" w:pos="2520"/>
        <w:tab w:val="right" w:leader="underscore" w:pos="5040"/>
      </w:tabs>
      <w:jc w:val="center"/>
    </w:pPr>
    <w:rPr>
      <w:b/>
      <w:caps/>
      <w:sz w:val="16"/>
      <w:lang w:val="en-US" w:eastAsia="en-US"/>
    </w:rPr>
  </w:style>
  <w:style w:type="paragraph" w:customStyle="1" w:styleId="C-PLR-TOC1">
    <w:name w:val="C-PLR-TOC 1"/>
    <w:next w:val="C-PLR-BodyText"/>
    <w:rsid w:val="00B40DDE"/>
    <w:pPr>
      <w:ind w:left="432" w:hanging="432"/>
    </w:pPr>
    <w:rPr>
      <w:rFonts w:ascii="Times New Roman Bold" w:hAnsi="Times New Roman Bold"/>
      <w:b/>
      <w:caps/>
      <w:color w:val="0000FF"/>
      <w:sz w:val="16"/>
      <w:lang w:val="en-US" w:eastAsia="en-US"/>
    </w:rPr>
  </w:style>
  <w:style w:type="paragraph" w:customStyle="1" w:styleId="C-PLR-TOC2">
    <w:name w:val="C-PLR-TOC 2"/>
    <w:basedOn w:val="C-PLR-TOC1"/>
    <w:next w:val="C-PLR-BodyText"/>
    <w:rsid w:val="00B40DDE"/>
    <w:pPr>
      <w:ind w:left="864"/>
    </w:pPr>
    <w:rPr>
      <w:rFonts w:ascii="Times New Roman" w:hAnsi="Times New Roman"/>
      <w:b w:val="0"/>
      <w:caps w:val="0"/>
    </w:rPr>
  </w:style>
  <w:style w:type="paragraph" w:customStyle="1" w:styleId="C-PLR-TableFootnote">
    <w:name w:val="C-PLR-Table Footnote"/>
    <w:next w:val="C-PLR-BodyText"/>
    <w:rsid w:val="00B40DDE"/>
    <w:pPr>
      <w:tabs>
        <w:tab w:val="left" w:pos="432"/>
      </w:tabs>
      <w:ind w:left="432" w:hanging="432"/>
    </w:pPr>
    <w:rPr>
      <w:sz w:val="16"/>
      <w:lang w:val="en-US" w:eastAsia="en-US"/>
    </w:rPr>
  </w:style>
  <w:style w:type="paragraph" w:customStyle="1" w:styleId="C-AlphabeticList">
    <w:name w:val="C-Alphabetic List"/>
    <w:rsid w:val="00B40DDE"/>
    <w:pPr>
      <w:numPr>
        <w:ilvl w:val="1"/>
        <w:numId w:val="37"/>
      </w:numPr>
    </w:pPr>
    <w:rPr>
      <w:sz w:val="24"/>
      <w:lang w:val="en-US" w:eastAsia="en-US"/>
    </w:rPr>
  </w:style>
  <w:style w:type="character" w:customStyle="1" w:styleId="C-Hyperlink">
    <w:name w:val="C-Hyperlink"/>
    <w:rsid w:val="00B40DDE"/>
    <w:rPr>
      <w:color w:val="0000FF"/>
    </w:rPr>
  </w:style>
  <w:style w:type="character" w:customStyle="1" w:styleId="C-TableCallout">
    <w:name w:val="C-Table Callout"/>
    <w:rsid w:val="00B40DDE"/>
    <w:rPr>
      <w:rFonts w:ascii="Times New Roman" w:hAnsi="Times New Roman"/>
      <w:dstrike w:val="0"/>
      <w:color w:val="auto"/>
      <w:spacing w:val="0"/>
      <w:w w:val="100"/>
      <w:position w:val="-1"/>
      <w:sz w:val="22"/>
      <w:szCs w:val="22"/>
      <w:u w:val="none"/>
      <w:effect w:val="none"/>
      <w:vertAlign w:val="superscript"/>
      <w:em w:val="none"/>
    </w:rPr>
  </w:style>
  <w:style w:type="paragraph" w:styleId="CommentText">
    <w:name w:val="annotation text"/>
    <w:basedOn w:val="Normal"/>
    <w:link w:val="CommentTextChar"/>
    <w:rsid w:val="00B40DDE"/>
    <w:rPr>
      <w:sz w:val="20"/>
    </w:rPr>
  </w:style>
  <w:style w:type="paragraph" w:styleId="CommentSubject">
    <w:name w:val="annotation subject"/>
    <w:basedOn w:val="CommentText"/>
    <w:next w:val="CommentText"/>
    <w:rsid w:val="00B40DDE"/>
    <w:rPr>
      <w:b/>
      <w:bCs/>
    </w:rPr>
  </w:style>
  <w:style w:type="table" w:customStyle="1" w:styleId="C-Table">
    <w:name w:val="C-Table"/>
    <w:basedOn w:val="TableNormal"/>
    <w:rsid w:val="00B40DDE"/>
    <w:rPr>
      <w:lang w:val="en-US" w:eastAsia="en-US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</w:style>
  <w:style w:type="paragraph" w:customStyle="1" w:styleId="C-PLR-AlphabeticList">
    <w:name w:val="C-PLR-Alphabetic List"/>
    <w:rsid w:val="00B40DDE"/>
    <w:pPr>
      <w:numPr>
        <w:numId w:val="16"/>
      </w:numPr>
    </w:pPr>
    <w:rPr>
      <w:rFonts w:cs="Arial"/>
      <w:sz w:val="16"/>
      <w:lang w:val="en-US" w:eastAsia="en-US"/>
    </w:rPr>
  </w:style>
  <w:style w:type="paragraph" w:customStyle="1" w:styleId="C-PLR-CaptionContinued">
    <w:name w:val="C-PLR-Caption Continued"/>
    <w:next w:val="C-PLR-BodyText"/>
    <w:rsid w:val="00B40DDE"/>
    <w:pPr>
      <w:keepNext/>
      <w:ind w:left="360" w:hanging="360"/>
    </w:pPr>
    <w:rPr>
      <w:rFonts w:ascii="Times New Roman Bold" w:hAnsi="Times New Roman Bold" w:cs="Arial"/>
      <w:b/>
      <w:sz w:val="16"/>
      <w:lang w:val="en-US" w:eastAsia="en-US"/>
    </w:rPr>
  </w:style>
  <w:style w:type="paragraph" w:customStyle="1" w:styleId="C-PLR-Heading1">
    <w:name w:val="C-PLR-Heading 1"/>
    <w:next w:val="C-PLR-BodyText"/>
    <w:rsid w:val="00B40DDE"/>
    <w:pPr>
      <w:keepNext/>
      <w:numPr>
        <w:numId w:val="15"/>
      </w:numPr>
      <w:tabs>
        <w:tab w:val="clear" w:pos="1080"/>
        <w:tab w:val="left" w:pos="720"/>
      </w:tabs>
      <w:ind w:left="720" w:hanging="720"/>
      <w:outlineLvl w:val="0"/>
    </w:pPr>
    <w:rPr>
      <w:rFonts w:ascii="Times New Roman Bold" w:hAnsi="Times New Roman Bold"/>
      <w:caps/>
      <w:sz w:val="16"/>
      <w:lang w:val="en-US" w:eastAsia="en-US"/>
    </w:rPr>
  </w:style>
  <w:style w:type="paragraph" w:customStyle="1" w:styleId="C-PLR-Heading1nopagebreak">
    <w:name w:val="C-PLR-Heading 1 (no page break)"/>
    <w:basedOn w:val="C-PLR-Heading1"/>
    <w:next w:val="C-PLR-BodyText"/>
    <w:rsid w:val="00B40DDE"/>
  </w:style>
  <w:style w:type="paragraph" w:customStyle="1" w:styleId="C-PLR-Heading2">
    <w:name w:val="C-PLR-Heading 2"/>
    <w:next w:val="C-PLR-BodyText"/>
    <w:rsid w:val="00B40DDE"/>
    <w:pPr>
      <w:numPr>
        <w:ilvl w:val="1"/>
        <w:numId w:val="15"/>
      </w:numPr>
      <w:tabs>
        <w:tab w:val="clear" w:pos="1080"/>
        <w:tab w:val="left" w:pos="720"/>
      </w:tabs>
      <w:ind w:left="720" w:hanging="720"/>
      <w:outlineLvl w:val="1"/>
    </w:pPr>
    <w:rPr>
      <w:rFonts w:ascii="Times New Roman Bold" w:hAnsi="Times New Roman Bold" w:cs="Arial"/>
      <w:sz w:val="16"/>
      <w:lang w:val="en-US" w:eastAsia="en-US"/>
    </w:rPr>
  </w:style>
  <w:style w:type="paragraph" w:customStyle="1" w:styleId="C-PLR-Heading3">
    <w:name w:val="C-PLR-Heading 3"/>
    <w:next w:val="C-PLR-BodyText"/>
    <w:rsid w:val="00B40DDE"/>
    <w:pPr>
      <w:numPr>
        <w:ilvl w:val="2"/>
        <w:numId w:val="15"/>
      </w:numPr>
      <w:tabs>
        <w:tab w:val="clear" w:pos="1080"/>
        <w:tab w:val="left" w:pos="720"/>
      </w:tabs>
      <w:ind w:left="720" w:hanging="720"/>
      <w:outlineLvl w:val="2"/>
    </w:pPr>
    <w:rPr>
      <w:rFonts w:ascii="Times New Roman Bold" w:hAnsi="Times New Roman Bold" w:cs="Arial"/>
      <w:sz w:val="16"/>
      <w:lang w:val="en-US" w:eastAsia="en-US"/>
    </w:rPr>
  </w:style>
  <w:style w:type="paragraph" w:customStyle="1" w:styleId="C-PLR-Heading3non-numbered">
    <w:name w:val="C-PLR-Heading 3 (non-numbered)"/>
    <w:basedOn w:val="C-PLR-Heading3"/>
    <w:next w:val="C-PLR-BodyText"/>
    <w:rsid w:val="00B40DDE"/>
    <w:pPr>
      <w:numPr>
        <w:ilvl w:val="0"/>
        <w:numId w:val="0"/>
      </w:numPr>
      <w:ind w:left="720" w:hanging="720"/>
    </w:pPr>
  </w:style>
  <w:style w:type="paragraph" w:customStyle="1" w:styleId="C-PLR-Heading4">
    <w:name w:val="C-PLR-Heading 4"/>
    <w:next w:val="C-PLR-BodyText"/>
    <w:rsid w:val="00B40DDE"/>
    <w:pPr>
      <w:numPr>
        <w:ilvl w:val="3"/>
        <w:numId w:val="15"/>
      </w:numPr>
      <w:tabs>
        <w:tab w:val="clear" w:pos="1080"/>
        <w:tab w:val="left" w:pos="720"/>
      </w:tabs>
      <w:ind w:left="720" w:hanging="720"/>
      <w:outlineLvl w:val="3"/>
    </w:pPr>
    <w:rPr>
      <w:rFonts w:ascii="Times New Roman Bold" w:hAnsi="Times New Roman Bold" w:cs="Arial"/>
      <w:sz w:val="16"/>
      <w:lang w:val="en-US" w:eastAsia="en-US"/>
    </w:rPr>
  </w:style>
  <w:style w:type="paragraph" w:customStyle="1" w:styleId="C-PLR-Heading4non-numbered">
    <w:name w:val="C-PLR-Heading 4 (non-numbered)"/>
    <w:basedOn w:val="C-PLR-Heading4"/>
    <w:next w:val="C-PLR-BodyText"/>
    <w:rsid w:val="00B40DDE"/>
    <w:pPr>
      <w:numPr>
        <w:ilvl w:val="0"/>
        <w:numId w:val="0"/>
      </w:numPr>
      <w:ind w:left="720" w:hanging="720"/>
    </w:pPr>
  </w:style>
  <w:style w:type="paragraph" w:customStyle="1" w:styleId="C-PLR-Heading5">
    <w:name w:val="C-PLR-Heading 5"/>
    <w:next w:val="C-PLR-BodyText"/>
    <w:rsid w:val="00B40DDE"/>
    <w:pPr>
      <w:numPr>
        <w:ilvl w:val="4"/>
        <w:numId w:val="15"/>
      </w:numPr>
      <w:tabs>
        <w:tab w:val="clear" w:pos="1080"/>
        <w:tab w:val="left" w:pos="720"/>
      </w:tabs>
      <w:ind w:left="720" w:hanging="720"/>
      <w:outlineLvl w:val="4"/>
    </w:pPr>
    <w:rPr>
      <w:rFonts w:ascii="Times New Roman Bold" w:hAnsi="Times New Roman Bold" w:cs="Arial"/>
      <w:sz w:val="16"/>
      <w:lang w:val="en-US" w:eastAsia="en-US"/>
    </w:rPr>
  </w:style>
  <w:style w:type="paragraph" w:customStyle="1" w:styleId="C-PLR-Heading5non-numbered">
    <w:name w:val="C-PLR-Heading 5 (non-numbered)"/>
    <w:basedOn w:val="C-PLR-Heading5"/>
    <w:next w:val="C-PLR-BodyText"/>
    <w:rsid w:val="00B40DDE"/>
    <w:pPr>
      <w:numPr>
        <w:ilvl w:val="0"/>
        <w:numId w:val="0"/>
      </w:numPr>
      <w:ind w:left="720" w:hanging="720"/>
    </w:pPr>
  </w:style>
  <w:style w:type="paragraph" w:customStyle="1" w:styleId="C-PLR-Heading6">
    <w:name w:val="C-PLR-Heading 6"/>
    <w:next w:val="C-PLR-BodyText"/>
    <w:rsid w:val="00B40DDE"/>
    <w:pPr>
      <w:numPr>
        <w:ilvl w:val="5"/>
        <w:numId w:val="15"/>
      </w:numPr>
      <w:tabs>
        <w:tab w:val="clear" w:pos="1080"/>
        <w:tab w:val="left" w:pos="864"/>
      </w:tabs>
      <w:ind w:left="864" w:hanging="864"/>
      <w:outlineLvl w:val="5"/>
    </w:pPr>
    <w:rPr>
      <w:rFonts w:ascii="Times New Roman Bold" w:hAnsi="Times New Roman Bold" w:cs="Arial"/>
      <w:sz w:val="16"/>
      <w:lang w:val="en-US" w:eastAsia="en-US"/>
    </w:rPr>
  </w:style>
  <w:style w:type="paragraph" w:customStyle="1" w:styleId="C-PLR-Heading6non-numbered">
    <w:name w:val="C-PLR-Heading 6 (non-numbered)"/>
    <w:basedOn w:val="C-PLR-Heading6"/>
    <w:next w:val="C-PLR-BodyText"/>
    <w:rsid w:val="00B40DDE"/>
    <w:pPr>
      <w:numPr>
        <w:ilvl w:val="0"/>
        <w:numId w:val="0"/>
      </w:numPr>
      <w:ind w:left="864" w:hanging="864"/>
    </w:pPr>
  </w:style>
  <w:style w:type="paragraph" w:customStyle="1" w:styleId="C-PLR-InstructionText">
    <w:name w:val="C-PLR-Instruction Text"/>
    <w:rsid w:val="00B40DDE"/>
    <w:rPr>
      <w:rFonts w:ascii="Times New Roman Bold" w:hAnsi="Times New Roman Bold" w:cs="Arial"/>
      <w:vanish/>
      <w:color w:val="FF0000"/>
      <w:sz w:val="16"/>
      <w:lang w:val="en-US" w:eastAsia="en-US"/>
    </w:rPr>
  </w:style>
  <w:style w:type="paragraph" w:customStyle="1" w:styleId="C-PLR-TOC3">
    <w:name w:val="C-PLR-TOC 3"/>
    <w:basedOn w:val="C-PLR-TOC1"/>
    <w:next w:val="C-PLR-BodyText"/>
    <w:rsid w:val="00B40DDE"/>
    <w:pPr>
      <w:tabs>
        <w:tab w:val="left" w:pos="432"/>
      </w:tabs>
      <w:ind w:left="864"/>
    </w:pPr>
    <w:rPr>
      <w:rFonts w:ascii="Times New Roman" w:hAnsi="Times New Roman"/>
      <w:b w:val="0"/>
      <w:caps w:val="0"/>
    </w:rPr>
  </w:style>
  <w:style w:type="paragraph" w:customStyle="1" w:styleId="C-PLR-TOC4">
    <w:name w:val="C-PLR-TOC 4"/>
    <w:basedOn w:val="C-PLR-TOC1"/>
    <w:next w:val="C-PLR-BodyText"/>
    <w:rsid w:val="00B40DDE"/>
    <w:pPr>
      <w:tabs>
        <w:tab w:val="left" w:pos="432"/>
      </w:tabs>
      <w:ind w:left="864"/>
    </w:pPr>
    <w:rPr>
      <w:rFonts w:ascii="Times New Roman" w:hAnsi="Times New Roman"/>
      <w:b w:val="0"/>
      <w:caps w:val="0"/>
    </w:rPr>
  </w:style>
  <w:style w:type="paragraph" w:styleId="BodyTextIndent">
    <w:name w:val="Body Text Indent"/>
    <w:basedOn w:val="Normal"/>
    <w:rsid w:val="00B40DDE"/>
    <w:pPr>
      <w:spacing w:after="120"/>
      <w:ind w:left="360"/>
    </w:pPr>
  </w:style>
  <w:style w:type="paragraph" w:styleId="BodyTextFirstIndent2">
    <w:name w:val="Body Text First Indent 2"/>
    <w:basedOn w:val="BodyTextIndent"/>
    <w:rsid w:val="00B40DDE"/>
    <w:pPr>
      <w:ind w:firstLine="210"/>
    </w:pPr>
  </w:style>
  <w:style w:type="paragraph" w:customStyle="1" w:styleId="C-PLR-Heading1non-numbered">
    <w:name w:val="C-PLR-Heading 1 (non-numbered)"/>
    <w:basedOn w:val="C-PLR-Heading1"/>
    <w:next w:val="C-PLR-BodyText"/>
    <w:rsid w:val="00B40DDE"/>
    <w:pPr>
      <w:numPr>
        <w:numId w:val="0"/>
      </w:numPr>
      <w:ind w:left="720" w:hanging="720"/>
    </w:pPr>
  </w:style>
  <w:style w:type="paragraph" w:customStyle="1" w:styleId="C-AppendixNumbered">
    <w:name w:val="C-Appendix (Numbered)"/>
    <w:basedOn w:val="C-Appendix"/>
    <w:next w:val="C-BodyText"/>
    <w:rsid w:val="00B40DDE"/>
    <w:pPr>
      <w:numPr>
        <w:numId w:val="31"/>
      </w:numPr>
      <w:tabs>
        <w:tab w:val="left" w:pos="1987"/>
      </w:tabs>
      <w:ind w:left="1987" w:hanging="1987"/>
    </w:pPr>
  </w:style>
  <w:style w:type="numbering" w:customStyle="1" w:styleId="SPNumberedTabs">
    <w:name w:val="SP Numbered Tabs"/>
    <w:rsid w:val="00B40DDE"/>
    <w:pPr>
      <w:numPr>
        <w:numId w:val="34"/>
      </w:numPr>
    </w:pPr>
  </w:style>
  <w:style w:type="numbering" w:customStyle="1" w:styleId="SPBulletTabs">
    <w:name w:val="SP Bullet Tabs"/>
    <w:rsid w:val="00B40DDE"/>
    <w:pPr>
      <w:numPr>
        <w:numId w:val="36"/>
      </w:numPr>
    </w:pPr>
  </w:style>
  <w:style w:type="paragraph" w:customStyle="1" w:styleId="C-Alphabetic">
    <w:name w:val="C-Alphabetic"/>
    <w:basedOn w:val="C-Heading1"/>
    <w:next w:val="C-BodyText"/>
    <w:link w:val="C-AlphabeticChar"/>
    <w:qFormat/>
    <w:rsid w:val="00B40DDE"/>
    <w:pPr>
      <w:numPr>
        <w:numId w:val="39"/>
      </w:numPr>
      <w:tabs>
        <w:tab w:val="left" w:pos="1080"/>
      </w:tabs>
      <w:ind w:left="1080" w:hanging="1080"/>
    </w:pPr>
  </w:style>
  <w:style w:type="character" w:customStyle="1" w:styleId="C-Heading1Char">
    <w:name w:val="C-Heading 1 Char"/>
    <w:link w:val="C-Heading1"/>
    <w:rsid w:val="00B40DDE"/>
    <w:rPr>
      <w:b/>
      <w:caps/>
      <w:sz w:val="28"/>
      <w:lang w:val="en-US" w:eastAsia="en-US"/>
    </w:rPr>
  </w:style>
  <w:style w:type="character" w:customStyle="1" w:styleId="C-AlphabeticChar">
    <w:name w:val="C-Alphabetic Char"/>
    <w:basedOn w:val="C-Heading1Char"/>
    <w:link w:val="C-Alphabetic"/>
    <w:rsid w:val="00B40DDE"/>
    <w:rPr>
      <w:b/>
      <w:caps/>
      <w:sz w:val="28"/>
      <w:lang w:val="en-US" w:eastAsia="en-US"/>
    </w:rPr>
  </w:style>
  <w:style w:type="paragraph" w:customStyle="1" w:styleId="C-Footnote">
    <w:name w:val="C-Footnote"/>
    <w:basedOn w:val="C-TableFootnote"/>
    <w:qFormat/>
    <w:rsid w:val="00B40DDE"/>
    <w:pPr>
      <w:ind w:left="0" w:firstLine="0"/>
    </w:pPr>
  </w:style>
  <w:style w:type="paragraph" w:styleId="BodyText">
    <w:name w:val="Body Text"/>
    <w:basedOn w:val="Normal"/>
    <w:link w:val="BodyTextChar"/>
    <w:uiPriority w:val="1"/>
    <w:qFormat/>
    <w:rsid w:val="002A50D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A50DF"/>
    <w:rPr>
      <w:rFonts w:cs="Arial"/>
      <w:sz w:val="24"/>
    </w:rPr>
  </w:style>
  <w:style w:type="paragraph" w:styleId="ListParagraph">
    <w:name w:val="List Paragraph"/>
    <w:basedOn w:val="Normal"/>
    <w:uiPriority w:val="1"/>
    <w:qFormat/>
    <w:rsid w:val="002A50DF"/>
  </w:style>
  <w:style w:type="paragraph" w:customStyle="1" w:styleId="TableParagraph">
    <w:name w:val="Table Paragraph"/>
    <w:basedOn w:val="Normal"/>
    <w:uiPriority w:val="1"/>
    <w:qFormat/>
    <w:rsid w:val="002A50DF"/>
  </w:style>
  <w:style w:type="paragraph" w:styleId="BalloonText">
    <w:name w:val="Balloon Text"/>
    <w:basedOn w:val="Normal"/>
    <w:link w:val="BalloonTextChar"/>
    <w:uiPriority w:val="99"/>
    <w:unhideWhenUsed/>
    <w:rsid w:val="002A50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A50DF"/>
    <w:rPr>
      <w:rFonts w:ascii="Tahoma" w:eastAsia="Calibri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A50DF"/>
    <w:rPr>
      <w:rFonts w:ascii="Calibri" w:eastAsia="Calibri" w:hAnsi="Calibr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2A50DF"/>
    <w:rPr>
      <w:rFonts w:ascii="Calibri" w:eastAsia="Calibr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rsid w:val="00701680"/>
    <w:rPr>
      <w:sz w:val="16"/>
      <w:szCs w:val="16"/>
    </w:rPr>
  </w:style>
  <w:style w:type="paragraph" w:customStyle="1" w:styleId="Default">
    <w:name w:val="Default"/>
    <w:rsid w:val="007016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76890"/>
    <w:rPr>
      <w:rFonts w:cs="Arial"/>
      <w:sz w:val="24"/>
      <w:lang w:val="en-US" w:eastAsia="en-US"/>
    </w:rPr>
  </w:style>
  <w:style w:type="paragraph" w:customStyle="1" w:styleId="StileInterlinea15righe">
    <w:name w:val="Stile Interlinea 15 righe"/>
    <w:basedOn w:val="Normal"/>
    <w:semiHidden/>
    <w:rsid w:val="00464BF9"/>
    <w:pPr>
      <w:spacing w:before="120"/>
      <w:jc w:val="both"/>
    </w:pPr>
    <w:rPr>
      <w:rFonts w:cs="Times New Roman"/>
      <w:lang w:val="it-IT"/>
    </w:rPr>
  </w:style>
  <w:style w:type="paragraph" w:customStyle="1" w:styleId="Testo2">
    <w:name w:val="Testo 2"/>
    <w:basedOn w:val="Normal"/>
    <w:semiHidden/>
    <w:rsid w:val="00464BF9"/>
    <w:pPr>
      <w:widowControl w:val="0"/>
      <w:spacing w:before="120" w:line="360" w:lineRule="exact"/>
      <w:jc w:val="both"/>
    </w:pPr>
    <w:rPr>
      <w:rFonts w:eastAsia="MS Mincho" w:cs="Times New Roman"/>
      <w:szCs w:val="16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rsid w:val="009E154B"/>
    <w:rPr>
      <w:rFonts w:cs="Arial"/>
      <w:lang w:val="en-US" w:eastAsia="en-US"/>
    </w:rPr>
  </w:style>
  <w:style w:type="table" w:styleId="TableGrid">
    <w:name w:val="Table Grid"/>
    <w:basedOn w:val="TableNormal"/>
    <w:uiPriority w:val="59"/>
    <w:rsid w:val="006A7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9A76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wk0\AppData\Roaming\Microsoft\Templates\Autho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99C52-DB71-4903-8F5F-3CD48113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Author.dotm</Template>
  <TotalTime>1</TotalTime>
  <Pages>13</Pages>
  <Words>3365</Words>
  <Characters>20593</Characters>
  <Application>Microsoft Office Word</Application>
  <DocSecurity>0</DocSecurity>
  <Lines>411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1.3.1.1 Product Information - clean</vt:lpstr>
    </vt:vector>
  </TitlesOfParts>
  <Company>Accenture</Company>
  <LinksUpToDate>false</LinksUpToDate>
  <CharactersWithSpaces>23770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Attachment: Product Information: Fosfomycin trometamol</dc:title>
  <dc:subject>prescription medicines</dc:subject>
  <dc:creator>Niall Morrissey</dc:creator>
  <cp:keywords>AusPARs</cp:keywords>
  <cp:lastModifiedBy>LACK, Janet</cp:lastModifiedBy>
  <cp:revision>3</cp:revision>
  <cp:lastPrinted>2015-11-16T23:50:00Z</cp:lastPrinted>
  <dcterms:created xsi:type="dcterms:W3CDTF">2018-10-16T05:53:00Z</dcterms:created>
  <dcterms:modified xsi:type="dcterms:W3CDTF">2018-10-16T05:55:00Z</dcterms:modified>
</cp:coreProperties>
</file>