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69B" w:rsidRDefault="003A369B" w:rsidP="003A369B">
      <w:pPr>
        <w:pStyle w:val="Heading1"/>
        <w:numPr>
          <w:ilvl w:val="0"/>
          <w:numId w:val="0"/>
        </w:numPr>
        <w:spacing w:before="0"/>
        <w:jc w:val="center"/>
        <w:rPr>
          <w:rFonts w:asciiTheme="minorHAnsi" w:eastAsia="SimSun" w:hAnsiTheme="minorHAnsi" w:cstheme="minorHAnsi"/>
        </w:rPr>
      </w:pPr>
      <w:r w:rsidRPr="000F5095">
        <w:rPr>
          <w:rFonts w:asciiTheme="minorHAnsi" w:eastAsia="SimSun" w:hAnsiTheme="minorHAnsi" w:cstheme="minorHAnsi"/>
        </w:rPr>
        <w:t>Australian Product Information</w:t>
      </w:r>
    </w:p>
    <w:p w:rsidR="003A369B" w:rsidRDefault="003A369B" w:rsidP="003A369B">
      <w:pPr>
        <w:pStyle w:val="Heading1"/>
        <w:numPr>
          <w:ilvl w:val="0"/>
          <w:numId w:val="0"/>
        </w:numPr>
        <w:spacing w:before="0"/>
        <w:jc w:val="center"/>
        <w:rPr>
          <w:rFonts w:asciiTheme="minorHAnsi" w:eastAsia="SimSun" w:hAnsiTheme="minorHAnsi" w:cstheme="minorHAnsi"/>
        </w:rPr>
      </w:pPr>
      <w:r>
        <w:rPr>
          <w:rFonts w:asciiTheme="minorHAnsi" w:eastAsia="SimSun" w:hAnsiTheme="minorHAnsi" w:cstheme="minorHAnsi"/>
        </w:rPr>
        <w:t>ARIXTRA</w:t>
      </w:r>
      <w:r w:rsidRPr="000F5095">
        <w:rPr>
          <w:rFonts w:asciiTheme="minorHAnsi" w:eastAsia="SimSun" w:hAnsiTheme="minorHAnsi" w:cstheme="minorHAnsi"/>
        </w:rPr>
        <w:t xml:space="preserve"> (</w:t>
      </w:r>
      <w:r>
        <w:rPr>
          <w:rFonts w:asciiTheme="minorHAnsi" w:eastAsia="SimSun" w:hAnsiTheme="minorHAnsi" w:cstheme="minorHAnsi"/>
        </w:rPr>
        <w:t>FONDAPARINUX SODIUM</w:t>
      </w:r>
      <w:r w:rsidRPr="000F5095">
        <w:rPr>
          <w:rFonts w:asciiTheme="minorHAnsi" w:eastAsia="SimSun" w:hAnsiTheme="minorHAnsi" w:cstheme="minorHAnsi"/>
        </w:rPr>
        <w:t>)</w:t>
      </w:r>
    </w:p>
    <w:p w:rsidR="003A369B" w:rsidRDefault="003A369B" w:rsidP="003A369B">
      <w:pPr>
        <w:pStyle w:val="Heading1"/>
        <w:numPr>
          <w:ilvl w:val="0"/>
          <w:numId w:val="0"/>
        </w:numPr>
        <w:spacing w:before="0"/>
        <w:jc w:val="center"/>
        <w:rPr>
          <w:rFonts w:asciiTheme="minorHAnsi" w:eastAsia="SimSun" w:hAnsiTheme="minorHAnsi" w:cstheme="minorHAnsi"/>
        </w:rPr>
      </w:pPr>
      <w:r>
        <w:rPr>
          <w:rFonts w:asciiTheme="minorHAnsi" w:eastAsia="SimSun" w:hAnsiTheme="minorHAnsi" w:cstheme="minorHAnsi"/>
        </w:rPr>
        <w:t>SOLUTION FOR INJECTION</w:t>
      </w:r>
    </w:p>
    <w:p w:rsidR="003A369B" w:rsidRPr="000F5095" w:rsidRDefault="003A369B" w:rsidP="00EB5A53">
      <w:pPr>
        <w:pStyle w:val="Heading1"/>
        <w:numPr>
          <w:ilvl w:val="0"/>
          <w:numId w:val="0"/>
        </w:numPr>
        <w:spacing w:before="0" w:line="240" w:lineRule="auto"/>
        <w:jc w:val="both"/>
        <w:rPr>
          <w:rFonts w:asciiTheme="minorHAnsi" w:eastAsia="SimSun" w:hAnsiTheme="minorHAnsi" w:cstheme="minorHAnsi"/>
        </w:rPr>
      </w:pPr>
    </w:p>
    <w:p w:rsidR="003A369B" w:rsidRDefault="003A369B" w:rsidP="00EB5A53">
      <w:pPr>
        <w:pStyle w:val="Heading1"/>
        <w:spacing w:before="0" w:after="120" w:line="240" w:lineRule="auto"/>
        <w:ind w:left="431" w:hanging="431"/>
        <w:jc w:val="both"/>
        <w:rPr>
          <w:rFonts w:asciiTheme="minorHAnsi" w:hAnsiTheme="minorHAnsi" w:cstheme="minorHAnsi"/>
        </w:rPr>
      </w:pPr>
      <w:r w:rsidRPr="000F5095">
        <w:rPr>
          <w:rFonts w:asciiTheme="minorHAnsi" w:hAnsiTheme="minorHAnsi" w:cstheme="minorHAnsi"/>
        </w:rPr>
        <w:t>Name of the medicine</w:t>
      </w:r>
    </w:p>
    <w:p w:rsidR="003A369B" w:rsidRPr="000F5095" w:rsidRDefault="003A369B" w:rsidP="00EB5A53">
      <w:pPr>
        <w:spacing w:line="240" w:lineRule="auto"/>
        <w:jc w:val="both"/>
      </w:pPr>
      <w:r w:rsidRPr="000F5095">
        <w:t>Fondaparinux sodium (INN)</w:t>
      </w:r>
    </w:p>
    <w:p w:rsidR="003A369B" w:rsidRDefault="003A369B" w:rsidP="00EB5A53">
      <w:pPr>
        <w:pStyle w:val="Heading1"/>
        <w:spacing w:before="0" w:after="120" w:line="240" w:lineRule="auto"/>
        <w:jc w:val="both"/>
        <w:rPr>
          <w:rFonts w:asciiTheme="minorHAnsi" w:hAnsiTheme="minorHAnsi" w:cstheme="minorHAnsi"/>
        </w:rPr>
      </w:pPr>
      <w:r w:rsidRPr="000F5095">
        <w:rPr>
          <w:rFonts w:asciiTheme="minorHAnsi" w:hAnsiTheme="minorHAnsi" w:cstheme="minorHAnsi"/>
        </w:rPr>
        <w:t>Qualitative and quantitative composition</w:t>
      </w:r>
    </w:p>
    <w:p w:rsidR="003A369B" w:rsidRDefault="003A369B">
      <w:pPr>
        <w:spacing w:line="240" w:lineRule="auto"/>
        <w:jc w:val="both"/>
        <w:rPr>
          <w:snapToGrid w:val="0"/>
        </w:rPr>
      </w:pPr>
      <w:r w:rsidRPr="000F5095">
        <w:rPr>
          <w:snapToGrid w:val="0"/>
        </w:rPr>
        <w:t xml:space="preserve">Each pre-filled automatic safety syringe contains 2.5 mg of fondaparinux sodium in 0.5 mL, </w:t>
      </w:r>
      <w:r w:rsidRPr="000F5095">
        <w:t>5.0 mg of fondaparinux sodium in 0.4 mL, 7.5 mg of fondaparinux sodium in 0.6 mL or 10.0 mg of fondaparinux sodium in 0.8 mL</w:t>
      </w:r>
      <w:r w:rsidRPr="000F5095">
        <w:rPr>
          <w:snapToGrid w:val="0"/>
        </w:rPr>
        <w:t xml:space="preserve"> of an isotonic solution of sodium chloride and </w:t>
      </w:r>
      <w:r w:rsidR="005778CE">
        <w:rPr>
          <w:snapToGrid w:val="0"/>
        </w:rPr>
        <w:t>w</w:t>
      </w:r>
      <w:r w:rsidRPr="000F5095">
        <w:rPr>
          <w:snapToGrid w:val="0"/>
        </w:rPr>
        <w:t>ater for Injections.</w:t>
      </w:r>
    </w:p>
    <w:p w:rsidR="003A369B" w:rsidRPr="000F5095" w:rsidRDefault="003A369B">
      <w:pPr>
        <w:spacing w:line="240" w:lineRule="auto"/>
        <w:jc w:val="both"/>
        <w:rPr>
          <w:rFonts w:cstheme="minorHAnsi"/>
        </w:rPr>
      </w:pPr>
      <w:r w:rsidRPr="000F5095">
        <w:rPr>
          <w:rFonts w:cstheme="minorHAnsi"/>
          <w:lang w:val="en"/>
        </w:rPr>
        <w:t xml:space="preserve">For the full list of excipients, see Section 6.1 List of excipients. </w:t>
      </w:r>
    </w:p>
    <w:p w:rsidR="003A369B" w:rsidRDefault="003A369B" w:rsidP="00EB5A53">
      <w:pPr>
        <w:pStyle w:val="Heading1"/>
        <w:spacing w:before="0" w:after="120" w:line="240" w:lineRule="auto"/>
        <w:jc w:val="both"/>
        <w:rPr>
          <w:rFonts w:asciiTheme="minorHAnsi" w:hAnsiTheme="minorHAnsi" w:cstheme="minorHAnsi"/>
        </w:rPr>
      </w:pPr>
      <w:r w:rsidRPr="000F5095">
        <w:rPr>
          <w:rFonts w:asciiTheme="minorHAnsi" w:hAnsiTheme="minorHAnsi" w:cstheme="minorHAnsi"/>
        </w:rPr>
        <w:t>Pharmaceutical form</w:t>
      </w:r>
    </w:p>
    <w:p w:rsidR="003A369B" w:rsidRPr="000F5095" w:rsidRDefault="003A369B" w:rsidP="00EB5A53">
      <w:pPr>
        <w:spacing w:line="240" w:lineRule="auto"/>
        <w:jc w:val="both"/>
      </w:pPr>
      <w:r>
        <w:t xml:space="preserve">Solution for injection </w:t>
      </w:r>
    </w:p>
    <w:p w:rsidR="003A369B" w:rsidRPr="000F5095" w:rsidRDefault="003A369B" w:rsidP="00EB5A53">
      <w:pPr>
        <w:pStyle w:val="Heading1"/>
        <w:spacing w:before="0" w:after="120" w:line="240" w:lineRule="auto"/>
        <w:jc w:val="both"/>
        <w:rPr>
          <w:rFonts w:asciiTheme="minorHAnsi" w:hAnsiTheme="minorHAnsi" w:cstheme="minorHAnsi"/>
        </w:rPr>
      </w:pPr>
      <w:r w:rsidRPr="000F5095">
        <w:rPr>
          <w:rFonts w:asciiTheme="minorHAnsi" w:hAnsiTheme="minorHAnsi" w:cstheme="minorHAnsi"/>
        </w:rPr>
        <w:t>Clinical particulars</w:t>
      </w:r>
    </w:p>
    <w:p w:rsidR="003A369B" w:rsidRDefault="003A369B" w:rsidP="00EB5A53">
      <w:pPr>
        <w:pStyle w:val="Heading2"/>
        <w:spacing w:before="0" w:after="0" w:line="240" w:lineRule="auto"/>
        <w:jc w:val="both"/>
        <w:rPr>
          <w:rFonts w:asciiTheme="minorHAnsi" w:hAnsiTheme="minorHAnsi" w:cstheme="minorHAnsi"/>
        </w:rPr>
      </w:pPr>
      <w:r w:rsidRPr="000F5095">
        <w:rPr>
          <w:rFonts w:asciiTheme="minorHAnsi" w:hAnsiTheme="minorHAnsi" w:cstheme="minorHAnsi"/>
        </w:rPr>
        <w:t xml:space="preserve">Therapeutic indications </w:t>
      </w:r>
    </w:p>
    <w:p w:rsidR="003A369B" w:rsidRPr="000F5095" w:rsidRDefault="003A369B">
      <w:pPr>
        <w:spacing w:line="240" w:lineRule="auto"/>
        <w:jc w:val="both"/>
        <w:rPr>
          <w:snapToGrid w:val="0"/>
        </w:rPr>
      </w:pPr>
      <w:r>
        <w:rPr>
          <w:snapToGrid w:val="0"/>
        </w:rPr>
        <w:t>ARIXTRA</w:t>
      </w:r>
      <w:r w:rsidRPr="000F5095">
        <w:rPr>
          <w:snapToGrid w:val="0"/>
        </w:rPr>
        <w:t xml:space="preserve"> is indicated for the prevention of venous thromboembolic events (VTE) in patients undergoing major orthopaedic surgery of the lower limbs such as hip fracture, major knee or hip replacement surgery.</w:t>
      </w:r>
    </w:p>
    <w:p w:rsidR="003A369B" w:rsidRPr="000F5095" w:rsidRDefault="003A369B">
      <w:pPr>
        <w:autoSpaceDE w:val="0"/>
        <w:autoSpaceDN w:val="0"/>
        <w:adjustRightInd w:val="0"/>
        <w:spacing w:line="240" w:lineRule="auto"/>
        <w:jc w:val="both"/>
        <w:rPr>
          <w:rFonts w:cs="Arial"/>
          <w:sz w:val="20"/>
          <w:lang w:val="en-US"/>
        </w:rPr>
      </w:pPr>
      <w:r>
        <w:rPr>
          <w:rFonts w:cs="Arial"/>
          <w:lang w:val="en-US"/>
        </w:rPr>
        <w:t>ARIXTRA</w:t>
      </w:r>
      <w:r w:rsidRPr="000F5095">
        <w:rPr>
          <w:rFonts w:cs="Arial"/>
          <w:lang w:val="en-US"/>
        </w:rPr>
        <w:t xml:space="preserve"> is indicated for the prevention of venous thromboembolic events (VTE) in patients undergoing abdominal surgery who are at risk of thromboembolic complications.</w:t>
      </w:r>
    </w:p>
    <w:p w:rsidR="003A369B" w:rsidRPr="000F5095" w:rsidRDefault="003A369B">
      <w:pPr>
        <w:spacing w:line="240" w:lineRule="auto"/>
        <w:jc w:val="both"/>
        <w:rPr>
          <w:snapToGrid w:val="0"/>
        </w:rPr>
      </w:pPr>
      <w:r>
        <w:rPr>
          <w:snapToGrid w:val="0"/>
        </w:rPr>
        <w:t>ARIXTRA</w:t>
      </w:r>
      <w:r w:rsidRPr="000F5095">
        <w:rPr>
          <w:snapToGrid w:val="0"/>
        </w:rPr>
        <w:t xml:space="preserve"> is indicated for the treatment of acute deep venous thrombosis (DVT) and acute pulmonary embolism (PE).</w:t>
      </w:r>
    </w:p>
    <w:p w:rsidR="003A369B" w:rsidRPr="000F5095" w:rsidRDefault="003A369B">
      <w:pPr>
        <w:spacing w:line="240" w:lineRule="auto"/>
        <w:jc w:val="both"/>
        <w:rPr>
          <w:snapToGrid w:val="0"/>
        </w:rPr>
      </w:pPr>
      <w:bookmarkStart w:id="0" w:name="_Hlk483296841"/>
      <w:r>
        <w:rPr>
          <w:snapToGrid w:val="0"/>
        </w:rPr>
        <w:t>ARIXTRA</w:t>
      </w:r>
      <w:r w:rsidRPr="000F5095">
        <w:rPr>
          <w:snapToGrid w:val="0"/>
        </w:rPr>
        <w:t xml:space="preserve"> is indicated for the treatment of unstable angina or non-ST segment elevation myocardial infarction (UA/NSTEMI) in patients for whom urgent (&lt;120 min) invasive management (PCI) is not indicated.</w:t>
      </w:r>
    </w:p>
    <w:p w:rsidR="003A369B" w:rsidRPr="000F5095" w:rsidRDefault="003A369B">
      <w:pPr>
        <w:spacing w:line="240" w:lineRule="auto"/>
        <w:jc w:val="both"/>
        <w:rPr>
          <w:iCs/>
          <w:snapToGrid w:val="0"/>
        </w:rPr>
      </w:pPr>
      <w:r>
        <w:rPr>
          <w:iCs/>
          <w:snapToGrid w:val="0"/>
        </w:rPr>
        <w:t>ARIXTRA</w:t>
      </w:r>
      <w:r w:rsidRPr="000F5095">
        <w:rPr>
          <w:iCs/>
          <w:snapToGrid w:val="0"/>
        </w:rPr>
        <w:t xml:space="preserve"> is indicated for the treatment of ST segment elevation myocardial infarction (STEMI) in patients who are managed without any form of initial reperfusion therapy. </w:t>
      </w:r>
      <w:bookmarkEnd w:id="0"/>
    </w:p>
    <w:p w:rsidR="003A369B" w:rsidRDefault="003A369B" w:rsidP="00EB5A53">
      <w:pPr>
        <w:pStyle w:val="Heading2"/>
        <w:spacing w:before="0" w:after="120" w:line="240" w:lineRule="auto"/>
        <w:jc w:val="both"/>
        <w:rPr>
          <w:rFonts w:asciiTheme="minorHAnsi" w:hAnsiTheme="minorHAnsi" w:cstheme="minorHAnsi"/>
        </w:rPr>
      </w:pPr>
      <w:r w:rsidRPr="000F5095">
        <w:rPr>
          <w:rFonts w:asciiTheme="minorHAnsi" w:hAnsiTheme="minorHAnsi" w:cstheme="minorHAnsi"/>
        </w:rPr>
        <w:t xml:space="preserve">Dose and method of administration </w:t>
      </w:r>
    </w:p>
    <w:p w:rsidR="003A369B" w:rsidRPr="00EB5A53" w:rsidRDefault="003A369B">
      <w:pPr>
        <w:spacing w:after="0" w:line="240" w:lineRule="auto"/>
        <w:jc w:val="both"/>
        <w:rPr>
          <w:b/>
          <w:u w:val="single"/>
        </w:rPr>
      </w:pPr>
      <w:r w:rsidRPr="00EB5A53">
        <w:rPr>
          <w:b/>
          <w:u w:val="single"/>
        </w:rPr>
        <w:t>ADULTS</w:t>
      </w:r>
    </w:p>
    <w:p w:rsidR="003A369B" w:rsidRPr="000F5095" w:rsidRDefault="003A369B">
      <w:pPr>
        <w:spacing w:after="0" w:line="240" w:lineRule="auto"/>
        <w:jc w:val="both"/>
        <w:rPr>
          <w:b/>
        </w:rPr>
      </w:pPr>
    </w:p>
    <w:p w:rsidR="003A369B" w:rsidRPr="00736CB6" w:rsidRDefault="003A369B" w:rsidP="00736CB6">
      <w:pPr>
        <w:rPr>
          <w:b/>
          <w:sz w:val="24"/>
          <w:szCs w:val="24"/>
        </w:rPr>
      </w:pPr>
      <w:r w:rsidRPr="00736CB6">
        <w:rPr>
          <w:b/>
        </w:rPr>
        <w:t>Prophylaxis of VTE</w:t>
      </w:r>
    </w:p>
    <w:p w:rsidR="003A369B" w:rsidRPr="000F5095" w:rsidRDefault="003A369B">
      <w:pPr>
        <w:spacing w:line="240" w:lineRule="auto"/>
        <w:jc w:val="both"/>
      </w:pPr>
      <w:r w:rsidRPr="000F5095">
        <w:t xml:space="preserve">The recommended dose of </w:t>
      </w:r>
      <w:r>
        <w:t>ARIXTRA</w:t>
      </w:r>
      <w:r w:rsidRPr="000F5095">
        <w:t xml:space="preserve"> is 2.5 mg once daily administered post-operatively by subcutaneous injection.</w:t>
      </w:r>
    </w:p>
    <w:p w:rsidR="003A369B" w:rsidRPr="000F5095" w:rsidRDefault="003A369B">
      <w:pPr>
        <w:spacing w:line="240" w:lineRule="auto"/>
        <w:jc w:val="both"/>
      </w:pPr>
      <w:r w:rsidRPr="000F5095">
        <w:t xml:space="preserve">The initial dose should be given 6 hours following surgical closure provided that haemostasis has been established. Administration before 6 hours has been associated with an increased risk of major bleeding. </w:t>
      </w:r>
      <w:r w:rsidRPr="000F5095">
        <w:lastRenderedPageBreak/>
        <w:t xml:space="preserve">Treatment should be continued for at least 7 </w:t>
      </w:r>
      <w:r>
        <w:rPr>
          <w:rFonts w:cstheme="minorHAnsi"/>
        </w:rPr>
        <w:t>±</w:t>
      </w:r>
      <w:r>
        <w:t xml:space="preserve"> </w:t>
      </w:r>
      <w:r w:rsidRPr="000F5095">
        <w:t xml:space="preserve">2 days.   For orthopaedic surgery cases where the risk of VTE persists, treatment can be extended for as long as indicated up to a maximum of 31 days of therapy.  </w:t>
      </w:r>
    </w:p>
    <w:p w:rsidR="003A369B" w:rsidRDefault="003A369B">
      <w:pPr>
        <w:spacing w:line="240" w:lineRule="auto"/>
        <w:jc w:val="both"/>
      </w:pPr>
      <w:r w:rsidRPr="000F5095">
        <w:t xml:space="preserve">For information pertaining to patients aged </w:t>
      </w:r>
      <w:r w:rsidR="00E61B20">
        <w:t>≥</w:t>
      </w:r>
      <w:r w:rsidRPr="000F5095">
        <w:t xml:space="preserve"> 75 years or those with moderate or severe renal impairment, or hepatic impairment refer to the section below.</w:t>
      </w:r>
    </w:p>
    <w:p w:rsidR="003A369B" w:rsidRPr="00736CB6" w:rsidRDefault="003A369B" w:rsidP="00736CB6">
      <w:pPr>
        <w:rPr>
          <w:b/>
        </w:rPr>
      </w:pPr>
      <w:r w:rsidRPr="00736CB6">
        <w:rPr>
          <w:b/>
        </w:rPr>
        <w:t>Treatment of Acute DVT and PE</w:t>
      </w:r>
    </w:p>
    <w:p w:rsidR="003A369B" w:rsidRDefault="003A369B">
      <w:pPr>
        <w:spacing w:line="240" w:lineRule="auto"/>
        <w:jc w:val="both"/>
      </w:pPr>
      <w:r>
        <w:t xml:space="preserve">The recommended dose of ARIXTRA is 7.5 mg (patients with body weight </w:t>
      </w:r>
      <w:r w:rsidR="00E61B20">
        <w:rPr>
          <w:rFonts w:cstheme="minorHAnsi"/>
        </w:rPr>
        <w:t>≥</w:t>
      </w:r>
      <w:r>
        <w:t xml:space="preserve">50, </w:t>
      </w:r>
      <w:r>
        <w:rPr>
          <w:rFonts w:cstheme="minorHAnsi"/>
        </w:rPr>
        <w:t>≤</w:t>
      </w:r>
      <w:r>
        <w:t xml:space="preserve">100kg) once daily administered by subcutaneous injection. For patients with body weight &lt; 50 kg, the recommended dose is 5 mg. For patients with body weight &gt; 100 kg, the recommended dose is 10 mg. </w:t>
      </w:r>
    </w:p>
    <w:p w:rsidR="003A369B" w:rsidRDefault="003A369B">
      <w:pPr>
        <w:spacing w:line="240" w:lineRule="auto"/>
        <w:jc w:val="both"/>
      </w:pPr>
      <w:r>
        <w:t>Treatment should be continued for at least 5 days and until adequate oral anticoagulation is established (INR 2 to 3). Concomitant oral anticoagulation treatment should be initiated as soon as possible and usually within 72 hours.  The average duration of administration in clinical trials was 7 days.</w:t>
      </w:r>
    </w:p>
    <w:p w:rsidR="003A369B" w:rsidRDefault="003A369B">
      <w:pPr>
        <w:spacing w:line="240" w:lineRule="auto"/>
        <w:jc w:val="both"/>
      </w:pPr>
      <w:r>
        <w:t xml:space="preserve">For information pertaining to patients aged </w:t>
      </w:r>
      <w:r w:rsidR="00E61B20">
        <w:rPr>
          <w:rFonts w:cstheme="minorHAnsi"/>
        </w:rPr>
        <w:t>≥</w:t>
      </w:r>
      <w:r>
        <w:t xml:space="preserve"> 75 years or those with moderate or severe renal impairment, or hepatic impairment refer to the section below.</w:t>
      </w:r>
    </w:p>
    <w:p w:rsidR="003A369B" w:rsidRPr="00EB5A53" w:rsidRDefault="003A369B" w:rsidP="00736CB6">
      <w:r w:rsidRPr="00EB5A53">
        <w:t>Treatment of unstable angina/non-ST segment elevation myocardial infarction (UA/NSTEMI)</w:t>
      </w:r>
    </w:p>
    <w:p w:rsidR="003A369B" w:rsidRDefault="003A369B">
      <w:pPr>
        <w:spacing w:line="240" w:lineRule="auto"/>
        <w:jc w:val="both"/>
      </w:pPr>
      <w:r>
        <w:t>The recommended dose of fondaparinux is 2.5 mg once daily, administered by subcutaneous injection. Treatment should be initiated as soon as possible following diagnosis and continued for up to a maximum of 8 days or until hospital discharge if that occurs earlier.</w:t>
      </w:r>
    </w:p>
    <w:p w:rsidR="003A369B" w:rsidRDefault="003A369B">
      <w:pPr>
        <w:spacing w:line="240" w:lineRule="auto"/>
        <w:jc w:val="both"/>
      </w:pPr>
      <w:r>
        <w:t xml:space="preserve">If a patient is to undergo percutaneous coronary intervention (PCI), unfractionated heparin (UFH) as per standard practice should be administered during PCI, taking into account the patient’s potential risk of bleeding, including the time since the last dose of fondaparinux (see </w:t>
      </w:r>
      <w:r w:rsidR="00E06F7B">
        <w:t>Section 4.4 Special warnings and precautions for use</w:t>
      </w:r>
      <w:r>
        <w:t>). The timing of restarting subcutaneous fondaparinux after sheath removal should be based on clinical judgment. In the pivotal UA/NSTEMI clinical trial, treatment with fondaparinux was restarted no earlier than 2 hours after sheath removal.</w:t>
      </w:r>
    </w:p>
    <w:p w:rsidR="003A369B" w:rsidRPr="00736CB6" w:rsidRDefault="003A369B" w:rsidP="00736CB6">
      <w:pPr>
        <w:rPr>
          <w:b/>
        </w:rPr>
      </w:pPr>
      <w:r w:rsidRPr="00736CB6">
        <w:rPr>
          <w:b/>
        </w:rPr>
        <w:t>Treatment of ST segment elevation myocardial infarction (STEMI)</w:t>
      </w:r>
    </w:p>
    <w:p w:rsidR="003A369B" w:rsidRDefault="003A369B">
      <w:pPr>
        <w:spacing w:line="240" w:lineRule="auto"/>
        <w:jc w:val="both"/>
      </w:pPr>
      <w:r>
        <w:t>The recommended dose of fondaparinux is 2.5 mg once daily. The first dose of fondaparinux is administered intravenously and subsequent doses are administered by subcutaneous injection. Treatment should be initiated as soon as possible following diagnosis and continued for up to a maximum of 8 days or until hospital discharge if that occurs earlier.</w:t>
      </w:r>
    </w:p>
    <w:p w:rsidR="003A369B" w:rsidRDefault="003A369B">
      <w:pPr>
        <w:spacing w:line="240" w:lineRule="auto"/>
        <w:jc w:val="both"/>
      </w:pPr>
      <w:r>
        <w:t xml:space="preserve">If a patient is to undergo non-primary PCI, unfractionated heparin (UFH) as per standard practice should be administered during PCI, taking into account the patient’s potential risk of bleeding, including the time since the last dose of fondaparinux (see </w:t>
      </w:r>
      <w:r w:rsidR="00E06F7B">
        <w:t>Section 4.4 Special warnings and precautions for use</w:t>
      </w:r>
      <w:r>
        <w:t>). The timing of restarting subcutaneous fondaparinux after sheath removal should be based on clinical judgment. In the pivotal STEMI clinical trial, treatment with fondaparinux was restarted no earlier than 3 hours after sheath removal.</w:t>
      </w:r>
    </w:p>
    <w:p w:rsidR="003A369B" w:rsidRPr="00736CB6" w:rsidRDefault="003A369B" w:rsidP="00736CB6">
      <w:pPr>
        <w:pageBreakBefore/>
        <w:rPr>
          <w:b/>
        </w:rPr>
      </w:pPr>
      <w:r w:rsidRPr="00736CB6">
        <w:rPr>
          <w:b/>
        </w:rPr>
        <w:lastRenderedPageBreak/>
        <w:t>Patients who are to undergo coronary artery bypass graft (CABG) surgery</w:t>
      </w:r>
    </w:p>
    <w:p w:rsidR="003A369B" w:rsidRDefault="003A369B">
      <w:pPr>
        <w:spacing w:line="240" w:lineRule="auto"/>
        <w:jc w:val="both"/>
      </w:pPr>
      <w:r>
        <w:t>In STEMI or UA/NSTEMI patients who are to undergo coronary artery bypass graft (CABG) surgery, fondaparinux where possible, should not be given during the 24 hours before surgery and may be restarted 48 hours post-operatively.</w:t>
      </w:r>
    </w:p>
    <w:p w:rsidR="003A369B" w:rsidRPr="00EB5A53" w:rsidRDefault="003A369B">
      <w:pPr>
        <w:spacing w:line="240" w:lineRule="auto"/>
        <w:jc w:val="both"/>
        <w:rPr>
          <w:b/>
          <w:u w:val="single"/>
        </w:rPr>
      </w:pPr>
      <w:r w:rsidRPr="00EB5A53">
        <w:rPr>
          <w:b/>
          <w:u w:val="single"/>
        </w:rPr>
        <w:t>SPECIAL POPULATIONS</w:t>
      </w:r>
    </w:p>
    <w:p w:rsidR="003A369B" w:rsidRPr="00736CB6" w:rsidRDefault="003A369B" w:rsidP="00736CB6">
      <w:pPr>
        <w:rPr>
          <w:b/>
        </w:rPr>
      </w:pPr>
      <w:r w:rsidRPr="00736CB6">
        <w:rPr>
          <w:b/>
        </w:rPr>
        <w:t>Prophylaxis of VTE</w:t>
      </w:r>
    </w:p>
    <w:p w:rsidR="00EB5A53" w:rsidRDefault="003A369B" w:rsidP="00EB5A53">
      <w:pPr>
        <w:spacing w:after="0" w:line="240" w:lineRule="auto"/>
        <w:jc w:val="both"/>
        <w:rPr>
          <w:u w:val="single"/>
        </w:rPr>
      </w:pPr>
      <w:r>
        <w:t xml:space="preserve">Timing of the first ARIXTRA dose requires strict adherence in patients </w:t>
      </w:r>
      <w:r w:rsidR="00E61B20">
        <w:t>≥</w:t>
      </w:r>
      <w:r>
        <w:t>75 years (elderly patients may show reduced elimination of fondaparinux), and/or with body weight &lt; 50kg and/or with moderate renal impairment (creatinine clearance 30 – 50 mL/min).</w:t>
      </w:r>
    </w:p>
    <w:p w:rsidR="003A369B" w:rsidRPr="00EB5A53" w:rsidRDefault="003A369B" w:rsidP="00EB5A53">
      <w:pPr>
        <w:spacing w:after="0" w:line="240" w:lineRule="auto"/>
        <w:jc w:val="both"/>
        <w:rPr>
          <w:u w:val="single"/>
        </w:rPr>
      </w:pPr>
      <w:r>
        <w:t>The first ARIXTRA dose should be given not earlier than 6 hours following surgical closure. The injection should not be given unless haemostasis has been established (see</w:t>
      </w:r>
      <w:r w:rsidR="00E06F7B">
        <w:t xml:space="preserve"> Section 4.4 Special warnings and precautions for use</w:t>
      </w:r>
      <w:r>
        <w:t>). No dosage adjustment is necessary.</w:t>
      </w:r>
    </w:p>
    <w:p w:rsidR="005778CE" w:rsidRDefault="005778CE">
      <w:pPr>
        <w:spacing w:line="240" w:lineRule="auto"/>
        <w:jc w:val="both"/>
      </w:pPr>
    </w:p>
    <w:p w:rsidR="003A369B" w:rsidRPr="00736CB6" w:rsidRDefault="003A369B" w:rsidP="00736CB6">
      <w:pPr>
        <w:rPr>
          <w:b/>
        </w:rPr>
      </w:pPr>
      <w:r w:rsidRPr="00736CB6">
        <w:rPr>
          <w:b/>
        </w:rPr>
        <w:t>Paediatrics</w:t>
      </w:r>
    </w:p>
    <w:p w:rsidR="003A369B" w:rsidRDefault="003A369B" w:rsidP="003A369B">
      <w:pPr>
        <w:spacing w:line="240" w:lineRule="auto"/>
        <w:jc w:val="both"/>
      </w:pPr>
      <w:r>
        <w:t xml:space="preserve">The safety and efficacy of fondaparinux in patients under the age of 17 years has not been established.  </w:t>
      </w:r>
    </w:p>
    <w:p w:rsidR="003A369B" w:rsidRPr="00736CB6" w:rsidRDefault="003A369B" w:rsidP="00736CB6">
      <w:pPr>
        <w:rPr>
          <w:b/>
        </w:rPr>
      </w:pPr>
      <w:r w:rsidRPr="00736CB6">
        <w:rPr>
          <w:b/>
        </w:rPr>
        <w:t xml:space="preserve">Use in </w:t>
      </w:r>
      <w:r w:rsidR="0082533C" w:rsidRPr="00736CB6">
        <w:rPr>
          <w:b/>
        </w:rPr>
        <w:t xml:space="preserve">the </w:t>
      </w:r>
      <w:r w:rsidRPr="00736CB6">
        <w:rPr>
          <w:b/>
        </w:rPr>
        <w:t>Elderly</w:t>
      </w:r>
    </w:p>
    <w:p w:rsidR="003A369B" w:rsidRDefault="003A369B" w:rsidP="003A369B">
      <w:pPr>
        <w:spacing w:line="240" w:lineRule="auto"/>
        <w:jc w:val="both"/>
      </w:pPr>
      <w:r>
        <w:t xml:space="preserve">Elderly patients aged </w:t>
      </w:r>
      <w:r w:rsidR="00E61B20">
        <w:t>≥</w:t>
      </w:r>
      <w:r>
        <w:t>75 years including those with a body weight &lt; 50 kg and/or moderate renal impairment (creatinine clearance 30-50 mL/min) may show reduced elimination of fondaparinux.  This may increase the risk of haemorrhage in elderly patients receiving ARIXTRA (see</w:t>
      </w:r>
      <w:r w:rsidR="00E06F7B">
        <w:t xml:space="preserve"> Section 4.4 Special warnings and precautions for use</w:t>
      </w:r>
      <w:r>
        <w:t>).</w:t>
      </w:r>
    </w:p>
    <w:p w:rsidR="003A369B" w:rsidRPr="00736CB6" w:rsidRDefault="003A369B" w:rsidP="00736CB6">
      <w:pPr>
        <w:rPr>
          <w:b/>
        </w:rPr>
      </w:pPr>
      <w:r w:rsidRPr="00736CB6">
        <w:rPr>
          <w:b/>
        </w:rPr>
        <w:t>Low body weight</w:t>
      </w:r>
    </w:p>
    <w:p w:rsidR="003A369B" w:rsidRDefault="003A369B" w:rsidP="003A369B">
      <w:pPr>
        <w:spacing w:line="240" w:lineRule="auto"/>
        <w:jc w:val="both"/>
      </w:pPr>
      <w:r>
        <w:t xml:space="preserve">Patients with body weight &lt;50 kg are at increased risk of bleeding. Elimination of fondaparinux decreases with weight. Fondaparinux should be used with caution in these patients (see </w:t>
      </w:r>
      <w:r w:rsidR="00E06F7B">
        <w:t>Section 4.4 Special warnings and precautions for use</w:t>
      </w:r>
      <w:r>
        <w:t>).</w:t>
      </w:r>
    </w:p>
    <w:p w:rsidR="003A369B" w:rsidRPr="00736CB6" w:rsidRDefault="003A369B" w:rsidP="00736CB6">
      <w:pPr>
        <w:rPr>
          <w:b/>
        </w:rPr>
      </w:pPr>
      <w:r w:rsidRPr="00736CB6">
        <w:rPr>
          <w:b/>
        </w:rPr>
        <w:t>Use in Patients with Moderate/Severe Renal Impairment</w:t>
      </w:r>
    </w:p>
    <w:p w:rsidR="003A369B" w:rsidRPr="000F5095" w:rsidRDefault="003A369B" w:rsidP="003A369B">
      <w:pPr>
        <w:spacing w:after="0" w:line="240" w:lineRule="auto"/>
        <w:jc w:val="both"/>
        <w:rPr>
          <w:b/>
          <w:i/>
        </w:rPr>
      </w:pPr>
    </w:p>
    <w:p w:rsidR="003A369B" w:rsidRPr="00EB5A53" w:rsidRDefault="003A369B" w:rsidP="003A369B">
      <w:pPr>
        <w:spacing w:after="0" w:line="240" w:lineRule="auto"/>
        <w:jc w:val="both"/>
        <w:rPr>
          <w:b/>
        </w:rPr>
      </w:pPr>
      <w:r w:rsidRPr="00EB5A53">
        <w:rPr>
          <w:b/>
        </w:rPr>
        <w:t>Prophylaxis of VTE and Treatment of Acute DVT and PE</w:t>
      </w:r>
    </w:p>
    <w:p w:rsidR="003A369B" w:rsidRPr="000F5095" w:rsidRDefault="003A369B" w:rsidP="003A369B">
      <w:pPr>
        <w:spacing w:line="240" w:lineRule="auto"/>
        <w:jc w:val="both"/>
        <w:rPr>
          <w:i/>
        </w:rPr>
      </w:pPr>
      <w:r>
        <w:t>ARIXTRA should not be used in patients with severe renal impairment (creatinine clearance less than 30 mL/min) (see</w:t>
      </w:r>
      <w:r w:rsidR="00E06F7B">
        <w:t xml:space="preserve"> Section 4.3 Contraindications</w:t>
      </w:r>
      <w:r>
        <w:t>).</w:t>
      </w:r>
    </w:p>
    <w:p w:rsidR="003A369B" w:rsidRDefault="003A369B" w:rsidP="003A369B">
      <w:pPr>
        <w:spacing w:line="240" w:lineRule="auto"/>
        <w:jc w:val="both"/>
      </w:pPr>
      <w:r>
        <w:t xml:space="preserve">In patients with moderate renal impairment, ARIXTRA should be used with care (see </w:t>
      </w:r>
      <w:r w:rsidR="00E06F7B">
        <w:t>Section 4.4 Special warnings and precautions for use</w:t>
      </w:r>
      <w:r>
        <w:t>).</w:t>
      </w:r>
    </w:p>
    <w:p w:rsidR="003A369B" w:rsidRPr="00EB5A53" w:rsidRDefault="003A369B" w:rsidP="003A369B">
      <w:pPr>
        <w:spacing w:after="0" w:line="240" w:lineRule="auto"/>
        <w:jc w:val="both"/>
        <w:rPr>
          <w:b/>
        </w:rPr>
      </w:pPr>
      <w:r w:rsidRPr="00EB5A53">
        <w:rPr>
          <w:b/>
        </w:rPr>
        <w:t>Treatment of UA/NSTEMI and STEMI</w:t>
      </w:r>
    </w:p>
    <w:p w:rsidR="003A369B" w:rsidRDefault="003A369B" w:rsidP="003A369B">
      <w:pPr>
        <w:spacing w:line="240" w:lineRule="auto"/>
        <w:jc w:val="both"/>
      </w:pPr>
      <w:r>
        <w:t xml:space="preserve">Fondaparinux should not be used in patients with creatinine clearance &lt;30 mL/min (see </w:t>
      </w:r>
      <w:r w:rsidR="00E06F7B">
        <w:t>Section 4.3 Contraindications</w:t>
      </w:r>
      <w:r>
        <w:t>). No dosage reduction is required for patients with creatinine clearance &gt; 30 mL/min.</w:t>
      </w:r>
    </w:p>
    <w:p w:rsidR="003A369B" w:rsidRPr="00736CB6" w:rsidRDefault="003A369B" w:rsidP="00736CB6">
      <w:pPr>
        <w:pageBreakBefore/>
        <w:rPr>
          <w:b/>
        </w:rPr>
      </w:pPr>
      <w:r w:rsidRPr="00736CB6">
        <w:rPr>
          <w:b/>
        </w:rPr>
        <w:lastRenderedPageBreak/>
        <w:t>Use in Patients with Hepatic Impairment</w:t>
      </w:r>
    </w:p>
    <w:p w:rsidR="003A369B" w:rsidRDefault="003A369B" w:rsidP="003A369B">
      <w:pPr>
        <w:spacing w:line="240" w:lineRule="auto"/>
        <w:jc w:val="both"/>
      </w:pPr>
      <w:r>
        <w:t xml:space="preserve">No dosing adjustment is necessary in patients with mild to moderate hepatic impairment since there is no evidence that fondaparinux is metabolised or eliminated in bile. In patients with severe hepatic impairment, ARIXTRA should be used with care (see </w:t>
      </w:r>
      <w:r w:rsidR="00E06F7B">
        <w:t>Section 4.4 Special warnings and precautions for use</w:t>
      </w:r>
      <w:r>
        <w:t>).</w:t>
      </w:r>
    </w:p>
    <w:p w:rsidR="003A369B" w:rsidRDefault="003A369B" w:rsidP="003A369B">
      <w:pPr>
        <w:spacing w:after="0" w:line="240" w:lineRule="auto"/>
        <w:jc w:val="both"/>
        <w:rPr>
          <w:b/>
        </w:rPr>
      </w:pPr>
    </w:p>
    <w:p w:rsidR="003A369B" w:rsidRPr="00EB5A53" w:rsidRDefault="003A369B" w:rsidP="003A369B">
      <w:pPr>
        <w:spacing w:after="0" w:line="240" w:lineRule="auto"/>
        <w:jc w:val="both"/>
        <w:rPr>
          <w:b/>
          <w:u w:val="single"/>
        </w:rPr>
      </w:pPr>
      <w:r w:rsidRPr="00EB5A53">
        <w:rPr>
          <w:b/>
          <w:u w:val="single"/>
        </w:rPr>
        <w:t>METHOD OF ADMINISTRATION</w:t>
      </w:r>
    </w:p>
    <w:p w:rsidR="003A369B" w:rsidRDefault="003A369B" w:rsidP="003A369B">
      <w:pPr>
        <w:spacing w:line="240" w:lineRule="auto"/>
        <w:jc w:val="both"/>
      </w:pPr>
      <w:r>
        <w:t>ARIXTRA is administered by subcutaneous injection. It contains no antimicrobial agent. ARIXTRA is for single use in one patient only. Discard any residue.</w:t>
      </w:r>
    </w:p>
    <w:p w:rsidR="003A369B" w:rsidRDefault="003A369B" w:rsidP="003A369B">
      <w:pPr>
        <w:spacing w:line="240" w:lineRule="auto"/>
        <w:jc w:val="both"/>
      </w:pPr>
      <w:r>
        <w:t xml:space="preserve">Parenteral solutions should be inspected visually for particulate matter and discoloration prior to administration. </w:t>
      </w:r>
    </w:p>
    <w:p w:rsidR="003A369B" w:rsidRPr="000F5095" w:rsidRDefault="003A369B" w:rsidP="003A369B">
      <w:pPr>
        <w:spacing w:after="0" w:line="240" w:lineRule="auto"/>
        <w:jc w:val="both"/>
        <w:rPr>
          <w:i/>
          <w:u w:val="single"/>
        </w:rPr>
      </w:pPr>
      <w:r w:rsidRPr="000F5095">
        <w:rPr>
          <w:i/>
          <w:u w:val="single"/>
        </w:rPr>
        <w:t>Intravenous administration (first dose in patients with STEMI only)</w:t>
      </w:r>
    </w:p>
    <w:p w:rsidR="003A369B" w:rsidRPr="000F5095" w:rsidRDefault="003A369B" w:rsidP="003A369B">
      <w:pPr>
        <w:spacing w:line="240" w:lineRule="auto"/>
        <w:jc w:val="both"/>
        <w:rPr>
          <w:rFonts w:cstheme="minorHAnsi"/>
        </w:rPr>
      </w:pPr>
      <w:r>
        <w:t xml:space="preserve">Intravenous administration should be through an existing intravenous line either directly or using a small volume (25 or 50 mL) 0.9% saline mini-bag. To avoid the loss of medicinal product when using the pre-filled syringe do not expel the air bubble from the syringe before the injection. The intravenous tubing should be well flushed with saline after injection to ensure that all of the medicinal product is </w:t>
      </w:r>
      <w:r w:rsidRPr="000F5095">
        <w:rPr>
          <w:rFonts w:cstheme="minorHAnsi"/>
        </w:rPr>
        <w:t>administered. If administered via a mini-bag, the infusion should be given over 1 to 2 minutes.</w:t>
      </w:r>
    </w:p>
    <w:p w:rsidR="003A369B" w:rsidRPr="000F5095" w:rsidRDefault="003A369B" w:rsidP="003A369B">
      <w:pPr>
        <w:spacing w:after="0" w:line="240" w:lineRule="auto"/>
        <w:jc w:val="both"/>
        <w:rPr>
          <w:i/>
          <w:u w:val="single"/>
        </w:rPr>
      </w:pPr>
      <w:r w:rsidRPr="000F5095">
        <w:rPr>
          <w:i/>
          <w:u w:val="single"/>
        </w:rPr>
        <w:t>Subcutaneous administration</w:t>
      </w:r>
    </w:p>
    <w:p w:rsidR="003A369B" w:rsidRDefault="003A369B" w:rsidP="003A369B">
      <w:pPr>
        <w:spacing w:line="240" w:lineRule="auto"/>
        <w:jc w:val="both"/>
      </w:pPr>
      <w:r>
        <w:t>The sites of subcutaneous injection should alternate between the left and the right anterolateral and left and right posterolateral abdominal wall. To avoid the loss of medicinal product when using the pre-filled syringe do not expel the air bubble from the syringe before injection. The whole length of the needle should be inserted between the thumb and forefinger (see figures 2 and 3). The skin fold should be held throughout the injection.</w:t>
      </w:r>
    </w:p>
    <w:p w:rsidR="003A369B" w:rsidRDefault="003A369B" w:rsidP="003A369B">
      <w:pPr>
        <w:spacing w:line="240" w:lineRule="auto"/>
        <w:jc w:val="both"/>
      </w:pPr>
      <w:r>
        <w:t>ARIXTRA is intended for use under a physician’s guidance. Patient’s may self-inject only if their physician determines that it is appropriate, and with medical follow-up as necessary. Proper training in subcutaneous injection technique should be provided. Instructions for self-administration are included below.</w:t>
      </w:r>
    </w:p>
    <w:p w:rsidR="003A369B" w:rsidRPr="000F5095" w:rsidRDefault="003A369B" w:rsidP="00736CB6">
      <w:pPr>
        <w:rPr>
          <w:lang w:val="en-US"/>
        </w:rPr>
      </w:pPr>
      <w:r w:rsidRPr="000F5095">
        <w:rPr>
          <w:lang w:val="en-US"/>
        </w:rPr>
        <w:t>The parts of the syringe with an automatic needle protection system are:</w:t>
      </w:r>
    </w:p>
    <w:p w:rsidR="003A369B" w:rsidRPr="000F5095" w:rsidRDefault="003A369B" w:rsidP="00736CB6">
      <w:pPr>
        <w:keepLines/>
        <w:numPr>
          <w:ilvl w:val="0"/>
          <w:numId w:val="25"/>
        </w:numPr>
        <w:spacing w:after="0" w:line="240" w:lineRule="auto"/>
        <w:jc w:val="both"/>
        <w:rPr>
          <w:rFonts w:eastAsia="Times New Roman" w:cstheme="minorHAnsi"/>
          <w:szCs w:val="20"/>
          <w:lang w:val="en-US"/>
        </w:rPr>
      </w:pPr>
      <w:r w:rsidRPr="000F5095">
        <w:rPr>
          <w:rFonts w:eastAsia="Times New Roman" w:cstheme="minorHAnsi"/>
          <w:szCs w:val="20"/>
          <w:lang w:val="en-US"/>
        </w:rPr>
        <w:t>Needle shield</w:t>
      </w:r>
    </w:p>
    <w:p w:rsidR="003A369B" w:rsidRPr="000F5095" w:rsidRDefault="003A369B" w:rsidP="00736CB6">
      <w:pPr>
        <w:keepLines/>
        <w:numPr>
          <w:ilvl w:val="0"/>
          <w:numId w:val="25"/>
        </w:numPr>
        <w:spacing w:after="0" w:line="240" w:lineRule="auto"/>
        <w:jc w:val="both"/>
        <w:rPr>
          <w:rFonts w:eastAsia="Times New Roman" w:cstheme="minorHAnsi"/>
          <w:szCs w:val="20"/>
          <w:lang w:val="en-US"/>
        </w:rPr>
      </w:pPr>
      <w:r w:rsidRPr="000F5095">
        <w:rPr>
          <w:rFonts w:eastAsia="Times New Roman" w:cstheme="minorHAnsi"/>
          <w:szCs w:val="20"/>
          <w:lang w:val="en-US"/>
        </w:rPr>
        <w:t>Plunger</w:t>
      </w:r>
    </w:p>
    <w:p w:rsidR="003A369B" w:rsidRPr="000F5095" w:rsidRDefault="003A369B" w:rsidP="00736CB6">
      <w:pPr>
        <w:keepLines/>
        <w:numPr>
          <w:ilvl w:val="0"/>
          <w:numId w:val="25"/>
        </w:numPr>
        <w:spacing w:after="0" w:line="240" w:lineRule="auto"/>
        <w:jc w:val="both"/>
        <w:rPr>
          <w:rFonts w:eastAsia="Times New Roman" w:cstheme="minorHAnsi"/>
          <w:szCs w:val="20"/>
          <w:lang w:val="en-US"/>
        </w:rPr>
      </w:pPr>
      <w:r w:rsidRPr="000F5095">
        <w:rPr>
          <w:rFonts w:eastAsia="Times New Roman" w:cstheme="minorHAnsi"/>
          <w:szCs w:val="20"/>
          <w:lang w:val="en-US"/>
        </w:rPr>
        <w:t>Finger-grip</w:t>
      </w:r>
    </w:p>
    <w:p w:rsidR="003A369B" w:rsidRPr="000F5095" w:rsidRDefault="003A369B" w:rsidP="00736CB6">
      <w:pPr>
        <w:keepLines/>
        <w:numPr>
          <w:ilvl w:val="0"/>
          <w:numId w:val="25"/>
        </w:numPr>
        <w:spacing w:after="0" w:line="240" w:lineRule="auto"/>
        <w:jc w:val="both"/>
        <w:rPr>
          <w:rFonts w:eastAsia="Times New Roman" w:cstheme="minorHAnsi"/>
          <w:szCs w:val="20"/>
          <w:lang w:val="en-US"/>
        </w:rPr>
      </w:pPr>
      <w:r w:rsidRPr="000F5095">
        <w:rPr>
          <w:rFonts w:eastAsia="Times New Roman" w:cstheme="minorHAnsi"/>
          <w:szCs w:val="20"/>
          <w:lang w:val="en-US"/>
        </w:rPr>
        <w:t>Security sleeve</w:t>
      </w:r>
    </w:p>
    <w:p w:rsidR="003A369B" w:rsidRPr="00705BAB" w:rsidRDefault="003A369B" w:rsidP="00736CB6">
      <w:pPr>
        <w:rPr>
          <w:snapToGrid w:val="0"/>
          <w:highlight w:val="yellow"/>
          <w:lang w:val="en-US"/>
        </w:rPr>
      </w:pPr>
    </w:p>
    <w:tbl>
      <w:tblPr>
        <w:tblW w:w="0" w:type="auto"/>
        <w:tblLayout w:type="fixed"/>
        <w:tblCellMar>
          <w:left w:w="70" w:type="dxa"/>
          <w:right w:w="70" w:type="dxa"/>
        </w:tblCellMar>
        <w:tblLook w:val="0000" w:firstRow="0" w:lastRow="0" w:firstColumn="0" w:lastColumn="0" w:noHBand="0" w:noVBand="0"/>
      </w:tblPr>
      <w:tblGrid>
        <w:gridCol w:w="4939"/>
      </w:tblGrid>
      <w:tr w:rsidR="003A369B" w:rsidRPr="000F5095" w:rsidTr="003A369B">
        <w:trPr>
          <w:trHeight w:val="1424"/>
        </w:trPr>
        <w:tc>
          <w:tcPr>
            <w:tcW w:w="4939" w:type="dxa"/>
          </w:tcPr>
          <w:p w:rsidR="003A369B" w:rsidRPr="000F5095" w:rsidRDefault="003A369B" w:rsidP="003A369B">
            <w:pPr>
              <w:tabs>
                <w:tab w:val="left" w:pos="0"/>
              </w:tabs>
              <w:spacing w:after="120" w:line="240" w:lineRule="auto"/>
              <w:ind w:right="71"/>
              <w:rPr>
                <w:rFonts w:ascii="Times New Roman" w:eastAsia="Times New Roman" w:hAnsi="Times New Roman" w:cs="Times New Roman"/>
                <w:b/>
                <w:i/>
                <w:sz w:val="20"/>
                <w:szCs w:val="24"/>
              </w:rPr>
            </w:pPr>
            <w:r w:rsidRPr="00EC1891">
              <w:rPr>
                <w:rFonts w:ascii="Times New Roman" w:eastAsia="Times New Roman" w:hAnsi="Times New Roman" w:cs="Times New Roman"/>
                <w:b/>
                <w:i/>
                <w:noProof/>
                <w:sz w:val="20"/>
                <w:szCs w:val="24"/>
                <w:lang w:eastAsia="en-AU"/>
              </w:rPr>
              <w:drawing>
                <wp:inline distT="0" distB="0" distL="0" distR="0" wp14:anchorId="68D3203F" wp14:editId="0689101E">
                  <wp:extent cx="2924175" cy="904875"/>
                  <wp:effectExtent l="19050" t="19050" r="28575" b="28575"/>
                  <wp:docPr id="2" name="Picture 2"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iteupperbodygreyplunger"/>
                          <pic:cNvPicPr>
                            <a:picLocks noChangeAspect="1" noChangeArrowheads="1"/>
                          </pic:cNvPicPr>
                        </pic:nvPicPr>
                        <pic:blipFill>
                          <a:blip r:embed="rId7" cstate="print"/>
                          <a:srcRect/>
                          <a:stretch>
                            <a:fillRect/>
                          </a:stretch>
                        </pic:blipFill>
                        <pic:spPr bwMode="auto">
                          <a:xfrm>
                            <a:off x="0" y="0"/>
                            <a:ext cx="2924175" cy="904875"/>
                          </a:xfrm>
                          <a:prstGeom prst="rect">
                            <a:avLst/>
                          </a:prstGeom>
                          <a:noFill/>
                          <a:ln w="12700" cmpd="sng">
                            <a:solidFill>
                              <a:srgbClr val="FF0000"/>
                            </a:solidFill>
                            <a:miter lim="800000"/>
                            <a:headEnd/>
                            <a:tailEnd/>
                          </a:ln>
                          <a:effectLst/>
                        </pic:spPr>
                      </pic:pic>
                    </a:graphicData>
                  </a:graphic>
                </wp:inline>
              </w:drawing>
            </w:r>
          </w:p>
          <w:p w:rsidR="003A369B" w:rsidRPr="000F5095" w:rsidRDefault="003A369B" w:rsidP="003A369B">
            <w:pPr>
              <w:tabs>
                <w:tab w:val="left" w:pos="0"/>
              </w:tabs>
              <w:spacing w:after="120" w:line="240" w:lineRule="auto"/>
              <w:ind w:right="71"/>
              <w:jc w:val="center"/>
              <w:rPr>
                <w:rFonts w:ascii="Arial" w:eastAsia="Times New Roman" w:hAnsi="Arial" w:cs="Times New Roman"/>
                <w:b/>
                <w:i/>
                <w:sz w:val="20"/>
                <w:szCs w:val="20"/>
              </w:rPr>
            </w:pPr>
          </w:p>
        </w:tc>
      </w:tr>
    </w:tbl>
    <w:p w:rsidR="003A369B" w:rsidRPr="00705BAB" w:rsidRDefault="003A369B" w:rsidP="003A369B">
      <w:pPr>
        <w:keepLines/>
        <w:spacing w:after="120" w:line="240" w:lineRule="auto"/>
        <w:jc w:val="both"/>
        <w:rPr>
          <w:rFonts w:ascii="Arial" w:eastAsia="Times New Roman" w:hAnsi="Arial" w:cs="Times New Roman"/>
          <w:snapToGrid w:val="0"/>
          <w:szCs w:val="20"/>
          <w:highlight w:val="yellow"/>
        </w:rPr>
      </w:pPr>
    </w:p>
    <w:tbl>
      <w:tblPr>
        <w:tblW w:w="0" w:type="auto"/>
        <w:tblLayout w:type="fixed"/>
        <w:tblCellMar>
          <w:left w:w="70" w:type="dxa"/>
          <w:right w:w="70" w:type="dxa"/>
        </w:tblCellMar>
        <w:tblLook w:val="0000" w:firstRow="0" w:lastRow="0" w:firstColumn="0" w:lastColumn="0" w:noHBand="0" w:noVBand="0"/>
      </w:tblPr>
      <w:tblGrid>
        <w:gridCol w:w="6874"/>
        <w:gridCol w:w="2410"/>
      </w:tblGrid>
      <w:tr w:rsidR="003A369B" w:rsidRPr="00705BAB" w:rsidTr="003A369B">
        <w:tc>
          <w:tcPr>
            <w:tcW w:w="6874" w:type="dxa"/>
          </w:tcPr>
          <w:p w:rsidR="003A369B" w:rsidRPr="000F5095" w:rsidRDefault="003A369B" w:rsidP="003A369B">
            <w:pPr>
              <w:keepLines/>
              <w:spacing w:after="120" w:line="240" w:lineRule="auto"/>
              <w:jc w:val="both"/>
              <w:rPr>
                <w:rFonts w:eastAsia="Times New Roman" w:cstheme="minorHAnsi"/>
                <w:szCs w:val="20"/>
              </w:rPr>
            </w:pPr>
            <w:r w:rsidRPr="000F5095">
              <w:rPr>
                <w:rFonts w:eastAsia="Times New Roman" w:cstheme="minorHAnsi"/>
                <w:szCs w:val="20"/>
              </w:rPr>
              <w:lastRenderedPageBreak/>
              <w:t xml:space="preserve">To use the </w:t>
            </w:r>
            <w:r>
              <w:rPr>
                <w:rFonts w:eastAsia="Times New Roman" w:cstheme="minorHAnsi"/>
                <w:szCs w:val="20"/>
              </w:rPr>
              <w:t>ARIXTRA</w:t>
            </w:r>
            <w:r w:rsidRPr="000F5095">
              <w:rPr>
                <w:rFonts w:eastAsia="Times New Roman" w:cstheme="minorHAnsi"/>
                <w:szCs w:val="20"/>
              </w:rPr>
              <w:t xml:space="preserve"> syringe, remove the needle shield, by first twisting it and then pulling it straight off (figure 1).  </w:t>
            </w:r>
          </w:p>
          <w:p w:rsidR="003A369B" w:rsidRPr="000F5095" w:rsidRDefault="003A369B" w:rsidP="003A369B">
            <w:pPr>
              <w:keepLines/>
              <w:spacing w:after="120" w:line="240" w:lineRule="auto"/>
              <w:jc w:val="both"/>
              <w:rPr>
                <w:rFonts w:eastAsia="Times New Roman" w:cstheme="minorHAnsi"/>
                <w:szCs w:val="20"/>
              </w:rPr>
            </w:pPr>
            <w:r w:rsidRPr="000F5095">
              <w:rPr>
                <w:rFonts w:eastAsia="Times New Roman" w:cstheme="minorHAnsi"/>
                <w:szCs w:val="20"/>
              </w:rPr>
              <w:t>Discard the needle shield.</w:t>
            </w:r>
          </w:p>
        </w:tc>
        <w:tc>
          <w:tcPr>
            <w:tcW w:w="2410" w:type="dxa"/>
          </w:tcPr>
          <w:p w:rsidR="003A369B" w:rsidRPr="000F5095" w:rsidRDefault="003A369B" w:rsidP="003A369B">
            <w:pPr>
              <w:spacing w:before="120" w:after="120" w:line="240" w:lineRule="auto"/>
              <w:jc w:val="center"/>
              <w:rPr>
                <w:rFonts w:eastAsia="Times New Roman" w:cstheme="minorHAnsi"/>
                <w:b/>
                <w:szCs w:val="20"/>
              </w:rPr>
            </w:pPr>
            <w:r w:rsidRPr="000F5095">
              <w:rPr>
                <w:rFonts w:eastAsia="Times New Roman" w:cstheme="minorHAnsi"/>
                <w:b/>
                <w:noProof/>
                <w:szCs w:val="20"/>
                <w:lang w:eastAsia="en-AU"/>
              </w:rPr>
              <w:drawing>
                <wp:inline distT="0" distB="0" distL="0" distR="0" wp14:anchorId="533C12B5" wp14:editId="42A6925B">
                  <wp:extent cx="1438275" cy="1047750"/>
                  <wp:effectExtent l="19050" t="0" r="9525" b="0"/>
                  <wp:docPr id="3" name="Picture 3" descr="Remove Cap 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move Cap Shot 4"/>
                          <pic:cNvPicPr>
                            <a:picLocks noChangeAspect="1" noChangeArrowheads="1"/>
                          </pic:cNvPicPr>
                        </pic:nvPicPr>
                        <pic:blipFill>
                          <a:blip r:embed="rId8" cstate="print"/>
                          <a:srcRect/>
                          <a:stretch>
                            <a:fillRect/>
                          </a:stretch>
                        </pic:blipFill>
                        <pic:spPr bwMode="auto">
                          <a:xfrm>
                            <a:off x="0" y="0"/>
                            <a:ext cx="1438275" cy="1047750"/>
                          </a:xfrm>
                          <a:prstGeom prst="rect">
                            <a:avLst/>
                          </a:prstGeom>
                          <a:noFill/>
                          <a:ln w="9525">
                            <a:noFill/>
                            <a:miter lim="800000"/>
                            <a:headEnd/>
                            <a:tailEnd/>
                          </a:ln>
                        </pic:spPr>
                      </pic:pic>
                    </a:graphicData>
                  </a:graphic>
                </wp:inline>
              </w:drawing>
            </w:r>
            <w:r w:rsidRPr="000F5095">
              <w:rPr>
                <w:rFonts w:eastAsia="Times New Roman" w:cstheme="minorHAnsi"/>
                <w:b/>
                <w:szCs w:val="20"/>
              </w:rPr>
              <w:br/>
            </w:r>
            <w:r w:rsidRPr="000F5095">
              <w:rPr>
                <w:rFonts w:eastAsia="Times New Roman" w:cstheme="minorHAnsi"/>
                <w:b/>
                <w:sz w:val="20"/>
                <w:szCs w:val="20"/>
              </w:rPr>
              <w:t>Figure 1</w:t>
            </w:r>
          </w:p>
        </w:tc>
      </w:tr>
      <w:tr w:rsidR="003A369B" w:rsidRPr="00705BAB" w:rsidTr="003A369B">
        <w:trPr>
          <w:cantSplit/>
          <w:trHeight w:val="80"/>
        </w:trPr>
        <w:tc>
          <w:tcPr>
            <w:tcW w:w="9284" w:type="dxa"/>
            <w:gridSpan w:val="2"/>
          </w:tcPr>
          <w:p w:rsidR="003A369B" w:rsidRPr="00705BAB" w:rsidRDefault="003A369B" w:rsidP="003A369B">
            <w:pPr>
              <w:keepLines/>
              <w:spacing w:after="120" w:line="240" w:lineRule="auto"/>
              <w:jc w:val="both"/>
              <w:rPr>
                <w:rFonts w:ascii="Arial" w:eastAsia="Times New Roman" w:hAnsi="Arial" w:cs="Times New Roman"/>
                <w:szCs w:val="20"/>
                <w:highlight w:val="yellow"/>
              </w:rPr>
            </w:pPr>
          </w:p>
        </w:tc>
      </w:tr>
      <w:tr w:rsidR="003A369B" w:rsidRPr="000F5095" w:rsidTr="003A369B">
        <w:tc>
          <w:tcPr>
            <w:tcW w:w="6874" w:type="dxa"/>
          </w:tcPr>
          <w:p w:rsidR="003A369B" w:rsidRPr="000F5095" w:rsidRDefault="003A369B" w:rsidP="003A369B">
            <w:pPr>
              <w:keepLines/>
              <w:spacing w:after="0" w:line="240" w:lineRule="auto"/>
              <w:jc w:val="both"/>
              <w:rPr>
                <w:rFonts w:eastAsia="Times New Roman" w:cstheme="minorHAnsi"/>
                <w:szCs w:val="20"/>
              </w:rPr>
            </w:pPr>
            <w:r w:rsidRPr="000F5095">
              <w:rPr>
                <w:rFonts w:eastAsia="Times New Roman" w:cstheme="minorHAnsi"/>
                <w:szCs w:val="20"/>
              </w:rPr>
              <w:t>For subcutaneous administration:</w:t>
            </w:r>
          </w:p>
          <w:p w:rsidR="003A369B" w:rsidRPr="000F5095" w:rsidRDefault="003A369B" w:rsidP="003A369B">
            <w:pPr>
              <w:keepLines/>
              <w:spacing w:after="0" w:line="240" w:lineRule="auto"/>
              <w:jc w:val="both"/>
              <w:rPr>
                <w:rFonts w:eastAsia="Times New Roman" w:cstheme="minorHAnsi"/>
                <w:szCs w:val="20"/>
              </w:rPr>
            </w:pPr>
            <w:r w:rsidRPr="000F5095">
              <w:rPr>
                <w:rFonts w:eastAsia="Times New Roman" w:cstheme="minorHAnsi"/>
                <w:szCs w:val="20"/>
              </w:rPr>
              <w:t>Gently pinch the skin that has been cleaned to make a fold. Hold the fold between the thumb and the forefinger during the entire injection (figure 2).</w:t>
            </w:r>
          </w:p>
        </w:tc>
        <w:tc>
          <w:tcPr>
            <w:tcW w:w="2410" w:type="dxa"/>
          </w:tcPr>
          <w:p w:rsidR="003A369B" w:rsidRPr="000F5095" w:rsidRDefault="003A369B" w:rsidP="003A369B">
            <w:pPr>
              <w:spacing w:before="120" w:after="0" w:line="240" w:lineRule="auto"/>
              <w:jc w:val="center"/>
              <w:rPr>
                <w:rFonts w:eastAsia="Times New Roman" w:cstheme="minorHAnsi"/>
                <w:b/>
                <w:szCs w:val="20"/>
              </w:rPr>
            </w:pPr>
            <w:r w:rsidRPr="000F5095">
              <w:rPr>
                <w:rFonts w:eastAsia="Times New Roman" w:cstheme="minorHAnsi"/>
                <w:b/>
                <w:noProof/>
                <w:szCs w:val="20"/>
                <w:lang w:eastAsia="en-AU"/>
              </w:rPr>
              <w:drawing>
                <wp:inline distT="0" distB="0" distL="0" distR="0" wp14:anchorId="0B49766B" wp14:editId="1C5093AE">
                  <wp:extent cx="1438275" cy="1047750"/>
                  <wp:effectExtent l="19050" t="0" r="9525" b="0"/>
                  <wp:docPr id="4" name="Picture 4" descr="Pinch Skin Sho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nch Skin Shot 5"/>
                          <pic:cNvPicPr>
                            <a:picLocks noChangeAspect="1" noChangeArrowheads="1"/>
                          </pic:cNvPicPr>
                        </pic:nvPicPr>
                        <pic:blipFill>
                          <a:blip r:embed="rId9" cstate="print"/>
                          <a:srcRect/>
                          <a:stretch>
                            <a:fillRect/>
                          </a:stretch>
                        </pic:blipFill>
                        <pic:spPr bwMode="auto">
                          <a:xfrm>
                            <a:off x="0" y="0"/>
                            <a:ext cx="1438275" cy="1047750"/>
                          </a:xfrm>
                          <a:prstGeom prst="rect">
                            <a:avLst/>
                          </a:prstGeom>
                          <a:noFill/>
                          <a:ln w="9525">
                            <a:noFill/>
                            <a:miter lim="800000"/>
                            <a:headEnd/>
                            <a:tailEnd/>
                          </a:ln>
                        </pic:spPr>
                      </pic:pic>
                    </a:graphicData>
                  </a:graphic>
                </wp:inline>
              </w:drawing>
            </w:r>
            <w:r w:rsidRPr="000F5095">
              <w:rPr>
                <w:rFonts w:eastAsia="Times New Roman" w:cstheme="minorHAnsi"/>
                <w:b/>
                <w:szCs w:val="20"/>
              </w:rPr>
              <w:br/>
            </w:r>
            <w:r w:rsidRPr="000F5095">
              <w:rPr>
                <w:rFonts w:eastAsia="Times New Roman" w:cstheme="minorHAnsi"/>
                <w:b/>
                <w:sz w:val="20"/>
                <w:szCs w:val="20"/>
              </w:rPr>
              <w:t>Figure 2</w:t>
            </w:r>
          </w:p>
        </w:tc>
      </w:tr>
      <w:tr w:rsidR="003A369B" w:rsidRPr="000F5095" w:rsidTr="003A369B">
        <w:tc>
          <w:tcPr>
            <w:tcW w:w="6874" w:type="dxa"/>
          </w:tcPr>
          <w:p w:rsidR="003A369B" w:rsidRPr="000F5095" w:rsidRDefault="003A369B" w:rsidP="003A369B">
            <w:pPr>
              <w:keepLines/>
              <w:spacing w:after="120" w:line="240" w:lineRule="auto"/>
              <w:jc w:val="both"/>
              <w:rPr>
                <w:rFonts w:eastAsia="Times New Roman" w:cstheme="minorHAnsi"/>
                <w:szCs w:val="20"/>
              </w:rPr>
            </w:pPr>
            <w:r w:rsidRPr="000F5095">
              <w:rPr>
                <w:rFonts w:eastAsia="Times New Roman" w:cstheme="minorHAnsi"/>
                <w:szCs w:val="20"/>
              </w:rPr>
              <w:t>Insert the full length of the needle perpendicularly (at an angle of 90°) into the skin fold (figure 3).</w:t>
            </w:r>
          </w:p>
        </w:tc>
        <w:tc>
          <w:tcPr>
            <w:tcW w:w="2410" w:type="dxa"/>
          </w:tcPr>
          <w:p w:rsidR="003A369B" w:rsidRPr="000F5095" w:rsidRDefault="003A369B" w:rsidP="003A369B">
            <w:pPr>
              <w:spacing w:before="120" w:after="120" w:line="240" w:lineRule="auto"/>
              <w:jc w:val="center"/>
              <w:rPr>
                <w:rFonts w:eastAsia="Times New Roman" w:cstheme="minorHAnsi"/>
                <w:b/>
                <w:szCs w:val="20"/>
              </w:rPr>
            </w:pPr>
            <w:r w:rsidRPr="000F5095">
              <w:rPr>
                <w:rFonts w:eastAsia="Times New Roman" w:cstheme="minorHAnsi"/>
                <w:b/>
                <w:noProof/>
                <w:szCs w:val="20"/>
                <w:lang w:eastAsia="en-AU"/>
              </w:rPr>
              <w:drawing>
                <wp:inline distT="0" distB="0" distL="0" distR="0" wp14:anchorId="5A3E4583" wp14:editId="21FDA17C">
                  <wp:extent cx="1438275" cy="1047750"/>
                  <wp:effectExtent l="19050" t="0" r="9525" b="0"/>
                  <wp:docPr id="5" name="Picture 5" descr="Sho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ot 6"/>
                          <pic:cNvPicPr>
                            <a:picLocks noChangeAspect="1" noChangeArrowheads="1"/>
                          </pic:cNvPicPr>
                        </pic:nvPicPr>
                        <pic:blipFill>
                          <a:blip r:embed="rId10" cstate="print"/>
                          <a:srcRect/>
                          <a:stretch>
                            <a:fillRect/>
                          </a:stretch>
                        </pic:blipFill>
                        <pic:spPr bwMode="auto">
                          <a:xfrm>
                            <a:off x="0" y="0"/>
                            <a:ext cx="1438275" cy="1047750"/>
                          </a:xfrm>
                          <a:prstGeom prst="rect">
                            <a:avLst/>
                          </a:prstGeom>
                          <a:noFill/>
                          <a:ln w="9525">
                            <a:noFill/>
                            <a:miter lim="800000"/>
                            <a:headEnd/>
                            <a:tailEnd/>
                          </a:ln>
                        </pic:spPr>
                      </pic:pic>
                    </a:graphicData>
                  </a:graphic>
                </wp:inline>
              </w:drawing>
            </w:r>
            <w:r w:rsidRPr="000F5095">
              <w:rPr>
                <w:rFonts w:eastAsia="Times New Roman" w:cstheme="minorHAnsi"/>
                <w:b/>
                <w:szCs w:val="20"/>
              </w:rPr>
              <w:br/>
            </w:r>
            <w:r w:rsidRPr="000F5095">
              <w:rPr>
                <w:rFonts w:eastAsia="Times New Roman" w:cstheme="minorHAnsi"/>
                <w:b/>
                <w:sz w:val="20"/>
                <w:szCs w:val="20"/>
              </w:rPr>
              <w:t>Figure 3</w:t>
            </w:r>
          </w:p>
        </w:tc>
      </w:tr>
      <w:tr w:rsidR="003A369B" w:rsidRPr="000F5095" w:rsidTr="003A369B">
        <w:tc>
          <w:tcPr>
            <w:tcW w:w="6874" w:type="dxa"/>
          </w:tcPr>
          <w:p w:rsidR="003A369B" w:rsidRPr="000F5095" w:rsidRDefault="003A369B" w:rsidP="003A369B">
            <w:pPr>
              <w:keepLines/>
              <w:spacing w:after="120" w:line="240" w:lineRule="auto"/>
              <w:jc w:val="both"/>
              <w:rPr>
                <w:rFonts w:eastAsia="Times New Roman" w:cstheme="minorHAnsi"/>
                <w:szCs w:val="20"/>
              </w:rPr>
            </w:pPr>
            <w:r w:rsidRPr="000F5095">
              <w:rPr>
                <w:rFonts w:eastAsia="Times New Roman" w:cstheme="minorHAnsi"/>
                <w:szCs w:val="20"/>
              </w:rPr>
              <w:t>Inject ALL of the content of the syringe by pressing down on the plunger as far as it goes (figure 4), and then release it: the needle will withdraw automatically from the skin into a security sleeve and then will be locked permanently (figure 5).</w:t>
            </w:r>
          </w:p>
        </w:tc>
        <w:tc>
          <w:tcPr>
            <w:tcW w:w="2410" w:type="dxa"/>
          </w:tcPr>
          <w:p w:rsidR="003A369B" w:rsidRPr="000F5095" w:rsidRDefault="003A369B" w:rsidP="003A369B">
            <w:pPr>
              <w:spacing w:before="120" w:after="120" w:line="240" w:lineRule="auto"/>
              <w:jc w:val="center"/>
              <w:rPr>
                <w:rFonts w:eastAsia="Times New Roman" w:cstheme="minorHAnsi"/>
                <w:i/>
                <w:szCs w:val="20"/>
              </w:rPr>
            </w:pPr>
            <w:r w:rsidRPr="000F5095">
              <w:rPr>
                <w:rFonts w:eastAsia="Times New Roman" w:cstheme="minorHAnsi"/>
                <w:i/>
                <w:noProof/>
                <w:szCs w:val="20"/>
                <w:lang w:eastAsia="en-AU"/>
              </w:rPr>
              <w:drawing>
                <wp:inline distT="0" distB="0" distL="0" distR="0" wp14:anchorId="1A28E54B" wp14:editId="2DF14085">
                  <wp:extent cx="1438275" cy="1047750"/>
                  <wp:effectExtent l="19050" t="0" r="9525" b="0"/>
                  <wp:docPr id="6" name="Picture 6" descr="Inject Contents Sho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ject Contents Shot 7"/>
                          <pic:cNvPicPr>
                            <a:picLocks noChangeAspect="1" noChangeArrowheads="1"/>
                          </pic:cNvPicPr>
                        </pic:nvPicPr>
                        <pic:blipFill>
                          <a:blip r:embed="rId11" cstate="print"/>
                          <a:srcRect/>
                          <a:stretch>
                            <a:fillRect/>
                          </a:stretch>
                        </pic:blipFill>
                        <pic:spPr bwMode="auto">
                          <a:xfrm>
                            <a:off x="0" y="0"/>
                            <a:ext cx="1438275" cy="1047750"/>
                          </a:xfrm>
                          <a:prstGeom prst="rect">
                            <a:avLst/>
                          </a:prstGeom>
                          <a:noFill/>
                          <a:ln w="9525">
                            <a:noFill/>
                            <a:miter lim="800000"/>
                            <a:headEnd/>
                            <a:tailEnd/>
                          </a:ln>
                        </pic:spPr>
                      </pic:pic>
                    </a:graphicData>
                  </a:graphic>
                </wp:inline>
              </w:drawing>
            </w:r>
            <w:r w:rsidRPr="000F5095">
              <w:rPr>
                <w:rFonts w:eastAsia="Times New Roman" w:cstheme="minorHAnsi"/>
                <w:i/>
                <w:szCs w:val="20"/>
              </w:rPr>
              <w:br/>
            </w:r>
            <w:r w:rsidRPr="000F5095">
              <w:rPr>
                <w:rFonts w:eastAsia="Times New Roman" w:cstheme="minorHAnsi"/>
                <w:b/>
                <w:sz w:val="20"/>
                <w:szCs w:val="20"/>
              </w:rPr>
              <w:t>Figure 4</w:t>
            </w:r>
          </w:p>
        </w:tc>
      </w:tr>
      <w:tr w:rsidR="003A369B" w:rsidRPr="000F5095" w:rsidTr="003A369B">
        <w:trPr>
          <w:cantSplit/>
        </w:trPr>
        <w:tc>
          <w:tcPr>
            <w:tcW w:w="6874" w:type="dxa"/>
          </w:tcPr>
          <w:p w:rsidR="003A369B" w:rsidRPr="000F5095" w:rsidRDefault="003A369B" w:rsidP="003A369B">
            <w:pPr>
              <w:spacing w:before="60" w:after="60" w:line="240" w:lineRule="auto"/>
              <w:rPr>
                <w:rFonts w:eastAsia="Times New Roman" w:cstheme="minorHAnsi"/>
                <w:b/>
                <w:i/>
                <w:sz w:val="20"/>
                <w:szCs w:val="20"/>
              </w:rPr>
            </w:pPr>
          </w:p>
        </w:tc>
        <w:tc>
          <w:tcPr>
            <w:tcW w:w="2410" w:type="dxa"/>
          </w:tcPr>
          <w:p w:rsidR="003A369B" w:rsidRPr="000F5095" w:rsidRDefault="003A369B" w:rsidP="003A369B">
            <w:pPr>
              <w:spacing w:before="120" w:after="120" w:line="240" w:lineRule="auto"/>
              <w:jc w:val="center"/>
              <w:rPr>
                <w:rFonts w:eastAsia="Times New Roman" w:cstheme="minorHAnsi"/>
                <w:i/>
                <w:sz w:val="20"/>
                <w:szCs w:val="20"/>
              </w:rPr>
            </w:pPr>
            <w:r w:rsidRPr="000F5095">
              <w:rPr>
                <w:rFonts w:eastAsia="Times New Roman" w:cstheme="minorHAnsi"/>
                <w:b/>
                <w:noProof/>
                <w:sz w:val="20"/>
                <w:szCs w:val="20"/>
                <w:lang w:eastAsia="en-AU"/>
              </w:rPr>
              <w:drawing>
                <wp:inline distT="0" distB="0" distL="0" distR="0" wp14:anchorId="1B44F2BA" wp14:editId="3F209D31">
                  <wp:extent cx="1438275" cy="1047750"/>
                  <wp:effectExtent l="19050" t="0" r="9525" b="0"/>
                  <wp:docPr id="7" name="Picture 7" descr="Syringe Retract Sho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yringe Retract Shot 8"/>
                          <pic:cNvPicPr>
                            <a:picLocks noChangeAspect="1" noChangeArrowheads="1"/>
                          </pic:cNvPicPr>
                        </pic:nvPicPr>
                        <pic:blipFill>
                          <a:blip r:embed="rId12" cstate="print"/>
                          <a:srcRect/>
                          <a:stretch>
                            <a:fillRect/>
                          </a:stretch>
                        </pic:blipFill>
                        <pic:spPr bwMode="auto">
                          <a:xfrm>
                            <a:off x="0" y="0"/>
                            <a:ext cx="1438275" cy="1047750"/>
                          </a:xfrm>
                          <a:prstGeom prst="rect">
                            <a:avLst/>
                          </a:prstGeom>
                          <a:noFill/>
                          <a:ln w="9525">
                            <a:noFill/>
                            <a:miter lim="800000"/>
                            <a:headEnd/>
                            <a:tailEnd/>
                          </a:ln>
                        </pic:spPr>
                      </pic:pic>
                    </a:graphicData>
                  </a:graphic>
                </wp:inline>
              </w:drawing>
            </w:r>
            <w:r w:rsidRPr="000F5095">
              <w:rPr>
                <w:rFonts w:eastAsia="Times New Roman" w:cstheme="minorHAnsi"/>
                <w:b/>
                <w:sz w:val="20"/>
                <w:szCs w:val="20"/>
              </w:rPr>
              <w:br/>
              <w:t>Figure 5</w:t>
            </w:r>
          </w:p>
        </w:tc>
      </w:tr>
      <w:tr w:rsidR="003A369B" w:rsidRPr="000F5095" w:rsidTr="003A369B">
        <w:trPr>
          <w:cantSplit/>
        </w:trPr>
        <w:tc>
          <w:tcPr>
            <w:tcW w:w="9284" w:type="dxa"/>
            <w:gridSpan w:val="2"/>
          </w:tcPr>
          <w:p w:rsidR="003A369B" w:rsidRPr="000F5095" w:rsidRDefault="003A369B">
            <w:pPr>
              <w:keepLines/>
              <w:spacing w:after="120" w:line="240" w:lineRule="auto"/>
              <w:jc w:val="both"/>
              <w:rPr>
                <w:rFonts w:eastAsia="Times New Roman" w:cstheme="minorHAnsi"/>
                <w:szCs w:val="20"/>
              </w:rPr>
            </w:pPr>
            <w:r w:rsidRPr="000F5095">
              <w:rPr>
                <w:rFonts w:eastAsia="Times New Roman" w:cstheme="minorHAnsi"/>
                <w:szCs w:val="20"/>
              </w:rPr>
              <w:t xml:space="preserve">Discard the used syringe in a safe manner.  </w:t>
            </w:r>
          </w:p>
        </w:tc>
      </w:tr>
    </w:tbl>
    <w:p w:rsidR="003A369B" w:rsidRPr="000F5095" w:rsidRDefault="003A369B" w:rsidP="00EB5A53">
      <w:pPr>
        <w:spacing w:line="240" w:lineRule="auto"/>
        <w:jc w:val="both"/>
        <w:rPr>
          <w:rFonts w:cstheme="minorHAnsi"/>
        </w:rPr>
      </w:pPr>
    </w:p>
    <w:p w:rsidR="003A369B" w:rsidRDefault="003A369B" w:rsidP="00736CB6">
      <w:pPr>
        <w:pStyle w:val="Heading2"/>
        <w:pageBreakBefore/>
        <w:spacing w:before="0" w:after="120" w:line="240" w:lineRule="auto"/>
        <w:jc w:val="both"/>
        <w:rPr>
          <w:rFonts w:asciiTheme="minorHAnsi" w:hAnsiTheme="minorHAnsi" w:cstheme="minorHAnsi"/>
        </w:rPr>
      </w:pPr>
      <w:r w:rsidRPr="000F5095">
        <w:rPr>
          <w:rFonts w:asciiTheme="minorHAnsi" w:hAnsiTheme="minorHAnsi" w:cstheme="minorHAnsi"/>
        </w:rPr>
        <w:lastRenderedPageBreak/>
        <w:t>Contraindications</w:t>
      </w:r>
    </w:p>
    <w:p w:rsidR="003A369B" w:rsidRPr="00EB5A53" w:rsidRDefault="003A369B" w:rsidP="00EB5A53">
      <w:pPr>
        <w:pStyle w:val="ListBullet"/>
        <w:numPr>
          <w:ilvl w:val="0"/>
          <w:numId w:val="19"/>
        </w:numPr>
        <w:spacing w:line="240" w:lineRule="auto"/>
        <w:jc w:val="both"/>
        <w:rPr>
          <w:rFonts w:asciiTheme="minorHAnsi" w:hAnsiTheme="minorHAnsi" w:cstheme="minorHAnsi"/>
        </w:rPr>
      </w:pPr>
      <w:r w:rsidRPr="000F5095">
        <w:rPr>
          <w:rFonts w:ascii="Calibri" w:hAnsi="Calibri" w:cs="Calibri"/>
        </w:rPr>
        <w:t xml:space="preserve">Severe renal impairment (creatinine clearance &lt;30 mL/min). Fondaparinux is eliminated primarily by the kidneys and the risk of haemorrhage may increase with renal impairment. Also see </w:t>
      </w:r>
      <w:r w:rsidR="00E06F7B" w:rsidRPr="00EB5A53">
        <w:rPr>
          <w:rFonts w:asciiTheme="minorHAnsi" w:hAnsiTheme="minorHAnsi" w:cstheme="minorHAnsi"/>
        </w:rPr>
        <w:t>Section 4.4 Special warnings and precautions for use</w:t>
      </w:r>
      <w:r w:rsidRPr="00EB5A53">
        <w:rPr>
          <w:rFonts w:asciiTheme="minorHAnsi" w:hAnsiTheme="minorHAnsi" w:cstheme="minorHAnsi"/>
        </w:rPr>
        <w:t xml:space="preserve"> </w:t>
      </w:r>
      <w:r w:rsidR="00E06F7B">
        <w:rPr>
          <w:rFonts w:asciiTheme="minorHAnsi" w:hAnsiTheme="minorHAnsi" w:cstheme="minorHAnsi"/>
        </w:rPr>
        <w:t>–</w:t>
      </w:r>
      <w:r w:rsidRPr="00EB5A53">
        <w:rPr>
          <w:rFonts w:asciiTheme="minorHAnsi" w:hAnsiTheme="minorHAnsi" w:cstheme="minorHAnsi"/>
        </w:rPr>
        <w:t xml:space="preserve"> </w:t>
      </w:r>
      <w:r w:rsidR="00E06F7B">
        <w:rPr>
          <w:rFonts w:asciiTheme="minorHAnsi" w:hAnsiTheme="minorHAnsi" w:cstheme="minorHAnsi"/>
        </w:rPr>
        <w:t>Use in renal Impairment</w:t>
      </w:r>
      <w:r w:rsidRPr="00EB5A53">
        <w:rPr>
          <w:rFonts w:asciiTheme="minorHAnsi" w:hAnsiTheme="minorHAnsi" w:cstheme="minorHAnsi"/>
        </w:rPr>
        <w:t xml:space="preserve">. </w:t>
      </w:r>
    </w:p>
    <w:p w:rsidR="003A369B" w:rsidRPr="000F5095" w:rsidRDefault="003A369B" w:rsidP="00EB5A53">
      <w:pPr>
        <w:pStyle w:val="ListBullet"/>
        <w:numPr>
          <w:ilvl w:val="0"/>
          <w:numId w:val="19"/>
        </w:numPr>
        <w:spacing w:line="240" w:lineRule="auto"/>
        <w:jc w:val="both"/>
        <w:rPr>
          <w:rFonts w:ascii="Calibri" w:hAnsi="Calibri" w:cs="Calibri"/>
        </w:rPr>
      </w:pPr>
      <w:r w:rsidRPr="000F5095">
        <w:rPr>
          <w:rFonts w:ascii="Calibri" w:hAnsi="Calibri" w:cs="Calibri"/>
        </w:rPr>
        <w:t>Active major bleeding</w:t>
      </w:r>
    </w:p>
    <w:p w:rsidR="003A369B" w:rsidRPr="000F5095" w:rsidRDefault="003A369B" w:rsidP="00EB5A53">
      <w:pPr>
        <w:pStyle w:val="ListBullet"/>
        <w:numPr>
          <w:ilvl w:val="0"/>
          <w:numId w:val="19"/>
        </w:numPr>
        <w:spacing w:line="240" w:lineRule="auto"/>
        <w:jc w:val="both"/>
        <w:rPr>
          <w:rFonts w:ascii="Calibri" w:hAnsi="Calibri" w:cs="Calibri"/>
        </w:rPr>
      </w:pPr>
      <w:r w:rsidRPr="000F5095">
        <w:rPr>
          <w:rFonts w:ascii="Calibri" w:hAnsi="Calibri" w:cs="Calibri"/>
        </w:rPr>
        <w:t>Known hypersensitivity to fondaparinux sodium</w:t>
      </w:r>
    </w:p>
    <w:p w:rsidR="003A369B" w:rsidRPr="000F5095" w:rsidRDefault="003A369B" w:rsidP="00EB5A53">
      <w:pPr>
        <w:pStyle w:val="ListBullet"/>
        <w:numPr>
          <w:ilvl w:val="0"/>
          <w:numId w:val="19"/>
        </w:numPr>
        <w:spacing w:line="240" w:lineRule="auto"/>
        <w:jc w:val="both"/>
        <w:rPr>
          <w:rFonts w:ascii="Calibri" w:hAnsi="Calibri" w:cs="Calibri"/>
        </w:rPr>
      </w:pPr>
      <w:r w:rsidRPr="000F5095">
        <w:rPr>
          <w:rFonts w:ascii="Calibri" w:hAnsi="Calibri" w:cs="Calibri"/>
        </w:rPr>
        <w:t>Acute bacterial endocarditis</w:t>
      </w:r>
    </w:p>
    <w:p w:rsidR="003A369B" w:rsidRDefault="003A369B" w:rsidP="00EB5A53">
      <w:pPr>
        <w:pStyle w:val="Heading2"/>
        <w:spacing w:before="0" w:after="120" w:line="240" w:lineRule="auto"/>
        <w:jc w:val="both"/>
        <w:rPr>
          <w:rFonts w:asciiTheme="minorHAnsi" w:hAnsiTheme="minorHAnsi" w:cstheme="minorHAnsi"/>
        </w:rPr>
      </w:pPr>
      <w:r w:rsidRPr="000F5095">
        <w:rPr>
          <w:rFonts w:asciiTheme="minorHAnsi" w:hAnsiTheme="minorHAnsi" w:cstheme="minorHAnsi"/>
        </w:rPr>
        <w:t>Special warnings and precautions for use</w:t>
      </w:r>
    </w:p>
    <w:p w:rsidR="003A369B" w:rsidRPr="00F74049" w:rsidRDefault="003A369B">
      <w:pPr>
        <w:spacing w:line="240" w:lineRule="auto"/>
        <w:jc w:val="both"/>
      </w:pPr>
      <w:r w:rsidRPr="00F74049">
        <w:t>Fondaparinux must not be administered intramuscularly</w:t>
      </w:r>
      <w:r>
        <w:t>.</w:t>
      </w:r>
    </w:p>
    <w:p w:rsidR="003A369B" w:rsidRPr="000F5095" w:rsidRDefault="003A369B" w:rsidP="00EB5A53">
      <w:pPr>
        <w:pStyle w:val="Heading3"/>
        <w:spacing w:before="0" w:line="240" w:lineRule="auto"/>
        <w:ind w:left="0"/>
        <w:jc w:val="both"/>
        <w:rPr>
          <w:rFonts w:asciiTheme="minorHAnsi" w:hAnsiTheme="minorHAnsi" w:cstheme="minorHAnsi"/>
        </w:rPr>
      </w:pPr>
      <w:r w:rsidRPr="000F5095">
        <w:rPr>
          <w:rFonts w:asciiTheme="minorHAnsi" w:hAnsiTheme="minorHAnsi" w:cstheme="minorHAnsi"/>
        </w:rPr>
        <w:t>Haemorrhage</w:t>
      </w:r>
    </w:p>
    <w:p w:rsidR="003A369B" w:rsidRPr="000F5095" w:rsidRDefault="003A369B">
      <w:pPr>
        <w:spacing w:line="240" w:lineRule="auto"/>
        <w:jc w:val="both"/>
        <w:rPr>
          <w:rFonts w:cstheme="minorHAnsi"/>
          <w:snapToGrid w:val="0"/>
        </w:rPr>
      </w:pPr>
      <w:r>
        <w:rPr>
          <w:rFonts w:cstheme="minorHAnsi"/>
          <w:snapToGrid w:val="0"/>
        </w:rPr>
        <w:t>ARIXTRA</w:t>
      </w:r>
      <w:r w:rsidRPr="000F5095">
        <w:rPr>
          <w:rFonts w:cstheme="minorHAnsi"/>
          <w:snapToGrid w:val="0"/>
        </w:rPr>
        <w:t>, like other anti-thrombotic medicinal products, must be used with caution in patients who have an increased risk of haemorrhage, such as those with congenital or acquired bleeding disorders, active ulcerative gastrointestinal disease, recent intracranial haemorrhage, shortly after brain, spinal or ophthalmic surgery, and in patients treated concomitantly with anti-platelet drugs.  If co-administration is essential, close monitoring may be appropriate. In the pivotal clinical studies, the percentages of patients with adjudicated bleeding events are shown in the ADVERSE EFFECTS section (</w:t>
      </w:r>
      <w:r w:rsidRPr="000F5095">
        <w:rPr>
          <w:rFonts w:cstheme="minorHAnsi"/>
          <w:snapToGrid w:val="0"/>
        </w:rPr>
        <w:fldChar w:fldCharType="begin"/>
      </w:r>
      <w:r w:rsidRPr="000F5095">
        <w:rPr>
          <w:rFonts w:cstheme="minorHAnsi"/>
          <w:snapToGrid w:val="0"/>
        </w:rPr>
        <w:instrText xml:space="preserve"> REF _Ref483220931 \h  \* MERGEFORMAT </w:instrText>
      </w:r>
      <w:r w:rsidRPr="000F5095">
        <w:rPr>
          <w:rFonts w:cstheme="minorHAnsi"/>
          <w:snapToGrid w:val="0"/>
        </w:rPr>
      </w:r>
      <w:r w:rsidRPr="000F5095">
        <w:rPr>
          <w:rFonts w:cstheme="minorHAnsi"/>
          <w:snapToGrid w:val="0"/>
        </w:rPr>
        <w:fldChar w:fldCharType="separate"/>
      </w:r>
      <w:r>
        <w:rPr>
          <w:rFonts w:cstheme="minorHAnsi"/>
        </w:rPr>
        <w:t>Table 1</w:t>
      </w:r>
      <w:r w:rsidRPr="000F5095">
        <w:rPr>
          <w:rFonts w:cstheme="minorHAnsi"/>
          <w:snapToGrid w:val="0"/>
        </w:rPr>
        <w:fldChar w:fldCharType="end"/>
      </w:r>
      <w:r w:rsidRPr="000F5095">
        <w:rPr>
          <w:rFonts w:cstheme="minorHAnsi"/>
          <w:snapToGrid w:val="0"/>
        </w:rPr>
        <w:t xml:space="preserve"> to </w:t>
      </w:r>
      <w:r w:rsidRPr="000F5095">
        <w:rPr>
          <w:rFonts w:cstheme="minorHAnsi"/>
          <w:snapToGrid w:val="0"/>
        </w:rPr>
        <w:fldChar w:fldCharType="begin"/>
      </w:r>
      <w:r w:rsidRPr="000F5095">
        <w:rPr>
          <w:rFonts w:cstheme="minorHAnsi"/>
          <w:snapToGrid w:val="0"/>
        </w:rPr>
        <w:instrText xml:space="preserve"> REF _Ref483220960 \h  \* MERGEFORMAT </w:instrText>
      </w:r>
      <w:r w:rsidRPr="000F5095">
        <w:rPr>
          <w:rFonts w:cstheme="minorHAnsi"/>
          <w:snapToGrid w:val="0"/>
        </w:rPr>
      </w:r>
      <w:r w:rsidRPr="000F5095">
        <w:rPr>
          <w:rFonts w:cstheme="minorHAnsi"/>
          <w:snapToGrid w:val="0"/>
        </w:rPr>
        <w:fldChar w:fldCharType="separate"/>
      </w:r>
      <w:r>
        <w:rPr>
          <w:rFonts w:cstheme="minorHAnsi"/>
        </w:rPr>
        <w:t>Table 3</w:t>
      </w:r>
      <w:r w:rsidRPr="000F5095">
        <w:rPr>
          <w:rFonts w:cstheme="minorHAnsi"/>
          <w:snapToGrid w:val="0"/>
        </w:rPr>
        <w:fldChar w:fldCharType="end"/>
      </w:r>
      <w:r w:rsidRPr="000F5095">
        <w:rPr>
          <w:rFonts w:cstheme="minorHAnsi"/>
          <w:snapToGrid w:val="0"/>
        </w:rPr>
        <w:t xml:space="preserve">). </w:t>
      </w:r>
    </w:p>
    <w:p w:rsidR="003A369B" w:rsidRPr="00736CB6" w:rsidRDefault="003A369B" w:rsidP="00736CB6">
      <w:pPr>
        <w:rPr>
          <w:b/>
        </w:rPr>
      </w:pPr>
      <w:r w:rsidRPr="00736CB6">
        <w:rPr>
          <w:b/>
        </w:rPr>
        <w:t>Prevention and treatment of VTE</w:t>
      </w:r>
    </w:p>
    <w:p w:rsidR="003A369B" w:rsidRPr="000F5095" w:rsidRDefault="003A369B" w:rsidP="00EB5A53">
      <w:pPr>
        <w:pStyle w:val="listindentnospace"/>
        <w:ind w:left="0"/>
        <w:jc w:val="both"/>
        <w:rPr>
          <w:rFonts w:asciiTheme="minorHAnsi" w:hAnsiTheme="minorHAnsi" w:cstheme="minorHAnsi"/>
          <w:sz w:val="22"/>
          <w:szCs w:val="22"/>
        </w:rPr>
      </w:pPr>
      <w:r w:rsidRPr="000F5095">
        <w:rPr>
          <w:rFonts w:asciiTheme="minorHAnsi" w:hAnsiTheme="minorHAnsi" w:cstheme="minorHAnsi"/>
          <w:sz w:val="22"/>
          <w:szCs w:val="22"/>
        </w:rPr>
        <w:t>Other medicinal products enhancing the risk of haemorrhage, with the exception of vitamin K antagonists used concomitantly for treatment of VTE, should not be administered with fondaparinux. If co-administration is essential, close monitoring of the patient is recommended</w:t>
      </w:r>
      <w:r w:rsidRPr="000F5095">
        <w:rPr>
          <w:rStyle w:val="SubtitleChar"/>
        </w:rPr>
        <w:t xml:space="preserve"> </w:t>
      </w:r>
      <w:r w:rsidRPr="000F5095">
        <w:rPr>
          <w:rFonts w:asciiTheme="minorHAnsi" w:hAnsiTheme="minorHAnsi" w:cstheme="minorHAnsi"/>
          <w:sz w:val="22"/>
          <w:szCs w:val="22"/>
        </w:rPr>
        <w:t>(see</w:t>
      </w:r>
      <w:r w:rsidR="00E06F7B">
        <w:rPr>
          <w:rFonts w:asciiTheme="minorHAnsi" w:hAnsiTheme="minorHAnsi" w:cstheme="minorHAnsi"/>
          <w:sz w:val="22"/>
          <w:szCs w:val="22"/>
        </w:rPr>
        <w:t xml:space="preserve"> Section 4.5</w:t>
      </w:r>
      <w:r w:rsidRPr="000F5095">
        <w:rPr>
          <w:rFonts w:asciiTheme="minorHAnsi" w:hAnsiTheme="minorHAnsi" w:cstheme="minorHAnsi"/>
          <w:sz w:val="22"/>
          <w:szCs w:val="22"/>
        </w:rPr>
        <w:t xml:space="preserve"> Interactions with other medicines</w:t>
      </w:r>
      <w:r w:rsidR="00E06F7B">
        <w:rPr>
          <w:rFonts w:asciiTheme="minorHAnsi" w:hAnsiTheme="minorHAnsi" w:cstheme="minorHAnsi"/>
          <w:sz w:val="22"/>
          <w:szCs w:val="22"/>
        </w:rPr>
        <w:t xml:space="preserve"> and other forms of interactions</w:t>
      </w:r>
      <w:r w:rsidRPr="000F5095">
        <w:rPr>
          <w:rFonts w:asciiTheme="minorHAnsi" w:hAnsiTheme="minorHAnsi" w:cstheme="minorHAnsi"/>
          <w:sz w:val="22"/>
          <w:szCs w:val="22"/>
        </w:rPr>
        <w:t xml:space="preserve">). </w:t>
      </w:r>
    </w:p>
    <w:p w:rsidR="003A369B" w:rsidRPr="000F5095" w:rsidRDefault="003A369B">
      <w:pPr>
        <w:pStyle w:val="ListEnd"/>
        <w:jc w:val="both"/>
        <w:rPr>
          <w:rFonts w:asciiTheme="minorHAnsi" w:hAnsiTheme="minorHAnsi" w:cstheme="minorHAnsi"/>
          <w:sz w:val="22"/>
          <w:szCs w:val="22"/>
        </w:rPr>
      </w:pPr>
    </w:p>
    <w:p w:rsidR="003A369B" w:rsidRPr="00736CB6" w:rsidRDefault="003A369B" w:rsidP="00736CB6">
      <w:pPr>
        <w:rPr>
          <w:b/>
        </w:rPr>
      </w:pPr>
      <w:r w:rsidRPr="00736CB6">
        <w:rPr>
          <w:b/>
        </w:rPr>
        <w:t xml:space="preserve">Prevention of VTE following surgery (timing of first fondaparinux injection) </w:t>
      </w:r>
    </w:p>
    <w:p w:rsidR="003A369B" w:rsidRPr="000F5095" w:rsidRDefault="003A369B" w:rsidP="00EB5A53">
      <w:pPr>
        <w:pStyle w:val="listindentnospace"/>
        <w:ind w:left="0"/>
        <w:jc w:val="both"/>
        <w:rPr>
          <w:rStyle w:val="CSIchar"/>
          <w:rFonts w:asciiTheme="minorHAnsi" w:hAnsiTheme="minorHAnsi" w:cstheme="minorHAnsi"/>
          <w:sz w:val="22"/>
          <w:szCs w:val="22"/>
        </w:rPr>
      </w:pPr>
      <w:r w:rsidRPr="000F5095">
        <w:rPr>
          <w:rFonts w:asciiTheme="minorHAnsi" w:hAnsiTheme="minorHAnsi" w:cstheme="minorHAnsi"/>
          <w:sz w:val="22"/>
          <w:szCs w:val="22"/>
        </w:rPr>
        <w:t>The timing of the first injection requires strict adherence. The first dose should be given no earlier than 6 hours following surgical closure, and only after haemostasis has been established. Administration before 6 hours has been associated with an increased risk of major bleeding. Patient groups at particular risk are those from 75 years of age, body weight of less than 50 kg, or renal impairment with creatinine clearance less than 50 </w:t>
      </w:r>
      <w:r w:rsidRPr="00226E5B">
        <w:rPr>
          <w:rFonts w:asciiTheme="minorHAnsi" w:hAnsiTheme="minorHAnsi" w:cstheme="minorHAnsi"/>
          <w:sz w:val="22"/>
          <w:szCs w:val="22"/>
        </w:rPr>
        <w:t>ml/mi</w:t>
      </w:r>
      <w:r w:rsidRPr="00EB5A53">
        <w:rPr>
          <w:rStyle w:val="IntenseEmphasis"/>
          <w:rFonts w:ascii="Calibri" w:hAnsi="Calibri" w:cs="Calibri"/>
          <w:i w:val="0"/>
          <w:color w:val="auto"/>
        </w:rPr>
        <w:t>n</w:t>
      </w:r>
      <w:r w:rsidRPr="00EB5A53">
        <w:rPr>
          <w:rStyle w:val="IntenseEmphasis"/>
          <w:rFonts w:ascii="Calibri" w:hAnsi="Calibri" w:cs="Calibri"/>
          <w:color w:val="auto"/>
        </w:rPr>
        <w:t>.</w:t>
      </w:r>
    </w:p>
    <w:p w:rsidR="003A369B" w:rsidRPr="000F5095" w:rsidRDefault="003A369B" w:rsidP="003A369B">
      <w:pPr>
        <w:pStyle w:val="ListEnd"/>
        <w:jc w:val="both"/>
        <w:rPr>
          <w:rFonts w:asciiTheme="minorHAnsi" w:hAnsiTheme="minorHAnsi" w:cstheme="minorHAnsi"/>
          <w:sz w:val="22"/>
          <w:szCs w:val="22"/>
        </w:rPr>
      </w:pPr>
    </w:p>
    <w:p w:rsidR="003A369B" w:rsidRPr="00736CB6" w:rsidRDefault="003A369B" w:rsidP="00736CB6">
      <w:pPr>
        <w:rPr>
          <w:b/>
        </w:rPr>
      </w:pPr>
      <w:r w:rsidRPr="00736CB6">
        <w:rPr>
          <w:b/>
        </w:rPr>
        <w:t xml:space="preserve">For treatment of UA/NSTEMI and STEMI </w:t>
      </w:r>
    </w:p>
    <w:p w:rsidR="003A369B" w:rsidRPr="000F5095" w:rsidRDefault="003A369B" w:rsidP="003A369B">
      <w:pPr>
        <w:spacing w:line="240" w:lineRule="auto"/>
        <w:rPr>
          <w:rStyle w:val="Emphasis"/>
          <w:rFonts w:cstheme="minorHAnsi"/>
        </w:rPr>
      </w:pPr>
      <w:r w:rsidRPr="000F5095">
        <w:rPr>
          <w:rStyle w:val="Emphasis"/>
          <w:rFonts w:cstheme="minorHAnsi"/>
        </w:rPr>
        <w:t>Fondaparinux should be used with caution in patients who are being treated concomitantly with other agents that increase the risk of haemorrhage (such as GPIIb/IIIa inhibitors or thrombolytics).</w:t>
      </w:r>
    </w:p>
    <w:p w:rsidR="003A369B" w:rsidRDefault="003A369B" w:rsidP="003A369B">
      <w:pPr>
        <w:spacing w:after="0" w:line="240" w:lineRule="auto"/>
        <w:rPr>
          <w:b/>
        </w:rPr>
      </w:pPr>
      <w:r w:rsidRPr="000F5095">
        <w:rPr>
          <w:b/>
        </w:rPr>
        <w:t>PCI and risk of guiding catheter thrombus</w:t>
      </w:r>
    </w:p>
    <w:p w:rsidR="003A369B" w:rsidRPr="00EB5A53" w:rsidRDefault="003A369B" w:rsidP="003A369B">
      <w:pPr>
        <w:spacing w:line="240" w:lineRule="auto"/>
        <w:jc w:val="both"/>
        <w:rPr>
          <w:rStyle w:val="Emphasis"/>
          <w:i w:val="0"/>
        </w:rPr>
      </w:pPr>
      <w:r w:rsidRPr="00E712DA">
        <w:rPr>
          <w:rStyle w:val="Emphasis"/>
          <w:i w:val="0"/>
        </w:rPr>
        <w:t>In STEMI patients undergoing primary PCI, the use of fondaparinux prior to and during PCI is not recommended. Similarly, in UA/NSTEMI patients with life threatening conditions that require urgent revascularisation, the use of fondaparinux prior to and during PCI is not recommended. The</w:t>
      </w:r>
      <w:r w:rsidRPr="00EB5A53">
        <w:rPr>
          <w:rStyle w:val="Emphasis"/>
          <w:i w:val="0"/>
        </w:rPr>
        <w:t>se are patients with refractory or recurrent angina associated with dynamic ST deviation, heart failure, life-threatening arrhythmias or haemodynamic instability.</w:t>
      </w:r>
    </w:p>
    <w:p w:rsidR="003A369B" w:rsidRPr="00226E5B" w:rsidRDefault="003A369B" w:rsidP="003A369B">
      <w:pPr>
        <w:spacing w:line="240" w:lineRule="auto"/>
        <w:jc w:val="both"/>
        <w:rPr>
          <w:rStyle w:val="Emphasis"/>
          <w:i w:val="0"/>
        </w:rPr>
      </w:pPr>
      <w:r w:rsidRPr="00E712DA">
        <w:rPr>
          <w:rStyle w:val="Emphasis"/>
          <w:i w:val="0"/>
        </w:rPr>
        <w:lastRenderedPageBreak/>
        <w:t xml:space="preserve">In UA/NSTEMI and STEMI patients undergoing non-primary PCI, the use of fondaparinux as the sole anticoagulant during PCI is not recommended due to an increased risk of guiding catheter thrombus (see </w:t>
      </w:r>
      <w:r w:rsidR="00E06F7B">
        <w:rPr>
          <w:rStyle w:val="Emphasis"/>
          <w:i w:val="0"/>
        </w:rPr>
        <w:t>Section 5.1</w:t>
      </w:r>
      <w:r w:rsidR="00D11E21">
        <w:rPr>
          <w:rStyle w:val="Emphasis"/>
          <w:i w:val="0"/>
        </w:rPr>
        <w:t xml:space="preserve"> Pharmacodynamic properties -</w:t>
      </w:r>
      <w:r w:rsidR="00E06F7B">
        <w:rPr>
          <w:rStyle w:val="Emphasis"/>
          <w:i w:val="0"/>
        </w:rPr>
        <w:t xml:space="preserve"> Clinical </w:t>
      </w:r>
      <w:r w:rsidR="00D11E21">
        <w:rPr>
          <w:rStyle w:val="Emphasis"/>
          <w:i w:val="0"/>
        </w:rPr>
        <w:t>trials and s</w:t>
      </w:r>
      <w:r w:rsidR="00E06F7B">
        <w:rPr>
          <w:rStyle w:val="Emphasis"/>
          <w:i w:val="0"/>
        </w:rPr>
        <w:t>ection 4.8 Adverse effects (Undesirable effects)</w:t>
      </w:r>
      <w:r w:rsidR="0082533C">
        <w:rPr>
          <w:rStyle w:val="Emphasis"/>
          <w:i w:val="0"/>
        </w:rPr>
        <w:t xml:space="preserve"> - </w:t>
      </w:r>
      <w:r w:rsidRPr="0082533C">
        <w:rPr>
          <w:rStyle w:val="Emphasis"/>
        </w:rPr>
        <w:t>Catheter-related thrombosis).</w:t>
      </w:r>
      <w:r w:rsidRPr="00E712DA">
        <w:rPr>
          <w:rStyle w:val="Emphasis"/>
          <w:i w:val="0"/>
        </w:rPr>
        <w:t xml:space="preserve"> Therefore, adjunctive UFH should be used during non-primary PCI according to standard practice (see </w:t>
      </w:r>
      <w:r w:rsidR="0082533C">
        <w:rPr>
          <w:rStyle w:val="Emphasis"/>
          <w:i w:val="0"/>
        </w:rPr>
        <w:t>Section 4.2 Dose and method of administration</w:t>
      </w:r>
      <w:r w:rsidRPr="00E712DA">
        <w:rPr>
          <w:rStyle w:val="Emphasis"/>
          <w:i w:val="0"/>
        </w:rPr>
        <w:t>).</w:t>
      </w:r>
    </w:p>
    <w:p w:rsidR="003A369B" w:rsidRPr="00226E5B" w:rsidRDefault="003A369B" w:rsidP="003A369B">
      <w:pPr>
        <w:spacing w:after="0" w:line="240" w:lineRule="auto"/>
        <w:jc w:val="both"/>
        <w:rPr>
          <w:rStyle w:val="Emphasis"/>
          <w:b/>
          <w:i w:val="0"/>
        </w:rPr>
      </w:pPr>
      <w:r w:rsidRPr="00E712DA">
        <w:rPr>
          <w:rStyle w:val="Emphasis"/>
          <w:b/>
          <w:i w:val="0"/>
        </w:rPr>
        <w:t>Spinal/Epidural anaesthesia</w:t>
      </w:r>
    </w:p>
    <w:p w:rsidR="003A369B" w:rsidRPr="000F5095" w:rsidRDefault="003A369B" w:rsidP="003A369B">
      <w:pPr>
        <w:autoSpaceDE w:val="0"/>
        <w:autoSpaceDN w:val="0"/>
        <w:adjustRightInd w:val="0"/>
        <w:spacing w:after="0" w:line="240" w:lineRule="auto"/>
        <w:jc w:val="both"/>
        <w:rPr>
          <w:lang w:val="en-US"/>
        </w:rPr>
      </w:pPr>
      <w:r w:rsidRPr="000F5095">
        <w:rPr>
          <w:snapToGrid w:val="0"/>
        </w:rPr>
        <w:t xml:space="preserve">As with other anti-thrombotic medicinal products, epidural or spinal haematomas may occur with concurrent use of </w:t>
      </w:r>
      <w:r>
        <w:rPr>
          <w:snapToGrid w:val="0"/>
        </w:rPr>
        <w:t>ARIXTRA</w:t>
      </w:r>
      <w:r w:rsidRPr="000F5095">
        <w:rPr>
          <w:snapToGrid w:val="0"/>
        </w:rPr>
        <w:t xml:space="preserve"> and spinal/epidural anaesthesia or spinal puncture. Such complications can result in long-term or permanent paralysis. </w:t>
      </w:r>
      <w:r w:rsidRPr="000F5095">
        <w:rPr>
          <w:lang w:val="en-US"/>
        </w:rPr>
        <w:t>The risk of these events is increased by the use of indwelling epidural catheters for administration of analgesia or by the concomitant use of drugs affecting haemostasis such as non-steroidal anti-inflammatory drugs (NSAIDs), platelet inhibitors, or other anticoagulants. The risk also appears to be increased by traumatic or repeated epidural or spinal puncture.</w:t>
      </w:r>
    </w:p>
    <w:p w:rsidR="003A369B" w:rsidRPr="000F5095" w:rsidRDefault="003A369B" w:rsidP="003A369B">
      <w:pPr>
        <w:spacing w:line="240" w:lineRule="auto"/>
        <w:jc w:val="both"/>
        <w:rPr>
          <w:snapToGrid w:val="0"/>
        </w:rPr>
      </w:pPr>
      <w:r w:rsidRPr="000F5095">
        <w:rPr>
          <w:snapToGrid w:val="0"/>
        </w:rPr>
        <w:t xml:space="preserve">There is no clinical experience with the use of </w:t>
      </w:r>
      <w:r>
        <w:rPr>
          <w:snapToGrid w:val="0"/>
        </w:rPr>
        <w:t>ARIXTRA</w:t>
      </w:r>
      <w:r w:rsidRPr="000F5095">
        <w:rPr>
          <w:snapToGrid w:val="0"/>
        </w:rPr>
        <w:t xml:space="preserve"> in patients requiring an indwelling catheter for spinal anaesthesia for periods greater than six hours.  </w:t>
      </w:r>
    </w:p>
    <w:p w:rsidR="003A369B" w:rsidRPr="000F5095" w:rsidRDefault="003A369B" w:rsidP="003A369B">
      <w:pPr>
        <w:spacing w:line="240" w:lineRule="auto"/>
        <w:jc w:val="both"/>
        <w:rPr>
          <w:b/>
          <w:i/>
          <w:snapToGrid w:val="0"/>
        </w:rPr>
      </w:pPr>
      <w:r w:rsidRPr="000F5095">
        <w:rPr>
          <w:b/>
          <w:i/>
          <w:snapToGrid w:val="0"/>
        </w:rPr>
        <w:t>If the patient is given anticoagulation in the context of epidural/spinal anaesthesia extreme vigilance and frequent monitoring is required to detect any signs and symptoms of spinal haematoma such as midline back pain, sensory and motor deficits (numbness, weakness, or paralysis in the lower limbs, bowel and/or bladder dysfunction). If signs or symptoms of spinal haematoma are suspected, urgent diagnosis and treatment should be initiated. Patients should be instructed to inform their doctor immediately if they experience any of the above signs or symptoms.</w:t>
      </w:r>
    </w:p>
    <w:p w:rsidR="003A369B" w:rsidRPr="000F5095" w:rsidRDefault="003A369B" w:rsidP="003A369B">
      <w:pPr>
        <w:spacing w:after="0" w:line="240" w:lineRule="auto"/>
        <w:jc w:val="both"/>
        <w:rPr>
          <w:b/>
          <w:snapToGrid w:val="0"/>
        </w:rPr>
      </w:pPr>
      <w:r w:rsidRPr="000F5095">
        <w:rPr>
          <w:b/>
          <w:snapToGrid w:val="0"/>
        </w:rPr>
        <w:t>Low body weight</w:t>
      </w:r>
    </w:p>
    <w:p w:rsidR="003A369B" w:rsidRPr="000F5095" w:rsidRDefault="003A369B" w:rsidP="003A369B">
      <w:pPr>
        <w:spacing w:line="240" w:lineRule="auto"/>
        <w:jc w:val="both"/>
        <w:rPr>
          <w:snapToGrid w:val="0"/>
        </w:rPr>
      </w:pPr>
      <w:r w:rsidRPr="000F5095">
        <w:rPr>
          <w:snapToGrid w:val="0"/>
        </w:rPr>
        <w:t xml:space="preserve">Patients with body weight &lt; 50 kg are at increased risk of bleeding. Elimination of fondaparinux decreases with decreasing body weight. Fondaparinux should be used with caution in these patients (see </w:t>
      </w:r>
      <w:r w:rsidR="0082533C">
        <w:rPr>
          <w:snapToGrid w:val="0"/>
        </w:rPr>
        <w:t>Section 4.2 Dose and method of administration</w:t>
      </w:r>
      <w:r w:rsidRPr="000F5095">
        <w:rPr>
          <w:snapToGrid w:val="0"/>
        </w:rPr>
        <w:t>).</w:t>
      </w:r>
    </w:p>
    <w:p w:rsidR="003A369B" w:rsidRPr="000F5095" w:rsidRDefault="003A369B" w:rsidP="003A369B">
      <w:pPr>
        <w:spacing w:after="0" w:line="240" w:lineRule="auto"/>
        <w:jc w:val="both"/>
        <w:rPr>
          <w:rFonts w:cstheme="minorHAnsi"/>
          <w:b/>
        </w:rPr>
      </w:pPr>
      <w:r w:rsidRPr="000F5095">
        <w:rPr>
          <w:rFonts w:cstheme="minorHAnsi"/>
          <w:b/>
        </w:rPr>
        <w:t xml:space="preserve">Thrombocytopenia </w:t>
      </w:r>
    </w:p>
    <w:p w:rsidR="003A369B" w:rsidRDefault="003A369B" w:rsidP="003A369B">
      <w:pPr>
        <w:spacing w:after="0" w:line="240" w:lineRule="auto"/>
        <w:jc w:val="both"/>
        <w:rPr>
          <w:rFonts w:cstheme="minorHAnsi"/>
        </w:rPr>
      </w:pPr>
      <w:r w:rsidRPr="000F5095">
        <w:rPr>
          <w:rFonts w:cstheme="minorHAnsi"/>
        </w:rPr>
        <w:t xml:space="preserve">Until further experience with </w:t>
      </w:r>
      <w:r w:rsidRPr="000F5095">
        <w:rPr>
          <w:rFonts w:cstheme="minorHAnsi"/>
          <w:lang w:val="en-GB"/>
        </w:rPr>
        <w:t xml:space="preserve">fondaparinux sodium </w:t>
      </w:r>
      <w:r w:rsidRPr="000F5095">
        <w:rPr>
          <w:rFonts w:cstheme="minorHAnsi"/>
        </w:rPr>
        <w:t>is gained, platelet monitoring is recommended at baseline and at the end of treatment. This is especially important when follow-up therapy with heparin or low molecular weight heparin is considered.</w:t>
      </w:r>
    </w:p>
    <w:p w:rsidR="003A369B" w:rsidRPr="000F5095" w:rsidRDefault="003A369B" w:rsidP="003A369B">
      <w:pPr>
        <w:spacing w:after="0" w:line="240" w:lineRule="auto"/>
        <w:jc w:val="both"/>
        <w:rPr>
          <w:rFonts w:cstheme="minorHAnsi"/>
        </w:rPr>
      </w:pPr>
    </w:p>
    <w:p w:rsidR="003A369B" w:rsidRPr="000F5095" w:rsidRDefault="003A369B" w:rsidP="003A369B">
      <w:pPr>
        <w:spacing w:after="0" w:line="240" w:lineRule="auto"/>
        <w:jc w:val="both"/>
        <w:rPr>
          <w:rFonts w:cstheme="minorHAnsi"/>
          <w:b/>
        </w:rPr>
      </w:pPr>
      <w:r w:rsidRPr="000F5095">
        <w:rPr>
          <w:rFonts w:cstheme="minorHAnsi"/>
          <w:b/>
        </w:rPr>
        <w:t xml:space="preserve">Patients with Heparin Induced Thrombocytopenia </w:t>
      </w:r>
    </w:p>
    <w:p w:rsidR="003A369B" w:rsidRPr="000F5095" w:rsidRDefault="003A369B" w:rsidP="003A369B">
      <w:pPr>
        <w:pStyle w:val="Corpsdetextemarge"/>
        <w:rPr>
          <w:rFonts w:asciiTheme="minorHAnsi" w:hAnsiTheme="minorHAnsi" w:cstheme="minorHAnsi"/>
          <w:sz w:val="22"/>
        </w:rPr>
      </w:pPr>
      <w:r w:rsidRPr="000F5095">
        <w:rPr>
          <w:rFonts w:asciiTheme="minorHAnsi" w:hAnsiTheme="minorHAnsi" w:cstheme="minorHAnsi"/>
          <w:sz w:val="22"/>
        </w:rPr>
        <w:t>Fondaparinux should be used with caution in patients with a history of HIT. The efficacy and safety of fondaparinux have not been formally studied in HIT type II. Fondaparinux does not bind to platelet factor 4 and does not cross-react with sera from patients with HIT type II. However, rare spontaneous reports of HIT in patients treated with fondaparinux have been received. To date a causal association between treatment with fondaparinux and the occurrence of HIT has not been established.</w:t>
      </w:r>
    </w:p>
    <w:p w:rsidR="003A369B" w:rsidRPr="000F5095" w:rsidRDefault="003A369B" w:rsidP="003A369B">
      <w:pPr>
        <w:pStyle w:val="Corpsdetextemarge"/>
        <w:rPr>
          <w:rFonts w:asciiTheme="minorHAnsi" w:hAnsiTheme="minorHAnsi" w:cstheme="minorHAnsi"/>
          <w:sz w:val="22"/>
        </w:rPr>
      </w:pPr>
    </w:p>
    <w:p w:rsidR="003A369B" w:rsidRPr="000F5095" w:rsidRDefault="003A369B" w:rsidP="003A369B">
      <w:pPr>
        <w:pStyle w:val="Corpsdetextemarge"/>
        <w:rPr>
          <w:rFonts w:asciiTheme="minorHAnsi" w:hAnsiTheme="minorHAnsi" w:cstheme="minorHAnsi"/>
          <w:b/>
          <w:sz w:val="22"/>
          <w:szCs w:val="22"/>
          <w:lang w:val="en-GB"/>
        </w:rPr>
      </w:pPr>
      <w:r w:rsidRPr="000F5095">
        <w:rPr>
          <w:rFonts w:asciiTheme="minorHAnsi" w:hAnsiTheme="minorHAnsi" w:cstheme="minorHAnsi"/>
          <w:b/>
          <w:sz w:val="22"/>
          <w:szCs w:val="22"/>
          <w:lang w:val="en-GB"/>
        </w:rPr>
        <w:t xml:space="preserve">Latex Allergy </w:t>
      </w:r>
    </w:p>
    <w:p w:rsidR="003A369B" w:rsidRDefault="003A369B" w:rsidP="003A369B">
      <w:pPr>
        <w:pStyle w:val="Corpsdetextemarge"/>
        <w:rPr>
          <w:rFonts w:asciiTheme="minorHAnsi" w:hAnsiTheme="minorHAnsi" w:cstheme="minorHAnsi"/>
          <w:bCs/>
          <w:iCs/>
          <w:sz w:val="22"/>
          <w:szCs w:val="22"/>
          <w:lang w:val="en-GB"/>
        </w:rPr>
      </w:pPr>
      <w:r w:rsidRPr="000F5095">
        <w:rPr>
          <w:rFonts w:asciiTheme="minorHAnsi" w:hAnsiTheme="minorHAnsi" w:cstheme="minorHAnsi"/>
          <w:bCs/>
          <w:iCs/>
          <w:sz w:val="22"/>
          <w:szCs w:val="22"/>
          <w:lang w:val="en-GB"/>
        </w:rPr>
        <w:t>The needle shield of the pre-filled syringe may contain dry natural latex rubber that has the potential to cause allergic reactions in latex sensitive individuals.</w:t>
      </w:r>
    </w:p>
    <w:p w:rsidR="003A369B" w:rsidRPr="000F5095" w:rsidRDefault="003A369B" w:rsidP="003A369B">
      <w:pPr>
        <w:pStyle w:val="Corpsdetextemarge"/>
        <w:rPr>
          <w:rFonts w:asciiTheme="minorHAnsi" w:hAnsiTheme="minorHAnsi" w:cstheme="minorHAnsi"/>
          <w:bCs/>
          <w:iCs/>
          <w:sz w:val="22"/>
          <w:szCs w:val="22"/>
          <w:lang w:val="en-GB"/>
        </w:rPr>
      </w:pPr>
    </w:p>
    <w:p w:rsidR="003A369B" w:rsidRPr="000F5095" w:rsidRDefault="003A369B" w:rsidP="003A369B">
      <w:pPr>
        <w:pStyle w:val="Heading3"/>
        <w:spacing w:before="0" w:line="240" w:lineRule="auto"/>
        <w:ind w:left="0"/>
        <w:jc w:val="both"/>
        <w:rPr>
          <w:rFonts w:asciiTheme="minorHAnsi" w:hAnsiTheme="minorHAnsi" w:cstheme="minorHAnsi"/>
        </w:rPr>
      </w:pPr>
      <w:r w:rsidRPr="000F5095">
        <w:rPr>
          <w:rFonts w:asciiTheme="minorHAnsi" w:hAnsiTheme="minorHAnsi" w:cstheme="minorHAnsi"/>
        </w:rPr>
        <w:t xml:space="preserve">Use in hepatic impairment </w:t>
      </w:r>
    </w:p>
    <w:p w:rsidR="003A369B" w:rsidRPr="000F5095" w:rsidRDefault="003A369B" w:rsidP="003A369B">
      <w:pPr>
        <w:spacing w:line="240" w:lineRule="auto"/>
        <w:jc w:val="both"/>
        <w:rPr>
          <w:snapToGrid w:val="0"/>
        </w:rPr>
      </w:pPr>
      <w:r w:rsidRPr="000F5095">
        <w:rPr>
          <w:snapToGrid w:val="0"/>
        </w:rPr>
        <w:t xml:space="preserve">Since there is no evidence of metabolism or elimination by the liver, dosing adjustment of </w:t>
      </w:r>
      <w:r>
        <w:rPr>
          <w:snapToGrid w:val="0"/>
        </w:rPr>
        <w:t>ARIXTRA</w:t>
      </w:r>
      <w:r w:rsidRPr="000F5095">
        <w:rPr>
          <w:snapToGrid w:val="0"/>
        </w:rPr>
        <w:t xml:space="preserve"> is not necessary in patients with mild to moderate hepatic impairment. However, as for other medicinal products which interfere with blood coagulation, the use of </w:t>
      </w:r>
      <w:r>
        <w:rPr>
          <w:snapToGrid w:val="0"/>
        </w:rPr>
        <w:t>ARIXTRA</w:t>
      </w:r>
      <w:r w:rsidRPr="000F5095">
        <w:rPr>
          <w:snapToGrid w:val="0"/>
        </w:rPr>
        <w:t xml:space="preserve"> should be considered with caution because of an </w:t>
      </w:r>
      <w:r w:rsidRPr="000F5095">
        <w:rPr>
          <w:snapToGrid w:val="0"/>
        </w:rPr>
        <w:lastRenderedPageBreak/>
        <w:t xml:space="preserve">increased risk of bleeding due to a deficiency of coagulation factors in patients with severe hepatic impairment (see </w:t>
      </w:r>
      <w:r w:rsidR="0082533C">
        <w:rPr>
          <w:snapToGrid w:val="0"/>
        </w:rPr>
        <w:t>Section 4.2 Dose and method of administration</w:t>
      </w:r>
      <w:r w:rsidRPr="000F5095">
        <w:rPr>
          <w:snapToGrid w:val="0"/>
        </w:rPr>
        <w:t>).</w:t>
      </w:r>
    </w:p>
    <w:p w:rsidR="003A369B" w:rsidRDefault="003A369B">
      <w:pPr>
        <w:pStyle w:val="Heading3"/>
        <w:spacing w:before="0" w:line="240" w:lineRule="auto"/>
        <w:ind w:left="0"/>
        <w:jc w:val="both"/>
        <w:rPr>
          <w:rFonts w:asciiTheme="minorHAnsi" w:hAnsiTheme="minorHAnsi" w:cstheme="minorHAnsi"/>
        </w:rPr>
      </w:pPr>
      <w:r w:rsidRPr="000F5095">
        <w:rPr>
          <w:rFonts w:asciiTheme="minorHAnsi" w:hAnsiTheme="minorHAnsi" w:cstheme="minorHAnsi"/>
        </w:rPr>
        <w:t xml:space="preserve">Use in renal impairment </w:t>
      </w:r>
    </w:p>
    <w:p w:rsidR="003A369B" w:rsidRDefault="003A369B">
      <w:pPr>
        <w:spacing w:line="240" w:lineRule="auto"/>
        <w:jc w:val="both"/>
      </w:pPr>
      <w:r>
        <w:t>Fondaparinux is known to be mainly excreted by the kidney.</w:t>
      </w:r>
    </w:p>
    <w:p w:rsidR="003A369B" w:rsidRPr="00736CB6" w:rsidRDefault="003A369B" w:rsidP="00736CB6">
      <w:pPr>
        <w:rPr>
          <w:b/>
        </w:rPr>
      </w:pPr>
      <w:r w:rsidRPr="00736CB6">
        <w:rPr>
          <w:b/>
        </w:rPr>
        <w:t>Prophylaxis of VTE and Treatment of Acute DVT and PE</w:t>
      </w:r>
    </w:p>
    <w:p w:rsidR="003A369B" w:rsidRDefault="003A369B">
      <w:pPr>
        <w:spacing w:line="240" w:lineRule="auto"/>
        <w:jc w:val="both"/>
      </w:pPr>
      <w:r>
        <w:t xml:space="preserve">ARIXTRA is contraindicated in severe renal impairment (creatinine clearance &lt;30 mL/min) (see </w:t>
      </w:r>
      <w:r w:rsidR="0082533C">
        <w:rPr>
          <w:snapToGrid w:val="0"/>
        </w:rPr>
        <w:t xml:space="preserve">Section 4.2 Dose and method of administration </w:t>
      </w:r>
      <w:r>
        <w:t>and</w:t>
      </w:r>
      <w:r w:rsidR="0082533C">
        <w:t xml:space="preserve"> Section 4.3 Contraindications</w:t>
      </w:r>
      <w:r>
        <w:t xml:space="preserve">) and should be used with caution in patients with severe renal insufficiency (creatinine clearance &lt; 30 mL/min) and moderate renal insufficiency (creatinine clearance 30 - 50 mL/min) as these patients may show delayed elimination of fondaparinux and are at increased risk of bleeding.  Occurrences of major bleeding in patients receiving the recommended regimen in the treatment of DVT and PE with normal renal function, mild renal impairment, moderate renal impairment, and severe renal impairment have been found to be 0.4% (4/1132), 1.6% (12/733), 2.2% (7/318), and 7.3% (4/55), respectively. </w:t>
      </w:r>
    </w:p>
    <w:p w:rsidR="003A369B" w:rsidRPr="000F5095" w:rsidRDefault="003A369B">
      <w:pPr>
        <w:spacing w:line="240" w:lineRule="auto"/>
        <w:jc w:val="both"/>
        <w:rPr>
          <w:rFonts w:cstheme="minorHAnsi"/>
        </w:rPr>
      </w:pPr>
      <w:r>
        <w:t xml:space="preserve">Renal function should be assessed periodically in orthopaedic surgery patients receiving prophylactic therapy. ARIXTRA should be discontinued immediately in patients who develop severe renal impairment or labile renal function while on therapy. After discontinuation of ARIXTRA prophylactic therapy, its anticoagulant effects may persist for 2 – 4 days in patients with normal renal function (i.e., at least 3–5 half-lives). The anticoagulant effects of ARIXTRA may </w:t>
      </w:r>
      <w:r w:rsidRPr="000F5095">
        <w:rPr>
          <w:rFonts w:cstheme="minorHAnsi"/>
        </w:rPr>
        <w:t>persist even longer in patients with renal impairment.</w:t>
      </w:r>
    </w:p>
    <w:p w:rsidR="00226E5B" w:rsidRPr="00736CB6" w:rsidRDefault="003A369B" w:rsidP="00736CB6">
      <w:pPr>
        <w:rPr>
          <w:b/>
        </w:rPr>
      </w:pPr>
      <w:r w:rsidRPr="00736CB6">
        <w:rPr>
          <w:b/>
        </w:rPr>
        <w:t>Treatment of UA/NSTEMI and STEMI</w:t>
      </w:r>
    </w:p>
    <w:p w:rsidR="003A369B" w:rsidRPr="00EB5A53" w:rsidRDefault="003A369B">
      <w:pPr>
        <w:spacing w:line="240" w:lineRule="auto"/>
        <w:jc w:val="both"/>
        <w:rPr>
          <w:b/>
        </w:rPr>
      </w:pPr>
      <w:r w:rsidRPr="00EB5A53">
        <w:rPr>
          <w:b/>
        </w:rPr>
        <w:t>ARIXTRA is contraindicated in severe renal impairment (creatinine clearance &lt;30 mL/min) (</w:t>
      </w:r>
      <w:r w:rsidR="0082533C" w:rsidRPr="00EB5A53">
        <w:rPr>
          <w:b/>
        </w:rPr>
        <w:t xml:space="preserve">see </w:t>
      </w:r>
      <w:r w:rsidR="0082533C" w:rsidRPr="00EB5A53">
        <w:rPr>
          <w:b/>
          <w:snapToGrid w:val="0"/>
        </w:rPr>
        <w:t>Section 4.2 Dose and method of administration</w:t>
      </w:r>
      <w:r w:rsidR="0082533C">
        <w:rPr>
          <w:b/>
          <w:snapToGrid w:val="0"/>
        </w:rPr>
        <w:t xml:space="preserve"> – Use in the elderly</w:t>
      </w:r>
      <w:r w:rsidR="0082533C" w:rsidRPr="00EB5A53">
        <w:rPr>
          <w:b/>
          <w:snapToGrid w:val="0"/>
        </w:rPr>
        <w:t xml:space="preserve"> </w:t>
      </w:r>
      <w:r w:rsidR="0082533C" w:rsidRPr="00EB5A53">
        <w:rPr>
          <w:b/>
        </w:rPr>
        <w:t>and Section 4.3 Contraindications</w:t>
      </w:r>
      <w:r w:rsidR="0082533C" w:rsidRPr="0082533C" w:rsidDel="0082533C">
        <w:rPr>
          <w:b/>
        </w:rPr>
        <w:t xml:space="preserve"> </w:t>
      </w:r>
      <w:r w:rsidRPr="00EB5A53">
        <w:rPr>
          <w:b/>
        </w:rPr>
        <w:t xml:space="preserve">) </w:t>
      </w:r>
    </w:p>
    <w:p w:rsidR="003A369B" w:rsidRDefault="003A369B">
      <w:pPr>
        <w:pStyle w:val="Heading3"/>
        <w:spacing w:before="0" w:line="240" w:lineRule="auto"/>
        <w:ind w:left="0"/>
        <w:jc w:val="both"/>
        <w:rPr>
          <w:rFonts w:asciiTheme="minorHAnsi" w:hAnsiTheme="minorHAnsi" w:cstheme="minorHAnsi"/>
        </w:rPr>
      </w:pPr>
      <w:r w:rsidRPr="000F5095">
        <w:rPr>
          <w:rFonts w:asciiTheme="minorHAnsi" w:hAnsiTheme="minorHAnsi" w:cstheme="minorHAnsi"/>
        </w:rPr>
        <w:t>Use in the elderly</w:t>
      </w:r>
    </w:p>
    <w:p w:rsidR="003A369B" w:rsidRPr="000F5095" w:rsidRDefault="003A369B">
      <w:pPr>
        <w:spacing w:line="240" w:lineRule="auto"/>
        <w:jc w:val="both"/>
        <w:rPr>
          <w:b/>
        </w:rPr>
      </w:pPr>
      <w:r>
        <w:t>The elderly population is at an increased risk of bleeding. Fondaparinux is known to be substantially excreted by the kidney. As renal function generally decreases with age, elderly patients may show reduced elimination and increased exposure of fondaparinux (see</w:t>
      </w:r>
      <w:r w:rsidR="0082533C">
        <w:t xml:space="preserve"> Section 5.2</w:t>
      </w:r>
      <w:r>
        <w:t xml:space="preserve"> Pharmacokinetic</w:t>
      </w:r>
      <w:r w:rsidR="0082533C">
        <w:t xml:space="preserve"> properties</w:t>
      </w:r>
      <w:r>
        <w:t xml:space="preserve">). ARIXTRA should be used with caution in elderly patients (see </w:t>
      </w:r>
      <w:r w:rsidR="0082533C">
        <w:t>Section 4.2 Dose and method of administration</w:t>
      </w:r>
      <w:r>
        <w:t>).</w:t>
      </w:r>
    </w:p>
    <w:p w:rsidR="003A369B" w:rsidRPr="000F5095" w:rsidRDefault="003A369B">
      <w:pPr>
        <w:spacing w:line="240" w:lineRule="auto"/>
        <w:jc w:val="both"/>
      </w:pPr>
      <w:r>
        <w:t>Age is a recognised risk factor for venous thromboembolic events (VTE); in the prophylaxis studies, the VTE rate was uniformly lower in patients treated with ARIXTRA than with enoxaparin sodium across all age categories. The rate of bleeding appeared to be related to age, but was comparable with enoxaparin across all age categories. In the DVT and PE treatment studies, the risk of bleeding also increased with age.</w:t>
      </w:r>
    </w:p>
    <w:p w:rsidR="003A369B" w:rsidRDefault="003A369B">
      <w:pPr>
        <w:pStyle w:val="Heading3"/>
        <w:spacing w:before="0" w:line="240" w:lineRule="auto"/>
        <w:ind w:left="0"/>
        <w:jc w:val="both"/>
        <w:rPr>
          <w:rFonts w:asciiTheme="minorHAnsi" w:hAnsiTheme="minorHAnsi" w:cstheme="minorHAnsi"/>
        </w:rPr>
      </w:pPr>
      <w:r w:rsidRPr="000F5095">
        <w:rPr>
          <w:rFonts w:asciiTheme="minorHAnsi" w:hAnsiTheme="minorHAnsi" w:cstheme="minorHAnsi"/>
        </w:rPr>
        <w:t>Paediatric use</w:t>
      </w:r>
    </w:p>
    <w:p w:rsidR="003A369B" w:rsidRPr="000F5095" w:rsidRDefault="003A369B">
      <w:pPr>
        <w:spacing w:line="240" w:lineRule="auto"/>
        <w:jc w:val="both"/>
      </w:pPr>
      <w:r w:rsidRPr="000F5095">
        <w:t xml:space="preserve">The safety and efficacy of </w:t>
      </w:r>
      <w:r>
        <w:t>ARIXTRA</w:t>
      </w:r>
      <w:r w:rsidRPr="000F5095">
        <w:t xml:space="preserve"> in patients under the age of 17 years has not been established.</w:t>
      </w:r>
    </w:p>
    <w:p w:rsidR="00226E5B" w:rsidRPr="000F5095" w:rsidRDefault="003A369B">
      <w:pPr>
        <w:spacing w:after="0" w:line="240" w:lineRule="auto"/>
        <w:jc w:val="both"/>
      </w:pPr>
      <w:r w:rsidRPr="000F5095">
        <w:t xml:space="preserve">Because the risk for bleeding during treatment with </w:t>
      </w:r>
      <w:r>
        <w:t>ARIXTRA</w:t>
      </w:r>
      <w:r w:rsidRPr="000F5095">
        <w:t xml:space="preserve"> is increased in adults who weigh &lt;50kg, bleeding may be a particular concern in the paediatric population.</w:t>
      </w:r>
    </w:p>
    <w:p w:rsidR="003A369B" w:rsidRPr="000F5095" w:rsidRDefault="003A369B" w:rsidP="00EB5A53">
      <w:pPr>
        <w:spacing w:after="0" w:line="240" w:lineRule="auto"/>
        <w:jc w:val="both"/>
      </w:pPr>
    </w:p>
    <w:p w:rsidR="003A369B" w:rsidRDefault="003A369B" w:rsidP="003A369B">
      <w:pPr>
        <w:pStyle w:val="Heading3"/>
        <w:spacing w:before="0" w:line="240" w:lineRule="auto"/>
        <w:ind w:left="0"/>
        <w:rPr>
          <w:rFonts w:asciiTheme="minorHAnsi" w:hAnsiTheme="minorHAnsi" w:cstheme="minorHAnsi"/>
        </w:rPr>
      </w:pPr>
      <w:r w:rsidRPr="000F5095">
        <w:rPr>
          <w:rFonts w:asciiTheme="minorHAnsi" w:hAnsiTheme="minorHAnsi" w:cstheme="minorHAnsi"/>
        </w:rPr>
        <w:t>Effects on laboratory tests</w:t>
      </w:r>
    </w:p>
    <w:p w:rsidR="003A369B" w:rsidRPr="000F5095" w:rsidRDefault="003A369B" w:rsidP="003A369B">
      <w:pPr>
        <w:spacing w:line="240" w:lineRule="auto"/>
        <w:jc w:val="both"/>
        <w:rPr>
          <w:snapToGrid w:val="0"/>
        </w:rPr>
      </w:pPr>
      <w:r w:rsidRPr="000F5095">
        <w:rPr>
          <w:snapToGrid w:val="0"/>
        </w:rPr>
        <w:t xml:space="preserve">Routine coagulation tests such as activated partial thromboplastin time (aPTT), activated clotting time (ACT), or prothrombin time (PT)/International Normalised Ratio (INR) and bleeding time or fibrinolytic activity are </w:t>
      </w:r>
      <w:r w:rsidRPr="000F5095">
        <w:rPr>
          <w:snapToGrid w:val="0"/>
        </w:rPr>
        <w:lastRenderedPageBreak/>
        <w:t>not affected by the activity of fondaparinux. However, rare spontaneous reports of elevated aPTT have been received at the 2.5 mg dose.</w:t>
      </w:r>
    </w:p>
    <w:p w:rsidR="003A369B" w:rsidRDefault="003A369B" w:rsidP="003A369B">
      <w:pPr>
        <w:pStyle w:val="Heading2"/>
        <w:keepNext/>
        <w:keepLines/>
        <w:spacing w:before="0" w:after="120" w:line="240" w:lineRule="auto"/>
        <w:rPr>
          <w:rFonts w:asciiTheme="minorHAnsi" w:hAnsiTheme="minorHAnsi" w:cstheme="minorHAnsi"/>
        </w:rPr>
      </w:pPr>
      <w:r w:rsidRPr="000F5095">
        <w:rPr>
          <w:rFonts w:asciiTheme="minorHAnsi" w:hAnsiTheme="minorHAnsi" w:cstheme="minorHAnsi"/>
        </w:rPr>
        <w:t>Interactions with other medicines and other forms of interactions</w:t>
      </w:r>
    </w:p>
    <w:p w:rsidR="003A369B" w:rsidRDefault="003A369B">
      <w:pPr>
        <w:spacing w:line="240" w:lineRule="auto"/>
        <w:jc w:val="both"/>
      </w:pPr>
      <w:r>
        <w:t xml:space="preserve">Bleeding risk is increased with concomitant administration of fondaparinux and agents that may enhance the risk of haemorrhage (see </w:t>
      </w:r>
      <w:r w:rsidR="0082533C">
        <w:t>Section 4.4 Special warnings and precautions for use</w:t>
      </w:r>
      <w:r>
        <w:t>). Agents which may enhance the risk of haemorrhage should be discontinued prior to initiation of ARIXTRA therapy. If co-administration is essential, close monitoring may be appropriate.</w:t>
      </w:r>
    </w:p>
    <w:p w:rsidR="00A534AC" w:rsidRPr="00EB5A53" w:rsidRDefault="003A369B" w:rsidP="00EB5A53">
      <w:pPr>
        <w:spacing w:line="240" w:lineRule="auto"/>
        <w:jc w:val="both"/>
      </w:pPr>
      <w:r>
        <w:t>In clinical studies performed with ARIXTRA, the concomitant use of oral anticoagulants (warfarin), platelet inhibitors (aspirin), NSAIDs (piroxicam) and digoxin did not interact with the pharmacokinetics/pharmacodynamics of fondaparinux. In addition, fondaparinux neither influenced the INR activity of warfarin, nor the bleeding time under aspirin, or piroxicam treatment, nor the pharmacokinetics of digoxin at steady state.</w:t>
      </w:r>
    </w:p>
    <w:p w:rsidR="003A369B" w:rsidRPr="000F5095" w:rsidRDefault="003A369B">
      <w:pPr>
        <w:spacing w:after="0" w:line="240" w:lineRule="auto"/>
        <w:jc w:val="both"/>
        <w:rPr>
          <w:i/>
          <w:u w:val="single"/>
        </w:rPr>
      </w:pPr>
      <w:r w:rsidRPr="000F5095">
        <w:rPr>
          <w:i/>
          <w:u w:val="single"/>
        </w:rPr>
        <w:t>Follow-up therapy with another anticoagulant medicinal product</w:t>
      </w:r>
    </w:p>
    <w:p w:rsidR="003A369B" w:rsidRDefault="003A369B">
      <w:pPr>
        <w:spacing w:line="240" w:lineRule="auto"/>
        <w:jc w:val="both"/>
      </w:pPr>
      <w:r>
        <w:t>If follow-up treatment is to be initiated with heparin or Low Molecular Weight Heparin (LMWH), the first injection should, as a general rule, be given one day after the last fondaparinux injection. If follow up treatment with a Vitamin K antagonist is required, treatment with fondaparinux should be continued until the target INR value has been reached.</w:t>
      </w:r>
    </w:p>
    <w:p w:rsidR="003A369B" w:rsidRDefault="003A369B">
      <w:pPr>
        <w:spacing w:line="240" w:lineRule="auto"/>
        <w:jc w:val="both"/>
      </w:pPr>
      <w:r>
        <w:t>If follow-up treatment is to be initiated with a direct oral anticoagulant (DOAC), start the DOAC &lt;2 hours prior to the next scheduled dose of fondaparinux. Fondaparinux should be discontinued.</w:t>
      </w:r>
    </w:p>
    <w:p w:rsidR="003A369B" w:rsidRDefault="003A369B">
      <w:pPr>
        <w:spacing w:line="240" w:lineRule="auto"/>
        <w:jc w:val="both"/>
      </w:pPr>
      <w:r>
        <w:t>Since fondaparinux does not inhibit CYP450s (CYP1A2, CYP2A6, CYP2C9, CYP2C19, CYP2D6, CYP2E1 or CYP3A4) in vitro, fondaparinux is not expected to interact with other medicinal products in vivo by inhibition of CYP-mediated metabolism.</w:t>
      </w:r>
    </w:p>
    <w:p w:rsidR="003A369B" w:rsidRPr="00C67A0C" w:rsidRDefault="003A369B">
      <w:pPr>
        <w:spacing w:line="240" w:lineRule="auto"/>
        <w:jc w:val="both"/>
      </w:pPr>
      <w:r>
        <w:t>Since fondaparinux does not bind significantly to plasma proteins other than ATIII, no interaction with other medicinal products by protein binding displacement are expected.</w:t>
      </w:r>
    </w:p>
    <w:p w:rsidR="003A369B" w:rsidRPr="000F5095" w:rsidRDefault="003A369B" w:rsidP="00EB5A53">
      <w:pPr>
        <w:pStyle w:val="Heading2"/>
        <w:spacing w:before="0" w:after="120" w:line="240" w:lineRule="auto"/>
        <w:jc w:val="both"/>
        <w:rPr>
          <w:rFonts w:asciiTheme="minorHAnsi" w:hAnsiTheme="minorHAnsi" w:cstheme="minorHAnsi"/>
        </w:rPr>
      </w:pPr>
      <w:r w:rsidRPr="000F5095">
        <w:rPr>
          <w:rFonts w:asciiTheme="minorHAnsi" w:hAnsiTheme="minorHAnsi" w:cstheme="minorHAnsi"/>
        </w:rPr>
        <w:t xml:space="preserve">Fertility, pregnancy and lactation </w:t>
      </w:r>
    </w:p>
    <w:p w:rsidR="003A369B" w:rsidRDefault="003A369B" w:rsidP="00EB5A53">
      <w:pPr>
        <w:pStyle w:val="Heading3"/>
        <w:spacing w:before="0" w:line="240" w:lineRule="auto"/>
        <w:ind w:left="0"/>
        <w:jc w:val="both"/>
        <w:rPr>
          <w:rFonts w:asciiTheme="minorHAnsi" w:hAnsiTheme="minorHAnsi" w:cstheme="minorHAnsi"/>
        </w:rPr>
      </w:pPr>
      <w:r w:rsidRPr="000F5095">
        <w:rPr>
          <w:rFonts w:asciiTheme="minorHAnsi" w:hAnsiTheme="minorHAnsi" w:cstheme="minorHAnsi"/>
        </w:rPr>
        <w:t>Effects on fertility</w:t>
      </w:r>
    </w:p>
    <w:p w:rsidR="003A369B" w:rsidRPr="00F74049" w:rsidRDefault="003A369B" w:rsidP="00EB5A53">
      <w:pPr>
        <w:spacing w:line="240" w:lineRule="auto"/>
        <w:jc w:val="both"/>
      </w:pPr>
      <w:r>
        <w:t>There are no human data on the effects of fondaparinux on male or female fertility. Fondaparinux did not affect the fertility and reproductive performance of male and female rats at SC doses of up to 10 mg/kg/day, resulting in exposures about twice the human AUC at the maximum recommended clinical dose (MRCD).</w:t>
      </w:r>
    </w:p>
    <w:p w:rsidR="003A369B" w:rsidRDefault="003A369B" w:rsidP="00EB5A53">
      <w:pPr>
        <w:pStyle w:val="Heading3"/>
        <w:spacing w:before="0" w:line="240" w:lineRule="auto"/>
        <w:ind w:left="0"/>
        <w:jc w:val="both"/>
        <w:rPr>
          <w:rFonts w:asciiTheme="minorHAnsi" w:hAnsiTheme="minorHAnsi" w:cstheme="minorHAnsi"/>
        </w:rPr>
      </w:pPr>
      <w:r w:rsidRPr="000F5095">
        <w:rPr>
          <w:rFonts w:asciiTheme="minorHAnsi" w:hAnsiTheme="minorHAnsi" w:cstheme="minorHAnsi"/>
        </w:rPr>
        <w:t>Use in pregnancy – Pregnancy Category C</w:t>
      </w:r>
    </w:p>
    <w:p w:rsidR="003A369B" w:rsidRPr="000F5095" w:rsidRDefault="003A369B">
      <w:pPr>
        <w:spacing w:line="240" w:lineRule="auto"/>
        <w:jc w:val="both"/>
        <w:rPr>
          <w:strike/>
        </w:rPr>
      </w:pPr>
      <w:r w:rsidRPr="000F5095">
        <w:t xml:space="preserve">Anticoagulant and thrombolytic agents can produce placental haemorrhage and subsequent prematurity and foetal loss. Fondaparinux crossed the placenta of rats and rabbits. Administration of fondaparinux during the period of organogenesis did not affect embryofoetal development of rats and rabbits at SC doses up to 10 mg/kg/day, with respective systemic exposures (plasma AUC) about 2 and 4 times the human clinical exposure. Limited data on exposed pregnancies are available for the 2.5 mg prophylaxis dose.  For treatment doses, there are no adequate and well controlled studies of fondaparinux in pregnant women.  Fondaparinux should be used during pregnancy only if clearly indicated as clinical experience in such conditions is limited.  </w:t>
      </w:r>
    </w:p>
    <w:p w:rsidR="003A369B" w:rsidRDefault="003A369B" w:rsidP="00EB5A53">
      <w:pPr>
        <w:pStyle w:val="Heading3"/>
        <w:spacing w:before="0" w:line="240" w:lineRule="auto"/>
        <w:ind w:left="0"/>
        <w:jc w:val="both"/>
        <w:rPr>
          <w:rFonts w:asciiTheme="minorHAnsi" w:hAnsiTheme="minorHAnsi" w:cstheme="minorHAnsi"/>
        </w:rPr>
      </w:pPr>
      <w:r w:rsidRPr="000F5095">
        <w:rPr>
          <w:rFonts w:asciiTheme="minorHAnsi" w:hAnsiTheme="minorHAnsi" w:cstheme="minorHAnsi"/>
        </w:rPr>
        <w:lastRenderedPageBreak/>
        <w:t>Use in lactation</w:t>
      </w:r>
    </w:p>
    <w:p w:rsidR="003A369B" w:rsidRPr="000F5095" w:rsidRDefault="003A369B">
      <w:pPr>
        <w:keepLines/>
        <w:spacing w:after="120" w:line="240" w:lineRule="auto"/>
        <w:jc w:val="both"/>
        <w:rPr>
          <w:rFonts w:eastAsia="Times New Roman" w:cstheme="minorHAnsi"/>
          <w:szCs w:val="20"/>
        </w:rPr>
      </w:pPr>
      <w:r w:rsidRPr="000F5095">
        <w:rPr>
          <w:rFonts w:eastAsia="Times New Roman" w:cstheme="minorHAnsi"/>
          <w:szCs w:val="20"/>
        </w:rPr>
        <w:t>Fondaparinux was excreted in rat milk. No effects on pup survival and development were observed at doses up to 10 mg/kg/day administered to lactating rats, associated with maternal systemic exposure (plasma AUC) about twice the human clinical exposure at the MCRD.</w:t>
      </w:r>
    </w:p>
    <w:p w:rsidR="0065406A" w:rsidRPr="00376F19" w:rsidRDefault="003A369B" w:rsidP="00EB5A53">
      <w:pPr>
        <w:keepLines/>
        <w:spacing w:after="120" w:line="240" w:lineRule="auto"/>
        <w:jc w:val="both"/>
      </w:pPr>
      <w:r w:rsidRPr="000F5095">
        <w:rPr>
          <w:rFonts w:eastAsia="Times New Roman" w:cstheme="minorHAnsi"/>
          <w:snapToGrid w:val="0"/>
          <w:szCs w:val="20"/>
        </w:rPr>
        <w:t>It is not known whether fondaparinux is excreted in human milk. Because many medicinal products are excreted in human milk, breast-feeding is not recommended during treatment with fondaparinux.</w:t>
      </w:r>
    </w:p>
    <w:p w:rsidR="003A369B" w:rsidRDefault="003A369B" w:rsidP="00EB5A53">
      <w:pPr>
        <w:pStyle w:val="Heading2"/>
        <w:spacing w:before="0" w:after="0" w:line="240" w:lineRule="auto"/>
        <w:jc w:val="both"/>
        <w:rPr>
          <w:rFonts w:asciiTheme="minorHAnsi" w:hAnsiTheme="minorHAnsi" w:cstheme="minorHAnsi"/>
        </w:rPr>
      </w:pPr>
      <w:r w:rsidRPr="000F5095">
        <w:rPr>
          <w:rFonts w:asciiTheme="minorHAnsi" w:hAnsiTheme="minorHAnsi" w:cstheme="minorHAnsi"/>
        </w:rPr>
        <w:t xml:space="preserve">Effects on ability to drive and use machines </w:t>
      </w:r>
    </w:p>
    <w:p w:rsidR="003A369B" w:rsidRPr="000F5095" w:rsidRDefault="003A369B" w:rsidP="00EB5A53">
      <w:pPr>
        <w:spacing w:line="240" w:lineRule="auto"/>
        <w:jc w:val="both"/>
        <w:rPr>
          <w:snapToGrid w:val="0"/>
        </w:rPr>
      </w:pPr>
      <w:r w:rsidRPr="000F5095">
        <w:rPr>
          <w:snapToGrid w:val="0"/>
        </w:rPr>
        <w:t>No studies on the effect on the ability to drive and to use machines have been performed.</w:t>
      </w:r>
    </w:p>
    <w:p w:rsidR="003A369B" w:rsidRPr="00A534AC" w:rsidRDefault="003A369B" w:rsidP="00EB5A53">
      <w:pPr>
        <w:pStyle w:val="Heading2"/>
        <w:keepNext/>
        <w:keepLines/>
        <w:spacing w:before="0" w:after="120" w:line="240" w:lineRule="auto"/>
        <w:jc w:val="both"/>
        <w:rPr>
          <w:rFonts w:asciiTheme="minorHAnsi" w:hAnsiTheme="minorHAnsi" w:cstheme="minorHAnsi"/>
        </w:rPr>
      </w:pPr>
      <w:r w:rsidRPr="00A534AC">
        <w:rPr>
          <w:rFonts w:asciiTheme="minorHAnsi" w:hAnsiTheme="minorHAnsi" w:cstheme="minorHAnsi"/>
        </w:rPr>
        <w:t>Adverse effects (Undesirable effects)</w:t>
      </w:r>
    </w:p>
    <w:p w:rsidR="003A369B" w:rsidRPr="00EB5A53" w:rsidRDefault="00810F56" w:rsidP="00EB5A53">
      <w:pPr>
        <w:spacing w:line="240" w:lineRule="auto"/>
        <w:jc w:val="both"/>
        <w:rPr>
          <w:b/>
          <w:u w:val="single"/>
        </w:rPr>
      </w:pPr>
      <w:r w:rsidRPr="00A534AC">
        <w:rPr>
          <w:b/>
          <w:u w:val="single"/>
        </w:rPr>
        <w:t>Clinical trial data</w:t>
      </w:r>
    </w:p>
    <w:p w:rsidR="003A369B" w:rsidRPr="000F5095" w:rsidRDefault="003A369B" w:rsidP="00EB5A53">
      <w:pPr>
        <w:pStyle w:val="Heading3"/>
        <w:spacing w:line="240" w:lineRule="auto"/>
        <w:ind w:left="0"/>
        <w:jc w:val="both"/>
        <w:rPr>
          <w:rFonts w:asciiTheme="minorHAnsi" w:hAnsiTheme="minorHAnsi" w:cstheme="minorHAnsi"/>
          <w:b w:val="0"/>
          <w:i/>
          <w:u w:val="single"/>
        </w:rPr>
      </w:pPr>
      <w:r w:rsidRPr="000F5095">
        <w:rPr>
          <w:rFonts w:asciiTheme="minorHAnsi" w:hAnsiTheme="minorHAnsi" w:cstheme="minorHAnsi"/>
          <w:b w:val="0"/>
          <w:i/>
          <w:u w:val="single"/>
        </w:rPr>
        <w:t>Prevention of VTE and treatment of DVT and PE</w:t>
      </w:r>
    </w:p>
    <w:p w:rsidR="003A369B" w:rsidRPr="000F5095" w:rsidRDefault="003A369B">
      <w:pPr>
        <w:pStyle w:val="BodyText"/>
        <w:autoSpaceDE w:val="0"/>
        <w:autoSpaceDN w:val="0"/>
        <w:adjustRightInd w:val="0"/>
        <w:spacing w:line="240" w:lineRule="auto"/>
        <w:jc w:val="both"/>
        <w:rPr>
          <w:rFonts w:cstheme="minorHAnsi"/>
        </w:rPr>
      </w:pPr>
      <w:r w:rsidRPr="000F5095">
        <w:rPr>
          <w:rFonts w:cstheme="minorHAnsi"/>
        </w:rPr>
        <w:t xml:space="preserve">The data below reflects exposure in 6707 patients randomised to </w:t>
      </w:r>
      <w:r>
        <w:rPr>
          <w:rFonts w:cstheme="minorHAnsi"/>
        </w:rPr>
        <w:t>ARIXTRA</w:t>
      </w:r>
      <w:r w:rsidRPr="000F5095">
        <w:rPr>
          <w:rFonts w:cstheme="minorHAnsi"/>
        </w:rPr>
        <w:t xml:space="preserve"> in controlled trials of prophylaxis in hip fracture, hip replacement, or major knee surgeries, and in the treatment of DVT and PE, and in 1407 patients undergoing abdominal surgery. </w:t>
      </w:r>
    </w:p>
    <w:p w:rsidR="003A369B" w:rsidRPr="000F5095" w:rsidRDefault="003A369B">
      <w:pPr>
        <w:pStyle w:val="BodyText"/>
        <w:autoSpaceDE w:val="0"/>
        <w:autoSpaceDN w:val="0"/>
        <w:adjustRightInd w:val="0"/>
        <w:spacing w:line="240" w:lineRule="auto"/>
        <w:jc w:val="both"/>
        <w:rPr>
          <w:rFonts w:cstheme="minorHAnsi"/>
          <w:u w:val="single"/>
        </w:rPr>
      </w:pPr>
      <w:r w:rsidRPr="000F5095">
        <w:rPr>
          <w:rFonts w:cstheme="minorHAnsi"/>
        </w:rPr>
        <w:t xml:space="preserve">Patients received </w:t>
      </w:r>
      <w:r>
        <w:rPr>
          <w:rFonts w:cstheme="minorHAnsi"/>
        </w:rPr>
        <w:t>ARIXTRA</w:t>
      </w:r>
      <w:r w:rsidRPr="000F5095">
        <w:rPr>
          <w:rFonts w:cstheme="minorHAnsi"/>
        </w:rPr>
        <w:t xml:space="preserve"> primarily in two large prophylaxis dose-response trials (n=989), four active-controlled prophylaxis trials with enoxaparin sodium (n=3616), a placebo-controlled extended prophylaxis trial (n=327), a dose-response trial in DVT treatment (n=111), an active-controlled trial with enoxaparin sodium in DVT treatment (n = 1091), an active-controlled trial with heparin in PE treatment (n=1092), and an active-controlled prophylaxis trial with dalteparin in abdominal surgery (n=1407) (see</w:t>
      </w:r>
      <w:r w:rsidR="0082533C">
        <w:rPr>
          <w:rFonts w:cstheme="minorHAnsi"/>
        </w:rPr>
        <w:t xml:space="preserve"> section 5.1</w:t>
      </w:r>
      <w:r w:rsidR="00D11E21">
        <w:rPr>
          <w:rFonts w:cstheme="minorHAnsi"/>
        </w:rPr>
        <w:t xml:space="preserve"> Pharmacodynamic properties -</w:t>
      </w:r>
      <w:r w:rsidR="0082533C">
        <w:rPr>
          <w:rFonts w:cstheme="minorHAnsi"/>
        </w:rPr>
        <w:t xml:space="preserve"> C</w:t>
      </w:r>
      <w:r w:rsidR="0082533C" w:rsidRPr="000F5095">
        <w:rPr>
          <w:rFonts w:cstheme="minorHAnsi"/>
        </w:rPr>
        <w:t>linical trials</w:t>
      </w:r>
      <w:r w:rsidRPr="000F5095">
        <w:rPr>
          <w:rFonts w:cstheme="minorHAnsi"/>
        </w:rPr>
        <w:t xml:space="preserve">). </w:t>
      </w:r>
    </w:p>
    <w:p w:rsidR="003A369B" w:rsidRPr="000F5095" w:rsidRDefault="003A369B">
      <w:pPr>
        <w:pStyle w:val="BodyText"/>
        <w:spacing w:line="240" w:lineRule="auto"/>
        <w:jc w:val="both"/>
        <w:rPr>
          <w:rFonts w:cstheme="minorHAnsi"/>
        </w:rPr>
      </w:pPr>
      <w:r w:rsidRPr="000F5095">
        <w:rPr>
          <w:rFonts w:cstheme="minorHAnsi"/>
        </w:rPr>
        <w:t xml:space="preserve">In the peri-operative prophylaxis randomised clinical trials of 7 ± 2 days, asymptomatic increases in AST and ALT levels greater than three times the upper limit of normal of the laboratory reference range have been reported in 1.7% and 2.6% of patients, respectively, during treatment with </w:t>
      </w:r>
      <w:r>
        <w:rPr>
          <w:rFonts w:cstheme="minorHAnsi"/>
        </w:rPr>
        <w:t>ARIXTRA</w:t>
      </w:r>
      <w:r w:rsidRPr="000F5095">
        <w:rPr>
          <w:rFonts w:cstheme="minorHAnsi"/>
        </w:rPr>
        <w:t xml:space="preserve"> 2.5 mg injection vs 3.2% and 3.9%, of patients, respectively, during treatment with enoxaparin sodium. Such elevations are fully reversible and are rarely associated with increases in bilirubin. In the extended prophylaxis clinical trial no significant differences in AST and ALT levels between </w:t>
      </w:r>
      <w:r>
        <w:rPr>
          <w:rFonts w:cstheme="minorHAnsi"/>
        </w:rPr>
        <w:t>ARIXTRA</w:t>
      </w:r>
      <w:r w:rsidRPr="000F5095">
        <w:rPr>
          <w:rFonts w:cstheme="minorHAnsi"/>
        </w:rPr>
        <w:t xml:space="preserve"> 2.5 mg injection and placebo treated patients were observed.</w:t>
      </w:r>
    </w:p>
    <w:p w:rsidR="003A369B" w:rsidRPr="0065406A" w:rsidRDefault="003A369B">
      <w:pPr>
        <w:spacing w:line="240" w:lineRule="auto"/>
        <w:jc w:val="both"/>
        <w:rPr>
          <w:rFonts w:cstheme="minorHAnsi"/>
          <w:snapToGrid w:val="0"/>
        </w:rPr>
      </w:pPr>
      <w:r w:rsidRPr="000F5095">
        <w:rPr>
          <w:rFonts w:cstheme="minorHAnsi"/>
          <w:snapToGrid w:val="0"/>
        </w:rPr>
        <w:t xml:space="preserve">During </w:t>
      </w:r>
      <w:r>
        <w:rPr>
          <w:rFonts w:cstheme="minorHAnsi"/>
          <w:snapToGrid w:val="0"/>
        </w:rPr>
        <w:t>ARIXTRA</w:t>
      </w:r>
      <w:r w:rsidRPr="000F5095">
        <w:rPr>
          <w:rFonts w:cstheme="minorHAnsi"/>
          <w:snapToGrid w:val="0"/>
        </w:rPr>
        <w:t xml:space="preserve"> 2.5 mg prophylactic therapy in patients undergoing orthopaedic surgeries, as with other anti-thrombotics, bleeding was a common adverse reaction.  The percentage of patients with adjudicated bleeding events are shown in </w:t>
      </w:r>
      <w:r w:rsidRPr="000F5095">
        <w:rPr>
          <w:rFonts w:cstheme="minorHAnsi"/>
          <w:snapToGrid w:val="0"/>
        </w:rPr>
        <w:fldChar w:fldCharType="begin"/>
      </w:r>
      <w:r w:rsidRPr="000F5095">
        <w:rPr>
          <w:rFonts w:cstheme="minorHAnsi"/>
          <w:snapToGrid w:val="0"/>
        </w:rPr>
        <w:instrText xml:space="preserve"> REF _Ref483220931 \h  \* MERGEFORMAT </w:instrText>
      </w:r>
      <w:r w:rsidRPr="000F5095">
        <w:rPr>
          <w:rFonts w:cstheme="minorHAnsi"/>
          <w:snapToGrid w:val="0"/>
        </w:rPr>
      </w:r>
      <w:r w:rsidRPr="000F5095">
        <w:rPr>
          <w:rFonts w:cstheme="minorHAnsi"/>
          <w:snapToGrid w:val="0"/>
        </w:rPr>
        <w:fldChar w:fldCharType="separate"/>
      </w:r>
      <w:r>
        <w:rPr>
          <w:rFonts w:cstheme="minorHAnsi"/>
        </w:rPr>
        <w:t>Table 1</w:t>
      </w:r>
      <w:r w:rsidRPr="000F5095">
        <w:rPr>
          <w:rFonts w:cstheme="minorHAnsi"/>
          <w:snapToGrid w:val="0"/>
        </w:rPr>
        <w:fldChar w:fldCharType="end"/>
      </w:r>
      <w:r w:rsidRPr="000F5095">
        <w:rPr>
          <w:rFonts w:cstheme="minorHAnsi"/>
          <w:snapToGrid w:val="0"/>
        </w:rPr>
        <w:t>.</w:t>
      </w:r>
    </w:p>
    <w:p w:rsidR="003A369B" w:rsidRPr="00D11E21" w:rsidRDefault="003A369B" w:rsidP="00EB5A53">
      <w:pPr>
        <w:keepNext/>
        <w:keepLines/>
        <w:spacing w:before="120" w:after="0" w:line="240" w:lineRule="auto"/>
        <w:jc w:val="center"/>
        <w:rPr>
          <w:rFonts w:eastAsia="Times New Roman" w:cstheme="minorHAnsi"/>
          <w:sz w:val="20"/>
          <w:szCs w:val="20"/>
        </w:rPr>
      </w:pPr>
      <w:bookmarkStart w:id="1" w:name="_Ref483220931"/>
      <w:r w:rsidRPr="00EB5A53">
        <w:rPr>
          <w:rFonts w:eastAsia="Times New Roman" w:cstheme="minorHAnsi"/>
          <w:b/>
          <w:sz w:val="20"/>
          <w:szCs w:val="20"/>
        </w:rPr>
        <w:lastRenderedPageBreak/>
        <w:t>Table</w:t>
      </w:r>
      <w:bookmarkEnd w:id="1"/>
      <w:r w:rsidRPr="00EB5A53">
        <w:rPr>
          <w:rFonts w:eastAsia="Times New Roman" w:cstheme="minorHAnsi"/>
          <w:b/>
          <w:sz w:val="20"/>
          <w:szCs w:val="20"/>
        </w:rPr>
        <w:t xml:space="preserve"> 1: Summary of bleeding results from Peri-operative studies (first injection up to Day 11) and Extended Prophylaxis Study (randomisation to Day 24)</w:t>
      </w:r>
      <w:r w:rsidRPr="00EB5A53">
        <w:rPr>
          <w:rFonts w:eastAsia="Times New Roman" w:cstheme="minorHAnsi"/>
          <w:b/>
          <w:sz w:val="20"/>
          <w:szCs w:val="20"/>
        </w:rPr>
        <w:br/>
        <w:t xml:space="preserve"> (%) of Patients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9"/>
        <w:gridCol w:w="1896"/>
        <w:gridCol w:w="1944"/>
        <w:gridCol w:w="1809"/>
      </w:tblGrid>
      <w:tr w:rsidR="003A369B" w:rsidRPr="00D11E21" w:rsidTr="00EB5A53">
        <w:trPr>
          <w:cantSplit/>
          <w:trHeight w:val="440"/>
          <w:jc w:val="center"/>
        </w:trPr>
        <w:tc>
          <w:tcPr>
            <w:tcW w:w="2289" w:type="dxa"/>
          </w:tcPr>
          <w:p w:rsidR="003A369B" w:rsidRPr="00D11E21" w:rsidRDefault="003A369B" w:rsidP="00EB5A53">
            <w:pPr>
              <w:keepNext/>
              <w:keepLines/>
              <w:spacing w:after="0" w:line="240" w:lineRule="auto"/>
              <w:ind w:left="45" w:hanging="24"/>
              <w:jc w:val="center"/>
              <w:rPr>
                <w:rFonts w:eastAsia="Times New Roman" w:cstheme="minorHAnsi"/>
                <w:b/>
                <w:sz w:val="20"/>
                <w:szCs w:val="20"/>
              </w:rPr>
            </w:pPr>
            <w:r w:rsidRPr="00D11E21">
              <w:rPr>
                <w:rFonts w:eastAsia="Times New Roman" w:cstheme="minorHAnsi"/>
                <w:b/>
                <w:sz w:val="20"/>
                <w:szCs w:val="20"/>
              </w:rPr>
              <w:t>SURGERY TYPE</w:t>
            </w:r>
          </w:p>
          <w:p w:rsidR="003A369B" w:rsidRPr="00D11E21" w:rsidRDefault="003A369B" w:rsidP="00EB5A53">
            <w:pPr>
              <w:keepNext/>
              <w:keepLines/>
              <w:spacing w:after="120" w:line="240" w:lineRule="auto"/>
              <w:ind w:left="45" w:hanging="24"/>
              <w:jc w:val="center"/>
              <w:rPr>
                <w:rFonts w:eastAsia="Times New Roman" w:cstheme="minorHAnsi"/>
                <w:b/>
                <w:sz w:val="20"/>
                <w:szCs w:val="20"/>
              </w:rPr>
            </w:pPr>
          </w:p>
        </w:tc>
        <w:tc>
          <w:tcPr>
            <w:tcW w:w="1896" w:type="dxa"/>
          </w:tcPr>
          <w:p w:rsidR="003A369B" w:rsidRPr="00D11E21" w:rsidRDefault="003A369B" w:rsidP="00EB5A53">
            <w:pPr>
              <w:keepNext/>
              <w:keepLines/>
              <w:spacing w:after="0" w:line="240" w:lineRule="auto"/>
              <w:jc w:val="center"/>
              <w:rPr>
                <w:rFonts w:eastAsia="Times New Roman" w:cstheme="minorHAnsi"/>
                <w:b/>
                <w:sz w:val="20"/>
                <w:szCs w:val="20"/>
              </w:rPr>
            </w:pPr>
            <w:r w:rsidRPr="00D11E21">
              <w:rPr>
                <w:rFonts w:eastAsia="Times New Roman" w:cstheme="minorHAnsi"/>
                <w:b/>
                <w:sz w:val="20"/>
                <w:szCs w:val="20"/>
              </w:rPr>
              <w:t>Bleeding</w:t>
            </w:r>
          </w:p>
        </w:tc>
        <w:tc>
          <w:tcPr>
            <w:tcW w:w="1944" w:type="dxa"/>
          </w:tcPr>
          <w:p w:rsidR="003A369B" w:rsidRPr="00D11E21" w:rsidRDefault="003A369B" w:rsidP="00EB5A53">
            <w:pPr>
              <w:keepNext/>
              <w:keepLines/>
              <w:spacing w:after="0" w:line="240" w:lineRule="auto"/>
              <w:jc w:val="center"/>
              <w:rPr>
                <w:rFonts w:eastAsia="Times New Roman" w:cstheme="minorHAnsi"/>
                <w:b/>
                <w:sz w:val="20"/>
                <w:szCs w:val="20"/>
              </w:rPr>
            </w:pPr>
            <w:r w:rsidRPr="00D11E21">
              <w:rPr>
                <w:rFonts w:eastAsia="Times New Roman" w:cstheme="minorHAnsi"/>
                <w:b/>
                <w:sz w:val="20"/>
                <w:szCs w:val="20"/>
              </w:rPr>
              <w:t>Fondaparinux</w:t>
            </w:r>
          </w:p>
          <w:p w:rsidR="003A369B" w:rsidRPr="00D11E21" w:rsidRDefault="003A369B" w:rsidP="00EB5A53">
            <w:pPr>
              <w:keepNext/>
              <w:keepLines/>
              <w:spacing w:after="0" w:line="240" w:lineRule="auto"/>
              <w:jc w:val="center"/>
              <w:rPr>
                <w:rFonts w:eastAsia="Times New Roman" w:cstheme="minorHAnsi"/>
                <w:b/>
                <w:sz w:val="20"/>
                <w:szCs w:val="20"/>
              </w:rPr>
            </w:pPr>
            <w:r w:rsidRPr="00D11E21">
              <w:rPr>
                <w:rFonts w:eastAsia="Times New Roman" w:cstheme="minorHAnsi"/>
                <w:b/>
                <w:sz w:val="20"/>
                <w:szCs w:val="20"/>
              </w:rPr>
              <w:t>2.5 mg daily</w:t>
            </w:r>
          </w:p>
        </w:tc>
        <w:tc>
          <w:tcPr>
            <w:tcW w:w="1809" w:type="dxa"/>
          </w:tcPr>
          <w:p w:rsidR="003A369B" w:rsidRPr="00D11E21" w:rsidRDefault="003A369B" w:rsidP="00EB5A53">
            <w:pPr>
              <w:keepNext/>
              <w:keepLines/>
              <w:spacing w:after="0" w:line="240" w:lineRule="auto"/>
              <w:jc w:val="center"/>
              <w:rPr>
                <w:rFonts w:eastAsia="Times New Roman" w:cstheme="minorHAnsi"/>
                <w:b/>
                <w:sz w:val="20"/>
                <w:szCs w:val="20"/>
              </w:rPr>
            </w:pPr>
            <w:r w:rsidRPr="00D11E21">
              <w:rPr>
                <w:rFonts w:eastAsia="Times New Roman" w:cstheme="minorHAnsi"/>
                <w:b/>
                <w:sz w:val="20"/>
                <w:szCs w:val="20"/>
              </w:rPr>
              <w:t>Enoxaparin</w:t>
            </w:r>
          </w:p>
        </w:tc>
      </w:tr>
      <w:tr w:rsidR="003A369B" w:rsidRPr="00D11E21" w:rsidTr="003A369B">
        <w:trPr>
          <w:cantSplit/>
          <w:trHeight w:val="233"/>
          <w:jc w:val="center"/>
        </w:trPr>
        <w:tc>
          <w:tcPr>
            <w:tcW w:w="2289" w:type="dxa"/>
            <w:vMerge w:val="restart"/>
          </w:tcPr>
          <w:p w:rsidR="003A369B" w:rsidRPr="00D11E21" w:rsidRDefault="003A369B" w:rsidP="00EB5A53">
            <w:pPr>
              <w:keepNext/>
              <w:keepLines/>
              <w:spacing w:after="0" w:line="240" w:lineRule="auto"/>
              <w:ind w:left="45" w:hanging="24"/>
              <w:jc w:val="both"/>
              <w:rPr>
                <w:rFonts w:eastAsia="Times New Roman" w:cstheme="minorHAnsi"/>
                <w:b/>
                <w:sz w:val="20"/>
                <w:szCs w:val="20"/>
              </w:rPr>
            </w:pPr>
            <w:r w:rsidRPr="00D11E21">
              <w:rPr>
                <w:rFonts w:eastAsia="Times New Roman" w:cstheme="minorHAnsi"/>
                <w:b/>
                <w:sz w:val="20"/>
                <w:szCs w:val="20"/>
              </w:rPr>
              <w:t>Knee Replacement</w:t>
            </w:r>
          </w:p>
          <w:p w:rsidR="003A369B" w:rsidRPr="00D11E21" w:rsidRDefault="003A369B" w:rsidP="00EB5A53">
            <w:pPr>
              <w:keepNext/>
              <w:keepLines/>
              <w:spacing w:after="0" w:line="240" w:lineRule="auto"/>
              <w:ind w:left="45" w:hanging="24"/>
              <w:jc w:val="both"/>
              <w:rPr>
                <w:rFonts w:eastAsia="Times New Roman" w:cstheme="minorHAnsi"/>
                <w:b/>
                <w:sz w:val="20"/>
                <w:szCs w:val="20"/>
              </w:rPr>
            </w:pPr>
            <w:r w:rsidRPr="00D11E21">
              <w:rPr>
                <w:rFonts w:eastAsia="Times New Roman" w:cstheme="minorHAnsi"/>
                <w:sz w:val="20"/>
                <w:szCs w:val="20"/>
              </w:rPr>
              <w:t>(Pentamaks)</w:t>
            </w:r>
            <w:r w:rsidRPr="00D11E21">
              <w:rPr>
                <w:rFonts w:eastAsia="Times New Roman" w:cstheme="minorHAnsi"/>
                <w:sz w:val="20"/>
                <w:szCs w:val="20"/>
                <w:vertAlign w:val="superscript"/>
              </w:rPr>
              <w:t xml:space="preserve"> a</w:t>
            </w:r>
          </w:p>
        </w:tc>
        <w:tc>
          <w:tcPr>
            <w:tcW w:w="1896" w:type="dxa"/>
          </w:tcPr>
          <w:p w:rsidR="003A369B" w:rsidRPr="00D11E21" w:rsidRDefault="003A369B" w:rsidP="00EB5A53">
            <w:pPr>
              <w:keepNext/>
              <w:keepLines/>
              <w:spacing w:after="0" w:line="240" w:lineRule="auto"/>
              <w:jc w:val="both"/>
              <w:rPr>
                <w:rFonts w:eastAsia="Times New Roman" w:cstheme="minorHAnsi"/>
                <w:sz w:val="20"/>
                <w:szCs w:val="20"/>
              </w:rPr>
            </w:pPr>
            <w:r w:rsidRPr="00D11E21">
              <w:rPr>
                <w:rFonts w:eastAsia="Times New Roman" w:cstheme="minorHAnsi"/>
                <w:sz w:val="20"/>
                <w:szCs w:val="20"/>
              </w:rPr>
              <w:t>Major bleeding</w:t>
            </w:r>
            <w:r w:rsidRPr="00D11E21">
              <w:rPr>
                <w:rFonts w:eastAsia="Times New Roman" w:cstheme="minorHAnsi"/>
                <w:sz w:val="20"/>
                <w:szCs w:val="20"/>
                <w:vertAlign w:val="superscript"/>
              </w:rPr>
              <w:t>b</w:t>
            </w:r>
          </w:p>
        </w:tc>
        <w:tc>
          <w:tcPr>
            <w:tcW w:w="1944" w:type="dxa"/>
          </w:tcPr>
          <w:p w:rsidR="003A369B" w:rsidRPr="00D11E21" w:rsidRDefault="003A369B" w:rsidP="00EB5A53">
            <w:pPr>
              <w:keepNext/>
              <w:keepLines/>
              <w:spacing w:after="0" w:line="240" w:lineRule="auto"/>
              <w:jc w:val="center"/>
              <w:rPr>
                <w:rFonts w:eastAsia="Times New Roman" w:cstheme="minorHAnsi"/>
                <w:sz w:val="20"/>
                <w:szCs w:val="20"/>
              </w:rPr>
            </w:pPr>
            <w:r w:rsidRPr="00D11E21">
              <w:rPr>
                <w:rFonts w:eastAsia="Times New Roman" w:cstheme="minorHAnsi"/>
                <w:sz w:val="20"/>
                <w:szCs w:val="20"/>
              </w:rPr>
              <w:t>2.1</w:t>
            </w:r>
            <w:r w:rsidRPr="00D11E21">
              <w:rPr>
                <w:rFonts w:eastAsia="Times New Roman" w:cstheme="minorHAnsi"/>
                <w:sz w:val="20"/>
                <w:szCs w:val="20"/>
                <w:vertAlign w:val="superscript"/>
              </w:rPr>
              <w:t>d</w:t>
            </w:r>
          </w:p>
        </w:tc>
        <w:tc>
          <w:tcPr>
            <w:tcW w:w="1809" w:type="dxa"/>
          </w:tcPr>
          <w:p w:rsidR="003A369B" w:rsidRPr="00D11E21" w:rsidRDefault="003A369B" w:rsidP="00EB5A53">
            <w:pPr>
              <w:keepNext/>
              <w:keepLines/>
              <w:spacing w:after="0" w:line="240" w:lineRule="auto"/>
              <w:jc w:val="center"/>
              <w:rPr>
                <w:rFonts w:eastAsia="Times New Roman" w:cstheme="minorHAnsi"/>
                <w:sz w:val="20"/>
                <w:szCs w:val="20"/>
              </w:rPr>
            </w:pPr>
            <w:r w:rsidRPr="00D11E21">
              <w:rPr>
                <w:rFonts w:eastAsia="Times New Roman" w:cstheme="minorHAnsi"/>
                <w:sz w:val="20"/>
                <w:szCs w:val="20"/>
              </w:rPr>
              <w:t xml:space="preserve">0.2 </w:t>
            </w:r>
          </w:p>
        </w:tc>
      </w:tr>
      <w:tr w:rsidR="003A369B" w:rsidRPr="00D11E21" w:rsidTr="003A369B">
        <w:trPr>
          <w:cantSplit/>
          <w:trHeight w:val="232"/>
          <w:jc w:val="center"/>
        </w:trPr>
        <w:tc>
          <w:tcPr>
            <w:tcW w:w="2289" w:type="dxa"/>
            <w:vMerge/>
          </w:tcPr>
          <w:p w:rsidR="003A369B" w:rsidRPr="00D11E21" w:rsidRDefault="003A369B" w:rsidP="00EB5A53">
            <w:pPr>
              <w:keepNext/>
              <w:keepLines/>
              <w:spacing w:after="0" w:line="240" w:lineRule="auto"/>
              <w:ind w:left="45" w:hanging="24"/>
              <w:jc w:val="both"/>
              <w:rPr>
                <w:rFonts w:eastAsia="Times New Roman" w:cstheme="minorHAnsi"/>
                <w:b/>
                <w:sz w:val="20"/>
                <w:szCs w:val="20"/>
              </w:rPr>
            </w:pPr>
          </w:p>
        </w:tc>
        <w:tc>
          <w:tcPr>
            <w:tcW w:w="1896" w:type="dxa"/>
          </w:tcPr>
          <w:p w:rsidR="003A369B" w:rsidRPr="00D11E21" w:rsidRDefault="003A369B" w:rsidP="00EB5A53">
            <w:pPr>
              <w:keepNext/>
              <w:keepLines/>
              <w:spacing w:after="0" w:line="240" w:lineRule="auto"/>
              <w:jc w:val="both"/>
              <w:rPr>
                <w:rFonts w:eastAsia="Times New Roman" w:cstheme="minorHAnsi"/>
                <w:sz w:val="20"/>
                <w:szCs w:val="20"/>
              </w:rPr>
            </w:pPr>
            <w:r w:rsidRPr="00D11E21">
              <w:rPr>
                <w:rFonts w:eastAsia="Times New Roman" w:cstheme="minorHAnsi"/>
                <w:sz w:val="20"/>
                <w:szCs w:val="20"/>
              </w:rPr>
              <w:t>Minor bleeding</w:t>
            </w:r>
            <w:r w:rsidRPr="00D11E21">
              <w:rPr>
                <w:rFonts w:eastAsia="Times New Roman" w:cstheme="minorHAnsi"/>
                <w:sz w:val="20"/>
                <w:szCs w:val="20"/>
                <w:vertAlign w:val="superscript"/>
              </w:rPr>
              <w:t>c</w:t>
            </w:r>
          </w:p>
        </w:tc>
        <w:tc>
          <w:tcPr>
            <w:tcW w:w="1944" w:type="dxa"/>
          </w:tcPr>
          <w:p w:rsidR="003A369B" w:rsidRPr="00D11E21" w:rsidRDefault="003A369B" w:rsidP="00EB5A53">
            <w:pPr>
              <w:keepNext/>
              <w:keepLines/>
              <w:spacing w:after="0" w:line="240" w:lineRule="auto"/>
              <w:jc w:val="center"/>
              <w:rPr>
                <w:rFonts w:eastAsia="Times New Roman" w:cstheme="minorHAnsi"/>
                <w:sz w:val="20"/>
                <w:szCs w:val="20"/>
              </w:rPr>
            </w:pPr>
            <w:r w:rsidRPr="00D11E21">
              <w:rPr>
                <w:rFonts w:eastAsia="Times New Roman" w:cstheme="minorHAnsi"/>
                <w:sz w:val="20"/>
                <w:szCs w:val="20"/>
              </w:rPr>
              <w:t>2.7</w:t>
            </w:r>
          </w:p>
        </w:tc>
        <w:tc>
          <w:tcPr>
            <w:tcW w:w="1809" w:type="dxa"/>
          </w:tcPr>
          <w:p w:rsidR="003A369B" w:rsidRPr="00D11E21" w:rsidRDefault="003A369B" w:rsidP="00EB5A53">
            <w:pPr>
              <w:keepNext/>
              <w:keepLines/>
              <w:spacing w:after="0" w:line="240" w:lineRule="auto"/>
              <w:jc w:val="center"/>
              <w:rPr>
                <w:rFonts w:eastAsia="Times New Roman" w:cstheme="minorHAnsi"/>
                <w:sz w:val="20"/>
                <w:szCs w:val="20"/>
              </w:rPr>
            </w:pPr>
            <w:r w:rsidRPr="00D11E21">
              <w:rPr>
                <w:rFonts w:eastAsia="Times New Roman" w:cstheme="minorHAnsi"/>
                <w:sz w:val="20"/>
                <w:szCs w:val="20"/>
              </w:rPr>
              <w:t xml:space="preserve">3.7 </w:t>
            </w:r>
          </w:p>
        </w:tc>
      </w:tr>
      <w:tr w:rsidR="003A369B" w:rsidRPr="00D11E21" w:rsidTr="00EB5A53">
        <w:trPr>
          <w:cantSplit/>
          <w:trHeight w:val="112"/>
          <w:jc w:val="center"/>
        </w:trPr>
        <w:tc>
          <w:tcPr>
            <w:tcW w:w="2289" w:type="dxa"/>
            <w:vMerge w:val="restart"/>
          </w:tcPr>
          <w:p w:rsidR="003A369B" w:rsidRPr="00D11E21" w:rsidRDefault="003A369B" w:rsidP="00EB5A53">
            <w:pPr>
              <w:keepNext/>
              <w:keepLines/>
              <w:spacing w:after="0" w:line="240" w:lineRule="auto"/>
              <w:ind w:left="45" w:hanging="24"/>
              <w:jc w:val="both"/>
              <w:rPr>
                <w:rFonts w:eastAsia="Times New Roman" w:cstheme="minorHAnsi"/>
                <w:b/>
                <w:sz w:val="20"/>
                <w:szCs w:val="20"/>
              </w:rPr>
            </w:pPr>
            <w:r w:rsidRPr="00D11E21">
              <w:rPr>
                <w:rFonts w:eastAsia="Times New Roman" w:cstheme="minorHAnsi"/>
                <w:b/>
                <w:sz w:val="20"/>
                <w:szCs w:val="20"/>
              </w:rPr>
              <w:t>Hip Replacement</w:t>
            </w:r>
          </w:p>
          <w:p w:rsidR="003A369B" w:rsidRPr="00D11E21" w:rsidRDefault="003A369B" w:rsidP="00EB5A53">
            <w:pPr>
              <w:keepNext/>
              <w:keepLines/>
              <w:spacing w:after="0" w:line="240" w:lineRule="auto"/>
              <w:ind w:left="45" w:hanging="24"/>
              <w:jc w:val="both"/>
              <w:rPr>
                <w:rFonts w:eastAsia="Times New Roman" w:cstheme="minorHAnsi"/>
                <w:sz w:val="20"/>
                <w:szCs w:val="20"/>
              </w:rPr>
            </w:pPr>
            <w:r w:rsidRPr="00D11E21">
              <w:rPr>
                <w:rFonts w:eastAsia="Times New Roman" w:cstheme="minorHAnsi"/>
                <w:sz w:val="20"/>
                <w:szCs w:val="20"/>
              </w:rPr>
              <w:t>(Pentathlon 2000)</w:t>
            </w:r>
            <w:r w:rsidRPr="00D11E21">
              <w:rPr>
                <w:rFonts w:eastAsia="Times New Roman" w:cstheme="minorHAnsi"/>
                <w:sz w:val="20"/>
                <w:szCs w:val="20"/>
                <w:vertAlign w:val="superscript"/>
              </w:rPr>
              <w:t xml:space="preserve"> a</w:t>
            </w:r>
          </w:p>
        </w:tc>
        <w:tc>
          <w:tcPr>
            <w:tcW w:w="1896" w:type="dxa"/>
          </w:tcPr>
          <w:p w:rsidR="003A369B" w:rsidRPr="00D11E21" w:rsidRDefault="003A369B" w:rsidP="00EB5A53">
            <w:pPr>
              <w:keepNext/>
              <w:keepLines/>
              <w:spacing w:after="0" w:line="240" w:lineRule="auto"/>
              <w:jc w:val="both"/>
              <w:rPr>
                <w:rFonts w:eastAsia="Times New Roman" w:cstheme="minorHAnsi"/>
                <w:sz w:val="20"/>
                <w:szCs w:val="20"/>
              </w:rPr>
            </w:pPr>
            <w:r w:rsidRPr="00D11E21">
              <w:rPr>
                <w:rFonts w:eastAsia="Times New Roman" w:cstheme="minorHAnsi"/>
                <w:sz w:val="20"/>
                <w:szCs w:val="20"/>
              </w:rPr>
              <w:t>Major bleeding</w:t>
            </w:r>
          </w:p>
        </w:tc>
        <w:tc>
          <w:tcPr>
            <w:tcW w:w="1944" w:type="dxa"/>
          </w:tcPr>
          <w:p w:rsidR="003A369B" w:rsidRPr="00D11E21" w:rsidRDefault="003A369B" w:rsidP="00EB5A53">
            <w:pPr>
              <w:keepNext/>
              <w:keepLines/>
              <w:spacing w:after="0" w:line="240" w:lineRule="auto"/>
              <w:jc w:val="center"/>
              <w:rPr>
                <w:rFonts w:eastAsia="Times New Roman" w:cstheme="minorHAnsi"/>
                <w:sz w:val="20"/>
                <w:szCs w:val="20"/>
              </w:rPr>
            </w:pPr>
            <w:r w:rsidRPr="00D11E21">
              <w:rPr>
                <w:rFonts w:eastAsia="Times New Roman" w:cstheme="minorHAnsi"/>
                <w:sz w:val="20"/>
                <w:szCs w:val="20"/>
              </w:rPr>
              <w:t xml:space="preserve">1.8 </w:t>
            </w:r>
          </w:p>
        </w:tc>
        <w:tc>
          <w:tcPr>
            <w:tcW w:w="1809" w:type="dxa"/>
          </w:tcPr>
          <w:p w:rsidR="003A369B" w:rsidRPr="00D11E21" w:rsidRDefault="003A369B" w:rsidP="00EB5A53">
            <w:pPr>
              <w:keepNext/>
              <w:keepLines/>
              <w:spacing w:after="0" w:line="240" w:lineRule="auto"/>
              <w:jc w:val="center"/>
              <w:rPr>
                <w:rFonts w:eastAsia="Times New Roman" w:cstheme="minorHAnsi"/>
                <w:sz w:val="20"/>
                <w:szCs w:val="20"/>
              </w:rPr>
            </w:pPr>
            <w:r w:rsidRPr="00D11E21">
              <w:rPr>
                <w:rFonts w:eastAsia="Times New Roman" w:cstheme="minorHAnsi"/>
                <w:sz w:val="20"/>
                <w:szCs w:val="20"/>
              </w:rPr>
              <w:t xml:space="preserve">1.0 </w:t>
            </w:r>
          </w:p>
        </w:tc>
      </w:tr>
      <w:tr w:rsidR="003A369B" w:rsidRPr="00D11E21" w:rsidTr="00EB5A53">
        <w:trPr>
          <w:cantSplit/>
          <w:trHeight w:val="121"/>
          <w:jc w:val="center"/>
        </w:trPr>
        <w:tc>
          <w:tcPr>
            <w:tcW w:w="2289" w:type="dxa"/>
            <w:vMerge/>
          </w:tcPr>
          <w:p w:rsidR="003A369B" w:rsidRPr="00D11E21" w:rsidRDefault="003A369B" w:rsidP="00EB5A53">
            <w:pPr>
              <w:keepNext/>
              <w:keepLines/>
              <w:spacing w:after="0" w:line="240" w:lineRule="auto"/>
              <w:ind w:left="45" w:hanging="24"/>
              <w:jc w:val="both"/>
              <w:rPr>
                <w:rFonts w:eastAsia="Times New Roman" w:cstheme="minorHAnsi"/>
                <w:b/>
                <w:sz w:val="20"/>
                <w:szCs w:val="20"/>
              </w:rPr>
            </w:pPr>
          </w:p>
        </w:tc>
        <w:tc>
          <w:tcPr>
            <w:tcW w:w="1896" w:type="dxa"/>
          </w:tcPr>
          <w:p w:rsidR="003A369B" w:rsidRPr="00D11E21" w:rsidRDefault="003A369B" w:rsidP="00EB5A53">
            <w:pPr>
              <w:keepNext/>
              <w:keepLines/>
              <w:spacing w:after="0" w:line="240" w:lineRule="auto"/>
              <w:jc w:val="both"/>
              <w:rPr>
                <w:rFonts w:eastAsia="Times New Roman" w:cstheme="minorHAnsi"/>
                <w:sz w:val="20"/>
                <w:szCs w:val="20"/>
              </w:rPr>
            </w:pPr>
            <w:r w:rsidRPr="00D11E21">
              <w:rPr>
                <w:rFonts w:eastAsia="Times New Roman" w:cstheme="minorHAnsi"/>
                <w:sz w:val="20"/>
                <w:szCs w:val="20"/>
              </w:rPr>
              <w:t>Minor bleeding</w:t>
            </w:r>
          </w:p>
        </w:tc>
        <w:tc>
          <w:tcPr>
            <w:tcW w:w="1944" w:type="dxa"/>
          </w:tcPr>
          <w:p w:rsidR="003A369B" w:rsidRPr="00D11E21" w:rsidRDefault="003A369B" w:rsidP="00EB5A53">
            <w:pPr>
              <w:keepNext/>
              <w:keepLines/>
              <w:spacing w:after="0" w:line="240" w:lineRule="auto"/>
              <w:jc w:val="center"/>
              <w:rPr>
                <w:rFonts w:eastAsia="Times New Roman" w:cstheme="minorHAnsi"/>
                <w:sz w:val="20"/>
                <w:szCs w:val="20"/>
              </w:rPr>
            </w:pPr>
            <w:r w:rsidRPr="00D11E21">
              <w:rPr>
                <w:rFonts w:eastAsia="Times New Roman" w:cstheme="minorHAnsi"/>
                <w:sz w:val="20"/>
                <w:szCs w:val="20"/>
              </w:rPr>
              <w:t>1.5</w:t>
            </w:r>
          </w:p>
        </w:tc>
        <w:tc>
          <w:tcPr>
            <w:tcW w:w="1809" w:type="dxa"/>
          </w:tcPr>
          <w:p w:rsidR="003A369B" w:rsidRPr="00D11E21" w:rsidRDefault="003A369B" w:rsidP="00EB5A53">
            <w:pPr>
              <w:keepNext/>
              <w:keepLines/>
              <w:spacing w:after="0" w:line="240" w:lineRule="auto"/>
              <w:jc w:val="center"/>
              <w:rPr>
                <w:rFonts w:eastAsia="Times New Roman" w:cstheme="minorHAnsi"/>
                <w:sz w:val="20"/>
                <w:szCs w:val="20"/>
              </w:rPr>
            </w:pPr>
            <w:r w:rsidRPr="00D11E21">
              <w:rPr>
                <w:rFonts w:eastAsia="Times New Roman" w:cstheme="minorHAnsi"/>
                <w:sz w:val="20"/>
                <w:szCs w:val="20"/>
              </w:rPr>
              <w:t xml:space="preserve">2.1 </w:t>
            </w:r>
          </w:p>
        </w:tc>
      </w:tr>
      <w:tr w:rsidR="003A369B" w:rsidRPr="00D11E21" w:rsidTr="003A369B">
        <w:trPr>
          <w:cantSplit/>
          <w:trHeight w:val="233"/>
          <w:jc w:val="center"/>
        </w:trPr>
        <w:tc>
          <w:tcPr>
            <w:tcW w:w="2289" w:type="dxa"/>
            <w:vMerge w:val="restart"/>
          </w:tcPr>
          <w:p w:rsidR="003A369B" w:rsidRPr="00D11E21" w:rsidRDefault="003A369B" w:rsidP="00EB5A53">
            <w:pPr>
              <w:keepNext/>
              <w:keepLines/>
              <w:spacing w:after="0" w:line="240" w:lineRule="auto"/>
              <w:ind w:left="45" w:hanging="24"/>
              <w:jc w:val="both"/>
              <w:rPr>
                <w:rFonts w:eastAsia="Times New Roman" w:cstheme="minorHAnsi"/>
                <w:sz w:val="20"/>
                <w:szCs w:val="20"/>
              </w:rPr>
            </w:pPr>
            <w:r w:rsidRPr="00D11E21">
              <w:rPr>
                <w:rFonts w:eastAsia="Times New Roman" w:cstheme="minorHAnsi"/>
                <w:sz w:val="20"/>
                <w:szCs w:val="20"/>
              </w:rPr>
              <w:t>(Ephesus)</w:t>
            </w:r>
            <w:r w:rsidRPr="00D11E21">
              <w:rPr>
                <w:rFonts w:eastAsia="Times New Roman" w:cstheme="minorHAnsi"/>
                <w:sz w:val="20"/>
                <w:szCs w:val="20"/>
                <w:vertAlign w:val="superscript"/>
              </w:rPr>
              <w:t xml:space="preserve"> e</w:t>
            </w:r>
          </w:p>
          <w:p w:rsidR="003A369B" w:rsidRPr="00D11E21" w:rsidRDefault="003A369B" w:rsidP="00EB5A53">
            <w:pPr>
              <w:keepNext/>
              <w:keepLines/>
              <w:spacing w:after="0" w:line="240" w:lineRule="auto"/>
              <w:ind w:left="45" w:hanging="24"/>
              <w:jc w:val="both"/>
              <w:rPr>
                <w:rFonts w:eastAsia="Times New Roman" w:cstheme="minorHAnsi"/>
                <w:b/>
                <w:sz w:val="20"/>
                <w:szCs w:val="20"/>
              </w:rPr>
            </w:pPr>
          </w:p>
        </w:tc>
        <w:tc>
          <w:tcPr>
            <w:tcW w:w="1896" w:type="dxa"/>
          </w:tcPr>
          <w:p w:rsidR="003A369B" w:rsidRPr="00D11E21" w:rsidRDefault="003A369B" w:rsidP="00EB5A53">
            <w:pPr>
              <w:keepNext/>
              <w:keepLines/>
              <w:spacing w:after="0" w:line="240" w:lineRule="auto"/>
              <w:jc w:val="both"/>
              <w:rPr>
                <w:rFonts w:eastAsia="Times New Roman" w:cstheme="minorHAnsi"/>
                <w:sz w:val="20"/>
                <w:szCs w:val="20"/>
              </w:rPr>
            </w:pPr>
            <w:r w:rsidRPr="00D11E21">
              <w:rPr>
                <w:rFonts w:eastAsia="Times New Roman" w:cstheme="minorHAnsi"/>
                <w:sz w:val="20"/>
                <w:szCs w:val="20"/>
              </w:rPr>
              <w:t>Major bleeding</w:t>
            </w:r>
          </w:p>
        </w:tc>
        <w:tc>
          <w:tcPr>
            <w:tcW w:w="1944" w:type="dxa"/>
          </w:tcPr>
          <w:p w:rsidR="003A369B" w:rsidRPr="00D11E21" w:rsidRDefault="003A369B" w:rsidP="00EB5A53">
            <w:pPr>
              <w:keepNext/>
              <w:keepLines/>
              <w:spacing w:after="0" w:line="240" w:lineRule="auto"/>
              <w:jc w:val="center"/>
              <w:rPr>
                <w:rFonts w:eastAsia="Times New Roman" w:cstheme="minorHAnsi"/>
                <w:sz w:val="20"/>
                <w:szCs w:val="20"/>
              </w:rPr>
            </w:pPr>
            <w:r w:rsidRPr="00D11E21">
              <w:rPr>
                <w:rFonts w:eastAsia="Times New Roman" w:cstheme="minorHAnsi"/>
                <w:sz w:val="20"/>
                <w:szCs w:val="20"/>
              </w:rPr>
              <w:t xml:space="preserve">4.1 </w:t>
            </w:r>
          </w:p>
        </w:tc>
        <w:tc>
          <w:tcPr>
            <w:tcW w:w="1809" w:type="dxa"/>
          </w:tcPr>
          <w:p w:rsidR="003A369B" w:rsidRPr="00D11E21" w:rsidRDefault="003A369B" w:rsidP="00EB5A53">
            <w:pPr>
              <w:keepNext/>
              <w:keepLines/>
              <w:spacing w:after="0" w:line="240" w:lineRule="auto"/>
              <w:jc w:val="center"/>
              <w:rPr>
                <w:rFonts w:eastAsia="Times New Roman" w:cstheme="minorHAnsi"/>
                <w:sz w:val="20"/>
                <w:szCs w:val="20"/>
              </w:rPr>
            </w:pPr>
            <w:r w:rsidRPr="00D11E21">
              <w:rPr>
                <w:rFonts w:eastAsia="Times New Roman" w:cstheme="minorHAnsi"/>
                <w:sz w:val="20"/>
                <w:szCs w:val="20"/>
              </w:rPr>
              <w:t xml:space="preserve">2.8 </w:t>
            </w:r>
          </w:p>
        </w:tc>
      </w:tr>
      <w:tr w:rsidR="003A369B" w:rsidRPr="00D11E21" w:rsidTr="003A369B">
        <w:trPr>
          <w:cantSplit/>
          <w:trHeight w:val="232"/>
          <w:jc w:val="center"/>
        </w:trPr>
        <w:tc>
          <w:tcPr>
            <w:tcW w:w="2289" w:type="dxa"/>
            <w:vMerge/>
          </w:tcPr>
          <w:p w:rsidR="003A369B" w:rsidRPr="00D11E21" w:rsidRDefault="003A369B" w:rsidP="00EB5A53">
            <w:pPr>
              <w:keepNext/>
              <w:keepLines/>
              <w:spacing w:after="0" w:line="240" w:lineRule="auto"/>
              <w:ind w:left="45" w:hanging="24"/>
              <w:jc w:val="both"/>
              <w:rPr>
                <w:rFonts w:eastAsia="Times New Roman" w:cstheme="minorHAnsi"/>
                <w:sz w:val="20"/>
                <w:szCs w:val="20"/>
              </w:rPr>
            </w:pPr>
          </w:p>
        </w:tc>
        <w:tc>
          <w:tcPr>
            <w:tcW w:w="1896" w:type="dxa"/>
          </w:tcPr>
          <w:p w:rsidR="003A369B" w:rsidRPr="00D11E21" w:rsidRDefault="003A369B" w:rsidP="00EB5A53">
            <w:pPr>
              <w:keepNext/>
              <w:keepLines/>
              <w:spacing w:after="0" w:line="240" w:lineRule="auto"/>
              <w:jc w:val="both"/>
              <w:rPr>
                <w:rFonts w:eastAsia="Times New Roman" w:cstheme="minorHAnsi"/>
                <w:sz w:val="20"/>
                <w:szCs w:val="20"/>
              </w:rPr>
            </w:pPr>
            <w:r w:rsidRPr="00D11E21">
              <w:rPr>
                <w:rFonts w:eastAsia="Times New Roman" w:cstheme="minorHAnsi"/>
                <w:sz w:val="20"/>
                <w:szCs w:val="20"/>
              </w:rPr>
              <w:t>Minor bleeding</w:t>
            </w:r>
          </w:p>
        </w:tc>
        <w:tc>
          <w:tcPr>
            <w:tcW w:w="1944" w:type="dxa"/>
          </w:tcPr>
          <w:p w:rsidR="003A369B" w:rsidRPr="00D11E21" w:rsidRDefault="003A369B" w:rsidP="00EB5A53">
            <w:pPr>
              <w:keepNext/>
              <w:keepLines/>
              <w:spacing w:after="0" w:line="240" w:lineRule="auto"/>
              <w:jc w:val="center"/>
              <w:rPr>
                <w:rFonts w:eastAsia="Times New Roman" w:cstheme="minorHAnsi"/>
                <w:sz w:val="20"/>
                <w:szCs w:val="20"/>
              </w:rPr>
            </w:pPr>
            <w:r w:rsidRPr="00D11E21">
              <w:rPr>
                <w:rFonts w:eastAsia="Times New Roman" w:cstheme="minorHAnsi"/>
                <w:sz w:val="20"/>
                <w:szCs w:val="20"/>
              </w:rPr>
              <w:t xml:space="preserve">3.9 </w:t>
            </w:r>
          </w:p>
        </w:tc>
        <w:tc>
          <w:tcPr>
            <w:tcW w:w="1809" w:type="dxa"/>
          </w:tcPr>
          <w:p w:rsidR="003A369B" w:rsidRPr="00D11E21" w:rsidRDefault="003A369B" w:rsidP="00EB5A53">
            <w:pPr>
              <w:keepNext/>
              <w:keepLines/>
              <w:spacing w:after="0" w:line="240" w:lineRule="auto"/>
              <w:jc w:val="center"/>
              <w:rPr>
                <w:rFonts w:eastAsia="Times New Roman" w:cstheme="minorHAnsi"/>
                <w:sz w:val="20"/>
                <w:szCs w:val="20"/>
              </w:rPr>
            </w:pPr>
            <w:r w:rsidRPr="00D11E21">
              <w:rPr>
                <w:rFonts w:eastAsia="Times New Roman" w:cstheme="minorHAnsi"/>
                <w:sz w:val="20"/>
                <w:szCs w:val="20"/>
              </w:rPr>
              <w:t xml:space="preserve">3.4 </w:t>
            </w:r>
          </w:p>
        </w:tc>
      </w:tr>
      <w:tr w:rsidR="003A369B" w:rsidRPr="00D11E21" w:rsidTr="003A369B">
        <w:trPr>
          <w:cantSplit/>
          <w:trHeight w:val="232"/>
          <w:jc w:val="center"/>
        </w:trPr>
        <w:tc>
          <w:tcPr>
            <w:tcW w:w="2289" w:type="dxa"/>
            <w:vMerge w:val="restart"/>
          </w:tcPr>
          <w:p w:rsidR="003A369B" w:rsidRPr="00D11E21" w:rsidRDefault="003A369B" w:rsidP="00EB5A53">
            <w:pPr>
              <w:keepNext/>
              <w:keepLines/>
              <w:widowControl w:val="0"/>
              <w:tabs>
                <w:tab w:val="center" w:pos="4512"/>
              </w:tabs>
              <w:spacing w:before="120" w:after="0" w:line="240" w:lineRule="auto"/>
              <w:ind w:left="45" w:hanging="24"/>
              <w:jc w:val="both"/>
              <w:outlineLvl w:val="2"/>
              <w:rPr>
                <w:rFonts w:eastAsia="Times New Roman" w:cstheme="minorHAnsi"/>
                <w:b/>
                <w:sz w:val="20"/>
                <w:szCs w:val="20"/>
              </w:rPr>
            </w:pPr>
            <w:r w:rsidRPr="00D11E21">
              <w:rPr>
                <w:rFonts w:eastAsia="Times New Roman" w:cstheme="minorHAnsi"/>
                <w:b/>
                <w:sz w:val="20"/>
                <w:szCs w:val="20"/>
              </w:rPr>
              <w:t>Hip Fracture</w:t>
            </w:r>
          </w:p>
          <w:p w:rsidR="003A369B" w:rsidRPr="00D11E21" w:rsidRDefault="003A369B" w:rsidP="00EB5A53">
            <w:pPr>
              <w:keepNext/>
              <w:keepLines/>
              <w:spacing w:after="0" w:line="240" w:lineRule="auto"/>
              <w:ind w:left="45" w:hanging="24"/>
              <w:jc w:val="both"/>
              <w:rPr>
                <w:rFonts w:eastAsia="Times New Roman" w:cstheme="minorHAnsi"/>
                <w:b/>
                <w:sz w:val="20"/>
                <w:szCs w:val="20"/>
              </w:rPr>
            </w:pPr>
            <w:r w:rsidRPr="00D11E21">
              <w:rPr>
                <w:rFonts w:eastAsia="Times New Roman" w:cstheme="minorHAnsi"/>
                <w:sz w:val="20"/>
                <w:szCs w:val="20"/>
              </w:rPr>
              <w:t>(Penthifra)</w:t>
            </w:r>
            <w:r w:rsidRPr="00D11E21">
              <w:rPr>
                <w:rFonts w:eastAsia="Times New Roman" w:cstheme="minorHAnsi"/>
                <w:sz w:val="20"/>
                <w:szCs w:val="20"/>
                <w:vertAlign w:val="superscript"/>
              </w:rPr>
              <w:t xml:space="preserve"> e</w:t>
            </w:r>
          </w:p>
        </w:tc>
        <w:tc>
          <w:tcPr>
            <w:tcW w:w="1896" w:type="dxa"/>
          </w:tcPr>
          <w:p w:rsidR="003A369B" w:rsidRPr="00D11E21" w:rsidRDefault="003A369B" w:rsidP="00EB5A53">
            <w:pPr>
              <w:keepNext/>
              <w:keepLines/>
              <w:spacing w:after="0" w:line="240" w:lineRule="auto"/>
              <w:jc w:val="both"/>
              <w:rPr>
                <w:rFonts w:eastAsia="Times New Roman" w:cstheme="minorHAnsi"/>
                <w:sz w:val="20"/>
                <w:szCs w:val="20"/>
              </w:rPr>
            </w:pPr>
            <w:r w:rsidRPr="00D11E21">
              <w:rPr>
                <w:rFonts w:eastAsia="Times New Roman" w:cstheme="minorHAnsi"/>
                <w:sz w:val="20"/>
                <w:szCs w:val="20"/>
              </w:rPr>
              <w:t>Major bleeding</w:t>
            </w:r>
          </w:p>
        </w:tc>
        <w:tc>
          <w:tcPr>
            <w:tcW w:w="1944" w:type="dxa"/>
          </w:tcPr>
          <w:p w:rsidR="003A369B" w:rsidRPr="00D11E21" w:rsidRDefault="003A369B" w:rsidP="00EB5A53">
            <w:pPr>
              <w:keepNext/>
              <w:keepLines/>
              <w:spacing w:after="0" w:line="240" w:lineRule="auto"/>
              <w:jc w:val="center"/>
              <w:rPr>
                <w:rFonts w:eastAsia="Times New Roman" w:cstheme="minorHAnsi"/>
                <w:sz w:val="20"/>
                <w:szCs w:val="20"/>
              </w:rPr>
            </w:pPr>
            <w:r w:rsidRPr="00D11E21">
              <w:rPr>
                <w:rFonts w:eastAsia="Times New Roman" w:cstheme="minorHAnsi"/>
                <w:sz w:val="20"/>
                <w:szCs w:val="20"/>
              </w:rPr>
              <w:t xml:space="preserve">2.2 </w:t>
            </w:r>
          </w:p>
        </w:tc>
        <w:tc>
          <w:tcPr>
            <w:tcW w:w="1809" w:type="dxa"/>
          </w:tcPr>
          <w:p w:rsidR="003A369B" w:rsidRPr="00D11E21" w:rsidRDefault="003A369B" w:rsidP="00EB5A53">
            <w:pPr>
              <w:keepNext/>
              <w:keepLines/>
              <w:spacing w:after="0" w:line="240" w:lineRule="auto"/>
              <w:jc w:val="center"/>
              <w:rPr>
                <w:rFonts w:eastAsia="Times New Roman" w:cstheme="minorHAnsi"/>
                <w:sz w:val="20"/>
                <w:szCs w:val="20"/>
              </w:rPr>
            </w:pPr>
            <w:r w:rsidRPr="00D11E21">
              <w:rPr>
                <w:rFonts w:eastAsia="Times New Roman" w:cstheme="minorHAnsi"/>
                <w:sz w:val="20"/>
                <w:szCs w:val="20"/>
              </w:rPr>
              <w:t xml:space="preserve">2.3 </w:t>
            </w:r>
          </w:p>
        </w:tc>
      </w:tr>
      <w:tr w:rsidR="003A369B" w:rsidRPr="00D11E21" w:rsidTr="003A369B">
        <w:trPr>
          <w:cantSplit/>
          <w:trHeight w:val="232"/>
          <w:jc w:val="center"/>
        </w:trPr>
        <w:tc>
          <w:tcPr>
            <w:tcW w:w="2289" w:type="dxa"/>
            <w:vMerge/>
          </w:tcPr>
          <w:p w:rsidR="003A369B" w:rsidRPr="00D11E21" w:rsidRDefault="003A369B" w:rsidP="00EB5A53">
            <w:pPr>
              <w:keepNext/>
              <w:keepLines/>
              <w:spacing w:after="0" w:line="240" w:lineRule="auto"/>
              <w:ind w:left="45" w:hanging="24"/>
              <w:jc w:val="both"/>
              <w:rPr>
                <w:rFonts w:eastAsia="Times New Roman" w:cstheme="minorHAnsi"/>
                <w:sz w:val="20"/>
                <w:szCs w:val="20"/>
              </w:rPr>
            </w:pPr>
          </w:p>
        </w:tc>
        <w:tc>
          <w:tcPr>
            <w:tcW w:w="1896" w:type="dxa"/>
          </w:tcPr>
          <w:p w:rsidR="003A369B" w:rsidRPr="00D11E21" w:rsidRDefault="003A369B" w:rsidP="00EB5A53">
            <w:pPr>
              <w:keepNext/>
              <w:keepLines/>
              <w:spacing w:after="0" w:line="240" w:lineRule="auto"/>
              <w:jc w:val="both"/>
              <w:rPr>
                <w:rFonts w:eastAsia="Times New Roman" w:cstheme="minorHAnsi"/>
                <w:sz w:val="20"/>
                <w:szCs w:val="20"/>
              </w:rPr>
            </w:pPr>
            <w:r w:rsidRPr="00D11E21">
              <w:rPr>
                <w:rFonts w:eastAsia="Times New Roman" w:cstheme="minorHAnsi"/>
                <w:sz w:val="20"/>
                <w:szCs w:val="20"/>
              </w:rPr>
              <w:t>Minor bleeding</w:t>
            </w:r>
          </w:p>
        </w:tc>
        <w:tc>
          <w:tcPr>
            <w:tcW w:w="1944" w:type="dxa"/>
          </w:tcPr>
          <w:p w:rsidR="003A369B" w:rsidRPr="00D11E21" w:rsidRDefault="003A369B" w:rsidP="00EB5A53">
            <w:pPr>
              <w:keepNext/>
              <w:keepLines/>
              <w:spacing w:after="0" w:line="240" w:lineRule="auto"/>
              <w:jc w:val="center"/>
              <w:rPr>
                <w:rFonts w:eastAsia="Times New Roman" w:cstheme="minorHAnsi"/>
                <w:sz w:val="20"/>
                <w:szCs w:val="20"/>
              </w:rPr>
            </w:pPr>
            <w:r w:rsidRPr="00D11E21">
              <w:rPr>
                <w:rFonts w:eastAsia="Times New Roman" w:cstheme="minorHAnsi"/>
                <w:sz w:val="20"/>
                <w:szCs w:val="20"/>
              </w:rPr>
              <w:t xml:space="preserve">4.1 </w:t>
            </w:r>
          </w:p>
        </w:tc>
        <w:tc>
          <w:tcPr>
            <w:tcW w:w="1809" w:type="dxa"/>
          </w:tcPr>
          <w:p w:rsidR="003A369B" w:rsidRPr="00D11E21" w:rsidRDefault="003A369B" w:rsidP="00EB5A53">
            <w:pPr>
              <w:keepNext/>
              <w:keepLines/>
              <w:spacing w:after="0" w:line="240" w:lineRule="auto"/>
              <w:jc w:val="center"/>
              <w:rPr>
                <w:rFonts w:eastAsia="Times New Roman" w:cstheme="minorHAnsi"/>
                <w:sz w:val="20"/>
                <w:szCs w:val="20"/>
              </w:rPr>
            </w:pPr>
            <w:r w:rsidRPr="00D11E21">
              <w:rPr>
                <w:rFonts w:eastAsia="Times New Roman" w:cstheme="minorHAnsi"/>
                <w:sz w:val="20"/>
                <w:szCs w:val="20"/>
              </w:rPr>
              <w:t xml:space="preserve">2.1 </w:t>
            </w:r>
          </w:p>
        </w:tc>
      </w:tr>
      <w:tr w:rsidR="003A369B" w:rsidRPr="00D11E21" w:rsidTr="003A369B">
        <w:trPr>
          <w:cantSplit/>
          <w:trHeight w:val="232"/>
          <w:jc w:val="center"/>
        </w:trPr>
        <w:tc>
          <w:tcPr>
            <w:tcW w:w="2289" w:type="dxa"/>
          </w:tcPr>
          <w:p w:rsidR="003A369B" w:rsidRPr="00D11E21" w:rsidRDefault="003A369B" w:rsidP="00EB5A53">
            <w:pPr>
              <w:keepNext/>
              <w:keepLines/>
              <w:spacing w:after="0" w:line="240" w:lineRule="auto"/>
              <w:ind w:left="45" w:hanging="24"/>
              <w:jc w:val="both"/>
              <w:rPr>
                <w:rFonts w:eastAsia="Times New Roman" w:cstheme="minorHAnsi"/>
                <w:color w:val="FF0000"/>
                <w:sz w:val="20"/>
                <w:szCs w:val="20"/>
              </w:rPr>
            </w:pPr>
          </w:p>
        </w:tc>
        <w:tc>
          <w:tcPr>
            <w:tcW w:w="1896" w:type="dxa"/>
          </w:tcPr>
          <w:p w:rsidR="003A369B" w:rsidRPr="00D11E21" w:rsidRDefault="003A369B" w:rsidP="00EB5A53">
            <w:pPr>
              <w:keepNext/>
              <w:keepLines/>
              <w:spacing w:after="0" w:line="240" w:lineRule="auto"/>
              <w:jc w:val="both"/>
              <w:rPr>
                <w:rFonts w:eastAsia="Times New Roman" w:cstheme="minorHAnsi"/>
                <w:color w:val="FF0000"/>
                <w:sz w:val="20"/>
                <w:szCs w:val="20"/>
              </w:rPr>
            </w:pPr>
          </w:p>
        </w:tc>
        <w:tc>
          <w:tcPr>
            <w:tcW w:w="1944" w:type="dxa"/>
          </w:tcPr>
          <w:p w:rsidR="003A369B" w:rsidRPr="00D11E21" w:rsidRDefault="003A369B" w:rsidP="00EB5A53">
            <w:pPr>
              <w:keepNext/>
              <w:keepLines/>
              <w:spacing w:after="0" w:line="240" w:lineRule="auto"/>
              <w:jc w:val="center"/>
              <w:rPr>
                <w:rFonts w:eastAsia="Times New Roman" w:cstheme="minorHAnsi"/>
                <w:b/>
                <w:sz w:val="20"/>
                <w:szCs w:val="20"/>
              </w:rPr>
            </w:pPr>
            <w:r w:rsidRPr="00D11E21">
              <w:rPr>
                <w:rFonts w:eastAsia="Times New Roman" w:cstheme="minorHAnsi"/>
                <w:b/>
                <w:sz w:val="20"/>
                <w:szCs w:val="20"/>
              </w:rPr>
              <w:t>Fondaparinux</w:t>
            </w:r>
          </w:p>
          <w:p w:rsidR="003A369B" w:rsidRPr="00D11E21" w:rsidRDefault="003A369B" w:rsidP="00EB5A53">
            <w:pPr>
              <w:keepNext/>
              <w:keepLines/>
              <w:spacing w:after="0" w:line="240" w:lineRule="auto"/>
              <w:jc w:val="center"/>
              <w:rPr>
                <w:rFonts w:eastAsia="Times New Roman" w:cstheme="minorHAnsi"/>
                <w:sz w:val="20"/>
                <w:szCs w:val="20"/>
              </w:rPr>
            </w:pPr>
            <w:r w:rsidRPr="00D11E21">
              <w:rPr>
                <w:rFonts w:eastAsia="Times New Roman" w:cstheme="minorHAnsi"/>
                <w:b/>
                <w:sz w:val="20"/>
                <w:szCs w:val="20"/>
              </w:rPr>
              <w:t>2.5 mg daily</w:t>
            </w:r>
          </w:p>
        </w:tc>
        <w:tc>
          <w:tcPr>
            <w:tcW w:w="1809" w:type="dxa"/>
          </w:tcPr>
          <w:p w:rsidR="003A369B" w:rsidRPr="00D11E21" w:rsidRDefault="003A369B" w:rsidP="00EB5A53">
            <w:pPr>
              <w:keepNext/>
              <w:keepLines/>
              <w:widowControl w:val="0"/>
              <w:tabs>
                <w:tab w:val="center" w:pos="4512"/>
              </w:tabs>
              <w:spacing w:after="0" w:line="240" w:lineRule="auto"/>
              <w:jc w:val="center"/>
              <w:outlineLvl w:val="1"/>
              <w:rPr>
                <w:rFonts w:eastAsia="Times New Roman" w:cstheme="minorHAnsi"/>
                <w:b/>
                <w:sz w:val="20"/>
                <w:szCs w:val="20"/>
              </w:rPr>
            </w:pPr>
            <w:r w:rsidRPr="00D11E21">
              <w:rPr>
                <w:rFonts w:eastAsia="Times New Roman" w:cstheme="minorHAnsi"/>
                <w:b/>
                <w:sz w:val="20"/>
                <w:szCs w:val="20"/>
              </w:rPr>
              <w:t>Placebo</w:t>
            </w:r>
          </w:p>
        </w:tc>
      </w:tr>
      <w:tr w:rsidR="003A369B" w:rsidRPr="00D11E21" w:rsidTr="003A369B">
        <w:trPr>
          <w:cantSplit/>
          <w:trHeight w:val="232"/>
          <w:jc w:val="center"/>
        </w:trPr>
        <w:tc>
          <w:tcPr>
            <w:tcW w:w="2289" w:type="dxa"/>
            <w:vMerge w:val="restart"/>
          </w:tcPr>
          <w:p w:rsidR="003A369B" w:rsidRPr="00EB5A53" w:rsidRDefault="003A369B" w:rsidP="00EB5A53">
            <w:pPr>
              <w:keepNext/>
              <w:keepLines/>
              <w:spacing w:after="0" w:line="240" w:lineRule="auto"/>
              <w:ind w:left="45" w:hanging="24"/>
              <w:jc w:val="both"/>
              <w:rPr>
                <w:rFonts w:eastAsia="Times New Roman" w:cstheme="minorHAnsi"/>
                <w:b/>
                <w:sz w:val="20"/>
                <w:szCs w:val="20"/>
              </w:rPr>
            </w:pPr>
            <w:r w:rsidRPr="00EB5A53">
              <w:rPr>
                <w:rFonts w:eastAsia="Times New Roman" w:cstheme="minorHAnsi"/>
                <w:b/>
                <w:sz w:val="20"/>
                <w:szCs w:val="20"/>
              </w:rPr>
              <w:t>Extended prophylaxis</w:t>
            </w:r>
          </w:p>
          <w:p w:rsidR="003A369B" w:rsidRPr="00D11E21" w:rsidRDefault="003A369B" w:rsidP="00EB5A53">
            <w:pPr>
              <w:keepNext/>
              <w:keepLines/>
              <w:spacing w:after="0" w:line="240" w:lineRule="auto"/>
              <w:jc w:val="both"/>
              <w:rPr>
                <w:rFonts w:eastAsia="Times New Roman" w:cstheme="minorHAnsi"/>
                <w:sz w:val="20"/>
                <w:szCs w:val="20"/>
              </w:rPr>
            </w:pPr>
            <w:r w:rsidRPr="00D11E21">
              <w:rPr>
                <w:rFonts w:eastAsia="Times New Roman" w:cstheme="minorHAnsi"/>
                <w:sz w:val="20"/>
                <w:szCs w:val="20"/>
              </w:rPr>
              <w:t>(Penthifra Plus)</w:t>
            </w:r>
          </w:p>
        </w:tc>
        <w:tc>
          <w:tcPr>
            <w:tcW w:w="1896" w:type="dxa"/>
          </w:tcPr>
          <w:p w:rsidR="003A369B" w:rsidRPr="00D11E21" w:rsidRDefault="003A369B" w:rsidP="00EB5A53">
            <w:pPr>
              <w:keepNext/>
              <w:keepLines/>
              <w:spacing w:after="0" w:line="240" w:lineRule="auto"/>
              <w:jc w:val="both"/>
              <w:rPr>
                <w:rFonts w:eastAsia="Times New Roman" w:cstheme="minorHAnsi"/>
                <w:sz w:val="20"/>
                <w:szCs w:val="20"/>
              </w:rPr>
            </w:pPr>
            <w:r w:rsidRPr="00D11E21">
              <w:rPr>
                <w:rFonts w:eastAsia="Times New Roman" w:cstheme="minorHAnsi"/>
                <w:sz w:val="20"/>
                <w:szCs w:val="20"/>
              </w:rPr>
              <w:t>Major bleeding</w:t>
            </w:r>
            <w:r w:rsidRPr="00D11E21">
              <w:rPr>
                <w:rFonts w:eastAsia="Times New Roman" w:cstheme="minorHAnsi"/>
                <w:sz w:val="20"/>
                <w:szCs w:val="20"/>
                <w:vertAlign w:val="superscript"/>
              </w:rPr>
              <w:t>b</w:t>
            </w:r>
          </w:p>
        </w:tc>
        <w:tc>
          <w:tcPr>
            <w:tcW w:w="1944" w:type="dxa"/>
          </w:tcPr>
          <w:p w:rsidR="003A369B" w:rsidRPr="00D11E21" w:rsidRDefault="003A369B" w:rsidP="00EB5A53">
            <w:pPr>
              <w:keepNext/>
              <w:keepLines/>
              <w:spacing w:after="0" w:line="240" w:lineRule="auto"/>
              <w:jc w:val="center"/>
              <w:rPr>
                <w:rFonts w:eastAsia="Times New Roman" w:cstheme="minorHAnsi"/>
                <w:sz w:val="20"/>
                <w:szCs w:val="20"/>
              </w:rPr>
            </w:pPr>
            <w:r w:rsidRPr="00D11E21">
              <w:rPr>
                <w:rFonts w:eastAsia="Times New Roman" w:cstheme="minorHAnsi"/>
                <w:sz w:val="20"/>
                <w:szCs w:val="20"/>
              </w:rPr>
              <w:t>2.4</w:t>
            </w:r>
          </w:p>
        </w:tc>
        <w:tc>
          <w:tcPr>
            <w:tcW w:w="1809" w:type="dxa"/>
          </w:tcPr>
          <w:p w:rsidR="003A369B" w:rsidRPr="00D11E21" w:rsidRDefault="003A369B" w:rsidP="00EB5A53">
            <w:pPr>
              <w:keepNext/>
              <w:keepLines/>
              <w:spacing w:after="0" w:line="240" w:lineRule="auto"/>
              <w:jc w:val="center"/>
              <w:rPr>
                <w:rFonts w:eastAsia="Times New Roman" w:cstheme="minorHAnsi"/>
                <w:sz w:val="20"/>
                <w:szCs w:val="20"/>
              </w:rPr>
            </w:pPr>
            <w:r w:rsidRPr="00D11E21">
              <w:rPr>
                <w:rFonts w:eastAsia="Times New Roman" w:cstheme="minorHAnsi"/>
                <w:sz w:val="20"/>
                <w:szCs w:val="20"/>
              </w:rPr>
              <w:t>0.6</w:t>
            </w:r>
          </w:p>
        </w:tc>
      </w:tr>
      <w:tr w:rsidR="003A369B" w:rsidRPr="00D11E21" w:rsidTr="00EB5A53">
        <w:trPr>
          <w:cantSplit/>
          <w:trHeight w:val="70"/>
          <w:jc w:val="center"/>
        </w:trPr>
        <w:tc>
          <w:tcPr>
            <w:tcW w:w="2289" w:type="dxa"/>
            <w:vMerge/>
          </w:tcPr>
          <w:p w:rsidR="003A369B" w:rsidRPr="00D11E21" w:rsidRDefault="003A369B" w:rsidP="003A369B">
            <w:pPr>
              <w:keepNext/>
              <w:keepLines/>
              <w:spacing w:after="120" w:line="240" w:lineRule="auto"/>
              <w:jc w:val="both"/>
              <w:rPr>
                <w:rFonts w:eastAsia="Times New Roman" w:cstheme="minorHAnsi"/>
                <w:sz w:val="20"/>
                <w:szCs w:val="20"/>
              </w:rPr>
            </w:pPr>
          </w:p>
        </w:tc>
        <w:tc>
          <w:tcPr>
            <w:tcW w:w="1896" w:type="dxa"/>
          </w:tcPr>
          <w:p w:rsidR="003A369B" w:rsidRPr="00D11E21" w:rsidRDefault="003A369B" w:rsidP="00EB5A53">
            <w:pPr>
              <w:keepNext/>
              <w:keepLines/>
              <w:spacing w:after="0" w:line="240" w:lineRule="auto"/>
              <w:jc w:val="both"/>
              <w:rPr>
                <w:rFonts w:eastAsia="Times New Roman" w:cstheme="minorHAnsi"/>
                <w:sz w:val="20"/>
                <w:szCs w:val="20"/>
              </w:rPr>
            </w:pPr>
            <w:r w:rsidRPr="00D11E21">
              <w:rPr>
                <w:rFonts w:eastAsia="Times New Roman" w:cstheme="minorHAnsi"/>
                <w:sz w:val="20"/>
                <w:szCs w:val="20"/>
              </w:rPr>
              <w:t>Minor bleeding</w:t>
            </w:r>
            <w:r w:rsidRPr="00D11E21">
              <w:rPr>
                <w:rFonts w:eastAsia="Times New Roman" w:cstheme="minorHAnsi"/>
                <w:sz w:val="20"/>
                <w:szCs w:val="20"/>
                <w:vertAlign w:val="superscript"/>
              </w:rPr>
              <w:t>c</w:t>
            </w:r>
          </w:p>
        </w:tc>
        <w:tc>
          <w:tcPr>
            <w:tcW w:w="1944" w:type="dxa"/>
          </w:tcPr>
          <w:p w:rsidR="003A369B" w:rsidRPr="00D11E21" w:rsidRDefault="003A369B" w:rsidP="00EB5A53">
            <w:pPr>
              <w:keepNext/>
              <w:keepLines/>
              <w:spacing w:after="0" w:line="240" w:lineRule="auto"/>
              <w:jc w:val="center"/>
              <w:rPr>
                <w:rFonts w:eastAsia="Times New Roman" w:cstheme="minorHAnsi"/>
                <w:sz w:val="20"/>
                <w:szCs w:val="20"/>
              </w:rPr>
            </w:pPr>
            <w:r w:rsidRPr="00D11E21">
              <w:rPr>
                <w:rFonts w:eastAsia="Times New Roman" w:cstheme="minorHAnsi"/>
                <w:sz w:val="20"/>
                <w:szCs w:val="20"/>
              </w:rPr>
              <w:t>1.5</w:t>
            </w:r>
          </w:p>
        </w:tc>
        <w:tc>
          <w:tcPr>
            <w:tcW w:w="1809" w:type="dxa"/>
          </w:tcPr>
          <w:p w:rsidR="003A369B" w:rsidRPr="00D11E21" w:rsidRDefault="003A369B" w:rsidP="00EB5A53">
            <w:pPr>
              <w:keepNext/>
              <w:keepLines/>
              <w:spacing w:after="0" w:line="240" w:lineRule="auto"/>
              <w:jc w:val="center"/>
              <w:rPr>
                <w:rFonts w:eastAsia="Times New Roman" w:cstheme="minorHAnsi"/>
                <w:sz w:val="20"/>
                <w:szCs w:val="20"/>
              </w:rPr>
            </w:pPr>
            <w:r w:rsidRPr="00D11E21">
              <w:rPr>
                <w:rFonts w:eastAsia="Times New Roman" w:cstheme="minorHAnsi"/>
                <w:sz w:val="20"/>
                <w:szCs w:val="20"/>
              </w:rPr>
              <w:t>0.6</w:t>
            </w:r>
          </w:p>
        </w:tc>
      </w:tr>
    </w:tbl>
    <w:p w:rsidR="003A369B" w:rsidRPr="00D11E21" w:rsidRDefault="003A369B" w:rsidP="00EB5A53">
      <w:pPr>
        <w:keepNext/>
        <w:keepLines/>
        <w:spacing w:after="0" w:line="240" w:lineRule="auto"/>
        <w:ind w:left="414" w:firstLine="306"/>
        <w:jc w:val="both"/>
        <w:rPr>
          <w:rFonts w:eastAsia="Times New Roman" w:cstheme="minorHAnsi"/>
          <w:sz w:val="20"/>
          <w:szCs w:val="20"/>
        </w:rPr>
      </w:pPr>
      <w:r w:rsidRPr="00D11E21">
        <w:rPr>
          <w:rFonts w:eastAsia="Times New Roman" w:cstheme="minorHAnsi"/>
          <w:sz w:val="20"/>
          <w:szCs w:val="20"/>
          <w:vertAlign w:val="superscript"/>
        </w:rPr>
        <w:t>a</w:t>
      </w:r>
      <w:r w:rsidRPr="00D11E21">
        <w:rPr>
          <w:rFonts w:eastAsia="Times New Roman" w:cstheme="minorHAnsi"/>
          <w:sz w:val="20"/>
          <w:szCs w:val="20"/>
        </w:rPr>
        <w:t xml:space="preserve"> Comparator was Enoxaparin 30 mg bid.</w:t>
      </w:r>
    </w:p>
    <w:p w:rsidR="003A369B" w:rsidRPr="00D11E21" w:rsidRDefault="003A369B" w:rsidP="00EB5A53">
      <w:pPr>
        <w:keepNext/>
        <w:keepLines/>
        <w:spacing w:after="0" w:line="240" w:lineRule="auto"/>
        <w:ind w:left="720"/>
        <w:jc w:val="both"/>
        <w:rPr>
          <w:rFonts w:eastAsia="Times New Roman" w:cstheme="minorHAnsi"/>
          <w:sz w:val="20"/>
          <w:szCs w:val="20"/>
        </w:rPr>
      </w:pPr>
      <w:r w:rsidRPr="00D11E21">
        <w:rPr>
          <w:rFonts w:eastAsia="Times New Roman" w:cstheme="minorHAnsi"/>
          <w:sz w:val="20"/>
          <w:szCs w:val="20"/>
          <w:vertAlign w:val="superscript"/>
        </w:rPr>
        <w:t>b</w:t>
      </w:r>
      <w:r w:rsidRPr="00D11E21">
        <w:rPr>
          <w:rFonts w:eastAsia="Times New Roman" w:cstheme="minorHAnsi"/>
          <w:sz w:val="20"/>
          <w:szCs w:val="20"/>
        </w:rPr>
        <w:t xml:space="preserve"> Major bleeding was defined as clinically overt bleeding that was (1) fatal, (2) at a critical site (</w:t>
      </w:r>
      <w:r w:rsidR="00A534AC" w:rsidRPr="00D11E21">
        <w:rPr>
          <w:rFonts w:eastAsia="Times New Roman" w:cstheme="minorHAnsi"/>
          <w:sz w:val="20"/>
          <w:szCs w:val="20"/>
        </w:rPr>
        <w:t>e.g.</w:t>
      </w:r>
      <w:r w:rsidRPr="00D11E21">
        <w:rPr>
          <w:rFonts w:eastAsia="Times New Roman" w:cstheme="minorHAnsi"/>
          <w:sz w:val="20"/>
          <w:szCs w:val="20"/>
        </w:rPr>
        <w:t xml:space="preserve"> intracranial, retroperitoneal, intra-ocular, pericardial, spinal or into adrenal gland), (3) associated with re-operation or (4), Bleeding Index </w:t>
      </w:r>
      <w:r w:rsidRPr="00D11E21">
        <w:rPr>
          <w:rFonts w:eastAsia="Times New Roman" w:cstheme="minorHAnsi"/>
          <w:sz w:val="20"/>
          <w:szCs w:val="20"/>
        </w:rPr>
        <w:sym w:font="Symbol" w:char="F0B3"/>
      </w:r>
      <w:r w:rsidRPr="00D11E21">
        <w:rPr>
          <w:rFonts w:eastAsia="Times New Roman" w:cstheme="minorHAnsi"/>
          <w:sz w:val="20"/>
          <w:szCs w:val="20"/>
        </w:rPr>
        <w:t xml:space="preserve">2  i.e. BI = drop in Hb pre-bleed minus post-bleed + number of units transfused. There were no fatal bleeds in the fondaparinux group, and one fatal bleed in the enoxaparin group. </w:t>
      </w:r>
    </w:p>
    <w:p w:rsidR="003A369B" w:rsidRPr="00D11E21" w:rsidRDefault="003A369B" w:rsidP="00EB5A53">
      <w:pPr>
        <w:keepNext/>
        <w:keepLines/>
        <w:widowControl w:val="0"/>
        <w:spacing w:after="0" w:line="240" w:lineRule="auto"/>
        <w:ind w:firstLine="720"/>
        <w:jc w:val="both"/>
        <w:rPr>
          <w:rFonts w:eastAsia="Times New Roman" w:cstheme="minorHAnsi"/>
          <w:sz w:val="20"/>
          <w:szCs w:val="20"/>
        </w:rPr>
      </w:pPr>
      <w:r w:rsidRPr="00D11E21">
        <w:rPr>
          <w:rFonts w:eastAsia="Times New Roman" w:cstheme="minorHAnsi"/>
          <w:sz w:val="20"/>
          <w:szCs w:val="20"/>
          <w:vertAlign w:val="superscript"/>
        </w:rPr>
        <w:t>c</w:t>
      </w:r>
      <w:r w:rsidRPr="00D11E21">
        <w:rPr>
          <w:rFonts w:eastAsia="Times New Roman" w:cstheme="minorHAnsi"/>
          <w:sz w:val="20"/>
          <w:szCs w:val="20"/>
        </w:rPr>
        <w:t xml:space="preserve"> Minor bleeding was clinically overt bleeding that was not major.</w:t>
      </w:r>
    </w:p>
    <w:p w:rsidR="003A369B" w:rsidRPr="00D11E21" w:rsidRDefault="003A369B" w:rsidP="00EB5A53">
      <w:pPr>
        <w:keepNext/>
        <w:keepLines/>
        <w:spacing w:after="0" w:line="240" w:lineRule="auto"/>
        <w:ind w:firstLine="720"/>
        <w:jc w:val="both"/>
        <w:rPr>
          <w:rFonts w:eastAsia="Times New Roman" w:cstheme="minorHAnsi"/>
          <w:sz w:val="20"/>
          <w:szCs w:val="20"/>
        </w:rPr>
      </w:pPr>
      <w:r w:rsidRPr="00D11E21">
        <w:rPr>
          <w:rFonts w:eastAsia="Times New Roman" w:cstheme="minorHAnsi"/>
          <w:sz w:val="20"/>
          <w:szCs w:val="20"/>
          <w:vertAlign w:val="superscript"/>
        </w:rPr>
        <w:t>d</w:t>
      </w:r>
      <w:r w:rsidRPr="00D11E21">
        <w:rPr>
          <w:rFonts w:eastAsia="Times New Roman" w:cstheme="minorHAnsi"/>
          <w:sz w:val="20"/>
          <w:szCs w:val="20"/>
        </w:rPr>
        <w:t xml:space="preserve"> p value versus Enoxaparin is 0.0061.</w:t>
      </w:r>
    </w:p>
    <w:p w:rsidR="003A369B" w:rsidRPr="00D11E21" w:rsidRDefault="003A369B" w:rsidP="00EB5A53">
      <w:pPr>
        <w:keepNext/>
        <w:keepLines/>
        <w:spacing w:after="0" w:line="240" w:lineRule="auto"/>
        <w:ind w:firstLine="720"/>
        <w:jc w:val="both"/>
        <w:rPr>
          <w:rFonts w:eastAsia="Times New Roman" w:cstheme="minorHAnsi"/>
          <w:sz w:val="20"/>
          <w:szCs w:val="20"/>
        </w:rPr>
      </w:pPr>
      <w:r w:rsidRPr="00D11E21">
        <w:rPr>
          <w:rFonts w:eastAsia="Times New Roman" w:cstheme="minorHAnsi"/>
          <w:sz w:val="20"/>
          <w:szCs w:val="20"/>
          <w:vertAlign w:val="superscript"/>
        </w:rPr>
        <w:t>e</w:t>
      </w:r>
      <w:r w:rsidRPr="00D11E21">
        <w:rPr>
          <w:rFonts w:eastAsia="Times New Roman" w:cstheme="minorHAnsi"/>
          <w:sz w:val="20"/>
          <w:szCs w:val="20"/>
        </w:rPr>
        <w:t xml:space="preserve"> Comparator was Enoxaparin 40 mg once daily.</w:t>
      </w:r>
    </w:p>
    <w:p w:rsidR="00C80066" w:rsidRPr="000F5095" w:rsidRDefault="00C80066" w:rsidP="003A369B">
      <w:pPr>
        <w:keepNext/>
        <w:keepLines/>
        <w:spacing w:after="120" w:line="240" w:lineRule="auto"/>
        <w:ind w:left="1276" w:hanging="142"/>
        <w:jc w:val="both"/>
        <w:rPr>
          <w:rFonts w:eastAsia="Times New Roman" w:cstheme="minorHAnsi"/>
          <w:sz w:val="20"/>
          <w:szCs w:val="20"/>
        </w:rPr>
      </w:pPr>
    </w:p>
    <w:p w:rsidR="003A369B" w:rsidRDefault="003A369B" w:rsidP="003A369B">
      <w:pPr>
        <w:keepLines/>
        <w:spacing w:after="120" w:line="240" w:lineRule="auto"/>
        <w:jc w:val="both"/>
        <w:rPr>
          <w:rFonts w:eastAsia="Times New Roman" w:cstheme="minorHAnsi"/>
          <w:snapToGrid w:val="0"/>
        </w:rPr>
      </w:pPr>
      <w:r w:rsidRPr="000F5095">
        <w:rPr>
          <w:rFonts w:eastAsia="Times New Roman" w:cstheme="minorHAnsi"/>
          <w:snapToGrid w:val="0"/>
        </w:rPr>
        <w:t xml:space="preserve">The rates of bleeding events reported during the abdominal surgery clinical trial with </w:t>
      </w:r>
      <w:r>
        <w:rPr>
          <w:rFonts w:eastAsia="Times New Roman" w:cstheme="minorHAnsi"/>
          <w:snapToGrid w:val="0"/>
        </w:rPr>
        <w:t>ARIXTRA</w:t>
      </w:r>
      <w:r w:rsidRPr="000F5095">
        <w:rPr>
          <w:rFonts w:eastAsia="Times New Roman" w:cstheme="minorHAnsi"/>
          <w:snapToGrid w:val="0"/>
        </w:rPr>
        <w:t xml:space="preserve"> 2.5 mg injection are provided in </w:t>
      </w:r>
      <w:r w:rsidRPr="000F5095">
        <w:rPr>
          <w:rFonts w:eastAsia="Times New Roman" w:cstheme="minorHAnsi"/>
          <w:snapToGrid w:val="0"/>
        </w:rPr>
        <w:fldChar w:fldCharType="begin"/>
      </w:r>
      <w:r w:rsidRPr="000F5095">
        <w:rPr>
          <w:rFonts w:eastAsia="Times New Roman" w:cstheme="minorHAnsi"/>
          <w:snapToGrid w:val="0"/>
        </w:rPr>
        <w:instrText xml:space="preserve"> REF _Ref483220946 \h  \* MERGEFORMAT </w:instrText>
      </w:r>
      <w:r w:rsidRPr="000F5095">
        <w:rPr>
          <w:rFonts w:eastAsia="Times New Roman" w:cstheme="minorHAnsi"/>
          <w:snapToGrid w:val="0"/>
        </w:rPr>
      </w:r>
      <w:r w:rsidRPr="000F5095">
        <w:rPr>
          <w:rFonts w:eastAsia="Times New Roman" w:cstheme="minorHAnsi"/>
          <w:snapToGrid w:val="0"/>
        </w:rPr>
        <w:fldChar w:fldCharType="separate"/>
      </w:r>
      <w:r>
        <w:rPr>
          <w:rFonts w:eastAsia="Times New Roman" w:cstheme="minorHAnsi"/>
          <w:bCs/>
          <w:iCs/>
        </w:rPr>
        <w:t>Table 2</w:t>
      </w:r>
      <w:r w:rsidRPr="000F5095">
        <w:rPr>
          <w:rFonts w:eastAsia="Times New Roman" w:cstheme="minorHAnsi"/>
          <w:snapToGrid w:val="0"/>
        </w:rPr>
        <w:fldChar w:fldCharType="end"/>
      </w:r>
      <w:r w:rsidRPr="000F5095">
        <w:rPr>
          <w:rFonts w:eastAsia="Times New Roman" w:cstheme="minorHAnsi"/>
          <w:snapToGrid w:val="0"/>
        </w:rPr>
        <w:t xml:space="preserve"> below. </w:t>
      </w:r>
    </w:p>
    <w:p w:rsidR="00D11E21" w:rsidRPr="000F5095" w:rsidRDefault="00D11E21" w:rsidP="003A369B">
      <w:pPr>
        <w:keepLines/>
        <w:spacing w:after="120" w:line="240" w:lineRule="auto"/>
        <w:jc w:val="both"/>
        <w:rPr>
          <w:rFonts w:eastAsia="Times New Roman" w:cstheme="minorHAnsi"/>
          <w:snapToGrid w:val="0"/>
        </w:rPr>
      </w:pPr>
    </w:p>
    <w:p w:rsidR="003A369B" w:rsidRPr="00A534AC" w:rsidRDefault="003A369B" w:rsidP="003A369B">
      <w:pPr>
        <w:keepNext/>
        <w:spacing w:before="120" w:after="0" w:line="240" w:lineRule="auto"/>
        <w:jc w:val="center"/>
        <w:rPr>
          <w:rFonts w:eastAsia="Times New Roman" w:cstheme="minorHAnsi"/>
          <w:bCs/>
          <w:i/>
          <w:iCs/>
          <w:sz w:val="20"/>
          <w:szCs w:val="20"/>
        </w:rPr>
      </w:pPr>
      <w:bookmarkStart w:id="2" w:name="_Ref483220946"/>
      <w:r w:rsidRPr="00EB5A53">
        <w:rPr>
          <w:rFonts w:eastAsia="Times New Roman" w:cstheme="minorHAnsi"/>
          <w:b/>
          <w:bCs/>
          <w:iCs/>
          <w:sz w:val="20"/>
          <w:szCs w:val="20"/>
        </w:rPr>
        <w:t>Table</w:t>
      </w:r>
      <w:bookmarkEnd w:id="2"/>
      <w:r w:rsidRPr="00EB5A53">
        <w:rPr>
          <w:rFonts w:eastAsia="Times New Roman" w:cstheme="minorHAnsi"/>
          <w:b/>
          <w:bCs/>
          <w:iCs/>
          <w:sz w:val="20"/>
          <w:szCs w:val="20"/>
        </w:rPr>
        <w:t xml:space="preserve"> 2: Summary of bleeding results from the Abdominal Surgery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977"/>
        <w:gridCol w:w="3000"/>
      </w:tblGrid>
      <w:tr w:rsidR="003A369B" w:rsidRPr="00A534AC" w:rsidTr="003A369B">
        <w:tc>
          <w:tcPr>
            <w:tcW w:w="3652" w:type="dxa"/>
          </w:tcPr>
          <w:p w:rsidR="003A369B" w:rsidRPr="00A534AC" w:rsidRDefault="003A369B" w:rsidP="003A369B">
            <w:pPr>
              <w:keepLines/>
              <w:widowControl w:val="0"/>
              <w:tabs>
                <w:tab w:val="center" w:pos="4512"/>
              </w:tabs>
              <w:spacing w:after="0" w:line="240" w:lineRule="auto"/>
              <w:jc w:val="both"/>
              <w:outlineLvl w:val="1"/>
              <w:rPr>
                <w:rFonts w:eastAsia="Times New Roman" w:cstheme="minorHAnsi"/>
                <w:b/>
                <w:snapToGrid w:val="0"/>
                <w:sz w:val="20"/>
                <w:szCs w:val="20"/>
              </w:rPr>
            </w:pPr>
            <w:r w:rsidRPr="00A534AC">
              <w:rPr>
                <w:rFonts w:eastAsia="Times New Roman" w:cstheme="minorHAnsi"/>
                <w:b/>
                <w:sz w:val="20"/>
                <w:szCs w:val="20"/>
                <w:lang w:val="en-US"/>
              </w:rPr>
              <w:t>Endpoint</w:t>
            </w:r>
          </w:p>
        </w:tc>
        <w:tc>
          <w:tcPr>
            <w:tcW w:w="2977" w:type="dxa"/>
          </w:tcPr>
          <w:p w:rsidR="003A369B" w:rsidRPr="00A534AC" w:rsidRDefault="003A369B" w:rsidP="003A369B">
            <w:pPr>
              <w:keepLines/>
              <w:spacing w:after="0" w:line="240" w:lineRule="auto"/>
              <w:jc w:val="center"/>
              <w:rPr>
                <w:rFonts w:eastAsia="Times New Roman" w:cstheme="minorHAnsi"/>
                <w:b/>
                <w:sz w:val="20"/>
                <w:szCs w:val="20"/>
                <w:lang w:val="en-US"/>
              </w:rPr>
            </w:pPr>
            <w:r w:rsidRPr="00A534AC">
              <w:rPr>
                <w:rFonts w:eastAsia="Times New Roman" w:cstheme="minorHAnsi"/>
                <w:b/>
                <w:sz w:val="20"/>
                <w:szCs w:val="20"/>
                <w:lang w:val="en-US"/>
              </w:rPr>
              <w:t>Fondaparinux Sodium</w:t>
            </w:r>
          </w:p>
          <w:p w:rsidR="003A369B" w:rsidRPr="00A534AC" w:rsidRDefault="003A369B" w:rsidP="003A369B">
            <w:pPr>
              <w:keepLines/>
              <w:spacing w:after="0" w:line="240" w:lineRule="auto"/>
              <w:jc w:val="center"/>
              <w:rPr>
                <w:rFonts w:eastAsia="Times New Roman" w:cstheme="minorHAnsi"/>
                <w:b/>
                <w:sz w:val="20"/>
                <w:szCs w:val="20"/>
                <w:lang w:val="en-US"/>
              </w:rPr>
            </w:pPr>
            <w:r w:rsidRPr="00A534AC">
              <w:rPr>
                <w:rFonts w:eastAsia="Times New Roman" w:cstheme="minorHAnsi"/>
                <w:b/>
                <w:sz w:val="20"/>
                <w:szCs w:val="20"/>
                <w:lang w:val="en-US"/>
              </w:rPr>
              <w:t>2.5 mg SC once daily</w:t>
            </w:r>
          </w:p>
          <w:p w:rsidR="003A369B" w:rsidRPr="00A534AC" w:rsidRDefault="003A369B" w:rsidP="003A369B">
            <w:pPr>
              <w:keepLines/>
              <w:spacing w:after="0" w:line="240" w:lineRule="auto"/>
              <w:jc w:val="center"/>
              <w:rPr>
                <w:rFonts w:eastAsia="Times New Roman" w:cstheme="minorHAnsi"/>
                <w:b/>
                <w:sz w:val="20"/>
                <w:szCs w:val="20"/>
                <w:lang w:val="en-US"/>
              </w:rPr>
            </w:pPr>
            <w:r w:rsidRPr="00A534AC">
              <w:rPr>
                <w:rFonts w:eastAsia="Times New Roman" w:cstheme="minorHAnsi"/>
                <w:b/>
                <w:sz w:val="20"/>
                <w:szCs w:val="20"/>
                <w:lang w:val="en-US"/>
              </w:rPr>
              <w:t>n = 1433</w:t>
            </w:r>
          </w:p>
        </w:tc>
        <w:tc>
          <w:tcPr>
            <w:tcW w:w="3000" w:type="dxa"/>
          </w:tcPr>
          <w:p w:rsidR="003A369B" w:rsidRPr="00A534AC" w:rsidRDefault="003A369B" w:rsidP="003A369B">
            <w:pPr>
              <w:keepLines/>
              <w:widowControl w:val="0"/>
              <w:tabs>
                <w:tab w:val="center" w:pos="4512"/>
              </w:tabs>
              <w:spacing w:after="0" w:line="240" w:lineRule="auto"/>
              <w:jc w:val="center"/>
              <w:outlineLvl w:val="1"/>
              <w:rPr>
                <w:rFonts w:eastAsia="Times New Roman" w:cstheme="minorHAnsi"/>
                <w:b/>
                <w:snapToGrid w:val="0"/>
                <w:sz w:val="20"/>
                <w:szCs w:val="20"/>
              </w:rPr>
            </w:pPr>
            <w:r w:rsidRPr="00A534AC">
              <w:rPr>
                <w:rFonts w:eastAsia="Times New Roman" w:cstheme="minorHAnsi"/>
                <w:b/>
                <w:snapToGrid w:val="0"/>
                <w:sz w:val="20"/>
                <w:szCs w:val="20"/>
              </w:rPr>
              <w:t>Dalteparin sodium</w:t>
            </w:r>
          </w:p>
          <w:p w:rsidR="003A369B" w:rsidRPr="00A534AC" w:rsidRDefault="003A369B" w:rsidP="003A369B">
            <w:pPr>
              <w:keepLines/>
              <w:spacing w:after="0" w:line="240" w:lineRule="auto"/>
              <w:jc w:val="center"/>
              <w:rPr>
                <w:rFonts w:eastAsia="Times New Roman" w:cstheme="minorHAnsi"/>
                <w:b/>
                <w:sz w:val="20"/>
                <w:szCs w:val="20"/>
              </w:rPr>
            </w:pPr>
            <w:r w:rsidRPr="00A534AC">
              <w:rPr>
                <w:rFonts w:eastAsia="Times New Roman" w:cstheme="minorHAnsi"/>
                <w:b/>
                <w:sz w:val="20"/>
                <w:szCs w:val="20"/>
              </w:rPr>
              <w:t>5000 IU SC once daily</w:t>
            </w:r>
          </w:p>
          <w:p w:rsidR="003A369B" w:rsidRPr="00A534AC" w:rsidRDefault="003A369B" w:rsidP="003A369B">
            <w:pPr>
              <w:keepLines/>
              <w:spacing w:after="0" w:line="240" w:lineRule="auto"/>
              <w:jc w:val="center"/>
              <w:rPr>
                <w:rFonts w:eastAsia="Times New Roman" w:cstheme="minorHAnsi"/>
                <w:b/>
                <w:sz w:val="20"/>
                <w:szCs w:val="20"/>
              </w:rPr>
            </w:pPr>
            <w:r w:rsidRPr="00A534AC">
              <w:rPr>
                <w:rFonts w:eastAsia="Times New Roman" w:cstheme="minorHAnsi"/>
                <w:b/>
                <w:sz w:val="20"/>
                <w:szCs w:val="20"/>
              </w:rPr>
              <w:t>n = 1425</w:t>
            </w:r>
          </w:p>
        </w:tc>
      </w:tr>
      <w:tr w:rsidR="003A369B" w:rsidRPr="00A534AC" w:rsidTr="003A369B">
        <w:tc>
          <w:tcPr>
            <w:tcW w:w="3652" w:type="dxa"/>
          </w:tcPr>
          <w:p w:rsidR="003A369B" w:rsidRPr="005D53E0" w:rsidRDefault="003A369B" w:rsidP="00EB5A53">
            <w:pPr>
              <w:keepLines/>
              <w:widowControl w:val="0"/>
              <w:tabs>
                <w:tab w:val="center" w:pos="4512"/>
              </w:tabs>
              <w:spacing w:after="0" w:line="240" w:lineRule="auto"/>
              <w:jc w:val="both"/>
              <w:outlineLvl w:val="1"/>
              <w:rPr>
                <w:rFonts w:eastAsia="Times New Roman" w:cstheme="minorHAnsi"/>
                <w:bCs/>
                <w:snapToGrid w:val="0"/>
                <w:sz w:val="20"/>
                <w:szCs w:val="20"/>
              </w:rPr>
            </w:pPr>
            <w:r w:rsidRPr="00A534AC">
              <w:rPr>
                <w:rFonts w:eastAsia="Times New Roman" w:cstheme="minorHAnsi"/>
                <w:bCs/>
                <w:snapToGrid w:val="0"/>
                <w:sz w:val="20"/>
                <w:szCs w:val="20"/>
              </w:rPr>
              <w:t>Major Bleeding</w:t>
            </w:r>
            <w:r w:rsidRPr="00A534AC">
              <w:rPr>
                <w:rFonts w:eastAsia="Times New Roman" w:cstheme="minorHAnsi"/>
                <w:bCs/>
                <w:snapToGrid w:val="0"/>
                <w:sz w:val="20"/>
                <w:szCs w:val="20"/>
                <w:vertAlign w:val="superscript"/>
              </w:rPr>
              <w:t>1</w:t>
            </w:r>
          </w:p>
        </w:tc>
        <w:tc>
          <w:tcPr>
            <w:tcW w:w="2977" w:type="dxa"/>
          </w:tcPr>
          <w:p w:rsidR="003A369B" w:rsidRPr="00A534AC" w:rsidRDefault="003A369B" w:rsidP="00EB5A53">
            <w:pPr>
              <w:keepLines/>
              <w:widowControl w:val="0"/>
              <w:tabs>
                <w:tab w:val="center" w:pos="4512"/>
              </w:tabs>
              <w:spacing w:after="0" w:line="240" w:lineRule="auto"/>
              <w:jc w:val="center"/>
              <w:outlineLvl w:val="1"/>
              <w:rPr>
                <w:rFonts w:eastAsia="Times New Roman" w:cstheme="minorHAnsi"/>
                <w:bCs/>
                <w:snapToGrid w:val="0"/>
                <w:sz w:val="20"/>
                <w:szCs w:val="20"/>
              </w:rPr>
            </w:pPr>
            <w:r w:rsidRPr="00A534AC">
              <w:rPr>
                <w:rFonts w:eastAsia="Times New Roman" w:cstheme="minorHAnsi"/>
                <w:bCs/>
                <w:snapToGrid w:val="0"/>
                <w:sz w:val="20"/>
                <w:szCs w:val="20"/>
              </w:rPr>
              <w:t>49 (3.4%)</w:t>
            </w:r>
          </w:p>
        </w:tc>
        <w:tc>
          <w:tcPr>
            <w:tcW w:w="3000" w:type="dxa"/>
          </w:tcPr>
          <w:p w:rsidR="003A369B" w:rsidRPr="00A534AC" w:rsidRDefault="003A369B" w:rsidP="00EB5A53">
            <w:pPr>
              <w:keepLines/>
              <w:widowControl w:val="0"/>
              <w:tabs>
                <w:tab w:val="center" w:pos="4512"/>
              </w:tabs>
              <w:spacing w:after="0" w:line="240" w:lineRule="auto"/>
              <w:jc w:val="center"/>
              <w:outlineLvl w:val="1"/>
              <w:rPr>
                <w:rFonts w:eastAsia="Times New Roman" w:cstheme="minorHAnsi"/>
                <w:bCs/>
                <w:snapToGrid w:val="0"/>
                <w:sz w:val="20"/>
                <w:szCs w:val="20"/>
              </w:rPr>
            </w:pPr>
            <w:r w:rsidRPr="00A534AC">
              <w:rPr>
                <w:rFonts w:eastAsia="Times New Roman" w:cstheme="minorHAnsi"/>
                <w:bCs/>
                <w:snapToGrid w:val="0"/>
                <w:sz w:val="20"/>
                <w:szCs w:val="20"/>
              </w:rPr>
              <w:t>34 (2.4%)</w:t>
            </w:r>
          </w:p>
        </w:tc>
      </w:tr>
      <w:tr w:rsidR="003A369B" w:rsidRPr="00A534AC" w:rsidTr="003A369B">
        <w:tc>
          <w:tcPr>
            <w:tcW w:w="3652" w:type="dxa"/>
          </w:tcPr>
          <w:p w:rsidR="003A369B" w:rsidRPr="00A534AC" w:rsidRDefault="003A369B" w:rsidP="00EB5A53">
            <w:pPr>
              <w:keepLines/>
              <w:widowControl w:val="0"/>
              <w:tabs>
                <w:tab w:val="center" w:pos="4512"/>
              </w:tabs>
              <w:spacing w:after="0" w:line="240" w:lineRule="auto"/>
              <w:jc w:val="both"/>
              <w:outlineLvl w:val="1"/>
              <w:rPr>
                <w:rFonts w:eastAsia="Times New Roman" w:cstheme="minorHAnsi"/>
                <w:bCs/>
                <w:snapToGrid w:val="0"/>
                <w:sz w:val="20"/>
                <w:szCs w:val="20"/>
              </w:rPr>
            </w:pPr>
            <w:r w:rsidRPr="00A534AC">
              <w:rPr>
                <w:rFonts w:eastAsia="Times New Roman" w:cstheme="minorHAnsi"/>
                <w:bCs/>
                <w:snapToGrid w:val="0"/>
                <w:sz w:val="20"/>
                <w:szCs w:val="20"/>
              </w:rPr>
              <w:t>Fatal bleeding</w:t>
            </w:r>
          </w:p>
        </w:tc>
        <w:tc>
          <w:tcPr>
            <w:tcW w:w="2977" w:type="dxa"/>
          </w:tcPr>
          <w:p w:rsidR="003A369B" w:rsidRPr="00A534AC" w:rsidRDefault="003A369B" w:rsidP="00EB5A53">
            <w:pPr>
              <w:keepLines/>
              <w:widowControl w:val="0"/>
              <w:tabs>
                <w:tab w:val="center" w:pos="4512"/>
              </w:tabs>
              <w:spacing w:after="0" w:line="240" w:lineRule="auto"/>
              <w:jc w:val="center"/>
              <w:outlineLvl w:val="1"/>
              <w:rPr>
                <w:rFonts w:eastAsia="Times New Roman" w:cstheme="minorHAnsi"/>
                <w:bCs/>
                <w:snapToGrid w:val="0"/>
                <w:sz w:val="20"/>
                <w:szCs w:val="20"/>
              </w:rPr>
            </w:pPr>
            <w:r w:rsidRPr="00A534AC">
              <w:rPr>
                <w:rFonts w:eastAsia="Times New Roman" w:cstheme="minorHAnsi"/>
                <w:bCs/>
                <w:snapToGrid w:val="0"/>
                <w:sz w:val="20"/>
                <w:szCs w:val="20"/>
              </w:rPr>
              <w:t>2 (0.1%)</w:t>
            </w:r>
          </w:p>
        </w:tc>
        <w:tc>
          <w:tcPr>
            <w:tcW w:w="3000" w:type="dxa"/>
          </w:tcPr>
          <w:p w:rsidR="003A369B" w:rsidRPr="00A534AC" w:rsidRDefault="003A369B" w:rsidP="00EB5A53">
            <w:pPr>
              <w:keepLines/>
              <w:widowControl w:val="0"/>
              <w:tabs>
                <w:tab w:val="center" w:pos="4512"/>
              </w:tabs>
              <w:spacing w:after="0" w:line="240" w:lineRule="auto"/>
              <w:jc w:val="center"/>
              <w:outlineLvl w:val="1"/>
              <w:rPr>
                <w:rFonts w:eastAsia="Times New Roman" w:cstheme="minorHAnsi"/>
                <w:bCs/>
                <w:snapToGrid w:val="0"/>
                <w:sz w:val="20"/>
                <w:szCs w:val="20"/>
              </w:rPr>
            </w:pPr>
            <w:r w:rsidRPr="00A534AC">
              <w:rPr>
                <w:rFonts w:eastAsia="Times New Roman" w:cstheme="minorHAnsi"/>
                <w:bCs/>
                <w:snapToGrid w:val="0"/>
                <w:sz w:val="20"/>
                <w:szCs w:val="20"/>
              </w:rPr>
              <w:t>2 (0.1%)</w:t>
            </w:r>
          </w:p>
        </w:tc>
      </w:tr>
      <w:tr w:rsidR="003A369B" w:rsidRPr="00A534AC" w:rsidTr="003A369B">
        <w:tc>
          <w:tcPr>
            <w:tcW w:w="3652" w:type="dxa"/>
          </w:tcPr>
          <w:p w:rsidR="003A369B" w:rsidRPr="00A534AC" w:rsidRDefault="003A369B" w:rsidP="00EB5A53">
            <w:pPr>
              <w:keepLines/>
              <w:widowControl w:val="0"/>
              <w:tabs>
                <w:tab w:val="center" w:pos="4512"/>
              </w:tabs>
              <w:spacing w:after="0" w:line="240" w:lineRule="auto"/>
              <w:jc w:val="both"/>
              <w:outlineLvl w:val="1"/>
              <w:rPr>
                <w:rFonts w:eastAsia="Times New Roman" w:cstheme="minorHAnsi"/>
                <w:bCs/>
                <w:snapToGrid w:val="0"/>
                <w:sz w:val="20"/>
                <w:szCs w:val="20"/>
              </w:rPr>
            </w:pPr>
            <w:r w:rsidRPr="00A534AC">
              <w:rPr>
                <w:rFonts w:eastAsia="Times New Roman" w:cstheme="minorHAnsi"/>
                <w:bCs/>
                <w:snapToGrid w:val="0"/>
                <w:sz w:val="20"/>
                <w:szCs w:val="20"/>
              </w:rPr>
              <w:t>Non-fatal bleeding at critical site</w:t>
            </w:r>
          </w:p>
        </w:tc>
        <w:tc>
          <w:tcPr>
            <w:tcW w:w="2977" w:type="dxa"/>
          </w:tcPr>
          <w:p w:rsidR="003A369B" w:rsidRPr="00A534AC" w:rsidRDefault="003A369B" w:rsidP="00EB5A53">
            <w:pPr>
              <w:keepLines/>
              <w:widowControl w:val="0"/>
              <w:tabs>
                <w:tab w:val="center" w:pos="4512"/>
              </w:tabs>
              <w:spacing w:after="0" w:line="240" w:lineRule="auto"/>
              <w:jc w:val="center"/>
              <w:outlineLvl w:val="1"/>
              <w:rPr>
                <w:rFonts w:eastAsia="Times New Roman" w:cstheme="minorHAnsi"/>
                <w:bCs/>
                <w:snapToGrid w:val="0"/>
                <w:sz w:val="20"/>
                <w:szCs w:val="20"/>
              </w:rPr>
            </w:pPr>
            <w:r w:rsidRPr="00A534AC">
              <w:rPr>
                <w:rFonts w:eastAsia="Times New Roman" w:cstheme="minorHAnsi"/>
                <w:bCs/>
                <w:snapToGrid w:val="0"/>
                <w:sz w:val="20"/>
                <w:szCs w:val="20"/>
              </w:rPr>
              <w:t>0 (0.0%)</w:t>
            </w:r>
          </w:p>
        </w:tc>
        <w:tc>
          <w:tcPr>
            <w:tcW w:w="3000" w:type="dxa"/>
          </w:tcPr>
          <w:p w:rsidR="003A369B" w:rsidRPr="00A534AC" w:rsidRDefault="003A369B" w:rsidP="00EB5A53">
            <w:pPr>
              <w:keepLines/>
              <w:widowControl w:val="0"/>
              <w:tabs>
                <w:tab w:val="center" w:pos="4512"/>
              </w:tabs>
              <w:spacing w:after="0" w:line="240" w:lineRule="auto"/>
              <w:jc w:val="center"/>
              <w:outlineLvl w:val="1"/>
              <w:rPr>
                <w:rFonts w:eastAsia="Times New Roman" w:cstheme="minorHAnsi"/>
                <w:bCs/>
                <w:snapToGrid w:val="0"/>
                <w:sz w:val="20"/>
                <w:szCs w:val="20"/>
              </w:rPr>
            </w:pPr>
            <w:r w:rsidRPr="00A534AC">
              <w:rPr>
                <w:rFonts w:eastAsia="Times New Roman" w:cstheme="minorHAnsi"/>
                <w:bCs/>
                <w:snapToGrid w:val="0"/>
                <w:sz w:val="20"/>
                <w:szCs w:val="20"/>
              </w:rPr>
              <w:t>0 (0.0%</w:t>
            </w:r>
            <w:r w:rsidR="005D53E0">
              <w:rPr>
                <w:rFonts w:eastAsia="Times New Roman" w:cstheme="minorHAnsi"/>
                <w:bCs/>
                <w:snapToGrid w:val="0"/>
                <w:sz w:val="20"/>
                <w:szCs w:val="20"/>
              </w:rPr>
              <w:t>)</w:t>
            </w:r>
          </w:p>
        </w:tc>
      </w:tr>
      <w:tr w:rsidR="003A369B" w:rsidRPr="00A534AC" w:rsidTr="00EB5A53">
        <w:trPr>
          <w:trHeight w:val="1025"/>
        </w:trPr>
        <w:tc>
          <w:tcPr>
            <w:tcW w:w="3652" w:type="dxa"/>
          </w:tcPr>
          <w:p w:rsidR="003A369B" w:rsidRPr="00A534AC" w:rsidRDefault="003A369B" w:rsidP="00EB5A53">
            <w:pPr>
              <w:keepLines/>
              <w:widowControl w:val="0"/>
              <w:tabs>
                <w:tab w:val="center" w:pos="4512"/>
              </w:tabs>
              <w:spacing w:after="0" w:line="240" w:lineRule="auto"/>
              <w:jc w:val="both"/>
              <w:outlineLvl w:val="1"/>
              <w:rPr>
                <w:rFonts w:eastAsia="Times New Roman" w:cstheme="minorHAnsi"/>
                <w:bCs/>
                <w:snapToGrid w:val="0"/>
                <w:sz w:val="20"/>
                <w:szCs w:val="20"/>
              </w:rPr>
            </w:pPr>
            <w:r w:rsidRPr="00A534AC">
              <w:rPr>
                <w:rFonts w:eastAsia="Times New Roman" w:cstheme="minorHAnsi"/>
                <w:bCs/>
                <w:snapToGrid w:val="0"/>
                <w:sz w:val="20"/>
                <w:szCs w:val="20"/>
              </w:rPr>
              <w:t>Other non-fatal major bleeding</w:t>
            </w:r>
          </w:p>
          <w:p w:rsidR="003A369B" w:rsidRPr="00EB5A53" w:rsidRDefault="003A369B" w:rsidP="00EB5A53">
            <w:pPr>
              <w:pStyle w:val="ListParagraph"/>
              <w:keepLines/>
              <w:numPr>
                <w:ilvl w:val="0"/>
                <w:numId w:val="4"/>
              </w:numPr>
              <w:spacing w:after="0" w:line="240" w:lineRule="auto"/>
              <w:jc w:val="both"/>
              <w:rPr>
                <w:rFonts w:asciiTheme="minorHAnsi" w:eastAsia="Times New Roman" w:hAnsiTheme="minorHAnsi" w:cstheme="minorHAnsi"/>
                <w:bCs/>
                <w:sz w:val="20"/>
                <w:szCs w:val="20"/>
              </w:rPr>
            </w:pPr>
            <w:r w:rsidRPr="00EB5A53">
              <w:rPr>
                <w:rFonts w:asciiTheme="minorHAnsi" w:eastAsia="Times New Roman" w:hAnsiTheme="minorHAnsi" w:cstheme="minorHAnsi"/>
                <w:bCs/>
                <w:sz w:val="20"/>
                <w:szCs w:val="20"/>
              </w:rPr>
              <w:t>Surgical</w:t>
            </w:r>
          </w:p>
          <w:p w:rsidR="003A369B" w:rsidRPr="00EB5A53" w:rsidRDefault="003A369B" w:rsidP="00EB5A53">
            <w:pPr>
              <w:pStyle w:val="ListParagraph"/>
              <w:keepLines/>
              <w:numPr>
                <w:ilvl w:val="0"/>
                <w:numId w:val="4"/>
              </w:numPr>
              <w:spacing w:after="0" w:line="240" w:lineRule="auto"/>
              <w:jc w:val="both"/>
              <w:rPr>
                <w:rFonts w:asciiTheme="minorHAnsi" w:eastAsia="Times New Roman" w:hAnsiTheme="minorHAnsi" w:cstheme="minorHAnsi"/>
                <w:bCs/>
                <w:sz w:val="20"/>
                <w:szCs w:val="20"/>
              </w:rPr>
            </w:pPr>
            <w:r w:rsidRPr="00EB5A53">
              <w:rPr>
                <w:rFonts w:asciiTheme="minorHAnsi" w:eastAsia="Times New Roman" w:hAnsiTheme="minorHAnsi" w:cstheme="minorHAnsi"/>
                <w:bCs/>
                <w:sz w:val="20"/>
                <w:szCs w:val="20"/>
              </w:rPr>
              <w:t>non-surgical</w:t>
            </w:r>
          </w:p>
        </w:tc>
        <w:tc>
          <w:tcPr>
            <w:tcW w:w="2977" w:type="dxa"/>
          </w:tcPr>
          <w:p w:rsidR="005D53E0" w:rsidRDefault="005D53E0" w:rsidP="00EB5A53">
            <w:pPr>
              <w:keepLines/>
              <w:spacing w:after="0" w:line="240" w:lineRule="auto"/>
              <w:rPr>
                <w:rFonts w:eastAsia="Times New Roman" w:cstheme="minorHAnsi"/>
                <w:bCs/>
                <w:snapToGrid w:val="0"/>
                <w:sz w:val="20"/>
                <w:szCs w:val="20"/>
              </w:rPr>
            </w:pPr>
            <w:r>
              <w:rPr>
                <w:rFonts w:eastAsia="Times New Roman" w:cstheme="minorHAnsi"/>
                <w:bCs/>
                <w:snapToGrid w:val="0"/>
                <w:sz w:val="20"/>
                <w:szCs w:val="20"/>
              </w:rPr>
              <w:t xml:space="preserve">                      </w:t>
            </w:r>
          </w:p>
          <w:p w:rsidR="003A369B" w:rsidRPr="00A534AC" w:rsidRDefault="005D53E0" w:rsidP="00EB5A53">
            <w:pPr>
              <w:keepLines/>
              <w:spacing w:after="0" w:line="240" w:lineRule="auto"/>
              <w:rPr>
                <w:rFonts w:eastAsia="Times New Roman" w:cstheme="minorHAnsi"/>
                <w:bCs/>
                <w:sz w:val="20"/>
                <w:szCs w:val="20"/>
              </w:rPr>
            </w:pPr>
            <w:r>
              <w:rPr>
                <w:rFonts w:eastAsia="Times New Roman" w:cstheme="minorHAnsi"/>
                <w:bCs/>
                <w:snapToGrid w:val="0"/>
                <w:sz w:val="20"/>
                <w:szCs w:val="20"/>
              </w:rPr>
              <w:t xml:space="preserve">                     </w:t>
            </w:r>
            <w:r w:rsidR="003A369B" w:rsidRPr="00A534AC">
              <w:rPr>
                <w:rFonts w:eastAsia="Times New Roman" w:cstheme="minorHAnsi"/>
                <w:bCs/>
                <w:sz w:val="20"/>
                <w:szCs w:val="20"/>
              </w:rPr>
              <w:t>38 (2.7%)</w:t>
            </w:r>
          </w:p>
          <w:p w:rsidR="003A369B" w:rsidRPr="00A534AC" w:rsidRDefault="003A369B" w:rsidP="003A369B">
            <w:pPr>
              <w:keepLines/>
              <w:spacing w:after="120" w:line="240" w:lineRule="auto"/>
              <w:jc w:val="center"/>
              <w:rPr>
                <w:rFonts w:eastAsia="Times New Roman" w:cstheme="minorHAnsi"/>
                <w:bCs/>
                <w:sz w:val="20"/>
                <w:szCs w:val="20"/>
              </w:rPr>
            </w:pPr>
            <w:r w:rsidRPr="00A534AC">
              <w:rPr>
                <w:rFonts w:eastAsia="Times New Roman" w:cstheme="minorHAnsi"/>
                <w:bCs/>
                <w:sz w:val="20"/>
                <w:szCs w:val="20"/>
              </w:rPr>
              <w:t>9 (0.6%)</w:t>
            </w:r>
          </w:p>
        </w:tc>
        <w:tc>
          <w:tcPr>
            <w:tcW w:w="3000" w:type="dxa"/>
          </w:tcPr>
          <w:p w:rsidR="005D53E0" w:rsidRDefault="005D53E0" w:rsidP="00EB5A53">
            <w:pPr>
              <w:keepLines/>
              <w:spacing w:after="0" w:line="240" w:lineRule="auto"/>
              <w:rPr>
                <w:rFonts w:eastAsia="Times New Roman" w:cstheme="minorHAnsi"/>
                <w:bCs/>
                <w:snapToGrid w:val="0"/>
                <w:sz w:val="20"/>
                <w:szCs w:val="20"/>
              </w:rPr>
            </w:pPr>
            <w:r>
              <w:rPr>
                <w:rFonts w:eastAsia="Times New Roman" w:cstheme="minorHAnsi"/>
                <w:bCs/>
                <w:sz w:val="20"/>
                <w:szCs w:val="20"/>
              </w:rPr>
              <w:t xml:space="preserve">       </w:t>
            </w:r>
            <w:r>
              <w:rPr>
                <w:rFonts w:eastAsia="Times New Roman" w:cstheme="minorHAnsi"/>
                <w:bCs/>
                <w:snapToGrid w:val="0"/>
                <w:sz w:val="20"/>
                <w:szCs w:val="20"/>
              </w:rPr>
              <w:t xml:space="preserve"> </w:t>
            </w:r>
          </w:p>
          <w:p w:rsidR="003A369B" w:rsidRPr="00A534AC" w:rsidRDefault="005D53E0" w:rsidP="00EB5A53">
            <w:pPr>
              <w:keepLines/>
              <w:spacing w:after="0" w:line="240" w:lineRule="auto"/>
              <w:rPr>
                <w:rFonts w:eastAsia="Times New Roman" w:cstheme="minorHAnsi"/>
                <w:bCs/>
                <w:sz w:val="20"/>
                <w:szCs w:val="20"/>
              </w:rPr>
            </w:pPr>
            <w:r>
              <w:rPr>
                <w:rFonts w:eastAsia="Times New Roman" w:cstheme="minorHAnsi"/>
                <w:bCs/>
                <w:snapToGrid w:val="0"/>
                <w:sz w:val="20"/>
                <w:szCs w:val="20"/>
              </w:rPr>
              <w:t xml:space="preserve">                      </w:t>
            </w:r>
            <w:r w:rsidR="003A369B" w:rsidRPr="00A534AC">
              <w:rPr>
                <w:rFonts w:eastAsia="Times New Roman" w:cstheme="minorHAnsi"/>
                <w:bCs/>
                <w:sz w:val="20"/>
                <w:szCs w:val="20"/>
              </w:rPr>
              <w:t>26 (1.8%)</w:t>
            </w:r>
          </w:p>
          <w:p w:rsidR="003A369B" w:rsidRPr="00A534AC" w:rsidRDefault="003A369B" w:rsidP="003A369B">
            <w:pPr>
              <w:keepLines/>
              <w:spacing w:after="120" w:line="240" w:lineRule="auto"/>
              <w:jc w:val="center"/>
              <w:rPr>
                <w:rFonts w:eastAsia="Times New Roman" w:cstheme="minorHAnsi"/>
                <w:bCs/>
                <w:sz w:val="20"/>
                <w:szCs w:val="20"/>
              </w:rPr>
            </w:pPr>
            <w:r w:rsidRPr="00A534AC">
              <w:rPr>
                <w:rFonts w:eastAsia="Times New Roman" w:cstheme="minorHAnsi"/>
                <w:bCs/>
                <w:sz w:val="20"/>
                <w:szCs w:val="20"/>
              </w:rPr>
              <w:t>6 (0.4%)</w:t>
            </w:r>
          </w:p>
        </w:tc>
      </w:tr>
      <w:tr w:rsidR="003A369B" w:rsidRPr="00A534AC" w:rsidTr="003A369B">
        <w:tc>
          <w:tcPr>
            <w:tcW w:w="3652" w:type="dxa"/>
          </w:tcPr>
          <w:p w:rsidR="003A369B" w:rsidRPr="00A534AC" w:rsidRDefault="003A369B" w:rsidP="00EB5A53">
            <w:pPr>
              <w:keepLines/>
              <w:widowControl w:val="0"/>
              <w:tabs>
                <w:tab w:val="center" w:pos="4512"/>
              </w:tabs>
              <w:spacing w:after="0" w:line="240" w:lineRule="auto"/>
              <w:jc w:val="both"/>
              <w:outlineLvl w:val="1"/>
              <w:rPr>
                <w:rFonts w:eastAsia="Times New Roman" w:cstheme="minorHAnsi"/>
                <w:bCs/>
                <w:snapToGrid w:val="0"/>
                <w:sz w:val="20"/>
                <w:szCs w:val="20"/>
              </w:rPr>
            </w:pPr>
            <w:r w:rsidRPr="00A534AC">
              <w:rPr>
                <w:rFonts w:eastAsia="Times New Roman" w:cstheme="minorHAnsi"/>
                <w:bCs/>
                <w:snapToGrid w:val="0"/>
                <w:sz w:val="20"/>
                <w:szCs w:val="20"/>
              </w:rPr>
              <w:t>Minor bleeding</w:t>
            </w:r>
            <w:r w:rsidRPr="00A534AC">
              <w:rPr>
                <w:rFonts w:eastAsia="Times New Roman" w:cstheme="minorHAnsi"/>
                <w:bCs/>
                <w:snapToGrid w:val="0"/>
                <w:sz w:val="20"/>
                <w:szCs w:val="20"/>
                <w:vertAlign w:val="superscript"/>
              </w:rPr>
              <w:t>2</w:t>
            </w:r>
          </w:p>
        </w:tc>
        <w:tc>
          <w:tcPr>
            <w:tcW w:w="2977" w:type="dxa"/>
          </w:tcPr>
          <w:p w:rsidR="003A369B" w:rsidRPr="00A534AC" w:rsidRDefault="003A369B" w:rsidP="00EB5A53">
            <w:pPr>
              <w:keepLines/>
              <w:widowControl w:val="0"/>
              <w:tabs>
                <w:tab w:val="center" w:pos="4512"/>
              </w:tabs>
              <w:spacing w:after="0" w:line="240" w:lineRule="auto"/>
              <w:jc w:val="center"/>
              <w:outlineLvl w:val="1"/>
              <w:rPr>
                <w:rFonts w:eastAsia="Times New Roman" w:cstheme="minorHAnsi"/>
                <w:bCs/>
                <w:snapToGrid w:val="0"/>
                <w:sz w:val="20"/>
                <w:szCs w:val="20"/>
              </w:rPr>
            </w:pPr>
            <w:r w:rsidRPr="00A534AC">
              <w:rPr>
                <w:rFonts w:eastAsia="Times New Roman" w:cstheme="minorHAnsi"/>
                <w:bCs/>
                <w:snapToGrid w:val="0"/>
                <w:sz w:val="20"/>
                <w:szCs w:val="20"/>
              </w:rPr>
              <w:t>31 (2.2%)</w:t>
            </w:r>
          </w:p>
        </w:tc>
        <w:tc>
          <w:tcPr>
            <w:tcW w:w="3000" w:type="dxa"/>
          </w:tcPr>
          <w:p w:rsidR="003A369B" w:rsidRPr="00A534AC" w:rsidRDefault="003A369B" w:rsidP="00EB5A53">
            <w:pPr>
              <w:keepLines/>
              <w:widowControl w:val="0"/>
              <w:tabs>
                <w:tab w:val="center" w:pos="4512"/>
              </w:tabs>
              <w:spacing w:after="0" w:line="240" w:lineRule="auto"/>
              <w:jc w:val="center"/>
              <w:outlineLvl w:val="1"/>
              <w:rPr>
                <w:rFonts w:eastAsia="Times New Roman" w:cstheme="minorHAnsi"/>
                <w:bCs/>
                <w:snapToGrid w:val="0"/>
                <w:sz w:val="20"/>
                <w:szCs w:val="20"/>
              </w:rPr>
            </w:pPr>
            <w:r w:rsidRPr="00A534AC">
              <w:rPr>
                <w:rFonts w:eastAsia="Times New Roman" w:cstheme="minorHAnsi"/>
                <w:bCs/>
                <w:snapToGrid w:val="0"/>
                <w:sz w:val="20"/>
                <w:szCs w:val="20"/>
              </w:rPr>
              <w:t>23 (1.6%)</w:t>
            </w:r>
          </w:p>
        </w:tc>
      </w:tr>
    </w:tbl>
    <w:p w:rsidR="003A369B" w:rsidRPr="00A534AC" w:rsidRDefault="003A369B" w:rsidP="003A369B">
      <w:pPr>
        <w:keepLines/>
        <w:numPr>
          <w:ilvl w:val="0"/>
          <w:numId w:val="5"/>
        </w:numPr>
        <w:autoSpaceDE w:val="0"/>
        <w:autoSpaceDN w:val="0"/>
        <w:adjustRightInd w:val="0"/>
        <w:spacing w:after="0" w:line="240" w:lineRule="auto"/>
        <w:jc w:val="both"/>
        <w:rPr>
          <w:rFonts w:eastAsia="Times New Roman" w:cstheme="minorHAnsi"/>
          <w:sz w:val="20"/>
          <w:szCs w:val="20"/>
          <w:lang w:val="en-US"/>
        </w:rPr>
      </w:pPr>
      <w:r w:rsidRPr="00A534AC">
        <w:rPr>
          <w:rFonts w:eastAsia="Times New Roman" w:cstheme="minorHAnsi"/>
          <w:sz w:val="20"/>
          <w:szCs w:val="20"/>
          <w:lang w:val="en-US"/>
        </w:rPr>
        <w:t xml:space="preserve">Major bleeding was defined as bleeding that was (1) fatal, (2) bleeding at the surgical site leading to intervention, (3) non-surgical bleeding at a critical site (e.g. intracranial, retroperitoneal, intra-ocular, pericardial, spinal or into adrenal gland), or leading to an intervention, and/or with a bleeding index (BI) </w:t>
      </w:r>
      <w:r w:rsidRPr="00A534AC">
        <w:rPr>
          <w:rFonts w:eastAsia="Times New Roman" w:cstheme="minorHAnsi"/>
          <w:sz w:val="20"/>
          <w:szCs w:val="20"/>
          <w:u w:val="single"/>
          <w:lang w:val="en-US"/>
        </w:rPr>
        <w:t>&gt;</w:t>
      </w:r>
      <w:r w:rsidRPr="00A534AC">
        <w:rPr>
          <w:rFonts w:eastAsia="Times New Roman" w:cstheme="minorHAnsi"/>
          <w:sz w:val="20"/>
          <w:szCs w:val="20"/>
          <w:lang w:val="en-US"/>
        </w:rPr>
        <w:t xml:space="preserve">2. (BI </w:t>
      </w:r>
      <w:r w:rsidRPr="00A534AC">
        <w:rPr>
          <w:rFonts w:eastAsia="Times New Roman" w:cstheme="minorHAnsi"/>
          <w:sz w:val="20"/>
          <w:szCs w:val="20"/>
          <w:u w:val="single"/>
          <w:lang w:val="en-US"/>
        </w:rPr>
        <w:t>&gt;</w:t>
      </w:r>
      <w:r w:rsidRPr="00A534AC">
        <w:rPr>
          <w:rFonts w:eastAsia="Times New Roman" w:cstheme="minorHAnsi"/>
          <w:sz w:val="20"/>
          <w:szCs w:val="20"/>
          <w:lang w:val="en-US"/>
        </w:rPr>
        <w:t>2 calculated as [number of whole blood or packed red blood cell units transfused + [(pre-bleeding) – (post-bleeding)] hemoglobin (g/dL) values].)</w:t>
      </w:r>
    </w:p>
    <w:p w:rsidR="003A369B" w:rsidRPr="00A534AC" w:rsidRDefault="003A369B" w:rsidP="00EB5A53">
      <w:pPr>
        <w:autoSpaceDE w:val="0"/>
        <w:autoSpaceDN w:val="0"/>
        <w:adjustRightInd w:val="0"/>
        <w:spacing w:after="0" w:line="240" w:lineRule="auto"/>
        <w:ind w:left="360"/>
        <w:rPr>
          <w:rFonts w:eastAsia="Times New Roman" w:cstheme="minorHAnsi"/>
          <w:sz w:val="20"/>
          <w:szCs w:val="20"/>
          <w:lang w:val="en-US"/>
        </w:rPr>
      </w:pPr>
      <w:r w:rsidRPr="00A534AC">
        <w:rPr>
          <w:rFonts w:eastAsia="Times New Roman" w:cstheme="minorHAnsi"/>
          <w:sz w:val="20"/>
          <w:szCs w:val="20"/>
          <w:lang w:val="en-US"/>
        </w:rPr>
        <w:t>2. Minor bleeding was defined as clinically overt bleeding that was not major.</w:t>
      </w:r>
    </w:p>
    <w:p w:rsidR="003A369B" w:rsidRPr="000F5095" w:rsidRDefault="003A369B" w:rsidP="003A369B">
      <w:pPr>
        <w:autoSpaceDE w:val="0"/>
        <w:autoSpaceDN w:val="0"/>
        <w:adjustRightInd w:val="0"/>
        <w:spacing w:after="0" w:line="240" w:lineRule="auto"/>
        <w:jc w:val="both"/>
        <w:rPr>
          <w:rFonts w:cstheme="minorHAnsi"/>
          <w:b/>
        </w:rPr>
      </w:pPr>
    </w:p>
    <w:p w:rsidR="003A369B" w:rsidRPr="000F5095" w:rsidRDefault="003A369B" w:rsidP="003A369B">
      <w:pPr>
        <w:autoSpaceDE w:val="0"/>
        <w:autoSpaceDN w:val="0"/>
        <w:adjustRightInd w:val="0"/>
        <w:spacing w:after="0" w:line="240" w:lineRule="auto"/>
        <w:jc w:val="both"/>
        <w:rPr>
          <w:rFonts w:eastAsia="Times New Roman" w:cstheme="minorHAnsi"/>
          <w:lang w:val="en-US"/>
        </w:rPr>
      </w:pPr>
      <w:r w:rsidRPr="000F5095">
        <w:rPr>
          <w:rFonts w:eastAsia="Times New Roman" w:cstheme="minorHAnsi"/>
          <w:lang w:val="en-US"/>
        </w:rPr>
        <w:lastRenderedPageBreak/>
        <w:t xml:space="preserve">A separate analysis of major bleeding according to the time of the first injection of </w:t>
      </w:r>
      <w:r>
        <w:rPr>
          <w:rFonts w:eastAsia="Times New Roman" w:cstheme="minorHAnsi"/>
          <w:lang w:val="en-US"/>
        </w:rPr>
        <w:t>ARIXTRA</w:t>
      </w:r>
      <w:r w:rsidRPr="000F5095">
        <w:rPr>
          <w:rFonts w:eastAsia="Times New Roman" w:cstheme="minorHAnsi"/>
          <w:lang w:val="en-US"/>
        </w:rPr>
        <w:t xml:space="preserve"> after surgical closure was performed. In this analysis the incidences of major bleeding were as follows: 3.4% (9/263) if the first injection was given &lt; 6 hours and 2.8% (32/1139) if the first injection was performed </w:t>
      </w:r>
      <w:r w:rsidRPr="000F5095">
        <w:rPr>
          <w:rFonts w:eastAsia="Times New Roman" w:cstheme="minorHAnsi"/>
          <w:u w:val="single"/>
          <w:lang w:val="en-US"/>
        </w:rPr>
        <w:t>&gt;</w:t>
      </w:r>
      <w:r w:rsidRPr="000F5095">
        <w:rPr>
          <w:rFonts w:eastAsia="Times New Roman" w:cstheme="minorHAnsi"/>
          <w:lang w:val="en-US"/>
        </w:rPr>
        <w:t xml:space="preserve"> 6 hours.</w:t>
      </w:r>
    </w:p>
    <w:p w:rsidR="003A369B" w:rsidRPr="000F5095" w:rsidRDefault="003A369B" w:rsidP="003A369B">
      <w:pPr>
        <w:autoSpaceDE w:val="0"/>
        <w:autoSpaceDN w:val="0"/>
        <w:adjustRightInd w:val="0"/>
        <w:spacing w:after="0" w:line="240" w:lineRule="auto"/>
        <w:jc w:val="both"/>
        <w:rPr>
          <w:rFonts w:eastAsia="Times New Roman" w:cstheme="minorHAnsi"/>
          <w:snapToGrid w:val="0"/>
        </w:rPr>
      </w:pPr>
    </w:p>
    <w:p w:rsidR="003750C2" w:rsidRPr="000F5095" w:rsidRDefault="003A369B" w:rsidP="00EB5A53">
      <w:pPr>
        <w:spacing w:after="0" w:line="240" w:lineRule="auto"/>
        <w:jc w:val="both"/>
        <w:rPr>
          <w:rFonts w:eastAsia="Times New Roman" w:cstheme="minorHAnsi"/>
        </w:rPr>
      </w:pPr>
      <w:r w:rsidRPr="000F5095">
        <w:rPr>
          <w:rFonts w:eastAsia="Times New Roman" w:cstheme="minorHAnsi"/>
        </w:rPr>
        <w:t xml:space="preserve">The rates of bleeding events reported during the DVT and PE clinical trials with the </w:t>
      </w:r>
      <w:r>
        <w:rPr>
          <w:rFonts w:eastAsia="Times New Roman" w:cstheme="minorHAnsi"/>
        </w:rPr>
        <w:t>ARIXTRA</w:t>
      </w:r>
      <w:r w:rsidRPr="000F5095">
        <w:rPr>
          <w:rFonts w:eastAsia="Times New Roman" w:cstheme="minorHAnsi"/>
        </w:rPr>
        <w:t xml:space="preserve"> injection treatment regimen are provided in </w:t>
      </w:r>
      <w:r w:rsidRPr="000F5095">
        <w:rPr>
          <w:rFonts w:eastAsia="Times New Roman" w:cstheme="minorHAnsi"/>
        </w:rPr>
        <w:fldChar w:fldCharType="begin"/>
      </w:r>
      <w:r w:rsidRPr="000F5095">
        <w:rPr>
          <w:rFonts w:eastAsia="Times New Roman" w:cstheme="minorHAnsi"/>
        </w:rPr>
        <w:instrText xml:space="preserve"> REF _Ref483220960 \h  \* MERGEFORMAT </w:instrText>
      </w:r>
      <w:r w:rsidRPr="000F5095">
        <w:rPr>
          <w:rFonts w:eastAsia="Times New Roman" w:cstheme="minorHAnsi"/>
        </w:rPr>
      </w:r>
      <w:r w:rsidRPr="000F5095">
        <w:rPr>
          <w:rFonts w:eastAsia="Times New Roman" w:cstheme="minorHAnsi"/>
        </w:rPr>
        <w:fldChar w:fldCharType="separate"/>
      </w:r>
      <w:r>
        <w:rPr>
          <w:rFonts w:eastAsia="Times New Roman" w:cstheme="minorHAnsi"/>
        </w:rPr>
        <w:t>Table 3</w:t>
      </w:r>
      <w:r w:rsidRPr="000F5095">
        <w:rPr>
          <w:rFonts w:eastAsia="Times New Roman" w:cstheme="minorHAnsi"/>
        </w:rPr>
        <w:fldChar w:fldCharType="end"/>
      </w:r>
      <w:r w:rsidRPr="000F5095">
        <w:rPr>
          <w:rFonts w:eastAsia="Times New Roman" w:cstheme="minorHAnsi"/>
        </w:rPr>
        <w:t xml:space="preserve"> below.</w:t>
      </w:r>
    </w:p>
    <w:p w:rsidR="003A369B" w:rsidRPr="000F5095" w:rsidRDefault="003A369B" w:rsidP="00EB5A53">
      <w:pPr>
        <w:spacing w:after="120" w:line="240" w:lineRule="auto"/>
        <w:jc w:val="both"/>
        <w:rPr>
          <w:rFonts w:eastAsia="Times New Roman" w:cstheme="minorHAnsi"/>
          <w:highlight w:val="yellow"/>
          <w:u w:val="single"/>
        </w:rPr>
      </w:pPr>
    </w:p>
    <w:p w:rsidR="003A369B" w:rsidRPr="00EB5A53" w:rsidRDefault="003A369B" w:rsidP="003A369B">
      <w:pPr>
        <w:keepNext/>
        <w:spacing w:before="120" w:after="0" w:line="240" w:lineRule="auto"/>
        <w:jc w:val="center"/>
        <w:rPr>
          <w:rFonts w:eastAsia="Times New Roman" w:cstheme="minorHAnsi"/>
          <w:b/>
          <w:sz w:val="20"/>
          <w:szCs w:val="20"/>
        </w:rPr>
      </w:pPr>
      <w:bookmarkStart w:id="3" w:name="_Ref483220960"/>
      <w:r w:rsidRPr="00EB5A53">
        <w:rPr>
          <w:rFonts w:eastAsia="Times New Roman" w:cstheme="minorHAnsi"/>
          <w:b/>
          <w:sz w:val="20"/>
          <w:szCs w:val="20"/>
        </w:rPr>
        <w:t>Table</w:t>
      </w:r>
      <w:bookmarkEnd w:id="3"/>
      <w:r w:rsidRPr="00EB5A53">
        <w:rPr>
          <w:rFonts w:eastAsia="Times New Roman" w:cstheme="minorHAnsi"/>
          <w:b/>
          <w:sz w:val="20"/>
          <w:szCs w:val="20"/>
        </w:rPr>
        <w:t xml:space="preserve"> 3: : Summary of bleeding episodes 1, 2 in DVT and PE Treatment Studies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1980"/>
        <w:gridCol w:w="2070"/>
        <w:gridCol w:w="1890"/>
      </w:tblGrid>
      <w:tr w:rsidR="003A369B" w:rsidRPr="005D53E0" w:rsidTr="003A369B">
        <w:trPr>
          <w:jc w:val="center"/>
        </w:trPr>
        <w:tc>
          <w:tcPr>
            <w:tcW w:w="1525" w:type="dxa"/>
          </w:tcPr>
          <w:p w:rsidR="003A369B" w:rsidRPr="005D53E0" w:rsidRDefault="003A369B" w:rsidP="003A369B">
            <w:pPr>
              <w:keepNext/>
              <w:keepLines/>
              <w:widowControl w:val="0"/>
              <w:tabs>
                <w:tab w:val="center" w:pos="4512"/>
              </w:tabs>
              <w:spacing w:before="120" w:after="60" w:line="240" w:lineRule="auto"/>
              <w:ind w:left="360"/>
              <w:jc w:val="both"/>
              <w:outlineLvl w:val="3"/>
              <w:rPr>
                <w:rFonts w:eastAsia="Times New Roman" w:cstheme="minorHAnsi"/>
                <w:i/>
                <w:sz w:val="20"/>
                <w:szCs w:val="20"/>
              </w:rPr>
            </w:pPr>
          </w:p>
        </w:tc>
        <w:tc>
          <w:tcPr>
            <w:tcW w:w="1980" w:type="dxa"/>
          </w:tcPr>
          <w:p w:rsidR="003A369B" w:rsidRPr="005D53E0" w:rsidRDefault="003A369B" w:rsidP="003A369B">
            <w:pPr>
              <w:keepNext/>
              <w:keepLines/>
              <w:spacing w:after="120" w:line="240" w:lineRule="auto"/>
              <w:ind w:left="360"/>
              <w:jc w:val="center"/>
              <w:rPr>
                <w:rFonts w:eastAsia="Times New Roman" w:cstheme="minorHAnsi"/>
                <w:b/>
                <w:sz w:val="20"/>
                <w:szCs w:val="20"/>
              </w:rPr>
            </w:pPr>
            <w:r w:rsidRPr="005D53E0">
              <w:rPr>
                <w:rFonts w:eastAsia="Times New Roman" w:cstheme="minorHAnsi"/>
                <w:b/>
                <w:sz w:val="20"/>
                <w:szCs w:val="20"/>
              </w:rPr>
              <w:t>Fondaparinux Sodium</w:t>
            </w:r>
            <w:r w:rsidRPr="005D53E0">
              <w:rPr>
                <w:rFonts w:eastAsia="Times New Roman" w:cstheme="minorHAnsi"/>
                <w:b/>
                <w:sz w:val="20"/>
                <w:szCs w:val="20"/>
              </w:rPr>
              <w:br/>
              <w:t>Treatment Regimen</w:t>
            </w:r>
          </w:p>
        </w:tc>
        <w:tc>
          <w:tcPr>
            <w:tcW w:w="2070" w:type="dxa"/>
          </w:tcPr>
          <w:p w:rsidR="003A369B" w:rsidRPr="005D53E0" w:rsidRDefault="003A369B" w:rsidP="003A369B">
            <w:pPr>
              <w:keepNext/>
              <w:keepLines/>
              <w:spacing w:after="120" w:line="240" w:lineRule="auto"/>
              <w:ind w:left="360"/>
              <w:jc w:val="center"/>
              <w:rPr>
                <w:rFonts w:eastAsia="Times New Roman" w:cstheme="minorHAnsi"/>
                <w:b/>
                <w:sz w:val="20"/>
                <w:szCs w:val="20"/>
              </w:rPr>
            </w:pPr>
            <w:r w:rsidRPr="005D53E0">
              <w:rPr>
                <w:rFonts w:eastAsia="Times New Roman" w:cstheme="minorHAnsi"/>
                <w:b/>
                <w:sz w:val="20"/>
                <w:szCs w:val="20"/>
              </w:rPr>
              <w:t>Enoxaparin Sodium</w:t>
            </w:r>
            <w:r w:rsidRPr="005D53E0">
              <w:rPr>
                <w:rFonts w:eastAsia="Times New Roman" w:cstheme="minorHAnsi"/>
                <w:b/>
                <w:sz w:val="20"/>
                <w:szCs w:val="20"/>
              </w:rPr>
              <w:br/>
              <w:t>1 mg/kg SC q 12h</w:t>
            </w:r>
          </w:p>
        </w:tc>
        <w:tc>
          <w:tcPr>
            <w:tcW w:w="1890" w:type="dxa"/>
          </w:tcPr>
          <w:p w:rsidR="003A369B" w:rsidRPr="005D53E0" w:rsidRDefault="003A369B" w:rsidP="003A369B">
            <w:pPr>
              <w:keepNext/>
              <w:keepLines/>
              <w:spacing w:after="120" w:line="240" w:lineRule="auto"/>
              <w:ind w:left="360"/>
              <w:jc w:val="center"/>
              <w:rPr>
                <w:rFonts w:eastAsia="Times New Roman" w:cstheme="minorHAnsi"/>
                <w:b/>
                <w:strike/>
                <w:sz w:val="20"/>
                <w:szCs w:val="20"/>
              </w:rPr>
            </w:pPr>
            <w:r w:rsidRPr="005D53E0">
              <w:rPr>
                <w:rFonts w:eastAsia="Times New Roman" w:cstheme="minorHAnsi"/>
                <w:b/>
                <w:sz w:val="20"/>
                <w:szCs w:val="20"/>
              </w:rPr>
              <w:t>Heparin</w:t>
            </w:r>
            <w:r w:rsidRPr="005D53E0">
              <w:rPr>
                <w:rFonts w:eastAsia="Times New Roman" w:cstheme="minorHAnsi"/>
                <w:b/>
                <w:sz w:val="20"/>
                <w:szCs w:val="20"/>
              </w:rPr>
              <w:br/>
              <w:t>aPTT adjusted IV</w:t>
            </w:r>
          </w:p>
        </w:tc>
      </w:tr>
      <w:tr w:rsidR="003A369B" w:rsidRPr="005D53E0" w:rsidTr="00EB5A53">
        <w:trPr>
          <w:trHeight w:val="368"/>
          <w:jc w:val="center"/>
        </w:trPr>
        <w:tc>
          <w:tcPr>
            <w:tcW w:w="1525" w:type="dxa"/>
          </w:tcPr>
          <w:p w:rsidR="003A369B" w:rsidRPr="005D53E0" w:rsidRDefault="003A369B" w:rsidP="003A369B">
            <w:pPr>
              <w:keepLines/>
              <w:spacing w:before="240" w:after="60" w:line="240" w:lineRule="auto"/>
              <w:ind w:left="360"/>
              <w:jc w:val="both"/>
              <w:outlineLvl w:val="7"/>
              <w:rPr>
                <w:rFonts w:eastAsia="Times New Roman" w:cstheme="minorHAnsi"/>
                <w:i/>
                <w:sz w:val="20"/>
                <w:szCs w:val="20"/>
              </w:rPr>
            </w:pPr>
          </w:p>
        </w:tc>
        <w:tc>
          <w:tcPr>
            <w:tcW w:w="1980" w:type="dxa"/>
          </w:tcPr>
          <w:p w:rsidR="003A369B" w:rsidRPr="005D53E0" w:rsidRDefault="003A369B" w:rsidP="00EB5A53">
            <w:pPr>
              <w:keepNext/>
              <w:keepLines/>
              <w:tabs>
                <w:tab w:val="center" w:pos="4153"/>
                <w:tab w:val="right" w:pos="8306"/>
              </w:tabs>
              <w:spacing w:after="0" w:line="240" w:lineRule="auto"/>
              <w:ind w:left="360"/>
              <w:jc w:val="center"/>
              <w:rPr>
                <w:rFonts w:eastAsia="Times New Roman" w:cstheme="minorHAnsi"/>
                <w:sz w:val="20"/>
                <w:szCs w:val="20"/>
              </w:rPr>
            </w:pPr>
            <w:r w:rsidRPr="005D53E0">
              <w:rPr>
                <w:rFonts w:eastAsia="Times New Roman" w:cstheme="minorHAnsi"/>
                <w:sz w:val="20"/>
                <w:szCs w:val="20"/>
              </w:rPr>
              <w:t>(N = 2294)</w:t>
            </w:r>
          </w:p>
        </w:tc>
        <w:tc>
          <w:tcPr>
            <w:tcW w:w="2070" w:type="dxa"/>
          </w:tcPr>
          <w:p w:rsidR="003A369B" w:rsidRPr="005D53E0" w:rsidRDefault="003A369B" w:rsidP="00EB5A53">
            <w:pPr>
              <w:keepNext/>
              <w:keepLines/>
              <w:spacing w:after="0" w:line="240" w:lineRule="auto"/>
              <w:ind w:left="360"/>
              <w:jc w:val="center"/>
              <w:rPr>
                <w:rFonts w:eastAsia="Times New Roman" w:cstheme="minorHAnsi"/>
                <w:sz w:val="20"/>
                <w:szCs w:val="20"/>
              </w:rPr>
            </w:pPr>
            <w:r w:rsidRPr="005D53E0">
              <w:rPr>
                <w:rFonts w:eastAsia="Times New Roman" w:cstheme="minorHAnsi"/>
                <w:sz w:val="20"/>
                <w:szCs w:val="20"/>
              </w:rPr>
              <w:t>(N = 1101)</w:t>
            </w:r>
          </w:p>
        </w:tc>
        <w:tc>
          <w:tcPr>
            <w:tcW w:w="1890" w:type="dxa"/>
            <w:tcBorders>
              <w:bottom w:val="single" w:sz="4" w:space="0" w:color="auto"/>
            </w:tcBorders>
          </w:tcPr>
          <w:p w:rsidR="003A369B" w:rsidRPr="005D53E0" w:rsidRDefault="003A369B" w:rsidP="00EB5A53">
            <w:pPr>
              <w:keepNext/>
              <w:keepLines/>
              <w:spacing w:after="0" w:line="240" w:lineRule="auto"/>
              <w:ind w:left="360"/>
              <w:jc w:val="center"/>
              <w:rPr>
                <w:rFonts w:eastAsia="Times New Roman" w:cstheme="minorHAnsi"/>
                <w:sz w:val="20"/>
                <w:szCs w:val="20"/>
              </w:rPr>
            </w:pPr>
            <w:r w:rsidRPr="005D53E0">
              <w:rPr>
                <w:rFonts w:eastAsia="Times New Roman" w:cstheme="minorHAnsi"/>
                <w:sz w:val="20"/>
                <w:szCs w:val="20"/>
              </w:rPr>
              <w:t>(N = 1092)</w:t>
            </w:r>
            <w:r w:rsidRPr="005D53E0">
              <w:rPr>
                <w:rFonts w:eastAsia="Times New Roman" w:cstheme="minorHAnsi"/>
                <w:sz w:val="20"/>
                <w:szCs w:val="20"/>
              </w:rPr>
              <w:br/>
            </w:r>
          </w:p>
        </w:tc>
      </w:tr>
      <w:tr w:rsidR="003A369B" w:rsidRPr="005D53E0" w:rsidTr="003A369B">
        <w:trPr>
          <w:jc w:val="center"/>
        </w:trPr>
        <w:tc>
          <w:tcPr>
            <w:tcW w:w="1525" w:type="dxa"/>
          </w:tcPr>
          <w:p w:rsidR="003A369B" w:rsidRPr="005D53E0" w:rsidRDefault="003A369B" w:rsidP="003A369B">
            <w:pPr>
              <w:keepLines/>
              <w:spacing w:after="60" w:line="240" w:lineRule="auto"/>
              <w:outlineLvl w:val="7"/>
              <w:rPr>
                <w:rFonts w:eastAsia="Times New Roman" w:cstheme="minorHAnsi"/>
                <w:sz w:val="20"/>
                <w:szCs w:val="20"/>
              </w:rPr>
            </w:pPr>
            <w:r w:rsidRPr="005D53E0">
              <w:rPr>
                <w:rFonts w:eastAsia="Times New Roman" w:cstheme="minorHAnsi"/>
                <w:sz w:val="20"/>
                <w:szCs w:val="20"/>
              </w:rPr>
              <w:t>Major bleeding</w:t>
            </w:r>
          </w:p>
        </w:tc>
        <w:tc>
          <w:tcPr>
            <w:tcW w:w="1980" w:type="dxa"/>
          </w:tcPr>
          <w:p w:rsidR="003A369B" w:rsidRPr="005D53E0" w:rsidRDefault="003A369B" w:rsidP="003A369B">
            <w:pPr>
              <w:keepNext/>
              <w:keepLines/>
              <w:tabs>
                <w:tab w:val="center" w:pos="4153"/>
                <w:tab w:val="right" w:pos="8306"/>
              </w:tabs>
              <w:spacing w:after="120" w:line="240" w:lineRule="auto"/>
              <w:ind w:left="360"/>
              <w:jc w:val="center"/>
              <w:rPr>
                <w:rFonts w:eastAsia="Times New Roman" w:cstheme="minorHAnsi"/>
                <w:sz w:val="20"/>
                <w:szCs w:val="20"/>
              </w:rPr>
            </w:pPr>
            <w:r w:rsidRPr="005D53E0">
              <w:rPr>
                <w:rFonts w:eastAsia="Times New Roman" w:cstheme="minorHAnsi"/>
                <w:sz w:val="20"/>
                <w:szCs w:val="20"/>
              </w:rPr>
              <w:t>28 (1.2%)</w:t>
            </w:r>
          </w:p>
        </w:tc>
        <w:tc>
          <w:tcPr>
            <w:tcW w:w="2070" w:type="dxa"/>
          </w:tcPr>
          <w:p w:rsidR="003A369B" w:rsidRPr="005D53E0" w:rsidRDefault="003A369B" w:rsidP="003A369B">
            <w:pPr>
              <w:keepNext/>
              <w:keepLines/>
              <w:spacing w:after="120" w:line="240" w:lineRule="auto"/>
              <w:ind w:left="360"/>
              <w:jc w:val="center"/>
              <w:rPr>
                <w:rFonts w:eastAsia="Times New Roman" w:cstheme="minorHAnsi"/>
                <w:sz w:val="20"/>
                <w:szCs w:val="20"/>
              </w:rPr>
            </w:pPr>
            <w:r w:rsidRPr="005D53E0">
              <w:rPr>
                <w:rFonts w:eastAsia="Times New Roman" w:cstheme="minorHAnsi"/>
                <w:sz w:val="20"/>
                <w:szCs w:val="20"/>
              </w:rPr>
              <w:t>13 (1.2%)</w:t>
            </w:r>
          </w:p>
        </w:tc>
        <w:tc>
          <w:tcPr>
            <w:tcW w:w="1890" w:type="dxa"/>
            <w:tcBorders>
              <w:bottom w:val="single" w:sz="4" w:space="0" w:color="auto"/>
            </w:tcBorders>
          </w:tcPr>
          <w:p w:rsidR="003A369B" w:rsidRPr="005D53E0" w:rsidRDefault="003A369B" w:rsidP="003A369B">
            <w:pPr>
              <w:keepNext/>
              <w:keepLines/>
              <w:spacing w:after="120" w:line="240" w:lineRule="auto"/>
              <w:ind w:left="360"/>
              <w:jc w:val="center"/>
              <w:rPr>
                <w:rFonts w:eastAsia="Times New Roman" w:cstheme="minorHAnsi"/>
                <w:sz w:val="20"/>
                <w:szCs w:val="20"/>
              </w:rPr>
            </w:pPr>
            <w:r w:rsidRPr="005D53E0">
              <w:rPr>
                <w:rFonts w:eastAsia="Times New Roman" w:cstheme="minorHAnsi"/>
                <w:sz w:val="20"/>
                <w:szCs w:val="20"/>
              </w:rPr>
              <w:t>12 (1.1%)</w:t>
            </w:r>
          </w:p>
        </w:tc>
      </w:tr>
      <w:tr w:rsidR="003A369B" w:rsidRPr="005D53E0" w:rsidTr="003A369B">
        <w:trPr>
          <w:jc w:val="center"/>
        </w:trPr>
        <w:tc>
          <w:tcPr>
            <w:tcW w:w="1525" w:type="dxa"/>
          </w:tcPr>
          <w:p w:rsidR="003A369B" w:rsidRPr="005D53E0" w:rsidRDefault="003A369B" w:rsidP="003A369B">
            <w:pPr>
              <w:keepLines/>
              <w:spacing w:after="60" w:line="240" w:lineRule="auto"/>
              <w:outlineLvl w:val="7"/>
              <w:rPr>
                <w:rFonts w:eastAsia="Times New Roman" w:cstheme="minorHAnsi"/>
                <w:sz w:val="20"/>
                <w:szCs w:val="20"/>
              </w:rPr>
            </w:pPr>
            <w:r w:rsidRPr="005D53E0">
              <w:rPr>
                <w:rFonts w:eastAsia="Times New Roman" w:cstheme="minorHAnsi"/>
                <w:sz w:val="20"/>
                <w:szCs w:val="20"/>
              </w:rPr>
              <w:t>Minor bleeding</w:t>
            </w:r>
          </w:p>
        </w:tc>
        <w:tc>
          <w:tcPr>
            <w:tcW w:w="1980" w:type="dxa"/>
          </w:tcPr>
          <w:p w:rsidR="003A369B" w:rsidRPr="005D53E0" w:rsidRDefault="003A369B" w:rsidP="003A369B">
            <w:pPr>
              <w:keepNext/>
              <w:keepLines/>
              <w:tabs>
                <w:tab w:val="center" w:pos="4153"/>
                <w:tab w:val="right" w:pos="8306"/>
              </w:tabs>
              <w:spacing w:after="120" w:line="240" w:lineRule="auto"/>
              <w:ind w:left="360"/>
              <w:jc w:val="center"/>
              <w:rPr>
                <w:rFonts w:eastAsia="Times New Roman" w:cstheme="minorHAnsi"/>
                <w:sz w:val="20"/>
                <w:szCs w:val="20"/>
              </w:rPr>
            </w:pPr>
            <w:r w:rsidRPr="005D53E0">
              <w:rPr>
                <w:rFonts w:eastAsia="Times New Roman" w:cstheme="minorHAnsi"/>
                <w:sz w:val="20"/>
                <w:szCs w:val="20"/>
              </w:rPr>
              <w:t>70 (3.1%)</w:t>
            </w:r>
          </w:p>
        </w:tc>
        <w:tc>
          <w:tcPr>
            <w:tcW w:w="2070" w:type="dxa"/>
          </w:tcPr>
          <w:p w:rsidR="003A369B" w:rsidRPr="005D53E0" w:rsidRDefault="003A369B" w:rsidP="003A369B">
            <w:pPr>
              <w:keepNext/>
              <w:keepLines/>
              <w:spacing w:after="120" w:line="240" w:lineRule="auto"/>
              <w:ind w:left="360"/>
              <w:jc w:val="center"/>
              <w:rPr>
                <w:rFonts w:eastAsia="Times New Roman" w:cstheme="minorHAnsi"/>
                <w:sz w:val="20"/>
                <w:szCs w:val="20"/>
              </w:rPr>
            </w:pPr>
            <w:r w:rsidRPr="005D53E0">
              <w:rPr>
                <w:rFonts w:eastAsia="Times New Roman" w:cstheme="minorHAnsi"/>
                <w:sz w:val="20"/>
                <w:szCs w:val="20"/>
              </w:rPr>
              <w:t>33 (3.0%)</w:t>
            </w:r>
          </w:p>
        </w:tc>
        <w:tc>
          <w:tcPr>
            <w:tcW w:w="1890" w:type="dxa"/>
            <w:tcBorders>
              <w:bottom w:val="single" w:sz="4" w:space="0" w:color="auto"/>
            </w:tcBorders>
          </w:tcPr>
          <w:p w:rsidR="003A369B" w:rsidRPr="005D53E0" w:rsidRDefault="003A369B" w:rsidP="003A369B">
            <w:pPr>
              <w:keepNext/>
              <w:keepLines/>
              <w:spacing w:after="120" w:line="240" w:lineRule="auto"/>
              <w:ind w:left="360"/>
              <w:jc w:val="center"/>
              <w:rPr>
                <w:rFonts w:eastAsia="Times New Roman" w:cstheme="minorHAnsi"/>
                <w:sz w:val="20"/>
                <w:szCs w:val="20"/>
              </w:rPr>
            </w:pPr>
            <w:r w:rsidRPr="005D53E0">
              <w:rPr>
                <w:rFonts w:eastAsia="Times New Roman" w:cstheme="minorHAnsi"/>
                <w:sz w:val="20"/>
                <w:szCs w:val="20"/>
              </w:rPr>
              <w:t>57 (5.2%)</w:t>
            </w:r>
          </w:p>
        </w:tc>
      </w:tr>
      <w:tr w:rsidR="003A369B" w:rsidRPr="005D53E0" w:rsidTr="003A369B">
        <w:trPr>
          <w:cantSplit/>
          <w:jc w:val="center"/>
        </w:trPr>
        <w:tc>
          <w:tcPr>
            <w:tcW w:w="7465" w:type="dxa"/>
            <w:gridSpan w:val="4"/>
            <w:tcBorders>
              <w:top w:val="single" w:sz="4" w:space="0" w:color="auto"/>
              <w:left w:val="nil"/>
              <w:bottom w:val="nil"/>
              <w:right w:val="nil"/>
            </w:tcBorders>
          </w:tcPr>
          <w:p w:rsidR="003A369B" w:rsidRPr="005D53E0" w:rsidRDefault="003A369B" w:rsidP="00EB5A53">
            <w:pPr>
              <w:keepNext/>
              <w:keepLines/>
              <w:spacing w:after="0" w:line="240" w:lineRule="auto"/>
              <w:jc w:val="both"/>
              <w:rPr>
                <w:rFonts w:eastAsia="Times New Roman" w:cstheme="minorHAnsi"/>
                <w:sz w:val="20"/>
                <w:szCs w:val="20"/>
              </w:rPr>
            </w:pPr>
            <w:r w:rsidRPr="005D53E0">
              <w:rPr>
                <w:rFonts w:eastAsia="Times New Roman" w:cstheme="minorHAnsi"/>
                <w:sz w:val="20"/>
                <w:szCs w:val="20"/>
              </w:rPr>
              <w:t xml:space="preserve">1. Major bleeding was defined as clinically overt: – and/or contributing to death – and/or in a critical organ including intracranial, retroperitoneal, intraocular, spinal, pericardial or adrenal gland – and/or associated with a fall in </w:t>
            </w:r>
            <w:r w:rsidR="00C80066" w:rsidRPr="005D53E0">
              <w:rPr>
                <w:rFonts w:eastAsia="Times New Roman" w:cstheme="minorHAnsi"/>
                <w:sz w:val="20"/>
                <w:szCs w:val="20"/>
              </w:rPr>
              <w:t>haemoglobin</w:t>
            </w:r>
            <w:r w:rsidRPr="005D53E0">
              <w:rPr>
                <w:rFonts w:eastAsia="Times New Roman" w:cstheme="minorHAnsi"/>
                <w:sz w:val="20"/>
                <w:szCs w:val="20"/>
              </w:rPr>
              <w:t xml:space="preserve"> level = 2 g/dL – and/or leading to a transfusion = 2 units of packed red blood cells or whole blood. </w:t>
            </w:r>
          </w:p>
          <w:p w:rsidR="003A369B" w:rsidRPr="005D53E0" w:rsidRDefault="003A369B" w:rsidP="00EB5A53">
            <w:pPr>
              <w:keepNext/>
              <w:keepLines/>
              <w:spacing w:after="0" w:line="240" w:lineRule="auto"/>
              <w:jc w:val="both"/>
              <w:rPr>
                <w:rFonts w:eastAsia="Times New Roman" w:cstheme="minorHAnsi"/>
                <w:sz w:val="20"/>
                <w:szCs w:val="20"/>
              </w:rPr>
            </w:pPr>
            <w:r w:rsidRPr="005D53E0">
              <w:rPr>
                <w:rFonts w:eastAsia="Times New Roman" w:cstheme="minorHAnsi"/>
                <w:sz w:val="20"/>
                <w:szCs w:val="20"/>
              </w:rPr>
              <w:t>2. Bleeding rates are during the study drug treatment period (approximately 7 days).  Patients were also treated with vitamin K antagonists initiated within 72 hours after the first study drug administration.</w:t>
            </w:r>
          </w:p>
        </w:tc>
      </w:tr>
    </w:tbl>
    <w:p w:rsidR="005D53E0" w:rsidRDefault="005D53E0" w:rsidP="003A369B">
      <w:pPr>
        <w:autoSpaceDE w:val="0"/>
        <w:autoSpaceDN w:val="0"/>
        <w:adjustRightInd w:val="0"/>
        <w:jc w:val="both"/>
      </w:pPr>
    </w:p>
    <w:p w:rsidR="003A369B" w:rsidRPr="000F5095" w:rsidRDefault="003A369B" w:rsidP="00EB5A53">
      <w:pPr>
        <w:autoSpaceDE w:val="0"/>
        <w:autoSpaceDN w:val="0"/>
        <w:adjustRightInd w:val="0"/>
        <w:spacing w:line="240" w:lineRule="auto"/>
        <w:jc w:val="both"/>
      </w:pPr>
      <w:r w:rsidRPr="000F5095">
        <w:t xml:space="preserve">Other adverse events that occurred during treatment with </w:t>
      </w:r>
      <w:r>
        <w:t>ARIXTRA</w:t>
      </w:r>
      <w:r w:rsidRPr="000F5095">
        <w:t xml:space="preserve"> or enoxaparin sodium in clinical trials with patients undergoing hip fracture surgery, hip replacement surgery, or knee replacement surgery and that occurred at a rate of at least 2% in either treatment group, are provided in </w:t>
      </w:r>
      <w:r>
        <w:t xml:space="preserve">Table 4 </w:t>
      </w:r>
      <w:r w:rsidRPr="000F5095">
        <w:t xml:space="preserve">below.  </w:t>
      </w:r>
    </w:p>
    <w:p w:rsidR="003A369B" w:rsidRPr="000F5095" w:rsidRDefault="003A369B" w:rsidP="00EB5A53">
      <w:pPr>
        <w:autoSpaceDE w:val="0"/>
        <w:autoSpaceDN w:val="0"/>
        <w:adjustRightInd w:val="0"/>
        <w:spacing w:line="240" w:lineRule="auto"/>
        <w:jc w:val="both"/>
      </w:pPr>
      <w:r w:rsidRPr="000F5095">
        <w:t xml:space="preserve">Other adverse events that occurred during treatment with </w:t>
      </w:r>
      <w:r>
        <w:t>ARIXTRA</w:t>
      </w:r>
      <w:r w:rsidRPr="000F5095">
        <w:t xml:space="preserve"> or dalteparin in the clinical trial with patients undergoing abdominal surgery and that occurred at a rate of at least 2% in any treatment group are provided in </w:t>
      </w:r>
      <w:r>
        <w:t xml:space="preserve">Table 5 </w:t>
      </w:r>
      <w:r w:rsidRPr="000F5095">
        <w:t xml:space="preserve">below.  </w:t>
      </w:r>
    </w:p>
    <w:p w:rsidR="003A369B" w:rsidRPr="000F5095" w:rsidRDefault="003A369B" w:rsidP="00EB5A53">
      <w:pPr>
        <w:autoSpaceDE w:val="0"/>
        <w:autoSpaceDN w:val="0"/>
        <w:adjustRightInd w:val="0"/>
        <w:spacing w:line="240" w:lineRule="auto"/>
        <w:jc w:val="both"/>
      </w:pPr>
      <w:r w:rsidRPr="000F5095">
        <w:t xml:space="preserve">Other adverse events that occurred during treatment with </w:t>
      </w:r>
      <w:r>
        <w:t>ARIXTRA</w:t>
      </w:r>
      <w:r w:rsidRPr="000F5095">
        <w:t xml:space="preserve">, enoxaparin sodium or heparin in the DVT and PE treatment clinical trials and that occurred at a rate of at least 2% in any treatment group are provided in </w:t>
      </w:r>
      <w:r>
        <w:t xml:space="preserve">Table 6 </w:t>
      </w:r>
      <w:r w:rsidRPr="000F5095">
        <w:t>below.</w:t>
      </w:r>
    </w:p>
    <w:p w:rsidR="003A369B" w:rsidRPr="000F5095" w:rsidRDefault="003A369B" w:rsidP="00736CB6">
      <w:pPr>
        <w:pageBreakBefore/>
        <w:rPr>
          <w:highlight w:val="yellow"/>
        </w:rPr>
      </w:pPr>
      <w:bookmarkStart w:id="4" w:name="_Ref483221004"/>
      <w:r w:rsidRPr="00EB5A53">
        <w:lastRenderedPageBreak/>
        <w:t>Table</w:t>
      </w:r>
      <w:bookmarkEnd w:id="4"/>
      <w:r w:rsidRPr="00EB5A53">
        <w:t xml:space="preserve"> 4: Adverse Events Occurring in </w:t>
      </w:r>
      <w:r w:rsidRPr="00EB5A53">
        <w:sym w:font="Symbol" w:char="F0B3"/>
      </w:r>
      <w:r w:rsidRPr="00EB5A53">
        <w:t xml:space="preserve"> 2% of ARIXTRA, Enoxaparin Sodium or Placebo Treated Patients Regardless of Relationship to Study Drug Across Randomised, Controlled, Hip Fracture Surgery, Hip Replacement Surgery or Knee Replacement Surgery Studies</w:t>
      </w:r>
    </w:p>
    <w:tbl>
      <w:tblPr>
        <w:tblW w:w="9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
        <w:gridCol w:w="2138"/>
        <w:gridCol w:w="2250"/>
        <w:gridCol w:w="1440"/>
        <w:gridCol w:w="2160"/>
        <w:gridCol w:w="1462"/>
      </w:tblGrid>
      <w:tr w:rsidR="003A369B" w:rsidRPr="000F5095" w:rsidTr="00736CB6">
        <w:trPr>
          <w:trHeight w:val="710"/>
          <w:tblHeader/>
        </w:trPr>
        <w:tc>
          <w:tcPr>
            <w:tcW w:w="2160" w:type="dxa"/>
            <w:gridSpan w:val="2"/>
            <w:tcBorders>
              <w:top w:val="nil"/>
              <w:left w:val="nil"/>
              <w:bottom w:val="nil"/>
            </w:tcBorders>
          </w:tcPr>
          <w:p w:rsidR="003A369B" w:rsidRPr="000F5095" w:rsidRDefault="003A369B" w:rsidP="00736CB6"/>
        </w:tc>
        <w:tc>
          <w:tcPr>
            <w:tcW w:w="3690" w:type="dxa"/>
            <w:gridSpan w:val="2"/>
          </w:tcPr>
          <w:p w:rsidR="003A369B" w:rsidRPr="000F5095" w:rsidRDefault="003A369B" w:rsidP="00736CB6">
            <w:pPr>
              <w:rPr>
                <w:b/>
              </w:rPr>
            </w:pPr>
            <w:r w:rsidRPr="000F5095">
              <w:rPr>
                <w:b/>
              </w:rPr>
              <w:t>Peri-Operative Prophylaxis</w:t>
            </w:r>
            <w:r w:rsidRPr="000F5095">
              <w:rPr>
                <w:b/>
              </w:rPr>
              <w:br/>
              <w:t>(Day 1 to Day 7±1 post-surgery)</w:t>
            </w:r>
          </w:p>
          <w:p w:rsidR="003A369B" w:rsidRPr="000F5095" w:rsidRDefault="003A369B" w:rsidP="00736CB6">
            <w:pPr>
              <w:rPr>
                <w:b/>
              </w:rPr>
            </w:pPr>
          </w:p>
        </w:tc>
        <w:tc>
          <w:tcPr>
            <w:tcW w:w="3622" w:type="dxa"/>
            <w:gridSpan w:val="2"/>
          </w:tcPr>
          <w:p w:rsidR="003A369B" w:rsidRPr="000F5095" w:rsidRDefault="003A369B" w:rsidP="00736CB6">
            <w:pPr>
              <w:rPr>
                <w:b/>
              </w:rPr>
            </w:pPr>
            <w:r w:rsidRPr="000F5095">
              <w:rPr>
                <w:b/>
              </w:rPr>
              <w:t>Extended Prophylaxis</w:t>
            </w:r>
            <w:r w:rsidRPr="000F5095">
              <w:rPr>
                <w:b/>
              </w:rPr>
              <w:br/>
              <w:t>(Day 8 to Day 28±2 post-surgery)</w:t>
            </w:r>
          </w:p>
        </w:tc>
      </w:tr>
      <w:tr w:rsidR="003A369B" w:rsidRPr="000F5095" w:rsidTr="00736CB6">
        <w:trPr>
          <w:trHeight w:val="872"/>
          <w:tblHeader/>
        </w:trPr>
        <w:tc>
          <w:tcPr>
            <w:tcW w:w="2160" w:type="dxa"/>
            <w:gridSpan w:val="2"/>
          </w:tcPr>
          <w:p w:rsidR="003A369B" w:rsidRPr="000F5095" w:rsidRDefault="003A369B" w:rsidP="00736CB6">
            <w:pPr>
              <w:rPr>
                <w:b/>
              </w:rPr>
            </w:pPr>
            <w:r w:rsidRPr="000F5095">
              <w:rPr>
                <w:b/>
              </w:rPr>
              <w:t>Adverse events</w:t>
            </w:r>
          </w:p>
        </w:tc>
        <w:tc>
          <w:tcPr>
            <w:tcW w:w="2250" w:type="dxa"/>
            <w:vAlign w:val="bottom"/>
          </w:tcPr>
          <w:p w:rsidR="003A369B" w:rsidRPr="000F5095" w:rsidRDefault="003A369B" w:rsidP="00736CB6">
            <w:pPr>
              <w:rPr>
                <w:b/>
              </w:rPr>
            </w:pPr>
            <w:r w:rsidRPr="000F5095">
              <w:rPr>
                <w:b/>
              </w:rPr>
              <w:t>Fondaparinux Sodium</w:t>
            </w:r>
            <w:r w:rsidRPr="000F5095">
              <w:rPr>
                <w:b/>
              </w:rPr>
              <w:br/>
              <w:t xml:space="preserve">2.5 mg SC </w:t>
            </w:r>
            <w:r w:rsidRPr="000F5095">
              <w:rPr>
                <w:b/>
              </w:rPr>
              <w:br/>
              <w:t>once daily</w:t>
            </w:r>
          </w:p>
        </w:tc>
        <w:tc>
          <w:tcPr>
            <w:tcW w:w="1440" w:type="dxa"/>
          </w:tcPr>
          <w:p w:rsidR="003A369B" w:rsidRPr="000F5095" w:rsidRDefault="003A369B" w:rsidP="00736CB6">
            <w:pPr>
              <w:rPr>
                <w:b/>
              </w:rPr>
            </w:pPr>
            <w:r w:rsidRPr="000F5095">
              <w:rPr>
                <w:b/>
              </w:rPr>
              <w:t xml:space="preserve">Enoxaparin </w:t>
            </w:r>
            <w:r w:rsidRPr="000F5095">
              <w:rPr>
                <w:b/>
              </w:rPr>
              <w:br/>
              <w:t>Sodium</w:t>
            </w:r>
            <w:r w:rsidRPr="000F5095">
              <w:rPr>
                <w:b/>
                <w:vertAlign w:val="superscript"/>
              </w:rPr>
              <w:t>1</w:t>
            </w:r>
          </w:p>
        </w:tc>
        <w:tc>
          <w:tcPr>
            <w:tcW w:w="2160" w:type="dxa"/>
          </w:tcPr>
          <w:p w:rsidR="003A369B" w:rsidRPr="000F5095" w:rsidRDefault="003A369B" w:rsidP="00736CB6">
            <w:pPr>
              <w:rPr>
                <w:b/>
              </w:rPr>
            </w:pPr>
            <w:r w:rsidRPr="000F5095">
              <w:rPr>
                <w:b/>
              </w:rPr>
              <w:t>Fondaparinux Sodium</w:t>
            </w:r>
            <w:r w:rsidRPr="000F5095">
              <w:rPr>
                <w:b/>
              </w:rPr>
              <w:br/>
              <w:t xml:space="preserve">2.5 mg SC </w:t>
            </w:r>
            <w:r w:rsidRPr="000F5095">
              <w:rPr>
                <w:b/>
              </w:rPr>
              <w:br/>
              <w:t>once daily</w:t>
            </w:r>
          </w:p>
        </w:tc>
        <w:tc>
          <w:tcPr>
            <w:tcW w:w="1462" w:type="dxa"/>
          </w:tcPr>
          <w:p w:rsidR="003A369B" w:rsidRPr="000F5095" w:rsidRDefault="003A369B" w:rsidP="00736CB6">
            <w:pPr>
              <w:rPr>
                <w:b/>
              </w:rPr>
            </w:pPr>
            <w:r w:rsidRPr="000F5095">
              <w:rPr>
                <w:b/>
              </w:rPr>
              <w:t>Placebo</w:t>
            </w:r>
            <w:r w:rsidRPr="000F5095">
              <w:rPr>
                <w:b/>
              </w:rPr>
              <w:br/>
              <w:t>SC once daily</w:t>
            </w:r>
          </w:p>
        </w:tc>
      </w:tr>
      <w:tr w:rsidR="003A369B" w:rsidRPr="000F5095" w:rsidTr="003A369B">
        <w:tc>
          <w:tcPr>
            <w:tcW w:w="2160" w:type="dxa"/>
            <w:gridSpan w:val="2"/>
          </w:tcPr>
          <w:p w:rsidR="003A369B" w:rsidRPr="000F5095" w:rsidRDefault="003A369B" w:rsidP="00736CB6"/>
        </w:tc>
        <w:tc>
          <w:tcPr>
            <w:tcW w:w="2250" w:type="dxa"/>
          </w:tcPr>
          <w:p w:rsidR="003A369B" w:rsidRPr="000F5095" w:rsidRDefault="003A369B" w:rsidP="00736CB6">
            <w:r w:rsidRPr="000F5095">
              <w:t>N = 3616</w:t>
            </w:r>
          </w:p>
        </w:tc>
        <w:tc>
          <w:tcPr>
            <w:tcW w:w="1440" w:type="dxa"/>
          </w:tcPr>
          <w:p w:rsidR="003A369B" w:rsidRPr="000F5095" w:rsidRDefault="003A369B" w:rsidP="00736CB6">
            <w:r w:rsidRPr="000F5095">
              <w:t>N = 3956</w:t>
            </w:r>
          </w:p>
        </w:tc>
        <w:tc>
          <w:tcPr>
            <w:tcW w:w="2160" w:type="dxa"/>
          </w:tcPr>
          <w:p w:rsidR="003A369B" w:rsidRPr="000F5095" w:rsidRDefault="003A369B" w:rsidP="00736CB6">
            <w:r w:rsidRPr="000F5095">
              <w:t>N = 327</w:t>
            </w:r>
          </w:p>
        </w:tc>
        <w:tc>
          <w:tcPr>
            <w:tcW w:w="1462" w:type="dxa"/>
          </w:tcPr>
          <w:p w:rsidR="003A369B" w:rsidRPr="000F5095" w:rsidRDefault="003A369B" w:rsidP="00736CB6">
            <w:r w:rsidRPr="000F5095">
              <w:t>N = 329</w:t>
            </w:r>
          </w:p>
        </w:tc>
      </w:tr>
      <w:tr w:rsidR="003A369B" w:rsidRPr="000F5095" w:rsidTr="003A369B">
        <w:tc>
          <w:tcPr>
            <w:tcW w:w="2160" w:type="dxa"/>
            <w:gridSpan w:val="2"/>
          </w:tcPr>
          <w:p w:rsidR="003A369B" w:rsidRPr="000F5095" w:rsidRDefault="003A369B" w:rsidP="00736CB6">
            <w:r w:rsidRPr="000F5095">
              <w:t>Anaemia</w:t>
            </w:r>
          </w:p>
        </w:tc>
        <w:tc>
          <w:tcPr>
            <w:tcW w:w="2250" w:type="dxa"/>
          </w:tcPr>
          <w:p w:rsidR="003A369B" w:rsidRPr="000F5095" w:rsidRDefault="003A369B" w:rsidP="00736CB6">
            <w:r w:rsidRPr="000F5095">
              <w:t>707 (19.6%)</w:t>
            </w:r>
          </w:p>
        </w:tc>
        <w:tc>
          <w:tcPr>
            <w:tcW w:w="1440" w:type="dxa"/>
          </w:tcPr>
          <w:p w:rsidR="003A369B" w:rsidRPr="000F5095" w:rsidRDefault="003A369B" w:rsidP="00736CB6">
            <w:r w:rsidRPr="000F5095">
              <w:t>670 (16.9%)</w:t>
            </w:r>
          </w:p>
        </w:tc>
        <w:tc>
          <w:tcPr>
            <w:tcW w:w="2160" w:type="dxa"/>
          </w:tcPr>
          <w:p w:rsidR="003A369B" w:rsidRPr="000F5095" w:rsidRDefault="003A369B" w:rsidP="00736CB6">
            <w:r w:rsidRPr="000F5095">
              <w:t>5 (1.5%)</w:t>
            </w:r>
          </w:p>
        </w:tc>
        <w:tc>
          <w:tcPr>
            <w:tcW w:w="1462" w:type="dxa"/>
          </w:tcPr>
          <w:p w:rsidR="003A369B" w:rsidRPr="000F5095" w:rsidRDefault="003A369B" w:rsidP="00736CB6">
            <w:r w:rsidRPr="000F5095">
              <w:t>4 (1.2%)</w:t>
            </w:r>
          </w:p>
        </w:tc>
      </w:tr>
      <w:tr w:rsidR="003A369B" w:rsidRPr="000F5095" w:rsidTr="003A369B">
        <w:tc>
          <w:tcPr>
            <w:tcW w:w="2160" w:type="dxa"/>
            <w:gridSpan w:val="2"/>
          </w:tcPr>
          <w:p w:rsidR="003A369B" w:rsidRPr="000F5095" w:rsidRDefault="003A369B" w:rsidP="00736CB6">
            <w:r w:rsidRPr="000F5095">
              <w:t>Fever</w:t>
            </w:r>
          </w:p>
        </w:tc>
        <w:tc>
          <w:tcPr>
            <w:tcW w:w="2250" w:type="dxa"/>
          </w:tcPr>
          <w:p w:rsidR="003A369B" w:rsidRPr="000F5095" w:rsidRDefault="003A369B" w:rsidP="00736CB6">
            <w:r w:rsidRPr="000F5095">
              <w:t>491 (13.6%)</w:t>
            </w:r>
          </w:p>
        </w:tc>
        <w:tc>
          <w:tcPr>
            <w:tcW w:w="1440" w:type="dxa"/>
          </w:tcPr>
          <w:p w:rsidR="003A369B" w:rsidRPr="000F5095" w:rsidRDefault="003A369B" w:rsidP="00736CB6">
            <w:r w:rsidRPr="000F5095">
              <w:t>610 (15.4%)</w:t>
            </w:r>
          </w:p>
        </w:tc>
        <w:tc>
          <w:tcPr>
            <w:tcW w:w="2160" w:type="dxa"/>
          </w:tcPr>
          <w:p w:rsidR="003A369B" w:rsidRPr="000F5095" w:rsidRDefault="003A369B" w:rsidP="00736CB6">
            <w:r w:rsidRPr="000F5095">
              <w:t>1 (0.3%)</w:t>
            </w:r>
          </w:p>
        </w:tc>
        <w:tc>
          <w:tcPr>
            <w:tcW w:w="1462" w:type="dxa"/>
          </w:tcPr>
          <w:p w:rsidR="003A369B" w:rsidRPr="000F5095" w:rsidRDefault="003A369B" w:rsidP="00736CB6">
            <w:r w:rsidRPr="000F5095">
              <w:t>4 (1.2%)</w:t>
            </w:r>
          </w:p>
        </w:tc>
      </w:tr>
      <w:tr w:rsidR="003A369B" w:rsidRPr="000F5095" w:rsidTr="003A369B">
        <w:tc>
          <w:tcPr>
            <w:tcW w:w="2160" w:type="dxa"/>
            <w:gridSpan w:val="2"/>
          </w:tcPr>
          <w:p w:rsidR="003A369B" w:rsidRPr="000F5095" w:rsidRDefault="003A369B" w:rsidP="00736CB6">
            <w:r w:rsidRPr="000F5095">
              <w:t>Nausea</w:t>
            </w:r>
          </w:p>
        </w:tc>
        <w:tc>
          <w:tcPr>
            <w:tcW w:w="2250" w:type="dxa"/>
          </w:tcPr>
          <w:p w:rsidR="003A369B" w:rsidRPr="000F5095" w:rsidRDefault="003A369B" w:rsidP="00736CB6">
            <w:r w:rsidRPr="000F5095">
              <w:t>409 (11.3%)</w:t>
            </w:r>
          </w:p>
        </w:tc>
        <w:tc>
          <w:tcPr>
            <w:tcW w:w="1440" w:type="dxa"/>
          </w:tcPr>
          <w:p w:rsidR="003A369B" w:rsidRPr="000F5095" w:rsidRDefault="003A369B" w:rsidP="00736CB6">
            <w:r w:rsidRPr="000F5095">
              <w:t>484 (12.2%)</w:t>
            </w:r>
          </w:p>
        </w:tc>
        <w:tc>
          <w:tcPr>
            <w:tcW w:w="2160" w:type="dxa"/>
          </w:tcPr>
          <w:p w:rsidR="003A369B" w:rsidRPr="000F5095" w:rsidRDefault="003A369B" w:rsidP="00736CB6">
            <w:r w:rsidRPr="000F5095">
              <w:t>1 (0.3%)</w:t>
            </w:r>
          </w:p>
        </w:tc>
        <w:tc>
          <w:tcPr>
            <w:tcW w:w="1462" w:type="dxa"/>
          </w:tcPr>
          <w:p w:rsidR="003A369B" w:rsidRPr="000F5095" w:rsidRDefault="003A369B" w:rsidP="00736CB6">
            <w:r w:rsidRPr="000F5095">
              <w:t>4 (1.2%)</w:t>
            </w:r>
          </w:p>
        </w:tc>
      </w:tr>
      <w:tr w:rsidR="003A369B" w:rsidRPr="000F5095" w:rsidTr="003A369B">
        <w:tc>
          <w:tcPr>
            <w:tcW w:w="2160" w:type="dxa"/>
            <w:gridSpan w:val="2"/>
          </w:tcPr>
          <w:p w:rsidR="003A369B" w:rsidRPr="000F5095" w:rsidRDefault="003A369B" w:rsidP="00736CB6">
            <w:r w:rsidRPr="000F5095">
              <w:t>Oedema</w:t>
            </w:r>
          </w:p>
        </w:tc>
        <w:tc>
          <w:tcPr>
            <w:tcW w:w="2250" w:type="dxa"/>
          </w:tcPr>
          <w:p w:rsidR="003A369B" w:rsidRPr="000F5095" w:rsidRDefault="003A369B" w:rsidP="00736CB6">
            <w:r w:rsidRPr="000F5095">
              <w:t>313 (8.7%)</w:t>
            </w:r>
          </w:p>
        </w:tc>
        <w:tc>
          <w:tcPr>
            <w:tcW w:w="1440" w:type="dxa"/>
          </w:tcPr>
          <w:p w:rsidR="003A369B" w:rsidRPr="000F5095" w:rsidRDefault="003A369B" w:rsidP="00736CB6">
            <w:r w:rsidRPr="000F5095">
              <w:t>348 (8.8%)</w:t>
            </w:r>
          </w:p>
        </w:tc>
        <w:tc>
          <w:tcPr>
            <w:tcW w:w="2160" w:type="dxa"/>
          </w:tcPr>
          <w:p w:rsidR="003A369B" w:rsidRPr="000F5095" w:rsidRDefault="003A369B" w:rsidP="00736CB6">
            <w:r w:rsidRPr="000F5095">
              <w:t>3 (0.9%)</w:t>
            </w:r>
          </w:p>
        </w:tc>
        <w:tc>
          <w:tcPr>
            <w:tcW w:w="1462" w:type="dxa"/>
          </w:tcPr>
          <w:p w:rsidR="003A369B" w:rsidRPr="000F5095" w:rsidRDefault="003A369B" w:rsidP="00736CB6">
            <w:r w:rsidRPr="000F5095">
              <w:t>2 (0.6%)</w:t>
            </w:r>
          </w:p>
        </w:tc>
      </w:tr>
      <w:tr w:rsidR="003A369B" w:rsidRPr="000F5095" w:rsidTr="003A369B">
        <w:tc>
          <w:tcPr>
            <w:tcW w:w="2160" w:type="dxa"/>
            <w:gridSpan w:val="2"/>
          </w:tcPr>
          <w:p w:rsidR="003A369B" w:rsidRPr="000F5095" w:rsidRDefault="003A369B" w:rsidP="00736CB6">
            <w:r w:rsidRPr="000F5095">
              <w:t>Constipation</w:t>
            </w:r>
          </w:p>
        </w:tc>
        <w:tc>
          <w:tcPr>
            <w:tcW w:w="2250" w:type="dxa"/>
          </w:tcPr>
          <w:p w:rsidR="003A369B" w:rsidRPr="000F5095" w:rsidRDefault="003A369B" w:rsidP="00736CB6">
            <w:r w:rsidRPr="000F5095">
              <w:t>309 (8.5%)</w:t>
            </w:r>
          </w:p>
        </w:tc>
        <w:tc>
          <w:tcPr>
            <w:tcW w:w="1440" w:type="dxa"/>
          </w:tcPr>
          <w:p w:rsidR="003A369B" w:rsidRPr="000F5095" w:rsidRDefault="003A369B" w:rsidP="00736CB6">
            <w:r w:rsidRPr="000F5095">
              <w:t>416 (10.5%)</w:t>
            </w:r>
          </w:p>
        </w:tc>
        <w:tc>
          <w:tcPr>
            <w:tcW w:w="2160" w:type="dxa"/>
          </w:tcPr>
          <w:p w:rsidR="003A369B" w:rsidRPr="000F5095" w:rsidRDefault="003A369B" w:rsidP="00736CB6">
            <w:r w:rsidRPr="000F5095">
              <w:t>6 (1.8%)</w:t>
            </w:r>
          </w:p>
        </w:tc>
        <w:tc>
          <w:tcPr>
            <w:tcW w:w="1462" w:type="dxa"/>
          </w:tcPr>
          <w:p w:rsidR="003A369B" w:rsidRPr="000F5095" w:rsidRDefault="003A369B" w:rsidP="00736CB6">
            <w:r w:rsidRPr="000F5095">
              <w:t>7 (2.1%)</w:t>
            </w:r>
          </w:p>
        </w:tc>
      </w:tr>
      <w:tr w:rsidR="003A369B" w:rsidRPr="000F5095" w:rsidTr="003A369B">
        <w:tc>
          <w:tcPr>
            <w:tcW w:w="2160" w:type="dxa"/>
            <w:gridSpan w:val="2"/>
          </w:tcPr>
          <w:p w:rsidR="003A369B" w:rsidRPr="000F5095" w:rsidRDefault="003A369B" w:rsidP="00736CB6">
            <w:r w:rsidRPr="000F5095">
              <w:t>Rash</w:t>
            </w:r>
          </w:p>
        </w:tc>
        <w:tc>
          <w:tcPr>
            <w:tcW w:w="2250" w:type="dxa"/>
          </w:tcPr>
          <w:p w:rsidR="003A369B" w:rsidRPr="000F5095" w:rsidRDefault="003A369B" w:rsidP="00736CB6">
            <w:r w:rsidRPr="000F5095">
              <w:t>273 (7.5%)</w:t>
            </w:r>
          </w:p>
        </w:tc>
        <w:tc>
          <w:tcPr>
            <w:tcW w:w="1440" w:type="dxa"/>
          </w:tcPr>
          <w:p w:rsidR="003A369B" w:rsidRPr="000F5095" w:rsidRDefault="003A369B" w:rsidP="00736CB6">
            <w:r w:rsidRPr="000F5095">
              <w:t>329 (8.3%)</w:t>
            </w:r>
          </w:p>
        </w:tc>
        <w:tc>
          <w:tcPr>
            <w:tcW w:w="2160" w:type="dxa"/>
          </w:tcPr>
          <w:p w:rsidR="003A369B" w:rsidRPr="000F5095" w:rsidRDefault="003A369B" w:rsidP="00736CB6">
            <w:r w:rsidRPr="000F5095">
              <w:t>2 (0.6%)</w:t>
            </w:r>
          </w:p>
        </w:tc>
        <w:tc>
          <w:tcPr>
            <w:tcW w:w="1462" w:type="dxa"/>
          </w:tcPr>
          <w:p w:rsidR="003A369B" w:rsidRPr="000F5095" w:rsidRDefault="003A369B" w:rsidP="00736CB6">
            <w:r w:rsidRPr="000F5095">
              <w:t>4 (1.2%)</w:t>
            </w:r>
          </w:p>
        </w:tc>
      </w:tr>
      <w:tr w:rsidR="003A369B" w:rsidRPr="000F5095" w:rsidTr="003A369B">
        <w:tc>
          <w:tcPr>
            <w:tcW w:w="2160" w:type="dxa"/>
            <w:gridSpan w:val="2"/>
          </w:tcPr>
          <w:p w:rsidR="003A369B" w:rsidRPr="000F5095" w:rsidRDefault="003A369B" w:rsidP="00736CB6">
            <w:r w:rsidRPr="000F5095">
              <w:t>Vomiting</w:t>
            </w:r>
          </w:p>
        </w:tc>
        <w:tc>
          <w:tcPr>
            <w:tcW w:w="2250" w:type="dxa"/>
          </w:tcPr>
          <w:p w:rsidR="003A369B" w:rsidRPr="000F5095" w:rsidRDefault="003A369B" w:rsidP="00736CB6">
            <w:r w:rsidRPr="000F5095">
              <w:t>212 (5.9%)</w:t>
            </w:r>
          </w:p>
        </w:tc>
        <w:tc>
          <w:tcPr>
            <w:tcW w:w="1440" w:type="dxa"/>
          </w:tcPr>
          <w:p w:rsidR="003A369B" w:rsidRPr="000F5095" w:rsidRDefault="003A369B" w:rsidP="00736CB6">
            <w:r w:rsidRPr="000F5095">
              <w:t>236 (6.0%)</w:t>
            </w:r>
          </w:p>
        </w:tc>
        <w:tc>
          <w:tcPr>
            <w:tcW w:w="2160" w:type="dxa"/>
          </w:tcPr>
          <w:p w:rsidR="003A369B" w:rsidRPr="000F5095" w:rsidRDefault="003A369B" w:rsidP="00736CB6">
            <w:r w:rsidRPr="000F5095">
              <w:t>2 (0.6%)</w:t>
            </w:r>
          </w:p>
        </w:tc>
        <w:tc>
          <w:tcPr>
            <w:tcW w:w="1462" w:type="dxa"/>
          </w:tcPr>
          <w:p w:rsidR="003A369B" w:rsidRPr="000F5095" w:rsidRDefault="003A369B" w:rsidP="00736CB6">
            <w:r w:rsidRPr="000F5095">
              <w:t>4 (1.2%)</w:t>
            </w:r>
          </w:p>
        </w:tc>
      </w:tr>
      <w:tr w:rsidR="003A369B" w:rsidRPr="000F5095" w:rsidTr="003A369B">
        <w:tc>
          <w:tcPr>
            <w:tcW w:w="2160" w:type="dxa"/>
            <w:gridSpan w:val="2"/>
          </w:tcPr>
          <w:p w:rsidR="003A369B" w:rsidRPr="000F5095" w:rsidRDefault="003A369B" w:rsidP="00736CB6">
            <w:r w:rsidRPr="000F5095">
              <w:t>Insomnia</w:t>
            </w:r>
          </w:p>
        </w:tc>
        <w:tc>
          <w:tcPr>
            <w:tcW w:w="2250" w:type="dxa"/>
          </w:tcPr>
          <w:p w:rsidR="003A369B" w:rsidRPr="000F5095" w:rsidRDefault="003A369B" w:rsidP="00736CB6">
            <w:r w:rsidRPr="000F5095">
              <w:t>179 (5.0%)</w:t>
            </w:r>
          </w:p>
        </w:tc>
        <w:tc>
          <w:tcPr>
            <w:tcW w:w="1440" w:type="dxa"/>
          </w:tcPr>
          <w:p w:rsidR="003A369B" w:rsidRPr="000F5095" w:rsidRDefault="003A369B" w:rsidP="00736CB6">
            <w:r w:rsidRPr="000F5095">
              <w:t>214 (5.4%)</w:t>
            </w:r>
          </w:p>
        </w:tc>
        <w:tc>
          <w:tcPr>
            <w:tcW w:w="2160" w:type="dxa"/>
          </w:tcPr>
          <w:p w:rsidR="003A369B" w:rsidRPr="000F5095" w:rsidRDefault="003A369B" w:rsidP="00736CB6">
            <w:r w:rsidRPr="000F5095">
              <w:t>3 (0.9%)</w:t>
            </w:r>
          </w:p>
        </w:tc>
        <w:tc>
          <w:tcPr>
            <w:tcW w:w="1462" w:type="dxa"/>
          </w:tcPr>
          <w:p w:rsidR="003A369B" w:rsidRPr="000F5095" w:rsidRDefault="003A369B" w:rsidP="00736CB6">
            <w:r w:rsidRPr="000F5095">
              <w:t>1 (0.3%)</w:t>
            </w:r>
          </w:p>
        </w:tc>
      </w:tr>
      <w:tr w:rsidR="003A369B" w:rsidRPr="000F5095" w:rsidTr="00EB5A53">
        <w:trPr>
          <w:trHeight w:val="616"/>
        </w:trPr>
        <w:tc>
          <w:tcPr>
            <w:tcW w:w="2160" w:type="dxa"/>
            <w:gridSpan w:val="2"/>
          </w:tcPr>
          <w:p w:rsidR="003A369B" w:rsidRPr="000F5095" w:rsidRDefault="003A369B" w:rsidP="00736CB6">
            <w:r w:rsidRPr="000F5095">
              <w:t>Wound drainage</w:t>
            </w:r>
          </w:p>
          <w:p w:rsidR="003A369B" w:rsidRPr="000F5095" w:rsidRDefault="003A369B" w:rsidP="00736CB6">
            <w:r w:rsidRPr="000F5095">
              <w:t xml:space="preserve"> increased</w:t>
            </w:r>
          </w:p>
        </w:tc>
        <w:tc>
          <w:tcPr>
            <w:tcW w:w="2250" w:type="dxa"/>
          </w:tcPr>
          <w:p w:rsidR="003A369B" w:rsidRPr="000F5095" w:rsidRDefault="003A369B" w:rsidP="00736CB6">
            <w:r w:rsidRPr="000F5095">
              <w:t>161 (4.5%)</w:t>
            </w:r>
          </w:p>
        </w:tc>
        <w:tc>
          <w:tcPr>
            <w:tcW w:w="1440" w:type="dxa"/>
          </w:tcPr>
          <w:p w:rsidR="003A369B" w:rsidRPr="000F5095" w:rsidRDefault="003A369B" w:rsidP="00736CB6">
            <w:r w:rsidRPr="000F5095">
              <w:t>184 (4.7%)</w:t>
            </w:r>
          </w:p>
          <w:p w:rsidR="003A369B" w:rsidRPr="000F5095" w:rsidRDefault="003A369B" w:rsidP="00736CB6"/>
        </w:tc>
        <w:tc>
          <w:tcPr>
            <w:tcW w:w="2160" w:type="dxa"/>
          </w:tcPr>
          <w:p w:rsidR="003A369B" w:rsidRPr="000F5095" w:rsidRDefault="003A369B" w:rsidP="00736CB6">
            <w:r w:rsidRPr="000F5095">
              <w:t>2 (0.6%)</w:t>
            </w:r>
          </w:p>
        </w:tc>
        <w:tc>
          <w:tcPr>
            <w:tcW w:w="1462" w:type="dxa"/>
          </w:tcPr>
          <w:p w:rsidR="003A369B" w:rsidRPr="000F5095" w:rsidRDefault="003A369B" w:rsidP="00736CB6">
            <w:r w:rsidRPr="000F5095">
              <w:t>0 (0.0%)</w:t>
            </w:r>
          </w:p>
        </w:tc>
      </w:tr>
      <w:tr w:rsidR="003A369B" w:rsidRPr="000F5095" w:rsidTr="003A369B">
        <w:tc>
          <w:tcPr>
            <w:tcW w:w="2160" w:type="dxa"/>
            <w:gridSpan w:val="2"/>
          </w:tcPr>
          <w:p w:rsidR="003A369B" w:rsidRPr="000F5095" w:rsidRDefault="003A369B" w:rsidP="00736CB6">
            <w:r w:rsidRPr="000F5095">
              <w:t>Hypokalemia</w:t>
            </w:r>
          </w:p>
        </w:tc>
        <w:tc>
          <w:tcPr>
            <w:tcW w:w="2250" w:type="dxa"/>
          </w:tcPr>
          <w:p w:rsidR="003A369B" w:rsidRPr="000F5095" w:rsidRDefault="003A369B" w:rsidP="00736CB6">
            <w:r w:rsidRPr="000F5095">
              <w:t>152 (4.2%)</w:t>
            </w:r>
          </w:p>
        </w:tc>
        <w:tc>
          <w:tcPr>
            <w:tcW w:w="1440" w:type="dxa"/>
          </w:tcPr>
          <w:p w:rsidR="003A369B" w:rsidRPr="000F5095" w:rsidRDefault="003A369B" w:rsidP="00736CB6">
            <w:r w:rsidRPr="000F5095">
              <w:t>164 (4.1%)</w:t>
            </w:r>
          </w:p>
        </w:tc>
        <w:tc>
          <w:tcPr>
            <w:tcW w:w="2160" w:type="dxa"/>
          </w:tcPr>
          <w:p w:rsidR="003A369B" w:rsidRPr="000F5095" w:rsidRDefault="003A369B" w:rsidP="00736CB6">
            <w:r w:rsidRPr="000F5095">
              <w:t>0 (0.0%)</w:t>
            </w:r>
          </w:p>
        </w:tc>
        <w:tc>
          <w:tcPr>
            <w:tcW w:w="1462" w:type="dxa"/>
          </w:tcPr>
          <w:p w:rsidR="003A369B" w:rsidRPr="000F5095" w:rsidRDefault="003A369B" w:rsidP="00736CB6">
            <w:r w:rsidRPr="000F5095">
              <w:t>0 (0.0%)</w:t>
            </w:r>
          </w:p>
        </w:tc>
      </w:tr>
      <w:tr w:rsidR="003A369B" w:rsidRPr="000F5095" w:rsidTr="003A369B">
        <w:tc>
          <w:tcPr>
            <w:tcW w:w="2160" w:type="dxa"/>
            <w:gridSpan w:val="2"/>
          </w:tcPr>
          <w:p w:rsidR="003A369B" w:rsidRPr="000F5095" w:rsidRDefault="003A369B" w:rsidP="00736CB6">
            <w:r w:rsidRPr="000F5095">
              <w:t>Urinary tract infection</w:t>
            </w:r>
          </w:p>
        </w:tc>
        <w:tc>
          <w:tcPr>
            <w:tcW w:w="2250" w:type="dxa"/>
          </w:tcPr>
          <w:p w:rsidR="003A369B" w:rsidRPr="000F5095" w:rsidRDefault="003A369B" w:rsidP="00736CB6">
            <w:r w:rsidRPr="000F5095">
              <w:t>136 (3.8%)</w:t>
            </w:r>
          </w:p>
        </w:tc>
        <w:tc>
          <w:tcPr>
            <w:tcW w:w="1440" w:type="dxa"/>
          </w:tcPr>
          <w:p w:rsidR="003A369B" w:rsidRPr="000F5095" w:rsidRDefault="003A369B" w:rsidP="00736CB6">
            <w:r w:rsidRPr="000F5095">
              <w:t>135 (3.4%)</w:t>
            </w:r>
          </w:p>
        </w:tc>
        <w:tc>
          <w:tcPr>
            <w:tcW w:w="2160" w:type="dxa"/>
          </w:tcPr>
          <w:p w:rsidR="003A369B" w:rsidRPr="000F5095" w:rsidRDefault="003A369B" w:rsidP="00736CB6">
            <w:r w:rsidRPr="000F5095">
              <w:t>13 (4.0%)</w:t>
            </w:r>
          </w:p>
        </w:tc>
        <w:tc>
          <w:tcPr>
            <w:tcW w:w="1462" w:type="dxa"/>
          </w:tcPr>
          <w:p w:rsidR="003A369B" w:rsidRPr="000F5095" w:rsidRDefault="003A369B" w:rsidP="00736CB6">
            <w:r w:rsidRPr="000F5095">
              <w:t>13 (4.0%)</w:t>
            </w:r>
          </w:p>
        </w:tc>
      </w:tr>
      <w:tr w:rsidR="003A369B" w:rsidRPr="000F5095" w:rsidTr="003A369B">
        <w:tc>
          <w:tcPr>
            <w:tcW w:w="2160" w:type="dxa"/>
            <w:gridSpan w:val="2"/>
          </w:tcPr>
          <w:p w:rsidR="003A369B" w:rsidRPr="000F5095" w:rsidRDefault="003A369B" w:rsidP="00736CB6">
            <w:r w:rsidRPr="000F5095">
              <w:t>Dizziness</w:t>
            </w:r>
          </w:p>
        </w:tc>
        <w:tc>
          <w:tcPr>
            <w:tcW w:w="2250" w:type="dxa"/>
          </w:tcPr>
          <w:p w:rsidR="003A369B" w:rsidRPr="000F5095" w:rsidRDefault="003A369B" w:rsidP="00736CB6">
            <w:r w:rsidRPr="000F5095">
              <w:t>131 (3.6%)</w:t>
            </w:r>
          </w:p>
        </w:tc>
        <w:tc>
          <w:tcPr>
            <w:tcW w:w="1440" w:type="dxa"/>
          </w:tcPr>
          <w:p w:rsidR="003A369B" w:rsidRPr="000F5095" w:rsidRDefault="003A369B" w:rsidP="00736CB6">
            <w:r w:rsidRPr="000F5095">
              <w:t>165 (4.2%)</w:t>
            </w:r>
          </w:p>
        </w:tc>
        <w:tc>
          <w:tcPr>
            <w:tcW w:w="2160" w:type="dxa"/>
          </w:tcPr>
          <w:p w:rsidR="003A369B" w:rsidRPr="000F5095" w:rsidRDefault="003A369B" w:rsidP="00736CB6">
            <w:r w:rsidRPr="000F5095">
              <w:t>2 (0.6%)</w:t>
            </w:r>
          </w:p>
        </w:tc>
        <w:tc>
          <w:tcPr>
            <w:tcW w:w="1462" w:type="dxa"/>
          </w:tcPr>
          <w:p w:rsidR="003A369B" w:rsidRPr="000F5095" w:rsidRDefault="003A369B" w:rsidP="00736CB6">
            <w:r w:rsidRPr="000F5095">
              <w:t>0 (0.0%)</w:t>
            </w:r>
          </w:p>
        </w:tc>
      </w:tr>
      <w:tr w:rsidR="003A369B" w:rsidRPr="000F5095" w:rsidTr="003A369B">
        <w:tc>
          <w:tcPr>
            <w:tcW w:w="2160" w:type="dxa"/>
            <w:gridSpan w:val="2"/>
          </w:tcPr>
          <w:p w:rsidR="003A369B" w:rsidRPr="000F5095" w:rsidRDefault="003A369B" w:rsidP="00736CB6">
            <w:r w:rsidRPr="000F5095">
              <w:t>Purpura</w:t>
            </w:r>
          </w:p>
        </w:tc>
        <w:tc>
          <w:tcPr>
            <w:tcW w:w="2250" w:type="dxa"/>
          </w:tcPr>
          <w:p w:rsidR="003A369B" w:rsidRPr="000F5095" w:rsidRDefault="003A369B" w:rsidP="00736CB6">
            <w:r w:rsidRPr="000F5095">
              <w:t>128 (3.5%)</w:t>
            </w:r>
          </w:p>
        </w:tc>
        <w:tc>
          <w:tcPr>
            <w:tcW w:w="1440" w:type="dxa"/>
          </w:tcPr>
          <w:p w:rsidR="003A369B" w:rsidRPr="000F5095" w:rsidRDefault="003A369B" w:rsidP="00736CB6">
            <w:r w:rsidRPr="000F5095">
              <w:t>137 (3.5%)</w:t>
            </w:r>
          </w:p>
        </w:tc>
        <w:tc>
          <w:tcPr>
            <w:tcW w:w="2160" w:type="dxa"/>
          </w:tcPr>
          <w:p w:rsidR="003A369B" w:rsidRPr="000F5095" w:rsidRDefault="003A369B" w:rsidP="00736CB6">
            <w:r w:rsidRPr="000F5095">
              <w:t>0 (0.0%)</w:t>
            </w:r>
          </w:p>
        </w:tc>
        <w:tc>
          <w:tcPr>
            <w:tcW w:w="1462" w:type="dxa"/>
          </w:tcPr>
          <w:p w:rsidR="003A369B" w:rsidRPr="000F5095" w:rsidRDefault="003A369B" w:rsidP="00736CB6">
            <w:r w:rsidRPr="000F5095">
              <w:t>0 (0.0%)</w:t>
            </w:r>
          </w:p>
        </w:tc>
      </w:tr>
      <w:tr w:rsidR="003A369B" w:rsidRPr="000F5095" w:rsidTr="003A369B">
        <w:tc>
          <w:tcPr>
            <w:tcW w:w="2160" w:type="dxa"/>
            <w:gridSpan w:val="2"/>
          </w:tcPr>
          <w:p w:rsidR="003A369B" w:rsidRPr="000F5095" w:rsidRDefault="003A369B" w:rsidP="00736CB6">
            <w:r w:rsidRPr="000F5095">
              <w:t>Hypotension</w:t>
            </w:r>
          </w:p>
        </w:tc>
        <w:tc>
          <w:tcPr>
            <w:tcW w:w="2250" w:type="dxa"/>
          </w:tcPr>
          <w:p w:rsidR="003A369B" w:rsidRPr="000F5095" w:rsidRDefault="003A369B" w:rsidP="00736CB6">
            <w:r w:rsidRPr="000F5095">
              <w:t>126 (3.5%)</w:t>
            </w:r>
          </w:p>
        </w:tc>
        <w:tc>
          <w:tcPr>
            <w:tcW w:w="1440" w:type="dxa"/>
          </w:tcPr>
          <w:p w:rsidR="003A369B" w:rsidRPr="000F5095" w:rsidRDefault="003A369B" w:rsidP="00736CB6">
            <w:r w:rsidRPr="000F5095">
              <w:t>125 (3.2%)</w:t>
            </w:r>
          </w:p>
        </w:tc>
        <w:tc>
          <w:tcPr>
            <w:tcW w:w="2160" w:type="dxa"/>
          </w:tcPr>
          <w:p w:rsidR="003A369B" w:rsidRPr="000F5095" w:rsidRDefault="003A369B" w:rsidP="00736CB6">
            <w:r w:rsidRPr="000F5095">
              <w:t>1 (0.3%)</w:t>
            </w:r>
          </w:p>
        </w:tc>
        <w:tc>
          <w:tcPr>
            <w:tcW w:w="1462" w:type="dxa"/>
          </w:tcPr>
          <w:p w:rsidR="003A369B" w:rsidRPr="000F5095" w:rsidRDefault="003A369B" w:rsidP="00736CB6">
            <w:r w:rsidRPr="000F5095">
              <w:t>0 (0.0%)</w:t>
            </w:r>
          </w:p>
        </w:tc>
      </w:tr>
      <w:tr w:rsidR="003A369B" w:rsidRPr="000F5095" w:rsidTr="003A369B">
        <w:tc>
          <w:tcPr>
            <w:tcW w:w="2160" w:type="dxa"/>
            <w:gridSpan w:val="2"/>
          </w:tcPr>
          <w:p w:rsidR="003A369B" w:rsidRPr="000F5095" w:rsidRDefault="003A369B" w:rsidP="00736CB6">
            <w:r w:rsidRPr="000F5095">
              <w:lastRenderedPageBreak/>
              <w:t>Confusion</w:t>
            </w:r>
          </w:p>
        </w:tc>
        <w:tc>
          <w:tcPr>
            <w:tcW w:w="2250" w:type="dxa"/>
          </w:tcPr>
          <w:p w:rsidR="003A369B" w:rsidRPr="000F5095" w:rsidRDefault="003A369B" w:rsidP="00736CB6">
            <w:r w:rsidRPr="000F5095">
              <w:t>113 (3.1%)</w:t>
            </w:r>
          </w:p>
        </w:tc>
        <w:tc>
          <w:tcPr>
            <w:tcW w:w="1440" w:type="dxa"/>
          </w:tcPr>
          <w:p w:rsidR="003A369B" w:rsidRPr="000F5095" w:rsidRDefault="003A369B" w:rsidP="00736CB6">
            <w:r w:rsidRPr="000F5095">
              <w:t>132 (3.3%)</w:t>
            </w:r>
          </w:p>
        </w:tc>
        <w:tc>
          <w:tcPr>
            <w:tcW w:w="2160" w:type="dxa"/>
          </w:tcPr>
          <w:p w:rsidR="003A369B" w:rsidRPr="000F5095" w:rsidRDefault="003A369B" w:rsidP="00736CB6">
            <w:r w:rsidRPr="000F5095">
              <w:t>4 (1.2%)</w:t>
            </w:r>
          </w:p>
        </w:tc>
        <w:tc>
          <w:tcPr>
            <w:tcW w:w="1462" w:type="dxa"/>
          </w:tcPr>
          <w:p w:rsidR="003A369B" w:rsidRPr="000F5095" w:rsidRDefault="003A369B" w:rsidP="00736CB6">
            <w:r w:rsidRPr="000F5095">
              <w:t>1 (0.3%)</w:t>
            </w:r>
          </w:p>
        </w:tc>
      </w:tr>
      <w:tr w:rsidR="003A369B" w:rsidRPr="000F5095" w:rsidTr="003A369B">
        <w:tc>
          <w:tcPr>
            <w:tcW w:w="2160" w:type="dxa"/>
            <w:gridSpan w:val="2"/>
          </w:tcPr>
          <w:p w:rsidR="003A369B" w:rsidRPr="000F5095" w:rsidRDefault="003A369B" w:rsidP="00736CB6">
            <w:r w:rsidRPr="000F5095">
              <w:t>Bullous eruption</w:t>
            </w:r>
            <w:r w:rsidRPr="000F5095">
              <w:rPr>
                <w:vertAlign w:val="superscript"/>
              </w:rPr>
              <w:t>2</w:t>
            </w:r>
          </w:p>
        </w:tc>
        <w:tc>
          <w:tcPr>
            <w:tcW w:w="2250" w:type="dxa"/>
          </w:tcPr>
          <w:p w:rsidR="003A369B" w:rsidRPr="000F5095" w:rsidRDefault="003A369B" w:rsidP="00736CB6">
            <w:r w:rsidRPr="000F5095">
              <w:t>112 (3.1%)</w:t>
            </w:r>
          </w:p>
        </w:tc>
        <w:tc>
          <w:tcPr>
            <w:tcW w:w="1440" w:type="dxa"/>
          </w:tcPr>
          <w:p w:rsidR="003A369B" w:rsidRPr="000F5095" w:rsidRDefault="003A369B" w:rsidP="00736CB6">
            <w:r w:rsidRPr="000F5095">
              <w:t>102 (2.6%)</w:t>
            </w:r>
          </w:p>
        </w:tc>
        <w:tc>
          <w:tcPr>
            <w:tcW w:w="2160" w:type="dxa"/>
          </w:tcPr>
          <w:p w:rsidR="003A369B" w:rsidRPr="000F5095" w:rsidRDefault="003A369B" w:rsidP="00736CB6">
            <w:r w:rsidRPr="000F5095">
              <w:t>0 (0.0%)</w:t>
            </w:r>
          </w:p>
        </w:tc>
        <w:tc>
          <w:tcPr>
            <w:tcW w:w="1462" w:type="dxa"/>
          </w:tcPr>
          <w:p w:rsidR="003A369B" w:rsidRPr="000F5095" w:rsidRDefault="003A369B" w:rsidP="00736CB6">
            <w:r w:rsidRPr="000F5095">
              <w:t>1 (0.3%)</w:t>
            </w:r>
          </w:p>
        </w:tc>
      </w:tr>
      <w:tr w:rsidR="003A369B" w:rsidRPr="000F5095" w:rsidTr="003A369B">
        <w:tc>
          <w:tcPr>
            <w:tcW w:w="2160" w:type="dxa"/>
            <w:gridSpan w:val="2"/>
          </w:tcPr>
          <w:p w:rsidR="003A369B" w:rsidRPr="000F5095" w:rsidRDefault="003A369B" w:rsidP="00736CB6">
            <w:r w:rsidRPr="000F5095">
              <w:t>Urinary retention</w:t>
            </w:r>
          </w:p>
        </w:tc>
        <w:tc>
          <w:tcPr>
            <w:tcW w:w="2250" w:type="dxa"/>
          </w:tcPr>
          <w:p w:rsidR="003A369B" w:rsidRPr="000F5095" w:rsidRDefault="003A369B" w:rsidP="00736CB6">
            <w:r w:rsidRPr="000F5095">
              <w:t>106 (2.9%)</w:t>
            </w:r>
          </w:p>
        </w:tc>
        <w:tc>
          <w:tcPr>
            <w:tcW w:w="1440" w:type="dxa"/>
          </w:tcPr>
          <w:p w:rsidR="003A369B" w:rsidRPr="000F5095" w:rsidRDefault="003A369B" w:rsidP="00736CB6">
            <w:r w:rsidRPr="000F5095">
              <w:t>117 (3.0%)</w:t>
            </w:r>
          </w:p>
        </w:tc>
        <w:tc>
          <w:tcPr>
            <w:tcW w:w="2160" w:type="dxa"/>
          </w:tcPr>
          <w:p w:rsidR="003A369B" w:rsidRPr="000F5095" w:rsidRDefault="003A369B" w:rsidP="00736CB6">
            <w:r w:rsidRPr="000F5095">
              <w:t>0 (0.0%)</w:t>
            </w:r>
          </w:p>
        </w:tc>
        <w:tc>
          <w:tcPr>
            <w:tcW w:w="1462" w:type="dxa"/>
          </w:tcPr>
          <w:p w:rsidR="003A369B" w:rsidRPr="000F5095" w:rsidRDefault="003A369B" w:rsidP="00736CB6">
            <w:r w:rsidRPr="000F5095">
              <w:t>1 (0.3%)</w:t>
            </w:r>
          </w:p>
        </w:tc>
      </w:tr>
      <w:tr w:rsidR="003A369B" w:rsidRPr="000F5095" w:rsidTr="003A369B">
        <w:tc>
          <w:tcPr>
            <w:tcW w:w="2160" w:type="dxa"/>
            <w:gridSpan w:val="2"/>
          </w:tcPr>
          <w:p w:rsidR="003A369B" w:rsidRPr="000F5095" w:rsidRDefault="003A369B" w:rsidP="00736CB6">
            <w:r w:rsidRPr="000F5095">
              <w:t>Haematoma</w:t>
            </w:r>
          </w:p>
        </w:tc>
        <w:tc>
          <w:tcPr>
            <w:tcW w:w="2250" w:type="dxa"/>
          </w:tcPr>
          <w:p w:rsidR="003A369B" w:rsidRPr="000F5095" w:rsidRDefault="003A369B" w:rsidP="00736CB6">
            <w:r w:rsidRPr="000F5095">
              <w:t>103 (2.8%)</w:t>
            </w:r>
          </w:p>
        </w:tc>
        <w:tc>
          <w:tcPr>
            <w:tcW w:w="1440" w:type="dxa"/>
          </w:tcPr>
          <w:p w:rsidR="003A369B" w:rsidRPr="000F5095" w:rsidRDefault="003A369B" w:rsidP="00736CB6">
            <w:r w:rsidRPr="000F5095">
              <w:t>109 (2.8%)</w:t>
            </w:r>
          </w:p>
        </w:tc>
        <w:tc>
          <w:tcPr>
            <w:tcW w:w="2160" w:type="dxa"/>
          </w:tcPr>
          <w:p w:rsidR="003A369B" w:rsidRPr="000F5095" w:rsidRDefault="003A369B" w:rsidP="00736CB6">
            <w:r w:rsidRPr="000F5095">
              <w:t>7 (2.1%)</w:t>
            </w:r>
          </w:p>
        </w:tc>
        <w:tc>
          <w:tcPr>
            <w:tcW w:w="1462" w:type="dxa"/>
          </w:tcPr>
          <w:p w:rsidR="003A369B" w:rsidRPr="000F5095" w:rsidRDefault="003A369B" w:rsidP="00736CB6">
            <w:r w:rsidRPr="000F5095">
              <w:t>1 (0.3%)</w:t>
            </w:r>
          </w:p>
        </w:tc>
      </w:tr>
      <w:tr w:rsidR="003A369B" w:rsidRPr="000F5095" w:rsidTr="003A369B">
        <w:tc>
          <w:tcPr>
            <w:tcW w:w="2160" w:type="dxa"/>
            <w:gridSpan w:val="2"/>
          </w:tcPr>
          <w:p w:rsidR="003A369B" w:rsidRPr="000F5095" w:rsidRDefault="003A369B" w:rsidP="00736CB6">
            <w:r w:rsidRPr="000F5095">
              <w:t>Diarrhoea</w:t>
            </w:r>
          </w:p>
        </w:tc>
        <w:tc>
          <w:tcPr>
            <w:tcW w:w="2250" w:type="dxa"/>
          </w:tcPr>
          <w:p w:rsidR="003A369B" w:rsidRPr="000F5095" w:rsidRDefault="003A369B" w:rsidP="00736CB6">
            <w:r w:rsidRPr="000F5095">
              <w:t>90 (2.5%)</w:t>
            </w:r>
          </w:p>
        </w:tc>
        <w:tc>
          <w:tcPr>
            <w:tcW w:w="1440" w:type="dxa"/>
          </w:tcPr>
          <w:p w:rsidR="003A369B" w:rsidRPr="000F5095" w:rsidRDefault="003A369B" w:rsidP="00736CB6">
            <w:r w:rsidRPr="000F5095">
              <w:t>102 (2.6%)</w:t>
            </w:r>
          </w:p>
        </w:tc>
        <w:tc>
          <w:tcPr>
            <w:tcW w:w="2160" w:type="dxa"/>
          </w:tcPr>
          <w:p w:rsidR="003A369B" w:rsidRPr="000F5095" w:rsidRDefault="003A369B" w:rsidP="00736CB6">
            <w:r w:rsidRPr="000F5095">
              <w:t>6 (1.8%)</w:t>
            </w:r>
          </w:p>
        </w:tc>
        <w:tc>
          <w:tcPr>
            <w:tcW w:w="1462" w:type="dxa"/>
          </w:tcPr>
          <w:p w:rsidR="003A369B" w:rsidRPr="000F5095" w:rsidRDefault="003A369B" w:rsidP="00736CB6">
            <w:r w:rsidRPr="000F5095">
              <w:t>8 (2.4%)</w:t>
            </w:r>
          </w:p>
        </w:tc>
      </w:tr>
      <w:tr w:rsidR="003A369B" w:rsidRPr="000F5095" w:rsidTr="003A369B">
        <w:tc>
          <w:tcPr>
            <w:tcW w:w="2160" w:type="dxa"/>
            <w:gridSpan w:val="2"/>
          </w:tcPr>
          <w:p w:rsidR="003A369B" w:rsidRPr="000F5095" w:rsidRDefault="003A369B" w:rsidP="00736CB6">
            <w:r w:rsidRPr="000F5095">
              <w:t>Dyspepsia</w:t>
            </w:r>
          </w:p>
        </w:tc>
        <w:tc>
          <w:tcPr>
            <w:tcW w:w="2250" w:type="dxa"/>
          </w:tcPr>
          <w:p w:rsidR="003A369B" w:rsidRPr="000F5095" w:rsidRDefault="003A369B" w:rsidP="00736CB6">
            <w:r w:rsidRPr="000F5095">
              <w:t>87 (2.4%)</w:t>
            </w:r>
          </w:p>
        </w:tc>
        <w:tc>
          <w:tcPr>
            <w:tcW w:w="1440" w:type="dxa"/>
          </w:tcPr>
          <w:p w:rsidR="003A369B" w:rsidRPr="000F5095" w:rsidRDefault="003A369B" w:rsidP="00736CB6">
            <w:r w:rsidRPr="000F5095">
              <w:t>102 (2.6%)</w:t>
            </w:r>
          </w:p>
        </w:tc>
        <w:tc>
          <w:tcPr>
            <w:tcW w:w="2160" w:type="dxa"/>
          </w:tcPr>
          <w:p w:rsidR="003A369B" w:rsidRPr="000F5095" w:rsidRDefault="003A369B" w:rsidP="00736CB6">
            <w:r w:rsidRPr="000F5095">
              <w:t>1 (0.3%)</w:t>
            </w:r>
          </w:p>
        </w:tc>
        <w:tc>
          <w:tcPr>
            <w:tcW w:w="1462" w:type="dxa"/>
          </w:tcPr>
          <w:p w:rsidR="003A369B" w:rsidRPr="000F5095" w:rsidRDefault="003A369B" w:rsidP="00736CB6">
            <w:r w:rsidRPr="000F5095">
              <w:t>2 (0.6%)</w:t>
            </w:r>
          </w:p>
        </w:tc>
      </w:tr>
      <w:tr w:rsidR="003A369B" w:rsidRPr="000F5095" w:rsidTr="003A369B">
        <w:tc>
          <w:tcPr>
            <w:tcW w:w="2160" w:type="dxa"/>
            <w:gridSpan w:val="2"/>
          </w:tcPr>
          <w:p w:rsidR="003A369B" w:rsidRPr="000F5095" w:rsidRDefault="003A369B" w:rsidP="00736CB6">
            <w:r w:rsidRPr="000F5095">
              <w:t>Post-operative haemorrhage</w:t>
            </w:r>
          </w:p>
        </w:tc>
        <w:tc>
          <w:tcPr>
            <w:tcW w:w="2250" w:type="dxa"/>
          </w:tcPr>
          <w:p w:rsidR="003A369B" w:rsidRPr="000F5095" w:rsidRDefault="003A369B" w:rsidP="00736CB6">
            <w:r w:rsidRPr="000F5095">
              <w:t>85 (2.4%)</w:t>
            </w:r>
          </w:p>
        </w:tc>
        <w:tc>
          <w:tcPr>
            <w:tcW w:w="1440" w:type="dxa"/>
          </w:tcPr>
          <w:p w:rsidR="003A369B" w:rsidRPr="000F5095" w:rsidRDefault="003A369B" w:rsidP="00736CB6">
            <w:r w:rsidRPr="000F5095">
              <w:t>69 (1.7%)</w:t>
            </w:r>
          </w:p>
        </w:tc>
        <w:tc>
          <w:tcPr>
            <w:tcW w:w="2160" w:type="dxa"/>
          </w:tcPr>
          <w:p w:rsidR="003A369B" w:rsidRPr="000F5095" w:rsidRDefault="003A369B" w:rsidP="00736CB6">
            <w:r w:rsidRPr="000F5095">
              <w:t>2 (0.6%)</w:t>
            </w:r>
          </w:p>
        </w:tc>
        <w:tc>
          <w:tcPr>
            <w:tcW w:w="1462" w:type="dxa"/>
          </w:tcPr>
          <w:p w:rsidR="003A369B" w:rsidRPr="000F5095" w:rsidRDefault="003A369B" w:rsidP="00736CB6">
            <w:r w:rsidRPr="000F5095">
              <w:t>2 (0.6%)</w:t>
            </w:r>
          </w:p>
        </w:tc>
      </w:tr>
      <w:tr w:rsidR="003A369B" w:rsidRPr="000F5095" w:rsidTr="003A369B">
        <w:tc>
          <w:tcPr>
            <w:tcW w:w="2160" w:type="dxa"/>
            <w:gridSpan w:val="2"/>
          </w:tcPr>
          <w:p w:rsidR="003A369B" w:rsidRPr="000F5095" w:rsidRDefault="003A369B" w:rsidP="00736CB6">
            <w:r w:rsidRPr="000F5095">
              <w:t>Headache</w:t>
            </w:r>
          </w:p>
        </w:tc>
        <w:tc>
          <w:tcPr>
            <w:tcW w:w="2250" w:type="dxa"/>
          </w:tcPr>
          <w:p w:rsidR="003A369B" w:rsidRPr="000F5095" w:rsidRDefault="003A369B" w:rsidP="00736CB6">
            <w:r w:rsidRPr="000F5095">
              <w:t>72 (2.0%)</w:t>
            </w:r>
          </w:p>
        </w:tc>
        <w:tc>
          <w:tcPr>
            <w:tcW w:w="1440" w:type="dxa"/>
          </w:tcPr>
          <w:p w:rsidR="003A369B" w:rsidRPr="000F5095" w:rsidRDefault="003A369B" w:rsidP="00736CB6">
            <w:r w:rsidRPr="000F5095">
              <w:t>97 (2.5%)</w:t>
            </w:r>
          </w:p>
        </w:tc>
        <w:tc>
          <w:tcPr>
            <w:tcW w:w="2160" w:type="dxa"/>
          </w:tcPr>
          <w:p w:rsidR="003A369B" w:rsidRPr="000F5095" w:rsidRDefault="003A369B" w:rsidP="00736CB6">
            <w:r w:rsidRPr="000F5095">
              <w:t>0 (0.0%)</w:t>
            </w:r>
          </w:p>
        </w:tc>
        <w:tc>
          <w:tcPr>
            <w:tcW w:w="1462" w:type="dxa"/>
          </w:tcPr>
          <w:p w:rsidR="003A369B" w:rsidRPr="000F5095" w:rsidRDefault="003A369B" w:rsidP="00736CB6">
            <w:r w:rsidRPr="000F5095">
              <w:t>2 (0.6%)</w:t>
            </w:r>
          </w:p>
        </w:tc>
      </w:tr>
      <w:tr w:rsidR="003A369B" w:rsidRPr="000F5095" w:rsidTr="003A369B">
        <w:tc>
          <w:tcPr>
            <w:tcW w:w="2160" w:type="dxa"/>
            <w:gridSpan w:val="2"/>
          </w:tcPr>
          <w:p w:rsidR="003A369B" w:rsidRPr="000F5095" w:rsidRDefault="003A369B" w:rsidP="00736CB6">
            <w:r w:rsidRPr="000F5095">
              <w:t xml:space="preserve">Pain  </w:t>
            </w:r>
          </w:p>
        </w:tc>
        <w:tc>
          <w:tcPr>
            <w:tcW w:w="2250" w:type="dxa"/>
          </w:tcPr>
          <w:p w:rsidR="003A369B" w:rsidRPr="000F5095" w:rsidRDefault="003A369B" w:rsidP="00736CB6">
            <w:r w:rsidRPr="000F5095">
              <w:t>62 (1.7%)</w:t>
            </w:r>
          </w:p>
        </w:tc>
        <w:tc>
          <w:tcPr>
            <w:tcW w:w="1440" w:type="dxa"/>
          </w:tcPr>
          <w:p w:rsidR="003A369B" w:rsidRPr="000F5095" w:rsidRDefault="003A369B" w:rsidP="00736CB6">
            <w:r w:rsidRPr="000F5095">
              <w:t>101 (2.6%)</w:t>
            </w:r>
          </w:p>
        </w:tc>
        <w:tc>
          <w:tcPr>
            <w:tcW w:w="2160" w:type="dxa"/>
          </w:tcPr>
          <w:p w:rsidR="003A369B" w:rsidRPr="000F5095" w:rsidRDefault="003A369B" w:rsidP="00736CB6">
            <w:r w:rsidRPr="000F5095">
              <w:t>0 (0.0%)</w:t>
            </w:r>
          </w:p>
        </w:tc>
        <w:tc>
          <w:tcPr>
            <w:tcW w:w="1462" w:type="dxa"/>
          </w:tcPr>
          <w:p w:rsidR="003A369B" w:rsidRPr="000F5095" w:rsidRDefault="003A369B" w:rsidP="00736CB6">
            <w:r w:rsidRPr="000F5095">
              <w:t>0 (0.0%)</w:t>
            </w:r>
          </w:p>
        </w:tc>
      </w:tr>
      <w:tr w:rsidR="003A369B" w:rsidRPr="000F5095" w:rsidTr="003A369B">
        <w:tc>
          <w:tcPr>
            <w:tcW w:w="2160" w:type="dxa"/>
            <w:gridSpan w:val="2"/>
            <w:tcBorders>
              <w:bottom w:val="single" w:sz="4" w:space="0" w:color="auto"/>
            </w:tcBorders>
          </w:tcPr>
          <w:p w:rsidR="003A369B" w:rsidRPr="000F5095" w:rsidRDefault="003A369B" w:rsidP="00736CB6">
            <w:r w:rsidRPr="000F5095">
              <w:t>Surgical site reaction</w:t>
            </w:r>
          </w:p>
        </w:tc>
        <w:tc>
          <w:tcPr>
            <w:tcW w:w="2250" w:type="dxa"/>
            <w:tcBorders>
              <w:bottom w:val="single" w:sz="4" w:space="0" w:color="auto"/>
            </w:tcBorders>
            <w:vAlign w:val="center"/>
          </w:tcPr>
          <w:p w:rsidR="003A369B" w:rsidRPr="000F5095" w:rsidRDefault="003A369B" w:rsidP="00736CB6">
            <w:r w:rsidRPr="000F5095">
              <w:t>29 (0.8%)</w:t>
            </w:r>
          </w:p>
        </w:tc>
        <w:tc>
          <w:tcPr>
            <w:tcW w:w="1440" w:type="dxa"/>
            <w:tcBorders>
              <w:bottom w:val="single" w:sz="4" w:space="0" w:color="auto"/>
            </w:tcBorders>
            <w:vAlign w:val="center"/>
          </w:tcPr>
          <w:p w:rsidR="003A369B" w:rsidRPr="000F5095" w:rsidRDefault="003A369B" w:rsidP="00736CB6">
            <w:r w:rsidRPr="000F5095">
              <w:t>41 (1.0%)</w:t>
            </w:r>
          </w:p>
        </w:tc>
        <w:tc>
          <w:tcPr>
            <w:tcW w:w="2160" w:type="dxa"/>
            <w:tcBorders>
              <w:bottom w:val="single" w:sz="4" w:space="0" w:color="auto"/>
            </w:tcBorders>
          </w:tcPr>
          <w:p w:rsidR="003A369B" w:rsidRPr="000F5095" w:rsidRDefault="003A369B" w:rsidP="00736CB6">
            <w:r w:rsidRPr="000F5095">
              <w:t>5 (1.5%)</w:t>
            </w:r>
          </w:p>
        </w:tc>
        <w:tc>
          <w:tcPr>
            <w:tcW w:w="1462" w:type="dxa"/>
            <w:tcBorders>
              <w:bottom w:val="single" w:sz="4" w:space="0" w:color="auto"/>
            </w:tcBorders>
          </w:tcPr>
          <w:p w:rsidR="003A369B" w:rsidRPr="000F5095" w:rsidRDefault="003A369B" w:rsidP="00736CB6">
            <w:r w:rsidRPr="000F5095">
              <w:t>8 (2.4%)</w:t>
            </w:r>
          </w:p>
        </w:tc>
      </w:tr>
      <w:tr w:rsidR="003A369B" w:rsidRPr="000F5095" w:rsidTr="003A369B">
        <w:trPr>
          <w:gridBefore w:val="1"/>
          <w:wBefore w:w="22" w:type="dxa"/>
          <w:cantSplit/>
        </w:trPr>
        <w:tc>
          <w:tcPr>
            <w:tcW w:w="9450" w:type="dxa"/>
            <w:gridSpan w:val="5"/>
            <w:tcBorders>
              <w:left w:val="nil"/>
              <w:bottom w:val="nil"/>
              <w:right w:val="nil"/>
            </w:tcBorders>
          </w:tcPr>
          <w:p w:rsidR="003A369B" w:rsidRPr="000F5095" w:rsidRDefault="003A369B" w:rsidP="00736CB6">
            <w:r w:rsidRPr="000F5095">
              <w:t>1. Enoxaparin sodium dosing regimen: 30 mg twice daily or 40 mg once daily.</w:t>
            </w:r>
          </w:p>
          <w:p w:rsidR="003A369B" w:rsidRPr="000F5095" w:rsidRDefault="003A369B" w:rsidP="00736CB6">
            <w:r w:rsidRPr="000F5095">
              <w:t>2.  Localised blister coded as bullous eruption.</w:t>
            </w:r>
          </w:p>
        </w:tc>
      </w:tr>
    </w:tbl>
    <w:p w:rsidR="005D53E0" w:rsidRPr="00EB5A53" w:rsidRDefault="005D53E0" w:rsidP="003A369B">
      <w:pPr>
        <w:keepNext/>
        <w:spacing w:before="120" w:after="0" w:line="240" w:lineRule="auto"/>
        <w:jc w:val="center"/>
        <w:rPr>
          <w:rFonts w:eastAsia="Times New Roman" w:cstheme="minorHAnsi"/>
          <w:b/>
          <w:bCs/>
          <w:sz w:val="20"/>
          <w:szCs w:val="20"/>
          <w:lang w:val="en-US"/>
        </w:rPr>
      </w:pPr>
      <w:bookmarkStart w:id="5" w:name="_Ref483221014"/>
    </w:p>
    <w:p w:rsidR="003A369B" w:rsidRPr="00EB5A53" w:rsidRDefault="003A369B" w:rsidP="003A369B">
      <w:pPr>
        <w:keepNext/>
        <w:spacing w:before="120" w:after="0" w:line="240" w:lineRule="auto"/>
        <w:jc w:val="center"/>
        <w:rPr>
          <w:rFonts w:eastAsia="Times New Roman" w:cstheme="minorHAnsi"/>
          <w:b/>
          <w:bCs/>
          <w:sz w:val="20"/>
          <w:szCs w:val="20"/>
          <w:lang w:val="en-US"/>
        </w:rPr>
      </w:pPr>
      <w:r w:rsidRPr="00EB5A53">
        <w:rPr>
          <w:rFonts w:eastAsia="Times New Roman" w:cstheme="minorHAnsi"/>
          <w:b/>
          <w:bCs/>
          <w:sz w:val="20"/>
          <w:szCs w:val="20"/>
          <w:lang w:val="en-US"/>
        </w:rPr>
        <w:t>Table</w:t>
      </w:r>
      <w:bookmarkEnd w:id="5"/>
      <w:r w:rsidRPr="00EB5A53">
        <w:rPr>
          <w:rFonts w:eastAsia="Times New Roman" w:cstheme="minorHAnsi"/>
          <w:b/>
          <w:bCs/>
          <w:sz w:val="20"/>
          <w:szCs w:val="20"/>
          <w:lang w:val="en-US"/>
        </w:rPr>
        <w:t xml:space="preserve"> 5: Adverse Events Occurring in &gt; 2% of ARIXTRA or Dalteparin Sodium Treated</w:t>
      </w:r>
    </w:p>
    <w:p w:rsidR="003A369B" w:rsidRPr="00EB5A53" w:rsidRDefault="003A369B">
      <w:pPr>
        <w:autoSpaceDE w:val="0"/>
        <w:autoSpaceDN w:val="0"/>
        <w:adjustRightInd w:val="0"/>
        <w:spacing w:after="0" w:line="240" w:lineRule="auto"/>
        <w:jc w:val="center"/>
        <w:rPr>
          <w:rFonts w:eastAsia="Times New Roman" w:cstheme="minorHAnsi"/>
          <w:b/>
          <w:bCs/>
          <w:sz w:val="20"/>
          <w:szCs w:val="20"/>
          <w:lang w:val="en-US"/>
        </w:rPr>
      </w:pPr>
      <w:r w:rsidRPr="00EB5A53">
        <w:rPr>
          <w:rFonts w:eastAsia="Times New Roman" w:cstheme="minorHAnsi"/>
          <w:b/>
          <w:bCs/>
          <w:sz w:val="20"/>
          <w:szCs w:val="20"/>
          <w:lang w:val="en-US"/>
        </w:rPr>
        <w:t>Patients Undergoing Abdominal Surgery Regardless of Relationship to Study Drug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9"/>
        <w:gridCol w:w="3210"/>
        <w:gridCol w:w="3210"/>
      </w:tblGrid>
      <w:tr w:rsidR="003A369B" w:rsidRPr="0065406A" w:rsidTr="00736CB6">
        <w:trPr>
          <w:tblHeader/>
        </w:trPr>
        <w:tc>
          <w:tcPr>
            <w:tcW w:w="3209" w:type="dxa"/>
          </w:tcPr>
          <w:p w:rsidR="003A369B" w:rsidRPr="0065406A" w:rsidRDefault="003A369B" w:rsidP="003A369B">
            <w:pPr>
              <w:keepLines/>
              <w:spacing w:after="120" w:line="240" w:lineRule="auto"/>
              <w:jc w:val="center"/>
              <w:rPr>
                <w:rFonts w:eastAsia="Times New Roman" w:cstheme="minorHAnsi"/>
                <w:b/>
                <w:bCs/>
                <w:snapToGrid w:val="0"/>
                <w:sz w:val="20"/>
                <w:szCs w:val="20"/>
              </w:rPr>
            </w:pPr>
            <w:r w:rsidRPr="0065406A">
              <w:rPr>
                <w:rFonts w:eastAsia="Times New Roman" w:cstheme="minorHAnsi"/>
                <w:b/>
                <w:bCs/>
                <w:snapToGrid w:val="0"/>
                <w:sz w:val="20"/>
                <w:szCs w:val="20"/>
              </w:rPr>
              <w:t>Adverse Events</w:t>
            </w:r>
          </w:p>
        </w:tc>
        <w:tc>
          <w:tcPr>
            <w:tcW w:w="3210" w:type="dxa"/>
          </w:tcPr>
          <w:p w:rsidR="003A369B" w:rsidRPr="0065406A" w:rsidRDefault="003A369B" w:rsidP="003A369B">
            <w:pPr>
              <w:keepLines/>
              <w:spacing w:after="120" w:line="240" w:lineRule="auto"/>
              <w:jc w:val="center"/>
              <w:rPr>
                <w:rFonts w:eastAsia="Times New Roman" w:cstheme="minorHAnsi"/>
                <w:b/>
                <w:bCs/>
                <w:snapToGrid w:val="0"/>
                <w:sz w:val="20"/>
                <w:szCs w:val="20"/>
              </w:rPr>
            </w:pPr>
            <w:r w:rsidRPr="0065406A">
              <w:rPr>
                <w:rFonts w:eastAsia="Times New Roman" w:cstheme="minorHAnsi"/>
                <w:b/>
                <w:bCs/>
                <w:snapToGrid w:val="0"/>
                <w:sz w:val="20"/>
                <w:szCs w:val="20"/>
              </w:rPr>
              <w:t>Fondaparinux sodium</w:t>
            </w:r>
          </w:p>
          <w:p w:rsidR="003A369B" w:rsidRPr="0065406A" w:rsidRDefault="003A369B" w:rsidP="003A369B">
            <w:pPr>
              <w:keepLines/>
              <w:spacing w:after="120" w:line="240" w:lineRule="auto"/>
              <w:jc w:val="center"/>
              <w:rPr>
                <w:rFonts w:eastAsia="Times New Roman" w:cstheme="minorHAnsi"/>
                <w:b/>
                <w:bCs/>
                <w:snapToGrid w:val="0"/>
                <w:sz w:val="20"/>
                <w:szCs w:val="20"/>
              </w:rPr>
            </w:pPr>
            <w:r w:rsidRPr="0065406A">
              <w:rPr>
                <w:rFonts w:eastAsia="Times New Roman" w:cstheme="minorHAnsi"/>
                <w:b/>
                <w:bCs/>
                <w:snapToGrid w:val="0"/>
                <w:sz w:val="20"/>
                <w:szCs w:val="20"/>
              </w:rPr>
              <w:t>2.5 mg SC once daily</w:t>
            </w:r>
          </w:p>
        </w:tc>
        <w:tc>
          <w:tcPr>
            <w:tcW w:w="3210" w:type="dxa"/>
          </w:tcPr>
          <w:p w:rsidR="003A369B" w:rsidRPr="0065406A" w:rsidRDefault="003A369B" w:rsidP="003A369B">
            <w:pPr>
              <w:keepLines/>
              <w:spacing w:after="120" w:line="240" w:lineRule="auto"/>
              <w:jc w:val="center"/>
              <w:rPr>
                <w:rFonts w:eastAsia="Times New Roman" w:cstheme="minorHAnsi"/>
                <w:b/>
                <w:bCs/>
                <w:snapToGrid w:val="0"/>
                <w:sz w:val="20"/>
                <w:szCs w:val="20"/>
              </w:rPr>
            </w:pPr>
            <w:r w:rsidRPr="0065406A">
              <w:rPr>
                <w:rFonts w:eastAsia="Times New Roman" w:cstheme="minorHAnsi"/>
                <w:b/>
                <w:bCs/>
                <w:snapToGrid w:val="0"/>
                <w:sz w:val="20"/>
                <w:szCs w:val="20"/>
              </w:rPr>
              <w:t>Dalteparin sodium</w:t>
            </w:r>
          </w:p>
          <w:p w:rsidR="003A369B" w:rsidRPr="0065406A" w:rsidRDefault="003A369B" w:rsidP="003A369B">
            <w:pPr>
              <w:keepLines/>
              <w:spacing w:after="120" w:line="240" w:lineRule="auto"/>
              <w:jc w:val="center"/>
              <w:rPr>
                <w:rFonts w:eastAsia="Times New Roman" w:cstheme="minorHAnsi"/>
                <w:b/>
                <w:bCs/>
                <w:snapToGrid w:val="0"/>
                <w:sz w:val="20"/>
                <w:szCs w:val="20"/>
              </w:rPr>
            </w:pPr>
            <w:r w:rsidRPr="0065406A">
              <w:rPr>
                <w:rFonts w:eastAsia="Times New Roman" w:cstheme="minorHAnsi"/>
                <w:b/>
                <w:bCs/>
                <w:snapToGrid w:val="0"/>
                <w:sz w:val="20"/>
                <w:szCs w:val="20"/>
              </w:rPr>
              <w:t>5000 IU SC once daily</w:t>
            </w:r>
          </w:p>
        </w:tc>
      </w:tr>
      <w:tr w:rsidR="003A369B" w:rsidRPr="0065406A" w:rsidTr="003A369B">
        <w:tc>
          <w:tcPr>
            <w:tcW w:w="3209" w:type="dxa"/>
          </w:tcPr>
          <w:p w:rsidR="003A369B" w:rsidRPr="0065406A" w:rsidRDefault="003A369B" w:rsidP="003A369B">
            <w:pPr>
              <w:keepLines/>
              <w:spacing w:after="120" w:line="240" w:lineRule="auto"/>
              <w:jc w:val="center"/>
              <w:rPr>
                <w:rFonts w:eastAsia="Times New Roman" w:cstheme="minorHAnsi"/>
                <w:snapToGrid w:val="0"/>
                <w:sz w:val="20"/>
                <w:szCs w:val="20"/>
              </w:rPr>
            </w:pPr>
          </w:p>
        </w:tc>
        <w:tc>
          <w:tcPr>
            <w:tcW w:w="3210" w:type="dxa"/>
          </w:tcPr>
          <w:p w:rsidR="003A369B" w:rsidRPr="0065406A" w:rsidRDefault="003A369B" w:rsidP="003A369B">
            <w:pPr>
              <w:keepLines/>
              <w:spacing w:after="120" w:line="240" w:lineRule="auto"/>
              <w:jc w:val="center"/>
              <w:rPr>
                <w:rFonts w:eastAsia="Times New Roman" w:cstheme="minorHAnsi"/>
                <w:snapToGrid w:val="0"/>
                <w:sz w:val="20"/>
                <w:szCs w:val="20"/>
              </w:rPr>
            </w:pPr>
            <w:r w:rsidRPr="0065406A">
              <w:rPr>
                <w:rFonts w:eastAsia="Times New Roman" w:cstheme="minorHAnsi"/>
                <w:snapToGrid w:val="0"/>
                <w:sz w:val="20"/>
                <w:szCs w:val="20"/>
              </w:rPr>
              <w:t>N = 1433</w:t>
            </w:r>
          </w:p>
        </w:tc>
        <w:tc>
          <w:tcPr>
            <w:tcW w:w="3210" w:type="dxa"/>
          </w:tcPr>
          <w:p w:rsidR="003A369B" w:rsidRPr="0065406A" w:rsidRDefault="003A369B" w:rsidP="003A369B">
            <w:pPr>
              <w:keepLines/>
              <w:spacing w:after="120" w:line="240" w:lineRule="auto"/>
              <w:jc w:val="center"/>
              <w:rPr>
                <w:rFonts w:eastAsia="Times New Roman" w:cstheme="minorHAnsi"/>
                <w:snapToGrid w:val="0"/>
                <w:sz w:val="20"/>
                <w:szCs w:val="20"/>
              </w:rPr>
            </w:pPr>
            <w:r w:rsidRPr="0065406A">
              <w:rPr>
                <w:rFonts w:eastAsia="Times New Roman" w:cstheme="minorHAnsi"/>
                <w:snapToGrid w:val="0"/>
                <w:sz w:val="20"/>
                <w:szCs w:val="20"/>
              </w:rPr>
              <w:t>N = 1425</w:t>
            </w:r>
          </w:p>
        </w:tc>
      </w:tr>
      <w:tr w:rsidR="003A369B" w:rsidRPr="0065406A" w:rsidTr="003A369B">
        <w:tc>
          <w:tcPr>
            <w:tcW w:w="3209" w:type="dxa"/>
          </w:tcPr>
          <w:p w:rsidR="003A369B" w:rsidRPr="0065406A" w:rsidRDefault="003A369B" w:rsidP="003A369B">
            <w:pPr>
              <w:keepLines/>
              <w:spacing w:after="120" w:line="240" w:lineRule="auto"/>
              <w:jc w:val="both"/>
              <w:outlineLvl w:val="6"/>
              <w:rPr>
                <w:rFonts w:eastAsia="Times New Roman" w:cstheme="minorHAnsi"/>
                <w:snapToGrid w:val="0"/>
                <w:sz w:val="20"/>
                <w:szCs w:val="20"/>
              </w:rPr>
            </w:pPr>
            <w:r w:rsidRPr="0065406A">
              <w:rPr>
                <w:rFonts w:eastAsia="Times New Roman" w:cstheme="minorHAnsi"/>
                <w:snapToGrid w:val="0"/>
                <w:sz w:val="20"/>
                <w:szCs w:val="20"/>
              </w:rPr>
              <w:t>Post-operative wound infection</w:t>
            </w:r>
          </w:p>
        </w:tc>
        <w:tc>
          <w:tcPr>
            <w:tcW w:w="3210" w:type="dxa"/>
          </w:tcPr>
          <w:p w:rsidR="003A369B" w:rsidRPr="0065406A" w:rsidRDefault="003A369B" w:rsidP="003A369B">
            <w:pPr>
              <w:keepLines/>
              <w:spacing w:after="120" w:line="240" w:lineRule="auto"/>
              <w:jc w:val="center"/>
              <w:rPr>
                <w:rFonts w:eastAsia="Times New Roman" w:cstheme="minorHAnsi"/>
                <w:snapToGrid w:val="0"/>
                <w:sz w:val="20"/>
                <w:szCs w:val="20"/>
              </w:rPr>
            </w:pPr>
            <w:r w:rsidRPr="0065406A">
              <w:rPr>
                <w:rFonts w:eastAsia="Times New Roman" w:cstheme="minorHAnsi"/>
                <w:snapToGrid w:val="0"/>
                <w:sz w:val="20"/>
                <w:szCs w:val="20"/>
              </w:rPr>
              <w:t>70 (4.9%)</w:t>
            </w:r>
          </w:p>
        </w:tc>
        <w:tc>
          <w:tcPr>
            <w:tcW w:w="3210" w:type="dxa"/>
          </w:tcPr>
          <w:p w:rsidR="003A369B" w:rsidRPr="0065406A" w:rsidRDefault="003A369B" w:rsidP="003A369B">
            <w:pPr>
              <w:keepLines/>
              <w:spacing w:after="120" w:line="240" w:lineRule="auto"/>
              <w:jc w:val="center"/>
              <w:rPr>
                <w:rFonts w:eastAsia="Times New Roman" w:cstheme="minorHAnsi"/>
                <w:snapToGrid w:val="0"/>
                <w:sz w:val="20"/>
                <w:szCs w:val="20"/>
              </w:rPr>
            </w:pPr>
            <w:r w:rsidRPr="0065406A">
              <w:rPr>
                <w:rFonts w:eastAsia="Times New Roman" w:cstheme="minorHAnsi"/>
                <w:snapToGrid w:val="0"/>
                <w:sz w:val="20"/>
                <w:szCs w:val="20"/>
              </w:rPr>
              <w:t>69 (4.8%)</w:t>
            </w:r>
          </w:p>
        </w:tc>
      </w:tr>
      <w:tr w:rsidR="003A369B" w:rsidRPr="0065406A" w:rsidTr="003A369B">
        <w:tc>
          <w:tcPr>
            <w:tcW w:w="3209" w:type="dxa"/>
          </w:tcPr>
          <w:p w:rsidR="003A369B" w:rsidRPr="0065406A" w:rsidRDefault="003A369B" w:rsidP="003A369B">
            <w:pPr>
              <w:keepLines/>
              <w:spacing w:after="120" w:line="240" w:lineRule="auto"/>
              <w:rPr>
                <w:rFonts w:eastAsia="Times New Roman" w:cstheme="minorHAnsi"/>
                <w:snapToGrid w:val="0"/>
                <w:sz w:val="20"/>
                <w:szCs w:val="20"/>
              </w:rPr>
            </w:pPr>
            <w:r w:rsidRPr="0065406A">
              <w:rPr>
                <w:rFonts w:eastAsia="Times New Roman" w:cstheme="minorHAnsi"/>
                <w:snapToGrid w:val="0"/>
                <w:sz w:val="20"/>
                <w:szCs w:val="20"/>
              </w:rPr>
              <w:t>Post-operative haemorrhage</w:t>
            </w:r>
          </w:p>
        </w:tc>
        <w:tc>
          <w:tcPr>
            <w:tcW w:w="3210" w:type="dxa"/>
          </w:tcPr>
          <w:p w:rsidR="003A369B" w:rsidRPr="0065406A" w:rsidRDefault="003A369B" w:rsidP="003A369B">
            <w:pPr>
              <w:keepLines/>
              <w:spacing w:after="120" w:line="240" w:lineRule="auto"/>
              <w:jc w:val="center"/>
              <w:rPr>
                <w:rFonts w:eastAsia="Times New Roman" w:cstheme="minorHAnsi"/>
                <w:snapToGrid w:val="0"/>
                <w:sz w:val="20"/>
                <w:szCs w:val="20"/>
              </w:rPr>
            </w:pPr>
            <w:r w:rsidRPr="0065406A">
              <w:rPr>
                <w:rFonts w:eastAsia="Times New Roman" w:cstheme="minorHAnsi"/>
                <w:snapToGrid w:val="0"/>
                <w:sz w:val="20"/>
                <w:szCs w:val="20"/>
              </w:rPr>
              <w:t>61 (4.3%)</w:t>
            </w:r>
          </w:p>
        </w:tc>
        <w:tc>
          <w:tcPr>
            <w:tcW w:w="3210" w:type="dxa"/>
          </w:tcPr>
          <w:p w:rsidR="003A369B" w:rsidRPr="0065406A" w:rsidRDefault="003A369B" w:rsidP="003A369B">
            <w:pPr>
              <w:keepLines/>
              <w:spacing w:after="120" w:line="240" w:lineRule="auto"/>
              <w:jc w:val="center"/>
              <w:rPr>
                <w:rFonts w:eastAsia="Times New Roman" w:cstheme="minorHAnsi"/>
                <w:snapToGrid w:val="0"/>
                <w:sz w:val="20"/>
                <w:szCs w:val="20"/>
              </w:rPr>
            </w:pPr>
            <w:r w:rsidRPr="0065406A">
              <w:rPr>
                <w:rFonts w:eastAsia="Times New Roman" w:cstheme="minorHAnsi"/>
                <w:snapToGrid w:val="0"/>
                <w:sz w:val="20"/>
                <w:szCs w:val="20"/>
              </w:rPr>
              <w:t>42 (2.9%)</w:t>
            </w:r>
          </w:p>
        </w:tc>
      </w:tr>
      <w:tr w:rsidR="003A369B" w:rsidRPr="0065406A" w:rsidTr="003A369B">
        <w:tc>
          <w:tcPr>
            <w:tcW w:w="3209" w:type="dxa"/>
          </w:tcPr>
          <w:p w:rsidR="003A369B" w:rsidRPr="0065406A" w:rsidRDefault="003A369B" w:rsidP="003A369B">
            <w:pPr>
              <w:keepLines/>
              <w:spacing w:after="120" w:line="240" w:lineRule="auto"/>
              <w:rPr>
                <w:rFonts w:eastAsia="Times New Roman" w:cstheme="minorHAnsi"/>
                <w:snapToGrid w:val="0"/>
                <w:sz w:val="20"/>
                <w:szCs w:val="20"/>
              </w:rPr>
            </w:pPr>
            <w:r w:rsidRPr="0065406A">
              <w:rPr>
                <w:rFonts w:eastAsia="Times New Roman" w:cstheme="minorHAnsi"/>
                <w:snapToGrid w:val="0"/>
                <w:sz w:val="20"/>
                <w:szCs w:val="20"/>
              </w:rPr>
              <w:t>Fever</w:t>
            </w:r>
          </w:p>
        </w:tc>
        <w:tc>
          <w:tcPr>
            <w:tcW w:w="3210" w:type="dxa"/>
          </w:tcPr>
          <w:p w:rsidR="003A369B" w:rsidRPr="0065406A" w:rsidRDefault="003A369B" w:rsidP="003A369B">
            <w:pPr>
              <w:keepLines/>
              <w:spacing w:after="120" w:line="240" w:lineRule="auto"/>
              <w:jc w:val="center"/>
              <w:rPr>
                <w:rFonts w:eastAsia="Times New Roman" w:cstheme="minorHAnsi"/>
                <w:snapToGrid w:val="0"/>
                <w:sz w:val="20"/>
                <w:szCs w:val="20"/>
              </w:rPr>
            </w:pPr>
            <w:r w:rsidRPr="0065406A">
              <w:rPr>
                <w:rFonts w:eastAsia="Times New Roman" w:cstheme="minorHAnsi"/>
                <w:snapToGrid w:val="0"/>
                <w:sz w:val="20"/>
                <w:szCs w:val="20"/>
              </w:rPr>
              <w:t>53 (3.7%)</w:t>
            </w:r>
          </w:p>
        </w:tc>
        <w:tc>
          <w:tcPr>
            <w:tcW w:w="3210" w:type="dxa"/>
          </w:tcPr>
          <w:p w:rsidR="003A369B" w:rsidRPr="0065406A" w:rsidRDefault="003A369B" w:rsidP="003A369B">
            <w:pPr>
              <w:keepLines/>
              <w:spacing w:after="120" w:line="240" w:lineRule="auto"/>
              <w:jc w:val="center"/>
              <w:rPr>
                <w:rFonts w:eastAsia="Times New Roman" w:cstheme="minorHAnsi"/>
                <w:snapToGrid w:val="0"/>
                <w:sz w:val="20"/>
                <w:szCs w:val="20"/>
              </w:rPr>
            </w:pPr>
            <w:r w:rsidRPr="0065406A">
              <w:rPr>
                <w:rFonts w:eastAsia="Times New Roman" w:cstheme="minorHAnsi"/>
                <w:snapToGrid w:val="0"/>
                <w:sz w:val="20"/>
                <w:szCs w:val="20"/>
              </w:rPr>
              <w:t>54 (3.8%)</w:t>
            </w:r>
          </w:p>
        </w:tc>
      </w:tr>
      <w:tr w:rsidR="003A369B" w:rsidRPr="0065406A" w:rsidTr="003A369B">
        <w:tc>
          <w:tcPr>
            <w:tcW w:w="3209" w:type="dxa"/>
          </w:tcPr>
          <w:p w:rsidR="003A369B" w:rsidRPr="0065406A" w:rsidRDefault="003A369B" w:rsidP="003A369B">
            <w:pPr>
              <w:keepLines/>
              <w:spacing w:after="120" w:line="240" w:lineRule="auto"/>
              <w:rPr>
                <w:rFonts w:eastAsia="Times New Roman" w:cstheme="minorHAnsi"/>
                <w:snapToGrid w:val="0"/>
                <w:sz w:val="20"/>
                <w:szCs w:val="20"/>
              </w:rPr>
            </w:pPr>
            <w:r w:rsidRPr="0065406A">
              <w:rPr>
                <w:rFonts w:eastAsia="Times New Roman" w:cstheme="minorHAnsi"/>
                <w:snapToGrid w:val="0"/>
                <w:sz w:val="20"/>
                <w:szCs w:val="20"/>
              </w:rPr>
              <w:lastRenderedPageBreak/>
              <w:t>Surgical site reaction</w:t>
            </w:r>
          </w:p>
        </w:tc>
        <w:tc>
          <w:tcPr>
            <w:tcW w:w="3210" w:type="dxa"/>
          </w:tcPr>
          <w:p w:rsidR="003A369B" w:rsidRPr="0065406A" w:rsidRDefault="003A369B" w:rsidP="003A369B">
            <w:pPr>
              <w:keepLines/>
              <w:spacing w:after="120" w:line="240" w:lineRule="auto"/>
              <w:jc w:val="center"/>
              <w:rPr>
                <w:rFonts w:eastAsia="Times New Roman" w:cstheme="minorHAnsi"/>
                <w:snapToGrid w:val="0"/>
                <w:sz w:val="20"/>
                <w:szCs w:val="20"/>
              </w:rPr>
            </w:pPr>
            <w:r w:rsidRPr="0065406A">
              <w:rPr>
                <w:rFonts w:eastAsia="Times New Roman" w:cstheme="minorHAnsi"/>
                <w:snapToGrid w:val="0"/>
                <w:sz w:val="20"/>
                <w:szCs w:val="20"/>
              </w:rPr>
              <w:t>46 (3.2%)</w:t>
            </w:r>
          </w:p>
        </w:tc>
        <w:tc>
          <w:tcPr>
            <w:tcW w:w="3210" w:type="dxa"/>
          </w:tcPr>
          <w:p w:rsidR="003A369B" w:rsidRPr="0065406A" w:rsidRDefault="003A369B" w:rsidP="003A369B">
            <w:pPr>
              <w:keepLines/>
              <w:spacing w:after="120" w:line="240" w:lineRule="auto"/>
              <w:jc w:val="center"/>
              <w:rPr>
                <w:rFonts w:eastAsia="Times New Roman" w:cstheme="minorHAnsi"/>
                <w:snapToGrid w:val="0"/>
                <w:sz w:val="20"/>
                <w:szCs w:val="20"/>
              </w:rPr>
            </w:pPr>
            <w:r w:rsidRPr="0065406A">
              <w:rPr>
                <w:rFonts w:eastAsia="Times New Roman" w:cstheme="minorHAnsi"/>
                <w:snapToGrid w:val="0"/>
                <w:sz w:val="20"/>
                <w:szCs w:val="20"/>
              </w:rPr>
              <w:t>40 (2.8%)</w:t>
            </w:r>
          </w:p>
        </w:tc>
      </w:tr>
      <w:tr w:rsidR="003A369B" w:rsidRPr="0065406A" w:rsidTr="003A369B">
        <w:tc>
          <w:tcPr>
            <w:tcW w:w="3209" w:type="dxa"/>
          </w:tcPr>
          <w:p w:rsidR="003A369B" w:rsidRPr="0065406A" w:rsidRDefault="003A369B" w:rsidP="003A369B">
            <w:pPr>
              <w:keepLines/>
              <w:spacing w:after="120" w:line="240" w:lineRule="auto"/>
              <w:rPr>
                <w:rFonts w:eastAsia="Times New Roman" w:cstheme="minorHAnsi"/>
                <w:snapToGrid w:val="0"/>
                <w:sz w:val="20"/>
                <w:szCs w:val="20"/>
              </w:rPr>
            </w:pPr>
            <w:r w:rsidRPr="0065406A">
              <w:rPr>
                <w:rFonts w:eastAsia="Times New Roman" w:cstheme="minorHAnsi"/>
                <w:snapToGrid w:val="0"/>
                <w:sz w:val="20"/>
                <w:szCs w:val="20"/>
              </w:rPr>
              <w:t>Anaemia</w:t>
            </w:r>
          </w:p>
        </w:tc>
        <w:tc>
          <w:tcPr>
            <w:tcW w:w="3210" w:type="dxa"/>
          </w:tcPr>
          <w:p w:rsidR="003A369B" w:rsidRPr="0065406A" w:rsidRDefault="003A369B" w:rsidP="003A369B">
            <w:pPr>
              <w:keepLines/>
              <w:spacing w:after="120" w:line="240" w:lineRule="auto"/>
              <w:jc w:val="center"/>
              <w:rPr>
                <w:rFonts w:eastAsia="Times New Roman" w:cstheme="minorHAnsi"/>
                <w:snapToGrid w:val="0"/>
                <w:sz w:val="20"/>
                <w:szCs w:val="20"/>
              </w:rPr>
            </w:pPr>
            <w:r w:rsidRPr="0065406A">
              <w:rPr>
                <w:rFonts w:eastAsia="Times New Roman" w:cstheme="minorHAnsi"/>
                <w:snapToGrid w:val="0"/>
                <w:sz w:val="20"/>
                <w:szCs w:val="20"/>
              </w:rPr>
              <w:t>35 (2.4%)</w:t>
            </w:r>
          </w:p>
        </w:tc>
        <w:tc>
          <w:tcPr>
            <w:tcW w:w="3210" w:type="dxa"/>
          </w:tcPr>
          <w:p w:rsidR="003A369B" w:rsidRPr="0065406A" w:rsidRDefault="003A369B" w:rsidP="003A369B">
            <w:pPr>
              <w:keepLines/>
              <w:spacing w:after="120" w:line="240" w:lineRule="auto"/>
              <w:jc w:val="center"/>
              <w:rPr>
                <w:rFonts w:eastAsia="Times New Roman" w:cstheme="minorHAnsi"/>
                <w:snapToGrid w:val="0"/>
                <w:sz w:val="20"/>
                <w:szCs w:val="20"/>
              </w:rPr>
            </w:pPr>
            <w:r w:rsidRPr="0065406A">
              <w:rPr>
                <w:rFonts w:eastAsia="Times New Roman" w:cstheme="minorHAnsi"/>
                <w:snapToGrid w:val="0"/>
                <w:sz w:val="20"/>
                <w:szCs w:val="20"/>
              </w:rPr>
              <w:t>26 (1.8%)</w:t>
            </w:r>
          </w:p>
        </w:tc>
      </w:tr>
      <w:tr w:rsidR="003A369B" w:rsidRPr="0065406A" w:rsidTr="003A369B">
        <w:tc>
          <w:tcPr>
            <w:tcW w:w="3209" w:type="dxa"/>
          </w:tcPr>
          <w:p w:rsidR="003A369B" w:rsidRPr="0065406A" w:rsidRDefault="003A369B" w:rsidP="003A369B">
            <w:pPr>
              <w:keepLines/>
              <w:spacing w:after="120" w:line="240" w:lineRule="auto"/>
              <w:rPr>
                <w:rFonts w:eastAsia="Times New Roman" w:cstheme="minorHAnsi"/>
                <w:snapToGrid w:val="0"/>
                <w:sz w:val="20"/>
                <w:szCs w:val="20"/>
              </w:rPr>
            </w:pPr>
            <w:r w:rsidRPr="0065406A">
              <w:rPr>
                <w:rFonts w:eastAsia="Times New Roman" w:cstheme="minorHAnsi"/>
                <w:snapToGrid w:val="0"/>
                <w:sz w:val="20"/>
                <w:szCs w:val="20"/>
              </w:rPr>
              <w:t>Hypertension</w:t>
            </w:r>
          </w:p>
        </w:tc>
        <w:tc>
          <w:tcPr>
            <w:tcW w:w="3210" w:type="dxa"/>
          </w:tcPr>
          <w:p w:rsidR="003A369B" w:rsidRPr="0065406A" w:rsidRDefault="003A369B" w:rsidP="003A369B">
            <w:pPr>
              <w:keepLines/>
              <w:spacing w:after="120" w:line="240" w:lineRule="auto"/>
              <w:jc w:val="center"/>
              <w:rPr>
                <w:rFonts w:eastAsia="Times New Roman" w:cstheme="minorHAnsi"/>
                <w:snapToGrid w:val="0"/>
                <w:sz w:val="20"/>
                <w:szCs w:val="20"/>
              </w:rPr>
            </w:pPr>
            <w:r w:rsidRPr="0065406A">
              <w:rPr>
                <w:rFonts w:eastAsia="Times New Roman" w:cstheme="minorHAnsi"/>
                <w:snapToGrid w:val="0"/>
                <w:sz w:val="20"/>
                <w:szCs w:val="20"/>
              </w:rPr>
              <w:t>35 (2.4%)</w:t>
            </w:r>
          </w:p>
        </w:tc>
        <w:tc>
          <w:tcPr>
            <w:tcW w:w="3210" w:type="dxa"/>
          </w:tcPr>
          <w:p w:rsidR="003A369B" w:rsidRPr="0065406A" w:rsidRDefault="003A369B" w:rsidP="003A369B">
            <w:pPr>
              <w:keepLines/>
              <w:spacing w:after="120" w:line="240" w:lineRule="auto"/>
              <w:jc w:val="center"/>
              <w:rPr>
                <w:rFonts w:eastAsia="Times New Roman" w:cstheme="minorHAnsi"/>
                <w:snapToGrid w:val="0"/>
                <w:sz w:val="20"/>
                <w:szCs w:val="20"/>
              </w:rPr>
            </w:pPr>
            <w:r w:rsidRPr="0065406A">
              <w:rPr>
                <w:rFonts w:eastAsia="Times New Roman" w:cstheme="minorHAnsi"/>
                <w:snapToGrid w:val="0"/>
                <w:sz w:val="20"/>
                <w:szCs w:val="20"/>
              </w:rPr>
              <w:t>41 (2.9%)</w:t>
            </w:r>
          </w:p>
        </w:tc>
      </w:tr>
      <w:tr w:rsidR="003A369B" w:rsidRPr="0065406A" w:rsidTr="003A369B">
        <w:tc>
          <w:tcPr>
            <w:tcW w:w="3209" w:type="dxa"/>
          </w:tcPr>
          <w:p w:rsidR="003A369B" w:rsidRPr="0065406A" w:rsidRDefault="003A369B" w:rsidP="003A369B">
            <w:pPr>
              <w:keepLines/>
              <w:spacing w:after="120" w:line="240" w:lineRule="auto"/>
              <w:rPr>
                <w:rFonts w:eastAsia="Times New Roman" w:cstheme="minorHAnsi"/>
                <w:snapToGrid w:val="0"/>
                <w:sz w:val="20"/>
                <w:szCs w:val="20"/>
              </w:rPr>
            </w:pPr>
            <w:r w:rsidRPr="0065406A">
              <w:rPr>
                <w:rFonts w:eastAsia="Times New Roman" w:cstheme="minorHAnsi"/>
                <w:snapToGrid w:val="0"/>
                <w:sz w:val="20"/>
                <w:szCs w:val="20"/>
              </w:rPr>
              <w:t>Pneumonia</w:t>
            </w:r>
          </w:p>
        </w:tc>
        <w:tc>
          <w:tcPr>
            <w:tcW w:w="3210" w:type="dxa"/>
          </w:tcPr>
          <w:p w:rsidR="003A369B" w:rsidRPr="0065406A" w:rsidRDefault="003A369B" w:rsidP="003A369B">
            <w:pPr>
              <w:keepLines/>
              <w:spacing w:after="120" w:line="240" w:lineRule="auto"/>
              <w:jc w:val="center"/>
              <w:rPr>
                <w:rFonts w:eastAsia="Times New Roman" w:cstheme="minorHAnsi"/>
                <w:snapToGrid w:val="0"/>
                <w:sz w:val="20"/>
                <w:szCs w:val="20"/>
              </w:rPr>
            </w:pPr>
            <w:r w:rsidRPr="0065406A">
              <w:rPr>
                <w:rFonts w:eastAsia="Times New Roman" w:cstheme="minorHAnsi"/>
                <w:snapToGrid w:val="0"/>
                <w:sz w:val="20"/>
                <w:szCs w:val="20"/>
              </w:rPr>
              <w:t>33 (2.3%)</w:t>
            </w:r>
          </w:p>
        </w:tc>
        <w:tc>
          <w:tcPr>
            <w:tcW w:w="3210" w:type="dxa"/>
          </w:tcPr>
          <w:p w:rsidR="003A369B" w:rsidRPr="0065406A" w:rsidRDefault="003A369B" w:rsidP="003A369B">
            <w:pPr>
              <w:keepLines/>
              <w:spacing w:after="120" w:line="240" w:lineRule="auto"/>
              <w:jc w:val="center"/>
              <w:rPr>
                <w:rFonts w:eastAsia="Times New Roman" w:cstheme="minorHAnsi"/>
                <w:snapToGrid w:val="0"/>
                <w:sz w:val="20"/>
                <w:szCs w:val="20"/>
              </w:rPr>
            </w:pPr>
            <w:r w:rsidRPr="0065406A">
              <w:rPr>
                <w:rFonts w:eastAsia="Times New Roman" w:cstheme="minorHAnsi"/>
                <w:snapToGrid w:val="0"/>
                <w:sz w:val="20"/>
                <w:szCs w:val="20"/>
              </w:rPr>
              <w:t>23 (1.6%)</w:t>
            </w:r>
          </w:p>
        </w:tc>
      </w:tr>
      <w:tr w:rsidR="003A369B" w:rsidRPr="0065406A" w:rsidTr="003A369B">
        <w:tc>
          <w:tcPr>
            <w:tcW w:w="3209" w:type="dxa"/>
          </w:tcPr>
          <w:p w:rsidR="003A369B" w:rsidRPr="0065406A" w:rsidRDefault="003A369B" w:rsidP="003A369B">
            <w:pPr>
              <w:keepLines/>
              <w:spacing w:after="120" w:line="240" w:lineRule="auto"/>
              <w:rPr>
                <w:rFonts w:eastAsia="Times New Roman" w:cstheme="minorHAnsi"/>
                <w:snapToGrid w:val="0"/>
                <w:sz w:val="20"/>
                <w:szCs w:val="20"/>
              </w:rPr>
            </w:pPr>
            <w:r w:rsidRPr="0065406A">
              <w:rPr>
                <w:rFonts w:eastAsia="Times New Roman" w:cstheme="minorHAnsi"/>
                <w:snapToGrid w:val="0"/>
                <w:sz w:val="20"/>
                <w:szCs w:val="20"/>
              </w:rPr>
              <w:t>Vomiting</w:t>
            </w:r>
          </w:p>
        </w:tc>
        <w:tc>
          <w:tcPr>
            <w:tcW w:w="3210" w:type="dxa"/>
          </w:tcPr>
          <w:p w:rsidR="003A369B" w:rsidRPr="0065406A" w:rsidRDefault="003A369B" w:rsidP="003A369B">
            <w:pPr>
              <w:keepLines/>
              <w:spacing w:after="120" w:line="240" w:lineRule="auto"/>
              <w:jc w:val="center"/>
              <w:rPr>
                <w:rFonts w:eastAsia="Times New Roman" w:cstheme="minorHAnsi"/>
                <w:snapToGrid w:val="0"/>
                <w:sz w:val="20"/>
                <w:szCs w:val="20"/>
              </w:rPr>
            </w:pPr>
            <w:r w:rsidRPr="0065406A">
              <w:rPr>
                <w:rFonts w:eastAsia="Times New Roman" w:cstheme="minorHAnsi"/>
                <w:snapToGrid w:val="0"/>
                <w:sz w:val="20"/>
                <w:szCs w:val="20"/>
              </w:rPr>
              <w:t>31 (2.2%)</w:t>
            </w:r>
          </w:p>
        </w:tc>
        <w:tc>
          <w:tcPr>
            <w:tcW w:w="3210" w:type="dxa"/>
          </w:tcPr>
          <w:p w:rsidR="003A369B" w:rsidRPr="0065406A" w:rsidRDefault="003A369B" w:rsidP="003A369B">
            <w:pPr>
              <w:keepLines/>
              <w:spacing w:after="120" w:line="240" w:lineRule="auto"/>
              <w:jc w:val="center"/>
              <w:rPr>
                <w:rFonts w:eastAsia="Times New Roman" w:cstheme="minorHAnsi"/>
                <w:snapToGrid w:val="0"/>
                <w:sz w:val="20"/>
                <w:szCs w:val="20"/>
              </w:rPr>
            </w:pPr>
            <w:r w:rsidRPr="0065406A">
              <w:rPr>
                <w:rFonts w:eastAsia="Times New Roman" w:cstheme="minorHAnsi"/>
                <w:snapToGrid w:val="0"/>
                <w:sz w:val="20"/>
                <w:szCs w:val="20"/>
              </w:rPr>
              <w:t>26 (1.8%)</w:t>
            </w:r>
          </w:p>
        </w:tc>
      </w:tr>
    </w:tbl>
    <w:p w:rsidR="003A369B" w:rsidRPr="00EB5A53" w:rsidRDefault="003A369B" w:rsidP="003A369B">
      <w:pPr>
        <w:rPr>
          <w:sz w:val="20"/>
          <w:szCs w:val="20"/>
        </w:rPr>
      </w:pPr>
    </w:p>
    <w:p w:rsidR="003A369B" w:rsidRPr="00736CB6" w:rsidRDefault="003A369B" w:rsidP="00736CB6">
      <w:pPr>
        <w:rPr>
          <w:b/>
          <w:lang w:val="en-US"/>
        </w:rPr>
      </w:pPr>
      <w:bookmarkStart w:id="6" w:name="_Ref483221025"/>
      <w:r w:rsidRPr="00736CB6">
        <w:rPr>
          <w:b/>
          <w:lang w:val="en-US"/>
        </w:rPr>
        <w:t>Table</w:t>
      </w:r>
      <w:bookmarkEnd w:id="6"/>
      <w:r w:rsidRPr="00736CB6">
        <w:rPr>
          <w:b/>
          <w:lang w:val="en-US"/>
        </w:rPr>
        <w:t xml:space="preserve"> 6: Adverse Events Occurring in </w:t>
      </w:r>
      <w:r w:rsidRPr="00736CB6">
        <w:rPr>
          <w:b/>
          <w:lang w:val="en-US"/>
        </w:rPr>
        <w:sym w:font="Symbol" w:char="F0B3"/>
      </w:r>
      <w:r w:rsidRPr="00736CB6">
        <w:rPr>
          <w:b/>
          <w:lang w:val="en-US"/>
        </w:rPr>
        <w:t xml:space="preserve"> 2% of ARIXTRA, Enoxaparin Sodium or Heparin Treated Patients Regardless of Relationship to Study Drug Across VTE Treatment Studies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1"/>
        <w:gridCol w:w="1955"/>
        <w:gridCol w:w="1895"/>
        <w:gridCol w:w="1791"/>
      </w:tblGrid>
      <w:tr w:rsidR="003A369B" w:rsidRPr="002F2F84" w:rsidTr="00736CB6">
        <w:trPr>
          <w:tblHeader/>
          <w:jc w:val="center"/>
        </w:trPr>
        <w:tc>
          <w:tcPr>
            <w:tcW w:w="2751" w:type="dxa"/>
          </w:tcPr>
          <w:p w:rsidR="003A369B" w:rsidRPr="002F2F84" w:rsidRDefault="003A369B" w:rsidP="00736CB6">
            <w:r w:rsidRPr="002F2F84">
              <w:t>Adverse events</w:t>
            </w:r>
          </w:p>
        </w:tc>
        <w:tc>
          <w:tcPr>
            <w:tcW w:w="1955" w:type="dxa"/>
          </w:tcPr>
          <w:p w:rsidR="003A369B" w:rsidRPr="002F2F84" w:rsidRDefault="003A369B" w:rsidP="00736CB6">
            <w:r w:rsidRPr="002F2F84">
              <w:t>Fondaparinux Sodium</w:t>
            </w:r>
            <w:r w:rsidRPr="002F2F84">
              <w:br/>
              <w:t>Treatment Regimen</w:t>
            </w:r>
          </w:p>
        </w:tc>
        <w:tc>
          <w:tcPr>
            <w:tcW w:w="1895" w:type="dxa"/>
          </w:tcPr>
          <w:p w:rsidR="003A369B" w:rsidRPr="002F2F84" w:rsidRDefault="003A369B" w:rsidP="00736CB6">
            <w:r w:rsidRPr="002F2F84">
              <w:t>Enoxaparin Sodium</w:t>
            </w:r>
            <w:r w:rsidRPr="002F2F84">
              <w:br/>
              <w:t>1 mg/kg SC q 12h</w:t>
            </w:r>
          </w:p>
        </w:tc>
        <w:tc>
          <w:tcPr>
            <w:tcW w:w="1791" w:type="dxa"/>
          </w:tcPr>
          <w:p w:rsidR="003A369B" w:rsidRPr="002F2F84" w:rsidRDefault="003A369B" w:rsidP="00736CB6">
            <w:pPr>
              <w:rPr>
                <w:strike/>
              </w:rPr>
            </w:pPr>
            <w:r w:rsidRPr="002F2F84">
              <w:t>Heparin</w:t>
            </w:r>
            <w:r w:rsidRPr="002F2F84">
              <w:br/>
              <w:t>aPTT adjusted IV</w:t>
            </w:r>
          </w:p>
        </w:tc>
      </w:tr>
      <w:tr w:rsidR="003A369B" w:rsidRPr="002F2F84" w:rsidTr="003A369B">
        <w:trPr>
          <w:jc w:val="center"/>
        </w:trPr>
        <w:tc>
          <w:tcPr>
            <w:tcW w:w="2751" w:type="dxa"/>
          </w:tcPr>
          <w:p w:rsidR="003A369B" w:rsidRPr="002F2F84" w:rsidRDefault="003A369B" w:rsidP="00736CB6"/>
        </w:tc>
        <w:tc>
          <w:tcPr>
            <w:tcW w:w="1955" w:type="dxa"/>
          </w:tcPr>
          <w:p w:rsidR="003A369B" w:rsidRPr="002F2F84" w:rsidRDefault="003A369B" w:rsidP="00736CB6">
            <w:r w:rsidRPr="002F2F84">
              <w:t>N = 2294</w:t>
            </w:r>
          </w:p>
        </w:tc>
        <w:tc>
          <w:tcPr>
            <w:tcW w:w="1895" w:type="dxa"/>
          </w:tcPr>
          <w:p w:rsidR="003A369B" w:rsidRPr="002F2F84" w:rsidRDefault="003A369B" w:rsidP="00736CB6">
            <w:r w:rsidRPr="002F2F84">
              <w:t>N = 1101</w:t>
            </w:r>
          </w:p>
        </w:tc>
        <w:tc>
          <w:tcPr>
            <w:tcW w:w="1791" w:type="dxa"/>
          </w:tcPr>
          <w:p w:rsidR="003A369B" w:rsidRPr="002F2F84" w:rsidRDefault="003A369B" w:rsidP="00736CB6">
            <w:pPr>
              <w:rPr>
                <w:caps/>
              </w:rPr>
            </w:pPr>
            <w:r w:rsidRPr="002F2F84">
              <w:rPr>
                <w:caps/>
              </w:rPr>
              <w:t>N = 1092</w:t>
            </w:r>
          </w:p>
        </w:tc>
      </w:tr>
      <w:tr w:rsidR="003A369B" w:rsidRPr="002F2F84" w:rsidTr="003A369B">
        <w:trPr>
          <w:jc w:val="center"/>
        </w:trPr>
        <w:tc>
          <w:tcPr>
            <w:tcW w:w="2751" w:type="dxa"/>
          </w:tcPr>
          <w:p w:rsidR="003A369B" w:rsidRPr="002F2F84" w:rsidRDefault="003A369B" w:rsidP="00736CB6">
            <w:r w:rsidRPr="002F2F84">
              <w:rPr>
                <w:rFonts w:eastAsia="MS Mincho"/>
              </w:rPr>
              <w:t>Constipation</w:t>
            </w:r>
          </w:p>
        </w:tc>
        <w:tc>
          <w:tcPr>
            <w:tcW w:w="1955" w:type="dxa"/>
          </w:tcPr>
          <w:p w:rsidR="003A369B" w:rsidRPr="002F2F84" w:rsidRDefault="003A369B" w:rsidP="00736CB6">
            <w:r w:rsidRPr="002F2F84">
              <w:rPr>
                <w:rFonts w:eastAsia="MS Mincho"/>
              </w:rPr>
              <w:t>106 (4.6%)</w:t>
            </w:r>
          </w:p>
        </w:tc>
        <w:tc>
          <w:tcPr>
            <w:tcW w:w="1895" w:type="dxa"/>
          </w:tcPr>
          <w:p w:rsidR="003A369B" w:rsidRPr="002F2F84" w:rsidRDefault="003A369B" w:rsidP="00736CB6">
            <w:r w:rsidRPr="002F2F84">
              <w:rPr>
                <w:rFonts w:eastAsia="MS Mincho"/>
              </w:rPr>
              <w:t>32 (2.9%)</w:t>
            </w:r>
          </w:p>
        </w:tc>
        <w:tc>
          <w:tcPr>
            <w:tcW w:w="1791" w:type="dxa"/>
          </w:tcPr>
          <w:p w:rsidR="003A369B" w:rsidRPr="002F2F84" w:rsidRDefault="003A369B" w:rsidP="00736CB6">
            <w:r w:rsidRPr="002F2F84">
              <w:rPr>
                <w:rFonts w:eastAsia="MS Mincho"/>
              </w:rPr>
              <w:t>93 (8.5%)</w:t>
            </w:r>
          </w:p>
        </w:tc>
      </w:tr>
      <w:tr w:rsidR="003A369B" w:rsidRPr="002F2F84" w:rsidTr="003A369B">
        <w:trPr>
          <w:jc w:val="center"/>
        </w:trPr>
        <w:tc>
          <w:tcPr>
            <w:tcW w:w="2751" w:type="dxa"/>
          </w:tcPr>
          <w:p w:rsidR="003A369B" w:rsidRPr="002F2F84" w:rsidRDefault="003A369B" w:rsidP="00736CB6">
            <w:r w:rsidRPr="002F2F84">
              <w:rPr>
                <w:rFonts w:eastAsia="MS Mincho"/>
              </w:rPr>
              <w:t xml:space="preserve">Headache </w:t>
            </w:r>
          </w:p>
        </w:tc>
        <w:tc>
          <w:tcPr>
            <w:tcW w:w="1955" w:type="dxa"/>
          </w:tcPr>
          <w:p w:rsidR="003A369B" w:rsidRPr="002F2F84" w:rsidRDefault="003A369B" w:rsidP="00736CB6">
            <w:r w:rsidRPr="002F2F84">
              <w:rPr>
                <w:rFonts w:eastAsia="MS Mincho"/>
              </w:rPr>
              <w:t>104 (4.5%)</w:t>
            </w:r>
          </w:p>
        </w:tc>
        <w:tc>
          <w:tcPr>
            <w:tcW w:w="1895" w:type="dxa"/>
          </w:tcPr>
          <w:p w:rsidR="003A369B" w:rsidRPr="002F2F84" w:rsidRDefault="003A369B" w:rsidP="00736CB6">
            <w:r w:rsidRPr="002F2F84">
              <w:rPr>
                <w:rFonts w:eastAsia="MS Mincho"/>
              </w:rPr>
              <w:t>37 (3.4%)</w:t>
            </w:r>
          </w:p>
        </w:tc>
        <w:tc>
          <w:tcPr>
            <w:tcW w:w="1791" w:type="dxa"/>
          </w:tcPr>
          <w:p w:rsidR="003A369B" w:rsidRPr="002F2F84" w:rsidRDefault="003A369B" w:rsidP="00736CB6">
            <w:r w:rsidRPr="002F2F84">
              <w:rPr>
                <w:rFonts w:eastAsia="MS Mincho"/>
              </w:rPr>
              <w:t>65 (6.0%)</w:t>
            </w:r>
          </w:p>
        </w:tc>
      </w:tr>
      <w:tr w:rsidR="003A369B" w:rsidRPr="002F2F84" w:rsidTr="003A369B">
        <w:trPr>
          <w:jc w:val="center"/>
        </w:trPr>
        <w:tc>
          <w:tcPr>
            <w:tcW w:w="2751" w:type="dxa"/>
          </w:tcPr>
          <w:p w:rsidR="003A369B" w:rsidRPr="002F2F84" w:rsidRDefault="003A369B" w:rsidP="00736CB6">
            <w:r w:rsidRPr="002F2F84">
              <w:rPr>
                <w:rFonts w:eastAsia="MS Mincho"/>
              </w:rPr>
              <w:t xml:space="preserve">Insomnia </w:t>
            </w:r>
          </w:p>
        </w:tc>
        <w:tc>
          <w:tcPr>
            <w:tcW w:w="1955" w:type="dxa"/>
          </w:tcPr>
          <w:p w:rsidR="003A369B" w:rsidRPr="002F2F84" w:rsidRDefault="003A369B" w:rsidP="00736CB6">
            <w:r w:rsidRPr="002F2F84">
              <w:rPr>
                <w:rFonts w:eastAsia="MS Mincho"/>
              </w:rPr>
              <w:t xml:space="preserve"> 86 (3.7%)</w:t>
            </w:r>
          </w:p>
        </w:tc>
        <w:tc>
          <w:tcPr>
            <w:tcW w:w="1895" w:type="dxa"/>
          </w:tcPr>
          <w:p w:rsidR="003A369B" w:rsidRPr="002F2F84" w:rsidRDefault="003A369B" w:rsidP="00736CB6">
            <w:r w:rsidRPr="002F2F84">
              <w:rPr>
                <w:rFonts w:eastAsia="MS Mincho"/>
              </w:rPr>
              <w:t>19 (1.7%)</w:t>
            </w:r>
          </w:p>
        </w:tc>
        <w:tc>
          <w:tcPr>
            <w:tcW w:w="1791" w:type="dxa"/>
          </w:tcPr>
          <w:p w:rsidR="003A369B" w:rsidRPr="002F2F84" w:rsidRDefault="003A369B" w:rsidP="00736CB6">
            <w:r w:rsidRPr="002F2F84">
              <w:rPr>
                <w:rFonts w:eastAsia="MS Mincho"/>
              </w:rPr>
              <w:t>75 (6.9%)</w:t>
            </w:r>
          </w:p>
        </w:tc>
      </w:tr>
      <w:tr w:rsidR="003A369B" w:rsidRPr="002F2F84" w:rsidTr="003A369B">
        <w:trPr>
          <w:jc w:val="center"/>
        </w:trPr>
        <w:tc>
          <w:tcPr>
            <w:tcW w:w="2751" w:type="dxa"/>
          </w:tcPr>
          <w:p w:rsidR="003A369B" w:rsidRPr="002F2F84" w:rsidRDefault="003A369B" w:rsidP="00736CB6">
            <w:r w:rsidRPr="002F2F84">
              <w:rPr>
                <w:rFonts w:eastAsia="MS Mincho"/>
              </w:rPr>
              <w:t xml:space="preserve">Fever </w:t>
            </w:r>
          </w:p>
        </w:tc>
        <w:tc>
          <w:tcPr>
            <w:tcW w:w="1955" w:type="dxa"/>
          </w:tcPr>
          <w:p w:rsidR="003A369B" w:rsidRPr="002F2F84" w:rsidRDefault="003A369B" w:rsidP="00736CB6">
            <w:r w:rsidRPr="002F2F84">
              <w:rPr>
                <w:rFonts w:eastAsia="MS Mincho"/>
              </w:rPr>
              <w:t xml:space="preserve"> 81 (3.5%)</w:t>
            </w:r>
          </w:p>
        </w:tc>
        <w:tc>
          <w:tcPr>
            <w:tcW w:w="1895" w:type="dxa"/>
          </w:tcPr>
          <w:p w:rsidR="003A369B" w:rsidRPr="002F2F84" w:rsidRDefault="003A369B" w:rsidP="00736CB6">
            <w:r w:rsidRPr="002F2F84">
              <w:rPr>
                <w:rFonts w:eastAsia="MS Mincho"/>
              </w:rPr>
              <w:t>32 (2.9%)</w:t>
            </w:r>
          </w:p>
        </w:tc>
        <w:tc>
          <w:tcPr>
            <w:tcW w:w="1791" w:type="dxa"/>
          </w:tcPr>
          <w:p w:rsidR="003A369B" w:rsidRPr="002F2F84" w:rsidRDefault="003A369B" w:rsidP="00736CB6">
            <w:r w:rsidRPr="002F2F84">
              <w:rPr>
                <w:rFonts w:eastAsia="MS Mincho"/>
              </w:rPr>
              <w:t>47 (4.3%)</w:t>
            </w:r>
          </w:p>
        </w:tc>
      </w:tr>
      <w:tr w:rsidR="003A369B" w:rsidRPr="002F2F84" w:rsidTr="003A369B">
        <w:trPr>
          <w:jc w:val="center"/>
        </w:trPr>
        <w:tc>
          <w:tcPr>
            <w:tcW w:w="2751" w:type="dxa"/>
          </w:tcPr>
          <w:p w:rsidR="003A369B" w:rsidRPr="002F2F84" w:rsidRDefault="003A369B" w:rsidP="00736CB6">
            <w:r w:rsidRPr="002F2F84">
              <w:rPr>
                <w:rFonts w:eastAsia="MS Mincho"/>
              </w:rPr>
              <w:t>Nausea</w:t>
            </w:r>
          </w:p>
        </w:tc>
        <w:tc>
          <w:tcPr>
            <w:tcW w:w="1955" w:type="dxa"/>
          </w:tcPr>
          <w:p w:rsidR="003A369B" w:rsidRPr="002F2F84" w:rsidRDefault="003A369B" w:rsidP="00736CB6">
            <w:r w:rsidRPr="002F2F84">
              <w:rPr>
                <w:rFonts w:eastAsia="MS Mincho"/>
              </w:rPr>
              <w:t xml:space="preserve"> 76 (3.3%)</w:t>
            </w:r>
          </w:p>
        </w:tc>
        <w:tc>
          <w:tcPr>
            <w:tcW w:w="1895" w:type="dxa"/>
          </w:tcPr>
          <w:p w:rsidR="003A369B" w:rsidRPr="002F2F84" w:rsidRDefault="003A369B" w:rsidP="00736CB6">
            <w:r w:rsidRPr="002F2F84">
              <w:rPr>
                <w:rFonts w:eastAsia="MS Mincho"/>
              </w:rPr>
              <w:t>29 (2.6%)</w:t>
            </w:r>
          </w:p>
        </w:tc>
        <w:tc>
          <w:tcPr>
            <w:tcW w:w="1791" w:type="dxa"/>
          </w:tcPr>
          <w:p w:rsidR="003A369B" w:rsidRPr="002F2F84" w:rsidRDefault="003A369B" w:rsidP="00736CB6">
            <w:r w:rsidRPr="002F2F84">
              <w:rPr>
                <w:rFonts w:eastAsia="MS Mincho"/>
              </w:rPr>
              <w:t>53 (4.9%)</w:t>
            </w:r>
          </w:p>
        </w:tc>
      </w:tr>
      <w:tr w:rsidR="003A369B" w:rsidRPr="002F2F84" w:rsidTr="003A369B">
        <w:trPr>
          <w:jc w:val="center"/>
        </w:trPr>
        <w:tc>
          <w:tcPr>
            <w:tcW w:w="2751" w:type="dxa"/>
          </w:tcPr>
          <w:p w:rsidR="003A369B" w:rsidRPr="002F2F84" w:rsidRDefault="003A369B" w:rsidP="00736CB6">
            <w:pPr>
              <w:rPr>
                <w:rFonts w:eastAsia="MS Mincho"/>
              </w:rPr>
            </w:pPr>
            <w:r w:rsidRPr="002F2F84">
              <w:rPr>
                <w:rFonts w:eastAsia="MS Mincho"/>
              </w:rPr>
              <w:t xml:space="preserve">Urinary tract infection </w:t>
            </w:r>
          </w:p>
        </w:tc>
        <w:tc>
          <w:tcPr>
            <w:tcW w:w="1955" w:type="dxa"/>
          </w:tcPr>
          <w:p w:rsidR="003A369B" w:rsidRPr="002F2F84" w:rsidRDefault="003A369B" w:rsidP="00736CB6">
            <w:r w:rsidRPr="002F2F84">
              <w:rPr>
                <w:rFonts w:eastAsia="MS Mincho"/>
              </w:rPr>
              <w:t xml:space="preserve"> 53 (2.3%)</w:t>
            </w:r>
          </w:p>
        </w:tc>
        <w:tc>
          <w:tcPr>
            <w:tcW w:w="1895" w:type="dxa"/>
          </w:tcPr>
          <w:p w:rsidR="003A369B" w:rsidRPr="002F2F84" w:rsidRDefault="003A369B" w:rsidP="00736CB6">
            <w:r w:rsidRPr="002F2F84">
              <w:rPr>
                <w:rFonts w:eastAsia="MS Mincho"/>
              </w:rPr>
              <w:t>20 (1.8%)</w:t>
            </w:r>
          </w:p>
        </w:tc>
        <w:tc>
          <w:tcPr>
            <w:tcW w:w="1791" w:type="dxa"/>
          </w:tcPr>
          <w:p w:rsidR="003A369B" w:rsidRPr="002F2F84" w:rsidRDefault="003A369B" w:rsidP="00736CB6">
            <w:r w:rsidRPr="002F2F84">
              <w:rPr>
                <w:rFonts w:eastAsia="MS Mincho"/>
              </w:rPr>
              <w:t>24 (2.2%)</w:t>
            </w:r>
          </w:p>
        </w:tc>
      </w:tr>
      <w:tr w:rsidR="003A369B" w:rsidRPr="002F2F84" w:rsidTr="003A369B">
        <w:trPr>
          <w:jc w:val="center"/>
        </w:trPr>
        <w:tc>
          <w:tcPr>
            <w:tcW w:w="2751" w:type="dxa"/>
          </w:tcPr>
          <w:p w:rsidR="003A369B" w:rsidRPr="002F2F84" w:rsidRDefault="003A369B" w:rsidP="00736CB6">
            <w:pPr>
              <w:rPr>
                <w:rFonts w:eastAsia="MS Mincho"/>
              </w:rPr>
            </w:pPr>
            <w:r w:rsidRPr="002F2F84">
              <w:rPr>
                <w:rFonts w:eastAsia="MS Mincho"/>
              </w:rPr>
              <w:t xml:space="preserve">Coughing </w:t>
            </w:r>
          </w:p>
        </w:tc>
        <w:tc>
          <w:tcPr>
            <w:tcW w:w="1955" w:type="dxa"/>
          </w:tcPr>
          <w:p w:rsidR="003A369B" w:rsidRPr="002F2F84" w:rsidRDefault="003A369B" w:rsidP="00736CB6">
            <w:r w:rsidRPr="002F2F84">
              <w:rPr>
                <w:rFonts w:eastAsia="MS Mincho"/>
              </w:rPr>
              <w:t xml:space="preserve"> 48 (2.1%)</w:t>
            </w:r>
          </w:p>
        </w:tc>
        <w:tc>
          <w:tcPr>
            <w:tcW w:w="1895" w:type="dxa"/>
          </w:tcPr>
          <w:p w:rsidR="003A369B" w:rsidRPr="002F2F84" w:rsidRDefault="003A369B" w:rsidP="00736CB6">
            <w:r w:rsidRPr="002F2F84">
              <w:rPr>
                <w:rFonts w:eastAsia="MS Mincho"/>
              </w:rPr>
              <w:t xml:space="preserve"> 7 (0.6%)</w:t>
            </w:r>
          </w:p>
        </w:tc>
        <w:tc>
          <w:tcPr>
            <w:tcW w:w="1791" w:type="dxa"/>
          </w:tcPr>
          <w:p w:rsidR="003A369B" w:rsidRPr="002F2F84" w:rsidRDefault="003A369B" w:rsidP="00736CB6">
            <w:r w:rsidRPr="002F2F84">
              <w:rPr>
                <w:rFonts w:eastAsia="MS Mincho"/>
              </w:rPr>
              <w:t>26 (2.4%)</w:t>
            </w:r>
          </w:p>
        </w:tc>
      </w:tr>
      <w:tr w:rsidR="003A369B" w:rsidRPr="002F2F84" w:rsidTr="003A369B">
        <w:trPr>
          <w:jc w:val="center"/>
        </w:trPr>
        <w:tc>
          <w:tcPr>
            <w:tcW w:w="2751" w:type="dxa"/>
          </w:tcPr>
          <w:p w:rsidR="003A369B" w:rsidRPr="002F2F84" w:rsidRDefault="003A369B" w:rsidP="00736CB6">
            <w:pPr>
              <w:rPr>
                <w:rFonts w:eastAsia="MS Mincho"/>
              </w:rPr>
            </w:pPr>
            <w:r w:rsidRPr="002F2F84">
              <w:rPr>
                <w:rFonts w:eastAsia="MS Mincho"/>
              </w:rPr>
              <w:t>Diarrhoea</w:t>
            </w:r>
          </w:p>
        </w:tc>
        <w:tc>
          <w:tcPr>
            <w:tcW w:w="1955" w:type="dxa"/>
          </w:tcPr>
          <w:p w:rsidR="003A369B" w:rsidRPr="002F2F84" w:rsidRDefault="003A369B" w:rsidP="00736CB6">
            <w:r w:rsidRPr="002F2F84">
              <w:rPr>
                <w:rFonts w:eastAsia="MS Mincho"/>
              </w:rPr>
              <w:t xml:space="preserve"> 43 (1.9%)</w:t>
            </w:r>
          </w:p>
        </w:tc>
        <w:tc>
          <w:tcPr>
            <w:tcW w:w="1895" w:type="dxa"/>
          </w:tcPr>
          <w:p w:rsidR="003A369B" w:rsidRPr="002F2F84" w:rsidRDefault="003A369B" w:rsidP="00736CB6">
            <w:r w:rsidRPr="002F2F84">
              <w:rPr>
                <w:rFonts w:eastAsia="MS Mincho"/>
              </w:rPr>
              <w:t>22 (2.0%)</w:t>
            </w:r>
          </w:p>
        </w:tc>
        <w:tc>
          <w:tcPr>
            <w:tcW w:w="1791" w:type="dxa"/>
          </w:tcPr>
          <w:p w:rsidR="003A369B" w:rsidRPr="002F2F84" w:rsidRDefault="003A369B" w:rsidP="00736CB6">
            <w:r w:rsidRPr="002F2F84">
              <w:rPr>
                <w:rFonts w:eastAsia="MS Mincho"/>
              </w:rPr>
              <w:t>27 (2.5%)</w:t>
            </w:r>
          </w:p>
        </w:tc>
      </w:tr>
      <w:tr w:rsidR="003A369B" w:rsidRPr="002F2F84" w:rsidTr="003A369B">
        <w:trPr>
          <w:jc w:val="center"/>
        </w:trPr>
        <w:tc>
          <w:tcPr>
            <w:tcW w:w="2751" w:type="dxa"/>
          </w:tcPr>
          <w:p w:rsidR="003A369B" w:rsidRPr="002F2F84" w:rsidRDefault="003A369B" w:rsidP="00736CB6">
            <w:pPr>
              <w:rPr>
                <w:rFonts w:eastAsia="MS Mincho"/>
              </w:rPr>
            </w:pPr>
            <w:r w:rsidRPr="002F2F84">
              <w:rPr>
                <w:rFonts w:eastAsia="MS Mincho"/>
              </w:rPr>
              <w:t xml:space="preserve">Abdominal pain </w:t>
            </w:r>
          </w:p>
        </w:tc>
        <w:tc>
          <w:tcPr>
            <w:tcW w:w="1955" w:type="dxa"/>
          </w:tcPr>
          <w:p w:rsidR="003A369B" w:rsidRPr="002F2F84" w:rsidRDefault="003A369B" w:rsidP="00736CB6">
            <w:r w:rsidRPr="002F2F84">
              <w:rPr>
                <w:rFonts w:eastAsia="MS Mincho"/>
              </w:rPr>
              <w:t xml:space="preserve"> 33 (1.4%)</w:t>
            </w:r>
          </w:p>
        </w:tc>
        <w:tc>
          <w:tcPr>
            <w:tcW w:w="1895" w:type="dxa"/>
          </w:tcPr>
          <w:p w:rsidR="003A369B" w:rsidRPr="002F2F84" w:rsidRDefault="003A369B" w:rsidP="00736CB6">
            <w:r w:rsidRPr="002F2F84">
              <w:rPr>
                <w:rFonts w:eastAsia="MS Mincho"/>
              </w:rPr>
              <w:t>14 (1.3%)</w:t>
            </w:r>
          </w:p>
        </w:tc>
        <w:tc>
          <w:tcPr>
            <w:tcW w:w="1791" w:type="dxa"/>
          </w:tcPr>
          <w:p w:rsidR="003A369B" w:rsidRPr="002F2F84" w:rsidRDefault="003A369B" w:rsidP="00736CB6">
            <w:r w:rsidRPr="002F2F84">
              <w:rPr>
                <w:rFonts w:eastAsia="MS Mincho"/>
              </w:rPr>
              <w:t>28 (2.6%)</w:t>
            </w:r>
          </w:p>
        </w:tc>
      </w:tr>
      <w:tr w:rsidR="003A369B" w:rsidRPr="002F2F84" w:rsidTr="003A369B">
        <w:trPr>
          <w:jc w:val="center"/>
        </w:trPr>
        <w:tc>
          <w:tcPr>
            <w:tcW w:w="2751" w:type="dxa"/>
          </w:tcPr>
          <w:p w:rsidR="003A369B" w:rsidRPr="002F2F84" w:rsidRDefault="003A369B" w:rsidP="00736CB6">
            <w:pPr>
              <w:rPr>
                <w:rFonts w:eastAsia="MS Mincho"/>
              </w:rPr>
            </w:pPr>
            <w:r w:rsidRPr="002F2F84">
              <w:rPr>
                <w:rFonts w:eastAsia="MS Mincho"/>
              </w:rPr>
              <w:t xml:space="preserve">Chest pain </w:t>
            </w:r>
          </w:p>
        </w:tc>
        <w:tc>
          <w:tcPr>
            <w:tcW w:w="1955" w:type="dxa"/>
          </w:tcPr>
          <w:p w:rsidR="003A369B" w:rsidRPr="002F2F84" w:rsidRDefault="003A369B" w:rsidP="00736CB6">
            <w:r w:rsidRPr="002F2F84">
              <w:rPr>
                <w:rFonts w:eastAsia="MS Mincho"/>
              </w:rPr>
              <w:t xml:space="preserve"> 33 (1.4%)</w:t>
            </w:r>
          </w:p>
        </w:tc>
        <w:tc>
          <w:tcPr>
            <w:tcW w:w="1895" w:type="dxa"/>
          </w:tcPr>
          <w:p w:rsidR="003A369B" w:rsidRPr="002F2F84" w:rsidRDefault="003A369B" w:rsidP="00736CB6">
            <w:r w:rsidRPr="002F2F84">
              <w:rPr>
                <w:rFonts w:eastAsia="MS Mincho"/>
              </w:rPr>
              <w:t xml:space="preserve"> 8 (0.7%)</w:t>
            </w:r>
          </w:p>
        </w:tc>
        <w:tc>
          <w:tcPr>
            <w:tcW w:w="1791" w:type="dxa"/>
          </w:tcPr>
          <w:p w:rsidR="003A369B" w:rsidRPr="002F2F84" w:rsidRDefault="003A369B" w:rsidP="00736CB6">
            <w:r w:rsidRPr="002F2F84">
              <w:rPr>
                <w:rFonts w:eastAsia="MS Mincho"/>
              </w:rPr>
              <w:t>26 (2.4%)</w:t>
            </w:r>
          </w:p>
        </w:tc>
      </w:tr>
      <w:tr w:rsidR="003A369B" w:rsidRPr="002F2F84" w:rsidTr="003A369B">
        <w:trPr>
          <w:jc w:val="center"/>
        </w:trPr>
        <w:tc>
          <w:tcPr>
            <w:tcW w:w="2751" w:type="dxa"/>
          </w:tcPr>
          <w:p w:rsidR="003A369B" w:rsidRPr="002F2F84" w:rsidRDefault="003A369B" w:rsidP="00736CB6">
            <w:pPr>
              <w:rPr>
                <w:rFonts w:eastAsia="MS Mincho"/>
              </w:rPr>
            </w:pPr>
            <w:r w:rsidRPr="002F2F84">
              <w:rPr>
                <w:rFonts w:eastAsia="MS Mincho"/>
              </w:rPr>
              <w:t xml:space="preserve">Leg pain </w:t>
            </w:r>
          </w:p>
        </w:tc>
        <w:tc>
          <w:tcPr>
            <w:tcW w:w="1955" w:type="dxa"/>
          </w:tcPr>
          <w:p w:rsidR="003A369B" w:rsidRPr="002F2F84" w:rsidRDefault="003A369B" w:rsidP="00736CB6">
            <w:r w:rsidRPr="002F2F84">
              <w:rPr>
                <w:rFonts w:eastAsia="MS Mincho"/>
              </w:rPr>
              <w:t xml:space="preserve"> 31 (1.4%)</w:t>
            </w:r>
          </w:p>
        </w:tc>
        <w:tc>
          <w:tcPr>
            <w:tcW w:w="1895" w:type="dxa"/>
          </w:tcPr>
          <w:p w:rsidR="003A369B" w:rsidRPr="002F2F84" w:rsidRDefault="003A369B" w:rsidP="00736CB6">
            <w:r w:rsidRPr="002F2F84">
              <w:rPr>
                <w:rFonts w:eastAsia="MS Mincho"/>
              </w:rPr>
              <w:t>10 (0.9%)</w:t>
            </w:r>
          </w:p>
        </w:tc>
        <w:tc>
          <w:tcPr>
            <w:tcW w:w="1791" w:type="dxa"/>
          </w:tcPr>
          <w:p w:rsidR="003A369B" w:rsidRPr="002F2F84" w:rsidRDefault="003A369B" w:rsidP="00736CB6">
            <w:r w:rsidRPr="002F2F84">
              <w:rPr>
                <w:rFonts w:eastAsia="MS Mincho"/>
              </w:rPr>
              <w:t>22 (2.0%)</w:t>
            </w:r>
          </w:p>
        </w:tc>
      </w:tr>
      <w:tr w:rsidR="003A369B" w:rsidRPr="002F2F84" w:rsidTr="003A369B">
        <w:trPr>
          <w:jc w:val="center"/>
        </w:trPr>
        <w:tc>
          <w:tcPr>
            <w:tcW w:w="2751" w:type="dxa"/>
          </w:tcPr>
          <w:p w:rsidR="003A369B" w:rsidRPr="002F2F84" w:rsidRDefault="003A369B" w:rsidP="00736CB6">
            <w:pPr>
              <w:rPr>
                <w:rFonts w:eastAsia="MS Mincho"/>
              </w:rPr>
            </w:pPr>
            <w:r w:rsidRPr="002F2F84">
              <w:rPr>
                <w:rFonts w:eastAsia="MS Mincho"/>
              </w:rPr>
              <w:t>Back pain</w:t>
            </w:r>
          </w:p>
        </w:tc>
        <w:tc>
          <w:tcPr>
            <w:tcW w:w="1955" w:type="dxa"/>
          </w:tcPr>
          <w:p w:rsidR="003A369B" w:rsidRPr="002F2F84" w:rsidRDefault="003A369B" w:rsidP="00736CB6">
            <w:r w:rsidRPr="002F2F84">
              <w:rPr>
                <w:rFonts w:eastAsia="MS Mincho"/>
              </w:rPr>
              <w:t xml:space="preserve"> 30 (1.3%)</w:t>
            </w:r>
          </w:p>
        </w:tc>
        <w:tc>
          <w:tcPr>
            <w:tcW w:w="1895" w:type="dxa"/>
          </w:tcPr>
          <w:p w:rsidR="003A369B" w:rsidRPr="002F2F84" w:rsidRDefault="003A369B" w:rsidP="00736CB6">
            <w:r w:rsidRPr="002F2F84">
              <w:rPr>
                <w:rFonts w:eastAsia="MS Mincho"/>
              </w:rPr>
              <w:t>11 (1.0%)</w:t>
            </w:r>
          </w:p>
        </w:tc>
        <w:tc>
          <w:tcPr>
            <w:tcW w:w="1791" w:type="dxa"/>
          </w:tcPr>
          <w:p w:rsidR="003A369B" w:rsidRPr="002F2F84" w:rsidRDefault="003A369B" w:rsidP="00736CB6">
            <w:r w:rsidRPr="002F2F84">
              <w:rPr>
                <w:rFonts w:eastAsia="MS Mincho"/>
              </w:rPr>
              <w:t>34 (3.1%)</w:t>
            </w:r>
          </w:p>
        </w:tc>
      </w:tr>
      <w:tr w:rsidR="003A369B" w:rsidRPr="002F2F84" w:rsidTr="003A369B">
        <w:trPr>
          <w:jc w:val="center"/>
        </w:trPr>
        <w:tc>
          <w:tcPr>
            <w:tcW w:w="2751" w:type="dxa"/>
          </w:tcPr>
          <w:p w:rsidR="003A369B" w:rsidRPr="002F2F84" w:rsidRDefault="003A369B" w:rsidP="00736CB6">
            <w:pPr>
              <w:rPr>
                <w:rFonts w:eastAsia="MS Mincho"/>
              </w:rPr>
            </w:pPr>
            <w:r w:rsidRPr="002F2F84">
              <w:rPr>
                <w:rFonts w:eastAsia="MS Mincho"/>
              </w:rPr>
              <w:t>Epistaxis</w:t>
            </w:r>
          </w:p>
        </w:tc>
        <w:tc>
          <w:tcPr>
            <w:tcW w:w="1955" w:type="dxa"/>
          </w:tcPr>
          <w:p w:rsidR="003A369B" w:rsidRPr="002F2F84" w:rsidRDefault="003A369B" w:rsidP="00736CB6">
            <w:r w:rsidRPr="002F2F84">
              <w:rPr>
                <w:rFonts w:eastAsia="MS Mincho"/>
              </w:rPr>
              <w:t xml:space="preserve"> 30 (1.3%)</w:t>
            </w:r>
          </w:p>
        </w:tc>
        <w:tc>
          <w:tcPr>
            <w:tcW w:w="1895" w:type="dxa"/>
          </w:tcPr>
          <w:p w:rsidR="003A369B" w:rsidRPr="002F2F84" w:rsidRDefault="003A369B" w:rsidP="00736CB6">
            <w:r w:rsidRPr="002F2F84">
              <w:rPr>
                <w:rFonts w:eastAsia="MS Mincho"/>
              </w:rPr>
              <w:t>12 (1.1%)</w:t>
            </w:r>
          </w:p>
        </w:tc>
        <w:tc>
          <w:tcPr>
            <w:tcW w:w="1791" w:type="dxa"/>
          </w:tcPr>
          <w:p w:rsidR="003A369B" w:rsidRPr="002F2F84" w:rsidRDefault="003A369B" w:rsidP="00736CB6">
            <w:r w:rsidRPr="002F2F84">
              <w:rPr>
                <w:rFonts w:eastAsia="MS Mincho"/>
              </w:rPr>
              <w:t>41 (3.8%)</w:t>
            </w:r>
          </w:p>
        </w:tc>
      </w:tr>
      <w:tr w:rsidR="003A369B" w:rsidRPr="002F2F84" w:rsidTr="003A369B">
        <w:trPr>
          <w:jc w:val="center"/>
        </w:trPr>
        <w:tc>
          <w:tcPr>
            <w:tcW w:w="2751" w:type="dxa"/>
          </w:tcPr>
          <w:p w:rsidR="003A369B" w:rsidRPr="002F2F84" w:rsidRDefault="003A369B" w:rsidP="00736CB6">
            <w:pPr>
              <w:rPr>
                <w:rFonts w:eastAsia="MS Mincho"/>
              </w:rPr>
            </w:pPr>
            <w:r w:rsidRPr="002F2F84">
              <w:rPr>
                <w:rFonts w:eastAsia="MS Mincho"/>
              </w:rPr>
              <w:lastRenderedPageBreak/>
              <w:t>Prothrombin decreased</w:t>
            </w:r>
          </w:p>
        </w:tc>
        <w:tc>
          <w:tcPr>
            <w:tcW w:w="1955" w:type="dxa"/>
          </w:tcPr>
          <w:p w:rsidR="003A369B" w:rsidRPr="002F2F84" w:rsidRDefault="003A369B" w:rsidP="00736CB6">
            <w:r w:rsidRPr="002F2F84">
              <w:rPr>
                <w:rFonts w:eastAsia="MS Mincho"/>
              </w:rPr>
              <w:t xml:space="preserve"> 30 (1.3%)</w:t>
            </w:r>
          </w:p>
        </w:tc>
        <w:tc>
          <w:tcPr>
            <w:tcW w:w="1895" w:type="dxa"/>
          </w:tcPr>
          <w:p w:rsidR="003A369B" w:rsidRPr="002F2F84" w:rsidRDefault="003A369B" w:rsidP="00736CB6">
            <w:r w:rsidRPr="002F2F84">
              <w:rPr>
                <w:rFonts w:eastAsia="MS Mincho"/>
              </w:rPr>
              <w:t xml:space="preserve"> 3 (0.3%)</w:t>
            </w:r>
          </w:p>
        </w:tc>
        <w:tc>
          <w:tcPr>
            <w:tcW w:w="1791" w:type="dxa"/>
          </w:tcPr>
          <w:p w:rsidR="003A369B" w:rsidRPr="002F2F84" w:rsidRDefault="003A369B" w:rsidP="00736CB6">
            <w:r w:rsidRPr="002F2F84">
              <w:rPr>
                <w:rFonts w:eastAsia="MS Mincho"/>
              </w:rPr>
              <w:t>34 (3.1%)</w:t>
            </w:r>
          </w:p>
        </w:tc>
      </w:tr>
      <w:tr w:rsidR="003A369B" w:rsidRPr="002F2F84" w:rsidTr="003A369B">
        <w:trPr>
          <w:jc w:val="center"/>
        </w:trPr>
        <w:tc>
          <w:tcPr>
            <w:tcW w:w="2751" w:type="dxa"/>
          </w:tcPr>
          <w:p w:rsidR="003A369B" w:rsidRPr="002F2F84" w:rsidRDefault="003A369B" w:rsidP="00736CB6">
            <w:pPr>
              <w:rPr>
                <w:rFonts w:eastAsia="MS Mincho"/>
              </w:rPr>
            </w:pPr>
            <w:r w:rsidRPr="002F2F84">
              <w:rPr>
                <w:rFonts w:eastAsia="MS Mincho"/>
              </w:rPr>
              <w:t xml:space="preserve">Anaemia  </w:t>
            </w:r>
          </w:p>
        </w:tc>
        <w:tc>
          <w:tcPr>
            <w:tcW w:w="1955" w:type="dxa"/>
          </w:tcPr>
          <w:p w:rsidR="003A369B" w:rsidRPr="002F2F84" w:rsidRDefault="003A369B" w:rsidP="00736CB6">
            <w:r w:rsidRPr="002F2F84">
              <w:rPr>
                <w:rFonts w:eastAsia="MS Mincho"/>
              </w:rPr>
              <w:t xml:space="preserve"> 28 (1.2%)</w:t>
            </w:r>
          </w:p>
        </w:tc>
        <w:tc>
          <w:tcPr>
            <w:tcW w:w="1895" w:type="dxa"/>
          </w:tcPr>
          <w:p w:rsidR="003A369B" w:rsidRPr="002F2F84" w:rsidRDefault="003A369B" w:rsidP="00736CB6">
            <w:r w:rsidRPr="002F2F84">
              <w:rPr>
                <w:rFonts w:eastAsia="MS Mincho"/>
              </w:rPr>
              <w:t xml:space="preserve"> 3 (0.3%)</w:t>
            </w:r>
          </w:p>
        </w:tc>
        <w:tc>
          <w:tcPr>
            <w:tcW w:w="1791" w:type="dxa"/>
          </w:tcPr>
          <w:p w:rsidR="003A369B" w:rsidRPr="002F2F84" w:rsidRDefault="003A369B" w:rsidP="00736CB6">
            <w:r w:rsidRPr="002F2F84">
              <w:rPr>
                <w:rFonts w:eastAsia="MS Mincho"/>
              </w:rPr>
              <w:t>23 (2.1%)</w:t>
            </w:r>
          </w:p>
        </w:tc>
      </w:tr>
      <w:tr w:rsidR="003A369B" w:rsidRPr="002F2F84" w:rsidTr="003A369B">
        <w:trPr>
          <w:jc w:val="center"/>
        </w:trPr>
        <w:tc>
          <w:tcPr>
            <w:tcW w:w="2751" w:type="dxa"/>
          </w:tcPr>
          <w:p w:rsidR="003A369B" w:rsidRPr="002F2F84" w:rsidRDefault="003A369B" w:rsidP="00736CB6">
            <w:pPr>
              <w:rPr>
                <w:rFonts w:eastAsia="MS Mincho"/>
              </w:rPr>
            </w:pPr>
            <w:r w:rsidRPr="002F2F84">
              <w:rPr>
                <w:rFonts w:eastAsia="MS Mincho"/>
              </w:rPr>
              <w:t xml:space="preserve">Vomiting </w:t>
            </w:r>
          </w:p>
        </w:tc>
        <w:tc>
          <w:tcPr>
            <w:tcW w:w="1955" w:type="dxa"/>
          </w:tcPr>
          <w:p w:rsidR="003A369B" w:rsidRPr="002F2F84" w:rsidRDefault="003A369B" w:rsidP="00736CB6">
            <w:r w:rsidRPr="002F2F84">
              <w:rPr>
                <w:rFonts w:eastAsia="MS Mincho"/>
              </w:rPr>
              <w:t xml:space="preserve"> 26 (1.1%)</w:t>
            </w:r>
          </w:p>
        </w:tc>
        <w:tc>
          <w:tcPr>
            <w:tcW w:w="1895" w:type="dxa"/>
          </w:tcPr>
          <w:p w:rsidR="003A369B" w:rsidRPr="002F2F84" w:rsidRDefault="003A369B" w:rsidP="00736CB6">
            <w:r w:rsidRPr="002F2F84">
              <w:rPr>
                <w:rFonts w:eastAsia="MS Mincho"/>
              </w:rPr>
              <w:t>14 (1.3%)</w:t>
            </w:r>
          </w:p>
        </w:tc>
        <w:tc>
          <w:tcPr>
            <w:tcW w:w="1791" w:type="dxa"/>
          </w:tcPr>
          <w:p w:rsidR="003A369B" w:rsidRPr="002F2F84" w:rsidRDefault="003A369B" w:rsidP="00736CB6">
            <w:r w:rsidRPr="002F2F84">
              <w:rPr>
                <w:rFonts w:eastAsia="MS Mincho"/>
              </w:rPr>
              <w:t>27 (2.5%)</w:t>
            </w:r>
          </w:p>
        </w:tc>
      </w:tr>
      <w:tr w:rsidR="003A369B" w:rsidRPr="002F2F84" w:rsidTr="003A369B">
        <w:trPr>
          <w:jc w:val="center"/>
        </w:trPr>
        <w:tc>
          <w:tcPr>
            <w:tcW w:w="2751" w:type="dxa"/>
          </w:tcPr>
          <w:p w:rsidR="003A369B" w:rsidRPr="002F2F84" w:rsidRDefault="003A369B" w:rsidP="00736CB6">
            <w:pPr>
              <w:rPr>
                <w:rFonts w:eastAsia="MS Mincho"/>
              </w:rPr>
            </w:pPr>
            <w:r w:rsidRPr="002F2F84">
              <w:rPr>
                <w:rFonts w:eastAsia="MS Mincho"/>
              </w:rPr>
              <w:t>Hypokalaemia</w:t>
            </w:r>
          </w:p>
        </w:tc>
        <w:tc>
          <w:tcPr>
            <w:tcW w:w="1955" w:type="dxa"/>
          </w:tcPr>
          <w:p w:rsidR="003A369B" w:rsidRPr="002F2F84" w:rsidRDefault="003A369B" w:rsidP="00736CB6">
            <w:r w:rsidRPr="002F2F84">
              <w:rPr>
                <w:rFonts w:eastAsia="MS Mincho"/>
              </w:rPr>
              <w:t xml:space="preserve"> 25 (1.1%)</w:t>
            </w:r>
          </w:p>
        </w:tc>
        <w:tc>
          <w:tcPr>
            <w:tcW w:w="1895" w:type="dxa"/>
          </w:tcPr>
          <w:p w:rsidR="003A369B" w:rsidRPr="002F2F84" w:rsidRDefault="003A369B" w:rsidP="00736CB6">
            <w:r w:rsidRPr="002F2F84">
              <w:rPr>
                <w:rFonts w:eastAsia="MS Mincho"/>
              </w:rPr>
              <w:t xml:space="preserve"> 2 (0.2%)</w:t>
            </w:r>
          </w:p>
        </w:tc>
        <w:tc>
          <w:tcPr>
            <w:tcW w:w="1791" w:type="dxa"/>
          </w:tcPr>
          <w:p w:rsidR="003A369B" w:rsidRPr="002F2F84" w:rsidRDefault="003A369B" w:rsidP="00736CB6">
            <w:r w:rsidRPr="002F2F84">
              <w:rPr>
                <w:rFonts w:eastAsia="MS Mincho"/>
              </w:rPr>
              <w:t>23 (2.1%)</w:t>
            </w:r>
          </w:p>
        </w:tc>
      </w:tr>
      <w:tr w:rsidR="003A369B" w:rsidRPr="002F2F84" w:rsidTr="003A369B">
        <w:trPr>
          <w:jc w:val="center"/>
        </w:trPr>
        <w:tc>
          <w:tcPr>
            <w:tcW w:w="2751" w:type="dxa"/>
          </w:tcPr>
          <w:p w:rsidR="003A369B" w:rsidRPr="002F2F84" w:rsidRDefault="003A369B" w:rsidP="00736CB6">
            <w:pPr>
              <w:rPr>
                <w:rFonts w:eastAsia="MS Mincho"/>
              </w:rPr>
            </w:pPr>
            <w:r w:rsidRPr="002F2F84">
              <w:rPr>
                <w:rFonts w:eastAsia="MS Mincho"/>
              </w:rPr>
              <w:t>Bruising</w:t>
            </w:r>
          </w:p>
        </w:tc>
        <w:tc>
          <w:tcPr>
            <w:tcW w:w="1955" w:type="dxa"/>
          </w:tcPr>
          <w:p w:rsidR="003A369B" w:rsidRPr="002F2F84" w:rsidRDefault="003A369B" w:rsidP="00736CB6">
            <w:r w:rsidRPr="002F2F84">
              <w:rPr>
                <w:rFonts w:eastAsia="MS Mincho"/>
              </w:rPr>
              <w:t xml:space="preserve"> 24 (1.0%)</w:t>
            </w:r>
          </w:p>
        </w:tc>
        <w:tc>
          <w:tcPr>
            <w:tcW w:w="1895" w:type="dxa"/>
          </w:tcPr>
          <w:p w:rsidR="003A369B" w:rsidRPr="002F2F84" w:rsidRDefault="003A369B" w:rsidP="00736CB6">
            <w:r w:rsidRPr="002F2F84">
              <w:rPr>
                <w:rFonts w:eastAsia="MS Mincho"/>
              </w:rPr>
              <w:t>24 (2.2%)</w:t>
            </w:r>
          </w:p>
        </w:tc>
        <w:tc>
          <w:tcPr>
            <w:tcW w:w="1791" w:type="dxa"/>
          </w:tcPr>
          <w:p w:rsidR="003A369B" w:rsidRPr="002F2F84" w:rsidRDefault="003A369B" w:rsidP="00736CB6">
            <w:r w:rsidRPr="002F2F84">
              <w:rPr>
                <w:rFonts w:eastAsia="MS Mincho"/>
              </w:rPr>
              <w:t>14 (1.3%)</w:t>
            </w:r>
          </w:p>
        </w:tc>
      </w:tr>
      <w:tr w:rsidR="003A369B" w:rsidRPr="002F2F84" w:rsidTr="003A369B">
        <w:trPr>
          <w:jc w:val="center"/>
        </w:trPr>
        <w:tc>
          <w:tcPr>
            <w:tcW w:w="2751" w:type="dxa"/>
          </w:tcPr>
          <w:p w:rsidR="003A369B" w:rsidRPr="002F2F84" w:rsidRDefault="003A369B" w:rsidP="00736CB6">
            <w:pPr>
              <w:rPr>
                <w:rFonts w:eastAsia="MS Mincho"/>
              </w:rPr>
            </w:pPr>
            <w:r w:rsidRPr="002F2F84">
              <w:rPr>
                <w:rFonts w:eastAsia="MS Mincho"/>
              </w:rPr>
              <w:t xml:space="preserve">Anxiety  </w:t>
            </w:r>
          </w:p>
        </w:tc>
        <w:tc>
          <w:tcPr>
            <w:tcW w:w="1955" w:type="dxa"/>
          </w:tcPr>
          <w:p w:rsidR="003A369B" w:rsidRPr="002F2F84" w:rsidRDefault="003A369B" w:rsidP="00736CB6">
            <w:r w:rsidRPr="002F2F84">
              <w:rPr>
                <w:rFonts w:eastAsia="MS Mincho"/>
              </w:rPr>
              <w:t xml:space="preserve"> 18 (0.8%)</w:t>
            </w:r>
          </w:p>
        </w:tc>
        <w:tc>
          <w:tcPr>
            <w:tcW w:w="1895" w:type="dxa"/>
          </w:tcPr>
          <w:p w:rsidR="003A369B" w:rsidRPr="002F2F84" w:rsidRDefault="003A369B" w:rsidP="00736CB6">
            <w:r w:rsidRPr="002F2F84">
              <w:rPr>
                <w:rFonts w:eastAsia="MS Mincho"/>
              </w:rPr>
              <w:t xml:space="preserve"> 8 (0.7%)</w:t>
            </w:r>
          </w:p>
        </w:tc>
        <w:tc>
          <w:tcPr>
            <w:tcW w:w="1791" w:type="dxa"/>
          </w:tcPr>
          <w:p w:rsidR="003A369B" w:rsidRPr="002F2F84" w:rsidRDefault="003A369B" w:rsidP="00736CB6">
            <w:r w:rsidRPr="002F2F84">
              <w:rPr>
                <w:rFonts w:eastAsia="MS Mincho"/>
              </w:rPr>
              <w:t>22 (2.0%)</w:t>
            </w:r>
          </w:p>
        </w:tc>
      </w:tr>
      <w:tr w:rsidR="003A369B" w:rsidRPr="002F2F84" w:rsidTr="003A369B">
        <w:trPr>
          <w:jc w:val="center"/>
        </w:trPr>
        <w:tc>
          <w:tcPr>
            <w:tcW w:w="2751" w:type="dxa"/>
          </w:tcPr>
          <w:p w:rsidR="003A369B" w:rsidRPr="002F2F84" w:rsidRDefault="003A369B" w:rsidP="00736CB6">
            <w:pPr>
              <w:rPr>
                <w:rFonts w:eastAsia="MS Mincho"/>
              </w:rPr>
            </w:pPr>
            <w:r w:rsidRPr="002F2F84">
              <w:rPr>
                <w:rFonts w:eastAsia="MS Mincho"/>
              </w:rPr>
              <w:t xml:space="preserve">Hepatic function abnormal </w:t>
            </w:r>
          </w:p>
        </w:tc>
        <w:tc>
          <w:tcPr>
            <w:tcW w:w="1955" w:type="dxa"/>
          </w:tcPr>
          <w:p w:rsidR="003A369B" w:rsidRPr="002F2F84" w:rsidRDefault="003A369B" w:rsidP="00736CB6">
            <w:r w:rsidRPr="002F2F84">
              <w:rPr>
                <w:rFonts w:eastAsia="MS Mincho"/>
              </w:rPr>
              <w:t xml:space="preserve"> 10 (0.4%)</w:t>
            </w:r>
          </w:p>
        </w:tc>
        <w:tc>
          <w:tcPr>
            <w:tcW w:w="1895" w:type="dxa"/>
          </w:tcPr>
          <w:p w:rsidR="003A369B" w:rsidRPr="002F2F84" w:rsidRDefault="003A369B" w:rsidP="00736CB6">
            <w:r w:rsidRPr="002F2F84">
              <w:rPr>
                <w:rFonts w:eastAsia="MS Mincho"/>
              </w:rPr>
              <w:t>14 (1.3%)</w:t>
            </w:r>
          </w:p>
        </w:tc>
        <w:tc>
          <w:tcPr>
            <w:tcW w:w="1791" w:type="dxa"/>
          </w:tcPr>
          <w:p w:rsidR="003A369B" w:rsidRPr="002F2F84" w:rsidRDefault="003A369B" w:rsidP="00736CB6">
            <w:r w:rsidRPr="002F2F84">
              <w:rPr>
                <w:rFonts w:eastAsia="MS Mincho"/>
              </w:rPr>
              <w:t>24 (2.2%)</w:t>
            </w:r>
          </w:p>
        </w:tc>
      </w:tr>
      <w:tr w:rsidR="003A369B" w:rsidRPr="002F2F84" w:rsidTr="003A369B">
        <w:trPr>
          <w:jc w:val="center"/>
        </w:trPr>
        <w:tc>
          <w:tcPr>
            <w:tcW w:w="2751" w:type="dxa"/>
          </w:tcPr>
          <w:p w:rsidR="003A369B" w:rsidRPr="002F2F84" w:rsidRDefault="003A369B" w:rsidP="00736CB6">
            <w:pPr>
              <w:rPr>
                <w:rFonts w:eastAsia="MS Mincho"/>
              </w:rPr>
            </w:pPr>
            <w:r w:rsidRPr="002F2F84">
              <w:rPr>
                <w:rFonts w:eastAsia="MS Mincho"/>
              </w:rPr>
              <w:t xml:space="preserve">Hepatic enzymes increased </w:t>
            </w:r>
          </w:p>
        </w:tc>
        <w:tc>
          <w:tcPr>
            <w:tcW w:w="1955" w:type="dxa"/>
          </w:tcPr>
          <w:p w:rsidR="003A369B" w:rsidRPr="002F2F84" w:rsidRDefault="003A369B" w:rsidP="00736CB6">
            <w:r w:rsidRPr="002F2F84">
              <w:rPr>
                <w:rFonts w:eastAsia="MS Mincho"/>
              </w:rPr>
              <w:t xml:space="preserve">  7 (0.3%)</w:t>
            </w:r>
          </w:p>
        </w:tc>
        <w:tc>
          <w:tcPr>
            <w:tcW w:w="1895" w:type="dxa"/>
          </w:tcPr>
          <w:p w:rsidR="003A369B" w:rsidRPr="002F2F84" w:rsidRDefault="003A369B" w:rsidP="00736CB6">
            <w:r w:rsidRPr="002F2F84">
              <w:rPr>
                <w:rFonts w:eastAsia="MS Mincho"/>
              </w:rPr>
              <w:t>52 (4.7%)</w:t>
            </w:r>
          </w:p>
        </w:tc>
        <w:tc>
          <w:tcPr>
            <w:tcW w:w="1791" w:type="dxa"/>
          </w:tcPr>
          <w:p w:rsidR="003A369B" w:rsidRPr="002F2F84" w:rsidRDefault="003A369B" w:rsidP="00736CB6">
            <w:r w:rsidRPr="002F2F84">
              <w:rPr>
                <w:rFonts w:eastAsia="MS Mincho"/>
              </w:rPr>
              <w:t>30 (2.7%)</w:t>
            </w:r>
          </w:p>
        </w:tc>
      </w:tr>
      <w:tr w:rsidR="003A369B" w:rsidRPr="002F2F84" w:rsidTr="003A369B">
        <w:trPr>
          <w:jc w:val="center"/>
        </w:trPr>
        <w:tc>
          <w:tcPr>
            <w:tcW w:w="2751" w:type="dxa"/>
          </w:tcPr>
          <w:p w:rsidR="003A369B" w:rsidRPr="002F2F84" w:rsidRDefault="003A369B" w:rsidP="00736CB6">
            <w:pPr>
              <w:rPr>
                <w:rFonts w:eastAsia="MS Mincho"/>
              </w:rPr>
            </w:pPr>
            <w:r w:rsidRPr="002F2F84">
              <w:rPr>
                <w:rFonts w:eastAsia="MS Mincho"/>
              </w:rPr>
              <w:t xml:space="preserve">ALT increased </w:t>
            </w:r>
          </w:p>
        </w:tc>
        <w:tc>
          <w:tcPr>
            <w:tcW w:w="1955" w:type="dxa"/>
          </w:tcPr>
          <w:p w:rsidR="003A369B" w:rsidRPr="002F2F84" w:rsidRDefault="003A369B" w:rsidP="00736CB6">
            <w:r w:rsidRPr="002F2F84">
              <w:rPr>
                <w:rFonts w:eastAsia="MS Mincho"/>
              </w:rPr>
              <w:t xml:space="preserve">  7 (0.3%)</w:t>
            </w:r>
          </w:p>
        </w:tc>
        <w:tc>
          <w:tcPr>
            <w:tcW w:w="1895" w:type="dxa"/>
          </w:tcPr>
          <w:p w:rsidR="003A369B" w:rsidRPr="002F2F84" w:rsidRDefault="003A369B" w:rsidP="00736CB6">
            <w:r w:rsidRPr="002F2F84">
              <w:rPr>
                <w:rFonts w:eastAsia="MS Mincho"/>
              </w:rPr>
              <w:t>47 (4.3%)</w:t>
            </w:r>
          </w:p>
        </w:tc>
        <w:tc>
          <w:tcPr>
            <w:tcW w:w="1791" w:type="dxa"/>
          </w:tcPr>
          <w:p w:rsidR="003A369B" w:rsidRPr="002F2F84" w:rsidRDefault="003A369B" w:rsidP="00736CB6">
            <w:r w:rsidRPr="002F2F84">
              <w:rPr>
                <w:rFonts w:eastAsia="MS Mincho"/>
              </w:rPr>
              <w:t xml:space="preserve"> 8 (0.7%)</w:t>
            </w:r>
          </w:p>
        </w:tc>
      </w:tr>
      <w:tr w:rsidR="003A369B" w:rsidRPr="002F2F84" w:rsidTr="003A369B">
        <w:trPr>
          <w:jc w:val="center"/>
        </w:trPr>
        <w:tc>
          <w:tcPr>
            <w:tcW w:w="2751" w:type="dxa"/>
          </w:tcPr>
          <w:p w:rsidR="003A369B" w:rsidRPr="002F2F84" w:rsidRDefault="003A369B" w:rsidP="00736CB6">
            <w:pPr>
              <w:rPr>
                <w:rFonts w:eastAsia="MS Mincho"/>
              </w:rPr>
            </w:pPr>
            <w:r w:rsidRPr="002F2F84">
              <w:rPr>
                <w:rFonts w:eastAsia="MS Mincho"/>
              </w:rPr>
              <w:t xml:space="preserve">AST increased </w:t>
            </w:r>
          </w:p>
        </w:tc>
        <w:tc>
          <w:tcPr>
            <w:tcW w:w="1955" w:type="dxa"/>
          </w:tcPr>
          <w:p w:rsidR="003A369B" w:rsidRPr="002F2F84" w:rsidRDefault="003A369B" w:rsidP="00736CB6">
            <w:r w:rsidRPr="002F2F84">
              <w:rPr>
                <w:rFonts w:eastAsia="MS Mincho"/>
              </w:rPr>
              <w:t xml:space="preserve">  4 (0.2%)</w:t>
            </w:r>
          </w:p>
        </w:tc>
        <w:tc>
          <w:tcPr>
            <w:tcW w:w="1895" w:type="dxa"/>
          </w:tcPr>
          <w:p w:rsidR="003A369B" w:rsidRPr="002F2F84" w:rsidRDefault="003A369B" w:rsidP="00736CB6">
            <w:r w:rsidRPr="002F2F84">
              <w:rPr>
                <w:rFonts w:eastAsia="MS Mincho"/>
              </w:rPr>
              <w:t>31 (2.8%)</w:t>
            </w:r>
          </w:p>
        </w:tc>
        <w:tc>
          <w:tcPr>
            <w:tcW w:w="1791" w:type="dxa"/>
          </w:tcPr>
          <w:p w:rsidR="003A369B" w:rsidRPr="002F2F84" w:rsidRDefault="003A369B" w:rsidP="00736CB6">
            <w:r w:rsidRPr="002F2F84">
              <w:rPr>
                <w:rFonts w:eastAsia="MS Mincho"/>
              </w:rPr>
              <w:t xml:space="preserve"> 3 (0.3%)</w:t>
            </w:r>
          </w:p>
        </w:tc>
      </w:tr>
    </w:tbl>
    <w:p w:rsidR="003A369B" w:rsidRPr="000F5095" w:rsidRDefault="003A369B" w:rsidP="003A369B">
      <w:pPr>
        <w:spacing w:after="120" w:line="240" w:lineRule="auto"/>
        <w:jc w:val="both"/>
        <w:rPr>
          <w:rFonts w:eastAsia="Times New Roman" w:cstheme="minorHAnsi"/>
          <w:snapToGrid w:val="0"/>
          <w:szCs w:val="20"/>
        </w:rPr>
      </w:pPr>
    </w:p>
    <w:p w:rsidR="003A369B" w:rsidRDefault="003A369B" w:rsidP="00EB5A53">
      <w:pPr>
        <w:spacing w:line="240" w:lineRule="auto"/>
        <w:jc w:val="both"/>
        <w:rPr>
          <w:rFonts w:cstheme="minorHAnsi"/>
          <w:lang w:val="en-CA"/>
        </w:rPr>
      </w:pPr>
      <w:r w:rsidRPr="000F5095">
        <w:rPr>
          <w:rFonts w:cstheme="minorHAnsi"/>
          <w:lang w:val="en-CA"/>
        </w:rPr>
        <w:t xml:space="preserve">Other adverse reactions that occurred during treatment with </w:t>
      </w:r>
      <w:r>
        <w:rPr>
          <w:rFonts w:cstheme="minorHAnsi"/>
          <w:lang w:val="en-CA"/>
        </w:rPr>
        <w:t>ARIXTRA</w:t>
      </w:r>
      <w:r w:rsidRPr="000F5095">
        <w:rPr>
          <w:rFonts w:cstheme="minorHAnsi"/>
          <w:lang w:val="en-CA"/>
        </w:rPr>
        <w:t xml:space="preserve"> in clinical trials with patients undergoing hip fracture surgery, hip replacement surgery, knee replacement surgery or abdominal surgery and that occurred at a rate of less than 1% include the following: thrombocytopenia, thrombocythemia, abnormal platelets, coagulation disorder, pruritus, hepatic enzymes increased, hepatic function abnormal and wound secretion.  Adverse reactions occurring at a rate of less than 0.1% include somnolence, vertigo, dyspnea, gastritis, bilirubinemia, fatigue, flushing and syncope.</w:t>
      </w:r>
    </w:p>
    <w:p w:rsidR="003A369B" w:rsidRDefault="003A369B" w:rsidP="00EB5A53">
      <w:pPr>
        <w:spacing w:line="240" w:lineRule="auto"/>
        <w:jc w:val="both"/>
        <w:rPr>
          <w:rFonts w:cstheme="minorHAnsi"/>
          <w:lang w:val="en-CA"/>
        </w:rPr>
      </w:pPr>
      <w:r w:rsidRPr="000F5095">
        <w:rPr>
          <w:rFonts w:cstheme="minorHAnsi"/>
          <w:lang w:val="en-CA"/>
        </w:rPr>
        <w:t xml:space="preserve">Other adverse reactions that occurred during treatment with </w:t>
      </w:r>
      <w:r>
        <w:rPr>
          <w:rFonts w:cstheme="minorHAnsi"/>
          <w:lang w:val="en-CA"/>
        </w:rPr>
        <w:t>ARIXTRA</w:t>
      </w:r>
      <w:r w:rsidRPr="000F5095">
        <w:rPr>
          <w:rFonts w:cstheme="minorHAnsi"/>
          <w:lang w:val="en-CA"/>
        </w:rPr>
        <w:t xml:space="preserve"> in the DVT and PE treatment clinical trials and that occurred at a rate of less than 1% include thrombocytopenia</w:t>
      </w:r>
      <w:r w:rsidRPr="000F5095">
        <w:rPr>
          <w:rFonts w:cstheme="minorHAnsi"/>
          <w:color w:val="1F497D"/>
          <w:lang w:val="en-CA"/>
        </w:rPr>
        <w:t>,</w:t>
      </w:r>
      <w:r w:rsidRPr="000F5095">
        <w:rPr>
          <w:rFonts w:cstheme="minorHAnsi"/>
          <w:lang w:val="en-CA"/>
        </w:rPr>
        <w:t xml:space="preserve"> hepatic enzymes</w:t>
      </w:r>
      <w:r>
        <w:rPr>
          <w:rFonts w:cstheme="minorHAnsi"/>
          <w:lang w:val="en-CA"/>
        </w:rPr>
        <w:t xml:space="preserve"> </w:t>
      </w:r>
      <w:r w:rsidRPr="000F5095">
        <w:rPr>
          <w:rFonts w:cstheme="minorHAnsi"/>
          <w:lang w:val="en-CA"/>
        </w:rPr>
        <w:t>increased</w:t>
      </w:r>
      <w:r w:rsidRPr="000F5095">
        <w:rPr>
          <w:rFonts w:cstheme="minorHAnsi"/>
          <w:color w:val="1F497D"/>
          <w:lang w:val="en-CA"/>
        </w:rPr>
        <w:t xml:space="preserve"> </w:t>
      </w:r>
      <w:r w:rsidRPr="000F5095">
        <w:rPr>
          <w:rFonts w:cstheme="minorHAnsi"/>
          <w:lang w:val="en-CA"/>
        </w:rPr>
        <w:t>and hepatic function abnormal. Adverse reactions occurring at a rate of less than 0.1% include thrombocythemia, pruritis and injection site.</w:t>
      </w:r>
    </w:p>
    <w:p w:rsidR="003A369B" w:rsidRDefault="003A369B" w:rsidP="00EB5A53">
      <w:pPr>
        <w:spacing w:after="0" w:line="240" w:lineRule="auto"/>
        <w:jc w:val="both"/>
        <w:rPr>
          <w:u w:val="single"/>
        </w:rPr>
      </w:pPr>
      <w:r w:rsidRPr="00EB5A53">
        <w:rPr>
          <w:u w:val="single"/>
        </w:rPr>
        <w:t>UA/NSTEMI and STEMI ACS</w:t>
      </w:r>
    </w:p>
    <w:p w:rsidR="003A369B" w:rsidRDefault="003A369B" w:rsidP="00EB5A53">
      <w:pPr>
        <w:spacing w:line="240" w:lineRule="auto"/>
        <w:jc w:val="both"/>
      </w:pPr>
      <w:r>
        <w:t>The safety of Arixtra 2.5 mg has been evaluated in 10,057 patients undergoing treatment of UA or NSTEMI ACS and 6,036 patients undergoing treatment of STEMI ACS. The safety of Arixtra 2.5 mg was further evaluated in 3,235 high-risk patients for the treatment of UA/NSTEMI who underwent coronary angiography and PCI with adjunctive UFH if indicated.</w:t>
      </w:r>
    </w:p>
    <w:p w:rsidR="003A369B" w:rsidRDefault="003A369B" w:rsidP="00EB5A53">
      <w:pPr>
        <w:spacing w:line="240" w:lineRule="auto"/>
        <w:jc w:val="both"/>
      </w:pPr>
      <w:r>
        <w:t>The adverse event profile reported in the ACS program is consistent with the adverse drug reactions identified for VTE prophylaxis.</w:t>
      </w:r>
    </w:p>
    <w:p w:rsidR="00CE0EF5" w:rsidRDefault="003A369B" w:rsidP="00EB5A53">
      <w:pPr>
        <w:spacing w:after="0" w:line="240" w:lineRule="auto"/>
        <w:jc w:val="both"/>
      </w:pPr>
      <w:r>
        <w:lastRenderedPageBreak/>
        <w:t>Bleeding was a commonly reported event in patients with UA/NSTEMI and STEMI. The incidence of adjudicated major bleeding was 2.1% (fondaparinux) versus 4.1% (enoxaparin) up to and including Day 9 in the phase III UA/NSTEMI study (Table 7).</w:t>
      </w:r>
    </w:p>
    <w:p w:rsidR="003A369B" w:rsidRPr="00EB5A53" w:rsidRDefault="003A369B" w:rsidP="00EB5A53">
      <w:pPr>
        <w:keepNext/>
        <w:keepLines/>
        <w:spacing w:after="0" w:line="240" w:lineRule="auto"/>
        <w:jc w:val="both"/>
        <w:rPr>
          <w:rFonts w:eastAsia="Times New Roman" w:cstheme="minorHAnsi"/>
          <w:b/>
          <w:bCs/>
          <w:sz w:val="20"/>
          <w:szCs w:val="20"/>
          <w:lang w:val="en-US"/>
        </w:rPr>
      </w:pPr>
      <w:r w:rsidRPr="00EB5A53">
        <w:rPr>
          <w:rFonts w:eastAsia="Times New Roman" w:cstheme="minorHAnsi"/>
          <w:b/>
          <w:bCs/>
          <w:sz w:val="20"/>
          <w:szCs w:val="20"/>
          <w:lang w:val="en-US"/>
        </w:rPr>
        <w:t>Table 7: Bleeding Events Occurring in UA/NSTEMI Patients Treated With Fondaparinux or Enoxaparin (OASIS 5)</w:t>
      </w:r>
    </w:p>
    <w:tbl>
      <w:tblPr>
        <w:tblStyle w:val="TableGrid"/>
        <w:tblW w:w="4148" w:type="pct"/>
        <w:jc w:val="center"/>
        <w:tblLook w:val="04A0" w:firstRow="1" w:lastRow="0" w:firstColumn="1" w:lastColumn="0" w:noHBand="0" w:noVBand="1"/>
      </w:tblPr>
      <w:tblGrid>
        <w:gridCol w:w="4140"/>
        <w:gridCol w:w="1878"/>
        <w:gridCol w:w="2049"/>
      </w:tblGrid>
      <w:tr w:rsidR="003A369B" w:rsidRPr="003750C2" w:rsidTr="003A369B">
        <w:trPr>
          <w:jc w:val="center"/>
        </w:trPr>
        <w:tc>
          <w:tcPr>
            <w:tcW w:w="2566" w:type="pct"/>
            <w:vAlign w:val="center"/>
          </w:tcPr>
          <w:p w:rsidR="003A369B" w:rsidRPr="003750C2" w:rsidRDefault="003A369B" w:rsidP="00EB5A53">
            <w:pPr>
              <w:keepNext/>
              <w:spacing w:after="0" w:line="240" w:lineRule="auto"/>
              <w:rPr>
                <w:rFonts w:asciiTheme="minorHAnsi" w:hAnsiTheme="minorHAnsi" w:cstheme="minorHAnsi"/>
                <w:b/>
              </w:rPr>
            </w:pPr>
            <w:r w:rsidRPr="003750C2">
              <w:rPr>
                <w:rFonts w:cstheme="minorHAnsi"/>
                <w:b/>
              </w:rPr>
              <w:t>Any Bleeding Event to Day 9 (N(%))</w:t>
            </w:r>
          </w:p>
        </w:tc>
        <w:tc>
          <w:tcPr>
            <w:tcW w:w="1164" w:type="pct"/>
            <w:vAlign w:val="center"/>
          </w:tcPr>
          <w:p w:rsidR="003A369B" w:rsidRPr="003750C2" w:rsidRDefault="003A369B" w:rsidP="00EB5A53">
            <w:pPr>
              <w:keepNext/>
              <w:spacing w:after="0" w:line="240" w:lineRule="auto"/>
              <w:rPr>
                <w:rFonts w:asciiTheme="minorHAnsi" w:hAnsiTheme="minorHAnsi" w:cstheme="minorHAnsi"/>
                <w:b/>
              </w:rPr>
            </w:pPr>
            <w:r w:rsidRPr="003750C2">
              <w:rPr>
                <w:rFonts w:cstheme="minorHAnsi"/>
                <w:b/>
              </w:rPr>
              <w:t>Fondaparinux</w:t>
            </w:r>
            <w:r w:rsidRPr="003750C2">
              <w:rPr>
                <w:rFonts w:cstheme="minorHAnsi"/>
                <w:b/>
              </w:rPr>
              <w:br/>
              <w:t>N=9,979</w:t>
            </w:r>
          </w:p>
        </w:tc>
        <w:tc>
          <w:tcPr>
            <w:tcW w:w="1270" w:type="pct"/>
            <w:vAlign w:val="center"/>
          </w:tcPr>
          <w:p w:rsidR="003A369B" w:rsidRPr="003750C2" w:rsidRDefault="003A369B" w:rsidP="00EB5A53">
            <w:pPr>
              <w:keepNext/>
              <w:spacing w:after="0" w:line="240" w:lineRule="auto"/>
              <w:rPr>
                <w:rFonts w:asciiTheme="minorHAnsi" w:hAnsiTheme="minorHAnsi" w:cstheme="minorHAnsi"/>
                <w:b/>
              </w:rPr>
            </w:pPr>
            <w:r w:rsidRPr="003750C2">
              <w:rPr>
                <w:rFonts w:cstheme="minorHAnsi"/>
                <w:b/>
              </w:rPr>
              <w:t>Enoxaparin</w:t>
            </w:r>
            <w:r w:rsidRPr="003750C2">
              <w:rPr>
                <w:rFonts w:cstheme="minorHAnsi"/>
                <w:b/>
              </w:rPr>
              <w:br/>
              <w:t>N=9,969</w:t>
            </w:r>
          </w:p>
        </w:tc>
      </w:tr>
      <w:tr w:rsidR="003A369B" w:rsidRPr="003750C2" w:rsidTr="00EB5A53">
        <w:trPr>
          <w:trHeight w:val="202"/>
          <w:jc w:val="center"/>
        </w:trPr>
        <w:tc>
          <w:tcPr>
            <w:tcW w:w="2566" w:type="pct"/>
          </w:tcPr>
          <w:p w:rsidR="003A369B" w:rsidRPr="003750C2" w:rsidRDefault="003A369B" w:rsidP="00EB5A53">
            <w:pPr>
              <w:keepNext/>
              <w:spacing w:after="0" w:line="240" w:lineRule="auto"/>
              <w:rPr>
                <w:rFonts w:asciiTheme="minorHAnsi" w:hAnsiTheme="minorHAnsi" w:cstheme="minorHAnsi"/>
                <w:b/>
              </w:rPr>
            </w:pPr>
            <w:r w:rsidRPr="003750C2">
              <w:rPr>
                <w:rFonts w:cstheme="minorHAnsi"/>
                <w:b/>
              </w:rPr>
              <w:t>Any Bleeding (Major or Minor Bleeding)</w:t>
            </w:r>
          </w:p>
        </w:tc>
        <w:tc>
          <w:tcPr>
            <w:tcW w:w="1164" w:type="pct"/>
          </w:tcPr>
          <w:p w:rsidR="003A369B" w:rsidRPr="003750C2" w:rsidRDefault="003A369B" w:rsidP="00EB5A53">
            <w:pPr>
              <w:keepNext/>
              <w:spacing w:after="0" w:line="240" w:lineRule="auto"/>
              <w:rPr>
                <w:rFonts w:asciiTheme="minorHAnsi" w:hAnsiTheme="minorHAnsi" w:cstheme="minorHAnsi"/>
                <w:b/>
              </w:rPr>
            </w:pPr>
            <w:r w:rsidRPr="003750C2">
              <w:rPr>
                <w:rFonts w:cstheme="minorHAnsi"/>
                <w:b/>
              </w:rPr>
              <w:t>314 (3.1%)</w:t>
            </w:r>
          </w:p>
        </w:tc>
        <w:tc>
          <w:tcPr>
            <w:tcW w:w="1270" w:type="pct"/>
          </w:tcPr>
          <w:p w:rsidR="003A369B" w:rsidRPr="003750C2" w:rsidRDefault="003A369B" w:rsidP="00EB5A53">
            <w:pPr>
              <w:keepNext/>
              <w:spacing w:after="0" w:line="240" w:lineRule="auto"/>
              <w:rPr>
                <w:rFonts w:asciiTheme="minorHAnsi" w:hAnsiTheme="minorHAnsi" w:cstheme="minorHAnsi"/>
                <w:b/>
              </w:rPr>
            </w:pPr>
            <w:r w:rsidRPr="003750C2">
              <w:rPr>
                <w:rFonts w:cstheme="minorHAnsi"/>
                <w:b/>
              </w:rPr>
              <w:t>721 (7.2%)</w:t>
            </w:r>
          </w:p>
        </w:tc>
      </w:tr>
      <w:tr w:rsidR="003A369B" w:rsidRPr="003750C2" w:rsidTr="00EB5A53">
        <w:trPr>
          <w:trHeight w:val="157"/>
          <w:jc w:val="center"/>
        </w:trPr>
        <w:tc>
          <w:tcPr>
            <w:tcW w:w="2566" w:type="pct"/>
          </w:tcPr>
          <w:p w:rsidR="003A369B" w:rsidRPr="003750C2" w:rsidRDefault="003A369B" w:rsidP="00EB5A53">
            <w:pPr>
              <w:keepNext/>
              <w:spacing w:after="0" w:line="240" w:lineRule="auto"/>
              <w:rPr>
                <w:rFonts w:asciiTheme="minorHAnsi" w:hAnsiTheme="minorHAnsi" w:cstheme="minorHAnsi"/>
              </w:rPr>
            </w:pPr>
            <w:r w:rsidRPr="003750C2">
              <w:rPr>
                <w:rFonts w:cstheme="minorHAnsi"/>
              </w:rPr>
              <w:t>Major Bleeding</w:t>
            </w:r>
          </w:p>
        </w:tc>
        <w:tc>
          <w:tcPr>
            <w:tcW w:w="1164" w:type="pct"/>
          </w:tcPr>
          <w:p w:rsidR="003A369B" w:rsidRPr="003750C2" w:rsidRDefault="003A369B" w:rsidP="00EB5A53">
            <w:pPr>
              <w:keepNext/>
              <w:spacing w:after="0" w:line="240" w:lineRule="auto"/>
              <w:rPr>
                <w:rFonts w:asciiTheme="minorHAnsi" w:hAnsiTheme="minorHAnsi" w:cstheme="minorHAnsi"/>
              </w:rPr>
            </w:pPr>
            <w:r w:rsidRPr="003750C2">
              <w:rPr>
                <w:rFonts w:cstheme="minorHAnsi"/>
              </w:rPr>
              <w:t>205 (2.1%)</w:t>
            </w:r>
          </w:p>
        </w:tc>
        <w:tc>
          <w:tcPr>
            <w:tcW w:w="1270" w:type="pct"/>
          </w:tcPr>
          <w:p w:rsidR="003A369B" w:rsidRPr="003750C2" w:rsidRDefault="003A369B" w:rsidP="00EB5A53">
            <w:pPr>
              <w:keepNext/>
              <w:spacing w:after="0" w:line="240" w:lineRule="auto"/>
              <w:rPr>
                <w:rFonts w:asciiTheme="minorHAnsi" w:hAnsiTheme="minorHAnsi" w:cstheme="minorHAnsi"/>
              </w:rPr>
            </w:pPr>
            <w:r w:rsidRPr="003750C2">
              <w:rPr>
                <w:rFonts w:cstheme="minorHAnsi"/>
              </w:rPr>
              <w:t>410 (4.1%)</w:t>
            </w:r>
          </w:p>
        </w:tc>
      </w:tr>
      <w:tr w:rsidR="003A369B" w:rsidRPr="003750C2" w:rsidTr="00EB5A53">
        <w:trPr>
          <w:trHeight w:val="202"/>
          <w:jc w:val="center"/>
        </w:trPr>
        <w:tc>
          <w:tcPr>
            <w:tcW w:w="2566" w:type="pct"/>
            <w:tcBorders>
              <w:bottom w:val="single" w:sz="4" w:space="0" w:color="auto"/>
            </w:tcBorders>
          </w:tcPr>
          <w:p w:rsidR="003A369B" w:rsidRPr="003750C2" w:rsidRDefault="003A369B" w:rsidP="00EB5A53">
            <w:pPr>
              <w:keepNext/>
              <w:spacing w:after="0" w:line="240" w:lineRule="auto"/>
              <w:rPr>
                <w:rFonts w:asciiTheme="minorHAnsi" w:hAnsiTheme="minorHAnsi" w:cstheme="minorHAnsi"/>
              </w:rPr>
            </w:pPr>
            <w:r w:rsidRPr="003750C2">
              <w:rPr>
                <w:rFonts w:cstheme="minorHAnsi"/>
              </w:rPr>
              <w:t>Minor Bleeding</w:t>
            </w:r>
          </w:p>
        </w:tc>
        <w:tc>
          <w:tcPr>
            <w:tcW w:w="1164" w:type="pct"/>
            <w:tcBorders>
              <w:bottom w:val="single" w:sz="4" w:space="0" w:color="auto"/>
            </w:tcBorders>
          </w:tcPr>
          <w:p w:rsidR="003A369B" w:rsidRPr="003750C2" w:rsidRDefault="003A369B" w:rsidP="00EB5A53">
            <w:pPr>
              <w:keepNext/>
              <w:spacing w:after="0" w:line="240" w:lineRule="auto"/>
              <w:rPr>
                <w:rFonts w:asciiTheme="minorHAnsi" w:hAnsiTheme="minorHAnsi" w:cstheme="minorHAnsi"/>
              </w:rPr>
            </w:pPr>
            <w:r w:rsidRPr="003750C2">
              <w:rPr>
                <w:rFonts w:cstheme="minorHAnsi"/>
              </w:rPr>
              <w:t>115 (1.2%)</w:t>
            </w:r>
          </w:p>
        </w:tc>
        <w:tc>
          <w:tcPr>
            <w:tcW w:w="1270" w:type="pct"/>
            <w:tcBorders>
              <w:bottom w:val="single" w:sz="4" w:space="0" w:color="auto"/>
            </w:tcBorders>
          </w:tcPr>
          <w:p w:rsidR="003A369B" w:rsidRPr="003750C2" w:rsidRDefault="003A369B" w:rsidP="00EB5A53">
            <w:pPr>
              <w:keepNext/>
              <w:spacing w:after="0" w:line="240" w:lineRule="auto"/>
              <w:rPr>
                <w:rFonts w:asciiTheme="minorHAnsi" w:hAnsiTheme="minorHAnsi" w:cstheme="minorHAnsi"/>
              </w:rPr>
            </w:pPr>
            <w:r w:rsidRPr="003750C2">
              <w:rPr>
                <w:rFonts w:cstheme="minorHAnsi"/>
              </w:rPr>
              <w:t>320 (3.2%)</w:t>
            </w:r>
          </w:p>
        </w:tc>
      </w:tr>
      <w:tr w:rsidR="003A369B" w:rsidRPr="003750C2" w:rsidTr="00EB5A53">
        <w:trPr>
          <w:trHeight w:val="70"/>
          <w:jc w:val="center"/>
        </w:trPr>
        <w:tc>
          <w:tcPr>
            <w:tcW w:w="2566" w:type="pct"/>
            <w:tcBorders>
              <w:bottom w:val="single" w:sz="4" w:space="0" w:color="auto"/>
            </w:tcBorders>
          </w:tcPr>
          <w:p w:rsidR="003A369B" w:rsidRPr="003750C2" w:rsidRDefault="003A369B" w:rsidP="00EB5A53">
            <w:pPr>
              <w:keepNext/>
              <w:spacing w:after="0" w:line="240" w:lineRule="auto"/>
              <w:rPr>
                <w:rFonts w:asciiTheme="minorHAnsi" w:hAnsiTheme="minorHAnsi" w:cstheme="minorHAnsi"/>
              </w:rPr>
            </w:pPr>
            <w:r w:rsidRPr="003750C2">
              <w:rPr>
                <w:rFonts w:cstheme="minorHAnsi"/>
              </w:rPr>
              <w:t>TIMI severe haemorrhage</w:t>
            </w:r>
          </w:p>
        </w:tc>
        <w:tc>
          <w:tcPr>
            <w:tcW w:w="1164" w:type="pct"/>
            <w:tcBorders>
              <w:bottom w:val="single" w:sz="4" w:space="0" w:color="auto"/>
            </w:tcBorders>
          </w:tcPr>
          <w:p w:rsidR="003A369B" w:rsidRPr="003750C2" w:rsidRDefault="003A369B" w:rsidP="00EB5A53">
            <w:pPr>
              <w:keepNext/>
              <w:spacing w:after="0" w:line="240" w:lineRule="auto"/>
              <w:rPr>
                <w:rFonts w:asciiTheme="minorHAnsi" w:hAnsiTheme="minorHAnsi" w:cstheme="minorHAnsi"/>
              </w:rPr>
            </w:pPr>
            <w:r w:rsidRPr="003750C2">
              <w:rPr>
                <w:rFonts w:cstheme="minorHAnsi"/>
              </w:rPr>
              <w:t>148 (1.5%)</w:t>
            </w:r>
          </w:p>
        </w:tc>
        <w:tc>
          <w:tcPr>
            <w:tcW w:w="1270" w:type="pct"/>
            <w:tcBorders>
              <w:bottom w:val="single" w:sz="4" w:space="0" w:color="auto"/>
            </w:tcBorders>
          </w:tcPr>
          <w:p w:rsidR="003A369B" w:rsidRPr="003750C2" w:rsidRDefault="003A369B" w:rsidP="00EB5A53">
            <w:pPr>
              <w:keepNext/>
              <w:spacing w:after="0" w:line="240" w:lineRule="auto"/>
              <w:rPr>
                <w:rFonts w:asciiTheme="minorHAnsi" w:hAnsiTheme="minorHAnsi" w:cstheme="minorHAnsi"/>
              </w:rPr>
            </w:pPr>
            <w:r w:rsidRPr="003750C2">
              <w:rPr>
                <w:rFonts w:cstheme="minorHAnsi"/>
              </w:rPr>
              <w:t>260 (2.6%)</w:t>
            </w:r>
          </w:p>
        </w:tc>
      </w:tr>
    </w:tbl>
    <w:p w:rsidR="003A369B" w:rsidRPr="000F5095" w:rsidRDefault="003A369B" w:rsidP="003A369B">
      <w:pPr>
        <w:keepNext/>
        <w:keepLines/>
        <w:spacing w:after="120" w:line="240" w:lineRule="auto"/>
        <w:jc w:val="both"/>
        <w:rPr>
          <w:rFonts w:eastAsia="Times New Roman" w:cstheme="minorHAnsi"/>
          <w:sz w:val="20"/>
          <w:szCs w:val="20"/>
          <w:lang w:val="en-CA"/>
        </w:rPr>
      </w:pPr>
    </w:p>
    <w:p w:rsidR="00197C0C" w:rsidRDefault="003A369B" w:rsidP="00EB5A53">
      <w:pPr>
        <w:keepNext/>
        <w:keepLines/>
        <w:spacing w:after="0" w:line="240" w:lineRule="auto"/>
        <w:jc w:val="both"/>
        <w:rPr>
          <w:rFonts w:eastAsia="Times New Roman" w:cstheme="minorHAnsi"/>
          <w:lang w:val="en-CA"/>
        </w:rPr>
      </w:pPr>
      <w:r w:rsidRPr="000F5095">
        <w:rPr>
          <w:rFonts w:eastAsia="Times New Roman" w:cstheme="minorHAnsi"/>
          <w:lang w:val="en-CA"/>
        </w:rPr>
        <w:t>The incidence of adjudicated severe haemorrhage by modified thrombolysis in myocardial infarction (TIMI) criteria was 1.1% (fondaparinux) versus 1.4% (control [UFH/placebo]) up to and including Day 9 in the Phase III STEMI study</w:t>
      </w:r>
      <w:r>
        <w:rPr>
          <w:rFonts w:eastAsia="Times New Roman" w:cstheme="minorHAnsi"/>
          <w:lang w:val="en-CA"/>
        </w:rPr>
        <w:t xml:space="preserve"> (Table 8</w:t>
      </w:r>
      <w:r w:rsidR="002F2F84">
        <w:rPr>
          <w:rFonts w:eastAsia="Times New Roman" w:cstheme="minorHAnsi"/>
          <w:lang w:val="en-CA"/>
        </w:rPr>
        <w:t>).</w:t>
      </w:r>
    </w:p>
    <w:p w:rsidR="00CE0EF5" w:rsidRDefault="00CE0EF5" w:rsidP="00EB5A53">
      <w:pPr>
        <w:keepNext/>
        <w:keepLines/>
        <w:spacing w:after="0" w:line="240" w:lineRule="auto"/>
        <w:jc w:val="both"/>
        <w:rPr>
          <w:rFonts w:eastAsia="Times New Roman" w:cstheme="minorHAnsi"/>
          <w:lang w:val="en-CA"/>
        </w:rPr>
      </w:pPr>
    </w:p>
    <w:p w:rsidR="002F2F84" w:rsidRPr="008F39EF" w:rsidRDefault="002F2F84" w:rsidP="00EB5A53">
      <w:pPr>
        <w:keepNext/>
        <w:keepLines/>
        <w:spacing w:after="0" w:line="240" w:lineRule="auto"/>
        <w:jc w:val="both"/>
        <w:rPr>
          <w:rFonts w:eastAsia="Times New Roman" w:cstheme="minorHAnsi"/>
          <w:b/>
          <w:bCs/>
          <w:sz w:val="20"/>
          <w:szCs w:val="20"/>
          <w:lang w:val="en-US"/>
        </w:rPr>
      </w:pPr>
      <w:r w:rsidRPr="008F39EF">
        <w:rPr>
          <w:rFonts w:eastAsia="Times New Roman" w:cstheme="minorHAnsi"/>
          <w:b/>
          <w:bCs/>
          <w:sz w:val="20"/>
          <w:szCs w:val="20"/>
          <w:lang w:val="en-US"/>
        </w:rPr>
        <w:t>Table 8: Bleeding Events Occurring in STEMI Patients Treated With Fondaparinux or Enoxaparin (OASIS 6)</w:t>
      </w:r>
    </w:p>
    <w:tbl>
      <w:tblPr>
        <w:tblStyle w:val="TableGrid"/>
        <w:tblW w:w="5424" w:type="pct"/>
        <w:tblLayout w:type="fixed"/>
        <w:tblLook w:val="04A0" w:firstRow="1" w:lastRow="0" w:firstColumn="1" w:lastColumn="0" w:noHBand="0" w:noVBand="1"/>
      </w:tblPr>
      <w:tblGrid>
        <w:gridCol w:w="2366"/>
        <w:gridCol w:w="1456"/>
        <w:gridCol w:w="1312"/>
        <w:gridCol w:w="1464"/>
        <w:gridCol w:w="1173"/>
        <w:gridCol w:w="1466"/>
        <w:gridCol w:w="1312"/>
      </w:tblGrid>
      <w:tr w:rsidR="002F2F84" w:rsidRPr="008F39EF" w:rsidTr="002F2F84">
        <w:tc>
          <w:tcPr>
            <w:tcW w:w="1121" w:type="pct"/>
            <w:vMerge w:val="restart"/>
            <w:vAlign w:val="center"/>
          </w:tcPr>
          <w:p w:rsidR="002F2F84" w:rsidRPr="008F39EF" w:rsidRDefault="002F2F84" w:rsidP="002F2F84">
            <w:pPr>
              <w:keepNext/>
              <w:spacing w:after="0" w:line="240" w:lineRule="auto"/>
              <w:rPr>
                <w:rFonts w:asciiTheme="minorHAnsi" w:hAnsiTheme="minorHAnsi" w:cstheme="minorHAnsi"/>
              </w:rPr>
            </w:pPr>
            <w:r w:rsidRPr="008F39EF">
              <w:rPr>
                <w:rFonts w:asciiTheme="minorHAnsi" w:hAnsiTheme="minorHAnsi" w:cstheme="minorHAnsi"/>
                <w:b/>
              </w:rPr>
              <w:t>Any Bleeding Event to Day 9 (N(%))</w:t>
            </w:r>
          </w:p>
        </w:tc>
        <w:tc>
          <w:tcPr>
            <w:tcW w:w="1312" w:type="pct"/>
            <w:gridSpan w:val="2"/>
            <w:vAlign w:val="center"/>
          </w:tcPr>
          <w:p w:rsidR="002F2F84" w:rsidRPr="008F39EF" w:rsidRDefault="002F2F84" w:rsidP="002F2F84">
            <w:pPr>
              <w:keepNext/>
              <w:spacing w:after="0" w:line="240" w:lineRule="auto"/>
              <w:rPr>
                <w:rFonts w:asciiTheme="minorHAnsi" w:hAnsiTheme="minorHAnsi" w:cstheme="minorHAnsi"/>
              </w:rPr>
            </w:pPr>
            <w:r w:rsidRPr="008F39EF">
              <w:rPr>
                <w:rFonts w:asciiTheme="minorHAnsi" w:hAnsiTheme="minorHAnsi" w:cstheme="minorHAnsi"/>
                <w:b/>
              </w:rPr>
              <w:t>Overall</w:t>
            </w:r>
          </w:p>
        </w:tc>
        <w:tc>
          <w:tcPr>
            <w:tcW w:w="1250" w:type="pct"/>
            <w:gridSpan w:val="2"/>
            <w:vAlign w:val="center"/>
          </w:tcPr>
          <w:p w:rsidR="002F2F84" w:rsidRPr="008F39EF" w:rsidRDefault="002F2F84" w:rsidP="002F2F84">
            <w:pPr>
              <w:keepNext/>
              <w:spacing w:after="0" w:line="240" w:lineRule="auto"/>
              <w:rPr>
                <w:rFonts w:asciiTheme="minorHAnsi" w:hAnsiTheme="minorHAnsi" w:cstheme="minorHAnsi"/>
              </w:rPr>
            </w:pPr>
            <w:r w:rsidRPr="008F39EF">
              <w:rPr>
                <w:rFonts w:asciiTheme="minorHAnsi" w:hAnsiTheme="minorHAnsi" w:cstheme="minorHAnsi"/>
                <w:b/>
              </w:rPr>
              <w:t>Stratum 1</w:t>
            </w:r>
          </w:p>
        </w:tc>
        <w:tc>
          <w:tcPr>
            <w:tcW w:w="1317" w:type="pct"/>
            <w:gridSpan w:val="2"/>
            <w:vAlign w:val="center"/>
          </w:tcPr>
          <w:p w:rsidR="002F2F84" w:rsidRPr="008F39EF" w:rsidRDefault="002F2F84" w:rsidP="002F2F84">
            <w:pPr>
              <w:keepNext/>
              <w:spacing w:after="0" w:line="240" w:lineRule="auto"/>
              <w:rPr>
                <w:rFonts w:asciiTheme="minorHAnsi" w:hAnsiTheme="minorHAnsi" w:cstheme="minorHAnsi"/>
              </w:rPr>
            </w:pPr>
            <w:r w:rsidRPr="008F39EF">
              <w:rPr>
                <w:rFonts w:asciiTheme="minorHAnsi" w:hAnsiTheme="minorHAnsi" w:cstheme="minorHAnsi"/>
                <w:b/>
              </w:rPr>
              <w:t>Stratum 2</w:t>
            </w:r>
          </w:p>
        </w:tc>
      </w:tr>
      <w:tr w:rsidR="002F2F84" w:rsidRPr="008F39EF" w:rsidTr="002F2F84">
        <w:tc>
          <w:tcPr>
            <w:tcW w:w="1121" w:type="pct"/>
            <w:vMerge/>
            <w:vAlign w:val="center"/>
          </w:tcPr>
          <w:p w:rsidR="002F2F84" w:rsidRPr="008F39EF" w:rsidRDefault="002F2F84" w:rsidP="002F2F84">
            <w:pPr>
              <w:keepNext/>
              <w:spacing w:after="0" w:line="240" w:lineRule="auto"/>
              <w:rPr>
                <w:rFonts w:asciiTheme="minorHAnsi" w:hAnsiTheme="minorHAnsi" w:cstheme="minorHAnsi"/>
                <w:b/>
              </w:rPr>
            </w:pPr>
          </w:p>
        </w:tc>
        <w:tc>
          <w:tcPr>
            <w:tcW w:w="690" w:type="pct"/>
            <w:vAlign w:val="center"/>
          </w:tcPr>
          <w:p w:rsidR="002F2F84" w:rsidRPr="008F39EF" w:rsidRDefault="002F2F84" w:rsidP="002F2F84">
            <w:pPr>
              <w:keepNext/>
              <w:spacing w:after="0" w:line="240" w:lineRule="auto"/>
              <w:rPr>
                <w:rFonts w:asciiTheme="minorHAnsi" w:hAnsiTheme="minorHAnsi" w:cstheme="minorHAnsi"/>
                <w:b/>
              </w:rPr>
            </w:pPr>
            <w:r w:rsidRPr="008F39EF">
              <w:rPr>
                <w:rFonts w:asciiTheme="minorHAnsi" w:hAnsiTheme="minorHAnsi" w:cstheme="minorHAnsi"/>
                <w:b/>
              </w:rPr>
              <w:t>Fondaparinux</w:t>
            </w:r>
            <w:r w:rsidRPr="008F39EF">
              <w:rPr>
                <w:rFonts w:asciiTheme="minorHAnsi" w:hAnsiTheme="minorHAnsi" w:cstheme="minorHAnsi"/>
                <w:b/>
              </w:rPr>
              <w:br/>
              <w:t>N=5,954</w:t>
            </w:r>
          </w:p>
        </w:tc>
        <w:tc>
          <w:tcPr>
            <w:tcW w:w="622" w:type="pct"/>
            <w:vAlign w:val="center"/>
          </w:tcPr>
          <w:p w:rsidR="002F2F84" w:rsidRPr="008F39EF" w:rsidRDefault="002F2F84" w:rsidP="002F2F84">
            <w:pPr>
              <w:keepNext/>
              <w:spacing w:after="0" w:line="240" w:lineRule="auto"/>
              <w:rPr>
                <w:rFonts w:asciiTheme="minorHAnsi" w:hAnsiTheme="minorHAnsi" w:cstheme="minorHAnsi"/>
                <w:b/>
              </w:rPr>
            </w:pPr>
            <w:r w:rsidRPr="008F39EF">
              <w:rPr>
                <w:rFonts w:asciiTheme="minorHAnsi" w:hAnsiTheme="minorHAnsi" w:cstheme="minorHAnsi"/>
                <w:b/>
              </w:rPr>
              <w:t>Control</w:t>
            </w:r>
            <w:r w:rsidRPr="008F39EF">
              <w:rPr>
                <w:rFonts w:asciiTheme="minorHAnsi" w:hAnsiTheme="minorHAnsi" w:cstheme="minorHAnsi"/>
                <w:b/>
              </w:rPr>
              <w:br/>
              <w:t>N=5,947</w:t>
            </w:r>
          </w:p>
        </w:tc>
        <w:tc>
          <w:tcPr>
            <w:tcW w:w="694" w:type="pct"/>
            <w:vAlign w:val="center"/>
          </w:tcPr>
          <w:p w:rsidR="002F2F84" w:rsidRPr="008F39EF" w:rsidRDefault="002F2F84" w:rsidP="002F2F84">
            <w:pPr>
              <w:keepNext/>
              <w:spacing w:after="0" w:line="240" w:lineRule="auto"/>
              <w:rPr>
                <w:rFonts w:asciiTheme="minorHAnsi" w:hAnsiTheme="minorHAnsi" w:cstheme="minorHAnsi"/>
                <w:b/>
              </w:rPr>
            </w:pPr>
            <w:r w:rsidRPr="008F39EF">
              <w:rPr>
                <w:rFonts w:asciiTheme="minorHAnsi" w:hAnsiTheme="minorHAnsi" w:cstheme="minorHAnsi"/>
                <w:b/>
              </w:rPr>
              <w:t>Fondaparinux</w:t>
            </w:r>
            <w:r w:rsidRPr="008F39EF">
              <w:rPr>
                <w:rFonts w:asciiTheme="minorHAnsi" w:hAnsiTheme="minorHAnsi" w:cstheme="minorHAnsi"/>
                <w:b/>
              </w:rPr>
              <w:br/>
              <w:t>N=2,808</w:t>
            </w:r>
          </w:p>
        </w:tc>
        <w:tc>
          <w:tcPr>
            <w:tcW w:w="556" w:type="pct"/>
            <w:vAlign w:val="center"/>
          </w:tcPr>
          <w:p w:rsidR="002F2F84" w:rsidRPr="008F39EF" w:rsidRDefault="002F2F84" w:rsidP="002F2F84">
            <w:pPr>
              <w:keepNext/>
              <w:spacing w:after="0" w:line="240" w:lineRule="auto"/>
              <w:rPr>
                <w:rFonts w:asciiTheme="minorHAnsi" w:hAnsiTheme="minorHAnsi" w:cstheme="minorHAnsi"/>
                <w:b/>
              </w:rPr>
            </w:pPr>
            <w:r w:rsidRPr="008F39EF">
              <w:rPr>
                <w:rFonts w:asciiTheme="minorHAnsi" w:hAnsiTheme="minorHAnsi" w:cstheme="minorHAnsi"/>
                <w:b/>
              </w:rPr>
              <w:t>Placebo</w:t>
            </w:r>
            <w:r w:rsidRPr="008F39EF">
              <w:rPr>
                <w:rFonts w:asciiTheme="minorHAnsi" w:hAnsiTheme="minorHAnsi" w:cstheme="minorHAnsi"/>
                <w:b/>
              </w:rPr>
              <w:br/>
              <w:t>N=2,818</w:t>
            </w:r>
          </w:p>
        </w:tc>
        <w:tc>
          <w:tcPr>
            <w:tcW w:w="695" w:type="pct"/>
            <w:vAlign w:val="center"/>
          </w:tcPr>
          <w:p w:rsidR="002F2F84" w:rsidRPr="008F39EF" w:rsidRDefault="002F2F84" w:rsidP="002F2F84">
            <w:pPr>
              <w:keepNext/>
              <w:spacing w:after="0" w:line="240" w:lineRule="auto"/>
              <w:rPr>
                <w:rFonts w:asciiTheme="minorHAnsi" w:hAnsiTheme="minorHAnsi" w:cstheme="minorHAnsi"/>
                <w:b/>
              </w:rPr>
            </w:pPr>
            <w:r w:rsidRPr="008F39EF">
              <w:rPr>
                <w:rFonts w:asciiTheme="minorHAnsi" w:hAnsiTheme="minorHAnsi" w:cstheme="minorHAnsi"/>
                <w:b/>
              </w:rPr>
              <w:t>Fondaparinux</w:t>
            </w:r>
            <w:r w:rsidRPr="008F39EF">
              <w:rPr>
                <w:rFonts w:asciiTheme="minorHAnsi" w:hAnsiTheme="minorHAnsi" w:cstheme="minorHAnsi"/>
                <w:b/>
              </w:rPr>
              <w:br/>
              <w:t>N=3,146</w:t>
            </w:r>
          </w:p>
        </w:tc>
        <w:tc>
          <w:tcPr>
            <w:tcW w:w="622" w:type="pct"/>
            <w:vAlign w:val="center"/>
          </w:tcPr>
          <w:p w:rsidR="002F2F84" w:rsidRPr="008F39EF" w:rsidRDefault="002F2F84" w:rsidP="002F2F84">
            <w:pPr>
              <w:keepNext/>
              <w:spacing w:after="0" w:line="240" w:lineRule="auto"/>
              <w:rPr>
                <w:rFonts w:asciiTheme="minorHAnsi" w:hAnsiTheme="minorHAnsi" w:cstheme="minorHAnsi"/>
                <w:b/>
              </w:rPr>
            </w:pPr>
            <w:r w:rsidRPr="008F39EF">
              <w:rPr>
                <w:rFonts w:asciiTheme="minorHAnsi" w:hAnsiTheme="minorHAnsi" w:cstheme="minorHAnsi"/>
                <w:b/>
              </w:rPr>
              <w:t>UFH</w:t>
            </w:r>
            <w:r w:rsidRPr="008F39EF">
              <w:rPr>
                <w:rFonts w:asciiTheme="minorHAnsi" w:hAnsiTheme="minorHAnsi" w:cstheme="minorHAnsi"/>
                <w:b/>
              </w:rPr>
              <w:br/>
              <w:t>N=3,129</w:t>
            </w:r>
          </w:p>
        </w:tc>
      </w:tr>
      <w:tr w:rsidR="002F2F84" w:rsidRPr="008F39EF" w:rsidTr="002F2F84">
        <w:tc>
          <w:tcPr>
            <w:tcW w:w="1121" w:type="pct"/>
          </w:tcPr>
          <w:p w:rsidR="002F2F84" w:rsidRPr="008F39EF" w:rsidRDefault="002F2F84" w:rsidP="002F2F84">
            <w:pPr>
              <w:keepNext/>
              <w:spacing w:after="0" w:line="240" w:lineRule="auto"/>
              <w:rPr>
                <w:rFonts w:asciiTheme="minorHAnsi" w:hAnsiTheme="minorHAnsi" w:cstheme="minorHAnsi"/>
              </w:rPr>
            </w:pPr>
            <w:r w:rsidRPr="008F39EF">
              <w:rPr>
                <w:rFonts w:asciiTheme="minorHAnsi" w:hAnsiTheme="minorHAnsi" w:cstheme="minorHAnsi"/>
              </w:rPr>
              <w:t>TIMI severe haemorrhage</w:t>
            </w:r>
          </w:p>
        </w:tc>
        <w:tc>
          <w:tcPr>
            <w:tcW w:w="690" w:type="pct"/>
          </w:tcPr>
          <w:p w:rsidR="002F2F84" w:rsidRPr="008F39EF" w:rsidRDefault="002F2F84" w:rsidP="002F2F84">
            <w:pPr>
              <w:keepNext/>
              <w:spacing w:after="0" w:line="240" w:lineRule="auto"/>
              <w:rPr>
                <w:rFonts w:asciiTheme="minorHAnsi" w:hAnsiTheme="minorHAnsi" w:cstheme="minorHAnsi"/>
              </w:rPr>
            </w:pPr>
            <w:r w:rsidRPr="008F39EF">
              <w:rPr>
                <w:rFonts w:asciiTheme="minorHAnsi" w:hAnsiTheme="minorHAnsi" w:cstheme="minorHAnsi"/>
              </w:rPr>
              <w:t>64 (1.1%)</w:t>
            </w:r>
          </w:p>
        </w:tc>
        <w:tc>
          <w:tcPr>
            <w:tcW w:w="622" w:type="pct"/>
          </w:tcPr>
          <w:p w:rsidR="002F2F84" w:rsidRPr="008F39EF" w:rsidRDefault="002F2F84" w:rsidP="002F2F84">
            <w:pPr>
              <w:keepNext/>
              <w:spacing w:after="0" w:line="240" w:lineRule="auto"/>
              <w:rPr>
                <w:rFonts w:asciiTheme="minorHAnsi" w:hAnsiTheme="minorHAnsi" w:cstheme="minorHAnsi"/>
              </w:rPr>
            </w:pPr>
            <w:r w:rsidRPr="008F39EF">
              <w:rPr>
                <w:rFonts w:asciiTheme="minorHAnsi" w:hAnsiTheme="minorHAnsi" w:cstheme="minorHAnsi"/>
              </w:rPr>
              <w:t>83 (1.4%)</w:t>
            </w:r>
          </w:p>
        </w:tc>
        <w:tc>
          <w:tcPr>
            <w:tcW w:w="694" w:type="pct"/>
          </w:tcPr>
          <w:p w:rsidR="002F2F84" w:rsidRPr="008F39EF" w:rsidRDefault="002F2F84" w:rsidP="002F2F84">
            <w:pPr>
              <w:keepNext/>
              <w:spacing w:after="0" w:line="240" w:lineRule="auto"/>
              <w:rPr>
                <w:rFonts w:asciiTheme="minorHAnsi" w:hAnsiTheme="minorHAnsi" w:cstheme="minorHAnsi"/>
              </w:rPr>
            </w:pPr>
            <w:r w:rsidRPr="008F39EF">
              <w:rPr>
                <w:rFonts w:asciiTheme="minorHAnsi" w:hAnsiTheme="minorHAnsi" w:cstheme="minorHAnsi"/>
              </w:rPr>
              <w:t>28 (1.0%)</w:t>
            </w:r>
          </w:p>
        </w:tc>
        <w:tc>
          <w:tcPr>
            <w:tcW w:w="556" w:type="pct"/>
          </w:tcPr>
          <w:p w:rsidR="002F2F84" w:rsidRPr="008F39EF" w:rsidRDefault="002F2F84" w:rsidP="002F2F84">
            <w:pPr>
              <w:keepNext/>
              <w:spacing w:after="0" w:line="240" w:lineRule="auto"/>
              <w:rPr>
                <w:rFonts w:asciiTheme="minorHAnsi" w:hAnsiTheme="minorHAnsi" w:cstheme="minorHAnsi"/>
              </w:rPr>
            </w:pPr>
            <w:r w:rsidRPr="008F39EF">
              <w:rPr>
                <w:rFonts w:asciiTheme="minorHAnsi" w:hAnsiTheme="minorHAnsi" w:cstheme="minorHAnsi"/>
              </w:rPr>
              <w:t>46 (1.6%)</w:t>
            </w:r>
          </w:p>
        </w:tc>
        <w:tc>
          <w:tcPr>
            <w:tcW w:w="695" w:type="pct"/>
          </w:tcPr>
          <w:p w:rsidR="002F2F84" w:rsidRPr="008F39EF" w:rsidRDefault="002F2F84" w:rsidP="002F2F84">
            <w:pPr>
              <w:keepNext/>
              <w:spacing w:after="0" w:line="240" w:lineRule="auto"/>
              <w:rPr>
                <w:rFonts w:asciiTheme="minorHAnsi" w:hAnsiTheme="minorHAnsi" w:cstheme="minorHAnsi"/>
              </w:rPr>
            </w:pPr>
            <w:r w:rsidRPr="008F39EF">
              <w:rPr>
                <w:rFonts w:asciiTheme="minorHAnsi" w:hAnsiTheme="minorHAnsi" w:cstheme="minorHAnsi"/>
              </w:rPr>
              <w:t>36 (1.1%)</w:t>
            </w:r>
          </w:p>
        </w:tc>
        <w:tc>
          <w:tcPr>
            <w:tcW w:w="622" w:type="pct"/>
          </w:tcPr>
          <w:p w:rsidR="002F2F84" w:rsidRPr="008F39EF" w:rsidRDefault="002F2F84" w:rsidP="002F2F84">
            <w:pPr>
              <w:keepNext/>
              <w:spacing w:after="0" w:line="240" w:lineRule="auto"/>
              <w:rPr>
                <w:rFonts w:asciiTheme="minorHAnsi" w:hAnsiTheme="minorHAnsi" w:cstheme="minorHAnsi"/>
              </w:rPr>
            </w:pPr>
            <w:r w:rsidRPr="008F39EF">
              <w:rPr>
                <w:rFonts w:asciiTheme="minorHAnsi" w:hAnsiTheme="minorHAnsi" w:cstheme="minorHAnsi"/>
              </w:rPr>
              <w:t>37 (1.2%)</w:t>
            </w:r>
          </w:p>
        </w:tc>
      </w:tr>
      <w:tr w:rsidR="002F2F84" w:rsidRPr="008F39EF" w:rsidTr="002F2F84">
        <w:tc>
          <w:tcPr>
            <w:tcW w:w="1121" w:type="pct"/>
          </w:tcPr>
          <w:p w:rsidR="002F2F84" w:rsidRPr="008F39EF" w:rsidRDefault="002F2F84" w:rsidP="002F2F84">
            <w:pPr>
              <w:keepNext/>
              <w:spacing w:after="0" w:line="240" w:lineRule="auto"/>
              <w:rPr>
                <w:rFonts w:asciiTheme="minorHAnsi" w:hAnsiTheme="minorHAnsi" w:cstheme="minorHAnsi"/>
              </w:rPr>
            </w:pPr>
            <w:r w:rsidRPr="008F39EF">
              <w:rPr>
                <w:rFonts w:asciiTheme="minorHAnsi" w:hAnsiTheme="minorHAnsi" w:cstheme="minorHAnsi"/>
              </w:rPr>
              <w:t>Major Bleeding</w:t>
            </w:r>
          </w:p>
        </w:tc>
        <w:tc>
          <w:tcPr>
            <w:tcW w:w="690" w:type="pct"/>
          </w:tcPr>
          <w:p w:rsidR="002F2F84" w:rsidRPr="008F39EF" w:rsidRDefault="002F2F84" w:rsidP="002F2F84">
            <w:pPr>
              <w:keepNext/>
              <w:spacing w:after="0" w:line="240" w:lineRule="auto"/>
              <w:rPr>
                <w:rFonts w:asciiTheme="minorHAnsi" w:hAnsiTheme="minorHAnsi" w:cstheme="minorHAnsi"/>
              </w:rPr>
            </w:pPr>
            <w:r w:rsidRPr="008F39EF">
              <w:rPr>
                <w:rFonts w:asciiTheme="minorHAnsi" w:hAnsiTheme="minorHAnsi" w:cstheme="minorHAnsi"/>
              </w:rPr>
              <w:t>104 (1.7%)</w:t>
            </w:r>
          </w:p>
        </w:tc>
        <w:tc>
          <w:tcPr>
            <w:tcW w:w="622" w:type="pct"/>
          </w:tcPr>
          <w:p w:rsidR="002F2F84" w:rsidRPr="008F39EF" w:rsidRDefault="002F2F84" w:rsidP="002F2F84">
            <w:pPr>
              <w:keepNext/>
              <w:spacing w:after="0" w:line="240" w:lineRule="auto"/>
              <w:rPr>
                <w:rFonts w:asciiTheme="minorHAnsi" w:hAnsiTheme="minorHAnsi" w:cstheme="minorHAnsi"/>
              </w:rPr>
            </w:pPr>
            <w:r w:rsidRPr="008F39EF">
              <w:rPr>
                <w:rFonts w:asciiTheme="minorHAnsi" w:hAnsiTheme="minorHAnsi" w:cstheme="minorHAnsi"/>
              </w:rPr>
              <w:t>131 (2.2%)</w:t>
            </w:r>
          </w:p>
        </w:tc>
        <w:tc>
          <w:tcPr>
            <w:tcW w:w="694" w:type="pct"/>
          </w:tcPr>
          <w:p w:rsidR="002F2F84" w:rsidRPr="008F39EF" w:rsidRDefault="002F2F84" w:rsidP="002F2F84">
            <w:pPr>
              <w:keepNext/>
              <w:spacing w:after="0" w:line="240" w:lineRule="auto"/>
              <w:rPr>
                <w:rFonts w:asciiTheme="minorHAnsi" w:hAnsiTheme="minorHAnsi" w:cstheme="minorHAnsi"/>
              </w:rPr>
            </w:pPr>
            <w:r w:rsidRPr="008F39EF">
              <w:rPr>
                <w:rFonts w:asciiTheme="minorHAnsi" w:hAnsiTheme="minorHAnsi" w:cstheme="minorHAnsi"/>
              </w:rPr>
              <w:t>40 (1.4%)</w:t>
            </w:r>
          </w:p>
        </w:tc>
        <w:tc>
          <w:tcPr>
            <w:tcW w:w="556" w:type="pct"/>
          </w:tcPr>
          <w:p w:rsidR="002F2F84" w:rsidRPr="008F39EF" w:rsidRDefault="002F2F84" w:rsidP="002F2F84">
            <w:pPr>
              <w:keepNext/>
              <w:spacing w:after="0" w:line="240" w:lineRule="auto"/>
              <w:rPr>
                <w:rFonts w:asciiTheme="minorHAnsi" w:hAnsiTheme="minorHAnsi" w:cstheme="minorHAnsi"/>
              </w:rPr>
            </w:pPr>
            <w:r w:rsidRPr="008F39EF">
              <w:rPr>
                <w:rFonts w:asciiTheme="minorHAnsi" w:hAnsiTheme="minorHAnsi" w:cstheme="minorHAnsi"/>
              </w:rPr>
              <w:t>61 (2.2%)</w:t>
            </w:r>
          </w:p>
        </w:tc>
        <w:tc>
          <w:tcPr>
            <w:tcW w:w="695" w:type="pct"/>
          </w:tcPr>
          <w:p w:rsidR="002F2F84" w:rsidRPr="008F39EF" w:rsidRDefault="002F2F84" w:rsidP="002F2F84">
            <w:pPr>
              <w:keepNext/>
              <w:spacing w:after="0" w:line="240" w:lineRule="auto"/>
              <w:rPr>
                <w:rFonts w:asciiTheme="minorHAnsi" w:hAnsiTheme="minorHAnsi" w:cstheme="minorHAnsi"/>
              </w:rPr>
            </w:pPr>
            <w:r w:rsidRPr="008F39EF">
              <w:rPr>
                <w:rFonts w:asciiTheme="minorHAnsi" w:hAnsiTheme="minorHAnsi" w:cstheme="minorHAnsi"/>
              </w:rPr>
              <w:t>64 (2.0%)</w:t>
            </w:r>
          </w:p>
        </w:tc>
        <w:tc>
          <w:tcPr>
            <w:tcW w:w="622" w:type="pct"/>
          </w:tcPr>
          <w:p w:rsidR="002F2F84" w:rsidRPr="008F39EF" w:rsidRDefault="002F2F84" w:rsidP="002F2F84">
            <w:pPr>
              <w:keepNext/>
              <w:spacing w:after="0" w:line="240" w:lineRule="auto"/>
              <w:rPr>
                <w:rFonts w:asciiTheme="minorHAnsi" w:hAnsiTheme="minorHAnsi" w:cstheme="minorHAnsi"/>
              </w:rPr>
            </w:pPr>
            <w:r w:rsidRPr="008F39EF">
              <w:rPr>
                <w:rFonts w:asciiTheme="minorHAnsi" w:hAnsiTheme="minorHAnsi" w:cstheme="minorHAnsi"/>
              </w:rPr>
              <w:t>70 (2.2%)</w:t>
            </w:r>
          </w:p>
        </w:tc>
      </w:tr>
      <w:tr w:rsidR="002F2F84" w:rsidRPr="008F39EF" w:rsidTr="002F2F84">
        <w:tc>
          <w:tcPr>
            <w:tcW w:w="1121" w:type="pct"/>
          </w:tcPr>
          <w:p w:rsidR="002F2F84" w:rsidRPr="008F39EF" w:rsidRDefault="002F2F84" w:rsidP="002F2F84">
            <w:pPr>
              <w:keepNext/>
              <w:spacing w:after="0" w:line="240" w:lineRule="auto"/>
              <w:rPr>
                <w:rFonts w:asciiTheme="minorHAnsi" w:hAnsiTheme="minorHAnsi" w:cstheme="minorHAnsi"/>
              </w:rPr>
            </w:pPr>
            <w:r w:rsidRPr="008F39EF">
              <w:rPr>
                <w:rFonts w:asciiTheme="minorHAnsi" w:hAnsiTheme="minorHAnsi" w:cstheme="minorHAnsi"/>
              </w:rPr>
              <w:t>Minor Bleeding</w:t>
            </w:r>
          </w:p>
        </w:tc>
        <w:tc>
          <w:tcPr>
            <w:tcW w:w="690" w:type="pct"/>
          </w:tcPr>
          <w:p w:rsidR="002F2F84" w:rsidRPr="008F39EF" w:rsidRDefault="002F2F84" w:rsidP="002F2F84">
            <w:pPr>
              <w:keepNext/>
              <w:spacing w:after="0" w:line="240" w:lineRule="auto"/>
              <w:rPr>
                <w:rFonts w:asciiTheme="minorHAnsi" w:hAnsiTheme="minorHAnsi" w:cstheme="minorHAnsi"/>
              </w:rPr>
            </w:pPr>
            <w:r w:rsidRPr="008F39EF">
              <w:rPr>
                <w:rFonts w:asciiTheme="minorHAnsi" w:hAnsiTheme="minorHAnsi" w:cstheme="minorHAnsi"/>
              </w:rPr>
              <w:t>37 (0.6%)</w:t>
            </w:r>
          </w:p>
        </w:tc>
        <w:tc>
          <w:tcPr>
            <w:tcW w:w="622" w:type="pct"/>
          </w:tcPr>
          <w:p w:rsidR="002F2F84" w:rsidRPr="008F39EF" w:rsidRDefault="002F2F84" w:rsidP="002F2F84">
            <w:pPr>
              <w:keepNext/>
              <w:spacing w:after="0" w:line="240" w:lineRule="auto"/>
              <w:rPr>
                <w:rFonts w:asciiTheme="minorHAnsi" w:hAnsiTheme="minorHAnsi" w:cstheme="minorHAnsi"/>
              </w:rPr>
            </w:pPr>
            <w:r w:rsidRPr="008F39EF">
              <w:rPr>
                <w:rFonts w:asciiTheme="minorHAnsi" w:hAnsiTheme="minorHAnsi" w:cstheme="minorHAnsi"/>
              </w:rPr>
              <w:t>23 (0.4%)</w:t>
            </w:r>
          </w:p>
        </w:tc>
        <w:tc>
          <w:tcPr>
            <w:tcW w:w="694" w:type="pct"/>
          </w:tcPr>
          <w:p w:rsidR="002F2F84" w:rsidRPr="008F39EF" w:rsidRDefault="002F2F84" w:rsidP="002F2F84">
            <w:pPr>
              <w:keepNext/>
              <w:spacing w:after="0" w:line="240" w:lineRule="auto"/>
              <w:rPr>
                <w:rFonts w:asciiTheme="minorHAnsi" w:hAnsiTheme="minorHAnsi" w:cstheme="minorHAnsi"/>
              </w:rPr>
            </w:pPr>
            <w:r w:rsidRPr="008F39EF">
              <w:rPr>
                <w:rFonts w:asciiTheme="minorHAnsi" w:hAnsiTheme="minorHAnsi" w:cstheme="minorHAnsi"/>
              </w:rPr>
              <w:t>19 (0.7%)</w:t>
            </w:r>
          </w:p>
        </w:tc>
        <w:tc>
          <w:tcPr>
            <w:tcW w:w="556" w:type="pct"/>
          </w:tcPr>
          <w:p w:rsidR="002F2F84" w:rsidRPr="008F39EF" w:rsidRDefault="002F2F84" w:rsidP="002F2F84">
            <w:pPr>
              <w:keepNext/>
              <w:spacing w:after="0" w:line="240" w:lineRule="auto"/>
              <w:rPr>
                <w:rFonts w:asciiTheme="minorHAnsi" w:hAnsiTheme="minorHAnsi" w:cstheme="minorHAnsi"/>
              </w:rPr>
            </w:pPr>
            <w:r w:rsidRPr="008F39EF">
              <w:rPr>
                <w:rFonts w:asciiTheme="minorHAnsi" w:hAnsiTheme="minorHAnsi" w:cstheme="minorHAnsi"/>
              </w:rPr>
              <w:t>6 (0.2%)</w:t>
            </w:r>
          </w:p>
        </w:tc>
        <w:tc>
          <w:tcPr>
            <w:tcW w:w="695" w:type="pct"/>
          </w:tcPr>
          <w:p w:rsidR="002F2F84" w:rsidRPr="008F39EF" w:rsidRDefault="002F2F84" w:rsidP="002F2F84">
            <w:pPr>
              <w:keepNext/>
              <w:spacing w:after="0" w:line="240" w:lineRule="auto"/>
              <w:rPr>
                <w:rFonts w:asciiTheme="minorHAnsi" w:hAnsiTheme="minorHAnsi" w:cstheme="minorHAnsi"/>
              </w:rPr>
            </w:pPr>
            <w:r w:rsidRPr="008F39EF">
              <w:rPr>
                <w:rFonts w:asciiTheme="minorHAnsi" w:hAnsiTheme="minorHAnsi" w:cstheme="minorHAnsi"/>
              </w:rPr>
              <w:t>18 (0.6%)</w:t>
            </w:r>
          </w:p>
        </w:tc>
        <w:tc>
          <w:tcPr>
            <w:tcW w:w="622" w:type="pct"/>
          </w:tcPr>
          <w:p w:rsidR="002F2F84" w:rsidRPr="008F39EF" w:rsidRDefault="002F2F84" w:rsidP="002F2F84">
            <w:pPr>
              <w:keepNext/>
              <w:spacing w:after="0" w:line="240" w:lineRule="auto"/>
              <w:rPr>
                <w:rFonts w:asciiTheme="minorHAnsi" w:hAnsiTheme="minorHAnsi" w:cstheme="minorHAnsi"/>
              </w:rPr>
            </w:pPr>
            <w:r w:rsidRPr="008F39EF">
              <w:rPr>
                <w:rFonts w:asciiTheme="minorHAnsi" w:hAnsiTheme="minorHAnsi" w:cstheme="minorHAnsi"/>
              </w:rPr>
              <w:t>17 (0.5%)</w:t>
            </w:r>
          </w:p>
        </w:tc>
      </w:tr>
    </w:tbl>
    <w:p w:rsidR="00CE0EF5" w:rsidRDefault="00CE0EF5" w:rsidP="002F2F84">
      <w:pPr>
        <w:keepNext/>
        <w:keepLines/>
        <w:spacing w:after="120" w:line="240" w:lineRule="auto"/>
        <w:jc w:val="both"/>
        <w:rPr>
          <w:rFonts w:eastAsia="Times New Roman" w:cstheme="minorHAnsi"/>
          <w:lang w:val="en-CA"/>
        </w:rPr>
      </w:pPr>
    </w:p>
    <w:p w:rsidR="002F2F84" w:rsidRPr="000F5095" w:rsidRDefault="002F2F84" w:rsidP="002F2F84">
      <w:pPr>
        <w:keepNext/>
        <w:keepLines/>
        <w:spacing w:after="120" w:line="240" w:lineRule="auto"/>
        <w:jc w:val="both"/>
        <w:rPr>
          <w:rFonts w:eastAsia="Times New Roman" w:cstheme="minorHAnsi"/>
          <w:lang w:val="en-CA"/>
        </w:rPr>
      </w:pPr>
      <w:r w:rsidRPr="000F5095">
        <w:rPr>
          <w:rFonts w:eastAsia="Times New Roman" w:cstheme="minorHAnsi"/>
          <w:lang w:val="en-CA"/>
        </w:rPr>
        <w:t xml:space="preserve">The risk of peri-PCI major bleeding when </w:t>
      </w:r>
      <w:r>
        <w:rPr>
          <w:rFonts w:eastAsia="Times New Roman" w:cstheme="minorHAnsi"/>
          <w:lang w:val="en-CA"/>
        </w:rPr>
        <w:t>ARIXTRA</w:t>
      </w:r>
      <w:r w:rsidRPr="000F5095">
        <w:rPr>
          <w:rFonts w:eastAsia="Times New Roman" w:cstheme="minorHAnsi"/>
          <w:lang w:val="en-CA"/>
        </w:rPr>
        <w:t xml:space="preserve"> was used in conjunction with UFH was low and comparable to that observed in the Phase III UA/NSTEMI stu</w:t>
      </w:r>
      <w:r>
        <w:rPr>
          <w:rFonts w:eastAsia="Times New Roman" w:cstheme="minorHAnsi"/>
          <w:lang w:val="en-CA"/>
        </w:rPr>
        <w:t xml:space="preserve">dy (see </w:t>
      </w:r>
      <w:r w:rsidR="00D11E21">
        <w:rPr>
          <w:rFonts w:eastAsia="Times New Roman" w:cstheme="minorHAnsi"/>
          <w:lang w:val="en-CA"/>
        </w:rPr>
        <w:t>Section 5.1 Pharmacodynamic properties – Clinical trials</w:t>
      </w:r>
      <w:r>
        <w:rPr>
          <w:rFonts w:eastAsia="Times New Roman" w:cstheme="minorHAnsi"/>
          <w:lang w:val="en-CA"/>
        </w:rPr>
        <w:t>, Table 18</w:t>
      </w:r>
      <w:r w:rsidRPr="000F5095">
        <w:rPr>
          <w:rFonts w:eastAsia="Times New Roman" w:cstheme="minorHAnsi"/>
          <w:lang w:val="en-CA"/>
        </w:rPr>
        <w:t>)</w:t>
      </w:r>
      <w:r>
        <w:rPr>
          <w:rFonts w:eastAsia="Times New Roman" w:cstheme="minorHAnsi"/>
          <w:lang w:val="en-CA"/>
        </w:rPr>
        <w:t>.</w:t>
      </w:r>
    </w:p>
    <w:p w:rsidR="00CE0EF5" w:rsidRDefault="002F2F84" w:rsidP="00EB5A53">
      <w:pPr>
        <w:keepNext/>
        <w:keepLines/>
        <w:spacing w:after="0" w:line="240" w:lineRule="auto"/>
        <w:jc w:val="both"/>
        <w:rPr>
          <w:rFonts w:eastAsia="Times New Roman" w:cstheme="minorHAnsi"/>
          <w:lang w:val="en-CA"/>
        </w:rPr>
      </w:pPr>
      <w:r w:rsidRPr="000F5095">
        <w:rPr>
          <w:rFonts w:eastAsia="Times New Roman" w:cstheme="minorHAnsi"/>
          <w:lang w:val="en-CA"/>
        </w:rPr>
        <w:t>In the Phase III UA/NSTEMI study, the most commonly reported non-bleeding adverse events (reported in at least 1% of subjects on fondaparinux) were headache, chest pain a</w:t>
      </w:r>
      <w:r>
        <w:rPr>
          <w:rFonts w:eastAsia="Times New Roman" w:cstheme="minorHAnsi"/>
          <w:lang w:val="en-CA"/>
        </w:rPr>
        <w:t>nd atrial fibrillation (Table 9</w:t>
      </w:r>
      <w:r w:rsidRPr="000F5095">
        <w:rPr>
          <w:rFonts w:eastAsia="Times New Roman" w:cstheme="minorHAnsi"/>
          <w:lang w:val="en-CA"/>
        </w:rPr>
        <w:t>)</w:t>
      </w:r>
      <w:r w:rsidR="003750C2">
        <w:rPr>
          <w:rFonts w:eastAsia="Times New Roman" w:cstheme="minorHAnsi"/>
          <w:lang w:val="en-CA"/>
        </w:rPr>
        <w:t>.</w:t>
      </w:r>
    </w:p>
    <w:p w:rsidR="00CE0EF5" w:rsidRDefault="00CE0EF5" w:rsidP="00EB5A53">
      <w:pPr>
        <w:keepNext/>
        <w:keepLines/>
        <w:spacing w:after="0" w:line="240" w:lineRule="auto"/>
        <w:jc w:val="both"/>
        <w:rPr>
          <w:rFonts w:eastAsia="Times New Roman" w:cstheme="minorHAnsi"/>
          <w:lang w:val="en-CA"/>
        </w:rPr>
      </w:pPr>
    </w:p>
    <w:p w:rsidR="00197C0C" w:rsidRPr="00EB5A53" w:rsidRDefault="00197C0C" w:rsidP="00EB5A53">
      <w:pPr>
        <w:keepNext/>
        <w:keepLines/>
        <w:spacing w:after="0" w:line="240" w:lineRule="auto"/>
        <w:jc w:val="both"/>
        <w:rPr>
          <w:rFonts w:eastAsia="Times New Roman" w:cstheme="minorHAnsi"/>
          <w:lang w:val="en-CA"/>
        </w:rPr>
      </w:pPr>
      <w:r w:rsidRPr="008F39EF">
        <w:rPr>
          <w:rFonts w:eastAsia="Times New Roman" w:cstheme="minorHAnsi"/>
          <w:b/>
          <w:bCs/>
          <w:sz w:val="20"/>
          <w:szCs w:val="20"/>
          <w:lang w:val="en-US"/>
        </w:rPr>
        <w:t xml:space="preserve">Table 9: Adverse Events Occurring in </w:t>
      </w:r>
      <w:r w:rsidR="00E61B20">
        <w:rPr>
          <w:rFonts w:eastAsia="Times New Roman" w:cstheme="minorHAnsi"/>
          <w:b/>
          <w:bCs/>
          <w:sz w:val="20"/>
          <w:szCs w:val="20"/>
          <w:lang w:val="en-US"/>
        </w:rPr>
        <w:t>≥</w:t>
      </w:r>
      <w:r w:rsidRPr="008F39EF">
        <w:rPr>
          <w:rFonts w:eastAsia="Times New Roman" w:cstheme="minorHAnsi"/>
          <w:b/>
          <w:bCs/>
          <w:sz w:val="20"/>
          <w:szCs w:val="20"/>
          <w:lang w:val="en-US"/>
        </w:rPr>
        <w:t>1% of UA/NSTEMI Patients Treated With Fondaparinux or Enoxaparin</w:t>
      </w:r>
    </w:p>
    <w:p w:rsidR="00197C0C" w:rsidRPr="008F39EF" w:rsidRDefault="00197C0C">
      <w:pPr>
        <w:keepNext/>
        <w:spacing w:after="0" w:line="240" w:lineRule="auto"/>
        <w:jc w:val="center"/>
        <w:rPr>
          <w:rFonts w:eastAsia="Times New Roman" w:cstheme="minorHAnsi"/>
          <w:b/>
          <w:bCs/>
          <w:sz w:val="20"/>
          <w:szCs w:val="20"/>
          <w:lang w:val="en-US"/>
        </w:rPr>
      </w:pPr>
      <w:r w:rsidRPr="008F39EF">
        <w:rPr>
          <w:rFonts w:eastAsia="Times New Roman" w:cstheme="minorHAnsi"/>
          <w:b/>
          <w:bCs/>
          <w:sz w:val="20"/>
          <w:szCs w:val="20"/>
          <w:lang w:val="en-US"/>
        </w:rPr>
        <w:t>(OASIS 5)</w:t>
      </w:r>
    </w:p>
    <w:tbl>
      <w:tblPr>
        <w:tblStyle w:val="TableGrid"/>
        <w:tblW w:w="3467" w:type="pct"/>
        <w:jc w:val="center"/>
        <w:tblLook w:val="04A0" w:firstRow="1" w:lastRow="0" w:firstColumn="1" w:lastColumn="0" w:noHBand="0" w:noVBand="1"/>
      </w:tblPr>
      <w:tblGrid>
        <w:gridCol w:w="2814"/>
        <w:gridCol w:w="1879"/>
        <w:gridCol w:w="2050"/>
      </w:tblGrid>
      <w:tr w:rsidR="00197C0C" w:rsidRPr="008F39EF" w:rsidTr="0082533C">
        <w:trPr>
          <w:jc w:val="center"/>
        </w:trPr>
        <w:tc>
          <w:tcPr>
            <w:tcW w:w="2087" w:type="pct"/>
            <w:vAlign w:val="center"/>
          </w:tcPr>
          <w:p w:rsidR="00197C0C" w:rsidRPr="008F39EF" w:rsidRDefault="00197C0C" w:rsidP="0082533C">
            <w:pPr>
              <w:keepNext/>
              <w:spacing w:after="0" w:line="240" w:lineRule="auto"/>
              <w:rPr>
                <w:rFonts w:asciiTheme="minorHAnsi" w:eastAsia="MS Mincho" w:hAnsiTheme="minorHAnsi" w:cstheme="minorHAnsi"/>
                <w:b/>
              </w:rPr>
            </w:pPr>
            <w:r w:rsidRPr="008F39EF">
              <w:rPr>
                <w:rFonts w:asciiTheme="minorHAnsi" w:eastAsia="MS Mincho" w:hAnsiTheme="minorHAnsi" w:cstheme="minorHAnsi"/>
                <w:b/>
              </w:rPr>
              <w:t>Adverse Events (N(%))</w:t>
            </w:r>
          </w:p>
        </w:tc>
        <w:tc>
          <w:tcPr>
            <w:tcW w:w="1393" w:type="pct"/>
            <w:vAlign w:val="center"/>
          </w:tcPr>
          <w:p w:rsidR="00197C0C" w:rsidRPr="008F39EF" w:rsidRDefault="00197C0C" w:rsidP="0082533C">
            <w:pPr>
              <w:keepNext/>
              <w:spacing w:after="0" w:line="240" w:lineRule="auto"/>
              <w:jc w:val="center"/>
              <w:rPr>
                <w:rFonts w:asciiTheme="minorHAnsi" w:eastAsia="MS Mincho" w:hAnsiTheme="minorHAnsi" w:cstheme="minorHAnsi"/>
                <w:b/>
              </w:rPr>
            </w:pPr>
            <w:r w:rsidRPr="008F39EF">
              <w:rPr>
                <w:rFonts w:asciiTheme="minorHAnsi" w:eastAsia="MS Mincho" w:hAnsiTheme="minorHAnsi" w:cstheme="minorHAnsi"/>
                <w:b/>
              </w:rPr>
              <w:t>Fondaparinux</w:t>
            </w:r>
            <w:r w:rsidRPr="008F39EF">
              <w:rPr>
                <w:rFonts w:asciiTheme="minorHAnsi" w:eastAsia="MS Mincho" w:hAnsiTheme="minorHAnsi" w:cstheme="minorHAnsi"/>
                <w:b/>
              </w:rPr>
              <w:br/>
              <w:t>N=9,979</w:t>
            </w:r>
          </w:p>
        </w:tc>
        <w:tc>
          <w:tcPr>
            <w:tcW w:w="1521" w:type="pct"/>
            <w:vAlign w:val="center"/>
          </w:tcPr>
          <w:p w:rsidR="00197C0C" w:rsidRPr="008F39EF" w:rsidRDefault="00197C0C" w:rsidP="0082533C">
            <w:pPr>
              <w:keepNext/>
              <w:spacing w:after="0" w:line="240" w:lineRule="auto"/>
              <w:jc w:val="center"/>
              <w:rPr>
                <w:rFonts w:asciiTheme="minorHAnsi" w:eastAsia="MS Mincho" w:hAnsiTheme="minorHAnsi" w:cstheme="minorHAnsi"/>
                <w:b/>
              </w:rPr>
            </w:pPr>
            <w:r w:rsidRPr="008F39EF">
              <w:rPr>
                <w:rFonts w:asciiTheme="minorHAnsi" w:eastAsia="MS Mincho" w:hAnsiTheme="minorHAnsi" w:cstheme="minorHAnsi"/>
                <w:b/>
              </w:rPr>
              <w:t>Enoxaparin</w:t>
            </w:r>
            <w:r w:rsidRPr="008F39EF">
              <w:rPr>
                <w:rFonts w:asciiTheme="minorHAnsi" w:eastAsia="MS Mincho" w:hAnsiTheme="minorHAnsi" w:cstheme="minorHAnsi"/>
                <w:b/>
              </w:rPr>
              <w:br/>
              <w:t>N=9,969</w:t>
            </w:r>
          </w:p>
        </w:tc>
      </w:tr>
      <w:tr w:rsidR="00197C0C" w:rsidRPr="008F39EF" w:rsidTr="0082533C">
        <w:trPr>
          <w:jc w:val="center"/>
        </w:trPr>
        <w:tc>
          <w:tcPr>
            <w:tcW w:w="2087" w:type="pct"/>
          </w:tcPr>
          <w:p w:rsidR="00197C0C" w:rsidRPr="008F39EF" w:rsidRDefault="00197C0C" w:rsidP="0082533C">
            <w:pPr>
              <w:keepNext/>
              <w:spacing w:after="0" w:line="240" w:lineRule="auto"/>
              <w:rPr>
                <w:rFonts w:asciiTheme="minorHAnsi" w:eastAsia="MS Mincho" w:hAnsiTheme="minorHAnsi" w:cstheme="minorHAnsi"/>
                <w:b/>
              </w:rPr>
            </w:pPr>
            <w:r w:rsidRPr="008F39EF">
              <w:rPr>
                <w:rFonts w:asciiTheme="minorHAnsi" w:eastAsia="MS Mincho" w:hAnsiTheme="minorHAnsi" w:cstheme="minorHAnsi"/>
                <w:b/>
              </w:rPr>
              <w:t xml:space="preserve">Any Adverse Event </w:t>
            </w:r>
          </w:p>
        </w:tc>
        <w:tc>
          <w:tcPr>
            <w:tcW w:w="1393" w:type="pct"/>
          </w:tcPr>
          <w:p w:rsidR="00197C0C" w:rsidRPr="008F39EF" w:rsidRDefault="00197C0C" w:rsidP="0082533C">
            <w:pPr>
              <w:keepNext/>
              <w:spacing w:after="0" w:line="240" w:lineRule="auto"/>
              <w:jc w:val="center"/>
              <w:rPr>
                <w:rFonts w:asciiTheme="minorHAnsi" w:eastAsia="MS Mincho" w:hAnsiTheme="minorHAnsi" w:cstheme="minorHAnsi"/>
                <w:b/>
              </w:rPr>
            </w:pPr>
            <w:r w:rsidRPr="008F39EF">
              <w:rPr>
                <w:rFonts w:asciiTheme="minorHAnsi" w:eastAsia="MS Mincho" w:hAnsiTheme="minorHAnsi" w:cstheme="minorHAnsi"/>
                <w:b/>
              </w:rPr>
              <w:t>2,426 (24%)</w:t>
            </w:r>
          </w:p>
        </w:tc>
        <w:tc>
          <w:tcPr>
            <w:tcW w:w="1521" w:type="pct"/>
          </w:tcPr>
          <w:p w:rsidR="00197C0C" w:rsidRPr="008F39EF" w:rsidRDefault="00197C0C" w:rsidP="0082533C">
            <w:pPr>
              <w:keepNext/>
              <w:spacing w:after="0" w:line="240" w:lineRule="auto"/>
              <w:jc w:val="center"/>
              <w:rPr>
                <w:rFonts w:asciiTheme="minorHAnsi" w:eastAsia="MS Mincho" w:hAnsiTheme="minorHAnsi" w:cstheme="minorHAnsi"/>
                <w:b/>
              </w:rPr>
            </w:pPr>
            <w:r w:rsidRPr="008F39EF">
              <w:rPr>
                <w:rFonts w:asciiTheme="minorHAnsi" w:eastAsia="MS Mincho" w:hAnsiTheme="minorHAnsi" w:cstheme="minorHAnsi"/>
                <w:b/>
              </w:rPr>
              <w:t>2,785 (28%)</w:t>
            </w:r>
          </w:p>
        </w:tc>
      </w:tr>
      <w:tr w:rsidR="00197C0C" w:rsidRPr="008F39EF" w:rsidTr="0082533C">
        <w:trPr>
          <w:jc w:val="center"/>
        </w:trPr>
        <w:tc>
          <w:tcPr>
            <w:tcW w:w="2087" w:type="pct"/>
          </w:tcPr>
          <w:p w:rsidR="00197C0C" w:rsidRPr="008F39EF" w:rsidRDefault="00197C0C" w:rsidP="0082533C">
            <w:pPr>
              <w:keepNext/>
              <w:spacing w:after="0" w:line="240" w:lineRule="auto"/>
              <w:rPr>
                <w:rFonts w:asciiTheme="minorHAnsi" w:eastAsia="MS Mincho" w:hAnsiTheme="minorHAnsi" w:cstheme="minorHAnsi"/>
              </w:rPr>
            </w:pPr>
            <w:r w:rsidRPr="008F39EF">
              <w:rPr>
                <w:rFonts w:asciiTheme="minorHAnsi" w:eastAsia="MS Mincho" w:hAnsiTheme="minorHAnsi" w:cstheme="minorHAnsi"/>
              </w:rPr>
              <w:t>Headache</w:t>
            </w:r>
          </w:p>
        </w:tc>
        <w:tc>
          <w:tcPr>
            <w:tcW w:w="1393" w:type="pct"/>
          </w:tcPr>
          <w:p w:rsidR="00197C0C" w:rsidRPr="008F39EF" w:rsidRDefault="00197C0C" w:rsidP="0082533C">
            <w:pPr>
              <w:keepNext/>
              <w:spacing w:after="0" w:line="240" w:lineRule="auto"/>
              <w:jc w:val="center"/>
              <w:rPr>
                <w:rFonts w:asciiTheme="minorHAnsi" w:eastAsia="MS Mincho" w:hAnsiTheme="minorHAnsi" w:cstheme="minorHAnsi"/>
              </w:rPr>
            </w:pPr>
            <w:r w:rsidRPr="008F39EF">
              <w:rPr>
                <w:rFonts w:asciiTheme="minorHAnsi" w:eastAsia="MS Mincho" w:hAnsiTheme="minorHAnsi" w:cstheme="minorHAnsi"/>
              </w:rPr>
              <w:t>227 (2%)</w:t>
            </w:r>
          </w:p>
        </w:tc>
        <w:tc>
          <w:tcPr>
            <w:tcW w:w="1521" w:type="pct"/>
          </w:tcPr>
          <w:p w:rsidR="00197C0C" w:rsidRPr="008F39EF" w:rsidRDefault="00197C0C" w:rsidP="0082533C">
            <w:pPr>
              <w:keepNext/>
              <w:spacing w:after="0" w:line="240" w:lineRule="auto"/>
              <w:jc w:val="center"/>
              <w:rPr>
                <w:rFonts w:asciiTheme="minorHAnsi" w:eastAsia="MS Mincho" w:hAnsiTheme="minorHAnsi" w:cstheme="minorHAnsi"/>
              </w:rPr>
            </w:pPr>
            <w:r w:rsidRPr="008F39EF">
              <w:rPr>
                <w:rFonts w:asciiTheme="minorHAnsi" w:eastAsia="MS Mincho" w:hAnsiTheme="minorHAnsi" w:cstheme="minorHAnsi"/>
              </w:rPr>
              <w:t>226 (2%)</w:t>
            </w:r>
          </w:p>
        </w:tc>
      </w:tr>
      <w:tr w:rsidR="00197C0C" w:rsidRPr="008F39EF" w:rsidTr="0082533C">
        <w:trPr>
          <w:jc w:val="center"/>
        </w:trPr>
        <w:tc>
          <w:tcPr>
            <w:tcW w:w="2087" w:type="pct"/>
          </w:tcPr>
          <w:p w:rsidR="00197C0C" w:rsidRPr="008F39EF" w:rsidRDefault="00197C0C" w:rsidP="0082533C">
            <w:pPr>
              <w:keepNext/>
              <w:spacing w:after="0" w:line="240" w:lineRule="auto"/>
              <w:rPr>
                <w:rFonts w:asciiTheme="minorHAnsi" w:eastAsia="MS Mincho" w:hAnsiTheme="minorHAnsi" w:cstheme="minorHAnsi"/>
              </w:rPr>
            </w:pPr>
            <w:r w:rsidRPr="008F39EF">
              <w:rPr>
                <w:rFonts w:asciiTheme="minorHAnsi" w:eastAsia="MS Mincho" w:hAnsiTheme="minorHAnsi" w:cstheme="minorHAnsi"/>
              </w:rPr>
              <w:t>Atrial fibrillation</w:t>
            </w:r>
          </w:p>
        </w:tc>
        <w:tc>
          <w:tcPr>
            <w:tcW w:w="1393" w:type="pct"/>
          </w:tcPr>
          <w:p w:rsidR="00197C0C" w:rsidRPr="008F39EF" w:rsidRDefault="00197C0C" w:rsidP="0082533C">
            <w:pPr>
              <w:keepNext/>
              <w:spacing w:after="0" w:line="240" w:lineRule="auto"/>
              <w:jc w:val="center"/>
              <w:rPr>
                <w:rFonts w:asciiTheme="minorHAnsi" w:eastAsia="MS Mincho" w:hAnsiTheme="minorHAnsi" w:cstheme="minorHAnsi"/>
              </w:rPr>
            </w:pPr>
            <w:r w:rsidRPr="008F39EF">
              <w:rPr>
                <w:rFonts w:asciiTheme="minorHAnsi" w:eastAsia="MS Mincho" w:hAnsiTheme="minorHAnsi" w:cstheme="minorHAnsi"/>
              </w:rPr>
              <w:t>103 (1%)</w:t>
            </w:r>
          </w:p>
        </w:tc>
        <w:tc>
          <w:tcPr>
            <w:tcW w:w="1521" w:type="pct"/>
          </w:tcPr>
          <w:p w:rsidR="00197C0C" w:rsidRPr="008F39EF" w:rsidRDefault="00197C0C" w:rsidP="0082533C">
            <w:pPr>
              <w:keepNext/>
              <w:spacing w:after="0" w:line="240" w:lineRule="auto"/>
              <w:jc w:val="center"/>
              <w:rPr>
                <w:rFonts w:asciiTheme="minorHAnsi" w:eastAsia="MS Mincho" w:hAnsiTheme="minorHAnsi" w:cstheme="minorHAnsi"/>
              </w:rPr>
            </w:pPr>
            <w:r w:rsidRPr="008F39EF">
              <w:rPr>
                <w:rFonts w:asciiTheme="minorHAnsi" w:eastAsia="MS Mincho" w:hAnsiTheme="minorHAnsi" w:cstheme="minorHAnsi"/>
              </w:rPr>
              <w:t>124 (1%)</w:t>
            </w:r>
          </w:p>
        </w:tc>
      </w:tr>
      <w:tr w:rsidR="00197C0C" w:rsidRPr="008F39EF" w:rsidTr="0082533C">
        <w:trPr>
          <w:jc w:val="center"/>
        </w:trPr>
        <w:tc>
          <w:tcPr>
            <w:tcW w:w="2087" w:type="pct"/>
          </w:tcPr>
          <w:p w:rsidR="00197C0C" w:rsidRPr="008F39EF" w:rsidRDefault="00197C0C" w:rsidP="0082533C">
            <w:pPr>
              <w:keepNext/>
              <w:spacing w:after="0" w:line="240" w:lineRule="auto"/>
              <w:rPr>
                <w:rFonts w:asciiTheme="minorHAnsi" w:eastAsia="MS Mincho" w:hAnsiTheme="minorHAnsi" w:cstheme="minorHAnsi"/>
              </w:rPr>
            </w:pPr>
            <w:r w:rsidRPr="008F39EF">
              <w:rPr>
                <w:rFonts w:asciiTheme="minorHAnsi" w:eastAsia="MS Mincho" w:hAnsiTheme="minorHAnsi" w:cstheme="minorHAnsi"/>
              </w:rPr>
              <w:t>Pyrexia</w:t>
            </w:r>
          </w:p>
        </w:tc>
        <w:tc>
          <w:tcPr>
            <w:tcW w:w="1393" w:type="pct"/>
          </w:tcPr>
          <w:p w:rsidR="00197C0C" w:rsidRPr="008F39EF" w:rsidRDefault="00197C0C" w:rsidP="0082533C">
            <w:pPr>
              <w:keepNext/>
              <w:spacing w:after="0" w:line="240" w:lineRule="auto"/>
              <w:jc w:val="center"/>
              <w:rPr>
                <w:rFonts w:asciiTheme="minorHAnsi" w:eastAsia="MS Mincho" w:hAnsiTheme="minorHAnsi" w:cstheme="minorHAnsi"/>
              </w:rPr>
            </w:pPr>
            <w:r w:rsidRPr="008F39EF">
              <w:rPr>
                <w:rFonts w:asciiTheme="minorHAnsi" w:eastAsia="MS Mincho" w:hAnsiTheme="minorHAnsi" w:cstheme="minorHAnsi"/>
              </w:rPr>
              <w:t>96 (&lt;1%)</w:t>
            </w:r>
          </w:p>
        </w:tc>
        <w:tc>
          <w:tcPr>
            <w:tcW w:w="1521" w:type="pct"/>
          </w:tcPr>
          <w:p w:rsidR="00197C0C" w:rsidRPr="008F39EF" w:rsidRDefault="00197C0C" w:rsidP="0082533C">
            <w:pPr>
              <w:keepNext/>
              <w:spacing w:after="0" w:line="240" w:lineRule="auto"/>
              <w:jc w:val="center"/>
              <w:rPr>
                <w:rFonts w:asciiTheme="minorHAnsi" w:eastAsia="MS Mincho" w:hAnsiTheme="minorHAnsi" w:cstheme="minorHAnsi"/>
              </w:rPr>
            </w:pPr>
            <w:r w:rsidRPr="008F39EF">
              <w:rPr>
                <w:rFonts w:asciiTheme="minorHAnsi" w:eastAsia="MS Mincho" w:hAnsiTheme="minorHAnsi" w:cstheme="minorHAnsi"/>
              </w:rPr>
              <w:t>110 (1%)</w:t>
            </w:r>
          </w:p>
        </w:tc>
      </w:tr>
      <w:tr w:rsidR="00197C0C" w:rsidRPr="008F39EF" w:rsidTr="0082533C">
        <w:trPr>
          <w:jc w:val="center"/>
        </w:trPr>
        <w:tc>
          <w:tcPr>
            <w:tcW w:w="2087" w:type="pct"/>
          </w:tcPr>
          <w:p w:rsidR="00197C0C" w:rsidRPr="008F39EF" w:rsidRDefault="00197C0C" w:rsidP="0082533C">
            <w:pPr>
              <w:keepNext/>
              <w:spacing w:after="0" w:line="240" w:lineRule="auto"/>
              <w:rPr>
                <w:rFonts w:asciiTheme="minorHAnsi" w:eastAsia="MS Mincho" w:hAnsiTheme="minorHAnsi" w:cstheme="minorHAnsi"/>
              </w:rPr>
            </w:pPr>
            <w:r w:rsidRPr="008F39EF">
              <w:rPr>
                <w:rFonts w:asciiTheme="minorHAnsi" w:eastAsia="MS Mincho" w:hAnsiTheme="minorHAnsi" w:cstheme="minorHAnsi"/>
              </w:rPr>
              <w:t>Chest pain</w:t>
            </w:r>
          </w:p>
        </w:tc>
        <w:tc>
          <w:tcPr>
            <w:tcW w:w="1393" w:type="pct"/>
          </w:tcPr>
          <w:p w:rsidR="00197C0C" w:rsidRPr="008F39EF" w:rsidRDefault="00197C0C" w:rsidP="0082533C">
            <w:pPr>
              <w:keepNext/>
              <w:spacing w:after="0" w:line="240" w:lineRule="auto"/>
              <w:jc w:val="center"/>
              <w:rPr>
                <w:rFonts w:asciiTheme="minorHAnsi" w:eastAsia="MS Mincho" w:hAnsiTheme="minorHAnsi" w:cstheme="minorHAnsi"/>
              </w:rPr>
            </w:pPr>
            <w:r w:rsidRPr="008F39EF">
              <w:rPr>
                <w:rFonts w:asciiTheme="minorHAnsi" w:eastAsia="MS Mincho" w:hAnsiTheme="minorHAnsi" w:cstheme="minorHAnsi"/>
              </w:rPr>
              <w:t>148 (1%)</w:t>
            </w:r>
          </w:p>
        </w:tc>
        <w:tc>
          <w:tcPr>
            <w:tcW w:w="1521" w:type="pct"/>
          </w:tcPr>
          <w:p w:rsidR="00197C0C" w:rsidRPr="008F39EF" w:rsidRDefault="00197C0C" w:rsidP="0082533C">
            <w:pPr>
              <w:keepNext/>
              <w:spacing w:after="0" w:line="240" w:lineRule="auto"/>
              <w:jc w:val="center"/>
              <w:rPr>
                <w:rFonts w:asciiTheme="minorHAnsi" w:eastAsia="MS Mincho" w:hAnsiTheme="minorHAnsi" w:cstheme="minorHAnsi"/>
              </w:rPr>
            </w:pPr>
            <w:r w:rsidRPr="008F39EF">
              <w:rPr>
                <w:rFonts w:asciiTheme="minorHAnsi" w:eastAsia="MS Mincho" w:hAnsiTheme="minorHAnsi" w:cstheme="minorHAnsi"/>
              </w:rPr>
              <w:t>147 (1%)</w:t>
            </w:r>
          </w:p>
        </w:tc>
      </w:tr>
    </w:tbl>
    <w:p w:rsidR="002F2F84" w:rsidRDefault="002F2F84" w:rsidP="00EB5A53">
      <w:pPr>
        <w:spacing w:line="240" w:lineRule="auto"/>
        <w:jc w:val="both"/>
      </w:pPr>
    </w:p>
    <w:p w:rsidR="003A369B" w:rsidRPr="000F5095" w:rsidRDefault="003A369B" w:rsidP="003A369B">
      <w:pPr>
        <w:keepNext/>
        <w:keepLines/>
        <w:spacing w:after="120" w:line="240" w:lineRule="auto"/>
        <w:jc w:val="both"/>
        <w:rPr>
          <w:rFonts w:eastAsia="Times New Roman" w:cstheme="minorHAnsi"/>
          <w:lang w:val="en-CA"/>
        </w:rPr>
      </w:pPr>
      <w:r w:rsidRPr="000F5095">
        <w:rPr>
          <w:rFonts w:eastAsia="Times New Roman" w:cstheme="minorHAnsi"/>
          <w:lang w:val="en-CA"/>
        </w:rPr>
        <w:lastRenderedPageBreak/>
        <w:t>In the Phase III study in STEMI patients, the most commonly reported non-bleeding adverse events (reported in at least 1% of subjects on fondaparinux) were atrial fibrillation, pyrexia, chest pain, headache, ventricular tachycardia, vom</w:t>
      </w:r>
      <w:r>
        <w:rPr>
          <w:rFonts w:eastAsia="Times New Roman" w:cstheme="minorHAnsi"/>
          <w:lang w:val="en-CA"/>
        </w:rPr>
        <w:t>iting, and hypotension (Table 10</w:t>
      </w:r>
      <w:r w:rsidRPr="000F5095">
        <w:rPr>
          <w:rFonts w:eastAsia="Times New Roman" w:cstheme="minorHAnsi"/>
          <w:lang w:val="en-CA"/>
        </w:rPr>
        <w:t>)</w:t>
      </w:r>
      <w:r w:rsidR="003750C2">
        <w:rPr>
          <w:rFonts w:eastAsia="Times New Roman" w:cstheme="minorHAnsi"/>
          <w:lang w:val="en-CA"/>
        </w:rPr>
        <w:t>.</w:t>
      </w:r>
    </w:p>
    <w:p w:rsidR="003A369B" w:rsidRPr="00EB5A53" w:rsidRDefault="003A369B" w:rsidP="00EB5A53">
      <w:pPr>
        <w:keepNext/>
        <w:keepLines/>
        <w:spacing w:after="0" w:line="240" w:lineRule="auto"/>
        <w:jc w:val="both"/>
        <w:rPr>
          <w:rFonts w:eastAsia="Times New Roman" w:cstheme="minorHAnsi"/>
          <w:b/>
          <w:bCs/>
          <w:sz w:val="20"/>
          <w:szCs w:val="20"/>
          <w:lang w:val="en-US"/>
        </w:rPr>
      </w:pPr>
      <w:bookmarkStart w:id="7" w:name="_Ref2852965"/>
      <w:r w:rsidRPr="00EB5A53">
        <w:rPr>
          <w:rFonts w:eastAsia="Times New Roman" w:cstheme="minorHAnsi"/>
          <w:b/>
          <w:bCs/>
          <w:sz w:val="20"/>
          <w:szCs w:val="20"/>
          <w:lang w:val="en-US"/>
        </w:rPr>
        <w:t>Table</w:t>
      </w:r>
      <w:bookmarkEnd w:id="7"/>
      <w:r w:rsidRPr="00EB5A53">
        <w:rPr>
          <w:rFonts w:eastAsia="Times New Roman" w:cstheme="minorHAnsi"/>
          <w:b/>
          <w:bCs/>
          <w:sz w:val="20"/>
          <w:szCs w:val="20"/>
          <w:lang w:val="en-US"/>
        </w:rPr>
        <w:t xml:space="preserve"> 10: Adverse Events Occurring in </w:t>
      </w:r>
      <w:r w:rsidR="00E61B20">
        <w:rPr>
          <w:rFonts w:eastAsia="Times New Roman" w:cstheme="minorHAnsi"/>
          <w:b/>
          <w:bCs/>
          <w:sz w:val="20"/>
          <w:szCs w:val="20"/>
          <w:lang w:val="en-US"/>
        </w:rPr>
        <w:t>≥</w:t>
      </w:r>
      <w:r w:rsidRPr="00EB5A53">
        <w:rPr>
          <w:rFonts w:eastAsia="Times New Roman" w:cstheme="minorHAnsi"/>
          <w:b/>
          <w:bCs/>
          <w:sz w:val="20"/>
          <w:szCs w:val="20"/>
          <w:lang w:val="en-US"/>
        </w:rPr>
        <w:t>1% of STEMI Patients Treated With Fondaparinux or Enoxaparin (OASIS 6)</w:t>
      </w:r>
    </w:p>
    <w:tbl>
      <w:tblPr>
        <w:tblStyle w:val="TableGrid"/>
        <w:tblW w:w="5424" w:type="pct"/>
        <w:tblLayout w:type="fixed"/>
        <w:tblLook w:val="04A0" w:firstRow="1" w:lastRow="0" w:firstColumn="1" w:lastColumn="0" w:noHBand="0" w:noVBand="1"/>
      </w:tblPr>
      <w:tblGrid>
        <w:gridCol w:w="2366"/>
        <w:gridCol w:w="1456"/>
        <w:gridCol w:w="1312"/>
        <w:gridCol w:w="1464"/>
        <w:gridCol w:w="1173"/>
        <w:gridCol w:w="1466"/>
        <w:gridCol w:w="1312"/>
      </w:tblGrid>
      <w:tr w:rsidR="003A369B" w:rsidRPr="003750C2" w:rsidTr="003A369B">
        <w:tc>
          <w:tcPr>
            <w:tcW w:w="1121" w:type="pct"/>
            <w:vMerge w:val="restart"/>
            <w:vAlign w:val="center"/>
          </w:tcPr>
          <w:p w:rsidR="003A369B" w:rsidRPr="003750C2" w:rsidRDefault="003A369B" w:rsidP="00EB5A53">
            <w:pPr>
              <w:keepNext/>
              <w:spacing w:after="0"/>
              <w:rPr>
                <w:rFonts w:asciiTheme="minorHAnsi" w:hAnsiTheme="minorHAnsi" w:cstheme="minorHAnsi"/>
              </w:rPr>
            </w:pPr>
            <w:r w:rsidRPr="003750C2">
              <w:rPr>
                <w:rFonts w:cstheme="minorHAnsi"/>
                <w:b/>
              </w:rPr>
              <w:t>Adverse Events (N(%))</w:t>
            </w:r>
          </w:p>
        </w:tc>
        <w:tc>
          <w:tcPr>
            <w:tcW w:w="1312" w:type="pct"/>
            <w:gridSpan w:val="2"/>
            <w:vAlign w:val="center"/>
          </w:tcPr>
          <w:p w:rsidR="003A369B" w:rsidRPr="003750C2" w:rsidRDefault="003A369B" w:rsidP="00EB5A53">
            <w:pPr>
              <w:keepNext/>
              <w:spacing w:after="0"/>
              <w:rPr>
                <w:rFonts w:asciiTheme="minorHAnsi" w:hAnsiTheme="minorHAnsi" w:cstheme="minorHAnsi"/>
              </w:rPr>
            </w:pPr>
            <w:r w:rsidRPr="003750C2">
              <w:rPr>
                <w:rFonts w:cstheme="minorHAnsi"/>
                <w:b/>
              </w:rPr>
              <w:t>Overall</w:t>
            </w:r>
          </w:p>
        </w:tc>
        <w:tc>
          <w:tcPr>
            <w:tcW w:w="1250" w:type="pct"/>
            <w:gridSpan w:val="2"/>
            <w:vAlign w:val="center"/>
          </w:tcPr>
          <w:p w:rsidR="003A369B" w:rsidRPr="003750C2" w:rsidRDefault="003A369B" w:rsidP="00EB5A53">
            <w:pPr>
              <w:keepNext/>
              <w:spacing w:after="0"/>
              <w:rPr>
                <w:rFonts w:asciiTheme="minorHAnsi" w:hAnsiTheme="minorHAnsi" w:cstheme="minorHAnsi"/>
              </w:rPr>
            </w:pPr>
            <w:r w:rsidRPr="003750C2">
              <w:rPr>
                <w:rFonts w:cstheme="minorHAnsi"/>
                <w:b/>
              </w:rPr>
              <w:t>Stratum 1</w:t>
            </w:r>
          </w:p>
        </w:tc>
        <w:tc>
          <w:tcPr>
            <w:tcW w:w="1318" w:type="pct"/>
            <w:gridSpan w:val="2"/>
            <w:vAlign w:val="center"/>
          </w:tcPr>
          <w:p w:rsidR="003A369B" w:rsidRPr="003750C2" w:rsidRDefault="003A369B" w:rsidP="00EB5A53">
            <w:pPr>
              <w:keepNext/>
              <w:spacing w:after="0"/>
              <w:rPr>
                <w:rFonts w:asciiTheme="minorHAnsi" w:hAnsiTheme="minorHAnsi" w:cstheme="minorHAnsi"/>
              </w:rPr>
            </w:pPr>
            <w:r w:rsidRPr="003750C2">
              <w:rPr>
                <w:rFonts w:cstheme="minorHAnsi"/>
                <w:b/>
              </w:rPr>
              <w:t>Stratum 2</w:t>
            </w:r>
          </w:p>
        </w:tc>
      </w:tr>
      <w:tr w:rsidR="003A369B" w:rsidRPr="003750C2" w:rsidTr="003A369B">
        <w:tc>
          <w:tcPr>
            <w:tcW w:w="1121" w:type="pct"/>
            <w:vMerge/>
            <w:vAlign w:val="center"/>
          </w:tcPr>
          <w:p w:rsidR="003A369B" w:rsidRPr="003750C2" w:rsidRDefault="003A369B" w:rsidP="00EB5A53">
            <w:pPr>
              <w:keepNext/>
              <w:spacing w:after="0"/>
              <w:rPr>
                <w:rFonts w:asciiTheme="minorHAnsi" w:hAnsiTheme="minorHAnsi" w:cstheme="minorHAnsi"/>
                <w:b/>
              </w:rPr>
            </w:pPr>
          </w:p>
        </w:tc>
        <w:tc>
          <w:tcPr>
            <w:tcW w:w="690" w:type="pct"/>
            <w:vAlign w:val="center"/>
          </w:tcPr>
          <w:p w:rsidR="003A369B" w:rsidRPr="003750C2" w:rsidRDefault="003A369B" w:rsidP="00EB5A53">
            <w:pPr>
              <w:keepNext/>
              <w:spacing w:after="0"/>
              <w:rPr>
                <w:rFonts w:asciiTheme="minorHAnsi" w:hAnsiTheme="minorHAnsi" w:cstheme="minorHAnsi"/>
                <w:b/>
              </w:rPr>
            </w:pPr>
            <w:r w:rsidRPr="003750C2">
              <w:rPr>
                <w:rFonts w:cstheme="minorHAnsi"/>
                <w:b/>
              </w:rPr>
              <w:t>Fondaparinux</w:t>
            </w:r>
            <w:r w:rsidRPr="003750C2">
              <w:rPr>
                <w:rFonts w:cstheme="minorHAnsi"/>
                <w:b/>
              </w:rPr>
              <w:br/>
              <w:t>N=5,954</w:t>
            </w:r>
          </w:p>
        </w:tc>
        <w:tc>
          <w:tcPr>
            <w:tcW w:w="622" w:type="pct"/>
            <w:vAlign w:val="center"/>
          </w:tcPr>
          <w:p w:rsidR="003A369B" w:rsidRPr="003750C2" w:rsidRDefault="003A369B" w:rsidP="00EB5A53">
            <w:pPr>
              <w:keepNext/>
              <w:spacing w:after="0"/>
              <w:rPr>
                <w:rFonts w:asciiTheme="minorHAnsi" w:hAnsiTheme="minorHAnsi" w:cstheme="minorHAnsi"/>
                <w:b/>
              </w:rPr>
            </w:pPr>
            <w:r w:rsidRPr="003750C2">
              <w:rPr>
                <w:rFonts w:cstheme="minorHAnsi"/>
                <w:b/>
              </w:rPr>
              <w:t>Control</w:t>
            </w:r>
            <w:r w:rsidRPr="003750C2">
              <w:rPr>
                <w:rFonts w:cstheme="minorHAnsi"/>
                <w:b/>
              </w:rPr>
              <w:br/>
              <w:t>N=5,947</w:t>
            </w:r>
          </w:p>
        </w:tc>
        <w:tc>
          <w:tcPr>
            <w:tcW w:w="694" w:type="pct"/>
            <w:vAlign w:val="center"/>
          </w:tcPr>
          <w:p w:rsidR="003A369B" w:rsidRPr="003750C2" w:rsidRDefault="003A369B" w:rsidP="00EB5A53">
            <w:pPr>
              <w:keepNext/>
              <w:spacing w:after="0"/>
              <w:rPr>
                <w:rFonts w:asciiTheme="minorHAnsi" w:hAnsiTheme="minorHAnsi" w:cstheme="minorHAnsi"/>
                <w:b/>
              </w:rPr>
            </w:pPr>
            <w:r w:rsidRPr="003750C2">
              <w:rPr>
                <w:rFonts w:cstheme="minorHAnsi"/>
                <w:b/>
              </w:rPr>
              <w:t>Fondaparinux</w:t>
            </w:r>
            <w:r w:rsidRPr="003750C2">
              <w:rPr>
                <w:rFonts w:cstheme="minorHAnsi"/>
                <w:b/>
              </w:rPr>
              <w:br/>
              <w:t>N=2,808</w:t>
            </w:r>
          </w:p>
        </w:tc>
        <w:tc>
          <w:tcPr>
            <w:tcW w:w="556" w:type="pct"/>
            <w:vAlign w:val="center"/>
          </w:tcPr>
          <w:p w:rsidR="003A369B" w:rsidRPr="003750C2" w:rsidRDefault="003A369B" w:rsidP="00EB5A53">
            <w:pPr>
              <w:keepNext/>
              <w:spacing w:after="0"/>
              <w:rPr>
                <w:rFonts w:asciiTheme="minorHAnsi" w:hAnsiTheme="minorHAnsi" w:cstheme="minorHAnsi"/>
                <w:b/>
              </w:rPr>
            </w:pPr>
            <w:r w:rsidRPr="003750C2">
              <w:rPr>
                <w:rFonts w:cstheme="minorHAnsi"/>
                <w:b/>
              </w:rPr>
              <w:t>Placebo</w:t>
            </w:r>
            <w:r w:rsidRPr="003750C2">
              <w:rPr>
                <w:rFonts w:cstheme="minorHAnsi"/>
                <w:b/>
              </w:rPr>
              <w:br/>
              <w:t>N=2,818</w:t>
            </w:r>
          </w:p>
        </w:tc>
        <w:tc>
          <w:tcPr>
            <w:tcW w:w="695" w:type="pct"/>
            <w:vAlign w:val="center"/>
          </w:tcPr>
          <w:p w:rsidR="003A369B" w:rsidRPr="003750C2" w:rsidRDefault="003A369B" w:rsidP="00EB5A53">
            <w:pPr>
              <w:keepNext/>
              <w:spacing w:after="0"/>
              <w:rPr>
                <w:rFonts w:asciiTheme="minorHAnsi" w:hAnsiTheme="minorHAnsi" w:cstheme="minorHAnsi"/>
                <w:b/>
              </w:rPr>
            </w:pPr>
            <w:r w:rsidRPr="003750C2">
              <w:rPr>
                <w:rFonts w:cstheme="minorHAnsi"/>
                <w:b/>
              </w:rPr>
              <w:t>Fondaparinux</w:t>
            </w:r>
            <w:r w:rsidRPr="003750C2">
              <w:rPr>
                <w:rFonts w:cstheme="minorHAnsi"/>
                <w:b/>
              </w:rPr>
              <w:br/>
              <w:t>N=3,146</w:t>
            </w:r>
          </w:p>
        </w:tc>
        <w:tc>
          <w:tcPr>
            <w:tcW w:w="623" w:type="pct"/>
            <w:vAlign w:val="center"/>
          </w:tcPr>
          <w:p w:rsidR="003A369B" w:rsidRPr="003750C2" w:rsidRDefault="003A369B" w:rsidP="00EB5A53">
            <w:pPr>
              <w:keepNext/>
              <w:spacing w:after="0"/>
              <w:rPr>
                <w:rFonts w:asciiTheme="minorHAnsi" w:hAnsiTheme="minorHAnsi" w:cstheme="minorHAnsi"/>
                <w:b/>
              </w:rPr>
            </w:pPr>
            <w:r w:rsidRPr="003750C2">
              <w:rPr>
                <w:rFonts w:cstheme="minorHAnsi"/>
                <w:b/>
              </w:rPr>
              <w:t>UFH</w:t>
            </w:r>
            <w:r w:rsidRPr="003750C2">
              <w:rPr>
                <w:rFonts w:cstheme="minorHAnsi"/>
                <w:b/>
              </w:rPr>
              <w:br/>
              <w:t>N=3,129</w:t>
            </w:r>
          </w:p>
        </w:tc>
      </w:tr>
      <w:tr w:rsidR="003A369B" w:rsidRPr="003750C2" w:rsidTr="003A369B">
        <w:tc>
          <w:tcPr>
            <w:tcW w:w="1121" w:type="pct"/>
          </w:tcPr>
          <w:p w:rsidR="003A369B" w:rsidRPr="003750C2" w:rsidRDefault="003A369B" w:rsidP="00EB5A53">
            <w:pPr>
              <w:keepNext/>
              <w:spacing w:after="0"/>
              <w:rPr>
                <w:rFonts w:asciiTheme="minorHAnsi" w:hAnsiTheme="minorHAnsi" w:cstheme="minorHAnsi"/>
                <w:b/>
              </w:rPr>
            </w:pPr>
            <w:r w:rsidRPr="003750C2">
              <w:rPr>
                <w:rFonts w:cstheme="minorHAnsi"/>
                <w:b/>
              </w:rPr>
              <w:t>Any Adverse Event</w:t>
            </w:r>
          </w:p>
        </w:tc>
        <w:tc>
          <w:tcPr>
            <w:tcW w:w="690" w:type="pct"/>
          </w:tcPr>
          <w:p w:rsidR="003A369B" w:rsidRPr="003750C2" w:rsidRDefault="003A369B" w:rsidP="00EB5A53">
            <w:pPr>
              <w:keepNext/>
              <w:spacing w:after="0"/>
              <w:rPr>
                <w:rFonts w:asciiTheme="minorHAnsi" w:hAnsiTheme="minorHAnsi" w:cstheme="minorHAnsi"/>
                <w:b/>
              </w:rPr>
            </w:pPr>
            <w:r w:rsidRPr="003750C2">
              <w:rPr>
                <w:rFonts w:cstheme="minorHAnsi"/>
                <w:b/>
              </w:rPr>
              <w:t>1,933 (32%)</w:t>
            </w:r>
          </w:p>
        </w:tc>
        <w:tc>
          <w:tcPr>
            <w:tcW w:w="622" w:type="pct"/>
          </w:tcPr>
          <w:p w:rsidR="003A369B" w:rsidRPr="003750C2" w:rsidRDefault="003A369B" w:rsidP="00EB5A53">
            <w:pPr>
              <w:keepNext/>
              <w:spacing w:after="0"/>
              <w:rPr>
                <w:rFonts w:asciiTheme="minorHAnsi" w:hAnsiTheme="minorHAnsi" w:cstheme="minorHAnsi"/>
                <w:b/>
              </w:rPr>
            </w:pPr>
            <w:r w:rsidRPr="003750C2">
              <w:rPr>
                <w:rFonts w:cstheme="minorHAnsi"/>
                <w:b/>
              </w:rPr>
              <w:t>1,959 (33%)</w:t>
            </w:r>
          </w:p>
        </w:tc>
        <w:tc>
          <w:tcPr>
            <w:tcW w:w="694" w:type="pct"/>
          </w:tcPr>
          <w:p w:rsidR="003A369B" w:rsidRPr="003750C2" w:rsidRDefault="003A369B" w:rsidP="00EB5A53">
            <w:pPr>
              <w:keepNext/>
              <w:spacing w:after="0"/>
              <w:rPr>
                <w:rFonts w:asciiTheme="minorHAnsi" w:hAnsiTheme="minorHAnsi" w:cstheme="minorHAnsi"/>
                <w:b/>
              </w:rPr>
            </w:pPr>
            <w:r w:rsidRPr="003750C2">
              <w:rPr>
                <w:rFonts w:cstheme="minorHAnsi"/>
                <w:b/>
              </w:rPr>
              <w:t>922 (33%)</w:t>
            </w:r>
          </w:p>
        </w:tc>
        <w:tc>
          <w:tcPr>
            <w:tcW w:w="556" w:type="pct"/>
          </w:tcPr>
          <w:p w:rsidR="003A369B" w:rsidRPr="003750C2" w:rsidRDefault="003A369B" w:rsidP="00EB5A53">
            <w:pPr>
              <w:keepNext/>
              <w:spacing w:after="0"/>
              <w:rPr>
                <w:rFonts w:asciiTheme="minorHAnsi" w:hAnsiTheme="minorHAnsi" w:cstheme="minorHAnsi"/>
                <w:b/>
              </w:rPr>
            </w:pPr>
            <w:r w:rsidRPr="003750C2">
              <w:rPr>
                <w:rFonts w:cstheme="minorHAnsi"/>
                <w:b/>
              </w:rPr>
              <w:t>954 (34%)</w:t>
            </w:r>
          </w:p>
        </w:tc>
        <w:tc>
          <w:tcPr>
            <w:tcW w:w="695" w:type="pct"/>
          </w:tcPr>
          <w:p w:rsidR="003A369B" w:rsidRPr="003750C2" w:rsidRDefault="003A369B" w:rsidP="00EB5A53">
            <w:pPr>
              <w:keepNext/>
              <w:spacing w:after="0"/>
              <w:rPr>
                <w:rFonts w:asciiTheme="minorHAnsi" w:hAnsiTheme="minorHAnsi" w:cstheme="minorHAnsi"/>
                <w:b/>
              </w:rPr>
            </w:pPr>
            <w:r w:rsidRPr="003750C2">
              <w:rPr>
                <w:rFonts w:cstheme="minorHAnsi"/>
                <w:b/>
              </w:rPr>
              <w:t>1,011 (32%)</w:t>
            </w:r>
          </w:p>
        </w:tc>
        <w:tc>
          <w:tcPr>
            <w:tcW w:w="623" w:type="pct"/>
          </w:tcPr>
          <w:p w:rsidR="003A369B" w:rsidRPr="003750C2" w:rsidRDefault="003A369B" w:rsidP="00EB5A53">
            <w:pPr>
              <w:keepNext/>
              <w:spacing w:after="0"/>
              <w:rPr>
                <w:rFonts w:asciiTheme="minorHAnsi" w:hAnsiTheme="minorHAnsi" w:cstheme="minorHAnsi"/>
                <w:b/>
              </w:rPr>
            </w:pPr>
            <w:r w:rsidRPr="003750C2">
              <w:rPr>
                <w:rFonts w:cstheme="minorHAnsi"/>
                <w:b/>
              </w:rPr>
              <w:t>1,005 (32%)</w:t>
            </w:r>
          </w:p>
        </w:tc>
      </w:tr>
      <w:tr w:rsidR="003A369B" w:rsidRPr="003750C2" w:rsidTr="003A369B">
        <w:tc>
          <w:tcPr>
            <w:tcW w:w="1121" w:type="pct"/>
          </w:tcPr>
          <w:p w:rsidR="003A369B" w:rsidRPr="003750C2" w:rsidRDefault="003A369B" w:rsidP="00EB5A53">
            <w:pPr>
              <w:keepNext/>
              <w:spacing w:after="0"/>
              <w:rPr>
                <w:rFonts w:asciiTheme="minorHAnsi" w:hAnsiTheme="minorHAnsi" w:cstheme="minorHAnsi"/>
              </w:rPr>
            </w:pPr>
            <w:r w:rsidRPr="003750C2">
              <w:rPr>
                <w:rFonts w:cstheme="minorHAnsi"/>
              </w:rPr>
              <w:t>Headache</w:t>
            </w:r>
          </w:p>
        </w:tc>
        <w:tc>
          <w:tcPr>
            <w:tcW w:w="690" w:type="pct"/>
          </w:tcPr>
          <w:p w:rsidR="003A369B" w:rsidRPr="003750C2" w:rsidRDefault="003A369B" w:rsidP="00EB5A53">
            <w:pPr>
              <w:keepNext/>
              <w:spacing w:after="0"/>
              <w:rPr>
                <w:rFonts w:asciiTheme="minorHAnsi" w:hAnsiTheme="minorHAnsi" w:cstheme="minorHAnsi"/>
              </w:rPr>
            </w:pPr>
            <w:r w:rsidRPr="003750C2">
              <w:rPr>
                <w:rFonts w:cstheme="minorHAnsi"/>
              </w:rPr>
              <w:t>105 (2%)</w:t>
            </w:r>
          </w:p>
        </w:tc>
        <w:tc>
          <w:tcPr>
            <w:tcW w:w="622" w:type="pct"/>
          </w:tcPr>
          <w:p w:rsidR="003A369B" w:rsidRPr="003750C2" w:rsidRDefault="003A369B" w:rsidP="00EB5A53">
            <w:pPr>
              <w:keepNext/>
              <w:spacing w:after="0"/>
              <w:rPr>
                <w:rFonts w:asciiTheme="minorHAnsi" w:hAnsiTheme="minorHAnsi" w:cstheme="minorHAnsi"/>
              </w:rPr>
            </w:pPr>
            <w:r w:rsidRPr="003750C2">
              <w:rPr>
                <w:rFonts w:cstheme="minorHAnsi"/>
              </w:rPr>
              <w:t>118 (2%)</w:t>
            </w:r>
          </w:p>
        </w:tc>
        <w:tc>
          <w:tcPr>
            <w:tcW w:w="694" w:type="pct"/>
          </w:tcPr>
          <w:p w:rsidR="003A369B" w:rsidRPr="003750C2" w:rsidRDefault="003A369B" w:rsidP="00EB5A53">
            <w:pPr>
              <w:keepNext/>
              <w:spacing w:after="0"/>
              <w:rPr>
                <w:rFonts w:asciiTheme="minorHAnsi" w:hAnsiTheme="minorHAnsi" w:cstheme="minorHAnsi"/>
              </w:rPr>
            </w:pPr>
            <w:r w:rsidRPr="003750C2">
              <w:rPr>
                <w:rFonts w:cstheme="minorHAnsi"/>
              </w:rPr>
              <w:t>60 (2%)</w:t>
            </w:r>
          </w:p>
        </w:tc>
        <w:tc>
          <w:tcPr>
            <w:tcW w:w="556" w:type="pct"/>
          </w:tcPr>
          <w:p w:rsidR="003A369B" w:rsidRPr="003750C2" w:rsidRDefault="003A369B" w:rsidP="00EB5A53">
            <w:pPr>
              <w:keepNext/>
              <w:spacing w:after="0"/>
              <w:rPr>
                <w:rFonts w:asciiTheme="minorHAnsi" w:hAnsiTheme="minorHAnsi" w:cstheme="minorHAnsi"/>
              </w:rPr>
            </w:pPr>
            <w:r w:rsidRPr="003750C2">
              <w:rPr>
                <w:rFonts w:cstheme="minorHAnsi"/>
              </w:rPr>
              <w:t>63 (2%)</w:t>
            </w:r>
          </w:p>
        </w:tc>
        <w:tc>
          <w:tcPr>
            <w:tcW w:w="695" w:type="pct"/>
          </w:tcPr>
          <w:p w:rsidR="003A369B" w:rsidRPr="003750C2" w:rsidRDefault="003A369B" w:rsidP="00EB5A53">
            <w:pPr>
              <w:keepNext/>
              <w:spacing w:after="0"/>
              <w:rPr>
                <w:rFonts w:asciiTheme="minorHAnsi" w:hAnsiTheme="minorHAnsi" w:cstheme="minorHAnsi"/>
              </w:rPr>
            </w:pPr>
            <w:r w:rsidRPr="003750C2">
              <w:rPr>
                <w:rFonts w:cstheme="minorHAnsi"/>
              </w:rPr>
              <w:t>45 (1%)</w:t>
            </w:r>
          </w:p>
        </w:tc>
        <w:tc>
          <w:tcPr>
            <w:tcW w:w="623" w:type="pct"/>
          </w:tcPr>
          <w:p w:rsidR="003A369B" w:rsidRPr="003750C2" w:rsidRDefault="003A369B" w:rsidP="00EB5A53">
            <w:pPr>
              <w:keepNext/>
              <w:spacing w:after="0"/>
              <w:rPr>
                <w:rFonts w:asciiTheme="minorHAnsi" w:hAnsiTheme="minorHAnsi" w:cstheme="minorHAnsi"/>
              </w:rPr>
            </w:pPr>
            <w:r w:rsidRPr="003750C2">
              <w:rPr>
                <w:rFonts w:cstheme="minorHAnsi"/>
              </w:rPr>
              <w:t>55 (2%)</w:t>
            </w:r>
          </w:p>
        </w:tc>
      </w:tr>
      <w:tr w:rsidR="003A369B" w:rsidRPr="003750C2" w:rsidTr="003A369B">
        <w:tc>
          <w:tcPr>
            <w:tcW w:w="1121" w:type="pct"/>
          </w:tcPr>
          <w:p w:rsidR="003A369B" w:rsidRPr="003750C2" w:rsidRDefault="003A369B" w:rsidP="00EB5A53">
            <w:pPr>
              <w:keepNext/>
              <w:spacing w:after="0"/>
              <w:rPr>
                <w:rFonts w:asciiTheme="minorHAnsi" w:hAnsiTheme="minorHAnsi" w:cstheme="minorHAnsi"/>
              </w:rPr>
            </w:pPr>
            <w:r w:rsidRPr="003750C2">
              <w:rPr>
                <w:rFonts w:cstheme="minorHAnsi"/>
              </w:rPr>
              <w:t>Atrial fibrillation</w:t>
            </w:r>
          </w:p>
        </w:tc>
        <w:tc>
          <w:tcPr>
            <w:tcW w:w="690" w:type="pct"/>
          </w:tcPr>
          <w:p w:rsidR="003A369B" w:rsidRPr="003750C2" w:rsidRDefault="003A369B" w:rsidP="00EB5A53">
            <w:pPr>
              <w:keepNext/>
              <w:spacing w:after="0"/>
              <w:rPr>
                <w:rFonts w:asciiTheme="minorHAnsi" w:hAnsiTheme="minorHAnsi" w:cstheme="minorHAnsi"/>
              </w:rPr>
            </w:pPr>
            <w:r w:rsidRPr="003750C2">
              <w:rPr>
                <w:rFonts w:cstheme="minorHAnsi"/>
              </w:rPr>
              <w:t>164 (3%)</w:t>
            </w:r>
          </w:p>
        </w:tc>
        <w:tc>
          <w:tcPr>
            <w:tcW w:w="622" w:type="pct"/>
          </w:tcPr>
          <w:p w:rsidR="003A369B" w:rsidRPr="003750C2" w:rsidRDefault="003A369B" w:rsidP="00EB5A53">
            <w:pPr>
              <w:keepNext/>
              <w:spacing w:after="0"/>
              <w:rPr>
                <w:rFonts w:asciiTheme="minorHAnsi" w:hAnsiTheme="minorHAnsi" w:cstheme="minorHAnsi"/>
              </w:rPr>
            </w:pPr>
            <w:r w:rsidRPr="003750C2">
              <w:rPr>
                <w:rFonts w:cstheme="minorHAnsi"/>
              </w:rPr>
              <w:t>126 (2%)</w:t>
            </w:r>
          </w:p>
        </w:tc>
        <w:tc>
          <w:tcPr>
            <w:tcW w:w="694" w:type="pct"/>
          </w:tcPr>
          <w:p w:rsidR="003A369B" w:rsidRPr="003750C2" w:rsidRDefault="003A369B" w:rsidP="00EB5A53">
            <w:pPr>
              <w:keepNext/>
              <w:spacing w:after="0"/>
              <w:rPr>
                <w:rFonts w:asciiTheme="minorHAnsi" w:hAnsiTheme="minorHAnsi" w:cstheme="minorHAnsi"/>
              </w:rPr>
            </w:pPr>
            <w:r w:rsidRPr="003750C2">
              <w:rPr>
                <w:rFonts w:cstheme="minorHAnsi"/>
              </w:rPr>
              <w:t>69 (2%)</w:t>
            </w:r>
          </w:p>
        </w:tc>
        <w:tc>
          <w:tcPr>
            <w:tcW w:w="556" w:type="pct"/>
          </w:tcPr>
          <w:p w:rsidR="003A369B" w:rsidRPr="003750C2" w:rsidRDefault="003A369B" w:rsidP="00EB5A53">
            <w:pPr>
              <w:keepNext/>
              <w:spacing w:after="0"/>
              <w:rPr>
                <w:rFonts w:asciiTheme="minorHAnsi" w:hAnsiTheme="minorHAnsi" w:cstheme="minorHAnsi"/>
              </w:rPr>
            </w:pPr>
            <w:r w:rsidRPr="003750C2">
              <w:rPr>
                <w:rFonts w:cstheme="minorHAnsi"/>
              </w:rPr>
              <w:t>57 (2%)</w:t>
            </w:r>
          </w:p>
        </w:tc>
        <w:tc>
          <w:tcPr>
            <w:tcW w:w="695" w:type="pct"/>
          </w:tcPr>
          <w:p w:rsidR="003A369B" w:rsidRPr="003750C2" w:rsidRDefault="003A369B" w:rsidP="00EB5A53">
            <w:pPr>
              <w:keepNext/>
              <w:spacing w:after="0"/>
              <w:rPr>
                <w:rFonts w:asciiTheme="minorHAnsi" w:hAnsiTheme="minorHAnsi" w:cstheme="minorHAnsi"/>
              </w:rPr>
            </w:pPr>
            <w:r w:rsidRPr="003750C2">
              <w:rPr>
                <w:rFonts w:cstheme="minorHAnsi"/>
              </w:rPr>
              <w:t>95 (3%)</w:t>
            </w:r>
          </w:p>
        </w:tc>
        <w:tc>
          <w:tcPr>
            <w:tcW w:w="623" w:type="pct"/>
          </w:tcPr>
          <w:p w:rsidR="003A369B" w:rsidRPr="003750C2" w:rsidRDefault="003A369B" w:rsidP="00EB5A53">
            <w:pPr>
              <w:keepNext/>
              <w:spacing w:after="0"/>
              <w:rPr>
                <w:rFonts w:asciiTheme="minorHAnsi" w:hAnsiTheme="minorHAnsi" w:cstheme="minorHAnsi"/>
              </w:rPr>
            </w:pPr>
            <w:r w:rsidRPr="003750C2">
              <w:rPr>
                <w:rFonts w:cstheme="minorHAnsi"/>
              </w:rPr>
              <w:t>69 (2%)</w:t>
            </w:r>
          </w:p>
        </w:tc>
      </w:tr>
      <w:tr w:rsidR="003A369B" w:rsidRPr="003750C2" w:rsidTr="003A369B">
        <w:tc>
          <w:tcPr>
            <w:tcW w:w="1121" w:type="pct"/>
          </w:tcPr>
          <w:p w:rsidR="003A369B" w:rsidRPr="003750C2" w:rsidRDefault="003A369B" w:rsidP="00EB5A53">
            <w:pPr>
              <w:keepNext/>
              <w:spacing w:after="0"/>
              <w:rPr>
                <w:rFonts w:asciiTheme="minorHAnsi" w:hAnsiTheme="minorHAnsi" w:cstheme="minorHAnsi"/>
              </w:rPr>
            </w:pPr>
            <w:r w:rsidRPr="003750C2">
              <w:rPr>
                <w:rFonts w:cstheme="minorHAnsi"/>
              </w:rPr>
              <w:t>Pyrexia</w:t>
            </w:r>
          </w:p>
        </w:tc>
        <w:tc>
          <w:tcPr>
            <w:tcW w:w="690" w:type="pct"/>
          </w:tcPr>
          <w:p w:rsidR="003A369B" w:rsidRPr="003750C2" w:rsidRDefault="003A369B" w:rsidP="00EB5A53">
            <w:pPr>
              <w:keepNext/>
              <w:spacing w:after="0"/>
              <w:rPr>
                <w:rFonts w:asciiTheme="minorHAnsi" w:hAnsiTheme="minorHAnsi" w:cstheme="minorHAnsi"/>
              </w:rPr>
            </w:pPr>
            <w:r w:rsidRPr="003750C2">
              <w:rPr>
                <w:rFonts w:cstheme="minorHAnsi"/>
              </w:rPr>
              <w:t>189 (3%)</w:t>
            </w:r>
          </w:p>
        </w:tc>
        <w:tc>
          <w:tcPr>
            <w:tcW w:w="622" w:type="pct"/>
          </w:tcPr>
          <w:p w:rsidR="003A369B" w:rsidRPr="003750C2" w:rsidRDefault="003A369B" w:rsidP="00EB5A53">
            <w:pPr>
              <w:keepNext/>
              <w:spacing w:after="0"/>
              <w:rPr>
                <w:rFonts w:asciiTheme="minorHAnsi" w:hAnsiTheme="minorHAnsi" w:cstheme="minorHAnsi"/>
              </w:rPr>
            </w:pPr>
            <w:r w:rsidRPr="003750C2">
              <w:rPr>
                <w:rFonts w:cstheme="minorHAnsi"/>
              </w:rPr>
              <w:t>200 (3%)</w:t>
            </w:r>
          </w:p>
        </w:tc>
        <w:tc>
          <w:tcPr>
            <w:tcW w:w="694" w:type="pct"/>
          </w:tcPr>
          <w:p w:rsidR="003A369B" w:rsidRPr="003750C2" w:rsidRDefault="003A369B" w:rsidP="00EB5A53">
            <w:pPr>
              <w:keepNext/>
              <w:spacing w:after="0"/>
              <w:rPr>
                <w:rFonts w:asciiTheme="minorHAnsi" w:hAnsiTheme="minorHAnsi" w:cstheme="minorHAnsi"/>
              </w:rPr>
            </w:pPr>
            <w:r w:rsidRPr="003750C2">
              <w:rPr>
                <w:rFonts w:cstheme="minorHAnsi"/>
              </w:rPr>
              <w:t>119 (4%)</w:t>
            </w:r>
          </w:p>
        </w:tc>
        <w:tc>
          <w:tcPr>
            <w:tcW w:w="556" w:type="pct"/>
          </w:tcPr>
          <w:p w:rsidR="003A369B" w:rsidRPr="003750C2" w:rsidRDefault="003A369B" w:rsidP="00EB5A53">
            <w:pPr>
              <w:keepNext/>
              <w:spacing w:after="0"/>
              <w:rPr>
                <w:rFonts w:asciiTheme="minorHAnsi" w:hAnsiTheme="minorHAnsi" w:cstheme="minorHAnsi"/>
              </w:rPr>
            </w:pPr>
            <w:r w:rsidRPr="003750C2">
              <w:rPr>
                <w:rFonts w:cstheme="minorHAnsi"/>
              </w:rPr>
              <w:t>125 (4%)</w:t>
            </w:r>
          </w:p>
        </w:tc>
        <w:tc>
          <w:tcPr>
            <w:tcW w:w="695" w:type="pct"/>
          </w:tcPr>
          <w:p w:rsidR="003A369B" w:rsidRPr="003750C2" w:rsidRDefault="003A369B" w:rsidP="00EB5A53">
            <w:pPr>
              <w:keepNext/>
              <w:spacing w:after="0"/>
              <w:rPr>
                <w:rFonts w:asciiTheme="minorHAnsi" w:hAnsiTheme="minorHAnsi" w:cstheme="minorHAnsi"/>
              </w:rPr>
            </w:pPr>
            <w:r w:rsidRPr="003750C2">
              <w:rPr>
                <w:rFonts w:cstheme="minorHAnsi"/>
              </w:rPr>
              <w:t>70 (2%)</w:t>
            </w:r>
          </w:p>
        </w:tc>
        <w:tc>
          <w:tcPr>
            <w:tcW w:w="623" w:type="pct"/>
          </w:tcPr>
          <w:p w:rsidR="003A369B" w:rsidRPr="003750C2" w:rsidRDefault="003A369B" w:rsidP="00EB5A53">
            <w:pPr>
              <w:keepNext/>
              <w:spacing w:after="0"/>
              <w:rPr>
                <w:rFonts w:asciiTheme="minorHAnsi" w:hAnsiTheme="minorHAnsi" w:cstheme="minorHAnsi"/>
              </w:rPr>
            </w:pPr>
            <w:r w:rsidRPr="003750C2">
              <w:rPr>
                <w:rFonts w:cstheme="minorHAnsi"/>
              </w:rPr>
              <w:t>75 (2%)</w:t>
            </w:r>
          </w:p>
        </w:tc>
      </w:tr>
      <w:tr w:rsidR="003A369B" w:rsidRPr="003750C2" w:rsidTr="003A369B">
        <w:tc>
          <w:tcPr>
            <w:tcW w:w="1121" w:type="pct"/>
          </w:tcPr>
          <w:p w:rsidR="003A369B" w:rsidRPr="003750C2" w:rsidRDefault="003A369B" w:rsidP="00EB5A53">
            <w:pPr>
              <w:keepNext/>
              <w:spacing w:after="0"/>
              <w:rPr>
                <w:rFonts w:asciiTheme="minorHAnsi" w:hAnsiTheme="minorHAnsi" w:cstheme="minorHAnsi"/>
              </w:rPr>
            </w:pPr>
            <w:r w:rsidRPr="003750C2">
              <w:rPr>
                <w:rFonts w:cstheme="minorHAnsi"/>
              </w:rPr>
              <w:t>Chest pain</w:t>
            </w:r>
          </w:p>
        </w:tc>
        <w:tc>
          <w:tcPr>
            <w:tcW w:w="690" w:type="pct"/>
          </w:tcPr>
          <w:p w:rsidR="003A369B" w:rsidRPr="003750C2" w:rsidRDefault="003A369B" w:rsidP="00EB5A53">
            <w:pPr>
              <w:keepNext/>
              <w:spacing w:after="0"/>
              <w:rPr>
                <w:rFonts w:asciiTheme="minorHAnsi" w:hAnsiTheme="minorHAnsi" w:cstheme="minorHAnsi"/>
              </w:rPr>
            </w:pPr>
            <w:r w:rsidRPr="003750C2">
              <w:rPr>
                <w:rFonts w:cstheme="minorHAnsi"/>
              </w:rPr>
              <w:t>108 (2%)</w:t>
            </w:r>
          </w:p>
        </w:tc>
        <w:tc>
          <w:tcPr>
            <w:tcW w:w="622" w:type="pct"/>
          </w:tcPr>
          <w:p w:rsidR="003A369B" w:rsidRPr="003750C2" w:rsidRDefault="003A369B" w:rsidP="00EB5A53">
            <w:pPr>
              <w:keepNext/>
              <w:spacing w:after="0"/>
              <w:rPr>
                <w:rFonts w:asciiTheme="minorHAnsi" w:hAnsiTheme="minorHAnsi" w:cstheme="minorHAnsi"/>
              </w:rPr>
            </w:pPr>
            <w:r w:rsidRPr="003750C2">
              <w:rPr>
                <w:rFonts w:cstheme="minorHAnsi"/>
              </w:rPr>
              <w:t>79 (1%)</w:t>
            </w:r>
          </w:p>
        </w:tc>
        <w:tc>
          <w:tcPr>
            <w:tcW w:w="694" w:type="pct"/>
          </w:tcPr>
          <w:p w:rsidR="003A369B" w:rsidRPr="003750C2" w:rsidRDefault="003A369B" w:rsidP="00EB5A53">
            <w:pPr>
              <w:keepNext/>
              <w:spacing w:after="0"/>
              <w:rPr>
                <w:rFonts w:asciiTheme="minorHAnsi" w:hAnsiTheme="minorHAnsi" w:cstheme="minorHAnsi"/>
              </w:rPr>
            </w:pPr>
            <w:r w:rsidRPr="003750C2">
              <w:rPr>
                <w:rFonts w:cstheme="minorHAnsi"/>
              </w:rPr>
              <w:t>50 (2%)</w:t>
            </w:r>
          </w:p>
        </w:tc>
        <w:tc>
          <w:tcPr>
            <w:tcW w:w="556" w:type="pct"/>
          </w:tcPr>
          <w:p w:rsidR="003A369B" w:rsidRPr="003750C2" w:rsidRDefault="003A369B" w:rsidP="00EB5A53">
            <w:pPr>
              <w:keepNext/>
              <w:spacing w:after="0"/>
              <w:rPr>
                <w:rFonts w:asciiTheme="minorHAnsi" w:hAnsiTheme="minorHAnsi" w:cstheme="minorHAnsi"/>
              </w:rPr>
            </w:pPr>
            <w:r w:rsidRPr="003750C2">
              <w:rPr>
                <w:rFonts w:cstheme="minorHAnsi"/>
              </w:rPr>
              <w:t>42 (1%)</w:t>
            </w:r>
          </w:p>
        </w:tc>
        <w:tc>
          <w:tcPr>
            <w:tcW w:w="695" w:type="pct"/>
          </w:tcPr>
          <w:p w:rsidR="003A369B" w:rsidRPr="003750C2" w:rsidRDefault="003A369B" w:rsidP="00EB5A53">
            <w:pPr>
              <w:keepNext/>
              <w:spacing w:after="0"/>
              <w:rPr>
                <w:rFonts w:asciiTheme="minorHAnsi" w:hAnsiTheme="minorHAnsi" w:cstheme="minorHAnsi"/>
              </w:rPr>
            </w:pPr>
            <w:r w:rsidRPr="003750C2">
              <w:rPr>
                <w:rFonts w:cstheme="minorHAnsi"/>
              </w:rPr>
              <w:t>58 (2%)</w:t>
            </w:r>
          </w:p>
        </w:tc>
        <w:tc>
          <w:tcPr>
            <w:tcW w:w="623" w:type="pct"/>
          </w:tcPr>
          <w:p w:rsidR="003A369B" w:rsidRPr="003750C2" w:rsidRDefault="003A369B" w:rsidP="00EB5A53">
            <w:pPr>
              <w:keepNext/>
              <w:spacing w:after="0"/>
              <w:rPr>
                <w:rFonts w:asciiTheme="minorHAnsi" w:hAnsiTheme="minorHAnsi" w:cstheme="minorHAnsi"/>
              </w:rPr>
            </w:pPr>
            <w:r w:rsidRPr="003750C2">
              <w:rPr>
                <w:rFonts w:cstheme="minorHAnsi"/>
              </w:rPr>
              <w:t>37 (1%)</w:t>
            </w:r>
          </w:p>
        </w:tc>
      </w:tr>
      <w:tr w:rsidR="003A369B" w:rsidRPr="003750C2" w:rsidTr="003A369B">
        <w:tc>
          <w:tcPr>
            <w:tcW w:w="1121" w:type="pct"/>
          </w:tcPr>
          <w:p w:rsidR="003A369B" w:rsidRPr="003750C2" w:rsidRDefault="003A369B" w:rsidP="00EB5A53">
            <w:pPr>
              <w:keepNext/>
              <w:spacing w:after="0"/>
              <w:rPr>
                <w:rFonts w:asciiTheme="minorHAnsi" w:hAnsiTheme="minorHAnsi" w:cstheme="minorHAnsi"/>
              </w:rPr>
            </w:pPr>
            <w:r w:rsidRPr="003750C2">
              <w:rPr>
                <w:rFonts w:cstheme="minorHAnsi"/>
              </w:rPr>
              <w:t>Hypotension</w:t>
            </w:r>
          </w:p>
        </w:tc>
        <w:tc>
          <w:tcPr>
            <w:tcW w:w="690" w:type="pct"/>
          </w:tcPr>
          <w:p w:rsidR="003A369B" w:rsidRPr="003750C2" w:rsidRDefault="003A369B" w:rsidP="00EB5A53">
            <w:pPr>
              <w:keepNext/>
              <w:spacing w:after="0"/>
              <w:rPr>
                <w:rFonts w:asciiTheme="minorHAnsi" w:hAnsiTheme="minorHAnsi" w:cstheme="minorHAnsi"/>
              </w:rPr>
            </w:pPr>
            <w:r w:rsidRPr="003750C2">
              <w:rPr>
                <w:rFonts w:cstheme="minorHAnsi"/>
              </w:rPr>
              <w:t>75 (1%)</w:t>
            </w:r>
          </w:p>
        </w:tc>
        <w:tc>
          <w:tcPr>
            <w:tcW w:w="622" w:type="pct"/>
          </w:tcPr>
          <w:p w:rsidR="003A369B" w:rsidRPr="003750C2" w:rsidRDefault="003A369B" w:rsidP="00EB5A53">
            <w:pPr>
              <w:keepNext/>
              <w:spacing w:after="0"/>
              <w:rPr>
                <w:rFonts w:asciiTheme="minorHAnsi" w:hAnsiTheme="minorHAnsi" w:cstheme="minorHAnsi"/>
              </w:rPr>
            </w:pPr>
            <w:r w:rsidRPr="003750C2">
              <w:rPr>
                <w:rFonts w:cstheme="minorHAnsi"/>
              </w:rPr>
              <w:t>72 (1%)</w:t>
            </w:r>
          </w:p>
        </w:tc>
        <w:tc>
          <w:tcPr>
            <w:tcW w:w="694" w:type="pct"/>
          </w:tcPr>
          <w:p w:rsidR="003A369B" w:rsidRPr="003750C2" w:rsidRDefault="003A369B" w:rsidP="00EB5A53">
            <w:pPr>
              <w:keepNext/>
              <w:spacing w:after="0"/>
              <w:rPr>
                <w:rFonts w:asciiTheme="minorHAnsi" w:hAnsiTheme="minorHAnsi" w:cstheme="minorHAnsi"/>
              </w:rPr>
            </w:pPr>
            <w:r w:rsidRPr="003750C2">
              <w:rPr>
                <w:rFonts w:cstheme="minorHAnsi"/>
              </w:rPr>
              <w:t>36 (1%)</w:t>
            </w:r>
          </w:p>
        </w:tc>
        <w:tc>
          <w:tcPr>
            <w:tcW w:w="556" w:type="pct"/>
          </w:tcPr>
          <w:p w:rsidR="003A369B" w:rsidRPr="003750C2" w:rsidRDefault="003A369B" w:rsidP="00EB5A53">
            <w:pPr>
              <w:keepNext/>
              <w:spacing w:after="0"/>
              <w:rPr>
                <w:rFonts w:asciiTheme="minorHAnsi" w:hAnsiTheme="minorHAnsi" w:cstheme="minorHAnsi"/>
              </w:rPr>
            </w:pPr>
            <w:r w:rsidRPr="003750C2">
              <w:rPr>
                <w:rFonts w:cstheme="minorHAnsi"/>
              </w:rPr>
              <w:t>35 (1%)</w:t>
            </w:r>
          </w:p>
        </w:tc>
        <w:tc>
          <w:tcPr>
            <w:tcW w:w="695" w:type="pct"/>
          </w:tcPr>
          <w:p w:rsidR="003A369B" w:rsidRPr="003750C2" w:rsidRDefault="003A369B" w:rsidP="00EB5A53">
            <w:pPr>
              <w:keepNext/>
              <w:spacing w:after="0"/>
              <w:rPr>
                <w:rFonts w:asciiTheme="minorHAnsi" w:hAnsiTheme="minorHAnsi" w:cstheme="minorHAnsi"/>
              </w:rPr>
            </w:pPr>
            <w:r w:rsidRPr="003750C2">
              <w:rPr>
                <w:rFonts w:cstheme="minorHAnsi"/>
              </w:rPr>
              <w:t>39 (1%)</w:t>
            </w:r>
          </w:p>
        </w:tc>
        <w:tc>
          <w:tcPr>
            <w:tcW w:w="623" w:type="pct"/>
          </w:tcPr>
          <w:p w:rsidR="003A369B" w:rsidRPr="003750C2" w:rsidRDefault="003A369B" w:rsidP="00EB5A53">
            <w:pPr>
              <w:keepNext/>
              <w:spacing w:after="0"/>
              <w:rPr>
                <w:rFonts w:asciiTheme="minorHAnsi" w:hAnsiTheme="minorHAnsi" w:cstheme="minorHAnsi"/>
              </w:rPr>
            </w:pPr>
            <w:r w:rsidRPr="003750C2">
              <w:rPr>
                <w:rFonts w:cstheme="minorHAnsi"/>
              </w:rPr>
              <w:t>37 (1%)</w:t>
            </w:r>
          </w:p>
        </w:tc>
      </w:tr>
      <w:tr w:rsidR="003A369B" w:rsidRPr="003750C2" w:rsidTr="003A369B">
        <w:tc>
          <w:tcPr>
            <w:tcW w:w="1121" w:type="pct"/>
          </w:tcPr>
          <w:p w:rsidR="003A369B" w:rsidRPr="003750C2" w:rsidRDefault="003A369B" w:rsidP="00EB5A53">
            <w:pPr>
              <w:keepNext/>
              <w:spacing w:after="0"/>
              <w:rPr>
                <w:rFonts w:asciiTheme="minorHAnsi" w:hAnsiTheme="minorHAnsi" w:cstheme="minorHAnsi"/>
              </w:rPr>
            </w:pPr>
            <w:r w:rsidRPr="003750C2">
              <w:rPr>
                <w:rFonts w:cstheme="minorHAnsi"/>
              </w:rPr>
              <w:t>Vomiting</w:t>
            </w:r>
          </w:p>
        </w:tc>
        <w:tc>
          <w:tcPr>
            <w:tcW w:w="690" w:type="pct"/>
          </w:tcPr>
          <w:p w:rsidR="003A369B" w:rsidRPr="003750C2" w:rsidRDefault="003A369B" w:rsidP="00EB5A53">
            <w:pPr>
              <w:keepNext/>
              <w:spacing w:after="0"/>
              <w:rPr>
                <w:rFonts w:asciiTheme="minorHAnsi" w:hAnsiTheme="minorHAnsi" w:cstheme="minorHAnsi"/>
              </w:rPr>
            </w:pPr>
            <w:r w:rsidRPr="003750C2">
              <w:rPr>
                <w:rFonts w:cstheme="minorHAnsi"/>
              </w:rPr>
              <w:t>74 (1%)</w:t>
            </w:r>
          </w:p>
        </w:tc>
        <w:tc>
          <w:tcPr>
            <w:tcW w:w="622" w:type="pct"/>
          </w:tcPr>
          <w:p w:rsidR="003A369B" w:rsidRPr="003750C2" w:rsidRDefault="003A369B" w:rsidP="00EB5A53">
            <w:pPr>
              <w:keepNext/>
              <w:spacing w:after="0"/>
              <w:rPr>
                <w:rFonts w:asciiTheme="minorHAnsi" w:hAnsiTheme="minorHAnsi" w:cstheme="minorHAnsi"/>
              </w:rPr>
            </w:pPr>
            <w:r w:rsidRPr="003750C2">
              <w:rPr>
                <w:rFonts w:cstheme="minorHAnsi"/>
              </w:rPr>
              <w:t>74 (1%)</w:t>
            </w:r>
          </w:p>
        </w:tc>
        <w:tc>
          <w:tcPr>
            <w:tcW w:w="694" w:type="pct"/>
          </w:tcPr>
          <w:p w:rsidR="003A369B" w:rsidRPr="003750C2" w:rsidRDefault="003A369B" w:rsidP="00EB5A53">
            <w:pPr>
              <w:keepNext/>
              <w:spacing w:after="0"/>
              <w:rPr>
                <w:rFonts w:asciiTheme="minorHAnsi" w:hAnsiTheme="minorHAnsi" w:cstheme="minorHAnsi"/>
              </w:rPr>
            </w:pPr>
            <w:r w:rsidRPr="003750C2">
              <w:rPr>
                <w:rFonts w:cstheme="minorHAnsi"/>
              </w:rPr>
              <w:t>47 (2%)</w:t>
            </w:r>
          </w:p>
        </w:tc>
        <w:tc>
          <w:tcPr>
            <w:tcW w:w="556" w:type="pct"/>
          </w:tcPr>
          <w:p w:rsidR="003A369B" w:rsidRPr="003750C2" w:rsidRDefault="003A369B" w:rsidP="00EB5A53">
            <w:pPr>
              <w:keepNext/>
              <w:spacing w:after="0"/>
              <w:rPr>
                <w:rFonts w:asciiTheme="minorHAnsi" w:hAnsiTheme="minorHAnsi" w:cstheme="minorHAnsi"/>
              </w:rPr>
            </w:pPr>
            <w:r w:rsidRPr="003750C2">
              <w:rPr>
                <w:rFonts w:cstheme="minorHAnsi"/>
              </w:rPr>
              <w:t>42 (1%)</w:t>
            </w:r>
          </w:p>
        </w:tc>
        <w:tc>
          <w:tcPr>
            <w:tcW w:w="695" w:type="pct"/>
          </w:tcPr>
          <w:p w:rsidR="003A369B" w:rsidRPr="003750C2" w:rsidRDefault="003A369B" w:rsidP="00EB5A53">
            <w:pPr>
              <w:keepNext/>
              <w:spacing w:after="0"/>
              <w:rPr>
                <w:rFonts w:asciiTheme="minorHAnsi" w:hAnsiTheme="minorHAnsi" w:cstheme="minorHAnsi"/>
              </w:rPr>
            </w:pPr>
            <w:r w:rsidRPr="003750C2">
              <w:rPr>
                <w:rFonts w:cstheme="minorHAnsi"/>
              </w:rPr>
              <w:t>27 (1%)</w:t>
            </w:r>
          </w:p>
        </w:tc>
        <w:tc>
          <w:tcPr>
            <w:tcW w:w="623" w:type="pct"/>
          </w:tcPr>
          <w:p w:rsidR="003A369B" w:rsidRPr="003750C2" w:rsidRDefault="003A369B" w:rsidP="00EB5A53">
            <w:pPr>
              <w:keepNext/>
              <w:spacing w:after="0"/>
              <w:rPr>
                <w:rFonts w:asciiTheme="minorHAnsi" w:hAnsiTheme="minorHAnsi" w:cstheme="minorHAnsi"/>
              </w:rPr>
            </w:pPr>
            <w:r w:rsidRPr="003750C2">
              <w:rPr>
                <w:rFonts w:cstheme="minorHAnsi"/>
              </w:rPr>
              <w:t>32 (1%)</w:t>
            </w:r>
          </w:p>
        </w:tc>
      </w:tr>
      <w:tr w:rsidR="003A369B" w:rsidRPr="003750C2" w:rsidTr="003A369B">
        <w:tc>
          <w:tcPr>
            <w:tcW w:w="1121" w:type="pct"/>
          </w:tcPr>
          <w:p w:rsidR="003A369B" w:rsidRPr="003750C2" w:rsidRDefault="003A369B" w:rsidP="00EB5A53">
            <w:pPr>
              <w:keepNext/>
              <w:spacing w:after="0"/>
              <w:rPr>
                <w:rFonts w:asciiTheme="minorHAnsi" w:hAnsiTheme="minorHAnsi" w:cstheme="minorHAnsi"/>
              </w:rPr>
            </w:pPr>
            <w:r w:rsidRPr="003750C2">
              <w:rPr>
                <w:rFonts w:cstheme="minorHAnsi"/>
              </w:rPr>
              <w:t>Ventricular tachycardia</w:t>
            </w:r>
          </w:p>
        </w:tc>
        <w:tc>
          <w:tcPr>
            <w:tcW w:w="690" w:type="pct"/>
          </w:tcPr>
          <w:p w:rsidR="003A369B" w:rsidRPr="003750C2" w:rsidRDefault="003A369B" w:rsidP="00EB5A53">
            <w:pPr>
              <w:keepNext/>
              <w:spacing w:after="0"/>
              <w:rPr>
                <w:rFonts w:asciiTheme="minorHAnsi" w:hAnsiTheme="minorHAnsi" w:cstheme="minorHAnsi"/>
              </w:rPr>
            </w:pPr>
            <w:r w:rsidRPr="003750C2">
              <w:rPr>
                <w:rFonts w:cstheme="minorHAnsi"/>
              </w:rPr>
              <w:t>76 (1%)</w:t>
            </w:r>
          </w:p>
        </w:tc>
        <w:tc>
          <w:tcPr>
            <w:tcW w:w="622" w:type="pct"/>
          </w:tcPr>
          <w:p w:rsidR="003A369B" w:rsidRPr="003750C2" w:rsidRDefault="003A369B" w:rsidP="00EB5A53">
            <w:pPr>
              <w:keepNext/>
              <w:spacing w:after="0"/>
              <w:rPr>
                <w:rFonts w:asciiTheme="minorHAnsi" w:hAnsiTheme="minorHAnsi" w:cstheme="minorHAnsi"/>
              </w:rPr>
            </w:pPr>
            <w:r w:rsidRPr="003750C2">
              <w:rPr>
                <w:rFonts w:cstheme="minorHAnsi"/>
              </w:rPr>
              <w:t>81 (1%)</w:t>
            </w:r>
          </w:p>
        </w:tc>
        <w:tc>
          <w:tcPr>
            <w:tcW w:w="694" w:type="pct"/>
          </w:tcPr>
          <w:p w:rsidR="003A369B" w:rsidRPr="003750C2" w:rsidRDefault="003A369B" w:rsidP="00EB5A53">
            <w:pPr>
              <w:keepNext/>
              <w:spacing w:after="0"/>
              <w:rPr>
                <w:rFonts w:asciiTheme="minorHAnsi" w:hAnsiTheme="minorHAnsi" w:cstheme="minorHAnsi"/>
              </w:rPr>
            </w:pPr>
            <w:r w:rsidRPr="003750C2">
              <w:rPr>
                <w:rFonts w:cstheme="minorHAnsi"/>
              </w:rPr>
              <w:t>26 (&lt;1%)</w:t>
            </w:r>
          </w:p>
        </w:tc>
        <w:tc>
          <w:tcPr>
            <w:tcW w:w="556" w:type="pct"/>
          </w:tcPr>
          <w:p w:rsidR="003A369B" w:rsidRPr="003750C2" w:rsidRDefault="003A369B" w:rsidP="00EB5A53">
            <w:pPr>
              <w:keepNext/>
              <w:spacing w:after="0"/>
              <w:rPr>
                <w:rFonts w:asciiTheme="minorHAnsi" w:hAnsiTheme="minorHAnsi" w:cstheme="minorHAnsi"/>
              </w:rPr>
            </w:pPr>
            <w:r w:rsidRPr="003750C2">
              <w:rPr>
                <w:rFonts w:cstheme="minorHAnsi"/>
              </w:rPr>
              <w:t>29 (1%)</w:t>
            </w:r>
          </w:p>
        </w:tc>
        <w:tc>
          <w:tcPr>
            <w:tcW w:w="695" w:type="pct"/>
          </w:tcPr>
          <w:p w:rsidR="003A369B" w:rsidRPr="003750C2" w:rsidRDefault="003A369B" w:rsidP="00EB5A53">
            <w:pPr>
              <w:keepNext/>
              <w:spacing w:after="0"/>
              <w:rPr>
                <w:rFonts w:asciiTheme="minorHAnsi" w:hAnsiTheme="minorHAnsi" w:cstheme="minorHAnsi"/>
              </w:rPr>
            </w:pPr>
            <w:r w:rsidRPr="003750C2">
              <w:rPr>
                <w:rFonts w:cstheme="minorHAnsi"/>
              </w:rPr>
              <w:t>50 (2%)</w:t>
            </w:r>
          </w:p>
        </w:tc>
        <w:tc>
          <w:tcPr>
            <w:tcW w:w="623" w:type="pct"/>
          </w:tcPr>
          <w:p w:rsidR="003A369B" w:rsidRPr="003750C2" w:rsidRDefault="003A369B" w:rsidP="00EB5A53">
            <w:pPr>
              <w:keepNext/>
              <w:spacing w:after="0"/>
              <w:rPr>
                <w:rFonts w:asciiTheme="minorHAnsi" w:hAnsiTheme="minorHAnsi" w:cstheme="minorHAnsi"/>
              </w:rPr>
            </w:pPr>
            <w:r w:rsidRPr="003750C2">
              <w:rPr>
                <w:rFonts w:cstheme="minorHAnsi"/>
              </w:rPr>
              <w:t>52 (2%)</w:t>
            </w:r>
          </w:p>
        </w:tc>
      </w:tr>
      <w:tr w:rsidR="003A369B" w:rsidRPr="003750C2" w:rsidTr="003A369B">
        <w:tc>
          <w:tcPr>
            <w:tcW w:w="1121" w:type="pct"/>
          </w:tcPr>
          <w:p w:rsidR="003A369B" w:rsidRPr="003750C2" w:rsidRDefault="003A369B" w:rsidP="00EB5A53">
            <w:pPr>
              <w:keepNext/>
              <w:spacing w:after="0"/>
              <w:rPr>
                <w:rFonts w:asciiTheme="minorHAnsi" w:hAnsiTheme="minorHAnsi" w:cstheme="minorHAnsi"/>
              </w:rPr>
            </w:pPr>
            <w:r w:rsidRPr="003750C2">
              <w:rPr>
                <w:rFonts w:cstheme="minorHAnsi"/>
              </w:rPr>
              <w:t xml:space="preserve">Urinary tract infection </w:t>
            </w:r>
            <w:r w:rsidRPr="003750C2">
              <w:rPr>
                <w:rFonts w:cstheme="minorHAnsi"/>
              </w:rPr>
              <w:br/>
              <w:t>(not otherwise specified)</w:t>
            </w:r>
          </w:p>
        </w:tc>
        <w:tc>
          <w:tcPr>
            <w:tcW w:w="690" w:type="pct"/>
          </w:tcPr>
          <w:p w:rsidR="003A369B" w:rsidRPr="003750C2" w:rsidRDefault="003A369B" w:rsidP="00EB5A53">
            <w:pPr>
              <w:keepNext/>
              <w:spacing w:after="0"/>
              <w:rPr>
                <w:rFonts w:asciiTheme="minorHAnsi" w:hAnsiTheme="minorHAnsi" w:cstheme="minorHAnsi"/>
              </w:rPr>
            </w:pPr>
            <w:r w:rsidRPr="003750C2">
              <w:rPr>
                <w:rFonts w:cstheme="minorHAnsi"/>
              </w:rPr>
              <w:t>48 (&lt;1%)</w:t>
            </w:r>
          </w:p>
        </w:tc>
        <w:tc>
          <w:tcPr>
            <w:tcW w:w="622" w:type="pct"/>
          </w:tcPr>
          <w:p w:rsidR="003A369B" w:rsidRPr="003750C2" w:rsidRDefault="003A369B" w:rsidP="00EB5A53">
            <w:pPr>
              <w:keepNext/>
              <w:spacing w:after="0"/>
              <w:rPr>
                <w:rFonts w:asciiTheme="minorHAnsi" w:hAnsiTheme="minorHAnsi" w:cstheme="minorHAnsi"/>
              </w:rPr>
            </w:pPr>
            <w:r w:rsidRPr="003750C2">
              <w:rPr>
                <w:rFonts w:cstheme="minorHAnsi"/>
              </w:rPr>
              <w:t>52 (&lt;1%)</w:t>
            </w:r>
          </w:p>
        </w:tc>
        <w:tc>
          <w:tcPr>
            <w:tcW w:w="694" w:type="pct"/>
          </w:tcPr>
          <w:p w:rsidR="003A369B" w:rsidRPr="003750C2" w:rsidRDefault="003A369B" w:rsidP="00EB5A53">
            <w:pPr>
              <w:keepNext/>
              <w:spacing w:after="0"/>
              <w:rPr>
                <w:rFonts w:asciiTheme="minorHAnsi" w:hAnsiTheme="minorHAnsi" w:cstheme="minorHAnsi"/>
              </w:rPr>
            </w:pPr>
            <w:r w:rsidRPr="003750C2">
              <w:rPr>
                <w:rFonts w:cstheme="minorHAnsi"/>
              </w:rPr>
              <w:t>24 (&lt;1%)</w:t>
            </w:r>
          </w:p>
        </w:tc>
        <w:tc>
          <w:tcPr>
            <w:tcW w:w="556" w:type="pct"/>
          </w:tcPr>
          <w:p w:rsidR="003A369B" w:rsidRPr="003750C2" w:rsidRDefault="003A369B" w:rsidP="00EB5A53">
            <w:pPr>
              <w:keepNext/>
              <w:spacing w:after="0"/>
              <w:rPr>
                <w:rFonts w:asciiTheme="minorHAnsi" w:hAnsiTheme="minorHAnsi" w:cstheme="minorHAnsi"/>
              </w:rPr>
            </w:pPr>
            <w:r w:rsidRPr="003750C2">
              <w:rPr>
                <w:rFonts w:cstheme="minorHAnsi"/>
              </w:rPr>
              <w:t>18 (&lt;1%)</w:t>
            </w:r>
          </w:p>
        </w:tc>
        <w:tc>
          <w:tcPr>
            <w:tcW w:w="695" w:type="pct"/>
          </w:tcPr>
          <w:p w:rsidR="003A369B" w:rsidRPr="003750C2" w:rsidRDefault="003A369B" w:rsidP="00EB5A53">
            <w:pPr>
              <w:keepNext/>
              <w:spacing w:after="0"/>
              <w:rPr>
                <w:rFonts w:asciiTheme="minorHAnsi" w:hAnsiTheme="minorHAnsi" w:cstheme="minorHAnsi"/>
              </w:rPr>
            </w:pPr>
            <w:r w:rsidRPr="003750C2">
              <w:rPr>
                <w:rFonts w:cstheme="minorHAnsi"/>
              </w:rPr>
              <w:t>24 (&lt;1%)</w:t>
            </w:r>
          </w:p>
        </w:tc>
        <w:tc>
          <w:tcPr>
            <w:tcW w:w="623" w:type="pct"/>
          </w:tcPr>
          <w:p w:rsidR="003A369B" w:rsidRPr="003750C2" w:rsidRDefault="003A369B" w:rsidP="00EB5A53">
            <w:pPr>
              <w:keepNext/>
              <w:spacing w:after="0"/>
              <w:rPr>
                <w:rFonts w:asciiTheme="minorHAnsi" w:hAnsiTheme="minorHAnsi" w:cstheme="minorHAnsi"/>
              </w:rPr>
            </w:pPr>
            <w:r w:rsidRPr="003750C2">
              <w:rPr>
                <w:rFonts w:cstheme="minorHAnsi"/>
              </w:rPr>
              <w:t>34 (1%)</w:t>
            </w:r>
          </w:p>
        </w:tc>
      </w:tr>
    </w:tbl>
    <w:p w:rsidR="003A369B" w:rsidRPr="000F5095" w:rsidRDefault="003A369B" w:rsidP="003A369B">
      <w:pPr>
        <w:keepNext/>
        <w:keepLines/>
        <w:spacing w:after="120" w:line="240" w:lineRule="auto"/>
        <w:jc w:val="both"/>
        <w:rPr>
          <w:rFonts w:eastAsia="Times New Roman" w:cstheme="minorHAnsi"/>
          <w:lang w:val="en-CA"/>
        </w:rPr>
      </w:pPr>
    </w:p>
    <w:p w:rsidR="003A369B" w:rsidRPr="000F5095" w:rsidRDefault="003A369B" w:rsidP="00EB5A53">
      <w:pPr>
        <w:spacing w:after="0" w:line="240" w:lineRule="auto"/>
        <w:jc w:val="both"/>
        <w:rPr>
          <w:rFonts w:cstheme="minorHAnsi"/>
          <w:i/>
          <w:u w:val="single"/>
        </w:rPr>
      </w:pPr>
      <w:r w:rsidRPr="000F5095">
        <w:rPr>
          <w:rFonts w:cstheme="minorHAnsi"/>
          <w:i/>
          <w:u w:val="single"/>
        </w:rPr>
        <w:t>Catheter-related thrombosis</w:t>
      </w:r>
    </w:p>
    <w:p w:rsidR="003A369B" w:rsidRPr="000F5095" w:rsidRDefault="003A369B" w:rsidP="00EB5A53">
      <w:pPr>
        <w:spacing w:line="240" w:lineRule="auto"/>
        <w:jc w:val="both"/>
        <w:rPr>
          <w:rFonts w:cstheme="minorHAnsi"/>
          <w:lang w:val="en-CA"/>
        </w:rPr>
      </w:pPr>
      <w:r w:rsidRPr="000F5095">
        <w:rPr>
          <w:rFonts w:cstheme="minorHAnsi"/>
          <w:lang w:val="en-CA"/>
        </w:rPr>
        <w:t>The incidence of adjudicated catheter thrombosis in STEMI patients who underwent PCI in the phase III OASIS 6 study was 1.1% for the fondaparinux group and 0% for the UFH control group.</w:t>
      </w:r>
    </w:p>
    <w:p w:rsidR="003A369B" w:rsidRPr="000F5095" w:rsidRDefault="003A369B" w:rsidP="00EB5A53">
      <w:pPr>
        <w:spacing w:line="240" w:lineRule="auto"/>
        <w:jc w:val="both"/>
        <w:rPr>
          <w:rFonts w:cstheme="minorHAnsi"/>
          <w:lang w:val="en-CA"/>
        </w:rPr>
      </w:pPr>
      <w:r w:rsidRPr="000F5095">
        <w:rPr>
          <w:rFonts w:cstheme="minorHAnsi"/>
          <w:lang w:val="en-CA"/>
        </w:rPr>
        <w:t>The incidence of adjudicated catheter thrombus in UA/NSTEMI patients who underwent PCI in the phase III OASIS 5 study was 1.0% for the fondaparinux group and 0.3% for the enoxaparin group.</w:t>
      </w:r>
    </w:p>
    <w:p w:rsidR="003A369B" w:rsidRPr="000F5095" w:rsidRDefault="003A369B" w:rsidP="00EB5A53">
      <w:pPr>
        <w:spacing w:line="240" w:lineRule="auto"/>
        <w:jc w:val="both"/>
        <w:rPr>
          <w:rFonts w:cstheme="minorHAnsi"/>
          <w:lang w:val="en-CA"/>
        </w:rPr>
      </w:pPr>
      <w:r w:rsidRPr="000F5095">
        <w:rPr>
          <w:rFonts w:cstheme="minorHAnsi"/>
          <w:lang w:val="en-CA"/>
        </w:rPr>
        <w:t>In high-risk UA/NSTEMI patients who underwent PCI with adjunctive UFH in the OASIS 8/FUTURA study, the incidence of confirmed catheter-related thrombosis was low and less than that previously observed in the phase III study (0.5% for low dose UFH and 0.1% for high dose UFH). No new safety signals with the use of fondaparinux in conjunction with UFH during PCI were observed.</w:t>
      </w:r>
    </w:p>
    <w:p w:rsidR="003A369B" w:rsidRPr="000F5095" w:rsidRDefault="003A369B" w:rsidP="00EB5A53">
      <w:pPr>
        <w:spacing w:line="240" w:lineRule="auto"/>
        <w:jc w:val="both"/>
        <w:rPr>
          <w:rFonts w:cstheme="minorHAnsi"/>
          <w:lang w:val="en-CA"/>
        </w:rPr>
      </w:pPr>
      <w:r w:rsidRPr="000F5095">
        <w:rPr>
          <w:rFonts w:cstheme="minorHAnsi"/>
          <w:lang w:val="en-CA"/>
        </w:rPr>
        <w:t xml:space="preserve">See also </w:t>
      </w:r>
      <w:r w:rsidR="00D11E21">
        <w:rPr>
          <w:rFonts w:cstheme="minorHAnsi"/>
          <w:lang w:val="en-CA"/>
        </w:rPr>
        <w:t>Section 4.4 Special warnings and precautions for use</w:t>
      </w:r>
      <w:r w:rsidRPr="000F5095">
        <w:rPr>
          <w:rFonts w:cstheme="minorHAnsi"/>
          <w:lang w:val="en-CA"/>
        </w:rPr>
        <w:t>, PCI and risk of guiding catheter thrombus.</w:t>
      </w:r>
    </w:p>
    <w:p w:rsidR="003A369B" w:rsidRPr="000F5095" w:rsidRDefault="00810F56" w:rsidP="00EB5A53">
      <w:pPr>
        <w:pStyle w:val="Heading3"/>
        <w:keepNext w:val="0"/>
        <w:spacing w:before="0" w:line="240" w:lineRule="auto"/>
        <w:ind w:left="0"/>
        <w:jc w:val="both"/>
        <w:rPr>
          <w:rFonts w:asciiTheme="minorHAnsi" w:hAnsiTheme="minorHAnsi" w:cstheme="minorHAnsi"/>
          <w:snapToGrid w:val="0"/>
          <w:u w:val="single"/>
        </w:rPr>
      </w:pPr>
      <w:r w:rsidRPr="000F5095">
        <w:rPr>
          <w:rFonts w:asciiTheme="minorHAnsi" w:hAnsiTheme="minorHAnsi" w:cstheme="minorHAnsi"/>
          <w:snapToGrid w:val="0"/>
          <w:u w:val="single"/>
        </w:rPr>
        <w:t xml:space="preserve">Haematological – intracranial haemorrhage and retroperitoneal bleeding </w:t>
      </w:r>
    </w:p>
    <w:p w:rsidR="003A369B" w:rsidRPr="000F5095" w:rsidRDefault="003A369B" w:rsidP="00EB5A53">
      <w:pPr>
        <w:spacing w:line="240" w:lineRule="auto"/>
        <w:jc w:val="both"/>
        <w:rPr>
          <w:rFonts w:cstheme="minorHAnsi"/>
          <w:snapToGrid w:val="0"/>
        </w:rPr>
      </w:pPr>
      <w:r w:rsidRPr="000F5095">
        <w:rPr>
          <w:rFonts w:cstheme="minorHAnsi"/>
          <w:snapToGrid w:val="0"/>
        </w:rPr>
        <w:t>In post-marketing experience, as in clinical trials, rare cases of intracranial/intracerebral or retroperitoneal bleeding have been reported.</w:t>
      </w:r>
    </w:p>
    <w:p w:rsidR="003A369B" w:rsidRPr="000F5095" w:rsidRDefault="00810F56" w:rsidP="003A369B">
      <w:pPr>
        <w:pStyle w:val="Heading3"/>
        <w:ind w:left="0"/>
        <w:jc w:val="both"/>
        <w:rPr>
          <w:rFonts w:asciiTheme="minorHAnsi" w:hAnsiTheme="minorHAnsi" w:cstheme="minorHAnsi"/>
          <w:snapToGrid w:val="0"/>
          <w:u w:val="single"/>
        </w:rPr>
      </w:pPr>
      <w:r w:rsidRPr="000F5095">
        <w:rPr>
          <w:rFonts w:asciiTheme="minorHAnsi" w:hAnsiTheme="minorHAnsi" w:cstheme="minorHAnsi"/>
          <w:snapToGrid w:val="0"/>
          <w:u w:val="single"/>
        </w:rPr>
        <w:t>Immune system disorders - angioedema, anaphylactoid/anaphylactic disorders</w:t>
      </w:r>
    </w:p>
    <w:p w:rsidR="003A369B" w:rsidRPr="00810F56" w:rsidRDefault="003A369B" w:rsidP="00EB5A53">
      <w:pPr>
        <w:spacing w:line="240" w:lineRule="auto"/>
        <w:rPr>
          <w:rFonts w:cstheme="minorHAnsi"/>
          <w:snapToGrid w:val="0"/>
        </w:rPr>
      </w:pPr>
      <w:r w:rsidRPr="00810F56">
        <w:rPr>
          <w:rFonts w:cstheme="minorHAnsi"/>
          <w:snapToGrid w:val="0"/>
        </w:rPr>
        <w:t>In clinical studies or in post-marketing experience, rare cases of allergic reaction (including very rare reports of angioedema, anaphylactoid/anaphylactic reaction) have been reported.</w:t>
      </w:r>
    </w:p>
    <w:p w:rsidR="003A369B" w:rsidRPr="00EB5A53" w:rsidRDefault="003A369B" w:rsidP="00EB5A53">
      <w:pPr>
        <w:spacing w:line="240" w:lineRule="auto"/>
      </w:pPr>
      <w:r w:rsidRPr="00EB5A53">
        <w:t>Note</w:t>
      </w:r>
      <w:r w:rsidRPr="00EB5A53">
        <w:tab/>
      </w:r>
      <w:r w:rsidRPr="00EB5A53">
        <w:rPr>
          <w:i/>
        </w:rPr>
        <w:t>very common</w:t>
      </w:r>
      <w:r w:rsidRPr="00EB5A53">
        <w:tab/>
      </w:r>
      <w:r w:rsidRPr="00EB5A53">
        <w:sym w:font="Symbol" w:char="F0B3"/>
      </w:r>
      <w:r w:rsidRPr="00EB5A53">
        <w:t xml:space="preserve"> 1/10  (</w:t>
      </w:r>
      <w:r w:rsidRPr="00EB5A53">
        <w:sym w:font="Symbol" w:char="F0B3"/>
      </w:r>
      <w:r w:rsidRPr="00EB5A53">
        <w:t xml:space="preserve"> 10%)</w:t>
      </w:r>
      <w:r w:rsidRPr="00EB5A53">
        <w:br/>
      </w:r>
      <w:r w:rsidRPr="00EB5A53">
        <w:tab/>
      </w:r>
      <w:r w:rsidRPr="00EB5A53">
        <w:rPr>
          <w:i/>
        </w:rPr>
        <w:t>common</w:t>
      </w:r>
      <w:r w:rsidRPr="00EB5A53">
        <w:tab/>
      </w:r>
      <w:r w:rsidRPr="00EB5A53">
        <w:sym w:font="Symbol" w:char="F0B3"/>
      </w:r>
      <w:r w:rsidRPr="00EB5A53">
        <w:t xml:space="preserve"> 1/100 and &lt; 1/10  ( </w:t>
      </w:r>
      <w:r w:rsidRPr="00EB5A53">
        <w:sym w:font="Symbol" w:char="F0B3"/>
      </w:r>
      <w:r w:rsidRPr="00EB5A53">
        <w:t>1% and &lt;10%)</w:t>
      </w:r>
      <w:r w:rsidRPr="00EB5A53">
        <w:br/>
      </w:r>
      <w:r w:rsidRPr="00EB5A53">
        <w:tab/>
      </w:r>
      <w:r w:rsidRPr="00EB5A53">
        <w:rPr>
          <w:i/>
        </w:rPr>
        <w:t>uncommon</w:t>
      </w:r>
      <w:r w:rsidRPr="00EB5A53">
        <w:tab/>
      </w:r>
      <w:r w:rsidRPr="00EB5A53">
        <w:sym w:font="Symbol" w:char="F0B3"/>
      </w:r>
      <w:r w:rsidRPr="00EB5A53">
        <w:t xml:space="preserve"> 1/1000 and &lt;  1/100  ( </w:t>
      </w:r>
      <w:r w:rsidRPr="00EB5A53">
        <w:sym w:font="Symbol" w:char="F0B3"/>
      </w:r>
      <w:r w:rsidRPr="00EB5A53">
        <w:t>0.1% and &lt;1.0%)</w:t>
      </w:r>
      <w:r w:rsidRPr="00EB5A53">
        <w:br/>
      </w:r>
      <w:r w:rsidRPr="00EB5A53">
        <w:tab/>
      </w:r>
      <w:r w:rsidRPr="00EB5A53">
        <w:rPr>
          <w:i/>
        </w:rPr>
        <w:t>rare</w:t>
      </w:r>
      <w:r w:rsidRPr="00EB5A53">
        <w:tab/>
      </w:r>
      <w:r w:rsidRPr="00EB5A53">
        <w:tab/>
      </w:r>
      <w:r w:rsidRPr="00EB5A53">
        <w:sym w:font="Symbol" w:char="F0B3"/>
      </w:r>
      <w:r w:rsidRPr="00EB5A53">
        <w:t xml:space="preserve"> 1/10,000 and &lt; 1/1000  (</w:t>
      </w:r>
      <w:r w:rsidRPr="00EB5A53">
        <w:sym w:font="Symbol" w:char="F0B3"/>
      </w:r>
      <w:r w:rsidRPr="00EB5A53">
        <w:t xml:space="preserve"> 0.01% and &lt; 0.1%)</w:t>
      </w:r>
      <w:r w:rsidRPr="00EB5A53">
        <w:br/>
      </w:r>
      <w:r w:rsidRPr="00EB5A53">
        <w:tab/>
      </w:r>
      <w:r w:rsidRPr="00EB5A53">
        <w:rPr>
          <w:i/>
        </w:rPr>
        <w:t>very rare</w:t>
      </w:r>
      <w:r w:rsidRPr="00EB5A53">
        <w:tab/>
        <w:t>&lt; 1/10,000  (&lt; 0.01%)</w:t>
      </w:r>
    </w:p>
    <w:p w:rsidR="003A369B" w:rsidRDefault="003A369B"/>
    <w:p w:rsidR="003A369B" w:rsidRPr="000F5095" w:rsidRDefault="003A369B" w:rsidP="00EB5A53">
      <w:pPr>
        <w:pStyle w:val="Heading3"/>
        <w:spacing w:line="240" w:lineRule="auto"/>
        <w:ind w:left="0"/>
        <w:jc w:val="both"/>
        <w:rPr>
          <w:rFonts w:asciiTheme="minorHAnsi" w:hAnsiTheme="minorHAnsi" w:cstheme="minorHAnsi"/>
        </w:rPr>
      </w:pPr>
      <w:r w:rsidRPr="000F5095">
        <w:rPr>
          <w:rFonts w:asciiTheme="minorHAnsi" w:hAnsiTheme="minorHAnsi" w:cstheme="minorHAnsi"/>
        </w:rPr>
        <w:lastRenderedPageBreak/>
        <w:t>Reporting suspected adverse effects</w:t>
      </w:r>
    </w:p>
    <w:p w:rsidR="003A369B" w:rsidRPr="000F5095" w:rsidRDefault="003A369B" w:rsidP="00EB5A53">
      <w:pPr>
        <w:spacing w:line="240" w:lineRule="auto"/>
        <w:jc w:val="both"/>
        <w:rPr>
          <w:rFonts w:cstheme="minorHAnsi"/>
        </w:rPr>
      </w:pPr>
      <w:r w:rsidRPr="000F5095">
        <w:rPr>
          <w:rFonts w:cstheme="minorHAns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3" w:history="1">
        <w:r w:rsidRPr="000F5095">
          <w:rPr>
            <w:rStyle w:val="Hyperlink"/>
            <w:rFonts w:cstheme="minorHAnsi"/>
            <w:lang w:val="en"/>
          </w:rPr>
          <w:t>www.tga.gov.au/reporting-problems</w:t>
        </w:r>
      </w:hyperlink>
      <w:r w:rsidRPr="000F5095">
        <w:rPr>
          <w:rFonts w:cstheme="minorHAnsi"/>
          <w:lang w:val="en"/>
        </w:rPr>
        <w:t>.</w:t>
      </w:r>
    </w:p>
    <w:p w:rsidR="003A369B" w:rsidRDefault="003A369B" w:rsidP="00EB5A53">
      <w:pPr>
        <w:pStyle w:val="Heading2"/>
        <w:keepNext/>
        <w:keepLines/>
        <w:spacing w:before="0" w:after="0"/>
        <w:jc w:val="both"/>
        <w:rPr>
          <w:rFonts w:asciiTheme="minorHAnsi" w:hAnsiTheme="minorHAnsi" w:cstheme="minorHAnsi"/>
        </w:rPr>
      </w:pPr>
      <w:r w:rsidRPr="000F5095">
        <w:rPr>
          <w:rFonts w:asciiTheme="minorHAnsi" w:hAnsiTheme="minorHAnsi" w:cstheme="minorHAnsi"/>
        </w:rPr>
        <w:t>Overdose</w:t>
      </w:r>
    </w:p>
    <w:p w:rsidR="003A369B" w:rsidRPr="000F5095" w:rsidRDefault="003A369B" w:rsidP="00EB5A53">
      <w:pPr>
        <w:spacing w:line="240" w:lineRule="auto"/>
        <w:jc w:val="both"/>
        <w:rPr>
          <w:snapToGrid w:val="0"/>
        </w:rPr>
      </w:pPr>
      <w:r w:rsidRPr="000F5095">
        <w:rPr>
          <w:snapToGrid w:val="0"/>
        </w:rPr>
        <w:t xml:space="preserve">As with any anti-thrombotic agent, </w:t>
      </w:r>
      <w:r>
        <w:rPr>
          <w:snapToGrid w:val="0"/>
        </w:rPr>
        <w:t>ARIXTRA</w:t>
      </w:r>
      <w:r w:rsidRPr="000F5095">
        <w:rPr>
          <w:snapToGrid w:val="0"/>
        </w:rPr>
        <w:t xml:space="preserve"> doses above the recommended regimen may lead to an increased risk of bleeding.</w:t>
      </w:r>
    </w:p>
    <w:p w:rsidR="003A369B" w:rsidRPr="000F5095" w:rsidRDefault="003A369B" w:rsidP="00EB5A53">
      <w:pPr>
        <w:spacing w:line="240" w:lineRule="auto"/>
        <w:jc w:val="both"/>
        <w:rPr>
          <w:rStyle w:val="Emphasis"/>
        </w:rPr>
      </w:pPr>
      <w:r w:rsidRPr="000F5095">
        <w:rPr>
          <w:snapToGrid w:val="0"/>
        </w:rPr>
        <w:t xml:space="preserve">There is no antidote for </w:t>
      </w:r>
      <w:r>
        <w:rPr>
          <w:snapToGrid w:val="0"/>
        </w:rPr>
        <w:t>ARIXTRA</w:t>
      </w:r>
      <w:r w:rsidRPr="000F5095">
        <w:rPr>
          <w:snapToGrid w:val="0"/>
        </w:rPr>
        <w:t xml:space="preserve">. Overdosage associated </w:t>
      </w:r>
      <w:r w:rsidRPr="000F5095">
        <w:rPr>
          <w:rStyle w:val="Emphasis"/>
        </w:rPr>
        <w:t>with bleeding complications should lead to treatment discontinuation and search for the primary cause.  Initiation of appropriate therapy which may include surgical haemostasis, blood replacements, fresh plasma transfusion, plasmapheresis should be considered.</w:t>
      </w:r>
    </w:p>
    <w:p w:rsidR="003A369B" w:rsidRPr="000F5095" w:rsidRDefault="003A369B" w:rsidP="00EB5A53">
      <w:pPr>
        <w:spacing w:line="240" w:lineRule="auto"/>
        <w:jc w:val="both"/>
        <w:rPr>
          <w:rFonts w:cstheme="minorHAnsi"/>
        </w:rPr>
      </w:pPr>
      <w:r w:rsidRPr="000F5095">
        <w:rPr>
          <w:rFonts w:cstheme="minorHAnsi"/>
          <w:lang w:val="en"/>
        </w:rPr>
        <w:t>For information on the management of overdose, contact the Poisons Information Centre on 13 11 26 (Australia).</w:t>
      </w:r>
    </w:p>
    <w:p w:rsidR="003A369B" w:rsidRPr="000F5095" w:rsidRDefault="003A369B" w:rsidP="003A369B">
      <w:pPr>
        <w:pStyle w:val="Heading1"/>
        <w:spacing w:before="0" w:after="120"/>
        <w:jc w:val="both"/>
        <w:rPr>
          <w:rFonts w:asciiTheme="minorHAnsi" w:hAnsiTheme="minorHAnsi" w:cstheme="minorHAnsi"/>
          <w:lang w:val="en-US"/>
        </w:rPr>
      </w:pPr>
      <w:r w:rsidRPr="000F5095">
        <w:rPr>
          <w:rFonts w:asciiTheme="minorHAnsi" w:hAnsiTheme="minorHAnsi" w:cstheme="minorHAnsi"/>
          <w:lang w:val="en-US"/>
        </w:rPr>
        <w:t>Pharmacological properties</w:t>
      </w:r>
    </w:p>
    <w:p w:rsidR="003A369B" w:rsidRPr="000F5095" w:rsidRDefault="003A369B" w:rsidP="003A369B">
      <w:pPr>
        <w:pStyle w:val="Heading2"/>
        <w:spacing w:before="0" w:after="120"/>
        <w:jc w:val="both"/>
        <w:rPr>
          <w:rFonts w:asciiTheme="minorHAnsi" w:hAnsiTheme="minorHAnsi" w:cstheme="minorHAnsi"/>
          <w:lang w:val="en-US"/>
        </w:rPr>
      </w:pPr>
      <w:r w:rsidRPr="000F5095">
        <w:rPr>
          <w:rFonts w:asciiTheme="minorHAnsi" w:hAnsiTheme="minorHAnsi" w:cstheme="minorHAnsi"/>
          <w:lang w:val="en-US"/>
        </w:rPr>
        <w:t xml:space="preserve">Pharmacodynamic properties </w:t>
      </w:r>
    </w:p>
    <w:p w:rsidR="003A369B" w:rsidRDefault="003A369B" w:rsidP="003A369B">
      <w:pPr>
        <w:pStyle w:val="Heading3"/>
        <w:spacing w:before="0"/>
        <w:ind w:left="0"/>
        <w:jc w:val="both"/>
        <w:rPr>
          <w:rFonts w:asciiTheme="minorHAnsi" w:hAnsiTheme="minorHAnsi" w:cstheme="minorHAnsi"/>
        </w:rPr>
      </w:pPr>
      <w:r w:rsidRPr="000F5095">
        <w:rPr>
          <w:rFonts w:asciiTheme="minorHAnsi" w:hAnsiTheme="minorHAnsi" w:cstheme="minorHAnsi"/>
        </w:rPr>
        <w:t>Mechanism of action</w:t>
      </w:r>
    </w:p>
    <w:p w:rsidR="003A369B" w:rsidRPr="000F5095" w:rsidRDefault="003A369B" w:rsidP="00EB5A53">
      <w:pPr>
        <w:spacing w:line="240" w:lineRule="auto"/>
        <w:jc w:val="both"/>
        <w:rPr>
          <w:snapToGrid w:val="0"/>
        </w:rPr>
      </w:pPr>
      <w:r w:rsidRPr="000F5095">
        <w:rPr>
          <w:snapToGrid w:val="0"/>
        </w:rPr>
        <w:t xml:space="preserve">Fondaparinux is a synthetic and specific inhibitor of activated Factor X (Xa) with no animal sourced components. The anti-thrombotic activity of fondaparinux is the result of antithrombin III (ATIII) mediated selective inhibition of Factor Xa. By binding selectively to ATIII, fondaparinux potentiates (about 300 times) the innate neutralisation of Factor Xa by antithrombin. Neutralisation of Factor Xa interrupts the blood coagulation cascade and inhibits both thrombin formation and thrombus development. </w:t>
      </w:r>
    </w:p>
    <w:p w:rsidR="003A369B" w:rsidRPr="000F5095" w:rsidRDefault="003A369B" w:rsidP="00EB5A53">
      <w:pPr>
        <w:spacing w:line="240" w:lineRule="auto"/>
        <w:jc w:val="both"/>
        <w:rPr>
          <w:snapToGrid w:val="0"/>
        </w:rPr>
      </w:pPr>
      <w:r w:rsidRPr="000F5095">
        <w:rPr>
          <w:snapToGrid w:val="0"/>
        </w:rPr>
        <w:t>Fondaparinux does not inactivate thrombin (activated Factor II) and has no effects on platelet aggregation. It does not cross-react with sera from patients with heparin-induced thrombocytopaenia. At the recommended dose, it does not affect fibrinolytic activity or bleeding time.</w:t>
      </w:r>
    </w:p>
    <w:p w:rsidR="003A369B" w:rsidRPr="000F5095" w:rsidRDefault="003A369B" w:rsidP="00EB5A53">
      <w:pPr>
        <w:spacing w:line="240" w:lineRule="auto"/>
        <w:jc w:val="both"/>
        <w:rPr>
          <w:snapToGrid w:val="0"/>
        </w:rPr>
      </w:pPr>
      <w:r w:rsidRPr="000F5095">
        <w:rPr>
          <w:snapToGrid w:val="0"/>
        </w:rPr>
        <w:t>At equivalent anti-thrombotic doses, an experimental bleeding model in rats demonstrates that fondaparinux induces less bleeding than unfractionated heparin.</w:t>
      </w:r>
    </w:p>
    <w:p w:rsidR="003A369B" w:rsidRDefault="003A369B" w:rsidP="00EB5A53">
      <w:pPr>
        <w:pStyle w:val="Heading3"/>
        <w:spacing w:before="0" w:line="240" w:lineRule="auto"/>
        <w:ind w:left="0"/>
        <w:jc w:val="both"/>
        <w:rPr>
          <w:rFonts w:asciiTheme="minorHAnsi" w:hAnsiTheme="minorHAnsi" w:cstheme="minorHAnsi"/>
          <w:lang w:val="en-US"/>
        </w:rPr>
      </w:pPr>
      <w:r w:rsidRPr="000F5095">
        <w:rPr>
          <w:rFonts w:asciiTheme="minorHAnsi" w:hAnsiTheme="minorHAnsi" w:cstheme="minorHAnsi"/>
        </w:rPr>
        <w:t>Clinical</w:t>
      </w:r>
      <w:r w:rsidRPr="000F5095">
        <w:rPr>
          <w:rFonts w:asciiTheme="minorHAnsi" w:hAnsiTheme="minorHAnsi" w:cstheme="minorHAnsi"/>
          <w:lang w:val="en-US"/>
        </w:rPr>
        <w:t xml:space="preserve"> trials</w:t>
      </w:r>
    </w:p>
    <w:p w:rsidR="003A369B" w:rsidRPr="00667E88" w:rsidRDefault="003A369B" w:rsidP="00EB5A53">
      <w:pPr>
        <w:spacing w:line="240" w:lineRule="auto"/>
        <w:jc w:val="both"/>
        <w:rPr>
          <w:lang w:val="en-US"/>
        </w:rPr>
      </w:pPr>
      <w:r w:rsidRPr="00667E88">
        <w:rPr>
          <w:lang w:val="en-US"/>
        </w:rPr>
        <w:t>Over 21,800 patients (age 17 to 101 years; body weight 30 to 226 kg) have been studied in controlled Phase II and III clinical studies of fondaparinux.</w:t>
      </w:r>
    </w:p>
    <w:p w:rsidR="003A369B" w:rsidRPr="00EB5A53" w:rsidRDefault="003A369B" w:rsidP="00EB5A53">
      <w:pPr>
        <w:spacing w:after="0" w:line="240" w:lineRule="auto"/>
        <w:jc w:val="both"/>
        <w:rPr>
          <w:rFonts w:cstheme="minorHAnsi"/>
          <w:u w:val="single"/>
          <w:lang w:val="en-US"/>
        </w:rPr>
      </w:pPr>
      <w:r w:rsidRPr="00EB5A53">
        <w:rPr>
          <w:rFonts w:cstheme="minorHAnsi"/>
          <w:u w:val="single"/>
          <w:lang w:val="en-US"/>
        </w:rPr>
        <w:t>Prevention of VTE</w:t>
      </w:r>
    </w:p>
    <w:p w:rsidR="003A369B" w:rsidRPr="000F5095" w:rsidRDefault="003A369B" w:rsidP="00EB5A53">
      <w:pPr>
        <w:spacing w:line="240" w:lineRule="auto"/>
        <w:jc w:val="both"/>
        <w:rPr>
          <w:rFonts w:cstheme="minorHAnsi"/>
          <w:lang w:val="en-US"/>
        </w:rPr>
      </w:pPr>
      <w:r w:rsidRPr="000F5095">
        <w:rPr>
          <w:rFonts w:cstheme="minorHAnsi"/>
          <w:lang w:val="en-US"/>
        </w:rPr>
        <w:t>In a double blind dose-response clinical study of fondaparinux (0.75 to 8 mg once daily) in patients undergoing hip replacement surgery, a statistically significant dose response (p = 0.003) for prevention of VTE was demonstrated. This dose effect relationship was confirmed in a second dose-response study performed in patients undergoing knee replacement. Based on these studies, a 2.5 mg once daily dose of fondaparinux was selected for the Phase III clinical development program.</w:t>
      </w:r>
    </w:p>
    <w:p w:rsidR="003A369B" w:rsidRPr="000F5095" w:rsidRDefault="003A369B" w:rsidP="00EB5A53">
      <w:pPr>
        <w:spacing w:line="240" w:lineRule="auto"/>
        <w:jc w:val="both"/>
        <w:rPr>
          <w:rFonts w:cstheme="minorHAnsi"/>
          <w:lang w:val="en-US"/>
        </w:rPr>
      </w:pPr>
      <w:r w:rsidRPr="000F5095">
        <w:rPr>
          <w:rFonts w:cstheme="minorHAnsi"/>
          <w:lang w:val="en-US"/>
        </w:rPr>
        <w:t xml:space="preserve">The efficacy of fondaparinux 2.5 mg in preventing VTE was confirmed in four Phase III studies in patients undergoing major orthopaedic surgery of the lower limbs: PENTHIFRA (hip fracture), PENTAMAKS (knee replacement), PENTATHLON 2000 and EPHESUS (hip replacement). </w:t>
      </w:r>
    </w:p>
    <w:p w:rsidR="003A369B" w:rsidRPr="00667E88" w:rsidRDefault="003A369B" w:rsidP="00EB5A53">
      <w:pPr>
        <w:spacing w:line="240" w:lineRule="auto"/>
        <w:jc w:val="both"/>
        <w:rPr>
          <w:lang w:val="en-US"/>
        </w:rPr>
      </w:pPr>
      <w:r w:rsidRPr="00667E88">
        <w:rPr>
          <w:lang w:val="en-US"/>
        </w:rPr>
        <w:lastRenderedPageBreak/>
        <w:t>The trials included sufficient numbers of patients to demonstrate the superiority of fondaparinux versus enoxaparin. Enoxaparin was administered according to two different regimens; the 40 mg daily regimen approved in Australia and Europe and the 30 mg bd regimen approved in North America.</w:t>
      </w:r>
    </w:p>
    <w:p w:rsidR="003A369B" w:rsidRPr="00667E88" w:rsidRDefault="003A369B" w:rsidP="00EB5A53">
      <w:pPr>
        <w:spacing w:line="240" w:lineRule="auto"/>
        <w:jc w:val="both"/>
        <w:rPr>
          <w:lang w:val="en-US"/>
        </w:rPr>
      </w:pPr>
      <w:r w:rsidRPr="00667E88">
        <w:rPr>
          <w:lang w:val="en-US"/>
        </w:rPr>
        <w:t xml:space="preserve">The efficacy of fondaparinux 2.5 mg for extended prevention of VTE was confirmed in the PENTHIFRA PLUS study (Extended prophylaxis in hip fracture surgery). </w:t>
      </w:r>
    </w:p>
    <w:p w:rsidR="003A369B" w:rsidRPr="00667E88" w:rsidRDefault="003A369B" w:rsidP="00EB5A53">
      <w:pPr>
        <w:spacing w:line="240" w:lineRule="auto"/>
        <w:jc w:val="both"/>
        <w:rPr>
          <w:lang w:val="en-US"/>
        </w:rPr>
      </w:pPr>
      <w:r w:rsidRPr="00667E88">
        <w:rPr>
          <w:lang w:val="en-US"/>
        </w:rPr>
        <w:t>The efficacy of fondaparinux 2.5 mg in preventing VTE in patients undergoing abdominal surgery was confirmed in the PEGASUS study.</w:t>
      </w:r>
    </w:p>
    <w:p w:rsidR="003A369B" w:rsidRPr="00A40594" w:rsidRDefault="003A369B" w:rsidP="00A40594">
      <w:pPr>
        <w:rPr>
          <w:b/>
          <w:lang w:val="en-US"/>
        </w:rPr>
      </w:pPr>
      <w:r w:rsidRPr="00A40594">
        <w:rPr>
          <w:b/>
          <w:lang w:val="en-US"/>
        </w:rPr>
        <w:t>Prevention of Venous Thromboembolic Events in Hip Fracture Surgery - PENTHIFRA</w:t>
      </w:r>
    </w:p>
    <w:p w:rsidR="003750C2" w:rsidRDefault="003A369B" w:rsidP="00EB5A53">
      <w:pPr>
        <w:spacing w:after="0" w:line="240" w:lineRule="auto"/>
        <w:jc w:val="both"/>
        <w:rPr>
          <w:lang w:val="en-US"/>
        </w:rPr>
      </w:pPr>
      <w:r w:rsidRPr="00667E88">
        <w:rPr>
          <w:lang w:val="en-US"/>
        </w:rPr>
        <w:t xml:space="preserve">A randomised, double-blind clinical trial compared the efficacy of a subcutaneous once daily injection of fondaparinux 2.5 mg to enoxaparin 40 mg during 7*2 days in patients undergoing hip fracture surgery. </w:t>
      </w:r>
      <w:r>
        <w:rPr>
          <w:lang w:val="en-US"/>
        </w:rPr>
        <w:t>ARIXTRA</w:t>
      </w:r>
      <w:r w:rsidRPr="00667E88">
        <w:rPr>
          <w:lang w:val="en-US"/>
        </w:rPr>
        <w:t xml:space="preserve"> was initiated after surgery in 88% of patients (mean 6 hrs) and enoxaparin sodium was initiated after surgery in 74% of patients (mean 18 hrs). The efficacy data are provided in Tab</w:t>
      </w:r>
      <w:r>
        <w:rPr>
          <w:lang w:val="en-US"/>
        </w:rPr>
        <w:t>le 11</w:t>
      </w:r>
      <w:r w:rsidRPr="00667E88">
        <w:rPr>
          <w:lang w:val="en-US"/>
        </w:rPr>
        <w:t>.</w:t>
      </w:r>
    </w:p>
    <w:p w:rsidR="00CE0EF5" w:rsidRDefault="00CE0EF5" w:rsidP="00EB5A53">
      <w:pPr>
        <w:spacing w:after="0" w:line="240" w:lineRule="auto"/>
        <w:jc w:val="both"/>
        <w:rPr>
          <w:lang w:val="en-US"/>
        </w:rPr>
      </w:pPr>
    </w:p>
    <w:p w:rsidR="003A369B" w:rsidRPr="00EB5A53" w:rsidRDefault="003A369B" w:rsidP="00EB5A53">
      <w:pPr>
        <w:keepNext/>
        <w:spacing w:before="120" w:after="0" w:line="240" w:lineRule="auto"/>
        <w:jc w:val="center"/>
        <w:rPr>
          <w:rFonts w:eastAsia="Times New Roman" w:cstheme="minorHAnsi"/>
          <w:b/>
          <w:sz w:val="20"/>
          <w:szCs w:val="20"/>
        </w:rPr>
      </w:pPr>
      <w:bookmarkStart w:id="8" w:name="_Ref482799745"/>
      <w:r w:rsidRPr="00EB5A53">
        <w:rPr>
          <w:rFonts w:eastAsia="Times New Roman" w:cstheme="minorHAnsi"/>
          <w:b/>
          <w:sz w:val="20"/>
          <w:szCs w:val="20"/>
        </w:rPr>
        <w:t xml:space="preserve">Table </w:t>
      </w:r>
      <w:bookmarkEnd w:id="8"/>
      <w:r w:rsidRPr="00EB5A53">
        <w:rPr>
          <w:rFonts w:eastAsia="Times New Roman" w:cstheme="minorHAnsi"/>
          <w:b/>
          <w:sz w:val="20"/>
          <w:szCs w:val="20"/>
        </w:rPr>
        <w:t>11: Efficacy of Fondaparinux injection in hip fracture surgery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126"/>
        <w:gridCol w:w="2410"/>
      </w:tblGrid>
      <w:tr w:rsidR="003A369B" w:rsidRPr="00810F56" w:rsidTr="003A369B">
        <w:trPr>
          <w:cantSplit/>
          <w:jc w:val="center"/>
        </w:trPr>
        <w:tc>
          <w:tcPr>
            <w:tcW w:w="2410" w:type="dxa"/>
          </w:tcPr>
          <w:p w:rsidR="003A369B" w:rsidRPr="00810F56" w:rsidRDefault="003A369B" w:rsidP="00EB5A53">
            <w:pPr>
              <w:keepLines/>
              <w:spacing w:after="0" w:line="240" w:lineRule="auto"/>
              <w:jc w:val="both"/>
              <w:rPr>
                <w:rFonts w:eastAsia="Times New Roman" w:cstheme="minorHAnsi"/>
                <w:b/>
                <w:sz w:val="20"/>
                <w:szCs w:val="20"/>
              </w:rPr>
            </w:pPr>
            <w:r w:rsidRPr="00810F56">
              <w:rPr>
                <w:rFonts w:eastAsia="Times New Roman" w:cstheme="minorHAnsi"/>
                <w:b/>
                <w:sz w:val="20"/>
                <w:szCs w:val="20"/>
              </w:rPr>
              <w:t>Adjudicated Endpoint</w:t>
            </w:r>
          </w:p>
        </w:tc>
        <w:tc>
          <w:tcPr>
            <w:tcW w:w="2126" w:type="dxa"/>
          </w:tcPr>
          <w:p w:rsidR="003A369B" w:rsidRPr="00810F56" w:rsidRDefault="003A369B" w:rsidP="00EB5A53">
            <w:pPr>
              <w:keepLines/>
              <w:spacing w:after="0" w:line="240" w:lineRule="auto"/>
              <w:jc w:val="center"/>
              <w:rPr>
                <w:rFonts w:eastAsia="Times New Roman" w:cstheme="minorHAnsi"/>
                <w:b/>
                <w:sz w:val="20"/>
                <w:szCs w:val="20"/>
              </w:rPr>
            </w:pPr>
            <w:r w:rsidRPr="00810F56">
              <w:rPr>
                <w:rFonts w:eastAsia="Times New Roman" w:cstheme="minorHAnsi"/>
                <w:b/>
                <w:sz w:val="20"/>
                <w:szCs w:val="20"/>
              </w:rPr>
              <w:t>Fondaparinux</w:t>
            </w:r>
            <w:r w:rsidRPr="00810F56">
              <w:rPr>
                <w:rFonts w:eastAsia="Times New Roman" w:cstheme="minorHAnsi"/>
                <w:b/>
                <w:sz w:val="20"/>
                <w:szCs w:val="20"/>
              </w:rPr>
              <w:br/>
              <w:t>2.5 mg once daily</w:t>
            </w:r>
            <w:r w:rsidRPr="00810F56">
              <w:rPr>
                <w:rFonts w:eastAsia="Times New Roman" w:cstheme="minorHAnsi"/>
                <w:b/>
                <w:sz w:val="20"/>
                <w:szCs w:val="20"/>
                <w:vertAlign w:val="superscript"/>
              </w:rPr>
              <w:t>a</w:t>
            </w:r>
          </w:p>
        </w:tc>
        <w:tc>
          <w:tcPr>
            <w:tcW w:w="2410" w:type="dxa"/>
          </w:tcPr>
          <w:p w:rsidR="003A369B" w:rsidRPr="00810F56" w:rsidRDefault="003A369B" w:rsidP="00EB5A53">
            <w:pPr>
              <w:keepLines/>
              <w:spacing w:after="0" w:line="240" w:lineRule="auto"/>
              <w:jc w:val="center"/>
              <w:rPr>
                <w:rFonts w:eastAsia="Times New Roman" w:cstheme="minorHAnsi"/>
                <w:b/>
                <w:sz w:val="20"/>
                <w:szCs w:val="20"/>
              </w:rPr>
            </w:pPr>
            <w:r w:rsidRPr="00810F56">
              <w:rPr>
                <w:rFonts w:eastAsia="Times New Roman" w:cstheme="minorHAnsi"/>
                <w:b/>
                <w:sz w:val="20"/>
                <w:szCs w:val="20"/>
              </w:rPr>
              <w:t>Enoxaparin</w:t>
            </w:r>
            <w:r w:rsidRPr="00810F56">
              <w:rPr>
                <w:rFonts w:eastAsia="Times New Roman" w:cstheme="minorHAnsi"/>
                <w:b/>
                <w:sz w:val="20"/>
                <w:szCs w:val="20"/>
              </w:rPr>
              <w:br/>
              <w:t>40 mg once daily</w:t>
            </w:r>
            <w:r w:rsidRPr="00810F56">
              <w:rPr>
                <w:rFonts w:eastAsia="Times New Roman" w:cstheme="minorHAnsi"/>
                <w:b/>
                <w:sz w:val="20"/>
                <w:szCs w:val="20"/>
                <w:vertAlign w:val="superscript"/>
              </w:rPr>
              <w:t>b</w:t>
            </w:r>
          </w:p>
        </w:tc>
      </w:tr>
      <w:tr w:rsidR="003A369B" w:rsidRPr="00810F56" w:rsidTr="003A369B">
        <w:trPr>
          <w:cantSplit/>
          <w:jc w:val="center"/>
        </w:trPr>
        <w:tc>
          <w:tcPr>
            <w:tcW w:w="2410" w:type="dxa"/>
          </w:tcPr>
          <w:p w:rsidR="003A369B" w:rsidRPr="00810F56" w:rsidRDefault="003A369B" w:rsidP="00EB5A53">
            <w:pPr>
              <w:keepLines/>
              <w:spacing w:after="0" w:line="240" w:lineRule="auto"/>
              <w:jc w:val="both"/>
              <w:rPr>
                <w:rFonts w:eastAsia="Times New Roman" w:cstheme="minorHAnsi"/>
                <w:sz w:val="20"/>
                <w:szCs w:val="20"/>
              </w:rPr>
            </w:pPr>
            <w:r w:rsidRPr="00810F56">
              <w:rPr>
                <w:rFonts w:eastAsia="Times New Roman" w:cstheme="minorHAnsi"/>
                <w:sz w:val="20"/>
                <w:szCs w:val="20"/>
              </w:rPr>
              <w:t>VTE (primary analysis)</w:t>
            </w:r>
          </w:p>
          <w:p w:rsidR="003A369B" w:rsidRPr="00810F56" w:rsidRDefault="003A369B" w:rsidP="00EB5A53">
            <w:pPr>
              <w:keepLines/>
              <w:spacing w:after="0" w:line="240" w:lineRule="auto"/>
              <w:jc w:val="both"/>
              <w:rPr>
                <w:rFonts w:eastAsia="Times New Roman" w:cstheme="minorHAnsi"/>
                <w:sz w:val="20"/>
                <w:szCs w:val="20"/>
              </w:rPr>
            </w:pPr>
          </w:p>
        </w:tc>
        <w:tc>
          <w:tcPr>
            <w:tcW w:w="2126" w:type="dxa"/>
          </w:tcPr>
          <w:p w:rsidR="003A369B" w:rsidRPr="00810F56" w:rsidRDefault="003A369B" w:rsidP="00EB5A53">
            <w:pPr>
              <w:keepLines/>
              <w:tabs>
                <w:tab w:val="decimal" w:pos="149"/>
              </w:tabs>
              <w:spacing w:after="0" w:line="240" w:lineRule="auto"/>
              <w:jc w:val="center"/>
              <w:rPr>
                <w:rFonts w:eastAsia="Times New Roman" w:cstheme="minorHAnsi"/>
                <w:sz w:val="20"/>
                <w:szCs w:val="20"/>
                <w:lang w:val="fr-FR"/>
              </w:rPr>
            </w:pPr>
            <w:r w:rsidRPr="00810F56">
              <w:rPr>
                <w:rFonts w:eastAsia="Times New Roman" w:cstheme="minorHAnsi"/>
                <w:sz w:val="20"/>
                <w:szCs w:val="20"/>
                <w:lang w:val="fr-FR"/>
              </w:rPr>
              <w:t>52/626 (8.3%)</w:t>
            </w:r>
          </w:p>
          <w:p w:rsidR="003A369B" w:rsidRPr="00810F56" w:rsidRDefault="003A369B" w:rsidP="00EB5A53">
            <w:pPr>
              <w:keepLines/>
              <w:tabs>
                <w:tab w:val="decimal" w:pos="149"/>
              </w:tabs>
              <w:spacing w:after="0" w:line="240" w:lineRule="auto"/>
              <w:jc w:val="center"/>
              <w:rPr>
                <w:rFonts w:eastAsia="Times New Roman" w:cstheme="minorHAnsi"/>
                <w:sz w:val="20"/>
                <w:szCs w:val="20"/>
                <w:vertAlign w:val="superscript"/>
                <w:lang w:val="fr-FR"/>
              </w:rPr>
            </w:pPr>
            <w:r w:rsidRPr="00810F56">
              <w:rPr>
                <w:rFonts w:eastAsia="Times New Roman" w:cstheme="minorHAnsi"/>
                <w:sz w:val="20"/>
                <w:szCs w:val="20"/>
                <w:lang w:val="fr-FR"/>
              </w:rPr>
              <w:t>[6.3, 10.8]</w:t>
            </w:r>
            <w:r w:rsidRPr="00810F56">
              <w:rPr>
                <w:rFonts w:eastAsia="Times New Roman" w:cstheme="minorHAnsi"/>
                <w:sz w:val="20"/>
                <w:szCs w:val="20"/>
                <w:vertAlign w:val="superscript"/>
                <w:lang w:val="fr-FR"/>
              </w:rPr>
              <w:t>c</w:t>
            </w:r>
          </w:p>
          <w:p w:rsidR="003A369B" w:rsidRPr="00810F56" w:rsidRDefault="003A369B" w:rsidP="00EB5A53">
            <w:pPr>
              <w:keepLines/>
              <w:tabs>
                <w:tab w:val="decimal" w:pos="149"/>
              </w:tabs>
              <w:spacing w:after="0" w:line="240" w:lineRule="auto"/>
              <w:jc w:val="center"/>
              <w:rPr>
                <w:rFonts w:eastAsia="Times New Roman" w:cstheme="minorHAnsi"/>
                <w:sz w:val="20"/>
                <w:szCs w:val="20"/>
                <w:lang w:val="fr-FR"/>
              </w:rPr>
            </w:pPr>
            <w:r w:rsidRPr="00810F56">
              <w:rPr>
                <w:rFonts w:eastAsia="Times New Roman" w:cstheme="minorHAnsi"/>
                <w:sz w:val="20"/>
                <w:szCs w:val="20"/>
                <w:lang w:val="fr-FR"/>
              </w:rPr>
              <w:t>p &lt; 0.0001</w:t>
            </w:r>
          </w:p>
        </w:tc>
        <w:tc>
          <w:tcPr>
            <w:tcW w:w="2410" w:type="dxa"/>
          </w:tcPr>
          <w:p w:rsidR="003A369B" w:rsidRPr="00810F56" w:rsidRDefault="003A369B" w:rsidP="00EB5A53">
            <w:pPr>
              <w:keepLines/>
              <w:tabs>
                <w:tab w:val="decimal" w:pos="149"/>
              </w:tabs>
              <w:spacing w:after="0" w:line="240" w:lineRule="auto"/>
              <w:jc w:val="center"/>
              <w:rPr>
                <w:rFonts w:eastAsia="Times New Roman" w:cstheme="minorHAnsi"/>
                <w:sz w:val="20"/>
                <w:szCs w:val="20"/>
                <w:lang w:val="fr-FR"/>
              </w:rPr>
            </w:pPr>
            <w:r w:rsidRPr="00810F56">
              <w:rPr>
                <w:rFonts w:eastAsia="Times New Roman" w:cstheme="minorHAnsi"/>
                <w:sz w:val="20"/>
                <w:szCs w:val="20"/>
                <w:lang w:val="fr-FR"/>
              </w:rPr>
              <w:t>119/624 (19.1%)</w:t>
            </w:r>
          </w:p>
          <w:p w:rsidR="003A369B" w:rsidRPr="00810F56" w:rsidRDefault="003A369B" w:rsidP="00EB5A53">
            <w:pPr>
              <w:keepLines/>
              <w:tabs>
                <w:tab w:val="decimal" w:pos="149"/>
              </w:tabs>
              <w:spacing w:after="0" w:line="240" w:lineRule="auto"/>
              <w:jc w:val="center"/>
              <w:rPr>
                <w:rFonts w:eastAsia="Times New Roman" w:cstheme="minorHAnsi"/>
                <w:sz w:val="20"/>
                <w:szCs w:val="20"/>
                <w:lang w:val="fr-FR"/>
              </w:rPr>
            </w:pPr>
            <w:r w:rsidRPr="00810F56">
              <w:rPr>
                <w:rFonts w:eastAsia="Times New Roman" w:cstheme="minorHAnsi"/>
                <w:sz w:val="20"/>
                <w:szCs w:val="20"/>
                <w:lang w:val="fr-FR"/>
              </w:rPr>
              <w:t>[16.1, 22.4]</w:t>
            </w:r>
          </w:p>
        </w:tc>
      </w:tr>
      <w:tr w:rsidR="003A369B" w:rsidRPr="00810F56" w:rsidTr="003A369B">
        <w:trPr>
          <w:cantSplit/>
          <w:jc w:val="center"/>
        </w:trPr>
        <w:tc>
          <w:tcPr>
            <w:tcW w:w="2410" w:type="dxa"/>
          </w:tcPr>
          <w:p w:rsidR="003A369B" w:rsidRPr="00810F56" w:rsidRDefault="003A369B" w:rsidP="00EB5A53">
            <w:pPr>
              <w:keepLines/>
              <w:spacing w:after="0" w:line="240" w:lineRule="auto"/>
              <w:jc w:val="both"/>
              <w:rPr>
                <w:rFonts w:eastAsia="Times New Roman" w:cstheme="minorHAnsi"/>
                <w:sz w:val="20"/>
                <w:szCs w:val="20"/>
                <w:lang w:val="fr-FR"/>
              </w:rPr>
            </w:pPr>
            <w:r w:rsidRPr="00810F56">
              <w:rPr>
                <w:rFonts w:eastAsia="Times New Roman" w:cstheme="minorHAnsi"/>
                <w:sz w:val="20"/>
                <w:szCs w:val="20"/>
                <w:lang w:val="fr-FR"/>
              </w:rPr>
              <w:t>DVT</w:t>
            </w:r>
          </w:p>
          <w:p w:rsidR="003A369B" w:rsidRPr="00810F56" w:rsidRDefault="003A369B" w:rsidP="00EB5A53">
            <w:pPr>
              <w:keepLines/>
              <w:spacing w:after="0" w:line="240" w:lineRule="auto"/>
              <w:jc w:val="both"/>
              <w:rPr>
                <w:rFonts w:eastAsia="Times New Roman" w:cstheme="minorHAnsi"/>
                <w:sz w:val="20"/>
                <w:szCs w:val="20"/>
                <w:lang w:val="fr-FR"/>
              </w:rPr>
            </w:pPr>
          </w:p>
        </w:tc>
        <w:tc>
          <w:tcPr>
            <w:tcW w:w="2126" w:type="dxa"/>
          </w:tcPr>
          <w:p w:rsidR="003A369B" w:rsidRPr="00810F56" w:rsidRDefault="003A369B" w:rsidP="00EB5A53">
            <w:pPr>
              <w:keepLines/>
              <w:tabs>
                <w:tab w:val="decimal" w:pos="7"/>
              </w:tabs>
              <w:spacing w:after="0" w:line="240" w:lineRule="auto"/>
              <w:jc w:val="center"/>
              <w:rPr>
                <w:rFonts w:eastAsia="Times New Roman" w:cstheme="minorHAnsi"/>
                <w:sz w:val="20"/>
                <w:szCs w:val="20"/>
                <w:lang w:val="fr-FR"/>
              </w:rPr>
            </w:pPr>
            <w:r w:rsidRPr="00810F56">
              <w:rPr>
                <w:rFonts w:eastAsia="Times New Roman" w:cstheme="minorHAnsi"/>
                <w:sz w:val="20"/>
                <w:szCs w:val="20"/>
                <w:lang w:val="fr-FR"/>
              </w:rPr>
              <w:t>49/624 (7.9%)</w:t>
            </w:r>
          </w:p>
          <w:p w:rsidR="003A369B" w:rsidRPr="00810F56" w:rsidRDefault="003A369B" w:rsidP="00EB5A53">
            <w:pPr>
              <w:keepLines/>
              <w:tabs>
                <w:tab w:val="decimal" w:pos="7"/>
              </w:tabs>
              <w:spacing w:after="0" w:line="240" w:lineRule="auto"/>
              <w:jc w:val="center"/>
              <w:rPr>
                <w:rFonts w:eastAsia="Times New Roman" w:cstheme="minorHAnsi"/>
                <w:sz w:val="20"/>
                <w:szCs w:val="20"/>
                <w:lang w:val="fr-FR"/>
              </w:rPr>
            </w:pPr>
            <w:r w:rsidRPr="00810F56">
              <w:rPr>
                <w:rFonts w:eastAsia="Times New Roman" w:cstheme="minorHAnsi"/>
                <w:sz w:val="20"/>
                <w:szCs w:val="20"/>
                <w:lang w:val="fr-FR"/>
              </w:rPr>
              <w:t>[5.9, 10.2]</w:t>
            </w:r>
          </w:p>
          <w:p w:rsidR="003A369B" w:rsidRPr="00810F56" w:rsidRDefault="003A369B" w:rsidP="00EB5A53">
            <w:pPr>
              <w:keepLines/>
              <w:tabs>
                <w:tab w:val="decimal" w:pos="7"/>
              </w:tabs>
              <w:spacing w:after="0" w:line="240" w:lineRule="auto"/>
              <w:jc w:val="center"/>
              <w:rPr>
                <w:rFonts w:eastAsia="Times New Roman" w:cstheme="minorHAnsi"/>
                <w:sz w:val="20"/>
                <w:szCs w:val="20"/>
                <w:lang w:val="fr-FR"/>
              </w:rPr>
            </w:pPr>
            <w:r w:rsidRPr="00810F56">
              <w:rPr>
                <w:rFonts w:eastAsia="Times New Roman" w:cstheme="minorHAnsi"/>
                <w:sz w:val="20"/>
                <w:szCs w:val="20"/>
                <w:lang w:val="fr-FR"/>
              </w:rPr>
              <w:t>p &lt; 0.001</w:t>
            </w:r>
          </w:p>
        </w:tc>
        <w:tc>
          <w:tcPr>
            <w:tcW w:w="2410" w:type="dxa"/>
          </w:tcPr>
          <w:p w:rsidR="003A369B" w:rsidRPr="00810F56" w:rsidRDefault="003A369B" w:rsidP="00EB5A53">
            <w:pPr>
              <w:keepLines/>
              <w:tabs>
                <w:tab w:val="decimal" w:pos="7"/>
              </w:tabs>
              <w:spacing w:after="0" w:line="240" w:lineRule="auto"/>
              <w:jc w:val="center"/>
              <w:rPr>
                <w:rFonts w:eastAsia="Times New Roman" w:cstheme="minorHAnsi"/>
                <w:sz w:val="20"/>
                <w:szCs w:val="20"/>
                <w:lang w:val="fr-FR"/>
              </w:rPr>
            </w:pPr>
            <w:r w:rsidRPr="00810F56">
              <w:rPr>
                <w:rFonts w:eastAsia="Times New Roman" w:cstheme="minorHAnsi"/>
                <w:sz w:val="20"/>
                <w:szCs w:val="20"/>
                <w:lang w:val="fr-FR"/>
              </w:rPr>
              <w:t>117/623 (18.8%)</w:t>
            </w:r>
          </w:p>
          <w:p w:rsidR="003A369B" w:rsidRPr="00810F56" w:rsidRDefault="003A369B" w:rsidP="00EB5A53">
            <w:pPr>
              <w:keepLines/>
              <w:tabs>
                <w:tab w:val="decimal" w:pos="7"/>
              </w:tabs>
              <w:spacing w:after="0" w:line="240" w:lineRule="auto"/>
              <w:jc w:val="center"/>
              <w:rPr>
                <w:rFonts w:eastAsia="Times New Roman" w:cstheme="minorHAnsi"/>
                <w:sz w:val="20"/>
                <w:szCs w:val="20"/>
                <w:lang w:val="fr-FR"/>
              </w:rPr>
            </w:pPr>
            <w:r w:rsidRPr="00810F56">
              <w:rPr>
                <w:rFonts w:eastAsia="Times New Roman" w:cstheme="minorHAnsi"/>
                <w:sz w:val="20"/>
                <w:szCs w:val="20"/>
                <w:lang w:val="fr-FR"/>
              </w:rPr>
              <w:t>[15.8, 22.1]</w:t>
            </w:r>
          </w:p>
        </w:tc>
      </w:tr>
      <w:tr w:rsidR="003A369B" w:rsidRPr="00810F56" w:rsidTr="003A369B">
        <w:trPr>
          <w:cantSplit/>
          <w:jc w:val="center"/>
        </w:trPr>
        <w:tc>
          <w:tcPr>
            <w:tcW w:w="2410" w:type="dxa"/>
          </w:tcPr>
          <w:p w:rsidR="003A369B" w:rsidRPr="00810F56" w:rsidRDefault="003A369B" w:rsidP="00EB5A53">
            <w:pPr>
              <w:keepLines/>
              <w:spacing w:after="0" w:line="240" w:lineRule="auto"/>
              <w:jc w:val="both"/>
              <w:rPr>
                <w:rFonts w:eastAsia="Times New Roman" w:cstheme="minorHAnsi"/>
                <w:sz w:val="20"/>
                <w:szCs w:val="20"/>
                <w:lang w:val="fr-FR"/>
              </w:rPr>
            </w:pPr>
            <w:r w:rsidRPr="00810F56">
              <w:rPr>
                <w:rFonts w:eastAsia="Times New Roman" w:cstheme="minorHAnsi"/>
                <w:sz w:val="20"/>
                <w:szCs w:val="20"/>
                <w:lang w:val="fr-FR"/>
              </w:rPr>
              <w:t>Proximal DVT</w:t>
            </w:r>
          </w:p>
          <w:p w:rsidR="003A369B" w:rsidRPr="00810F56" w:rsidRDefault="003A369B" w:rsidP="00EB5A53">
            <w:pPr>
              <w:keepLines/>
              <w:spacing w:after="0" w:line="240" w:lineRule="auto"/>
              <w:jc w:val="both"/>
              <w:rPr>
                <w:rFonts w:eastAsia="Times New Roman" w:cstheme="minorHAnsi"/>
                <w:sz w:val="20"/>
                <w:szCs w:val="20"/>
                <w:lang w:val="fr-FR"/>
              </w:rPr>
            </w:pPr>
          </w:p>
        </w:tc>
        <w:tc>
          <w:tcPr>
            <w:tcW w:w="2126" w:type="dxa"/>
          </w:tcPr>
          <w:p w:rsidR="003A369B" w:rsidRPr="00810F56" w:rsidRDefault="003A369B" w:rsidP="00EB5A53">
            <w:pPr>
              <w:keepLines/>
              <w:tabs>
                <w:tab w:val="decimal" w:pos="0"/>
              </w:tabs>
              <w:spacing w:after="0" w:line="240" w:lineRule="auto"/>
              <w:jc w:val="center"/>
              <w:rPr>
                <w:rFonts w:eastAsia="Times New Roman" w:cstheme="minorHAnsi"/>
                <w:sz w:val="20"/>
                <w:szCs w:val="20"/>
                <w:lang w:val="fr-FR"/>
              </w:rPr>
            </w:pPr>
            <w:r w:rsidRPr="00810F56">
              <w:rPr>
                <w:rFonts w:eastAsia="Times New Roman" w:cstheme="minorHAnsi"/>
                <w:sz w:val="20"/>
                <w:szCs w:val="20"/>
                <w:lang w:val="fr-FR"/>
              </w:rPr>
              <w:t>6/650 (0.9%)</w:t>
            </w:r>
          </w:p>
          <w:p w:rsidR="003A369B" w:rsidRPr="00810F56" w:rsidRDefault="003A369B" w:rsidP="00EB5A53">
            <w:pPr>
              <w:keepLines/>
              <w:tabs>
                <w:tab w:val="decimal" w:pos="0"/>
              </w:tabs>
              <w:spacing w:after="0" w:line="240" w:lineRule="auto"/>
              <w:jc w:val="center"/>
              <w:rPr>
                <w:rFonts w:eastAsia="Times New Roman" w:cstheme="minorHAnsi"/>
                <w:sz w:val="20"/>
                <w:szCs w:val="20"/>
                <w:lang w:val="fr-FR"/>
              </w:rPr>
            </w:pPr>
            <w:r w:rsidRPr="00810F56">
              <w:rPr>
                <w:rFonts w:eastAsia="Times New Roman" w:cstheme="minorHAnsi"/>
                <w:sz w:val="20"/>
                <w:szCs w:val="20"/>
                <w:lang w:val="fr-FR"/>
              </w:rPr>
              <w:t>[0.3, 2.0]</w:t>
            </w:r>
          </w:p>
          <w:p w:rsidR="003A369B" w:rsidRPr="00810F56" w:rsidRDefault="003A369B" w:rsidP="00EB5A53">
            <w:pPr>
              <w:keepLines/>
              <w:tabs>
                <w:tab w:val="decimal" w:pos="0"/>
              </w:tabs>
              <w:spacing w:after="0" w:line="240" w:lineRule="auto"/>
              <w:jc w:val="center"/>
              <w:rPr>
                <w:rFonts w:eastAsia="Times New Roman" w:cstheme="minorHAnsi"/>
                <w:sz w:val="20"/>
                <w:szCs w:val="20"/>
              </w:rPr>
            </w:pPr>
            <w:r w:rsidRPr="00810F56">
              <w:rPr>
                <w:rFonts w:eastAsia="Times New Roman" w:cstheme="minorHAnsi"/>
                <w:sz w:val="20"/>
                <w:szCs w:val="20"/>
                <w:lang w:val="fr-FR"/>
              </w:rPr>
              <w:t>p = 0.001</w:t>
            </w:r>
          </w:p>
        </w:tc>
        <w:tc>
          <w:tcPr>
            <w:tcW w:w="2410" w:type="dxa"/>
          </w:tcPr>
          <w:p w:rsidR="003A369B" w:rsidRPr="00810F56" w:rsidRDefault="003A369B" w:rsidP="00EB5A53">
            <w:pPr>
              <w:keepLines/>
              <w:tabs>
                <w:tab w:val="decimal" w:pos="7"/>
              </w:tabs>
              <w:spacing w:after="0" w:line="240" w:lineRule="auto"/>
              <w:jc w:val="center"/>
              <w:rPr>
                <w:rFonts w:eastAsia="Times New Roman" w:cstheme="minorHAnsi"/>
                <w:sz w:val="20"/>
                <w:szCs w:val="20"/>
              </w:rPr>
            </w:pPr>
            <w:r w:rsidRPr="00810F56">
              <w:rPr>
                <w:rFonts w:eastAsia="Times New Roman" w:cstheme="minorHAnsi"/>
                <w:sz w:val="20"/>
                <w:szCs w:val="20"/>
              </w:rPr>
              <w:t>28/646 (4.3%)</w:t>
            </w:r>
          </w:p>
          <w:p w:rsidR="003A369B" w:rsidRPr="00810F56" w:rsidRDefault="003A369B" w:rsidP="00EB5A53">
            <w:pPr>
              <w:keepLines/>
              <w:tabs>
                <w:tab w:val="decimal" w:pos="7"/>
              </w:tabs>
              <w:spacing w:after="0" w:line="240" w:lineRule="auto"/>
              <w:jc w:val="center"/>
              <w:rPr>
                <w:rFonts w:eastAsia="Times New Roman" w:cstheme="minorHAnsi"/>
                <w:sz w:val="20"/>
                <w:szCs w:val="20"/>
              </w:rPr>
            </w:pPr>
            <w:r w:rsidRPr="00810F56">
              <w:rPr>
                <w:rFonts w:eastAsia="Times New Roman" w:cstheme="minorHAnsi"/>
                <w:sz w:val="20"/>
                <w:szCs w:val="20"/>
              </w:rPr>
              <w:t>[2.9, 6.2]</w:t>
            </w:r>
          </w:p>
        </w:tc>
      </w:tr>
      <w:tr w:rsidR="003A369B" w:rsidRPr="00810F56" w:rsidTr="003A369B">
        <w:trPr>
          <w:cantSplit/>
          <w:jc w:val="center"/>
        </w:trPr>
        <w:tc>
          <w:tcPr>
            <w:tcW w:w="2410" w:type="dxa"/>
          </w:tcPr>
          <w:p w:rsidR="003A369B" w:rsidRPr="00810F56" w:rsidRDefault="003A369B" w:rsidP="00EB5A53">
            <w:pPr>
              <w:keepLines/>
              <w:spacing w:after="0" w:line="240" w:lineRule="auto"/>
              <w:jc w:val="both"/>
              <w:rPr>
                <w:rFonts w:eastAsia="Times New Roman" w:cstheme="minorHAnsi"/>
                <w:sz w:val="20"/>
                <w:szCs w:val="20"/>
              </w:rPr>
            </w:pPr>
            <w:r w:rsidRPr="00810F56">
              <w:rPr>
                <w:rFonts w:eastAsia="Times New Roman" w:cstheme="minorHAnsi"/>
                <w:sz w:val="20"/>
                <w:szCs w:val="20"/>
              </w:rPr>
              <w:t>Pulmonary embolism</w:t>
            </w:r>
          </w:p>
        </w:tc>
        <w:tc>
          <w:tcPr>
            <w:tcW w:w="2126" w:type="dxa"/>
          </w:tcPr>
          <w:p w:rsidR="003A369B" w:rsidRPr="00810F56" w:rsidRDefault="003A369B" w:rsidP="00EB5A53">
            <w:pPr>
              <w:keepLines/>
              <w:tabs>
                <w:tab w:val="decimal" w:pos="0"/>
              </w:tabs>
              <w:spacing w:after="0" w:line="240" w:lineRule="auto"/>
              <w:jc w:val="center"/>
              <w:rPr>
                <w:rFonts w:eastAsia="Times New Roman" w:cstheme="minorHAnsi"/>
                <w:sz w:val="20"/>
                <w:szCs w:val="20"/>
              </w:rPr>
            </w:pPr>
            <w:r w:rsidRPr="00810F56">
              <w:rPr>
                <w:rFonts w:eastAsia="Times New Roman" w:cstheme="minorHAnsi"/>
                <w:sz w:val="20"/>
                <w:szCs w:val="20"/>
              </w:rPr>
              <w:t>3/831 (0.4%)</w:t>
            </w:r>
          </w:p>
          <w:p w:rsidR="003A369B" w:rsidRPr="00810F56" w:rsidRDefault="003A369B" w:rsidP="00EB5A53">
            <w:pPr>
              <w:keepLines/>
              <w:tabs>
                <w:tab w:val="decimal" w:pos="0"/>
              </w:tabs>
              <w:spacing w:after="0" w:line="240" w:lineRule="auto"/>
              <w:jc w:val="center"/>
              <w:rPr>
                <w:rFonts w:eastAsia="Times New Roman" w:cstheme="minorHAnsi"/>
                <w:sz w:val="20"/>
                <w:szCs w:val="20"/>
              </w:rPr>
            </w:pPr>
            <w:r w:rsidRPr="00810F56">
              <w:rPr>
                <w:rFonts w:eastAsia="Times New Roman" w:cstheme="minorHAnsi"/>
                <w:sz w:val="20"/>
                <w:szCs w:val="20"/>
              </w:rPr>
              <w:t>[0.1, 1.1]</w:t>
            </w:r>
          </w:p>
          <w:p w:rsidR="003A369B" w:rsidRPr="00810F56" w:rsidRDefault="003A369B" w:rsidP="00EB5A53">
            <w:pPr>
              <w:keepLines/>
              <w:tabs>
                <w:tab w:val="decimal" w:pos="0"/>
              </w:tabs>
              <w:spacing w:after="0" w:line="240" w:lineRule="auto"/>
              <w:jc w:val="center"/>
              <w:rPr>
                <w:rFonts w:eastAsia="Times New Roman" w:cstheme="minorHAnsi"/>
                <w:sz w:val="20"/>
                <w:szCs w:val="20"/>
              </w:rPr>
            </w:pPr>
            <w:r w:rsidRPr="00810F56">
              <w:rPr>
                <w:rFonts w:eastAsia="Times New Roman" w:cstheme="minorHAnsi"/>
                <w:sz w:val="20"/>
                <w:szCs w:val="20"/>
              </w:rPr>
              <w:t>p = NS</w:t>
            </w:r>
          </w:p>
        </w:tc>
        <w:tc>
          <w:tcPr>
            <w:tcW w:w="2410" w:type="dxa"/>
          </w:tcPr>
          <w:p w:rsidR="003A369B" w:rsidRPr="00810F56" w:rsidRDefault="003A369B" w:rsidP="00EB5A53">
            <w:pPr>
              <w:keepLines/>
              <w:tabs>
                <w:tab w:val="decimal" w:pos="7"/>
              </w:tabs>
              <w:spacing w:after="0" w:line="240" w:lineRule="auto"/>
              <w:jc w:val="center"/>
              <w:rPr>
                <w:rFonts w:eastAsia="Times New Roman" w:cstheme="minorHAnsi"/>
                <w:sz w:val="20"/>
                <w:szCs w:val="20"/>
              </w:rPr>
            </w:pPr>
            <w:r w:rsidRPr="00810F56">
              <w:rPr>
                <w:rFonts w:eastAsia="Times New Roman" w:cstheme="minorHAnsi"/>
                <w:sz w:val="20"/>
                <w:szCs w:val="20"/>
              </w:rPr>
              <w:t>3/840 (0.4%)</w:t>
            </w:r>
          </w:p>
          <w:p w:rsidR="003A369B" w:rsidRPr="00810F56" w:rsidRDefault="003A369B" w:rsidP="00EB5A53">
            <w:pPr>
              <w:keepLines/>
              <w:tabs>
                <w:tab w:val="decimal" w:pos="7"/>
              </w:tabs>
              <w:spacing w:after="0" w:line="240" w:lineRule="auto"/>
              <w:jc w:val="center"/>
              <w:rPr>
                <w:rFonts w:eastAsia="Times New Roman" w:cstheme="minorHAnsi"/>
                <w:sz w:val="20"/>
                <w:szCs w:val="20"/>
              </w:rPr>
            </w:pPr>
            <w:r w:rsidRPr="00810F56">
              <w:rPr>
                <w:rFonts w:eastAsia="Times New Roman" w:cstheme="minorHAnsi"/>
                <w:sz w:val="20"/>
                <w:szCs w:val="20"/>
              </w:rPr>
              <w:t>[0.1, 1.0]</w:t>
            </w:r>
          </w:p>
        </w:tc>
      </w:tr>
    </w:tbl>
    <w:p w:rsidR="003A369B" w:rsidRPr="000F5095" w:rsidRDefault="003A369B" w:rsidP="00EB5A53">
      <w:pPr>
        <w:keepLines/>
        <w:spacing w:after="0" w:line="240" w:lineRule="auto"/>
        <w:ind w:left="142" w:right="-1" w:hanging="142"/>
        <w:jc w:val="both"/>
        <w:rPr>
          <w:rFonts w:eastAsia="Times New Roman" w:cstheme="minorHAnsi"/>
          <w:sz w:val="20"/>
          <w:szCs w:val="20"/>
        </w:rPr>
      </w:pPr>
      <w:r w:rsidRPr="000F5095">
        <w:rPr>
          <w:rFonts w:eastAsia="Times New Roman" w:cstheme="minorHAnsi"/>
          <w:b/>
          <w:sz w:val="20"/>
          <w:szCs w:val="20"/>
          <w:vertAlign w:val="superscript"/>
        </w:rPr>
        <w:t>a</w:t>
      </w:r>
      <w:r w:rsidRPr="000F5095">
        <w:rPr>
          <w:rFonts w:eastAsia="Times New Roman" w:cstheme="minorHAnsi"/>
          <w:sz w:val="20"/>
          <w:szCs w:val="20"/>
        </w:rPr>
        <w:t xml:space="preserve"> Fondaparinux </w:t>
      </w:r>
      <w:r w:rsidRPr="000F5095">
        <w:rPr>
          <w:rFonts w:eastAsia="Times New Roman" w:cstheme="minorHAnsi"/>
          <w:sz w:val="20"/>
          <w:szCs w:val="20"/>
          <w:lang w:val="en-GB"/>
        </w:rPr>
        <w:t>randomised patients were to receive the first 2.5 mg injection 12 hours before the operation when surgery was delayed by more than 24 hours after admission except in case of spinal anaesthesia.</w:t>
      </w:r>
    </w:p>
    <w:p w:rsidR="003A369B" w:rsidRPr="000F5095" w:rsidRDefault="003A369B" w:rsidP="00EB5A53">
      <w:pPr>
        <w:keepLines/>
        <w:spacing w:after="0" w:line="240" w:lineRule="auto"/>
        <w:ind w:left="142" w:right="-1" w:hanging="142"/>
        <w:jc w:val="both"/>
        <w:rPr>
          <w:rFonts w:eastAsia="Times New Roman" w:cstheme="minorHAnsi"/>
          <w:sz w:val="20"/>
          <w:szCs w:val="20"/>
          <w:lang w:val="en-GB"/>
        </w:rPr>
      </w:pPr>
      <w:r w:rsidRPr="000F5095">
        <w:rPr>
          <w:rFonts w:eastAsia="Times New Roman" w:cstheme="minorHAnsi"/>
          <w:b/>
          <w:sz w:val="20"/>
          <w:szCs w:val="20"/>
          <w:vertAlign w:val="superscript"/>
        </w:rPr>
        <w:t>b</w:t>
      </w:r>
      <w:r w:rsidRPr="000F5095">
        <w:rPr>
          <w:rFonts w:eastAsia="Times New Roman" w:cstheme="minorHAnsi"/>
          <w:sz w:val="20"/>
          <w:szCs w:val="20"/>
        </w:rPr>
        <w:t xml:space="preserve"> </w:t>
      </w:r>
      <w:r w:rsidRPr="000F5095">
        <w:rPr>
          <w:rFonts w:eastAsia="Times New Roman" w:cstheme="minorHAnsi"/>
          <w:sz w:val="20"/>
          <w:szCs w:val="20"/>
          <w:lang w:val="en-GB"/>
        </w:rPr>
        <w:t>Enoxaparin randomised patients were to receive the first 40 mg injection 12 hours before the operation except in case of spinal anaesthesia (at the discretion of the investigator) or surgery performed within less than 12 hours after admission.</w:t>
      </w:r>
    </w:p>
    <w:p w:rsidR="003A369B" w:rsidRDefault="003A369B" w:rsidP="00EB5A53">
      <w:pPr>
        <w:keepLines/>
        <w:spacing w:after="0" w:line="240" w:lineRule="auto"/>
        <w:ind w:left="142" w:right="-1" w:hanging="142"/>
        <w:jc w:val="both"/>
        <w:rPr>
          <w:rFonts w:eastAsia="Times New Roman" w:cstheme="minorHAnsi"/>
          <w:sz w:val="20"/>
          <w:szCs w:val="20"/>
        </w:rPr>
      </w:pPr>
      <w:r w:rsidRPr="000F5095">
        <w:rPr>
          <w:rFonts w:eastAsia="Times New Roman" w:cstheme="minorHAnsi"/>
          <w:b/>
          <w:sz w:val="20"/>
          <w:szCs w:val="20"/>
          <w:vertAlign w:val="superscript"/>
        </w:rPr>
        <w:t xml:space="preserve"> c </w:t>
      </w:r>
      <w:r w:rsidRPr="000F5095">
        <w:rPr>
          <w:rFonts w:eastAsia="Times New Roman" w:cstheme="minorHAnsi"/>
          <w:sz w:val="20"/>
          <w:szCs w:val="20"/>
        </w:rPr>
        <w:t>numbers in square brackets indicate 95% confidence interval.</w:t>
      </w:r>
    </w:p>
    <w:p w:rsidR="003750C2" w:rsidRPr="00EB5A53" w:rsidRDefault="003750C2" w:rsidP="003A369B">
      <w:pPr>
        <w:spacing w:after="0"/>
        <w:jc w:val="both"/>
        <w:rPr>
          <w:rFonts w:eastAsia="Times New Roman" w:cstheme="minorHAnsi"/>
          <w:b/>
          <w:i/>
          <w:sz w:val="20"/>
          <w:szCs w:val="20"/>
          <w:vertAlign w:val="superscript"/>
        </w:rPr>
      </w:pPr>
    </w:p>
    <w:p w:rsidR="003A369B" w:rsidRPr="00A40594" w:rsidRDefault="003A369B" w:rsidP="00A40594">
      <w:pPr>
        <w:rPr>
          <w:b/>
          <w:lang w:val="en-US"/>
        </w:rPr>
      </w:pPr>
      <w:r w:rsidRPr="00A40594">
        <w:rPr>
          <w:b/>
          <w:lang w:val="en-US"/>
        </w:rPr>
        <w:t xml:space="preserve">Extended Prevention of Venous Thromboembolic Events in Hip Fracture Surgery – PENTHIFRA PLUS </w:t>
      </w:r>
    </w:p>
    <w:p w:rsidR="003750C2" w:rsidRDefault="003A369B" w:rsidP="00EB5A53">
      <w:pPr>
        <w:spacing w:line="240" w:lineRule="auto"/>
        <w:jc w:val="both"/>
        <w:rPr>
          <w:lang w:val="en-US"/>
        </w:rPr>
      </w:pPr>
      <w:r w:rsidRPr="00146CEE">
        <w:rPr>
          <w:lang w:val="en-US"/>
        </w:rPr>
        <w:t xml:space="preserve">A randomised double blind clinical trial involving 737 patients examined the additional effect of extending prophylaxis for VTE from 7 days to 28-31 days. After 7*1  days of treatment with </w:t>
      </w:r>
      <w:r>
        <w:rPr>
          <w:lang w:val="en-US"/>
        </w:rPr>
        <w:t>ARIXTRA</w:t>
      </w:r>
      <w:r w:rsidRPr="00146CEE">
        <w:rPr>
          <w:lang w:val="en-US"/>
        </w:rPr>
        <w:t xml:space="preserve"> 2.5 mg once daily following hip fracture surgery, patients were randomised to receive </w:t>
      </w:r>
      <w:r>
        <w:rPr>
          <w:lang w:val="en-US"/>
        </w:rPr>
        <w:t>ARIXTRA</w:t>
      </w:r>
      <w:r w:rsidRPr="00146CEE">
        <w:rPr>
          <w:lang w:val="en-US"/>
        </w:rPr>
        <w:t xml:space="preserve"> 2.5 mg once daily (n=327) or placebo (n=329) for an additional 21*2 days. After 28 days of treatment, fondaparinux provided a statistically significant reduction (p &lt; 0.001) of 96% in the rate of VTE compared to placebo. Fondaparinux also provided a statistically significant 89% reduction in the rate of symptomatic VTE, which was defined as DVT, fatal and non-fatal PE.</w:t>
      </w:r>
    </w:p>
    <w:p w:rsidR="003A369B" w:rsidRPr="00EB5A53" w:rsidRDefault="003A369B" w:rsidP="00EB5A53">
      <w:pPr>
        <w:keepNext/>
        <w:spacing w:after="0" w:line="240" w:lineRule="auto"/>
        <w:jc w:val="center"/>
        <w:rPr>
          <w:rFonts w:eastAsia="Times New Roman" w:cstheme="minorHAnsi"/>
          <w:b/>
          <w:sz w:val="20"/>
          <w:szCs w:val="20"/>
        </w:rPr>
      </w:pPr>
      <w:r w:rsidRPr="00EB5A53">
        <w:rPr>
          <w:rFonts w:eastAsia="Times New Roman" w:cstheme="minorHAnsi"/>
          <w:b/>
          <w:sz w:val="20"/>
          <w:szCs w:val="20"/>
        </w:rPr>
        <w:lastRenderedPageBreak/>
        <w:t>Table</w:t>
      </w:r>
      <w:r w:rsidRPr="00EB5A53">
        <w:rPr>
          <w:rFonts w:eastAsia="Times New Roman" w:cstheme="minorHAnsi"/>
          <w:sz w:val="20"/>
          <w:szCs w:val="20"/>
        </w:rPr>
        <w:t xml:space="preserve"> </w:t>
      </w:r>
      <w:r w:rsidRPr="00EB5A53">
        <w:rPr>
          <w:rFonts w:eastAsia="Times New Roman" w:cstheme="minorHAnsi"/>
          <w:b/>
          <w:sz w:val="20"/>
          <w:szCs w:val="20"/>
        </w:rPr>
        <w:t>12: Efficacy of ARIXTRA injection in Extended Prophylaxis of Thromboembolic events</w:t>
      </w:r>
      <w:r w:rsidR="00810F56">
        <w:rPr>
          <w:rFonts w:eastAsia="Times New Roman" w:cstheme="minorHAnsi"/>
          <w:b/>
          <w:sz w:val="20"/>
          <w:szCs w:val="20"/>
        </w:rPr>
        <w:t xml:space="preserve"> following hip fracture surgery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602"/>
        <w:gridCol w:w="2126"/>
        <w:gridCol w:w="2346"/>
      </w:tblGrid>
      <w:tr w:rsidR="003A369B" w:rsidRPr="00810F56" w:rsidTr="003A369B">
        <w:trPr>
          <w:cantSplit/>
          <w:jc w:val="center"/>
        </w:trPr>
        <w:tc>
          <w:tcPr>
            <w:tcW w:w="2602" w:type="dxa"/>
          </w:tcPr>
          <w:p w:rsidR="003A369B" w:rsidRPr="00810F56" w:rsidRDefault="003A369B">
            <w:pPr>
              <w:keepNext/>
              <w:keepLines/>
              <w:widowControl w:val="0"/>
              <w:tabs>
                <w:tab w:val="center" w:pos="4512"/>
              </w:tabs>
              <w:spacing w:after="0" w:line="240" w:lineRule="auto"/>
              <w:jc w:val="both"/>
              <w:outlineLvl w:val="0"/>
              <w:rPr>
                <w:rFonts w:eastAsia="Times New Roman" w:cstheme="minorHAnsi"/>
                <w:b/>
                <w:caps/>
                <w:sz w:val="20"/>
                <w:szCs w:val="20"/>
              </w:rPr>
            </w:pPr>
          </w:p>
        </w:tc>
        <w:tc>
          <w:tcPr>
            <w:tcW w:w="4472" w:type="dxa"/>
            <w:gridSpan w:val="2"/>
          </w:tcPr>
          <w:p w:rsidR="003A369B" w:rsidRPr="00810F56" w:rsidRDefault="003A369B">
            <w:pPr>
              <w:keepLines/>
              <w:spacing w:after="0" w:line="240" w:lineRule="auto"/>
              <w:jc w:val="center"/>
              <w:rPr>
                <w:rFonts w:eastAsia="Times New Roman" w:cstheme="minorHAnsi"/>
                <w:b/>
                <w:sz w:val="20"/>
                <w:szCs w:val="20"/>
              </w:rPr>
            </w:pPr>
            <w:r w:rsidRPr="00810F56">
              <w:rPr>
                <w:rFonts w:eastAsia="Times New Roman" w:cstheme="minorHAnsi"/>
                <w:b/>
                <w:sz w:val="20"/>
                <w:szCs w:val="20"/>
              </w:rPr>
              <w:t>Extended Prophylaxis</w:t>
            </w:r>
          </w:p>
          <w:p w:rsidR="003A369B" w:rsidRPr="00810F56" w:rsidRDefault="003A369B">
            <w:pPr>
              <w:keepLines/>
              <w:spacing w:after="0" w:line="240" w:lineRule="auto"/>
              <w:jc w:val="center"/>
              <w:rPr>
                <w:rFonts w:eastAsia="Times New Roman" w:cstheme="minorHAnsi"/>
                <w:b/>
                <w:sz w:val="20"/>
                <w:szCs w:val="20"/>
              </w:rPr>
            </w:pPr>
            <w:r w:rsidRPr="00810F56">
              <w:rPr>
                <w:rFonts w:eastAsia="Times New Roman" w:cstheme="minorHAnsi"/>
                <w:b/>
                <w:sz w:val="20"/>
                <w:szCs w:val="20"/>
              </w:rPr>
              <w:t>(Day 8 to Day 28 +/- 2 post-surgery)</w:t>
            </w:r>
            <w:r w:rsidRPr="00810F56">
              <w:rPr>
                <w:rFonts w:eastAsia="Times New Roman" w:cstheme="minorHAnsi"/>
                <w:b/>
                <w:sz w:val="20"/>
                <w:szCs w:val="20"/>
                <w:vertAlign w:val="superscript"/>
              </w:rPr>
              <w:t>1</w:t>
            </w:r>
          </w:p>
        </w:tc>
      </w:tr>
      <w:tr w:rsidR="003A369B" w:rsidRPr="00810F56" w:rsidTr="003A369B">
        <w:trPr>
          <w:cantSplit/>
          <w:jc w:val="center"/>
        </w:trPr>
        <w:tc>
          <w:tcPr>
            <w:tcW w:w="2602" w:type="dxa"/>
          </w:tcPr>
          <w:p w:rsidR="003A369B" w:rsidRPr="00810F56" w:rsidRDefault="003A369B" w:rsidP="00EB5A53">
            <w:pPr>
              <w:keepNext/>
              <w:keepLines/>
              <w:spacing w:after="0" w:line="240" w:lineRule="auto"/>
              <w:jc w:val="both"/>
              <w:outlineLvl w:val="1"/>
              <w:rPr>
                <w:rFonts w:eastAsia="Times New Roman" w:cstheme="minorHAnsi"/>
                <w:b/>
                <w:sz w:val="20"/>
                <w:szCs w:val="20"/>
              </w:rPr>
            </w:pPr>
            <w:r w:rsidRPr="00810F56">
              <w:rPr>
                <w:rFonts w:eastAsia="Times New Roman" w:cstheme="minorHAnsi"/>
                <w:b/>
                <w:sz w:val="20"/>
                <w:szCs w:val="20"/>
              </w:rPr>
              <w:t>Adjudicated Endpoint</w:t>
            </w:r>
          </w:p>
        </w:tc>
        <w:tc>
          <w:tcPr>
            <w:tcW w:w="2126" w:type="dxa"/>
          </w:tcPr>
          <w:p w:rsidR="003A369B" w:rsidRPr="00810F56" w:rsidRDefault="003A369B">
            <w:pPr>
              <w:keepLines/>
              <w:spacing w:after="0" w:line="240" w:lineRule="auto"/>
              <w:jc w:val="center"/>
              <w:rPr>
                <w:rFonts w:eastAsia="Times New Roman" w:cstheme="minorHAnsi"/>
                <w:b/>
                <w:sz w:val="20"/>
                <w:szCs w:val="20"/>
              </w:rPr>
            </w:pPr>
            <w:r w:rsidRPr="00810F56">
              <w:rPr>
                <w:rFonts w:eastAsia="Times New Roman" w:cstheme="minorHAnsi"/>
                <w:b/>
                <w:sz w:val="20"/>
                <w:szCs w:val="20"/>
              </w:rPr>
              <w:t>Fondaparinux</w:t>
            </w:r>
            <w:r w:rsidRPr="00810F56">
              <w:rPr>
                <w:rFonts w:eastAsia="Times New Roman" w:cstheme="minorHAnsi"/>
                <w:b/>
                <w:sz w:val="20"/>
                <w:szCs w:val="20"/>
              </w:rPr>
              <w:br/>
              <w:t>2.5 mg once daily</w:t>
            </w:r>
          </w:p>
        </w:tc>
        <w:tc>
          <w:tcPr>
            <w:tcW w:w="2346" w:type="dxa"/>
          </w:tcPr>
          <w:p w:rsidR="003A369B" w:rsidRPr="00810F56" w:rsidRDefault="003A369B">
            <w:pPr>
              <w:keepLines/>
              <w:spacing w:after="0" w:line="240" w:lineRule="auto"/>
              <w:jc w:val="center"/>
              <w:rPr>
                <w:rFonts w:eastAsia="Times New Roman" w:cstheme="minorHAnsi"/>
                <w:b/>
                <w:sz w:val="20"/>
                <w:szCs w:val="20"/>
              </w:rPr>
            </w:pPr>
            <w:r w:rsidRPr="00810F56">
              <w:rPr>
                <w:rFonts w:eastAsia="Times New Roman" w:cstheme="minorHAnsi"/>
                <w:b/>
                <w:sz w:val="20"/>
                <w:szCs w:val="20"/>
              </w:rPr>
              <w:t xml:space="preserve">Placebo </w:t>
            </w:r>
          </w:p>
          <w:p w:rsidR="003A369B" w:rsidRPr="00810F56" w:rsidRDefault="003A369B">
            <w:pPr>
              <w:keepLines/>
              <w:spacing w:after="0" w:line="240" w:lineRule="auto"/>
              <w:jc w:val="center"/>
              <w:rPr>
                <w:rFonts w:eastAsia="Times New Roman" w:cstheme="minorHAnsi"/>
                <w:b/>
                <w:sz w:val="20"/>
                <w:szCs w:val="20"/>
              </w:rPr>
            </w:pPr>
            <w:r w:rsidRPr="00810F56">
              <w:rPr>
                <w:rFonts w:eastAsia="Times New Roman" w:cstheme="minorHAnsi"/>
                <w:b/>
                <w:sz w:val="20"/>
                <w:szCs w:val="20"/>
              </w:rPr>
              <w:t>SC once daily</w:t>
            </w:r>
          </w:p>
        </w:tc>
      </w:tr>
      <w:tr w:rsidR="003A369B" w:rsidRPr="00810F56" w:rsidTr="003A369B">
        <w:trPr>
          <w:cantSplit/>
          <w:jc w:val="center"/>
        </w:trPr>
        <w:tc>
          <w:tcPr>
            <w:tcW w:w="2602" w:type="dxa"/>
          </w:tcPr>
          <w:p w:rsidR="003A369B" w:rsidRPr="00810F56" w:rsidRDefault="003A369B">
            <w:pPr>
              <w:keepLines/>
              <w:spacing w:after="0" w:line="240" w:lineRule="auto"/>
              <w:ind w:left="22"/>
              <w:jc w:val="both"/>
              <w:rPr>
                <w:rFonts w:eastAsia="Times New Roman" w:cstheme="minorHAnsi"/>
                <w:sz w:val="20"/>
                <w:szCs w:val="20"/>
              </w:rPr>
            </w:pPr>
            <w:r w:rsidRPr="00810F56">
              <w:rPr>
                <w:rFonts w:eastAsia="Times New Roman" w:cstheme="minorHAnsi"/>
                <w:sz w:val="20"/>
                <w:szCs w:val="20"/>
              </w:rPr>
              <w:t>All randomised treated hip fracture surgery patients</w:t>
            </w:r>
          </w:p>
        </w:tc>
        <w:tc>
          <w:tcPr>
            <w:tcW w:w="2126" w:type="dxa"/>
          </w:tcPr>
          <w:p w:rsidR="003A369B" w:rsidRPr="00810F56" w:rsidRDefault="003A369B">
            <w:pPr>
              <w:keepLines/>
              <w:tabs>
                <w:tab w:val="decimal" w:pos="149"/>
              </w:tabs>
              <w:spacing w:after="0" w:line="240" w:lineRule="auto"/>
              <w:jc w:val="center"/>
              <w:rPr>
                <w:rFonts w:eastAsia="Times New Roman" w:cstheme="minorHAnsi"/>
                <w:sz w:val="20"/>
                <w:szCs w:val="20"/>
              </w:rPr>
            </w:pPr>
            <w:r w:rsidRPr="00810F56">
              <w:rPr>
                <w:rFonts w:eastAsia="Times New Roman" w:cstheme="minorHAnsi"/>
                <w:sz w:val="20"/>
                <w:szCs w:val="20"/>
              </w:rPr>
              <w:t>N = 326</w:t>
            </w:r>
          </w:p>
        </w:tc>
        <w:tc>
          <w:tcPr>
            <w:tcW w:w="2346" w:type="dxa"/>
          </w:tcPr>
          <w:p w:rsidR="003A369B" w:rsidRPr="00810F56" w:rsidRDefault="003A369B">
            <w:pPr>
              <w:keepLines/>
              <w:tabs>
                <w:tab w:val="decimal" w:pos="149"/>
              </w:tabs>
              <w:spacing w:after="0" w:line="240" w:lineRule="auto"/>
              <w:jc w:val="center"/>
              <w:rPr>
                <w:rFonts w:eastAsia="Times New Roman" w:cstheme="minorHAnsi"/>
                <w:sz w:val="20"/>
                <w:szCs w:val="20"/>
              </w:rPr>
            </w:pPr>
            <w:r w:rsidRPr="00810F56">
              <w:rPr>
                <w:rFonts w:eastAsia="Times New Roman" w:cstheme="minorHAnsi"/>
                <w:sz w:val="20"/>
                <w:szCs w:val="20"/>
              </w:rPr>
              <w:t>N = 330</w:t>
            </w:r>
          </w:p>
        </w:tc>
      </w:tr>
      <w:tr w:rsidR="003A369B" w:rsidRPr="00810F56" w:rsidTr="003A369B">
        <w:trPr>
          <w:cantSplit/>
          <w:jc w:val="center"/>
        </w:trPr>
        <w:tc>
          <w:tcPr>
            <w:tcW w:w="2602" w:type="dxa"/>
          </w:tcPr>
          <w:p w:rsidR="003A369B" w:rsidRPr="00810F56" w:rsidRDefault="003A369B">
            <w:pPr>
              <w:keepLines/>
              <w:spacing w:after="0" w:line="240" w:lineRule="auto"/>
              <w:ind w:left="22"/>
              <w:jc w:val="both"/>
              <w:rPr>
                <w:rFonts w:eastAsia="Times New Roman" w:cstheme="minorHAnsi"/>
                <w:sz w:val="20"/>
                <w:szCs w:val="20"/>
              </w:rPr>
            </w:pPr>
            <w:r w:rsidRPr="00810F56">
              <w:rPr>
                <w:rFonts w:eastAsia="Times New Roman" w:cstheme="minorHAnsi"/>
                <w:sz w:val="20"/>
                <w:szCs w:val="20"/>
              </w:rPr>
              <w:t>VTE</w:t>
            </w:r>
            <w:r w:rsidRPr="00810F56">
              <w:rPr>
                <w:rFonts w:eastAsia="Times New Roman" w:cstheme="minorHAnsi"/>
                <w:sz w:val="20"/>
                <w:szCs w:val="20"/>
                <w:vertAlign w:val="superscript"/>
              </w:rPr>
              <w:t>2</w:t>
            </w:r>
            <w:r w:rsidRPr="00810F56">
              <w:rPr>
                <w:rFonts w:eastAsia="Times New Roman" w:cstheme="minorHAnsi"/>
                <w:sz w:val="20"/>
                <w:szCs w:val="20"/>
              </w:rPr>
              <w:t xml:space="preserve"> </w:t>
            </w:r>
          </w:p>
          <w:p w:rsidR="003A369B" w:rsidRPr="00810F56" w:rsidRDefault="003A369B">
            <w:pPr>
              <w:keepLines/>
              <w:spacing w:after="0" w:line="240" w:lineRule="auto"/>
              <w:ind w:left="22"/>
              <w:jc w:val="both"/>
              <w:rPr>
                <w:rFonts w:eastAsia="Times New Roman" w:cstheme="minorHAnsi"/>
                <w:sz w:val="20"/>
                <w:szCs w:val="20"/>
              </w:rPr>
            </w:pPr>
          </w:p>
        </w:tc>
        <w:tc>
          <w:tcPr>
            <w:tcW w:w="2126" w:type="dxa"/>
          </w:tcPr>
          <w:p w:rsidR="003A369B" w:rsidRPr="00810F56" w:rsidRDefault="003A369B">
            <w:pPr>
              <w:keepLines/>
              <w:tabs>
                <w:tab w:val="decimal" w:pos="149"/>
              </w:tabs>
              <w:spacing w:after="0" w:line="240" w:lineRule="auto"/>
              <w:jc w:val="center"/>
              <w:rPr>
                <w:rFonts w:eastAsia="Times New Roman" w:cstheme="minorHAnsi"/>
                <w:sz w:val="20"/>
                <w:szCs w:val="20"/>
              </w:rPr>
            </w:pPr>
            <w:r w:rsidRPr="00810F56">
              <w:rPr>
                <w:rFonts w:eastAsia="Times New Roman" w:cstheme="minorHAnsi"/>
                <w:sz w:val="20"/>
                <w:szCs w:val="20"/>
              </w:rPr>
              <w:t>3/208 (1.4%)</w:t>
            </w:r>
          </w:p>
          <w:p w:rsidR="003A369B" w:rsidRPr="00810F56" w:rsidRDefault="003A369B">
            <w:pPr>
              <w:keepLines/>
              <w:tabs>
                <w:tab w:val="decimal" w:pos="149"/>
              </w:tabs>
              <w:spacing w:after="0" w:line="240" w:lineRule="auto"/>
              <w:jc w:val="center"/>
              <w:rPr>
                <w:rFonts w:eastAsia="Times New Roman" w:cstheme="minorHAnsi"/>
                <w:sz w:val="20"/>
                <w:szCs w:val="20"/>
                <w:vertAlign w:val="superscript"/>
              </w:rPr>
            </w:pPr>
            <w:r w:rsidRPr="00810F56">
              <w:rPr>
                <w:rFonts w:eastAsia="Times New Roman" w:cstheme="minorHAnsi"/>
                <w:sz w:val="20"/>
                <w:szCs w:val="20"/>
              </w:rPr>
              <w:t>[0.3, 4.2]</w:t>
            </w:r>
          </w:p>
          <w:p w:rsidR="003A369B" w:rsidRPr="00810F56" w:rsidRDefault="003A369B">
            <w:pPr>
              <w:keepLines/>
              <w:tabs>
                <w:tab w:val="decimal" w:pos="149"/>
              </w:tabs>
              <w:spacing w:after="0" w:line="240" w:lineRule="auto"/>
              <w:jc w:val="center"/>
              <w:rPr>
                <w:rFonts w:eastAsia="Times New Roman" w:cstheme="minorHAnsi"/>
                <w:sz w:val="20"/>
                <w:szCs w:val="20"/>
              </w:rPr>
            </w:pPr>
            <w:r w:rsidRPr="00810F56">
              <w:rPr>
                <w:rFonts w:eastAsia="Times New Roman" w:cstheme="minorHAnsi"/>
                <w:sz w:val="20"/>
                <w:szCs w:val="20"/>
              </w:rPr>
              <w:t>p &lt; 0.001</w:t>
            </w:r>
          </w:p>
        </w:tc>
        <w:tc>
          <w:tcPr>
            <w:tcW w:w="2346" w:type="dxa"/>
          </w:tcPr>
          <w:p w:rsidR="003A369B" w:rsidRPr="00810F56" w:rsidRDefault="003A369B">
            <w:pPr>
              <w:keepLines/>
              <w:tabs>
                <w:tab w:val="decimal" w:pos="149"/>
              </w:tabs>
              <w:spacing w:after="0" w:line="240" w:lineRule="auto"/>
              <w:jc w:val="center"/>
              <w:rPr>
                <w:rFonts w:eastAsia="Times New Roman" w:cstheme="minorHAnsi"/>
                <w:sz w:val="20"/>
                <w:szCs w:val="20"/>
              </w:rPr>
            </w:pPr>
            <w:r w:rsidRPr="00810F56">
              <w:rPr>
                <w:rFonts w:eastAsia="Times New Roman" w:cstheme="minorHAnsi"/>
                <w:sz w:val="20"/>
                <w:szCs w:val="20"/>
              </w:rPr>
              <w:t>77/220 (35%)</w:t>
            </w:r>
          </w:p>
          <w:p w:rsidR="003A369B" w:rsidRPr="00810F56" w:rsidRDefault="003A369B">
            <w:pPr>
              <w:keepLines/>
              <w:tabs>
                <w:tab w:val="decimal" w:pos="149"/>
              </w:tabs>
              <w:spacing w:after="0" w:line="240" w:lineRule="auto"/>
              <w:jc w:val="center"/>
              <w:rPr>
                <w:rFonts w:eastAsia="Times New Roman" w:cstheme="minorHAnsi"/>
                <w:sz w:val="20"/>
                <w:szCs w:val="20"/>
              </w:rPr>
            </w:pPr>
            <w:r w:rsidRPr="00810F56">
              <w:rPr>
                <w:rFonts w:eastAsia="Times New Roman" w:cstheme="minorHAnsi"/>
                <w:sz w:val="20"/>
                <w:szCs w:val="20"/>
              </w:rPr>
              <w:t xml:space="preserve"> [28.7, 41.7]</w:t>
            </w:r>
          </w:p>
        </w:tc>
      </w:tr>
      <w:tr w:rsidR="003A369B" w:rsidRPr="00810F56" w:rsidTr="003A369B">
        <w:trPr>
          <w:cantSplit/>
          <w:jc w:val="center"/>
        </w:trPr>
        <w:tc>
          <w:tcPr>
            <w:tcW w:w="2602" w:type="dxa"/>
          </w:tcPr>
          <w:p w:rsidR="003A369B" w:rsidRPr="00810F56" w:rsidRDefault="003A369B">
            <w:pPr>
              <w:keepLines/>
              <w:spacing w:after="0" w:line="240" w:lineRule="auto"/>
              <w:ind w:left="22"/>
              <w:jc w:val="both"/>
              <w:rPr>
                <w:rFonts w:eastAsia="Times New Roman" w:cstheme="minorHAnsi"/>
                <w:sz w:val="20"/>
                <w:szCs w:val="20"/>
              </w:rPr>
            </w:pPr>
            <w:r w:rsidRPr="00810F56">
              <w:rPr>
                <w:rFonts w:eastAsia="Times New Roman" w:cstheme="minorHAnsi"/>
                <w:sz w:val="20"/>
                <w:szCs w:val="20"/>
              </w:rPr>
              <w:t>All DVT</w:t>
            </w:r>
          </w:p>
          <w:p w:rsidR="003A369B" w:rsidRPr="00810F56" w:rsidRDefault="003A369B">
            <w:pPr>
              <w:keepLines/>
              <w:spacing w:after="0" w:line="240" w:lineRule="auto"/>
              <w:ind w:left="22"/>
              <w:jc w:val="both"/>
              <w:rPr>
                <w:rFonts w:eastAsia="Times New Roman" w:cstheme="minorHAnsi"/>
                <w:sz w:val="20"/>
                <w:szCs w:val="20"/>
              </w:rPr>
            </w:pPr>
          </w:p>
        </w:tc>
        <w:tc>
          <w:tcPr>
            <w:tcW w:w="2126" w:type="dxa"/>
          </w:tcPr>
          <w:p w:rsidR="003A369B" w:rsidRPr="00810F56" w:rsidRDefault="003A369B">
            <w:pPr>
              <w:keepLines/>
              <w:tabs>
                <w:tab w:val="decimal" w:pos="7"/>
              </w:tabs>
              <w:spacing w:after="0" w:line="240" w:lineRule="auto"/>
              <w:jc w:val="center"/>
              <w:rPr>
                <w:rFonts w:eastAsia="Times New Roman" w:cstheme="minorHAnsi"/>
                <w:sz w:val="20"/>
                <w:szCs w:val="20"/>
              </w:rPr>
            </w:pPr>
            <w:r w:rsidRPr="00810F56">
              <w:rPr>
                <w:rFonts w:eastAsia="Times New Roman" w:cstheme="minorHAnsi"/>
                <w:sz w:val="20"/>
                <w:szCs w:val="20"/>
              </w:rPr>
              <w:t>3/208 (1.4%)</w:t>
            </w:r>
          </w:p>
          <w:p w:rsidR="003A369B" w:rsidRPr="00810F56" w:rsidRDefault="003A369B">
            <w:pPr>
              <w:keepLines/>
              <w:tabs>
                <w:tab w:val="decimal" w:pos="7"/>
              </w:tabs>
              <w:spacing w:after="0" w:line="240" w:lineRule="auto"/>
              <w:jc w:val="center"/>
              <w:rPr>
                <w:rFonts w:eastAsia="Times New Roman" w:cstheme="minorHAnsi"/>
                <w:sz w:val="20"/>
                <w:szCs w:val="20"/>
              </w:rPr>
            </w:pPr>
            <w:r w:rsidRPr="00810F56">
              <w:rPr>
                <w:rFonts w:eastAsia="Times New Roman" w:cstheme="minorHAnsi"/>
                <w:sz w:val="20"/>
                <w:szCs w:val="20"/>
              </w:rPr>
              <w:t>[0.3, 4.2]</w:t>
            </w:r>
          </w:p>
          <w:p w:rsidR="003A369B" w:rsidRPr="00810F56" w:rsidRDefault="003A369B">
            <w:pPr>
              <w:keepLines/>
              <w:tabs>
                <w:tab w:val="decimal" w:pos="7"/>
              </w:tabs>
              <w:spacing w:after="0" w:line="240" w:lineRule="auto"/>
              <w:jc w:val="center"/>
              <w:rPr>
                <w:rFonts w:eastAsia="Times New Roman" w:cstheme="minorHAnsi"/>
                <w:sz w:val="20"/>
                <w:szCs w:val="20"/>
              </w:rPr>
            </w:pPr>
            <w:r w:rsidRPr="00810F56">
              <w:rPr>
                <w:rFonts w:eastAsia="Times New Roman" w:cstheme="minorHAnsi"/>
                <w:sz w:val="20"/>
                <w:szCs w:val="20"/>
              </w:rPr>
              <w:t>p &lt; 0.001</w:t>
            </w:r>
          </w:p>
        </w:tc>
        <w:tc>
          <w:tcPr>
            <w:tcW w:w="2346" w:type="dxa"/>
          </w:tcPr>
          <w:p w:rsidR="003A369B" w:rsidRPr="00810F56" w:rsidRDefault="003A369B">
            <w:pPr>
              <w:keepLines/>
              <w:tabs>
                <w:tab w:val="decimal" w:pos="7"/>
              </w:tabs>
              <w:spacing w:after="0" w:line="240" w:lineRule="auto"/>
              <w:jc w:val="center"/>
              <w:rPr>
                <w:rFonts w:eastAsia="Times New Roman" w:cstheme="minorHAnsi"/>
                <w:sz w:val="20"/>
                <w:szCs w:val="20"/>
              </w:rPr>
            </w:pPr>
            <w:r w:rsidRPr="00810F56">
              <w:rPr>
                <w:rFonts w:eastAsia="Times New Roman" w:cstheme="minorHAnsi"/>
                <w:sz w:val="20"/>
                <w:szCs w:val="20"/>
              </w:rPr>
              <w:t>74/218 (33.9%)</w:t>
            </w:r>
          </w:p>
          <w:p w:rsidR="003A369B" w:rsidRPr="00810F56" w:rsidRDefault="003A369B">
            <w:pPr>
              <w:keepLines/>
              <w:tabs>
                <w:tab w:val="decimal" w:pos="7"/>
              </w:tabs>
              <w:spacing w:after="0" w:line="240" w:lineRule="auto"/>
              <w:jc w:val="center"/>
              <w:rPr>
                <w:rFonts w:eastAsia="Times New Roman" w:cstheme="minorHAnsi"/>
                <w:sz w:val="20"/>
                <w:szCs w:val="20"/>
              </w:rPr>
            </w:pPr>
            <w:r w:rsidRPr="00810F56">
              <w:rPr>
                <w:rFonts w:eastAsia="Times New Roman" w:cstheme="minorHAnsi"/>
                <w:sz w:val="20"/>
                <w:szCs w:val="20"/>
              </w:rPr>
              <w:t>[27.7, 40.6]</w:t>
            </w:r>
          </w:p>
        </w:tc>
      </w:tr>
      <w:tr w:rsidR="003A369B" w:rsidRPr="00810F56" w:rsidTr="003A369B">
        <w:trPr>
          <w:cantSplit/>
          <w:jc w:val="center"/>
        </w:trPr>
        <w:tc>
          <w:tcPr>
            <w:tcW w:w="2602" w:type="dxa"/>
          </w:tcPr>
          <w:p w:rsidR="003A369B" w:rsidRPr="00810F56" w:rsidRDefault="003A369B">
            <w:pPr>
              <w:keepLines/>
              <w:spacing w:after="0" w:line="240" w:lineRule="auto"/>
              <w:ind w:left="22"/>
              <w:jc w:val="both"/>
              <w:rPr>
                <w:rFonts w:eastAsia="Times New Roman" w:cstheme="minorHAnsi"/>
                <w:sz w:val="20"/>
                <w:szCs w:val="20"/>
              </w:rPr>
            </w:pPr>
            <w:r w:rsidRPr="00810F56">
              <w:rPr>
                <w:rFonts w:eastAsia="Times New Roman" w:cstheme="minorHAnsi"/>
                <w:sz w:val="20"/>
                <w:szCs w:val="20"/>
              </w:rPr>
              <w:t>Proximal DVT</w:t>
            </w:r>
          </w:p>
          <w:p w:rsidR="003A369B" w:rsidRPr="00810F56" w:rsidRDefault="003A369B">
            <w:pPr>
              <w:keepLines/>
              <w:spacing w:after="0" w:line="240" w:lineRule="auto"/>
              <w:ind w:left="22"/>
              <w:jc w:val="both"/>
              <w:rPr>
                <w:rFonts w:eastAsia="Times New Roman" w:cstheme="minorHAnsi"/>
                <w:sz w:val="20"/>
                <w:szCs w:val="20"/>
              </w:rPr>
            </w:pPr>
          </w:p>
        </w:tc>
        <w:tc>
          <w:tcPr>
            <w:tcW w:w="2126" w:type="dxa"/>
          </w:tcPr>
          <w:p w:rsidR="003A369B" w:rsidRPr="00810F56" w:rsidRDefault="003A369B">
            <w:pPr>
              <w:keepLines/>
              <w:tabs>
                <w:tab w:val="decimal" w:pos="0"/>
              </w:tabs>
              <w:spacing w:after="0" w:line="240" w:lineRule="auto"/>
              <w:jc w:val="center"/>
              <w:rPr>
                <w:rFonts w:eastAsia="Times New Roman" w:cstheme="minorHAnsi"/>
                <w:sz w:val="20"/>
                <w:szCs w:val="20"/>
              </w:rPr>
            </w:pPr>
            <w:r w:rsidRPr="00810F56">
              <w:rPr>
                <w:rFonts w:eastAsia="Times New Roman" w:cstheme="minorHAnsi"/>
                <w:sz w:val="20"/>
                <w:szCs w:val="20"/>
              </w:rPr>
              <w:t>2/221 (0.9%)</w:t>
            </w:r>
          </w:p>
          <w:p w:rsidR="003A369B" w:rsidRPr="00810F56" w:rsidRDefault="003A369B">
            <w:pPr>
              <w:keepLines/>
              <w:tabs>
                <w:tab w:val="decimal" w:pos="0"/>
              </w:tabs>
              <w:spacing w:after="0" w:line="240" w:lineRule="auto"/>
              <w:jc w:val="center"/>
              <w:rPr>
                <w:rFonts w:eastAsia="Times New Roman" w:cstheme="minorHAnsi"/>
                <w:sz w:val="20"/>
                <w:szCs w:val="20"/>
              </w:rPr>
            </w:pPr>
            <w:r w:rsidRPr="00810F56">
              <w:rPr>
                <w:rFonts w:eastAsia="Times New Roman" w:cstheme="minorHAnsi"/>
                <w:sz w:val="20"/>
                <w:szCs w:val="20"/>
              </w:rPr>
              <w:t>[0.1, 3.2]</w:t>
            </w:r>
          </w:p>
          <w:p w:rsidR="003A369B" w:rsidRPr="00810F56" w:rsidRDefault="003A369B">
            <w:pPr>
              <w:keepLines/>
              <w:tabs>
                <w:tab w:val="decimal" w:pos="0"/>
              </w:tabs>
              <w:spacing w:after="0" w:line="240" w:lineRule="auto"/>
              <w:jc w:val="center"/>
              <w:rPr>
                <w:rFonts w:eastAsia="Times New Roman" w:cstheme="minorHAnsi"/>
                <w:sz w:val="20"/>
                <w:szCs w:val="20"/>
              </w:rPr>
            </w:pPr>
            <w:r w:rsidRPr="00810F56">
              <w:rPr>
                <w:rFonts w:eastAsia="Times New Roman" w:cstheme="minorHAnsi"/>
                <w:sz w:val="20"/>
                <w:szCs w:val="20"/>
              </w:rPr>
              <w:t>p &lt; 0.001</w:t>
            </w:r>
          </w:p>
        </w:tc>
        <w:tc>
          <w:tcPr>
            <w:tcW w:w="2346" w:type="dxa"/>
          </w:tcPr>
          <w:p w:rsidR="003A369B" w:rsidRPr="00810F56" w:rsidRDefault="003A369B">
            <w:pPr>
              <w:keepLines/>
              <w:tabs>
                <w:tab w:val="decimal" w:pos="7"/>
              </w:tabs>
              <w:spacing w:after="0" w:line="240" w:lineRule="auto"/>
              <w:jc w:val="center"/>
              <w:rPr>
                <w:rFonts w:eastAsia="Times New Roman" w:cstheme="minorHAnsi"/>
                <w:sz w:val="20"/>
                <w:szCs w:val="20"/>
              </w:rPr>
            </w:pPr>
            <w:r w:rsidRPr="00810F56">
              <w:rPr>
                <w:rFonts w:eastAsia="Times New Roman" w:cstheme="minorHAnsi"/>
                <w:sz w:val="20"/>
                <w:szCs w:val="20"/>
              </w:rPr>
              <w:t>35/222 (15.8%)</w:t>
            </w:r>
          </w:p>
          <w:p w:rsidR="003A369B" w:rsidRPr="00810F56" w:rsidRDefault="003A369B">
            <w:pPr>
              <w:keepLines/>
              <w:tabs>
                <w:tab w:val="decimal" w:pos="7"/>
              </w:tabs>
              <w:spacing w:after="0" w:line="240" w:lineRule="auto"/>
              <w:jc w:val="center"/>
              <w:rPr>
                <w:rFonts w:eastAsia="Times New Roman" w:cstheme="minorHAnsi"/>
                <w:sz w:val="20"/>
                <w:szCs w:val="20"/>
              </w:rPr>
            </w:pPr>
            <w:r w:rsidRPr="00810F56">
              <w:rPr>
                <w:rFonts w:eastAsia="Times New Roman" w:cstheme="minorHAnsi"/>
                <w:sz w:val="20"/>
                <w:szCs w:val="20"/>
              </w:rPr>
              <w:t>[11.2, 21.2]</w:t>
            </w:r>
          </w:p>
        </w:tc>
      </w:tr>
      <w:tr w:rsidR="003A369B" w:rsidRPr="00810F56" w:rsidTr="003A369B">
        <w:trPr>
          <w:cantSplit/>
          <w:jc w:val="center"/>
        </w:trPr>
        <w:tc>
          <w:tcPr>
            <w:tcW w:w="2602" w:type="dxa"/>
          </w:tcPr>
          <w:p w:rsidR="003A369B" w:rsidRPr="00810F56" w:rsidRDefault="003A369B">
            <w:pPr>
              <w:keepLines/>
              <w:spacing w:after="0" w:line="240" w:lineRule="auto"/>
              <w:ind w:left="22"/>
              <w:jc w:val="both"/>
              <w:rPr>
                <w:rFonts w:eastAsia="Times New Roman" w:cstheme="minorHAnsi"/>
                <w:sz w:val="20"/>
                <w:szCs w:val="20"/>
              </w:rPr>
            </w:pPr>
            <w:r w:rsidRPr="00810F56">
              <w:rPr>
                <w:rFonts w:eastAsia="Times New Roman" w:cstheme="minorHAnsi"/>
                <w:sz w:val="20"/>
                <w:szCs w:val="20"/>
              </w:rPr>
              <w:t>Symptomatic VTE (all)</w:t>
            </w:r>
          </w:p>
        </w:tc>
        <w:tc>
          <w:tcPr>
            <w:tcW w:w="2126" w:type="dxa"/>
          </w:tcPr>
          <w:p w:rsidR="003A369B" w:rsidRPr="00810F56" w:rsidRDefault="003A369B">
            <w:pPr>
              <w:keepLines/>
              <w:tabs>
                <w:tab w:val="decimal" w:pos="0"/>
              </w:tabs>
              <w:spacing w:after="0" w:line="240" w:lineRule="auto"/>
              <w:jc w:val="center"/>
              <w:rPr>
                <w:rFonts w:eastAsia="Times New Roman" w:cstheme="minorHAnsi"/>
                <w:sz w:val="20"/>
                <w:szCs w:val="20"/>
              </w:rPr>
            </w:pPr>
            <w:r w:rsidRPr="00810F56">
              <w:rPr>
                <w:rFonts w:eastAsia="Times New Roman" w:cstheme="minorHAnsi"/>
                <w:sz w:val="20"/>
                <w:szCs w:val="20"/>
              </w:rPr>
              <w:t>1/326 (0.3%)</w:t>
            </w:r>
          </w:p>
          <w:p w:rsidR="003A369B" w:rsidRPr="00810F56" w:rsidRDefault="003A369B">
            <w:pPr>
              <w:keepLines/>
              <w:tabs>
                <w:tab w:val="decimal" w:pos="0"/>
              </w:tabs>
              <w:spacing w:after="0" w:line="240" w:lineRule="auto"/>
              <w:jc w:val="center"/>
              <w:rPr>
                <w:rFonts w:eastAsia="Times New Roman" w:cstheme="minorHAnsi"/>
                <w:sz w:val="20"/>
                <w:szCs w:val="20"/>
              </w:rPr>
            </w:pPr>
            <w:r w:rsidRPr="00810F56">
              <w:rPr>
                <w:rFonts w:eastAsia="Times New Roman" w:cstheme="minorHAnsi"/>
                <w:sz w:val="20"/>
                <w:szCs w:val="20"/>
              </w:rPr>
              <w:t>[0.0, 1.7]</w:t>
            </w:r>
          </w:p>
          <w:p w:rsidR="003A369B" w:rsidRPr="00810F56" w:rsidRDefault="003A369B">
            <w:pPr>
              <w:keepLines/>
              <w:tabs>
                <w:tab w:val="decimal" w:pos="0"/>
              </w:tabs>
              <w:spacing w:after="0" w:line="240" w:lineRule="auto"/>
              <w:jc w:val="center"/>
              <w:rPr>
                <w:rFonts w:eastAsia="Times New Roman" w:cstheme="minorHAnsi"/>
                <w:sz w:val="20"/>
                <w:szCs w:val="20"/>
              </w:rPr>
            </w:pPr>
            <w:r w:rsidRPr="00810F56">
              <w:rPr>
                <w:rFonts w:eastAsia="Times New Roman" w:cstheme="minorHAnsi"/>
                <w:sz w:val="20"/>
                <w:szCs w:val="20"/>
              </w:rPr>
              <w:t>p = 0.021</w:t>
            </w:r>
          </w:p>
        </w:tc>
        <w:tc>
          <w:tcPr>
            <w:tcW w:w="2346" w:type="dxa"/>
          </w:tcPr>
          <w:p w:rsidR="003A369B" w:rsidRPr="00810F56" w:rsidRDefault="003A369B">
            <w:pPr>
              <w:keepLines/>
              <w:tabs>
                <w:tab w:val="decimal" w:pos="7"/>
              </w:tabs>
              <w:spacing w:after="0" w:line="240" w:lineRule="auto"/>
              <w:jc w:val="center"/>
              <w:rPr>
                <w:rFonts w:eastAsia="Times New Roman" w:cstheme="minorHAnsi"/>
                <w:sz w:val="20"/>
                <w:szCs w:val="20"/>
              </w:rPr>
            </w:pPr>
            <w:r w:rsidRPr="00810F56">
              <w:rPr>
                <w:rFonts w:eastAsia="Times New Roman" w:cstheme="minorHAnsi"/>
                <w:sz w:val="20"/>
                <w:szCs w:val="20"/>
              </w:rPr>
              <w:t>9/330 (2.7%)</w:t>
            </w:r>
          </w:p>
          <w:p w:rsidR="003A369B" w:rsidRPr="00810F56" w:rsidRDefault="003A369B">
            <w:pPr>
              <w:keepLines/>
              <w:tabs>
                <w:tab w:val="decimal" w:pos="7"/>
              </w:tabs>
              <w:spacing w:after="0" w:line="240" w:lineRule="auto"/>
              <w:jc w:val="center"/>
              <w:rPr>
                <w:rFonts w:eastAsia="Times New Roman" w:cstheme="minorHAnsi"/>
                <w:sz w:val="20"/>
                <w:szCs w:val="20"/>
              </w:rPr>
            </w:pPr>
            <w:r w:rsidRPr="00810F56">
              <w:rPr>
                <w:rFonts w:eastAsia="Times New Roman" w:cstheme="minorHAnsi"/>
                <w:sz w:val="20"/>
                <w:szCs w:val="20"/>
              </w:rPr>
              <w:t>[1.3, 5.1]</w:t>
            </w:r>
          </w:p>
        </w:tc>
      </w:tr>
    </w:tbl>
    <w:p w:rsidR="003A369B" w:rsidRPr="000F5095" w:rsidRDefault="003A369B" w:rsidP="00EB5A53">
      <w:pPr>
        <w:keepLines/>
        <w:spacing w:after="0" w:line="240" w:lineRule="auto"/>
        <w:jc w:val="both"/>
        <w:rPr>
          <w:rFonts w:eastAsia="Times New Roman" w:cstheme="minorHAnsi"/>
          <w:i/>
          <w:sz w:val="20"/>
          <w:szCs w:val="20"/>
        </w:rPr>
      </w:pPr>
      <w:r w:rsidRPr="000F5095">
        <w:rPr>
          <w:rFonts w:eastAsia="Times New Roman" w:cstheme="minorHAnsi"/>
          <w:sz w:val="20"/>
          <w:szCs w:val="20"/>
          <w:vertAlign w:val="superscript"/>
        </w:rPr>
        <w:t xml:space="preserve">1 </w:t>
      </w:r>
      <w:r w:rsidRPr="000F5095">
        <w:rPr>
          <w:rFonts w:eastAsia="Times New Roman" w:cstheme="minorHAnsi"/>
          <w:sz w:val="20"/>
          <w:szCs w:val="20"/>
        </w:rPr>
        <w:t>Evaluable patients were those who were treated in the post-randomisation period, with an adequate efficacy assessment up to Day 24 following randomisation</w:t>
      </w:r>
      <w:r w:rsidRPr="000F5095">
        <w:rPr>
          <w:rFonts w:eastAsia="Times New Roman" w:cstheme="minorHAnsi"/>
          <w:i/>
          <w:sz w:val="20"/>
          <w:szCs w:val="20"/>
        </w:rPr>
        <w:t>.</w:t>
      </w:r>
    </w:p>
    <w:p w:rsidR="003A369B" w:rsidRDefault="003A369B">
      <w:pPr>
        <w:autoSpaceDE w:val="0"/>
        <w:autoSpaceDN w:val="0"/>
        <w:adjustRightInd w:val="0"/>
        <w:spacing w:after="0" w:line="240" w:lineRule="auto"/>
        <w:jc w:val="both"/>
        <w:rPr>
          <w:rFonts w:eastAsia="Times New Roman" w:cstheme="minorHAnsi"/>
          <w:sz w:val="20"/>
          <w:szCs w:val="20"/>
        </w:rPr>
      </w:pPr>
      <w:r w:rsidRPr="000F5095">
        <w:rPr>
          <w:rFonts w:eastAsia="Times New Roman" w:cstheme="minorHAnsi"/>
          <w:sz w:val="20"/>
          <w:szCs w:val="20"/>
          <w:vertAlign w:val="superscript"/>
        </w:rPr>
        <w:t xml:space="preserve">2 </w:t>
      </w:r>
      <w:r w:rsidRPr="000F5095">
        <w:rPr>
          <w:rFonts w:eastAsia="Times New Roman" w:cstheme="minorHAnsi"/>
          <w:sz w:val="20"/>
          <w:szCs w:val="20"/>
        </w:rPr>
        <w:t>VTE was a composite of documented DVT and/or documented symptomatic PE reported up to Day 24 following randomisation.</w:t>
      </w:r>
    </w:p>
    <w:p w:rsidR="003A369B" w:rsidRPr="000F5095" w:rsidRDefault="003A369B" w:rsidP="003A369B">
      <w:pPr>
        <w:autoSpaceDE w:val="0"/>
        <w:autoSpaceDN w:val="0"/>
        <w:adjustRightInd w:val="0"/>
        <w:spacing w:after="0" w:line="240" w:lineRule="auto"/>
        <w:jc w:val="both"/>
        <w:rPr>
          <w:rFonts w:eastAsia="Times New Roman" w:cstheme="minorHAnsi"/>
          <w:sz w:val="20"/>
          <w:szCs w:val="20"/>
          <w:lang w:val="en-US"/>
        </w:rPr>
      </w:pPr>
    </w:p>
    <w:p w:rsidR="003A369B" w:rsidRPr="00146CEE" w:rsidRDefault="003A369B" w:rsidP="00EB5A53">
      <w:pPr>
        <w:spacing w:line="240" w:lineRule="auto"/>
        <w:jc w:val="both"/>
        <w:rPr>
          <w:rFonts w:cstheme="minorHAnsi"/>
          <w:lang w:val="en-US"/>
        </w:rPr>
      </w:pPr>
      <w:r w:rsidRPr="00146CEE">
        <w:rPr>
          <w:rFonts w:cstheme="minorHAnsi"/>
          <w:lang w:val="en-US"/>
        </w:rPr>
        <w:t xml:space="preserve">Major bleeding, all at surgical sites, was observed in 8 patients (2.4%) treated with </w:t>
      </w:r>
      <w:r>
        <w:rPr>
          <w:rFonts w:cstheme="minorHAnsi"/>
          <w:lang w:val="en-US"/>
        </w:rPr>
        <w:t>ARIXTRA</w:t>
      </w:r>
      <w:r w:rsidRPr="00146CEE">
        <w:rPr>
          <w:rFonts w:cstheme="minorHAnsi"/>
          <w:lang w:val="en-US"/>
        </w:rPr>
        <w:t xml:space="preserve"> 2.5 mg compared to 2 (0.6%) with placebo (p=0.063). Permanent premature treatment cessation was observed in 2 of these patients in the </w:t>
      </w:r>
      <w:r>
        <w:rPr>
          <w:rFonts w:cstheme="minorHAnsi"/>
          <w:lang w:val="en-US"/>
        </w:rPr>
        <w:t>ARIXTRA</w:t>
      </w:r>
      <w:r w:rsidRPr="00146CEE">
        <w:rPr>
          <w:rFonts w:cstheme="minorHAnsi"/>
          <w:lang w:val="en-US"/>
        </w:rPr>
        <w:t xml:space="preserve"> group and in 1 patient in the placebo group. In each group, two of these major bleeding episodes (0.6%) led to surgical re-intervention. Death occurred in 5 randomised patients (1.5%) treated with </w:t>
      </w:r>
      <w:r>
        <w:rPr>
          <w:rFonts w:cstheme="minorHAnsi"/>
          <w:lang w:val="en-US"/>
        </w:rPr>
        <w:t>ARIXTRA</w:t>
      </w:r>
      <w:r w:rsidRPr="00146CEE">
        <w:rPr>
          <w:rFonts w:cstheme="minorHAnsi"/>
          <w:lang w:val="en-US"/>
        </w:rPr>
        <w:t xml:space="preserve"> 2.5 mg compared to 7 (2.1%) with placebo. The 2 excess deaths with placebo were due to PE.</w:t>
      </w:r>
    </w:p>
    <w:p w:rsidR="003A369B" w:rsidRPr="00A40594" w:rsidRDefault="003A369B" w:rsidP="00A40594">
      <w:pPr>
        <w:rPr>
          <w:b/>
          <w:lang w:val="en-US"/>
        </w:rPr>
      </w:pPr>
      <w:r w:rsidRPr="00A40594">
        <w:rPr>
          <w:b/>
          <w:lang w:val="en-US"/>
        </w:rPr>
        <w:t>Prevention of Venous Thromboembolic Events in Major Knee Surgery - PENTAMAKS</w:t>
      </w:r>
    </w:p>
    <w:p w:rsidR="003750C2" w:rsidRPr="00EB5A53" w:rsidRDefault="003A369B" w:rsidP="00EB5A53">
      <w:pPr>
        <w:spacing w:line="240" w:lineRule="auto"/>
        <w:jc w:val="both"/>
        <w:rPr>
          <w:rFonts w:cstheme="minorHAnsi"/>
          <w:lang w:val="en-US"/>
        </w:rPr>
      </w:pPr>
      <w:r w:rsidRPr="00146CEE">
        <w:rPr>
          <w:rFonts w:cstheme="minorHAnsi"/>
          <w:lang w:val="en-US"/>
        </w:rPr>
        <w:t xml:space="preserve">A randomised, double-blind clinical trial compared the efficacy of a subcutaneous once daily injection of fondaparinux 2.5 mg to enoxaparin 30 mg b.i.d. during 7*2 days in patients undergoing major knee surgery. </w:t>
      </w:r>
      <w:r>
        <w:rPr>
          <w:rFonts w:cstheme="minorHAnsi"/>
          <w:lang w:val="en-US"/>
        </w:rPr>
        <w:t>ARIXTRA</w:t>
      </w:r>
      <w:r w:rsidRPr="00146CEE">
        <w:rPr>
          <w:rFonts w:cstheme="minorHAnsi"/>
          <w:lang w:val="en-US"/>
        </w:rPr>
        <w:t xml:space="preserve"> was initiated 6 ± 2 hours (mean 6.25 hrs) after surgery in 94% of patients and enoxaparin sodium was initiated 12 to 24 hours (mean 21 hrs) after surgery in 96% of patients.  The effic</w:t>
      </w:r>
      <w:r>
        <w:rPr>
          <w:rFonts w:cstheme="minorHAnsi"/>
          <w:lang w:val="en-US"/>
        </w:rPr>
        <w:t>acy data are provided in Table 13</w:t>
      </w:r>
      <w:r w:rsidRPr="00146CEE">
        <w:rPr>
          <w:rFonts w:cstheme="minorHAnsi"/>
          <w:lang w:val="en-US"/>
        </w:rPr>
        <w:t>.</w:t>
      </w:r>
      <w:bookmarkStart w:id="9" w:name="_Ref482799885"/>
    </w:p>
    <w:p w:rsidR="003A369B" w:rsidRPr="00EB5A53" w:rsidRDefault="003A369B" w:rsidP="00EB5A53">
      <w:pPr>
        <w:keepNext/>
        <w:spacing w:before="120" w:after="0" w:line="240" w:lineRule="auto"/>
        <w:jc w:val="center"/>
        <w:rPr>
          <w:rFonts w:eastAsia="Times New Roman" w:cstheme="minorHAnsi"/>
          <w:b/>
          <w:sz w:val="20"/>
          <w:szCs w:val="20"/>
        </w:rPr>
      </w:pPr>
      <w:r w:rsidRPr="00EB5A53">
        <w:rPr>
          <w:rFonts w:eastAsia="Times New Roman" w:cstheme="minorHAnsi"/>
          <w:b/>
          <w:sz w:val="20"/>
          <w:szCs w:val="20"/>
        </w:rPr>
        <w:t>Table</w:t>
      </w:r>
      <w:bookmarkEnd w:id="9"/>
      <w:r w:rsidRPr="00EB5A53">
        <w:rPr>
          <w:rFonts w:eastAsia="Times New Roman" w:cstheme="minorHAnsi"/>
          <w:b/>
          <w:sz w:val="20"/>
          <w:szCs w:val="20"/>
        </w:rPr>
        <w:t xml:space="preserve"> 13: Efficacy of Fondaparinux injection in major knee surgery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09"/>
        <w:gridCol w:w="2268"/>
        <w:gridCol w:w="1985"/>
      </w:tblGrid>
      <w:tr w:rsidR="003A369B" w:rsidRPr="00810F56" w:rsidTr="00736CB6">
        <w:trPr>
          <w:cantSplit/>
          <w:tblHeader/>
          <w:jc w:val="center"/>
        </w:trPr>
        <w:tc>
          <w:tcPr>
            <w:tcW w:w="2409" w:type="dxa"/>
          </w:tcPr>
          <w:p w:rsidR="003A369B" w:rsidRPr="00810F56" w:rsidRDefault="003A369B" w:rsidP="00EB5A53">
            <w:pPr>
              <w:keepNext/>
              <w:keepLines/>
              <w:spacing w:after="0" w:line="240" w:lineRule="auto"/>
              <w:jc w:val="both"/>
              <w:outlineLvl w:val="1"/>
              <w:rPr>
                <w:rFonts w:eastAsia="Times New Roman" w:cstheme="minorHAnsi"/>
                <w:b/>
                <w:sz w:val="20"/>
                <w:szCs w:val="20"/>
              </w:rPr>
            </w:pPr>
            <w:r w:rsidRPr="00810F56">
              <w:rPr>
                <w:rFonts w:eastAsia="Times New Roman" w:cstheme="minorHAnsi"/>
                <w:b/>
                <w:sz w:val="20"/>
                <w:szCs w:val="20"/>
              </w:rPr>
              <w:t>Adjudicated Endpoint</w:t>
            </w:r>
          </w:p>
        </w:tc>
        <w:tc>
          <w:tcPr>
            <w:tcW w:w="2268" w:type="dxa"/>
          </w:tcPr>
          <w:p w:rsidR="003A369B" w:rsidRPr="00810F56" w:rsidRDefault="003A369B" w:rsidP="00EB5A53">
            <w:pPr>
              <w:keepLines/>
              <w:spacing w:after="0" w:line="240" w:lineRule="auto"/>
              <w:jc w:val="center"/>
              <w:rPr>
                <w:rFonts w:eastAsia="Times New Roman" w:cstheme="minorHAnsi"/>
                <w:b/>
                <w:sz w:val="20"/>
                <w:szCs w:val="20"/>
              </w:rPr>
            </w:pPr>
            <w:r w:rsidRPr="00810F56">
              <w:rPr>
                <w:rFonts w:eastAsia="Times New Roman" w:cstheme="minorHAnsi"/>
                <w:b/>
                <w:sz w:val="20"/>
                <w:szCs w:val="20"/>
              </w:rPr>
              <w:t>Fondaparinux</w:t>
            </w:r>
            <w:r w:rsidRPr="00810F56">
              <w:rPr>
                <w:rFonts w:eastAsia="Times New Roman" w:cstheme="minorHAnsi"/>
                <w:b/>
                <w:sz w:val="20"/>
                <w:szCs w:val="20"/>
              </w:rPr>
              <w:br/>
              <w:t>2.5 mg once daily</w:t>
            </w:r>
            <w:r w:rsidRPr="00810F56">
              <w:rPr>
                <w:rFonts w:eastAsia="Times New Roman" w:cstheme="minorHAnsi"/>
                <w:b/>
                <w:sz w:val="20"/>
                <w:szCs w:val="20"/>
                <w:vertAlign w:val="superscript"/>
              </w:rPr>
              <w:t>a</w:t>
            </w:r>
          </w:p>
        </w:tc>
        <w:tc>
          <w:tcPr>
            <w:tcW w:w="1985" w:type="dxa"/>
          </w:tcPr>
          <w:p w:rsidR="003A369B" w:rsidRPr="00810F56" w:rsidRDefault="003A369B" w:rsidP="00EB5A53">
            <w:pPr>
              <w:keepLines/>
              <w:spacing w:after="0" w:line="240" w:lineRule="auto"/>
              <w:jc w:val="center"/>
              <w:rPr>
                <w:rFonts w:eastAsia="Times New Roman" w:cstheme="minorHAnsi"/>
                <w:b/>
                <w:sz w:val="20"/>
                <w:szCs w:val="20"/>
              </w:rPr>
            </w:pPr>
            <w:r w:rsidRPr="00810F56">
              <w:rPr>
                <w:rFonts w:eastAsia="Times New Roman" w:cstheme="minorHAnsi"/>
                <w:b/>
                <w:sz w:val="20"/>
                <w:szCs w:val="20"/>
              </w:rPr>
              <w:t>Enoxaparin</w:t>
            </w:r>
            <w:r w:rsidRPr="00810F56">
              <w:rPr>
                <w:rFonts w:eastAsia="Times New Roman" w:cstheme="minorHAnsi"/>
                <w:b/>
                <w:sz w:val="20"/>
                <w:szCs w:val="20"/>
              </w:rPr>
              <w:br/>
              <w:t>30 mg b.i.d.</w:t>
            </w:r>
            <w:r w:rsidRPr="00810F56">
              <w:rPr>
                <w:rFonts w:eastAsia="Times New Roman" w:cstheme="minorHAnsi"/>
                <w:b/>
                <w:sz w:val="20"/>
                <w:szCs w:val="20"/>
                <w:vertAlign w:val="superscript"/>
              </w:rPr>
              <w:t>a, b</w:t>
            </w:r>
          </w:p>
        </w:tc>
      </w:tr>
      <w:tr w:rsidR="003A369B" w:rsidRPr="00810F56" w:rsidTr="00EB5A53">
        <w:trPr>
          <w:cantSplit/>
          <w:trHeight w:val="809"/>
          <w:jc w:val="center"/>
        </w:trPr>
        <w:tc>
          <w:tcPr>
            <w:tcW w:w="2409" w:type="dxa"/>
          </w:tcPr>
          <w:p w:rsidR="003A369B" w:rsidRPr="00810F56" w:rsidRDefault="003A369B" w:rsidP="00EB5A53">
            <w:pPr>
              <w:keepLines/>
              <w:spacing w:after="0" w:line="240" w:lineRule="auto"/>
              <w:jc w:val="both"/>
              <w:rPr>
                <w:rFonts w:eastAsia="Times New Roman" w:cstheme="minorHAnsi"/>
                <w:sz w:val="20"/>
                <w:szCs w:val="20"/>
              </w:rPr>
            </w:pPr>
            <w:r w:rsidRPr="00810F56">
              <w:rPr>
                <w:rFonts w:eastAsia="Times New Roman" w:cstheme="minorHAnsi"/>
                <w:sz w:val="20"/>
                <w:szCs w:val="20"/>
              </w:rPr>
              <w:t>VTE (primary analysis)</w:t>
            </w:r>
          </w:p>
          <w:p w:rsidR="003A369B" w:rsidRPr="00810F56" w:rsidRDefault="003A369B" w:rsidP="00EB5A53">
            <w:pPr>
              <w:keepLines/>
              <w:spacing w:after="0" w:line="240" w:lineRule="auto"/>
              <w:jc w:val="both"/>
              <w:rPr>
                <w:rFonts w:eastAsia="Times New Roman" w:cstheme="minorHAnsi"/>
                <w:sz w:val="20"/>
                <w:szCs w:val="20"/>
              </w:rPr>
            </w:pPr>
          </w:p>
        </w:tc>
        <w:tc>
          <w:tcPr>
            <w:tcW w:w="2268" w:type="dxa"/>
          </w:tcPr>
          <w:p w:rsidR="003750C2" w:rsidRDefault="003750C2" w:rsidP="00EB5A53">
            <w:pPr>
              <w:tabs>
                <w:tab w:val="decimal" w:pos="-147"/>
              </w:tabs>
              <w:spacing w:after="0" w:line="240" w:lineRule="auto"/>
              <w:jc w:val="center"/>
              <w:rPr>
                <w:rFonts w:eastAsia="Times New Roman" w:cstheme="minorHAnsi"/>
                <w:sz w:val="20"/>
                <w:szCs w:val="20"/>
                <w:lang w:val="fr-FR"/>
              </w:rPr>
            </w:pPr>
            <w:r>
              <w:rPr>
                <w:rFonts w:eastAsia="Times New Roman" w:cstheme="minorHAnsi"/>
                <w:sz w:val="20"/>
                <w:szCs w:val="20"/>
                <w:lang w:val="fr-FR"/>
              </w:rPr>
              <w:t>45/361 (12.5%)</w:t>
            </w:r>
          </w:p>
          <w:p w:rsidR="003A369B" w:rsidRPr="00810F56" w:rsidRDefault="003A369B" w:rsidP="00EB5A53">
            <w:pPr>
              <w:tabs>
                <w:tab w:val="decimal" w:pos="-147"/>
              </w:tabs>
              <w:spacing w:after="0" w:line="240" w:lineRule="auto"/>
              <w:jc w:val="center"/>
              <w:rPr>
                <w:rFonts w:eastAsia="Times New Roman" w:cstheme="minorHAnsi"/>
                <w:sz w:val="20"/>
                <w:szCs w:val="20"/>
                <w:lang w:val="fr-FR"/>
              </w:rPr>
            </w:pPr>
            <w:r w:rsidRPr="00810F56">
              <w:rPr>
                <w:rFonts w:eastAsia="Times New Roman" w:cstheme="minorHAnsi"/>
                <w:sz w:val="20"/>
                <w:szCs w:val="20"/>
                <w:lang w:val="fr-FR"/>
              </w:rPr>
              <w:t>[9.2, 16.3]</w:t>
            </w:r>
          </w:p>
          <w:p w:rsidR="003A369B" w:rsidRPr="00810F56" w:rsidRDefault="003A369B" w:rsidP="00EB5A53">
            <w:pPr>
              <w:tabs>
                <w:tab w:val="decimal" w:pos="-147"/>
              </w:tabs>
              <w:spacing w:after="0" w:line="240" w:lineRule="auto"/>
              <w:jc w:val="center"/>
              <w:rPr>
                <w:rFonts w:eastAsia="Times New Roman" w:cstheme="minorHAnsi"/>
                <w:sz w:val="20"/>
                <w:szCs w:val="20"/>
                <w:lang w:val="fr-FR"/>
              </w:rPr>
            </w:pPr>
            <w:r w:rsidRPr="00810F56">
              <w:rPr>
                <w:rFonts w:eastAsia="Times New Roman" w:cstheme="minorHAnsi"/>
                <w:sz w:val="20"/>
                <w:szCs w:val="20"/>
                <w:lang w:val="fr-FR"/>
              </w:rPr>
              <w:t>p &lt; 0.001</w:t>
            </w:r>
          </w:p>
        </w:tc>
        <w:tc>
          <w:tcPr>
            <w:tcW w:w="1985" w:type="dxa"/>
          </w:tcPr>
          <w:p w:rsidR="003750C2" w:rsidRDefault="003750C2" w:rsidP="00EB5A53">
            <w:pPr>
              <w:widowControl w:val="0"/>
              <w:spacing w:after="0" w:line="240" w:lineRule="auto"/>
              <w:jc w:val="center"/>
              <w:rPr>
                <w:rFonts w:eastAsia="Times New Roman" w:cstheme="minorHAnsi"/>
                <w:sz w:val="20"/>
                <w:szCs w:val="20"/>
                <w:lang w:val="fr-FR"/>
              </w:rPr>
            </w:pPr>
            <w:r>
              <w:rPr>
                <w:rFonts w:eastAsia="Times New Roman" w:cstheme="minorHAnsi"/>
                <w:sz w:val="20"/>
                <w:szCs w:val="20"/>
                <w:lang w:val="fr-FR"/>
              </w:rPr>
              <w:t>101/363 (27.8%)</w:t>
            </w:r>
          </w:p>
          <w:p w:rsidR="003A369B" w:rsidRPr="00810F56" w:rsidRDefault="003A369B" w:rsidP="00EB5A53">
            <w:pPr>
              <w:widowControl w:val="0"/>
              <w:spacing w:after="0" w:line="240" w:lineRule="auto"/>
              <w:jc w:val="center"/>
              <w:rPr>
                <w:rFonts w:eastAsia="Times New Roman" w:cstheme="minorHAnsi"/>
                <w:sz w:val="20"/>
                <w:szCs w:val="20"/>
                <w:lang w:val="fr-FR"/>
              </w:rPr>
            </w:pPr>
            <w:r w:rsidRPr="00810F56">
              <w:rPr>
                <w:rFonts w:eastAsia="Times New Roman" w:cstheme="minorHAnsi"/>
                <w:sz w:val="20"/>
                <w:szCs w:val="20"/>
                <w:lang w:val="fr-FR"/>
              </w:rPr>
              <w:t>[23.3, 32.7]</w:t>
            </w:r>
          </w:p>
        </w:tc>
      </w:tr>
      <w:tr w:rsidR="003A369B" w:rsidRPr="00810F56" w:rsidTr="003A369B">
        <w:trPr>
          <w:cantSplit/>
          <w:jc w:val="center"/>
        </w:trPr>
        <w:tc>
          <w:tcPr>
            <w:tcW w:w="2409" w:type="dxa"/>
          </w:tcPr>
          <w:p w:rsidR="003A369B" w:rsidRPr="00810F56" w:rsidRDefault="003A369B" w:rsidP="00EB5A53">
            <w:pPr>
              <w:keepLines/>
              <w:spacing w:after="0" w:line="240" w:lineRule="auto"/>
              <w:jc w:val="both"/>
              <w:rPr>
                <w:rFonts w:eastAsia="Times New Roman" w:cstheme="minorHAnsi"/>
                <w:sz w:val="20"/>
                <w:szCs w:val="20"/>
                <w:lang w:val="fr-FR"/>
              </w:rPr>
            </w:pPr>
            <w:r w:rsidRPr="00810F56">
              <w:rPr>
                <w:rFonts w:eastAsia="Times New Roman" w:cstheme="minorHAnsi"/>
                <w:sz w:val="20"/>
                <w:szCs w:val="20"/>
                <w:lang w:val="fr-FR"/>
              </w:rPr>
              <w:t>DVT</w:t>
            </w:r>
          </w:p>
        </w:tc>
        <w:tc>
          <w:tcPr>
            <w:tcW w:w="2268" w:type="dxa"/>
          </w:tcPr>
          <w:p w:rsidR="003A369B" w:rsidRPr="00810F56" w:rsidRDefault="003A369B" w:rsidP="00EB5A53">
            <w:pPr>
              <w:keepLines/>
              <w:tabs>
                <w:tab w:val="decimal" w:pos="-57"/>
              </w:tabs>
              <w:spacing w:after="0" w:line="240" w:lineRule="auto"/>
              <w:jc w:val="center"/>
              <w:rPr>
                <w:rFonts w:eastAsia="Times New Roman" w:cstheme="minorHAnsi"/>
                <w:sz w:val="20"/>
                <w:szCs w:val="20"/>
                <w:lang w:val="fr-FR"/>
              </w:rPr>
            </w:pPr>
            <w:r w:rsidRPr="00810F56">
              <w:rPr>
                <w:rFonts w:eastAsia="Times New Roman" w:cstheme="minorHAnsi"/>
                <w:sz w:val="20"/>
                <w:szCs w:val="20"/>
                <w:lang w:val="fr-FR"/>
              </w:rPr>
              <w:t>45/361(12.5%)</w:t>
            </w:r>
          </w:p>
          <w:p w:rsidR="003A369B" w:rsidRPr="00810F56" w:rsidRDefault="003A369B" w:rsidP="00EB5A53">
            <w:pPr>
              <w:keepLines/>
              <w:spacing w:after="0" w:line="240" w:lineRule="auto"/>
              <w:jc w:val="center"/>
              <w:rPr>
                <w:rFonts w:eastAsia="Times New Roman" w:cstheme="minorHAnsi"/>
                <w:sz w:val="20"/>
                <w:szCs w:val="20"/>
                <w:lang w:val="fr-FR"/>
              </w:rPr>
            </w:pPr>
            <w:r w:rsidRPr="00810F56">
              <w:rPr>
                <w:rFonts w:eastAsia="Times New Roman" w:cstheme="minorHAnsi"/>
                <w:sz w:val="20"/>
                <w:szCs w:val="20"/>
                <w:lang w:val="fr-FR"/>
              </w:rPr>
              <w:t>[9.2, 16.3]</w:t>
            </w:r>
          </w:p>
          <w:p w:rsidR="003A369B" w:rsidRPr="00810F56" w:rsidRDefault="003A369B" w:rsidP="00EB5A53">
            <w:pPr>
              <w:keepLines/>
              <w:spacing w:after="0" w:line="240" w:lineRule="auto"/>
              <w:jc w:val="center"/>
              <w:rPr>
                <w:rFonts w:eastAsia="Times New Roman" w:cstheme="minorHAnsi"/>
                <w:sz w:val="20"/>
                <w:szCs w:val="20"/>
                <w:lang w:val="fr-FR"/>
              </w:rPr>
            </w:pPr>
            <w:r w:rsidRPr="00810F56">
              <w:rPr>
                <w:rFonts w:eastAsia="Times New Roman" w:cstheme="minorHAnsi"/>
                <w:sz w:val="20"/>
                <w:szCs w:val="20"/>
              </w:rPr>
              <w:t>p &lt; 0.001</w:t>
            </w:r>
          </w:p>
        </w:tc>
        <w:tc>
          <w:tcPr>
            <w:tcW w:w="1985" w:type="dxa"/>
          </w:tcPr>
          <w:p w:rsidR="003A369B" w:rsidRPr="00810F56" w:rsidRDefault="003A369B" w:rsidP="00EB5A53">
            <w:pPr>
              <w:keepLines/>
              <w:tabs>
                <w:tab w:val="decimal" w:pos="-170"/>
              </w:tabs>
              <w:spacing w:after="0" w:line="240" w:lineRule="auto"/>
              <w:jc w:val="center"/>
              <w:rPr>
                <w:rFonts w:eastAsia="Times New Roman" w:cstheme="minorHAnsi"/>
                <w:sz w:val="20"/>
                <w:szCs w:val="20"/>
                <w:lang w:val="fr-FR"/>
              </w:rPr>
            </w:pPr>
            <w:r w:rsidRPr="00810F56">
              <w:rPr>
                <w:rFonts w:eastAsia="Times New Roman" w:cstheme="minorHAnsi"/>
                <w:sz w:val="20"/>
                <w:szCs w:val="20"/>
                <w:lang w:val="fr-FR"/>
              </w:rPr>
              <w:t>98/361(27.1%)</w:t>
            </w:r>
          </w:p>
          <w:p w:rsidR="003A369B" w:rsidRPr="00810F56" w:rsidRDefault="003A369B" w:rsidP="00EB5A53">
            <w:pPr>
              <w:keepLines/>
              <w:tabs>
                <w:tab w:val="decimal" w:pos="-80"/>
              </w:tabs>
              <w:spacing w:after="0" w:line="240" w:lineRule="auto"/>
              <w:jc w:val="center"/>
              <w:rPr>
                <w:rFonts w:eastAsia="Times New Roman" w:cstheme="minorHAnsi"/>
                <w:sz w:val="20"/>
                <w:szCs w:val="20"/>
                <w:lang w:val="fr-FR"/>
              </w:rPr>
            </w:pPr>
            <w:r w:rsidRPr="00810F56">
              <w:rPr>
                <w:rFonts w:eastAsia="Times New Roman" w:cstheme="minorHAnsi"/>
                <w:sz w:val="20"/>
                <w:szCs w:val="20"/>
                <w:lang w:val="fr-FR"/>
              </w:rPr>
              <w:t>[22.6, 32.0]</w:t>
            </w:r>
          </w:p>
        </w:tc>
      </w:tr>
      <w:tr w:rsidR="003A369B" w:rsidRPr="00810F56" w:rsidTr="003A369B">
        <w:trPr>
          <w:cantSplit/>
          <w:jc w:val="center"/>
        </w:trPr>
        <w:tc>
          <w:tcPr>
            <w:tcW w:w="2409" w:type="dxa"/>
          </w:tcPr>
          <w:p w:rsidR="003A369B" w:rsidRPr="00810F56" w:rsidRDefault="003A369B" w:rsidP="00EB5A53">
            <w:pPr>
              <w:keepLines/>
              <w:spacing w:after="0" w:line="240" w:lineRule="auto"/>
              <w:jc w:val="both"/>
              <w:rPr>
                <w:rFonts w:eastAsia="Times New Roman" w:cstheme="minorHAnsi"/>
                <w:sz w:val="20"/>
                <w:szCs w:val="20"/>
                <w:lang w:val="fr-FR"/>
              </w:rPr>
            </w:pPr>
            <w:r w:rsidRPr="00810F56">
              <w:rPr>
                <w:rFonts w:eastAsia="Times New Roman" w:cstheme="minorHAnsi"/>
                <w:sz w:val="20"/>
                <w:szCs w:val="20"/>
                <w:lang w:val="fr-FR"/>
              </w:rPr>
              <w:lastRenderedPageBreak/>
              <w:t>Proximal DVT</w:t>
            </w:r>
          </w:p>
        </w:tc>
        <w:tc>
          <w:tcPr>
            <w:tcW w:w="2268" w:type="dxa"/>
          </w:tcPr>
          <w:p w:rsidR="003A369B" w:rsidRPr="00810F56" w:rsidRDefault="003A369B" w:rsidP="00EB5A53">
            <w:pPr>
              <w:keepLines/>
              <w:tabs>
                <w:tab w:val="decimal" w:pos="-147"/>
              </w:tabs>
              <w:spacing w:after="0" w:line="240" w:lineRule="auto"/>
              <w:jc w:val="center"/>
              <w:rPr>
                <w:rFonts w:eastAsia="Times New Roman" w:cstheme="minorHAnsi"/>
                <w:sz w:val="20"/>
                <w:szCs w:val="20"/>
              </w:rPr>
            </w:pPr>
            <w:r w:rsidRPr="00810F56">
              <w:rPr>
                <w:rFonts w:eastAsia="Times New Roman" w:cstheme="minorHAnsi"/>
                <w:sz w:val="20"/>
                <w:szCs w:val="20"/>
              </w:rPr>
              <w:t>9/368 (2.4%)</w:t>
            </w:r>
          </w:p>
          <w:p w:rsidR="003A369B" w:rsidRPr="00810F56" w:rsidRDefault="003A369B" w:rsidP="00EB5A53">
            <w:pPr>
              <w:keepLines/>
              <w:tabs>
                <w:tab w:val="decimal" w:pos="-57"/>
              </w:tabs>
              <w:spacing w:after="0" w:line="240" w:lineRule="auto"/>
              <w:jc w:val="center"/>
              <w:rPr>
                <w:rFonts w:eastAsia="Times New Roman" w:cstheme="minorHAnsi"/>
                <w:sz w:val="20"/>
                <w:szCs w:val="20"/>
              </w:rPr>
            </w:pPr>
            <w:r w:rsidRPr="00810F56">
              <w:rPr>
                <w:rFonts w:eastAsia="Times New Roman" w:cstheme="minorHAnsi"/>
                <w:sz w:val="20"/>
                <w:szCs w:val="20"/>
              </w:rPr>
              <w:t>[1.1, 4.6]</w:t>
            </w:r>
          </w:p>
          <w:p w:rsidR="003A369B" w:rsidRPr="00810F56" w:rsidRDefault="003A369B" w:rsidP="00EB5A53">
            <w:pPr>
              <w:keepLines/>
              <w:tabs>
                <w:tab w:val="decimal" w:pos="-57"/>
              </w:tabs>
              <w:spacing w:after="0" w:line="240" w:lineRule="auto"/>
              <w:jc w:val="center"/>
              <w:rPr>
                <w:rFonts w:eastAsia="Times New Roman" w:cstheme="minorHAnsi"/>
                <w:sz w:val="20"/>
                <w:szCs w:val="20"/>
              </w:rPr>
            </w:pPr>
            <w:r w:rsidRPr="00810F56">
              <w:rPr>
                <w:rFonts w:eastAsia="Times New Roman" w:cstheme="minorHAnsi"/>
                <w:sz w:val="20"/>
                <w:szCs w:val="20"/>
              </w:rPr>
              <w:t>p = NS</w:t>
            </w:r>
          </w:p>
        </w:tc>
        <w:tc>
          <w:tcPr>
            <w:tcW w:w="1985" w:type="dxa"/>
          </w:tcPr>
          <w:p w:rsidR="003A369B" w:rsidRPr="00810F56" w:rsidRDefault="003A369B" w:rsidP="00EB5A53">
            <w:pPr>
              <w:keepLines/>
              <w:spacing w:after="0" w:line="240" w:lineRule="auto"/>
              <w:jc w:val="center"/>
              <w:rPr>
                <w:rFonts w:eastAsia="Times New Roman" w:cstheme="minorHAnsi"/>
                <w:sz w:val="20"/>
                <w:szCs w:val="20"/>
              </w:rPr>
            </w:pPr>
            <w:r w:rsidRPr="00810F56">
              <w:rPr>
                <w:rFonts w:eastAsia="Times New Roman" w:cstheme="minorHAnsi"/>
                <w:sz w:val="20"/>
                <w:szCs w:val="20"/>
              </w:rPr>
              <w:t>20/372 (5.4%)</w:t>
            </w:r>
          </w:p>
          <w:p w:rsidR="003A369B" w:rsidRPr="00810F56" w:rsidRDefault="003A369B" w:rsidP="00EB5A53">
            <w:pPr>
              <w:keepLines/>
              <w:tabs>
                <w:tab w:val="decimal" w:pos="-80"/>
              </w:tabs>
              <w:spacing w:after="0" w:line="240" w:lineRule="auto"/>
              <w:jc w:val="center"/>
              <w:rPr>
                <w:rFonts w:eastAsia="Times New Roman" w:cstheme="minorHAnsi"/>
                <w:sz w:val="20"/>
                <w:szCs w:val="20"/>
              </w:rPr>
            </w:pPr>
            <w:r w:rsidRPr="00810F56">
              <w:rPr>
                <w:rFonts w:eastAsia="Times New Roman" w:cstheme="minorHAnsi"/>
                <w:sz w:val="20"/>
                <w:szCs w:val="20"/>
              </w:rPr>
              <w:t>[3.3, 8.2]</w:t>
            </w:r>
          </w:p>
        </w:tc>
      </w:tr>
      <w:tr w:rsidR="003A369B" w:rsidRPr="00810F56" w:rsidTr="003A369B">
        <w:trPr>
          <w:cantSplit/>
          <w:jc w:val="center"/>
        </w:trPr>
        <w:tc>
          <w:tcPr>
            <w:tcW w:w="2409" w:type="dxa"/>
          </w:tcPr>
          <w:p w:rsidR="003A369B" w:rsidRPr="00810F56" w:rsidRDefault="003A369B" w:rsidP="00EB5A53">
            <w:pPr>
              <w:keepLines/>
              <w:spacing w:after="0" w:line="240" w:lineRule="auto"/>
              <w:jc w:val="both"/>
              <w:rPr>
                <w:rFonts w:eastAsia="Times New Roman" w:cstheme="minorHAnsi"/>
                <w:sz w:val="20"/>
                <w:szCs w:val="20"/>
              </w:rPr>
            </w:pPr>
            <w:r w:rsidRPr="00810F56">
              <w:rPr>
                <w:rFonts w:eastAsia="Times New Roman" w:cstheme="minorHAnsi"/>
                <w:sz w:val="20"/>
                <w:szCs w:val="20"/>
              </w:rPr>
              <w:t>Pulmonary embolism</w:t>
            </w:r>
          </w:p>
        </w:tc>
        <w:tc>
          <w:tcPr>
            <w:tcW w:w="2268" w:type="dxa"/>
          </w:tcPr>
          <w:p w:rsidR="003A369B" w:rsidRPr="00810F56" w:rsidRDefault="003A369B" w:rsidP="00EB5A53">
            <w:pPr>
              <w:keepLines/>
              <w:tabs>
                <w:tab w:val="decimal" w:pos="-147"/>
              </w:tabs>
              <w:spacing w:after="0" w:line="240" w:lineRule="auto"/>
              <w:jc w:val="center"/>
              <w:rPr>
                <w:rFonts w:eastAsia="Times New Roman" w:cstheme="minorHAnsi"/>
                <w:sz w:val="20"/>
                <w:szCs w:val="20"/>
              </w:rPr>
            </w:pPr>
            <w:r w:rsidRPr="00810F56">
              <w:rPr>
                <w:rFonts w:eastAsia="Times New Roman" w:cstheme="minorHAnsi"/>
                <w:sz w:val="20"/>
                <w:szCs w:val="20"/>
              </w:rPr>
              <w:t>1/517 (0.2%)</w:t>
            </w:r>
          </w:p>
          <w:p w:rsidR="003A369B" w:rsidRPr="00810F56" w:rsidRDefault="003A369B" w:rsidP="00EB5A53">
            <w:pPr>
              <w:keepLines/>
              <w:tabs>
                <w:tab w:val="decimal" w:pos="-147"/>
              </w:tabs>
              <w:spacing w:after="0" w:line="240" w:lineRule="auto"/>
              <w:jc w:val="center"/>
              <w:rPr>
                <w:rFonts w:eastAsia="Times New Roman" w:cstheme="minorHAnsi"/>
                <w:sz w:val="20"/>
                <w:szCs w:val="20"/>
              </w:rPr>
            </w:pPr>
            <w:r w:rsidRPr="00810F56">
              <w:rPr>
                <w:rFonts w:eastAsia="Times New Roman" w:cstheme="minorHAnsi"/>
                <w:sz w:val="20"/>
                <w:szCs w:val="20"/>
              </w:rPr>
              <w:t>[0.0, 1.1]</w:t>
            </w:r>
          </w:p>
          <w:p w:rsidR="003A369B" w:rsidRPr="00810F56" w:rsidRDefault="003A369B" w:rsidP="00EB5A53">
            <w:pPr>
              <w:keepLines/>
              <w:tabs>
                <w:tab w:val="decimal" w:pos="-147"/>
              </w:tabs>
              <w:spacing w:after="0" w:line="240" w:lineRule="auto"/>
              <w:jc w:val="center"/>
              <w:rPr>
                <w:rFonts w:eastAsia="Times New Roman" w:cstheme="minorHAnsi"/>
                <w:sz w:val="20"/>
                <w:szCs w:val="20"/>
              </w:rPr>
            </w:pPr>
            <w:r w:rsidRPr="00810F56">
              <w:rPr>
                <w:rFonts w:eastAsia="Times New Roman" w:cstheme="minorHAnsi"/>
                <w:sz w:val="20"/>
                <w:szCs w:val="20"/>
              </w:rPr>
              <w:t>p = NS</w:t>
            </w:r>
          </w:p>
        </w:tc>
        <w:tc>
          <w:tcPr>
            <w:tcW w:w="1985" w:type="dxa"/>
          </w:tcPr>
          <w:p w:rsidR="003A369B" w:rsidRPr="00810F56" w:rsidRDefault="003A369B" w:rsidP="00EB5A53">
            <w:pPr>
              <w:keepLines/>
              <w:spacing w:after="0" w:line="240" w:lineRule="auto"/>
              <w:jc w:val="center"/>
              <w:rPr>
                <w:rFonts w:eastAsia="Times New Roman" w:cstheme="minorHAnsi"/>
                <w:sz w:val="20"/>
                <w:szCs w:val="20"/>
              </w:rPr>
            </w:pPr>
            <w:r w:rsidRPr="00810F56">
              <w:rPr>
                <w:rFonts w:eastAsia="Times New Roman" w:cstheme="minorHAnsi"/>
                <w:sz w:val="20"/>
                <w:szCs w:val="20"/>
              </w:rPr>
              <w:t>4/517 (0.8%)</w:t>
            </w:r>
          </w:p>
          <w:p w:rsidR="003A369B" w:rsidRPr="00810F56" w:rsidRDefault="003A369B" w:rsidP="00EB5A53">
            <w:pPr>
              <w:keepLines/>
              <w:spacing w:after="0" w:line="240" w:lineRule="auto"/>
              <w:jc w:val="center"/>
              <w:rPr>
                <w:rFonts w:eastAsia="Times New Roman" w:cstheme="minorHAnsi"/>
                <w:sz w:val="20"/>
                <w:szCs w:val="20"/>
              </w:rPr>
            </w:pPr>
            <w:r w:rsidRPr="00810F56">
              <w:rPr>
                <w:rFonts w:eastAsia="Times New Roman" w:cstheme="minorHAnsi"/>
                <w:sz w:val="20"/>
                <w:szCs w:val="20"/>
              </w:rPr>
              <w:t>[0.2, 2.0]</w:t>
            </w:r>
          </w:p>
        </w:tc>
      </w:tr>
    </w:tbl>
    <w:p w:rsidR="003A369B" w:rsidRPr="000F5095" w:rsidRDefault="003A369B" w:rsidP="00EB5A53">
      <w:pPr>
        <w:keepLines/>
        <w:spacing w:after="0" w:line="240" w:lineRule="auto"/>
        <w:ind w:left="720" w:firstLine="698"/>
        <w:jc w:val="both"/>
        <w:rPr>
          <w:rFonts w:eastAsia="Times New Roman" w:cstheme="minorHAnsi"/>
          <w:sz w:val="20"/>
          <w:szCs w:val="20"/>
        </w:rPr>
      </w:pPr>
      <w:r w:rsidRPr="000F5095">
        <w:rPr>
          <w:rFonts w:eastAsia="Times New Roman" w:cstheme="minorHAnsi"/>
          <w:b/>
          <w:sz w:val="20"/>
          <w:szCs w:val="20"/>
          <w:vertAlign w:val="superscript"/>
        </w:rPr>
        <w:t xml:space="preserve">a </w:t>
      </w:r>
      <w:r w:rsidRPr="000F5095">
        <w:rPr>
          <w:rFonts w:eastAsia="Times New Roman" w:cstheme="minorHAnsi"/>
          <w:sz w:val="20"/>
          <w:szCs w:val="20"/>
        </w:rPr>
        <w:t xml:space="preserve">First injection was to be given post-operatively. </w:t>
      </w:r>
    </w:p>
    <w:p w:rsidR="003A369B" w:rsidRDefault="003A369B" w:rsidP="00EB5A53">
      <w:pPr>
        <w:keepLines/>
        <w:spacing w:after="0" w:line="240" w:lineRule="auto"/>
        <w:ind w:left="720" w:firstLine="698"/>
        <w:jc w:val="both"/>
        <w:rPr>
          <w:rFonts w:eastAsia="Times New Roman" w:cstheme="minorHAnsi"/>
          <w:sz w:val="20"/>
          <w:szCs w:val="20"/>
        </w:rPr>
      </w:pPr>
      <w:r w:rsidRPr="000F5095">
        <w:rPr>
          <w:rFonts w:eastAsia="Times New Roman" w:cstheme="minorHAnsi"/>
          <w:b/>
          <w:sz w:val="20"/>
          <w:szCs w:val="20"/>
          <w:vertAlign w:val="superscript"/>
        </w:rPr>
        <w:t xml:space="preserve">b </w:t>
      </w:r>
      <w:r w:rsidRPr="000F5095">
        <w:rPr>
          <w:rFonts w:eastAsia="Times New Roman" w:cstheme="minorHAnsi"/>
          <w:sz w:val="20"/>
          <w:szCs w:val="20"/>
        </w:rPr>
        <w:t>This dosage schedule is approved in North America but not in Australia.</w:t>
      </w:r>
    </w:p>
    <w:p w:rsidR="00810F56" w:rsidRPr="000F5095" w:rsidRDefault="00810F56" w:rsidP="00EB5A53">
      <w:pPr>
        <w:keepLines/>
        <w:spacing w:after="0" w:line="240" w:lineRule="auto"/>
        <w:ind w:left="720" w:firstLine="698"/>
        <w:jc w:val="both"/>
        <w:rPr>
          <w:rFonts w:eastAsia="Times New Roman" w:cstheme="minorHAnsi"/>
          <w:sz w:val="20"/>
          <w:szCs w:val="20"/>
        </w:rPr>
      </w:pPr>
    </w:p>
    <w:p w:rsidR="003A369B" w:rsidRPr="00A40594" w:rsidRDefault="003A369B" w:rsidP="00A40594">
      <w:pPr>
        <w:rPr>
          <w:b/>
          <w:lang w:val="en-US"/>
        </w:rPr>
      </w:pPr>
      <w:r w:rsidRPr="00A40594">
        <w:rPr>
          <w:b/>
          <w:lang w:val="en-US"/>
        </w:rPr>
        <w:t>Prevention of Venous Thromboembolic Events in Hip Replacement - PENTATHLON 2000 and EPHESUS</w:t>
      </w:r>
    </w:p>
    <w:p w:rsidR="003A369B" w:rsidRPr="00146CEE" w:rsidRDefault="003A369B" w:rsidP="00EB5A53">
      <w:pPr>
        <w:spacing w:line="240" w:lineRule="auto"/>
        <w:jc w:val="both"/>
        <w:rPr>
          <w:rFonts w:cstheme="minorHAnsi"/>
          <w:lang w:val="en-US"/>
        </w:rPr>
      </w:pPr>
      <w:r w:rsidRPr="00146CEE">
        <w:rPr>
          <w:rFonts w:cstheme="minorHAnsi"/>
          <w:lang w:val="en-US"/>
        </w:rPr>
        <w:t xml:space="preserve">In two randomised, double-blind, controlled clinical trials, the efficacy of a subcutaneous once daily injection of fondaparinux 2.5 mg was compared to either 30 mg b.i.d. or to 40 mg once daily subcutaneous injection of enoxaparin, during 7*2 days, in patients undergoing hip replacement surgery, respectively.  In Pentathlon 2000, </w:t>
      </w:r>
      <w:r>
        <w:rPr>
          <w:rFonts w:cstheme="minorHAnsi"/>
          <w:lang w:val="en-US"/>
        </w:rPr>
        <w:t>ARIXTRA</w:t>
      </w:r>
      <w:r w:rsidRPr="00146CEE">
        <w:rPr>
          <w:rFonts w:cstheme="minorHAnsi"/>
          <w:lang w:val="en-US"/>
        </w:rPr>
        <w:t xml:space="preserve"> was initiated 6 ± 2 hours (mean 6.5 hrs) after surgery in 92% of patients and enoxaparin sodium was initiated 12 to 24 hours (mean 20.25 hrs) after surgery in 97% of patients.</w:t>
      </w:r>
    </w:p>
    <w:p w:rsidR="00CE0EF5" w:rsidRDefault="003A369B" w:rsidP="00EB5A53">
      <w:pPr>
        <w:spacing w:after="0" w:line="240" w:lineRule="auto"/>
        <w:jc w:val="both"/>
        <w:rPr>
          <w:rFonts w:cstheme="minorHAnsi"/>
          <w:lang w:val="en-US"/>
        </w:rPr>
      </w:pPr>
      <w:r w:rsidRPr="00146CEE">
        <w:rPr>
          <w:rFonts w:cstheme="minorHAnsi"/>
          <w:lang w:val="en-US"/>
        </w:rPr>
        <w:t xml:space="preserve">In Ephesus, </w:t>
      </w:r>
      <w:r>
        <w:rPr>
          <w:rFonts w:cstheme="minorHAnsi"/>
          <w:lang w:val="en-US"/>
        </w:rPr>
        <w:t>ARIXTRA</w:t>
      </w:r>
      <w:r w:rsidRPr="00146CEE">
        <w:rPr>
          <w:rFonts w:cstheme="minorHAnsi"/>
          <w:lang w:val="en-US"/>
        </w:rPr>
        <w:t xml:space="preserve"> was initiated 6 ±2 hours (mean 6.25 hrs) after surgery in 86% of patients and enoxaparin sodium was initiated 12 hours before surgery in 78% of patients. The first post-operative enoxaparin sodium dose was given before 12 hours after surgery in 60% of patients and 12 to 24 hours after </w:t>
      </w:r>
      <w:r w:rsidRPr="000F5095">
        <w:rPr>
          <w:rFonts w:cstheme="minorHAnsi"/>
          <w:lang w:val="en-US"/>
        </w:rPr>
        <w:t>surgery in 35% of patients with a mean of 13 hours.  The effic</w:t>
      </w:r>
      <w:r>
        <w:rPr>
          <w:rFonts w:cstheme="minorHAnsi"/>
          <w:lang w:val="en-US"/>
        </w:rPr>
        <w:t>acy data are provided in Table 14</w:t>
      </w:r>
      <w:r w:rsidRPr="000F5095">
        <w:rPr>
          <w:rFonts w:cstheme="minorHAnsi"/>
          <w:lang w:val="en-US"/>
        </w:rPr>
        <w:t>.</w:t>
      </w:r>
    </w:p>
    <w:p w:rsidR="00CE0EF5" w:rsidRPr="000F5095" w:rsidRDefault="00CE0EF5" w:rsidP="00EB5A53">
      <w:pPr>
        <w:spacing w:after="0" w:line="240" w:lineRule="auto"/>
        <w:jc w:val="both"/>
        <w:rPr>
          <w:rFonts w:cstheme="minorHAnsi"/>
          <w:lang w:val="en-US"/>
        </w:rPr>
      </w:pPr>
    </w:p>
    <w:p w:rsidR="003A369B" w:rsidRPr="00EB5A53" w:rsidRDefault="003A369B" w:rsidP="00EB5A53">
      <w:pPr>
        <w:keepNext/>
        <w:spacing w:before="120" w:after="0" w:line="240" w:lineRule="auto"/>
        <w:jc w:val="center"/>
        <w:rPr>
          <w:rFonts w:eastAsia="Times New Roman" w:cstheme="minorHAnsi"/>
          <w:b/>
          <w:sz w:val="20"/>
          <w:szCs w:val="20"/>
        </w:rPr>
      </w:pPr>
      <w:bookmarkStart w:id="10" w:name="_Ref482800008"/>
      <w:r w:rsidRPr="00EB5A53">
        <w:rPr>
          <w:rFonts w:eastAsia="Times New Roman" w:cstheme="minorHAnsi"/>
          <w:b/>
          <w:sz w:val="20"/>
          <w:szCs w:val="20"/>
        </w:rPr>
        <w:t>Table</w:t>
      </w:r>
      <w:bookmarkEnd w:id="10"/>
      <w:r w:rsidRPr="00EB5A53">
        <w:rPr>
          <w:rFonts w:eastAsia="Times New Roman" w:cstheme="minorHAnsi"/>
          <w:b/>
          <w:sz w:val="20"/>
          <w:szCs w:val="20"/>
        </w:rPr>
        <w:t xml:space="preserve"> 14: Efficacy of  Fondaparinux Injection in hip replacement surgery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741"/>
        <w:gridCol w:w="1741"/>
        <w:gridCol w:w="1741"/>
        <w:gridCol w:w="1741"/>
        <w:gridCol w:w="1741"/>
      </w:tblGrid>
      <w:tr w:rsidR="003A369B" w:rsidRPr="003750C2" w:rsidTr="003A369B">
        <w:trPr>
          <w:cantSplit/>
          <w:jc w:val="center"/>
        </w:trPr>
        <w:tc>
          <w:tcPr>
            <w:tcW w:w="1741" w:type="dxa"/>
          </w:tcPr>
          <w:p w:rsidR="003A369B" w:rsidRPr="003750C2" w:rsidRDefault="003A369B" w:rsidP="00EB5A53">
            <w:pPr>
              <w:keepLines/>
              <w:spacing w:after="0" w:line="240" w:lineRule="auto"/>
              <w:ind w:right="-107"/>
              <w:jc w:val="center"/>
              <w:rPr>
                <w:rFonts w:eastAsia="Times New Roman" w:cstheme="minorHAnsi"/>
                <w:b/>
                <w:sz w:val="20"/>
                <w:szCs w:val="20"/>
              </w:rPr>
            </w:pPr>
          </w:p>
        </w:tc>
        <w:tc>
          <w:tcPr>
            <w:tcW w:w="3482" w:type="dxa"/>
            <w:gridSpan w:val="2"/>
          </w:tcPr>
          <w:p w:rsidR="003A369B" w:rsidRPr="003750C2" w:rsidRDefault="003A369B" w:rsidP="00EB5A53">
            <w:pPr>
              <w:keepLines/>
              <w:spacing w:after="0" w:line="240" w:lineRule="auto"/>
              <w:jc w:val="center"/>
              <w:rPr>
                <w:rFonts w:eastAsia="Times New Roman" w:cstheme="minorHAnsi"/>
                <w:b/>
                <w:sz w:val="20"/>
                <w:szCs w:val="20"/>
              </w:rPr>
            </w:pPr>
            <w:r w:rsidRPr="003750C2">
              <w:rPr>
                <w:rFonts w:eastAsia="Times New Roman" w:cstheme="minorHAnsi"/>
                <w:b/>
                <w:sz w:val="20"/>
                <w:szCs w:val="20"/>
              </w:rPr>
              <w:t>Pentathlon 2000</w:t>
            </w:r>
          </w:p>
        </w:tc>
        <w:tc>
          <w:tcPr>
            <w:tcW w:w="3482" w:type="dxa"/>
            <w:gridSpan w:val="2"/>
            <w:tcBorders>
              <w:right w:val="single" w:sz="6" w:space="0" w:color="auto"/>
            </w:tcBorders>
          </w:tcPr>
          <w:p w:rsidR="003A369B" w:rsidRPr="003750C2" w:rsidRDefault="003A369B" w:rsidP="00EB5A53">
            <w:pPr>
              <w:keepLines/>
              <w:spacing w:after="0" w:line="240" w:lineRule="auto"/>
              <w:jc w:val="center"/>
              <w:rPr>
                <w:rFonts w:eastAsia="Times New Roman" w:cstheme="minorHAnsi"/>
                <w:b/>
                <w:sz w:val="20"/>
                <w:szCs w:val="20"/>
              </w:rPr>
            </w:pPr>
            <w:r w:rsidRPr="003750C2">
              <w:rPr>
                <w:rFonts w:eastAsia="Times New Roman" w:cstheme="minorHAnsi"/>
                <w:b/>
                <w:sz w:val="20"/>
                <w:szCs w:val="20"/>
              </w:rPr>
              <w:t>Ephesus</w:t>
            </w:r>
          </w:p>
        </w:tc>
      </w:tr>
      <w:tr w:rsidR="003A369B" w:rsidRPr="003750C2" w:rsidTr="003A369B">
        <w:trPr>
          <w:cantSplit/>
          <w:jc w:val="center"/>
        </w:trPr>
        <w:tc>
          <w:tcPr>
            <w:tcW w:w="1741" w:type="dxa"/>
          </w:tcPr>
          <w:p w:rsidR="003A369B" w:rsidRPr="003750C2" w:rsidRDefault="003A369B" w:rsidP="00EB5A53">
            <w:pPr>
              <w:keepLines/>
              <w:spacing w:after="0" w:line="240" w:lineRule="auto"/>
              <w:ind w:right="-107"/>
              <w:jc w:val="center"/>
              <w:rPr>
                <w:rFonts w:eastAsia="Times New Roman" w:cstheme="minorHAnsi"/>
                <w:b/>
                <w:sz w:val="20"/>
                <w:szCs w:val="20"/>
              </w:rPr>
            </w:pPr>
            <w:r w:rsidRPr="003750C2">
              <w:rPr>
                <w:rFonts w:eastAsia="Times New Roman" w:cstheme="minorHAnsi"/>
                <w:b/>
                <w:sz w:val="20"/>
                <w:szCs w:val="20"/>
              </w:rPr>
              <w:t>Adjudicated</w:t>
            </w:r>
            <w:r w:rsidRPr="003750C2">
              <w:rPr>
                <w:rFonts w:eastAsia="Times New Roman" w:cstheme="minorHAnsi"/>
                <w:b/>
                <w:sz w:val="20"/>
                <w:szCs w:val="20"/>
              </w:rPr>
              <w:br/>
              <w:t>Endpoint</w:t>
            </w:r>
          </w:p>
        </w:tc>
        <w:tc>
          <w:tcPr>
            <w:tcW w:w="1741" w:type="dxa"/>
          </w:tcPr>
          <w:p w:rsidR="003A369B" w:rsidRPr="003750C2" w:rsidRDefault="003A369B" w:rsidP="00EB5A53">
            <w:pPr>
              <w:keepLines/>
              <w:spacing w:after="0" w:line="240" w:lineRule="auto"/>
              <w:jc w:val="center"/>
              <w:rPr>
                <w:rFonts w:eastAsia="Times New Roman" w:cstheme="minorHAnsi"/>
                <w:b/>
                <w:sz w:val="20"/>
                <w:szCs w:val="20"/>
              </w:rPr>
            </w:pPr>
            <w:r w:rsidRPr="003750C2">
              <w:rPr>
                <w:rFonts w:eastAsia="Times New Roman" w:cstheme="minorHAnsi"/>
                <w:b/>
                <w:sz w:val="20"/>
                <w:szCs w:val="20"/>
              </w:rPr>
              <w:t>Fondaparinux</w:t>
            </w:r>
            <w:r w:rsidRPr="003750C2">
              <w:rPr>
                <w:rFonts w:eastAsia="Times New Roman" w:cstheme="minorHAnsi"/>
                <w:b/>
                <w:sz w:val="20"/>
                <w:szCs w:val="20"/>
              </w:rPr>
              <w:br/>
              <w:t xml:space="preserve">2.5 mg </w:t>
            </w:r>
            <w:r w:rsidRPr="003750C2">
              <w:rPr>
                <w:rFonts w:eastAsia="Times New Roman" w:cstheme="minorHAnsi"/>
                <w:b/>
                <w:sz w:val="20"/>
                <w:szCs w:val="20"/>
              </w:rPr>
              <w:br/>
              <w:t>once daily</w:t>
            </w:r>
            <w:r w:rsidRPr="003750C2">
              <w:rPr>
                <w:rFonts w:eastAsia="Times New Roman" w:cstheme="minorHAnsi"/>
                <w:b/>
                <w:sz w:val="20"/>
                <w:szCs w:val="20"/>
                <w:vertAlign w:val="superscript"/>
              </w:rPr>
              <w:t xml:space="preserve"> a</w:t>
            </w:r>
          </w:p>
        </w:tc>
        <w:tc>
          <w:tcPr>
            <w:tcW w:w="1741" w:type="dxa"/>
          </w:tcPr>
          <w:p w:rsidR="003A369B" w:rsidRPr="003750C2" w:rsidRDefault="003A369B" w:rsidP="00EB5A53">
            <w:pPr>
              <w:keepLines/>
              <w:spacing w:after="0" w:line="240" w:lineRule="auto"/>
              <w:jc w:val="center"/>
              <w:rPr>
                <w:rFonts w:eastAsia="Times New Roman" w:cstheme="minorHAnsi"/>
                <w:b/>
                <w:sz w:val="20"/>
                <w:szCs w:val="20"/>
              </w:rPr>
            </w:pPr>
            <w:r w:rsidRPr="003750C2">
              <w:rPr>
                <w:rFonts w:eastAsia="Times New Roman" w:cstheme="minorHAnsi"/>
                <w:b/>
                <w:sz w:val="20"/>
                <w:szCs w:val="20"/>
              </w:rPr>
              <w:t>Enoxaparin</w:t>
            </w:r>
            <w:r w:rsidRPr="003750C2">
              <w:rPr>
                <w:rFonts w:eastAsia="Times New Roman" w:cstheme="minorHAnsi"/>
                <w:b/>
                <w:sz w:val="20"/>
                <w:szCs w:val="20"/>
              </w:rPr>
              <w:br/>
              <w:t>30 mg b.i.d.</w:t>
            </w:r>
            <w:r w:rsidRPr="003750C2">
              <w:rPr>
                <w:rFonts w:eastAsia="Times New Roman" w:cstheme="minorHAnsi"/>
                <w:b/>
                <w:sz w:val="20"/>
                <w:szCs w:val="20"/>
                <w:vertAlign w:val="superscript"/>
              </w:rPr>
              <w:t xml:space="preserve"> a, c</w:t>
            </w:r>
          </w:p>
        </w:tc>
        <w:tc>
          <w:tcPr>
            <w:tcW w:w="1741" w:type="dxa"/>
          </w:tcPr>
          <w:p w:rsidR="003A369B" w:rsidRPr="003750C2" w:rsidRDefault="003A369B" w:rsidP="00EB5A53">
            <w:pPr>
              <w:keepLines/>
              <w:spacing w:after="0" w:line="240" w:lineRule="auto"/>
              <w:jc w:val="center"/>
              <w:rPr>
                <w:rFonts w:eastAsia="Times New Roman" w:cstheme="minorHAnsi"/>
                <w:b/>
                <w:sz w:val="20"/>
                <w:szCs w:val="20"/>
              </w:rPr>
            </w:pPr>
            <w:r w:rsidRPr="003750C2">
              <w:rPr>
                <w:rFonts w:eastAsia="Times New Roman" w:cstheme="minorHAnsi"/>
                <w:b/>
                <w:sz w:val="20"/>
                <w:szCs w:val="20"/>
              </w:rPr>
              <w:t>Fondaparinux</w:t>
            </w:r>
            <w:r w:rsidRPr="003750C2">
              <w:rPr>
                <w:rFonts w:eastAsia="Times New Roman" w:cstheme="minorHAnsi"/>
                <w:b/>
                <w:sz w:val="20"/>
                <w:szCs w:val="20"/>
              </w:rPr>
              <w:br/>
              <w:t xml:space="preserve">2.5 mg </w:t>
            </w:r>
            <w:r w:rsidRPr="003750C2">
              <w:rPr>
                <w:rFonts w:eastAsia="Times New Roman" w:cstheme="minorHAnsi"/>
                <w:b/>
                <w:sz w:val="20"/>
                <w:szCs w:val="20"/>
              </w:rPr>
              <w:br/>
              <w:t>once daily</w:t>
            </w:r>
            <w:r w:rsidRPr="003750C2">
              <w:rPr>
                <w:rFonts w:eastAsia="Times New Roman" w:cstheme="minorHAnsi"/>
                <w:b/>
                <w:sz w:val="20"/>
                <w:szCs w:val="20"/>
                <w:vertAlign w:val="superscript"/>
              </w:rPr>
              <w:t xml:space="preserve"> a</w:t>
            </w:r>
          </w:p>
        </w:tc>
        <w:tc>
          <w:tcPr>
            <w:tcW w:w="1741" w:type="dxa"/>
            <w:tcBorders>
              <w:right w:val="single" w:sz="6" w:space="0" w:color="auto"/>
            </w:tcBorders>
          </w:tcPr>
          <w:p w:rsidR="003A369B" w:rsidRPr="003750C2" w:rsidRDefault="003A369B" w:rsidP="00EB5A53">
            <w:pPr>
              <w:keepLines/>
              <w:spacing w:after="0" w:line="240" w:lineRule="auto"/>
              <w:jc w:val="center"/>
              <w:rPr>
                <w:rFonts w:eastAsia="Times New Roman" w:cstheme="minorHAnsi"/>
                <w:b/>
                <w:sz w:val="20"/>
                <w:szCs w:val="20"/>
              </w:rPr>
            </w:pPr>
            <w:r w:rsidRPr="003750C2">
              <w:rPr>
                <w:rFonts w:eastAsia="Times New Roman" w:cstheme="minorHAnsi"/>
                <w:b/>
                <w:sz w:val="20"/>
                <w:szCs w:val="20"/>
              </w:rPr>
              <w:t>Enoxaparin</w:t>
            </w:r>
            <w:r w:rsidRPr="003750C2">
              <w:rPr>
                <w:rFonts w:eastAsia="Times New Roman" w:cstheme="minorHAnsi"/>
                <w:b/>
                <w:sz w:val="20"/>
                <w:szCs w:val="20"/>
              </w:rPr>
              <w:br/>
              <w:t xml:space="preserve">40 mg </w:t>
            </w:r>
            <w:r w:rsidRPr="003750C2">
              <w:rPr>
                <w:rFonts w:eastAsia="Times New Roman" w:cstheme="minorHAnsi"/>
                <w:b/>
                <w:sz w:val="20"/>
                <w:szCs w:val="20"/>
              </w:rPr>
              <w:br/>
              <w:t>once daily</w:t>
            </w:r>
            <w:r w:rsidRPr="003750C2">
              <w:rPr>
                <w:rFonts w:eastAsia="Times New Roman" w:cstheme="minorHAnsi"/>
                <w:b/>
                <w:sz w:val="20"/>
                <w:szCs w:val="20"/>
                <w:vertAlign w:val="superscript"/>
              </w:rPr>
              <w:t xml:space="preserve"> b</w:t>
            </w:r>
          </w:p>
        </w:tc>
      </w:tr>
      <w:tr w:rsidR="003A369B" w:rsidRPr="003750C2" w:rsidTr="003A369B">
        <w:trPr>
          <w:cantSplit/>
          <w:jc w:val="center"/>
        </w:trPr>
        <w:tc>
          <w:tcPr>
            <w:tcW w:w="1741" w:type="dxa"/>
          </w:tcPr>
          <w:p w:rsidR="003A369B" w:rsidRPr="003750C2" w:rsidRDefault="003A369B" w:rsidP="00EB5A53">
            <w:pPr>
              <w:keepLines/>
              <w:spacing w:after="0" w:line="240" w:lineRule="auto"/>
              <w:ind w:right="-107"/>
              <w:jc w:val="both"/>
              <w:rPr>
                <w:rFonts w:eastAsia="Times New Roman" w:cstheme="minorHAnsi"/>
                <w:sz w:val="20"/>
                <w:szCs w:val="20"/>
              </w:rPr>
            </w:pPr>
            <w:r w:rsidRPr="003750C2">
              <w:rPr>
                <w:rFonts w:eastAsia="Times New Roman" w:cstheme="minorHAnsi"/>
                <w:sz w:val="20"/>
                <w:szCs w:val="20"/>
              </w:rPr>
              <w:t xml:space="preserve">VTE </w:t>
            </w:r>
            <w:r w:rsidRPr="003750C2">
              <w:rPr>
                <w:rFonts w:eastAsia="Times New Roman" w:cstheme="minorHAnsi"/>
                <w:sz w:val="20"/>
                <w:szCs w:val="20"/>
              </w:rPr>
              <w:br/>
              <w:t>(primary analysis)</w:t>
            </w:r>
          </w:p>
        </w:tc>
        <w:tc>
          <w:tcPr>
            <w:tcW w:w="1741" w:type="dxa"/>
          </w:tcPr>
          <w:p w:rsidR="003A369B" w:rsidRPr="003750C2" w:rsidRDefault="003A369B" w:rsidP="00EB5A53">
            <w:pPr>
              <w:keepLines/>
              <w:spacing w:after="0" w:line="240" w:lineRule="auto"/>
              <w:jc w:val="center"/>
              <w:rPr>
                <w:rFonts w:eastAsia="Times New Roman" w:cstheme="minorHAnsi"/>
                <w:sz w:val="20"/>
                <w:szCs w:val="20"/>
                <w:lang w:val="fr-FR"/>
              </w:rPr>
            </w:pPr>
            <w:r w:rsidRPr="003750C2">
              <w:rPr>
                <w:rFonts w:eastAsia="Times New Roman" w:cstheme="minorHAnsi"/>
                <w:sz w:val="20"/>
                <w:szCs w:val="20"/>
                <w:lang w:val="fr-FR"/>
              </w:rPr>
              <w:t>48/787 (6.1%)</w:t>
            </w:r>
          </w:p>
          <w:p w:rsidR="003A369B" w:rsidRPr="003750C2" w:rsidRDefault="003A369B" w:rsidP="00EB5A53">
            <w:pPr>
              <w:keepLines/>
              <w:spacing w:after="0" w:line="240" w:lineRule="auto"/>
              <w:jc w:val="center"/>
              <w:rPr>
                <w:rFonts w:eastAsia="Times New Roman" w:cstheme="minorHAnsi"/>
                <w:sz w:val="20"/>
                <w:szCs w:val="20"/>
                <w:lang w:val="fr-FR"/>
              </w:rPr>
            </w:pPr>
            <w:r w:rsidRPr="003750C2">
              <w:rPr>
                <w:rFonts w:eastAsia="Times New Roman" w:cstheme="minorHAnsi"/>
                <w:sz w:val="20"/>
                <w:szCs w:val="20"/>
                <w:lang w:val="fr-FR"/>
              </w:rPr>
              <w:t>[4.5, 8.0]</w:t>
            </w:r>
          </w:p>
          <w:p w:rsidR="003A369B" w:rsidRPr="003750C2" w:rsidRDefault="003A369B" w:rsidP="00EB5A53">
            <w:pPr>
              <w:keepLines/>
              <w:spacing w:after="0" w:line="240" w:lineRule="auto"/>
              <w:jc w:val="center"/>
              <w:rPr>
                <w:rFonts w:eastAsia="Times New Roman" w:cstheme="minorHAnsi"/>
                <w:sz w:val="20"/>
                <w:szCs w:val="20"/>
                <w:lang w:val="fr-FR"/>
              </w:rPr>
            </w:pPr>
            <w:r w:rsidRPr="003750C2">
              <w:rPr>
                <w:rFonts w:eastAsia="Times New Roman" w:cstheme="minorHAnsi"/>
                <w:sz w:val="20"/>
                <w:szCs w:val="20"/>
                <w:lang w:val="fr-FR"/>
              </w:rPr>
              <w:t>p = NS</w:t>
            </w:r>
          </w:p>
        </w:tc>
        <w:tc>
          <w:tcPr>
            <w:tcW w:w="1741" w:type="dxa"/>
          </w:tcPr>
          <w:p w:rsidR="003A369B" w:rsidRPr="003750C2" w:rsidRDefault="003A369B" w:rsidP="00EB5A53">
            <w:pPr>
              <w:keepLines/>
              <w:spacing w:after="0" w:line="240" w:lineRule="auto"/>
              <w:jc w:val="center"/>
              <w:rPr>
                <w:rFonts w:eastAsia="Times New Roman" w:cstheme="minorHAnsi"/>
                <w:sz w:val="20"/>
                <w:szCs w:val="20"/>
                <w:lang w:val="fr-FR"/>
              </w:rPr>
            </w:pPr>
            <w:r w:rsidRPr="003750C2">
              <w:rPr>
                <w:rFonts w:eastAsia="Times New Roman" w:cstheme="minorHAnsi"/>
                <w:sz w:val="20"/>
                <w:szCs w:val="20"/>
                <w:lang w:val="fr-FR"/>
              </w:rPr>
              <w:t>66/797 (8.3%)</w:t>
            </w:r>
          </w:p>
          <w:p w:rsidR="003A369B" w:rsidRPr="003750C2" w:rsidRDefault="003A369B" w:rsidP="00EB5A53">
            <w:pPr>
              <w:keepLines/>
              <w:tabs>
                <w:tab w:val="decimal" w:pos="176"/>
              </w:tabs>
              <w:spacing w:after="0" w:line="240" w:lineRule="auto"/>
              <w:jc w:val="center"/>
              <w:rPr>
                <w:rFonts w:eastAsia="Times New Roman" w:cstheme="minorHAnsi"/>
                <w:sz w:val="20"/>
                <w:szCs w:val="20"/>
                <w:lang w:val="fr-FR"/>
              </w:rPr>
            </w:pPr>
            <w:r w:rsidRPr="003750C2">
              <w:rPr>
                <w:rFonts w:eastAsia="Times New Roman" w:cstheme="minorHAnsi"/>
                <w:sz w:val="20"/>
                <w:szCs w:val="20"/>
                <w:lang w:val="fr-FR"/>
              </w:rPr>
              <w:t>[6.5, 10.4]</w:t>
            </w:r>
          </w:p>
        </w:tc>
        <w:tc>
          <w:tcPr>
            <w:tcW w:w="1741" w:type="dxa"/>
          </w:tcPr>
          <w:p w:rsidR="003A369B" w:rsidRPr="003750C2" w:rsidRDefault="003A369B">
            <w:pPr>
              <w:widowControl w:val="0"/>
              <w:tabs>
                <w:tab w:val="decimal" w:pos="-140"/>
              </w:tabs>
              <w:spacing w:after="0" w:line="360" w:lineRule="auto"/>
              <w:jc w:val="center"/>
              <w:rPr>
                <w:rFonts w:eastAsia="Times New Roman" w:cstheme="minorHAnsi"/>
                <w:sz w:val="20"/>
                <w:szCs w:val="20"/>
                <w:lang w:val="fr-FR"/>
              </w:rPr>
            </w:pPr>
            <w:r w:rsidRPr="003750C2">
              <w:rPr>
                <w:rFonts w:eastAsia="Times New Roman" w:cstheme="minorHAnsi"/>
                <w:sz w:val="20"/>
                <w:szCs w:val="20"/>
                <w:lang w:val="fr-FR"/>
              </w:rPr>
              <w:t>37/908 (4.1%)</w:t>
            </w:r>
          </w:p>
          <w:p w:rsidR="003A369B" w:rsidRPr="003750C2" w:rsidRDefault="003A369B" w:rsidP="00EB5A53">
            <w:pPr>
              <w:widowControl w:val="0"/>
              <w:tabs>
                <w:tab w:val="decimal" w:pos="-140"/>
              </w:tabs>
              <w:spacing w:after="0" w:line="360" w:lineRule="auto"/>
              <w:jc w:val="center"/>
              <w:rPr>
                <w:rFonts w:eastAsia="Times New Roman" w:cstheme="minorHAnsi"/>
                <w:sz w:val="20"/>
                <w:szCs w:val="20"/>
                <w:lang w:val="fr-FR"/>
              </w:rPr>
            </w:pPr>
            <w:r w:rsidRPr="003750C2">
              <w:rPr>
                <w:rFonts w:eastAsia="Times New Roman" w:cstheme="minorHAnsi"/>
                <w:sz w:val="20"/>
                <w:szCs w:val="20"/>
                <w:lang w:val="fr-FR"/>
              </w:rPr>
              <w:t>[2.9, 5.6]</w:t>
            </w:r>
          </w:p>
          <w:p w:rsidR="003A369B" w:rsidRPr="003750C2" w:rsidRDefault="003A369B" w:rsidP="00EB5A53">
            <w:pPr>
              <w:widowControl w:val="0"/>
              <w:tabs>
                <w:tab w:val="decimal" w:pos="-140"/>
              </w:tabs>
              <w:spacing w:after="0" w:line="360" w:lineRule="auto"/>
              <w:jc w:val="center"/>
              <w:rPr>
                <w:rFonts w:eastAsia="Times New Roman" w:cstheme="minorHAnsi"/>
                <w:sz w:val="20"/>
                <w:szCs w:val="20"/>
                <w:lang w:val="fr-FR"/>
              </w:rPr>
            </w:pPr>
            <w:r w:rsidRPr="003750C2">
              <w:rPr>
                <w:rFonts w:eastAsia="Times New Roman" w:cstheme="minorHAnsi"/>
                <w:sz w:val="20"/>
                <w:szCs w:val="20"/>
                <w:lang w:val="fr-FR"/>
              </w:rPr>
              <w:t>p &lt; 0.0001</w:t>
            </w:r>
          </w:p>
        </w:tc>
        <w:tc>
          <w:tcPr>
            <w:tcW w:w="1741" w:type="dxa"/>
            <w:tcBorders>
              <w:right w:val="single" w:sz="6" w:space="0" w:color="auto"/>
            </w:tcBorders>
          </w:tcPr>
          <w:p w:rsidR="003A369B" w:rsidRPr="003750C2" w:rsidRDefault="003A369B" w:rsidP="00EB5A53">
            <w:pPr>
              <w:keepLines/>
              <w:tabs>
                <w:tab w:val="decimal" w:pos="0"/>
              </w:tabs>
              <w:spacing w:after="0" w:line="240" w:lineRule="auto"/>
              <w:jc w:val="center"/>
              <w:rPr>
                <w:rFonts w:eastAsia="Times New Roman" w:cstheme="minorHAnsi"/>
                <w:sz w:val="20"/>
                <w:szCs w:val="20"/>
                <w:lang w:val="fr-FR"/>
              </w:rPr>
            </w:pPr>
            <w:r w:rsidRPr="003750C2">
              <w:rPr>
                <w:rFonts w:eastAsia="Times New Roman" w:cstheme="minorHAnsi"/>
                <w:sz w:val="20"/>
                <w:szCs w:val="20"/>
                <w:lang w:val="fr-FR"/>
              </w:rPr>
              <w:t>85/919 (9.2%)</w:t>
            </w:r>
          </w:p>
          <w:p w:rsidR="003A369B" w:rsidRPr="003750C2" w:rsidRDefault="003A369B" w:rsidP="00EB5A53">
            <w:pPr>
              <w:keepLines/>
              <w:tabs>
                <w:tab w:val="decimal" w:pos="0"/>
                <w:tab w:val="decimal" w:pos="317"/>
              </w:tabs>
              <w:spacing w:after="0" w:line="240" w:lineRule="auto"/>
              <w:jc w:val="center"/>
              <w:rPr>
                <w:rFonts w:eastAsia="Times New Roman" w:cstheme="minorHAnsi"/>
                <w:sz w:val="20"/>
                <w:szCs w:val="20"/>
                <w:lang w:val="fr-FR"/>
              </w:rPr>
            </w:pPr>
            <w:r w:rsidRPr="003750C2">
              <w:rPr>
                <w:rFonts w:eastAsia="Times New Roman" w:cstheme="minorHAnsi"/>
                <w:sz w:val="20"/>
                <w:szCs w:val="20"/>
                <w:lang w:val="fr-FR"/>
              </w:rPr>
              <w:t>[7.5, 11.3]</w:t>
            </w:r>
          </w:p>
        </w:tc>
      </w:tr>
      <w:tr w:rsidR="003A369B" w:rsidRPr="003750C2" w:rsidTr="003A369B">
        <w:trPr>
          <w:cantSplit/>
          <w:jc w:val="center"/>
        </w:trPr>
        <w:tc>
          <w:tcPr>
            <w:tcW w:w="1741" w:type="dxa"/>
          </w:tcPr>
          <w:p w:rsidR="003A369B" w:rsidRPr="003750C2" w:rsidRDefault="003A369B" w:rsidP="00EB5A53">
            <w:pPr>
              <w:keepLines/>
              <w:spacing w:after="0" w:line="240" w:lineRule="auto"/>
              <w:ind w:right="-107"/>
              <w:jc w:val="both"/>
              <w:rPr>
                <w:rFonts w:eastAsia="Times New Roman" w:cstheme="minorHAnsi"/>
                <w:sz w:val="20"/>
                <w:szCs w:val="20"/>
                <w:lang w:val="fr-FR"/>
              </w:rPr>
            </w:pPr>
            <w:r w:rsidRPr="003750C2">
              <w:rPr>
                <w:rFonts w:eastAsia="Times New Roman" w:cstheme="minorHAnsi"/>
                <w:sz w:val="20"/>
                <w:szCs w:val="20"/>
                <w:lang w:val="fr-FR"/>
              </w:rPr>
              <w:t>DVT</w:t>
            </w:r>
          </w:p>
        </w:tc>
        <w:tc>
          <w:tcPr>
            <w:tcW w:w="1741" w:type="dxa"/>
          </w:tcPr>
          <w:p w:rsidR="003A369B" w:rsidRPr="003750C2" w:rsidRDefault="003A369B" w:rsidP="00EB5A53">
            <w:pPr>
              <w:keepLines/>
              <w:spacing w:after="0" w:line="240" w:lineRule="auto"/>
              <w:jc w:val="center"/>
              <w:rPr>
                <w:rFonts w:eastAsia="Times New Roman" w:cstheme="minorHAnsi"/>
                <w:sz w:val="20"/>
                <w:szCs w:val="20"/>
                <w:lang w:val="fr-FR"/>
              </w:rPr>
            </w:pPr>
            <w:r w:rsidRPr="003750C2">
              <w:rPr>
                <w:rFonts w:eastAsia="Times New Roman" w:cstheme="minorHAnsi"/>
                <w:sz w:val="20"/>
                <w:szCs w:val="20"/>
                <w:lang w:val="fr-FR"/>
              </w:rPr>
              <w:t>44/784 (5.6%)</w:t>
            </w:r>
          </w:p>
          <w:p w:rsidR="003A369B" w:rsidRPr="003750C2" w:rsidRDefault="003A369B" w:rsidP="00EB5A53">
            <w:pPr>
              <w:keepLines/>
              <w:spacing w:after="0" w:line="240" w:lineRule="auto"/>
              <w:jc w:val="center"/>
              <w:rPr>
                <w:rFonts w:eastAsia="Times New Roman" w:cstheme="minorHAnsi"/>
                <w:sz w:val="20"/>
                <w:szCs w:val="20"/>
                <w:lang w:val="fr-FR"/>
              </w:rPr>
            </w:pPr>
            <w:r w:rsidRPr="003750C2">
              <w:rPr>
                <w:rFonts w:eastAsia="Times New Roman" w:cstheme="minorHAnsi"/>
                <w:sz w:val="20"/>
                <w:szCs w:val="20"/>
                <w:lang w:val="fr-FR"/>
              </w:rPr>
              <w:t>[4.1, 7.5]</w:t>
            </w:r>
          </w:p>
          <w:p w:rsidR="003A369B" w:rsidRPr="003750C2" w:rsidRDefault="003A369B" w:rsidP="00EB5A53">
            <w:pPr>
              <w:keepLines/>
              <w:spacing w:after="0" w:line="240" w:lineRule="auto"/>
              <w:jc w:val="center"/>
              <w:rPr>
                <w:rFonts w:eastAsia="Times New Roman" w:cstheme="minorHAnsi"/>
                <w:sz w:val="20"/>
                <w:szCs w:val="20"/>
                <w:lang w:val="fr-FR"/>
              </w:rPr>
            </w:pPr>
            <w:r w:rsidRPr="003750C2">
              <w:rPr>
                <w:rFonts w:eastAsia="Times New Roman" w:cstheme="minorHAnsi"/>
                <w:sz w:val="20"/>
                <w:szCs w:val="20"/>
                <w:lang w:val="fr-FR"/>
              </w:rPr>
              <w:t>p = 0.047</w:t>
            </w:r>
          </w:p>
        </w:tc>
        <w:tc>
          <w:tcPr>
            <w:tcW w:w="1741" w:type="dxa"/>
          </w:tcPr>
          <w:p w:rsidR="003A369B" w:rsidRPr="003750C2" w:rsidRDefault="003A369B" w:rsidP="00EB5A53">
            <w:pPr>
              <w:keepLines/>
              <w:spacing w:after="0" w:line="240" w:lineRule="auto"/>
              <w:jc w:val="center"/>
              <w:rPr>
                <w:rFonts w:eastAsia="Times New Roman" w:cstheme="minorHAnsi"/>
                <w:sz w:val="20"/>
                <w:szCs w:val="20"/>
                <w:lang w:val="fr-FR"/>
              </w:rPr>
            </w:pPr>
            <w:r w:rsidRPr="003750C2">
              <w:rPr>
                <w:rFonts w:eastAsia="Times New Roman" w:cstheme="minorHAnsi"/>
                <w:sz w:val="20"/>
                <w:szCs w:val="20"/>
                <w:lang w:val="fr-FR"/>
              </w:rPr>
              <w:t>65/796 (8.2%)</w:t>
            </w:r>
          </w:p>
          <w:p w:rsidR="003A369B" w:rsidRPr="003750C2" w:rsidRDefault="003A369B" w:rsidP="00EB5A53">
            <w:pPr>
              <w:keepLines/>
              <w:tabs>
                <w:tab w:val="decimal" w:pos="176"/>
              </w:tabs>
              <w:spacing w:after="0" w:line="240" w:lineRule="auto"/>
              <w:jc w:val="center"/>
              <w:rPr>
                <w:rFonts w:eastAsia="Times New Roman" w:cstheme="minorHAnsi"/>
                <w:sz w:val="20"/>
                <w:szCs w:val="20"/>
                <w:lang w:val="fr-FR"/>
              </w:rPr>
            </w:pPr>
            <w:r w:rsidRPr="003750C2">
              <w:rPr>
                <w:rFonts w:eastAsia="Times New Roman" w:cstheme="minorHAnsi"/>
                <w:sz w:val="20"/>
                <w:szCs w:val="20"/>
                <w:lang w:val="fr-FR"/>
              </w:rPr>
              <w:t>[6.1, 10.3]</w:t>
            </w:r>
          </w:p>
        </w:tc>
        <w:tc>
          <w:tcPr>
            <w:tcW w:w="1741" w:type="dxa"/>
          </w:tcPr>
          <w:p w:rsidR="003A369B" w:rsidRPr="003750C2" w:rsidRDefault="003A369B" w:rsidP="00EB5A53">
            <w:pPr>
              <w:keepLines/>
              <w:spacing w:after="0" w:line="240" w:lineRule="auto"/>
              <w:jc w:val="center"/>
              <w:rPr>
                <w:rFonts w:eastAsia="Times New Roman" w:cstheme="minorHAnsi"/>
                <w:sz w:val="20"/>
                <w:szCs w:val="20"/>
                <w:lang w:val="fr-FR"/>
              </w:rPr>
            </w:pPr>
            <w:r w:rsidRPr="003750C2">
              <w:rPr>
                <w:rFonts w:eastAsia="Times New Roman" w:cstheme="minorHAnsi"/>
                <w:sz w:val="20"/>
                <w:szCs w:val="20"/>
                <w:lang w:val="fr-FR"/>
              </w:rPr>
              <w:t>36/908 (4.0%)</w:t>
            </w:r>
          </w:p>
          <w:p w:rsidR="003A369B" w:rsidRPr="003750C2" w:rsidRDefault="003A369B" w:rsidP="00EB5A53">
            <w:pPr>
              <w:keepLines/>
              <w:spacing w:after="0" w:line="240" w:lineRule="auto"/>
              <w:jc w:val="center"/>
              <w:rPr>
                <w:rFonts w:eastAsia="Times New Roman" w:cstheme="minorHAnsi"/>
                <w:sz w:val="20"/>
                <w:szCs w:val="20"/>
                <w:lang w:val="fr-FR"/>
              </w:rPr>
            </w:pPr>
            <w:r w:rsidRPr="003750C2">
              <w:rPr>
                <w:rFonts w:eastAsia="Times New Roman" w:cstheme="minorHAnsi"/>
                <w:sz w:val="20"/>
                <w:szCs w:val="20"/>
                <w:lang w:val="fr-FR"/>
              </w:rPr>
              <w:t>[2.8, 5.4]</w:t>
            </w:r>
          </w:p>
          <w:p w:rsidR="003A369B" w:rsidRPr="003750C2" w:rsidRDefault="003A369B" w:rsidP="00EB5A53">
            <w:pPr>
              <w:keepLines/>
              <w:spacing w:after="0" w:line="240" w:lineRule="auto"/>
              <w:jc w:val="center"/>
              <w:rPr>
                <w:rFonts w:eastAsia="Times New Roman" w:cstheme="minorHAnsi"/>
                <w:sz w:val="20"/>
                <w:szCs w:val="20"/>
                <w:lang w:val="fr-FR"/>
              </w:rPr>
            </w:pPr>
            <w:r w:rsidRPr="003750C2">
              <w:rPr>
                <w:rFonts w:eastAsia="Times New Roman" w:cstheme="minorHAnsi"/>
                <w:sz w:val="20"/>
                <w:szCs w:val="20"/>
                <w:lang w:val="fr-FR"/>
              </w:rPr>
              <w:t>p &lt; 0.0001</w:t>
            </w:r>
          </w:p>
        </w:tc>
        <w:tc>
          <w:tcPr>
            <w:tcW w:w="1741" w:type="dxa"/>
            <w:tcBorders>
              <w:right w:val="single" w:sz="6" w:space="0" w:color="auto"/>
            </w:tcBorders>
          </w:tcPr>
          <w:p w:rsidR="003A369B" w:rsidRPr="003750C2" w:rsidRDefault="003A369B" w:rsidP="00EB5A53">
            <w:pPr>
              <w:keepLines/>
              <w:tabs>
                <w:tab w:val="decimal" w:pos="0"/>
              </w:tabs>
              <w:spacing w:after="0" w:line="240" w:lineRule="auto"/>
              <w:jc w:val="center"/>
              <w:rPr>
                <w:rFonts w:eastAsia="Times New Roman" w:cstheme="minorHAnsi"/>
                <w:sz w:val="20"/>
                <w:szCs w:val="20"/>
                <w:lang w:val="fr-FR"/>
              </w:rPr>
            </w:pPr>
            <w:r w:rsidRPr="003750C2">
              <w:rPr>
                <w:rFonts w:eastAsia="Times New Roman" w:cstheme="minorHAnsi"/>
                <w:sz w:val="20"/>
                <w:szCs w:val="20"/>
                <w:lang w:val="fr-FR"/>
              </w:rPr>
              <w:t>83/918 (9.0%)</w:t>
            </w:r>
          </w:p>
          <w:p w:rsidR="003A369B" w:rsidRPr="003750C2" w:rsidRDefault="003A369B" w:rsidP="00EB5A53">
            <w:pPr>
              <w:keepLines/>
              <w:tabs>
                <w:tab w:val="decimal" w:pos="0"/>
                <w:tab w:val="decimal" w:pos="317"/>
              </w:tabs>
              <w:spacing w:after="0" w:line="240" w:lineRule="auto"/>
              <w:jc w:val="center"/>
              <w:rPr>
                <w:rFonts w:eastAsia="Times New Roman" w:cstheme="minorHAnsi"/>
                <w:sz w:val="20"/>
                <w:szCs w:val="20"/>
                <w:lang w:val="fr-FR"/>
              </w:rPr>
            </w:pPr>
            <w:r w:rsidRPr="003750C2">
              <w:rPr>
                <w:rFonts w:eastAsia="Times New Roman" w:cstheme="minorHAnsi"/>
                <w:sz w:val="20"/>
                <w:szCs w:val="20"/>
                <w:lang w:val="fr-FR"/>
              </w:rPr>
              <w:t>[7.3, 11.1]</w:t>
            </w:r>
          </w:p>
        </w:tc>
      </w:tr>
      <w:tr w:rsidR="003A369B" w:rsidRPr="003750C2" w:rsidTr="003A369B">
        <w:trPr>
          <w:cantSplit/>
          <w:jc w:val="center"/>
        </w:trPr>
        <w:tc>
          <w:tcPr>
            <w:tcW w:w="1741" w:type="dxa"/>
          </w:tcPr>
          <w:p w:rsidR="003A369B" w:rsidRPr="003750C2" w:rsidRDefault="003A369B" w:rsidP="00EB5A53">
            <w:pPr>
              <w:keepLines/>
              <w:spacing w:after="0" w:line="240" w:lineRule="auto"/>
              <w:ind w:right="-107"/>
              <w:jc w:val="both"/>
              <w:rPr>
                <w:rFonts w:eastAsia="Times New Roman" w:cstheme="minorHAnsi"/>
                <w:sz w:val="20"/>
                <w:szCs w:val="20"/>
                <w:lang w:val="fr-FR"/>
              </w:rPr>
            </w:pPr>
            <w:r w:rsidRPr="003750C2">
              <w:rPr>
                <w:rFonts w:eastAsia="Times New Roman" w:cstheme="minorHAnsi"/>
                <w:sz w:val="20"/>
                <w:szCs w:val="20"/>
                <w:lang w:val="fr-FR"/>
              </w:rPr>
              <w:t>proximal DVT</w:t>
            </w:r>
          </w:p>
        </w:tc>
        <w:tc>
          <w:tcPr>
            <w:tcW w:w="1741" w:type="dxa"/>
          </w:tcPr>
          <w:p w:rsidR="003A369B" w:rsidRPr="003750C2" w:rsidRDefault="003A369B" w:rsidP="00EB5A53">
            <w:pPr>
              <w:keepLines/>
              <w:spacing w:after="0" w:line="240" w:lineRule="auto"/>
              <w:jc w:val="center"/>
              <w:rPr>
                <w:rFonts w:eastAsia="Times New Roman" w:cstheme="minorHAnsi"/>
                <w:sz w:val="20"/>
                <w:szCs w:val="20"/>
              </w:rPr>
            </w:pPr>
            <w:r w:rsidRPr="003750C2">
              <w:rPr>
                <w:rFonts w:eastAsia="Times New Roman" w:cstheme="minorHAnsi"/>
                <w:sz w:val="20"/>
                <w:szCs w:val="20"/>
              </w:rPr>
              <w:t>14/816 (1.7%)</w:t>
            </w:r>
          </w:p>
          <w:p w:rsidR="003A369B" w:rsidRPr="003750C2" w:rsidRDefault="003A369B" w:rsidP="00EB5A53">
            <w:pPr>
              <w:keepLines/>
              <w:spacing w:after="0" w:line="240" w:lineRule="auto"/>
              <w:jc w:val="center"/>
              <w:rPr>
                <w:rFonts w:eastAsia="Times New Roman" w:cstheme="minorHAnsi"/>
                <w:sz w:val="20"/>
                <w:szCs w:val="20"/>
              </w:rPr>
            </w:pPr>
            <w:r w:rsidRPr="003750C2">
              <w:rPr>
                <w:rFonts w:eastAsia="Times New Roman" w:cstheme="minorHAnsi"/>
                <w:sz w:val="20"/>
                <w:szCs w:val="20"/>
              </w:rPr>
              <w:t>[0.9, 2.9]</w:t>
            </w:r>
          </w:p>
          <w:p w:rsidR="003A369B" w:rsidRPr="003750C2" w:rsidRDefault="003A369B" w:rsidP="00EB5A53">
            <w:pPr>
              <w:keepLines/>
              <w:spacing w:after="0" w:line="240" w:lineRule="auto"/>
              <w:jc w:val="center"/>
              <w:rPr>
                <w:rFonts w:eastAsia="Times New Roman" w:cstheme="minorHAnsi"/>
                <w:sz w:val="20"/>
                <w:szCs w:val="20"/>
              </w:rPr>
            </w:pPr>
            <w:r w:rsidRPr="003750C2">
              <w:rPr>
                <w:rFonts w:eastAsia="Times New Roman" w:cstheme="minorHAnsi"/>
                <w:sz w:val="20"/>
                <w:szCs w:val="20"/>
              </w:rPr>
              <w:t>p = NS</w:t>
            </w:r>
          </w:p>
        </w:tc>
        <w:tc>
          <w:tcPr>
            <w:tcW w:w="1741" w:type="dxa"/>
          </w:tcPr>
          <w:p w:rsidR="003A369B" w:rsidRPr="003750C2" w:rsidRDefault="003A369B" w:rsidP="00EB5A53">
            <w:pPr>
              <w:keepLines/>
              <w:spacing w:after="0" w:line="240" w:lineRule="auto"/>
              <w:jc w:val="center"/>
              <w:rPr>
                <w:rFonts w:eastAsia="Times New Roman" w:cstheme="minorHAnsi"/>
                <w:sz w:val="20"/>
                <w:szCs w:val="20"/>
              </w:rPr>
            </w:pPr>
            <w:r w:rsidRPr="003750C2">
              <w:rPr>
                <w:rFonts w:eastAsia="Times New Roman" w:cstheme="minorHAnsi"/>
                <w:sz w:val="20"/>
                <w:szCs w:val="20"/>
              </w:rPr>
              <w:t>10/830 (1.2%)</w:t>
            </w:r>
          </w:p>
          <w:p w:rsidR="003A369B" w:rsidRPr="003750C2" w:rsidRDefault="003A369B" w:rsidP="00EB5A53">
            <w:pPr>
              <w:keepLines/>
              <w:tabs>
                <w:tab w:val="decimal" w:pos="176"/>
              </w:tabs>
              <w:spacing w:after="0" w:line="240" w:lineRule="auto"/>
              <w:jc w:val="center"/>
              <w:rPr>
                <w:rFonts w:eastAsia="Times New Roman" w:cstheme="minorHAnsi"/>
                <w:sz w:val="20"/>
                <w:szCs w:val="20"/>
              </w:rPr>
            </w:pPr>
            <w:r w:rsidRPr="003750C2">
              <w:rPr>
                <w:rFonts w:eastAsia="Times New Roman" w:cstheme="minorHAnsi"/>
                <w:sz w:val="20"/>
                <w:szCs w:val="20"/>
              </w:rPr>
              <w:t>[0.6, 2.2]</w:t>
            </w:r>
          </w:p>
        </w:tc>
        <w:tc>
          <w:tcPr>
            <w:tcW w:w="1741" w:type="dxa"/>
          </w:tcPr>
          <w:p w:rsidR="003A369B" w:rsidRPr="003750C2" w:rsidRDefault="003A369B" w:rsidP="00EB5A53">
            <w:pPr>
              <w:keepLines/>
              <w:tabs>
                <w:tab w:val="decimal" w:pos="-140"/>
              </w:tabs>
              <w:spacing w:after="0" w:line="240" w:lineRule="auto"/>
              <w:jc w:val="center"/>
              <w:rPr>
                <w:rFonts w:eastAsia="Times New Roman" w:cstheme="minorHAnsi"/>
                <w:sz w:val="20"/>
                <w:szCs w:val="20"/>
              </w:rPr>
            </w:pPr>
            <w:r w:rsidRPr="003750C2">
              <w:rPr>
                <w:rFonts w:eastAsia="Times New Roman" w:cstheme="minorHAnsi"/>
                <w:sz w:val="20"/>
                <w:szCs w:val="20"/>
              </w:rPr>
              <w:t>6/922 (0.7%)</w:t>
            </w:r>
          </w:p>
          <w:p w:rsidR="003A369B" w:rsidRPr="003750C2" w:rsidRDefault="003A369B" w:rsidP="00EB5A53">
            <w:pPr>
              <w:keepLines/>
              <w:tabs>
                <w:tab w:val="decimal" w:pos="-140"/>
              </w:tabs>
              <w:spacing w:after="0" w:line="240" w:lineRule="auto"/>
              <w:jc w:val="center"/>
              <w:rPr>
                <w:rFonts w:eastAsia="Times New Roman" w:cstheme="minorHAnsi"/>
                <w:sz w:val="20"/>
                <w:szCs w:val="20"/>
              </w:rPr>
            </w:pPr>
            <w:r w:rsidRPr="003750C2">
              <w:rPr>
                <w:rFonts w:eastAsia="Times New Roman" w:cstheme="minorHAnsi"/>
                <w:sz w:val="20"/>
                <w:szCs w:val="20"/>
              </w:rPr>
              <w:t>[0.2, 1.4]</w:t>
            </w:r>
          </w:p>
          <w:p w:rsidR="003A369B" w:rsidRPr="003750C2" w:rsidRDefault="003A369B" w:rsidP="00EB5A53">
            <w:pPr>
              <w:keepLines/>
              <w:tabs>
                <w:tab w:val="decimal" w:pos="-140"/>
              </w:tabs>
              <w:spacing w:after="0" w:line="240" w:lineRule="auto"/>
              <w:jc w:val="center"/>
              <w:rPr>
                <w:rFonts w:eastAsia="Times New Roman" w:cstheme="minorHAnsi"/>
                <w:sz w:val="20"/>
                <w:szCs w:val="20"/>
              </w:rPr>
            </w:pPr>
            <w:r w:rsidRPr="003750C2">
              <w:rPr>
                <w:rFonts w:eastAsia="Times New Roman" w:cstheme="minorHAnsi"/>
                <w:sz w:val="20"/>
                <w:szCs w:val="20"/>
              </w:rPr>
              <w:t>p= 0.0021</w:t>
            </w:r>
          </w:p>
        </w:tc>
        <w:tc>
          <w:tcPr>
            <w:tcW w:w="1741" w:type="dxa"/>
            <w:tcBorders>
              <w:right w:val="single" w:sz="6" w:space="0" w:color="auto"/>
            </w:tcBorders>
          </w:tcPr>
          <w:p w:rsidR="003A369B" w:rsidRPr="003750C2" w:rsidRDefault="003A369B" w:rsidP="00EB5A53">
            <w:pPr>
              <w:keepLines/>
              <w:tabs>
                <w:tab w:val="decimal" w:pos="0"/>
              </w:tabs>
              <w:spacing w:after="0" w:line="240" w:lineRule="auto"/>
              <w:jc w:val="center"/>
              <w:rPr>
                <w:rFonts w:eastAsia="Times New Roman" w:cstheme="minorHAnsi"/>
                <w:sz w:val="20"/>
                <w:szCs w:val="20"/>
              </w:rPr>
            </w:pPr>
            <w:r w:rsidRPr="003750C2">
              <w:rPr>
                <w:rFonts w:eastAsia="Times New Roman" w:cstheme="minorHAnsi"/>
                <w:sz w:val="20"/>
                <w:szCs w:val="20"/>
              </w:rPr>
              <w:t>23/927 (2.5%)</w:t>
            </w:r>
          </w:p>
          <w:p w:rsidR="003A369B" w:rsidRPr="003750C2" w:rsidRDefault="003A369B" w:rsidP="00EB5A53">
            <w:pPr>
              <w:keepLines/>
              <w:tabs>
                <w:tab w:val="decimal" w:pos="0"/>
                <w:tab w:val="decimal" w:pos="317"/>
              </w:tabs>
              <w:spacing w:after="0" w:line="240" w:lineRule="auto"/>
              <w:jc w:val="center"/>
              <w:rPr>
                <w:rFonts w:eastAsia="Times New Roman" w:cstheme="minorHAnsi"/>
                <w:sz w:val="20"/>
                <w:szCs w:val="20"/>
              </w:rPr>
            </w:pPr>
            <w:r w:rsidRPr="003750C2">
              <w:rPr>
                <w:rFonts w:eastAsia="Times New Roman" w:cstheme="minorHAnsi"/>
                <w:sz w:val="20"/>
                <w:szCs w:val="20"/>
              </w:rPr>
              <w:t>[1.6, 3.7]</w:t>
            </w:r>
          </w:p>
        </w:tc>
      </w:tr>
      <w:tr w:rsidR="003A369B" w:rsidRPr="003750C2" w:rsidTr="003A369B">
        <w:trPr>
          <w:cantSplit/>
          <w:jc w:val="center"/>
        </w:trPr>
        <w:tc>
          <w:tcPr>
            <w:tcW w:w="1741" w:type="dxa"/>
          </w:tcPr>
          <w:p w:rsidR="003A369B" w:rsidRPr="003750C2" w:rsidRDefault="003A369B" w:rsidP="00EB5A53">
            <w:pPr>
              <w:keepLines/>
              <w:spacing w:after="0" w:line="240" w:lineRule="auto"/>
              <w:ind w:right="-107"/>
              <w:jc w:val="both"/>
              <w:rPr>
                <w:rFonts w:eastAsia="Times New Roman" w:cstheme="minorHAnsi"/>
                <w:sz w:val="20"/>
                <w:szCs w:val="20"/>
              </w:rPr>
            </w:pPr>
            <w:r w:rsidRPr="003750C2">
              <w:rPr>
                <w:rFonts w:eastAsia="Times New Roman" w:cstheme="minorHAnsi"/>
                <w:sz w:val="20"/>
                <w:szCs w:val="20"/>
              </w:rPr>
              <w:t>Pulmonary embolism</w:t>
            </w:r>
          </w:p>
        </w:tc>
        <w:tc>
          <w:tcPr>
            <w:tcW w:w="1741" w:type="dxa"/>
          </w:tcPr>
          <w:p w:rsidR="003A369B" w:rsidRPr="003750C2" w:rsidRDefault="003A369B" w:rsidP="00EB5A53">
            <w:pPr>
              <w:keepLines/>
              <w:spacing w:after="0" w:line="240" w:lineRule="auto"/>
              <w:jc w:val="center"/>
              <w:rPr>
                <w:rFonts w:eastAsia="Times New Roman" w:cstheme="minorHAnsi"/>
                <w:sz w:val="20"/>
                <w:szCs w:val="20"/>
              </w:rPr>
            </w:pPr>
            <w:r w:rsidRPr="003750C2">
              <w:rPr>
                <w:rFonts w:eastAsia="Times New Roman" w:cstheme="minorHAnsi"/>
                <w:sz w:val="20"/>
                <w:szCs w:val="20"/>
              </w:rPr>
              <w:t>5/1126 (0.4%)</w:t>
            </w:r>
          </w:p>
          <w:p w:rsidR="003A369B" w:rsidRPr="003750C2" w:rsidRDefault="003A369B" w:rsidP="00EB5A53">
            <w:pPr>
              <w:keepLines/>
              <w:spacing w:after="0" w:line="240" w:lineRule="auto"/>
              <w:jc w:val="center"/>
              <w:rPr>
                <w:rFonts w:eastAsia="Times New Roman" w:cstheme="minorHAnsi"/>
                <w:sz w:val="20"/>
                <w:szCs w:val="20"/>
              </w:rPr>
            </w:pPr>
            <w:r w:rsidRPr="003750C2">
              <w:rPr>
                <w:rFonts w:eastAsia="Times New Roman" w:cstheme="minorHAnsi"/>
                <w:sz w:val="20"/>
                <w:szCs w:val="20"/>
              </w:rPr>
              <w:t>[0.1, 1.0]</w:t>
            </w:r>
          </w:p>
          <w:p w:rsidR="003A369B" w:rsidRPr="003750C2" w:rsidRDefault="003A369B" w:rsidP="00EB5A53">
            <w:pPr>
              <w:keepLines/>
              <w:spacing w:after="0" w:line="240" w:lineRule="auto"/>
              <w:jc w:val="center"/>
              <w:rPr>
                <w:rFonts w:eastAsia="Times New Roman" w:cstheme="minorHAnsi"/>
                <w:sz w:val="20"/>
                <w:szCs w:val="20"/>
              </w:rPr>
            </w:pPr>
            <w:r w:rsidRPr="003750C2">
              <w:rPr>
                <w:rFonts w:eastAsia="Times New Roman" w:cstheme="minorHAnsi"/>
                <w:sz w:val="20"/>
                <w:szCs w:val="20"/>
              </w:rPr>
              <w:t>p = NS</w:t>
            </w:r>
          </w:p>
        </w:tc>
        <w:tc>
          <w:tcPr>
            <w:tcW w:w="1741" w:type="dxa"/>
          </w:tcPr>
          <w:p w:rsidR="003A369B" w:rsidRPr="003750C2" w:rsidRDefault="003A369B" w:rsidP="00EB5A53">
            <w:pPr>
              <w:keepLines/>
              <w:spacing w:after="0" w:line="240" w:lineRule="auto"/>
              <w:jc w:val="center"/>
              <w:rPr>
                <w:rFonts w:eastAsia="Times New Roman" w:cstheme="minorHAnsi"/>
                <w:sz w:val="20"/>
                <w:szCs w:val="20"/>
              </w:rPr>
            </w:pPr>
            <w:r w:rsidRPr="003750C2">
              <w:rPr>
                <w:rFonts w:eastAsia="Times New Roman" w:cstheme="minorHAnsi"/>
                <w:sz w:val="20"/>
                <w:szCs w:val="20"/>
              </w:rPr>
              <w:t>1/1128 (0.1%)</w:t>
            </w:r>
          </w:p>
          <w:p w:rsidR="003A369B" w:rsidRPr="003750C2" w:rsidRDefault="003A369B" w:rsidP="00EB5A53">
            <w:pPr>
              <w:keepLines/>
              <w:tabs>
                <w:tab w:val="decimal" w:pos="176"/>
              </w:tabs>
              <w:spacing w:after="0" w:line="240" w:lineRule="auto"/>
              <w:jc w:val="center"/>
              <w:rPr>
                <w:rFonts w:eastAsia="Times New Roman" w:cstheme="minorHAnsi"/>
                <w:sz w:val="20"/>
                <w:szCs w:val="20"/>
              </w:rPr>
            </w:pPr>
            <w:r w:rsidRPr="003750C2">
              <w:rPr>
                <w:rFonts w:eastAsia="Times New Roman" w:cstheme="minorHAnsi"/>
                <w:sz w:val="20"/>
                <w:szCs w:val="20"/>
              </w:rPr>
              <w:t>[0.0, 0.5]</w:t>
            </w:r>
          </w:p>
        </w:tc>
        <w:tc>
          <w:tcPr>
            <w:tcW w:w="1741" w:type="dxa"/>
          </w:tcPr>
          <w:p w:rsidR="003A369B" w:rsidRPr="003750C2" w:rsidRDefault="003A369B" w:rsidP="00EB5A53">
            <w:pPr>
              <w:keepLines/>
              <w:tabs>
                <w:tab w:val="decimal" w:pos="-140"/>
              </w:tabs>
              <w:spacing w:after="0" w:line="240" w:lineRule="auto"/>
              <w:jc w:val="center"/>
              <w:rPr>
                <w:rFonts w:eastAsia="Times New Roman" w:cstheme="minorHAnsi"/>
                <w:sz w:val="20"/>
                <w:szCs w:val="20"/>
              </w:rPr>
            </w:pPr>
            <w:r w:rsidRPr="003750C2">
              <w:rPr>
                <w:rFonts w:eastAsia="Times New Roman" w:cstheme="minorHAnsi"/>
                <w:sz w:val="20"/>
                <w:szCs w:val="20"/>
              </w:rPr>
              <w:t>2/1129 (0.2%)</w:t>
            </w:r>
          </w:p>
          <w:p w:rsidR="003A369B" w:rsidRPr="003750C2" w:rsidRDefault="003A369B" w:rsidP="00EB5A53">
            <w:pPr>
              <w:keepLines/>
              <w:tabs>
                <w:tab w:val="decimal" w:pos="-140"/>
              </w:tabs>
              <w:spacing w:after="0" w:line="240" w:lineRule="auto"/>
              <w:jc w:val="center"/>
              <w:rPr>
                <w:rFonts w:eastAsia="Times New Roman" w:cstheme="minorHAnsi"/>
                <w:sz w:val="20"/>
                <w:szCs w:val="20"/>
              </w:rPr>
            </w:pPr>
            <w:r w:rsidRPr="003750C2">
              <w:rPr>
                <w:rFonts w:eastAsia="Times New Roman" w:cstheme="minorHAnsi"/>
                <w:sz w:val="20"/>
                <w:szCs w:val="20"/>
              </w:rPr>
              <w:t>[0.0, 0.6]</w:t>
            </w:r>
          </w:p>
          <w:p w:rsidR="003A369B" w:rsidRPr="003750C2" w:rsidRDefault="003A369B" w:rsidP="00EB5A53">
            <w:pPr>
              <w:keepLines/>
              <w:tabs>
                <w:tab w:val="decimal" w:pos="-140"/>
              </w:tabs>
              <w:spacing w:after="0" w:line="240" w:lineRule="auto"/>
              <w:jc w:val="center"/>
              <w:rPr>
                <w:rFonts w:eastAsia="Times New Roman" w:cstheme="minorHAnsi"/>
                <w:sz w:val="20"/>
                <w:szCs w:val="20"/>
              </w:rPr>
            </w:pPr>
            <w:r w:rsidRPr="003750C2">
              <w:rPr>
                <w:rFonts w:eastAsia="Times New Roman" w:cstheme="minorHAnsi"/>
                <w:sz w:val="20"/>
                <w:szCs w:val="20"/>
              </w:rPr>
              <w:t>p = NS</w:t>
            </w:r>
          </w:p>
        </w:tc>
        <w:tc>
          <w:tcPr>
            <w:tcW w:w="1741" w:type="dxa"/>
            <w:tcBorders>
              <w:right w:val="single" w:sz="6" w:space="0" w:color="auto"/>
            </w:tcBorders>
          </w:tcPr>
          <w:p w:rsidR="003A369B" w:rsidRPr="003750C2" w:rsidRDefault="003A369B" w:rsidP="00EB5A53">
            <w:pPr>
              <w:keepLines/>
              <w:tabs>
                <w:tab w:val="decimal" w:pos="0"/>
              </w:tabs>
              <w:spacing w:after="0" w:line="240" w:lineRule="auto"/>
              <w:jc w:val="center"/>
              <w:rPr>
                <w:rFonts w:eastAsia="Times New Roman" w:cstheme="minorHAnsi"/>
                <w:sz w:val="20"/>
                <w:szCs w:val="20"/>
              </w:rPr>
            </w:pPr>
            <w:r w:rsidRPr="003750C2">
              <w:rPr>
                <w:rFonts w:eastAsia="Times New Roman" w:cstheme="minorHAnsi"/>
                <w:sz w:val="20"/>
                <w:szCs w:val="20"/>
              </w:rPr>
              <w:t>2/1123 (0.2%)</w:t>
            </w:r>
          </w:p>
          <w:p w:rsidR="003A369B" w:rsidRPr="003750C2" w:rsidRDefault="003A369B" w:rsidP="00EB5A53">
            <w:pPr>
              <w:keepLines/>
              <w:tabs>
                <w:tab w:val="decimal" w:pos="0"/>
                <w:tab w:val="decimal" w:pos="317"/>
              </w:tabs>
              <w:spacing w:after="0" w:line="240" w:lineRule="auto"/>
              <w:jc w:val="center"/>
              <w:rPr>
                <w:rFonts w:eastAsia="Times New Roman" w:cstheme="minorHAnsi"/>
                <w:sz w:val="20"/>
                <w:szCs w:val="20"/>
              </w:rPr>
            </w:pPr>
            <w:r w:rsidRPr="003750C2">
              <w:rPr>
                <w:rFonts w:eastAsia="Times New Roman" w:cstheme="minorHAnsi"/>
                <w:sz w:val="20"/>
                <w:szCs w:val="20"/>
              </w:rPr>
              <w:t>[0.0, 0.6]</w:t>
            </w:r>
          </w:p>
        </w:tc>
      </w:tr>
    </w:tbl>
    <w:p w:rsidR="003A369B" w:rsidRPr="003750C2" w:rsidRDefault="003A369B" w:rsidP="00EB5A53">
      <w:pPr>
        <w:keepLines/>
        <w:spacing w:after="0" w:line="240" w:lineRule="auto"/>
        <w:ind w:left="142" w:hanging="142"/>
        <w:jc w:val="both"/>
        <w:rPr>
          <w:rFonts w:eastAsia="Times New Roman" w:cstheme="minorHAnsi"/>
          <w:sz w:val="20"/>
          <w:szCs w:val="20"/>
        </w:rPr>
      </w:pPr>
      <w:r w:rsidRPr="003750C2">
        <w:rPr>
          <w:rFonts w:eastAsia="Times New Roman" w:cstheme="minorHAnsi"/>
          <w:b/>
          <w:sz w:val="20"/>
          <w:szCs w:val="20"/>
          <w:vertAlign w:val="superscript"/>
        </w:rPr>
        <w:t xml:space="preserve">a </w:t>
      </w:r>
      <w:r w:rsidRPr="003750C2">
        <w:rPr>
          <w:rFonts w:eastAsia="Times New Roman" w:cstheme="minorHAnsi"/>
          <w:sz w:val="20"/>
          <w:szCs w:val="20"/>
        </w:rPr>
        <w:t>First injection was to be given post-operatively.</w:t>
      </w:r>
    </w:p>
    <w:p w:rsidR="003A369B" w:rsidRPr="003750C2" w:rsidRDefault="003A369B" w:rsidP="00EB5A53">
      <w:pPr>
        <w:keepLines/>
        <w:spacing w:after="0" w:line="240" w:lineRule="auto"/>
        <w:ind w:left="142" w:hanging="142"/>
        <w:jc w:val="both"/>
        <w:rPr>
          <w:rFonts w:eastAsia="Times New Roman" w:cstheme="minorHAnsi"/>
          <w:sz w:val="20"/>
          <w:szCs w:val="20"/>
        </w:rPr>
      </w:pPr>
      <w:r w:rsidRPr="003750C2">
        <w:rPr>
          <w:rFonts w:eastAsia="Times New Roman" w:cstheme="minorHAnsi"/>
          <w:b/>
          <w:sz w:val="20"/>
          <w:szCs w:val="20"/>
          <w:vertAlign w:val="superscript"/>
        </w:rPr>
        <w:t xml:space="preserve">b </w:t>
      </w:r>
      <w:r w:rsidRPr="003750C2">
        <w:rPr>
          <w:rFonts w:eastAsia="Times New Roman" w:cstheme="minorHAnsi"/>
          <w:sz w:val="20"/>
          <w:szCs w:val="20"/>
        </w:rPr>
        <w:t xml:space="preserve">first injection was to be given 12 hours before operation except in case of spinal anaesthesia (at the discretion of the investigator). </w:t>
      </w:r>
    </w:p>
    <w:p w:rsidR="003A369B" w:rsidRPr="003750C2" w:rsidRDefault="003A369B" w:rsidP="00EB5A53">
      <w:pPr>
        <w:keepLines/>
        <w:spacing w:after="0" w:line="240" w:lineRule="auto"/>
        <w:ind w:left="142" w:hanging="142"/>
        <w:jc w:val="both"/>
        <w:rPr>
          <w:rFonts w:eastAsia="Times New Roman" w:cstheme="minorHAnsi"/>
          <w:sz w:val="20"/>
          <w:szCs w:val="20"/>
        </w:rPr>
      </w:pPr>
      <w:r w:rsidRPr="003750C2">
        <w:rPr>
          <w:rFonts w:eastAsia="Times New Roman" w:cstheme="minorHAnsi"/>
          <w:b/>
          <w:sz w:val="20"/>
          <w:szCs w:val="20"/>
          <w:vertAlign w:val="superscript"/>
        </w:rPr>
        <w:t xml:space="preserve">c </w:t>
      </w:r>
      <w:r w:rsidRPr="003750C2">
        <w:rPr>
          <w:rFonts w:eastAsia="Times New Roman" w:cstheme="minorHAnsi"/>
          <w:sz w:val="20"/>
          <w:szCs w:val="20"/>
        </w:rPr>
        <w:t>This dosage schedule is approved in North America but not in Australia.</w:t>
      </w:r>
    </w:p>
    <w:p w:rsidR="003A369B" w:rsidRPr="00EB5A53" w:rsidRDefault="003A369B" w:rsidP="003A369B">
      <w:pPr>
        <w:jc w:val="both"/>
        <w:rPr>
          <w:rFonts w:cstheme="minorHAnsi"/>
          <w:b/>
          <w:i/>
          <w:lang w:val="en-US"/>
        </w:rPr>
      </w:pPr>
    </w:p>
    <w:p w:rsidR="003A369B" w:rsidRPr="00736CB6" w:rsidRDefault="003A369B" w:rsidP="00736CB6">
      <w:pPr>
        <w:pageBreakBefore/>
        <w:rPr>
          <w:b/>
          <w:lang w:val="en-US"/>
        </w:rPr>
      </w:pPr>
      <w:r w:rsidRPr="00736CB6">
        <w:rPr>
          <w:b/>
          <w:lang w:val="en-US"/>
        </w:rPr>
        <w:lastRenderedPageBreak/>
        <w:t>Prevention of Venous Thromboembolic Events in patients undergoing abdominal surgery at risk of thromboembolic complications – PEGASUS</w:t>
      </w:r>
    </w:p>
    <w:p w:rsidR="003A369B" w:rsidRDefault="003A369B" w:rsidP="00EB5A53">
      <w:pPr>
        <w:spacing w:line="240" w:lineRule="auto"/>
        <w:jc w:val="both"/>
        <w:rPr>
          <w:rFonts w:cstheme="minorHAnsi"/>
          <w:lang w:val="en-US"/>
        </w:rPr>
      </w:pPr>
      <w:r w:rsidRPr="00146CEE">
        <w:rPr>
          <w:rFonts w:cstheme="minorHAnsi"/>
          <w:lang w:val="en-US"/>
        </w:rPr>
        <w:t>In a randomised, double-blind, clinical trial in patients undergoing abdominal surgery, fondaparinux 2.5 mg SC once daily started postoperatively was compared to dalteparin sodium 5000 IU SC once daily, with one 2500 IU SC preoperative injection and a 2500 IU SC first postoperative injection. A total of 2927 patients were randomised and 2858 were treated. Study treatment was continued for 7 ± 2 days. The effic</w:t>
      </w:r>
      <w:r>
        <w:rPr>
          <w:rFonts w:cstheme="minorHAnsi"/>
          <w:lang w:val="en-US"/>
        </w:rPr>
        <w:t>acy data are provided in Table 15</w:t>
      </w:r>
      <w:r w:rsidRPr="00146CEE">
        <w:rPr>
          <w:rFonts w:cstheme="minorHAnsi"/>
          <w:lang w:val="en-US"/>
        </w:rPr>
        <w:t xml:space="preserve"> below.</w:t>
      </w:r>
    </w:p>
    <w:p w:rsidR="003A369B" w:rsidRPr="00EB5A53" w:rsidRDefault="003A369B" w:rsidP="00EB5A53">
      <w:pPr>
        <w:keepNext/>
        <w:spacing w:before="120" w:after="0" w:line="240" w:lineRule="auto"/>
        <w:jc w:val="center"/>
        <w:rPr>
          <w:rFonts w:eastAsia="Times New Roman" w:cstheme="minorHAnsi"/>
          <w:b/>
          <w:sz w:val="20"/>
          <w:szCs w:val="20"/>
        </w:rPr>
      </w:pPr>
      <w:bookmarkStart w:id="11" w:name="_Ref482800052"/>
      <w:r w:rsidRPr="00EB5A53">
        <w:rPr>
          <w:rFonts w:eastAsia="Times New Roman" w:cstheme="minorHAnsi"/>
          <w:b/>
          <w:sz w:val="20"/>
          <w:szCs w:val="20"/>
        </w:rPr>
        <w:t>Table</w:t>
      </w:r>
      <w:bookmarkEnd w:id="11"/>
      <w:r w:rsidRPr="00EB5A53">
        <w:rPr>
          <w:rFonts w:eastAsia="Times New Roman" w:cstheme="minorHAnsi"/>
          <w:b/>
          <w:sz w:val="20"/>
          <w:szCs w:val="20"/>
        </w:rPr>
        <w:t xml:space="preserve"> 15: Efficacy of Fondaparinux Injection in abdominal surgery 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7"/>
        <w:gridCol w:w="2407"/>
        <w:gridCol w:w="2408"/>
      </w:tblGrid>
      <w:tr w:rsidR="003A369B" w:rsidRPr="003750C2" w:rsidTr="003A369B">
        <w:tc>
          <w:tcPr>
            <w:tcW w:w="2407" w:type="dxa"/>
            <w:tcBorders>
              <w:right w:val="single" w:sz="4" w:space="0" w:color="auto"/>
            </w:tcBorders>
          </w:tcPr>
          <w:p w:rsidR="003A369B" w:rsidRPr="003750C2" w:rsidRDefault="003A369B">
            <w:pPr>
              <w:autoSpaceDE w:val="0"/>
              <w:autoSpaceDN w:val="0"/>
              <w:adjustRightInd w:val="0"/>
              <w:spacing w:after="0" w:line="240" w:lineRule="auto"/>
              <w:jc w:val="both"/>
              <w:rPr>
                <w:rFonts w:eastAsia="Times New Roman" w:cstheme="minorHAnsi"/>
                <w:sz w:val="20"/>
                <w:szCs w:val="20"/>
                <w:lang w:val="en-US"/>
              </w:rPr>
            </w:pPr>
          </w:p>
        </w:tc>
        <w:tc>
          <w:tcPr>
            <w:tcW w:w="2407" w:type="dxa"/>
            <w:tcBorders>
              <w:top w:val="single" w:sz="4" w:space="0" w:color="auto"/>
              <w:left w:val="single" w:sz="4" w:space="0" w:color="auto"/>
              <w:bottom w:val="single" w:sz="4" w:space="0" w:color="auto"/>
              <w:right w:val="single" w:sz="4" w:space="0" w:color="auto"/>
            </w:tcBorders>
          </w:tcPr>
          <w:p w:rsidR="003A369B" w:rsidRPr="003750C2" w:rsidRDefault="003A369B" w:rsidP="00EB5A53">
            <w:pPr>
              <w:autoSpaceDE w:val="0"/>
              <w:autoSpaceDN w:val="0"/>
              <w:adjustRightInd w:val="0"/>
              <w:spacing w:after="0" w:line="240" w:lineRule="auto"/>
              <w:jc w:val="center"/>
              <w:rPr>
                <w:rFonts w:eastAsia="Times New Roman" w:cstheme="minorHAnsi"/>
                <w:b/>
                <w:sz w:val="20"/>
                <w:szCs w:val="20"/>
              </w:rPr>
            </w:pPr>
            <w:r w:rsidRPr="003750C2">
              <w:rPr>
                <w:rFonts w:eastAsia="Times New Roman" w:cstheme="minorHAnsi"/>
                <w:b/>
                <w:sz w:val="20"/>
                <w:szCs w:val="20"/>
              </w:rPr>
              <w:t>Fondaparinux</w:t>
            </w:r>
          </w:p>
          <w:p w:rsidR="003A369B" w:rsidRPr="003750C2" w:rsidRDefault="003A369B" w:rsidP="00EB5A53">
            <w:pPr>
              <w:autoSpaceDE w:val="0"/>
              <w:autoSpaceDN w:val="0"/>
              <w:adjustRightInd w:val="0"/>
              <w:spacing w:after="0" w:line="240" w:lineRule="auto"/>
              <w:jc w:val="center"/>
              <w:rPr>
                <w:rFonts w:eastAsia="Times New Roman" w:cstheme="minorHAnsi"/>
                <w:b/>
                <w:sz w:val="20"/>
                <w:szCs w:val="20"/>
                <w:lang w:val="en-US"/>
              </w:rPr>
            </w:pPr>
            <w:r w:rsidRPr="003750C2">
              <w:rPr>
                <w:rFonts w:eastAsia="Times New Roman" w:cstheme="minorHAnsi"/>
                <w:b/>
                <w:sz w:val="20"/>
                <w:szCs w:val="20"/>
              </w:rPr>
              <w:t>2.5 mg once daily</w:t>
            </w:r>
          </w:p>
        </w:tc>
        <w:tc>
          <w:tcPr>
            <w:tcW w:w="2407" w:type="dxa"/>
            <w:tcBorders>
              <w:left w:val="single" w:sz="4" w:space="0" w:color="auto"/>
            </w:tcBorders>
          </w:tcPr>
          <w:p w:rsidR="003A369B" w:rsidRPr="003750C2" w:rsidRDefault="003A369B" w:rsidP="00EB5A53">
            <w:pPr>
              <w:autoSpaceDE w:val="0"/>
              <w:autoSpaceDN w:val="0"/>
              <w:adjustRightInd w:val="0"/>
              <w:spacing w:after="0" w:line="240" w:lineRule="auto"/>
              <w:jc w:val="center"/>
              <w:rPr>
                <w:rFonts w:eastAsia="Times New Roman" w:cstheme="minorHAnsi"/>
                <w:b/>
                <w:sz w:val="20"/>
                <w:szCs w:val="20"/>
                <w:lang w:val="en-US"/>
              </w:rPr>
            </w:pPr>
            <w:r w:rsidRPr="003750C2">
              <w:rPr>
                <w:rFonts w:eastAsia="Times New Roman" w:cstheme="minorHAnsi"/>
                <w:b/>
                <w:sz w:val="20"/>
                <w:szCs w:val="20"/>
                <w:lang w:val="en-US"/>
              </w:rPr>
              <w:t>Dalteparin Sodium</w:t>
            </w:r>
          </w:p>
          <w:p w:rsidR="003A369B" w:rsidRPr="003750C2" w:rsidRDefault="003A369B" w:rsidP="00EB5A53">
            <w:pPr>
              <w:autoSpaceDE w:val="0"/>
              <w:autoSpaceDN w:val="0"/>
              <w:adjustRightInd w:val="0"/>
              <w:spacing w:after="0" w:line="240" w:lineRule="auto"/>
              <w:jc w:val="center"/>
              <w:rPr>
                <w:rFonts w:eastAsia="Times New Roman" w:cstheme="minorHAnsi"/>
                <w:b/>
                <w:sz w:val="20"/>
                <w:szCs w:val="20"/>
                <w:lang w:val="en-US"/>
              </w:rPr>
            </w:pPr>
            <w:r w:rsidRPr="003750C2">
              <w:rPr>
                <w:rFonts w:eastAsia="Times New Roman" w:cstheme="minorHAnsi"/>
                <w:b/>
                <w:sz w:val="20"/>
                <w:szCs w:val="20"/>
                <w:lang w:val="en-US"/>
              </w:rPr>
              <w:t>5000 IU</w:t>
            </w:r>
          </w:p>
        </w:tc>
        <w:tc>
          <w:tcPr>
            <w:tcW w:w="2408" w:type="dxa"/>
          </w:tcPr>
          <w:p w:rsidR="003A369B" w:rsidRPr="003750C2" w:rsidRDefault="003A369B" w:rsidP="00EB5A53">
            <w:pPr>
              <w:autoSpaceDE w:val="0"/>
              <w:autoSpaceDN w:val="0"/>
              <w:adjustRightInd w:val="0"/>
              <w:spacing w:after="0" w:line="240" w:lineRule="auto"/>
              <w:jc w:val="center"/>
              <w:rPr>
                <w:rFonts w:eastAsia="Times New Roman" w:cstheme="minorHAnsi"/>
                <w:b/>
                <w:sz w:val="20"/>
                <w:szCs w:val="20"/>
                <w:lang w:val="en-US"/>
              </w:rPr>
            </w:pPr>
            <w:r w:rsidRPr="003750C2">
              <w:rPr>
                <w:rFonts w:eastAsia="Times New Roman" w:cstheme="minorHAnsi"/>
                <w:b/>
                <w:sz w:val="20"/>
                <w:szCs w:val="20"/>
                <w:lang w:val="en-US"/>
              </w:rPr>
              <w:t>Odds Ratio</w:t>
            </w:r>
          </w:p>
          <w:p w:rsidR="003A369B" w:rsidRPr="003750C2" w:rsidRDefault="003A369B" w:rsidP="00EB5A53">
            <w:pPr>
              <w:autoSpaceDE w:val="0"/>
              <w:autoSpaceDN w:val="0"/>
              <w:adjustRightInd w:val="0"/>
              <w:spacing w:after="0" w:line="240" w:lineRule="auto"/>
              <w:jc w:val="center"/>
              <w:rPr>
                <w:rFonts w:eastAsia="Times New Roman" w:cstheme="minorHAnsi"/>
                <w:b/>
                <w:sz w:val="20"/>
                <w:szCs w:val="20"/>
                <w:lang w:val="en-US"/>
              </w:rPr>
            </w:pPr>
            <w:r w:rsidRPr="003750C2">
              <w:rPr>
                <w:rFonts w:eastAsia="Times New Roman" w:cstheme="minorHAnsi"/>
                <w:b/>
                <w:sz w:val="20"/>
                <w:szCs w:val="20"/>
                <w:lang w:val="en-US"/>
              </w:rPr>
              <w:t>Reduction [CI]*</w:t>
            </w:r>
          </w:p>
        </w:tc>
      </w:tr>
      <w:tr w:rsidR="003A369B" w:rsidRPr="003750C2" w:rsidTr="003A369B">
        <w:tc>
          <w:tcPr>
            <w:tcW w:w="9629" w:type="dxa"/>
            <w:gridSpan w:val="4"/>
          </w:tcPr>
          <w:p w:rsidR="003A369B" w:rsidRPr="003750C2" w:rsidRDefault="003A369B" w:rsidP="00EB5A53">
            <w:pPr>
              <w:autoSpaceDE w:val="0"/>
              <w:autoSpaceDN w:val="0"/>
              <w:adjustRightInd w:val="0"/>
              <w:spacing w:after="0" w:line="240" w:lineRule="auto"/>
              <w:rPr>
                <w:rFonts w:eastAsia="Times New Roman" w:cstheme="minorHAnsi"/>
                <w:b/>
                <w:sz w:val="20"/>
                <w:szCs w:val="20"/>
                <w:lang w:val="en-US"/>
              </w:rPr>
            </w:pPr>
            <w:r w:rsidRPr="003750C2">
              <w:rPr>
                <w:rFonts w:eastAsia="Times New Roman" w:cstheme="minorHAnsi"/>
                <w:b/>
                <w:sz w:val="20"/>
                <w:szCs w:val="20"/>
                <w:lang w:val="en-US"/>
              </w:rPr>
              <w:t>Primary efficacy outcome</w:t>
            </w:r>
          </w:p>
        </w:tc>
      </w:tr>
      <w:tr w:rsidR="003A369B" w:rsidRPr="003750C2" w:rsidTr="003A369B">
        <w:tc>
          <w:tcPr>
            <w:tcW w:w="2407" w:type="dxa"/>
          </w:tcPr>
          <w:p w:rsidR="003A369B" w:rsidRPr="003750C2" w:rsidRDefault="003A369B" w:rsidP="00EB5A53">
            <w:pPr>
              <w:autoSpaceDE w:val="0"/>
              <w:autoSpaceDN w:val="0"/>
              <w:adjustRightInd w:val="0"/>
              <w:spacing w:after="0" w:line="240" w:lineRule="auto"/>
              <w:rPr>
                <w:rFonts w:eastAsia="Times New Roman" w:cstheme="minorHAnsi"/>
                <w:sz w:val="20"/>
                <w:szCs w:val="20"/>
                <w:lang w:val="en-US"/>
              </w:rPr>
            </w:pPr>
            <w:r w:rsidRPr="003750C2">
              <w:rPr>
                <w:rFonts w:eastAsia="Times New Roman" w:cstheme="minorHAnsi"/>
                <w:sz w:val="20"/>
                <w:szCs w:val="20"/>
                <w:lang w:val="en-US"/>
              </w:rPr>
              <w:t>VTE</w:t>
            </w:r>
          </w:p>
        </w:tc>
        <w:tc>
          <w:tcPr>
            <w:tcW w:w="2407" w:type="dxa"/>
          </w:tcPr>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47/1027</w:t>
            </w:r>
          </w:p>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(4.6%)</w:t>
            </w:r>
          </w:p>
        </w:tc>
        <w:tc>
          <w:tcPr>
            <w:tcW w:w="2407" w:type="dxa"/>
          </w:tcPr>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62/1021</w:t>
            </w:r>
          </w:p>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(6.1%)</w:t>
            </w:r>
          </w:p>
        </w:tc>
        <w:tc>
          <w:tcPr>
            <w:tcW w:w="2408" w:type="dxa"/>
          </w:tcPr>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NS</w:t>
            </w:r>
          </w:p>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p>
        </w:tc>
      </w:tr>
      <w:tr w:rsidR="003A369B" w:rsidRPr="003750C2" w:rsidTr="003A369B">
        <w:tc>
          <w:tcPr>
            <w:tcW w:w="9629" w:type="dxa"/>
            <w:gridSpan w:val="4"/>
          </w:tcPr>
          <w:p w:rsidR="003A369B" w:rsidRPr="003750C2" w:rsidRDefault="003A369B" w:rsidP="00EB5A53">
            <w:pPr>
              <w:autoSpaceDE w:val="0"/>
              <w:autoSpaceDN w:val="0"/>
              <w:adjustRightInd w:val="0"/>
              <w:spacing w:after="0" w:line="240" w:lineRule="auto"/>
              <w:rPr>
                <w:rFonts w:eastAsia="Times New Roman" w:cstheme="minorHAnsi"/>
                <w:b/>
                <w:sz w:val="20"/>
                <w:szCs w:val="20"/>
                <w:lang w:val="en-US"/>
              </w:rPr>
            </w:pPr>
            <w:r w:rsidRPr="003750C2">
              <w:rPr>
                <w:rFonts w:eastAsia="Times New Roman" w:cstheme="minorHAnsi"/>
                <w:b/>
                <w:sz w:val="20"/>
                <w:szCs w:val="20"/>
                <w:lang w:val="en-US"/>
              </w:rPr>
              <w:t>Component of the primary efficacy outcome (secondary analysis)</w:t>
            </w:r>
          </w:p>
        </w:tc>
      </w:tr>
      <w:tr w:rsidR="003A369B" w:rsidRPr="003750C2" w:rsidTr="003A369B">
        <w:tc>
          <w:tcPr>
            <w:tcW w:w="2407" w:type="dxa"/>
          </w:tcPr>
          <w:p w:rsidR="003A369B" w:rsidRPr="003750C2" w:rsidRDefault="003A369B" w:rsidP="00EB5A53">
            <w:pPr>
              <w:autoSpaceDE w:val="0"/>
              <w:autoSpaceDN w:val="0"/>
              <w:adjustRightInd w:val="0"/>
              <w:spacing w:after="0" w:line="240" w:lineRule="auto"/>
              <w:rPr>
                <w:rFonts w:eastAsia="Times New Roman" w:cstheme="minorHAnsi"/>
                <w:sz w:val="20"/>
                <w:szCs w:val="20"/>
                <w:lang w:val="en-US"/>
              </w:rPr>
            </w:pPr>
            <w:r w:rsidRPr="003750C2">
              <w:rPr>
                <w:rFonts w:eastAsia="Times New Roman" w:cstheme="minorHAnsi"/>
                <w:sz w:val="20"/>
                <w:szCs w:val="20"/>
                <w:lang w:val="en-US"/>
              </w:rPr>
              <w:t>Any DVT</w:t>
            </w:r>
          </w:p>
        </w:tc>
        <w:tc>
          <w:tcPr>
            <w:tcW w:w="2407" w:type="dxa"/>
          </w:tcPr>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43/1024</w:t>
            </w:r>
          </w:p>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(4.2%)</w:t>
            </w:r>
          </w:p>
        </w:tc>
        <w:tc>
          <w:tcPr>
            <w:tcW w:w="2407" w:type="dxa"/>
          </w:tcPr>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59/1018</w:t>
            </w:r>
          </w:p>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(5.8%)</w:t>
            </w:r>
          </w:p>
        </w:tc>
        <w:tc>
          <w:tcPr>
            <w:tcW w:w="2408" w:type="dxa"/>
          </w:tcPr>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-28.8%</w:t>
            </w:r>
          </w:p>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[-52.4, -6.6]</w:t>
            </w:r>
          </w:p>
        </w:tc>
      </w:tr>
      <w:tr w:rsidR="003A369B" w:rsidRPr="003750C2" w:rsidTr="003A369B">
        <w:tc>
          <w:tcPr>
            <w:tcW w:w="2407" w:type="dxa"/>
          </w:tcPr>
          <w:p w:rsidR="003A369B" w:rsidRPr="003750C2" w:rsidRDefault="003A369B" w:rsidP="00EB5A53">
            <w:pPr>
              <w:autoSpaceDE w:val="0"/>
              <w:autoSpaceDN w:val="0"/>
              <w:adjustRightInd w:val="0"/>
              <w:spacing w:after="0" w:line="240" w:lineRule="auto"/>
              <w:rPr>
                <w:rFonts w:eastAsia="Times New Roman" w:cstheme="minorHAnsi"/>
                <w:sz w:val="20"/>
                <w:szCs w:val="20"/>
                <w:lang w:val="en-US"/>
              </w:rPr>
            </w:pPr>
            <w:r w:rsidRPr="003750C2">
              <w:rPr>
                <w:rFonts w:eastAsia="Times New Roman" w:cstheme="minorHAnsi"/>
                <w:sz w:val="20"/>
                <w:szCs w:val="20"/>
                <w:lang w:val="en-US"/>
              </w:rPr>
              <w:t>Any proximal DVT</w:t>
            </w:r>
          </w:p>
        </w:tc>
        <w:tc>
          <w:tcPr>
            <w:tcW w:w="2407" w:type="dxa"/>
          </w:tcPr>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5/1076</w:t>
            </w:r>
          </w:p>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(0.5%)</w:t>
            </w:r>
          </w:p>
        </w:tc>
        <w:tc>
          <w:tcPr>
            <w:tcW w:w="2407" w:type="dxa"/>
          </w:tcPr>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5/1077</w:t>
            </w:r>
          </w:p>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(0.5%)</w:t>
            </w:r>
          </w:p>
        </w:tc>
        <w:tc>
          <w:tcPr>
            <w:tcW w:w="2408" w:type="dxa"/>
          </w:tcPr>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NS</w:t>
            </w:r>
          </w:p>
          <w:p w:rsidR="003A369B" w:rsidRPr="003750C2" w:rsidRDefault="003A369B" w:rsidP="00EB5A53">
            <w:pPr>
              <w:autoSpaceDE w:val="0"/>
              <w:autoSpaceDN w:val="0"/>
              <w:adjustRightInd w:val="0"/>
              <w:spacing w:after="0" w:line="240" w:lineRule="auto"/>
              <w:jc w:val="center"/>
              <w:rPr>
                <w:rFonts w:eastAsia="Times New Roman" w:cstheme="minorHAnsi"/>
                <w:strike/>
                <w:sz w:val="20"/>
                <w:szCs w:val="20"/>
                <w:lang w:val="en-US"/>
              </w:rPr>
            </w:pPr>
          </w:p>
        </w:tc>
      </w:tr>
      <w:tr w:rsidR="003A369B" w:rsidRPr="003750C2" w:rsidTr="003A369B">
        <w:tc>
          <w:tcPr>
            <w:tcW w:w="2407" w:type="dxa"/>
          </w:tcPr>
          <w:p w:rsidR="003A369B" w:rsidRPr="003750C2" w:rsidRDefault="003A369B" w:rsidP="00EB5A53">
            <w:pPr>
              <w:autoSpaceDE w:val="0"/>
              <w:autoSpaceDN w:val="0"/>
              <w:adjustRightInd w:val="0"/>
              <w:spacing w:after="0" w:line="240" w:lineRule="auto"/>
              <w:rPr>
                <w:rFonts w:eastAsia="Times New Roman" w:cstheme="minorHAnsi"/>
                <w:sz w:val="20"/>
                <w:szCs w:val="20"/>
                <w:lang w:val="en-US"/>
              </w:rPr>
            </w:pPr>
            <w:r w:rsidRPr="003750C2">
              <w:rPr>
                <w:rFonts w:eastAsia="Times New Roman" w:cstheme="minorHAnsi"/>
                <w:sz w:val="20"/>
                <w:szCs w:val="20"/>
                <w:lang w:val="en-US"/>
              </w:rPr>
              <w:t>Distal DVT only</w:t>
            </w:r>
          </w:p>
        </w:tc>
        <w:tc>
          <w:tcPr>
            <w:tcW w:w="2407" w:type="dxa"/>
          </w:tcPr>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40/1025</w:t>
            </w:r>
          </w:p>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(3.9%)</w:t>
            </w:r>
          </w:p>
        </w:tc>
        <w:tc>
          <w:tcPr>
            <w:tcW w:w="2407" w:type="dxa"/>
          </w:tcPr>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54/1022</w:t>
            </w:r>
          </w:p>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(5.3%)</w:t>
            </w:r>
          </w:p>
        </w:tc>
        <w:tc>
          <w:tcPr>
            <w:tcW w:w="2408" w:type="dxa"/>
          </w:tcPr>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w:t>
            </w:r>
          </w:p>
        </w:tc>
      </w:tr>
      <w:tr w:rsidR="003A369B" w:rsidRPr="003750C2" w:rsidTr="003A369B">
        <w:tc>
          <w:tcPr>
            <w:tcW w:w="2407" w:type="dxa"/>
          </w:tcPr>
          <w:p w:rsidR="003A369B" w:rsidRPr="003750C2" w:rsidRDefault="003A369B" w:rsidP="00EB5A53">
            <w:pPr>
              <w:autoSpaceDE w:val="0"/>
              <w:autoSpaceDN w:val="0"/>
              <w:adjustRightInd w:val="0"/>
              <w:spacing w:after="0" w:line="240" w:lineRule="auto"/>
              <w:rPr>
                <w:rFonts w:eastAsia="Times New Roman" w:cstheme="minorHAnsi"/>
                <w:sz w:val="20"/>
                <w:szCs w:val="20"/>
                <w:lang w:val="en-US"/>
              </w:rPr>
            </w:pPr>
            <w:r w:rsidRPr="003750C2">
              <w:rPr>
                <w:rFonts w:eastAsia="Times New Roman" w:cstheme="minorHAnsi"/>
                <w:sz w:val="20"/>
                <w:szCs w:val="20"/>
                <w:lang w:val="en-US"/>
              </w:rPr>
              <w:t>Symptomatic VTE</w:t>
            </w:r>
          </w:p>
        </w:tc>
        <w:tc>
          <w:tcPr>
            <w:tcW w:w="2407" w:type="dxa"/>
          </w:tcPr>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6/1465</w:t>
            </w:r>
          </w:p>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(0.4%)</w:t>
            </w:r>
          </w:p>
        </w:tc>
        <w:tc>
          <w:tcPr>
            <w:tcW w:w="2407" w:type="dxa"/>
          </w:tcPr>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5/1462</w:t>
            </w:r>
          </w:p>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(0.3%)</w:t>
            </w:r>
          </w:p>
        </w:tc>
        <w:tc>
          <w:tcPr>
            <w:tcW w:w="2408" w:type="dxa"/>
          </w:tcPr>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w:t>
            </w:r>
          </w:p>
        </w:tc>
      </w:tr>
      <w:tr w:rsidR="003A369B" w:rsidRPr="003750C2" w:rsidTr="003A369B">
        <w:tc>
          <w:tcPr>
            <w:tcW w:w="2407" w:type="dxa"/>
          </w:tcPr>
          <w:p w:rsidR="003A369B" w:rsidRPr="003750C2" w:rsidRDefault="003A369B" w:rsidP="00EB5A53">
            <w:pPr>
              <w:autoSpaceDE w:val="0"/>
              <w:autoSpaceDN w:val="0"/>
              <w:adjustRightInd w:val="0"/>
              <w:spacing w:after="0" w:line="240" w:lineRule="auto"/>
              <w:ind w:left="284"/>
              <w:rPr>
                <w:rFonts w:eastAsia="Times New Roman" w:cstheme="minorHAnsi"/>
                <w:sz w:val="20"/>
                <w:szCs w:val="20"/>
                <w:lang w:val="en-US"/>
              </w:rPr>
            </w:pPr>
            <w:r w:rsidRPr="003750C2">
              <w:rPr>
                <w:rFonts w:eastAsia="Times New Roman" w:cstheme="minorHAnsi"/>
                <w:sz w:val="20"/>
                <w:szCs w:val="20"/>
                <w:lang w:val="en-US"/>
              </w:rPr>
              <w:t>Symptomatic DVT</w:t>
            </w:r>
          </w:p>
        </w:tc>
        <w:tc>
          <w:tcPr>
            <w:tcW w:w="2407" w:type="dxa"/>
          </w:tcPr>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2</w:t>
            </w:r>
          </w:p>
        </w:tc>
        <w:tc>
          <w:tcPr>
            <w:tcW w:w="2407" w:type="dxa"/>
          </w:tcPr>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2</w:t>
            </w:r>
          </w:p>
        </w:tc>
        <w:tc>
          <w:tcPr>
            <w:tcW w:w="2408" w:type="dxa"/>
          </w:tcPr>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w:t>
            </w:r>
          </w:p>
        </w:tc>
      </w:tr>
      <w:tr w:rsidR="003A369B" w:rsidRPr="003750C2" w:rsidTr="003A369B">
        <w:tc>
          <w:tcPr>
            <w:tcW w:w="2407" w:type="dxa"/>
          </w:tcPr>
          <w:p w:rsidR="003A369B" w:rsidRPr="003750C2" w:rsidRDefault="003A369B" w:rsidP="00EB5A53">
            <w:pPr>
              <w:autoSpaceDE w:val="0"/>
              <w:autoSpaceDN w:val="0"/>
              <w:adjustRightInd w:val="0"/>
              <w:spacing w:after="0" w:line="240" w:lineRule="auto"/>
              <w:ind w:left="284"/>
              <w:rPr>
                <w:rFonts w:eastAsia="Times New Roman" w:cstheme="minorHAnsi"/>
                <w:sz w:val="20"/>
                <w:szCs w:val="20"/>
                <w:lang w:val="en-US"/>
              </w:rPr>
            </w:pPr>
            <w:r w:rsidRPr="003750C2">
              <w:rPr>
                <w:rFonts w:eastAsia="Times New Roman" w:cstheme="minorHAnsi"/>
                <w:sz w:val="20"/>
                <w:szCs w:val="20"/>
                <w:lang w:val="en-US"/>
              </w:rPr>
              <w:t>Non-Fatal PE</w:t>
            </w:r>
          </w:p>
        </w:tc>
        <w:tc>
          <w:tcPr>
            <w:tcW w:w="2407" w:type="dxa"/>
          </w:tcPr>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2</w:t>
            </w:r>
          </w:p>
        </w:tc>
        <w:tc>
          <w:tcPr>
            <w:tcW w:w="2407" w:type="dxa"/>
          </w:tcPr>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0</w:t>
            </w:r>
          </w:p>
        </w:tc>
        <w:tc>
          <w:tcPr>
            <w:tcW w:w="2408" w:type="dxa"/>
          </w:tcPr>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w:t>
            </w:r>
          </w:p>
        </w:tc>
      </w:tr>
      <w:tr w:rsidR="003A369B" w:rsidRPr="003750C2" w:rsidTr="003A369B">
        <w:tc>
          <w:tcPr>
            <w:tcW w:w="2407" w:type="dxa"/>
          </w:tcPr>
          <w:p w:rsidR="003A369B" w:rsidRPr="003750C2" w:rsidRDefault="003A369B" w:rsidP="00EB5A53">
            <w:pPr>
              <w:autoSpaceDE w:val="0"/>
              <w:autoSpaceDN w:val="0"/>
              <w:adjustRightInd w:val="0"/>
              <w:spacing w:after="0" w:line="240" w:lineRule="auto"/>
              <w:ind w:left="284"/>
              <w:rPr>
                <w:rFonts w:eastAsia="Times New Roman" w:cstheme="minorHAnsi"/>
                <w:sz w:val="20"/>
                <w:szCs w:val="20"/>
                <w:lang w:val="en-US"/>
              </w:rPr>
            </w:pPr>
            <w:r w:rsidRPr="003750C2">
              <w:rPr>
                <w:rFonts w:eastAsia="Times New Roman" w:cstheme="minorHAnsi"/>
                <w:sz w:val="20"/>
                <w:szCs w:val="20"/>
                <w:lang w:val="en-US"/>
              </w:rPr>
              <w:t>Fatal PE</w:t>
            </w:r>
          </w:p>
        </w:tc>
        <w:tc>
          <w:tcPr>
            <w:tcW w:w="2407" w:type="dxa"/>
          </w:tcPr>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3</w:t>
            </w:r>
          </w:p>
        </w:tc>
        <w:tc>
          <w:tcPr>
            <w:tcW w:w="2407" w:type="dxa"/>
          </w:tcPr>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3</w:t>
            </w:r>
          </w:p>
        </w:tc>
        <w:tc>
          <w:tcPr>
            <w:tcW w:w="2408" w:type="dxa"/>
          </w:tcPr>
          <w:p w:rsidR="003A369B" w:rsidRPr="003750C2" w:rsidRDefault="003A369B" w:rsidP="00EB5A53">
            <w:pPr>
              <w:autoSpaceDE w:val="0"/>
              <w:autoSpaceDN w:val="0"/>
              <w:adjustRightInd w:val="0"/>
              <w:spacing w:after="0" w:line="240" w:lineRule="auto"/>
              <w:jc w:val="center"/>
              <w:rPr>
                <w:rFonts w:eastAsia="Times New Roman" w:cstheme="minorHAnsi"/>
                <w:sz w:val="20"/>
                <w:szCs w:val="20"/>
                <w:lang w:val="en-US"/>
              </w:rPr>
            </w:pPr>
            <w:r w:rsidRPr="003750C2">
              <w:rPr>
                <w:rFonts w:eastAsia="Times New Roman" w:cstheme="minorHAnsi"/>
                <w:sz w:val="20"/>
                <w:szCs w:val="20"/>
                <w:lang w:val="en-US"/>
              </w:rPr>
              <w:t>--</w:t>
            </w:r>
          </w:p>
        </w:tc>
      </w:tr>
    </w:tbl>
    <w:p w:rsidR="003A369B" w:rsidRPr="003750C2" w:rsidRDefault="003A369B">
      <w:pPr>
        <w:autoSpaceDE w:val="0"/>
        <w:autoSpaceDN w:val="0"/>
        <w:adjustRightInd w:val="0"/>
        <w:spacing w:after="0" w:line="240" w:lineRule="auto"/>
        <w:jc w:val="both"/>
        <w:rPr>
          <w:rFonts w:eastAsia="Times New Roman" w:cstheme="minorHAnsi"/>
          <w:sz w:val="20"/>
          <w:szCs w:val="20"/>
          <w:lang w:val="en-US"/>
        </w:rPr>
      </w:pPr>
    </w:p>
    <w:p w:rsidR="003A369B" w:rsidRPr="003750C2" w:rsidRDefault="003A369B">
      <w:pPr>
        <w:autoSpaceDE w:val="0"/>
        <w:autoSpaceDN w:val="0"/>
        <w:adjustRightInd w:val="0"/>
        <w:spacing w:after="0" w:line="240" w:lineRule="auto"/>
        <w:jc w:val="both"/>
        <w:rPr>
          <w:rFonts w:eastAsia="Times New Roman" w:cstheme="minorHAnsi"/>
          <w:sz w:val="20"/>
          <w:szCs w:val="20"/>
          <w:bdr w:val="single" w:sz="4" w:space="0" w:color="auto"/>
          <w:lang w:val="en-US"/>
        </w:rPr>
      </w:pPr>
      <w:r w:rsidRPr="003750C2">
        <w:rPr>
          <w:rFonts w:eastAsia="Times New Roman" w:cstheme="minorHAnsi"/>
          <w:sz w:val="20"/>
          <w:szCs w:val="20"/>
          <w:lang w:val="en-US"/>
        </w:rPr>
        <w:t>* The Odds Ratio Reduction  is only presented for pre-specified analyses</w:t>
      </w:r>
    </w:p>
    <w:p w:rsidR="003A369B" w:rsidRPr="003750C2" w:rsidRDefault="003A369B">
      <w:pPr>
        <w:autoSpaceDE w:val="0"/>
        <w:autoSpaceDN w:val="0"/>
        <w:adjustRightInd w:val="0"/>
        <w:spacing w:after="0" w:line="240" w:lineRule="auto"/>
        <w:jc w:val="both"/>
        <w:rPr>
          <w:rFonts w:eastAsia="Times New Roman" w:cstheme="minorHAnsi"/>
          <w:sz w:val="20"/>
          <w:szCs w:val="20"/>
          <w:lang w:val="en-US"/>
        </w:rPr>
      </w:pPr>
      <w:r w:rsidRPr="003750C2">
        <w:rPr>
          <w:rFonts w:eastAsia="Times New Roman" w:cstheme="minorHAnsi"/>
          <w:sz w:val="20"/>
          <w:szCs w:val="20"/>
          <w:lang w:val="en-US"/>
        </w:rPr>
        <w:t>NS - not statistically significant</w:t>
      </w:r>
    </w:p>
    <w:p w:rsidR="003A369B" w:rsidRPr="000F5095" w:rsidRDefault="003A369B" w:rsidP="003A369B">
      <w:pPr>
        <w:autoSpaceDE w:val="0"/>
        <w:autoSpaceDN w:val="0"/>
        <w:adjustRightInd w:val="0"/>
        <w:spacing w:after="0" w:line="240" w:lineRule="auto"/>
        <w:jc w:val="both"/>
        <w:rPr>
          <w:rFonts w:eastAsia="Times New Roman" w:cstheme="minorHAnsi"/>
          <w:sz w:val="20"/>
          <w:szCs w:val="20"/>
          <w:lang w:val="en-US"/>
        </w:rPr>
      </w:pPr>
    </w:p>
    <w:p w:rsidR="003A369B" w:rsidRDefault="003A369B">
      <w:pPr>
        <w:keepLines/>
        <w:spacing w:after="120" w:line="240" w:lineRule="auto"/>
        <w:jc w:val="both"/>
        <w:rPr>
          <w:rFonts w:eastAsia="Times New Roman" w:cstheme="minorHAnsi"/>
          <w:color w:val="000000"/>
          <w:lang w:val="en-US"/>
        </w:rPr>
      </w:pPr>
      <w:r w:rsidRPr="000F5095">
        <w:rPr>
          <w:rFonts w:eastAsia="Times New Roman" w:cstheme="minorHAnsi"/>
          <w:color w:val="000000"/>
          <w:lang w:val="en-US"/>
        </w:rPr>
        <w:t>The difference in the rate of VTE observed between patients taking fondaparinux and those taking dalteparin (4.6% and 6.1%) was not statistically significant.  The PEGASUS trial indicates that fondaparinux is non-inferior to dalteparin in the prevention of DVT after abdominal surgery.</w:t>
      </w:r>
    </w:p>
    <w:p w:rsidR="003A369B" w:rsidRPr="00EB5A53" w:rsidRDefault="003A369B" w:rsidP="00EB5A53">
      <w:pPr>
        <w:keepLines/>
        <w:spacing w:after="0" w:line="240" w:lineRule="auto"/>
        <w:jc w:val="both"/>
        <w:rPr>
          <w:rFonts w:ascii="Calibri" w:eastAsia="Times New Roman" w:hAnsi="Calibri" w:cs="Calibri"/>
          <w:color w:val="000000"/>
          <w:u w:val="single"/>
          <w:lang w:val="en-US"/>
        </w:rPr>
      </w:pPr>
      <w:r w:rsidRPr="00EB5A53">
        <w:rPr>
          <w:rFonts w:ascii="Calibri" w:eastAsia="Times New Roman" w:hAnsi="Calibri" w:cs="Calibri"/>
          <w:color w:val="000000"/>
          <w:u w:val="single"/>
          <w:lang w:val="en-US"/>
        </w:rPr>
        <w:t>Treatment of Deep Vein Thrombosis</w:t>
      </w:r>
    </w:p>
    <w:p w:rsidR="003A369B" w:rsidRDefault="003A369B" w:rsidP="00EB5A53">
      <w:pPr>
        <w:spacing w:after="0" w:line="240" w:lineRule="auto"/>
        <w:jc w:val="both"/>
        <w:rPr>
          <w:rFonts w:cstheme="minorHAnsi"/>
        </w:rPr>
      </w:pPr>
      <w:r w:rsidRPr="000F5095">
        <w:rPr>
          <w:rFonts w:cstheme="minorHAnsi"/>
        </w:rPr>
        <w:t xml:space="preserve">In a randomised, double-blind, clinical trial in patients with a confirmed diagnosis of acute symptomatic DVT, </w:t>
      </w:r>
      <w:r>
        <w:rPr>
          <w:rFonts w:cstheme="minorHAnsi"/>
        </w:rPr>
        <w:t>ARIXTRA</w:t>
      </w:r>
      <w:r w:rsidRPr="000F5095">
        <w:rPr>
          <w:rFonts w:cstheme="minorHAnsi"/>
        </w:rPr>
        <w:t xml:space="preserve"> 5 mg (&lt; 50 kg), 7.5 mg (50 –100 kg) or 10 mg (&gt;100 kg) SC once daily was compared to enoxaparin sodium 1 mg/kg SC every 12 hours in both hospitalised and non-hospitalised patients.  Outpatient and home treatment with </w:t>
      </w:r>
      <w:r>
        <w:rPr>
          <w:rFonts w:cstheme="minorHAnsi"/>
        </w:rPr>
        <w:t>ARIXTRA</w:t>
      </w:r>
      <w:r w:rsidRPr="000F5095">
        <w:rPr>
          <w:rFonts w:cstheme="minorHAnsi"/>
        </w:rPr>
        <w:t xml:space="preserve"> was permitted, and approximately 32% of patients were discharged home from the hospital while receiving fondaparinux therapy.  A total of 2205 patients were randomised and 2192 were treated.  Patients ranged in age from 18–95 years (mean age 61 years) with 53% men and 47% women. For both groups, treatment continued for at least 5 days, and both treatment groups received Vitamin K antagonist therapy initiated within 72 hours after the first study drug administration and continued for 90 ± 7 days, with regular dose adjustments to achieve an INR of 2-3.  The primary efficacy endpoint was confirmed, symptomatic, recurrent VTE reported up to Day 97.  The efficacy data are provided in </w:t>
      </w:r>
      <w:r>
        <w:rPr>
          <w:rFonts w:cstheme="minorHAnsi"/>
        </w:rPr>
        <w:t xml:space="preserve">Table 16 </w:t>
      </w:r>
      <w:r w:rsidRPr="000F5095">
        <w:rPr>
          <w:rFonts w:cstheme="minorHAnsi"/>
        </w:rPr>
        <w:t>below.</w:t>
      </w:r>
    </w:p>
    <w:p w:rsidR="003A369B" w:rsidRDefault="003A369B" w:rsidP="003A369B">
      <w:pPr>
        <w:spacing w:after="0"/>
        <w:jc w:val="both"/>
        <w:rPr>
          <w:rFonts w:cstheme="minorHAnsi"/>
        </w:rPr>
      </w:pPr>
    </w:p>
    <w:p w:rsidR="003A369B" w:rsidRPr="00EB5A53" w:rsidRDefault="003A369B" w:rsidP="00EB5A53">
      <w:pPr>
        <w:keepNext/>
        <w:spacing w:after="0" w:line="240" w:lineRule="auto"/>
        <w:jc w:val="center"/>
        <w:rPr>
          <w:rFonts w:eastAsia="Times New Roman" w:cstheme="minorHAnsi"/>
          <w:b/>
          <w:sz w:val="20"/>
          <w:szCs w:val="20"/>
        </w:rPr>
      </w:pPr>
      <w:bookmarkStart w:id="12" w:name="_Ref482800095"/>
      <w:r w:rsidRPr="00EB5A53">
        <w:rPr>
          <w:rFonts w:eastAsia="Times New Roman" w:cstheme="minorHAnsi"/>
          <w:b/>
          <w:sz w:val="20"/>
          <w:szCs w:val="20"/>
        </w:rPr>
        <w:lastRenderedPageBreak/>
        <w:t>Table</w:t>
      </w:r>
      <w:bookmarkEnd w:id="12"/>
      <w:r w:rsidRPr="00EB5A53">
        <w:rPr>
          <w:rFonts w:eastAsia="Times New Roman" w:cstheme="minorHAnsi"/>
          <w:b/>
          <w:sz w:val="20"/>
          <w:szCs w:val="20"/>
        </w:rPr>
        <w:t xml:space="preserve"> 16: Efficacy of ARIXTRA Injection in the Tr</w:t>
      </w:r>
      <w:r w:rsidR="00CE0EF5">
        <w:rPr>
          <w:rFonts w:eastAsia="Times New Roman" w:cstheme="minorHAnsi"/>
          <w:b/>
          <w:sz w:val="20"/>
          <w:szCs w:val="20"/>
        </w:rPr>
        <w:t>eatment of Deep Vein Thrombosis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4"/>
        <w:gridCol w:w="3016"/>
        <w:gridCol w:w="2693"/>
      </w:tblGrid>
      <w:tr w:rsidR="003A369B" w:rsidRPr="000F5095" w:rsidTr="003A369B">
        <w:trPr>
          <w:jc w:val="center"/>
        </w:trPr>
        <w:tc>
          <w:tcPr>
            <w:tcW w:w="3274" w:type="dxa"/>
          </w:tcPr>
          <w:p w:rsidR="003A369B" w:rsidRPr="000F5095" w:rsidRDefault="003A369B" w:rsidP="003A369B">
            <w:pPr>
              <w:keepNext/>
              <w:keepLines/>
              <w:tabs>
                <w:tab w:val="left" w:pos="1350"/>
              </w:tabs>
              <w:spacing w:after="120" w:line="240" w:lineRule="auto"/>
              <w:jc w:val="both"/>
              <w:rPr>
                <w:rFonts w:eastAsia="Times New Roman" w:cstheme="minorHAnsi"/>
                <w:b/>
                <w:sz w:val="20"/>
                <w:szCs w:val="20"/>
              </w:rPr>
            </w:pPr>
            <w:r w:rsidRPr="000F5095">
              <w:rPr>
                <w:rFonts w:eastAsia="Times New Roman" w:cstheme="minorHAnsi"/>
                <w:b/>
                <w:sz w:val="20"/>
                <w:szCs w:val="20"/>
              </w:rPr>
              <w:t>Adjudicated Endpoint</w:t>
            </w:r>
          </w:p>
        </w:tc>
        <w:tc>
          <w:tcPr>
            <w:tcW w:w="3016" w:type="dxa"/>
          </w:tcPr>
          <w:p w:rsidR="003A369B" w:rsidRPr="000F5095" w:rsidRDefault="003A369B" w:rsidP="003A369B">
            <w:pPr>
              <w:keepNext/>
              <w:keepLines/>
              <w:spacing w:after="120" w:line="240" w:lineRule="auto"/>
              <w:jc w:val="center"/>
              <w:rPr>
                <w:rFonts w:eastAsia="Times New Roman" w:cstheme="minorHAnsi"/>
                <w:b/>
                <w:sz w:val="20"/>
                <w:szCs w:val="20"/>
                <w:vertAlign w:val="superscript"/>
              </w:rPr>
            </w:pPr>
            <w:r w:rsidRPr="000F5095">
              <w:rPr>
                <w:rFonts w:eastAsia="Times New Roman" w:cstheme="minorHAnsi"/>
                <w:b/>
                <w:sz w:val="20"/>
                <w:szCs w:val="20"/>
              </w:rPr>
              <w:t>Fondaparinux Sodium</w:t>
            </w:r>
            <w:r w:rsidRPr="000F5095">
              <w:rPr>
                <w:rFonts w:eastAsia="Times New Roman" w:cstheme="minorHAnsi"/>
                <w:b/>
                <w:sz w:val="20"/>
                <w:szCs w:val="20"/>
                <w:vertAlign w:val="superscript"/>
              </w:rPr>
              <w:t>1</w:t>
            </w:r>
            <w:r w:rsidRPr="000F5095">
              <w:rPr>
                <w:rFonts w:eastAsia="Times New Roman" w:cstheme="minorHAnsi"/>
                <w:b/>
                <w:sz w:val="20"/>
                <w:szCs w:val="20"/>
              </w:rPr>
              <w:br/>
              <w:t>5, 7.5 or 10 mg SC once daily</w:t>
            </w:r>
          </w:p>
        </w:tc>
        <w:tc>
          <w:tcPr>
            <w:tcW w:w="2693" w:type="dxa"/>
          </w:tcPr>
          <w:p w:rsidR="003A369B" w:rsidRPr="000F5095" w:rsidRDefault="003A369B" w:rsidP="003A369B">
            <w:pPr>
              <w:keepNext/>
              <w:keepLines/>
              <w:spacing w:after="120" w:line="240" w:lineRule="auto"/>
              <w:jc w:val="center"/>
              <w:rPr>
                <w:rFonts w:eastAsia="Times New Roman" w:cstheme="minorHAnsi"/>
                <w:b/>
                <w:sz w:val="20"/>
                <w:szCs w:val="20"/>
                <w:vertAlign w:val="superscript"/>
              </w:rPr>
            </w:pPr>
            <w:r w:rsidRPr="000F5095">
              <w:rPr>
                <w:rFonts w:eastAsia="Times New Roman" w:cstheme="minorHAnsi"/>
                <w:b/>
                <w:sz w:val="20"/>
                <w:szCs w:val="20"/>
              </w:rPr>
              <w:t>Enoxaparin Sodium</w:t>
            </w:r>
            <w:r w:rsidRPr="000F5095">
              <w:rPr>
                <w:rFonts w:eastAsia="Times New Roman" w:cstheme="minorHAnsi"/>
                <w:b/>
                <w:sz w:val="20"/>
                <w:szCs w:val="20"/>
                <w:vertAlign w:val="superscript"/>
              </w:rPr>
              <w:t>1</w:t>
            </w:r>
            <w:r w:rsidRPr="000F5095">
              <w:rPr>
                <w:rFonts w:eastAsia="Times New Roman" w:cstheme="minorHAnsi"/>
                <w:b/>
                <w:sz w:val="20"/>
                <w:szCs w:val="20"/>
              </w:rPr>
              <w:br/>
              <w:t>1 mg/kg SC q 12h</w:t>
            </w:r>
          </w:p>
        </w:tc>
      </w:tr>
      <w:tr w:rsidR="003A369B" w:rsidRPr="000F5095" w:rsidTr="003A369B">
        <w:trPr>
          <w:jc w:val="center"/>
        </w:trPr>
        <w:tc>
          <w:tcPr>
            <w:tcW w:w="3274" w:type="dxa"/>
          </w:tcPr>
          <w:p w:rsidR="003A369B" w:rsidRPr="000F5095" w:rsidRDefault="003A369B" w:rsidP="003A369B">
            <w:pPr>
              <w:keepNext/>
              <w:keepLines/>
              <w:widowControl w:val="0"/>
              <w:tabs>
                <w:tab w:val="center" w:pos="4512"/>
              </w:tabs>
              <w:spacing w:after="100" w:line="240" w:lineRule="auto"/>
              <w:jc w:val="both"/>
              <w:outlineLvl w:val="0"/>
              <w:rPr>
                <w:rFonts w:eastAsia="Times New Roman" w:cstheme="minorHAnsi"/>
                <w:b/>
                <w:caps/>
                <w:sz w:val="20"/>
                <w:szCs w:val="20"/>
              </w:rPr>
            </w:pPr>
            <w:r w:rsidRPr="000F5095">
              <w:rPr>
                <w:rFonts w:eastAsia="Times New Roman" w:cstheme="minorHAnsi"/>
                <w:b/>
                <w:caps/>
                <w:sz w:val="20"/>
                <w:szCs w:val="20"/>
              </w:rPr>
              <w:t>All Randomised Patients</w:t>
            </w:r>
          </w:p>
        </w:tc>
        <w:tc>
          <w:tcPr>
            <w:tcW w:w="3016" w:type="dxa"/>
          </w:tcPr>
          <w:p w:rsidR="003A369B" w:rsidRPr="000F5095" w:rsidRDefault="003A369B" w:rsidP="003A369B">
            <w:pPr>
              <w:keepNext/>
              <w:keepLines/>
              <w:spacing w:after="120" w:line="240" w:lineRule="auto"/>
              <w:jc w:val="center"/>
              <w:rPr>
                <w:rFonts w:eastAsia="Times New Roman" w:cstheme="minorHAnsi"/>
                <w:sz w:val="20"/>
                <w:szCs w:val="20"/>
              </w:rPr>
            </w:pPr>
            <w:r w:rsidRPr="000F5095">
              <w:rPr>
                <w:rFonts w:eastAsia="Times New Roman" w:cstheme="minorHAnsi"/>
                <w:sz w:val="20"/>
                <w:szCs w:val="20"/>
              </w:rPr>
              <w:t>N = 1098</w:t>
            </w:r>
          </w:p>
        </w:tc>
        <w:tc>
          <w:tcPr>
            <w:tcW w:w="2693" w:type="dxa"/>
          </w:tcPr>
          <w:p w:rsidR="003A369B" w:rsidRPr="000F5095" w:rsidRDefault="003A369B" w:rsidP="003A369B">
            <w:pPr>
              <w:keepNext/>
              <w:keepLines/>
              <w:spacing w:after="120" w:line="240" w:lineRule="auto"/>
              <w:jc w:val="center"/>
              <w:rPr>
                <w:rFonts w:eastAsia="Times New Roman" w:cstheme="minorHAnsi"/>
                <w:sz w:val="20"/>
                <w:szCs w:val="20"/>
              </w:rPr>
            </w:pPr>
            <w:r w:rsidRPr="000F5095">
              <w:rPr>
                <w:rFonts w:eastAsia="Times New Roman" w:cstheme="minorHAnsi"/>
                <w:sz w:val="20"/>
                <w:szCs w:val="20"/>
              </w:rPr>
              <w:t>N = 1107</w:t>
            </w:r>
          </w:p>
        </w:tc>
      </w:tr>
      <w:tr w:rsidR="003A369B" w:rsidRPr="000F5095" w:rsidTr="003A369B">
        <w:trPr>
          <w:jc w:val="center"/>
        </w:trPr>
        <w:tc>
          <w:tcPr>
            <w:tcW w:w="3274" w:type="dxa"/>
          </w:tcPr>
          <w:p w:rsidR="003A369B" w:rsidRPr="000F5095" w:rsidRDefault="003A369B" w:rsidP="00EB5A53">
            <w:pPr>
              <w:keepNext/>
              <w:keepLines/>
              <w:spacing w:after="0" w:line="240" w:lineRule="auto"/>
              <w:jc w:val="both"/>
              <w:rPr>
                <w:rFonts w:eastAsia="Times New Roman" w:cstheme="minorHAnsi"/>
                <w:sz w:val="20"/>
                <w:szCs w:val="20"/>
                <w:vertAlign w:val="superscript"/>
              </w:rPr>
            </w:pPr>
            <w:r w:rsidRPr="000F5095">
              <w:rPr>
                <w:rFonts w:eastAsia="Times New Roman" w:cstheme="minorHAnsi"/>
                <w:sz w:val="20"/>
                <w:szCs w:val="20"/>
              </w:rPr>
              <w:t>Total VTE</w:t>
            </w:r>
            <w:r w:rsidRPr="000F5095">
              <w:rPr>
                <w:rFonts w:eastAsia="Times New Roman" w:cstheme="minorHAnsi"/>
                <w:sz w:val="20"/>
                <w:szCs w:val="20"/>
                <w:vertAlign w:val="superscript"/>
              </w:rPr>
              <w:t>2</w:t>
            </w:r>
          </w:p>
        </w:tc>
        <w:tc>
          <w:tcPr>
            <w:tcW w:w="3016" w:type="dxa"/>
          </w:tcPr>
          <w:p w:rsidR="003A369B" w:rsidRPr="000F5095" w:rsidRDefault="003A369B" w:rsidP="00EB5A53">
            <w:pPr>
              <w:keepNext/>
              <w:keepLines/>
              <w:spacing w:after="0" w:line="240" w:lineRule="auto"/>
              <w:jc w:val="center"/>
              <w:rPr>
                <w:rFonts w:eastAsia="Times New Roman" w:cstheme="minorHAnsi"/>
                <w:sz w:val="20"/>
                <w:szCs w:val="20"/>
              </w:rPr>
            </w:pPr>
            <w:r w:rsidRPr="000F5095">
              <w:rPr>
                <w:rFonts w:eastAsia="Times New Roman" w:cstheme="minorHAnsi"/>
                <w:sz w:val="20"/>
                <w:szCs w:val="20"/>
              </w:rPr>
              <w:t>43</w:t>
            </w:r>
            <w:r w:rsidRPr="000F5095">
              <w:rPr>
                <w:rFonts w:eastAsia="Times New Roman" w:cstheme="minorHAnsi"/>
                <w:sz w:val="20"/>
                <w:szCs w:val="20"/>
                <w:vertAlign w:val="superscript"/>
              </w:rPr>
              <w:t xml:space="preserve">  </w:t>
            </w:r>
            <w:r w:rsidRPr="000F5095">
              <w:rPr>
                <w:rFonts w:eastAsia="Times New Roman" w:cstheme="minorHAnsi"/>
                <w:sz w:val="20"/>
                <w:szCs w:val="20"/>
              </w:rPr>
              <w:t>(3.9%)</w:t>
            </w:r>
          </w:p>
          <w:p w:rsidR="003A369B" w:rsidRPr="000F5095" w:rsidRDefault="003A369B" w:rsidP="00EB5A53">
            <w:pPr>
              <w:keepNext/>
              <w:keepLines/>
              <w:spacing w:after="0" w:line="240" w:lineRule="auto"/>
              <w:jc w:val="center"/>
              <w:rPr>
                <w:rFonts w:eastAsia="Times New Roman" w:cstheme="minorHAnsi"/>
                <w:sz w:val="20"/>
                <w:szCs w:val="20"/>
              </w:rPr>
            </w:pPr>
            <w:r w:rsidRPr="000F5095">
              <w:rPr>
                <w:rFonts w:eastAsia="Times New Roman" w:cstheme="minorHAnsi"/>
                <w:sz w:val="20"/>
                <w:szCs w:val="20"/>
              </w:rPr>
              <w:t>[-1.8, 1.5 ]</w:t>
            </w:r>
            <w:r w:rsidRPr="000F5095">
              <w:rPr>
                <w:rFonts w:eastAsia="Times New Roman" w:cstheme="minorHAnsi"/>
                <w:sz w:val="20"/>
                <w:szCs w:val="20"/>
                <w:vertAlign w:val="superscript"/>
              </w:rPr>
              <w:t xml:space="preserve"> 3</w:t>
            </w:r>
          </w:p>
        </w:tc>
        <w:tc>
          <w:tcPr>
            <w:tcW w:w="2693" w:type="dxa"/>
          </w:tcPr>
          <w:p w:rsidR="003A369B" w:rsidRPr="000F5095" w:rsidRDefault="003A369B" w:rsidP="00EB5A53">
            <w:pPr>
              <w:keepNext/>
              <w:keepLines/>
              <w:spacing w:after="0" w:line="240" w:lineRule="auto"/>
              <w:jc w:val="center"/>
              <w:rPr>
                <w:rFonts w:eastAsia="Times New Roman" w:cstheme="minorHAnsi"/>
                <w:sz w:val="20"/>
                <w:szCs w:val="20"/>
              </w:rPr>
            </w:pPr>
            <w:r w:rsidRPr="000F5095">
              <w:rPr>
                <w:rFonts w:eastAsia="Times New Roman" w:cstheme="minorHAnsi"/>
                <w:sz w:val="20"/>
                <w:szCs w:val="20"/>
              </w:rPr>
              <w:t>45 (4.1%)</w:t>
            </w:r>
          </w:p>
        </w:tc>
      </w:tr>
      <w:tr w:rsidR="003A369B" w:rsidRPr="000F5095" w:rsidTr="003A369B">
        <w:trPr>
          <w:jc w:val="center"/>
        </w:trPr>
        <w:tc>
          <w:tcPr>
            <w:tcW w:w="3274" w:type="dxa"/>
          </w:tcPr>
          <w:p w:rsidR="003A369B" w:rsidRPr="000F5095" w:rsidRDefault="003A369B">
            <w:pPr>
              <w:widowControl w:val="0"/>
              <w:overflowPunct w:val="0"/>
              <w:autoSpaceDE w:val="0"/>
              <w:autoSpaceDN w:val="0"/>
              <w:adjustRightInd w:val="0"/>
              <w:spacing w:after="0" w:line="240" w:lineRule="auto"/>
              <w:textAlignment w:val="baseline"/>
              <w:rPr>
                <w:rFonts w:eastAsia="Times New Roman" w:cstheme="minorHAnsi"/>
                <w:sz w:val="20"/>
                <w:szCs w:val="20"/>
                <w:lang w:val="en-US"/>
              </w:rPr>
            </w:pPr>
            <w:r w:rsidRPr="000F5095">
              <w:rPr>
                <w:rFonts w:eastAsia="Times New Roman" w:cstheme="minorHAnsi"/>
                <w:sz w:val="20"/>
                <w:szCs w:val="20"/>
                <w:lang w:val="en-US"/>
              </w:rPr>
              <w:t>DVT only</w:t>
            </w:r>
          </w:p>
        </w:tc>
        <w:tc>
          <w:tcPr>
            <w:tcW w:w="3016" w:type="dxa"/>
          </w:tcPr>
          <w:p w:rsidR="003A369B" w:rsidRPr="000F5095" w:rsidRDefault="003A369B" w:rsidP="00EB5A53">
            <w:pPr>
              <w:keepNext/>
              <w:keepLines/>
              <w:spacing w:after="0" w:line="240" w:lineRule="auto"/>
              <w:jc w:val="center"/>
              <w:rPr>
                <w:rFonts w:eastAsia="Times New Roman" w:cstheme="minorHAnsi"/>
                <w:sz w:val="20"/>
                <w:szCs w:val="20"/>
              </w:rPr>
            </w:pPr>
            <w:r w:rsidRPr="000F5095">
              <w:rPr>
                <w:rFonts w:eastAsia="Times New Roman" w:cstheme="minorHAnsi"/>
                <w:sz w:val="20"/>
                <w:szCs w:val="20"/>
              </w:rPr>
              <w:t>18 (1.6%)</w:t>
            </w:r>
          </w:p>
        </w:tc>
        <w:tc>
          <w:tcPr>
            <w:tcW w:w="2693" w:type="dxa"/>
          </w:tcPr>
          <w:p w:rsidR="003A369B" w:rsidRPr="000F5095" w:rsidRDefault="003A369B" w:rsidP="00EB5A53">
            <w:pPr>
              <w:keepNext/>
              <w:keepLines/>
              <w:spacing w:after="0" w:line="240" w:lineRule="auto"/>
              <w:jc w:val="center"/>
              <w:rPr>
                <w:rFonts w:eastAsia="Times New Roman" w:cstheme="minorHAnsi"/>
                <w:sz w:val="20"/>
                <w:szCs w:val="20"/>
              </w:rPr>
            </w:pPr>
            <w:r w:rsidRPr="000F5095">
              <w:rPr>
                <w:rFonts w:eastAsia="Times New Roman" w:cstheme="minorHAnsi"/>
                <w:sz w:val="20"/>
                <w:szCs w:val="20"/>
              </w:rPr>
              <w:t>28 (2.5%)</w:t>
            </w:r>
          </w:p>
        </w:tc>
      </w:tr>
      <w:tr w:rsidR="003A369B" w:rsidRPr="000F5095" w:rsidTr="003A369B">
        <w:trPr>
          <w:jc w:val="center"/>
        </w:trPr>
        <w:tc>
          <w:tcPr>
            <w:tcW w:w="3274" w:type="dxa"/>
            <w:tcBorders>
              <w:bottom w:val="single" w:sz="4" w:space="0" w:color="auto"/>
            </w:tcBorders>
          </w:tcPr>
          <w:p w:rsidR="003A369B" w:rsidRPr="000F5095" w:rsidRDefault="003A369B" w:rsidP="00EB5A53">
            <w:pPr>
              <w:keepNext/>
              <w:keepLines/>
              <w:spacing w:after="0" w:line="240" w:lineRule="auto"/>
              <w:jc w:val="both"/>
              <w:rPr>
                <w:rFonts w:eastAsia="Times New Roman" w:cstheme="minorHAnsi"/>
                <w:sz w:val="20"/>
                <w:szCs w:val="20"/>
              </w:rPr>
            </w:pPr>
            <w:r w:rsidRPr="000F5095">
              <w:rPr>
                <w:rFonts w:eastAsia="Times New Roman" w:cstheme="minorHAnsi"/>
                <w:sz w:val="20"/>
                <w:szCs w:val="20"/>
              </w:rPr>
              <w:t>Non-fatal PE</w:t>
            </w:r>
          </w:p>
        </w:tc>
        <w:tc>
          <w:tcPr>
            <w:tcW w:w="3016" w:type="dxa"/>
            <w:tcBorders>
              <w:bottom w:val="single" w:sz="4" w:space="0" w:color="auto"/>
            </w:tcBorders>
          </w:tcPr>
          <w:p w:rsidR="003A369B" w:rsidRPr="000F5095" w:rsidRDefault="003A369B" w:rsidP="00EB5A53">
            <w:pPr>
              <w:keepNext/>
              <w:keepLines/>
              <w:spacing w:after="0" w:line="240" w:lineRule="auto"/>
              <w:jc w:val="center"/>
              <w:rPr>
                <w:rFonts w:eastAsia="Times New Roman" w:cstheme="minorHAnsi"/>
                <w:sz w:val="20"/>
                <w:szCs w:val="20"/>
              </w:rPr>
            </w:pPr>
            <w:r w:rsidRPr="000F5095">
              <w:rPr>
                <w:rFonts w:eastAsia="Times New Roman" w:cstheme="minorHAnsi"/>
                <w:sz w:val="20"/>
                <w:szCs w:val="20"/>
              </w:rPr>
              <w:t>20 (1.8%)</w:t>
            </w:r>
          </w:p>
        </w:tc>
        <w:tc>
          <w:tcPr>
            <w:tcW w:w="2693" w:type="dxa"/>
            <w:tcBorders>
              <w:bottom w:val="single" w:sz="4" w:space="0" w:color="auto"/>
            </w:tcBorders>
          </w:tcPr>
          <w:p w:rsidR="003A369B" w:rsidRPr="000F5095" w:rsidRDefault="003A369B" w:rsidP="00EB5A53">
            <w:pPr>
              <w:keepNext/>
              <w:keepLines/>
              <w:spacing w:after="0" w:line="240" w:lineRule="auto"/>
              <w:jc w:val="center"/>
              <w:rPr>
                <w:rFonts w:eastAsia="Times New Roman" w:cstheme="minorHAnsi"/>
                <w:sz w:val="20"/>
                <w:szCs w:val="20"/>
              </w:rPr>
            </w:pPr>
            <w:r w:rsidRPr="000F5095">
              <w:rPr>
                <w:rFonts w:eastAsia="Times New Roman" w:cstheme="minorHAnsi"/>
                <w:sz w:val="20"/>
                <w:szCs w:val="20"/>
              </w:rPr>
              <w:t>12 (1.1%)</w:t>
            </w:r>
          </w:p>
        </w:tc>
      </w:tr>
      <w:tr w:rsidR="003A369B" w:rsidRPr="000F5095" w:rsidTr="003A369B">
        <w:trPr>
          <w:jc w:val="center"/>
        </w:trPr>
        <w:tc>
          <w:tcPr>
            <w:tcW w:w="3274" w:type="dxa"/>
            <w:tcBorders>
              <w:bottom w:val="single" w:sz="4" w:space="0" w:color="auto"/>
            </w:tcBorders>
          </w:tcPr>
          <w:p w:rsidR="003A369B" w:rsidRPr="000F5095" w:rsidRDefault="003A369B" w:rsidP="00EB5A53">
            <w:pPr>
              <w:keepNext/>
              <w:keepLines/>
              <w:spacing w:after="0" w:line="240" w:lineRule="auto"/>
              <w:jc w:val="both"/>
              <w:rPr>
                <w:rFonts w:eastAsia="Times New Roman" w:cstheme="minorHAnsi"/>
                <w:sz w:val="20"/>
                <w:szCs w:val="20"/>
              </w:rPr>
            </w:pPr>
            <w:r w:rsidRPr="000F5095">
              <w:rPr>
                <w:rFonts w:eastAsia="Times New Roman" w:cstheme="minorHAnsi"/>
                <w:sz w:val="20"/>
                <w:szCs w:val="20"/>
              </w:rPr>
              <w:t>Fatal VTE</w:t>
            </w:r>
          </w:p>
        </w:tc>
        <w:tc>
          <w:tcPr>
            <w:tcW w:w="3016" w:type="dxa"/>
            <w:tcBorders>
              <w:bottom w:val="single" w:sz="4" w:space="0" w:color="auto"/>
            </w:tcBorders>
          </w:tcPr>
          <w:p w:rsidR="003A369B" w:rsidRPr="000F5095" w:rsidRDefault="003A369B" w:rsidP="00EB5A53">
            <w:pPr>
              <w:keepNext/>
              <w:keepLines/>
              <w:spacing w:after="0" w:line="240" w:lineRule="auto"/>
              <w:jc w:val="center"/>
              <w:rPr>
                <w:rFonts w:eastAsia="Times New Roman" w:cstheme="minorHAnsi"/>
                <w:sz w:val="20"/>
                <w:szCs w:val="20"/>
              </w:rPr>
            </w:pPr>
            <w:r w:rsidRPr="000F5095">
              <w:rPr>
                <w:rFonts w:eastAsia="Times New Roman" w:cstheme="minorHAnsi"/>
                <w:sz w:val="20"/>
                <w:szCs w:val="20"/>
              </w:rPr>
              <w:t>5 (0.5%)</w:t>
            </w:r>
          </w:p>
        </w:tc>
        <w:tc>
          <w:tcPr>
            <w:tcW w:w="2693" w:type="dxa"/>
            <w:tcBorders>
              <w:bottom w:val="single" w:sz="4" w:space="0" w:color="auto"/>
            </w:tcBorders>
          </w:tcPr>
          <w:p w:rsidR="003A369B" w:rsidRPr="000F5095" w:rsidRDefault="003A369B" w:rsidP="00EB5A53">
            <w:pPr>
              <w:keepNext/>
              <w:keepLines/>
              <w:spacing w:after="0" w:line="240" w:lineRule="auto"/>
              <w:jc w:val="center"/>
              <w:rPr>
                <w:rFonts w:eastAsia="Times New Roman" w:cstheme="minorHAnsi"/>
                <w:sz w:val="20"/>
                <w:szCs w:val="20"/>
              </w:rPr>
            </w:pPr>
            <w:r w:rsidRPr="000F5095">
              <w:rPr>
                <w:rFonts w:eastAsia="Times New Roman" w:cstheme="minorHAnsi"/>
                <w:sz w:val="20"/>
                <w:szCs w:val="20"/>
              </w:rPr>
              <w:t>5 (0.5%)</w:t>
            </w:r>
          </w:p>
        </w:tc>
      </w:tr>
      <w:tr w:rsidR="003A369B" w:rsidRPr="000F5095" w:rsidTr="003A369B">
        <w:trPr>
          <w:jc w:val="center"/>
        </w:trPr>
        <w:tc>
          <w:tcPr>
            <w:tcW w:w="8983" w:type="dxa"/>
            <w:gridSpan w:val="3"/>
            <w:tcBorders>
              <w:bottom w:val="single" w:sz="4" w:space="0" w:color="auto"/>
            </w:tcBorders>
          </w:tcPr>
          <w:p w:rsidR="003A369B" w:rsidRPr="000F5095" w:rsidRDefault="003A369B" w:rsidP="003A369B">
            <w:pPr>
              <w:keepLines/>
              <w:spacing w:after="0" w:line="240" w:lineRule="auto"/>
              <w:rPr>
                <w:rFonts w:eastAsia="Times New Roman" w:cstheme="minorHAnsi"/>
                <w:sz w:val="20"/>
                <w:szCs w:val="20"/>
              </w:rPr>
            </w:pPr>
            <w:r w:rsidRPr="000F5095">
              <w:rPr>
                <w:rFonts w:eastAsia="Times New Roman" w:cstheme="minorHAnsi"/>
                <w:sz w:val="20"/>
                <w:szCs w:val="20"/>
              </w:rPr>
              <w:t>1. Patients were also treated with vitamin K antagonists initiated within 72 hours after the first         study drug administration</w:t>
            </w:r>
            <w:r w:rsidRPr="000F5095">
              <w:rPr>
                <w:rFonts w:eastAsia="Times New Roman" w:cstheme="minorHAnsi"/>
                <w:sz w:val="20"/>
                <w:szCs w:val="20"/>
              </w:rPr>
              <w:br/>
              <w:t>2. VTE was a composite of symptomatic recurrent VTE or fatal VTE reported up to Day 97</w:t>
            </w:r>
          </w:p>
          <w:p w:rsidR="003A369B" w:rsidRPr="000F5095" w:rsidRDefault="003A369B" w:rsidP="003A369B">
            <w:pPr>
              <w:keepLines/>
              <w:spacing w:after="120" w:line="240" w:lineRule="auto"/>
              <w:jc w:val="both"/>
              <w:rPr>
                <w:rFonts w:eastAsia="Times New Roman" w:cstheme="minorHAnsi"/>
                <w:sz w:val="20"/>
                <w:szCs w:val="20"/>
              </w:rPr>
            </w:pPr>
            <w:r w:rsidRPr="000F5095">
              <w:rPr>
                <w:rFonts w:eastAsia="Times New Roman" w:cstheme="minorHAnsi"/>
                <w:sz w:val="20"/>
                <w:szCs w:val="20"/>
              </w:rPr>
              <w:t xml:space="preserve">3. 95% confidence interval for the treatment difference </w:t>
            </w:r>
          </w:p>
        </w:tc>
      </w:tr>
    </w:tbl>
    <w:p w:rsidR="003750C2" w:rsidRDefault="003750C2" w:rsidP="00EB5A53">
      <w:pPr>
        <w:keepLines/>
        <w:spacing w:after="0" w:line="240" w:lineRule="auto"/>
        <w:jc w:val="both"/>
        <w:rPr>
          <w:rFonts w:ascii="Calibri" w:eastAsia="Times New Roman" w:hAnsi="Calibri" w:cs="Calibri"/>
          <w:color w:val="000000"/>
          <w:u w:val="single"/>
          <w:lang w:val="en-US"/>
        </w:rPr>
      </w:pPr>
    </w:p>
    <w:p w:rsidR="003A369B" w:rsidRPr="00EB5A53" w:rsidRDefault="003A369B" w:rsidP="00EB5A53">
      <w:pPr>
        <w:keepLines/>
        <w:spacing w:after="0" w:line="240" w:lineRule="auto"/>
        <w:jc w:val="both"/>
        <w:rPr>
          <w:rFonts w:ascii="Calibri" w:eastAsia="Times New Roman" w:hAnsi="Calibri" w:cs="Calibri"/>
          <w:color w:val="000000"/>
          <w:u w:val="single"/>
          <w:lang w:val="en-US"/>
        </w:rPr>
      </w:pPr>
      <w:r w:rsidRPr="00EB5A53">
        <w:rPr>
          <w:rFonts w:ascii="Calibri" w:eastAsia="Times New Roman" w:hAnsi="Calibri" w:cs="Calibri"/>
          <w:color w:val="000000"/>
          <w:u w:val="single"/>
          <w:lang w:val="en-US"/>
        </w:rPr>
        <w:t>Treatment of Pulmonary Embolism</w:t>
      </w:r>
    </w:p>
    <w:p w:rsidR="003A369B" w:rsidRDefault="003A369B" w:rsidP="00EB5A53">
      <w:pPr>
        <w:spacing w:line="240" w:lineRule="auto"/>
        <w:jc w:val="both"/>
      </w:pPr>
      <w:r w:rsidRPr="000F5095">
        <w:t xml:space="preserve">In a randomised, open-label, clinical trial in patients with a confirmed diagnosis of acute symptomatic PE, with or without DVT, </w:t>
      </w:r>
      <w:r>
        <w:t>ARIXTRA</w:t>
      </w:r>
      <w:r w:rsidRPr="000F5095">
        <w:t xml:space="preserve"> 5 mg (&lt; 50 kg), 7.5 mg (50–100 kg) or 10 mg (&gt;100 kg) SC once daily was compared to heparin IV bolus (5000 USP units) followed by a continuous IV infusion adjusted to maintain 1.5–2.5 times the aPTT control value.  Outpatient and home treatment of </w:t>
      </w:r>
      <w:r>
        <w:t>ARIXTRA</w:t>
      </w:r>
      <w:r w:rsidRPr="000F5095">
        <w:t xml:space="preserve"> was permitted, and approximately 15% of patients were discharged home from the hospital while receiving fondaparinux therapy.  A total of 2213 patients were randomised and 2184 were treated.  Patients ranged in age from 18–97 years (mean age 62 years) with 44% men and 56% women.  For both groups, treatment continued for at least 5 days, and both treatment groups received Vitamin K antagonist therapy initiated within 72 hours after the first study drug administration and continued for 90 ± 7 days, with regular dose adjustments to achieve an INR of 2-3.  The primary efficacy endpoint was confirmed, symptomatic, recurrent VTE reported up to Day 97.  The efficacy data are provided in </w:t>
      </w:r>
      <w:r>
        <w:t xml:space="preserve">Table 17 </w:t>
      </w:r>
      <w:r w:rsidRPr="000F5095">
        <w:t>below.</w:t>
      </w:r>
    </w:p>
    <w:p w:rsidR="003A369B" w:rsidRPr="00EB5A53" w:rsidRDefault="003A369B" w:rsidP="00EB5A53">
      <w:pPr>
        <w:keepNext/>
        <w:autoSpaceDE w:val="0"/>
        <w:autoSpaceDN w:val="0"/>
        <w:adjustRightInd w:val="0"/>
        <w:spacing w:after="0" w:line="240" w:lineRule="auto"/>
        <w:jc w:val="center"/>
        <w:rPr>
          <w:rFonts w:eastAsia="Times New Roman" w:cstheme="minorHAnsi"/>
          <w:b/>
          <w:sz w:val="20"/>
          <w:szCs w:val="20"/>
        </w:rPr>
      </w:pPr>
      <w:bookmarkStart w:id="13" w:name="_Ref482800148"/>
      <w:r w:rsidRPr="00EB5A53">
        <w:rPr>
          <w:rFonts w:eastAsia="Times New Roman" w:cstheme="minorHAnsi"/>
          <w:b/>
          <w:sz w:val="20"/>
          <w:szCs w:val="20"/>
        </w:rPr>
        <w:t>Table</w:t>
      </w:r>
      <w:bookmarkEnd w:id="13"/>
      <w:r w:rsidRPr="00EB5A53">
        <w:rPr>
          <w:rFonts w:eastAsia="Times New Roman" w:cstheme="minorHAnsi"/>
          <w:b/>
          <w:sz w:val="20"/>
          <w:szCs w:val="20"/>
        </w:rPr>
        <w:t xml:space="preserve"> 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6"/>
        <w:gridCol w:w="2977"/>
        <w:gridCol w:w="2713"/>
      </w:tblGrid>
      <w:tr w:rsidR="003A369B" w:rsidRPr="003750C2" w:rsidTr="003A369B">
        <w:trPr>
          <w:jc w:val="center"/>
        </w:trPr>
        <w:tc>
          <w:tcPr>
            <w:tcW w:w="3366" w:type="dxa"/>
          </w:tcPr>
          <w:p w:rsidR="003A369B" w:rsidRPr="003750C2" w:rsidRDefault="003A369B" w:rsidP="00EB5A53">
            <w:pPr>
              <w:keepNext/>
              <w:keepLines/>
              <w:tabs>
                <w:tab w:val="left" w:pos="1350"/>
              </w:tabs>
              <w:spacing w:after="0" w:line="240" w:lineRule="auto"/>
              <w:jc w:val="both"/>
              <w:rPr>
                <w:rFonts w:eastAsia="Times New Roman" w:cstheme="minorHAnsi"/>
                <w:b/>
                <w:sz w:val="20"/>
                <w:szCs w:val="20"/>
              </w:rPr>
            </w:pPr>
            <w:r w:rsidRPr="003750C2">
              <w:rPr>
                <w:rFonts w:eastAsia="Times New Roman" w:cstheme="minorHAnsi"/>
                <w:b/>
                <w:sz w:val="20"/>
                <w:szCs w:val="20"/>
              </w:rPr>
              <w:t>Adjudicated Endpoint</w:t>
            </w:r>
          </w:p>
        </w:tc>
        <w:tc>
          <w:tcPr>
            <w:tcW w:w="2977" w:type="dxa"/>
          </w:tcPr>
          <w:p w:rsidR="003A369B" w:rsidRPr="003750C2" w:rsidRDefault="003A369B" w:rsidP="00EB5A53">
            <w:pPr>
              <w:keepNext/>
              <w:keepLines/>
              <w:spacing w:after="0" w:line="240" w:lineRule="auto"/>
              <w:jc w:val="center"/>
              <w:rPr>
                <w:rFonts w:eastAsia="Times New Roman" w:cstheme="minorHAnsi"/>
                <w:b/>
                <w:sz w:val="20"/>
                <w:szCs w:val="20"/>
                <w:vertAlign w:val="superscript"/>
              </w:rPr>
            </w:pPr>
            <w:r w:rsidRPr="003750C2">
              <w:rPr>
                <w:rFonts w:eastAsia="Times New Roman" w:cstheme="minorHAnsi"/>
                <w:b/>
                <w:sz w:val="20"/>
                <w:szCs w:val="20"/>
              </w:rPr>
              <w:t>Fondaparinux Sodium</w:t>
            </w:r>
            <w:r w:rsidRPr="003750C2">
              <w:rPr>
                <w:rFonts w:eastAsia="Times New Roman" w:cstheme="minorHAnsi"/>
                <w:b/>
                <w:sz w:val="20"/>
                <w:szCs w:val="20"/>
                <w:vertAlign w:val="superscript"/>
              </w:rPr>
              <w:t>1</w:t>
            </w:r>
            <w:r w:rsidRPr="003750C2">
              <w:rPr>
                <w:rFonts w:eastAsia="Times New Roman" w:cstheme="minorHAnsi"/>
                <w:b/>
                <w:sz w:val="20"/>
                <w:szCs w:val="20"/>
              </w:rPr>
              <w:br/>
              <w:t>5, 7.5 or 10 mg SC once daily</w:t>
            </w:r>
            <w:r w:rsidRPr="003750C2">
              <w:rPr>
                <w:rFonts w:eastAsia="Times New Roman" w:cstheme="minorHAnsi"/>
                <w:b/>
                <w:sz w:val="20"/>
                <w:szCs w:val="20"/>
              </w:rPr>
              <w:br/>
            </w:r>
          </w:p>
        </w:tc>
        <w:tc>
          <w:tcPr>
            <w:tcW w:w="2713" w:type="dxa"/>
          </w:tcPr>
          <w:p w:rsidR="003A369B" w:rsidRPr="003750C2" w:rsidRDefault="003A369B" w:rsidP="00EB5A53">
            <w:pPr>
              <w:keepNext/>
              <w:keepLines/>
              <w:spacing w:after="0" w:line="240" w:lineRule="auto"/>
              <w:jc w:val="center"/>
              <w:rPr>
                <w:rFonts w:eastAsia="Times New Roman" w:cstheme="minorHAnsi"/>
                <w:b/>
                <w:sz w:val="20"/>
                <w:szCs w:val="20"/>
                <w:vertAlign w:val="superscript"/>
              </w:rPr>
            </w:pPr>
            <w:r w:rsidRPr="003750C2">
              <w:rPr>
                <w:rFonts w:eastAsia="Times New Roman" w:cstheme="minorHAnsi"/>
                <w:b/>
                <w:sz w:val="20"/>
                <w:szCs w:val="20"/>
              </w:rPr>
              <w:t>Heparin</w:t>
            </w:r>
            <w:r w:rsidRPr="003750C2">
              <w:rPr>
                <w:rFonts w:eastAsia="Times New Roman" w:cstheme="minorHAnsi"/>
                <w:b/>
                <w:sz w:val="20"/>
                <w:szCs w:val="20"/>
                <w:vertAlign w:val="superscript"/>
              </w:rPr>
              <w:t>1</w:t>
            </w:r>
            <w:r w:rsidRPr="003750C2">
              <w:rPr>
                <w:rFonts w:eastAsia="Times New Roman" w:cstheme="minorHAnsi"/>
                <w:b/>
                <w:sz w:val="20"/>
                <w:szCs w:val="20"/>
              </w:rPr>
              <w:br/>
              <w:t xml:space="preserve">aPTT adjusted IV  </w:t>
            </w:r>
          </w:p>
        </w:tc>
      </w:tr>
      <w:tr w:rsidR="003A369B" w:rsidRPr="003750C2" w:rsidTr="003A369B">
        <w:trPr>
          <w:jc w:val="center"/>
        </w:trPr>
        <w:tc>
          <w:tcPr>
            <w:tcW w:w="3366" w:type="dxa"/>
          </w:tcPr>
          <w:p w:rsidR="003A369B" w:rsidRPr="003750C2" w:rsidRDefault="003A369B" w:rsidP="00EB5A53">
            <w:pPr>
              <w:keepNext/>
              <w:keepLines/>
              <w:widowControl w:val="0"/>
              <w:tabs>
                <w:tab w:val="center" w:pos="4512"/>
              </w:tabs>
              <w:spacing w:after="0" w:line="240" w:lineRule="auto"/>
              <w:jc w:val="both"/>
              <w:outlineLvl w:val="0"/>
              <w:rPr>
                <w:rFonts w:eastAsia="Times New Roman" w:cstheme="minorHAnsi"/>
                <w:b/>
                <w:caps/>
                <w:sz w:val="20"/>
                <w:szCs w:val="20"/>
              </w:rPr>
            </w:pPr>
            <w:r w:rsidRPr="003750C2">
              <w:rPr>
                <w:rFonts w:eastAsia="Times New Roman" w:cstheme="minorHAnsi"/>
                <w:b/>
                <w:caps/>
                <w:sz w:val="20"/>
                <w:szCs w:val="20"/>
              </w:rPr>
              <w:t>All Randomised Patients</w:t>
            </w:r>
          </w:p>
        </w:tc>
        <w:tc>
          <w:tcPr>
            <w:tcW w:w="2977" w:type="dxa"/>
          </w:tcPr>
          <w:p w:rsidR="003A369B" w:rsidRPr="003750C2" w:rsidRDefault="003A369B" w:rsidP="00EB5A53">
            <w:pPr>
              <w:keepNext/>
              <w:keepLines/>
              <w:spacing w:after="0" w:line="240" w:lineRule="auto"/>
              <w:jc w:val="center"/>
              <w:rPr>
                <w:rFonts w:eastAsia="Times New Roman" w:cstheme="minorHAnsi"/>
                <w:sz w:val="20"/>
                <w:szCs w:val="20"/>
              </w:rPr>
            </w:pPr>
            <w:r w:rsidRPr="003750C2">
              <w:rPr>
                <w:rFonts w:eastAsia="Times New Roman" w:cstheme="minorHAnsi"/>
                <w:sz w:val="20"/>
                <w:szCs w:val="20"/>
              </w:rPr>
              <w:t>N = 1103</w:t>
            </w:r>
          </w:p>
        </w:tc>
        <w:tc>
          <w:tcPr>
            <w:tcW w:w="2713" w:type="dxa"/>
          </w:tcPr>
          <w:p w:rsidR="003A369B" w:rsidRPr="003750C2" w:rsidRDefault="003A369B" w:rsidP="00EB5A53">
            <w:pPr>
              <w:keepNext/>
              <w:keepLines/>
              <w:spacing w:after="0" w:line="240" w:lineRule="auto"/>
              <w:jc w:val="center"/>
              <w:rPr>
                <w:rFonts w:eastAsia="Times New Roman" w:cstheme="minorHAnsi"/>
                <w:sz w:val="20"/>
                <w:szCs w:val="20"/>
              </w:rPr>
            </w:pPr>
            <w:r w:rsidRPr="003750C2">
              <w:rPr>
                <w:rFonts w:eastAsia="Times New Roman" w:cstheme="minorHAnsi"/>
                <w:sz w:val="20"/>
                <w:szCs w:val="20"/>
              </w:rPr>
              <w:t>N = 1110</w:t>
            </w:r>
          </w:p>
        </w:tc>
      </w:tr>
      <w:tr w:rsidR="003A369B" w:rsidRPr="003750C2" w:rsidTr="003A369B">
        <w:trPr>
          <w:jc w:val="center"/>
        </w:trPr>
        <w:tc>
          <w:tcPr>
            <w:tcW w:w="3366" w:type="dxa"/>
          </w:tcPr>
          <w:p w:rsidR="003A369B" w:rsidRPr="003750C2" w:rsidRDefault="003A369B" w:rsidP="00EB5A53">
            <w:pPr>
              <w:keepNext/>
              <w:keepLines/>
              <w:spacing w:after="0" w:line="240" w:lineRule="auto"/>
              <w:jc w:val="both"/>
              <w:rPr>
                <w:rFonts w:eastAsia="Times New Roman" w:cstheme="minorHAnsi"/>
                <w:sz w:val="20"/>
                <w:szCs w:val="20"/>
                <w:vertAlign w:val="superscript"/>
              </w:rPr>
            </w:pPr>
            <w:r w:rsidRPr="003750C2">
              <w:rPr>
                <w:rFonts w:eastAsia="Times New Roman" w:cstheme="minorHAnsi"/>
                <w:sz w:val="20"/>
                <w:szCs w:val="20"/>
              </w:rPr>
              <w:t>Total VTE</w:t>
            </w:r>
            <w:r w:rsidRPr="003750C2">
              <w:rPr>
                <w:rFonts w:eastAsia="Times New Roman" w:cstheme="minorHAnsi"/>
                <w:sz w:val="20"/>
                <w:szCs w:val="20"/>
                <w:vertAlign w:val="superscript"/>
              </w:rPr>
              <w:t>2</w:t>
            </w:r>
          </w:p>
        </w:tc>
        <w:tc>
          <w:tcPr>
            <w:tcW w:w="2977" w:type="dxa"/>
          </w:tcPr>
          <w:p w:rsidR="003A369B" w:rsidRPr="003750C2" w:rsidRDefault="003A369B" w:rsidP="00EB5A53">
            <w:pPr>
              <w:keepNext/>
              <w:keepLines/>
              <w:spacing w:after="0" w:line="240" w:lineRule="auto"/>
              <w:jc w:val="center"/>
              <w:rPr>
                <w:rFonts w:eastAsia="Times New Roman" w:cstheme="minorHAnsi"/>
                <w:sz w:val="20"/>
                <w:szCs w:val="20"/>
              </w:rPr>
            </w:pPr>
            <w:r w:rsidRPr="003750C2">
              <w:rPr>
                <w:rFonts w:eastAsia="Times New Roman" w:cstheme="minorHAnsi"/>
                <w:sz w:val="20"/>
                <w:szCs w:val="20"/>
              </w:rPr>
              <w:t>42</w:t>
            </w:r>
            <w:r w:rsidRPr="003750C2">
              <w:rPr>
                <w:rFonts w:eastAsia="Times New Roman" w:cstheme="minorHAnsi"/>
                <w:sz w:val="20"/>
                <w:szCs w:val="20"/>
                <w:vertAlign w:val="superscript"/>
              </w:rPr>
              <w:t xml:space="preserve">3 </w:t>
            </w:r>
            <w:r w:rsidRPr="003750C2">
              <w:rPr>
                <w:rFonts w:eastAsia="Times New Roman" w:cstheme="minorHAnsi"/>
                <w:sz w:val="20"/>
                <w:szCs w:val="20"/>
              </w:rPr>
              <w:t>(3.8%)</w:t>
            </w:r>
          </w:p>
          <w:p w:rsidR="003A369B" w:rsidRPr="003750C2" w:rsidRDefault="003A369B" w:rsidP="00EB5A53">
            <w:pPr>
              <w:keepNext/>
              <w:keepLines/>
              <w:spacing w:after="0" w:line="240" w:lineRule="auto"/>
              <w:jc w:val="center"/>
              <w:rPr>
                <w:rFonts w:eastAsia="Times New Roman" w:cstheme="minorHAnsi"/>
                <w:sz w:val="20"/>
                <w:szCs w:val="20"/>
              </w:rPr>
            </w:pPr>
            <w:r w:rsidRPr="003750C2">
              <w:rPr>
                <w:rFonts w:eastAsia="Times New Roman" w:cstheme="minorHAnsi"/>
                <w:sz w:val="20"/>
                <w:szCs w:val="20"/>
              </w:rPr>
              <w:t>[-3.0, 0.5%]</w:t>
            </w:r>
          </w:p>
        </w:tc>
        <w:tc>
          <w:tcPr>
            <w:tcW w:w="2713" w:type="dxa"/>
          </w:tcPr>
          <w:p w:rsidR="003A369B" w:rsidRPr="003750C2" w:rsidRDefault="003A369B" w:rsidP="00EB5A53">
            <w:pPr>
              <w:keepNext/>
              <w:keepLines/>
              <w:spacing w:after="0" w:line="240" w:lineRule="auto"/>
              <w:jc w:val="center"/>
              <w:rPr>
                <w:rFonts w:eastAsia="Times New Roman" w:cstheme="minorHAnsi"/>
                <w:sz w:val="20"/>
                <w:szCs w:val="20"/>
              </w:rPr>
            </w:pPr>
            <w:r w:rsidRPr="003750C2">
              <w:rPr>
                <w:rFonts w:eastAsia="Times New Roman" w:cstheme="minorHAnsi"/>
                <w:sz w:val="20"/>
                <w:szCs w:val="20"/>
              </w:rPr>
              <w:t>56 (5.0%)</w:t>
            </w:r>
          </w:p>
        </w:tc>
      </w:tr>
      <w:tr w:rsidR="003A369B" w:rsidRPr="003750C2" w:rsidTr="003A369B">
        <w:trPr>
          <w:jc w:val="center"/>
        </w:trPr>
        <w:tc>
          <w:tcPr>
            <w:tcW w:w="3366" w:type="dxa"/>
          </w:tcPr>
          <w:p w:rsidR="003A369B" w:rsidRPr="003750C2" w:rsidRDefault="003A369B">
            <w:pPr>
              <w:widowControl w:val="0"/>
              <w:overflowPunct w:val="0"/>
              <w:autoSpaceDE w:val="0"/>
              <w:autoSpaceDN w:val="0"/>
              <w:adjustRightInd w:val="0"/>
              <w:spacing w:after="0" w:line="240" w:lineRule="auto"/>
              <w:textAlignment w:val="baseline"/>
              <w:rPr>
                <w:rFonts w:eastAsia="Times New Roman" w:cstheme="minorHAnsi"/>
                <w:sz w:val="20"/>
                <w:szCs w:val="20"/>
                <w:lang w:val="en-US"/>
              </w:rPr>
            </w:pPr>
            <w:r w:rsidRPr="003750C2">
              <w:rPr>
                <w:rFonts w:eastAsia="Times New Roman" w:cstheme="minorHAnsi"/>
                <w:sz w:val="20"/>
                <w:szCs w:val="20"/>
                <w:lang w:val="en-US"/>
              </w:rPr>
              <w:t>DVT only</w:t>
            </w:r>
          </w:p>
        </w:tc>
        <w:tc>
          <w:tcPr>
            <w:tcW w:w="2977" w:type="dxa"/>
          </w:tcPr>
          <w:p w:rsidR="003A369B" w:rsidRPr="003750C2" w:rsidRDefault="003A369B" w:rsidP="00EB5A53">
            <w:pPr>
              <w:keepNext/>
              <w:keepLines/>
              <w:spacing w:after="0" w:line="240" w:lineRule="auto"/>
              <w:jc w:val="center"/>
              <w:rPr>
                <w:rFonts w:eastAsia="Times New Roman" w:cstheme="minorHAnsi"/>
                <w:sz w:val="20"/>
                <w:szCs w:val="20"/>
              </w:rPr>
            </w:pPr>
            <w:r w:rsidRPr="003750C2">
              <w:rPr>
                <w:rFonts w:eastAsia="Times New Roman" w:cstheme="minorHAnsi"/>
                <w:sz w:val="20"/>
                <w:szCs w:val="20"/>
              </w:rPr>
              <w:t>12 (1.1%)</w:t>
            </w:r>
          </w:p>
        </w:tc>
        <w:tc>
          <w:tcPr>
            <w:tcW w:w="2713" w:type="dxa"/>
          </w:tcPr>
          <w:p w:rsidR="003A369B" w:rsidRPr="003750C2" w:rsidRDefault="003A369B" w:rsidP="00EB5A53">
            <w:pPr>
              <w:keepNext/>
              <w:keepLines/>
              <w:spacing w:after="0" w:line="240" w:lineRule="auto"/>
              <w:jc w:val="center"/>
              <w:rPr>
                <w:rFonts w:eastAsia="Times New Roman" w:cstheme="minorHAnsi"/>
                <w:sz w:val="20"/>
                <w:szCs w:val="20"/>
              </w:rPr>
            </w:pPr>
            <w:r w:rsidRPr="003750C2">
              <w:rPr>
                <w:rFonts w:eastAsia="Times New Roman" w:cstheme="minorHAnsi"/>
                <w:sz w:val="20"/>
                <w:szCs w:val="20"/>
              </w:rPr>
              <w:t>17 (1.5%)</w:t>
            </w:r>
          </w:p>
        </w:tc>
      </w:tr>
      <w:tr w:rsidR="003A369B" w:rsidRPr="003750C2" w:rsidTr="003A369B">
        <w:trPr>
          <w:jc w:val="center"/>
        </w:trPr>
        <w:tc>
          <w:tcPr>
            <w:tcW w:w="3366" w:type="dxa"/>
            <w:tcBorders>
              <w:bottom w:val="single" w:sz="4" w:space="0" w:color="auto"/>
            </w:tcBorders>
          </w:tcPr>
          <w:p w:rsidR="003A369B" w:rsidRPr="003750C2" w:rsidRDefault="003A369B" w:rsidP="00EB5A53">
            <w:pPr>
              <w:keepNext/>
              <w:keepLines/>
              <w:spacing w:after="0" w:line="240" w:lineRule="auto"/>
              <w:jc w:val="both"/>
              <w:rPr>
                <w:rFonts w:eastAsia="Times New Roman" w:cstheme="minorHAnsi"/>
                <w:sz w:val="20"/>
                <w:szCs w:val="20"/>
              </w:rPr>
            </w:pPr>
            <w:r w:rsidRPr="003750C2">
              <w:rPr>
                <w:rFonts w:eastAsia="Times New Roman" w:cstheme="minorHAnsi"/>
                <w:sz w:val="20"/>
                <w:szCs w:val="20"/>
              </w:rPr>
              <w:t>Non-fatal PE</w:t>
            </w:r>
          </w:p>
        </w:tc>
        <w:tc>
          <w:tcPr>
            <w:tcW w:w="2977" w:type="dxa"/>
            <w:tcBorders>
              <w:bottom w:val="single" w:sz="4" w:space="0" w:color="auto"/>
            </w:tcBorders>
          </w:tcPr>
          <w:p w:rsidR="003A369B" w:rsidRPr="003750C2" w:rsidRDefault="003A369B" w:rsidP="00EB5A53">
            <w:pPr>
              <w:keepNext/>
              <w:keepLines/>
              <w:spacing w:after="0" w:line="240" w:lineRule="auto"/>
              <w:jc w:val="center"/>
              <w:rPr>
                <w:rFonts w:eastAsia="Times New Roman" w:cstheme="minorHAnsi"/>
                <w:sz w:val="20"/>
                <w:szCs w:val="20"/>
              </w:rPr>
            </w:pPr>
            <w:r w:rsidRPr="003750C2">
              <w:rPr>
                <w:rFonts w:eastAsia="Times New Roman" w:cstheme="minorHAnsi"/>
                <w:sz w:val="20"/>
                <w:szCs w:val="20"/>
              </w:rPr>
              <w:t>14 (1.3%)</w:t>
            </w:r>
          </w:p>
        </w:tc>
        <w:tc>
          <w:tcPr>
            <w:tcW w:w="2713" w:type="dxa"/>
            <w:tcBorders>
              <w:bottom w:val="single" w:sz="4" w:space="0" w:color="auto"/>
            </w:tcBorders>
          </w:tcPr>
          <w:p w:rsidR="003A369B" w:rsidRPr="003750C2" w:rsidRDefault="003A369B" w:rsidP="00EB5A53">
            <w:pPr>
              <w:keepNext/>
              <w:keepLines/>
              <w:spacing w:after="0" w:line="240" w:lineRule="auto"/>
              <w:jc w:val="center"/>
              <w:rPr>
                <w:rFonts w:eastAsia="Times New Roman" w:cstheme="minorHAnsi"/>
                <w:sz w:val="20"/>
                <w:szCs w:val="20"/>
              </w:rPr>
            </w:pPr>
            <w:r w:rsidRPr="003750C2">
              <w:rPr>
                <w:rFonts w:eastAsia="Times New Roman" w:cstheme="minorHAnsi"/>
                <w:sz w:val="20"/>
                <w:szCs w:val="20"/>
              </w:rPr>
              <w:t>24 (2.2%)</w:t>
            </w:r>
          </w:p>
        </w:tc>
      </w:tr>
      <w:tr w:rsidR="003A369B" w:rsidRPr="003750C2" w:rsidTr="003A369B">
        <w:trPr>
          <w:jc w:val="center"/>
        </w:trPr>
        <w:tc>
          <w:tcPr>
            <w:tcW w:w="3366" w:type="dxa"/>
            <w:tcBorders>
              <w:bottom w:val="single" w:sz="4" w:space="0" w:color="auto"/>
            </w:tcBorders>
          </w:tcPr>
          <w:p w:rsidR="003A369B" w:rsidRPr="003750C2" w:rsidRDefault="003A369B" w:rsidP="00EB5A53">
            <w:pPr>
              <w:keepNext/>
              <w:keepLines/>
              <w:spacing w:after="0" w:line="240" w:lineRule="auto"/>
              <w:jc w:val="both"/>
              <w:rPr>
                <w:rFonts w:eastAsia="Times New Roman" w:cstheme="minorHAnsi"/>
                <w:sz w:val="20"/>
                <w:szCs w:val="20"/>
              </w:rPr>
            </w:pPr>
            <w:r w:rsidRPr="003750C2">
              <w:rPr>
                <w:rFonts w:eastAsia="Times New Roman" w:cstheme="minorHAnsi"/>
                <w:sz w:val="20"/>
                <w:szCs w:val="20"/>
              </w:rPr>
              <w:t>Fatal VTE</w:t>
            </w:r>
          </w:p>
        </w:tc>
        <w:tc>
          <w:tcPr>
            <w:tcW w:w="2977" w:type="dxa"/>
            <w:tcBorders>
              <w:bottom w:val="single" w:sz="4" w:space="0" w:color="auto"/>
            </w:tcBorders>
          </w:tcPr>
          <w:p w:rsidR="003A369B" w:rsidRPr="003750C2" w:rsidRDefault="003A369B" w:rsidP="00EB5A53">
            <w:pPr>
              <w:keepNext/>
              <w:keepLines/>
              <w:spacing w:after="0" w:line="240" w:lineRule="auto"/>
              <w:jc w:val="center"/>
              <w:rPr>
                <w:rFonts w:eastAsia="Times New Roman" w:cstheme="minorHAnsi"/>
                <w:sz w:val="20"/>
                <w:szCs w:val="20"/>
              </w:rPr>
            </w:pPr>
            <w:r w:rsidRPr="003750C2">
              <w:rPr>
                <w:rFonts w:eastAsia="Times New Roman" w:cstheme="minorHAnsi"/>
                <w:sz w:val="20"/>
                <w:szCs w:val="20"/>
              </w:rPr>
              <w:t>16 (1.5%)</w:t>
            </w:r>
          </w:p>
        </w:tc>
        <w:tc>
          <w:tcPr>
            <w:tcW w:w="2713" w:type="dxa"/>
            <w:tcBorders>
              <w:bottom w:val="single" w:sz="4" w:space="0" w:color="auto"/>
            </w:tcBorders>
          </w:tcPr>
          <w:p w:rsidR="003A369B" w:rsidRPr="003750C2" w:rsidRDefault="003A369B" w:rsidP="00EB5A53">
            <w:pPr>
              <w:keepNext/>
              <w:keepLines/>
              <w:spacing w:after="0" w:line="240" w:lineRule="auto"/>
              <w:jc w:val="center"/>
              <w:rPr>
                <w:rFonts w:eastAsia="Times New Roman" w:cstheme="minorHAnsi"/>
                <w:sz w:val="20"/>
                <w:szCs w:val="20"/>
              </w:rPr>
            </w:pPr>
            <w:r w:rsidRPr="003750C2">
              <w:rPr>
                <w:rFonts w:eastAsia="Times New Roman" w:cstheme="minorHAnsi"/>
                <w:sz w:val="20"/>
                <w:szCs w:val="20"/>
              </w:rPr>
              <w:t>15 (1.4%)</w:t>
            </w:r>
          </w:p>
        </w:tc>
      </w:tr>
      <w:tr w:rsidR="003A369B" w:rsidRPr="003750C2" w:rsidTr="003A369B">
        <w:trPr>
          <w:jc w:val="center"/>
        </w:trPr>
        <w:tc>
          <w:tcPr>
            <w:tcW w:w="9056" w:type="dxa"/>
            <w:gridSpan w:val="3"/>
            <w:tcBorders>
              <w:bottom w:val="single" w:sz="4" w:space="0" w:color="auto"/>
            </w:tcBorders>
          </w:tcPr>
          <w:p w:rsidR="003A369B" w:rsidRPr="003750C2" w:rsidRDefault="003A369B">
            <w:pPr>
              <w:keepLines/>
              <w:spacing w:after="0" w:line="240" w:lineRule="auto"/>
              <w:jc w:val="both"/>
              <w:rPr>
                <w:rFonts w:eastAsia="Times New Roman" w:cstheme="minorHAnsi"/>
                <w:sz w:val="20"/>
                <w:szCs w:val="20"/>
                <w:vertAlign w:val="superscript"/>
              </w:rPr>
            </w:pPr>
          </w:p>
          <w:p w:rsidR="003A369B" w:rsidRPr="003750C2" w:rsidRDefault="003A369B">
            <w:pPr>
              <w:keepLines/>
              <w:spacing w:after="0" w:line="240" w:lineRule="auto"/>
              <w:jc w:val="both"/>
              <w:rPr>
                <w:rFonts w:eastAsia="Times New Roman" w:cstheme="minorHAnsi"/>
                <w:sz w:val="20"/>
                <w:szCs w:val="20"/>
              </w:rPr>
            </w:pPr>
            <w:r w:rsidRPr="003750C2">
              <w:rPr>
                <w:rFonts w:eastAsia="Times New Roman" w:cstheme="minorHAnsi"/>
                <w:sz w:val="20"/>
                <w:szCs w:val="20"/>
              </w:rPr>
              <w:t>1. Patients were also treated with vitamin K antagonists initiated within 72 hours after the first study drug administration</w:t>
            </w:r>
          </w:p>
          <w:p w:rsidR="003A369B" w:rsidRPr="003750C2" w:rsidRDefault="003A369B">
            <w:pPr>
              <w:keepLines/>
              <w:spacing w:after="0" w:line="240" w:lineRule="auto"/>
              <w:jc w:val="both"/>
              <w:rPr>
                <w:rFonts w:eastAsia="Times New Roman" w:cstheme="minorHAnsi"/>
                <w:sz w:val="20"/>
                <w:szCs w:val="20"/>
              </w:rPr>
            </w:pPr>
            <w:r w:rsidRPr="003750C2">
              <w:rPr>
                <w:rFonts w:eastAsia="Times New Roman" w:cstheme="minorHAnsi"/>
                <w:sz w:val="20"/>
                <w:szCs w:val="20"/>
              </w:rPr>
              <w:t>2. VTE was a composite of symptomatic recurrent VTE or fatal VTE reported up to Day 97</w:t>
            </w:r>
          </w:p>
          <w:p w:rsidR="003A369B" w:rsidRPr="003750C2" w:rsidRDefault="003A369B" w:rsidP="00EB5A53">
            <w:pPr>
              <w:tabs>
                <w:tab w:val="center" w:pos="4153"/>
                <w:tab w:val="right" w:pos="8306"/>
              </w:tabs>
              <w:spacing w:after="0" w:line="240" w:lineRule="auto"/>
              <w:rPr>
                <w:rFonts w:eastAsia="Times New Roman" w:cstheme="minorHAnsi"/>
                <w:sz w:val="20"/>
                <w:szCs w:val="20"/>
              </w:rPr>
            </w:pPr>
            <w:r w:rsidRPr="003750C2">
              <w:rPr>
                <w:rFonts w:eastAsia="Times New Roman" w:cstheme="minorHAnsi"/>
                <w:sz w:val="20"/>
                <w:szCs w:val="20"/>
              </w:rPr>
              <w:t xml:space="preserve">3. 95% confidence interval for the treatment difference </w:t>
            </w:r>
          </w:p>
        </w:tc>
      </w:tr>
    </w:tbl>
    <w:p w:rsidR="003A369B" w:rsidRDefault="003A369B" w:rsidP="003A369B">
      <w:pPr>
        <w:jc w:val="both"/>
        <w:rPr>
          <w:rFonts w:cstheme="minorHAnsi"/>
        </w:rPr>
      </w:pPr>
    </w:p>
    <w:p w:rsidR="003A369B" w:rsidRPr="00EB5A53" w:rsidRDefault="003A369B" w:rsidP="00736CB6">
      <w:pPr>
        <w:pageBreakBefore/>
        <w:spacing w:after="0" w:line="240" w:lineRule="auto"/>
        <w:jc w:val="both"/>
        <w:rPr>
          <w:rFonts w:ascii="Calibri" w:hAnsi="Calibri" w:cs="Calibri"/>
          <w:u w:val="single"/>
        </w:rPr>
      </w:pPr>
      <w:r w:rsidRPr="00EB5A53">
        <w:rPr>
          <w:rFonts w:ascii="Calibri" w:hAnsi="Calibri" w:cs="Calibri"/>
          <w:u w:val="single"/>
        </w:rPr>
        <w:lastRenderedPageBreak/>
        <w:t>Treatment of unstable angina or non-ST segment elevation myocardial infarction (UA/NSTEMI)</w:t>
      </w:r>
    </w:p>
    <w:p w:rsidR="003A369B" w:rsidRPr="000F5095" w:rsidRDefault="003A369B">
      <w:pPr>
        <w:keepLines/>
        <w:spacing w:after="120" w:line="240" w:lineRule="auto"/>
        <w:jc w:val="both"/>
        <w:rPr>
          <w:rFonts w:ascii="Calibri" w:eastAsia="Times New Roman" w:hAnsi="Calibri" w:cs="Calibri"/>
          <w:color w:val="000000"/>
          <w:lang w:val="en-US"/>
        </w:rPr>
      </w:pPr>
      <w:r w:rsidRPr="000F5095">
        <w:rPr>
          <w:rFonts w:ascii="Calibri" w:eastAsia="Times New Roman" w:hAnsi="Calibri" w:cs="Calibri"/>
          <w:color w:val="000000"/>
          <w:lang w:val="en-US"/>
        </w:rPr>
        <w:t xml:space="preserve">OASIS 5 was a double-blind, randomised, non-inferiority study with fondaparinux 2.5 mg subcutaneously once daily versus enoxaparin 1 mg/kg subcutaneously twice daily in approximately 20,000 patients with UA/NSTEMI. All patients received standard medical treatment for UA/NSTEMI, with 34% of patients undergoing PCI and 9% undergoing coronary artery bypass graft (CABG). The mean treatment duration was 5.5 days in the fondaparinux group and 5.2 days in the enoxaparin group. If PCI was performed, patients received either intravenous fondaparinux (fondaparinux patients) or weight adjusted intravenous unfractionated heparin (UFH, enoxaparin patients) as adjunctive therapy, dependent on the timing of the last subcutaneous dose and planned use of GP IIb/IIIa inhibitor. The mean age of the patients was 67 years, and approximately 60% were at least 65 years old. Approximately 40% and 17% of patients had mild (creatinine clearance </w:t>
      </w:r>
      <w:bookmarkStart w:id="14" w:name="_GoBack"/>
      <w:r w:rsidR="00E61B20">
        <w:rPr>
          <w:rFonts w:ascii="Calibri" w:eastAsia="Times New Roman" w:hAnsi="Calibri" w:cs="Calibri"/>
          <w:color w:val="000000"/>
          <w:lang w:val="en-US"/>
        </w:rPr>
        <w:t>≥</w:t>
      </w:r>
      <w:bookmarkEnd w:id="14"/>
      <w:r w:rsidRPr="000F5095">
        <w:rPr>
          <w:rFonts w:ascii="Calibri" w:eastAsia="Times New Roman" w:hAnsi="Calibri" w:cs="Calibri"/>
          <w:color w:val="000000"/>
          <w:lang w:val="en-US"/>
        </w:rPr>
        <w:t xml:space="preserve">50 to &lt;80 ml/min) or moderate (creatinine clearance </w:t>
      </w:r>
      <w:r w:rsidR="00E61B20">
        <w:rPr>
          <w:rFonts w:ascii="Calibri" w:eastAsia="Times New Roman" w:hAnsi="Calibri" w:cs="Calibri"/>
          <w:color w:val="000000"/>
          <w:lang w:val="en-US"/>
        </w:rPr>
        <w:t>≥</w:t>
      </w:r>
      <w:r w:rsidRPr="000F5095">
        <w:rPr>
          <w:rFonts w:ascii="Calibri" w:eastAsia="Times New Roman" w:hAnsi="Calibri" w:cs="Calibri"/>
          <w:color w:val="000000"/>
          <w:lang w:val="en-US"/>
        </w:rPr>
        <w:t xml:space="preserve">30 to &lt;50 ml/min) renal impairment, respectively. Patients with serum creatinine </w:t>
      </w:r>
      <w:r w:rsidR="00E61B20">
        <w:rPr>
          <w:rFonts w:ascii="Calibri" w:eastAsia="Times New Roman" w:hAnsi="Calibri" w:cs="Calibri"/>
          <w:color w:val="000000"/>
          <w:lang w:val="en-US"/>
        </w:rPr>
        <w:t>≥</w:t>
      </w:r>
      <w:r w:rsidRPr="000F5095">
        <w:rPr>
          <w:rFonts w:ascii="Calibri" w:eastAsia="Times New Roman" w:hAnsi="Calibri" w:cs="Calibri"/>
          <w:color w:val="000000"/>
          <w:lang w:val="en-US"/>
        </w:rPr>
        <w:t xml:space="preserve"> 265 µmol/L were excluded from the study.</w:t>
      </w:r>
    </w:p>
    <w:p w:rsidR="003A369B" w:rsidRPr="000F5095" w:rsidRDefault="003A369B">
      <w:pPr>
        <w:keepLines/>
        <w:spacing w:after="120" w:line="240" w:lineRule="auto"/>
        <w:jc w:val="both"/>
        <w:rPr>
          <w:rFonts w:ascii="Calibri" w:eastAsia="Times New Roman" w:hAnsi="Calibri" w:cs="Calibri"/>
          <w:color w:val="000000"/>
          <w:lang w:val="en-US"/>
        </w:rPr>
      </w:pPr>
      <w:r w:rsidRPr="000F5095">
        <w:rPr>
          <w:rFonts w:ascii="Calibri" w:eastAsia="Times New Roman" w:hAnsi="Calibri" w:cs="Calibri"/>
          <w:color w:val="000000"/>
          <w:lang w:val="en-US"/>
        </w:rPr>
        <w:t>The primary adjudicated endpoint was a composite of death, myocardial infarction (MI) and refractory ischaemia (RI) within 9 days of randomisation. Of the patients in the fondaparinux group, 5.8% experienced an event by Day 9 compared to 5.7% for enoxaparin-treated patients (hazard ratio 1.01, 95% CI, 0.90, 1.13, one-sided non-inferiority p value = 0.003).</w:t>
      </w:r>
    </w:p>
    <w:p w:rsidR="003A369B" w:rsidRPr="000F5095" w:rsidRDefault="003A369B">
      <w:pPr>
        <w:keepLines/>
        <w:spacing w:after="120" w:line="240" w:lineRule="auto"/>
        <w:jc w:val="both"/>
        <w:rPr>
          <w:rFonts w:ascii="Calibri" w:eastAsia="Times New Roman" w:hAnsi="Calibri" w:cs="Calibri"/>
          <w:color w:val="000000"/>
          <w:lang w:val="en-US"/>
        </w:rPr>
      </w:pPr>
      <w:r w:rsidRPr="000F5095">
        <w:rPr>
          <w:rFonts w:ascii="Calibri" w:eastAsia="Times New Roman" w:hAnsi="Calibri" w:cs="Calibri"/>
          <w:color w:val="000000"/>
          <w:lang w:val="en-US"/>
        </w:rPr>
        <w:t>By Day 30, the incidence of all cause mortality was significantly reduced from 3.5% on enoxaparin to 2.9% on fondaparinux (hazard ratio 0.83, 95% CI, 0.71; 0.97,). The effects on the incidence of MI and RI were not statistically different between the fondaparinux and enoxaparin treatment groups.</w:t>
      </w:r>
    </w:p>
    <w:p w:rsidR="003A369B" w:rsidRPr="000F5095" w:rsidRDefault="003A369B" w:rsidP="003A369B">
      <w:pPr>
        <w:keepLines/>
        <w:spacing w:after="120" w:line="240" w:lineRule="auto"/>
        <w:jc w:val="both"/>
        <w:rPr>
          <w:rFonts w:ascii="Calibri" w:eastAsia="Times New Roman" w:hAnsi="Calibri" w:cs="Calibri"/>
          <w:color w:val="000000"/>
          <w:lang w:val="en-US"/>
        </w:rPr>
      </w:pPr>
      <w:r w:rsidRPr="000F5095">
        <w:rPr>
          <w:rFonts w:ascii="Calibri" w:eastAsia="Times New Roman" w:hAnsi="Calibri" w:cs="Calibri"/>
          <w:color w:val="000000"/>
          <w:lang w:val="en-US"/>
        </w:rPr>
        <w:t>At Day 9 the incidence of major bleeding on fondaparinux and enoxaparin was 2.1% and 4.1%, respectively (hazard ratio 0.52, 95% CI, 0.44; 0.61,).</w:t>
      </w:r>
    </w:p>
    <w:p w:rsidR="003A369B" w:rsidRDefault="003A369B" w:rsidP="003A369B">
      <w:pPr>
        <w:keepLines/>
        <w:spacing w:after="120" w:line="240" w:lineRule="auto"/>
        <w:jc w:val="both"/>
        <w:rPr>
          <w:rFonts w:ascii="Calibri" w:eastAsia="Times New Roman" w:hAnsi="Calibri" w:cs="Calibri"/>
          <w:color w:val="000000"/>
          <w:lang w:val="en-US"/>
        </w:rPr>
      </w:pPr>
      <w:r w:rsidRPr="000F5095">
        <w:rPr>
          <w:rFonts w:ascii="Calibri" w:eastAsia="Times New Roman" w:hAnsi="Calibri" w:cs="Calibri"/>
          <w:color w:val="000000"/>
          <w:lang w:val="en-US"/>
        </w:rPr>
        <w:t xml:space="preserve">The efficacy findings and results on major bleeding were consistent across prespecified subgroups such as elderly, renally impaired patients, type of concomitant platelet aggregation inhibitors (aspirin, thienopyridines </w:t>
      </w:r>
      <w:r w:rsidRPr="00DF32F8">
        <w:rPr>
          <w:rFonts w:ascii="Calibri" w:eastAsia="Times New Roman" w:hAnsi="Calibri" w:cs="Calibri"/>
          <w:color w:val="000000"/>
          <w:lang w:val="en-US"/>
        </w:rPr>
        <w:t>or GP IIb/IIIa inhibitors).</w:t>
      </w:r>
    </w:p>
    <w:p w:rsidR="003A369B" w:rsidRDefault="003A369B" w:rsidP="003A369B">
      <w:pPr>
        <w:keepLines/>
        <w:spacing w:after="120" w:line="240" w:lineRule="auto"/>
        <w:jc w:val="both"/>
        <w:rPr>
          <w:rFonts w:ascii="Calibri" w:eastAsia="Times New Roman" w:hAnsi="Calibri" w:cs="Calibri"/>
          <w:color w:val="000000"/>
          <w:lang w:val="en-US"/>
        </w:rPr>
      </w:pPr>
      <w:r w:rsidRPr="000F5095">
        <w:rPr>
          <w:rFonts w:ascii="Calibri" w:eastAsia="Times New Roman" w:hAnsi="Calibri" w:cs="Calibri"/>
          <w:color w:val="000000"/>
          <w:lang w:val="en-US"/>
        </w:rPr>
        <w:t>In the subgroup of patients treated with fondaparinux or enoxaparin who underwent PCI, 8.8% and 8.2% of patients respectively, experience death/MI/RI within 9 days of randomisation (hazard ratio 1.08, 95% CI, 0.92;1.27). In this subgroup, the incidence of major bleeding on fondaparinux and enoxaparin at Day 9 was 2.2% and 5.0% respectively (hazard ratio 0.43, 95% CI, 0.33;0.57). In subjects undergoing PCI the incidence of adjudicated guiding catheter thrombus was 1.0% vs. 0.3% in fondaparinux vs. enoxaparin subjects, respectively.</w:t>
      </w:r>
    </w:p>
    <w:p w:rsidR="005778CE" w:rsidRDefault="005778CE" w:rsidP="00EB5A53">
      <w:pPr>
        <w:keepLines/>
        <w:spacing w:after="0" w:line="240" w:lineRule="auto"/>
        <w:jc w:val="both"/>
        <w:rPr>
          <w:rFonts w:ascii="Calibri" w:eastAsia="Times New Roman" w:hAnsi="Calibri" w:cs="Calibri"/>
          <w:color w:val="000000"/>
          <w:lang w:val="en-US"/>
        </w:rPr>
      </w:pPr>
    </w:p>
    <w:p w:rsidR="003A369B" w:rsidRPr="00EB5A53" w:rsidRDefault="003A369B" w:rsidP="00EB5A53">
      <w:pPr>
        <w:keepLines/>
        <w:spacing w:after="0" w:line="240" w:lineRule="auto"/>
        <w:jc w:val="both"/>
        <w:rPr>
          <w:rFonts w:ascii="Calibri" w:eastAsia="Times New Roman" w:hAnsi="Calibri" w:cs="Calibri"/>
          <w:color w:val="000000"/>
          <w:u w:val="single"/>
          <w:lang w:val="en-US"/>
        </w:rPr>
      </w:pPr>
      <w:r w:rsidRPr="00EB5A53">
        <w:rPr>
          <w:rFonts w:ascii="Calibri" w:eastAsia="Times New Roman" w:hAnsi="Calibri" w:cs="Calibri"/>
          <w:color w:val="000000"/>
          <w:u w:val="single"/>
          <w:lang w:val="en-US"/>
        </w:rPr>
        <w:t>Treatment of unstable angina (UA) or non-ST segment elevation myocardial infarction (NSTEMI) in patients who underwent subsequent PCI with adjunctive UFH</w:t>
      </w:r>
    </w:p>
    <w:p w:rsidR="003A369B" w:rsidRPr="000F5095" w:rsidRDefault="003A369B" w:rsidP="00EB5A53">
      <w:pPr>
        <w:tabs>
          <w:tab w:val="left" w:pos="567"/>
        </w:tabs>
        <w:autoSpaceDE w:val="0"/>
        <w:autoSpaceDN w:val="0"/>
        <w:adjustRightInd w:val="0"/>
        <w:spacing w:after="0" w:line="240" w:lineRule="auto"/>
        <w:jc w:val="both"/>
        <w:rPr>
          <w:color w:val="000000"/>
          <w:szCs w:val="24"/>
          <w:lang w:eastAsia="en-GB"/>
        </w:rPr>
      </w:pPr>
      <w:r w:rsidRPr="000F5095">
        <w:rPr>
          <w:color w:val="000000"/>
          <w:szCs w:val="24"/>
          <w:lang w:eastAsia="en-GB"/>
        </w:rPr>
        <w:t>In a study of 3,235 high-risk UA/NSTEMI patients scheduled for angiography and treated with open-label fondaparinux (OASIS 8/FUTURA), 2,026 patients indicated for PCI were randomised to receive one of two double-blind dose regimens of adjunctive UFH. The remaining 1209 patients were not indicated for PCI and were not randomised to receive UFH.</w:t>
      </w:r>
    </w:p>
    <w:p w:rsidR="003A369B" w:rsidRPr="000F5095" w:rsidRDefault="003A369B" w:rsidP="00EB5A53">
      <w:pPr>
        <w:tabs>
          <w:tab w:val="left" w:pos="567"/>
        </w:tabs>
        <w:autoSpaceDE w:val="0"/>
        <w:autoSpaceDN w:val="0"/>
        <w:adjustRightInd w:val="0"/>
        <w:spacing w:after="0" w:line="240" w:lineRule="auto"/>
        <w:jc w:val="both"/>
        <w:rPr>
          <w:color w:val="000000"/>
          <w:szCs w:val="24"/>
          <w:lang w:eastAsia="en-GB"/>
        </w:rPr>
      </w:pPr>
      <w:r w:rsidRPr="000F5095">
        <w:rPr>
          <w:color w:val="000000"/>
          <w:szCs w:val="24"/>
          <w:lang w:eastAsia="en-GB"/>
        </w:rPr>
        <w:t>All enrolled patients received fondaparinux 2.5 mg subcutaneously, once daily for up to 8 days, or until hospital discharge. Randomised patients received either “low dose” UFH regimen (50 U/kg irrespective of planned GPIIb/IIIa use; non ACT guided) or “standard dose” UFH regimen (no GPIIb/IIIa use: 85 U/kg, ACT guided; planned GPIIb/IIIa use: 60 U/kg, ACT guided) immediately prior to the start of the PCI.</w:t>
      </w:r>
    </w:p>
    <w:p w:rsidR="003A369B" w:rsidRPr="000F5095" w:rsidRDefault="003A369B" w:rsidP="00EB5A53">
      <w:pPr>
        <w:tabs>
          <w:tab w:val="left" w:pos="567"/>
        </w:tabs>
        <w:autoSpaceDE w:val="0"/>
        <w:autoSpaceDN w:val="0"/>
        <w:adjustRightInd w:val="0"/>
        <w:spacing w:after="0" w:line="240" w:lineRule="auto"/>
        <w:jc w:val="both"/>
        <w:rPr>
          <w:color w:val="000000"/>
          <w:szCs w:val="24"/>
          <w:lang w:eastAsia="en-GB"/>
        </w:rPr>
      </w:pPr>
    </w:p>
    <w:p w:rsidR="003A369B" w:rsidRPr="000F5095" w:rsidRDefault="003A369B" w:rsidP="00EB5A53">
      <w:pPr>
        <w:tabs>
          <w:tab w:val="left" w:pos="567"/>
        </w:tabs>
        <w:autoSpaceDE w:val="0"/>
        <w:autoSpaceDN w:val="0"/>
        <w:adjustRightInd w:val="0"/>
        <w:spacing w:after="0" w:line="240" w:lineRule="auto"/>
        <w:jc w:val="both"/>
        <w:rPr>
          <w:color w:val="000000"/>
          <w:szCs w:val="24"/>
          <w:lang w:eastAsia="en-GB"/>
        </w:rPr>
      </w:pPr>
      <w:r w:rsidRPr="000F5095">
        <w:rPr>
          <w:color w:val="000000"/>
          <w:szCs w:val="24"/>
          <w:lang w:eastAsia="en-GB"/>
        </w:rPr>
        <w:lastRenderedPageBreak/>
        <w:t>The baseline characteristics and duration of fondaparinux treatment were comparable in both UFH groups. In subjects randomised to the “standard dose UFH” or the “low dose UFH” regimen the median dose of UFH was 85 U/kg and 50 U/kg, respectively.</w:t>
      </w:r>
    </w:p>
    <w:p w:rsidR="003A369B" w:rsidRPr="000F5095" w:rsidRDefault="003A369B" w:rsidP="00EB5A53">
      <w:pPr>
        <w:tabs>
          <w:tab w:val="left" w:pos="567"/>
        </w:tabs>
        <w:autoSpaceDE w:val="0"/>
        <w:autoSpaceDN w:val="0"/>
        <w:adjustRightInd w:val="0"/>
        <w:spacing w:after="0" w:line="240" w:lineRule="auto"/>
        <w:jc w:val="both"/>
        <w:rPr>
          <w:color w:val="000000"/>
          <w:szCs w:val="24"/>
          <w:lang w:eastAsia="en-GB"/>
        </w:rPr>
      </w:pPr>
    </w:p>
    <w:p w:rsidR="003A369B" w:rsidRPr="000F5095" w:rsidRDefault="003A369B" w:rsidP="00EB5A53">
      <w:pPr>
        <w:tabs>
          <w:tab w:val="left" w:pos="567"/>
        </w:tabs>
        <w:autoSpaceDE w:val="0"/>
        <w:autoSpaceDN w:val="0"/>
        <w:adjustRightInd w:val="0"/>
        <w:spacing w:after="0" w:line="240" w:lineRule="auto"/>
        <w:jc w:val="both"/>
        <w:rPr>
          <w:color w:val="000000"/>
          <w:szCs w:val="24"/>
          <w:lang w:eastAsia="en-GB"/>
        </w:rPr>
      </w:pPr>
      <w:r w:rsidRPr="000F5095">
        <w:rPr>
          <w:color w:val="000000"/>
          <w:szCs w:val="24"/>
          <w:lang w:eastAsia="en-GB"/>
        </w:rPr>
        <w:t>The primary outcome was a composite of peri-PCI (defined as time of randomisation up to 48 hours post-PCI) adjudicated major or minor bleeding, or major vascular access site complications.</w:t>
      </w:r>
    </w:p>
    <w:p w:rsidR="003A369B" w:rsidRDefault="003A369B" w:rsidP="003A369B">
      <w:pPr>
        <w:keepLines/>
        <w:spacing w:after="120" w:line="240" w:lineRule="auto"/>
        <w:jc w:val="both"/>
        <w:rPr>
          <w:rFonts w:ascii="Calibri" w:eastAsia="Times New Roman" w:hAnsi="Calibri" w:cs="Calibri"/>
          <w:b/>
          <w:color w:val="000000"/>
          <w:lang w:val="en-US"/>
        </w:rPr>
      </w:pPr>
    </w:p>
    <w:p w:rsidR="003A369B" w:rsidRPr="00EB5A53" w:rsidRDefault="003A369B" w:rsidP="00EB5A53">
      <w:pPr>
        <w:keepNext/>
        <w:autoSpaceDE w:val="0"/>
        <w:autoSpaceDN w:val="0"/>
        <w:adjustRightInd w:val="0"/>
        <w:spacing w:after="0" w:line="240" w:lineRule="auto"/>
        <w:jc w:val="center"/>
        <w:rPr>
          <w:rFonts w:eastAsia="Times New Roman" w:cstheme="minorHAnsi"/>
          <w:b/>
          <w:sz w:val="20"/>
          <w:szCs w:val="20"/>
        </w:rPr>
      </w:pPr>
      <w:r w:rsidRPr="00EB5A53">
        <w:rPr>
          <w:rFonts w:eastAsia="Times New Roman" w:cstheme="minorHAnsi"/>
          <w:b/>
          <w:sz w:val="20"/>
          <w:szCs w:val="20"/>
        </w:rPr>
        <w:t xml:space="preserve">Table 18: </w:t>
      </w:r>
      <w:r w:rsidRPr="00EB5A53">
        <w:rPr>
          <w:rFonts w:eastAsia="Times New Roman" w:cstheme="minorHAnsi"/>
          <w:sz w:val="20"/>
          <w:szCs w:val="20"/>
        </w:rPr>
        <w:t xml:space="preserve"> </w:t>
      </w:r>
      <w:r w:rsidRPr="00EB5A53">
        <w:rPr>
          <w:rFonts w:eastAsia="Times New Roman" w:cstheme="minorHAnsi"/>
          <w:b/>
          <w:sz w:val="20"/>
          <w:szCs w:val="20"/>
        </w:rPr>
        <w:t>Incidence of peri-PCI major or minor bleeding or major vascular site complications during index PCI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843"/>
        <w:gridCol w:w="2126"/>
        <w:gridCol w:w="1701"/>
        <w:gridCol w:w="29"/>
      </w:tblGrid>
      <w:tr w:rsidR="003A369B" w:rsidRPr="005778CE" w:rsidTr="003A369B">
        <w:trPr>
          <w:gridAfter w:val="1"/>
          <w:wAfter w:w="29" w:type="dxa"/>
        </w:trPr>
        <w:tc>
          <w:tcPr>
            <w:tcW w:w="3510" w:type="dxa"/>
            <w:vMerge w:val="restart"/>
            <w:vAlign w:val="center"/>
          </w:tcPr>
          <w:p w:rsidR="003A369B" w:rsidRPr="005778CE" w:rsidRDefault="003A369B" w:rsidP="00EB5A53">
            <w:pPr>
              <w:keepNext/>
              <w:keepLines/>
              <w:tabs>
                <w:tab w:val="left" w:pos="1350"/>
              </w:tabs>
              <w:spacing w:after="0" w:line="240" w:lineRule="auto"/>
              <w:rPr>
                <w:rFonts w:eastAsia="Times New Roman" w:cstheme="minorHAnsi"/>
                <w:b/>
                <w:sz w:val="20"/>
                <w:szCs w:val="20"/>
              </w:rPr>
            </w:pPr>
            <w:r w:rsidRPr="005778CE">
              <w:rPr>
                <w:rFonts w:eastAsia="Times New Roman" w:cstheme="minorHAnsi"/>
                <w:b/>
                <w:sz w:val="20"/>
                <w:szCs w:val="20"/>
              </w:rPr>
              <w:t>Outcomes</w:t>
            </w:r>
          </w:p>
        </w:tc>
        <w:tc>
          <w:tcPr>
            <w:tcW w:w="3969" w:type="dxa"/>
            <w:gridSpan w:val="2"/>
            <w:vAlign w:val="center"/>
          </w:tcPr>
          <w:p w:rsidR="003A369B" w:rsidRPr="005778CE" w:rsidRDefault="003A369B" w:rsidP="00EB5A53">
            <w:pPr>
              <w:keepNext/>
              <w:keepLines/>
              <w:spacing w:after="0" w:line="240" w:lineRule="auto"/>
              <w:jc w:val="center"/>
              <w:rPr>
                <w:rFonts w:eastAsia="Times New Roman" w:cstheme="minorHAnsi"/>
                <w:b/>
                <w:sz w:val="20"/>
                <w:szCs w:val="20"/>
              </w:rPr>
            </w:pPr>
            <w:r w:rsidRPr="005778CE">
              <w:rPr>
                <w:rFonts w:eastAsia="Times New Roman" w:cstheme="minorHAnsi"/>
                <w:b/>
                <w:sz w:val="20"/>
                <w:szCs w:val="20"/>
              </w:rPr>
              <w:t>Incidence</w:t>
            </w:r>
          </w:p>
        </w:tc>
        <w:tc>
          <w:tcPr>
            <w:tcW w:w="1701" w:type="dxa"/>
            <w:vMerge w:val="restart"/>
            <w:vAlign w:val="center"/>
          </w:tcPr>
          <w:p w:rsidR="003A369B" w:rsidRPr="005778CE" w:rsidRDefault="003A369B" w:rsidP="00EB5A53">
            <w:pPr>
              <w:keepNext/>
              <w:keepLines/>
              <w:spacing w:after="0" w:line="240" w:lineRule="auto"/>
              <w:jc w:val="center"/>
              <w:rPr>
                <w:rFonts w:eastAsia="Times New Roman" w:cstheme="minorHAnsi"/>
                <w:b/>
                <w:sz w:val="20"/>
                <w:szCs w:val="20"/>
              </w:rPr>
            </w:pPr>
            <w:r w:rsidRPr="005778CE">
              <w:rPr>
                <w:rFonts w:eastAsia="Times New Roman" w:cstheme="minorHAnsi"/>
                <w:b/>
                <w:sz w:val="20"/>
                <w:szCs w:val="20"/>
              </w:rPr>
              <w:t>Odds Ratio</w:t>
            </w:r>
            <w:r w:rsidRPr="005778CE">
              <w:rPr>
                <w:rFonts w:eastAsia="Times New Roman" w:cstheme="minorHAnsi"/>
                <w:b/>
                <w:sz w:val="20"/>
                <w:szCs w:val="20"/>
                <w:vertAlign w:val="superscript"/>
              </w:rPr>
              <w:t>1</w:t>
            </w:r>
            <w:r w:rsidRPr="005778CE">
              <w:rPr>
                <w:rFonts w:eastAsia="Times New Roman" w:cstheme="minorHAnsi"/>
                <w:b/>
                <w:sz w:val="20"/>
                <w:szCs w:val="20"/>
              </w:rPr>
              <w:t xml:space="preserve"> (95%CI)</w:t>
            </w:r>
          </w:p>
        </w:tc>
      </w:tr>
      <w:tr w:rsidR="003A369B" w:rsidRPr="005778CE" w:rsidTr="003A369B">
        <w:trPr>
          <w:gridAfter w:val="1"/>
          <w:wAfter w:w="29" w:type="dxa"/>
        </w:trPr>
        <w:tc>
          <w:tcPr>
            <w:tcW w:w="3510" w:type="dxa"/>
            <w:vMerge/>
            <w:vAlign w:val="center"/>
          </w:tcPr>
          <w:p w:rsidR="003A369B" w:rsidRPr="005778CE" w:rsidRDefault="003A369B" w:rsidP="00EB5A53">
            <w:pPr>
              <w:keepNext/>
              <w:keepLines/>
              <w:widowControl w:val="0"/>
              <w:numPr>
                <w:ilvl w:val="0"/>
                <w:numId w:val="2"/>
              </w:numPr>
              <w:tabs>
                <w:tab w:val="center" w:pos="4512"/>
              </w:tabs>
              <w:spacing w:after="0" w:line="240" w:lineRule="auto"/>
              <w:ind w:left="0" w:firstLine="0"/>
              <w:jc w:val="both"/>
              <w:outlineLvl w:val="0"/>
              <w:rPr>
                <w:rFonts w:eastAsia="Times New Roman" w:cstheme="minorHAnsi"/>
                <w:b/>
                <w:caps/>
                <w:sz w:val="20"/>
                <w:szCs w:val="20"/>
              </w:rPr>
            </w:pPr>
          </w:p>
        </w:tc>
        <w:tc>
          <w:tcPr>
            <w:tcW w:w="1843" w:type="dxa"/>
            <w:vAlign w:val="center"/>
          </w:tcPr>
          <w:p w:rsidR="003A369B" w:rsidRPr="005778CE" w:rsidRDefault="003A369B" w:rsidP="00EB5A53">
            <w:pPr>
              <w:keepNext/>
              <w:keepLines/>
              <w:spacing w:after="0" w:line="240" w:lineRule="auto"/>
              <w:jc w:val="center"/>
              <w:rPr>
                <w:rFonts w:eastAsia="Times New Roman" w:cstheme="minorHAnsi"/>
                <w:b/>
                <w:sz w:val="20"/>
                <w:szCs w:val="20"/>
              </w:rPr>
            </w:pPr>
            <w:r w:rsidRPr="005778CE">
              <w:rPr>
                <w:rFonts w:eastAsia="Times New Roman" w:cstheme="minorHAnsi"/>
                <w:b/>
                <w:sz w:val="20"/>
                <w:szCs w:val="20"/>
              </w:rPr>
              <w:t>Low Dose UFH</w:t>
            </w:r>
            <w:r w:rsidRPr="005778CE">
              <w:rPr>
                <w:rFonts w:eastAsia="Times New Roman" w:cstheme="minorHAnsi"/>
                <w:b/>
                <w:sz w:val="20"/>
                <w:szCs w:val="20"/>
              </w:rPr>
              <w:br/>
              <w:t>N = 1024</w:t>
            </w:r>
          </w:p>
        </w:tc>
        <w:tc>
          <w:tcPr>
            <w:tcW w:w="2126" w:type="dxa"/>
            <w:vAlign w:val="center"/>
          </w:tcPr>
          <w:p w:rsidR="003A369B" w:rsidRPr="005778CE" w:rsidRDefault="003A369B" w:rsidP="00EB5A53">
            <w:pPr>
              <w:keepNext/>
              <w:keepLines/>
              <w:spacing w:after="0" w:line="240" w:lineRule="auto"/>
              <w:jc w:val="center"/>
              <w:rPr>
                <w:rFonts w:eastAsia="Times New Roman" w:cstheme="minorHAnsi"/>
                <w:b/>
                <w:sz w:val="20"/>
                <w:szCs w:val="20"/>
              </w:rPr>
            </w:pPr>
            <w:r w:rsidRPr="005778CE">
              <w:rPr>
                <w:rFonts w:eastAsia="Times New Roman" w:cstheme="minorHAnsi"/>
                <w:b/>
                <w:sz w:val="20"/>
                <w:szCs w:val="20"/>
              </w:rPr>
              <w:t>Standard Dose UFH</w:t>
            </w:r>
            <w:r w:rsidRPr="005778CE">
              <w:rPr>
                <w:rFonts w:eastAsia="Times New Roman" w:cstheme="minorHAnsi"/>
                <w:b/>
                <w:sz w:val="20"/>
                <w:szCs w:val="20"/>
              </w:rPr>
              <w:br/>
              <w:t>N = 1002</w:t>
            </w:r>
          </w:p>
        </w:tc>
        <w:tc>
          <w:tcPr>
            <w:tcW w:w="1701" w:type="dxa"/>
            <w:vMerge/>
            <w:vAlign w:val="center"/>
          </w:tcPr>
          <w:p w:rsidR="003A369B" w:rsidRPr="005778CE" w:rsidRDefault="003A369B" w:rsidP="00EB5A53">
            <w:pPr>
              <w:keepNext/>
              <w:keepLines/>
              <w:spacing w:after="0" w:line="240" w:lineRule="auto"/>
              <w:jc w:val="center"/>
              <w:rPr>
                <w:rFonts w:eastAsia="Times New Roman" w:cstheme="minorHAnsi"/>
                <w:sz w:val="20"/>
                <w:szCs w:val="20"/>
              </w:rPr>
            </w:pPr>
          </w:p>
        </w:tc>
      </w:tr>
      <w:tr w:rsidR="003A369B" w:rsidRPr="005778CE" w:rsidTr="003A369B">
        <w:trPr>
          <w:gridAfter w:val="1"/>
          <w:wAfter w:w="29" w:type="dxa"/>
        </w:trPr>
        <w:tc>
          <w:tcPr>
            <w:tcW w:w="3510" w:type="dxa"/>
            <w:tcBorders>
              <w:bottom w:val="single" w:sz="4" w:space="0" w:color="auto"/>
            </w:tcBorders>
            <w:vAlign w:val="center"/>
          </w:tcPr>
          <w:p w:rsidR="003A369B" w:rsidRPr="005778CE" w:rsidRDefault="003A369B" w:rsidP="00EB5A53">
            <w:pPr>
              <w:keepNext/>
              <w:keepLines/>
              <w:spacing w:after="0" w:line="240" w:lineRule="auto"/>
              <w:rPr>
                <w:rFonts w:eastAsia="Times New Roman" w:cstheme="minorHAnsi"/>
                <w:sz w:val="20"/>
                <w:szCs w:val="20"/>
              </w:rPr>
            </w:pPr>
            <w:r w:rsidRPr="005778CE">
              <w:rPr>
                <w:rFonts w:eastAsia="Times New Roman" w:cstheme="minorHAnsi"/>
                <w:sz w:val="20"/>
                <w:szCs w:val="20"/>
              </w:rPr>
              <w:t>Primary</w:t>
            </w:r>
          </w:p>
          <w:p w:rsidR="003A369B" w:rsidRPr="005778CE" w:rsidRDefault="003A369B" w:rsidP="00EB5A53">
            <w:pPr>
              <w:keepNext/>
              <w:keepLines/>
              <w:spacing w:after="0" w:line="240" w:lineRule="auto"/>
              <w:rPr>
                <w:rFonts w:eastAsia="Times New Roman" w:cstheme="minorHAnsi"/>
                <w:sz w:val="20"/>
                <w:szCs w:val="20"/>
              </w:rPr>
            </w:pPr>
            <w:r w:rsidRPr="005778CE">
              <w:rPr>
                <w:rFonts w:eastAsia="Times New Roman" w:cstheme="minorHAnsi"/>
                <w:sz w:val="20"/>
                <w:szCs w:val="20"/>
              </w:rPr>
              <w:t>Peri-PCI major or minor bleeding, or major vascular access site complications</w:t>
            </w:r>
          </w:p>
        </w:tc>
        <w:tc>
          <w:tcPr>
            <w:tcW w:w="1843" w:type="dxa"/>
            <w:tcBorders>
              <w:bottom w:val="single" w:sz="4" w:space="0" w:color="auto"/>
            </w:tcBorders>
            <w:vAlign w:val="center"/>
          </w:tcPr>
          <w:p w:rsidR="003A369B" w:rsidRPr="005778CE" w:rsidRDefault="003A369B" w:rsidP="00EB5A53">
            <w:pPr>
              <w:keepNext/>
              <w:keepLines/>
              <w:spacing w:after="0" w:line="240" w:lineRule="auto"/>
              <w:jc w:val="center"/>
              <w:rPr>
                <w:rFonts w:eastAsia="Times New Roman" w:cstheme="minorHAnsi"/>
                <w:sz w:val="20"/>
                <w:szCs w:val="20"/>
              </w:rPr>
            </w:pPr>
            <w:r w:rsidRPr="005778CE">
              <w:rPr>
                <w:rFonts w:eastAsia="Times New Roman" w:cstheme="minorHAnsi"/>
                <w:sz w:val="20"/>
                <w:szCs w:val="20"/>
              </w:rPr>
              <w:t>4.7%</w:t>
            </w:r>
          </w:p>
        </w:tc>
        <w:tc>
          <w:tcPr>
            <w:tcW w:w="2126" w:type="dxa"/>
            <w:tcBorders>
              <w:bottom w:val="single" w:sz="4" w:space="0" w:color="auto"/>
            </w:tcBorders>
            <w:vAlign w:val="center"/>
          </w:tcPr>
          <w:p w:rsidR="003A369B" w:rsidRPr="005778CE" w:rsidRDefault="003A369B" w:rsidP="00EB5A53">
            <w:pPr>
              <w:keepNext/>
              <w:keepLines/>
              <w:spacing w:after="0" w:line="240" w:lineRule="auto"/>
              <w:jc w:val="center"/>
              <w:rPr>
                <w:rFonts w:eastAsia="Times New Roman" w:cstheme="minorHAnsi"/>
                <w:sz w:val="20"/>
                <w:szCs w:val="20"/>
              </w:rPr>
            </w:pPr>
            <w:r w:rsidRPr="005778CE">
              <w:rPr>
                <w:rFonts w:eastAsia="Times New Roman" w:cstheme="minorHAnsi"/>
                <w:sz w:val="20"/>
                <w:szCs w:val="20"/>
              </w:rPr>
              <w:t>5.8%</w:t>
            </w:r>
          </w:p>
        </w:tc>
        <w:tc>
          <w:tcPr>
            <w:tcW w:w="1701" w:type="dxa"/>
            <w:tcBorders>
              <w:bottom w:val="single" w:sz="4" w:space="0" w:color="auto"/>
            </w:tcBorders>
            <w:vAlign w:val="center"/>
          </w:tcPr>
          <w:p w:rsidR="003A369B" w:rsidRPr="005778CE" w:rsidRDefault="003A369B" w:rsidP="00EB5A53">
            <w:pPr>
              <w:keepNext/>
              <w:keepLines/>
              <w:spacing w:after="0" w:line="240" w:lineRule="auto"/>
              <w:jc w:val="center"/>
              <w:rPr>
                <w:rFonts w:eastAsia="Times New Roman" w:cstheme="minorHAnsi"/>
                <w:sz w:val="20"/>
                <w:szCs w:val="20"/>
              </w:rPr>
            </w:pPr>
            <w:r w:rsidRPr="005778CE">
              <w:rPr>
                <w:rFonts w:eastAsia="Times New Roman" w:cstheme="minorHAnsi"/>
                <w:sz w:val="20"/>
                <w:szCs w:val="20"/>
              </w:rPr>
              <w:t>0.80 (0.54, 1.19)</w:t>
            </w:r>
          </w:p>
        </w:tc>
      </w:tr>
      <w:tr w:rsidR="003A369B" w:rsidRPr="005778CE" w:rsidTr="003A369B">
        <w:trPr>
          <w:gridAfter w:val="1"/>
          <w:wAfter w:w="29" w:type="dxa"/>
        </w:trPr>
        <w:tc>
          <w:tcPr>
            <w:tcW w:w="3510" w:type="dxa"/>
            <w:tcBorders>
              <w:bottom w:val="nil"/>
            </w:tcBorders>
            <w:vAlign w:val="center"/>
          </w:tcPr>
          <w:p w:rsidR="003A369B" w:rsidRPr="005778CE" w:rsidRDefault="003A369B">
            <w:pPr>
              <w:keepNext/>
              <w:keepLines/>
              <w:widowControl w:val="0"/>
              <w:overflowPunct w:val="0"/>
              <w:autoSpaceDE w:val="0"/>
              <w:autoSpaceDN w:val="0"/>
              <w:adjustRightInd w:val="0"/>
              <w:spacing w:after="0" w:line="240" w:lineRule="auto"/>
              <w:textAlignment w:val="baseline"/>
              <w:rPr>
                <w:rFonts w:eastAsia="Times New Roman" w:cstheme="minorHAnsi"/>
                <w:sz w:val="20"/>
                <w:szCs w:val="20"/>
                <w:lang w:val="en-US"/>
              </w:rPr>
            </w:pPr>
            <w:r w:rsidRPr="005778CE">
              <w:rPr>
                <w:rFonts w:eastAsia="Times New Roman" w:cstheme="minorHAnsi"/>
                <w:sz w:val="20"/>
                <w:szCs w:val="20"/>
                <w:lang w:val="en-US"/>
              </w:rPr>
              <w:t>Secondary</w:t>
            </w:r>
          </w:p>
        </w:tc>
        <w:tc>
          <w:tcPr>
            <w:tcW w:w="1843" w:type="dxa"/>
            <w:tcBorders>
              <w:bottom w:val="nil"/>
            </w:tcBorders>
            <w:vAlign w:val="center"/>
          </w:tcPr>
          <w:p w:rsidR="003A369B" w:rsidRPr="005778CE" w:rsidRDefault="003A369B" w:rsidP="00EB5A53">
            <w:pPr>
              <w:keepNext/>
              <w:keepLines/>
              <w:spacing w:after="0" w:line="240" w:lineRule="auto"/>
              <w:jc w:val="center"/>
              <w:rPr>
                <w:rFonts w:eastAsia="Times New Roman" w:cstheme="minorHAnsi"/>
                <w:sz w:val="20"/>
                <w:szCs w:val="20"/>
              </w:rPr>
            </w:pPr>
          </w:p>
        </w:tc>
        <w:tc>
          <w:tcPr>
            <w:tcW w:w="2126" w:type="dxa"/>
            <w:tcBorders>
              <w:bottom w:val="nil"/>
            </w:tcBorders>
            <w:vAlign w:val="center"/>
          </w:tcPr>
          <w:p w:rsidR="003A369B" w:rsidRPr="005778CE" w:rsidRDefault="003A369B" w:rsidP="00EB5A53">
            <w:pPr>
              <w:keepNext/>
              <w:keepLines/>
              <w:spacing w:after="0" w:line="240" w:lineRule="auto"/>
              <w:jc w:val="center"/>
              <w:rPr>
                <w:rFonts w:eastAsia="Times New Roman" w:cstheme="minorHAnsi"/>
                <w:sz w:val="20"/>
                <w:szCs w:val="20"/>
              </w:rPr>
            </w:pPr>
          </w:p>
        </w:tc>
        <w:tc>
          <w:tcPr>
            <w:tcW w:w="1701" w:type="dxa"/>
            <w:tcBorders>
              <w:bottom w:val="nil"/>
            </w:tcBorders>
            <w:vAlign w:val="center"/>
          </w:tcPr>
          <w:p w:rsidR="003A369B" w:rsidRPr="005778CE" w:rsidRDefault="003A369B" w:rsidP="00EB5A53">
            <w:pPr>
              <w:keepNext/>
              <w:keepLines/>
              <w:spacing w:after="0" w:line="240" w:lineRule="auto"/>
              <w:jc w:val="center"/>
              <w:rPr>
                <w:rFonts w:eastAsia="Times New Roman" w:cstheme="minorHAnsi"/>
                <w:sz w:val="20"/>
                <w:szCs w:val="20"/>
              </w:rPr>
            </w:pPr>
          </w:p>
        </w:tc>
      </w:tr>
      <w:tr w:rsidR="003A369B" w:rsidRPr="005778CE" w:rsidTr="003A369B">
        <w:trPr>
          <w:gridAfter w:val="1"/>
          <w:wAfter w:w="29" w:type="dxa"/>
        </w:trPr>
        <w:tc>
          <w:tcPr>
            <w:tcW w:w="3510" w:type="dxa"/>
            <w:tcBorders>
              <w:top w:val="nil"/>
              <w:bottom w:val="nil"/>
            </w:tcBorders>
            <w:vAlign w:val="center"/>
          </w:tcPr>
          <w:p w:rsidR="003A369B" w:rsidRPr="005778CE" w:rsidRDefault="003A369B" w:rsidP="00EB5A53">
            <w:pPr>
              <w:keepNext/>
              <w:keepLines/>
              <w:spacing w:after="0" w:line="240" w:lineRule="auto"/>
              <w:rPr>
                <w:rFonts w:eastAsia="Times New Roman" w:cstheme="minorHAnsi"/>
                <w:sz w:val="20"/>
                <w:szCs w:val="20"/>
              </w:rPr>
            </w:pPr>
            <w:r w:rsidRPr="005778CE">
              <w:rPr>
                <w:rFonts w:eastAsia="Times New Roman" w:cstheme="minorHAnsi"/>
                <w:sz w:val="20"/>
                <w:szCs w:val="20"/>
              </w:rPr>
              <w:t>Peri-PCI major bleeding</w:t>
            </w:r>
          </w:p>
        </w:tc>
        <w:tc>
          <w:tcPr>
            <w:tcW w:w="1843" w:type="dxa"/>
            <w:tcBorders>
              <w:top w:val="nil"/>
              <w:bottom w:val="nil"/>
            </w:tcBorders>
            <w:vAlign w:val="center"/>
          </w:tcPr>
          <w:p w:rsidR="003A369B" w:rsidRPr="005778CE" w:rsidRDefault="003A369B" w:rsidP="00EB5A53">
            <w:pPr>
              <w:keepNext/>
              <w:keepLines/>
              <w:spacing w:after="0" w:line="240" w:lineRule="auto"/>
              <w:jc w:val="center"/>
              <w:rPr>
                <w:rFonts w:eastAsia="Times New Roman" w:cstheme="minorHAnsi"/>
                <w:sz w:val="20"/>
                <w:szCs w:val="20"/>
              </w:rPr>
            </w:pPr>
            <w:r w:rsidRPr="005778CE">
              <w:rPr>
                <w:rFonts w:eastAsia="Times New Roman" w:cstheme="minorHAnsi"/>
                <w:sz w:val="20"/>
                <w:szCs w:val="20"/>
              </w:rPr>
              <w:t>1.4%</w:t>
            </w:r>
          </w:p>
        </w:tc>
        <w:tc>
          <w:tcPr>
            <w:tcW w:w="2126" w:type="dxa"/>
            <w:tcBorders>
              <w:top w:val="nil"/>
              <w:bottom w:val="nil"/>
            </w:tcBorders>
            <w:vAlign w:val="center"/>
          </w:tcPr>
          <w:p w:rsidR="003A369B" w:rsidRPr="005778CE" w:rsidRDefault="003A369B" w:rsidP="00EB5A53">
            <w:pPr>
              <w:keepNext/>
              <w:keepLines/>
              <w:spacing w:after="0" w:line="240" w:lineRule="auto"/>
              <w:jc w:val="center"/>
              <w:rPr>
                <w:rFonts w:eastAsia="Times New Roman" w:cstheme="minorHAnsi"/>
                <w:sz w:val="20"/>
                <w:szCs w:val="20"/>
              </w:rPr>
            </w:pPr>
            <w:r w:rsidRPr="005778CE">
              <w:rPr>
                <w:rFonts w:eastAsia="Times New Roman" w:cstheme="minorHAnsi"/>
                <w:sz w:val="20"/>
                <w:szCs w:val="20"/>
              </w:rPr>
              <w:t>1.2%</w:t>
            </w:r>
          </w:p>
        </w:tc>
        <w:tc>
          <w:tcPr>
            <w:tcW w:w="1701" w:type="dxa"/>
            <w:tcBorders>
              <w:top w:val="nil"/>
              <w:bottom w:val="nil"/>
            </w:tcBorders>
            <w:vAlign w:val="center"/>
          </w:tcPr>
          <w:p w:rsidR="003A369B" w:rsidRPr="005778CE" w:rsidRDefault="003A369B" w:rsidP="00EB5A53">
            <w:pPr>
              <w:keepNext/>
              <w:keepLines/>
              <w:spacing w:after="0" w:line="240" w:lineRule="auto"/>
              <w:jc w:val="center"/>
              <w:rPr>
                <w:rFonts w:eastAsia="Times New Roman" w:cstheme="minorHAnsi"/>
                <w:sz w:val="20"/>
                <w:szCs w:val="20"/>
              </w:rPr>
            </w:pPr>
            <w:r w:rsidRPr="005778CE">
              <w:rPr>
                <w:rFonts w:eastAsia="Times New Roman" w:cstheme="minorHAnsi"/>
                <w:sz w:val="20"/>
                <w:szCs w:val="20"/>
              </w:rPr>
              <w:t>1.14 (0.53, 2.49)</w:t>
            </w:r>
          </w:p>
        </w:tc>
      </w:tr>
      <w:tr w:rsidR="003A369B" w:rsidRPr="005778CE" w:rsidTr="003A369B">
        <w:trPr>
          <w:gridAfter w:val="1"/>
          <w:wAfter w:w="29" w:type="dxa"/>
        </w:trPr>
        <w:tc>
          <w:tcPr>
            <w:tcW w:w="3510" w:type="dxa"/>
            <w:tcBorders>
              <w:top w:val="nil"/>
              <w:bottom w:val="nil"/>
            </w:tcBorders>
            <w:vAlign w:val="center"/>
          </w:tcPr>
          <w:p w:rsidR="003A369B" w:rsidRPr="005778CE" w:rsidRDefault="003A369B" w:rsidP="00EB5A53">
            <w:pPr>
              <w:keepNext/>
              <w:keepLines/>
              <w:spacing w:after="0" w:line="240" w:lineRule="auto"/>
              <w:rPr>
                <w:rFonts w:eastAsia="Times New Roman" w:cstheme="minorHAnsi"/>
                <w:sz w:val="20"/>
                <w:szCs w:val="20"/>
              </w:rPr>
            </w:pPr>
            <w:r w:rsidRPr="005778CE">
              <w:rPr>
                <w:rFonts w:eastAsia="Times New Roman" w:cstheme="minorHAnsi"/>
                <w:sz w:val="20"/>
                <w:szCs w:val="20"/>
              </w:rPr>
              <w:t>Peri-PCI minor bleeding</w:t>
            </w:r>
          </w:p>
        </w:tc>
        <w:tc>
          <w:tcPr>
            <w:tcW w:w="1843" w:type="dxa"/>
            <w:tcBorders>
              <w:top w:val="nil"/>
              <w:bottom w:val="nil"/>
            </w:tcBorders>
            <w:vAlign w:val="center"/>
          </w:tcPr>
          <w:p w:rsidR="003A369B" w:rsidRPr="005778CE" w:rsidRDefault="003A369B" w:rsidP="00EB5A53">
            <w:pPr>
              <w:keepNext/>
              <w:keepLines/>
              <w:spacing w:after="0" w:line="240" w:lineRule="auto"/>
              <w:jc w:val="center"/>
              <w:rPr>
                <w:rFonts w:eastAsia="Times New Roman" w:cstheme="minorHAnsi"/>
                <w:sz w:val="20"/>
                <w:szCs w:val="20"/>
              </w:rPr>
            </w:pPr>
            <w:r w:rsidRPr="005778CE">
              <w:rPr>
                <w:rFonts w:eastAsia="Times New Roman" w:cstheme="minorHAnsi"/>
                <w:sz w:val="20"/>
                <w:szCs w:val="20"/>
              </w:rPr>
              <w:t>0.7%</w:t>
            </w:r>
          </w:p>
        </w:tc>
        <w:tc>
          <w:tcPr>
            <w:tcW w:w="2126" w:type="dxa"/>
            <w:tcBorders>
              <w:top w:val="nil"/>
              <w:bottom w:val="nil"/>
            </w:tcBorders>
            <w:vAlign w:val="center"/>
          </w:tcPr>
          <w:p w:rsidR="003A369B" w:rsidRPr="005778CE" w:rsidRDefault="003A369B" w:rsidP="00EB5A53">
            <w:pPr>
              <w:keepNext/>
              <w:keepLines/>
              <w:spacing w:after="0" w:line="240" w:lineRule="auto"/>
              <w:jc w:val="center"/>
              <w:rPr>
                <w:rFonts w:eastAsia="Times New Roman" w:cstheme="minorHAnsi"/>
                <w:sz w:val="20"/>
                <w:szCs w:val="20"/>
              </w:rPr>
            </w:pPr>
            <w:r w:rsidRPr="005778CE">
              <w:rPr>
                <w:rFonts w:eastAsia="Times New Roman" w:cstheme="minorHAnsi"/>
                <w:sz w:val="20"/>
                <w:szCs w:val="20"/>
              </w:rPr>
              <w:t>1.7%</w:t>
            </w:r>
          </w:p>
        </w:tc>
        <w:tc>
          <w:tcPr>
            <w:tcW w:w="1701" w:type="dxa"/>
            <w:tcBorders>
              <w:top w:val="nil"/>
              <w:bottom w:val="nil"/>
            </w:tcBorders>
            <w:vAlign w:val="center"/>
          </w:tcPr>
          <w:p w:rsidR="003A369B" w:rsidRPr="005778CE" w:rsidRDefault="003A369B" w:rsidP="00EB5A53">
            <w:pPr>
              <w:keepNext/>
              <w:keepLines/>
              <w:spacing w:after="0" w:line="240" w:lineRule="auto"/>
              <w:jc w:val="center"/>
              <w:rPr>
                <w:rFonts w:eastAsia="Times New Roman" w:cstheme="minorHAnsi"/>
                <w:sz w:val="20"/>
                <w:szCs w:val="20"/>
              </w:rPr>
            </w:pPr>
            <w:r w:rsidRPr="005778CE">
              <w:rPr>
                <w:rFonts w:eastAsia="Times New Roman" w:cstheme="minorHAnsi"/>
                <w:sz w:val="20"/>
                <w:szCs w:val="20"/>
              </w:rPr>
              <w:t>0.40 (0.16, 0.97)</w:t>
            </w:r>
          </w:p>
        </w:tc>
      </w:tr>
      <w:tr w:rsidR="003A369B" w:rsidRPr="005778CE" w:rsidTr="003A369B">
        <w:trPr>
          <w:gridAfter w:val="1"/>
          <w:wAfter w:w="29" w:type="dxa"/>
        </w:trPr>
        <w:tc>
          <w:tcPr>
            <w:tcW w:w="3510" w:type="dxa"/>
            <w:tcBorders>
              <w:top w:val="nil"/>
              <w:bottom w:val="nil"/>
            </w:tcBorders>
            <w:vAlign w:val="center"/>
          </w:tcPr>
          <w:p w:rsidR="003A369B" w:rsidRPr="005778CE" w:rsidRDefault="003A369B" w:rsidP="00EB5A53">
            <w:pPr>
              <w:keepNext/>
              <w:keepLines/>
              <w:spacing w:after="0" w:line="240" w:lineRule="auto"/>
              <w:rPr>
                <w:rFonts w:eastAsia="Times New Roman" w:cstheme="minorHAnsi"/>
                <w:sz w:val="20"/>
                <w:szCs w:val="20"/>
              </w:rPr>
            </w:pPr>
            <w:r w:rsidRPr="005778CE">
              <w:rPr>
                <w:rFonts w:eastAsia="Times New Roman" w:cstheme="minorHAnsi"/>
                <w:sz w:val="20"/>
                <w:szCs w:val="20"/>
              </w:rPr>
              <w:t>Major vascular access site complications</w:t>
            </w:r>
          </w:p>
        </w:tc>
        <w:tc>
          <w:tcPr>
            <w:tcW w:w="1843" w:type="dxa"/>
            <w:tcBorders>
              <w:top w:val="nil"/>
              <w:bottom w:val="nil"/>
            </w:tcBorders>
            <w:vAlign w:val="center"/>
          </w:tcPr>
          <w:p w:rsidR="003A369B" w:rsidRPr="005778CE" w:rsidRDefault="003A369B" w:rsidP="00EB5A53">
            <w:pPr>
              <w:keepNext/>
              <w:keepLines/>
              <w:spacing w:after="0" w:line="240" w:lineRule="auto"/>
              <w:jc w:val="center"/>
              <w:rPr>
                <w:rFonts w:eastAsia="Times New Roman" w:cstheme="minorHAnsi"/>
                <w:sz w:val="20"/>
                <w:szCs w:val="20"/>
              </w:rPr>
            </w:pPr>
            <w:r w:rsidRPr="005778CE">
              <w:rPr>
                <w:rFonts w:eastAsia="Times New Roman" w:cstheme="minorHAnsi"/>
                <w:sz w:val="20"/>
                <w:szCs w:val="20"/>
              </w:rPr>
              <w:t>3.2%</w:t>
            </w:r>
          </w:p>
        </w:tc>
        <w:tc>
          <w:tcPr>
            <w:tcW w:w="2126" w:type="dxa"/>
            <w:tcBorders>
              <w:top w:val="nil"/>
              <w:bottom w:val="nil"/>
            </w:tcBorders>
            <w:vAlign w:val="center"/>
          </w:tcPr>
          <w:p w:rsidR="003A369B" w:rsidRPr="005778CE" w:rsidRDefault="003A369B" w:rsidP="00EB5A53">
            <w:pPr>
              <w:keepNext/>
              <w:keepLines/>
              <w:spacing w:after="0" w:line="240" w:lineRule="auto"/>
              <w:jc w:val="center"/>
              <w:rPr>
                <w:rFonts w:eastAsia="Times New Roman" w:cstheme="minorHAnsi"/>
                <w:sz w:val="20"/>
                <w:szCs w:val="20"/>
              </w:rPr>
            </w:pPr>
            <w:r w:rsidRPr="005778CE">
              <w:rPr>
                <w:rFonts w:eastAsia="Times New Roman" w:cstheme="minorHAnsi"/>
                <w:sz w:val="20"/>
                <w:szCs w:val="20"/>
              </w:rPr>
              <w:t>4.3%</w:t>
            </w:r>
          </w:p>
        </w:tc>
        <w:tc>
          <w:tcPr>
            <w:tcW w:w="1701" w:type="dxa"/>
            <w:tcBorders>
              <w:top w:val="nil"/>
              <w:bottom w:val="nil"/>
            </w:tcBorders>
            <w:vAlign w:val="center"/>
          </w:tcPr>
          <w:p w:rsidR="003A369B" w:rsidRPr="005778CE" w:rsidRDefault="003A369B" w:rsidP="00EB5A53">
            <w:pPr>
              <w:keepNext/>
              <w:keepLines/>
              <w:spacing w:after="0" w:line="240" w:lineRule="auto"/>
              <w:jc w:val="center"/>
              <w:rPr>
                <w:rFonts w:eastAsia="Times New Roman" w:cstheme="minorHAnsi"/>
                <w:sz w:val="20"/>
                <w:szCs w:val="20"/>
              </w:rPr>
            </w:pPr>
            <w:r w:rsidRPr="005778CE">
              <w:rPr>
                <w:rFonts w:eastAsia="Times New Roman" w:cstheme="minorHAnsi"/>
                <w:sz w:val="20"/>
                <w:szCs w:val="20"/>
              </w:rPr>
              <w:t>0.74 (0.47, 1.18)</w:t>
            </w:r>
          </w:p>
        </w:tc>
      </w:tr>
      <w:tr w:rsidR="003A369B" w:rsidRPr="005778CE" w:rsidTr="003A369B">
        <w:trPr>
          <w:gridAfter w:val="1"/>
          <w:wAfter w:w="29" w:type="dxa"/>
        </w:trPr>
        <w:tc>
          <w:tcPr>
            <w:tcW w:w="3510" w:type="dxa"/>
            <w:tcBorders>
              <w:top w:val="nil"/>
              <w:bottom w:val="nil"/>
            </w:tcBorders>
            <w:vAlign w:val="center"/>
          </w:tcPr>
          <w:p w:rsidR="003A369B" w:rsidRPr="005778CE" w:rsidRDefault="003A369B" w:rsidP="00EB5A53">
            <w:pPr>
              <w:keepNext/>
              <w:keepLines/>
              <w:spacing w:after="0" w:line="240" w:lineRule="auto"/>
              <w:rPr>
                <w:rFonts w:eastAsia="Times New Roman" w:cstheme="minorHAnsi"/>
                <w:sz w:val="20"/>
                <w:szCs w:val="20"/>
              </w:rPr>
            </w:pPr>
            <w:r w:rsidRPr="005778CE">
              <w:rPr>
                <w:rFonts w:eastAsia="Times New Roman" w:cstheme="minorHAnsi"/>
                <w:sz w:val="20"/>
                <w:szCs w:val="20"/>
              </w:rPr>
              <w:t>Peri-PCI major bleeding or death, MI or TVR at Day 30</w:t>
            </w:r>
          </w:p>
        </w:tc>
        <w:tc>
          <w:tcPr>
            <w:tcW w:w="1843" w:type="dxa"/>
            <w:tcBorders>
              <w:top w:val="nil"/>
              <w:bottom w:val="nil"/>
            </w:tcBorders>
            <w:vAlign w:val="center"/>
          </w:tcPr>
          <w:p w:rsidR="003A369B" w:rsidRPr="005778CE" w:rsidRDefault="003A369B" w:rsidP="00EB5A53">
            <w:pPr>
              <w:keepNext/>
              <w:keepLines/>
              <w:spacing w:after="0" w:line="240" w:lineRule="auto"/>
              <w:jc w:val="center"/>
              <w:rPr>
                <w:rFonts w:eastAsia="Times New Roman" w:cstheme="minorHAnsi"/>
                <w:sz w:val="20"/>
                <w:szCs w:val="20"/>
              </w:rPr>
            </w:pPr>
            <w:r w:rsidRPr="005778CE">
              <w:rPr>
                <w:rFonts w:eastAsia="Times New Roman" w:cstheme="minorHAnsi"/>
                <w:sz w:val="20"/>
                <w:szCs w:val="20"/>
              </w:rPr>
              <w:t>5.8%</w:t>
            </w:r>
          </w:p>
        </w:tc>
        <w:tc>
          <w:tcPr>
            <w:tcW w:w="2126" w:type="dxa"/>
            <w:tcBorders>
              <w:top w:val="nil"/>
              <w:bottom w:val="nil"/>
            </w:tcBorders>
            <w:vAlign w:val="center"/>
          </w:tcPr>
          <w:p w:rsidR="003A369B" w:rsidRPr="005778CE" w:rsidRDefault="003A369B" w:rsidP="00EB5A53">
            <w:pPr>
              <w:keepNext/>
              <w:keepLines/>
              <w:spacing w:after="0" w:line="240" w:lineRule="auto"/>
              <w:jc w:val="center"/>
              <w:rPr>
                <w:rFonts w:eastAsia="Times New Roman" w:cstheme="minorHAnsi"/>
                <w:sz w:val="20"/>
                <w:szCs w:val="20"/>
              </w:rPr>
            </w:pPr>
            <w:r w:rsidRPr="005778CE">
              <w:rPr>
                <w:rFonts w:eastAsia="Times New Roman" w:cstheme="minorHAnsi"/>
                <w:sz w:val="20"/>
                <w:szCs w:val="20"/>
              </w:rPr>
              <w:t>3.9%</w:t>
            </w:r>
          </w:p>
        </w:tc>
        <w:tc>
          <w:tcPr>
            <w:tcW w:w="1701" w:type="dxa"/>
            <w:tcBorders>
              <w:top w:val="nil"/>
              <w:bottom w:val="nil"/>
            </w:tcBorders>
            <w:vAlign w:val="center"/>
          </w:tcPr>
          <w:p w:rsidR="003A369B" w:rsidRPr="005778CE" w:rsidRDefault="003A369B" w:rsidP="00EB5A53">
            <w:pPr>
              <w:keepNext/>
              <w:keepLines/>
              <w:spacing w:after="0" w:line="240" w:lineRule="auto"/>
              <w:jc w:val="center"/>
              <w:rPr>
                <w:rFonts w:eastAsia="Times New Roman" w:cstheme="minorHAnsi"/>
                <w:sz w:val="20"/>
                <w:szCs w:val="20"/>
              </w:rPr>
            </w:pPr>
            <w:r w:rsidRPr="005778CE">
              <w:rPr>
                <w:rFonts w:eastAsia="Times New Roman" w:cstheme="minorHAnsi"/>
                <w:sz w:val="20"/>
                <w:szCs w:val="20"/>
              </w:rPr>
              <w:t>1.51 (1.0, 2.28)</w:t>
            </w:r>
          </w:p>
        </w:tc>
      </w:tr>
      <w:tr w:rsidR="003A369B" w:rsidRPr="005778CE" w:rsidTr="003A369B">
        <w:trPr>
          <w:gridAfter w:val="1"/>
          <w:wAfter w:w="29" w:type="dxa"/>
        </w:trPr>
        <w:tc>
          <w:tcPr>
            <w:tcW w:w="3510" w:type="dxa"/>
            <w:tcBorders>
              <w:top w:val="nil"/>
              <w:bottom w:val="single" w:sz="4" w:space="0" w:color="auto"/>
            </w:tcBorders>
            <w:vAlign w:val="center"/>
          </w:tcPr>
          <w:p w:rsidR="003A369B" w:rsidRPr="005778CE" w:rsidRDefault="003A369B" w:rsidP="00EB5A53">
            <w:pPr>
              <w:keepNext/>
              <w:keepLines/>
              <w:spacing w:after="0" w:line="240" w:lineRule="auto"/>
              <w:rPr>
                <w:rFonts w:eastAsia="Times New Roman" w:cstheme="minorHAnsi"/>
                <w:sz w:val="20"/>
                <w:szCs w:val="20"/>
              </w:rPr>
            </w:pPr>
            <w:r w:rsidRPr="005778CE">
              <w:rPr>
                <w:rFonts w:eastAsia="Times New Roman" w:cstheme="minorHAnsi"/>
                <w:sz w:val="20"/>
                <w:szCs w:val="20"/>
              </w:rPr>
              <w:t>Death, MI or TVR at Day 30</w:t>
            </w:r>
          </w:p>
        </w:tc>
        <w:tc>
          <w:tcPr>
            <w:tcW w:w="1843" w:type="dxa"/>
            <w:tcBorders>
              <w:top w:val="nil"/>
              <w:bottom w:val="single" w:sz="4" w:space="0" w:color="auto"/>
            </w:tcBorders>
            <w:vAlign w:val="center"/>
          </w:tcPr>
          <w:p w:rsidR="003A369B" w:rsidRPr="005778CE" w:rsidRDefault="003A369B" w:rsidP="00EB5A53">
            <w:pPr>
              <w:keepNext/>
              <w:keepLines/>
              <w:spacing w:after="0" w:line="240" w:lineRule="auto"/>
              <w:jc w:val="center"/>
              <w:rPr>
                <w:rFonts w:eastAsia="Times New Roman" w:cstheme="minorHAnsi"/>
                <w:sz w:val="20"/>
                <w:szCs w:val="20"/>
              </w:rPr>
            </w:pPr>
            <w:r w:rsidRPr="005778CE">
              <w:rPr>
                <w:rFonts w:eastAsia="Times New Roman" w:cstheme="minorHAnsi"/>
                <w:sz w:val="20"/>
                <w:szCs w:val="20"/>
              </w:rPr>
              <w:t>4.5%</w:t>
            </w:r>
          </w:p>
        </w:tc>
        <w:tc>
          <w:tcPr>
            <w:tcW w:w="2126" w:type="dxa"/>
            <w:tcBorders>
              <w:top w:val="nil"/>
              <w:bottom w:val="single" w:sz="4" w:space="0" w:color="auto"/>
            </w:tcBorders>
            <w:vAlign w:val="center"/>
          </w:tcPr>
          <w:p w:rsidR="003A369B" w:rsidRPr="005778CE" w:rsidRDefault="003A369B" w:rsidP="00EB5A53">
            <w:pPr>
              <w:keepNext/>
              <w:keepLines/>
              <w:spacing w:after="0" w:line="240" w:lineRule="auto"/>
              <w:jc w:val="center"/>
              <w:rPr>
                <w:rFonts w:eastAsia="Times New Roman" w:cstheme="minorHAnsi"/>
                <w:sz w:val="20"/>
                <w:szCs w:val="20"/>
              </w:rPr>
            </w:pPr>
            <w:r w:rsidRPr="005778CE">
              <w:rPr>
                <w:rFonts w:eastAsia="Times New Roman" w:cstheme="minorHAnsi"/>
                <w:sz w:val="20"/>
                <w:szCs w:val="20"/>
              </w:rPr>
              <w:t>2.9%</w:t>
            </w:r>
          </w:p>
        </w:tc>
        <w:tc>
          <w:tcPr>
            <w:tcW w:w="1701" w:type="dxa"/>
            <w:tcBorders>
              <w:top w:val="nil"/>
              <w:bottom w:val="single" w:sz="4" w:space="0" w:color="auto"/>
            </w:tcBorders>
            <w:vAlign w:val="center"/>
          </w:tcPr>
          <w:p w:rsidR="003A369B" w:rsidRPr="005778CE" w:rsidRDefault="003A369B" w:rsidP="00EB5A53">
            <w:pPr>
              <w:keepNext/>
              <w:keepLines/>
              <w:spacing w:after="0" w:line="240" w:lineRule="auto"/>
              <w:jc w:val="center"/>
              <w:rPr>
                <w:rFonts w:eastAsia="Times New Roman" w:cstheme="minorHAnsi"/>
                <w:sz w:val="20"/>
                <w:szCs w:val="20"/>
              </w:rPr>
            </w:pPr>
            <w:r w:rsidRPr="005778CE">
              <w:rPr>
                <w:rFonts w:eastAsia="Times New Roman" w:cstheme="minorHAnsi"/>
                <w:sz w:val="20"/>
                <w:szCs w:val="20"/>
              </w:rPr>
              <w:t>1.58 (0.98, 2.53)</w:t>
            </w:r>
          </w:p>
        </w:tc>
      </w:tr>
      <w:tr w:rsidR="003A369B" w:rsidRPr="005778CE" w:rsidTr="003A369B">
        <w:tc>
          <w:tcPr>
            <w:tcW w:w="9209" w:type="dxa"/>
            <w:gridSpan w:val="5"/>
            <w:tcBorders>
              <w:top w:val="single" w:sz="4" w:space="0" w:color="auto"/>
              <w:left w:val="nil"/>
              <w:bottom w:val="nil"/>
              <w:right w:val="nil"/>
            </w:tcBorders>
            <w:vAlign w:val="center"/>
          </w:tcPr>
          <w:p w:rsidR="003A369B" w:rsidRPr="005778CE" w:rsidRDefault="003A369B">
            <w:pPr>
              <w:keepNext/>
              <w:keepLines/>
              <w:tabs>
                <w:tab w:val="left" w:pos="567"/>
              </w:tabs>
              <w:autoSpaceDE w:val="0"/>
              <w:autoSpaceDN w:val="0"/>
              <w:adjustRightInd w:val="0"/>
              <w:spacing w:after="0" w:line="240" w:lineRule="auto"/>
              <w:jc w:val="both"/>
              <w:rPr>
                <w:rFonts w:eastAsia="Times New Roman" w:cstheme="minorHAnsi"/>
                <w:color w:val="000000"/>
                <w:sz w:val="20"/>
                <w:szCs w:val="20"/>
                <w:lang w:eastAsia="en-GB"/>
              </w:rPr>
            </w:pPr>
            <w:r w:rsidRPr="005778CE">
              <w:rPr>
                <w:rFonts w:eastAsia="Times New Roman" w:cstheme="minorHAnsi"/>
                <w:color w:val="000000"/>
                <w:sz w:val="20"/>
                <w:szCs w:val="20"/>
                <w:vertAlign w:val="superscript"/>
                <w:lang w:eastAsia="en-GB"/>
              </w:rPr>
              <w:t>1</w:t>
            </w:r>
            <w:r w:rsidRPr="005778CE">
              <w:rPr>
                <w:rFonts w:eastAsia="Times New Roman" w:cstheme="minorHAnsi"/>
                <w:color w:val="000000"/>
                <w:sz w:val="20"/>
                <w:szCs w:val="20"/>
                <w:lang w:eastAsia="en-GB"/>
              </w:rPr>
              <w:t>Odds ratio: Low Dose/Standard Dose</w:t>
            </w:r>
          </w:p>
          <w:p w:rsidR="003A369B" w:rsidRPr="005778CE" w:rsidRDefault="003A369B">
            <w:pPr>
              <w:keepNext/>
              <w:keepLines/>
              <w:tabs>
                <w:tab w:val="left" w:pos="567"/>
              </w:tabs>
              <w:autoSpaceDE w:val="0"/>
              <w:autoSpaceDN w:val="0"/>
              <w:adjustRightInd w:val="0"/>
              <w:spacing w:after="0" w:line="240" w:lineRule="auto"/>
              <w:jc w:val="both"/>
              <w:rPr>
                <w:rFonts w:eastAsia="Times New Roman" w:cstheme="minorHAnsi"/>
                <w:color w:val="000000"/>
                <w:sz w:val="20"/>
                <w:szCs w:val="20"/>
                <w:lang w:eastAsia="en-GB"/>
              </w:rPr>
            </w:pPr>
            <w:r w:rsidRPr="005778CE">
              <w:rPr>
                <w:rFonts w:eastAsia="Times New Roman" w:cstheme="minorHAnsi"/>
                <w:color w:val="000000"/>
                <w:sz w:val="20"/>
                <w:szCs w:val="20"/>
                <w:vertAlign w:val="superscript"/>
                <w:lang w:eastAsia="en-GB"/>
              </w:rPr>
              <w:t>2</w:t>
            </w:r>
            <w:r w:rsidRPr="005778CE">
              <w:rPr>
                <w:rFonts w:eastAsia="Times New Roman" w:cstheme="minorHAnsi"/>
                <w:color w:val="000000"/>
                <w:sz w:val="20"/>
                <w:szCs w:val="20"/>
                <w:lang w:eastAsia="en-GB"/>
              </w:rPr>
              <w:t>p value is 0.267</w:t>
            </w:r>
          </w:p>
          <w:p w:rsidR="003A369B" w:rsidRPr="005778CE" w:rsidRDefault="003A369B">
            <w:pPr>
              <w:keepNext/>
              <w:keepLines/>
              <w:tabs>
                <w:tab w:val="left" w:pos="567"/>
              </w:tabs>
              <w:autoSpaceDE w:val="0"/>
              <w:autoSpaceDN w:val="0"/>
              <w:adjustRightInd w:val="0"/>
              <w:spacing w:after="0" w:line="240" w:lineRule="auto"/>
              <w:jc w:val="both"/>
              <w:rPr>
                <w:rFonts w:eastAsia="Times New Roman" w:cstheme="minorHAnsi"/>
                <w:color w:val="000000"/>
                <w:sz w:val="20"/>
                <w:szCs w:val="20"/>
                <w:lang w:eastAsia="en-GB"/>
              </w:rPr>
            </w:pPr>
            <w:r w:rsidRPr="005778CE">
              <w:rPr>
                <w:rFonts w:eastAsia="Times New Roman" w:cstheme="minorHAnsi"/>
                <w:color w:val="000000"/>
                <w:sz w:val="20"/>
                <w:szCs w:val="20"/>
                <w:lang w:eastAsia="en-GB"/>
              </w:rPr>
              <w:t>Note: MI - myocardial infarction. TVR - target vessel revascularization</w:t>
            </w:r>
          </w:p>
        </w:tc>
      </w:tr>
    </w:tbl>
    <w:p w:rsidR="003A369B" w:rsidRDefault="003A369B" w:rsidP="003A369B">
      <w:pPr>
        <w:keepLines/>
        <w:spacing w:after="120" w:line="240" w:lineRule="auto"/>
        <w:jc w:val="both"/>
        <w:rPr>
          <w:rFonts w:ascii="Calibri" w:eastAsia="Times New Roman" w:hAnsi="Calibri" w:cs="Calibri"/>
          <w:b/>
          <w:color w:val="000000"/>
          <w:lang w:val="en-US"/>
        </w:rPr>
      </w:pPr>
    </w:p>
    <w:p w:rsidR="003A369B" w:rsidRDefault="003A369B" w:rsidP="00EB5A53">
      <w:pPr>
        <w:tabs>
          <w:tab w:val="left" w:pos="567"/>
        </w:tabs>
        <w:autoSpaceDE w:val="0"/>
        <w:autoSpaceDN w:val="0"/>
        <w:adjustRightInd w:val="0"/>
        <w:spacing w:after="0" w:line="240" w:lineRule="auto"/>
        <w:jc w:val="both"/>
        <w:rPr>
          <w:color w:val="000000"/>
          <w:szCs w:val="24"/>
          <w:lang w:eastAsia="en-GB"/>
        </w:rPr>
      </w:pPr>
      <w:r w:rsidRPr="000F5095">
        <w:rPr>
          <w:color w:val="000000"/>
          <w:szCs w:val="24"/>
          <w:lang w:eastAsia="en-GB"/>
        </w:rPr>
        <w:t>The incidences of adjudicated guiding catheter thrombus were 0.1% (1/1002) and 0.5% (5/1024), in patients randomised to “standard dose” and “low dose” UFH respectively during PCI. Four (0.3%) non-randomised patients experienced thrombus in the diagnostic catheter during coronary angiography. Of the 3,235 patients enrolled in the trial, twelve (0.37%) patients in total experienced thrombus in the arterial sheath, of these 7 cases were reported during angiography and 5 cases were reported during PCI.</w:t>
      </w:r>
    </w:p>
    <w:p w:rsidR="003A369B" w:rsidRDefault="003A369B" w:rsidP="00EB5A53">
      <w:pPr>
        <w:tabs>
          <w:tab w:val="left" w:pos="567"/>
        </w:tabs>
        <w:autoSpaceDE w:val="0"/>
        <w:autoSpaceDN w:val="0"/>
        <w:adjustRightInd w:val="0"/>
        <w:spacing w:after="0" w:line="240" w:lineRule="auto"/>
        <w:jc w:val="both"/>
        <w:rPr>
          <w:color w:val="000000"/>
          <w:szCs w:val="24"/>
          <w:lang w:eastAsia="en-GB"/>
        </w:rPr>
      </w:pPr>
    </w:p>
    <w:p w:rsidR="00DF32F8" w:rsidRDefault="00DF32F8" w:rsidP="00EB5A53">
      <w:pPr>
        <w:tabs>
          <w:tab w:val="left" w:pos="567"/>
        </w:tabs>
        <w:autoSpaceDE w:val="0"/>
        <w:autoSpaceDN w:val="0"/>
        <w:adjustRightInd w:val="0"/>
        <w:spacing w:after="0" w:line="240" w:lineRule="auto"/>
        <w:jc w:val="both"/>
        <w:rPr>
          <w:rFonts w:ascii="Calibri" w:hAnsi="Calibri" w:cs="Calibri"/>
          <w:color w:val="000000"/>
          <w:szCs w:val="24"/>
          <w:u w:val="single"/>
          <w:lang w:eastAsia="en-GB"/>
        </w:rPr>
      </w:pPr>
    </w:p>
    <w:p w:rsidR="003A369B" w:rsidRPr="00EB5A53" w:rsidRDefault="003A369B" w:rsidP="00EB5A53">
      <w:pPr>
        <w:tabs>
          <w:tab w:val="left" w:pos="567"/>
        </w:tabs>
        <w:autoSpaceDE w:val="0"/>
        <w:autoSpaceDN w:val="0"/>
        <w:adjustRightInd w:val="0"/>
        <w:spacing w:after="0" w:line="240" w:lineRule="auto"/>
        <w:jc w:val="both"/>
        <w:rPr>
          <w:rFonts w:ascii="Calibri" w:hAnsi="Calibri" w:cs="Calibri"/>
          <w:color w:val="000000"/>
          <w:szCs w:val="24"/>
          <w:u w:val="single"/>
          <w:lang w:eastAsia="en-GB"/>
        </w:rPr>
      </w:pPr>
      <w:r w:rsidRPr="00EB5A53">
        <w:rPr>
          <w:rFonts w:ascii="Calibri" w:hAnsi="Calibri" w:cs="Calibri"/>
          <w:color w:val="000000"/>
          <w:szCs w:val="24"/>
          <w:u w:val="single"/>
          <w:lang w:eastAsia="en-GB"/>
        </w:rPr>
        <w:t>Treatment of ST segment elevation myocardial infarction (STEMI)</w:t>
      </w:r>
    </w:p>
    <w:p w:rsidR="003A369B" w:rsidRPr="000F5095" w:rsidRDefault="003A369B" w:rsidP="00EB5A53">
      <w:pPr>
        <w:tabs>
          <w:tab w:val="left" w:pos="567"/>
        </w:tabs>
        <w:autoSpaceDE w:val="0"/>
        <w:autoSpaceDN w:val="0"/>
        <w:adjustRightInd w:val="0"/>
        <w:spacing w:after="0" w:line="240" w:lineRule="auto"/>
        <w:jc w:val="both"/>
        <w:rPr>
          <w:color w:val="000000"/>
          <w:szCs w:val="24"/>
          <w:lang w:eastAsia="en-GB"/>
        </w:rPr>
      </w:pPr>
      <w:r w:rsidRPr="000F5095">
        <w:rPr>
          <w:color w:val="000000"/>
          <w:szCs w:val="24"/>
          <w:lang w:eastAsia="en-GB"/>
        </w:rPr>
        <w:t xml:space="preserve">OASIS 6 was a double blind, randomised study assessing the safety and efficacy of fondaparinux 2.5 mg once daily, versus usual care (placebo (47%) or UFH (53%)) in approximately 12,000 patients with STEMI. All patients received standard treatments for STEMI, including primary PCI (31%), thrombolytics (45%) or no reperfusion (24%). Of the patients treated with a thrombolytic, 84% were treated with a non-fibrin specific agent (primarily streptokinase). The mean treatment duration was 6.2 days on fondaparinux. The mean age of the patients was 61 years, and approximately 40% were at least 65 years old. Approximately 40% and 14% of patients had mild (creatinine clearance </w:t>
      </w:r>
      <w:r w:rsidR="00E61B20">
        <w:rPr>
          <w:color w:val="000000"/>
          <w:szCs w:val="24"/>
          <w:lang w:eastAsia="en-GB"/>
        </w:rPr>
        <w:t>≥</w:t>
      </w:r>
      <w:r w:rsidRPr="000F5095">
        <w:rPr>
          <w:color w:val="000000"/>
          <w:szCs w:val="24"/>
          <w:lang w:eastAsia="en-GB"/>
        </w:rPr>
        <w:t xml:space="preserve">50 to &lt;80 ml/min) or moderate (creatinine clearance </w:t>
      </w:r>
      <w:r w:rsidR="00E61B20">
        <w:rPr>
          <w:color w:val="000000"/>
          <w:szCs w:val="24"/>
          <w:lang w:eastAsia="en-GB"/>
        </w:rPr>
        <w:t>≥</w:t>
      </w:r>
      <w:r w:rsidRPr="000F5095">
        <w:rPr>
          <w:color w:val="000000"/>
          <w:szCs w:val="24"/>
          <w:lang w:eastAsia="en-GB"/>
        </w:rPr>
        <w:t xml:space="preserve">30 to &lt;50 ml/min) renal impairment, respectively. Patients with serum creatinine </w:t>
      </w:r>
      <w:r w:rsidR="00E61B20">
        <w:rPr>
          <w:color w:val="000000"/>
          <w:szCs w:val="24"/>
          <w:lang w:eastAsia="en-GB"/>
        </w:rPr>
        <w:t>≥</w:t>
      </w:r>
      <w:r w:rsidRPr="000F5095">
        <w:rPr>
          <w:color w:val="000000"/>
          <w:szCs w:val="24"/>
          <w:lang w:eastAsia="en-GB"/>
        </w:rPr>
        <w:t xml:space="preserve"> 265 µmol/L were excluded from the study.</w:t>
      </w:r>
    </w:p>
    <w:p w:rsidR="003A369B" w:rsidRPr="000F5095" w:rsidRDefault="003A369B" w:rsidP="00EB5A53">
      <w:pPr>
        <w:tabs>
          <w:tab w:val="left" w:pos="567"/>
        </w:tabs>
        <w:autoSpaceDE w:val="0"/>
        <w:autoSpaceDN w:val="0"/>
        <w:adjustRightInd w:val="0"/>
        <w:spacing w:after="0" w:line="240" w:lineRule="auto"/>
        <w:jc w:val="both"/>
        <w:rPr>
          <w:color w:val="000000"/>
          <w:szCs w:val="24"/>
          <w:lang w:eastAsia="en-GB"/>
        </w:rPr>
      </w:pPr>
    </w:p>
    <w:p w:rsidR="003A369B" w:rsidRPr="000F5095" w:rsidRDefault="003A369B" w:rsidP="00EB5A53">
      <w:pPr>
        <w:tabs>
          <w:tab w:val="left" w:pos="567"/>
        </w:tabs>
        <w:autoSpaceDE w:val="0"/>
        <w:autoSpaceDN w:val="0"/>
        <w:adjustRightInd w:val="0"/>
        <w:spacing w:after="0" w:line="240" w:lineRule="auto"/>
        <w:jc w:val="both"/>
        <w:rPr>
          <w:color w:val="000000"/>
          <w:szCs w:val="24"/>
          <w:lang w:eastAsia="en-GB"/>
        </w:rPr>
      </w:pPr>
      <w:r w:rsidRPr="000F5095">
        <w:rPr>
          <w:color w:val="000000"/>
          <w:szCs w:val="24"/>
          <w:lang w:eastAsia="en-GB"/>
        </w:rPr>
        <w:t xml:space="preserve">The primary adjudicated endpoint was a composite of death and recurrent MI (re-MI) within 30 days of randomisation. In the population undergoing no reperfusion (i.e. patients not undergoing primary PCI or thrombolysis), the incidence of death/re-MI at Day 30 was significantly reduced from 15% for the control group to 12.1% for the fondaparinux group (hazard ratio 0.79, 95% CI, 0.65;0.97). </w:t>
      </w:r>
    </w:p>
    <w:p w:rsidR="003A369B" w:rsidRPr="000F5095" w:rsidRDefault="003A369B" w:rsidP="00EB5A53">
      <w:pPr>
        <w:tabs>
          <w:tab w:val="left" w:pos="567"/>
        </w:tabs>
        <w:autoSpaceDE w:val="0"/>
        <w:autoSpaceDN w:val="0"/>
        <w:adjustRightInd w:val="0"/>
        <w:spacing w:after="0" w:line="240" w:lineRule="auto"/>
        <w:jc w:val="both"/>
        <w:rPr>
          <w:color w:val="000000"/>
          <w:szCs w:val="24"/>
          <w:lang w:eastAsia="en-GB"/>
        </w:rPr>
      </w:pPr>
    </w:p>
    <w:p w:rsidR="003A369B" w:rsidRPr="000F5095" w:rsidRDefault="003A369B" w:rsidP="00EB5A53">
      <w:pPr>
        <w:tabs>
          <w:tab w:val="left" w:pos="567"/>
        </w:tabs>
        <w:autoSpaceDE w:val="0"/>
        <w:autoSpaceDN w:val="0"/>
        <w:adjustRightInd w:val="0"/>
        <w:spacing w:after="0" w:line="240" w:lineRule="auto"/>
        <w:jc w:val="both"/>
        <w:rPr>
          <w:color w:val="000000"/>
          <w:szCs w:val="24"/>
          <w:lang w:eastAsia="en-GB"/>
        </w:rPr>
      </w:pPr>
      <w:r w:rsidRPr="000F5095">
        <w:rPr>
          <w:color w:val="000000"/>
          <w:szCs w:val="24"/>
          <w:lang w:eastAsia="en-GB"/>
        </w:rPr>
        <w:lastRenderedPageBreak/>
        <w:t>The incidence of all cause mortality at Day 30 was also significantly reduced from 8.9% for the control group to 7.8% in the fondaparinux group (hazard ratio 0.87, 95% CI, 0.77;0.98). The difference in mortality was statistically significant in stratum 1 (placebo comparator) but not in stratum 2 (UFH comparator). The mortality benefit shown in the fondaparinux group was maintained until the end of follow-up at Day 180.</w:t>
      </w:r>
    </w:p>
    <w:p w:rsidR="003A369B" w:rsidRPr="000F5095" w:rsidRDefault="003A369B" w:rsidP="00EB5A53">
      <w:pPr>
        <w:tabs>
          <w:tab w:val="left" w:pos="567"/>
        </w:tabs>
        <w:autoSpaceDE w:val="0"/>
        <w:autoSpaceDN w:val="0"/>
        <w:adjustRightInd w:val="0"/>
        <w:spacing w:after="0" w:line="240" w:lineRule="auto"/>
        <w:jc w:val="both"/>
        <w:rPr>
          <w:color w:val="000000"/>
          <w:szCs w:val="24"/>
          <w:lang w:eastAsia="en-GB"/>
        </w:rPr>
      </w:pPr>
    </w:p>
    <w:p w:rsidR="003A369B" w:rsidRPr="000F5095" w:rsidRDefault="003A369B" w:rsidP="00EB5A53">
      <w:pPr>
        <w:tabs>
          <w:tab w:val="left" w:pos="567"/>
        </w:tabs>
        <w:autoSpaceDE w:val="0"/>
        <w:autoSpaceDN w:val="0"/>
        <w:adjustRightInd w:val="0"/>
        <w:spacing w:after="0" w:line="240" w:lineRule="auto"/>
        <w:jc w:val="both"/>
        <w:rPr>
          <w:color w:val="000000"/>
          <w:szCs w:val="24"/>
          <w:lang w:eastAsia="en-GB"/>
        </w:rPr>
      </w:pPr>
      <w:r w:rsidRPr="000F5095">
        <w:rPr>
          <w:color w:val="000000"/>
          <w:szCs w:val="24"/>
          <w:lang w:eastAsia="en-GB"/>
        </w:rPr>
        <w:t>By Day 9, 1.1% of patients treated with fondaparinux and 1.4% of control patients experienced a severe haemorrhage. In patients initially not reperfused, the incidence of severe haemorrhage was 1.2% for fondaparinux vs 1.5% for controls. At day 30, the incidence of severe haemorrhage was 0.7% for fondaparinux vs 0.8% for placebo, and 1.7% for fondaparinux vs 2.1% for UFH. For patients receiving primary PCI, the incidence of severe haemorrhage was 1.0% for fondaparinux and 0.4% for controls.</w:t>
      </w:r>
    </w:p>
    <w:p w:rsidR="003A369B" w:rsidRPr="000F5095" w:rsidRDefault="003A369B" w:rsidP="00EB5A53">
      <w:pPr>
        <w:tabs>
          <w:tab w:val="left" w:pos="567"/>
        </w:tabs>
        <w:autoSpaceDE w:val="0"/>
        <w:autoSpaceDN w:val="0"/>
        <w:adjustRightInd w:val="0"/>
        <w:spacing w:after="0" w:line="240" w:lineRule="auto"/>
        <w:jc w:val="both"/>
        <w:rPr>
          <w:color w:val="000000"/>
          <w:szCs w:val="24"/>
          <w:lang w:eastAsia="en-GB"/>
        </w:rPr>
      </w:pPr>
    </w:p>
    <w:p w:rsidR="003A369B" w:rsidRPr="000F5095" w:rsidRDefault="003A369B" w:rsidP="00EB5A53">
      <w:pPr>
        <w:tabs>
          <w:tab w:val="left" w:pos="567"/>
        </w:tabs>
        <w:autoSpaceDE w:val="0"/>
        <w:autoSpaceDN w:val="0"/>
        <w:adjustRightInd w:val="0"/>
        <w:spacing w:after="0" w:line="240" w:lineRule="auto"/>
        <w:jc w:val="both"/>
        <w:rPr>
          <w:rFonts w:ascii="Calibri" w:hAnsi="Calibri" w:cs="Calibri"/>
          <w:b/>
          <w:color w:val="000000"/>
          <w:szCs w:val="24"/>
          <w:lang w:eastAsia="en-GB"/>
        </w:rPr>
      </w:pPr>
      <w:r w:rsidRPr="000F5095">
        <w:rPr>
          <w:color w:val="000000"/>
          <w:szCs w:val="24"/>
          <w:lang w:eastAsia="en-GB"/>
        </w:rPr>
        <w:t>In subjects undergoing primary PCI the incidence of adjudicated guiding catheter thrombus was 1.2% vs 0% in fondaparinux vs. control subjects, respectively. The efficacy findings and results on severe haemorrhage were consistent across prespecified subgroups such as elderly, renally impaired patients, type of concomitant platelet aggregation inhibitors (aspirin, thienopyridines).</w:t>
      </w:r>
    </w:p>
    <w:p w:rsidR="003A369B" w:rsidRDefault="003A369B">
      <w:pPr>
        <w:keepLines/>
        <w:spacing w:after="120" w:line="240" w:lineRule="auto"/>
        <w:jc w:val="both"/>
        <w:rPr>
          <w:rFonts w:ascii="Calibri" w:eastAsia="Times New Roman" w:hAnsi="Calibri" w:cs="Calibri"/>
          <w:b/>
          <w:color w:val="000000"/>
          <w:lang w:val="en-US"/>
        </w:rPr>
      </w:pPr>
    </w:p>
    <w:p w:rsidR="003A369B" w:rsidRPr="00EB5A53" w:rsidRDefault="003A369B" w:rsidP="00EB5A53">
      <w:pPr>
        <w:keepLines/>
        <w:spacing w:after="0" w:line="240" w:lineRule="auto"/>
        <w:jc w:val="both"/>
        <w:rPr>
          <w:rFonts w:ascii="Calibri" w:eastAsia="Times New Roman" w:hAnsi="Calibri" w:cs="Calibri"/>
          <w:color w:val="000000"/>
          <w:u w:val="single"/>
          <w:lang w:val="en-US"/>
        </w:rPr>
      </w:pPr>
      <w:r w:rsidRPr="00EB5A53">
        <w:rPr>
          <w:rFonts w:ascii="Calibri" w:eastAsia="Times New Roman" w:hAnsi="Calibri" w:cs="Calibri"/>
          <w:color w:val="000000"/>
          <w:u w:val="single"/>
          <w:lang w:val="en-US"/>
        </w:rPr>
        <w:t>Use in Paediatric Patients</w:t>
      </w:r>
    </w:p>
    <w:p w:rsidR="003A369B" w:rsidRPr="000F5095" w:rsidRDefault="003A369B" w:rsidP="00EB5A53">
      <w:pPr>
        <w:tabs>
          <w:tab w:val="left" w:pos="567"/>
        </w:tabs>
        <w:autoSpaceDE w:val="0"/>
        <w:autoSpaceDN w:val="0"/>
        <w:adjustRightInd w:val="0"/>
        <w:spacing w:after="0" w:line="240" w:lineRule="auto"/>
        <w:jc w:val="both"/>
        <w:rPr>
          <w:b/>
          <w:color w:val="000000"/>
          <w:szCs w:val="24"/>
          <w:lang w:eastAsia="en-GB"/>
        </w:rPr>
      </w:pPr>
      <w:r w:rsidRPr="000F5095">
        <w:rPr>
          <w:b/>
          <w:color w:val="000000"/>
          <w:szCs w:val="24"/>
          <w:lang w:eastAsia="en-GB"/>
        </w:rPr>
        <w:t xml:space="preserve">Safety and effectiveness of fondaparinux in paediatric patients have not been established. </w:t>
      </w:r>
    </w:p>
    <w:p w:rsidR="003A369B" w:rsidRPr="000F5095" w:rsidRDefault="003A369B" w:rsidP="00EB5A53">
      <w:pPr>
        <w:tabs>
          <w:tab w:val="left" w:pos="567"/>
        </w:tabs>
        <w:autoSpaceDE w:val="0"/>
        <w:autoSpaceDN w:val="0"/>
        <w:adjustRightInd w:val="0"/>
        <w:spacing w:after="0" w:line="240" w:lineRule="auto"/>
        <w:jc w:val="both"/>
        <w:rPr>
          <w:b/>
          <w:i/>
          <w:szCs w:val="24"/>
          <w:lang w:eastAsia="en-GB"/>
        </w:rPr>
      </w:pPr>
    </w:p>
    <w:p w:rsidR="003A369B" w:rsidRPr="000F5095" w:rsidRDefault="003A369B" w:rsidP="00EB5A53">
      <w:pPr>
        <w:tabs>
          <w:tab w:val="left" w:pos="567"/>
        </w:tabs>
        <w:autoSpaceDE w:val="0"/>
        <w:autoSpaceDN w:val="0"/>
        <w:adjustRightInd w:val="0"/>
        <w:spacing w:after="0" w:line="240" w:lineRule="auto"/>
        <w:jc w:val="both"/>
        <w:rPr>
          <w:color w:val="000000"/>
          <w:szCs w:val="24"/>
          <w:lang w:eastAsia="en-GB"/>
        </w:rPr>
      </w:pPr>
      <w:r w:rsidRPr="000F5095">
        <w:rPr>
          <w:color w:val="000000"/>
          <w:szCs w:val="24"/>
          <w:lang w:eastAsia="en-GB"/>
        </w:rPr>
        <w:t xml:space="preserve">In an open-label study, 24 paediatric patients diagnosed with venous thrombosis at study entry (with the exception of one patient who had an arterial thrombosis) were administered fondaparinux. No patient had heparin induced thrombocytopenia (HIT) although one patient had a medical history of HIT following extracorporeal circulation membrane oxygenation. The majority of patients were Hispanic (67%) and 58% were male. Ten patients were 1 to </w:t>
      </w:r>
      <w:r w:rsidRPr="000F5095">
        <w:sym w:font="Symbol" w:char="F0A3"/>
      </w:r>
      <w:r w:rsidRPr="000F5095">
        <w:rPr>
          <w:color w:val="000000"/>
          <w:szCs w:val="24"/>
          <w:lang w:eastAsia="en-GB"/>
        </w:rPr>
        <w:t xml:space="preserve">5 years of age </w:t>
      </w:r>
      <w:r w:rsidRPr="000F5095">
        <w:rPr>
          <w:bCs/>
          <w:iCs/>
          <w:color w:val="000000"/>
          <w:szCs w:val="24"/>
          <w:lang w:val="en-US" w:eastAsia="en-GB"/>
        </w:rPr>
        <w:t>(weight range 8 to 20 kg)</w:t>
      </w:r>
      <w:r w:rsidRPr="000F5095">
        <w:rPr>
          <w:color w:val="000000"/>
          <w:szCs w:val="24"/>
          <w:lang w:eastAsia="en-GB"/>
        </w:rPr>
        <w:t xml:space="preserve">, 7 patients were 6 to </w:t>
      </w:r>
      <w:r w:rsidRPr="000F5095">
        <w:rPr>
          <w:lang w:val="en-US" w:eastAsia="en-GB"/>
        </w:rPr>
        <w:sym w:font="Symbol" w:char="F0A3"/>
      </w:r>
      <w:r w:rsidRPr="000F5095">
        <w:rPr>
          <w:color w:val="000000"/>
          <w:szCs w:val="24"/>
          <w:lang w:eastAsia="en-GB"/>
        </w:rPr>
        <w:t xml:space="preserve">12 years of age </w:t>
      </w:r>
      <w:r w:rsidRPr="000F5095">
        <w:rPr>
          <w:bCs/>
          <w:iCs/>
          <w:color w:val="000000"/>
          <w:lang w:val="en-US"/>
        </w:rPr>
        <w:t>(weight range 17 to 47 kg)</w:t>
      </w:r>
      <w:r w:rsidRPr="000F5095">
        <w:rPr>
          <w:color w:val="000000"/>
          <w:szCs w:val="24"/>
          <w:lang w:eastAsia="en-GB"/>
        </w:rPr>
        <w:t xml:space="preserve">, and 7 patients were 13 to </w:t>
      </w:r>
      <w:r w:rsidRPr="000F5095">
        <w:rPr>
          <w:lang w:val="en-US" w:eastAsia="en-GB"/>
        </w:rPr>
        <w:sym w:font="Symbol" w:char="F0A3"/>
      </w:r>
      <w:r w:rsidRPr="000F5095">
        <w:rPr>
          <w:color w:val="000000"/>
          <w:szCs w:val="24"/>
          <w:lang w:eastAsia="en-GB"/>
        </w:rPr>
        <w:t xml:space="preserve">18 years of age </w:t>
      </w:r>
      <w:r w:rsidRPr="000F5095">
        <w:rPr>
          <w:bCs/>
          <w:iCs/>
          <w:color w:val="000000"/>
          <w:szCs w:val="24"/>
          <w:lang w:val="en-US" w:eastAsia="en-GB"/>
        </w:rPr>
        <w:t>(weight range 47 to 130 kg)</w:t>
      </w:r>
      <w:r w:rsidRPr="000F5095">
        <w:rPr>
          <w:color w:val="000000"/>
          <w:szCs w:val="24"/>
          <w:lang w:eastAsia="en-GB"/>
        </w:rPr>
        <w:t xml:space="preserve">. Fondaparinux was administered at an initial dose of 0.1 mg/kg subcutaneously once daily. Dosing was adjusted to achieve peak (4 hour post dosing) fondaparinux sodium concentrations (0.5 &lt;1 mg/L). One patient received concomitant warfarin and fondaparinux for 3 days during the study. The median duration of treatment in this study was 3.5 days. </w:t>
      </w:r>
    </w:p>
    <w:p w:rsidR="003A369B" w:rsidRPr="000F5095" w:rsidRDefault="003A369B" w:rsidP="00EB5A53">
      <w:pPr>
        <w:tabs>
          <w:tab w:val="left" w:pos="567"/>
        </w:tabs>
        <w:autoSpaceDE w:val="0"/>
        <w:autoSpaceDN w:val="0"/>
        <w:adjustRightInd w:val="0"/>
        <w:spacing w:after="0" w:line="240" w:lineRule="auto"/>
        <w:jc w:val="both"/>
        <w:rPr>
          <w:color w:val="000000"/>
          <w:szCs w:val="24"/>
          <w:lang w:eastAsia="en-GB"/>
        </w:rPr>
      </w:pPr>
    </w:p>
    <w:p w:rsidR="003A369B" w:rsidRPr="000F5095" w:rsidRDefault="003A369B" w:rsidP="00EB5A53">
      <w:pPr>
        <w:tabs>
          <w:tab w:val="left" w:pos="567"/>
        </w:tabs>
        <w:autoSpaceDE w:val="0"/>
        <w:autoSpaceDN w:val="0"/>
        <w:adjustRightInd w:val="0"/>
        <w:spacing w:after="0" w:line="240" w:lineRule="auto"/>
        <w:jc w:val="both"/>
        <w:rPr>
          <w:color w:val="000000"/>
          <w:szCs w:val="24"/>
          <w:lang w:eastAsia="en-GB"/>
        </w:rPr>
      </w:pPr>
      <w:r w:rsidRPr="000F5095">
        <w:rPr>
          <w:color w:val="000000"/>
          <w:szCs w:val="24"/>
          <w:lang w:eastAsia="en-GB"/>
        </w:rPr>
        <w:t>The purpose of this study was to evaluate the pharmacokinetics and safety of fondaparinux in a paediatric population.  The majority of patients (88%) achieved target fondaparinux concentrations after the first dose of fondaparinux. Population pharmacokinetic modelling (based on combining paediatric data with the complete data in healthy adult males) and simulations demonstrated that the 0.1 mg/kg once daily dose resulted in fondaparinux concentrations that were similar to those observed in adults receiving fondaparinux for the treatment of DVT or PE. There were no apparent differences in achieving the target fondaparinux concentration range between age groups.  Note that data in the paediatric study were sparse, necessitating the use of a population PK model.</w:t>
      </w:r>
    </w:p>
    <w:p w:rsidR="003A369B" w:rsidRPr="000F5095" w:rsidRDefault="003A369B" w:rsidP="00EB5A53">
      <w:pPr>
        <w:tabs>
          <w:tab w:val="left" w:pos="567"/>
        </w:tabs>
        <w:autoSpaceDE w:val="0"/>
        <w:autoSpaceDN w:val="0"/>
        <w:adjustRightInd w:val="0"/>
        <w:spacing w:after="0" w:line="240" w:lineRule="auto"/>
        <w:jc w:val="both"/>
        <w:rPr>
          <w:color w:val="000000"/>
          <w:szCs w:val="24"/>
          <w:lang w:eastAsia="en-GB"/>
        </w:rPr>
      </w:pPr>
    </w:p>
    <w:p w:rsidR="003A369B" w:rsidRPr="000F5095" w:rsidRDefault="003A369B" w:rsidP="00EB5A53">
      <w:pPr>
        <w:tabs>
          <w:tab w:val="left" w:pos="567"/>
        </w:tabs>
        <w:autoSpaceDE w:val="0"/>
        <w:autoSpaceDN w:val="0"/>
        <w:adjustRightInd w:val="0"/>
        <w:spacing w:after="0" w:line="240" w:lineRule="auto"/>
        <w:jc w:val="both"/>
        <w:rPr>
          <w:color w:val="000000"/>
          <w:szCs w:val="24"/>
          <w:lang w:eastAsia="en-GB"/>
        </w:rPr>
      </w:pPr>
      <w:r w:rsidRPr="000F5095">
        <w:rPr>
          <w:color w:val="000000"/>
          <w:szCs w:val="24"/>
          <w:lang w:eastAsia="en-GB"/>
        </w:rPr>
        <w:t>Two patients had reports of bleeding during the study. One experienced hypertensive encephalopathy accompanied by intracranial bleeding on day 5 of therapy resulting in discontinuation of fondaparinux. Minor gastrointestinal bleeding was reported in another patient on day 5 of therapy which resulted in temporary discontinuation of fondaparinux.</w:t>
      </w:r>
    </w:p>
    <w:p w:rsidR="003A369B" w:rsidRPr="000F5095" w:rsidRDefault="003A369B" w:rsidP="003A369B">
      <w:pPr>
        <w:jc w:val="both"/>
        <w:rPr>
          <w:rFonts w:cstheme="minorHAnsi"/>
          <w:u w:val="single"/>
          <w:lang w:val="en-US"/>
        </w:rPr>
      </w:pPr>
    </w:p>
    <w:p w:rsidR="003A369B" w:rsidRPr="000F5095" w:rsidRDefault="003A369B" w:rsidP="003A369B">
      <w:pPr>
        <w:pStyle w:val="Heading2"/>
        <w:keepNext/>
        <w:spacing w:before="0" w:after="120"/>
        <w:rPr>
          <w:rFonts w:asciiTheme="minorHAnsi" w:hAnsiTheme="minorHAnsi" w:cstheme="minorHAnsi"/>
          <w:lang w:val="en-US"/>
        </w:rPr>
      </w:pPr>
      <w:r w:rsidRPr="000F5095">
        <w:rPr>
          <w:rFonts w:asciiTheme="minorHAnsi" w:hAnsiTheme="minorHAnsi" w:cstheme="minorHAnsi"/>
          <w:lang w:val="en-US"/>
        </w:rPr>
        <w:lastRenderedPageBreak/>
        <w:t xml:space="preserve">Pharmacokinetic properties </w:t>
      </w:r>
    </w:p>
    <w:p w:rsidR="003A369B" w:rsidRDefault="003A369B" w:rsidP="00EB5A53">
      <w:pPr>
        <w:pStyle w:val="Heading3"/>
        <w:spacing w:before="0" w:line="240" w:lineRule="auto"/>
        <w:ind w:left="0"/>
        <w:jc w:val="both"/>
        <w:rPr>
          <w:rFonts w:asciiTheme="minorHAnsi" w:hAnsiTheme="minorHAnsi" w:cstheme="minorHAnsi"/>
          <w:b w:val="0"/>
        </w:rPr>
      </w:pPr>
      <w:r w:rsidRPr="000F5095">
        <w:rPr>
          <w:rFonts w:asciiTheme="minorHAnsi" w:hAnsiTheme="minorHAnsi" w:cstheme="minorHAnsi"/>
        </w:rPr>
        <w:t xml:space="preserve">Absorption </w:t>
      </w:r>
    </w:p>
    <w:p w:rsidR="003A369B" w:rsidRPr="000F5095" w:rsidRDefault="003A369B" w:rsidP="00EB5A53">
      <w:pPr>
        <w:spacing w:line="240" w:lineRule="auto"/>
        <w:jc w:val="both"/>
        <w:rPr>
          <w:snapToGrid w:val="0"/>
        </w:rPr>
      </w:pPr>
      <w:r w:rsidRPr="000F5095">
        <w:rPr>
          <w:snapToGrid w:val="0"/>
        </w:rPr>
        <w:t xml:space="preserve">After subcutaneous dosing, fondaparinux is completely and rapidly absorbed, the absolute bioavailability being 100%. Following a single subcutaneous injection of 2.5 mg of fondaparinux, peak plasma concentration (Cmax = 0.34 mg/L) is obtained 2 hours post-dosing. Plasma concentrations of half the mean Cmax values are reached 25 minutes post-dosing. </w:t>
      </w:r>
    </w:p>
    <w:p w:rsidR="003A369B" w:rsidRDefault="003A369B" w:rsidP="00EB5A53">
      <w:pPr>
        <w:spacing w:after="0" w:line="240" w:lineRule="auto"/>
        <w:jc w:val="both"/>
        <w:rPr>
          <w:snapToGrid w:val="0"/>
        </w:rPr>
      </w:pPr>
      <w:r w:rsidRPr="000F5095">
        <w:rPr>
          <w:snapToGrid w:val="0"/>
        </w:rPr>
        <w:t xml:space="preserve">Mean (SD) pharmacokinetic parameters of fondaparinux following a single subcutaneous injection of </w:t>
      </w:r>
      <w:r>
        <w:rPr>
          <w:snapToGrid w:val="0"/>
        </w:rPr>
        <w:t>ARIXTRA</w:t>
      </w:r>
      <w:r w:rsidRPr="000F5095">
        <w:rPr>
          <w:snapToGrid w:val="0"/>
        </w:rPr>
        <w:t xml:space="preserve"> 2.5 mg in young healthy subjects are provided in </w:t>
      </w:r>
      <w:r>
        <w:rPr>
          <w:snapToGrid w:val="0"/>
        </w:rPr>
        <w:t xml:space="preserve">Table 19 </w:t>
      </w:r>
      <w:r w:rsidRPr="000F5095">
        <w:rPr>
          <w:snapToGrid w:val="0"/>
        </w:rPr>
        <w:t>below:</w:t>
      </w:r>
      <w:bookmarkStart w:id="15" w:name="_Ref482799623"/>
    </w:p>
    <w:p w:rsidR="005778CE" w:rsidRPr="00EB5A53" w:rsidRDefault="005778CE" w:rsidP="00EB5A53">
      <w:pPr>
        <w:spacing w:after="0" w:line="240" w:lineRule="auto"/>
        <w:jc w:val="both"/>
        <w:rPr>
          <w:snapToGrid w:val="0"/>
        </w:rPr>
      </w:pPr>
    </w:p>
    <w:p w:rsidR="003A369B" w:rsidRPr="00EB5A53" w:rsidRDefault="003A369B" w:rsidP="003A369B">
      <w:pPr>
        <w:spacing w:after="0"/>
        <w:ind w:right="79"/>
        <w:jc w:val="center"/>
        <w:rPr>
          <w:b/>
          <w:sz w:val="20"/>
          <w:szCs w:val="20"/>
        </w:rPr>
      </w:pPr>
      <w:r w:rsidRPr="00EB5A53">
        <w:rPr>
          <w:b/>
          <w:sz w:val="20"/>
          <w:szCs w:val="20"/>
        </w:rPr>
        <w:t>Table</w:t>
      </w:r>
      <w:bookmarkEnd w:id="15"/>
      <w:r w:rsidRPr="00EB5A53">
        <w:rPr>
          <w:b/>
          <w:sz w:val="20"/>
          <w:szCs w:val="20"/>
        </w:rPr>
        <w:t xml:space="preserve"> 19: Mean (SD) Pharmacokinetic Parameters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
        <w:gridCol w:w="1198"/>
        <w:gridCol w:w="1417"/>
        <w:gridCol w:w="1276"/>
        <w:gridCol w:w="1417"/>
        <w:gridCol w:w="1276"/>
      </w:tblGrid>
      <w:tr w:rsidR="003A369B" w:rsidRPr="005778CE" w:rsidTr="003A369B">
        <w:trPr>
          <w:cantSplit/>
        </w:trPr>
        <w:tc>
          <w:tcPr>
            <w:tcW w:w="1070" w:type="dxa"/>
          </w:tcPr>
          <w:p w:rsidR="003A369B" w:rsidRPr="00EB5A53" w:rsidRDefault="003A369B" w:rsidP="003A369B">
            <w:pPr>
              <w:spacing w:after="0"/>
              <w:jc w:val="center"/>
              <w:rPr>
                <w:snapToGrid w:val="0"/>
                <w:sz w:val="20"/>
                <w:szCs w:val="20"/>
              </w:rPr>
            </w:pPr>
            <w:r w:rsidRPr="00EB5A53">
              <w:rPr>
                <w:snapToGrid w:val="0"/>
                <w:sz w:val="20"/>
                <w:szCs w:val="20"/>
              </w:rPr>
              <w:t>T</w:t>
            </w:r>
            <w:r w:rsidRPr="00EB5A53">
              <w:rPr>
                <w:snapToGrid w:val="0"/>
                <w:sz w:val="20"/>
                <w:szCs w:val="20"/>
                <w:vertAlign w:val="subscript"/>
              </w:rPr>
              <w:t>max</w:t>
            </w:r>
            <w:r w:rsidRPr="00EB5A53">
              <w:rPr>
                <w:snapToGrid w:val="0"/>
                <w:sz w:val="20"/>
                <w:szCs w:val="20"/>
                <w:vertAlign w:val="subscript"/>
              </w:rPr>
              <w:br/>
            </w:r>
            <w:r w:rsidRPr="00EB5A53">
              <w:rPr>
                <w:snapToGrid w:val="0"/>
                <w:sz w:val="20"/>
                <w:szCs w:val="20"/>
              </w:rPr>
              <w:t>(h)</w:t>
            </w:r>
          </w:p>
        </w:tc>
        <w:tc>
          <w:tcPr>
            <w:tcW w:w="1198" w:type="dxa"/>
          </w:tcPr>
          <w:p w:rsidR="003A369B" w:rsidRPr="00EB5A53" w:rsidRDefault="003A369B" w:rsidP="003A369B">
            <w:pPr>
              <w:spacing w:after="0"/>
              <w:jc w:val="center"/>
              <w:rPr>
                <w:snapToGrid w:val="0"/>
                <w:sz w:val="20"/>
                <w:szCs w:val="20"/>
                <w:vertAlign w:val="subscript"/>
              </w:rPr>
            </w:pPr>
            <w:r w:rsidRPr="00EB5A53">
              <w:rPr>
                <w:snapToGrid w:val="0"/>
                <w:sz w:val="20"/>
                <w:szCs w:val="20"/>
              </w:rPr>
              <w:t>C</w:t>
            </w:r>
            <w:r w:rsidRPr="00EB5A53">
              <w:rPr>
                <w:snapToGrid w:val="0"/>
                <w:sz w:val="20"/>
                <w:szCs w:val="20"/>
                <w:vertAlign w:val="subscript"/>
              </w:rPr>
              <w:t>max</w:t>
            </w:r>
            <w:r w:rsidRPr="00EB5A53">
              <w:rPr>
                <w:snapToGrid w:val="0"/>
                <w:sz w:val="20"/>
                <w:szCs w:val="20"/>
                <w:vertAlign w:val="subscript"/>
              </w:rPr>
              <w:br/>
            </w:r>
            <w:r w:rsidRPr="00EB5A53">
              <w:rPr>
                <w:snapToGrid w:val="0"/>
                <w:sz w:val="20"/>
                <w:szCs w:val="20"/>
              </w:rPr>
              <w:t>(mg/L)</w:t>
            </w:r>
          </w:p>
          <w:p w:rsidR="003A369B" w:rsidRPr="00EB5A53" w:rsidRDefault="003A369B" w:rsidP="003A369B">
            <w:pPr>
              <w:spacing w:after="0"/>
              <w:jc w:val="center"/>
              <w:rPr>
                <w:snapToGrid w:val="0"/>
                <w:sz w:val="20"/>
                <w:szCs w:val="20"/>
              </w:rPr>
            </w:pPr>
          </w:p>
        </w:tc>
        <w:tc>
          <w:tcPr>
            <w:tcW w:w="1417" w:type="dxa"/>
          </w:tcPr>
          <w:p w:rsidR="003A369B" w:rsidRPr="00EB5A53" w:rsidRDefault="003A369B" w:rsidP="003A369B">
            <w:pPr>
              <w:spacing w:after="0"/>
              <w:jc w:val="center"/>
              <w:rPr>
                <w:snapToGrid w:val="0"/>
                <w:sz w:val="20"/>
                <w:szCs w:val="20"/>
                <w:lang w:val="fr-FR"/>
              </w:rPr>
            </w:pPr>
            <w:r w:rsidRPr="00EB5A53">
              <w:rPr>
                <w:snapToGrid w:val="0"/>
                <w:sz w:val="20"/>
                <w:szCs w:val="20"/>
                <w:lang w:val="fr-FR"/>
              </w:rPr>
              <w:t>AUC</w:t>
            </w:r>
            <w:r w:rsidRPr="00EB5A53">
              <w:rPr>
                <w:snapToGrid w:val="0"/>
                <w:sz w:val="20"/>
                <w:szCs w:val="20"/>
                <w:vertAlign w:val="subscript"/>
                <w:lang w:val="fr-FR"/>
              </w:rPr>
              <w:t>0-inf</w:t>
            </w:r>
            <w:r w:rsidRPr="00EB5A53">
              <w:rPr>
                <w:snapToGrid w:val="0"/>
                <w:sz w:val="20"/>
                <w:szCs w:val="20"/>
                <w:lang w:val="fr-FR"/>
              </w:rPr>
              <w:t xml:space="preserve"> (mg.h/L)</w:t>
            </w:r>
          </w:p>
        </w:tc>
        <w:tc>
          <w:tcPr>
            <w:tcW w:w="1276" w:type="dxa"/>
          </w:tcPr>
          <w:p w:rsidR="003A369B" w:rsidRPr="00EB5A53" w:rsidRDefault="003A369B" w:rsidP="003A369B">
            <w:pPr>
              <w:spacing w:after="0"/>
              <w:jc w:val="center"/>
              <w:rPr>
                <w:snapToGrid w:val="0"/>
                <w:sz w:val="20"/>
                <w:szCs w:val="20"/>
                <w:lang w:val="fr-FR"/>
              </w:rPr>
            </w:pPr>
            <w:r w:rsidRPr="00EB5A53">
              <w:rPr>
                <w:snapToGrid w:val="0"/>
                <w:sz w:val="20"/>
                <w:szCs w:val="20"/>
                <w:lang w:val="fr-FR"/>
              </w:rPr>
              <w:t>T</w:t>
            </w:r>
            <w:r w:rsidRPr="00EB5A53">
              <w:rPr>
                <w:snapToGrid w:val="0"/>
                <w:sz w:val="20"/>
                <w:szCs w:val="20"/>
                <w:vertAlign w:val="subscript"/>
                <w:lang w:val="fr-FR"/>
              </w:rPr>
              <w:t>1/2</w:t>
            </w:r>
            <w:r w:rsidRPr="00EB5A53">
              <w:rPr>
                <w:snapToGrid w:val="0"/>
                <w:sz w:val="20"/>
                <w:szCs w:val="20"/>
                <w:vertAlign w:val="subscript"/>
                <w:lang w:val="fr-FR"/>
              </w:rPr>
              <w:br/>
            </w:r>
            <w:r w:rsidRPr="00EB5A53">
              <w:rPr>
                <w:snapToGrid w:val="0"/>
                <w:sz w:val="20"/>
                <w:szCs w:val="20"/>
                <w:lang w:val="fr-FR"/>
              </w:rPr>
              <w:t>(h)</w:t>
            </w:r>
          </w:p>
        </w:tc>
        <w:tc>
          <w:tcPr>
            <w:tcW w:w="1417" w:type="dxa"/>
          </w:tcPr>
          <w:p w:rsidR="003A369B" w:rsidRPr="00EB5A53" w:rsidRDefault="003A369B" w:rsidP="003A369B">
            <w:pPr>
              <w:spacing w:after="0"/>
              <w:jc w:val="center"/>
              <w:rPr>
                <w:snapToGrid w:val="0"/>
                <w:sz w:val="20"/>
                <w:szCs w:val="20"/>
                <w:lang w:val="fr-FR"/>
              </w:rPr>
            </w:pPr>
            <w:r w:rsidRPr="00EB5A53">
              <w:rPr>
                <w:snapToGrid w:val="0"/>
                <w:sz w:val="20"/>
                <w:szCs w:val="20"/>
                <w:lang w:val="fr-FR"/>
              </w:rPr>
              <w:t>Plasma Clearance (mL/min)</w:t>
            </w:r>
          </w:p>
        </w:tc>
        <w:tc>
          <w:tcPr>
            <w:tcW w:w="1276" w:type="dxa"/>
          </w:tcPr>
          <w:p w:rsidR="003A369B" w:rsidRPr="00EB5A53" w:rsidRDefault="003A369B" w:rsidP="003A369B">
            <w:pPr>
              <w:spacing w:after="0"/>
              <w:jc w:val="center"/>
              <w:rPr>
                <w:snapToGrid w:val="0"/>
                <w:sz w:val="20"/>
                <w:szCs w:val="20"/>
              </w:rPr>
            </w:pPr>
            <w:r w:rsidRPr="00EB5A53">
              <w:rPr>
                <w:snapToGrid w:val="0"/>
                <w:sz w:val="20"/>
                <w:szCs w:val="20"/>
              </w:rPr>
              <w:t xml:space="preserve">Distribution volume </w:t>
            </w:r>
            <w:r w:rsidRPr="00EB5A53">
              <w:rPr>
                <w:snapToGrid w:val="0"/>
                <w:sz w:val="20"/>
                <w:szCs w:val="20"/>
              </w:rPr>
              <w:br/>
              <w:t>(L)</w:t>
            </w:r>
          </w:p>
        </w:tc>
      </w:tr>
      <w:tr w:rsidR="003A369B" w:rsidRPr="005778CE" w:rsidTr="003A369B">
        <w:trPr>
          <w:cantSplit/>
        </w:trPr>
        <w:tc>
          <w:tcPr>
            <w:tcW w:w="1070" w:type="dxa"/>
          </w:tcPr>
          <w:p w:rsidR="003A369B" w:rsidRPr="00EB5A53" w:rsidRDefault="003A369B" w:rsidP="003A369B">
            <w:pPr>
              <w:spacing w:after="0"/>
              <w:jc w:val="center"/>
              <w:rPr>
                <w:snapToGrid w:val="0"/>
                <w:sz w:val="20"/>
                <w:szCs w:val="20"/>
              </w:rPr>
            </w:pPr>
            <w:r w:rsidRPr="00EB5A53">
              <w:rPr>
                <w:snapToGrid w:val="0"/>
                <w:sz w:val="20"/>
                <w:szCs w:val="20"/>
              </w:rPr>
              <w:t>1.7 (0.4)</w:t>
            </w:r>
          </w:p>
        </w:tc>
        <w:tc>
          <w:tcPr>
            <w:tcW w:w="1198" w:type="dxa"/>
          </w:tcPr>
          <w:p w:rsidR="003A369B" w:rsidRPr="00EB5A53" w:rsidRDefault="003A369B" w:rsidP="003A369B">
            <w:pPr>
              <w:spacing w:after="0"/>
              <w:jc w:val="center"/>
              <w:rPr>
                <w:snapToGrid w:val="0"/>
                <w:sz w:val="20"/>
                <w:szCs w:val="20"/>
              </w:rPr>
            </w:pPr>
            <w:r w:rsidRPr="00EB5A53">
              <w:rPr>
                <w:snapToGrid w:val="0"/>
                <w:sz w:val="20"/>
                <w:szCs w:val="20"/>
              </w:rPr>
              <w:t>0.34 (0.04)</w:t>
            </w:r>
          </w:p>
        </w:tc>
        <w:tc>
          <w:tcPr>
            <w:tcW w:w="1417" w:type="dxa"/>
          </w:tcPr>
          <w:p w:rsidR="003A369B" w:rsidRPr="00EB5A53" w:rsidRDefault="003A369B" w:rsidP="003A369B">
            <w:pPr>
              <w:spacing w:after="0"/>
              <w:jc w:val="center"/>
              <w:rPr>
                <w:snapToGrid w:val="0"/>
                <w:sz w:val="20"/>
                <w:szCs w:val="20"/>
              </w:rPr>
            </w:pPr>
            <w:r w:rsidRPr="00EB5A53">
              <w:rPr>
                <w:snapToGrid w:val="0"/>
                <w:sz w:val="20"/>
                <w:szCs w:val="20"/>
              </w:rPr>
              <w:t>6.65 (1.20)</w:t>
            </w:r>
          </w:p>
        </w:tc>
        <w:tc>
          <w:tcPr>
            <w:tcW w:w="1276" w:type="dxa"/>
          </w:tcPr>
          <w:p w:rsidR="003A369B" w:rsidRPr="00EB5A53" w:rsidRDefault="003A369B" w:rsidP="003A369B">
            <w:pPr>
              <w:spacing w:after="0"/>
              <w:jc w:val="center"/>
              <w:rPr>
                <w:snapToGrid w:val="0"/>
                <w:sz w:val="20"/>
                <w:szCs w:val="20"/>
              </w:rPr>
            </w:pPr>
            <w:r w:rsidRPr="00EB5A53">
              <w:rPr>
                <w:snapToGrid w:val="0"/>
                <w:sz w:val="20"/>
                <w:szCs w:val="20"/>
              </w:rPr>
              <w:t>17.2 (3.2)</w:t>
            </w:r>
          </w:p>
        </w:tc>
        <w:tc>
          <w:tcPr>
            <w:tcW w:w="1417" w:type="dxa"/>
          </w:tcPr>
          <w:p w:rsidR="003A369B" w:rsidRPr="00EB5A53" w:rsidRDefault="003A369B" w:rsidP="003A369B">
            <w:pPr>
              <w:spacing w:after="0"/>
              <w:jc w:val="center"/>
              <w:rPr>
                <w:snapToGrid w:val="0"/>
                <w:sz w:val="20"/>
                <w:szCs w:val="20"/>
              </w:rPr>
            </w:pPr>
            <w:r w:rsidRPr="00EB5A53">
              <w:rPr>
                <w:snapToGrid w:val="0"/>
                <w:sz w:val="20"/>
                <w:szCs w:val="20"/>
              </w:rPr>
              <w:t>5.6 (0.9)</w:t>
            </w:r>
          </w:p>
        </w:tc>
        <w:tc>
          <w:tcPr>
            <w:tcW w:w="1276" w:type="dxa"/>
          </w:tcPr>
          <w:p w:rsidR="003A369B" w:rsidRPr="00EB5A53" w:rsidRDefault="003A369B" w:rsidP="003A369B">
            <w:pPr>
              <w:spacing w:after="0"/>
              <w:jc w:val="center"/>
              <w:rPr>
                <w:snapToGrid w:val="0"/>
                <w:sz w:val="20"/>
                <w:szCs w:val="20"/>
              </w:rPr>
            </w:pPr>
            <w:r w:rsidRPr="00EB5A53">
              <w:rPr>
                <w:snapToGrid w:val="0"/>
                <w:sz w:val="20"/>
                <w:szCs w:val="20"/>
              </w:rPr>
              <w:t>8.2 (1.1)</w:t>
            </w:r>
          </w:p>
        </w:tc>
      </w:tr>
    </w:tbl>
    <w:p w:rsidR="003A369B" w:rsidRPr="00EB5A53" w:rsidRDefault="003A369B" w:rsidP="003A369B">
      <w:pPr>
        <w:jc w:val="both"/>
        <w:rPr>
          <w:snapToGrid w:val="0"/>
          <w:sz w:val="20"/>
          <w:szCs w:val="20"/>
          <w:highlight w:val="yellow"/>
        </w:rPr>
      </w:pPr>
    </w:p>
    <w:p w:rsidR="003A369B" w:rsidRPr="000F5095" w:rsidRDefault="003A369B" w:rsidP="00EB5A53">
      <w:pPr>
        <w:spacing w:line="240" w:lineRule="auto"/>
        <w:jc w:val="both"/>
        <w:rPr>
          <w:snapToGrid w:val="0"/>
        </w:rPr>
      </w:pPr>
      <w:r w:rsidRPr="000F5095">
        <w:rPr>
          <w:snapToGrid w:val="0"/>
        </w:rPr>
        <w:t>The pharmacokinetics of fondaparinux are linear in the range of 2 to 8 mg by the subcutaneous route. At steady state, mean plasma concentration 2 hours post-dosing ranged between 0.32 and 0.47 mg/L in patients undergoing orthopaedic surgery receiving fondaparinux 2.5 mg.</w:t>
      </w:r>
    </w:p>
    <w:p w:rsidR="003A369B" w:rsidRPr="000F5095" w:rsidRDefault="003A369B" w:rsidP="00EB5A53">
      <w:pPr>
        <w:autoSpaceDE w:val="0"/>
        <w:autoSpaceDN w:val="0"/>
        <w:adjustRightInd w:val="0"/>
        <w:spacing w:line="240" w:lineRule="auto"/>
        <w:jc w:val="both"/>
      </w:pPr>
      <w:r w:rsidRPr="000F5095">
        <w:t>In patients with symptomatic deep vein thrombosis and pulmonary embolism undergoing treatment with fondaparinux sodium injection 5 mg (&lt; 50 kg), 7.5 mg (50–100 kg) and 10 mg (&gt; 100 kg) once daily, the body-weight-adjusted doses provide similar exposure across all body weight categories.  The peak steady-state plasma concentration is, on average, 1.20–1.26 mg/L.  In these patients, the minimum steady-state plasma concentration is 0.46–0.62 mg/L.</w:t>
      </w:r>
    </w:p>
    <w:p w:rsidR="003A369B" w:rsidRPr="000F5095" w:rsidRDefault="003A369B" w:rsidP="00EB5A53">
      <w:pPr>
        <w:pStyle w:val="Heading3"/>
        <w:spacing w:before="0" w:line="240" w:lineRule="auto"/>
        <w:ind w:left="0"/>
        <w:jc w:val="both"/>
        <w:rPr>
          <w:rFonts w:asciiTheme="minorHAnsi" w:hAnsiTheme="minorHAnsi" w:cstheme="minorHAnsi"/>
        </w:rPr>
      </w:pPr>
      <w:r w:rsidRPr="000F5095">
        <w:rPr>
          <w:rFonts w:asciiTheme="minorHAnsi" w:hAnsiTheme="minorHAnsi" w:cstheme="minorHAnsi"/>
        </w:rPr>
        <w:t>Distribution</w:t>
      </w:r>
    </w:p>
    <w:p w:rsidR="003A369B" w:rsidRPr="000F5095" w:rsidRDefault="003A369B" w:rsidP="00EB5A53">
      <w:pPr>
        <w:spacing w:line="240" w:lineRule="auto"/>
        <w:jc w:val="both"/>
        <w:rPr>
          <w:snapToGrid w:val="0"/>
        </w:rPr>
      </w:pPr>
      <w:r w:rsidRPr="000F5095">
        <w:rPr>
          <w:snapToGrid w:val="0"/>
        </w:rPr>
        <w:t>The distribution volume of fondaparinux is limited (7-11 litres) and is consistent with blood volume. Fondaparinux is highly (at least 97.0%) and specifically bound to ATIII protein and does not bind significantly to other plasma proteins, including platelet factor 4 (PF4).</w:t>
      </w:r>
    </w:p>
    <w:p w:rsidR="003A369B" w:rsidRDefault="003A369B" w:rsidP="00EB5A53">
      <w:pPr>
        <w:pStyle w:val="Heading3"/>
        <w:spacing w:before="0" w:line="240" w:lineRule="auto"/>
        <w:ind w:left="0"/>
        <w:jc w:val="both"/>
        <w:rPr>
          <w:rFonts w:asciiTheme="minorHAnsi" w:hAnsiTheme="minorHAnsi" w:cstheme="minorHAnsi"/>
        </w:rPr>
      </w:pPr>
      <w:r w:rsidRPr="000F5095">
        <w:rPr>
          <w:rFonts w:asciiTheme="minorHAnsi" w:hAnsiTheme="minorHAnsi" w:cstheme="minorHAnsi"/>
        </w:rPr>
        <w:t xml:space="preserve">Metabolism </w:t>
      </w:r>
    </w:p>
    <w:p w:rsidR="003A369B" w:rsidRPr="000F5095" w:rsidRDefault="003A369B" w:rsidP="00EB5A53">
      <w:pPr>
        <w:pStyle w:val="NoSpacing"/>
        <w:jc w:val="both"/>
        <w:rPr>
          <w:b/>
        </w:rPr>
      </w:pPr>
      <w:r w:rsidRPr="002C3F08">
        <w:t>There is no evidence that fondaparinux is metabolised</w:t>
      </w:r>
      <w:r w:rsidRPr="000F5095">
        <w:rPr>
          <w:b/>
        </w:rPr>
        <w:t>.</w:t>
      </w:r>
    </w:p>
    <w:p w:rsidR="003A369B" w:rsidRPr="000F5095" w:rsidRDefault="003A369B" w:rsidP="00EB5A53">
      <w:pPr>
        <w:pStyle w:val="NoSpacing"/>
        <w:jc w:val="both"/>
      </w:pPr>
    </w:p>
    <w:p w:rsidR="003A369B" w:rsidRDefault="003A369B" w:rsidP="00EB5A53">
      <w:pPr>
        <w:pStyle w:val="Heading3"/>
        <w:spacing w:before="0" w:line="240" w:lineRule="auto"/>
        <w:ind w:left="0"/>
        <w:jc w:val="both"/>
        <w:rPr>
          <w:rFonts w:asciiTheme="minorHAnsi" w:hAnsiTheme="minorHAnsi" w:cstheme="minorHAnsi"/>
        </w:rPr>
      </w:pPr>
      <w:r w:rsidRPr="000F5095">
        <w:rPr>
          <w:rFonts w:asciiTheme="minorHAnsi" w:hAnsiTheme="minorHAnsi" w:cstheme="minorHAnsi"/>
        </w:rPr>
        <w:t xml:space="preserve">Excretion </w:t>
      </w:r>
    </w:p>
    <w:p w:rsidR="003A369B" w:rsidRPr="000F5095" w:rsidRDefault="003A369B" w:rsidP="00EB5A53">
      <w:pPr>
        <w:pStyle w:val="NoSpacing"/>
        <w:spacing w:after="240"/>
        <w:jc w:val="both"/>
        <w:rPr>
          <w:snapToGrid w:val="0"/>
        </w:rPr>
      </w:pPr>
      <w:r w:rsidRPr="000F5095">
        <w:rPr>
          <w:snapToGrid w:val="0"/>
        </w:rPr>
        <w:t>Fondaparinux is almost completely excreted by the kidney as unchanged compound. The elimination half-life (t</w:t>
      </w:r>
      <w:r w:rsidRPr="000F5095">
        <w:rPr>
          <w:snapToGrid w:val="0"/>
          <w:vertAlign w:val="subscript"/>
        </w:rPr>
        <w:t>1/2</w:t>
      </w:r>
      <w:r w:rsidRPr="000F5095">
        <w:rPr>
          <w:snapToGrid w:val="0"/>
        </w:rPr>
        <w:t xml:space="preserve">) is about 17 hours in healthy young subjects and about 20 hours in healthy elderly subjects. </w:t>
      </w:r>
    </w:p>
    <w:p w:rsidR="003A369B" w:rsidRPr="000F5095" w:rsidRDefault="003A369B" w:rsidP="00EB5A53">
      <w:pPr>
        <w:keepNext/>
        <w:keepLines/>
        <w:spacing w:after="120" w:line="240" w:lineRule="auto"/>
        <w:jc w:val="both"/>
        <w:outlineLvl w:val="1"/>
        <w:rPr>
          <w:rFonts w:eastAsia="Times New Roman" w:cstheme="minorHAnsi"/>
          <w:b/>
          <w:snapToGrid w:val="0"/>
          <w:szCs w:val="20"/>
        </w:rPr>
      </w:pPr>
      <w:r w:rsidRPr="000F5095">
        <w:rPr>
          <w:rFonts w:eastAsia="Times New Roman" w:cstheme="minorHAnsi"/>
          <w:b/>
          <w:snapToGrid w:val="0"/>
          <w:szCs w:val="20"/>
        </w:rPr>
        <w:t>Special populations</w:t>
      </w:r>
    </w:p>
    <w:p w:rsidR="003A369B" w:rsidRPr="000F5095" w:rsidRDefault="003A369B" w:rsidP="00EB5A53">
      <w:pPr>
        <w:pStyle w:val="ListParagraph"/>
        <w:numPr>
          <w:ilvl w:val="0"/>
          <w:numId w:val="16"/>
        </w:numPr>
        <w:spacing w:after="120" w:line="240" w:lineRule="auto"/>
        <w:jc w:val="both"/>
        <w:rPr>
          <w:rFonts w:asciiTheme="minorHAnsi" w:eastAsia="Times New Roman" w:hAnsiTheme="minorHAnsi" w:cstheme="minorHAnsi"/>
          <w:snapToGrid w:val="0"/>
          <w:szCs w:val="20"/>
        </w:rPr>
      </w:pPr>
      <w:r w:rsidRPr="000F5095">
        <w:rPr>
          <w:rFonts w:asciiTheme="minorHAnsi" w:eastAsia="Times New Roman" w:hAnsiTheme="minorHAnsi" w:cstheme="minorHAnsi"/>
          <w:b/>
          <w:snapToGrid w:val="0"/>
          <w:szCs w:val="20"/>
        </w:rPr>
        <w:t>Paediatric patients</w:t>
      </w:r>
      <w:r w:rsidRPr="000F5095">
        <w:rPr>
          <w:rFonts w:asciiTheme="minorHAnsi" w:eastAsia="Times New Roman" w:hAnsiTheme="minorHAnsi" w:cstheme="minorHAnsi"/>
          <w:snapToGrid w:val="0"/>
          <w:szCs w:val="20"/>
        </w:rPr>
        <w:t xml:space="preserve">: </w:t>
      </w:r>
      <w:r w:rsidRPr="000F5095">
        <w:rPr>
          <w:rFonts w:asciiTheme="minorHAnsi" w:eastAsia="Times New Roman" w:hAnsiTheme="minorHAnsi" w:cstheme="minorHAnsi"/>
          <w:szCs w:val="20"/>
        </w:rPr>
        <w:t>Pharmacokinetic parameters of fondaparinux were characterized in a population pharmacokinetic analysis with sparse blood sampling data from 24 paediatric patients (1-18 years).  Administration of a once daily 0.1 mg/kg subcutaneous dose to paediatric patients resulted in similar fondaparinux concentrations to that observed for adults administered recommended doses for the treatment of DVT or PE</w:t>
      </w:r>
      <w:r w:rsidRPr="000F5095">
        <w:rPr>
          <w:rFonts w:asciiTheme="minorHAnsi" w:eastAsia="Times New Roman" w:hAnsiTheme="minorHAnsi" w:cstheme="minorHAnsi"/>
          <w:b/>
          <w:i/>
          <w:color w:val="FF0000"/>
          <w:szCs w:val="20"/>
        </w:rPr>
        <w:t xml:space="preserve"> </w:t>
      </w:r>
      <w:r w:rsidRPr="000F5095">
        <w:rPr>
          <w:rFonts w:asciiTheme="minorHAnsi" w:eastAsia="Times New Roman" w:hAnsiTheme="minorHAnsi" w:cstheme="minorHAnsi"/>
          <w:szCs w:val="20"/>
        </w:rPr>
        <w:t>(see</w:t>
      </w:r>
      <w:r w:rsidR="00D11E21">
        <w:rPr>
          <w:rFonts w:asciiTheme="minorHAnsi" w:eastAsia="Times New Roman" w:hAnsiTheme="minorHAnsi" w:cstheme="minorHAnsi"/>
          <w:szCs w:val="20"/>
        </w:rPr>
        <w:t xml:space="preserve"> Section 5.1 P</w:t>
      </w:r>
      <w:r w:rsidR="00D11E21" w:rsidRPr="00D11E21">
        <w:rPr>
          <w:rFonts w:asciiTheme="minorHAnsi" w:eastAsia="Times New Roman" w:hAnsiTheme="minorHAnsi" w:cstheme="minorHAnsi"/>
          <w:szCs w:val="20"/>
        </w:rPr>
        <w:t>harmacodynamic properties -</w:t>
      </w:r>
      <w:r w:rsidRPr="00D11E21">
        <w:rPr>
          <w:rFonts w:asciiTheme="minorHAnsi" w:eastAsia="Times New Roman" w:hAnsiTheme="minorHAnsi" w:cstheme="minorHAnsi"/>
          <w:i/>
          <w:szCs w:val="20"/>
        </w:rPr>
        <w:t xml:space="preserve"> </w:t>
      </w:r>
      <w:r w:rsidR="00D11E21">
        <w:rPr>
          <w:rFonts w:asciiTheme="minorHAnsi" w:eastAsia="Times New Roman" w:hAnsiTheme="minorHAnsi" w:cstheme="minorHAnsi"/>
          <w:szCs w:val="20"/>
        </w:rPr>
        <w:t>Clinical t</w:t>
      </w:r>
      <w:r w:rsidRPr="00EB5A53">
        <w:rPr>
          <w:rFonts w:asciiTheme="minorHAnsi" w:eastAsia="Times New Roman" w:hAnsiTheme="minorHAnsi" w:cstheme="minorHAnsi"/>
          <w:szCs w:val="20"/>
        </w:rPr>
        <w:t>rials</w:t>
      </w:r>
      <w:r w:rsidRPr="000F5095">
        <w:rPr>
          <w:rFonts w:asciiTheme="minorHAnsi" w:eastAsia="Times New Roman" w:hAnsiTheme="minorHAnsi" w:cstheme="minorHAnsi"/>
          <w:szCs w:val="20"/>
        </w:rPr>
        <w:t xml:space="preserve">).  An adult bioequivalence study was employed to provide data for the population PK analysis. Fondaparinux has not </w:t>
      </w:r>
      <w:r w:rsidRPr="000F5095">
        <w:rPr>
          <w:rFonts w:asciiTheme="minorHAnsi" w:eastAsia="Times New Roman" w:hAnsiTheme="minorHAnsi" w:cstheme="minorHAnsi"/>
          <w:szCs w:val="20"/>
        </w:rPr>
        <w:lastRenderedPageBreak/>
        <w:t xml:space="preserve">been investigated in this population for the prevention of VTE or for the treatment of superficial vein thrombosis or acute coronary syndrome (ACS). </w:t>
      </w:r>
    </w:p>
    <w:p w:rsidR="003A369B" w:rsidRPr="000F5095" w:rsidRDefault="003A369B" w:rsidP="00EB5A53">
      <w:pPr>
        <w:pStyle w:val="ListParagraph"/>
        <w:spacing w:after="120" w:line="240" w:lineRule="auto"/>
        <w:ind w:left="360"/>
        <w:jc w:val="both"/>
        <w:rPr>
          <w:rFonts w:asciiTheme="minorHAnsi" w:eastAsia="Times New Roman" w:hAnsiTheme="minorHAnsi" w:cstheme="minorHAnsi"/>
          <w:snapToGrid w:val="0"/>
          <w:szCs w:val="20"/>
        </w:rPr>
      </w:pPr>
    </w:p>
    <w:p w:rsidR="003A369B" w:rsidRPr="000F5095" w:rsidRDefault="003A369B" w:rsidP="00EB5A53">
      <w:pPr>
        <w:pStyle w:val="ListParagraph"/>
        <w:numPr>
          <w:ilvl w:val="0"/>
          <w:numId w:val="16"/>
        </w:numPr>
        <w:spacing w:after="120" w:line="240" w:lineRule="auto"/>
        <w:jc w:val="both"/>
        <w:rPr>
          <w:rFonts w:asciiTheme="minorHAnsi" w:eastAsia="Times New Roman" w:hAnsiTheme="minorHAnsi" w:cstheme="minorHAnsi"/>
          <w:snapToGrid w:val="0"/>
          <w:szCs w:val="20"/>
        </w:rPr>
      </w:pPr>
      <w:r w:rsidRPr="000F5095">
        <w:rPr>
          <w:rFonts w:asciiTheme="minorHAnsi" w:eastAsia="Times New Roman" w:hAnsiTheme="minorHAnsi" w:cstheme="minorHAnsi"/>
          <w:b/>
          <w:snapToGrid w:val="0"/>
          <w:szCs w:val="20"/>
        </w:rPr>
        <w:t>Elderly patients</w:t>
      </w:r>
      <w:r w:rsidRPr="000F5095">
        <w:rPr>
          <w:rFonts w:asciiTheme="minorHAnsi" w:eastAsia="Times New Roman" w:hAnsiTheme="minorHAnsi" w:cstheme="minorHAnsi"/>
          <w:snapToGrid w:val="0"/>
          <w:szCs w:val="20"/>
        </w:rPr>
        <w:t>: In patients over 75 years, the estimated plasma clearance was 1.2 to 1.4 times lower than in patients less than 65 years.</w:t>
      </w:r>
    </w:p>
    <w:p w:rsidR="003A369B" w:rsidRPr="000F5095" w:rsidRDefault="003A369B" w:rsidP="00EB5A53">
      <w:pPr>
        <w:spacing w:after="0" w:line="240" w:lineRule="auto"/>
        <w:jc w:val="both"/>
        <w:rPr>
          <w:rFonts w:eastAsia="Times New Roman" w:cstheme="minorHAnsi"/>
          <w:snapToGrid w:val="0"/>
          <w:szCs w:val="20"/>
        </w:rPr>
      </w:pPr>
    </w:p>
    <w:p w:rsidR="003A369B" w:rsidRPr="000F5095" w:rsidRDefault="003A369B" w:rsidP="00EB5A53">
      <w:pPr>
        <w:pStyle w:val="ListParagraph"/>
        <w:numPr>
          <w:ilvl w:val="0"/>
          <w:numId w:val="16"/>
        </w:numPr>
        <w:spacing w:after="120" w:line="240" w:lineRule="auto"/>
        <w:jc w:val="both"/>
        <w:rPr>
          <w:rFonts w:asciiTheme="minorHAnsi" w:eastAsia="Times New Roman" w:hAnsiTheme="minorHAnsi" w:cstheme="minorHAnsi"/>
          <w:snapToGrid w:val="0"/>
          <w:szCs w:val="20"/>
        </w:rPr>
      </w:pPr>
      <w:r w:rsidRPr="000F5095">
        <w:rPr>
          <w:rFonts w:asciiTheme="minorHAnsi" w:eastAsia="Times New Roman" w:hAnsiTheme="minorHAnsi" w:cstheme="minorHAnsi"/>
          <w:b/>
          <w:snapToGrid w:val="0"/>
          <w:szCs w:val="20"/>
        </w:rPr>
        <w:t>Renally impaired patients</w:t>
      </w:r>
      <w:r w:rsidRPr="000F5095">
        <w:rPr>
          <w:rFonts w:asciiTheme="minorHAnsi" w:eastAsia="Times New Roman" w:hAnsiTheme="minorHAnsi" w:cstheme="minorHAnsi"/>
          <w:snapToGrid w:val="0"/>
          <w:szCs w:val="20"/>
        </w:rPr>
        <w:t>:</w:t>
      </w:r>
      <w:r w:rsidRPr="000F5095">
        <w:rPr>
          <w:rFonts w:asciiTheme="minorHAnsi" w:eastAsia="Times New Roman" w:hAnsiTheme="minorHAnsi" w:cstheme="minorHAnsi"/>
          <w:b/>
          <w:snapToGrid w:val="0"/>
          <w:szCs w:val="20"/>
        </w:rPr>
        <w:t xml:space="preserve"> </w:t>
      </w:r>
      <w:r w:rsidRPr="000F5095">
        <w:rPr>
          <w:rFonts w:asciiTheme="minorHAnsi" w:eastAsia="Times New Roman" w:hAnsiTheme="minorHAnsi" w:cstheme="minorHAnsi"/>
          <w:snapToGrid w:val="0"/>
          <w:szCs w:val="20"/>
        </w:rPr>
        <w:t xml:space="preserve">Compared with patients with normal renal function (creatinine clearance &gt; 80 mL/min) undergoing prophylaxis following orthopaedic surgery, plasma clearance is 1.2 to 1.4 times lower in patients with mild renal impairment (creatinine clearance 50 to 80 mL/min) and on average 2 times lower in patients with moderate renal impairment (creatinine clearance 30 to 50 mL/min). A similar pattern is observed in DVT and PE treatment patients. </w:t>
      </w:r>
    </w:p>
    <w:p w:rsidR="003A369B" w:rsidRPr="000F5095" w:rsidRDefault="003A369B" w:rsidP="00EB5A53">
      <w:pPr>
        <w:spacing w:after="120" w:line="240" w:lineRule="auto"/>
        <w:ind w:left="357"/>
        <w:jc w:val="both"/>
        <w:rPr>
          <w:rFonts w:eastAsia="Times New Roman" w:cstheme="minorHAnsi"/>
          <w:snapToGrid w:val="0"/>
          <w:color w:val="FF0000"/>
          <w:szCs w:val="20"/>
        </w:rPr>
      </w:pPr>
      <w:r w:rsidRPr="000F5095">
        <w:rPr>
          <w:rFonts w:eastAsia="Times New Roman" w:cstheme="minorHAnsi"/>
          <w:snapToGrid w:val="0"/>
          <w:szCs w:val="20"/>
        </w:rPr>
        <w:t>IV Dosing - In severe renal impairment (creatinine clearance 10 -</w:t>
      </w:r>
      <w:r w:rsidRPr="000F5095">
        <w:rPr>
          <w:rFonts w:eastAsia="Times New Roman" w:cstheme="minorHAnsi"/>
          <w:snapToGrid w:val="0"/>
          <w:color w:val="FF0000"/>
          <w:szCs w:val="20"/>
        </w:rPr>
        <w:t xml:space="preserve"> </w:t>
      </w:r>
      <w:r w:rsidRPr="000F5095">
        <w:rPr>
          <w:rFonts w:eastAsia="Times New Roman" w:cstheme="minorHAnsi"/>
          <w:snapToGrid w:val="0"/>
          <w:szCs w:val="20"/>
        </w:rPr>
        <w:t>30 ml/min), plasma clearance is approximately 5 times lower than in normal renal function. Associated terminal half-life values were 29 h in moderate and 72 h in patients with severe renal impairment.</w:t>
      </w:r>
    </w:p>
    <w:p w:rsidR="003A369B" w:rsidRDefault="003A369B" w:rsidP="00EB5A53">
      <w:pPr>
        <w:pStyle w:val="ListParagraph"/>
        <w:numPr>
          <w:ilvl w:val="0"/>
          <w:numId w:val="17"/>
        </w:numPr>
        <w:spacing w:after="120" w:line="240" w:lineRule="auto"/>
        <w:jc w:val="both"/>
        <w:rPr>
          <w:rFonts w:asciiTheme="minorHAnsi" w:eastAsia="Times New Roman" w:hAnsiTheme="minorHAnsi" w:cstheme="minorHAnsi"/>
          <w:snapToGrid w:val="0"/>
          <w:szCs w:val="20"/>
        </w:rPr>
      </w:pPr>
      <w:r w:rsidRPr="000F5095">
        <w:rPr>
          <w:rFonts w:asciiTheme="minorHAnsi" w:eastAsia="Times New Roman" w:hAnsiTheme="minorHAnsi" w:cstheme="minorHAnsi"/>
          <w:b/>
          <w:snapToGrid w:val="0"/>
          <w:szCs w:val="20"/>
        </w:rPr>
        <w:t>Gender</w:t>
      </w:r>
      <w:r w:rsidRPr="000F5095">
        <w:rPr>
          <w:rFonts w:asciiTheme="minorHAnsi" w:eastAsia="Times New Roman" w:hAnsiTheme="minorHAnsi" w:cstheme="minorHAnsi"/>
          <w:snapToGrid w:val="0"/>
          <w:szCs w:val="20"/>
        </w:rPr>
        <w:t>: No gender differences were observed after adjustment for body weight.</w:t>
      </w:r>
    </w:p>
    <w:p w:rsidR="003A369B" w:rsidRPr="000F5095" w:rsidRDefault="003A369B" w:rsidP="00EB5A53">
      <w:pPr>
        <w:pStyle w:val="ListParagraph"/>
        <w:spacing w:after="120" w:line="240" w:lineRule="auto"/>
        <w:jc w:val="both"/>
        <w:rPr>
          <w:rFonts w:asciiTheme="minorHAnsi" w:eastAsia="Times New Roman" w:hAnsiTheme="minorHAnsi" w:cstheme="minorHAnsi"/>
          <w:snapToGrid w:val="0"/>
          <w:szCs w:val="20"/>
        </w:rPr>
      </w:pPr>
    </w:p>
    <w:p w:rsidR="003A369B" w:rsidRPr="00EB5A53" w:rsidRDefault="003A369B" w:rsidP="00EB5A53">
      <w:pPr>
        <w:pStyle w:val="ListParagraph"/>
        <w:numPr>
          <w:ilvl w:val="0"/>
          <w:numId w:val="17"/>
        </w:numPr>
        <w:spacing w:after="120" w:line="240" w:lineRule="auto"/>
        <w:jc w:val="both"/>
        <w:rPr>
          <w:rFonts w:eastAsia="Times New Roman" w:cstheme="minorHAnsi"/>
          <w:snapToGrid w:val="0"/>
          <w:szCs w:val="20"/>
        </w:rPr>
      </w:pPr>
      <w:r w:rsidRPr="000F5095">
        <w:rPr>
          <w:rFonts w:asciiTheme="minorHAnsi" w:eastAsia="Times New Roman" w:hAnsiTheme="minorHAnsi" w:cstheme="minorHAnsi"/>
          <w:b/>
          <w:snapToGrid w:val="0"/>
          <w:szCs w:val="20"/>
        </w:rPr>
        <w:t>Race</w:t>
      </w:r>
      <w:r w:rsidRPr="000F5095">
        <w:rPr>
          <w:rFonts w:asciiTheme="minorHAnsi" w:eastAsia="Times New Roman" w:hAnsiTheme="minorHAnsi" w:cstheme="minorHAnsi"/>
          <w:snapToGrid w:val="0"/>
          <w:szCs w:val="20"/>
        </w:rPr>
        <w:t>: Pharmacokinetic differences due to race have not been studied prospectively. However, studies performed in Asian (Japanese) healthy subjects did not reveal a different pharmacokinetic profile compared to caucasian healthy subjects. Similarly, no plasma clearance differences were observed between black and caucasian patients undergoing orthopaedic surgery.</w:t>
      </w:r>
    </w:p>
    <w:p w:rsidR="003A369B" w:rsidRPr="000F5095" w:rsidRDefault="003A369B" w:rsidP="003A369B">
      <w:pPr>
        <w:pStyle w:val="NoSpacing"/>
        <w:spacing w:line="276" w:lineRule="auto"/>
        <w:jc w:val="both"/>
        <w:rPr>
          <w:b/>
          <w:lang w:val="en-US"/>
        </w:rPr>
      </w:pPr>
    </w:p>
    <w:p w:rsidR="003A369B" w:rsidRPr="000F5095" w:rsidRDefault="003A369B" w:rsidP="003A369B">
      <w:pPr>
        <w:pStyle w:val="Heading2"/>
        <w:spacing w:before="0" w:after="120"/>
        <w:rPr>
          <w:rFonts w:asciiTheme="minorHAnsi" w:hAnsiTheme="minorHAnsi" w:cstheme="minorHAnsi"/>
          <w:lang w:val="en-US"/>
        </w:rPr>
      </w:pPr>
      <w:r w:rsidRPr="000F5095">
        <w:rPr>
          <w:rFonts w:asciiTheme="minorHAnsi" w:hAnsiTheme="minorHAnsi" w:cstheme="minorHAnsi"/>
          <w:lang w:val="en-US"/>
        </w:rPr>
        <w:t>Preclinical safety data</w:t>
      </w:r>
    </w:p>
    <w:p w:rsidR="003A369B" w:rsidRDefault="003A369B" w:rsidP="00EB5A53">
      <w:pPr>
        <w:pStyle w:val="Heading3"/>
        <w:spacing w:before="0" w:line="240" w:lineRule="auto"/>
        <w:ind w:left="0"/>
        <w:jc w:val="both"/>
        <w:rPr>
          <w:rFonts w:asciiTheme="minorHAnsi" w:hAnsiTheme="minorHAnsi" w:cstheme="minorHAnsi"/>
        </w:rPr>
      </w:pPr>
      <w:r w:rsidRPr="000F5095">
        <w:rPr>
          <w:rFonts w:asciiTheme="minorHAnsi" w:hAnsiTheme="minorHAnsi" w:cstheme="minorHAnsi"/>
        </w:rPr>
        <w:t>Genotoxicity</w:t>
      </w:r>
    </w:p>
    <w:p w:rsidR="003A369B" w:rsidRPr="00F74049" w:rsidRDefault="003A369B" w:rsidP="00EB5A53">
      <w:pPr>
        <w:spacing w:line="240" w:lineRule="auto"/>
        <w:jc w:val="both"/>
      </w:pPr>
      <w:r w:rsidRPr="00F74049">
        <w:t>Fondaparinux was not mutagenic in bacterial reverse mutation and mouse lymphoma cell forward mutation assays in vitro. It did not induce chromosomal aberrations in human lymphocytes in vitro or in bone marrow cells of rats in vivo.</w:t>
      </w:r>
    </w:p>
    <w:p w:rsidR="003A369B" w:rsidRDefault="003A369B" w:rsidP="00EB5A53">
      <w:pPr>
        <w:pStyle w:val="Heading3"/>
        <w:spacing w:before="0" w:line="240" w:lineRule="auto"/>
        <w:ind w:left="0"/>
        <w:jc w:val="both"/>
        <w:rPr>
          <w:rFonts w:asciiTheme="minorHAnsi" w:hAnsiTheme="minorHAnsi" w:cstheme="minorHAnsi"/>
          <w:lang w:val="en-US"/>
        </w:rPr>
      </w:pPr>
      <w:r w:rsidRPr="000F5095">
        <w:rPr>
          <w:rFonts w:asciiTheme="minorHAnsi" w:hAnsiTheme="minorHAnsi" w:cstheme="minorHAnsi"/>
        </w:rPr>
        <w:t>Carcin</w:t>
      </w:r>
      <w:r w:rsidRPr="000F5095">
        <w:rPr>
          <w:rFonts w:asciiTheme="minorHAnsi" w:hAnsiTheme="minorHAnsi" w:cstheme="minorHAnsi"/>
          <w:lang w:val="en-US"/>
        </w:rPr>
        <w:t>ogenicity</w:t>
      </w:r>
    </w:p>
    <w:p w:rsidR="003A369B" w:rsidRPr="00F74049" w:rsidRDefault="003A369B" w:rsidP="00EB5A53">
      <w:pPr>
        <w:spacing w:line="240" w:lineRule="auto"/>
        <w:jc w:val="both"/>
        <w:rPr>
          <w:lang w:val="en-US"/>
        </w:rPr>
      </w:pPr>
      <w:r w:rsidRPr="00F74049">
        <w:rPr>
          <w:lang w:val="en-US"/>
        </w:rPr>
        <w:t>Fondaparinux has not been tested for its carcinogenic potential in long-term animal studies.</w:t>
      </w:r>
    </w:p>
    <w:p w:rsidR="003A369B" w:rsidRPr="000F5095" w:rsidRDefault="003A369B" w:rsidP="00EB5A53">
      <w:pPr>
        <w:pStyle w:val="Heading1"/>
        <w:spacing w:before="0" w:after="120" w:line="240" w:lineRule="auto"/>
        <w:jc w:val="both"/>
        <w:rPr>
          <w:rFonts w:asciiTheme="minorHAnsi" w:hAnsiTheme="minorHAnsi" w:cstheme="minorHAnsi"/>
          <w:lang w:val="en-US"/>
        </w:rPr>
      </w:pPr>
      <w:r w:rsidRPr="000F5095">
        <w:rPr>
          <w:rFonts w:asciiTheme="minorHAnsi" w:hAnsiTheme="minorHAnsi" w:cstheme="minorHAnsi"/>
          <w:lang w:val="en-US"/>
        </w:rPr>
        <w:t>Pharmaceutical particulars</w:t>
      </w:r>
    </w:p>
    <w:p w:rsidR="003A369B" w:rsidRPr="000F5095" w:rsidRDefault="003A369B" w:rsidP="00EB5A53">
      <w:pPr>
        <w:pStyle w:val="Heading2"/>
        <w:spacing w:before="0" w:after="120" w:line="240" w:lineRule="auto"/>
        <w:jc w:val="both"/>
        <w:rPr>
          <w:rFonts w:asciiTheme="minorHAnsi" w:hAnsiTheme="minorHAnsi" w:cstheme="minorHAnsi"/>
          <w:lang w:val="en-US"/>
        </w:rPr>
      </w:pPr>
      <w:r w:rsidRPr="000F5095">
        <w:rPr>
          <w:rFonts w:asciiTheme="minorHAnsi" w:hAnsiTheme="minorHAnsi" w:cstheme="minorHAnsi"/>
          <w:lang w:val="en-US"/>
        </w:rPr>
        <w:t xml:space="preserve">List of excipients </w:t>
      </w:r>
    </w:p>
    <w:p w:rsidR="003A369B" w:rsidRPr="000F5095" w:rsidRDefault="003A369B" w:rsidP="00EB5A53">
      <w:pPr>
        <w:spacing w:line="240" w:lineRule="auto"/>
        <w:jc w:val="both"/>
        <w:rPr>
          <w:rFonts w:cstheme="minorHAnsi"/>
          <w:lang w:val="en-US"/>
        </w:rPr>
      </w:pPr>
      <w:r>
        <w:rPr>
          <w:rFonts w:cstheme="minorHAnsi"/>
          <w:lang w:val="en"/>
        </w:rPr>
        <w:t>The excipients are sodium chloride and water for injections.</w:t>
      </w:r>
      <w:r w:rsidRPr="000F5095">
        <w:rPr>
          <w:rFonts w:cstheme="minorHAnsi"/>
          <w:lang w:val="en"/>
        </w:rPr>
        <w:t xml:space="preserve"> </w:t>
      </w:r>
    </w:p>
    <w:p w:rsidR="003A369B" w:rsidRPr="000F5095" w:rsidRDefault="003A369B" w:rsidP="00EB5A53">
      <w:pPr>
        <w:pStyle w:val="Heading2"/>
        <w:keepNext/>
        <w:keepLines/>
        <w:spacing w:before="0" w:after="120" w:line="240" w:lineRule="auto"/>
        <w:jc w:val="both"/>
        <w:rPr>
          <w:rFonts w:asciiTheme="minorHAnsi" w:hAnsiTheme="minorHAnsi" w:cstheme="minorHAnsi"/>
          <w:lang w:val="en-US"/>
        </w:rPr>
      </w:pPr>
      <w:r w:rsidRPr="000F5095">
        <w:rPr>
          <w:rFonts w:asciiTheme="minorHAnsi" w:hAnsiTheme="minorHAnsi" w:cstheme="minorHAnsi"/>
          <w:lang w:val="en-US"/>
        </w:rPr>
        <w:t xml:space="preserve">Incompatibilities </w:t>
      </w:r>
    </w:p>
    <w:p w:rsidR="003A369B" w:rsidRPr="000F5095" w:rsidRDefault="003A369B" w:rsidP="00EB5A53">
      <w:pPr>
        <w:spacing w:line="240" w:lineRule="auto"/>
        <w:jc w:val="both"/>
        <w:rPr>
          <w:rFonts w:cstheme="minorHAnsi"/>
          <w:lang w:val="en-US"/>
        </w:rPr>
      </w:pPr>
      <w:r w:rsidRPr="000F5095">
        <w:rPr>
          <w:rFonts w:cstheme="minorHAnsi"/>
          <w:lang w:val="en"/>
        </w:rPr>
        <w:t xml:space="preserve">Incompatibilities were either not assessed or not identified as part of the registration of this medicine. </w:t>
      </w:r>
    </w:p>
    <w:p w:rsidR="003A369B" w:rsidRPr="000F5095" w:rsidRDefault="003A369B" w:rsidP="00EB5A53">
      <w:pPr>
        <w:pStyle w:val="Heading2"/>
        <w:spacing w:before="0" w:after="120" w:line="240" w:lineRule="auto"/>
        <w:jc w:val="both"/>
        <w:rPr>
          <w:rFonts w:asciiTheme="minorHAnsi" w:hAnsiTheme="minorHAnsi" w:cstheme="minorHAnsi"/>
          <w:lang w:val="en-US"/>
        </w:rPr>
      </w:pPr>
      <w:r w:rsidRPr="000F5095">
        <w:rPr>
          <w:rFonts w:asciiTheme="minorHAnsi" w:hAnsiTheme="minorHAnsi" w:cstheme="minorHAnsi"/>
          <w:lang w:val="en-US"/>
        </w:rPr>
        <w:t xml:space="preserve">Shelf life </w:t>
      </w:r>
    </w:p>
    <w:p w:rsidR="003A369B" w:rsidRPr="000F5095" w:rsidRDefault="003A369B" w:rsidP="00EB5A53">
      <w:pPr>
        <w:spacing w:line="240" w:lineRule="auto"/>
        <w:jc w:val="both"/>
        <w:rPr>
          <w:rFonts w:cstheme="minorHAnsi"/>
          <w:lang w:val="en-US"/>
        </w:rPr>
      </w:pPr>
      <w:r w:rsidRPr="000F5095">
        <w:rPr>
          <w:rFonts w:cstheme="minorHAnsi"/>
          <w:lang w:val="en"/>
        </w:rPr>
        <w:t xml:space="preserve">In Australia, information on the shelf life can be found on the public summary of the Australian Register of Therapeutic Goods (ARTG). The expiry date can be found on the packaging. </w:t>
      </w:r>
    </w:p>
    <w:p w:rsidR="003A369B" w:rsidRDefault="003A369B" w:rsidP="00EB5A53">
      <w:pPr>
        <w:pStyle w:val="Heading2"/>
        <w:keepNext/>
        <w:keepLines/>
        <w:spacing w:before="0" w:after="120" w:line="240" w:lineRule="auto"/>
        <w:jc w:val="both"/>
        <w:rPr>
          <w:rFonts w:asciiTheme="minorHAnsi" w:hAnsiTheme="minorHAnsi" w:cstheme="minorHAnsi"/>
          <w:lang w:val="en-US"/>
        </w:rPr>
      </w:pPr>
      <w:r w:rsidRPr="000F5095">
        <w:rPr>
          <w:rFonts w:asciiTheme="minorHAnsi" w:hAnsiTheme="minorHAnsi" w:cstheme="minorHAnsi"/>
          <w:lang w:val="en-US"/>
        </w:rPr>
        <w:lastRenderedPageBreak/>
        <w:t xml:space="preserve">Special precautions for storage </w:t>
      </w:r>
    </w:p>
    <w:p w:rsidR="003A369B" w:rsidRDefault="003A369B" w:rsidP="00EB5A53">
      <w:pPr>
        <w:spacing w:line="240" w:lineRule="auto"/>
        <w:jc w:val="both"/>
      </w:pPr>
      <w:r w:rsidRPr="000F5095">
        <w:t>Store below 25°C</w:t>
      </w:r>
      <w:r>
        <w:t>.</w:t>
      </w:r>
    </w:p>
    <w:p w:rsidR="003A369B" w:rsidRPr="00F74049" w:rsidRDefault="003A369B">
      <w:pPr>
        <w:spacing w:line="240" w:lineRule="auto"/>
        <w:jc w:val="both"/>
        <w:rPr>
          <w:lang w:val="en-US"/>
        </w:rPr>
      </w:pPr>
      <w:r w:rsidRPr="00F74049">
        <w:rPr>
          <w:lang w:val="en-US"/>
        </w:rPr>
        <w:t>If fondaparinux sodium is added to a 0.9% saline mini-bag the product is chemically and physically stable for up to 6 h at 25°c. To reduce microbiological hazard, use as soon as practicable after preparation.</w:t>
      </w:r>
    </w:p>
    <w:p w:rsidR="003A369B" w:rsidRDefault="003A369B" w:rsidP="00EB5A53">
      <w:pPr>
        <w:pStyle w:val="Heading2"/>
        <w:spacing w:before="0" w:after="120" w:line="240" w:lineRule="auto"/>
        <w:jc w:val="both"/>
        <w:rPr>
          <w:rFonts w:asciiTheme="minorHAnsi" w:hAnsiTheme="minorHAnsi" w:cstheme="minorHAnsi"/>
          <w:lang w:val="en-US"/>
        </w:rPr>
      </w:pPr>
      <w:r w:rsidRPr="000F5095">
        <w:rPr>
          <w:rFonts w:asciiTheme="minorHAnsi" w:hAnsiTheme="minorHAnsi" w:cstheme="minorHAnsi"/>
          <w:lang w:val="en-US"/>
        </w:rPr>
        <w:t xml:space="preserve">Nature and contents of container </w:t>
      </w:r>
    </w:p>
    <w:p w:rsidR="003A369B" w:rsidRPr="00F74049" w:rsidRDefault="003A369B" w:rsidP="00EB5A53">
      <w:pPr>
        <w:spacing w:line="240" w:lineRule="auto"/>
        <w:jc w:val="both"/>
        <w:rPr>
          <w:lang w:val="en-US"/>
        </w:rPr>
      </w:pPr>
      <w:r>
        <w:rPr>
          <w:lang w:val="en-US"/>
        </w:rPr>
        <w:t>ARIXTRA</w:t>
      </w:r>
      <w:r w:rsidRPr="00F74049">
        <w:rPr>
          <w:lang w:val="en-US"/>
        </w:rPr>
        <w:t xml:space="preserve"> is available as pre-filled single use syringes consisting of a Type I glass barrel (1 mL) with a 27 gauge x 12.7 mm needle and an automatic safety system. </w:t>
      </w:r>
    </w:p>
    <w:p w:rsidR="003A369B" w:rsidRPr="00F74049" w:rsidRDefault="003A369B" w:rsidP="00EB5A53">
      <w:pPr>
        <w:spacing w:line="240" w:lineRule="auto"/>
        <w:jc w:val="both"/>
        <w:rPr>
          <w:lang w:val="en-US"/>
        </w:rPr>
      </w:pPr>
      <w:r w:rsidRPr="00F74049">
        <w:rPr>
          <w:lang w:val="en-US"/>
        </w:rPr>
        <w:t xml:space="preserve">2.5 mg </w:t>
      </w:r>
      <w:r>
        <w:rPr>
          <w:lang w:val="en-US"/>
        </w:rPr>
        <w:t>ARIXTRA</w:t>
      </w:r>
      <w:r w:rsidRPr="00F74049">
        <w:rPr>
          <w:lang w:val="en-US"/>
        </w:rPr>
        <w:t xml:space="preserve"> in 0.5 mL single dose pre-filled syringe, with a blue plunger and an automatic safety system. Pack sizes of 2, 10 and 20 pre-filled syringes. </w:t>
      </w:r>
    </w:p>
    <w:p w:rsidR="003A369B" w:rsidRPr="00F74049" w:rsidRDefault="003A369B" w:rsidP="00EB5A53">
      <w:pPr>
        <w:spacing w:line="240" w:lineRule="auto"/>
        <w:jc w:val="both"/>
        <w:rPr>
          <w:lang w:val="en-US"/>
        </w:rPr>
      </w:pPr>
      <w:r w:rsidRPr="00F74049">
        <w:rPr>
          <w:lang w:val="en-US"/>
        </w:rPr>
        <w:t xml:space="preserve">5.0 mg </w:t>
      </w:r>
      <w:r>
        <w:rPr>
          <w:lang w:val="en-US"/>
        </w:rPr>
        <w:t>ARIXTRA</w:t>
      </w:r>
      <w:r w:rsidRPr="00F74049">
        <w:rPr>
          <w:lang w:val="en-US"/>
        </w:rPr>
        <w:t xml:space="preserve"> in 0.4 mL single dose pre-filled syringe, with a orange plunger and an automatic safety system. Pack sizes of 7, 10 and 15 pre-filled syringes.</w:t>
      </w:r>
    </w:p>
    <w:p w:rsidR="003A369B" w:rsidRPr="00F74049" w:rsidRDefault="003A369B" w:rsidP="00EB5A53">
      <w:pPr>
        <w:spacing w:line="240" w:lineRule="auto"/>
        <w:jc w:val="both"/>
        <w:rPr>
          <w:lang w:val="en-US"/>
        </w:rPr>
      </w:pPr>
      <w:r w:rsidRPr="00F74049">
        <w:rPr>
          <w:lang w:val="en-US"/>
        </w:rPr>
        <w:t xml:space="preserve">7.5 mg </w:t>
      </w:r>
      <w:r>
        <w:rPr>
          <w:lang w:val="en-US"/>
        </w:rPr>
        <w:t>ARIXTRA</w:t>
      </w:r>
      <w:r w:rsidRPr="00F74049">
        <w:rPr>
          <w:lang w:val="en-US"/>
        </w:rPr>
        <w:t xml:space="preserve"> in 0.6 mL single dose pre-filled syringe, with a magenta plunger and an automatic safety system. Pack sizes of 7, 10 and 15 pre-filled syringes.</w:t>
      </w:r>
    </w:p>
    <w:p w:rsidR="003A369B" w:rsidRPr="00F74049" w:rsidRDefault="003A369B" w:rsidP="00EB5A53">
      <w:pPr>
        <w:spacing w:line="240" w:lineRule="auto"/>
        <w:jc w:val="both"/>
        <w:rPr>
          <w:lang w:val="en-US"/>
        </w:rPr>
      </w:pPr>
      <w:r w:rsidRPr="00F74049">
        <w:rPr>
          <w:lang w:val="en-US"/>
        </w:rPr>
        <w:t xml:space="preserve">10.0 mg </w:t>
      </w:r>
      <w:r>
        <w:rPr>
          <w:lang w:val="en-US"/>
        </w:rPr>
        <w:t>ARIXTRA</w:t>
      </w:r>
      <w:r w:rsidRPr="00F74049">
        <w:rPr>
          <w:lang w:val="en-US"/>
        </w:rPr>
        <w:t xml:space="preserve"> in 0.8 mL single dose pre-filled syringe, with a violet plunger and an automatic safety system. Pack sizes of 7, 10 and 15 pre-filled syringes.</w:t>
      </w:r>
    </w:p>
    <w:p w:rsidR="003A369B" w:rsidRPr="00F74049" w:rsidRDefault="003A369B" w:rsidP="00EB5A53">
      <w:pPr>
        <w:spacing w:line="240" w:lineRule="auto"/>
        <w:jc w:val="both"/>
        <w:rPr>
          <w:lang w:val="en-US"/>
        </w:rPr>
      </w:pPr>
      <w:r w:rsidRPr="00F74049">
        <w:rPr>
          <w:lang w:val="en-US"/>
        </w:rPr>
        <w:t>Not all strengths or pack sizes are being distributed in Australia.</w:t>
      </w:r>
    </w:p>
    <w:p w:rsidR="003A369B" w:rsidRPr="000F5095" w:rsidRDefault="003A369B" w:rsidP="00EB5A53">
      <w:pPr>
        <w:pStyle w:val="Heading2"/>
        <w:spacing w:before="0" w:after="120" w:line="240" w:lineRule="auto"/>
        <w:jc w:val="both"/>
        <w:rPr>
          <w:rFonts w:asciiTheme="minorHAnsi" w:hAnsiTheme="minorHAnsi" w:cstheme="minorHAnsi"/>
          <w:lang w:val="en-US"/>
        </w:rPr>
      </w:pPr>
      <w:r w:rsidRPr="000F5095">
        <w:rPr>
          <w:rFonts w:asciiTheme="minorHAnsi" w:hAnsiTheme="minorHAnsi" w:cstheme="minorHAnsi"/>
          <w:lang w:val="en-US"/>
        </w:rPr>
        <w:t xml:space="preserve">Special precautions for disposal </w:t>
      </w:r>
    </w:p>
    <w:p w:rsidR="003A369B" w:rsidRPr="000F5095" w:rsidRDefault="003A369B" w:rsidP="00EB5A53">
      <w:pPr>
        <w:spacing w:line="240" w:lineRule="auto"/>
        <w:jc w:val="both"/>
        <w:rPr>
          <w:rFonts w:cstheme="minorHAnsi"/>
          <w:lang w:val="en"/>
        </w:rPr>
      </w:pPr>
      <w:r w:rsidRPr="000F5095">
        <w:rPr>
          <w:rFonts w:cstheme="minorHAnsi"/>
          <w:lang w:val="en"/>
        </w:rPr>
        <w:t xml:space="preserve">In Australia, any unused medicine or waste material should be disposed of by taking to your local pharmacy. </w:t>
      </w:r>
    </w:p>
    <w:p w:rsidR="003A369B" w:rsidRDefault="003A369B" w:rsidP="00EB5A53">
      <w:pPr>
        <w:pStyle w:val="Heading2"/>
        <w:spacing w:before="0" w:after="120" w:line="240" w:lineRule="auto"/>
        <w:jc w:val="both"/>
        <w:rPr>
          <w:rFonts w:asciiTheme="minorHAnsi" w:hAnsiTheme="minorHAnsi" w:cstheme="minorHAnsi"/>
          <w:lang w:val="en-US"/>
        </w:rPr>
      </w:pPr>
      <w:r w:rsidRPr="000F5095">
        <w:rPr>
          <w:rFonts w:asciiTheme="minorHAnsi" w:hAnsiTheme="minorHAnsi" w:cstheme="minorHAnsi"/>
          <w:lang w:val="en-US"/>
        </w:rPr>
        <w:t>Physicochemical properties</w:t>
      </w:r>
    </w:p>
    <w:p w:rsidR="003A369B" w:rsidRPr="00EB5A53" w:rsidRDefault="003A369B" w:rsidP="00EB5A53">
      <w:pPr>
        <w:spacing w:line="240" w:lineRule="auto"/>
        <w:jc w:val="both"/>
      </w:pPr>
      <w:r w:rsidRPr="000F5095">
        <w:rPr>
          <w:snapToGrid w:val="0"/>
        </w:rPr>
        <w:t>Fondaparinux sodium is a white to almost white powder which is highly soluble in water and in dilute alkali solution, but insoluble in ethanol.</w:t>
      </w:r>
    </w:p>
    <w:p w:rsidR="003A369B" w:rsidRDefault="003A369B" w:rsidP="003A369B">
      <w:pPr>
        <w:pStyle w:val="Heading3"/>
        <w:spacing w:before="0" w:after="120"/>
        <w:rPr>
          <w:rFonts w:asciiTheme="minorHAnsi" w:hAnsiTheme="minorHAnsi" w:cstheme="minorHAnsi"/>
          <w:lang w:val="en-US"/>
        </w:rPr>
      </w:pPr>
      <w:r w:rsidRPr="000F5095">
        <w:rPr>
          <w:rFonts w:asciiTheme="minorHAnsi" w:hAnsiTheme="minorHAnsi" w:cstheme="minorHAnsi"/>
          <w:lang w:val="en-US"/>
        </w:rPr>
        <w:t>Chemical structure</w:t>
      </w:r>
    </w:p>
    <w:p w:rsidR="003A369B" w:rsidRDefault="003A369B" w:rsidP="003A369B">
      <w:pPr>
        <w:rPr>
          <w:lang w:val="en-US"/>
        </w:rPr>
      </w:pPr>
      <w:r w:rsidRPr="000F5095">
        <w:rPr>
          <w:noProof/>
          <w:lang w:eastAsia="en-AU"/>
        </w:rPr>
        <w:drawing>
          <wp:inline distT="0" distB="0" distL="0" distR="0" wp14:anchorId="3A577104" wp14:editId="4797786D">
            <wp:extent cx="4838700" cy="8286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838700" cy="828675"/>
                    </a:xfrm>
                    <a:prstGeom prst="rect">
                      <a:avLst/>
                    </a:prstGeom>
                    <a:noFill/>
                    <a:ln w="9525">
                      <a:noFill/>
                      <a:miter lim="800000"/>
                      <a:headEnd/>
                      <a:tailEnd/>
                    </a:ln>
                  </pic:spPr>
                </pic:pic>
              </a:graphicData>
            </a:graphic>
          </wp:inline>
        </w:drawing>
      </w:r>
    </w:p>
    <w:p w:rsidR="003A369B" w:rsidRPr="000F5095" w:rsidRDefault="003A369B" w:rsidP="00EB5A53">
      <w:pPr>
        <w:spacing w:line="240" w:lineRule="auto"/>
        <w:jc w:val="both"/>
        <w:rPr>
          <w:lang w:val="en-US"/>
        </w:rPr>
      </w:pPr>
      <w:r w:rsidRPr="000F5095">
        <w:t>MW = 1728       C</w:t>
      </w:r>
      <w:r w:rsidRPr="000F5095">
        <w:rPr>
          <w:vertAlign w:val="subscript"/>
        </w:rPr>
        <w:t>31</w:t>
      </w:r>
      <w:r w:rsidRPr="000F5095">
        <w:t>H</w:t>
      </w:r>
      <w:r w:rsidRPr="000F5095">
        <w:rPr>
          <w:vertAlign w:val="subscript"/>
        </w:rPr>
        <w:t>43</w:t>
      </w:r>
      <w:r w:rsidRPr="000F5095">
        <w:t>N</w:t>
      </w:r>
      <w:r w:rsidRPr="000F5095">
        <w:rPr>
          <w:vertAlign w:val="subscript"/>
        </w:rPr>
        <w:t>3</w:t>
      </w:r>
      <w:r w:rsidRPr="000F5095">
        <w:t>Na</w:t>
      </w:r>
      <w:r w:rsidRPr="000F5095">
        <w:rPr>
          <w:vertAlign w:val="subscript"/>
        </w:rPr>
        <w:t>10</w:t>
      </w:r>
      <w:r w:rsidRPr="000F5095">
        <w:t>O</w:t>
      </w:r>
      <w:r w:rsidRPr="000F5095">
        <w:rPr>
          <w:vertAlign w:val="subscript"/>
        </w:rPr>
        <w:t>49</w:t>
      </w:r>
      <w:r w:rsidRPr="000F5095">
        <w:t>S</w:t>
      </w:r>
      <w:r w:rsidRPr="000F5095">
        <w:rPr>
          <w:vertAlign w:val="subscript"/>
        </w:rPr>
        <w:t>8</w:t>
      </w:r>
    </w:p>
    <w:p w:rsidR="003A369B" w:rsidRDefault="003A369B" w:rsidP="003A369B">
      <w:pPr>
        <w:pStyle w:val="Heading3"/>
        <w:spacing w:before="0"/>
        <w:ind w:left="0"/>
        <w:rPr>
          <w:rFonts w:asciiTheme="minorHAnsi" w:hAnsiTheme="minorHAnsi" w:cstheme="minorHAnsi"/>
          <w:lang w:val="en-US"/>
        </w:rPr>
      </w:pPr>
      <w:r w:rsidRPr="000F5095">
        <w:rPr>
          <w:rFonts w:asciiTheme="minorHAnsi" w:hAnsiTheme="minorHAnsi" w:cstheme="minorHAnsi"/>
          <w:lang w:val="en-US"/>
        </w:rPr>
        <w:t>CAS number</w:t>
      </w:r>
    </w:p>
    <w:p w:rsidR="003A369B" w:rsidRPr="000F5095" w:rsidRDefault="003A369B" w:rsidP="00EB5A53">
      <w:pPr>
        <w:spacing w:line="240" w:lineRule="auto"/>
        <w:jc w:val="both"/>
        <w:rPr>
          <w:lang w:val="en-US"/>
        </w:rPr>
      </w:pPr>
      <w:r w:rsidRPr="000F5095">
        <w:rPr>
          <w:snapToGrid w:val="0"/>
        </w:rPr>
        <w:t>114870-03-0</w:t>
      </w:r>
    </w:p>
    <w:p w:rsidR="003A369B" w:rsidRDefault="003A369B" w:rsidP="00736CB6">
      <w:pPr>
        <w:pStyle w:val="Heading1"/>
        <w:pageBreakBefore/>
        <w:spacing w:before="0" w:after="120"/>
        <w:ind w:left="431" w:hanging="431"/>
        <w:rPr>
          <w:rFonts w:asciiTheme="minorHAnsi" w:hAnsiTheme="minorHAnsi" w:cstheme="minorHAnsi"/>
          <w:lang w:val="en-US"/>
        </w:rPr>
      </w:pPr>
      <w:r w:rsidRPr="000F5095">
        <w:rPr>
          <w:rFonts w:asciiTheme="minorHAnsi" w:hAnsiTheme="minorHAnsi" w:cstheme="minorHAnsi"/>
          <w:lang w:val="en-US"/>
        </w:rPr>
        <w:lastRenderedPageBreak/>
        <w:t>Medicine schedule (Poisons Standard)</w:t>
      </w:r>
    </w:p>
    <w:p w:rsidR="003A369B" w:rsidRPr="000F5095" w:rsidRDefault="003A369B" w:rsidP="003A369B">
      <w:pPr>
        <w:rPr>
          <w:lang w:val="en-US"/>
        </w:rPr>
      </w:pPr>
      <w:r>
        <w:rPr>
          <w:lang w:val="en-US"/>
        </w:rPr>
        <w:t>S4</w:t>
      </w:r>
    </w:p>
    <w:p w:rsidR="003A369B" w:rsidRDefault="003A369B" w:rsidP="003A369B">
      <w:pPr>
        <w:pStyle w:val="Heading1"/>
        <w:spacing w:before="0" w:after="120"/>
        <w:rPr>
          <w:rFonts w:asciiTheme="minorHAnsi" w:hAnsiTheme="minorHAnsi" w:cstheme="minorHAnsi"/>
          <w:lang w:val="en-US"/>
        </w:rPr>
      </w:pPr>
      <w:r w:rsidRPr="000F5095">
        <w:rPr>
          <w:rFonts w:asciiTheme="minorHAnsi" w:hAnsiTheme="minorHAnsi" w:cstheme="minorHAnsi"/>
          <w:lang w:val="en-US"/>
        </w:rPr>
        <w:t>Sponsor</w:t>
      </w:r>
    </w:p>
    <w:p w:rsidR="003A369B" w:rsidRPr="000F5095" w:rsidRDefault="003A369B" w:rsidP="00EB5A53">
      <w:pPr>
        <w:spacing w:after="0" w:line="240" w:lineRule="auto"/>
        <w:jc w:val="both"/>
      </w:pPr>
      <w:r w:rsidRPr="000F5095">
        <w:t>Aspen Pharmacare Australia Pty Ltd</w:t>
      </w:r>
    </w:p>
    <w:p w:rsidR="003A369B" w:rsidRPr="000F5095" w:rsidRDefault="003A369B" w:rsidP="00EB5A53">
      <w:pPr>
        <w:spacing w:after="0" w:line="240" w:lineRule="auto"/>
        <w:jc w:val="both"/>
      </w:pPr>
      <w:r w:rsidRPr="000F5095">
        <w:t>34-36 Chandos Street</w:t>
      </w:r>
    </w:p>
    <w:p w:rsidR="003A369B" w:rsidRDefault="003A369B" w:rsidP="00EB5A53">
      <w:pPr>
        <w:spacing w:after="0" w:line="240" w:lineRule="auto"/>
        <w:jc w:val="both"/>
      </w:pPr>
      <w:r w:rsidRPr="000F5095">
        <w:t>St Leonards NSW 2065</w:t>
      </w:r>
    </w:p>
    <w:p w:rsidR="00E712DA" w:rsidRPr="00E712DA" w:rsidRDefault="00E61B20" w:rsidP="00E712DA">
      <w:pPr>
        <w:spacing w:after="0" w:line="240" w:lineRule="auto"/>
        <w:jc w:val="both"/>
      </w:pPr>
      <w:hyperlink r:id="rId15" w:history="1">
        <w:r w:rsidR="00E712DA" w:rsidRPr="00E712DA">
          <w:rPr>
            <w:rStyle w:val="Hyperlink"/>
          </w:rPr>
          <w:t>http://www.aspenpharma.com.au</w:t>
        </w:r>
      </w:hyperlink>
    </w:p>
    <w:p w:rsidR="00E712DA" w:rsidRDefault="00E712DA" w:rsidP="00EB5A53">
      <w:pPr>
        <w:spacing w:after="0" w:line="240" w:lineRule="auto"/>
        <w:jc w:val="both"/>
      </w:pPr>
    </w:p>
    <w:p w:rsidR="003A369B" w:rsidRPr="000F5095" w:rsidRDefault="003A369B" w:rsidP="00EB5A53">
      <w:pPr>
        <w:spacing w:after="0" w:line="240" w:lineRule="auto"/>
        <w:jc w:val="both"/>
      </w:pPr>
    </w:p>
    <w:p w:rsidR="003A369B" w:rsidRDefault="003A369B" w:rsidP="00EB5A53">
      <w:pPr>
        <w:pStyle w:val="Heading1"/>
        <w:spacing w:before="0" w:after="120" w:line="240" w:lineRule="auto"/>
        <w:jc w:val="both"/>
        <w:rPr>
          <w:rFonts w:asciiTheme="minorHAnsi" w:hAnsiTheme="minorHAnsi" w:cstheme="minorHAnsi"/>
          <w:lang w:val="en-US"/>
        </w:rPr>
      </w:pPr>
      <w:r w:rsidRPr="000F5095">
        <w:rPr>
          <w:rFonts w:asciiTheme="minorHAnsi" w:hAnsiTheme="minorHAnsi" w:cstheme="minorHAnsi"/>
          <w:lang w:val="en-US"/>
        </w:rPr>
        <w:t xml:space="preserve">Date of first approval  </w:t>
      </w:r>
    </w:p>
    <w:p w:rsidR="003A369B" w:rsidRPr="000F5095" w:rsidRDefault="003A369B" w:rsidP="00EB5A53">
      <w:pPr>
        <w:spacing w:line="240" w:lineRule="auto"/>
        <w:jc w:val="both"/>
      </w:pPr>
      <w:r w:rsidRPr="000F5095">
        <w:t>15 April 2013</w:t>
      </w:r>
    </w:p>
    <w:p w:rsidR="003A369B" w:rsidRDefault="003A369B" w:rsidP="00EB5A53">
      <w:pPr>
        <w:pStyle w:val="Heading1"/>
        <w:spacing w:before="0" w:after="120" w:line="240" w:lineRule="auto"/>
        <w:jc w:val="both"/>
        <w:rPr>
          <w:rFonts w:asciiTheme="minorHAnsi" w:hAnsiTheme="minorHAnsi" w:cstheme="minorHAnsi"/>
          <w:lang w:val="en-US"/>
        </w:rPr>
      </w:pPr>
      <w:r w:rsidRPr="000F5095">
        <w:rPr>
          <w:rFonts w:asciiTheme="minorHAnsi" w:hAnsiTheme="minorHAnsi" w:cstheme="minorHAnsi"/>
          <w:lang w:val="en-US"/>
        </w:rPr>
        <w:t xml:space="preserve">Date of revision </w:t>
      </w:r>
    </w:p>
    <w:p w:rsidR="003A369B" w:rsidRPr="00DF32F8" w:rsidRDefault="00491CE7" w:rsidP="00EB5A53">
      <w:pPr>
        <w:spacing w:line="240" w:lineRule="auto"/>
        <w:jc w:val="both"/>
        <w:rPr>
          <w:strike/>
        </w:rPr>
      </w:pPr>
      <w:r>
        <w:t>1 April 2020</w:t>
      </w:r>
    </w:p>
    <w:p w:rsidR="003A369B" w:rsidRPr="000F5095" w:rsidRDefault="003A369B" w:rsidP="003A369B">
      <w:pPr>
        <w:pStyle w:val="Heading2"/>
        <w:numPr>
          <w:ilvl w:val="0"/>
          <w:numId w:val="0"/>
        </w:numPr>
        <w:spacing w:before="0" w:after="120"/>
        <w:rPr>
          <w:rFonts w:asciiTheme="minorHAnsi" w:hAnsiTheme="minorHAnsi" w:cstheme="minorHAnsi"/>
          <w:lang w:val="en-US"/>
        </w:rPr>
      </w:pPr>
      <w:r w:rsidRPr="000F5095">
        <w:rPr>
          <w:rFonts w:asciiTheme="minorHAnsi" w:hAnsiTheme="minorHAnsi" w:cstheme="minorHAnsi"/>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88"/>
        <w:gridCol w:w="7883"/>
      </w:tblGrid>
      <w:tr w:rsidR="003A369B" w:rsidRPr="000F5095" w:rsidTr="00EB5A53">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1388" w:type="dxa"/>
            <w:shd w:val="clear" w:color="auto" w:fill="F2F2F2" w:themeFill="background1" w:themeFillShade="F2"/>
            <w:vAlign w:val="center"/>
          </w:tcPr>
          <w:p w:rsidR="003A369B" w:rsidRPr="000F5095" w:rsidRDefault="003A369B" w:rsidP="003A369B">
            <w:pPr>
              <w:rPr>
                <w:rFonts w:asciiTheme="minorHAnsi" w:hAnsiTheme="minorHAnsi" w:cstheme="minorHAnsi"/>
                <w:sz w:val="20"/>
                <w:lang w:val="en-US"/>
              </w:rPr>
            </w:pPr>
            <w:r w:rsidRPr="000F5095">
              <w:rPr>
                <w:rFonts w:asciiTheme="minorHAnsi" w:hAnsiTheme="minorHAnsi" w:cstheme="minorHAnsi"/>
                <w:sz w:val="20"/>
                <w:lang w:val="en-US"/>
              </w:rPr>
              <w:t>Section Changed</w:t>
            </w:r>
          </w:p>
        </w:tc>
        <w:tc>
          <w:tcPr>
            <w:tcW w:w="7883" w:type="dxa"/>
            <w:shd w:val="clear" w:color="auto" w:fill="F2F2F2" w:themeFill="background1" w:themeFillShade="F2"/>
            <w:vAlign w:val="center"/>
          </w:tcPr>
          <w:p w:rsidR="003A369B" w:rsidRPr="000F5095" w:rsidRDefault="003A369B" w:rsidP="003A369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lang w:val="en-US"/>
              </w:rPr>
            </w:pPr>
            <w:r w:rsidRPr="000F5095">
              <w:rPr>
                <w:rFonts w:asciiTheme="minorHAnsi" w:hAnsiTheme="minorHAnsi" w:cstheme="minorHAnsi"/>
                <w:sz w:val="20"/>
                <w:lang w:val="en-US"/>
              </w:rPr>
              <w:t>Summary of new information</w:t>
            </w:r>
          </w:p>
        </w:tc>
      </w:tr>
      <w:tr w:rsidR="003A369B" w:rsidRPr="000F5095" w:rsidTr="00EB5A53">
        <w:trPr>
          <w:trHeight w:val="270"/>
        </w:trPr>
        <w:tc>
          <w:tcPr>
            <w:cnfStyle w:val="001000000000" w:firstRow="0" w:lastRow="0" w:firstColumn="1" w:lastColumn="0" w:oddVBand="0" w:evenVBand="0" w:oddHBand="0" w:evenHBand="0" w:firstRowFirstColumn="0" w:firstRowLastColumn="0" w:lastRowFirstColumn="0" w:lastRowLastColumn="0"/>
            <w:tcW w:w="1388" w:type="dxa"/>
            <w:vAlign w:val="center"/>
          </w:tcPr>
          <w:p w:rsidR="003A369B" w:rsidRPr="00EB5A53" w:rsidRDefault="00CE0EF5" w:rsidP="00EB5A53">
            <w:pPr>
              <w:spacing w:after="0"/>
              <w:rPr>
                <w:rFonts w:asciiTheme="minorHAnsi" w:hAnsiTheme="minorHAnsi" w:cstheme="minorHAnsi"/>
                <w:b w:val="0"/>
                <w:lang w:val="en-US"/>
              </w:rPr>
            </w:pPr>
            <w:r w:rsidRPr="00EB5A53">
              <w:rPr>
                <w:rFonts w:cstheme="minorHAnsi"/>
                <w:lang w:val="en-US"/>
              </w:rPr>
              <w:t>All</w:t>
            </w:r>
          </w:p>
        </w:tc>
        <w:tc>
          <w:tcPr>
            <w:tcW w:w="7883" w:type="dxa"/>
            <w:vAlign w:val="center"/>
          </w:tcPr>
          <w:p w:rsidR="003A369B" w:rsidRPr="00EB5A53" w:rsidRDefault="00CE0EF5" w:rsidP="00EB5A53">
            <w:pPr>
              <w:spacing w:after="0"/>
              <w:cnfStyle w:val="000000000000" w:firstRow="0" w:lastRow="0" w:firstColumn="0" w:lastColumn="0" w:oddVBand="0" w:evenVBand="0" w:oddHBand="0" w:evenHBand="0" w:firstRowFirstColumn="0" w:firstRowLastColumn="0" w:lastRowFirstColumn="0" w:lastRowLastColumn="0"/>
              <w:rPr>
                <w:rFonts w:cstheme="minorHAnsi"/>
                <w:lang w:val="en-US"/>
              </w:rPr>
            </w:pPr>
            <w:r w:rsidRPr="00EB5A53">
              <w:rPr>
                <w:rFonts w:cstheme="minorHAnsi"/>
                <w:lang w:val="en-US"/>
              </w:rPr>
              <w:t>Reformat</w:t>
            </w:r>
            <w:r w:rsidR="0098784A" w:rsidRPr="00EB5A53">
              <w:rPr>
                <w:rFonts w:cstheme="minorHAnsi"/>
                <w:lang w:val="en-US"/>
              </w:rPr>
              <w:t>ted</w:t>
            </w:r>
            <w:r w:rsidRPr="00EB5A53">
              <w:rPr>
                <w:rFonts w:cstheme="minorHAnsi"/>
                <w:lang w:val="en-US"/>
              </w:rPr>
              <w:t xml:space="preserve"> as per TGA guidelines 2019</w:t>
            </w:r>
          </w:p>
        </w:tc>
      </w:tr>
      <w:tr w:rsidR="003A369B" w:rsidRPr="000F5095" w:rsidTr="00EB5A53">
        <w:trPr>
          <w:trHeight w:val="252"/>
        </w:trPr>
        <w:tc>
          <w:tcPr>
            <w:cnfStyle w:val="001000000000" w:firstRow="0" w:lastRow="0" w:firstColumn="1" w:lastColumn="0" w:oddVBand="0" w:evenVBand="0" w:oddHBand="0" w:evenHBand="0" w:firstRowFirstColumn="0" w:firstRowLastColumn="0" w:lastRowFirstColumn="0" w:lastRowLastColumn="0"/>
            <w:tcW w:w="1388" w:type="dxa"/>
            <w:vAlign w:val="center"/>
          </w:tcPr>
          <w:p w:rsidR="003A369B" w:rsidRPr="000F5095" w:rsidRDefault="003A369B" w:rsidP="00EB5A53">
            <w:pPr>
              <w:spacing w:after="0"/>
              <w:rPr>
                <w:rFonts w:asciiTheme="minorHAnsi" w:hAnsiTheme="minorHAnsi" w:cstheme="minorHAnsi"/>
                <w:lang w:val="en-US"/>
              </w:rPr>
            </w:pPr>
          </w:p>
        </w:tc>
        <w:tc>
          <w:tcPr>
            <w:tcW w:w="7883" w:type="dxa"/>
            <w:vAlign w:val="center"/>
          </w:tcPr>
          <w:p w:rsidR="003A369B" w:rsidRPr="000F5095" w:rsidRDefault="003A369B" w:rsidP="00EB5A53">
            <w:pPr>
              <w:spacing w:after="0"/>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3A369B" w:rsidRPr="000F5095" w:rsidTr="00EB5A53">
        <w:trPr>
          <w:trHeight w:val="252"/>
        </w:trPr>
        <w:tc>
          <w:tcPr>
            <w:cnfStyle w:val="001000000000" w:firstRow="0" w:lastRow="0" w:firstColumn="1" w:lastColumn="0" w:oddVBand="0" w:evenVBand="0" w:oddHBand="0" w:evenHBand="0" w:firstRowFirstColumn="0" w:firstRowLastColumn="0" w:lastRowFirstColumn="0" w:lastRowLastColumn="0"/>
            <w:tcW w:w="1388" w:type="dxa"/>
            <w:vAlign w:val="center"/>
          </w:tcPr>
          <w:p w:rsidR="003A369B" w:rsidRPr="000F5095" w:rsidRDefault="003A369B" w:rsidP="00EB5A53">
            <w:pPr>
              <w:spacing w:after="0"/>
              <w:rPr>
                <w:rFonts w:asciiTheme="minorHAnsi" w:hAnsiTheme="minorHAnsi" w:cstheme="minorHAnsi"/>
                <w:lang w:val="en-US"/>
              </w:rPr>
            </w:pPr>
          </w:p>
        </w:tc>
        <w:tc>
          <w:tcPr>
            <w:tcW w:w="7883" w:type="dxa"/>
            <w:vAlign w:val="center"/>
          </w:tcPr>
          <w:p w:rsidR="003A369B" w:rsidRPr="000F5095" w:rsidRDefault="003A369B" w:rsidP="00EB5A53">
            <w:pPr>
              <w:spacing w:after="0"/>
              <w:cnfStyle w:val="000000000000" w:firstRow="0" w:lastRow="0" w:firstColumn="0" w:lastColumn="0" w:oddVBand="0" w:evenVBand="0" w:oddHBand="0" w:evenHBand="0" w:firstRowFirstColumn="0" w:firstRowLastColumn="0" w:lastRowFirstColumn="0" w:lastRowLastColumn="0"/>
              <w:rPr>
                <w:rFonts w:cstheme="minorHAnsi"/>
                <w:lang w:val="en-US"/>
              </w:rPr>
            </w:pPr>
          </w:p>
        </w:tc>
      </w:tr>
    </w:tbl>
    <w:p w:rsidR="003A369B" w:rsidRPr="000F5095" w:rsidRDefault="003A369B" w:rsidP="003A369B">
      <w:pPr>
        <w:spacing w:after="120"/>
        <w:rPr>
          <w:rFonts w:cstheme="minorHAnsi"/>
          <w:lang w:val="en-US"/>
        </w:rPr>
      </w:pPr>
    </w:p>
    <w:p w:rsidR="003A369B" w:rsidRPr="00226E5B" w:rsidRDefault="003A369B"/>
    <w:sectPr w:rsidR="003A369B" w:rsidRPr="00226E5B" w:rsidSect="00EB5A53">
      <w:headerReference w:type="even" r:id="rId16"/>
      <w:headerReference w:type="default" r:id="rId17"/>
      <w:footerReference w:type="even" r:id="rId18"/>
      <w:footerReference w:type="default" r:id="rId19"/>
      <w:headerReference w:type="first" r:id="rId20"/>
      <w:footerReference w:type="first" r:id="rId21"/>
      <w:pgSz w:w="12240" w:h="15840"/>
      <w:pgMar w:top="1138" w:right="1253" w:bottom="994" w:left="125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B20" w:rsidRDefault="00E61B20" w:rsidP="00064473">
      <w:pPr>
        <w:spacing w:after="0" w:line="240" w:lineRule="auto"/>
      </w:pPr>
      <w:r>
        <w:separator/>
      </w:r>
    </w:p>
  </w:endnote>
  <w:endnote w:type="continuationSeparator" w:id="0">
    <w:p w:rsidR="00E61B20" w:rsidRDefault="00E61B20" w:rsidP="00064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B20" w:rsidRDefault="00E61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222367"/>
      <w:docPartObj>
        <w:docPartGallery w:val="Page Numbers (Bottom of Page)"/>
        <w:docPartUnique/>
      </w:docPartObj>
    </w:sdtPr>
    <w:sdtEndPr>
      <w:rPr>
        <w:noProof/>
      </w:rPr>
    </w:sdtEndPr>
    <w:sdtContent>
      <w:p w:rsidR="00E61B20" w:rsidRDefault="00E61B20">
        <w:pPr>
          <w:pStyle w:val="Footer"/>
          <w:jc w:val="right"/>
        </w:pPr>
        <w:r>
          <w:fldChar w:fldCharType="begin"/>
        </w:r>
        <w:r>
          <w:instrText xml:space="preserve"> PAGE   \* MERGEFORMAT </w:instrText>
        </w:r>
        <w:r>
          <w:fldChar w:fldCharType="separate"/>
        </w:r>
        <w:r w:rsidR="00A40594">
          <w:rPr>
            <w:noProof/>
          </w:rPr>
          <w:t>31</w:t>
        </w:r>
        <w:r>
          <w:rPr>
            <w:noProof/>
          </w:rPr>
          <w:fldChar w:fldCharType="end"/>
        </w:r>
      </w:p>
    </w:sdtContent>
  </w:sdt>
  <w:p w:rsidR="00E61B20" w:rsidRDefault="00E61B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B20" w:rsidRDefault="00E61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B20" w:rsidRDefault="00E61B20" w:rsidP="00064473">
      <w:pPr>
        <w:spacing w:after="0" w:line="240" w:lineRule="auto"/>
      </w:pPr>
      <w:r>
        <w:separator/>
      </w:r>
    </w:p>
  </w:footnote>
  <w:footnote w:type="continuationSeparator" w:id="0">
    <w:p w:rsidR="00E61B20" w:rsidRDefault="00E61B20" w:rsidP="00064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B20" w:rsidRDefault="00E61B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E61B20" w:rsidRPr="000B2145" w:rsidTr="00E61B20">
      <w:trPr>
        <w:trHeight w:val="590"/>
      </w:trPr>
      <w:tc>
        <w:tcPr>
          <w:tcW w:w="8720" w:type="dxa"/>
          <w:shd w:val="clear" w:color="auto" w:fill="E4F2E0"/>
        </w:tcPr>
        <w:p w:rsidR="00E61B20" w:rsidRPr="000B2145" w:rsidRDefault="00E61B20" w:rsidP="00736CB6">
          <w:pPr>
            <w:pStyle w:val="Footer"/>
            <w:rPr>
              <w:b/>
              <w:sz w:val="18"/>
              <w:szCs w:val="18"/>
            </w:rPr>
          </w:pPr>
          <w:r w:rsidRPr="000B2145">
            <w:rPr>
              <w:b/>
              <w:sz w:val="18"/>
              <w:szCs w:val="18"/>
            </w:rPr>
            <w:t xml:space="preserve">Attachment </w:t>
          </w:r>
          <w:r w:rsidRPr="00920B20">
            <w:rPr>
              <w:b/>
            </w:rPr>
            <w:t>AusPAR Arixtra Fondaparinux Aspen Australia PM-2017-03032-1-3</w:t>
          </w:r>
          <w:r>
            <w:rPr>
              <w:b/>
            </w:rPr>
            <w:t xml:space="preserve"> </w:t>
          </w:r>
          <w:r w:rsidRPr="00920B20">
            <w:rPr>
              <w:b/>
            </w:rPr>
            <w:t>Final 11 May 2020</w:t>
          </w:r>
          <w:r w:rsidRPr="000B2145">
            <w:rPr>
              <w:b/>
              <w:sz w:val="18"/>
              <w:szCs w:val="18"/>
            </w:rPr>
            <w:t>. 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rsidR="00E61B20" w:rsidRDefault="00E61B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B20" w:rsidRDefault="00E61B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F9409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FB16FD"/>
    <w:multiLevelType w:val="hybridMultilevel"/>
    <w:tmpl w:val="ADD8C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CD7779"/>
    <w:multiLevelType w:val="hybridMultilevel"/>
    <w:tmpl w:val="C052A14E"/>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4A20C47"/>
    <w:multiLevelType w:val="hybridMultilevel"/>
    <w:tmpl w:val="308CF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AE44BA"/>
    <w:multiLevelType w:val="hybridMultilevel"/>
    <w:tmpl w:val="A56C913C"/>
    <w:lvl w:ilvl="0" w:tplc="90BE4224">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490644"/>
    <w:multiLevelType w:val="hybridMultilevel"/>
    <w:tmpl w:val="26B0A9BC"/>
    <w:lvl w:ilvl="0" w:tplc="90BE4224">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7C6823"/>
    <w:multiLevelType w:val="hybridMultilevel"/>
    <w:tmpl w:val="514C5D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563DB7"/>
    <w:multiLevelType w:val="hybridMultilevel"/>
    <w:tmpl w:val="CEA2CA9C"/>
    <w:lvl w:ilvl="0" w:tplc="90BE4224">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FC17B8"/>
    <w:multiLevelType w:val="hybridMultilevel"/>
    <w:tmpl w:val="291EB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04262C3"/>
    <w:multiLevelType w:val="hybridMultilevel"/>
    <w:tmpl w:val="3552DB66"/>
    <w:lvl w:ilvl="0" w:tplc="90BE4224">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716FAA"/>
    <w:multiLevelType w:val="hybridMultilevel"/>
    <w:tmpl w:val="A2342180"/>
    <w:lvl w:ilvl="0" w:tplc="542A3F8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47364A"/>
    <w:multiLevelType w:val="hybridMultilevel"/>
    <w:tmpl w:val="D00E384E"/>
    <w:lvl w:ilvl="0" w:tplc="90BE4224">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EA706F"/>
    <w:multiLevelType w:val="hybridMultilevel"/>
    <w:tmpl w:val="6AEAEDE6"/>
    <w:lvl w:ilvl="0" w:tplc="90BE4224">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EAB3BE2"/>
    <w:multiLevelType w:val="hybridMultilevel"/>
    <w:tmpl w:val="FC3A007A"/>
    <w:lvl w:ilvl="0" w:tplc="90BE4224">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0BA385C"/>
    <w:multiLevelType w:val="hybridMultilevel"/>
    <w:tmpl w:val="B218D0E4"/>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51ED348E"/>
    <w:multiLevelType w:val="hybridMultilevel"/>
    <w:tmpl w:val="D9FE76C6"/>
    <w:lvl w:ilvl="0" w:tplc="90BE4224">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3A02C0"/>
    <w:multiLevelType w:val="hybridMultilevel"/>
    <w:tmpl w:val="7D827C8C"/>
    <w:lvl w:ilvl="0" w:tplc="90BE4224">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CE3D88"/>
    <w:multiLevelType w:val="hybridMultilevel"/>
    <w:tmpl w:val="B822A6EA"/>
    <w:lvl w:ilvl="0" w:tplc="90BE4224">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C626C17"/>
    <w:multiLevelType w:val="hybridMultilevel"/>
    <w:tmpl w:val="D90077E0"/>
    <w:lvl w:ilvl="0" w:tplc="90BE4224">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7E755C3"/>
    <w:multiLevelType w:val="hybridMultilevel"/>
    <w:tmpl w:val="636CA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DD79AB"/>
    <w:multiLevelType w:val="hybridMultilevel"/>
    <w:tmpl w:val="DDEAD96E"/>
    <w:lvl w:ilvl="0" w:tplc="90BE4224">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D12F8E"/>
    <w:multiLevelType w:val="hybridMultilevel"/>
    <w:tmpl w:val="4314BE96"/>
    <w:lvl w:ilvl="0" w:tplc="542A3F8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E754169"/>
    <w:multiLevelType w:val="hybridMultilevel"/>
    <w:tmpl w:val="9DD8FBEA"/>
    <w:lvl w:ilvl="0" w:tplc="90BE4224">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85949A4"/>
    <w:multiLevelType w:val="multilevel"/>
    <w:tmpl w:val="23D61210"/>
    <w:lvl w:ilvl="0">
      <w:start w:val="1"/>
      <w:numFmt w:val="bullet"/>
      <w:pStyle w:val="listdashnospace"/>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0"/>
  </w:num>
  <w:num w:numId="3">
    <w:abstractNumId w:val="24"/>
  </w:num>
  <w:num w:numId="4">
    <w:abstractNumId w:val="21"/>
  </w:num>
  <w:num w:numId="5">
    <w:abstractNumId w:val="6"/>
  </w:num>
  <w:num w:numId="6">
    <w:abstractNumId w:val="2"/>
  </w:num>
  <w:num w:numId="7">
    <w:abstractNumId w:val="10"/>
  </w:num>
  <w:num w:numId="8">
    <w:abstractNumId w:val="4"/>
  </w:num>
  <w:num w:numId="9">
    <w:abstractNumId w:val="11"/>
  </w:num>
  <w:num w:numId="10">
    <w:abstractNumId w:val="22"/>
  </w:num>
  <w:num w:numId="11">
    <w:abstractNumId w:val="18"/>
  </w:num>
  <w:num w:numId="12">
    <w:abstractNumId w:val="7"/>
  </w:num>
  <w:num w:numId="13">
    <w:abstractNumId w:val="9"/>
  </w:num>
  <w:num w:numId="14">
    <w:abstractNumId w:val="12"/>
  </w:num>
  <w:num w:numId="15">
    <w:abstractNumId w:val="8"/>
  </w:num>
  <w:num w:numId="16">
    <w:abstractNumId w:val="19"/>
  </w:num>
  <w:num w:numId="17">
    <w:abstractNumId w:val="1"/>
  </w:num>
  <w:num w:numId="18">
    <w:abstractNumId w:val="3"/>
  </w:num>
  <w:num w:numId="19">
    <w:abstractNumId w:val="17"/>
  </w:num>
  <w:num w:numId="20">
    <w:abstractNumId w:val="13"/>
  </w:num>
  <w:num w:numId="21">
    <w:abstractNumId w:val="15"/>
  </w:num>
  <w:num w:numId="22">
    <w:abstractNumId w:val="5"/>
  </w:num>
  <w:num w:numId="23">
    <w:abstractNumId w:val="16"/>
  </w:num>
  <w:num w:numId="24">
    <w:abstractNumId w:val="2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69B"/>
    <w:rsid w:val="00064473"/>
    <w:rsid w:val="00197C0C"/>
    <w:rsid w:val="00226E5B"/>
    <w:rsid w:val="002B59F7"/>
    <w:rsid w:val="002F2F84"/>
    <w:rsid w:val="003750C2"/>
    <w:rsid w:val="00376F19"/>
    <w:rsid w:val="00386931"/>
    <w:rsid w:val="003A369B"/>
    <w:rsid w:val="004010F0"/>
    <w:rsid w:val="00491CE7"/>
    <w:rsid w:val="004E3D16"/>
    <w:rsid w:val="005778CE"/>
    <w:rsid w:val="005D53E0"/>
    <w:rsid w:val="005F093D"/>
    <w:rsid w:val="0065406A"/>
    <w:rsid w:val="00736CB6"/>
    <w:rsid w:val="007F24A1"/>
    <w:rsid w:val="00810F56"/>
    <w:rsid w:val="008159F5"/>
    <w:rsid w:val="0081768E"/>
    <w:rsid w:val="0082533C"/>
    <w:rsid w:val="0098784A"/>
    <w:rsid w:val="00A40594"/>
    <w:rsid w:val="00A534AC"/>
    <w:rsid w:val="00AB3CBD"/>
    <w:rsid w:val="00C42269"/>
    <w:rsid w:val="00C80066"/>
    <w:rsid w:val="00CE0EF5"/>
    <w:rsid w:val="00D11E21"/>
    <w:rsid w:val="00DF32F8"/>
    <w:rsid w:val="00E06F7B"/>
    <w:rsid w:val="00E457D9"/>
    <w:rsid w:val="00E61B20"/>
    <w:rsid w:val="00E712DA"/>
    <w:rsid w:val="00EB5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8E2A6-B34F-4D8C-9EAB-F0DE497CB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69B"/>
    <w:pPr>
      <w:spacing w:after="200" w:line="276" w:lineRule="auto"/>
    </w:pPr>
    <w:rPr>
      <w:lang w:val="en-AU"/>
    </w:rPr>
  </w:style>
  <w:style w:type="paragraph" w:styleId="Heading1">
    <w:name w:val="heading 1"/>
    <w:basedOn w:val="Normal"/>
    <w:next w:val="Normal"/>
    <w:link w:val="Heading1Char"/>
    <w:uiPriority w:val="9"/>
    <w:qFormat/>
    <w:rsid w:val="003A369B"/>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3A369B"/>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3A369B"/>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A369B"/>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3A369B"/>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A369B"/>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A369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A369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A369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69B"/>
    <w:rPr>
      <w:rFonts w:asciiTheme="majorHAnsi" w:eastAsiaTheme="majorEastAsia" w:hAnsiTheme="majorHAnsi" w:cstheme="majorBidi"/>
      <w:b/>
      <w:bCs/>
      <w:caps/>
      <w:sz w:val="28"/>
      <w:szCs w:val="28"/>
      <w:lang w:val="en-AU"/>
    </w:rPr>
  </w:style>
  <w:style w:type="character" w:customStyle="1" w:styleId="Heading2Char">
    <w:name w:val="Heading 2 Char"/>
    <w:basedOn w:val="DefaultParagraphFont"/>
    <w:link w:val="Heading2"/>
    <w:uiPriority w:val="9"/>
    <w:rsid w:val="003A369B"/>
    <w:rPr>
      <w:rFonts w:asciiTheme="majorHAnsi" w:hAnsiTheme="majorHAnsi"/>
      <w:b/>
      <w:smallCaps/>
      <w:sz w:val="24"/>
      <w:lang w:val="en-AU"/>
    </w:rPr>
  </w:style>
  <w:style w:type="character" w:customStyle="1" w:styleId="Heading3Char">
    <w:name w:val="Heading 3 Char"/>
    <w:basedOn w:val="DefaultParagraphFont"/>
    <w:link w:val="Heading3"/>
    <w:uiPriority w:val="9"/>
    <w:rsid w:val="003A369B"/>
    <w:rPr>
      <w:rFonts w:asciiTheme="majorHAnsi" w:eastAsiaTheme="majorEastAsia" w:hAnsiTheme="majorHAnsi" w:cstheme="majorBidi"/>
      <w:b/>
      <w:bCs/>
      <w:lang w:val="en-AU"/>
    </w:rPr>
  </w:style>
  <w:style w:type="character" w:customStyle="1" w:styleId="Heading4Char">
    <w:name w:val="Heading 4 Char"/>
    <w:basedOn w:val="DefaultParagraphFont"/>
    <w:link w:val="Heading4"/>
    <w:uiPriority w:val="9"/>
    <w:semiHidden/>
    <w:rsid w:val="003A369B"/>
    <w:rPr>
      <w:rFonts w:asciiTheme="majorHAnsi" w:eastAsiaTheme="majorEastAsia" w:hAnsiTheme="majorHAnsi" w:cstheme="majorBidi"/>
      <w:b/>
      <w:bCs/>
      <w:i/>
      <w:iCs/>
      <w:color w:val="5B9BD5" w:themeColor="accent1"/>
      <w:lang w:val="en-AU"/>
    </w:rPr>
  </w:style>
  <w:style w:type="character" w:customStyle="1" w:styleId="Heading5Char">
    <w:name w:val="Heading 5 Char"/>
    <w:basedOn w:val="DefaultParagraphFont"/>
    <w:link w:val="Heading5"/>
    <w:uiPriority w:val="9"/>
    <w:semiHidden/>
    <w:rsid w:val="003A369B"/>
    <w:rPr>
      <w:rFonts w:asciiTheme="majorHAnsi" w:eastAsiaTheme="majorEastAsia" w:hAnsiTheme="majorHAnsi" w:cstheme="majorBidi"/>
      <w:color w:val="1F4D78" w:themeColor="accent1" w:themeShade="7F"/>
      <w:lang w:val="en-AU"/>
    </w:rPr>
  </w:style>
  <w:style w:type="character" w:customStyle="1" w:styleId="Heading6Char">
    <w:name w:val="Heading 6 Char"/>
    <w:basedOn w:val="DefaultParagraphFont"/>
    <w:link w:val="Heading6"/>
    <w:uiPriority w:val="9"/>
    <w:semiHidden/>
    <w:rsid w:val="003A369B"/>
    <w:rPr>
      <w:rFonts w:asciiTheme="majorHAnsi" w:eastAsiaTheme="majorEastAsia" w:hAnsiTheme="majorHAnsi" w:cstheme="majorBidi"/>
      <w:i/>
      <w:iCs/>
      <w:color w:val="1F4D78" w:themeColor="accent1" w:themeShade="7F"/>
      <w:lang w:val="en-AU"/>
    </w:rPr>
  </w:style>
  <w:style w:type="character" w:customStyle="1" w:styleId="Heading7Char">
    <w:name w:val="Heading 7 Char"/>
    <w:basedOn w:val="DefaultParagraphFont"/>
    <w:link w:val="Heading7"/>
    <w:uiPriority w:val="9"/>
    <w:semiHidden/>
    <w:rsid w:val="003A369B"/>
    <w:rPr>
      <w:rFonts w:asciiTheme="majorHAnsi" w:eastAsiaTheme="majorEastAsia" w:hAnsiTheme="majorHAnsi" w:cstheme="majorBidi"/>
      <w:i/>
      <w:iCs/>
      <w:color w:val="404040" w:themeColor="text1" w:themeTint="BF"/>
      <w:lang w:val="en-AU"/>
    </w:rPr>
  </w:style>
  <w:style w:type="character" w:customStyle="1" w:styleId="Heading8Char">
    <w:name w:val="Heading 8 Char"/>
    <w:basedOn w:val="DefaultParagraphFont"/>
    <w:link w:val="Heading8"/>
    <w:uiPriority w:val="9"/>
    <w:semiHidden/>
    <w:rsid w:val="003A369B"/>
    <w:rPr>
      <w:rFonts w:asciiTheme="majorHAnsi" w:eastAsiaTheme="majorEastAsia" w:hAnsiTheme="majorHAnsi" w:cstheme="majorBidi"/>
      <w:color w:val="404040" w:themeColor="text1" w:themeTint="BF"/>
      <w:sz w:val="20"/>
      <w:szCs w:val="20"/>
      <w:lang w:val="en-AU"/>
    </w:rPr>
  </w:style>
  <w:style w:type="character" w:customStyle="1" w:styleId="Heading9Char">
    <w:name w:val="Heading 9 Char"/>
    <w:basedOn w:val="DefaultParagraphFont"/>
    <w:link w:val="Heading9"/>
    <w:uiPriority w:val="9"/>
    <w:semiHidden/>
    <w:rsid w:val="003A369B"/>
    <w:rPr>
      <w:rFonts w:asciiTheme="majorHAnsi" w:eastAsiaTheme="majorEastAsia" w:hAnsiTheme="majorHAnsi" w:cstheme="majorBidi"/>
      <w:i/>
      <w:iCs/>
      <w:color w:val="404040" w:themeColor="text1" w:themeTint="BF"/>
      <w:sz w:val="20"/>
      <w:szCs w:val="20"/>
      <w:lang w:val="en-AU"/>
    </w:rPr>
  </w:style>
  <w:style w:type="paragraph" w:styleId="ListParagraph">
    <w:name w:val="List Paragraph"/>
    <w:basedOn w:val="Normal"/>
    <w:uiPriority w:val="34"/>
    <w:qFormat/>
    <w:rsid w:val="003A369B"/>
    <w:pPr>
      <w:ind w:left="720"/>
      <w:contextualSpacing/>
    </w:pPr>
    <w:rPr>
      <w:rFonts w:ascii="Cambria" w:hAnsi="Cambria"/>
    </w:rPr>
  </w:style>
  <w:style w:type="paragraph" w:styleId="ListBullet">
    <w:name w:val="List Bullet"/>
    <w:basedOn w:val="Normal"/>
    <w:unhideWhenUsed/>
    <w:rsid w:val="003A369B"/>
    <w:pPr>
      <w:numPr>
        <w:numId w:val="2"/>
      </w:numPr>
      <w:tabs>
        <w:tab w:val="clear" w:pos="360"/>
      </w:tabs>
      <w:ind w:left="425" w:hanging="425"/>
      <w:contextualSpacing/>
    </w:pPr>
    <w:rPr>
      <w:rFonts w:ascii="Cambria" w:hAnsi="Cambria"/>
    </w:rPr>
  </w:style>
  <w:style w:type="paragraph" w:customStyle="1" w:styleId="ListEnd">
    <w:name w:val="List End"/>
    <w:basedOn w:val="Normal"/>
    <w:autoRedefine/>
    <w:rsid w:val="003A369B"/>
    <w:pPr>
      <w:shd w:val="clear" w:color="000000" w:fill="FFFFFF"/>
      <w:spacing w:after="0" w:line="240" w:lineRule="auto"/>
    </w:pPr>
    <w:rPr>
      <w:rFonts w:ascii="Times New Roman" w:eastAsia="Times New Roman" w:hAnsi="Times New Roman" w:cs="Times New Roman"/>
      <w:sz w:val="24"/>
      <w:szCs w:val="24"/>
      <w:lang w:val="en-GB"/>
    </w:rPr>
  </w:style>
  <w:style w:type="paragraph" w:customStyle="1" w:styleId="listdashnospace">
    <w:name w:val="list:dashnospace"/>
    <w:basedOn w:val="Normal"/>
    <w:rsid w:val="003A369B"/>
    <w:pPr>
      <w:numPr>
        <w:numId w:val="3"/>
      </w:numPr>
      <w:spacing w:after="0" w:line="240" w:lineRule="auto"/>
    </w:pPr>
    <w:rPr>
      <w:rFonts w:ascii="Times New Roman" w:eastAsia="Times New Roman" w:hAnsi="Times New Roman" w:cs="Times New Roman"/>
      <w:sz w:val="24"/>
      <w:szCs w:val="20"/>
      <w:lang w:val="en-GB"/>
    </w:rPr>
  </w:style>
  <w:style w:type="paragraph" w:customStyle="1" w:styleId="listindentnospace">
    <w:name w:val="list:indentnospace"/>
    <w:basedOn w:val="Normal"/>
    <w:rsid w:val="003A369B"/>
    <w:pPr>
      <w:spacing w:after="0" w:line="240" w:lineRule="auto"/>
      <w:ind w:left="567"/>
    </w:pPr>
    <w:rPr>
      <w:rFonts w:ascii="Times New Roman" w:eastAsia="Times New Roman" w:hAnsi="Times New Roman" w:cs="Times New Roman"/>
      <w:sz w:val="24"/>
      <w:szCs w:val="20"/>
      <w:lang w:val="en-GB"/>
    </w:rPr>
  </w:style>
  <w:style w:type="character" w:customStyle="1" w:styleId="CSIchar">
    <w:name w:val="CSIchar"/>
    <w:basedOn w:val="DefaultParagraphFont"/>
    <w:rsid w:val="003A369B"/>
    <w:rPr>
      <w:bdr w:val="none" w:sz="0" w:space="0" w:color="auto"/>
      <w:shd w:val="clear" w:color="auto" w:fill="CCCCCC"/>
    </w:rPr>
  </w:style>
  <w:style w:type="character" w:styleId="Emphasis">
    <w:name w:val="Emphasis"/>
    <w:basedOn w:val="DefaultParagraphFont"/>
    <w:uiPriority w:val="20"/>
    <w:qFormat/>
    <w:rsid w:val="003A369B"/>
    <w:rPr>
      <w:i/>
      <w:iCs/>
    </w:rPr>
  </w:style>
  <w:style w:type="paragraph" w:customStyle="1" w:styleId="Corpsdetextemarge">
    <w:name w:val="Corps de texte marge"/>
    <w:basedOn w:val="BodyText"/>
    <w:rsid w:val="003A369B"/>
    <w:pPr>
      <w:spacing w:after="0" w:line="240" w:lineRule="auto"/>
      <w:jc w:val="both"/>
    </w:pPr>
    <w:rPr>
      <w:rFonts w:ascii="Times" w:eastAsia="Times New Roman" w:hAnsi="Times" w:cs="Times New Roman"/>
      <w:sz w:val="24"/>
      <w:szCs w:val="20"/>
      <w:lang w:val="en-US" w:eastAsia="sv-SE"/>
    </w:rPr>
  </w:style>
  <w:style w:type="paragraph" w:styleId="BodyText">
    <w:name w:val="Body Text"/>
    <w:basedOn w:val="Normal"/>
    <w:link w:val="BodyTextChar"/>
    <w:uiPriority w:val="99"/>
    <w:semiHidden/>
    <w:unhideWhenUsed/>
    <w:rsid w:val="003A369B"/>
    <w:pPr>
      <w:spacing w:after="120"/>
    </w:pPr>
  </w:style>
  <w:style w:type="character" w:customStyle="1" w:styleId="BodyTextChar">
    <w:name w:val="Body Text Char"/>
    <w:basedOn w:val="DefaultParagraphFont"/>
    <w:link w:val="BodyText"/>
    <w:uiPriority w:val="99"/>
    <w:semiHidden/>
    <w:rsid w:val="003A369B"/>
    <w:rPr>
      <w:lang w:val="en-AU"/>
    </w:rPr>
  </w:style>
  <w:style w:type="paragraph" w:styleId="Subtitle">
    <w:name w:val="Subtitle"/>
    <w:basedOn w:val="Normal"/>
    <w:next w:val="Normal"/>
    <w:link w:val="SubtitleChar"/>
    <w:uiPriority w:val="11"/>
    <w:qFormat/>
    <w:rsid w:val="003A369B"/>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A369B"/>
    <w:rPr>
      <w:rFonts w:eastAsiaTheme="minorEastAsia"/>
      <w:color w:val="5A5A5A" w:themeColor="text1" w:themeTint="A5"/>
      <w:spacing w:val="15"/>
      <w:lang w:val="en-AU"/>
    </w:rPr>
  </w:style>
  <w:style w:type="character" w:styleId="IntenseEmphasis">
    <w:name w:val="Intense Emphasis"/>
    <w:basedOn w:val="DefaultParagraphFont"/>
    <w:uiPriority w:val="21"/>
    <w:qFormat/>
    <w:rsid w:val="003A369B"/>
    <w:rPr>
      <w:i/>
      <w:iCs/>
      <w:color w:val="5B9BD5" w:themeColor="accent1"/>
    </w:rPr>
  </w:style>
  <w:style w:type="table" w:styleId="TableGrid">
    <w:name w:val="Table Grid"/>
    <w:basedOn w:val="TableNormal"/>
    <w:uiPriority w:val="59"/>
    <w:rsid w:val="003A369B"/>
    <w:pPr>
      <w:keepLines/>
      <w:spacing w:after="120" w:line="240" w:lineRule="auto"/>
      <w:jc w:val="both"/>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369B"/>
    <w:rPr>
      <w:color w:val="0563C1" w:themeColor="hyperlink"/>
      <w:u w:val="single"/>
    </w:rPr>
  </w:style>
  <w:style w:type="table" w:styleId="LightGrid">
    <w:name w:val="Light Grid"/>
    <w:basedOn w:val="TableNormal"/>
    <w:uiPriority w:val="62"/>
    <w:rsid w:val="003A369B"/>
    <w:pPr>
      <w:spacing w:after="0" w:line="240" w:lineRule="auto"/>
    </w:pPr>
    <w:rPr>
      <w:lang w:val="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Spacing">
    <w:name w:val="No Spacing"/>
    <w:uiPriority w:val="1"/>
    <w:qFormat/>
    <w:rsid w:val="003A369B"/>
    <w:pPr>
      <w:spacing w:after="0" w:line="240" w:lineRule="auto"/>
    </w:pPr>
    <w:rPr>
      <w:lang w:val="en-AU"/>
    </w:rPr>
  </w:style>
  <w:style w:type="paragraph" w:styleId="BalloonText">
    <w:name w:val="Balloon Text"/>
    <w:basedOn w:val="Normal"/>
    <w:link w:val="BalloonTextChar"/>
    <w:uiPriority w:val="99"/>
    <w:semiHidden/>
    <w:unhideWhenUsed/>
    <w:rsid w:val="00226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E5B"/>
    <w:rPr>
      <w:rFonts w:ascii="Segoe UI" w:hAnsi="Segoe UI" w:cs="Segoe UI"/>
      <w:sz w:val="18"/>
      <w:szCs w:val="18"/>
      <w:lang w:val="en-AU"/>
    </w:rPr>
  </w:style>
  <w:style w:type="paragraph" w:styleId="Header">
    <w:name w:val="header"/>
    <w:basedOn w:val="Normal"/>
    <w:link w:val="HeaderChar"/>
    <w:uiPriority w:val="99"/>
    <w:unhideWhenUsed/>
    <w:rsid w:val="00064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473"/>
    <w:rPr>
      <w:lang w:val="en-AU"/>
    </w:rPr>
  </w:style>
  <w:style w:type="paragraph" w:styleId="Footer">
    <w:name w:val="footer"/>
    <w:basedOn w:val="Normal"/>
    <w:link w:val="FooterChar"/>
    <w:unhideWhenUsed/>
    <w:rsid w:val="00064473"/>
    <w:pPr>
      <w:tabs>
        <w:tab w:val="center" w:pos="4680"/>
        <w:tab w:val="right" w:pos="9360"/>
      </w:tabs>
      <w:spacing w:after="0" w:line="240" w:lineRule="auto"/>
    </w:pPr>
  </w:style>
  <w:style w:type="character" w:customStyle="1" w:styleId="FooterChar">
    <w:name w:val="Footer Char"/>
    <w:basedOn w:val="DefaultParagraphFont"/>
    <w:link w:val="Footer"/>
    <w:rsid w:val="00064473"/>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tga.gov.au/reporting-problem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aspenpharma.com.au"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w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31</Pages>
  <Words>11217</Words>
  <Characters>61357</Characters>
  <Application>Microsoft Office Word</Application>
  <DocSecurity>0</DocSecurity>
  <Lines>1804</Lines>
  <Paragraphs>1319</Paragraphs>
  <ScaleCrop>false</ScaleCrop>
  <HeadingPairs>
    <vt:vector size="2" baseType="variant">
      <vt:variant>
        <vt:lpstr>Title</vt:lpstr>
      </vt:variant>
      <vt:variant>
        <vt:i4>1</vt:i4>
      </vt:variant>
    </vt:vector>
  </HeadingPairs>
  <TitlesOfParts>
    <vt:vector size="1" baseType="lpstr">
      <vt:lpstr>Attachment: Product Information for Fondaparinux</vt:lpstr>
    </vt:vector>
  </TitlesOfParts>
  <Company>Aspen Pharma Pty Ltd</Company>
  <LinksUpToDate>false</LinksUpToDate>
  <CharactersWithSpaces>71255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Fondaparinux</dc:title>
  <dc:subject/>
  <dc:creator>Amira Omran</dc:creator>
  <cp:keywords/>
  <dc:description/>
  <dcterms:created xsi:type="dcterms:W3CDTF">2020-05-18T05:34:00Z</dcterms:created>
  <dcterms:modified xsi:type="dcterms:W3CDTF">2020-05-18T06:38:00Z</dcterms:modified>
</cp:coreProperties>
</file>