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9D29061" w14:textId="77777777" w:rsidTr="00BF1190">
        <w:trPr>
          <w:trHeight w:val="1863"/>
        </w:trPr>
        <w:tc>
          <w:tcPr>
            <w:tcW w:w="3652" w:type="dxa"/>
            <w:tcBorders>
              <w:top w:val="nil"/>
              <w:left w:val="nil"/>
              <w:bottom w:val="nil"/>
              <w:right w:val="nil"/>
            </w:tcBorders>
          </w:tcPr>
          <w:p w14:paraId="68C2F233" w14:textId="2AC04742" w:rsidR="008E7846" w:rsidRPr="00096AA7" w:rsidRDefault="00657B42" w:rsidP="007813E5">
            <w:pPr>
              <w:rPr>
                <w:rFonts w:ascii="Arial" w:hAnsi="Arial" w:cs="Arial"/>
                <w:b/>
                <w:color w:val="002C47"/>
                <w:sz w:val="36"/>
                <w:szCs w:val="36"/>
              </w:rPr>
            </w:pPr>
            <w:r>
              <w:rPr>
                <w:rFonts w:ascii="Arial" w:hAnsi="Arial" w:cs="Arial"/>
                <w:b/>
                <w:color w:val="002C47"/>
                <w:sz w:val="36"/>
                <w:szCs w:val="36"/>
              </w:rPr>
              <w:t>October</w:t>
            </w:r>
            <w:r w:rsidR="007813E5">
              <w:rPr>
                <w:rFonts w:ascii="Arial" w:hAnsi="Arial" w:cs="Arial"/>
                <w:b/>
                <w:color w:val="002C47"/>
                <w:sz w:val="36"/>
                <w:szCs w:val="36"/>
              </w:rPr>
              <w:t xml:space="preserve">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E18C64B" w14:textId="77777777" w:rsidTr="0032583B">
        <w:trPr>
          <w:trHeight w:val="868"/>
        </w:trPr>
        <w:tc>
          <w:tcPr>
            <w:tcW w:w="9079" w:type="dxa"/>
          </w:tcPr>
          <w:p w14:paraId="3DF9AAC3" w14:textId="77777777" w:rsidR="0032583B" w:rsidRPr="00A964D1" w:rsidRDefault="0032583B" w:rsidP="007813E5">
            <w:pPr>
              <w:pStyle w:val="Title"/>
              <w:rPr>
                <w:color w:val="FFFFFF" w:themeColor="background1"/>
              </w:rPr>
            </w:pPr>
            <w:r w:rsidRPr="00A964D1">
              <w:rPr>
                <w:color w:val="FFFFFF" w:themeColor="background1"/>
              </w:rPr>
              <w:t xml:space="preserve">Australian Public Assessment Report for </w:t>
            </w:r>
            <w:r w:rsidR="007813E5" w:rsidRPr="007813E5">
              <w:rPr>
                <w:color w:val="FFFFFF" w:themeColor="background1"/>
              </w:rPr>
              <w:t>Follitropin delta (rhu)</w:t>
            </w:r>
          </w:p>
        </w:tc>
      </w:tr>
      <w:tr w:rsidR="0032583B" w:rsidRPr="00B64760" w14:paraId="3B5A947C" w14:textId="77777777" w:rsidTr="0032583B">
        <w:tc>
          <w:tcPr>
            <w:tcW w:w="9079" w:type="dxa"/>
          </w:tcPr>
          <w:p w14:paraId="077C01B8"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7813E5" w:rsidRPr="007813E5">
              <w:rPr>
                <w:color w:val="FFFFFF" w:themeColor="background1"/>
              </w:rPr>
              <w:t>Rekovelle</w:t>
            </w:r>
          </w:p>
        </w:tc>
      </w:tr>
      <w:tr w:rsidR="0032583B" w:rsidRPr="00B64760" w14:paraId="044A6BE9" w14:textId="77777777" w:rsidTr="0032583B">
        <w:trPr>
          <w:trHeight w:val="486"/>
        </w:trPr>
        <w:tc>
          <w:tcPr>
            <w:tcW w:w="9079" w:type="dxa"/>
          </w:tcPr>
          <w:p w14:paraId="1CFF2C12" w14:textId="77777777" w:rsidR="0032583B" w:rsidRPr="008E7846" w:rsidRDefault="0032583B" w:rsidP="007813E5">
            <w:pPr>
              <w:pStyle w:val="Subtitle"/>
              <w:rPr>
                <w:color w:val="FFFFFF" w:themeColor="background1"/>
              </w:rPr>
            </w:pPr>
            <w:r w:rsidRPr="008E7846">
              <w:rPr>
                <w:color w:val="FFFFFF" w:themeColor="background1"/>
              </w:rPr>
              <w:t xml:space="preserve">Sponsor: </w:t>
            </w:r>
            <w:r w:rsidR="007813E5" w:rsidRPr="007813E5">
              <w:rPr>
                <w:color w:val="FFFFFF" w:themeColor="background1"/>
              </w:rPr>
              <w:t>Ferring Pharmaceuticals Pty Ltd</w:t>
            </w:r>
          </w:p>
        </w:tc>
      </w:tr>
    </w:tbl>
    <w:p w14:paraId="361A740E" w14:textId="77777777" w:rsidR="008E7846" w:rsidRPr="0085156D" w:rsidRDefault="008E7846" w:rsidP="0085156D">
      <w:r w:rsidRPr="0085156D">
        <w:br w:type="page"/>
      </w:r>
    </w:p>
    <w:p w14:paraId="2FE30F95" w14:textId="77777777" w:rsidR="008E7846" w:rsidRPr="001F6CBA" w:rsidRDefault="008E7846" w:rsidP="008E7846">
      <w:pPr>
        <w:pStyle w:val="NonTOCHeading2"/>
      </w:pPr>
      <w:r w:rsidRPr="001F6CBA">
        <w:lastRenderedPageBreak/>
        <w:t>About the Therapeutic Goods Administration (TGA)</w:t>
      </w:r>
    </w:p>
    <w:p w14:paraId="34D9A072" w14:textId="77777777" w:rsidR="008E7846" w:rsidRDefault="008E7846" w:rsidP="0016181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BECFCAC" w14:textId="77777777" w:rsidR="008E7846" w:rsidRDefault="00C80137" w:rsidP="0016181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DA6225B" w14:textId="77777777" w:rsidR="008E7846" w:rsidRDefault="008E7846" w:rsidP="0016181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1980EF07" w14:textId="77777777" w:rsidR="008E7846" w:rsidRDefault="008E7846" w:rsidP="0016181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025E9DAA" w14:textId="77777777" w:rsidR="00441C3F" w:rsidRDefault="008E7846" w:rsidP="0016181B">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02D32621" w14:textId="77777777" w:rsidR="008E7846" w:rsidRDefault="008E7846" w:rsidP="00875A6B">
      <w:pPr>
        <w:pStyle w:val="NonTOCHeading2"/>
      </w:pPr>
      <w:r>
        <w:t>About AusPARs</w:t>
      </w:r>
    </w:p>
    <w:p w14:paraId="796A6946" w14:textId="77777777" w:rsidR="008E7846" w:rsidRDefault="008E7846" w:rsidP="0016181B">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255967E" w14:textId="77777777" w:rsidR="008E7846" w:rsidRDefault="008E7846" w:rsidP="0016181B">
      <w:pPr>
        <w:pStyle w:val="ListBullet"/>
        <w:numPr>
          <w:ilvl w:val="0"/>
          <w:numId w:val="1"/>
        </w:numPr>
        <w:ind w:left="357" w:hanging="357"/>
      </w:pPr>
      <w:r>
        <w:t>AusPARs are prepared and published by the TGA.</w:t>
      </w:r>
    </w:p>
    <w:p w14:paraId="287B198B" w14:textId="77777777" w:rsidR="008E7846" w:rsidRDefault="008E7846" w:rsidP="0016181B">
      <w:pPr>
        <w:pStyle w:val="ListBullet"/>
        <w:numPr>
          <w:ilvl w:val="0"/>
          <w:numId w:val="1"/>
        </w:numPr>
        <w:ind w:left="357" w:hanging="357"/>
      </w:pPr>
      <w:r>
        <w:t>An AusPAR is prepared for submissions that relate to new chemical entities, generic medicines, major variations and extensions of indications.</w:t>
      </w:r>
    </w:p>
    <w:p w14:paraId="158FC510" w14:textId="77777777" w:rsidR="008E7846" w:rsidRDefault="008E7846" w:rsidP="0016181B">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787BFF1" w14:textId="77777777" w:rsidR="00B452CE" w:rsidRDefault="008E7846" w:rsidP="0016181B">
      <w:pPr>
        <w:pStyle w:val="ListBullet"/>
        <w:numPr>
          <w:ilvl w:val="0"/>
          <w:numId w:val="1"/>
        </w:numPr>
        <w:ind w:left="357" w:hanging="357"/>
      </w:pPr>
      <w:r>
        <w:t>A new AusPAR will be developed to reflect changes to indications and/or major variations to a prescription medicine subject to evaluation by the TGA.</w:t>
      </w:r>
    </w:p>
    <w:p w14:paraId="3DDB652E" w14:textId="77777777" w:rsidR="00924482" w:rsidRPr="00DF1D7F" w:rsidRDefault="00924482" w:rsidP="00F54B65">
      <w:pPr>
        <w:pStyle w:val="LegalSubheading"/>
        <w:spacing w:before="3120"/>
      </w:pPr>
      <w:r w:rsidRPr="00DF1D7F">
        <w:t>Copyright</w:t>
      </w:r>
    </w:p>
    <w:p w14:paraId="24C56D61" w14:textId="77777777" w:rsidR="00924482" w:rsidRDefault="00924482" w:rsidP="00924482">
      <w:pPr>
        <w:pStyle w:val="LegalCopy"/>
      </w:pPr>
      <w:r w:rsidRPr="00191B3B">
        <w:rPr>
          <w:rFonts w:cs="Arial"/>
          <w:lang w:val="en-GB"/>
        </w:rPr>
        <w:t>© Comm</w:t>
      </w:r>
      <w:r>
        <w:rPr>
          <w:rFonts w:cs="Arial"/>
          <w:lang w:val="en-GB"/>
        </w:rPr>
        <w:t>onwealth of Australia 201</w:t>
      </w:r>
      <w:r w:rsidR="0045249C">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4501E9A5"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56D3CC0" w14:textId="77777777" w:rsidR="0089635C" w:rsidRPr="0089635C" w:rsidRDefault="0089635C" w:rsidP="0010788A">
          <w:pPr>
            <w:pStyle w:val="Contents"/>
          </w:pPr>
          <w:r w:rsidRPr="0010788A">
            <w:t>Cont</w:t>
          </w:r>
          <w:bookmarkStart w:id="2" w:name="_GoBack"/>
          <w:bookmarkEnd w:id="2"/>
          <w:r w:rsidRPr="0010788A">
            <w:t>ents</w:t>
          </w:r>
        </w:p>
        <w:p w14:paraId="758527B4" w14:textId="77777777" w:rsidR="00CE42F6"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7744239" w:history="1">
            <w:r w:rsidR="00CE42F6" w:rsidRPr="002F4CD6">
              <w:rPr>
                <w:rStyle w:val="Hyperlink"/>
                <w:noProof/>
              </w:rPr>
              <w:t>List of common abbreviations</w:t>
            </w:r>
            <w:r w:rsidR="00CE42F6">
              <w:rPr>
                <w:noProof/>
                <w:webHidden/>
              </w:rPr>
              <w:tab/>
            </w:r>
            <w:r w:rsidR="00CE42F6">
              <w:rPr>
                <w:noProof/>
                <w:webHidden/>
              </w:rPr>
              <w:fldChar w:fldCharType="begin"/>
            </w:r>
            <w:r w:rsidR="00CE42F6">
              <w:rPr>
                <w:noProof/>
                <w:webHidden/>
              </w:rPr>
              <w:instrText xml:space="preserve"> PAGEREF _Toc497744239 \h </w:instrText>
            </w:r>
            <w:r w:rsidR="00CE42F6">
              <w:rPr>
                <w:noProof/>
                <w:webHidden/>
              </w:rPr>
            </w:r>
            <w:r w:rsidR="00CE42F6">
              <w:rPr>
                <w:noProof/>
                <w:webHidden/>
              </w:rPr>
              <w:fldChar w:fldCharType="separate"/>
            </w:r>
            <w:r w:rsidR="00CE42F6">
              <w:rPr>
                <w:noProof/>
                <w:webHidden/>
              </w:rPr>
              <w:t>5</w:t>
            </w:r>
            <w:r w:rsidR="00CE42F6">
              <w:rPr>
                <w:noProof/>
                <w:webHidden/>
              </w:rPr>
              <w:fldChar w:fldCharType="end"/>
            </w:r>
          </w:hyperlink>
        </w:p>
        <w:p w14:paraId="105108A6" w14:textId="77777777" w:rsidR="00CE42F6" w:rsidRDefault="00CE42F6">
          <w:pPr>
            <w:pStyle w:val="TOC2"/>
            <w:rPr>
              <w:rFonts w:asciiTheme="minorHAnsi" w:eastAsiaTheme="minorEastAsia" w:hAnsiTheme="minorHAnsi" w:cstheme="minorBidi"/>
              <w:b w:val="0"/>
              <w:noProof/>
              <w:sz w:val="22"/>
              <w:lang w:eastAsia="en-AU"/>
            </w:rPr>
          </w:pPr>
          <w:hyperlink w:anchor="_Toc497744240" w:history="1">
            <w:r w:rsidRPr="002F4CD6">
              <w:rPr>
                <w:rStyle w:val="Hyperlink"/>
                <w:noProof/>
              </w:rPr>
              <w:t>I. Introduction to product submission</w:t>
            </w:r>
            <w:r>
              <w:rPr>
                <w:noProof/>
                <w:webHidden/>
              </w:rPr>
              <w:tab/>
            </w:r>
            <w:r>
              <w:rPr>
                <w:noProof/>
                <w:webHidden/>
              </w:rPr>
              <w:fldChar w:fldCharType="begin"/>
            </w:r>
            <w:r>
              <w:rPr>
                <w:noProof/>
                <w:webHidden/>
              </w:rPr>
              <w:instrText xml:space="preserve"> PAGEREF _Toc497744240 \h </w:instrText>
            </w:r>
            <w:r>
              <w:rPr>
                <w:noProof/>
                <w:webHidden/>
              </w:rPr>
            </w:r>
            <w:r>
              <w:rPr>
                <w:noProof/>
                <w:webHidden/>
              </w:rPr>
              <w:fldChar w:fldCharType="separate"/>
            </w:r>
            <w:r>
              <w:rPr>
                <w:noProof/>
                <w:webHidden/>
              </w:rPr>
              <w:t>7</w:t>
            </w:r>
            <w:r>
              <w:rPr>
                <w:noProof/>
                <w:webHidden/>
              </w:rPr>
              <w:fldChar w:fldCharType="end"/>
            </w:r>
          </w:hyperlink>
        </w:p>
        <w:p w14:paraId="0FC57D22" w14:textId="77777777" w:rsidR="00CE42F6" w:rsidRDefault="00CE42F6">
          <w:pPr>
            <w:pStyle w:val="TOC3"/>
            <w:rPr>
              <w:rFonts w:asciiTheme="minorHAnsi" w:eastAsiaTheme="minorEastAsia" w:hAnsiTheme="minorHAnsi" w:cstheme="minorBidi"/>
              <w:noProof/>
              <w:lang w:eastAsia="en-AU"/>
            </w:rPr>
          </w:pPr>
          <w:hyperlink w:anchor="_Toc497744241" w:history="1">
            <w:r w:rsidRPr="002F4CD6">
              <w:rPr>
                <w:rStyle w:val="Hyperlink"/>
                <w:noProof/>
                <w:lang w:eastAsia="en-AU"/>
              </w:rPr>
              <w:t>Submission details</w:t>
            </w:r>
            <w:r>
              <w:rPr>
                <w:noProof/>
                <w:webHidden/>
              </w:rPr>
              <w:tab/>
            </w:r>
            <w:r>
              <w:rPr>
                <w:noProof/>
                <w:webHidden/>
              </w:rPr>
              <w:fldChar w:fldCharType="begin"/>
            </w:r>
            <w:r>
              <w:rPr>
                <w:noProof/>
                <w:webHidden/>
              </w:rPr>
              <w:instrText xml:space="preserve"> PAGEREF _Toc497744241 \h </w:instrText>
            </w:r>
            <w:r>
              <w:rPr>
                <w:noProof/>
                <w:webHidden/>
              </w:rPr>
            </w:r>
            <w:r>
              <w:rPr>
                <w:noProof/>
                <w:webHidden/>
              </w:rPr>
              <w:fldChar w:fldCharType="separate"/>
            </w:r>
            <w:r>
              <w:rPr>
                <w:noProof/>
                <w:webHidden/>
              </w:rPr>
              <w:t>7</w:t>
            </w:r>
            <w:r>
              <w:rPr>
                <w:noProof/>
                <w:webHidden/>
              </w:rPr>
              <w:fldChar w:fldCharType="end"/>
            </w:r>
          </w:hyperlink>
        </w:p>
        <w:p w14:paraId="265E3701" w14:textId="77777777" w:rsidR="00CE42F6" w:rsidRDefault="00CE42F6">
          <w:pPr>
            <w:pStyle w:val="TOC2"/>
            <w:rPr>
              <w:rFonts w:asciiTheme="minorHAnsi" w:eastAsiaTheme="minorEastAsia" w:hAnsiTheme="minorHAnsi" w:cstheme="minorBidi"/>
              <w:b w:val="0"/>
              <w:noProof/>
              <w:sz w:val="22"/>
              <w:lang w:eastAsia="en-AU"/>
            </w:rPr>
          </w:pPr>
          <w:hyperlink w:anchor="_Toc497744242" w:history="1">
            <w:r w:rsidRPr="002F4CD6">
              <w:rPr>
                <w:rStyle w:val="Hyperlink"/>
                <w:noProof/>
              </w:rPr>
              <w:t>Ferring Pharmaceuticals Pty Ltd</w:t>
            </w:r>
            <w:r>
              <w:rPr>
                <w:noProof/>
                <w:webHidden/>
              </w:rPr>
              <w:tab/>
            </w:r>
            <w:r>
              <w:rPr>
                <w:noProof/>
                <w:webHidden/>
              </w:rPr>
              <w:fldChar w:fldCharType="begin"/>
            </w:r>
            <w:r>
              <w:rPr>
                <w:noProof/>
                <w:webHidden/>
              </w:rPr>
              <w:instrText xml:space="preserve"> PAGEREF _Toc497744242 \h </w:instrText>
            </w:r>
            <w:r>
              <w:rPr>
                <w:noProof/>
                <w:webHidden/>
              </w:rPr>
            </w:r>
            <w:r>
              <w:rPr>
                <w:noProof/>
                <w:webHidden/>
              </w:rPr>
              <w:fldChar w:fldCharType="separate"/>
            </w:r>
            <w:r>
              <w:rPr>
                <w:noProof/>
                <w:webHidden/>
              </w:rPr>
              <w:t>7</w:t>
            </w:r>
            <w:r>
              <w:rPr>
                <w:noProof/>
                <w:webHidden/>
              </w:rPr>
              <w:fldChar w:fldCharType="end"/>
            </w:r>
          </w:hyperlink>
        </w:p>
        <w:p w14:paraId="0770D6F1" w14:textId="77777777" w:rsidR="00CE42F6" w:rsidRDefault="00CE42F6">
          <w:pPr>
            <w:pStyle w:val="TOC3"/>
            <w:rPr>
              <w:rFonts w:asciiTheme="minorHAnsi" w:eastAsiaTheme="minorEastAsia" w:hAnsiTheme="minorHAnsi" w:cstheme="minorBidi"/>
              <w:noProof/>
              <w:lang w:eastAsia="en-AU"/>
            </w:rPr>
          </w:pPr>
          <w:hyperlink w:anchor="_Toc497744243" w:history="1">
            <w:r w:rsidRPr="002F4CD6">
              <w:rPr>
                <w:rStyle w:val="Hyperlink"/>
                <w:noProof/>
              </w:rPr>
              <w:t>Product background</w:t>
            </w:r>
            <w:r>
              <w:rPr>
                <w:noProof/>
                <w:webHidden/>
              </w:rPr>
              <w:tab/>
            </w:r>
            <w:r>
              <w:rPr>
                <w:noProof/>
                <w:webHidden/>
              </w:rPr>
              <w:fldChar w:fldCharType="begin"/>
            </w:r>
            <w:r>
              <w:rPr>
                <w:noProof/>
                <w:webHidden/>
              </w:rPr>
              <w:instrText xml:space="preserve"> PAGEREF _Toc497744243 \h </w:instrText>
            </w:r>
            <w:r>
              <w:rPr>
                <w:noProof/>
                <w:webHidden/>
              </w:rPr>
            </w:r>
            <w:r>
              <w:rPr>
                <w:noProof/>
                <w:webHidden/>
              </w:rPr>
              <w:fldChar w:fldCharType="separate"/>
            </w:r>
            <w:r>
              <w:rPr>
                <w:noProof/>
                <w:webHidden/>
              </w:rPr>
              <w:t>7</w:t>
            </w:r>
            <w:r>
              <w:rPr>
                <w:noProof/>
                <w:webHidden/>
              </w:rPr>
              <w:fldChar w:fldCharType="end"/>
            </w:r>
          </w:hyperlink>
        </w:p>
        <w:p w14:paraId="0EF28A29" w14:textId="77777777" w:rsidR="00CE42F6" w:rsidRDefault="00CE42F6">
          <w:pPr>
            <w:pStyle w:val="TOC3"/>
            <w:rPr>
              <w:rFonts w:asciiTheme="minorHAnsi" w:eastAsiaTheme="minorEastAsia" w:hAnsiTheme="minorHAnsi" w:cstheme="minorBidi"/>
              <w:noProof/>
              <w:lang w:eastAsia="en-AU"/>
            </w:rPr>
          </w:pPr>
          <w:hyperlink w:anchor="_Toc497744244" w:history="1">
            <w:r w:rsidRPr="002F4CD6">
              <w:rPr>
                <w:rStyle w:val="Hyperlink"/>
                <w:noProof/>
              </w:rPr>
              <w:t>Regulatory status</w:t>
            </w:r>
            <w:r>
              <w:rPr>
                <w:noProof/>
                <w:webHidden/>
              </w:rPr>
              <w:tab/>
            </w:r>
            <w:r>
              <w:rPr>
                <w:noProof/>
                <w:webHidden/>
              </w:rPr>
              <w:fldChar w:fldCharType="begin"/>
            </w:r>
            <w:r>
              <w:rPr>
                <w:noProof/>
                <w:webHidden/>
              </w:rPr>
              <w:instrText xml:space="preserve"> PAGEREF _Toc497744244 \h </w:instrText>
            </w:r>
            <w:r>
              <w:rPr>
                <w:noProof/>
                <w:webHidden/>
              </w:rPr>
            </w:r>
            <w:r>
              <w:rPr>
                <w:noProof/>
                <w:webHidden/>
              </w:rPr>
              <w:fldChar w:fldCharType="separate"/>
            </w:r>
            <w:r>
              <w:rPr>
                <w:noProof/>
                <w:webHidden/>
              </w:rPr>
              <w:t>11</w:t>
            </w:r>
            <w:r>
              <w:rPr>
                <w:noProof/>
                <w:webHidden/>
              </w:rPr>
              <w:fldChar w:fldCharType="end"/>
            </w:r>
          </w:hyperlink>
        </w:p>
        <w:p w14:paraId="09AAF9A0" w14:textId="77777777" w:rsidR="00CE42F6" w:rsidRDefault="00CE42F6">
          <w:pPr>
            <w:pStyle w:val="TOC3"/>
            <w:rPr>
              <w:rFonts w:asciiTheme="minorHAnsi" w:eastAsiaTheme="minorEastAsia" w:hAnsiTheme="minorHAnsi" w:cstheme="minorBidi"/>
              <w:noProof/>
              <w:lang w:eastAsia="en-AU"/>
            </w:rPr>
          </w:pPr>
          <w:hyperlink w:anchor="_Toc497744245" w:history="1">
            <w:r w:rsidRPr="002F4CD6">
              <w:rPr>
                <w:rStyle w:val="Hyperlink"/>
                <w:noProof/>
              </w:rPr>
              <w:t>Product Information</w:t>
            </w:r>
            <w:r>
              <w:rPr>
                <w:noProof/>
                <w:webHidden/>
              </w:rPr>
              <w:tab/>
            </w:r>
            <w:r>
              <w:rPr>
                <w:noProof/>
                <w:webHidden/>
              </w:rPr>
              <w:fldChar w:fldCharType="begin"/>
            </w:r>
            <w:r>
              <w:rPr>
                <w:noProof/>
                <w:webHidden/>
              </w:rPr>
              <w:instrText xml:space="preserve"> PAGEREF _Toc497744245 \h </w:instrText>
            </w:r>
            <w:r>
              <w:rPr>
                <w:noProof/>
                <w:webHidden/>
              </w:rPr>
            </w:r>
            <w:r>
              <w:rPr>
                <w:noProof/>
                <w:webHidden/>
              </w:rPr>
              <w:fldChar w:fldCharType="separate"/>
            </w:r>
            <w:r>
              <w:rPr>
                <w:noProof/>
                <w:webHidden/>
              </w:rPr>
              <w:t>11</w:t>
            </w:r>
            <w:r>
              <w:rPr>
                <w:noProof/>
                <w:webHidden/>
              </w:rPr>
              <w:fldChar w:fldCharType="end"/>
            </w:r>
          </w:hyperlink>
        </w:p>
        <w:p w14:paraId="7F372179" w14:textId="77777777" w:rsidR="00CE42F6" w:rsidRDefault="00CE42F6">
          <w:pPr>
            <w:pStyle w:val="TOC2"/>
            <w:rPr>
              <w:rFonts w:asciiTheme="minorHAnsi" w:eastAsiaTheme="minorEastAsia" w:hAnsiTheme="minorHAnsi" w:cstheme="minorBidi"/>
              <w:b w:val="0"/>
              <w:noProof/>
              <w:sz w:val="22"/>
              <w:lang w:eastAsia="en-AU"/>
            </w:rPr>
          </w:pPr>
          <w:hyperlink w:anchor="_Toc497744246" w:history="1">
            <w:r w:rsidRPr="002F4CD6">
              <w:rPr>
                <w:rStyle w:val="Hyperlink"/>
                <w:noProof/>
              </w:rPr>
              <w:t>II. Quality findings</w:t>
            </w:r>
            <w:r>
              <w:rPr>
                <w:noProof/>
                <w:webHidden/>
              </w:rPr>
              <w:tab/>
            </w:r>
            <w:r>
              <w:rPr>
                <w:noProof/>
                <w:webHidden/>
              </w:rPr>
              <w:fldChar w:fldCharType="begin"/>
            </w:r>
            <w:r>
              <w:rPr>
                <w:noProof/>
                <w:webHidden/>
              </w:rPr>
              <w:instrText xml:space="preserve"> PAGEREF _Toc497744246 \h </w:instrText>
            </w:r>
            <w:r>
              <w:rPr>
                <w:noProof/>
                <w:webHidden/>
              </w:rPr>
            </w:r>
            <w:r>
              <w:rPr>
                <w:noProof/>
                <w:webHidden/>
              </w:rPr>
              <w:fldChar w:fldCharType="separate"/>
            </w:r>
            <w:r>
              <w:rPr>
                <w:noProof/>
                <w:webHidden/>
              </w:rPr>
              <w:t>11</w:t>
            </w:r>
            <w:r>
              <w:rPr>
                <w:noProof/>
                <w:webHidden/>
              </w:rPr>
              <w:fldChar w:fldCharType="end"/>
            </w:r>
          </w:hyperlink>
        </w:p>
        <w:p w14:paraId="010C2190" w14:textId="77777777" w:rsidR="00CE42F6" w:rsidRDefault="00CE42F6">
          <w:pPr>
            <w:pStyle w:val="TOC3"/>
            <w:rPr>
              <w:rFonts w:asciiTheme="minorHAnsi" w:eastAsiaTheme="minorEastAsia" w:hAnsiTheme="minorHAnsi" w:cstheme="minorBidi"/>
              <w:noProof/>
              <w:lang w:eastAsia="en-AU"/>
            </w:rPr>
          </w:pPr>
          <w:hyperlink w:anchor="_Toc497744247" w:history="1">
            <w:r w:rsidRPr="002F4CD6">
              <w:rPr>
                <w:rStyle w:val="Hyperlink"/>
                <w:noProof/>
              </w:rPr>
              <w:t>Drug substance (active ingredient)</w:t>
            </w:r>
            <w:r>
              <w:rPr>
                <w:noProof/>
                <w:webHidden/>
              </w:rPr>
              <w:tab/>
            </w:r>
            <w:r>
              <w:rPr>
                <w:noProof/>
                <w:webHidden/>
              </w:rPr>
              <w:fldChar w:fldCharType="begin"/>
            </w:r>
            <w:r>
              <w:rPr>
                <w:noProof/>
                <w:webHidden/>
              </w:rPr>
              <w:instrText xml:space="preserve"> PAGEREF _Toc497744247 \h </w:instrText>
            </w:r>
            <w:r>
              <w:rPr>
                <w:noProof/>
                <w:webHidden/>
              </w:rPr>
            </w:r>
            <w:r>
              <w:rPr>
                <w:noProof/>
                <w:webHidden/>
              </w:rPr>
              <w:fldChar w:fldCharType="separate"/>
            </w:r>
            <w:r>
              <w:rPr>
                <w:noProof/>
                <w:webHidden/>
              </w:rPr>
              <w:t>12</w:t>
            </w:r>
            <w:r>
              <w:rPr>
                <w:noProof/>
                <w:webHidden/>
              </w:rPr>
              <w:fldChar w:fldCharType="end"/>
            </w:r>
          </w:hyperlink>
        </w:p>
        <w:p w14:paraId="49703581" w14:textId="77777777" w:rsidR="00CE42F6" w:rsidRDefault="00CE42F6">
          <w:pPr>
            <w:pStyle w:val="TOC3"/>
            <w:rPr>
              <w:rFonts w:asciiTheme="minorHAnsi" w:eastAsiaTheme="minorEastAsia" w:hAnsiTheme="minorHAnsi" w:cstheme="minorBidi"/>
              <w:noProof/>
              <w:lang w:eastAsia="en-AU"/>
            </w:rPr>
          </w:pPr>
          <w:hyperlink w:anchor="_Toc497744248" w:history="1">
            <w:r w:rsidRPr="002F4CD6">
              <w:rPr>
                <w:rStyle w:val="Hyperlink"/>
                <w:noProof/>
              </w:rPr>
              <w:t>Drug product</w:t>
            </w:r>
            <w:r>
              <w:rPr>
                <w:noProof/>
                <w:webHidden/>
              </w:rPr>
              <w:tab/>
            </w:r>
            <w:r>
              <w:rPr>
                <w:noProof/>
                <w:webHidden/>
              </w:rPr>
              <w:fldChar w:fldCharType="begin"/>
            </w:r>
            <w:r>
              <w:rPr>
                <w:noProof/>
                <w:webHidden/>
              </w:rPr>
              <w:instrText xml:space="preserve"> PAGEREF _Toc497744248 \h </w:instrText>
            </w:r>
            <w:r>
              <w:rPr>
                <w:noProof/>
                <w:webHidden/>
              </w:rPr>
            </w:r>
            <w:r>
              <w:rPr>
                <w:noProof/>
                <w:webHidden/>
              </w:rPr>
              <w:fldChar w:fldCharType="separate"/>
            </w:r>
            <w:r>
              <w:rPr>
                <w:noProof/>
                <w:webHidden/>
              </w:rPr>
              <w:t>12</w:t>
            </w:r>
            <w:r>
              <w:rPr>
                <w:noProof/>
                <w:webHidden/>
              </w:rPr>
              <w:fldChar w:fldCharType="end"/>
            </w:r>
          </w:hyperlink>
        </w:p>
        <w:p w14:paraId="70C16570" w14:textId="77777777" w:rsidR="00CE42F6" w:rsidRDefault="00CE42F6">
          <w:pPr>
            <w:pStyle w:val="TOC3"/>
            <w:rPr>
              <w:rFonts w:asciiTheme="minorHAnsi" w:eastAsiaTheme="minorEastAsia" w:hAnsiTheme="minorHAnsi" w:cstheme="minorBidi"/>
              <w:noProof/>
              <w:lang w:eastAsia="en-AU"/>
            </w:rPr>
          </w:pPr>
          <w:hyperlink w:anchor="_Toc497744249" w:history="1">
            <w:r w:rsidRPr="002F4CD6">
              <w:rPr>
                <w:rStyle w:val="Hyperlink"/>
                <w:noProof/>
              </w:rPr>
              <w:t>Biopharmaceutics</w:t>
            </w:r>
            <w:r>
              <w:rPr>
                <w:noProof/>
                <w:webHidden/>
              </w:rPr>
              <w:tab/>
            </w:r>
            <w:r>
              <w:rPr>
                <w:noProof/>
                <w:webHidden/>
              </w:rPr>
              <w:fldChar w:fldCharType="begin"/>
            </w:r>
            <w:r>
              <w:rPr>
                <w:noProof/>
                <w:webHidden/>
              </w:rPr>
              <w:instrText xml:space="preserve"> PAGEREF _Toc497744249 \h </w:instrText>
            </w:r>
            <w:r>
              <w:rPr>
                <w:noProof/>
                <w:webHidden/>
              </w:rPr>
            </w:r>
            <w:r>
              <w:rPr>
                <w:noProof/>
                <w:webHidden/>
              </w:rPr>
              <w:fldChar w:fldCharType="separate"/>
            </w:r>
            <w:r>
              <w:rPr>
                <w:noProof/>
                <w:webHidden/>
              </w:rPr>
              <w:t>13</w:t>
            </w:r>
            <w:r>
              <w:rPr>
                <w:noProof/>
                <w:webHidden/>
              </w:rPr>
              <w:fldChar w:fldCharType="end"/>
            </w:r>
          </w:hyperlink>
        </w:p>
        <w:p w14:paraId="465D5B3E" w14:textId="77777777" w:rsidR="00CE42F6" w:rsidRDefault="00CE42F6">
          <w:pPr>
            <w:pStyle w:val="TOC3"/>
            <w:rPr>
              <w:rFonts w:asciiTheme="minorHAnsi" w:eastAsiaTheme="minorEastAsia" w:hAnsiTheme="minorHAnsi" w:cstheme="minorBidi"/>
              <w:noProof/>
              <w:lang w:eastAsia="en-AU"/>
            </w:rPr>
          </w:pPr>
          <w:hyperlink w:anchor="_Toc497744250" w:history="1">
            <w:r w:rsidRPr="002F4CD6">
              <w:rPr>
                <w:rStyle w:val="Hyperlink"/>
                <w:noProof/>
              </w:rPr>
              <w:t>Quality summary and conclusions</w:t>
            </w:r>
            <w:r>
              <w:rPr>
                <w:noProof/>
                <w:webHidden/>
              </w:rPr>
              <w:tab/>
            </w:r>
            <w:r>
              <w:rPr>
                <w:noProof/>
                <w:webHidden/>
              </w:rPr>
              <w:fldChar w:fldCharType="begin"/>
            </w:r>
            <w:r>
              <w:rPr>
                <w:noProof/>
                <w:webHidden/>
              </w:rPr>
              <w:instrText xml:space="preserve"> PAGEREF _Toc497744250 \h </w:instrText>
            </w:r>
            <w:r>
              <w:rPr>
                <w:noProof/>
                <w:webHidden/>
              </w:rPr>
            </w:r>
            <w:r>
              <w:rPr>
                <w:noProof/>
                <w:webHidden/>
              </w:rPr>
              <w:fldChar w:fldCharType="separate"/>
            </w:r>
            <w:r>
              <w:rPr>
                <w:noProof/>
                <w:webHidden/>
              </w:rPr>
              <w:t>14</w:t>
            </w:r>
            <w:r>
              <w:rPr>
                <w:noProof/>
                <w:webHidden/>
              </w:rPr>
              <w:fldChar w:fldCharType="end"/>
            </w:r>
          </w:hyperlink>
        </w:p>
        <w:p w14:paraId="06824666" w14:textId="77777777" w:rsidR="00CE42F6" w:rsidRDefault="00CE42F6">
          <w:pPr>
            <w:pStyle w:val="TOC2"/>
            <w:rPr>
              <w:rFonts w:asciiTheme="minorHAnsi" w:eastAsiaTheme="minorEastAsia" w:hAnsiTheme="minorHAnsi" w:cstheme="minorBidi"/>
              <w:b w:val="0"/>
              <w:noProof/>
              <w:sz w:val="22"/>
              <w:lang w:eastAsia="en-AU"/>
            </w:rPr>
          </w:pPr>
          <w:hyperlink w:anchor="_Toc497744251" w:history="1">
            <w:r w:rsidRPr="002F4CD6">
              <w:rPr>
                <w:rStyle w:val="Hyperlink"/>
                <w:noProof/>
              </w:rPr>
              <w:t>III. Nonclinical findings</w:t>
            </w:r>
            <w:r>
              <w:rPr>
                <w:noProof/>
                <w:webHidden/>
              </w:rPr>
              <w:tab/>
            </w:r>
            <w:r>
              <w:rPr>
                <w:noProof/>
                <w:webHidden/>
              </w:rPr>
              <w:fldChar w:fldCharType="begin"/>
            </w:r>
            <w:r>
              <w:rPr>
                <w:noProof/>
                <w:webHidden/>
              </w:rPr>
              <w:instrText xml:space="preserve"> PAGEREF _Toc497744251 \h </w:instrText>
            </w:r>
            <w:r>
              <w:rPr>
                <w:noProof/>
                <w:webHidden/>
              </w:rPr>
            </w:r>
            <w:r>
              <w:rPr>
                <w:noProof/>
                <w:webHidden/>
              </w:rPr>
              <w:fldChar w:fldCharType="separate"/>
            </w:r>
            <w:r>
              <w:rPr>
                <w:noProof/>
                <w:webHidden/>
              </w:rPr>
              <w:t>14</w:t>
            </w:r>
            <w:r>
              <w:rPr>
                <w:noProof/>
                <w:webHidden/>
              </w:rPr>
              <w:fldChar w:fldCharType="end"/>
            </w:r>
          </w:hyperlink>
        </w:p>
        <w:p w14:paraId="4ED3679C" w14:textId="77777777" w:rsidR="00CE42F6" w:rsidRDefault="00CE42F6">
          <w:pPr>
            <w:pStyle w:val="TOC3"/>
            <w:rPr>
              <w:rFonts w:asciiTheme="minorHAnsi" w:eastAsiaTheme="minorEastAsia" w:hAnsiTheme="minorHAnsi" w:cstheme="minorBidi"/>
              <w:noProof/>
              <w:lang w:eastAsia="en-AU"/>
            </w:rPr>
          </w:pPr>
          <w:hyperlink w:anchor="_Toc497744252" w:history="1">
            <w:r w:rsidRPr="002F4CD6">
              <w:rPr>
                <w:rStyle w:val="Hyperlink"/>
                <w:noProof/>
              </w:rPr>
              <w:t>Introduction</w:t>
            </w:r>
            <w:r>
              <w:rPr>
                <w:noProof/>
                <w:webHidden/>
              </w:rPr>
              <w:tab/>
            </w:r>
            <w:r>
              <w:rPr>
                <w:noProof/>
                <w:webHidden/>
              </w:rPr>
              <w:fldChar w:fldCharType="begin"/>
            </w:r>
            <w:r>
              <w:rPr>
                <w:noProof/>
                <w:webHidden/>
              </w:rPr>
              <w:instrText xml:space="preserve"> PAGEREF _Toc497744252 \h </w:instrText>
            </w:r>
            <w:r>
              <w:rPr>
                <w:noProof/>
                <w:webHidden/>
              </w:rPr>
            </w:r>
            <w:r>
              <w:rPr>
                <w:noProof/>
                <w:webHidden/>
              </w:rPr>
              <w:fldChar w:fldCharType="separate"/>
            </w:r>
            <w:r>
              <w:rPr>
                <w:noProof/>
                <w:webHidden/>
              </w:rPr>
              <w:t>14</w:t>
            </w:r>
            <w:r>
              <w:rPr>
                <w:noProof/>
                <w:webHidden/>
              </w:rPr>
              <w:fldChar w:fldCharType="end"/>
            </w:r>
          </w:hyperlink>
        </w:p>
        <w:p w14:paraId="1F3A9A20" w14:textId="77777777" w:rsidR="00CE42F6" w:rsidRDefault="00CE42F6">
          <w:pPr>
            <w:pStyle w:val="TOC3"/>
            <w:rPr>
              <w:rFonts w:asciiTheme="minorHAnsi" w:eastAsiaTheme="minorEastAsia" w:hAnsiTheme="minorHAnsi" w:cstheme="minorBidi"/>
              <w:noProof/>
              <w:lang w:eastAsia="en-AU"/>
            </w:rPr>
          </w:pPr>
          <w:hyperlink w:anchor="_Toc497744253" w:history="1">
            <w:r w:rsidRPr="002F4CD6">
              <w:rPr>
                <w:rStyle w:val="Hyperlink"/>
                <w:noProof/>
              </w:rPr>
              <w:t>Pharmacology</w:t>
            </w:r>
            <w:r>
              <w:rPr>
                <w:noProof/>
                <w:webHidden/>
              </w:rPr>
              <w:tab/>
            </w:r>
            <w:r>
              <w:rPr>
                <w:noProof/>
                <w:webHidden/>
              </w:rPr>
              <w:fldChar w:fldCharType="begin"/>
            </w:r>
            <w:r>
              <w:rPr>
                <w:noProof/>
                <w:webHidden/>
              </w:rPr>
              <w:instrText xml:space="preserve"> PAGEREF _Toc497744253 \h </w:instrText>
            </w:r>
            <w:r>
              <w:rPr>
                <w:noProof/>
                <w:webHidden/>
              </w:rPr>
            </w:r>
            <w:r>
              <w:rPr>
                <w:noProof/>
                <w:webHidden/>
              </w:rPr>
              <w:fldChar w:fldCharType="separate"/>
            </w:r>
            <w:r>
              <w:rPr>
                <w:noProof/>
                <w:webHidden/>
              </w:rPr>
              <w:t>14</w:t>
            </w:r>
            <w:r>
              <w:rPr>
                <w:noProof/>
                <w:webHidden/>
              </w:rPr>
              <w:fldChar w:fldCharType="end"/>
            </w:r>
          </w:hyperlink>
        </w:p>
        <w:p w14:paraId="263777EC" w14:textId="77777777" w:rsidR="00CE42F6" w:rsidRDefault="00CE42F6">
          <w:pPr>
            <w:pStyle w:val="TOC3"/>
            <w:rPr>
              <w:rFonts w:asciiTheme="minorHAnsi" w:eastAsiaTheme="minorEastAsia" w:hAnsiTheme="minorHAnsi" w:cstheme="minorBidi"/>
              <w:noProof/>
              <w:lang w:eastAsia="en-AU"/>
            </w:rPr>
          </w:pPr>
          <w:hyperlink w:anchor="_Toc497744254" w:history="1">
            <w:r w:rsidRPr="002F4CD6">
              <w:rPr>
                <w:rStyle w:val="Hyperlink"/>
                <w:noProof/>
              </w:rPr>
              <w:t>Pharmacokinetics</w:t>
            </w:r>
            <w:r>
              <w:rPr>
                <w:noProof/>
                <w:webHidden/>
              </w:rPr>
              <w:tab/>
            </w:r>
            <w:r>
              <w:rPr>
                <w:noProof/>
                <w:webHidden/>
              </w:rPr>
              <w:fldChar w:fldCharType="begin"/>
            </w:r>
            <w:r>
              <w:rPr>
                <w:noProof/>
                <w:webHidden/>
              </w:rPr>
              <w:instrText xml:space="preserve"> PAGEREF _Toc497744254 \h </w:instrText>
            </w:r>
            <w:r>
              <w:rPr>
                <w:noProof/>
                <w:webHidden/>
              </w:rPr>
            </w:r>
            <w:r>
              <w:rPr>
                <w:noProof/>
                <w:webHidden/>
              </w:rPr>
              <w:fldChar w:fldCharType="separate"/>
            </w:r>
            <w:r>
              <w:rPr>
                <w:noProof/>
                <w:webHidden/>
              </w:rPr>
              <w:t>15</w:t>
            </w:r>
            <w:r>
              <w:rPr>
                <w:noProof/>
                <w:webHidden/>
              </w:rPr>
              <w:fldChar w:fldCharType="end"/>
            </w:r>
          </w:hyperlink>
        </w:p>
        <w:p w14:paraId="39005859" w14:textId="77777777" w:rsidR="00CE42F6" w:rsidRDefault="00CE42F6">
          <w:pPr>
            <w:pStyle w:val="TOC3"/>
            <w:rPr>
              <w:rFonts w:asciiTheme="minorHAnsi" w:eastAsiaTheme="minorEastAsia" w:hAnsiTheme="minorHAnsi" w:cstheme="minorBidi"/>
              <w:noProof/>
              <w:lang w:eastAsia="en-AU"/>
            </w:rPr>
          </w:pPr>
          <w:hyperlink w:anchor="_Toc497744255" w:history="1">
            <w:r w:rsidRPr="002F4CD6">
              <w:rPr>
                <w:rStyle w:val="Hyperlink"/>
                <w:noProof/>
              </w:rPr>
              <w:t>Toxicology</w:t>
            </w:r>
            <w:r>
              <w:rPr>
                <w:noProof/>
                <w:webHidden/>
              </w:rPr>
              <w:tab/>
            </w:r>
            <w:r>
              <w:rPr>
                <w:noProof/>
                <w:webHidden/>
              </w:rPr>
              <w:fldChar w:fldCharType="begin"/>
            </w:r>
            <w:r>
              <w:rPr>
                <w:noProof/>
                <w:webHidden/>
              </w:rPr>
              <w:instrText xml:space="preserve"> PAGEREF _Toc497744255 \h </w:instrText>
            </w:r>
            <w:r>
              <w:rPr>
                <w:noProof/>
                <w:webHidden/>
              </w:rPr>
            </w:r>
            <w:r>
              <w:rPr>
                <w:noProof/>
                <w:webHidden/>
              </w:rPr>
              <w:fldChar w:fldCharType="separate"/>
            </w:r>
            <w:r>
              <w:rPr>
                <w:noProof/>
                <w:webHidden/>
              </w:rPr>
              <w:t>16</w:t>
            </w:r>
            <w:r>
              <w:rPr>
                <w:noProof/>
                <w:webHidden/>
              </w:rPr>
              <w:fldChar w:fldCharType="end"/>
            </w:r>
          </w:hyperlink>
        </w:p>
        <w:p w14:paraId="5D4A3056" w14:textId="77777777" w:rsidR="00CE42F6" w:rsidRDefault="00CE42F6">
          <w:pPr>
            <w:pStyle w:val="TOC3"/>
            <w:rPr>
              <w:rFonts w:asciiTheme="minorHAnsi" w:eastAsiaTheme="minorEastAsia" w:hAnsiTheme="minorHAnsi" w:cstheme="minorBidi"/>
              <w:noProof/>
              <w:lang w:eastAsia="en-AU"/>
            </w:rPr>
          </w:pPr>
          <w:hyperlink w:anchor="_Toc497744256" w:history="1">
            <w:r w:rsidRPr="002F4CD6">
              <w:rPr>
                <w:rStyle w:val="Hyperlink"/>
                <w:noProof/>
              </w:rPr>
              <w:t>Nonclinical summary and conclusions</w:t>
            </w:r>
            <w:r>
              <w:rPr>
                <w:noProof/>
                <w:webHidden/>
              </w:rPr>
              <w:tab/>
            </w:r>
            <w:r>
              <w:rPr>
                <w:noProof/>
                <w:webHidden/>
              </w:rPr>
              <w:fldChar w:fldCharType="begin"/>
            </w:r>
            <w:r>
              <w:rPr>
                <w:noProof/>
                <w:webHidden/>
              </w:rPr>
              <w:instrText xml:space="preserve"> PAGEREF _Toc497744256 \h </w:instrText>
            </w:r>
            <w:r>
              <w:rPr>
                <w:noProof/>
                <w:webHidden/>
              </w:rPr>
            </w:r>
            <w:r>
              <w:rPr>
                <w:noProof/>
                <w:webHidden/>
              </w:rPr>
              <w:fldChar w:fldCharType="separate"/>
            </w:r>
            <w:r>
              <w:rPr>
                <w:noProof/>
                <w:webHidden/>
              </w:rPr>
              <w:t>19</w:t>
            </w:r>
            <w:r>
              <w:rPr>
                <w:noProof/>
                <w:webHidden/>
              </w:rPr>
              <w:fldChar w:fldCharType="end"/>
            </w:r>
          </w:hyperlink>
        </w:p>
        <w:p w14:paraId="022D4390" w14:textId="77777777" w:rsidR="00CE42F6" w:rsidRDefault="00CE42F6">
          <w:pPr>
            <w:pStyle w:val="TOC2"/>
            <w:rPr>
              <w:rFonts w:asciiTheme="minorHAnsi" w:eastAsiaTheme="minorEastAsia" w:hAnsiTheme="minorHAnsi" w:cstheme="minorBidi"/>
              <w:b w:val="0"/>
              <w:noProof/>
              <w:sz w:val="22"/>
              <w:lang w:eastAsia="en-AU"/>
            </w:rPr>
          </w:pPr>
          <w:hyperlink w:anchor="_Toc497744257" w:history="1">
            <w:r w:rsidRPr="002F4CD6">
              <w:rPr>
                <w:rStyle w:val="Hyperlink"/>
                <w:noProof/>
              </w:rPr>
              <w:t>IV. Clinical findings</w:t>
            </w:r>
            <w:r>
              <w:rPr>
                <w:noProof/>
                <w:webHidden/>
              </w:rPr>
              <w:tab/>
            </w:r>
            <w:r>
              <w:rPr>
                <w:noProof/>
                <w:webHidden/>
              </w:rPr>
              <w:fldChar w:fldCharType="begin"/>
            </w:r>
            <w:r>
              <w:rPr>
                <w:noProof/>
                <w:webHidden/>
              </w:rPr>
              <w:instrText xml:space="preserve"> PAGEREF _Toc497744257 \h </w:instrText>
            </w:r>
            <w:r>
              <w:rPr>
                <w:noProof/>
                <w:webHidden/>
              </w:rPr>
            </w:r>
            <w:r>
              <w:rPr>
                <w:noProof/>
                <w:webHidden/>
              </w:rPr>
              <w:fldChar w:fldCharType="separate"/>
            </w:r>
            <w:r>
              <w:rPr>
                <w:noProof/>
                <w:webHidden/>
              </w:rPr>
              <w:t>20</w:t>
            </w:r>
            <w:r>
              <w:rPr>
                <w:noProof/>
                <w:webHidden/>
              </w:rPr>
              <w:fldChar w:fldCharType="end"/>
            </w:r>
          </w:hyperlink>
        </w:p>
        <w:p w14:paraId="1D85A981" w14:textId="77777777" w:rsidR="00CE42F6" w:rsidRDefault="00CE42F6">
          <w:pPr>
            <w:pStyle w:val="TOC3"/>
            <w:rPr>
              <w:rFonts w:asciiTheme="minorHAnsi" w:eastAsiaTheme="minorEastAsia" w:hAnsiTheme="minorHAnsi" w:cstheme="minorBidi"/>
              <w:noProof/>
              <w:lang w:eastAsia="en-AU"/>
            </w:rPr>
          </w:pPr>
          <w:hyperlink w:anchor="_Toc497744258" w:history="1">
            <w:r w:rsidRPr="002F4CD6">
              <w:rPr>
                <w:rStyle w:val="Hyperlink"/>
                <w:noProof/>
              </w:rPr>
              <w:t>Introduction</w:t>
            </w:r>
            <w:r>
              <w:rPr>
                <w:noProof/>
                <w:webHidden/>
              </w:rPr>
              <w:tab/>
            </w:r>
            <w:r>
              <w:rPr>
                <w:noProof/>
                <w:webHidden/>
              </w:rPr>
              <w:fldChar w:fldCharType="begin"/>
            </w:r>
            <w:r>
              <w:rPr>
                <w:noProof/>
                <w:webHidden/>
              </w:rPr>
              <w:instrText xml:space="preserve"> PAGEREF _Toc497744258 \h </w:instrText>
            </w:r>
            <w:r>
              <w:rPr>
                <w:noProof/>
                <w:webHidden/>
              </w:rPr>
            </w:r>
            <w:r>
              <w:rPr>
                <w:noProof/>
                <w:webHidden/>
              </w:rPr>
              <w:fldChar w:fldCharType="separate"/>
            </w:r>
            <w:r>
              <w:rPr>
                <w:noProof/>
                <w:webHidden/>
              </w:rPr>
              <w:t>20</w:t>
            </w:r>
            <w:r>
              <w:rPr>
                <w:noProof/>
                <w:webHidden/>
              </w:rPr>
              <w:fldChar w:fldCharType="end"/>
            </w:r>
          </w:hyperlink>
        </w:p>
        <w:p w14:paraId="2BC48A91" w14:textId="77777777" w:rsidR="00CE42F6" w:rsidRDefault="00CE42F6">
          <w:pPr>
            <w:pStyle w:val="TOC3"/>
            <w:rPr>
              <w:rFonts w:asciiTheme="minorHAnsi" w:eastAsiaTheme="minorEastAsia" w:hAnsiTheme="minorHAnsi" w:cstheme="minorBidi"/>
              <w:noProof/>
              <w:lang w:eastAsia="en-AU"/>
            </w:rPr>
          </w:pPr>
          <w:hyperlink w:anchor="_Toc497744259" w:history="1">
            <w:r w:rsidRPr="002F4CD6">
              <w:rPr>
                <w:rStyle w:val="Hyperlink"/>
                <w:noProof/>
              </w:rPr>
              <w:t>Pharmacokinetics</w:t>
            </w:r>
            <w:r>
              <w:rPr>
                <w:noProof/>
                <w:webHidden/>
              </w:rPr>
              <w:tab/>
            </w:r>
            <w:r>
              <w:rPr>
                <w:noProof/>
                <w:webHidden/>
              </w:rPr>
              <w:fldChar w:fldCharType="begin"/>
            </w:r>
            <w:r>
              <w:rPr>
                <w:noProof/>
                <w:webHidden/>
              </w:rPr>
              <w:instrText xml:space="preserve"> PAGEREF _Toc497744259 \h </w:instrText>
            </w:r>
            <w:r>
              <w:rPr>
                <w:noProof/>
                <w:webHidden/>
              </w:rPr>
            </w:r>
            <w:r>
              <w:rPr>
                <w:noProof/>
                <w:webHidden/>
              </w:rPr>
              <w:fldChar w:fldCharType="separate"/>
            </w:r>
            <w:r>
              <w:rPr>
                <w:noProof/>
                <w:webHidden/>
              </w:rPr>
              <w:t>25</w:t>
            </w:r>
            <w:r>
              <w:rPr>
                <w:noProof/>
                <w:webHidden/>
              </w:rPr>
              <w:fldChar w:fldCharType="end"/>
            </w:r>
          </w:hyperlink>
        </w:p>
        <w:p w14:paraId="2E0498D8" w14:textId="77777777" w:rsidR="00CE42F6" w:rsidRDefault="00CE42F6">
          <w:pPr>
            <w:pStyle w:val="TOC3"/>
            <w:rPr>
              <w:rFonts w:asciiTheme="minorHAnsi" w:eastAsiaTheme="minorEastAsia" w:hAnsiTheme="minorHAnsi" w:cstheme="minorBidi"/>
              <w:noProof/>
              <w:lang w:eastAsia="en-AU"/>
            </w:rPr>
          </w:pPr>
          <w:hyperlink w:anchor="_Toc497744260" w:history="1">
            <w:r w:rsidRPr="002F4CD6">
              <w:rPr>
                <w:rStyle w:val="Hyperlink"/>
                <w:noProof/>
              </w:rPr>
              <w:t>Pharmacodynamics</w:t>
            </w:r>
            <w:r>
              <w:rPr>
                <w:noProof/>
                <w:webHidden/>
              </w:rPr>
              <w:tab/>
            </w:r>
            <w:r>
              <w:rPr>
                <w:noProof/>
                <w:webHidden/>
              </w:rPr>
              <w:fldChar w:fldCharType="begin"/>
            </w:r>
            <w:r>
              <w:rPr>
                <w:noProof/>
                <w:webHidden/>
              </w:rPr>
              <w:instrText xml:space="preserve"> PAGEREF _Toc497744260 \h </w:instrText>
            </w:r>
            <w:r>
              <w:rPr>
                <w:noProof/>
                <w:webHidden/>
              </w:rPr>
            </w:r>
            <w:r>
              <w:rPr>
                <w:noProof/>
                <w:webHidden/>
              </w:rPr>
              <w:fldChar w:fldCharType="separate"/>
            </w:r>
            <w:r>
              <w:rPr>
                <w:noProof/>
                <w:webHidden/>
              </w:rPr>
              <w:t>26</w:t>
            </w:r>
            <w:r>
              <w:rPr>
                <w:noProof/>
                <w:webHidden/>
              </w:rPr>
              <w:fldChar w:fldCharType="end"/>
            </w:r>
          </w:hyperlink>
        </w:p>
        <w:p w14:paraId="01686AD8" w14:textId="77777777" w:rsidR="00CE42F6" w:rsidRDefault="00CE42F6">
          <w:pPr>
            <w:pStyle w:val="TOC3"/>
            <w:rPr>
              <w:rFonts w:asciiTheme="minorHAnsi" w:eastAsiaTheme="minorEastAsia" w:hAnsiTheme="minorHAnsi" w:cstheme="minorBidi"/>
              <w:noProof/>
              <w:lang w:eastAsia="en-AU"/>
            </w:rPr>
          </w:pPr>
          <w:hyperlink w:anchor="_Toc497744261" w:history="1">
            <w:r w:rsidRPr="002F4CD6">
              <w:rPr>
                <w:rStyle w:val="Hyperlink"/>
                <w:noProof/>
              </w:rPr>
              <w:t>Medical device issues</w:t>
            </w:r>
            <w:r>
              <w:rPr>
                <w:noProof/>
                <w:webHidden/>
              </w:rPr>
              <w:tab/>
            </w:r>
            <w:r>
              <w:rPr>
                <w:noProof/>
                <w:webHidden/>
              </w:rPr>
              <w:fldChar w:fldCharType="begin"/>
            </w:r>
            <w:r>
              <w:rPr>
                <w:noProof/>
                <w:webHidden/>
              </w:rPr>
              <w:instrText xml:space="preserve"> PAGEREF _Toc497744261 \h </w:instrText>
            </w:r>
            <w:r>
              <w:rPr>
                <w:noProof/>
                <w:webHidden/>
              </w:rPr>
            </w:r>
            <w:r>
              <w:rPr>
                <w:noProof/>
                <w:webHidden/>
              </w:rPr>
              <w:fldChar w:fldCharType="separate"/>
            </w:r>
            <w:r>
              <w:rPr>
                <w:noProof/>
                <w:webHidden/>
              </w:rPr>
              <w:t>26</w:t>
            </w:r>
            <w:r>
              <w:rPr>
                <w:noProof/>
                <w:webHidden/>
              </w:rPr>
              <w:fldChar w:fldCharType="end"/>
            </w:r>
          </w:hyperlink>
        </w:p>
        <w:p w14:paraId="1DD781D0" w14:textId="77777777" w:rsidR="00CE42F6" w:rsidRDefault="00CE42F6">
          <w:pPr>
            <w:pStyle w:val="TOC3"/>
            <w:rPr>
              <w:rFonts w:asciiTheme="minorHAnsi" w:eastAsiaTheme="minorEastAsia" w:hAnsiTheme="minorHAnsi" w:cstheme="minorBidi"/>
              <w:noProof/>
              <w:lang w:eastAsia="en-AU"/>
            </w:rPr>
          </w:pPr>
          <w:hyperlink w:anchor="_Toc497744262" w:history="1">
            <w:r w:rsidRPr="002F4CD6">
              <w:rPr>
                <w:rStyle w:val="Hyperlink"/>
                <w:noProof/>
              </w:rPr>
              <w:t>Injection pen and needles</w:t>
            </w:r>
            <w:r>
              <w:rPr>
                <w:noProof/>
                <w:webHidden/>
              </w:rPr>
              <w:tab/>
            </w:r>
            <w:r>
              <w:rPr>
                <w:noProof/>
                <w:webHidden/>
              </w:rPr>
              <w:fldChar w:fldCharType="begin"/>
            </w:r>
            <w:r>
              <w:rPr>
                <w:noProof/>
                <w:webHidden/>
              </w:rPr>
              <w:instrText xml:space="preserve"> PAGEREF _Toc497744262 \h </w:instrText>
            </w:r>
            <w:r>
              <w:rPr>
                <w:noProof/>
                <w:webHidden/>
              </w:rPr>
            </w:r>
            <w:r>
              <w:rPr>
                <w:noProof/>
                <w:webHidden/>
              </w:rPr>
              <w:fldChar w:fldCharType="separate"/>
            </w:r>
            <w:r>
              <w:rPr>
                <w:noProof/>
                <w:webHidden/>
              </w:rPr>
              <w:t>27</w:t>
            </w:r>
            <w:r>
              <w:rPr>
                <w:noProof/>
                <w:webHidden/>
              </w:rPr>
              <w:fldChar w:fldCharType="end"/>
            </w:r>
          </w:hyperlink>
        </w:p>
        <w:p w14:paraId="6F9BDBE2" w14:textId="77777777" w:rsidR="00CE42F6" w:rsidRDefault="00CE42F6">
          <w:pPr>
            <w:pStyle w:val="TOC3"/>
            <w:rPr>
              <w:rFonts w:asciiTheme="minorHAnsi" w:eastAsiaTheme="minorEastAsia" w:hAnsiTheme="minorHAnsi" w:cstheme="minorBidi"/>
              <w:noProof/>
              <w:lang w:eastAsia="en-AU"/>
            </w:rPr>
          </w:pPr>
          <w:hyperlink w:anchor="_Toc497744263" w:history="1">
            <w:r w:rsidRPr="002F4CD6">
              <w:rPr>
                <w:rStyle w:val="Hyperlink"/>
                <w:noProof/>
              </w:rPr>
              <w:t>Dose calculator app</w:t>
            </w:r>
            <w:r>
              <w:rPr>
                <w:noProof/>
                <w:webHidden/>
              </w:rPr>
              <w:tab/>
            </w:r>
            <w:r>
              <w:rPr>
                <w:noProof/>
                <w:webHidden/>
              </w:rPr>
              <w:fldChar w:fldCharType="begin"/>
            </w:r>
            <w:r>
              <w:rPr>
                <w:noProof/>
                <w:webHidden/>
              </w:rPr>
              <w:instrText xml:space="preserve"> PAGEREF _Toc497744263 \h </w:instrText>
            </w:r>
            <w:r>
              <w:rPr>
                <w:noProof/>
                <w:webHidden/>
              </w:rPr>
            </w:r>
            <w:r>
              <w:rPr>
                <w:noProof/>
                <w:webHidden/>
              </w:rPr>
              <w:fldChar w:fldCharType="separate"/>
            </w:r>
            <w:r>
              <w:rPr>
                <w:noProof/>
                <w:webHidden/>
              </w:rPr>
              <w:t>27</w:t>
            </w:r>
            <w:r>
              <w:rPr>
                <w:noProof/>
                <w:webHidden/>
              </w:rPr>
              <w:fldChar w:fldCharType="end"/>
            </w:r>
          </w:hyperlink>
        </w:p>
        <w:p w14:paraId="494F51D8" w14:textId="77777777" w:rsidR="00CE42F6" w:rsidRDefault="00CE42F6">
          <w:pPr>
            <w:pStyle w:val="TOC3"/>
            <w:rPr>
              <w:rFonts w:asciiTheme="minorHAnsi" w:eastAsiaTheme="minorEastAsia" w:hAnsiTheme="minorHAnsi" w:cstheme="minorBidi"/>
              <w:noProof/>
              <w:lang w:eastAsia="en-AU"/>
            </w:rPr>
          </w:pPr>
          <w:hyperlink w:anchor="_Toc497744264" w:history="1">
            <w:r w:rsidRPr="002F4CD6">
              <w:rPr>
                <w:rStyle w:val="Hyperlink"/>
                <w:noProof/>
              </w:rPr>
              <w:t>Dosage selection for the pivotal studies</w:t>
            </w:r>
            <w:r>
              <w:rPr>
                <w:noProof/>
                <w:webHidden/>
              </w:rPr>
              <w:tab/>
            </w:r>
            <w:r>
              <w:rPr>
                <w:noProof/>
                <w:webHidden/>
              </w:rPr>
              <w:fldChar w:fldCharType="begin"/>
            </w:r>
            <w:r>
              <w:rPr>
                <w:noProof/>
                <w:webHidden/>
              </w:rPr>
              <w:instrText xml:space="preserve"> PAGEREF _Toc497744264 \h </w:instrText>
            </w:r>
            <w:r>
              <w:rPr>
                <w:noProof/>
                <w:webHidden/>
              </w:rPr>
            </w:r>
            <w:r>
              <w:rPr>
                <w:noProof/>
                <w:webHidden/>
              </w:rPr>
              <w:fldChar w:fldCharType="separate"/>
            </w:r>
            <w:r>
              <w:rPr>
                <w:noProof/>
                <w:webHidden/>
              </w:rPr>
              <w:t>27</w:t>
            </w:r>
            <w:r>
              <w:rPr>
                <w:noProof/>
                <w:webHidden/>
              </w:rPr>
              <w:fldChar w:fldCharType="end"/>
            </w:r>
          </w:hyperlink>
        </w:p>
        <w:p w14:paraId="03039A5F" w14:textId="77777777" w:rsidR="00CE42F6" w:rsidRDefault="00CE42F6">
          <w:pPr>
            <w:pStyle w:val="TOC3"/>
            <w:rPr>
              <w:rFonts w:asciiTheme="minorHAnsi" w:eastAsiaTheme="minorEastAsia" w:hAnsiTheme="minorHAnsi" w:cstheme="minorBidi"/>
              <w:noProof/>
              <w:lang w:eastAsia="en-AU"/>
            </w:rPr>
          </w:pPr>
          <w:hyperlink w:anchor="_Toc497744265" w:history="1">
            <w:r w:rsidRPr="002F4CD6">
              <w:rPr>
                <w:rStyle w:val="Hyperlink"/>
                <w:noProof/>
              </w:rPr>
              <w:t>Efficacy</w:t>
            </w:r>
            <w:r>
              <w:rPr>
                <w:noProof/>
                <w:webHidden/>
              </w:rPr>
              <w:tab/>
            </w:r>
            <w:r>
              <w:rPr>
                <w:noProof/>
                <w:webHidden/>
              </w:rPr>
              <w:fldChar w:fldCharType="begin"/>
            </w:r>
            <w:r>
              <w:rPr>
                <w:noProof/>
                <w:webHidden/>
              </w:rPr>
              <w:instrText xml:space="preserve"> PAGEREF _Toc497744265 \h </w:instrText>
            </w:r>
            <w:r>
              <w:rPr>
                <w:noProof/>
                <w:webHidden/>
              </w:rPr>
            </w:r>
            <w:r>
              <w:rPr>
                <w:noProof/>
                <w:webHidden/>
              </w:rPr>
              <w:fldChar w:fldCharType="separate"/>
            </w:r>
            <w:r>
              <w:rPr>
                <w:noProof/>
                <w:webHidden/>
              </w:rPr>
              <w:t>28</w:t>
            </w:r>
            <w:r>
              <w:rPr>
                <w:noProof/>
                <w:webHidden/>
              </w:rPr>
              <w:fldChar w:fldCharType="end"/>
            </w:r>
          </w:hyperlink>
        </w:p>
        <w:p w14:paraId="3C45EC41" w14:textId="77777777" w:rsidR="00CE42F6" w:rsidRDefault="00CE42F6">
          <w:pPr>
            <w:pStyle w:val="TOC3"/>
            <w:rPr>
              <w:rFonts w:asciiTheme="minorHAnsi" w:eastAsiaTheme="minorEastAsia" w:hAnsiTheme="minorHAnsi" w:cstheme="minorBidi"/>
              <w:noProof/>
              <w:lang w:eastAsia="en-AU"/>
            </w:rPr>
          </w:pPr>
          <w:hyperlink w:anchor="_Toc497744266" w:history="1">
            <w:r w:rsidRPr="002F4CD6">
              <w:rPr>
                <w:rStyle w:val="Hyperlink"/>
                <w:noProof/>
              </w:rPr>
              <w:t>Safety</w:t>
            </w:r>
            <w:r>
              <w:rPr>
                <w:noProof/>
                <w:webHidden/>
              </w:rPr>
              <w:tab/>
            </w:r>
            <w:r>
              <w:rPr>
                <w:noProof/>
                <w:webHidden/>
              </w:rPr>
              <w:fldChar w:fldCharType="begin"/>
            </w:r>
            <w:r>
              <w:rPr>
                <w:noProof/>
                <w:webHidden/>
              </w:rPr>
              <w:instrText xml:space="preserve"> PAGEREF _Toc497744266 \h </w:instrText>
            </w:r>
            <w:r>
              <w:rPr>
                <w:noProof/>
                <w:webHidden/>
              </w:rPr>
            </w:r>
            <w:r>
              <w:rPr>
                <w:noProof/>
                <w:webHidden/>
              </w:rPr>
              <w:fldChar w:fldCharType="separate"/>
            </w:r>
            <w:r>
              <w:rPr>
                <w:noProof/>
                <w:webHidden/>
              </w:rPr>
              <w:t>28</w:t>
            </w:r>
            <w:r>
              <w:rPr>
                <w:noProof/>
                <w:webHidden/>
              </w:rPr>
              <w:fldChar w:fldCharType="end"/>
            </w:r>
          </w:hyperlink>
        </w:p>
        <w:p w14:paraId="618546DD" w14:textId="77777777" w:rsidR="00CE42F6" w:rsidRDefault="00CE42F6">
          <w:pPr>
            <w:pStyle w:val="TOC3"/>
            <w:rPr>
              <w:rFonts w:asciiTheme="minorHAnsi" w:eastAsiaTheme="minorEastAsia" w:hAnsiTheme="minorHAnsi" w:cstheme="minorBidi"/>
              <w:noProof/>
              <w:lang w:eastAsia="en-AU"/>
            </w:rPr>
          </w:pPr>
          <w:hyperlink w:anchor="_Toc497744267" w:history="1">
            <w:r w:rsidRPr="002F4CD6">
              <w:rPr>
                <w:rStyle w:val="Hyperlink"/>
                <w:noProof/>
              </w:rPr>
              <w:t>First round benefit-risk assessment</w:t>
            </w:r>
            <w:r>
              <w:rPr>
                <w:noProof/>
                <w:webHidden/>
              </w:rPr>
              <w:tab/>
            </w:r>
            <w:r>
              <w:rPr>
                <w:noProof/>
                <w:webHidden/>
              </w:rPr>
              <w:fldChar w:fldCharType="begin"/>
            </w:r>
            <w:r>
              <w:rPr>
                <w:noProof/>
                <w:webHidden/>
              </w:rPr>
              <w:instrText xml:space="preserve"> PAGEREF _Toc497744267 \h </w:instrText>
            </w:r>
            <w:r>
              <w:rPr>
                <w:noProof/>
                <w:webHidden/>
              </w:rPr>
            </w:r>
            <w:r>
              <w:rPr>
                <w:noProof/>
                <w:webHidden/>
              </w:rPr>
              <w:fldChar w:fldCharType="separate"/>
            </w:r>
            <w:r>
              <w:rPr>
                <w:noProof/>
                <w:webHidden/>
              </w:rPr>
              <w:t>35</w:t>
            </w:r>
            <w:r>
              <w:rPr>
                <w:noProof/>
                <w:webHidden/>
              </w:rPr>
              <w:fldChar w:fldCharType="end"/>
            </w:r>
          </w:hyperlink>
        </w:p>
        <w:p w14:paraId="50FC878B" w14:textId="77777777" w:rsidR="00CE42F6" w:rsidRDefault="00CE42F6">
          <w:pPr>
            <w:pStyle w:val="TOC3"/>
            <w:rPr>
              <w:rFonts w:asciiTheme="minorHAnsi" w:eastAsiaTheme="minorEastAsia" w:hAnsiTheme="minorHAnsi" w:cstheme="minorBidi"/>
              <w:noProof/>
              <w:lang w:eastAsia="en-AU"/>
            </w:rPr>
          </w:pPr>
          <w:hyperlink w:anchor="_Toc497744268" w:history="1">
            <w:r w:rsidRPr="002F4CD6">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_Toc497744268 \h </w:instrText>
            </w:r>
            <w:r>
              <w:rPr>
                <w:noProof/>
                <w:webHidden/>
              </w:rPr>
            </w:r>
            <w:r>
              <w:rPr>
                <w:noProof/>
                <w:webHidden/>
              </w:rPr>
              <w:fldChar w:fldCharType="separate"/>
            </w:r>
            <w:r>
              <w:rPr>
                <w:noProof/>
                <w:webHidden/>
              </w:rPr>
              <w:t>36</w:t>
            </w:r>
            <w:r>
              <w:rPr>
                <w:noProof/>
                <w:webHidden/>
              </w:rPr>
              <w:fldChar w:fldCharType="end"/>
            </w:r>
          </w:hyperlink>
        </w:p>
        <w:p w14:paraId="02E8B19F" w14:textId="77777777" w:rsidR="00CE42F6" w:rsidRDefault="00CE42F6">
          <w:pPr>
            <w:pStyle w:val="TOC3"/>
            <w:rPr>
              <w:rFonts w:asciiTheme="minorHAnsi" w:eastAsiaTheme="minorEastAsia" w:hAnsiTheme="minorHAnsi" w:cstheme="minorBidi"/>
              <w:noProof/>
              <w:lang w:eastAsia="en-AU"/>
            </w:rPr>
          </w:pPr>
          <w:hyperlink w:anchor="_Toc497744269" w:history="1">
            <w:r w:rsidRPr="002F4CD6">
              <w:rPr>
                <w:rStyle w:val="Hyperlink"/>
                <w:noProof/>
              </w:rPr>
              <w:t>Second round benefit-risk assessment</w:t>
            </w:r>
            <w:r>
              <w:rPr>
                <w:noProof/>
                <w:webHidden/>
              </w:rPr>
              <w:tab/>
            </w:r>
            <w:r>
              <w:rPr>
                <w:noProof/>
                <w:webHidden/>
              </w:rPr>
              <w:fldChar w:fldCharType="begin"/>
            </w:r>
            <w:r>
              <w:rPr>
                <w:noProof/>
                <w:webHidden/>
              </w:rPr>
              <w:instrText xml:space="preserve"> PAGEREF _Toc497744269 \h </w:instrText>
            </w:r>
            <w:r>
              <w:rPr>
                <w:noProof/>
                <w:webHidden/>
              </w:rPr>
            </w:r>
            <w:r>
              <w:rPr>
                <w:noProof/>
                <w:webHidden/>
              </w:rPr>
              <w:fldChar w:fldCharType="separate"/>
            </w:r>
            <w:r>
              <w:rPr>
                <w:noProof/>
                <w:webHidden/>
              </w:rPr>
              <w:t>37</w:t>
            </w:r>
            <w:r>
              <w:rPr>
                <w:noProof/>
                <w:webHidden/>
              </w:rPr>
              <w:fldChar w:fldCharType="end"/>
            </w:r>
          </w:hyperlink>
        </w:p>
        <w:p w14:paraId="33F2D73C" w14:textId="77777777" w:rsidR="00CE42F6" w:rsidRDefault="00CE42F6">
          <w:pPr>
            <w:pStyle w:val="TOC3"/>
            <w:rPr>
              <w:rFonts w:asciiTheme="minorHAnsi" w:eastAsiaTheme="minorEastAsia" w:hAnsiTheme="minorHAnsi" w:cstheme="minorBidi"/>
              <w:noProof/>
              <w:lang w:eastAsia="en-AU"/>
            </w:rPr>
          </w:pPr>
          <w:hyperlink w:anchor="_Toc497744270" w:history="1">
            <w:r w:rsidRPr="002F4CD6">
              <w:rPr>
                <w:rStyle w:val="Hyperlink"/>
                <w:noProof/>
              </w:rPr>
              <w:t>Population pharmacokinetics</w:t>
            </w:r>
            <w:r>
              <w:rPr>
                <w:noProof/>
                <w:webHidden/>
              </w:rPr>
              <w:tab/>
            </w:r>
            <w:r>
              <w:rPr>
                <w:noProof/>
                <w:webHidden/>
              </w:rPr>
              <w:fldChar w:fldCharType="begin"/>
            </w:r>
            <w:r>
              <w:rPr>
                <w:noProof/>
                <w:webHidden/>
              </w:rPr>
              <w:instrText xml:space="preserve"> PAGEREF _Toc497744270 \h </w:instrText>
            </w:r>
            <w:r>
              <w:rPr>
                <w:noProof/>
                <w:webHidden/>
              </w:rPr>
            </w:r>
            <w:r>
              <w:rPr>
                <w:noProof/>
                <w:webHidden/>
              </w:rPr>
              <w:fldChar w:fldCharType="separate"/>
            </w:r>
            <w:r>
              <w:rPr>
                <w:noProof/>
                <w:webHidden/>
              </w:rPr>
              <w:t>37</w:t>
            </w:r>
            <w:r>
              <w:rPr>
                <w:noProof/>
                <w:webHidden/>
              </w:rPr>
              <w:fldChar w:fldCharType="end"/>
            </w:r>
          </w:hyperlink>
        </w:p>
        <w:p w14:paraId="0637F4AA" w14:textId="77777777" w:rsidR="00CE42F6" w:rsidRDefault="00CE42F6">
          <w:pPr>
            <w:pStyle w:val="TOC2"/>
            <w:rPr>
              <w:rFonts w:asciiTheme="minorHAnsi" w:eastAsiaTheme="minorEastAsia" w:hAnsiTheme="minorHAnsi" w:cstheme="minorBidi"/>
              <w:b w:val="0"/>
              <w:noProof/>
              <w:sz w:val="22"/>
              <w:lang w:eastAsia="en-AU"/>
            </w:rPr>
          </w:pPr>
          <w:hyperlink w:anchor="_Toc497744271" w:history="1">
            <w:r w:rsidRPr="002F4CD6">
              <w:rPr>
                <w:rStyle w:val="Hyperlink"/>
                <w:noProof/>
              </w:rPr>
              <w:t>V. Pharmacovigilance findings</w:t>
            </w:r>
            <w:r>
              <w:rPr>
                <w:noProof/>
                <w:webHidden/>
              </w:rPr>
              <w:tab/>
            </w:r>
            <w:r>
              <w:rPr>
                <w:noProof/>
                <w:webHidden/>
              </w:rPr>
              <w:fldChar w:fldCharType="begin"/>
            </w:r>
            <w:r>
              <w:rPr>
                <w:noProof/>
                <w:webHidden/>
              </w:rPr>
              <w:instrText xml:space="preserve"> PAGEREF _Toc497744271 \h </w:instrText>
            </w:r>
            <w:r>
              <w:rPr>
                <w:noProof/>
                <w:webHidden/>
              </w:rPr>
            </w:r>
            <w:r>
              <w:rPr>
                <w:noProof/>
                <w:webHidden/>
              </w:rPr>
              <w:fldChar w:fldCharType="separate"/>
            </w:r>
            <w:r>
              <w:rPr>
                <w:noProof/>
                <w:webHidden/>
              </w:rPr>
              <w:t>39</w:t>
            </w:r>
            <w:r>
              <w:rPr>
                <w:noProof/>
                <w:webHidden/>
              </w:rPr>
              <w:fldChar w:fldCharType="end"/>
            </w:r>
          </w:hyperlink>
        </w:p>
        <w:p w14:paraId="2BB1DC66" w14:textId="77777777" w:rsidR="00CE42F6" w:rsidRDefault="00CE42F6">
          <w:pPr>
            <w:pStyle w:val="TOC2"/>
            <w:rPr>
              <w:rFonts w:asciiTheme="minorHAnsi" w:eastAsiaTheme="minorEastAsia" w:hAnsiTheme="minorHAnsi" w:cstheme="minorBidi"/>
              <w:b w:val="0"/>
              <w:noProof/>
              <w:sz w:val="22"/>
              <w:lang w:eastAsia="en-AU"/>
            </w:rPr>
          </w:pPr>
          <w:hyperlink w:anchor="_Toc497744272" w:history="1">
            <w:r w:rsidRPr="002F4CD6">
              <w:rPr>
                <w:rStyle w:val="Hyperlink"/>
                <w:noProof/>
              </w:rPr>
              <w:t>VI. Overall conclusion and risk/benefit assessment</w:t>
            </w:r>
            <w:r>
              <w:rPr>
                <w:noProof/>
                <w:webHidden/>
              </w:rPr>
              <w:tab/>
            </w:r>
            <w:r>
              <w:rPr>
                <w:noProof/>
                <w:webHidden/>
              </w:rPr>
              <w:fldChar w:fldCharType="begin"/>
            </w:r>
            <w:r>
              <w:rPr>
                <w:noProof/>
                <w:webHidden/>
              </w:rPr>
              <w:instrText xml:space="preserve"> PAGEREF _Toc497744272 \h </w:instrText>
            </w:r>
            <w:r>
              <w:rPr>
                <w:noProof/>
                <w:webHidden/>
              </w:rPr>
            </w:r>
            <w:r>
              <w:rPr>
                <w:noProof/>
                <w:webHidden/>
              </w:rPr>
              <w:fldChar w:fldCharType="separate"/>
            </w:r>
            <w:r>
              <w:rPr>
                <w:noProof/>
                <w:webHidden/>
              </w:rPr>
              <w:t>41</w:t>
            </w:r>
            <w:r>
              <w:rPr>
                <w:noProof/>
                <w:webHidden/>
              </w:rPr>
              <w:fldChar w:fldCharType="end"/>
            </w:r>
          </w:hyperlink>
        </w:p>
        <w:p w14:paraId="61610933" w14:textId="77777777" w:rsidR="00CE42F6" w:rsidRDefault="00CE42F6">
          <w:pPr>
            <w:pStyle w:val="TOC3"/>
            <w:rPr>
              <w:rFonts w:asciiTheme="minorHAnsi" w:eastAsiaTheme="minorEastAsia" w:hAnsiTheme="minorHAnsi" w:cstheme="minorBidi"/>
              <w:noProof/>
              <w:lang w:eastAsia="en-AU"/>
            </w:rPr>
          </w:pPr>
          <w:hyperlink w:anchor="_Toc497744273" w:history="1">
            <w:r w:rsidRPr="002F4CD6">
              <w:rPr>
                <w:rStyle w:val="Hyperlink"/>
                <w:noProof/>
              </w:rPr>
              <w:t>Quality</w:t>
            </w:r>
            <w:r>
              <w:rPr>
                <w:noProof/>
                <w:webHidden/>
              </w:rPr>
              <w:tab/>
            </w:r>
            <w:r>
              <w:rPr>
                <w:noProof/>
                <w:webHidden/>
              </w:rPr>
              <w:fldChar w:fldCharType="begin"/>
            </w:r>
            <w:r>
              <w:rPr>
                <w:noProof/>
                <w:webHidden/>
              </w:rPr>
              <w:instrText xml:space="preserve"> PAGEREF _Toc497744273 \h </w:instrText>
            </w:r>
            <w:r>
              <w:rPr>
                <w:noProof/>
                <w:webHidden/>
              </w:rPr>
            </w:r>
            <w:r>
              <w:rPr>
                <w:noProof/>
                <w:webHidden/>
              </w:rPr>
              <w:fldChar w:fldCharType="separate"/>
            </w:r>
            <w:r>
              <w:rPr>
                <w:noProof/>
                <w:webHidden/>
              </w:rPr>
              <w:t>41</w:t>
            </w:r>
            <w:r>
              <w:rPr>
                <w:noProof/>
                <w:webHidden/>
              </w:rPr>
              <w:fldChar w:fldCharType="end"/>
            </w:r>
          </w:hyperlink>
        </w:p>
        <w:p w14:paraId="62AAC2B1" w14:textId="77777777" w:rsidR="00CE42F6" w:rsidRDefault="00CE42F6">
          <w:pPr>
            <w:pStyle w:val="TOC3"/>
            <w:rPr>
              <w:rFonts w:asciiTheme="minorHAnsi" w:eastAsiaTheme="minorEastAsia" w:hAnsiTheme="minorHAnsi" w:cstheme="minorBidi"/>
              <w:noProof/>
              <w:lang w:eastAsia="en-AU"/>
            </w:rPr>
          </w:pPr>
          <w:hyperlink w:anchor="_Toc497744274" w:history="1">
            <w:r w:rsidRPr="002F4CD6">
              <w:rPr>
                <w:rStyle w:val="Hyperlink"/>
                <w:noProof/>
              </w:rPr>
              <w:t>Nonclinical</w:t>
            </w:r>
            <w:r>
              <w:rPr>
                <w:noProof/>
                <w:webHidden/>
              </w:rPr>
              <w:tab/>
            </w:r>
            <w:r>
              <w:rPr>
                <w:noProof/>
                <w:webHidden/>
              </w:rPr>
              <w:fldChar w:fldCharType="begin"/>
            </w:r>
            <w:r>
              <w:rPr>
                <w:noProof/>
                <w:webHidden/>
              </w:rPr>
              <w:instrText xml:space="preserve"> PAGEREF _Toc497744274 \h </w:instrText>
            </w:r>
            <w:r>
              <w:rPr>
                <w:noProof/>
                <w:webHidden/>
              </w:rPr>
            </w:r>
            <w:r>
              <w:rPr>
                <w:noProof/>
                <w:webHidden/>
              </w:rPr>
              <w:fldChar w:fldCharType="separate"/>
            </w:r>
            <w:r>
              <w:rPr>
                <w:noProof/>
                <w:webHidden/>
              </w:rPr>
              <w:t>41</w:t>
            </w:r>
            <w:r>
              <w:rPr>
                <w:noProof/>
                <w:webHidden/>
              </w:rPr>
              <w:fldChar w:fldCharType="end"/>
            </w:r>
          </w:hyperlink>
        </w:p>
        <w:p w14:paraId="4BFBDFFC" w14:textId="77777777" w:rsidR="00CE42F6" w:rsidRDefault="00CE42F6">
          <w:pPr>
            <w:pStyle w:val="TOC3"/>
            <w:rPr>
              <w:rFonts w:asciiTheme="minorHAnsi" w:eastAsiaTheme="minorEastAsia" w:hAnsiTheme="minorHAnsi" w:cstheme="minorBidi"/>
              <w:noProof/>
              <w:lang w:eastAsia="en-AU"/>
            </w:rPr>
          </w:pPr>
          <w:hyperlink w:anchor="_Toc497744275" w:history="1">
            <w:r w:rsidRPr="002F4CD6">
              <w:rPr>
                <w:rStyle w:val="Hyperlink"/>
                <w:noProof/>
              </w:rPr>
              <w:t>Clinical</w:t>
            </w:r>
            <w:r>
              <w:rPr>
                <w:noProof/>
                <w:webHidden/>
              </w:rPr>
              <w:tab/>
            </w:r>
            <w:r>
              <w:rPr>
                <w:noProof/>
                <w:webHidden/>
              </w:rPr>
              <w:fldChar w:fldCharType="begin"/>
            </w:r>
            <w:r>
              <w:rPr>
                <w:noProof/>
                <w:webHidden/>
              </w:rPr>
              <w:instrText xml:space="preserve"> PAGEREF _Toc497744275 \h </w:instrText>
            </w:r>
            <w:r>
              <w:rPr>
                <w:noProof/>
                <w:webHidden/>
              </w:rPr>
            </w:r>
            <w:r>
              <w:rPr>
                <w:noProof/>
                <w:webHidden/>
              </w:rPr>
              <w:fldChar w:fldCharType="separate"/>
            </w:r>
            <w:r>
              <w:rPr>
                <w:noProof/>
                <w:webHidden/>
              </w:rPr>
              <w:t>41</w:t>
            </w:r>
            <w:r>
              <w:rPr>
                <w:noProof/>
                <w:webHidden/>
              </w:rPr>
              <w:fldChar w:fldCharType="end"/>
            </w:r>
          </w:hyperlink>
        </w:p>
        <w:p w14:paraId="18CC9EAA" w14:textId="77777777" w:rsidR="00CE42F6" w:rsidRDefault="00CE42F6">
          <w:pPr>
            <w:pStyle w:val="TOC3"/>
            <w:rPr>
              <w:rFonts w:asciiTheme="minorHAnsi" w:eastAsiaTheme="minorEastAsia" w:hAnsiTheme="minorHAnsi" w:cstheme="minorBidi"/>
              <w:noProof/>
              <w:lang w:eastAsia="en-AU"/>
            </w:rPr>
          </w:pPr>
          <w:hyperlink w:anchor="_Toc497744276" w:history="1">
            <w:r w:rsidRPr="002F4CD6">
              <w:rPr>
                <w:rStyle w:val="Hyperlink"/>
                <w:noProof/>
                <w:lang w:eastAsia="en-AU"/>
              </w:rPr>
              <w:t>Risk management plan</w:t>
            </w:r>
            <w:r>
              <w:rPr>
                <w:noProof/>
                <w:webHidden/>
              </w:rPr>
              <w:tab/>
            </w:r>
            <w:r>
              <w:rPr>
                <w:noProof/>
                <w:webHidden/>
              </w:rPr>
              <w:fldChar w:fldCharType="begin"/>
            </w:r>
            <w:r>
              <w:rPr>
                <w:noProof/>
                <w:webHidden/>
              </w:rPr>
              <w:instrText xml:space="preserve"> PAGEREF _Toc497744276 \h </w:instrText>
            </w:r>
            <w:r>
              <w:rPr>
                <w:noProof/>
                <w:webHidden/>
              </w:rPr>
            </w:r>
            <w:r>
              <w:rPr>
                <w:noProof/>
                <w:webHidden/>
              </w:rPr>
              <w:fldChar w:fldCharType="separate"/>
            </w:r>
            <w:r>
              <w:rPr>
                <w:noProof/>
                <w:webHidden/>
              </w:rPr>
              <w:t>46</w:t>
            </w:r>
            <w:r>
              <w:rPr>
                <w:noProof/>
                <w:webHidden/>
              </w:rPr>
              <w:fldChar w:fldCharType="end"/>
            </w:r>
          </w:hyperlink>
        </w:p>
        <w:p w14:paraId="7CEFAA9C" w14:textId="77777777" w:rsidR="00CE42F6" w:rsidRDefault="00CE42F6">
          <w:pPr>
            <w:pStyle w:val="TOC3"/>
            <w:rPr>
              <w:rFonts w:asciiTheme="minorHAnsi" w:eastAsiaTheme="minorEastAsia" w:hAnsiTheme="minorHAnsi" w:cstheme="minorBidi"/>
              <w:noProof/>
              <w:lang w:eastAsia="en-AU"/>
            </w:rPr>
          </w:pPr>
          <w:hyperlink w:anchor="_Toc497744277" w:history="1">
            <w:r w:rsidRPr="002F4CD6">
              <w:rPr>
                <w:rStyle w:val="Hyperlink"/>
                <w:noProof/>
              </w:rPr>
              <w:t>Risk-benefit analysis</w:t>
            </w:r>
            <w:r>
              <w:rPr>
                <w:noProof/>
                <w:webHidden/>
              </w:rPr>
              <w:tab/>
            </w:r>
            <w:r>
              <w:rPr>
                <w:noProof/>
                <w:webHidden/>
              </w:rPr>
              <w:fldChar w:fldCharType="begin"/>
            </w:r>
            <w:r>
              <w:rPr>
                <w:noProof/>
                <w:webHidden/>
              </w:rPr>
              <w:instrText xml:space="preserve"> PAGEREF _Toc497744277 \h </w:instrText>
            </w:r>
            <w:r>
              <w:rPr>
                <w:noProof/>
                <w:webHidden/>
              </w:rPr>
            </w:r>
            <w:r>
              <w:rPr>
                <w:noProof/>
                <w:webHidden/>
              </w:rPr>
              <w:fldChar w:fldCharType="separate"/>
            </w:r>
            <w:r>
              <w:rPr>
                <w:noProof/>
                <w:webHidden/>
              </w:rPr>
              <w:t>47</w:t>
            </w:r>
            <w:r>
              <w:rPr>
                <w:noProof/>
                <w:webHidden/>
              </w:rPr>
              <w:fldChar w:fldCharType="end"/>
            </w:r>
          </w:hyperlink>
        </w:p>
        <w:p w14:paraId="11710E1F" w14:textId="77777777" w:rsidR="00CE42F6" w:rsidRDefault="00CE42F6">
          <w:pPr>
            <w:pStyle w:val="TOC3"/>
            <w:rPr>
              <w:rFonts w:asciiTheme="minorHAnsi" w:eastAsiaTheme="minorEastAsia" w:hAnsiTheme="minorHAnsi" w:cstheme="minorBidi"/>
              <w:noProof/>
              <w:lang w:eastAsia="en-AU"/>
            </w:rPr>
          </w:pPr>
          <w:hyperlink w:anchor="_Toc497744278" w:history="1">
            <w:r w:rsidRPr="002F4CD6">
              <w:rPr>
                <w:rStyle w:val="Hyperlink"/>
                <w:noProof/>
              </w:rPr>
              <w:t>Outcome</w:t>
            </w:r>
            <w:r>
              <w:rPr>
                <w:noProof/>
                <w:webHidden/>
              </w:rPr>
              <w:tab/>
            </w:r>
            <w:r>
              <w:rPr>
                <w:noProof/>
                <w:webHidden/>
              </w:rPr>
              <w:fldChar w:fldCharType="begin"/>
            </w:r>
            <w:r>
              <w:rPr>
                <w:noProof/>
                <w:webHidden/>
              </w:rPr>
              <w:instrText xml:space="preserve"> PAGEREF _Toc497744278 \h </w:instrText>
            </w:r>
            <w:r>
              <w:rPr>
                <w:noProof/>
                <w:webHidden/>
              </w:rPr>
            </w:r>
            <w:r>
              <w:rPr>
                <w:noProof/>
                <w:webHidden/>
              </w:rPr>
              <w:fldChar w:fldCharType="separate"/>
            </w:r>
            <w:r>
              <w:rPr>
                <w:noProof/>
                <w:webHidden/>
              </w:rPr>
              <w:t>55</w:t>
            </w:r>
            <w:r>
              <w:rPr>
                <w:noProof/>
                <w:webHidden/>
              </w:rPr>
              <w:fldChar w:fldCharType="end"/>
            </w:r>
          </w:hyperlink>
        </w:p>
        <w:p w14:paraId="393780DF" w14:textId="77777777" w:rsidR="00CE42F6" w:rsidRDefault="00CE42F6">
          <w:pPr>
            <w:pStyle w:val="TOC2"/>
            <w:rPr>
              <w:rFonts w:asciiTheme="minorHAnsi" w:eastAsiaTheme="minorEastAsia" w:hAnsiTheme="minorHAnsi" w:cstheme="minorBidi"/>
              <w:b w:val="0"/>
              <w:noProof/>
              <w:sz w:val="22"/>
              <w:lang w:eastAsia="en-AU"/>
            </w:rPr>
          </w:pPr>
          <w:hyperlink w:anchor="_Toc497744279" w:history="1">
            <w:r w:rsidRPr="002F4CD6">
              <w:rPr>
                <w:rStyle w:val="Hyperlink"/>
                <w:noProof/>
              </w:rPr>
              <w:t>Attachment 1. Product Information</w:t>
            </w:r>
            <w:r>
              <w:rPr>
                <w:noProof/>
                <w:webHidden/>
              </w:rPr>
              <w:tab/>
            </w:r>
            <w:r>
              <w:rPr>
                <w:noProof/>
                <w:webHidden/>
              </w:rPr>
              <w:fldChar w:fldCharType="begin"/>
            </w:r>
            <w:r>
              <w:rPr>
                <w:noProof/>
                <w:webHidden/>
              </w:rPr>
              <w:instrText xml:space="preserve"> PAGEREF _Toc497744279 \h </w:instrText>
            </w:r>
            <w:r>
              <w:rPr>
                <w:noProof/>
                <w:webHidden/>
              </w:rPr>
            </w:r>
            <w:r>
              <w:rPr>
                <w:noProof/>
                <w:webHidden/>
              </w:rPr>
              <w:fldChar w:fldCharType="separate"/>
            </w:r>
            <w:r>
              <w:rPr>
                <w:noProof/>
                <w:webHidden/>
              </w:rPr>
              <w:t>55</w:t>
            </w:r>
            <w:r>
              <w:rPr>
                <w:noProof/>
                <w:webHidden/>
              </w:rPr>
              <w:fldChar w:fldCharType="end"/>
            </w:r>
          </w:hyperlink>
        </w:p>
        <w:p w14:paraId="2157BB0A" w14:textId="77777777" w:rsidR="00CE42F6" w:rsidRDefault="00CE42F6">
          <w:pPr>
            <w:pStyle w:val="TOC2"/>
            <w:rPr>
              <w:rFonts w:asciiTheme="minorHAnsi" w:eastAsiaTheme="minorEastAsia" w:hAnsiTheme="minorHAnsi" w:cstheme="minorBidi"/>
              <w:b w:val="0"/>
              <w:noProof/>
              <w:sz w:val="22"/>
              <w:lang w:eastAsia="en-AU"/>
            </w:rPr>
          </w:pPr>
          <w:hyperlink w:anchor="_Toc497744280" w:history="1">
            <w:r w:rsidRPr="002F4CD6">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_Toc497744280 \h </w:instrText>
            </w:r>
            <w:r>
              <w:rPr>
                <w:noProof/>
                <w:webHidden/>
              </w:rPr>
            </w:r>
            <w:r>
              <w:rPr>
                <w:noProof/>
                <w:webHidden/>
              </w:rPr>
              <w:fldChar w:fldCharType="separate"/>
            </w:r>
            <w:r>
              <w:rPr>
                <w:noProof/>
                <w:webHidden/>
              </w:rPr>
              <w:t>55</w:t>
            </w:r>
            <w:r>
              <w:rPr>
                <w:noProof/>
                <w:webHidden/>
              </w:rPr>
              <w:fldChar w:fldCharType="end"/>
            </w:r>
          </w:hyperlink>
        </w:p>
        <w:p w14:paraId="2F69A40C" w14:textId="77777777" w:rsidR="003A7F6C" w:rsidRPr="00B811C6" w:rsidRDefault="00DB6124" w:rsidP="00B811C6">
          <w:pPr>
            <w:pStyle w:val="TOC2"/>
          </w:pPr>
          <w:r>
            <w:fldChar w:fldCharType="end"/>
          </w:r>
        </w:p>
      </w:sdtContent>
    </w:sdt>
    <w:bookmarkStart w:id="3" w:name="_Toc314842482" w:displacedByCustomXml="prev"/>
    <w:p w14:paraId="02C72167" w14:textId="77777777" w:rsidR="00FD119B" w:rsidRDefault="00FD119B">
      <w:pPr>
        <w:spacing w:before="0" w:after="200" w:line="0" w:lineRule="auto"/>
      </w:pPr>
      <w:r>
        <w:br w:type="page"/>
      </w:r>
    </w:p>
    <w:p w14:paraId="2C591E82" w14:textId="77777777" w:rsidR="001410AB" w:rsidRDefault="001410AB" w:rsidP="001410AB">
      <w:pPr>
        <w:pStyle w:val="Heading2"/>
      </w:pPr>
      <w:bookmarkStart w:id="4" w:name="_Ref456163653"/>
      <w:bookmarkStart w:id="5" w:name="_Toc463874636"/>
      <w:bookmarkStart w:id="6" w:name="_Toc497744239"/>
      <w:r>
        <w:t xml:space="preserve">List of </w:t>
      </w:r>
      <w:r w:rsidR="00D20DD5">
        <w:t xml:space="preserve">common </w:t>
      </w:r>
      <w:r>
        <w:t>abbreviations</w:t>
      </w:r>
      <w:bookmarkEnd w:id="4"/>
      <w:bookmarkEnd w:id="5"/>
      <w:bookmarkEnd w:id="6"/>
    </w:p>
    <w:tbl>
      <w:tblPr>
        <w:tblStyle w:val="TableTGAblue"/>
        <w:tblW w:w="0" w:type="auto"/>
        <w:tblLook w:val="04A0" w:firstRow="1" w:lastRow="0" w:firstColumn="1" w:lastColumn="0" w:noHBand="0" w:noVBand="1"/>
      </w:tblPr>
      <w:tblGrid>
        <w:gridCol w:w="1890"/>
        <w:gridCol w:w="6830"/>
      </w:tblGrid>
      <w:tr w:rsidR="001410AB" w14:paraId="61036FA8" w14:textId="77777777" w:rsidTr="00E40FC0">
        <w:trPr>
          <w:cnfStyle w:val="100000000000" w:firstRow="1" w:lastRow="0" w:firstColumn="0" w:lastColumn="0" w:oddVBand="0" w:evenVBand="0" w:oddHBand="0" w:evenHBand="0" w:firstRowFirstColumn="0" w:firstRowLastColumn="0" w:lastRowFirstColumn="0" w:lastRowLastColumn="0"/>
        </w:trPr>
        <w:tc>
          <w:tcPr>
            <w:tcW w:w="1890" w:type="dxa"/>
          </w:tcPr>
          <w:p w14:paraId="71F43841" w14:textId="77777777" w:rsidR="001410AB" w:rsidRDefault="001410AB" w:rsidP="00841F6D">
            <w:r>
              <w:t>Abbreviation</w:t>
            </w:r>
          </w:p>
        </w:tc>
        <w:tc>
          <w:tcPr>
            <w:tcW w:w="6830" w:type="dxa"/>
          </w:tcPr>
          <w:p w14:paraId="411F18B3" w14:textId="77777777" w:rsidR="001410AB" w:rsidRDefault="001410AB" w:rsidP="00841F6D">
            <w:r>
              <w:t>Meaning</w:t>
            </w:r>
          </w:p>
        </w:tc>
      </w:tr>
      <w:tr w:rsidR="001410AB" w14:paraId="47F2C122" w14:textId="77777777" w:rsidTr="00E40FC0">
        <w:tc>
          <w:tcPr>
            <w:tcW w:w="1890" w:type="dxa"/>
          </w:tcPr>
          <w:p w14:paraId="5BDF57B2" w14:textId="77777777" w:rsidR="001410AB" w:rsidRDefault="001410AB" w:rsidP="00841F6D">
            <w:r>
              <w:t>AMH</w:t>
            </w:r>
          </w:p>
        </w:tc>
        <w:tc>
          <w:tcPr>
            <w:tcW w:w="6830" w:type="dxa"/>
          </w:tcPr>
          <w:p w14:paraId="22343570" w14:textId="77777777" w:rsidR="001410AB" w:rsidRDefault="00E40FC0" w:rsidP="005219CC">
            <w:r>
              <w:t>Anti-M</w:t>
            </w:r>
            <w:r w:rsidR="005219CC">
              <w:t>üllerian H</w:t>
            </w:r>
            <w:r w:rsidR="001410AB">
              <w:t>ormone</w:t>
            </w:r>
          </w:p>
        </w:tc>
      </w:tr>
      <w:tr w:rsidR="001410AB" w14:paraId="721E582A" w14:textId="77777777" w:rsidTr="00E40FC0">
        <w:tc>
          <w:tcPr>
            <w:tcW w:w="1890" w:type="dxa"/>
          </w:tcPr>
          <w:p w14:paraId="46E81F13" w14:textId="77777777" w:rsidR="001410AB" w:rsidRDefault="001410AB" w:rsidP="00841F6D">
            <w:r>
              <w:t>ART</w:t>
            </w:r>
          </w:p>
        </w:tc>
        <w:tc>
          <w:tcPr>
            <w:tcW w:w="6830" w:type="dxa"/>
          </w:tcPr>
          <w:p w14:paraId="51FD010E" w14:textId="77777777" w:rsidR="001410AB" w:rsidRDefault="001410AB" w:rsidP="00841F6D">
            <w:r>
              <w:t>Assisted reproductive technologies</w:t>
            </w:r>
          </w:p>
        </w:tc>
      </w:tr>
      <w:tr w:rsidR="001410AB" w14:paraId="26576989" w14:textId="77777777" w:rsidTr="00E40FC0">
        <w:tc>
          <w:tcPr>
            <w:tcW w:w="1890" w:type="dxa"/>
          </w:tcPr>
          <w:p w14:paraId="11293A8C" w14:textId="77777777" w:rsidR="001410AB" w:rsidRDefault="001410AB" w:rsidP="00841F6D">
            <w:r>
              <w:t>CHO</w:t>
            </w:r>
          </w:p>
        </w:tc>
        <w:tc>
          <w:tcPr>
            <w:tcW w:w="6830" w:type="dxa"/>
          </w:tcPr>
          <w:p w14:paraId="75B7C6ED" w14:textId="77777777" w:rsidR="001410AB" w:rsidRDefault="001410AB" w:rsidP="00841F6D">
            <w:r>
              <w:t>Chinese hamster ovary</w:t>
            </w:r>
          </w:p>
        </w:tc>
      </w:tr>
      <w:tr w:rsidR="001410AB" w14:paraId="1351CB2B" w14:textId="77777777" w:rsidTr="00E40FC0">
        <w:tc>
          <w:tcPr>
            <w:tcW w:w="1890" w:type="dxa"/>
          </w:tcPr>
          <w:p w14:paraId="027874EE" w14:textId="77777777" w:rsidR="001410AB" w:rsidRDefault="001410AB" w:rsidP="00841F6D">
            <w:r>
              <w:t>CL/F</w:t>
            </w:r>
          </w:p>
        </w:tc>
        <w:tc>
          <w:tcPr>
            <w:tcW w:w="6830" w:type="dxa"/>
          </w:tcPr>
          <w:p w14:paraId="622A7EDD" w14:textId="77777777" w:rsidR="001410AB" w:rsidRDefault="001410AB" w:rsidP="00841F6D">
            <w:r>
              <w:t>Apparent clearance</w:t>
            </w:r>
          </w:p>
        </w:tc>
      </w:tr>
      <w:tr w:rsidR="001410AB" w14:paraId="43FE71F1" w14:textId="77777777" w:rsidTr="00E40FC0">
        <w:tc>
          <w:tcPr>
            <w:tcW w:w="1890" w:type="dxa"/>
          </w:tcPr>
          <w:p w14:paraId="43EBE3CC" w14:textId="77777777" w:rsidR="001410AB" w:rsidRDefault="001410AB" w:rsidP="00841F6D">
            <w:r>
              <w:t>DHEA</w:t>
            </w:r>
          </w:p>
        </w:tc>
        <w:tc>
          <w:tcPr>
            <w:tcW w:w="6830" w:type="dxa"/>
          </w:tcPr>
          <w:p w14:paraId="4B8EE545" w14:textId="77777777" w:rsidR="001410AB" w:rsidRDefault="00E40FC0" w:rsidP="00841F6D">
            <w:r>
              <w:t>D</w:t>
            </w:r>
            <w:r w:rsidR="001410AB">
              <w:t>ehydroepiandrosterone</w:t>
            </w:r>
          </w:p>
        </w:tc>
      </w:tr>
      <w:tr w:rsidR="001410AB" w14:paraId="3AA57086" w14:textId="77777777" w:rsidTr="00E40FC0">
        <w:tc>
          <w:tcPr>
            <w:tcW w:w="1890" w:type="dxa"/>
          </w:tcPr>
          <w:p w14:paraId="1365F748" w14:textId="77777777" w:rsidR="001410AB" w:rsidRDefault="001410AB" w:rsidP="00841F6D">
            <w:r>
              <w:t>EMA</w:t>
            </w:r>
          </w:p>
        </w:tc>
        <w:tc>
          <w:tcPr>
            <w:tcW w:w="6830" w:type="dxa"/>
          </w:tcPr>
          <w:p w14:paraId="49CC38A2" w14:textId="77777777" w:rsidR="001410AB" w:rsidRDefault="001410AB" w:rsidP="00841F6D">
            <w:r>
              <w:t>European Medicines Agency</w:t>
            </w:r>
          </w:p>
        </w:tc>
      </w:tr>
      <w:tr w:rsidR="001410AB" w14:paraId="2017B8F5" w14:textId="77777777" w:rsidTr="00E40FC0">
        <w:tc>
          <w:tcPr>
            <w:tcW w:w="1890" w:type="dxa"/>
          </w:tcPr>
          <w:p w14:paraId="77DA9E11" w14:textId="77777777" w:rsidR="001410AB" w:rsidRDefault="001410AB" w:rsidP="00841F6D">
            <w:r>
              <w:t>FDA</w:t>
            </w:r>
          </w:p>
        </w:tc>
        <w:tc>
          <w:tcPr>
            <w:tcW w:w="6830" w:type="dxa"/>
          </w:tcPr>
          <w:p w14:paraId="18EEE6C4" w14:textId="77777777" w:rsidR="001410AB" w:rsidRDefault="001410AB" w:rsidP="00841F6D">
            <w:r>
              <w:t>Food and Drug Administration</w:t>
            </w:r>
          </w:p>
        </w:tc>
      </w:tr>
      <w:tr w:rsidR="001410AB" w14:paraId="302AD0B2" w14:textId="77777777" w:rsidTr="00E40FC0">
        <w:tc>
          <w:tcPr>
            <w:tcW w:w="1890" w:type="dxa"/>
          </w:tcPr>
          <w:p w14:paraId="491F5AFB" w14:textId="77777777" w:rsidR="001410AB" w:rsidRDefault="00FD2B65" w:rsidP="00841F6D">
            <w:r>
              <w:t>Rekovelle</w:t>
            </w:r>
          </w:p>
        </w:tc>
        <w:tc>
          <w:tcPr>
            <w:tcW w:w="6830" w:type="dxa"/>
          </w:tcPr>
          <w:p w14:paraId="52F23011" w14:textId="77777777" w:rsidR="001410AB" w:rsidRDefault="001410AB" w:rsidP="00841F6D">
            <w:r>
              <w:t xml:space="preserve">Alternative name for follitropin delta or </w:t>
            </w:r>
            <w:r w:rsidR="004421A0">
              <w:t>Rekovelle</w:t>
            </w:r>
          </w:p>
        </w:tc>
      </w:tr>
      <w:tr w:rsidR="001410AB" w14:paraId="69584B6E" w14:textId="77777777" w:rsidTr="00E40FC0">
        <w:tc>
          <w:tcPr>
            <w:tcW w:w="1890" w:type="dxa"/>
          </w:tcPr>
          <w:p w14:paraId="7595124E" w14:textId="77777777" w:rsidR="001410AB" w:rsidRDefault="001410AB" w:rsidP="00841F6D">
            <w:r>
              <w:t>FSH</w:t>
            </w:r>
          </w:p>
        </w:tc>
        <w:tc>
          <w:tcPr>
            <w:tcW w:w="6830" w:type="dxa"/>
          </w:tcPr>
          <w:p w14:paraId="72EC2BC6" w14:textId="77777777" w:rsidR="001410AB" w:rsidRDefault="001410AB" w:rsidP="00841F6D">
            <w:r>
              <w:t>Follicle stimulating hormone</w:t>
            </w:r>
          </w:p>
        </w:tc>
      </w:tr>
      <w:tr w:rsidR="001410AB" w14:paraId="6016EE1D" w14:textId="77777777" w:rsidTr="00E40FC0">
        <w:tc>
          <w:tcPr>
            <w:tcW w:w="1890" w:type="dxa"/>
          </w:tcPr>
          <w:p w14:paraId="7B52A894" w14:textId="77777777" w:rsidR="001410AB" w:rsidRDefault="001410AB" w:rsidP="00841F6D">
            <w:r>
              <w:t>GCP</w:t>
            </w:r>
          </w:p>
        </w:tc>
        <w:tc>
          <w:tcPr>
            <w:tcW w:w="6830" w:type="dxa"/>
          </w:tcPr>
          <w:p w14:paraId="2D1A2C01" w14:textId="77777777" w:rsidR="001410AB" w:rsidRDefault="001410AB" w:rsidP="00841F6D">
            <w:r>
              <w:t xml:space="preserve">Good </w:t>
            </w:r>
            <w:r w:rsidR="00E40FC0">
              <w:t>Clinical Practice</w:t>
            </w:r>
          </w:p>
        </w:tc>
      </w:tr>
      <w:tr w:rsidR="001410AB" w14:paraId="0E79E280" w14:textId="77777777" w:rsidTr="00E40FC0">
        <w:tc>
          <w:tcPr>
            <w:tcW w:w="1890" w:type="dxa"/>
          </w:tcPr>
          <w:p w14:paraId="6AB9C0E0" w14:textId="77777777" w:rsidR="001410AB" w:rsidRDefault="001410AB" w:rsidP="00841F6D">
            <w:r>
              <w:t>GMP</w:t>
            </w:r>
          </w:p>
        </w:tc>
        <w:tc>
          <w:tcPr>
            <w:tcW w:w="6830" w:type="dxa"/>
          </w:tcPr>
          <w:p w14:paraId="73293241" w14:textId="77777777" w:rsidR="001410AB" w:rsidRDefault="001410AB" w:rsidP="00841F6D">
            <w:r>
              <w:t xml:space="preserve">Good </w:t>
            </w:r>
            <w:r w:rsidR="00E40FC0">
              <w:t>Manufacturing Practice</w:t>
            </w:r>
          </w:p>
        </w:tc>
      </w:tr>
      <w:tr w:rsidR="001410AB" w14:paraId="4EC2CC6F" w14:textId="77777777" w:rsidTr="00E40FC0">
        <w:tc>
          <w:tcPr>
            <w:tcW w:w="1890" w:type="dxa"/>
          </w:tcPr>
          <w:p w14:paraId="74F2F7C7" w14:textId="77777777" w:rsidR="001410AB" w:rsidRDefault="001410AB" w:rsidP="00841F6D">
            <w:r>
              <w:t>GnRH</w:t>
            </w:r>
          </w:p>
        </w:tc>
        <w:tc>
          <w:tcPr>
            <w:tcW w:w="6830" w:type="dxa"/>
          </w:tcPr>
          <w:p w14:paraId="28187EBC" w14:textId="77777777" w:rsidR="001410AB" w:rsidRDefault="001410AB" w:rsidP="00841F6D">
            <w:r>
              <w:t>Gonadotropin releasing hormone</w:t>
            </w:r>
          </w:p>
        </w:tc>
      </w:tr>
      <w:tr w:rsidR="001410AB" w14:paraId="0180D119" w14:textId="77777777" w:rsidTr="00E40FC0">
        <w:tc>
          <w:tcPr>
            <w:tcW w:w="1890" w:type="dxa"/>
          </w:tcPr>
          <w:p w14:paraId="2229ABDF" w14:textId="77777777" w:rsidR="001410AB" w:rsidRDefault="001410AB" w:rsidP="00841F6D">
            <w:r w:rsidRPr="00264D8D">
              <w:t>ICSI</w:t>
            </w:r>
          </w:p>
        </w:tc>
        <w:tc>
          <w:tcPr>
            <w:tcW w:w="6830" w:type="dxa"/>
          </w:tcPr>
          <w:p w14:paraId="33B352EB" w14:textId="77777777" w:rsidR="001410AB" w:rsidRDefault="001410AB" w:rsidP="00841F6D">
            <w:r w:rsidRPr="00264D8D">
              <w:t>Intracytoplasmic sperm injection</w:t>
            </w:r>
          </w:p>
        </w:tc>
      </w:tr>
      <w:tr w:rsidR="001410AB" w14:paraId="013773C0" w14:textId="77777777" w:rsidTr="00E40FC0">
        <w:tc>
          <w:tcPr>
            <w:tcW w:w="1890" w:type="dxa"/>
          </w:tcPr>
          <w:p w14:paraId="45E269BF" w14:textId="77777777" w:rsidR="001410AB" w:rsidRDefault="001410AB" w:rsidP="00841F6D">
            <w:r>
              <w:t>IMP</w:t>
            </w:r>
          </w:p>
        </w:tc>
        <w:tc>
          <w:tcPr>
            <w:tcW w:w="6830" w:type="dxa"/>
          </w:tcPr>
          <w:p w14:paraId="19FFB109" w14:textId="77777777" w:rsidR="001410AB" w:rsidRDefault="001410AB" w:rsidP="00841F6D">
            <w:r>
              <w:t>Investigational medicinal product</w:t>
            </w:r>
          </w:p>
        </w:tc>
      </w:tr>
      <w:tr w:rsidR="001410AB" w14:paraId="7F3CF627" w14:textId="77777777" w:rsidTr="00E40FC0">
        <w:tc>
          <w:tcPr>
            <w:tcW w:w="1890" w:type="dxa"/>
          </w:tcPr>
          <w:p w14:paraId="4760392F" w14:textId="77777777" w:rsidR="001410AB" w:rsidRDefault="001410AB" w:rsidP="00841F6D">
            <w:r>
              <w:t>IQ range</w:t>
            </w:r>
          </w:p>
        </w:tc>
        <w:tc>
          <w:tcPr>
            <w:tcW w:w="6830" w:type="dxa"/>
          </w:tcPr>
          <w:p w14:paraId="517E8EE6" w14:textId="77777777" w:rsidR="001410AB" w:rsidRDefault="001410AB" w:rsidP="00841F6D">
            <w:r>
              <w:t>Interquartile range (25</w:t>
            </w:r>
            <w:r w:rsidRPr="00CC1F7B">
              <w:rPr>
                <w:vertAlign w:val="superscript"/>
              </w:rPr>
              <w:t>th</w:t>
            </w:r>
            <w:r>
              <w:t>-75</w:t>
            </w:r>
            <w:r w:rsidRPr="00CC1F7B">
              <w:rPr>
                <w:vertAlign w:val="superscript"/>
              </w:rPr>
              <w:t>th</w:t>
            </w:r>
            <w:r>
              <w:t xml:space="preserve"> percentile)</w:t>
            </w:r>
          </w:p>
        </w:tc>
      </w:tr>
      <w:tr w:rsidR="001410AB" w14:paraId="65204063" w14:textId="77777777" w:rsidTr="00E40FC0">
        <w:tc>
          <w:tcPr>
            <w:tcW w:w="1890" w:type="dxa"/>
          </w:tcPr>
          <w:p w14:paraId="60BC25E2" w14:textId="77777777" w:rsidR="001410AB" w:rsidRDefault="001410AB" w:rsidP="00841F6D">
            <w:r>
              <w:t>ITT</w:t>
            </w:r>
          </w:p>
        </w:tc>
        <w:tc>
          <w:tcPr>
            <w:tcW w:w="6830" w:type="dxa"/>
          </w:tcPr>
          <w:p w14:paraId="2D0648B6" w14:textId="77777777" w:rsidR="001410AB" w:rsidRDefault="001410AB" w:rsidP="00841F6D">
            <w:r>
              <w:t>Intention to treat</w:t>
            </w:r>
          </w:p>
        </w:tc>
      </w:tr>
      <w:tr w:rsidR="001410AB" w14:paraId="05D966E9" w14:textId="77777777" w:rsidTr="00E40FC0">
        <w:tc>
          <w:tcPr>
            <w:tcW w:w="1890" w:type="dxa"/>
          </w:tcPr>
          <w:p w14:paraId="215300BD" w14:textId="77777777" w:rsidR="001410AB" w:rsidRDefault="001410AB" w:rsidP="00841F6D">
            <w:r>
              <w:t>IVF</w:t>
            </w:r>
          </w:p>
        </w:tc>
        <w:tc>
          <w:tcPr>
            <w:tcW w:w="6830" w:type="dxa"/>
          </w:tcPr>
          <w:p w14:paraId="08502649" w14:textId="77777777" w:rsidR="001410AB" w:rsidRDefault="001410AB" w:rsidP="00841F6D">
            <w:r>
              <w:t>In</w:t>
            </w:r>
            <w:r w:rsidR="00E40FC0">
              <w:t xml:space="preserve"> </w:t>
            </w:r>
            <w:r>
              <w:t>vitro-fertilisation</w:t>
            </w:r>
          </w:p>
        </w:tc>
      </w:tr>
      <w:tr w:rsidR="001410AB" w14:paraId="558A4F92" w14:textId="77777777" w:rsidTr="00E40FC0">
        <w:tc>
          <w:tcPr>
            <w:tcW w:w="1890" w:type="dxa"/>
          </w:tcPr>
          <w:p w14:paraId="004DA874" w14:textId="77777777" w:rsidR="001410AB" w:rsidRDefault="001410AB" w:rsidP="00841F6D">
            <w:r>
              <w:t>k</w:t>
            </w:r>
            <w:r w:rsidRPr="00C33D45">
              <w:rPr>
                <w:vertAlign w:val="subscript"/>
              </w:rPr>
              <w:t>a</w:t>
            </w:r>
          </w:p>
        </w:tc>
        <w:tc>
          <w:tcPr>
            <w:tcW w:w="6830" w:type="dxa"/>
          </w:tcPr>
          <w:p w14:paraId="3E441945" w14:textId="77777777" w:rsidR="001410AB" w:rsidRDefault="001410AB" w:rsidP="00841F6D">
            <w:r>
              <w:t>Absorption rate constant</w:t>
            </w:r>
          </w:p>
        </w:tc>
      </w:tr>
      <w:tr w:rsidR="001410AB" w14:paraId="64F9AE4B" w14:textId="77777777" w:rsidTr="00E40FC0">
        <w:tc>
          <w:tcPr>
            <w:tcW w:w="1890" w:type="dxa"/>
          </w:tcPr>
          <w:p w14:paraId="361B84A8" w14:textId="77777777" w:rsidR="001410AB" w:rsidRDefault="001410AB" w:rsidP="00841F6D">
            <w:r>
              <w:t>LH</w:t>
            </w:r>
          </w:p>
        </w:tc>
        <w:tc>
          <w:tcPr>
            <w:tcW w:w="6830" w:type="dxa"/>
          </w:tcPr>
          <w:p w14:paraId="58BCFB18" w14:textId="77777777" w:rsidR="001410AB" w:rsidRDefault="005219CC" w:rsidP="00841F6D">
            <w:r>
              <w:t>Luteinising</w:t>
            </w:r>
            <w:r w:rsidR="001410AB">
              <w:t xml:space="preserve"> hormone</w:t>
            </w:r>
          </w:p>
        </w:tc>
      </w:tr>
      <w:tr w:rsidR="001410AB" w14:paraId="62CF5DDD" w14:textId="77777777" w:rsidTr="00E40FC0">
        <w:tc>
          <w:tcPr>
            <w:tcW w:w="1890" w:type="dxa"/>
          </w:tcPr>
          <w:p w14:paraId="59A066A2" w14:textId="77777777" w:rsidR="001410AB" w:rsidRDefault="001410AB" w:rsidP="00841F6D">
            <w:r>
              <w:t>LLUQ</w:t>
            </w:r>
          </w:p>
        </w:tc>
        <w:tc>
          <w:tcPr>
            <w:tcW w:w="6830" w:type="dxa"/>
          </w:tcPr>
          <w:p w14:paraId="798E4A90" w14:textId="77777777" w:rsidR="001410AB" w:rsidRDefault="001410AB" w:rsidP="00841F6D">
            <w:r>
              <w:t>Lower limit of quantification</w:t>
            </w:r>
          </w:p>
        </w:tc>
      </w:tr>
      <w:tr w:rsidR="001410AB" w14:paraId="57176D40" w14:textId="77777777" w:rsidTr="00E40FC0">
        <w:tc>
          <w:tcPr>
            <w:tcW w:w="1890" w:type="dxa"/>
          </w:tcPr>
          <w:p w14:paraId="4850C253" w14:textId="77777777" w:rsidR="001410AB" w:rsidRDefault="001410AB" w:rsidP="00841F6D">
            <w:r>
              <w:t>MedDRA</w:t>
            </w:r>
          </w:p>
        </w:tc>
        <w:tc>
          <w:tcPr>
            <w:tcW w:w="6830" w:type="dxa"/>
          </w:tcPr>
          <w:p w14:paraId="5D3BB83A" w14:textId="77777777" w:rsidR="001410AB" w:rsidRDefault="001410AB" w:rsidP="00841F6D">
            <w:r>
              <w:t>Medical dictionary for regulatory activities</w:t>
            </w:r>
          </w:p>
        </w:tc>
      </w:tr>
      <w:tr w:rsidR="001410AB" w14:paraId="08166E23" w14:textId="77777777" w:rsidTr="00E40FC0">
        <w:tc>
          <w:tcPr>
            <w:tcW w:w="1890" w:type="dxa"/>
          </w:tcPr>
          <w:p w14:paraId="38C70478" w14:textId="28C101F5" w:rsidR="001410AB" w:rsidRDefault="001410AB" w:rsidP="00E40FC0">
            <w:pPr>
              <w:ind w:left="0"/>
            </w:pPr>
            <w:r>
              <w:t>MII</w:t>
            </w:r>
          </w:p>
        </w:tc>
        <w:tc>
          <w:tcPr>
            <w:tcW w:w="6830" w:type="dxa"/>
          </w:tcPr>
          <w:p w14:paraId="46034FBA" w14:textId="77777777" w:rsidR="001410AB" w:rsidRDefault="001410AB" w:rsidP="00841F6D">
            <w:r>
              <w:t>Metaphase II</w:t>
            </w:r>
          </w:p>
        </w:tc>
      </w:tr>
      <w:tr w:rsidR="001410AB" w14:paraId="15B59651" w14:textId="77777777" w:rsidTr="00E40FC0">
        <w:tc>
          <w:tcPr>
            <w:tcW w:w="1890" w:type="dxa"/>
          </w:tcPr>
          <w:p w14:paraId="5F8BE6D7" w14:textId="77777777" w:rsidR="001410AB" w:rsidRDefault="001410AB" w:rsidP="00841F6D">
            <w:r>
              <w:t>NONMEM</w:t>
            </w:r>
          </w:p>
        </w:tc>
        <w:tc>
          <w:tcPr>
            <w:tcW w:w="6830" w:type="dxa"/>
          </w:tcPr>
          <w:p w14:paraId="1523B3CE" w14:textId="77777777" w:rsidR="001410AB" w:rsidRDefault="001410AB" w:rsidP="00841F6D">
            <w:r>
              <w:t>Nonlinear mixed effects modelling software</w:t>
            </w:r>
          </w:p>
        </w:tc>
      </w:tr>
      <w:tr w:rsidR="001410AB" w14:paraId="3B833221" w14:textId="77777777" w:rsidTr="00E40FC0">
        <w:tc>
          <w:tcPr>
            <w:tcW w:w="1890" w:type="dxa"/>
          </w:tcPr>
          <w:p w14:paraId="725468E8" w14:textId="77777777" w:rsidR="001410AB" w:rsidRDefault="001410AB" w:rsidP="00841F6D">
            <w:r>
              <w:t>OHSS</w:t>
            </w:r>
          </w:p>
        </w:tc>
        <w:tc>
          <w:tcPr>
            <w:tcW w:w="6830" w:type="dxa"/>
          </w:tcPr>
          <w:p w14:paraId="2B497110" w14:textId="77777777" w:rsidR="001410AB" w:rsidRDefault="001410AB" w:rsidP="00841F6D">
            <w:r>
              <w:t>Ovarian hyperstimulation syndrome</w:t>
            </w:r>
          </w:p>
        </w:tc>
      </w:tr>
      <w:tr w:rsidR="001410AB" w14:paraId="05BE4B16" w14:textId="77777777" w:rsidTr="00E40FC0">
        <w:tc>
          <w:tcPr>
            <w:tcW w:w="1890" w:type="dxa"/>
          </w:tcPr>
          <w:p w14:paraId="3326E21F" w14:textId="77777777" w:rsidR="001410AB" w:rsidRDefault="001410AB" w:rsidP="00841F6D">
            <w:r>
              <w:t>PER.C6</w:t>
            </w:r>
            <w:r w:rsidRPr="00CC1F7B">
              <w:rPr>
                <w:vertAlign w:val="superscript"/>
              </w:rPr>
              <w:t>®</w:t>
            </w:r>
          </w:p>
        </w:tc>
        <w:tc>
          <w:tcPr>
            <w:tcW w:w="6830" w:type="dxa"/>
          </w:tcPr>
          <w:p w14:paraId="75BD99B2" w14:textId="77777777" w:rsidR="001410AB" w:rsidRDefault="001410AB" w:rsidP="00841F6D">
            <w:r>
              <w:t>Host cell line of human origin</w:t>
            </w:r>
          </w:p>
        </w:tc>
      </w:tr>
      <w:tr w:rsidR="001410AB" w14:paraId="3A8B51CF" w14:textId="77777777" w:rsidTr="00E40FC0">
        <w:tc>
          <w:tcPr>
            <w:tcW w:w="1890" w:type="dxa"/>
          </w:tcPr>
          <w:p w14:paraId="7053438F" w14:textId="77777777" w:rsidR="001410AB" w:rsidRDefault="001410AB" w:rsidP="00841F6D">
            <w:r>
              <w:t>PP</w:t>
            </w:r>
          </w:p>
        </w:tc>
        <w:tc>
          <w:tcPr>
            <w:tcW w:w="6830" w:type="dxa"/>
          </w:tcPr>
          <w:p w14:paraId="4553CA79" w14:textId="77777777" w:rsidR="001410AB" w:rsidRDefault="001410AB" w:rsidP="00841F6D">
            <w:r>
              <w:t>Per protocol</w:t>
            </w:r>
          </w:p>
        </w:tc>
      </w:tr>
      <w:tr w:rsidR="001410AB" w14:paraId="2B9F5025" w14:textId="77777777" w:rsidTr="00E40FC0">
        <w:tc>
          <w:tcPr>
            <w:tcW w:w="1890" w:type="dxa"/>
          </w:tcPr>
          <w:p w14:paraId="0DCE417A" w14:textId="77777777" w:rsidR="001410AB" w:rsidRDefault="001410AB" w:rsidP="00841F6D">
            <w:r>
              <w:t>R</w:t>
            </w:r>
            <w:r w:rsidRPr="00C33D45">
              <w:rPr>
                <w:vertAlign w:val="superscript"/>
              </w:rPr>
              <w:t>2</w:t>
            </w:r>
          </w:p>
        </w:tc>
        <w:tc>
          <w:tcPr>
            <w:tcW w:w="6830" w:type="dxa"/>
          </w:tcPr>
          <w:p w14:paraId="3CB29F8A" w14:textId="77777777" w:rsidR="001410AB" w:rsidRDefault="001410AB" w:rsidP="00841F6D">
            <w:r>
              <w:t>Coefficient of variation (measure of variation explained by a model)</w:t>
            </w:r>
          </w:p>
        </w:tc>
      </w:tr>
      <w:tr w:rsidR="001410AB" w14:paraId="7DA8D873" w14:textId="77777777" w:rsidTr="00E40FC0">
        <w:tc>
          <w:tcPr>
            <w:tcW w:w="1890" w:type="dxa"/>
          </w:tcPr>
          <w:p w14:paraId="19D25B35" w14:textId="77777777" w:rsidR="001410AB" w:rsidRDefault="001410AB" w:rsidP="00841F6D">
            <w:r>
              <w:t>rFSH</w:t>
            </w:r>
          </w:p>
        </w:tc>
        <w:tc>
          <w:tcPr>
            <w:tcW w:w="6830" w:type="dxa"/>
          </w:tcPr>
          <w:p w14:paraId="3601C9D6" w14:textId="77777777" w:rsidR="001410AB" w:rsidRDefault="001410AB" w:rsidP="00841F6D">
            <w:r>
              <w:t>Recombinant FSH</w:t>
            </w:r>
          </w:p>
        </w:tc>
      </w:tr>
      <w:tr w:rsidR="001410AB" w14:paraId="67407538" w14:textId="77777777" w:rsidTr="00E40FC0">
        <w:tc>
          <w:tcPr>
            <w:tcW w:w="1890" w:type="dxa"/>
          </w:tcPr>
          <w:p w14:paraId="5184BF71" w14:textId="77777777" w:rsidR="001410AB" w:rsidRDefault="001410AB" w:rsidP="00841F6D">
            <w:r>
              <w:t>SAE</w:t>
            </w:r>
          </w:p>
        </w:tc>
        <w:tc>
          <w:tcPr>
            <w:tcW w:w="6830" w:type="dxa"/>
          </w:tcPr>
          <w:p w14:paraId="6CB14211" w14:textId="77777777" w:rsidR="001410AB" w:rsidRDefault="001410AB" w:rsidP="00841F6D">
            <w:r>
              <w:t>Serious adverse event</w:t>
            </w:r>
          </w:p>
        </w:tc>
      </w:tr>
      <w:tr w:rsidR="001410AB" w14:paraId="7AA7B8D7" w14:textId="77777777" w:rsidTr="00E40FC0">
        <w:tc>
          <w:tcPr>
            <w:tcW w:w="1890" w:type="dxa"/>
          </w:tcPr>
          <w:p w14:paraId="2EDDC6AD" w14:textId="77777777" w:rsidR="001410AB" w:rsidRDefault="001410AB" w:rsidP="00841F6D">
            <w:r>
              <w:t>t</w:t>
            </w:r>
            <w:r w:rsidRPr="00C33D45">
              <w:rPr>
                <w:vertAlign w:val="subscript"/>
              </w:rPr>
              <w:t>lag</w:t>
            </w:r>
          </w:p>
        </w:tc>
        <w:tc>
          <w:tcPr>
            <w:tcW w:w="6830" w:type="dxa"/>
          </w:tcPr>
          <w:p w14:paraId="0D1BB2D1" w14:textId="77777777" w:rsidR="001410AB" w:rsidRDefault="001410AB" w:rsidP="00841F6D">
            <w:r>
              <w:t>Lag time</w:t>
            </w:r>
          </w:p>
        </w:tc>
      </w:tr>
      <w:tr w:rsidR="001410AB" w14:paraId="41F09A29" w14:textId="77777777" w:rsidTr="00E40FC0">
        <w:tc>
          <w:tcPr>
            <w:tcW w:w="1890" w:type="dxa"/>
          </w:tcPr>
          <w:p w14:paraId="0F6B03CC" w14:textId="77777777" w:rsidR="001410AB" w:rsidRDefault="001410AB" w:rsidP="00841F6D">
            <w:r>
              <w:t>TSH</w:t>
            </w:r>
          </w:p>
        </w:tc>
        <w:tc>
          <w:tcPr>
            <w:tcW w:w="6830" w:type="dxa"/>
          </w:tcPr>
          <w:p w14:paraId="177D6DF9" w14:textId="77777777" w:rsidR="001410AB" w:rsidRDefault="001410AB" w:rsidP="00841F6D">
            <w:r>
              <w:t>Thyroid stimulating hormone</w:t>
            </w:r>
          </w:p>
        </w:tc>
      </w:tr>
      <w:tr w:rsidR="001410AB" w14:paraId="2D706CC4" w14:textId="77777777" w:rsidTr="00E40FC0">
        <w:tc>
          <w:tcPr>
            <w:tcW w:w="1890" w:type="dxa"/>
          </w:tcPr>
          <w:p w14:paraId="4656F348" w14:textId="77777777" w:rsidR="001410AB" w:rsidRDefault="001410AB" w:rsidP="00841F6D">
            <w:r>
              <w:t>ULOQ</w:t>
            </w:r>
          </w:p>
        </w:tc>
        <w:tc>
          <w:tcPr>
            <w:tcW w:w="6830" w:type="dxa"/>
          </w:tcPr>
          <w:p w14:paraId="10BFE993" w14:textId="77777777" w:rsidR="001410AB" w:rsidRDefault="001410AB" w:rsidP="00841F6D">
            <w:r>
              <w:t>Upper limit of quantification</w:t>
            </w:r>
          </w:p>
        </w:tc>
      </w:tr>
      <w:tr w:rsidR="001410AB" w14:paraId="4DFFC5DF" w14:textId="77777777" w:rsidTr="00E40FC0">
        <w:tc>
          <w:tcPr>
            <w:tcW w:w="1890" w:type="dxa"/>
          </w:tcPr>
          <w:p w14:paraId="4D09762A" w14:textId="77777777" w:rsidR="001410AB" w:rsidRDefault="001410AB" w:rsidP="00841F6D">
            <w:r>
              <w:t>WHO</w:t>
            </w:r>
          </w:p>
        </w:tc>
        <w:tc>
          <w:tcPr>
            <w:tcW w:w="6830" w:type="dxa"/>
          </w:tcPr>
          <w:p w14:paraId="7F0716B9" w14:textId="77777777" w:rsidR="001410AB" w:rsidRDefault="00E40FC0" w:rsidP="00841F6D">
            <w:r>
              <w:t>World H</w:t>
            </w:r>
            <w:r w:rsidR="001410AB">
              <w:t xml:space="preserve">ealth </w:t>
            </w:r>
            <w:r>
              <w:t>Organiz</w:t>
            </w:r>
            <w:r w:rsidR="001410AB">
              <w:t>ation</w:t>
            </w:r>
          </w:p>
        </w:tc>
      </w:tr>
    </w:tbl>
    <w:p w14:paraId="6856CFDB"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570E836" w14:textId="77777777" w:rsidR="008E7846" w:rsidRDefault="00F53C07" w:rsidP="008E7846">
      <w:pPr>
        <w:pStyle w:val="Heading2"/>
      </w:pPr>
      <w:bookmarkStart w:id="7" w:name="_Toc497744240"/>
      <w:r>
        <w:t>I.</w:t>
      </w:r>
      <w:r w:rsidR="008E7846">
        <w:t xml:space="preserve"> Introduction to product submission</w:t>
      </w:r>
      <w:bookmarkEnd w:id="0"/>
      <w:bookmarkEnd w:id="3"/>
      <w:bookmarkEnd w:id="7"/>
    </w:p>
    <w:p w14:paraId="37894FC9" w14:textId="77777777" w:rsidR="008E7846" w:rsidRDefault="008E7846" w:rsidP="008E7846">
      <w:pPr>
        <w:pStyle w:val="Heading3"/>
        <w:rPr>
          <w:lang w:eastAsia="en-AU"/>
        </w:rPr>
      </w:pPr>
      <w:bookmarkStart w:id="8" w:name="_Toc247691502"/>
      <w:bookmarkStart w:id="9" w:name="_Toc314842483"/>
      <w:bookmarkStart w:id="10" w:name="_Toc497744241"/>
      <w:r>
        <w:rPr>
          <w:lang w:eastAsia="en-AU"/>
        </w:rPr>
        <w:t>Submission details</w:t>
      </w:r>
      <w:bookmarkEnd w:id="8"/>
      <w:bookmarkEnd w:id="9"/>
      <w:bookmarkEnd w:id="10"/>
    </w:p>
    <w:tbl>
      <w:tblPr>
        <w:tblW w:w="9497" w:type="dxa"/>
        <w:tblInd w:w="108" w:type="dxa"/>
        <w:tblLook w:val="01E0" w:firstRow="1" w:lastRow="1" w:firstColumn="1" w:lastColumn="1" w:noHBand="0" w:noVBand="0"/>
      </w:tblPr>
      <w:tblGrid>
        <w:gridCol w:w="2907"/>
        <w:gridCol w:w="6307"/>
        <w:gridCol w:w="283"/>
      </w:tblGrid>
      <w:tr w:rsidR="008E7846" w:rsidRPr="003D1E62" w14:paraId="4F031F4F" w14:textId="77777777" w:rsidTr="000959D7">
        <w:trPr>
          <w:trHeight w:hRule="exact" w:val="454"/>
        </w:trPr>
        <w:tc>
          <w:tcPr>
            <w:tcW w:w="2907" w:type="dxa"/>
          </w:tcPr>
          <w:p w14:paraId="29C6A8A3"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45404E28" w14:textId="77777777" w:rsidR="008E7846" w:rsidRPr="003D1E62" w:rsidRDefault="008E7846" w:rsidP="00436314">
            <w:r w:rsidRPr="003D1E62">
              <w:t xml:space="preserve">New </w:t>
            </w:r>
            <w:r w:rsidR="00436314">
              <w:t>Biological Entity</w:t>
            </w:r>
          </w:p>
        </w:tc>
      </w:tr>
      <w:tr w:rsidR="008E7846" w:rsidRPr="003D1E62" w14:paraId="72D962B2" w14:textId="77777777" w:rsidTr="000959D7">
        <w:trPr>
          <w:trHeight w:hRule="exact" w:val="454"/>
        </w:trPr>
        <w:tc>
          <w:tcPr>
            <w:tcW w:w="2907" w:type="dxa"/>
          </w:tcPr>
          <w:p w14:paraId="45D4FE2E" w14:textId="77777777" w:rsidR="008E7846" w:rsidRPr="003D1E62" w:rsidRDefault="008E7846" w:rsidP="003D1E62">
            <w:r w:rsidRPr="003D1E62">
              <w:rPr>
                <w:i/>
              </w:rPr>
              <w:t>Decision</w:t>
            </w:r>
            <w:r w:rsidRPr="003D1E62">
              <w:t>:</w:t>
            </w:r>
          </w:p>
        </w:tc>
        <w:tc>
          <w:tcPr>
            <w:tcW w:w="6590" w:type="dxa"/>
            <w:gridSpan w:val="2"/>
          </w:tcPr>
          <w:p w14:paraId="1727F471" w14:textId="77777777" w:rsidR="008E7846" w:rsidRPr="003D1E62" w:rsidRDefault="00EF3C9A" w:rsidP="00EF3C9A">
            <w:r>
              <w:t>Approved</w:t>
            </w:r>
          </w:p>
        </w:tc>
      </w:tr>
      <w:tr w:rsidR="008E7846" w:rsidRPr="003D1E62" w14:paraId="20E5A038" w14:textId="77777777" w:rsidTr="000959D7">
        <w:trPr>
          <w:trHeight w:hRule="exact" w:val="454"/>
        </w:trPr>
        <w:tc>
          <w:tcPr>
            <w:tcW w:w="2907" w:type="dxa"/>
          </w:tcPr>
          <w:p w14:paraId="18AC4A17"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24A31EE9" w14:textId="77777777" w:rsidR="008E7846" w:rsidRPr="003D1E62" w:rsidRDefault="00EF3C9A" w:rsidP="001B5C90">
            <w:r>
              <w:t>24 March 2017</w:t>
            </w:r>
          </w:p>
        </w:tc>
      </w:tr>
      <w:tr w:rsidR="00ED2922" w:rsidRPr="003D1E62" w14:paraId="7837843D" w14:textId="77777777" w:rsidTr="000959D7">
        <w:trPr>
          <w:trHeight w:hRule="exact" w:val="454"/>
        </w:trPr>
        <w:tc>
          <w:tcPr>
            <w:tcW w:w="2907" w:type="dxa"/>
          </w:tcPr>
          <w:p w14:paraId="24405A70" w14:textId="77777777" w:rsidR="00ED2922" w:rsidRPr="00441C3F" w:rsidRDefault="00ED2922" w:rsidP="001B5C90">
            <w:pPr>
              <w:rPr>
                <w:i/>
              </w:rPr>
            </w:pPr>
            <w:r w:rsidRPr="00441C3F">
              <w:rPr>
                <w:i/>
              </w:rPr>
              <w:t>Date of entry onto ARTG</w:t>
            </w:r>
          </w:p>
        </w:tc>
        <w:tc>
          <w:tcPr>
            <w:tcW w:w="6590" w:type="dxa"/>
            <w:gridSpan w:val="2"/>
          </w:tcPr>
          <w:p w14:paraId="53DA4936" w14:textId="77777777" w:rsidR="00ED2922" w:rsidRPr="00030650" w:rsidRDefault="00030650" w:rsidP="00EC463D">
            <w:r>
              <w:t>31 March 2017</w:t>
            </w:r>
          </w:p>
        </w:tc>
      </w:tr>
      <w:tr w:rsidR="008E7846" w:rsidRPr="00487162" w14:paraId="378CB6E5" w14:textId="77777777" w:rsidTr="000959D7">
        <w:trPr>
          <w:gridAfter w:val="1"/>
          <w:wAfter w:w="283" w:type="dxa"/>
        </w:trPr>
        <w:tc>
          <w:tcPr>
            <w:tcW w:w="2907" w:type="dxa"/>
          </w:tcPr>
          <w:p w14:paraId="18BC0BC6" w14:textId="77777777" w:rsidR="008E7846" w:rsidRPr="00487162" w:rsidRDefault="001B5C90" w:rsidP="00E45619">
            <w:pPr>
              <w:rPr>
                <w:i/>
              </w:rPr>
            </w:pPr>
            <w:r>
              <w:rPr>
                <w:i/>
              </w:rPr>
              <w:t>Active ingredient(s):</w:t>
            </w:r>
          </w:p>
        </w:tc>
        <w:tc>
          <w:tcPr>
            <w:tcW w:w="6307" w:type="dxa"/>
          </w:tcPr>
          <w:p w14:paraId="011C58F1" w14:textId="77777777" w:rsidR="008E7846" w:rsidRPr="00487162" w:rsidRDefault="00436314" w:rsidP="007813E5">
            <w:r>
              <w:t>F</w:t>
            </w:r>
            <w:r w:rsidR="007813E5">
              <w:t>ollitropin delta</w:t>
            </w:r>
            <w:r w:rsidRPr="00436314">
              <w:t xml:space="preserve"> (rhu)</w:t>
            </w:r>
          </w:p>
        </w:tc>
      </w:tr>
      <w:tr w:rsidR="008E7846" w:rsidRPr="00487162" w14:paraId="51539BE1" w14:textId="77777777" w:rsidTr="000959D7">
        <w:trPr>
          <w:gridAfter w:val="1"/>
          <w:wAfter w:w="283" w:type="dxa"/>
        </w:trPr>
        <w:tc>
          <w:tcPr>
            <w:tcW w:w="2907" w:type="dxa"/>
          </w:tcPr>
          <w:p w14:paraId="2C514284" w14:textId="77777777" w:rsidR="008E7846" w:rsidRPr="00487162" w:rsidRDefault="008E7846" w:rsidP="001B5C90">
            <w:pPr>
              <w:rPr>
                <w:i/>
              </w:rPr>
            </w:pPr>
            <w:r w:rsidRPr="00487162">
              <w:rPr>
                <w:i/>
              </w:rPr>
              <w:t>Product</w:t>
            </w:r>
            <w:r w:rsidR="001B5C90">
              <w:rPr>
                <w:i/>
              </w:rPr>
              <w:t xml:space="preserve"> name(s):</w:t>
            </w:r>
          </w:p>
        </w:tc>
        <w:tc>
          <w:tcPr>
            <w:tcW w:w="6307" w:type="dxa"/>
          </w:tcPr>
          <w:p w14:paraId="4471804B" w14:textId="77777777" w:rsidR="008E7846" w:rsidRPr="00487162" w:rsidRDefault="00436314" w:rsidP="00E45619">
            <w:r>
              <w:t>Rekovelle</w:t>
            </w:r>
          </w:p>
        </w:tc>
      </w:tr>
      <w:tr w:rsidR="008E7846" w:rsidRPr="00487162" w14:paraId="4D525946" w14:textId="77777777" w:rsidTr="000959D7">
        <w:trPr>
          <w:gridAfter w:val="1"/>
          <w:wAfter w:w="283" w:type="dxa"/>
        </w:trPr>
        <w:tc>
          <w:tcPr>
            <w:tcW w:w="2907" w:type="dxa"/>
          </w:tcPr>
          <w:p w14:paraId="0F8FF064"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005E427" w14:textId="77777777" w:rsidR="00436314" w:rsidRPr="00DF5C3C" w:rsidRDefault="00436314" w:rsidP="00436314">
            <w:pPr>
              <w:pStyle w:val="Heading2"/>
              <w:spacing w:before="0" w:after="0" w:line="240" w:lineRule="auto"/>
              <w:rPr>
                <w:rFonts w:asciiTheme="minorHAnsi" w:hAnsiTheme="minorHAnsi"/>
                <w:b w:val="0"/>
                <w:sz w:val="22"/>
                <w:szCs w:val="22"/>
              </w:rPr>
            </w:pPr>
            <w:bookmarkStart w:id="11" w:name="_Toc497744242"/>
            <w:r w:rsidRPr="00DF5C3C">
              <w:rPr>
                <w:rFonts w:asciiTheme="minorHAnsi" w:hAnsiTheme="minorHAnsi"/>
                <w:b w:val="0"/>
                <w:sz w:val="22"/>
                <w:szCs w:val="22"/>
              </w:rPr>
              <w:t>Ferring Pharmaceuticals Pty Ltd</w:t>
            </w:r>
            <w:bookmarkEnd w:id="11"/>
          </w:p>
          <w:p w14:paraId="1D0E6C02" w14:textId="77777777" w:rsidR="008E7846" w:rsidRPr="00487162" w:rsidRDefault="00436314" w:rsidP="00436314">
            <w:r w:rsidRPr="00DF5C3C">
              <w:rPr>
                <w:rFonts w:asciiTheme="minorHAnsi" w:hAnsiTheme="minorHAnsi"/>
              </w:rPr>
              <w:t>PO Box 315, North Ryde, NSW 1670</w:t>
            </w:r>
          </w:p>
        </w:tc>
      </w:tr>
      <w:tr w:rsidR="008E7846" w:rsidRPr="00487162" w14:paraId="2656975E" w14:textId="77777777" w:rsidTr="000959D7">
        <w:trPr>
          <w:gridAfter w:val="1"/>
          <w:wAfter w:w="283" w:type="dxa"/>
        </w:trPr>
        <w:tc>
          <w:tcPr>
            <w:tcW w:w="2907" w:type="dxa"/>
          </w:tcPr>
          <w:p w14:paraId="6B37B662" w14:textId="77777777" w:rsidR="008E7846" w:rsidRPr="00487162" w:rsidRDefault="001B5C90" w:rsidP="00E45619">
            <w:pPr>
              <w:rPr>
                <w:i/>
              </w:rPr>
            </w:pPr>
            <w:r>
              <w:rPr>
                <w:i/>
              </w:rPr>
              <w:t>Dose form(s):</w:t>
            </w:r>
          </w:p>
        </w:tc>
        <w:tc>
          <w:tcPr>
            <w:tcW w:w="6307" w:type="dxa"/>
          </w:tcPr>
          <w:p w14:paraId="535CB347" w14:textId="77777777" w:rsidR="008E7846" w:rsidRPr="00487162" w:rsidRDefault="00436314" w:rsidP="00436314">
            <w:r>
              <w:t>Solution for injection</w:t>
            </w:r>
          </w:p>
        </w:tc>
      </w:tr>
      <w:tr w:rsidR="008E7846" w:rsidRPr="00487162" w14:paraId="4F88B575" w14:textId="77777777" w:rsidTr="000959D7">
        <w:trPr>
          <w:gridAfter w:val="1"/>
          <w:wAfter w:w="283" w:type="dxa"/>
        </w:trPr>
        <w:tc>
          <w:tcPr>
            <w:tcW w:w="2907" w:type="dxa"/>
          </w:tcPr>
          <w:p w14:paraId="62F9AC31" w14:textId="77777777" w:rsidR="008E7846" w:rsidRPr="00487162" w:rsidRDefault="008E7846" w:rsidP="00E45619">
            <w:pPr>
              <w:rPr>
                <w:i/>
              </w:rPr>
            </w:pPr>
            <w:r w:rsidRPr="00487162">
              <w:rPr>
                <w:i/>
              </w:rPr>
              <w:t xml:space="preserve">Strength(s): </w:t>
            </w:r>
          </w:p>
        </w:tc>
        <w:tc>
          <w:tcPr>
            <w:tcW w:w="6307" w:type="dxa"/>
          </w:tcPr>
          <w:p w14:paraId="1F4FB2BD" w14:textId="772F4D3A" w:rsidR="008E7846" w:rsidRPr="00487162" w:rsidRDefault="001410AB" w:rsidP="001F2ED1">
            <w:r>
              <w:t xml:space="preserve">33.3 </w:t>
            </w:r>
            <w:r w:rsidR="001F2ED1">
              <w:t>micrograms</w:t>
            </w:r>
            <w:r>
              <w:t xml:space="preserve">/mL [12 </w:t>
            </w:r>
            <w:r w:rsidR="001F2ED1">
              <w:t xml:space="preserve">micrograms </w:t>
            </w:r>
            <w:r>
              <w:t xml:space="preserve">in 0.36 mL; 36 </w:t>
            </w:r>
            <w:r w:rsidR="001F2ED1">
              <w:t xml:space="preserve">micrograms </w:t>
            </w:r>
            <w:r>
              <w:t xml:space="preserve">in 1.08 mL; 72 </w:t>
            </w:r>
            <w:r w:rsidR="001F2ED1">
              <w:t xml:space="preserve">micrograms </w:t>
            </w:r>
            <w:r>
              <w:t>in 2.16 mL]</w:t>
            </w:r>
          </w:p>
        </w:tc>
      </w:tr>
      <w:tr w:rsidR="008E7846" w:rsidRPr="00487162" w14:paraId="687742AE" w14:textId="77777777" w:rsidTr="000959D7">
        <w:trPr>
          <w:gridAfter w:val="1"/>
          <w:wAfter w:w="283" w:type="dxa"/>
        </w:trPr>
        <w:tc>
          <w:tcPr>
            <w:tcW w:w="2907" w:type="dxa"/>
          </w:tcPr>
          <w:p w14:paraId="4AA61734" w14:textId="77777777" w:rsidR="008E7846" w:rsidRPr="00487162" w:rsidRDefault="008E7846" w:rsidP="00E45619">
            <w:pPr>
              <w:rPr>
                <w:i/>
              </w:rPr>
            </w:pPr>
            <w:r w:rsidRPr="00487162">
              <w:rPr>
                <w:i/>
              </w:rPr>
              <w:t>Container(s):</w:t>
            </w:r>
          </w:p>
        </w:tc>
        <w:tc>
          <w:tcPr>
            <w:tcW w:w="6307" w:type="dxa"/>
          </w:tcPr>
          <w:p w14:paraId="60D50D97" w14:textId="77777777" w:rsidR="008E7846" w:rsidRPr="00487162" w:rsidRDefault="00030650" w:rsidP="00030650">
            <w:r>
              <w:t>Glass c</w:t>
            </w:r>
            <w:r w:rsidR="00070DCE" w:rsidRPr="00070DCE">
              <w:t xml:space="preserve">artridge </w:t>
            </w:r>
          </w:p>
        </w:tc>
      </w:tr>
      <w:tr w:rsidR="008E7846" w:rsidRPr="00487162" w14:paraId="0838F6A2" w14:textId="77777777" w:rsidTr="000959D7">
        <w:trPr>
          <w:gridAfter w:val="1"/>
          <w:wAfter w:w="283" w:type="dxa"/>
        </w:trPr>
        <w:tc>
          <w:tcPr>
            <w:tcW w:w="2907" w:type="dxa"/>
          </w:tcPr>
          <w:p w14:paraId="4245EB79" w14:textId="77777777" w:rsidR="008E7846" w:rsidRPr="00487162" w:rsidRDefault="008E7846" w:rsidP="00E45619">
            <w:pPr>
              <w:rPr>
                <w:i/>
              </w:rPr>
            </w:pPr>
            <w:r w:rsidRPr="00487162">
              <w:rPr>
                <w:i/>
              </w:rPr>
              <w:t>Pack size(s):</w:t>
            </w:r>
          </w:p>
        </w:tc>
        <w:tc>
          <w:tcPr>
            <w:tcW w:w="6307" w:type="dxa"/>
          </w:tcPr>
          <w:p w14:paraId="4BB0F8DF" w14:textId="6B17368A" w:rsidR="001F2ED1" w:rsidRDefault="001F2ED1" w:rsidP="001F2ED1">
            <w:r>
              <w:t>R</w:t>
            </w:r>
            <w:r w:rsidR="00174E14">
              <w:t>ekovelle</w:t>
            </w:r>
            <w:r>
              <w:t xml:space="preserve"> 12 m</w:t>
            </w:r>
            <w:r w:rsidR="00174E14">
              <w:t>icrograms/mL</w:t>
            </w:r>
            <w:r>
              <w:t xml:space="preserve"> - Pack</w:t>
            </w:r>
            <w:r w:rsidR="00177D6D">
              <w:t xml:space="preserve"> of 1 cartridge and 3 needles to be used with the </w:t>
            </w:r>
            <w:r w:rsidR="00333C0B">
              <w:t xml:space="preserve">Rekovelle </w:t>
            </w:r>
            <w:r w:rsidR="00177D6D">
              <w:t>injection</w:t>
            </w:r>
            <w:r>
              <w:t xml:space="preserve"> pen</w:t>
            </w:r>
          </w:p>
          <w:p w14:paraId="3EE574BE" w14:textId="6528B777" w:rsidR="001F2ED1" w:rsidRDefault="001F2ED1" w:rsidP="001F2ED1">
            <w:r>
              <w:t>R</w:t>
            </w:r>
            <w:r w:rsidR="00174E14">
              <w:t>ekovelle</w:t>
            </w:r>
            <w:r>
              <w:t xml:space="preserve"> 36 </w:t>
            </w:r>
            <w:r w:rsidR="00174E14">
              <w:t>micrograms/mL</w:t>
            </w:r>
            <w:r>
              <w:t xml:space="preserve"> - Pack of 1 cartridge and 6 needles to be used with the </w:t>
            </w:r>
            <w:r w:rsidR="00333C0B">
              <w:t xml:space="preserve">Rekovelle </w:t>
            </w:r>
            <w:r>
              <w:t>injection pen</w:t>
            </w:r>
          </w:p>
          <w:p w14:paraId="0F6747C4" w14:textId="61B6EF45" w:rsidR="008E7846" w:rsidRPr="00487162" w:rsidRDefault="001F2ED1" w:rsidP="00657B42">
            <w:r>
              <w:t>R</w:t>
            </w:r>
            <w:r w:rsidR="00174E14">
              <w:t>ekovelle</w:t>
            </w:r>
            <w:r>
              <w:t xml:space="preserve"> 72 m</w:t>
            </w:r>
            <w:r w:rsidR="00174E14">
              <w:t>icrograms/mL</w:t>
            </w:r>
            <w:r>
              <w:t xml:space="preserve"> - Pack of 1 cartridge and </w:t>
            </w:r>
            <w:r w:rsidR="00397DDC">
              <w:t>9</w:t>
            </w:r>
            <w:r>
              <w:t xml:space="preserve"> needles to be used with the </w:t>
            </w:r>
            <w:r w:rsidR="00333C0B">
              <w:t xml:space="preserve">Rekovelle </w:t>
            </w:r>
            <w:r>
              <w:t>injection</w:t>
            </w:r>
          </w:p>
        </w:tc>
      </w:tr>
      <w:tr w:rsidR="008E7846" w:rsidRPr="00487162" w14:paraId="1527D386" w14:textId="77777777" w:rsidTr="000959D7">
        <w:trPr>
          <w:gridAfter w:val="1"/>
          <w:wAfter w:w="283" w:type="dxa"/>
        </w:trPr>
        <w:tc>
          <w:tcPr>
            <w:tcW w:w="2907" w:type="dxa"/>
          </w:tcPr>
          <w:p w14:paraId="0C5A62D2" w14:textId="5F4853DC"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28DCE16" w14:textId="5C422209" w:rsidR="008E7846" w:rsidRPr="00EF3C9A" w:rsidRDefault="007813E5" w:rsidP="00E45619">
            <w:pPr>
              <w:rPr>
                <w:rFonts w:eastAsia="MS Mincho"/>
                <w:i/>
                <w:lang w:eastAsia="ja-JP"/>
              </w:rPr>
            </w:pPr>
            <w:r w:rsidRPr="00EF3C9A">
              <w:rPr>
                <w:i/>
              </w:rPr>
              <w:t>Controlled ovarian stimulation for the development of multiple follicles in women undergoing assisted reproductive technologies (ART) such as an in vitro fertilisation (IVF) or intracytoplasmic sperm injection (ICSI) cycle</w:t>
            </w:r>
            <w:r w:rsidR="00177D6D">
              <w:rPr>
                <w:i/>
              </w:rPr>
              <w:t>.</w:t>
            </w:r>
          </w:p>
        </w:tc>
      </w:tr>
      <w:tr w:rsidR="008E7846" w:rsidRPr="00487162" w14:paraId="1E5479F9" w14:textId="77777777" w:rsidTr="000959D7">
        <w:trPr>
          <w:gridAfter w:val="1"/>
          <w:wAfter w:w="283" w:type="dxa"/>
        </w:trPr>
        <w:tc>
          <w:tcPr>
            <w:tcW w:w="2907" w:type="dxa"/>
          </w:tcPr>
          <w:p w14:paraId="33EA71A2" w14:textId="77777777" w:rsidR="008E7846" w:rsidRPr="00487162" w:rsidRDefault="008E7846" w:rsidP="00E45619">
            <w:pPr>
              <w:rPr>
                <w:i/>
              </w:rPr>
            </w:pPr>
            <w:r w:rsidRPr="00487162">
              <w:rPr>
                <w:i/>
              </w:rPr>
              <w:t>Route(s) of administration:</w:t>
            </w:r>
          </w:p>
        </w:tc>
        <w:tc>
          <w:tcPr>
            <w:tcW w:w="6307" w:type="dxa"/>
          </w:tcPr>
          <w:p w14:paraId="441615F0" w14:textId="77777777" w:rsidR="008E7846" w:rsidRPr="00487162" w:rsidRDefault="00436314" w:rsidP="00030650">
            <w:r>
              <w:t>Sub</w:t>
            </w:r>
            <w:r w:rsidRPr="00436314">
              <w:t xml:space="preserve">cutaneous </w:t>
            </w:r>
            <w:r>
              <w:t xml:space="preserve">(SC) </w:t>
            </w:r>
            <w:r w:rsidR="00030650" w:rsidRPr="00436314">
              <w:t xml:space="preserve">injection </w:t>
            </w:r>
            <w:r w:rsidR="00030650">
              <w:t>in abdominal wall</w:t>
            </w:r>
          </w:p>
        </w:tc>
      </w:tr>
      <w:tr w:rsidR="008E7846" w:rsidRPr="00487162" w14:paraId="1447233C" w14:textId="77777777" w:rsidTr="000959D7">
        <w:trPr>
          <w:gridAfter w:val="1"/>
          <w:wAfter w:w="283" w:type="dxa"/>
        </w:trPr>
        <w:tc>
          <w:tcPr>
            <w:tcW w:w="2907" w:type="dxa"/>
          </w:tcPr>
          <w:p w14:paraId="29D7FA82" w14:textId="77777777" w:rsidR="008E7846" w:rsidRPr="00487162" w:rsidRDefault="008E7846" w:rsidP="00E45619">
            <w:pPr>
              <w:rPr>
                <w:i/>
              </w:rPr>
            </w:pPr>
            <w:r w:rsidRPr="00487162">
              <w:rPr>
                <w:i/>
              </w:rPr>
              <w:t>Dosage:</w:t>
            </w:r>
          </w:p>
        </w:tc>
        <w:tc>
          <w:tcPr>
            <w:tcW w:w="6307" w:type="dxa"/>
          </w:tcPr>
          <w:p w14:paraId="5DB217C7" w14:textId="1A708638" w:rsidR="008E7846" w:rsidRPr="00487162" w:rsidRDefault="004952AB" w:rsidP="004952AB">
            <w:r>
              <w:t>Individual based on the patient’s body weight and AMH</w:t>
            </w:r>
          </w:p>
        </w:tc>
      </w:tr>
      <w:tr w:rsidR="008E7846" w:rsidRPr="00487162" w14:paraId="06F26B4E" w14:textId="77777777" w:rsidTr="000959D7">
        <w:trPr>
          <w:gridAfter w:val="1"/>
          <w:wAfter w:w="283" w:type="dxa"/>
        </w:trPr>
        <w:tc>
          <w:tcPr>
            <w:tcW w:w="2907" w:type="dxa"/>
          </w:tcPr>
          <w:p w14:paraId="081F6488" w14:textId="77777777"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14:paraId="37605D92" w14:textId="77777777" w:rsidR="008E7846" w:rsidRPr="00487162" w:rsidRDefault="00030650" w:rsidP="00E45619">
            <w:r>
              <w:t>271653, 271652 and 270336</w:t>
            </w:r>
          </w:p>
        </w:tc>
      </w:tr>
    </w:tbl>
    <w:p w14:paraId="1D0B4AD5" w14:textId="77777777" w:rsidR="008E7846" w:rsidRDefault="008E7846" w:rsidP="008E7846">
      <w:pPr>
        <w:pStyle w:val="Heading3"/>
      </w:pPr>
      <w:bookmarkStart w:id="12" w:name="_Toc247691503"/>
      <w:bookmarkStart w:id="13" w:name="_Toc314842484"/>
      <w:bookmarkStart w:id="14" w:name="_Toc497744243"/>
      <w:r>
        <w:t>Product background</w:t>
      </w:r>
      <w:bookmarkEnd w:id="12"/>
      <w:bookmarkEnd w:id="13"/>
      <w:bookmarkEnd w:id="14"/>
    </w:p>
    <w:p w14:paraId="55428965" w14:textId="77777777" w:rsidR="00E40FC0" w:rsidRDefault="00940A89" w:rsidP="001410AB">
      <w:r w:rsidRPr="00940A89">
        <w:t>This AusPAR describes the application by the sponsor</w:t>
      </w:r>
      <w:r w:rsidR="00E40FC0">
        <w:t>,</w:t>
      </w:r>
      <w:r w:rsidRPr="00940A89">
        <w:t xml:space="preserve"> </w:t>
      </w:r>
      <w:r w:rsidR="001410AB" w:rsidRPr="001410AB">
        <w:t>Ferring Pharmaceuticals Pty Ltd</w:t>
      </w:r>
      <w:r w:rsidR="00E40FC0">
        <w:t>,</w:t>
      </w:r>
      <w:r w:rsidR="001410AB" w:rsidRPr="001410AB">
        <w:t xml:space="preserve"> to register a new biological entity, follitropin delta </w:t>
      </w:r>
      <w:r w:rsidR="00A17826">
        <w:t xml:space="preserve">as </w:t>
      </w:r>
      <w:r w:rsidR="001410AB" w:rsidRPr="001410AB">
        <w:t>R</w:t>
      </w:r>
      <w:r w:rsidR="00030650">
        <w:t>ekovelle</w:t>
      </w:r>
      <w:r w:rsidR="00FD2B65">
        <w:t xml:space="preserve"> (</w:t>
      </w:r>
      <w:r w:rsidR="00FB403C">
        <w:t>Rekovelle</w:t>
      </w:r>
      <w:r w:rsidR="00FD2B65">
        <w:t>)</w:t>
      </w:r>
      <w:r w:rsidR="00E40FC0">
        <w:t>.</w:t>
      </w:r>
    </w:p>
    <w:p w14:paraId="749DD47C" w14:textId="77777777" w:rsidR="00E40FC0" w:rsidRDefault="00030650" w:rsidP="001410AB">
      <w:r>
        <w:t>Rekovelle</w:t>
      </w:r>
      <w:r w:rsidR="001410AB" w:rsidRPr="001410AB">
        <w:t xml:space="preserve"> is proposed to be used for controlled ovarian stimulation for the development of multiple follicles in women undergoing assisted reproductive technologies (ART) such as in vitro fertilisation (IVF) or intracytoplasmi</w:t>
      </w:r>
      <w:r w:rsidR="00E40FC0">
        <w:t>c sperm injection (ICSI) cycle.</w:t>
      </w:r>
    </w:p>
    <w:p w14:paraId="65ED8F5B" w14:textId="77777777" w:rsidR="001410AB" w:rsidRDefault="001410AB" w:rsidP="001410AB">
      <w:r w:rsidRPr="001410AB">
        <w:t>The propos</w:t>
      </w:r>
      <w:r w:rsidR="00030650">
        <w:t xml:space="preserve">ed dosing regimen involves once </w:t>
      </w:r>
      <w:r w:rsidRPr="001410AB">
        <w:t xml:space="preserve">daily subcutaneous </w:t>
      </w:r>
      <w:r w:rsidR="00030650">
        <w:t xml:space="preserve">(SC) </w:t>
      </w:r>
      <w:r w:rsidRPr="001410AB">
        <w:t xml:space="preserve">administration with an individualised dose based on the patient’s serum anti-Müllerian hormone (AMH) concentration and body weight, up to a maximum of 12 µg (first treatment round) or 24 μg (subsequent treatment rounds) per day. The draft Product Information </w:t>
      </w:r>
      <w:r w:rsidR="00E40FC0">
        <w:t xml:space="preserve">(PI) </w:t>
      </w:r>
      <w:r w:rsidRPr="001410AB">
        <w:t>document describes an average treatment cycle of 9 days duration (range, 5</w:t>
      </w:r>
      <w:r w:rsidR="00030650">
        <w:t xml:space="preserve"> to </w:t>
      </w:r>
      <w:r w:rsidRPr="001410AB">
        <w:t>20 days).</w:t>
      </w:r>
    </w:p>
    <w:p w14:paraId="65A18F11" w14:textId="77777777" w:rsidR="00070DCE" w:rsidRDefault="00070DCE" w:rsidP="00070DCE">
      <w:r>
        <w:t xml:space="preserve">Rekovelle is dosed in micrograms </w:t>
      </w:r>
      <w:r w:rsidR="00E40FC0">
        <w:t xml:space="preserve">(µg) </w:t>
      </w:r>
      <w:r>
        <w:t xml:space="preserve">and not in international units (IU) of biological activity. The dosing regimen is specific for Rekovelle and the </w:t>
      </w:r>
      <w:r w:rsidR="00A17826">
        <w:t>µg</w:t>
      </w:r>
      <w:r>
        <w:t xml:space="preserve"> dose cannot be applied to other gonadotropins.</w:t>
      </w:r>
    </w:p>
    <w:p w14:paraId="01FA666E" w14:textId="77777777" w:rsidR="007C5BFB" w:rsidRDefault="007C5BFB" w:rsidP="007C5BFB">
      <w:r>
        <w:t>Rekovelle is to be administered with the Rekovelle injection pen. This is a non- sterile, reusable medical device designed for use with replacement cartridges of 3 mL capacity. The pens allow patients to set doses from 0.33 µg to 24.0 µg in increments of 0.33 µg.</w:t>
      </w:r>
    </w:p>
    <w:p w14:paraId="7E3848F9" w14:textId="77777777" w:rsidR="00070DCE" w:rsidRDefault="00070DCE" w:rsidP="0032324F">
      <w:r>
        <w:t xml:space="preserve">The active substance of Rekovelle is </w:t>
      </w:r>
      <w:r w:rsidR="005219CC">
        <w:t>follitropin</w:t>
      </w:r>
      <w:r>
        <w:t xml:space="preserve"> delta, a recombinant human follicle</w:t>
      </w:r>
      <w:r w:rsidR="00E40FC0">
        <w:t xml:space="preserve"> </w:t>
      </w:r>
      <w:r>
        <w:t>stimulating hormone (rFSH), which is manufactured via a human fetal retina</w:t>
      </w:r>
      <w:r w:rsidR="005219CC">
        <w:t>l cell line. This differs from f</w:t>
      </w:r>
      <w:r>
        <w:t xml:space="preserve">ollitropin alpha (Gonal-F) and </w:t>
      </w:r>
      <w:r w:rsidR="005219CC">
        <w:t>follitropin</w:t>
      </w:r>
      <w:r>
        <w:t xml:space="preserve"> beta (Puregon) which are manufactured via Chinese hamster ovary </w:t>
      </w:r>
      <w:r w:rsidR="00E40FC0">
        <w:t xml:space="preserve">(CHO) </w:t>
      </w:r>
      <w:r>
        <w:t>cell lines. FSH from human menopausal urine is also marketed in Australia.</w:t>
      </w:r>
    </w:p>
    <w:p w14:paraId="50546F72" w14:textId="77777777" w:rsidR="00070DCE" w:rsidRDefault="00070DCE" w:rsidP="0032324F">
      <w:r>
        <w:t xml:space="preserve">Due to differences in glycosylation profile, </w:t>
      </w:r>
      <w:r w:rsidR="005219CC">
        <w:t>follitropin</w:t>
      </w:r>
      <w:r>
        <w:t xml:space="preserve"> delta has lower clearance and induces a higher ovarian response than follitropin alpha when administered at equal doses of biological activity (IU).</w:t>
      </w:r>
    </w:p>
    <w:p w14:paraId="5244440D" w14:textId="77777777" w:rsidR="00070DCE" w:rsidRDefault="00070DCE" w:rsidP="0032324F">
      <w:r>
        <w:t xml:space="preserve">The manufacturer has therefore developed an individualised dosing algorithm, based on AMH levels and body weight. This was based on </w:t>
      </w:r>
      <w:r w:rsidR="00E40FC0">
        <w:t xml:space="preserve">a </w:t>
      </w:r>
      <w:r>
        <w:t>P</w:t>
      </w:r>
      <w:r w:rsidR="0032324F">
        <w:t>harmacokinetic (P</w:t>
      </w:r>
      <w:r>
        <w:t>K</w:t>
      </w:r>
      <w:r w:rsidR="0032324F">
        <w:t>)</w:t>
      </w:r>
      <w:r>
        <w:t>/</w:t>
      </w:r>
      <w:r w:rsidR="0032324F">
        <w:t>Pharmacodynamic (</w:t>
      </w:r>
      <w:r>
        <w:t>PD</w:t>
      </w:r>
      <w:r w:rsidR="0032324F">
        <w:t>)</w:t>
      </w:r>
      <w:r>
        <w:t xml:space="preserve"> simulation.</w:t>
      </w:r>
    </w:p>
    <w:p w14:paraId="1FF3862F" w14:textId="77777777" w:rsidR="00070DCE" w:rsidRDefault="00070DCE" w:rsidP="0032324F">
      <w:r>
        <w:t xml:space="preserve">AMH is a dimeric glycoprotein produced by granulosa cells of </w:t>
      </w:r>
      <w:r w:rsidR="005219CC">
        <w:t>prenatal</w:t>
      </w:r>
      <w:r>
        <w:t xml:space="preserve"> and early antral follicles. After an initial increase until early adulthood, levels decrease, becoming undetectable about 5 years before menopause. There is individual variation in the rate of the decrease.</w:t>
      </w:r>
    </w:p>
    <w:p w14:paraId="5C6F7C49" w14:textId="77777777" w:rsidR="00070DCE" w:rsidRDefault="00070DCE" w:rsidP="00070DCE">
      <w:r w:rsidRPr="00222CED">
        <w:t>Indication and dosing information for other exogenous FSH products marketed in Australia</w:t>
      </w:r>
      <w:r w:rsidR="00AA1E4B" w:rsidRPr="00222CED">
        <w:t xml:space="preserve"> </w:t>
      </w:r>
      <w:r w:rsidR="00222CED">
        <w:t xml:space="preserve">are shown below </w:t>
      </w:r>
      <w:r w:rsidR="00AA1E4B" w:rsidRPr="00222CED">
        <w:t>(Table 1).</w:t>
      </w:r>
    </w:p>
    <w:p w14:paraId="3BFFD3BD" w14:textId="77777777" w:rsidR="007C7F05" w:rsidRPr="00222CED" w:rsidRDefault="007C7F05" w:rsidP="007C7F05">
      <w:pPr>
        <w:pStyle w:val="TableTitle"/>
      </w:pPr>
      <w:r>
        <w:t>Table 1: Exogenous FSH products marketed in Australia</w:t>
      </w:r>
    </w:p>
    <w:tbl>
      <w:tblPr>
        <w:tblStyle w:val="TableTGAblue"/>
        <w:tblW w:w="0" w:type="auto"/>
        <w:tblLook w:val="04A0" w:firstRow="1" w:lastRow="0" w:firstColumn="1" w:lastColumn="0" w:noHBand="0" w:noVBand="1"/>
      </w:tblPr>
      <w:tblGrid>
        <w:gridCol w:w="2225"/>
        <w:gridCol w:w="2038"/>
        <w:gridCol w:w="4457"/>
      </w:tblGrid>
      <w:tr w:rsidR="00AA1E4B" w:rsidRPr="00371AC4" w14:paraId="3CF3E1F8" w14:textId="77777777" w:rsidTr="00222CED">
        <w:trPr>
          <w:cnfStyle w:val="100000000000" w:firstRow="1" w:lastRow="0" w:firstColumn="0" w:lastColumn="0" w:oddVBand="0" w:evenVBand="0" w:oddHBand="0" w:evenHBand="0" w:firstRowFirstColumn="0" w:firstRowLastColumn="0" w:lastRowFirstColumn="0" w:lastRowLastColumn="0"/>
        </w:trPr>
        <w:tc>
          <w:tcPr>
            <w:tcW w:w="2235" w:type="dxa"/>
          </w:tcPr>
          <w:p w14:paraId="606ABD9E" w14:textId="77777777" w:rsidR="00AA1E4B" w:rsidRPr="00371AC4" w:rsidRDefault="00AA1E4B" w:rsidP="00222CED">
            <w:pPr>
              <w:rPr>
                <w:sz w:val="20"/>
                <w:szCs w:val="20"/>
              </w:rPr>
            </w:pPr>
            <w:r w:rsidRPr="00371AC4">
              <w:rPr>
                <w:sz w:val="20"/>
                <w:szCs w:val="20"/>
              </w:rPr>
              <w:t>Drug name</w:t>
            </w:r>
          </w:p>
        </w:tc>
        <w:tc>
          <w:tcPr>
            <w:tcW w:w="1984" w:type="dxa"/>
          </w:tcPr>
          <w:p w14:paraId="79F94CEF" w14:textId="77777777" w:rsidR="00AA1E4B" w:rsidRPr="00371AC4" w:rsidRDefault="00AA1E4B" w:rsidP="00222CED">
            <w:pPr>
              <w:rPr>
                <w:sz w:val="20"/>
                <w:szCs w:val="20"/>
              </w:rPr>
            </w:pPr>
            <w:r w:rsidRPr="00371AC4">
              <w:rPr>
                <w:sz w:val="20"/>
                <w:szCs w:val="20"/>
              </w:rPr>
              <w:t>Indication</w:t>
            </w:r>
          </w:p>
        </w:tc>
        <w:tc>
          <w:tcPr>
            <w:tcW w:w="4501" w:type="dxa"/>
          </w:tcPr>
          <w:p w14:paraId="6C09544C" w14:textId="77777777" w:rsidR="00AA1E4B" w:rsidRPr="00371AC4" w:rsidRDefault="00AA1E4B" w:rsidP="00222CED">
            <w:pPr>
              <w:rPr>
                <w:sz w:val="20"/>
                <w:szCs w:val="20"/>
              </w:rPr>
            </w:pPr>
            <w:r w:rsidRPr="00371AC4">
              <w:rPr>
                <w:sz w:val="20"/>
                <w:szCs w:val="20"/>
              </w:rPr>
              <w:t>Dosage information as per PI</w:t>
            </w:r>
          </w:p>
        </w:tc>
      </w:tr>
      <w:tr w:rsidR="00AA1E4B" w:rsidRPr="00371AC4" w14:paraId="3518B6EE" w14:textId="77777777" w:rsidTr="00222CED">
        <w:tc>
          <w:tcPr>
            <w:tcW w:w="2235" w:type="dxa"/>
          </w:tcPr>
          <w:p w14:paraId="7330B265" w14:textId="77777777" w:rsidR="00AA1E4B" w:rsidRPr="00371AC4" w:rsidRDefault="00AA1E4B" w:rsidP="00222CED">
            <w:pPr>
              <w:rPr>
                <w:sz w:val="20"/>
                <w:szCs w:val="20"/>
              </w:rPr>
            </w:pPr>
            <w:r w:rsidRPr="00371AC4">
              <w:rPr>
                <w:sz w:val="20"/>
                <w:szCs w:val="20"/>
              </w:rPr>
              <w:t>Bemfola</w:t>
            </w:r>
          </w:p>
          <w:p w14:paraId="0BD23AC2" w14:textId="77777777" w:rsidR="00371AC4" w:rsidRDefault="00AA1E4B" w:rsidP="00222CED">
            <w:pPr>
              <w:rPr>
                <w:sz w:val="20"/>
                <w:szCs w:val="20"/>
              </w:rPr>
            </w:pPr>
            <w:r w:rsidRPr="00371AC4">
              <w:rPr>
                <w:sz w:val="20"/>
                <w:szCs w:val="20"/>
              </w:rPr>
              <w:t>Recombinant human follicle stimulating hormone (follitropin alfa (rch))</w:t>
            </w:r>
          </w:p>
          <w:p w14:paraId="6603F0EE" w14:textId="779E37DE" w:rsidR="007A628E" w:rsidRPr="00371AC4" w:rsidRDefault="007A628E" w:rsidP="00371AC4">
            <w:pPr>
              <w:rPr>
                <w:sz w:val="20"/>
                <w:szCs w:val="20"/>
              </w:rPr>
            </w:pPr>
            <w:r w:rsidRPr="00371AC4">
              <w:rPr>
                <w:sz w:val="20"/>
                <w:szCs w:val="20"/>
              </w:rPr>
              <w:t>Made in CHO cells</w:t>
            </w:r>
          </w:p>
        </w:tc>
        <w:tc>
          <w:tcPr>
            <w:tcW w:w="1984" w:type="dxa"/>
          </w:tcPr>
          <w:p w14:paraId="403EC53C" w14:textId="77777777" w:rsidR="00AA1E4B" w:rsidRPr="00371AC4" w:rsidRDefault="00AA1E4B" w:rsidP="00222CED">
            <w:pPr>
              <w:rPr>
                <w:sz w:val="20"/>
                <w:szCs w:val="20"/>
              </w:rPr>
            </w:pPr>
            <w:r w:rsidRPr="00371AC4">
              <w:rPr>
                <w:sz w:val="20"/>
                <w:szCs w:val="20"/>
              </w:rPr>
              <w:t>Controlled ovarian hyperstimulation in women undergoing assisted reproductive Technologies*</w:t>
            </w:r>
          </w:p>
        </w:tc>
        <w:tc>
          <w:tcPr>
            <w:tcW w:w="4501" w:type="dxa"/>
          </w:tcPr>
          <w:p w14:paraId="4321626B" w14:textId="77777777" w:rsidR="00AA1E4B" w:rsidRPr="00371AC4" w:rsidRDefault="00AA1E4B" w:rsidP="00222CED">
            <w:pPr>
              <w:rPr>
                <w:sz w:val="20"/>
                <w:szCs w:val="20"/>
              </w:rPr>
            </w:pPr>
            <w:r w:rsidRPr="00371AC4">
              <w:rPr>
                <w:i/>
                <w:sz w:val="20"/>
                <w:szCs w:val="20"/>
              </w:rPr>
              <w:t>Women undergoing Assisted Reproductive Technologies</w:t>
            </w:r>
            <w:r w:rsidRPr="00371AC4">
              <w:rPr>
                <w:sz w:val="20"/>
                <w:szCs w:val="20"/>
              </w:rPr>
              <w:t>: A commonly used regimen for superovulation involves the administration of 150 IU (11 microgram) to 225 IU (16.5 microgram) of Bemfola daily, commencing on days 2 or 3 of the cycle. Treatment is continued until adequate follicular development has been achieved (as assessed by monitoring of serum oestrogen concentrations and/or ultrasound examination), with the dose adjusted according to the patient's response, to usually not higher than 450 IU (33 microgram) daily.</w:t>
            </w:r>
          </w:p>
          <w:p w14:paraId="72C9719E" w14:textId="77777777" w:rsidR="00AA1E4B" w:rsidRPr="00371AC4" w:rsidRDefault="00AA1E4B" w:rsidP="00222CED">
            <w:pPr>
              <w:rPr>
                <w:sz w:val="20"/>
                <w:szCs w:val="20"/>
              </w:rPr>
            </w:pPr>
            <w:r w:rsidRPr="00371AC4">
              <w:rPr>
                <w:sz w:val="20"/>
                <w:szCs w:val="20"/>
              </w:rPr>
              <w:t>Down-regulation with either a GnRH agonist or antagonist is now commonly used in order to suppress the endogenous LH surge and to control tonic levels of LH. Dosage regimes should be customised in order to achieve the desired result. In a commonly used protocol Bemfola is started approximately 2 weeks after the start of agonist treatment, both being continued until adequate follicular development is achieved. For example, following two weeks treatment with an agonist, 225 IU (16.5 microgram) Bemfola is administered (subcutaneously) for the first 7 days. The dose is then adjusted according to the ovarian response.</w:t>
            </w:r>
          </w:p>
        </w:tc>
      </w:tr>
      <w:tr w:rsidR="00AA1E4B" w:rsidRPr="00371AC4" w14:paraId="21EB6D08" w14:textId="77777777" w:rsidTr="00222CED">
        <w:tc>
          <w:tcPr>
            <w:tcW w:w="2235" w:type="dxa"/>
          </w:tcPr>
          <w:p w14:paraId="102E9E1B" w14:textId="77777777" w:rsidR="00AA1E4B" w:rsidRPr="00371AC4" w:rsidRDefault="00FB403C" w:rsidP="00222CED">
            <w:pPr>
              <w:rPr>
                <w:sz w:val="20"/>
                <w:szCs w:val="20"/>
              </w:rPr>
            </w:pPr>
            <w:r w:rsidRPr="00371AC4">
              <w:rPr>
                <w:sz w:val="20"/>
                <w:szCs w:val="20"/>
              </w:rPr>
              <w:t>Gonal-F</w:t>
            </w:r>
          </w:p>
          <w:p w14:paraId="67743CE2" w14:textId="77777777" w:rsidR="00AA1E4B" w:rsidRPr="00371AC4" w:rsidRDefault="00AA1E4B" w:rsidP="00222CED">
            <w:pPr>
              <w:rPr>
                <w:sz w:val="20"/>
                <w:szCs w:val="20"/>
              </w:rPr>
            </w:pPr>
            <w:r w:rsidRPr="00371AC4">
              <w:rPr>
                <w:sz w:val="20"/>
                <w:szCs w:val="20"/>
              </w:rPr>
              <w:t>Recombinant human follicle stimulating hormone (follitropin alfa (rch)</w:t>
            </w:r>
          </w:p>
          <w:p w14:paraId="7150AA73" w14:textId="77777777" w:rsidR="007A628E" w:rsidRPr="00371AC4" w:rsidRDefault="007A628E" w:rsidP="00222CED">
            <w:pPr>
              <w:rPr>
                <w:sz w:val="20"/>
                <w:szCs w:val="20"/>
              </w:rPr>
            </w:pPr>
            <w:r w:rsidRPr="00371AC4">
              <w:rPr>
                <w:sz w:val="20"/>
                <w:szCs w:val="20"/>
              </w:rPr>
              <w:t>Made in CHO cells</w:t>
            </w:r>
          </w:p>
        </w:tc>
        <w:tc>
          <w:tcPr>
            <w:tcW w:w="1984" w:type="dxa"/>
          </w:tcPr>
          <w:p w14:paraId="3EA803C0" w14:textId="77777777" w:rsidR="00AA1E4B" w:rsidRPr="00371AC4" w:rsidRDefault="00AA1E4B" w:rsidP="00222CED">
            <w:pPr>
              <w:rPr>
                <w:sz w:val="20"/>
                <w:szCs w:val="20"/>
              </w:rPr>
            </w:pPr>
            <w:r w:rsidRPr="00371AC4">
              <w:rPr>
                <w:sz w:val="20"/>
                <w:szCs w:val="20"/>
              </w:rPr>
              <w:t>For controlled ovarian hyperstimulation in women undergoing assisted reproductive technologies*</w:t>
            </w:r>
          </w:p>
        </w:tc>
        <w:tc>
          <w:tcPr>
            <w:tcW w:w="4501" w:type="dxa"/>
          </w:tcPr>
          <w:p w14:paraId="4EA4ADE6" w14:textId="77777777" w:rsidR="00AA1E4B" w:rsidRPr="00371AC4" w:rsidRDefault="00AA1E4B" w:rsidP="00222CED">
            <w:pPr>
              <w:rPr>
                <w:sz w:val="20"/>
                <w:szCs w:val="20"/>
              </w:rPr>
            </w:pPr>
            <w:r w:rsidRPr="00371AC4">
              <w:rPr>
                <w:i/>
                <w:sz w:val="20"/>
                <w:szCs w:val="20"/>
              </w:rPr>
              <w:t>Women undergoing Assisted Reproductive Technologies</w:t>
            </w:r>
            <w:r w:rsidR="00F871BA" w:rsidRPr="00371AC4">
              <w:rPr>
                <w:i/>
                <w:sz w:val="20"/>
                <w:szCs w:val="20"/>
              </w:rPr>
              <w:t xml:space="preserve">:  </w:t>
            </w:r>
            <w:r w:rsidRPr="00371AC4">
              <w:rPr>
                <w:sz w:val="20"/>
                <w:szCs w:val="20"/>
              </w:rPr>
              <w:t xml:space="preserve">A commonly used regimen for superovulation involves the administration of 150 IU (10.92 microgram) to 225 IU (16.5 microgram) of </w:t>
            </w:r>
            <w:r w:rsidR="00FB403C" w:rsidRPr="00371AC4">
              <w:rPr>
                <w:sz w:val="20"/>
                <w:szCs w:val="20"/>
              </w:rPr>
              <w:t>Gonal-F</w:t>
            </w:r>
            <w:r w:rsidRPr="00371AC4">
              <w:rPr>
                <w:sz w:val="20"/>
                <w:szCs w:val="20"/>
              </w:rPr>
              <w:t xml:space="preserve"> daily, commencing on days 2 or 3 of the cycle. Treatment is continued until adequate follicular development has been achieved (as assessed by monitoring of serum oestrogen concentrations and/or ultrasound examination), with the dose adjusted according to the patient's response, to usually not higher than 450 IU (32.76 microgram) daily.</w:t>
            </w:r>
          </w:p>
          <w:p w14:paraId="1EB01F88" w14:textId="77777777" w:rsidR="00AA1E4B" w:rsidRPr="00371AC4" w:rsidRDefault="00AA1E4B" w:rsidP="00222CED">
            <w:pPr>
              <w:rPr>
                <w:sz w:val="20"/>
                <w:szCs w:val="20"/>
              </w:rPr>
            </w:pPr>
            <w:r w:rsidRPr="00371AC4">
              <w:rPr>
                <w:sz w:val="20"/>
                <w:szCs w:val="20"/>
              </w:rPr>
              <w:t xml:space="preserve">A single injection of 250 microgram r-hCG or 5000 IU up to 10,000 IU u-hCG is administered 24 – 48 hours after the last </w:t>
            </w:r>
            <w:r w:rsidR="00FB403C" w:rsidRPr="00371AC4">
              <w:rPr>
                <w:sz w:val="20"/>
                <w:szCs w:val="20"/>
              </w:rPr>
              <w:t>Gonal-F</w:t>
            </w:r>
            <w:r w:rsidRPr="00371AC4">
              <w:rPr>
                <w:sz w:val="20"/>
                <w:szCs w:val="20"/>
              </w:rPr>
              <w:t xml:space="preserve"> injection to induce final follicular maturation. In clinical trials, final follicular maturation was judged to be when at least two follicles were &gt; 16 mm mean diameter and when E2 levels were within the physician’s acceptable range for the number of follicles present.</w:t>
            </w:r>
          </w:p>
          <w:p w14:paraId="65B6691D" w14:textId="77777777" w:rsidR="00AA1E4B" w:rsidRPr="00371AC4" w:rsidRDefault="00AA1E4B" w:rsidP="00222CED">
            <w:pPr>
              <w:rPr>
                <w:sz w:val="20"/>
                <w:szCs w:val="20"/>
              </w:rPr>
            </w:pPr>
            <w:r w:rsidRPr="00371AC4">
              <w:rPr>
                <w:sz w:val="20"/>
                <w:szCs w:val="20"/>
              </w:rPr>
              <w:t xml:space="preserve">Down-regulation with either a GnRH agonist or antagonist is now commonly used in order to suppress the endogenous LH surge and to control tonic levels of LH. Dosage regimes should be customised in order to achieve the desired result. In a commonly used protocol </w:t>
            </w:r>
            <w:r w:rsidR="00FB403C" w:rsidRPr="00371AC4">
              <w:rPr>
                <w:sz w:val="20"/>
                <w:szCs w:val="20"/>
              </w:rPr>
              <w:t>Gonal-F</w:t>
            </w:r>
            <w:r w:rsidRPr="00371AC4">
              <w:rPr>
                <w:sz w:val="20"/>
                <w:szCs w:val="20"/>
              </w:rPr>
              <w:t xml:space="preserve"> is started approximately 2 weeks after the start of agonist treatment, both being continued until adequate follicular development is achieved. For example, following two weeks treatment with an agonist, 225 IU (16.5 microgram) </w:t>
            </w:r>
            <w:r w:rsidR="00FB403C" w:rsidRPr="00371AC4">
              <w:rPr>
                <w:sz w:val="20"/>
                <w:szCs w:val="20"/>
              </w:rPr>
              <w:t>Gonal-F</w:t>
            </w:r>
            <w:r w:rsidRPr="00371AC4">
              <w:rPr>
                <w:sz w:val="20"/>
                <w:szCs w:val="20"/>
              </w:rPr>
              <w:t xml:space="preserve"> is administered (subcutaneously) for the first 7 days. The dose is then adjusted according to the ovarian response.</w:t>
            </w:r>
          </w:p>
        </w:tc>
      </w:tr>
      <w:tr w:rsidR="00AA1E4B" w:rsidRPr="00371AC4" w14:paraId="5605235F" w14:textId="77777777" w:rsidTr="00222CED">
        <w:tc>
          <w:tcPr>
            <w:tcW w:w="2235" w:type="dxa"/>
          </w:tcPr>
          <w:p w14:paraId="5FC28A2C" w14:textId="77777777" w:rsidR="00AA1E4B" w:rsidRPr="00371AC4" w:rsidRDefault="00AA1E4B" w:rsidP="00222CED">
            <w:pPr>
              <w:rPr>
                <w:sz w:val="20"/>
                <w:szCs w:val="20"/>
              </w:rPr>
            </w:pPr>
            <w:r w:rsidRPr="00371AC4">
              <w:rPr>
                <w:sz w:val="20"/>
                <w:szCs w:val="20"/>
              </w:rPr>
              <w:t>Puregon</w:t>
            </w:r>
          </w:p>
          <w:p w14:paraId="453B91A7" w14:textId="77777777" w:rsidR="00AA1E4B" w:rsidRPr="00371AC4" w:rsidRDefault="00AA1E4B" w:rsidP="00222CED">
            <w:pPr>
              <w:rPr>
                <w:sz w:val="20"/>
                <w:szCs w:val="20"/>
              </w:rPr>
            </w:pPr>
            <w:r w:rsidRPr="00371AC4">
              <w:rPr>
                <w:sz w:val="20"/>
                <w:szCs w:val="20"/>
              </w:rPr>
              <w:t>Follitropin beta Recombinant human follicle stimulating hormone</w:t>
            </w:r>
          </w:p>
          <w:p w14:paraId="194F7B14" w14:textId="77777777" w:rsidR="007A628E" w:rsidRPr="00371AC4" w:rsidRDefault="007A628E" w:rsidP="00222CED">
            <w:pPr>
              <w:rPr>
                <w:sz w:val="20"/>
                <w:szCs w:val="20"/>
              </w:rPr>
            </w:pPr>
            <w:r w:rsidRPr="00371AC4">
              <w:rPr>
                <w:sz w:val="20"/>
                <w:szCs w:val="20"/>
              </w:rPr>
              <w:t>Made in CHO cells</w:t>
            </w:r>
          </w:p>
        </w:tc>
        <w:tc>
          <w:tcPr>
            <w:tcW w:w="1984" w:type="dxa"/>
          </w:tcPr>
          <w:p w14:paraId="193165B7" w14:textId="77777777" w:rsidR="00AA1E4B" w:rsidRPr="00371AC4" w:rsidRDefault="00AA1E4B" w:rsidP="00F871BA">
            <w:pPr>
              <w:rPr>
                <w:sz w:val="20"/>
                <w:szCs w:val="20"/>
              </w:rPr>
            </w:pPr>
            <w:r w:rsidRPr="00371AC4">
              <w:rPr>
                <w:sz w:val="20"/>
                <w:szCs w:val="20"/>
              </w:rPr>
              <w:t>Controlled ovarian hyperstimulation to induce the development of multiple follicles in medically assisted reproduction programs (e.g. in vitro fertilisation and related procedures).</w:t>
            </w:r>
          </w:p>
        </w:tc>
        <w:tc>
          <w:tcPr>
            <w:tcW w:w="4501" w:type="dxa"/>
          </w:tcPr>
          <w:p w14:paraId="1717E0D8" w14:textId="77777777" w:rsidR="00AA1E4B" w:rsidRPr="00371AC4" w:rsidRDefault="00F871BA" w:rsidP="00222CED">
            <w:pPr>
              <w:rPr>
                <w:sz w:val="20"/>
                <w:szCs w:val="20"/>
              </w:rPr>
            </w:pPr>
            <w:r w:rsidRPr="00371AC4">
              <w:rPr>
                <w:i/>
                <w:sz w:val="20"/>
                <w:szCs w:val="20"/>
              </w:rPr>
              <w:t>Controlled ovarian hyperstimulation in medically assisted reproduction programs</w:t>
            </w:r>
            <w:r w:rsidRPr="00371AC4">
              <w:rPr>
                <w:sz w:val="20"/>
                <w:szCs w:val="20"/>
              </w:rPr>
              <w:t xml:space="preserve">: </w:t>
            </w:r>
            <w:r w:rsidR="00AA1E4B" w:rsidRPr="00371AC4">
              <w:rPr>
                <w:sz w:val="20"/>
                <w:szCs w:val="20"/>
              </w:rPr>
              <w:t xml:space="preserve">Various stimulation protocols are applied. Stimulation of follicular growth is generally achieved by daily administration of 75-300 IU FSH. Puregon can be given either alone, or in combination with clomiphene citrate to stimulate the endogenous production of gonadotrophins, or in combination with a GnRH agonist, in particular to prevent premature </w:t>
            </w:r>
            <w:r w:rsidR="005219CC" w:rsidRPr="00371AC4">
              <w:rPr>
                <w:sz w:val="20"/>
                <w:szCs w:val="20"/>
              </w:rPr>
              <w:t>luteinisation</w:t>
            </w:r>
            <w:r w:rsidR="00AA1E4B" w:rsidRPr="00371AC4">
              <w:rPr>
                <w:sz w:val="20"/>
                <w:szCs w:val="20"/>
              </w:rPr>
              <w:t>.</w:t>
            </w:r>
          </w:p>
          <w:p w14:paraId="0A197D43" w14:textId="77777777" w:rsidR="00AA1E4B" w:rsidRPr="00371AC4" w:rsidRDefault="00AA1E4B" w:rsidP="00222CED">
            <w:pPr>
              <w:rPr>
                <w:sz w:val="20"/>
                <w:szCs w:val="20"/>
              </w:rPr>
            </w:pPr>
            <w:r w:rsidRPr="00371AC4">
              <w:rPr>
                <w:sz w:val="20"/>
                <w:szCs w:val="20"/>
              </w:rPr>
              <w:t>Maturation of follicles is monitored by ultrasound assessment. The concurrent determination of serum oestradiol levels may also be useful. When ultrasound assessment indicates the presence of at least three follicles of 16-20 mm, and there is evidence of a good oestradiol response (plasma levels of about 300-400 picogram/mL (1000-1300 pmol/L) for each follicle with a diameter greater than 18 mm), the final phase of maturation of the follicles is induced 30-40 hours after the last administration of Puregon by administration of hCG in a dose of 5000-10000 IU oocyte retrieval is performed 34-35 hours later.</w:t>
            </w:r>
          </w:p>
          <w:p w14:paraId="0EE72F10" w14:textId="77777777" w:rsidR="00AA1E4B" w:rsidRPr="00371AC4" w:rsidRDefault="00AA1E4B" w:rsidP="00222CED">
            <w:pPr>
              <w:rPr>
                <w:sz w:val="20"/>
                <w:szCs w:val="20"/>
              </w:rPr>
            </w:pPr>
            <w:r w:rsidRPr="00371AC4">
              <w:rPr>
                <w:sz w:val="20"/>
                <w:szCs w:val="20"/>
              </w:rPr>
              <w:t>After embryo transfer, up to three repeat injections of 1000 to 3000 IU hCG each may be given within the following 9 days to provide luteal phase support.</w:t>
            </w:r>
          </w:p>
        </w:tc>
      </w:tr>
      <w:tr w:rsidR="00AA1E4B" w:rsidRPr="00371AC4" w14:paraId="00C642B8" w14:textId="77777777" w:rsidTr="00222CED">
        <w:tc>
          <w:tcPr>
            <w:tcW w:w="2235" w:type="dxa"/>
          </w:tcPr>
          <w:p w14:paraId="1E2AD3F2" w14:textId="77777777" w:rsidR="00AA1E4B" w:rsidRPr="00371AC4" w:rsidRDefault="00222CED" w:rsidP="00222CED">
            <w:pPr>
              <w:rPr>
                <w:sz w:val="20"/>
                <w:szCs w:val="20"/>
              </w:rPr>
            </w:pPr>
            <w:r w:rsidRPr="00371AC4">
              <w:rPr>
                <w:sz w:val="20"/>
                <w:szCs w:val="20"/>
              </w:rPr>
              <w:t>Elonva</w:t>
            </w:r>
          </w:p>
        </w:tc>
        <w:tc>
          <w:tcPr>
            <w:tcW w:w="1984" w:type="dxa"/>
          </w:tcPr>
          <w:p w14:paraId="6C11BBFC" w14:textId="77777777" w:rsidR="00AA1E4B" w:rsidRPr="00371AC4" w:rsidRDefault="00222CED" w:rsidP="00222CED">
            <w:pPr>
              <w:rPr>
                <w:sz w:val="20"/>
                <w:szCs w:val="20"/>
              </w:rPr>
            </w:pPr>
            <w:r w:rsidRPr="00371AC4">
              <w:rPr>
                <w:sz w:val="20"/>
                <w:szCs w:val="20"/>
              </w:rPr>
              <w:t>Controlled Ovarian Stimulation (COS) for the development of multiple follicles and pregnancy in women undergoing in-vitro fertilisation techniques.</w:t>
            </w:r>
          </w:p>
        </w:tc>
        <w:tc>
          <w:tcPr>
            <w:tcW w:w="4501" w:type="dxa"/>
          </w:tcPr>
          <w:p w14:paraId="7F65A0EA" w14:textId="77777777" w:rsidR="00222CED" w:rsidRPr="00371AC4" w:rsidRDefault="00222CED" w:rsidP="00222CED">
            <w:pPr>
              <w:rPr>
                <w:sz w:val="20"/>
                <w:szCs w:val="20"/>
              </w:rPr>
            </w:pPr>
            <w:r w:rsidRPr="00371AC4">
              <w:rPr>
                <w:sz w:val="20"/>
                <w:szCs w:val="20"/>
              </w:rPr>
              <w:t>In the treatment of women of reproductive age, the dose of Elonva is based on weight and age.</w:t>
            </w:r>
          </w:p>
          <w:p w14:paraId="78DB2046" w14:textId="77777777" w:rsidR="00222CED" w:rsidRPr="00371AC4" w:rsidRDefault="00222CED" w:rsidP="00222CED">
            <w:pPr>
              <w:rPr>
                <w:sz w:val="20"/>
                <w:szCs w:val="20"/>
              </w:rPr>
            </w:pPr>
            <w:r w:rsidRPr="00371AC4">
              <w:rPr>
                <w:sz w:val="20"/>
                <w:szCs w:val="20"/>
              </w:rPr>
              <w:t>A single 100-microgram dose is recommended in women who weigh less than or equal to 60 kilograms and who are 36 years of age or younger.</w:t>
            </w:r>
          </w:p>
          <w:p w14:paraId="09721398" w14:textId="77777777" w:rsidR="00222CED" w:rsidRPr="00371AC4" w:rsidRDefault="00222CED" w:rsidP="00222CED">
            <w:pPr>
              <w:rPr>
                <w:sz w:val="20"/>
                <w:szCs w:val="20"/>
              </w:rPr>
            </w:pPr>
            <w:r w:rsidRPr="00371AC4">
              <w:rPr>
                <w:sz w:val="20"/>
                <w:szCs w:val="20"/>
              </w:rPr>
              <w:t>A single 150-microgram dose is recommended in women:</w:t>
            </w:r>
          </w:p>
          <w:p w14:paraId="786672ED" w14:textId="77777777" w:rsidR="00222CED" w:rsidRPr="00371AC4" w:rsidRDefault="005219CC" w:rsidP="00222CED">
            <w:pPr>
              <w:rPr>
                <w:sz w:val="20"/>
                <w:szCs w:val="20"/>
              </w:rPr>
            </w:pPr>
            <w:r w:rsidRPr="00371AC4">
              <w:rPr>
                <w:sz w:val="20"/>
                <w:szCs w:val="20"/>
              </w:rPr>
              <w:t>Who</w:t>
            </w:r>
            <w:r w:rsidR="00222CED" w:rsidRPr="00371AC4">
              <w:rPr>
                <w:sz w:val="20"/>
                <w:szCs w:val="20"/>
              </w:rPr>
              <w:t xml:space="preserve"> weigh more than 60 kilograms, regardless of </w:t>
            </w:r>
            <w:proofErr w:type="gramStart"/>
            <w:r w:rsidR="00222CED" w:rsidRPr="00371AC4">
              <w:rPr>
                <w:sz w:val="20"/>
                <w:szCs w:val="20"/>
              </w:rPr>
              <w:t>age.</w:t>
            </w:r>
            <w:proofErr w:type="gramEnd"/>
          </w:p>
          <w:p w14:paraId="0D53DD98" w14:textId="77777777" w:rsidR="00AA1E4B" w:rsidRPr="00371AC4" w:rsidRDefault="005219CC" w:rsidP="00222CED">
            <w:pPr>
              <w:rPr>
                <w:sz w:val="20"/>
                <w:szCs w:val="20"/>
              </w:rPr>
            </w:pPr>
            <w:r w:rsidRPr="00371AC4">
              <w:rPr>
                <w:sz w:val="20"/>
                <w:szCs w:val="20"/>
              </w:rPr>
              <w:t>Who</w:t>
            </w:r>
            <w:r w:rsidR="00222CED" w:rsidRPr="00371AC4">
              <w:rPr>
                <w:sz w:val="20"/>
                <w:szCs w:val="20"/>
              </w:rPr>
              <w:t xml:space="preserve"> weigh 50 kilograms or more and who are older than 36 years of </w:t>
            </w:r>
            <w:proofErr w:type="gramStart"/>
            <w:r w:rsidR="00222CED" w:rsidRPr="00371AC4">
              <w:rPr>
                <w:sz w:val="20"/>
                <w:szCs w:val="20"/>
              </w:rPr>
              <w:t>age.</w:t>
            </w:r>
            <w:proofErr w:type="gramEnd"/>
          </w:p>
          <w:p w14:paraId="6568CE7B" w14:textId="77777777" w:rsidR="00222CED" w:rsidRPr="00371AC4" w:rsidRDefault="00222CED" w:rsidP="00222CED">
            <w:pPr>
              <w:rPr>
                <w:sz w:val="20"/>
                <w:szCs w:val="20"/>
              </w:rPr>
            </w:pPr>
            <w:r w:rsidRPr="00371AC4">
              <w:rPr>
                <w:sz w:val="20"/>
                <w:szCs w:val="20"/>
              </w:rPr>
              <w:t>Women older than 36 years of age who weighed less than 50 kilograms were not studied.</w:t>
            </w:r>
          </w:p>
        </w:tc>
      </w:tr>
    </w:tbl>
    <w:p w14:paraId="50FA2DE3" w14:textId="77777777" w:rsidR="00D20DD5" w:rsidRDefault="00D20DD5" w:rsidP="00704FAF">
      <w:pPr>
        <w:pStyle w:val="Heading5"/>
        <w:rPr>
          <w:lang w:eastAsia="ja-JP"/>
        </w:rPr>
      </w:pPr>
      <w:r w:rsidRPr="00B543B1">
        <w:rPr>
          <w:lang w:eastAsia="ja-JP"/>
        </w:rPr>
        <w:t>Infertility</w:t>
      </w:r>
    </w:p>
    <w:p w14:paraId="28BF3B47" w14:textId="77777777" w:rsidR="00D20DD5" w:rsidRDefault="00D20DD5" w:rsidP="00841F6D">
      <w:pPr>
        <w:rPr>
          <w:lang w:eastAsia="ja-JP"/>
        </w:rPr>
      </w:pPr>
      <w:r>
        <w:rPr>
          <w:lang w:eastAsia="ja-JP"/>
        </w:rPr>
        <w:t>The prevalence of infertility in Australia varies with the population studied. For example, in young married couples the prevalence is in the order of 6</w:t>
      </w:r>
      <w:r w:rsidR="00704FAF">
        <w:rPr>
          <w:lang w:eastAsia="ja-JP"/>
        </w:rPr>
        <w:t xml:space="preserve"> to </w:t>
      </w:r>
      <w:r>
        <w:rPr>
          <w:lang w:eastAsia="ja-JP"/>
        </w:rPr>
        <w:t>10% whereas in couples where the women is &gt; 40years it is in the order of 17</w:t>
      </w:r>
      <w:r w:rsidR="00704FAF">
        <w:rPr>
          <w:lang w:eastAsia="ja-JP"/>
        </w:rPr>
        <w:t xml:space="preserve"> to </w:t>
      </w:r>
      <w:r>
        <w:rPr>
          <w:lang w:eastAsia="ja-JP"/>
        </w:rPr>
        <w:t>30%.</w:t>
      </w:r>
    </w:p>
    <w:p w14:paraId="7E12F257" w14:textId="77777777" w:rsidR="00371AC4" w:rsidRDefault="00D20DD5" w:rsidP="00841F6D">
      <w:pPr>
        <w:rPr>
          <w:lang w:eastAsia="ja-JP"/>
        </w:rPr>
      </w:pPr>
      <w:r>
        <w:rPr>
          <w:lang w:eastAsia="ja-JP"/>
        </w:rPr>
        <w:t>Australia has the third highest rate of ART in the world (954 cy</w:t>
      </w:r>
      <w:r w:rsidR="00704FAF">
        <w:rPr>
          <w:lang w:eastAsia="ja-JP"/>
        </w:rPr>
        <w:t>c</w:t>
      </w:r>
      <w:r>
        <w:rPr>
          <w:lang w:eastAsia="ja-JP"/>
        </w:rPr>
        <w:t>les per 100 000 women of reproductive age), largely due to the financial support given by the government. According to the 2007 data, 3.1% of babies born in Australia are as a result of ART</w:t>
      </w:r>
      <w:r w:rsidR="00371AC4">
        <w:rPr>
          <w:lang w:eastAsia="ja-JP"/>
        </w:rPr>
        <w:t>.</w:t>
      </w:r>
    </w:p>
    <w:p w14:paraId="1F494789" w14:textId="7DC4B2F9" w:rsidR="00D20DD5" w:rsidRDefault="00D20DD5" w:rsidP="00841F6D">
      <w:pPr>
        <w:rPr>
          <w:lang w:eastAsia="ja-JP"/>
        </w:rPr>
      </w:pPr>
      <w:r w:rsidRPr="00D62F62">
        <w:rPr>
          <w:lang w:eastAsia="ja-JP"/>
        </w:rPr>
        <w:t xml:space="preserve">In </w:t>
      </w:r>
      <w:r>
        <w:rPr>
          <w:lang w:eastAsia="ja-JP"/>
        </w:rPr>
        <w:t xml:space="preserve">Australia in </w:t>
      </w:r>
      <w:r w:rsidRPr="00D62F62">
        <w:rPr>
          <w:lang w:eastAsia="ja-JP"/>
        </w:rPr>
        <w:t xml:space="preserve">2010, there were </w:t>
      </w:r>
      <w:r>
        <w:rPr>
          <w:lang w:eastAsia="ja-JP"/>
        </w:rPr>
        <w:t>56 489 ART cycles in 30 588 women. The average age of women undergoing autologous cycles was 36 years. Of these, approximately 23.9% resulted in a clinical pregnancy and 18.1% in a live delivery.</w:t>
      </w:r>
    </w:p>
    <w:p w14:paraId="565936C7" w14:textId="77777777" w:rsidR="00371AC4" w:rsidRDefault="00D20DD5" w:rsidP="00841F6D">
      <w:pPr>
        <w:rPr>
          <w:lang w:eastAsia="ja-JP"/>
        </w:rPr>
      </w:pPr>
      <w:r>
        <w:rPr>
          <w:lang w:eastAsia="ja-JP"/>
        </w:rPr>
        <w:t>Thus, infertility is a common condition and drugs used to treat this condition will be commonly used</w:t>
      </w:r>
      <w:r w:rsidR="00371AC4">
        <w:rPr>
          <w:lang w:eastAsia="ja-JP"/>
        </w:rPr>
        <w:t>.</w:t>
      </w:r>
    </w:p>
    <w:p w14:paraId="0C595CF6" w14:textId="37E7E56C" w:rsidR="00D20DD5" w:rsidRPr="00B543B1" w:rsidRDefault="00D20DD5" w:rsidP="00704FAF">
      <w:pPr>
        <w:pStyle w:val="Heading5"/>
        <w:rPr>
          <w:lang w:eastAsia="ja-JP"/>
        </w:rPr>
      </w:pPr>
      <w:r w:rsidRPr="00B543B1">
        <w:rPr>
          <w:lang w:eastAsia="ja-JP"/>
        </w:rPr>
        <w:t>A</w:t>
      </w:r>
      <w:r>
        <w:rPr>
          <w:lang w:eastAsia="ja-JP"/>
        </w:rPr>
        <w:t xml:space="preserve">ssisted </w:t>
      </w:r>
      <w:r w:rsidR="00371AC4" w:rsidRPr="00B543B1">
        <w:rPr>
          <w:lang w:eastAsia="ja-JP"/>
        </w:rPr>
        <w:t>r</w:t>
      </w:r>
      <w:r w:rsidR="00371AC4">
        <w:rPr>
          <w:lang w:eastAsia="ja-JP"/>
        </w:rPr>
        <w:t xml:space="preserve">eproductive </w:t>
      </w:r>
      <w:r w:rsidR="00371AC4" w:rsidRPr="00B543B1">
        <w:rPr>
          <w:lang w:eastAsia="ja-JP"/>
        </w:rPr>
        <w:t>t</w:t>
      </w:r>
      <w:r w:rsidR="00371AC4">
        <w:rPr>
          <w:lang w:eastAsia="ja-JP"/>
        </w:rPr>
        <w:t>echnology</w:t>
      </w:r>
    </w:p>
    <w:p w14:paraId="791F03B6" w14:textId="77777777" w:rsidR="00371AC4" w:rsidRDefault="00D20DD5" w:rsidP="00841F6D">
      <w:pPr>
        <w:rPr>
          <w:lang w:eastAsia="ja-JP"/>
        </w:rPr>
      </w:pPr>
      <w:r>
        <w:rPr>
          <w:lang w:eastAsia="ja-JP"/>
        </w:rPr>
        <w:t xml:space="preserve">Controlled ovarian stimulation with gonadotropins aims to obtain an adequate number of competent oocytes to be used for ART procedure with minimal risk for the woman. The dose of gonadotropins influences the magnitude of the ovarian response and therefore the risk for iatrogenic conditions such as ovarian hyperstimulation syndrome (OHSS). There is a wide variability in ovarian response across patients given the same dose of gonadotropin. Administering the same dose to someone with low ovarian </w:t>
      </w:r>
      <w:r w:rsidR="00574C5F">
        <w:rPr>
          <w:lang w:eastAsia="ja-JP"/>
        </w:rPr>
        <w:t xml:space="preserve">reserve </w:t>
      </w:r>
      <w:r>
        <w:rPr>
          <w:lang w:eastAsia="ja-JP"/>
        </w:rPr>
        <w:t xml:space="preserve">could result in low efficacy but the same dose in someone with high ovarian reserve could result in OHSS. The </w:t>
      </w:r>
      <w:r w:rsidR="00704FAF">
        <w:rPr>
          <w:lang w:eastAsia="ja-JP"/>
        </w:rPr>
        <w:t>National Institute for Health and Excellence (</w:t>
      </w:r>
      <w:r>
        <w:rPr>
          <w:lang w:eastAsia="ja-JP"/>
        </w:rPr>
        <w:t>NICE</w:t>
      </w:r>
      <w:r w:rsidR="00704FAF">
        <w:rPr>
          <w:lang w:eastAsia="ja-JP"/>
        </w:rPr>
        <w:t>)</w:t>
      </w:r>
      <w:r>
        <w:rPr>
          <w:lang w:eastAsia="ja-JP"/>
        </w:rPr>
        <w:t xml:space="preserve"> guidelines from the </w:t>
      </w:r>
      <w:r w:rsidR="00704FAF">
        <w:rPr>
          <w:lang w:eastAsia="ja-JP"/>
        </w:rPr>
        <w:t>United Kingdom (</w:t>
      </w:r>
      <w:r>
        <w:rPr>
          <w:lang w:eastAsia="ja-JP"/>
        </w:rPr>
        <w:t>UK</w:t>
      </w:r>
      <w:r w:rsidR="00704FAF">
        <w:rPr>
          <w:lang w:eastAsia="ja-JP"/>
        </w:rPr>
        <w:t>)</w:t>
      </w:r>
      <w:r>
        <w:rPr>
          <w:lang w:eastAsia="ja-JP"/>
        </w:rPr>
        <w:t xml:space="preserve"> recommend considering individualised starting doses of gonadotropins by using predictive factors such as patient characteristics and diagnostic markers of ovarian reserve. Serum AMH has been established as the preferred predictor of ovarian response to exogenous gonadotropins</w:t>
      </w:r>
      <w:r w:rsidR="00371AC4">
        <w:rPr>
          <w:lang w:eastAsia="ja-JP"/>
        </w:rPr>
        <w:t>.</w:t>
      </w:r>
    </w:p>
    <w:p w14:paraId="2CE8B8F9" w14:textId="77777777" w:rsidR="00371AC4" w:rsidRDefault="00D20DD5" w:rsidP="00841F6D">
      <w:pPr>
        <w:rPr>
          <w:lang w:eastAsia="ja-JP"/>
        </w:rPr>
      </w:pPr>
      <w:r>
        <w:rPr>
          <w:lang w:eastAsia="ja-JP"/>
        </w:rPr>
        <w:t>The most common reason for a failure of an IVF cycle is failure of implantation. This may be due to poor quality embryo or a problem with the uterus and lining. Of these, poor quality embryos are the major cause. The incidence of chromosomal abnormalities in mature eggs increases with age</w:t>
      </w:r>
      <w:r w:rsidR="00371AC4">
        <w:rPr>
          <w:lang w:eastAsia="ja-JP"/>
        </w:rPr>
        <w:t>.</w:t>
      </w:r>
    </w:p>
    <w:p w14:paraId="4430080E" w14:textId="77777777" w:rsidR="00371AC4" w:rsidRDefault="00D20DD5" w:rsidP="00A95869">
      <w:pPr>
        <w:rPr>
          <w:lang w:eastAsia="ja-JP"/>
        </w:rPr>
      </w:pPr>
      <w:r w:rsidRPr="00BE5D83">
        <w:rPr>
          <w:lang w:eastAsia="ja-JP"/>
        </w:rPr>
        <w:t>It is usual practice in IVF clinical to investigate causes of male and female infertility. This involves a history, examination, blood tests and investigations. Testing AMH levels is commonly done as part of this work up</w:t>
      </w:r>
      <w:r w:rsidR="00371AC4">
        <w:rPr>
          <w:lang w:eastAsia="ja-JP"/>
        </w:rPr>
        <w:t>.</w:t>
      </w:r>
    </w:p>
    <w:p w14:paraId="78AE48FF" w14:textId="770CE166" w:rsidR="008E7846" w:rsidRPr="003F31A2" w:rsidRDefault="00386150" w:rsidP="008E7846">
      <w:pPr>
        <w:pStyle w:val="Heading3"/>
      </w:pPr>
      <w:bookmarkStart w:id="15" w:name="_Toc314842485"/>
      <w:bookmarkStart w:id="16" w:name="_Toc247691504"/>
      <w:bookmarkStart w:id="17" w:name="_Toc497744244"/>
      <w:r>
        <w:t>Regulatory s</w:t>
      </w:r>
      <w:r w:rsidR="008E7846">
        <w:t>tatus</w:t>
      </w:r>
      <w:bookmarkEnd w:id="15"/>
      <w:bookmarkEnd w:id="16"/>
      <w:bookmarkEnd w:id="17"/>
    </w:p>
    <w:p w14:paraId="5133521A" w14:textId="77777777" w:rsidR="00070DCE" w:rsidRDefault="00A95869" w:rsidP="00A95869">
      <w:bookmarkStart w:id="18" w:name="_Toc247691505"/>
      <w:bookmarkStart w:id="19" w:name="_Toc314842486"/>
      <w:r>
        <w:t>The current product is a new biological entity and was first registered on the Australian Register of Therapeutic Goods on the 31 March 2017.</w:t>
      </w:r>
    </w:p>
    <w:p w14:paraId="38E185D7" w14:textId="77777777" w:rsidR="00070DCE" w:rsidRDefault="004421A0" w:rsidP="00070DCE">
      <w:r>
        <w:t>It was approved in the European Union (</w:t>
      </w:r>
      <w:r w:rsidR="00070DCE">
        <w:t>EU</w:t>
      </w:r>
      <w:r>
        <w:t xml:space="preserve">) in </w:t>
      </w:r>
      <w:r w:rsidR="00070DCE">
        <w:t>Dec</w:t>
      </w:r>
      <w:r>
        <w:t>ember</w:t>
      </w:r>
      <w:r w:rsidR="00070DCE">
        <w:t xml:space="preserve"> 2016</w:t>
      </w:r>
      <w:r>
        <w:t xml:space="preserve"> for</w:t>
      </w:r>
      <w:r w:rsidR="000B0D1D">
        <w:t xml:space="preserve"> </w:t>
      </w:r>
      <w:r w:rsidR="00070DCE" w:rsidRPr="004421A0">
        <w:rPr>
          <w:i/>
        </w:rPr>
        <w:t>Controlled ovarian stimulation for the development of multiple follicles in women undergoing assisted reproductive technologies (ART) such as an in vitro fertilisation (IVF) or intracytoplasmic sperm injection (ICSI) cycle. There is no clinical trial experience with Rekovelle in the long GnRH agonist protocol</w:t>
      </w:r>
      <w:r w:rsidR="00070DCE">
        <w:t>.</w:t>
      </w:r>
    </w:p>
    <w:p w14:paraId="3ED84D24" w14:textId="77777777" w:rsidR="004421A0" w:rsidRDefault="004421A0" w:rsidP="004421A0">
      <w:r>
        <w:t xml:space="preserve">A </w:t>
      </w:r>
      <w:r w:rsidR="008E4B42">
        <w:t xml:space="preserve">similar </w:t>
      </w:r>
      <w:r>
        <w:t>submission ha</w:t>
      </w:r>
      <w:r w:rsidR="008E4B42">
        <w:t>s</w:t>
      </w:r>
      <w:r>
        <w:t xml:space="preserve"> also been made to HealthCanada</w:t>
      </w:r>
      <w:r w:rsidR="007A628E">
        <w:t>.</w:t>
      </w:r>
    </w:p>
    <w:p w14:paraId="0B143539" w14:textId="77777777" w:rsidR="008E7846" w:rsidRDefault="008E7846" w:rsidP="00940A89">
      <w:pPr>
        <w:pStyle w:val="Heading3"/>
      </w:pPr>
      <w:bookmarkStart w:id="20" w:name="_Toc497744245"/>
      <w:r>
        <w:t>Product Information</w:t>
      </w:r>
      <w:bookmarkEnd w:id="18"/>
      <w:bookmarkEnd w:id="19"/>
      <w:bookmarkEnd w:id="20"/>
    </w:p>
    <w:p w14:paraId="214A88B3" w14:textId="77777777" w:rsidR="00940A89" w:rsidRDefault="006136D7" w:rsidP="00940A89">
      <w:pPr>
        <w:rPr>
          <w:b/>
          <w:bCs/>
        </w:rPr>
      </w:pPr>
      <w:bookmarkStart w:id="21" w:name="_Toc247691506"/>
      <w:bookmarkStart w:id="22"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436B0F52" w14:textId="77777777" w:rsidR="008E7846" w:rsidRDefault="008E7846" w:rsidP="008E7846">
      <w:pPr>
        <w:pStyle w:val="Heading2"/>
        <w:ind w:left="-11"/>
      </w:pPr>
      <w:bookmarkStart w:id="23" w:name="_Toc497744246"/>
      <w:r>
        <w:t>II. Quality</w:t>
      </w:r>
      <w:bookmarkEnd w:id="1"/>
      <w:r>
        <w:t xml:space="preserve"> findings</w:t>
      </w:r>
      <w:bookmarkEnd w:id="21"/>
      <w:bookmarkEnd w:id="22"/>
      <w:bookmarkEnd w:id="23"/>
    </w:p>
    <w:p w14:paraId="7D37A3E3" w14:textId="65817081" w:rsidR="00D20DD5" w:rsidRDefault="004421A0" w:rsidP="00D20DD5">
      <w:pPr>
        <w:rPr>
          <w:lang w:eastAsia="ja-JP"/>
        </w:rPr>
      </w:pPr>
      <w:r>
        <w:rPr>
          <w:lang w:eastAsia="ja-JP"/>
        </w:rPr>
        <w:t>Rekovelle</w:t>
      </w:r>
      <w:r w:rsidR="000B0D1D">
        <w:rPr>
          <w:lang w:eastAsia="ja-JP"/>
        </w:rPr>
        <w:t xml:space="preserve"> </w:t>
      </w:r>
      <w:r w:rsidR="00D20DD5">
        <w:rPr>
          <w:lang w:eastAsia="ja-JP"/>
        </w:rPr>
        <w:t>is expressed from a host cell line of human fetal retinal origin (PER.C6).</w:t>
      </w:r>
      <w:r w:rsidR="0029127C">
        <w:rPr>
          <w:lang w:eastAsia="ja-JP"/>
        </w:rPr>
        <w:t xml:space="preserve"> </w:t>
      </w:r>
      <w:r w:rsidR="00D20DD5">
        <w:rPr>
          <w:lang w:eastAsia="ja-JP"/>
        </w:rPr>
        <w:t xml:space="preserve">The selected cell line was genetically engineered to contain genes coding for equal amounts of </w:t>
      </w:r>
      <w:proofErr w:type="gramStart"/>
      <w:r w:rsidR="00D20DD5">
        <w:rPr>
          <w:lang w:eastAsia="ja-JP"/>
        </w:rPr>
        <w:t>the α</w:t>
      </w:r>
      <w:proofErr w:type="gramEnd"/>
      <w:r w:rsidR="00D20DD5">
        <w:rPr>
          <w:lang w:eastAsia="ja-JP"/>
        </w:rPr>
        <w:t xml:space="preserve"> and β-FSH subunits and for a sialyl transferase enzyme.</w:t>
      </w:r>
    </w:p>
    <w:p w14:paraId="5A973945" w14:textId="77777777" w:rsidR="00D20DD5" w:rsidRDefault="00D20DD5" w:rsidP="00D20DD5">
      <w:pPr>
        <w:rPr>
          <w:lang w:eastAsia="ja-JP"/>
        </w:rPr>
      </w:pPr>
      <w:r>
        <w:rPr>
          <w:lang w:eastAsia="ja-JP"/>
        </w:rPr>
        <w:t xml:space="preserve">In humans, daily multiple dose administration of identical </w:t>
      </w:r>
      <w:r w:rsidR="007F063B">
        <w:rPr>
          <w:lang w:eastAsia="ja-JP"/>
        </w:rPr>
        <w:t>international units (</w:t>
      </w:r>
      <w:r>
        <w:rPr>
          <w:lang w:eastAsia="ja-JP"/>
        </w:rPr>
        <w:t>IU</w:t>
      </w:r>
      <w:r w:rsidR="007F063B">
        <w:rPr>
          <w:lang w:eastAsia="ja-JP"/>
        </w:rPr>
        <w:t>)</w:t>
      </w:r>
      <w:r>
        <w:rPr>
          <w:lang w:eastAsia="ja-JP"/>
        </w:rPr>
        <w:t xml:space="preserve"> units of </w:t>
      </w:r>
      <w:r w:rsidR="004421A0">
        <w:rPr>
          <w:lang w:eastAsia="ja-JP"/>
        </w:rPr>
        <w:t>Rekovelle</w:t>
      </w:r>
      <w:r>
        <w:rPr>
          <w:lang w:eastAsia="ja-JP"/>
        </w:rPr>
        <w:t xml:space="preserve"> and </w:t>
      </w:r>
      <w:r w:rsidR="00FB403C">
        <w:rPr>
          <w:lang w:eastAsia="ja-JP"/>
        </w:rPr>
        <w:t>Gonal-F</w:t>
      </w:r>
      <w:r>
        <w:rPr>
          <w:lang w:eastAsia="ja-JP"/>
        </w:rPr>
        <w:t xml:space="preserve"> resulted in different </w:t>
      </w:r>
      <w:r w:rsidR="007A628E">
        <w:rPr>
          <w:lang w:eastAsia="ja-JP"/>
        </w:rPr>
        <w:t>pharmacokinetic (</w:t>
      </w:r>
      <w:r>
        <w:rPr>
          <w:lang w:eastAsia="ja-JP"/>
        </w:rPr>
        <w:t>PK</w:t>
      </w:r>
      <w:r w:rsidR="007A628E">
        <w:rPr>
          <w:lang w:eastAsia="ja-JP"/>
        </w:rPr>
        <w:t>)</w:t>
      </w:r>
      <w:r>
        <w:rPr>
          <w:lang w:eastAsia="ja-JP"/>
        </w:rPr>
        <w:t xml:space="preserve"> profiles and </w:t>
      </w:r>
      <w:r w:rsidR="007A628E">
        <w:rPr>
          <w:lang w:eastAsia="ja-JP"/>
        </w:rPr>
        <w:t>pharmacodynamic (</w:t>
      </w:r>
      <w:r>
        <w:rPr>
          <w:lang w:eastAsia="ja-JP"/>
        </w:rPr>
        <w:t>PD</w:t>
      </w:r>
      <w:r w:rsidR="007A628E">
        <w:rPr>
          <w:lang w:eastAsia="ja-JP"/>
        </w:rPr>
        <w:t>)</w:t>
      </w:r>
      <w:r>
        <w:rPr>
          <w:lang w:eastAsia="ja-JP"/>
        </w:rPr>
        <w:t xml:space="preserve"> effects. The consistent drug protein quality profile supported the use of the protein content (expressed in </w:t>
      </w:r>
      <w:r w:rsidR="004421A0" w:rsidRPr="004421A0">
        <w:rPr>
          <w:lang w:eastAsia="ja-JP"/>
        </w:rPr>
        <w:t>µg</w:t>
      </w:r>
      <w:r>
        <w:rPr>
          <w:lang w:eastAsia="ja-JP"/>
        </w:rPr>
        <w:t>) to define the dose.</w:t>
      </w:r>
    </w:p>
    <w:p w14:paraId="767CE501" w14:textId="77777777" w:rsidR="008E7846" w:rsidRDefault="008E7846" w:rsidP="00940A89">
      <w:pPr>
        <w:pStyle w:val="Heading3"/>
      </w:pPr>
      <w:bookmarkStart w:id="24" w:name="_Toc247691507"/>
      <w:bookmarkStart w:id="25" w:name="_Toc314842488"/>
      <w:bookmarkStart w:id="26" w:name="_Toc497744247"/>
      <w:r w:rsidRPr="008751DC">
        <w:t xml:space="preserve">Drug </w:t>
      </w:r>
      <w:r>
        <w:t>s</w:t>
      </w:r>
      <w:r w:rsidRPr="008751DC">
        <w:t>ubstance</w:t>
      </w:r>
      <w:r>
        <w:t xml:space="preserve"> (active ingredient)</w:t>
      </w:r>
      <w:bookmarkEnd w:id="24"/>
      <w:bookmarkEnd w:id="25"/>
      <w:bookmarkEnd w:id="26"/>
    </w:p>
    <w:p w14:paraId="306A4882" w14:textId="77777777" w:rsidR="00C83E85" w:rsidRPr="0030484B" w:rsidRDefault="00C83E85" w:rsidP="00C83E85">
      <w:pPr>
        <w:spacing w:line="240" w:lineRule="auto"/>
      </w:pPr>
      <w:r>
        <w:rPr>
          <w:rFonts w:asciiTheme="minorHAnsi" w:hAnsiTheme="minorHAnsi"/>
        </w:rPr>
        <w:t>The</w:t>
      </w:r>
      <w:r w:rsidRPr="0030484B">
        <w:rPr>
          <w:rFonts w:asciiTheme="minorHAnsi" w:hAnsiTheme="minorHAnsi"/>
        </w:rPr>
        <w:t xml:space="preserve"> drug substance is a clear or slightly turbid colourless solution.</w:t>
      </w:r>
    </w:p>
    <w:p w14:paraId="786C617D" w14:textId="77777777" w:rsidR="00C83E85" w:rsidRPr="0030484B" w:rsidRDefault="00C83E85" w:rsidP="00C83E85">
      <w:pPr>
        <w:spacing w:line="240" w:lineRule="auto"/>
        <w:ind w:right="-284"/>
        <w:rPr>
          <w:rFonts w:asciiTheme="minorHAnsi" w:hAnsiTheme="minorHAnsi"/>
        </w:rPr>
      </w:pPr>
      <w:r w:rsidRPr="0013789B">
        <w:t xml:space="preserve">All manufacturing steps </w:t>
      </w:r>
      <w:r>
        <w:t>have been</w:t>
      </w:r>
      <w:r w:rsidRPr="0013789B">
        <w:t xml:space="preserve"> fully validated.</w:t>
      </w:r>
    </w:p>
    <w:p w14:paraId="70E4F670" w14:textId="77777777" w:rsidR="0013789B" w:rsidRPr="000D0A7E" w:rsidRDefault="0013789B" w:rsidP="004421A0">
      <w:pPr>
        <w:pStyle w:val="Heading4"/>
      </w:pPr>
      <w:bookmarkStart w:id="27" w:name="_Toc433780707"/>
      <w:r w:rsidRPr="000D0A7E">
        <w:t>Structure</w:t>
      </w:r>
      <w:bookmarkEnd w:id="27"/>
    </w:p>
    <w:p w14:paraId="1ACF149C" w14:textId="77777777" w:rsidR="007A628E" w:rsidRDefault="0013789B" w:rsidP="0013789B">
      <w:pPr>
        <w:ind w:right="-284"/>
        <w:rPr>
          <w:rFonts w:asciiTheme="minorHAnsi" w:hAnsiTheme="minorHAnsi"/>
        </w:rPr>
      </w:pPr>
      <w:bookmarkStart w:id="28" w:name="_Toc433780708"/>
      <w:r w:rsidRPr="0030484B">
        <w:rPr>
          <w:rFonts w:asciiTheme="minorHAnsi" w:hAnsiTheme="minorHAnsi"/>
        </w:rPr>
        <w:t>The amino acid sequence</w:t>
      </w:r>
      <w:r>
        <w:rPr>
          <w:rFonts w:asciiTheme="minorHAnsi" w:hAnsiTheme="minorHAnsi"/>
        </w:rPr>
        <w:t>s</w:t>
      </w:r>
      <w:r w:rsidRPr="0030484B">
        <w:rPr>
          <w:rFonts w:asciiTheme="minorHAnsi" w:hAnsiTheme="minorHAnsi"/>
        </w:rPr>
        <w:t xml:space="preserve"> for both </w:t>
      </w:r>
      <w:r>
        <w:rPr>
          <w:rFonts w:asciiTheme="minorHAnsi" w:hAnsiTheme="minorHAnsi"/>
        </w:rPr>
        <w:t>α</w:t>
      </w:r>
      <w:r w:rsidRPr="0030484B">
        <w:rPr>
          <w:rFonts w:asciiTheme="minorHAnsi" w:hAnsiTheme="minorHAnsi"/>
        </w:rPr>
        <w:t xml:space="preserve"> and </w:t>
      </w:r>
      <w:r>
        <w:rPr>
          <w:rFonts w:asciiTheme="minorHAnsi" w:hAnsiTheme="minorHAnsi"/>
        </w:rPr>
        <w:t>β</w:t>
      </w:r>
      <w:r w:rsidRPr="0030484B">
        <w:rPr>
          <w:rFonts w:asciiTheme="minorHAnsi" w:hAnsiTheme="minorHAnsi"/>
        </w:rPr>
        <w:t xml:space="preserve"> subunits of </w:t>
      </w:r>
      <w:r w:rsidR="004421A0">
        <w:rPr>
          <w:rFonts w:asciiTheme="minorHAnsi" w:hAnsiTheme="minorHAnsi"/>
        </w:rPr>
        <w:t>Rekovelle</w:t>
      </w:r>
      <w:r w:rsidRPr="0030484B">
        <w:rPr>
          <w:rFonts w:asciiTheme="minorHAnsi" w:hAnsiTheme="minorHAnsi"/>
        </w:rPr>
        <w:t xml:space="preserve"> drug su</w:t>
      </w:r>
      <w:r>
        <w:rPr>
          <w:rFonts w:asciiTheme="minorHAnsi" w:hAnsiTheme="minorHAnsi"/>
        </w:rPr>
        <w:t>bstance (DS), follitropin delta</w:t>
      </w:r>
      <w:r w:rsidRPr="0030484B">
        <w:rPr>
          <w:rFonts w:asciiTheme="minorHAnsi" w:hAnsiTheme="minorHAnsi"/>
        </w:rPr>
        <w:t xml:space="preserve"> </w:t>
      </w:r>
      <w:r>
        <w:rPr>
          <w:rFonts w:asciiTheme="minorHAnsi" w:hAnsiTheme="minorHAnsi"/>
        </w:rPr>
        <w:t xml:space="preserve">are identical to those for </w:t>
      </w:r>
      <w:r w:rsidRPr="0030484B">
        <w:rPr>
          <w:rFonts w:asciiTheme="minorHAnsi" w:hAnsiTheme="minorHAnsi"/>
        </w:rPr>
        <w:t>endogenous human FSH and to th</w:t>
      </w:r>
      <w:r>
        <w:rPr>
          <w:rFonts w:asciiTheme="minorHAnsi" w:hAnsiTheme="minorHAnsi"/>
        </w:rPr>
        <w:t>ose of</w:t>
      </w:r>
      <w:r w:rsidR="004421A0">
        <w:rPr>
          <w:rFonts w:asciiTheme="minorHAnsi" w:hAnsiTheme="minorHAnsi"/>
        </w:rPr>
        <w:t xml:space="preserve"> existing CHO </w:t>
      </w:r>
      <w:r w:rsidRPr="0030484B">
        <w:rPr>
          <w:rFonts w:asciiTheme="minorHAnsi" w:hAnsiTheme="minorHAnsi"/>
        </w:rPr>
        <w:t>derived</w:t>
      </w:r>
      <w:r>
        <w:rPr>
          <w:rFonts w:asciiTheme="minorHAnsi" w:hAnsiTheme="minorHAnsi"/>
        </w:rPr>
        <w:t xml:space="preserve"> </w:t>
      </w:r>
      <w:r w:rsidRPr="0030484B">
        <w:rPr>
          <w:rFonts w:asciiTheme="minorHAnsi" w:hAnsiTheme="minorHAnsi"/>
        </w:rPr>
        <w:t>recombinant FSH products. The glycosylation profile of recombinant proteins is dependent on the</w:t>
      </w:r>
      <w:r>
        <w:rPr>
          <w:rFonts w:asciiTheme="minorHAnsi" w:hAnsiTheme="minorHAnsi"/>
        </w:rPr>
        <w:t xml:space="preserve"> </w:t>
      </w:r>
      <w:r w:rsidRPr="0030484B">
        <w:rPr>
          <w:rFonts w:asciiTheme="minorHAnsi" w:hAnsiTheme="minorHAnsi"/>
        </w:rPr>
        <w:t>expressing cell line a</w:t>
      </w:r>
      <w:r w:rsidR="007A628E">
        <w:rPr>
          <w:rFonts w:asciiTheme="minorHAnsi" w:hAnsiTheme="minorHAnsi"/>
        </w:rPr>
        <w:t>nd the cell culture conditions.</w:t>
      </w:r>
    </w:p>
    <w:p w14:paraId="15566A22" w14:textId="626CFC20" w:rsidR="0013789B" w:rsidRDefault="004421A0" w:rsidP="0013789B">
      <w:pPr>
        <w:ind w:right="-284"/>
        <w:rPr>
          <w:rFonts w:asciiTheme="minorHAnsi" w:hAnsiTheme="minorHAnsi"/>
        </w:rPr>
      </w:pPr>
      <w:r>
        <w:rPr>
          <w:rFonts w:asciiTheme="minorHAnsi" w:hAnsiTheme="minorHAnsi"/>
        </w:rPr>
        <w:t>Rekovelle</w:t>
      </w:r>
      <w:r w:rsidR="0013789B" w:rsidRPr="0030484B">
        <w:rPr>
          <w:rFonts w:asciiTheme="minorHAnsi" w:hAnsiTheme="minorHAnsi"/>
        </w:rPr>
        <w:t xml:space="preserve"> contains both </w:t>
      </w:r>
      <w:r w:rsidR="0013789B">
        <w:rPr>
          <w:rFonts w:asciiTheme="minorHAnsi" w:hAnsiTheme="minorHAnsi"/>
        </w:rPr>
        <w:t>α</w:t>
      </w:r>
      <w:r w:rsidR="0013789B" w:rsidRPr="0030484B">
        <w:rPr>
          <w:rFonts w:asciiTheme="minorHAnsi" w:hAnsiTheme="minorHAnsi"/>
        </w:rPr>
        <w:t>2</w:t>
      </w:r>
      <w:proofErr w:type="gramStart"/>
      <w:r w:rsidR="0013789B">
        <w:rPr>
          <w:rFonts w:asciiTheme="minorHAnsi" w:hAnsiTheme="minorHAnsi"/>
        </w:rPr>
        <w:t>,</w:t>
      </w:r>
      <w:r w:rsidR="0013789B" w:rsidRPr="0030484B">
        <w:rPr>
          <w:rFonts w:asciiTheme="minorHAnsi" w:hAnsiTheme="minorHAnsi"/>
        </w:rPr>
        <w:t>3</w:t>
      </w:r>
      <w:proofErr w:type="gramEnd"/>
      <w:r w:rsidR="0013789B" w:rsidRPr="0030484B">
        <w:rPr>
          <w:rFonts w:asciiTheme="minorHAnsi" w:hAnsiTheme="minorHAnsi"/>
        </w:rPr>
        <w:t xml:space="preserve"> and </w:t>
      </w:r>
      <w:r w:rsidR="0029127C">
        <w:rPr>
          <w:rFonts w:asciiTheme="minorHAnsi" w:hAnsiTheme="minorHAnsi"/>
        </w:rPr>
        <w:t>α</w:t>
      </w:r>
      <w:r w:rsidR="0029127C" w:rsidDel="0029127C">
        <w:rPr>
          <w:rFonts w:asciiTheme="minorHAnsi" w:hAnsiTheme="minorHAnsi"/>
        </w:rPr>
        <w:t xml:space="preserve"> </w:t>
      </w:r>
      <w:r w:rsidR="0013789B" w:rsidRPr="0030484B">
        <w:rPr>
          <w:rFonts w:asciiTheme="minorHAnsi" w:hAnsiTheme="minorHAnsi"/>
        </w:rPr>
        <w:t>2,6</w:t>
      </w:r>
      <w:r w:rsidR="0013789B">
        <w:rPr>
          <w:rFonts w:asciiTheme="minorHAnsi" w:hAnsiTheme="minorHAnsi"/>
        </w:rPr>
        <w:t xml:space="preserve"> </w:t>
      </w:r>
      <w:r w:rsidR="0013789B" w:rsidRPr="0030484B">
        <w:rPr>
          <w:rFonts w:asciiTheme="minorHAnsi" w:hAnsiTheme="minorHAnsi"/>
        </w:rPr>
        <w:t>sialylation patterns while CHO-derived</w:t>
      </w:r>
      <w:r w:rsidR="000B0D1D">
        <w:rPr>
          <w:rFonts w:asciiTheme="minorHAnsi" w:hAnsiTheme="minorHAnsi"/>
        </w:rPr>
        <w:t xml:space="preserve"> </w:t>
      </w:r>
      <w:r w:rsidR="0013789B" w:rsidRPr="0030484B">
        <w:rPr>
          <w:rFonts w:asciiTheme="minorHAnsi" w:hAnsiTheme="minorHAnsi"/>
        </w:rPr>
        <w:t xml:space="preserve">rFSH products exclusively carry </w:t>
      </w:r>
      <w:r w:rsidR="0013789B">
        <w:rPr>
          <w:rFonts w:asciiTheme="minorHAnsi" w:hAnsiTheme="minorHAnsi"/>
        </w:rPr>
        <w:t>α</w:t>
      </w:r>
      <w:r w:rsidR="0013789B" w:rsidRPr="0030484B">
        <w:rPr>
          <w:rFonts w:asciiTheme="minorHAnsi" w:hAnsiTheme="minorHAnsi"/>
        </w:rPr>
        <w:t>2,3 linked sialic acid. This</w:t>
      </w:r>
      <w:r w:rsidR="0013789B">
        <w:rPr>
          <w:rFonts w:asciiTheme="minorHAnsi" w:hAnsiTheme="minorHAnsi"/>
        </w:rPr>
        <w:t xml:space="preserve"> </w:t>
      </w:r>
      <w:r w:rsidR="0013789B" w:rsidRPr="0030484B">
        <w:rPr>
          <w:rFonts w:asciiTheme="minorHAnsi" w:hAnsiTheme="minorHAnsi"/>
        </w:rPr>
        <w:t>difference contributes to the observed differences in glycosylation profiles between</w:t>
      </w:r>
      <w:r w:rsidR="0013789B">
        <w:rPr>
          <w:rFonts w:asciiTheme="minorHAnsi" w:hAnsiTheme="minorHAnsi"/>
        </w:rPr>
        <w:t xml:space="preserve"> </w:t>
      </w:r>
      <w:r>
        <w:rPr>
          <w:rFonts w:asciiTheme="minorHAnsi" w:hAnsiTheme="minorHAnsi"/>
        </w:rPr>
        <w:t>Rekovelle</w:t>
      </w:r>
      <w:r w:rsidR="007A628E">
        <w:rPr>
          <w:rFonts w:asciiTheme="minorHAnsi" w:hAnsiTheme="minorHAnsi"/>
        </w:rPr>
        <w:t xml:space="preserve"> and CHO </w:t>
      </w:r>
      <w:r w:rsidR="0013789B" w:rsidRPr="0030484B">
        <w:rPr>
          <w:rFonts w:asciiTheme="minorHAnsi" w:hAnsiTheme="minorHAnsi"/>
        </w:rPr>
        <w:t xml:space="preserve">derived rFSH products. </w:t>
      </w:r>
      <w:r w:rsidR="0013789B">
        <w:rPr>
          <w:rFonts w:asciiTheme="minorHAnsi" w:hAnsiTheme="minorHAnsi"/>
        </w:rPr>
        <w:t>Because of these differences</w:t>
      </w:r>
      <w:r w:rsidR="0013789B" w:rsidRPr="0030484B">
        <w:rPr>
          <w:rFonts w:asciiTheme="minorHAnsi" w:hAnsiTheme="minorHAnsi"/>
        </w:rPr>
        <w:t xml:space="preserve"> some of the pharma</w:t>
      </w:r>
      <w:r w:rsidR="0013789B">
        <w:rPr>
          <w:rFonts w:asciiTheme="minorHAnsi" w:hAnsiTheme="minorHAnsi"/>
        </w:rPr>
        <w:t>c</w:t>
      </w:r>
      <w:r w:rsidR="0013789B" w:rsidRPr="0030484B">
        <w:rPr>
          <w:rFonts w:asciiTheme="minorHAnsi" w:hAnsiTheme="minorHAnsi"/>
        </w:rPr>
        <w:t>opoeial specifications in</w:t>
      </w:r>
      <w:r w:rsidR="0013789B">
        <w:rPr>
          <w:rFonts w:asciiTheme="minorHAnsi" w:hAnsiTheme="minorHAnsi"/>
        </w:rPr>
        <w:t xml:space="preserve"> </w:t>
      </w:r>
      <w:r w:rsidR="0013789B" w:rsidRPr="0030484B">
        <w:rPr>
          <w:rFonts w:asciiTheme="minorHAnsi" w:hAnsiTheme="minorHAnsi"/>
        </w:rPr>
        <w:t>the follitropin monograph (</w:t>
      </w:r>
      <w:r w:rsidR="0012091C">
        <w:rPr>
          <w:rFonts w:asciiTheme="minorHAnsi" w:hAnsiTheme="minorHAnsi"/>
        </w:rPr>
        <w:t>European Pharmacopeia (</w:t>
      </w:r>
      <w:r w:rsidR="0013789B" w:rsidRPr="0030484B">
        <w:rPr>
          <w:rFonts w:asciiTheme="minorHAnsi" w:hAnsiTheme="minorHAnsi"/>
        </w:rPr>
        <w:t>Ph.Eur.</w:t>
      </w:r>
      <w:r w:rsidR="0012091C">
        <w:rPr>
          <w:rFonts w:asciiTheme="minorHAnsi" w:hAnsiTheme="minorHAnsi"/>
        </w:rPr>
        <w:t>)</w:t>
      </w:r>
      <w:r w:rsidR="0013789B">
        <w:rPr>
          <w:rFonts w:asciiTheme="minorHAnsi" w:hAnsiTheme="minorHAnsi"/>
        </w:rPr>
        <w:t>) cannot be applied to R</w:t>
      </w:r>
      <w:r>
        <w:rPr>
          <w:rFonts w:asciiTheme="minorHAnsi" w:hAnsiTheme="minorHAnsi"/>
        </w:rPr>
        <w:t>ekovelle</w:t>
      </w:r>
      <w:r w:rsidR="002E0403">
        <w:rPr>
          <w:rFonts w:asciiTheme="minorHAnsi" w:hAnsiTheme="minorHAnsi"/>
        </w:rPr>
        <w:t xml:space="preserve"> (see more under Specifications below)</w:t>
      </w:r>
      <w:r w:rsidR="0013789B">
        <w:rPr>
          <w:rFonts w:asciiTheme="minorHAnsi" w:hAnsiTheme="minorHAnsi"/>
        </w:rPr>
        <w:t>.</w:t>
      </w:r>
    </w:p>
    <w:p w14:paraId="2F325C71" w14:textId="77777777" w:rsidR="008E4B42" w:rsidRDefault="008E4B42" w:rsidP="008E4B42">
      <w:pPr>
        <w:ind w:right="-284"/>
        <w:rPr>
          <w:rFonts w:asciiTheme="minorHAnsi" w:hAnsiTheme="minorHAnsi"/>
        </w:rPr>
      </w:pPr>
      <w:r>
        <w:rPr>
          <w:rFonts w:asciiTheme="minorHAnsi" w:hAnsiTheme="minorHAnsi"/>
        </w:rPr>
        <w:t>Rekovelle</w:t>
      </w:r>
      <w:r w:rsidRPr="0030484B">
        <w:rPr>
          <w:rFonts w:asciiTheme="minorHAnsi" w:hAnsiTheme="minorHAnsi"/>
        </w:rPr>
        <w:t xml:space="preserve"> is a heterodimer composed of one α and one β subunit. The molecular weights (determined by mass spectrometry as monoisotopic mass) of the</w:t>
      </w:r>
      <w:r>
        <w:rPr>
          <w:rFonts w:asciiTheme="minorHAnsi" w:hAnsiTheme="minorHAnsi"/>
        </w:rPr>
        <w:t xml:space="preserve"> </w:t>
      </w:r>
      <w:r w:rsidRPr="0030484B">
        <w:rPr>
          <w:rFonts w:asciiTheme="minorHAnsi" w:hAnsiTheme="minorHAnsi"/>
        </w:rPr>
        <w:t>de</w:t>
      </w:r>
      <w:r>
        <w:rPr>
          <w:rFonts w:asciiTheme="minorHAnsi" w:hAnsiTheme="minorHAnsi"/>
        </w:rPr>
        <w:t>-</w:t>
      </w:r>
      <w:r w:rsidRPr="0030484B">
        <w:rPr>
          <w:rFonts w:asciiTheme="minorHAnsi" w:hAnsiTheme="minorHAnsi"/>
        </w:rPr>
        <w:t>glycosylated amino acid alkylated backbones of α and β subunits are 10,779 and 13,173</w:t>
      </w:r>
      <w:r>
        <w:rPr>
          <w:rFonts w:asciiTheme="minorHAnsi" w:hAnsiTheme="minorHAnsi"/>
        </w:rPr>
        <w:t xml:space="preserve"> </w:t>
      </w:r>
      <w:r w:rsidRPr="0030484B">
        <w:rPr>
          <w:rFonts w:asciiTheme="minorHAnsi" w:hAnsiTheme="minorHAnsi"/>
        </w:rPr>
        <w:t>Daltons</w:t>
      </w:r>
      <w:r>
        <w:rPr>
          <w:rFonts w:asciiTheme="minorHAnsi" w:hAnsiTheme="minorHAnsi"/>
        </w:rPr>
        <w:t xml:space="preserve"> (Da)</w:t>
      </w:r>
      <w:r w:rsidRPr="0030484B">
        <w:rPr>
          <w:rFonts w:asciiTheme="minorHAnsi" w:hAnsiTheme="minorHAnsi"/>
        </w:rPr>
        <w:t xml:space="preserve">, respectively. Expected </w:t>
      </w:r>
      <w:r>
        <w:rPr>
          <w:rFonts w:asciiTheme="minorHAnsi" w:hAnsiTheme="minorHAnsi"/>
        </w:rPr>
        <w:t>molecular weight (</w:t>
      </w:r>
      <w:r w:rsidRPr="0030484B">
        <w:rPr>
          <w:rFonts w:asciiTheme="minorHAnsi" w:hAnsiTheme="minorHAnsi"/>
        </w:rPr>
        <w:t>MW</w:t>
      </w:r>
      <w:r>
        <w:rPr>
          <w:rFonts w:asciiTheme="minorHAnsi" w:hAnsiTheme="minorHAnsi"/>
        </w:rPr>
        <w:t>)</w:t>
      </w:r>
      <w:r w:rsidRPr="0030484B">
        <w:rPr>
          <w:rFonts w:asciiTheme="minorHAnsi" w:hAnsiTheme="minorHAnsi"/>
        </w:rPr>
        <w:t xml:space="preserve"> values are inclusive of an additional 57 Da per alkylated</w:t>
      </w:r>
      <w:r>
        <w:rPr>
          <w:rFonts w:asciiTheme="minorHAnsi" w:hAnsiTheme="minorHAnsi"/>
        </w:rPr>
        <w:t xml:space="preserve"> c</w:t>
      </w:r>
      <w:r w:rsidRPr="0030484B">
        <w:rPr>
          <w:rFonts w:asciiTheme="minorHAnsi" w:hAnsiTheme="minorHAnsi"/>
        </w:rPr>
        <w:t>ysteine residue in subunit α (10 cysteines) and subunit β (12 cysteines). The average</w:t>
      </w:r>
      <w:r>
        <w:rPr>
          <w:rFonts w:asciiTheme="minorHAnsi" w:hAnsiTheme="minorHAnsi"/>
        </w:rPr>
        <w:t xml:space="preserve"> </w:t>
      </w:r>
      <w:r w:rsidRPr="0030484B">
        <w:rPr>
          <w:rFonts w:asciiTheme="minorHAnsi" w:hAnsiTheme="minorHAnsi"/>
        </w:rPr>
        <w:t>molecular</w:t>
      </w:r>
      <w:r>
        <w:rPr>
          <w:rFonts w:asciiTheme="minorHAnsi" w:hAnsiTheme="minorHAnsi"/>
        </w:rPr>
        <w:t xml:space="preserve"> </w:t>
      </w:r>
      <w:r w:rsidRPr="0030484B">
        <w:rPr>
          <w:rFonts w:asciiTheme="minorHAnsi" w:hAnsiTheme="minorHAnsi"/>
        </w:rPr>
        <w:t>weights of the glycosylated α and β subunits determined by MALDI-ToF-MS are approximately</w:t>
      </w:r>
      <w:r>
        <w:rPr>
          <w:rFonts w:asciiTheme="minorHAnsi" w:hAnsiTheme="minorHAnsi"/>
        </w:rPr>
        <w:t xml:space="preserve"> </w:t>
      </w:r>
      <w:r w:rsidRPr="0030484B">
        <w:rPr>
          <w:rFonts w:asciiTheme="minorHAnsi" w:hAnsiTheme="minorHAnsi"/>
        </w:rPr>
        <w:t>15,200 and 18,500 Daltons, respectively. Thus, approximately 40 % of the total molecular weight</w:t>
      </w:r>
      <w:r>
        <w:rPr>
          <w:rFonts w:asciiTheme="minorHAnsi" w:hAnsiTheme="minorHAnsi"/>
        </w:rPr>
        <w:t xml:space="preserve"> </w:t>
      </w:r>
      <w:r w:rsidRPr="0030484B">
        <w:rPr>
          <w:rFonts w:asciiTheme="minorHAnsi" w:hAnsiTheme="minorHAnsi"/>
        </w:rPr>
        <w:t>of the molecule is due to glycosylation.</w:t>
      </w:r>
    </w:p>
    <w:p w14:paraId="3A111678" w14:textId="77777777" w:rsidR="0013789B" w:rsidRDefault="0013789B" w:rsidP="0013789B">
      <w:pPr>
        <w:ind w:right="-284"/>
        <w:rPr>
          <w:rFonts w:asciiTheme="minorHAnsi" w:hAnsiTheme="minorHAnsi"/>
        </w:rPr>
      </w:pPr>
      <w:r w:rsidRPr="00183858">
        <w:rPr>
          <w:rFonts w:asciiTheme="minorHAnsi" w:hAnsiTheme="minorHAnsi"/>
        </w:rPr>
        <w:t>The molecular formula and average formula weight of the protein backbone (reduced, non</w:t>
      </w:r>
      <w:r>
        <w:rPr>
          <w:rFonts w:asciiTheme="minorHAnsi" w:hAnsiTheme="minorHAnsi"/>
        </w:rPr>
        <w:t>-</w:t>
      </w:r>
      <w:r w:rsidRPr="00183858">
        <w:rPr>
          <w:rFonts w:asciiTheme="minorHAnsi" w:hAnsiTheme="minorHAnsi"/>
        </w:rPr>
        <w:t>alkylated)</w:t>
      </w:r>
      <w:r>
        <w:rPr>
          <w:rFonts w:asciiTheme="minorHAnsi" w:hAnsiTheme="minorHAnsi"/>
        </w:rPr>
        <w:t xml:space="preserve"> </w:t>
      </w:r>
      <w:r w:rsidRPr="00183858">
        <w:rPr>
          <w:rFonts w:asciiTheme="minorHAnsi" w:hAnsiTheme="minorHAnsi"/>
        </w:rPr>
        <w:t>for α and β subunits are shown below:</w:t>
      </w:r>
    </w:p>
    <w:p w14:paraId="3C97D502" w14:textId="77777777" w:rsidR="0013789B" w:rsidRPr="00183858" w:rsidRDefault="0013789B" w:rsidP="0013789B">
      <w:pPr>
        <w:rPr>
          <w:rFonts w:asciiTheme="minorHAnsi" w:hAnsiTheme="minorHAnsi"/>
        </w:rPr>
      </w:pPr>
      <w:proofErr w:type="gramStart"/>
      <w:r w:rsidRPr="0030484B">
        <w:rPr>
          <w:rFonts w:asciiTheme="minorHAnsi" w:hAnsiTheme="minorHAnsi"/>
          <w:b/>
        </w:rPr>
        <w:t>α</w:t>
      </w:r>
      <w:proofErr w:type="gramEnd"/>
      <w:r w:rsidRPr="0030484B">
        <w:rPr>
          <w:rFonts w:asciiTheme="minorHAnsi" w:hAnsiTheme="minorHAnsi"/>
          <w:b/>
        </w:rPr>
        <w:t xml:space="preserve"> subunit:</w:t>
      </w:r>
      <w:r w:rsidRPr="00183858">
        <w:rPr>
          <w:rFonts w:asciiTheme="minorHAnsi" w:hAnsiTheme="minorHAnsi"/>
        </w:rPr>
        <w:t xml:space="preserve"> C</w:t>
      </w:r>
      <w:r w:rsidRPr="002E195B">
        <w:rPr>
          <w:rFonts w:asciiTheme="minorHAnsi" w:hAnsiTheme="minorHAnsi"/>
          <w:b/>
          <w:vertAlign w:val="subscript"/>
        </w:rPr>
        <w:t>437</w:t>
      </w:r>
      <w:r w:rsidRPr="00183858">
        <w:rPr>
          <w:rFonts w:asciiTheme="minorHAnsi" w:hAnsiTheme="minorHAnsi"/>
        </w:rPr>
        <w:t>H</w:t>
      </w:r>
      <w:r w:rsidRPr="002E195B">
        <w:rPr>
          <w:rFonts w:asciiTheme="minorHAnsi" w:hAnsiTheme="minorHAnsi"/>
          <w:b/>
          <w:vertAlign w:val="subscript"/>
        </w:rPr>
        <w:t>682</w:t>
      </w:r>
      <w:r w:rsidRPr="00183858">
        <w:rPr>
          <w:rFonts w:asciiTheme="minorHAnsi" w:hAnsiTheme="minorHAnsi"/>
        </w:rPr>
        <w:t>N</w:t>
      </w:r>
      <w:r w:rsidRPr="002E195B">
        <w:rPr>
          <w:rFonts w:asciiTheme="minorHAnsi" w:hAnsiTheme="minorHAnsi"/>
          <w:b/>
          <w:vertAlign w:val="subscript"/>
        </w:rPr>
        <w:t>122</w:t>
      </w:r>
      <w:r w:rsidRPr="00183858">
        <w:rPr>
          <w:rFonts w:asciiTheme="minorHAnsi" w:hAnsiTheme="minorHAnsi"/>
        </w:rPr>
        <w:t>O</w:t>
      </w:r>
      <w:r w:rsidRPr="002E195B">
        <w:rPr>
          <w:rFonts w:asciiTheme="minorHAnsi" w:hAnsiTheme="minorHAnsi"/>
          <w:b/>
          <w:vertAlign w:val="subscript"/>
        </w:rPr>
        <w:t>134</w:t>
      </w:r>
      <w:r w:rsidRPr="00183858">
        <w:rPr>
          <w:rFonts w:asciiTheme="minorHAnsi" w:hAnsiTheme="minorHAnsi"/>
        </w:rPr>
        <w:t>S</w:t>
      </w:r>
      <w:r w:rsidRPr="002E195B">
        <w:rPr>
          <w:rFonts w:asciiTheme="minorHAnsi" w:hAnsiTheme="minorHAnsi"/>
          <w:b/>
          <w:vertAlign w:val="subscript"/>
        </w:rPr>
        <w:t>13</w:t>
      </w:r>
      <w:r w:rsidRPr="00183858">
        <w:rPr>
          <w:rFonts w:asciiTheme="minorHAnsi" w:hAnsiTheme="minorHAnsi"/>
        </w:rPr>
        <w:t>; 10,206 Da</w:t>
      </w:r>
    </w:p>
    <w:p w14:paraId="27D37848" w14:textId="77777777" w:rsidR="0013789B" w:rsidRDefault="0013789B" w:rsidP="0013789B">
      <w:pPr>
        <w:rPr>
          <w:rFonts w:asciiTheme="minorHAnsi" w:hAnsiTheme="minorHAnsi"/>
        </w:rPr>
      </w:pPr>
      <w:proofErr w:type="gramStart"/>
      <w:r w:rsidRPr="0030484B">
        <w:rPr>
          <w:rFonts w:asciiTheme="minorHAnsi" w:hAnsiTheme="minorHAnsi"/>
          <w:b/>
        </w:rPr>
        <w:t>β</w:t>
      </w:r>
      <w:proofErr w:type="gramEnd"/>
      <w:r w:rsidRPr="0030484B">
        <w:rPr>
          <w:rFonts w:asciiTheme="minorHAnsi" w:hAnsiTheme="minorHAnsi"/>
          <w:b/>
        </w:rPr>
        <w:t xml:space="preserve"> subunit:</w:t>
      </w:r>
      <w:r w:rsidRPr="00183858">
        <w:rPr>
          <w:rFonts w:asciiTheme="minorHAnsi" w:hAnsiTheme="minorHAnsi"/>
        </w:rPr>
        <w:t xml:space="preserve"> C</w:t>
      </w:r>
      <w:r w:rsidRPr="002E195B">
        <w:rPr>
          <w:rFonts w:asciiTheme="minorHAnsi" w:hAnsiTheme="minorHAnsi"/>
          <w:b/>
          <w:vertAlign w:val="subscript"/>
        </w:rPr>
        <w:t>538</w:t>
      </w:r>
      <w:r w:rsidRPr="00183858">
        <w:rPr>
          <w:rFonts w:asciiTheme="minorHAnsi" w:hAnsiTheme="minorHAnsi"/>
        </w:rPr>
        <w:t>H</w:t>
      </w:r>
      <w:r w:rsidRPr="002E195B">
        <w:rPr>
          <w:rFonts w:asciiTheme="minorHAnsi" w:hAnsiTheme="minorHAnsi"/>
          <w:b/>
          <w:vertAlign w:val="subscript"/>
        </w:rPr>
        <w:t>833</w:t>
      </w:r>
      <w:r w:rsidRPr="00183858">
        <w:rPr>
          <w:rFonts w:asciiTheme="minorHAnsi" w:hAnsiTheme="minorHAnsi"/>
        </w:rPr>
        <w:t>N</w:t>
      </w:r>
      <w:r w:rsidRPr="002E195B">
        <w:rPr>
          <w:rFonts w:asciiTheme="minorHAnsi" w:hAnsiTheme="minorHAnsi"/>
          <w:b/>
          <w:vertAlign w:val="subscript"/>
        </w:rPr>
        <w:t>145</w:t>
      </w:r>
      <w:r w:rsidRPr="00183858">
        <w:rPr>
          <w:rFonts w:asciiTheme="minorHAnsi" w:hAnsiTheme="minorHAnsi"/>
        </w:rPr>
        <w:t>O</w:t>
      </w:r>
      <w:r w:rsidRPr="002E195B">
        <w:rPr>
          <w:rFonts w:asciiTheme="minorHAnsi" w:hAnsiTheme="minorHAnsi"/>
          <w:b/>
          <w:vertAlign w:val="subscript"/>
        </w:rPr>
        <w:t>171</w:t>
      </w:r>
      <w:r w:rsidRPr="00183858">
        <w:rPr>
          <w:rFonts w:asciiTheme="minorHAnsi" w:hAnsiTheme="minorHAnsi"/>
        </w:rPr>
        <w:t>S</w:t>
      </w:r>
      <w:r w:rsidRPr="002E195B">
        <w:rPr>
          <w:rFonts w:asciiTheme="minorHAnsi" w:hAnsiTheme="minorHAnsi"/>
          <w:b/>
          <w:vertAlign w:val="subscript"/>
        </w:rPr>
        <w:t>13</w:t>
      </w:r>
      <w:r w:rsidRPr="00183858">
        <w:rPr>
          <w:rFonts w:asciiTheme="minorHAnsi" w:hAnsiTheme="minorHAnsi"/>
        </w:rPr>
        <w:t>; 12,485 Da</w:t>
      </w:r>
    </w:p>
    <w:p w14:paraId="76BA31BA" w14:textId="77777777" w:rsidR="008E7846" w:rsidRDefault="008E7846" w:rsidP="008E7846">
      <w:pPr>
        <w:pStyle w:val="Heading3"/>
      </w:pPr>
      <w:bookmarkStart w:id="29" w:name="_Toc247691508"/>
      <w:bookmarkStart w:id="30" w:name="_Toc314842490"/>
      <w:bookmarkStart w:id="31" w:name="_Toc497744248"/>
      <w:bookmarkEnd w:id="28"/>
      <w:r w:rsidRPr="008751DC">
        <w:t xml:space="preserve">Drug </w:t>
      </w:r>
      <w:r>
        <w:t>p</w:t>
      </w:r>
      <w:r w:rsidRPr="008751DC">
        <w:t>roduct</w:t>
      </w:r>
      <w:bookmarkEnd w:id="29"/>
      <w:bookmarkEnd w:id="30"/>
      <w:bookmarkEnd w:id="31"/>
    </w:p>
    <w:p w14:paraId="6012A906" w14:textId="77777777" w:rsidR="00657C22" w:rsidRDefault="00657C22" w:rsidP="00657C22">
      <w:r w:rsidRPr="0013789B">
        <w:t>All analytical procedures are fully validated.</w:t>
      </w:r>
    </w:p>
    <w:p w14:paraId="46EB4025" w14:textId="77777777" w:rsidR="008E4B42" w:rsidRDefault="008E4B42" w:rsidP="008E4B42">
      <w:pPr>
        <w:rPr>
          <w:lang w:eastAsia="ja-JP"/>
        </w:rPr>
      </w:pPr>
      <w:r>
        <w:rPr>
          <w:lang w:eastAsia="ja-JP"/>
        </w:rPr>
        <w:t>All excipients are approved for SC administration in the concentration used. The excipients include phenol, polysorbate 20, methionine, sodium sulphate, sodium phosphate, dibasic dodecahydrate, phosphoric acid, sodium hydroxide, water for injections.</w:t>
      </w:r>
    </w:p>
    <w:p w14:paraId="4A0893AC" w14:textId="77777777" w:rsidR="008E4B42" w:rsidRPr="00D20DD5" w:rsidRDefault="008E4B42" w:rsidP="008E4B42">
      <w:r>
        <w:rPr>
          <w:lang w:eastAsia="ja-JP"/>
        </w:rPr>
        <w:t>There are no animal derived raw materials in the drug substance or excipients.</w:t>
      </w:r>
    </w:p>
    <w:p w14:paraId="46160B38" w14:textId="77777777" w:rsidR="00657C22" w:rsidRPr="002B0B00" w:rsidRDefault="00657C22" w:rsidP="00657C22">
      <w:pPr>
        <w:pStyle w:val="Heading4"/>
      </w:pPr>
      <w:r w:rsidRPr="002B0B00">
        <w:t>Stability</w:t>
      </w:r>
    </w:p>
    <w:p w14:paraId="42AC87BD" w14:textId="77777777" w:rsidR="00371AC4" w:rsidRDefault="00657C22" w:rsidP="00657C22">
      <w:pPr>
        <w:spacing w:line="240" w:lineRule="auto"/>
        <w:rPr>
          <w:rFonts w:asciiTheme="minorHAnsi" w:hAnsiTheme="minorHAnsi"/>
        </w:rPr>
      </w:pPr>
      <w:r>
        <w:rPr>
          <w:rFonts w:asciiTheme="minorHAnsi" w:hAnsiTheme="minorHAnsi"/>
        </w:rPr>
        <w:t xml:space="preserve">Stability studies have been conducted in accordance with relevant </w:t>
      </w:r>
      <w:r w:rsidRPr="009E2E76">
        <w:rPr>
          <w:rFonts w:asciiTheme="minorHAnsi" w:hAnsiTheme="minorHAnsi"/>
        </w:rPr>
        <w:t>International Conference on Harmonisation of Technical Requirements for Registration of Pharmac</w:t>
      </w:r>
      <w:r>
        <w:rPr>
          <w:rFonts w:asciiTheme="minorHAnsi" w:hAnsiTheme="minorHAnsi"/>
        </w:rPr>
        <w:t xml:space="preserve">euticals for Human Use (ICH) guidelines. </w:t>
      </w:r>
      <w:r w:rsidRPr="0097482E">
        <w:rPr>
          <w:rFonts w:asciiTheme="minorHAnsi" w:hAnsiTheme="minorHAnsi"/>
        </w:rPr>
        <w:t>Stability data have been generat</w:t>
      </w:r>
      <w:r>
        <w:rPr>
          <w:rFonts w:asciiTheme="minorHAnsi" w:hAnsiTheme="minorHAnsi"/>
        </w:rPr>
        <w:t>ed under stressed and real time</w:t>
      </w:r>
      <w:r w:rsidR="00371AC4">
        <w:rPr>
          <w:rFonts w:asciiTheme="minorHAnsi" w:hAnsiTheme="minorHAnsi"/>
        </w:rPr>
        <w:t>.</w:t>
      </w:r>
    </w:p>
    <w:p w14:paraId="1CC3165C" w14:textId="18EFCD88" w:rsidR="00436314" w:rsidRDefault="00436314" w:rsidP="0012091C">
      <w:pPr>
        <w:rPr>
          <w:rFonts w:asciiTheme="minorHAnsi" w:eastAsia="TimesNewRoman" w:hAnsiTheme="minorHAnsi" w:cs="TimesNewRoman"/>
          <w:lang w:eastAsia="en-AU"/>
        </w:rPr>
      </w:pPr>
      <w:r w:rsidRPr="00276DA1">
        <w:t>Approved shelf life (</w:t>
      </w:r>
      <w:r>
        <w:t>include temperature excursion during shipping if necessary</w:t>
      </w:r>
      <w:r w:rsidRPr="00276DA1">
        <w:t>)</w:t>
      </w:r>
      <w:r w:rsidR="0012091C">
        <w:t xml:space="preserve"> </w:t>
      </w:r>
      <w:r w:rsidRPr="00F82DA2">
        <w:rPr>
          <w:rFonts w:asciiTheme="minorHAnsi" w:eastAsia="TimesNewRoman" w:hAnsiTheme="minorHAnsi" w:cs="TimesNewRoman"/>
          <w:lang w:eastAsia="en-AU"/>
        </w:rPr>
        <w:t>a shelf-life of 36 months at 5 ±3°C is proposed</w:t>
      </w:r>
      <w:r>
        <w:rPr>
          <w:rFonts w:asciiTheme="minorHAnsi" w:eastAsia="TimesNewRoman" w:hAnsiTheme="minorHAnsi" w:cs="TimesNewRoman"/>
          <w:lang w:eastAsia="en-AU"/>
        </w:rPr>
        <w:t xml:space="preserve"> </w:t>
      </w:r>
      <w:r w:rsidRPr="00F82DA2">
        <w:rPr>
          <w:rFonts w:asciiTheme="minorHAnsi" w:eastAsia="TimesNewRoman" w:hAnsiTheme="minorHAnsi" w:cs="TimesNewRoman"/>
          <w:lang w:eastAsia="en-AU"/>
        </w:rPr>
        <w:t xml:space="preserve">for </w:t>
      </w:r>
      <w:r w:rsidR="00C83E85">
        <w:rPr>
          <w:rFonts w:asciiTheme="minorHAnsi" w:eastAsia="TimesNewRoman" w:hAnsiTheme="minorHAnsi" w:cs="TimesNewRoman"/>
          <w:lang w:eastAsia="en-AU"/>
        </w:rPr>
        <w:t>the drug product</w:t>
      </w:r>
      <w:r w:rsidRPr="00F82DA2">
        <w:rPr>
          <w:rFonts w:asciiTheme="minorHAnsi" w:eastAsia="TimesNewRoman" w:hAnsiTheme="minorHAnsi" w:cs="TimesNewRoman"/>
          <w:lang w:eastAsia="en-AU"/>
        </w:rPr>
        <w:t>.</w:t>
      </w:r>
    </w:p>
    <w:p w14:paraId="033D82C5" w14:textId="77777777" w:rsidR="00657C22" w:rsidRPr="008C1B7F" w:rsidRDefault="00657C22" w:rsidP="00657C22">
      <w:pPr>
        <w:spacing w:line="240" w:lineRule="auto"/>
        <w:rPr>
          <w:rFonts w:asciiTheme="minorHAnsi" w:eastAsia="Calibri" w:hAnsiTheme="minorHAnsi" w:cs="Arial"/>
        </w:rPr>
      </w:pPr>
      <w:r w:rsidRPr="008C1B7F">
        <w:rPr>
          <w:rFonts w:asciiTheme="minorHAnsi" w:eastAsia="TimesNewRoman" w:hAnsiTheme="minorHAnsi" w:cs="TimesNewRoman"/>
          <w:color w:val="000000"/>
          <w:lang w:eastAsia="en-AU"/>
        </w:rPr>
        <w:t>For product related impurities no significant changes were observed after storage at the int</w:t>
      </w:r>
      <w:r>
        <w:rPr>
          <w:rFonts w:asciiTheme="minorHAnsi" w:eastAsia="TimesNewRoman" w:hAnsiTheme="minorHAnsi" w:cs="TimesNewRoman"/>
          <w:color w:val="000000"/>
          <w:lang w:eastAsia="en-AU"/>
        </w:rPr>
        <w:t>ended temperature of 5 ±3°C. DP</w:t>
      </w:r>
      <w:r w:rsidRPr="008C1B7F">
        <w:rPr>
          <w:rFonts w:asciiTheme="minorHAnsi" w:eastAsia="TimesNewRoman" w:hAnsiTheme="minorHAnsi" w:cs="TimesNewRoman"/>
          <w:color w:val="000000"/>
          <w:lang w:eastAsia="en-AU"/>
        </w:rPr>
        <w:t xml:space="preserve"> content and L –methionine content show no significant changes over time at 5 ±3°C. A decrease in phenol content was observed. However, phenol content is still within the lower limit of acceptance criteria after 36 months at the intended storage temperature of 5 ±3°C.</w:t>
      </w:r>
    </w:p>
    <w:p w14:paraId="69CE6DA5" w14:textId="77777777" w:rsidR="00436314" w:rsidRDefault="00436314" w:rsidP="00436314">
      <w:pPr>
        <w:autoSpaceDE w:val="0"/>
        <w:autoSpaceDN w:val="0"/>
        <w:rPr>
          <w:rFonts w:asciiTheme="minorHAnsi" w:eastAsia="TimesNewRoman" w:hAnsiTheme="minorHAnsi" w:cs="TimesNewRoman"/>
          <w:lang w:eastAsia="en-AU"/>
        </w:rPr>
      </w:pPr>
      <w:r w:rsidRPr="00F82DA2">
        <w:rPr>
          <w:rFonts w:asciiTheme="minorHAnsi" w:eastAsia="TimesNewRoman" w:hAnsiTheme="minorHAnsi" w:cs="TimesNewRoman"/>
          <w:lang w:eastAsia="en-AU"/>
        </w:rPr>
        <w:t>The product is photo</w:t>
      </w:r>
      <w:r>
        <w:rPr>
          <w:rFonts w:asciiTheme="minorHAnsi" w:eastAsia="TimesNewRoman" w:hAnsiTheme="minorHAnsi" w:cs="TimesNewRoman"/>
          <w:lang w:eastAsia="en-AU"/>
        </w:rPr>
        <w:t>-</w:t>
      </w:r>
      <w:r w:rsidRPr="00F82DA2">
        <w:rPr>
          <w:rFonts w:asciiTheme="minorHAnsi" w:eastAsia="TimesNewRoman" w:hAnsiTheme="minorHAnsi" w:cs="TimesNewRoman"/>
          <w:lang w:eastAsia="en-AU"/>
        </w:rPr>
        <w:t>sensitive in the primary package. However, each secondary package, injection</w:t>
      </w:r>
      <w:r>
        <w:rPr>
          <w:rFonts w:asciiTheme="minorHAnsi" w:eastAsia="TimesNewRoman" w:hAnsiTheme="minorHAnsi" w:cs="TimesNewRoman"/>
          <w:lang w:eastAsia="en-AU"/>
        </w:rPr>
        <w:t xml:space="preserve"> </w:t>
      </w:r>
      <w:r w:rsidRPr="00F82DA2">
        <w:rPr>
          <w:rFonts w:asciiTheme="minorHAnsi" w:eastAsia="TimesNewRoman" w:hAnsiTheme="minorHAnsi" w:cs="TimesNewRoman"/>
          <w:lang w:eastAsia="en-AU"/>
        </w:rPr>
        <w:t>pen and carton separately provides su</w:t>
      </w:r>
      <w:r>
        <w:rPr>
          <w:rFonts w:asciiTheme="minorHAnsi" w:eastAsia="TimesNewRoman" w:hAnsiTheme="minorHAnsi" w:cs="TimesNewRoman"/>
          <w:lang w:eastAsia="en-AU"/>
        </w:rPr>
        <w:t>fficient protection from light.</w:t>
      </w:r>
    </w:p>
    <w:p w14:paraId="2F5147FC" w14:textId="77777777" w:rsidR="00436314" w:rsidRDefault="00436314" w:rsidP="00436314">
      <w:pPr>
        <w:autoSpaceDE w:val="0"/>
        <w:autoSpaceDN w:val="0"/>
        <w:rPr>
          <w:rFonts w:asciiTheme="minorHAnsi" w:eastAsia="TimesNewRoman" w:hAnsiTheme="minorHAnsi" w:cs="TimesNewRoman"/>
          <w:lang w:eastAsia="en-AU"/>
        </w:rPr>
      </w:pPr>
      <w:r w:rsidRPr="00F82DA2">
        <w:rPr>
          <w:rFonts w:asciiTheme="minorHAnsi" w:eastAsia="TimesNewRoman" w:hAnsiTheme="minorHAnsi" w:cs="TimesNewRoman"/>
          <w:lang w:eastAsia="en-AU"/>
        </w:rPr>
        <w:t>The product is sensitive to freezing and thawing</w:t>
      </w:r>
      <w:r>
        <w:rPr>
          <w:rFonts w:asciiTheme="minorHAnsi" w:eastAsia="TimesNewRoman" w:hAnsiTheme="minorHAnsi" w:cs="TimesNewRoman"/>
          <w:lang w:eastAsia="en-AU"/>
        </w:rPr>
        <w:t xml:space="preserve">. </w:t>
      </w:r>
      <w:r w:rsidRPr="00F82DA2">
        <w:rPr>
          <w:rFonts w:asciiTheme="minorHAnsi" w:eastAsia="TimesNewRoman" w:hAnsiTheme="minorHAnsi" w:cs="TimesNewRoman"/>
          <w:lang w:eastAsia="en-AU"/>
        </w:rPr>
        <w:t>The</w:t>
      </w:r>
      <w:r>
        <w:rPr>
          <w:rFonts w:asciiTheme="minorHAnsi" w:eastAsia="TimesNewRoman" w:hAnsiTheme="minorHAnsi" w:cs="TimesNewRoman"/>
          <w:lang w:eastAsia="en-AU"/>
        </w:rPr>
        <w:t xml:space="preserve"> </w:t>
      </w:r>
      <w:r w:rsidRPr="00F82DA2">
        <w:rPr>
          <w:rFonts w:asciiTheme="minorHAnsi" w:eastAsia="TimesNewRoman" w:hAnsiTheme="minorHAnsi" w:cs="TimesNewRoman"/>
          <w:lang w:eastAsia="en-AU"/>
        </w:rPr>
        <w:t xml:space="preserve">product label must include </w:t>
      </w:r>
      <w:r w:rsidR="0012091C">
        <w:rPr>
          <w:rFonts w:asciiTheme="minorHAnsi" w:eastAsia="TimesNewRoman" w:hAnsiTheme="minorHAnsi" w:cs="TimesNewRoman"/>
          <w:lang w:eastAsia="en-AU"/>
        </w:rPr>
        <w:t>‘</w:t>
      </w:r>
      <w:r w:rsidRPr="00F82DA2">
        <w:rPr>
          <w:rFonts w:asciiTheme="minorHAnsi" w:eastAsia="TimesNewRoman" w:hAnsiTheme="minorHAnsi" w:cs="TimesNewRoman"/>
          <w:lang w:eastAsia="en-AU"/>
        </w:rPr>
        <w:t>do not freeze</w:t>
      </w:r>
      <w:r w:rsidR="0012091C">
        <w:rPr>
          <w:rFonts w:asciiTheme="minorHAnsi" w:eastAsia="TimesNewRoman" w:hAnsiTheme="minorHAnsi" w:cs="TimesNewRoman"/>
          <w:lang w:eastAsia="en-AU"/>
        </w:rPr>
        <w:t>’</w:t>
      </w:r>
      <w:r w:rsidRPr="00F82DA2">
        <w:rPr>
          <w:rFonts w:asciiTheme="minorHAnsi" w:eastAsia="TimesNewRoman" w:hAnsiTheme="minorHAnsi" w:cs="TimesNewRoman"/>
          <w:lang w:eastAsia="en-AU"/>
        </w:rPr>
        <w:t>.</w:t>
      </w:r>
      <w:r w:rsidR="00657C22">
        <w:rPr>
          <w:rFonts w:asciiTheme="minorHAnsi" w:eastAsia="TimesNewRoman" w:hAnsiTheme="minorHAnsi" w:cs="TimesNewRoman"/>
          <w:lang w:eastAsia="en-AU"/>
        </w:rPr>
        <w:t xml:space="preserve"> The following is recommended:</w:t>
      </w:r>
    </w:p>
    <w:p w14:paraId="5C434E62" w14:textId="77777777" w:rsidR="00436314" w:rsidRPr="00657C22" w:rsidRDefault="00436314" w:rsidP="00436314">
      <w:pPr>
        <w:autoSpaceDE w:val="0"/>
        <w:autoSpaceDN w:val="0"/>
        <w:ind w:right="-568"/>
        <w:rPr>
          <w:rFonts w:asciiTheme="minorHAnsi" w:hAnsiTheme="minorHAnsi" w:cs="Arial"/>
          <w:i/>
          <w:lang w:eastAsia="en-AU"/>
        </w:rPr>
      </w:pPr>
      <w:r w:rsidRPr="00657C22">
        <w:rPr>
          <w:rFonts w:asciiTheme="minorHAnsi" w:hAnsiTheme="minorHAnsi" w:cs="Arial"/>
          <w:i/>
          <w:lang w:eastAsia="en-AU"/>
        </w:rPr>
        <w:t>Store in a refrigerator (2°C–8°C). Do not freeze.</w:t>
      </w:r>
    </w:p>
    <w:p w14:paraId="1D22FC84" w14:textId="77777777" w:rsidR="00436314" w:rsidRPr="00657C22" w:rsidRDefault="00436314" w:rsidP="00436314">
      <w:pPr>
        <w:autoSpaceDE w:val="0"/>
        <w:autoSpaceDN w:val="0"/>
        <w:ind w:right="-568"/>
        <w:rPr>
          <w:rFonts w:asciiTheme="minorHAnsi" w:hAnsiTheme="minorHAnsi" w:cs="Arial"/>
          <w:i/>
          <w:lang w:eastAsia="en-AU"/>
        </w:rPr>
      </w:pPr>
      <w:r w:rsidRPr="00657C22">
        <w:rPr>
          <w:rFonts w:asciiTheme="minorHAnsi" w:hAnsiTheme="minorHAnsi" w:cs="Arial"/>
          <w:i/>
          <w:lang w:eastAsia="en-AU"/>
        </w:rPr>
        <w:t xml:space="preserve">Within its shelf life, </w:t>
      </w:r>
      <w:r w:rsidR="004421A0" w:rsidRPr="00657C22">
        <w:rPr>
          <w:rFonts w:asciiTheme="minorHAnsi" w:hAnsiTheme="minorHAnsi" w:cs="Arial"/>
          <w:i/>
          <w:lang w:eastAsia="en-AU"/>
        </w:rPr>
        <w:t>Rekovelle</w:t>
      </w:r>
      <w:r w:rsidRPr="00657C22">
        <w:rPr>
          <w:rFonts w:asciiTheme="minorHAnsi" w:hAnsiTheme="minorHAnsi" w:cs="Arial"/>
          <w:i/>
          <w:lang w:eastAsia="en-AU"/>
        </w:rPr>
        <w:t xml:space="preserve"> may be removed from the refrigerator, without being refrigerated again and stored at or below 25°C for up to 3 months and must be discarded afterwards.</w:t>
      </w:r>
    </w:p>
    <w:p w14:paraId="623E118B" w14:textId="77777777" w:rsidR="00436314" w:rsidRPr="00657C22" w:rsidRDefault="00436314" w:rsidP="00436314">
      <w:pPr>
        <w:autoSpaceDE w:val="0"/>
        <w:autoSpaceDN w:val="0"/>
        <w:ind w:right="-568"/>
        <w:rPr>
          <w:rFonts w:asciiTheme="minorHAnsi" w:hAnsiTheme="minorHAnsi" w:cs="Arial"/>
          <w:i/>
          <w:lang w:eastAsia="en-AU"/>
        </w:rPr>
      </w:pPr>
      <w:r w:rsidRPr="00657C22">
        <w:rPr>
          <w:rFonts w:asciiTheme="minorHAnsi" w:hAnsiTheme="minorHAnsi" w:cs="Arial"/>
          <w:i/>
          <w:iCs/>
          <w:lang w:eastAsia="en-AU"/>
        </w:rPr>
        <w:t xml:space="preserve">Before use: </w:t>
      </w:r>
      <w:r w:rsidRPr="00657C22">
        <w:rPr>
          <w:rFonts w:asciiTheme="minorHAnsi" w:hAnsiTheme="minorHAnsi" w:cs="Arial"/>
          <w:i/>
          <w:lang w:eastAsia="en-AU"/>
        </w:rPr>
        <w:t>store in the original package in order to protect from light.</w:t>
      </w:r>
    </w:p>
    <w:p w14:paraId="0233E72E" w14:textId="77777777" w:rsidR="00940A89" w:rsidRPr="00657C22" w:rsidRDefault="00436314" w:rsidP="00436314">
      <w:pPr>
        <w:rPr>
          <w:i/>
        </w:rPr>
      </w:pPr>
      <w:r w:rsidRPr="00657C22">
        <w:rPr>
          <w:rFonts w:asciiTheme="minorHAnsi" w:hAnsiTheme="minorHAnsi" w:cs="Arial"/>
          <w:i/>
          <w:iCs/>
          <w:lang w:eastAsia="en-AU"/>
        </w:rPr>
        <w:t xml:space="preserve">After the first injection: </w:t>
      </w:r>
      <w:r w:rsidRPr="00657C22">
        <w:rPr>
          <w:rFonts w:asciiTheme="minorHAnsi" w:hAnsiTheme="minorHAnsi" w:cs="Arial"/>
          <w:i/>
          <w:lang w:eastAsia="en-AU"/>
        </w:rPr>
        <w:t xml:space="preserve">the cartridge can be stored at or below 25°C and it must be </w:t>
      </w:r>
      <w:r w:rsidRPr="00657C22">
        <w:rPr>
          <w:i/>
        </w:rPr>
        <w:t>discarded after 28 days</w:t>
      </w:r>
    </w:p>
    <w:p w14:paraId="1C386F7C" w14:textId="77777777" w:rsidR="002E0403" w:rsidRPr="002E0403" w:rsidRDefault="002E0403" w:rsidP="002E0403">
      <w:pPr>
        <w:pStyle w:val="Heading4"/>
      </w:pPr>
      <w:r w:rsidRPr="002E0403">
        <w:t>Specifications</w:t>
      </w:r>
    </w:p>
    <w:p w14:paraId="3C199C20" w14:textId="6216A13F" w:rsidR="0013789B" w:rsidRPr="002E0403" w:rsidRDefault="002E0403" w:rsidP="0013789B">
      <w:pPr>
        <w:tabs>
          <w:tab w:val="left" w:pos="1276"/>
        </w:tabs>
        <w:autoSpaceDE w:val="0"/>
        <w:autoSpaceDN w:val="0"/>
        <w:ind w:right="-568"/>
        <w:rPr>
          <w:rFonts w:asciiTheme="minorHAnsi" w:hAnsiTheme="minorHAnsi"/>
          <w:lang w:val="en"/>
        </w:rPr>
      </w:pPr>
      <w:r>
        <w:rPr>
          <w:rFonts w:asciiTheme="minorHAnsi" w:hAnsiTheme="minorHAnsi"/>
        </w:rPr>
        <w:t>T</w:t>
      </w:r>
      <w:r w:rsidR="0013789B" w:rsidRPr="002E0403">
        <w:rPr>
          <w:rFonts w:asciiTheme="minorHAnsi" w:hAnsiTheme="minorHAnsi"/>
        </w:rPr>
        <w:t xml:space="preserve">he product is not able to meet the specifications </w:t>
      </w:r>
      <w:r w:rsidR="0013789B" w:rsidRPr="005219CC">
        <w:rPr>
          <w:rFonts w:asciiTheme="minorHAnsi" w:hAnsiTheme="minorHAnsi"/>
        </w:rPr>
        <w:t xml:space="preserve">outlined in the </w:t>
      </w:r>
      <w:r w:rsidR="005219CC">
        <w:rPr>
          <w:rFonts w:asciiTheme="minorHAnsi" w:hAnsiTheme="minorHAnsi"/>
        </w:rPr>
        <w:t>Ph. Eur.</w:t>
      </w:r>
      <w:r w:rsidR="000B0D1D" w:rsidRPr="005219CC">
        <w:rPr>
          <w:rFonts w:asciiTheme="minorHAnsi" w:hAnsiTheme="minorHAnsi"/>
        </w:rPr>
        <w:t xml:space="preserve"> </w:t>
      </w:r>
      <w:r w:rsidR="0013789B" w:rsidRPr="005219CC">
        <w:rPr>
          <w:rFonts w:asciiTheme="minorHAnsi" w:hAnsiTheme="minorHAnsi"/>
        </w:rPr>
        <w:t>There is a requirement under section 14/14A of the Therapeutic Goods Act 1989 for the sponsor to apply for exemption from the requirement to meet the applicable standard, in this</w:t>
      </w:r>
      <w:r w:rsidR="0013789B" w:rsidRPr="002E0403">
        <w:rPr>
          <w:rFonts w:asciiTheme="minorHAnsi" w:hAnsiTheme="minorHAnsi"/>
        </w:rPr>
        <w:t xml:space="preserve"> case the</w:t>
      </w:r>
      <w:r w:rsidR="000B0D1D" w:rsidRPr="002E0403">
        <w:rPr>
          <w:rFonts w:asciiTheme="minorHAnsi" w:hAnsiTheme="minorHAnsi"/>
        </w:rPr>
        <w:t xml:space="preserve"> </w:t>
      </w:r>
      <w:r w:rsidR="0013789B" w:rsidRPr="002E0403">
        <w:rPr>
          <w:rFonts w:asciiTheme="minorHAnsi" w:eastAsia="TimesNewRoman,Bold" w:hAnsiTheme="minorHAnsi" w:cs="TimesNewRoman"/>
          <w:lang w:eastAsia="en-AU"/>
        </w:rPr>
        <w:t xml:space="preserve">Ph.Eur. </w:t>
      </w:r>
      <w:proofErr w:type="gramStart"/>
      <w:r w:rsidR="0013789B" w:rsidRPr="002E0403">
        <w:rPr>
          <w:rFonts w:asciiTheme="minorHAnsi" w:eastAsia="TimesNewRoman,Bold" w:hAnsiTheme="minorHAnsi" w:cs="TimesNewRoman"/>
          <w:lang w:eastAsia="en-AU"/>
        </w:rPr>
        <w:t>monograph</w:t>
      </w:r>
      <w:proofErr w:type="gramEnd"/>
      <w:r w:rsidR="0013789B" w:rsidRPr="002E0403">
        <w:rPr>
          <w:rFonts w:asciiTheme="minorHAnsi" w:eastAsia="TimesNewRoman,Bold" w:hAnsiTheme="minorHAnsi" w:cs="TimesNewRoman"/>
          <w:lang w:eastAsia="en-AU"/>
        </w:rPr>
        <w:t xml:space="preserve"> for follitropin concentrated solution (2286)</w:t>
      </w:r>
      <w:r w:rsidR="00C51184">
        <w:rPr>
          <w:rFonts w:asciiTheme="minorHAnsi" w:eastAsia="TimesNewRoman,Bold" w:hAnsiTheme="minorHAnsi" w:cs="TimesNewRoman"/>
          <w:lang w:eastAsia="en-AU"/>
        </w:rPr>
        <w:t xml:space="preserve"> </w:t>
      </w:r>
      <w:r w:rsidR="0013789B" w:rsidRPr="002E0403">
        <w:rPr>
          <w:rFonts w:asciiTheme="minorHAnsi" w:eastAsia="TimesNewRoman,Bold" w:hAnsiTheme="minorHAnsi" w:cs="TimesNewRoman"/>
          <w:lang w:eastAsia="en-AU"/>
        </w:rPr>
        <w:t>which b</w:t>
      </w:r>
      <w:r w:rsidR="00C83E85" w:rsidRPr="002E0403">
        <w:rPr>
          <w:rFonts w:asciiTheme="minorHAnsi" w:eastAsia="TimesNewRoman,Bold" w:hAnsiTheme="minorHAnsi" w:cs="TimesNewRoman"/>
          <w:lang w:eastAsia="en-AU"/>
        </w:rPr>
        <w:t>ecame effective on January2014.</w:t>
      </w:r>
    </w:p>
    <w:p w14:paraId="071FE24A" w14:textId="77777777" w:rsidR="00371AC4" w:rsidRDefault="005219CC" w:rsidP="0013789B">
      <w:pPr>
        <w:tabs>
          <w:tab w:val="left" w:pos="1276"/>
        </w:tabs>
        <w:autoSpaceDE w:val="0"/>
        <w:autoSpaceDN w:val="0"/>
        <w:ind w:right="-568"/>
        <w:rPr>
          <w:rFonts w:asciiTheme="minorHAnsi" w:eastAsia="TimesNewRoman,Bold" w:hAnsiTheme="minorHAnsi" w:cs="TimesNewRoman"/>
          <w:lang w:eastAsia="en-AU"/>
        </w:rPr>
      </w:pPr>
      <w:r>
        <w:rPr>
          <w:rFonts w:asciiTheme="minorHAnsi" w:eastAsia="TimesNewRoman,Bold" w:hAnsiTheme="minorHAnsi" w:cs="TimesNewRoman"/>
          <w:lang w:eastAsia="en-AU"/>
        </w:rPr>
        <w:t xml:space="preserve">The Ph. </w:t>
      </w:r>
      <w:r w:rsidR="0013789B" w:rsidRPr="002E0403">
        <w:rPr>
          <w:rFonts w:asciiTheme="minorHAnsi" w:eastAsia="TimesNewRoman,Bold" w:hAnsiTheme="minorHAnsi" w:cs="TimesNewRoman"/>
          <w:lang w:eastAsia="en-AU"/>
        </w:rPr>
        <w:t>Eur.</w:t>
      </w:r>
      <w:r>
        <w:rPr>
          <w:rFonts w:asciiTheme="minorHAnsi" w:eastAsia="TimesNewRoman,Bold" w:hAnsiTheme="minorHAnsi" w:cs="TimesNewRoman"/>
          <w:lang w:eastAsia="en-AU"/>
        </w:rPr>
        <w:t xml:space="preserve"> </w:t>
      </w:r>
      <w:r w:rsidR="0013789B" w:rsidRPr="002E0403">
        <w:rPr>
          <w:rFonts w:asciiTheme="minorHAnsi" w:eastAsia="TimesNewRoman,Bold" w:hAnsiTheme="minorHAnsi" w:cs="TimesNewRoman"/>
          <w:lang w:eastAsia="en-AU"/>
        </w:rPr>
        <w:t>monograph refers to follitropin produced in mammalian cells by recombinant DNA</w:t>
      </w:r>
      <w:r w:rsidR="0012091C" w:rsidRPr="002E0403">
        <w:rPr>
          <w:rFonts w:asciiTheme="minorHAnsi" w:eastAsia="TimesNewRoman,Bold" w:hAnsiTheme="minorHAnsi" w:cs="TimesNewRoman"/>
          <w:lang w:eastAsia="en-AU"/>
        </w:rPr>
        <w:t xml:space="preserve"> </w:t>
      </w:r>
      <w:r w:rsidR="00A73250">
        <w:rPr>
          <w:rFonts w:asciiTheme="minorHAnsi" w:eastAsia="TimesNewRoman,Bold" w:hAnsiTheme="minorHAnsi" w:cs="TimesNewRoman"/>
          <w:lang w:eastAsia="en-AU"/>
        </w:rPr>
        <w:t xml:space="preserve">technology. The currently </w:t>
      </w:r>
      <w:r w:rsidR="0013789B" w:rsidRPr="002E0403">
        <w:rPr>
          <w:rFonts w:asciiTheme="minorHAnsi" w:eastAsia="TimesNewRoman,Bold" w:hAnsiTheme="minorHAnsi" w:cs="TimesNewRoman"/>
          <w:lang w:eastAsia="en-AU"/>
        </w:rPr>
        <w:t>marketed follitropin products are CHO</w:t>
      </w:r>
      <w:r w:rsidR="0012091C" w:rsidRPr="002E0403">
        <w:rPr>
          <w:rFonts w:asciiTheme="minorHAnsi" w:eastAsia="TimesNewRoman,Bold" w:hAnsiTheme="minorHAnsi" w:cs="TimesNewRoman"/>
          <w:lang w:eastAsia="en-AU"/>
        </w:rPr>
        <w:t xml:space="preserve"> </w:t>
      </w:r>
      <w:r w:rsidR="0013789B" w:rsidRPr="002E0403">
        <w:rPr>
          <w:rFonts w:asciiTheme="minorHAnsi" w:eastAsia="TimesNewRoman,Bold" w:hAnsiTheme="minorHAnsi" w:cs="TimesNewRoman"/>
          <w:lang w:eastAsia="en-AU"/>
        </w:rPr>
        <w:t>derived follitropin alfa and follitropin beta. It is therefore considered that the EDQM Chemical Reference Standard (CRS) that accompa</w:t>
      </w:r>
      <w:r w:rsidR="00657C22" w:rsidRPr="002E0403">
        <w:rPr>
          <w:rFonts w:asciiTheme="minorHAnsi" w:eastAsia="TimesNewRoman,Bold" w:hAnsiTheme="minorHAnsi" w:cs="TimesNewRoman"/>
          <w:lang w:eastAsia="en-AU"/>
        </w:rPr>
        <w:t xml:space="preserve">nies this monograph is also CHO </w:t>
      </w:r>
      <w:r w:rsidR="0013789B" w:rsidRPr="002E0403">
        <w:rPr>
          <w:rFonts w:asciiTheme="minorHAnsi" w:eastAsia="TimesNewRoman,Bold" w:hAnsiTheme="minorHAnsi" w:cs="TimesNewRoman"/>
          <w:lang w:eastAsia="en-AU"/>
        </w:rPr>
        <w:t xml:space="preserve">derived. The amino acid sequence of </w:t>
      </w:r>
      <w:r w:rsidR="00C83E85" w:rsidRPr="002E0403">
        <w:rPr>
          <w:rFonts w:asciiTheme="minorHAnsi" w:eastAsia="TimesNewRoman,Bold" w:hAnsiTheme="minorHAnsi" w:cs="TimesNewRoman"/>
          <w:lang w:eastAsia="en-AU"/>
        </w:rPr>
        <w:t>Rekovelle</w:t>
      </w:r>
      <w:r w:rsidR="0013789B" w:rsidRPr="002E0403">
        <w:rPr>
          <w:rFonts w:asciiTheme="minorHAnsi" w:eastAsia="TimesNewRoman,Bold" w:hAnsiTheme="minorHAnsi" w:cs="TimesNewRoman"/>
          <w:lang w:eastAsia="en-AU"/>
        </w:rPr>
        <w:t xml:space="preserve"> is identical to the endogenous human FSH sequence for both α and β subuni</w:t>
      </w:r>
      <w:r w:rsidR="00C83E85" w:rsidRPr="002E0403">
        <w:rPr>
          <w:rFonts w:asciiTheme="minorHAnsi" w:eastAsia="TimesNewRoman,Bold" w:hAnsiTheme="minorHAnsi" w:cs="TimesNewRoman"/>
          <w:lang w:eastAsia="en-AU"/>
        </w:rPr>
        <w:t xml:space="preserve">ts and to that in existing CHO </w:t>
      </w:r>
      <w:r w:rsidR="0013789B" w:rsidRPr="002E0403">
        <w:rPr>
          <w:rFonts w:asciiTheme="minorHAnsi" w:eastAsia="TimesNewRoman,Bold" w:hAnsiTheme="minorHAnsi" w:cs="TimesNewRoman"/>
          <w:lang w:eastAsia="en-AU"/>
        </w:rPr>
        <w:t>derived recombinant FSH products</w:t>
      </w:r>
      <w:r w:rsidR="00371AC4">
        <w:rPr>
          <w:rFonts w:asciiTheme="minorHAnsi" w:eastAsia="TimesNewRoman,Bold" w:hAnsiTheme="minorHAnsi" w:cs="TimesNewRoman"/>
          <w:lang w:eastAsia="en-AU"/>
        </w:rPr>
        <w:t>.</w:t>
      </w:r>
    </w:p>
    <w:p w14:paraId="0A615E83" w14:textId="6FE03360" w:rsidR="0013789B" w:rsidRPr="002E0403" w:rsidRDefault="00A73250" w:rsidP="0013789B">
      <w:pPr>
        <w:tabs>
          <w:tab w:val="left" w:pos="1276"/>
        </w:tabs>
        <w:autoSpaceDE w:val="0"/>
        <w:autoSpaceDN w:val="0"/>
        <w:ind w:right="-568"/>
        <w:rPr>
          <w:rFonts w:asciiTheme="minorHAnsi" w:eastAsia="TimesNewRoman,Bold" w:hAnsiTheme="minorHAnsi" w:cs="TimesNewRoman"/>
          <w:lang w:eastAsia="en-AU"/>
        </w:rPr>
      </w:pPr>
      <w:r>
        <w:rPr>
          <w:rFonts w:asciiTheme="minorHAnsi" w:eastAsia="TimesNewRoman,Bold" w:hAnsiTheme="minorHAnsi" w:cs="TimesNewRoman"/>
          <w:lang w:eastAsia="en-AU"/>
        </w:rPr>
        <w:t>However, t</w:t>
      </w:r>
      <w:r w:rsidR="0013789B" w:rsidRPr="002E0403">
        <w:rPr>
          <w:rFonts w:asciiTheme="minorHAnsi" w:eastAsia="TimesNewRoman,Bold" w:hAnsiTheme="minorHAnsi" w:cs="TimesNewRoman"/>
          <w:lang w:eastAsia="en-AU"/>
        </w:rPr>
        <w:t xml:space="preserve">he glycosylation profile of recombinant proteins is dependent on the expressing cell line and the cell culture conditions. </w:t>
      </w:r>
      <w:r w:rsidR="00C83E85" w:rsidRPr="002E0403">
        <w:rPr>
          <w:rFonts w:asciiTheme="minorHAnsi" w:eastAsia="TimesNewRoman,Bold" w:hAnsiTheme="minorHAnsi" w:cs="TimesNewRoman"/>
          <w:lang w:eastAsia="en-AU"/>
        </w:rPr>
        <w:t xml:space="preserve">Rekovelle </w:t>
      </w:r>
      <w:r w:rsidR="0013789B" w:rsidRPr="002E0403">
        <w:rPr>
          <w:rFonts w:asciiTheme="minorHAnsi" w:eastAsia="TimesNewRoman,Bold" w:hAnsiTheme="minorHAnsi" w:cs="TimesNewRoman"/>
          <w:lang w:eastAsia="en-AU"/>
        </w:rPr>
        <w:t>contains both α2</w:t>
      </w:r>
      <w:proofErr w:type="gramStart"/>
      <w:r w:rsidR="0013789B" w:rsidRPr="002E0403">
        <w:rPr>
          <w:rFonts w:asciiTheme="minorHAnsi" w:eastAsia="TimesNewRoman,Bold" w:hAnsiTheme="minorHAnsi" w:cs="TimesNewRoman"/>
          <w:lang w:eastAsia="en-AU"/>
        </w:rPr>
        <w:t>,3</w:t>
      </w:r>
      <w:proofErr w:type="gramEnd"/>
      <w:r w:rsidR="0013789B" w:rsidRPr="002E0403">
        <w:rPr>
          <w:rFonts w:asciiTheme="minorHAnsi" w:eastAsia="TimesNewRoman,Bold" w:hAnsiTheme="minorHAnsi" w:cs="TimesNewRoman"/>
          <w:lang w:eastAsia="en-AU"/>
        </w:rPr>
        <w:t xml:space="preserve"> and α2,6 sialylation patterns, while CHO-derived rFSH products exclusively carry 2,3 linked sialic acid</w:t>
      </w:r>
      <w:r w:rsidR="00435CD4">
        <w:rPr>
          <w:rFonts w:asciiTheme="minorHAnsi" w:eastAsia="TimesNewRoman,Bold" w:hAnsiTheme="minorHAnsi" w:cs="TimesNewRoman"/>
          <w:lang w:eastAsia="en-AU"/>
        </w:rPr>
        <w:t xml:space="preserve">, giving it a </w:t>
      </w:r>
      <w:r w:rsidR="0013789B" w:rsidRPr="002E0403">
        <w:rPr>
          <w:rFonts w:asciiTheme="minorHAnsi" w:eastAsia="TimesNewRoman,Bold" w:hAnsiTheme="minorHAnsi" w:cs="TimesNewRoman"/>
          <w:lang w:eastAsia="en-AU"/>
        </w:rPr>
        <w:t>differen</w:t>
      </w:r>
      <w:r w:rsidR="00435CD4">
        <w:rPr>
          <w:rFonts w:asciiTheme="minorHAnsi" w:eastAsia="TimesNewRoman,Bold" w:hAnsiTheme="minorHAnsi" w:cs="TimesNewRoman"/>
          <w:lang w:eastAsia="en-AU"/>
        </w:rPr>
        <w:t>t</w:t>
      </w:r>
      <w:r w:rsidR="0013789B" w:rsidRPr="002E0403">
        <w:rPr>
          <w:rFonts w:asciiTheme="minorHAnsi" w:eastAsia="TimesNewRoman,Bold" w:hAnsiTheme="minorHAnsi" w:cs="TimesNewRoman"/>
          <w:lang w:eastAsia="en-AU"/>
        </w:rPr>
        <w:t xml:space="preserve"> glycosylation profile.</w:t>
      </w:r>
    </w:p>
    <w:p w14:paraId="54737346" w14:textId="77777777" w:rsidR="0013789B" w:rsidRPr="00105E40" w:rsidRDefault="0013789B" w:rsidP="0013789B">
      <w:pPr>
        <w:ind w:right="-284"/>
        <w:rPr>
          <w:rFonts w:asciiTheme="minorHAnsi" w:eastAsia="TimesNewRoman" w:hAnsiTheme="minorHAnsi" w:cs="TimesNewRoman"/>
          <w:lang w:eastAsia="en-AU"/>
        </w:rPr>
      </w:pPr>
      <w:r w:rsidRPr="002E0403">
        <w:rPr>
          <w:rFonts w:asciiTheme="minorHAnsi" w:eastAsia="TimesNewRoman" w:hAnsiTheme="minorHAnsi" w:cs="TimesNewRoman"/>
          <w:lang w:eastAsia="en-AU"/>
        </w:rPr>
        <w:t xml:space="preserve">Comparison between the analytical methods and specifications described in the monograph for follitropin concentrated solution and those used for release of </w:t>
      </w:r>
      <w:r w:rsidR="00C83E85" w:rsidRPr="002E0403">
        <w:rPr>
          <w:rFonts w:asciiTheme="minorHAnsi" w:eastAsia="TimesNewRoman" w:hAnsiTheme="minorHAnsi" w:cs="TimesNewRoman"/>
          <w:lang w:eastAsia="en-AU"/>
        </w:rPr>
        <w:t xml:space="preserve">the </w:t>
      </w:r>
      <w:r w:rsidRPr="002E0403">
        <w:rPr>
          <w:rFonts w:asciiTheme="minorHAnsi" w:eastAsia="TimesNewRoman" w:hAnsiTheme="minorHAnsi" w:cs="TimesNewRoman"/>
          <w:lang w:eastAsia="en-AU"/>
        </w:rPr>
        <w:t xml:space="preserve">DS is provided by the sponsor and discussed in different parts of the </w:t>
      </w:r>
      <w:r w:rsidR="002E0403" w:rsidRPr="002E0403">
        <w:rPr>
          <w:rFonts w:asciiTheme="minorHAnsi" w:eastAsia="TimesNewRoman" w:hAnsiTheme="minorHAnsi" w:cs="TimesNewRoman"/>
          <w:lang w:eastAsia="en-AU"/>
        </w:rPr>
        <w:t xml:space="preserve">sponsor’s </w:t>
      </w:r>
      <w:r w:rsidRPr="002E0403">
        <w:rPr>
          <w:rFonts w:asciiTheme="minorHAnsi" w:eastAsia="TimesNewRoman" w:hAnsiTheme="minorHAnsi" w:cs="TimesNewRoman"/>
          <w:lang w:eastAsia="en-AU"/>
        </w:rPr>
        <w:t>dossier</w:t>
      </w:r>
      <w:r w:rsidRPr="00166154">
        <w:rPr>
          <w:rFonts w:asciiTheme="minorHAnsi" w:eastAsia="TimesNewRoman" w:hAnsiTheme="minorHAnsi" w:cs="TimesNewRoman"/>
          <w:lang w:eastAsia="en-AU"/>
        </w:rPr>
        <w:t>.</w:t>
      </w:r>
      <w:r w:rsidRPr="002E0403">
        <w:rPr>
          <w:rFonts w:asciiTheme="minorHAnsi" w:eastAsia="TimesNewRoman" w:hAnsiTheme="minorHAnsi" w:cs="TimesNewRoman"/>
          <w:lang w:eastAsia="en-AU"/>
        </w:rPr>
        <w:t xml:space="preserve"> All quality attributes specified in the monograph are also defined as critical quality attributes (CQAs) and inclu</w:t>
      </w:r>
      <w:r w:rsidR="00A73250">
        <w:rPr>
          <w:rFonts w:asciiTheme="minorHAnsi" w:eastAsia="TimesNewRoman" w:hAnsiTheme="minorHAnsi" w:cs="TimesNewRoman"/>
          <w:lang w:eastAsia="en-AU"/>
        </w:rPr>
        <w:t>ded in the specification for Rekovelle</w:t>
      </w:r>
      <w:r w:rsidRPr="002E0403">
        <w:rPr>
          <w:rFonts w:asciiTheme="minorHAnsi" w:eastAsia="TimesNewRoman" w:hAnsiTheme="minorHAnsi" w:cs="TimesNewRoman"/>
          <w:lang w:eastAsia="en-AU"/>
        </w:rPr>
        <w:t xml:space="preserve">. However, </w:t>
      </w:r>
      <w:r w:rsidR="00A73250">
        <w:rPr>
          <w:rFonts w:asciiTheme="minorHAnsi" w:eastAsia="TimesNewRoman" w:hAnsiTheme="minorHAnsi" w:cs="TimesNewRoman"/>
          <w:lang w:eastAsia="en-AU"/>
        </w:rPr>
        <w:t>Rekovelle</w:t>
      </w:r>
      <w:r w:rsidRPr="002E0403">
        <w:rPr>
          <w:rFonts w:asciiTheme="minorHAnsi" w:eastAsia="TimesNewRoman" w:hAnsiTheme="minorHAnsi" w:cs="TimesNewRoman"/>
          <w:lang w:eastAsia="en-AU"/>
        </w:rPr>
        <w:t xml:space="preserve"> does not conform to some of the pharmacopoeial specifications due to the distinct glycosylation profile. The test methods used for some of the parameters are different to those described in the monograph.</w:t>
      </w:r>
      <w:r w:rsidR="000B0D1D" w:rsidRPr="002E0403">
        <w:rPr>
          <w:rFonts w:asciiTheme="minorHAnsi" w:eastAsia="TimesNewRoman" w:hAnsiTheme="minorHAnsi" w:cs="TimesNewRoman"/>
          <w:lang w:eastAsia="en-AU"/>
        </w:rPr>
        <w:t xml:space="preserve"> </w:t>
      </w:r>
      <w:r w:rsidRPr="002E0403">
        <w:rPr>
          <w:rFonts w:asciiTheme="minorHAnsi" w:eastAsia="TimesNewRoman" w:hAnsiTheme="minorHAnsi" w:cs="TimesNewRoman"/>
          <w:lang w:eastAsia="en-AU"/>
        </w:rPr>
        <w:t>This may necessitate an application for Section 14/14A exemption.</w:t>
      </w:r>
      <w:r w:rsidR="000B0D1D" w:rsidRPr="002E0403">
        <w:rPr>
          <w:rFonts w:asciiTheme="minorHAnsi" w:eastAsia="TimesNewRoman" w:hAnsiTheme="minorHAnsi" w:cs="TimesNewRoman"/>
          <w:lang w:eastAsia="en-AU"/>
        </w:rPr>
        <w:t xml:space="preserve"> </w:t>
      </w:r>
      <w:r w:rsidRPr="002E0403">
        <w:rPr>
          <w:rFonts w:asciiTheme="minorHAnsi" w:eastAsia="TimesNewRoman" w:hAnsiTheme="minorHAnsi" w:cs="TimesNewRoman"/>
          <w:lang w:eastAsia="en-AU"/>
        </w:rPr>
        <w:t>A recommendation to this effect has been put to the sponsor</w:t>
      </w:r>
      <w:r w:rsidR="00D02DE0" w:rsidRPr="002E0403">
        <w:rPr>
          <w:rFonts w:asciiTheme="minorHAnsi" w:eastAsia="TimesNewRoman" w:hAnsiTheme="minorHAnsi" w:cs="TimesNewRoman"/>
          <w:lang w:eastAsia="en-AU"/>
        </w:rPr>
        <w:t>.</w:t>
      </w:r>
    </w:p>
    <w:p w14:paraId="6C1A1A4C" w14:textId="77777777" w:rsidR="008E7846" w:rsidRDefault="008E7846" w:rsidP="008E7846">
      <w:pPr>
        <w:pStyle w:val="Heading3"/>
      </w:pPr>
      <w:bookmarkStart w:id="32" w:name="_Toc314842491"/>
      <w:bookmarkStart w:id="33" w:name="_Toc497744249"/>
      <w:r>
        <w:t>Biopharmaceutics</w:t>
      </w:r>
      <w:bookmarkEnd w:id="32"/>
      <w:bookmarkEnd w:id="33"/>
    </w:p>
    <w:p w14:paraId="406FB598" w14:textId="77777777" w:rsidR="008E7846" w:rsidRDefault="0013789B" w:rsidP="008E7846">
      <w:r>
        <w:t>Not applicable.</w:t>
      </w:r>
    </w:p>
    <w:p w14:paraId="189655EC" w14:textId="77777777" w:rsidR="008E7846" w:rsidRPr="008751DC" w:rsidRDefault="008E7846" w:rsidP="008E7846">
      <w:pPr>
        <w:pStyle w:val="Heading3"/>
      </w:pPr>
      <w:bookmarkStart w:id="34" w:name="_Toc247691509"/>
      <w:bookmarkStart w:id="35" w:name="_Toc314842493"/>
      <w:bookmarkStart w:id="36" w:name="_Toc497744250"/>
      <w:r>
        <w:t>Quality s</w:t>
      </w:r>
      <w:r w:rsidRPr="008751DC">
        <w:t>ummary</w:t>
      </w:r>
      <w:r>
        <w:t xml:space="preserve"> and conclusions</w:t>
      </w:r>
      <w:bookmarkEnd w:id="34"/>
      <w:bookmarkEnd w:id="35"/>
      <w:bookmarkEnd w:id="36"/>
    </w:p>
    <w:p w14:paraId="40D5F99A" w14:textId="72016057" w:rsidR="00371AC4" w:rsidRDefault="0013789B" w:rsidP="009E2E76">
      <w:pPr>
        <w:pStyle w:val="Heading4"/>
      </w:pPr>
      <w:r w:rsidRPr="000D0A7E">
        <w:t xml:space="preserve">Summary of </w:t>
      </w:r>
      <w:r w:rsidR="00371AC4">
        <w:t>i</w:t>
      </w:r>
      <w:r w:rsidRPr="000D0A7E">
        <w:t>ssues</w:t>
      </w:r>
    </w:p>
    <w:p w14:paraId="3A07F5D2" w14:textId="37974244" w:rsidR="00371AC4" w:rsidRDefault="0013789B" w:rsidP="009E2E76">
      <w:pPr>
        <w:rPr>
          <w:rFonts w:eastAsia="TimesNewRoman,Bold" w:cs="TimesNewRoman"/>
        </w:rPr>
      </w:pPr>
      <w:r w:rsidRPr="00105E40">
        <w:t>There is a requirement under section 14/14A of the Therapeutic Goods Act 1989 for the sponsor to apply for exemption from the requirement to meet the applicable standard, in this case the</w:t>
      </w:r>
      <w:r w:rsidRPr="00105E40">
        <w:rPr>
          <w:rFonts w:eastAsia="TimesNewRoman,Bold" w:cs="TimesNewRoman"/>
        </w:rPr>
        <w:t xml:space="preserve"> Ph.Eur. </w:t>
      </w:r>
      <w:proofErr w:type="gramStart"/>
      <w:r w:rsidRPr="00105E40">
        <w:rPr>
          <w:rFonts w:eastAsia="TimesNewRoman,Bold" w:cs="TimesNewRoman"/>
        </w:rPr>
        <w:t>monograph</w:t>
      </w:r>
      <w:proofErr w:type="gramEnd"/>
      <w:r w:rsidRPr="00105E40">
        <w:rPr>
          <w:rFonts w:eastAsia="TimesNewRoman,Bold" w:cs="TimesNewRoman"/>
        </w:rPr>
        <w:t xml:space="preserve"> for follitropin concentrated solution (2286)</w:t>
      </w:r>
      <w:r w:rsidR="00E87792">
        <w:rPr>
          <w:rFonts w:eastAsia="TimesNewRoman,Bold" w:cs="TimesNewRoman"/>
        </w:rPr>
        <w:t xml:space="preserve"> </w:t>
      </w:r>
      <w:r w:rsidRPr="00105E40">
        <w:rPr>
          <w:rFonts w:eastAsia="TimesNewRoman,Bold" w:cs="TimesNewRoman"/>
        </w:rPr>
        <w:t>which became effective on January</w:t>
      </w:r>
      <w:r w:rsidR="00E87792">
        <w:rPr>
          <w:rFonts w:eastAsia="TimesNewRoman,Bold" w:cs="TimesNewRoman"/>
        </w:rPr>
        <w:t xml:space="preserve"> </w:t>
      </w:r>
      <w:r w:rsidRPr="00105E40">
        <w:rPr>
          <w:rFonts w:eastAsia="TimesNewRoman,Bold" w:cs="TimesNewRoman"/>
        </w:rPr>
        <w:t>2014</w:t>
      </w:r>
      <w:r w:rsidR="00371AC4">
        <w:rPr>
          <w:rFonts w:eastAsia="TimesNewRoman,Bold" w:cs="TimesNewRoman"/>
        </w:rPr>
        <w:t>.</w:t>
      </w:r>
    </w:p>
    <w:p w14:paraId="3DCB1D0C" w14:textId="6D38E076" w:rsidR="0013789B" w:rsidRDefault="0013789B" w:rsidP="009E2E76">
      <w:r>
        <w:t xml:space="preserve">With respect to </w:t>
      </w:r>
      <w:r w:rsidR="007423DF">
        <w:t>Quality</w:t>
      </w:r>
      <w:r>
        <w:t xml:space="preserve"> matters, the PI, </w:t>
      </w:r>
      <w:r w:rsidR="007423DF">
        <w:t>Consumer Medicine Information (</w:t>
      </w:r>
      <w:r>
        <w:t>CMI</w:t>
      </w:r>
      <w:r w:rsidR="007423DF">
        <w:t>)</w:t>
      </w:r>
      <w:r>
        <w:t xml:space="preserve"> and labels as detailed in the table above are acceptable.</w:t>
      </w:r>
    </w:p>
    <w:p w14:paraId="34261C2B" w14:textId="77777777" w:rsidR="0013789B" w:rsidRPr="000D0A7E" w:rsidRDefault="007423DF" w:rsidP="009E2E76">
      <w:pPr>
        <w:pStyle w:val="Heading4"/>
      </w:pPr>
      <w:r>
        <w:t>Proposed Conditions of r</w:t>
      </w:r>
      <w:r w:rsidR="0013789B" w:rsidRPr="000D0A7E">
        <w:t>egistration</w:t>
      </w:r>
    </w:p>
    <w:p w14:paraId="35136A0D" w14:textId="10A806D5" w:rsidR="0013789B" w:rsidRPr="000D0A7E" w:rsidRDefault="0013789B" w:rsidP="007423DF">
      <w:pPr>
        <w:pStyle w:val="Heading5"/>
      </w:pPr>
      <w:r w:rsidRPr="000D0A7E">
        <w:t xml:space="preserve">Batch </w:t>
      </w:r>
      <w:r w:rsidR="00371AC4" w:rsidRPr="000D0A7E">
        <w:t xml:space="preserve">release testing &amp; compliance with certified product details </w:t>
      </w:r>
      <w:r w:rsidRPr="000D0A7E">
        <w:t>(CPD)</w:t>
      </w:r>
    </w:p>
    <w:p w14:paraId="44D832B0" w14:textId="77777777" w:rsidR="0013789B" w:rsidRPr="007423DF" w:rsidRDefault="0013789B" w:rsidP="007423DF">
      <w:pPr>
        <w:pStyle w:val="Numberbullet0"/>
      </w:pPr>
      <w:r w:rsidRPr="007423DF">
        <w:t xml:space="preserve">It is a condition of registration that all batches of </w:t>
      </w:r>
      <w:r w:rsidR="004421A0" w:rsidRPr="007423DF">
        <w:rPr>
          <w:bCs/>
        </w:rPr>
        <w:t>Rekovelle</w:t>
      </w:r>
      <w:r w:rsidRPr="007423DF">
        <w:rPr>
          <w:bCs/>
        </w:rPr>
        <w:t xml:space="preserve"> </w:t>
      </w:r>
      <w:r w:rsidRPr="007423DF">
        <w:t>imported into/manufactured in Australia must comply with the product details and specifications approved during evaluation and detailed in the Certified Product Details (CPD).</w:t>
      </w:r>
    </w:p>
    <w:p w14:paraId="470546DA" w14:textId="77777777" w:rsidR="00371AC4" w:rsidRDefault="0013789B" w:rsidP="007423DF">
      <w:pPr>
        <w:pStyle w:val="Numberbullet0"/>
      </w:pPr>
      <w:r w:rsidRPr="007423DF">
        <w:t xml:space="preserve">It is a condition of registration that each batch of </w:t>
      </w:r>
      <w:r w:rsidR="004421A0" w:rsidRPr="007423DF">
        <w:rPr>
          <w:bCs/>
        </w:rPr>
        <w:t>Rekovelle</w:t>
      </w:r>
      <w:r w:rsidRPr="007423DF">
        <w:rPr>
          <w:bCs/>
        </w:rPr>
        <w:t xml:space="preserve"> </w:t>
      </w:r>
      <w:r w:rsidRPr="007423DF">
        <w:t>imported into/manufactured in Australia is not released for sale until samples and/or the manufacturer’s release data have been assessed and endorsed for release by the TGA Laboratories Branch</w:t>
      </w:r>
      <w:r w:rsidR="00371AC4">
        <w:t>.</w:t>
      </w:r>
    </w:p>
    <w:p w14:paraId="44C8AC9C" w14:textId="5E6E42CB" w:rsidR="008E7846" w:rsidRDefault="008E7846" w:rsidP="008E7846">
      <w:pPr>
        <w:pStyle w:val="Heading2"/>
      </w:pPr>
      <w:bookmarkStart w:id="37" w:name="_Toc196046439"/>
      <w:bookmarkStart w:id="38" w:name="_Toc247691510"/>
      <w:bookmarkStart w:id="39" w:name="_Toc314842494"/>
      <w:bookmarkStart w:id="40" w:name="_Toc497744251"/>
      <w:r>
        <w:t>III. Nonclinical</w:t>
      </w:r>
      <w:bookmarkEnd w:id="37"/>
      <w:r>
        <w:t xml:space="preserve"> findings</w:t>
      </w:r>
      <w:bookmarkEnd w:id="38"/>
      <w:bookmarkEnd w:id="39"/>
      <w:bookmarkEnd w:id="40"/>
    </w:p>
    <w:p w14:paraId="6192B8FB" w14:textId="77777777" w:rsidR="008E7846" w:rsidRDefault="008E7846" w:rsidP="00940A89">
      <w:pPr>
        <w:pStyle w:val="Heading3"/>
      </w:pPr>
      <w:bookmarkStart w:id="41" w:name="_Toc247691511"/>
      <w:bookmarkStart w:id="42" w:name="_Toc314842495"/>
      <w:bookmarkStart w:id="43" w:name="_Toc497744252"/>
      <w:r>
        <w:t>Introduction</w:t>
      </w:r>
      <w:bookmarkEnd w:id="41"/>
      <w:bookmarkEnd w:id="42"/>
      <w:bookmarkEnd w:id="43"/>
    </w:p>
    <w:p w14:paraId="54CF6CFE" w14:textId="77777777" w:rsidR="001410AB" w:rsidRDefault="001410AB" w:rsidP="001D2C7B">
      <w:r>
        <w:t xml:space="preserve">The nonclinical dossier was generally of high quality. All pivotal safety-related studies were </w:t>
      </w:r>
      <w:r w:rsidR="001D2C7B">
        <w:t>Good Laboratory Compliant (</w:t>
      </w:r>
      <w:r>
        <w:t>GLP</w:t>
      </w:r>
      <w:r w:rsidR="001D2C7B">
        <w:t xml:space="preserve">) </w:t>
      </w:r>
      <w:r>
        <w:t>compliant.</w:t>
      </w:r>
    </w:p>
    <w:p w14:paraId="3495371F" w14:textId="77777777" w:rsidR="008E7846" w:rsidRPr="001D2C7B" w:rsidRDefault="008E7846" w:rsidP="001D2C7B">
      <w:pPr>
        <w:pStyle w:val="Heading3"/>
      </w:pPr>
      <w:bookmarkStart w:id="44" w:name="_Toc247691512"/>
      <w:bookmarkStart w:id="45" w:name="_Toc314842496"/>
      <w:bookmarkStart w:id="46" w:name="_Toc497744253"/>
      <w:r w:rsidRPr="00020030">
        <w:t>Pharmacology</w:t>
      </w:r>
      <w:bookmarkEnd w:id="44"/>
      <w:bookmarkEnd w:id="45"/>
      <w:bookmarkEnd w:id="46"/>
    </w:p>
    <w:p w14:paraId="5B707AD9" w14:textId="77777777" w:rsidR="001410AB" w:rsidRDefault="001410AB" w:rsidP="001D2C7B">
      <w:pPr>
        <w:pStyle w:val="Heading4"/>
      </w:pPr>
      <w:r>
        <w:t>Primary pharmacology</w:t>
      </w:r>
    </w:p>
    <w:p w14:paraId="0525C7D4" w14:textId="77777777" w:rsidR="001410AB" w:rsidRDefault="001D2C7B" w:rsidP="001410AB">
      <w:r>
        <w:t>FSH</w:t>
      </w:r>
      <w:r w:rsidR="001410AB">
        <w:t xml:space="preserve"> is produced by the anterior pituitary gland. In women, binding of circulating FSH to the cognate receptor (FSH-R) on granulosa cells in the ovary stimulates follicular growth, maturation and development. The use of recombinant human FSH to stimulate follicle maturation in women undergoing ART is well established.</w:t>
      </w:r>
    </w:p>
    <w:p w14:paraId="156FC033" w14:textId="77777777" w:rsidR="001410AB" w:rsidRDefault="001410AB" w:rsidP="001410AB">
      <w:r>
        <w:t>Follitropin delta was shown to bind to the FSH-R in a cell-free in vitro assay with sub-nanomolar affinity (</w:t>
      </w:r>
      <w:r w:rsidR="001D2C7B">
        <w:t>affinity constant (</w:t>
      </w:r>
      <w:r>
        <w:t>Ki</w:t>
      </w:r>
      <w:r w:rsidR="001D2C7B">
        <w:t>)</w:t>
      </w:r>
      <w:r>
        <w:t xml:space="preserve"> 0.10 nM) equivalent to follitropin alfa. In cell-based functional assays, it was shown to act as an agonist of the FSH-R, triggering intracellular </w:t>
      </w:r>
      <w:r w:rsidR="001D2C7B">
        <w:t>cyclic adenosine monophosphate (</w:t>
      </w:r>
      <w:r>
        <w:t>cAMP</w:t>
      </w:r>
      <w:r w:rsidR="001D2C7B">
        <w:t>)</w:t>
      </w:r>
      <w:r>
        <w:t xml:space="preserve"> accumulation in transfected </w:t>
      </w:r>
      <w:r w:rsidR="001D2C7B">
        <w:t>Human Embryonic Kidney (</w:t>
      </w:r>
      <w:r>
        <w:t>HEK</w:t>
      </w:r>
      <w:r w:rsidR="001D2C7B">
        <w:t>)</w:t>
      </w:r>
      <w:r>
        <w:t xml:space="preserve"> 293 cells and downstream receptor signalling in cultured human granulosa cells, acting with comparable potency to follitropin alfa.</w:t>
      </w:r>
    </w:p>
    <w:p w14:paraId="7B2D1022" w14:textId="77777777" w:rsidR="001410AB" w:rsidRDefault="001410AB" w:rsidP="001410AB">
      <w:r>
        <w:t>Development batches of follitropin delta were shown to promote ovarian enlargement in rats in the Steelman-Pohley bioassay (conducted according to Ph. Eur.) with similar potency to</w:t>
      </w:r>
      <w:r w:rsidR="00DF4096">
        <w:t xml:space="preserve"> follitropin alfa. However, in P</w:t>
      </w:r>
      <w:r>
        <w:t xml:space="preserve">hase </w:t>
      </w:r>
      <w:r w:rsidR="00DF4096">
        <w:t>I</w:t>
      </w:r>
      <w:r>
        <w:t xml:space="preserve"> clinical trials, equivalent IU doses of follitropin delta and follitropin alfa based on the Steelman-Pohley bioassay reportedly exhibited different pharmacokinetic properties. The sponsor attributes this effect to the differential glycosylation patterns of follitropin delta and alfa due to species differences in the cell lines used for their production. The potency of post-development batches of follitropin delta was solely characterised in vitro (in a cell based functional assay).</w:t>
      </w:r>
    </w:p>
    <w:p w14:paraId="0AD0DD9E" w14:textId="77777777" w:rsidR="001410AB" w:rsidRDefault="001410AB" w:rsidP="00DF4096">
      <w:pPr>
        <w:pStyle w:val="Heading5"/>
      </w:pPr>
      <w:r>
        <w:t>Secondary pharmacodynamics and safety pharmacology</w:t>
      </w:r>
    </w:p>
    <w:p w14:paraId="09D2B438" w14:textId="77777777" w:rsidR="001410AB" w:rsidRDefault="001410AB" w:rsidP="001410AB">
      <w:r>
        <w:t>No secondary pharmacodynamic studies were performed with follitropin delta. This is acceptable given that FSH is known to bind specifically to FSH-R, the expression of which is restricted to the gonads in vivo.</w:t>
      </w:r>
    </w:p>
    <w:p w14:paraId="73587632" w14:textId="0A112FBF" w:rsidR="004334C7" w:rsidRPr="004334C7" w:rsidRDefault="001410AB" w:rsidP="001410AB">
      <w:r>
        <w:t>Safety pharmacology studies covered the core battery of systems. There were no adverse effects of follitropin delta on the central nervous or respiratory systems in rats or on the cardiovascular system of cynomolgus monkeys at ≤</w:t>
      </w:r>
      <w:r w:rsidR="00DF4096">
        <w:t xml:space="preserve"> </w:t>
      </w:r>
      <w:r>
        <w:t xml:space="preserve">52.2 µg/kg SC, with peak serum concentrations in animals estimated to be 24 (rats) and 67 (monkeys) times higher than in patients at the maximum recommended human dose (2.58 ng/mL, based on extrapolation of steady-state data from Clinical Study CS02). Follitropin delta did not inhibit the hERG </w:t>
      </w:r>
      <w:r w:rsidR="00DF4096">
        <w:t>potassium (</w:t>
      </w:r>
      <w:r>
        <w:t>K+</w:t>
      </w:r>
      <w:r w:rsidR="00DF4096">
        <w:t>)</w:t>
      </w:r>
      <w:r>
        <w:t xml:space="preserve"> channel in vitro (tested at 313 ng/mL, </w:t>
      </w:r>
      <w:r w:rsidR="00DF4096">
        <w:t xml:space="preserve">approximately </w:t>
      </w:r>
      <w:r>
        <w:t>120</w:t>
      </w:r>
      <w:r w:rsidR="00DF4096">
        <w:t xml:space="preserve"> </w:t>
      </w:r>
      <w:r>
        <w:t xml:space="preserve">times the clinical </w:t>
      </w:r>
      <w:r w:rsidR="00E87792">
        <w:t xml:space="preserve">peak </w:t>
      </w:r>
      <w:r w:rsidR="00DF4096">
        <w:t>plasma concentration (</w:t>
      </w:r>
      <w:r>
        <w:t>C</w:t>
      </w:r>
      <w:r w:rsidRPr="00DF4096">
        <w:rPr>
          <w:vertAlign w:val="subscript"/>
        </w:rPr>
        <w:t>max</w:t>
      </w:r>
      <w:r w:rsidR="00DF4096">
        <w:t>)</w:t>
      </w:r>
      <w:r>
        <w:t>).</w:t>
      </w:r>
    </w:p>
    <w:p w14:paraId="23BB62AA" w14:textId="77777777" w:rsidR="008E7846" w:rsidRDefault="008E7846" w:rsidP="008E7846">
      <w:pPr>
        <w:pStyle w:val="Heading3"/>
      </w:pPr>
      <w:bookmarkStart w:id="47" w:name="_Toc247691513"/>
      <w:bookmarkStart w:id="48" w:name="_Toc314842497"/>
      <w:bookmarkStart w:id="49" w:name="_Toc497744254"/>
      <w:r>
        <w:t>Pharmacokinetics</w:t>
      </w:r>
      <w:bookmarkEnd w:id="47"/>
      <w:bookmarkEnd w:id="48"/>
      <w:bookmarkEnd w:id="49"/>
    </w:p>
    <w:p w14:paraId="207D570B" w14:textId="77777777" w:rsidR="00371AC4" w:rsidRDefault="001410AB" w:rsidP="001410AB">
      <w:bookmarkStart w:id="50" w:name="_Toc247691514"/>
      <w:bookmarkStart w:id="51" w:name="_Toc314842498"/>
      <w:r>
        <w:t>Follitropin delta was absorbed slowly following SC administration in both laboratory animal species tested (</w:t>
      </w:r>
      <w:r w:rsidR="0094158B">
        <w:t>time to C</w:t>
      </w:r>
      <w:r w:rsidR="0094158B" w:rsidRPr="0094158B">
        <w:rPr>
          <w:vertAlign w:val="subscript"/>
        </w:rPr>
        <w:t>max</w:t>
      </w:r>
      <w:r w:rsidR="0094158B">
        <w:t xml:space="preserve"> (</w:t>
      </w:r>
      <w:r>
        <w:t>T</w:t>
      </w:r>
      <w:r w:rsidRPr="0094158B">
        <w:rPr>
          <w:vertAlign w:val="subscript"/>
        </w:rPr>
        <w:t>max</w:t>
      </w:r>
      <w:r w:rsidR="0094158B">
        <w:t>)</w:t>
      </w:r>
      <w:r>
        <w:t>, 4</w:t>
      </w:r>
      <w:r w:rsidR="0094158B">
        <w:t xml:space="preserve"> to </w:t>
      </w:r>
      <w:r>
        <w:t>8 h in rats and monkeys), and in humans (</w:t>
      </w:r>
      <w:r w:rsidR="0094158B">
        <w:t>approximately</w:t>
      </w:r>
      <w:r w:rsidR="00E87792">
        <w:t xml:space="preserve"> </w:t>
      </w:r>
      <w:r>
        <w:t>13 h). The serum half-life was shown to be long in rats (</w:t>
      </w:r>
      <w:r w:rsidR="0094158B">
        <w:t>approximately</w:t>
      </w:r>
      <w:r w:rsidR="00E87792">
        <w:t xml:space="preserve"> </w:t>
      </w:r>
      <w:r>
        <w:t>7</w:t>
      </w:r>
      <w:r w:rsidR="0094158B">
        <w:t xml:space="preserve"> to </w:t>
      </w:r>
      <w:r>
        <w:t>9 h) and humans (</w:t>
      </w:r>
      <w:r w:rsidR="0094158B">
        <w:t>approximately</w:t>
      </w:r>
      <w:r w:rsidR="00E87792">
        <w:t xml:space="preserve"> </w:t>
      </w:r>
      <w:r>
        <w:t>30 h). The volume of distribution was low in rats, as anticipated for a large recombinant protein. Peak and overall serum drug exposure (C</w:t>
      </w:r>
      <w:r w:rsidRPr="0094158B">
        <w:rPr>
          <w:vertAlign w:val="subscript"/>
        </w:rPr>
        <w:t>max</w:t>
      </w:r>
      <w:r>
        <w:t xml:space="preserve"> and </w:t>
      </w:r>
      <w:r w:rsidR="0094158B">
        <w:t>area under the concentration versus time curve (</w:t>
      </w:r>
      <w:r>
        <w:t>AUC</w:t>
      </w:r>
      <w:r w:rsidR="0094158B">
        <w:t>)</w:t>
      </w:r>
      <w:r>
        <w:t>) were proportional to dose in monkeys and humans, while greater than dose-proportional in rats, and were increased with repeat dosing</w:t>
      </w:r>
      <w:r w:rsidR="00371AC4">
        <w:t>.</w:t>
      </w:r>
    </w:p>
    <w:p w14:paraId="2661175E" w14:textId="307C029F" w:rsidR="001410AB" w:rsidRDefault="001410AB" w:rsidP="001410AB">
      <w:r>
        <w:t>The different glycosylation pattern of follitropin delta and follitropin alfa are attributed to their production in human (PER.C6) and hamster (CHO) cell lines, respectively. CHO cells, unlike human cells, are incapable of sialylating glycoproteins in the α2</w:t>
      </w:r>
      <w:proofErr w:type="gramStart"/>
      <w:r>
        <w:t>,6</w:t>
      </w:r>
      <w:proofErr w:type="gramEnd"/>
      <w:r>
        <w:t xml:space="preserve"> </w:t>
      </w:r>
      <w:r w:rsidR="000E7763">
        <w:t xml:space="preserve">[information redacted] </w:t>
      </w:r>
      <w:r>
        <w:t xml:space="preserve">In mice and rats (but not humans), α2,6-sialylation is associated with an increased rate of elimination by the liver. Knock-out of the asialo-glycoprotein receptor in mice and pharmacological antagonism on the receptor in rats were shown to increase follitropin delta exposure, while exposure to follitropin alfa was unaffected. The faster clearance of follitropin delta </w:t>
      </w:r>
      <w:r w:rsidR="009D648F">
        <w:t>as compared to</w:t>
      </w:r>
      <w:r>
        <w:t xml:space="preserve"> follitropin alfa in rats will translate to lower apparent potency in the Steelman-Pohley bioassay. With α2</w:t>
      </w:r>
      <w:proofErr w:type="gramStart"/>
      <w:r>
        <w:t>,6</w:t>
      </w:r>
      <w:proofErr w:type="gramEnd"/>
      <w:r>
        <w:t xml:space="preserve">-sialylation not known to aid protein elimination in humans, equivalent IU doses (derived from activity in rats) can be expected to result in higher exposure (and greater activity) for follitropin delta </w:t>
      </w:r>
      <w:r w:rsidR="009D648F">
        <w:t>compared to</w:t>
      </w:r>
      <w:r>
        <w:t xml:space="preserve"> follitropin alfa in patients. </w:t>
      </w:r>
      <w:r w:rsidR="000E7763">
        <w:t>[</w:t>
      </w:r>
      <w:proofErr w:type="gramStart"/>
      <w:r w:rsidR="000E7763">
        <w:t>information</w:t>
      </w:r>
      <w:proofErr w:type="gramEnd"/>
      <w:r w:rsidR="000E7763">
        <w:t xml:space="preserve"> redacted] </w:t>
      </w:r>
      <w:r w:rsidR="00C246F2">
        <w:t>I</w:t>
      </w:r>
      <w:r>
        <w:t xml:space="preserve">n vitro data </w:t>
      </w:r>
      <w:r w:rsidR="00C246F2">
        <w:t xml:space="preserve">showed </w:t>
      </w:r>
      <w:r>
        <w:t xml:space="preserve">equivalent FSH R affinity and potency for follitropin delta </w:t>
      </w:r>
      <w:r w:rsidR="000E7763">
        <w:t>to that of</w:t>
      </w:r>
      <w:r>
        <w:t xml:space="preserve"> follitropin alfa.</w:t>
      </w:r>
    </w:p>
    <w:p w14:paraId="75CA345B" w14:textId="77777777" w:rsidR="001410AB" w:rsidRDefault="001410AB" w:rsidP="001410AB">
      <w:r>
        <w:t>No distribution, metabolism or excretion studies were performed with follitropin delta. This is acceptable based on ICH S6 (R1) and considering these are anticipated to parallel the pathways for endogenous FSH, including elimination primarily in the urine.</w:t>
      </w:r>
    </w:p>
    <w:p w14:paraId="694784A3" w14:textId="77777777" w:rsidR="001410AB" w:rsidRDefault="001410AB" w:rsidP="001410AB">
      <w:r>
        <w:t>The pharmacokinetic profiles of follitropin delta in rats, monkeys and humans were shown to be sufficiently similar to allow the laboratory animal species to serve as appropriate models for assessing the toxicity profile of the drug.</w:t>
      </w:r>
    </w:p>
    <w:p w14:paraId="77B84B89" w14:textId="77777777" w:rsidR="001410AB" w:rsidRDefault="001410AB" w:rsidP="009D648F">
      <w:pPr>
        <w:pStyle w:val="Heading4"/>
      </w:pPr>
      <w:r>
        <w:t>Pharmacokinetic drug interactions</w:t>
      </w:r>
    </w:p>
    <w:p w14:paraId="7436BD4E" w14:textId="77777777" w:rsidR="004334C7" w:rsidRDefault="001410AB" w:rsidP="001410AB">
      <w:r>
        <w:t>No drug interaction studies were performed. This is acceptable given the nature of the drug.</w:t>
      </w:r>
    </w:p>
    <w:p w14:paraId="730940F5" w14:textId="77777777" w:rsidR="001B5C90" w:rsidRDefault="008E7846" w:rsidP="001B5C90">
      <w:pPr>
        <w:pStyle w:val="Heading3"/>
      </w:pPr>
      <w:bookmarkStart w:id="52" w:name="_Toc497744255"/>
      <w:r>
        <w:t>Toxicology</w:t>
      </w:r>
      <w:bookmarkEnd w:id="50"/>
      <w:bookmarkEnd w:id="51"/>
      <w:bookmarkEnd w:id="52"/>
    </w:p>
    <w:p w14:paraId="450DFF4C" w14:textId="77777777" w:rsidR="001410AB" w:rsidRDefault="001410AB" w:rsidP="009D648F">
      <w:pPr>
        <w:pStyle w:val="Heading4"/>
      </w:pPr>
      <w:r>
        <w:t>Acute toxicity</w:t>
      </w:r>
    </w:p>
    <w:p w14:paraId="4507F009" w14:textId="77777777" w:rsidR="001410AB" w:rsidRDefault="001410AB" w:rsidP="001410AB">
      <w:r>
        <w:t xml:space="preserve">Single-dose toxicity studies were conducted with follitropin delta in mice and rats by the SC (clinical) and </w:t>
      </w:r>
      <w:r w:rsidR="001F68C1">
        <w:t>intravenous (</w:t>
      </w:r>
      <w:r>
        <w:t>IV</w:t>
      </w:r>
      <w:r w:rsidR="001F68C1">
        <w:t>)</w:t>
      </w:r>
      <w:r>
        <w:t xml:space="preserve"> routes. A maximum non-lethal dose of 290 µg/kg (the highest dose tested) was established in all instances, and is 55 (mice) and 110 (rats) times higher than the maximum recommended human dose on a body surface area basis. Follitropin delta is therefore seen to have a low order of acute toxicity.</w:t>
      </w:r>
    </w:p>
    <w:p w14:paraId="5C90528C" w14:textId="77777777" w:rsidR="001410AB" w:rsidRDefault="001410AB" w:rsidP="009D648F">
      <w:pPr>
        <w:pStyle w:val="Heading4"/>
      </w:pPr>
      <w:r>
        <w:t>Repeat-dose toxicity</w:t>
      </w:r>
    </w:p>
    <w:p w14:paraId="27BBB76D" w14:textId="77777777" w:rsidR="001410AB" w:rsidRDefault="001410AB" w:rsidP="001410AB">
      <w:r>
        <w:t>Repeat-dose toxicity studies of up to 4 weeks duration were conducted in rats and cynomolgus monkeys. Follitropin delta was administered once daily by SC injection, matching the clinical route and dosing regimen. Species selection, group size and dose selection were appropriate. Animals of both sexes were used. Study duration was short but acceptable, with longer studies not feasible in either species due to the development of anti-drug antibodies.</w:t>
      </w:r>
    </w:p>
    <w:p w14:paraId="6778A005" w14:textId="77777777" w:rsidR="001410AB" w:rsidRDefault="001410AB" w:rsidP="009D648F">
      <w:pPr>
        <w:pStyle w:val="Heading5"/>
      </w:pPr>
      <w:r>
        <w:t>Relative exposure</w:t>
      </w:r>
    </w:p>
    <w:p w14:paraId="199FCE57" w14:textId="77777777" w:rsidR="001410AB" w:rsidRDefault="001410AB" w:rsidP="001410AB">
      <w:r>
        <w:t>Exposure ratios have been calculated based on animal:</w:t>
      </w:r>
      <w:r w:rsidR="009D648F">
        <w:t xml:space="preserve"> </w:t>
      </w:r>
      <w:r>
        <w:t>human serum AUC</w:t>
      </w:r>
      <w:r w:rsidRPr="009D648F">
        <w:rPr>
          <w:vertAlign w:val="subscript"/>
        </w:rPr>
        <w:t>0–24 h</w:t>
      </w:r>
      <w:r>
        <w:t xml:space="preserve"> values (Table </w:t>
      </w:r>
      <w:r w:rsidR="009D648F">
        <w:t>2</w:t>
      </w:r>
      <w:r>
        <w:t>). Very large multiples of the human exposure at the maximum recommended clinical dose w</w:t>
      </w:r>
      <w:r w:rsidR="009D648F">
        <w:t>as</w:t>
      </w:r>
      <w:r>
        <w:t xml:space="preserve"> obtained at the highest dose levels tested. Disappointingly, the pivotal 4</w:t>
      </w:r>
      <w:r w:rsidR="009D648F">
        <w:t xml:space="preserve"> </w:t>
      </w:r>
      <w:r>
        <w:t>week rat study did not include adequate toxicokinetic sampling to determine AUC; exposure in tha</w:t>
      </w:r>
      <w:r w:rsidR="009D648F">
        <w:t xml:space="preserve">t study is estimated from the 2 </w:t>
      </w:r>
      <w:r>
        <w:t>week rat study.</w:t>
      </w:r>
    </w:p>
    <w:p w14:paraId="22BB9003" w14:textId="77777777" w:rsidR="00D20DD5" w:rsidRPr="001A0B5C" w:rsidRDefault="00D20DD5" w:rsidP="009D648F">
      <w:pPr>
        <w:pStyle w:val="TableTitle"/>
      </w:pPr>
      <w:r w:rsidRPr="001A0B5C">
        <w:t xml:space="preserve">Table </w:t>
      </w:r>
      <w:r w:rsidR="009D648F">
        <w:t>2:</w:t>
      </w:r>
      <w:r w:rsidRPr="001A0B5C">
        <w:t xml:space="preserve"> Relative exposure in repeat-dose toxicity studies</w:t>
      </w:r>
    </w:p>
    <w:tbl>
      <w:tblPr>
        <w:tblStyle w:val="TableTGAblue"/>
        <w:tblW w:w="8475" w:type="dxa"/>
        <w:tblLayout w:type="fixed"/>
        <w:tblLook w:val="01E0" w:firstRow="1" w:lastRow="1" w:firstColumn="1" w:lastColumn="1" w:noHBand="0" w:noVBand="0"/>
      </w:tblPr>
      <w:tblGrid>
        <w:gridCol w:w="1528"/>
        <w:gridCol w:w="2035"/>
        <w:gridCol w:w="1654"/>
        <w:gridCol w:w="1731"/>
        <w:gridCol w:w="1527"/>
      </w:tblGrid>
      <w:tr w:rsidR="00D20DD5" w:rsidRPr="00D02DE0" w14:paraId="673BAEF6" w14:textId="77777777" w:rsidTr="00443F35">
        <w:trPr>
          <w:cnfStyle w:val="100000000000" w:firstRow="1" w:lastRow="0" w:firstColumn="0" w:lastColumn="0" w:oddVBand="0" w:evenVBand="0" w:oddHBand="0" w:evenHBand="0" w:firstRowFirstColumn="0" w:firstRowLastColumn="0" w:lastRowFirstColumn="0" w:lastRowLastColumn="0"/>
          <w:trHeight w:val="484"/>
        </w:trPr>
        <w:tc>
          <w:tcPr>
            <w:tcW w:w="1528" w:type="dxa"/>
          </w:tcPr>
          <w:p w14:paraId="1090839B" w14:textId="77777777" w:rsidR="00D20DD5" w:rsidRPr="00D02DE0" w:rsidRDefault="00D20DD5" w:rsidP="00371AC4">
            <w:pPr>
              <w:ind w:left="0"/>
              <w:rPr>
                <w:sz w:val="18"/>
                <w:szCs w:val="18"/>
              </w:rPr>
            </w:pPr>
            <w:r w:rsidRPr="00D02DE0">
              <w:rPr>
                <w:sz w:val="18"/>
                <w:szCs w:val="18"/>
              </w:rPr>
              <w:t>Species</w:t>
            </w:r>
          </w:p>
        </w:tc>
        <w:tc>
          <w:tcPr>
            <w:tcW w:w="2035" w:type="dxa"/>
          </w:tcPr>
          <w:p w14:paraId="131593D9" w14:textId="191AD1E1" w:rsidR="00D20DD5" w:rsidRPr="00D02DE0" w:rsidRDefault="00D20DD5" w:rsidP="00371AC4">
            <w:pPr>
              <w:rPr>
                <w:sz w:val="18"/>
                <w:szCs w:val="18"/>
              </w:rPr>
            </w:pPr>
            <w:r w:rsidRPr="00D02DE0">
              <w:rPr>
                <w:sz w:val="18"/>
                <w:szCs w:val="18"/>
              </w:rPr>
              <w:t>Study duration [Study no.]</w:t>
            </w:r>
          </w:p>
        </w:tc>
        <w:tc>
          <w:tcPr>
            <w:tcW w:w="1654" w:type="dxa"/>
          </w:tcPr>
          <w:p w14:paraId="3DD5AAB3" w14:textId="4FEFCA7F" w:rsidR="00D20DD5" w:rsidRPr="00D02DE0" w:rsidRDefault="00D20DD5" w:rsidP="00371AC4">
            <w:pPr>
              <w:rPr>
                <w:sz w:val="18"/>
                <w:szCs w:val="18"/>
              </w:rPr>
            </w:pPr>
            <w:r w:rsidRPr="00D02DE0">
              <w:rPr>
                <w:sz w:val="18"/>
                <w:szCs w:val="18"/>
              </w:rPr>
              <w:t>Dose</w:t>
            </w:r>
            <w:r w:rsidR="00371AC4">
              <w:rPr>
                <w:sz w:val="18"/>
                <w:szCs w:val="18"/>
              </w:rPr>
              <w:t xml:space="preserve"> </w:t>
            </w:r>
            <w:r w:rsidRPr="00D02DE0">
              <w:rPr>
                <w:sz w:val="18"/>
                <w:szCs w:val="18"/>
              </w:rPr>
              <w:t>(</w:t>
            </w:r>
            <w:proofErr w:type="spellStart"/>
            <w:r w:rsidRPr="00D02DE0">
              <w:rPr>
                <w:sz w:val="18"/>
                <w:szCs w:val="18"/>
              </w:rPr>
              <w:t>μg</w:t>
            </w:r>
            <w:proofErr w:type="spellEnd"/>
            <w:r w:rsidRPr="00D02DE0">
              <w:rPr>
                <w:sz w:val="18"/>
                <w:szCs w:val="18"/>
              </w:rPr>
              <w:t>/kg/day)</w:t>
            </w:r>
          </w:p>
        </w:tc>
        <w:tc>
          <w:tcPr>
            <w:tcW w:w="1731" w:type="dxa"/>
          </w:tcPr>
          <w:p w14:paraId="490257B7" w14:textId="349A0837" w:rsidR="00D20DD5" w:rsidRPr="00D02DE0" w:rsidRDefault="00D20DD5" w:rsidP="00371AC4">
            <w:pPr>
              <w:rPr>
                <w:sz w:val="18"/>
                <w:szCs w:val="18"/>
              </w:rPr>
            </w:pPr>
            <w:r w:rsidRPr="00D02DE0">
              <w:rPr>
                <w:sz w:val="18"/>
                <w:szCs w:val="18"/>
              </w:rPr>
              <w:t>AUC</w:t>
            </w:r>
            <w:r w:rsidRPr="00D02DE0">
              <w:rPr>
                <w:sz w:val="18"/>
                <w:szCs w:val="18"/>
                <w:vertAlign w:val="subscript"/>
              </w:rPr>
              <w:t>0–24</w:t>
            </w:r>
            <w:r w:rsidRPr="00D02DE0">
              <w:rPr>
                <w:w w:val="50"/>
                <w:sz w:val="18"/>
                <w:szCs w:val="18"/>
                <w:vertAlign w:val="subscript"/>
              </w:rPr>
              <w:t> </w:t>
            </w:r>
            <w:r w:rsidRPr="00D02DE0">
              <w:rPr>
                <w:sz w:val="18"/>
                <w:szCs w:val="18"/>
                <w:vertAlign w:val="subscript"/>
              </w:rPr>
              <w:t>h</w:t>
            </w:r>
            <w:r w:rsidRPr="00D02DE0">
              <w:rPr>
                <w:position w:val="3"/>
                <w:sz w:val="18"/>
                <w:szCs w:val="18"/>
              </w:rPr>
              <w:t>^</w:t>
            </w:r>
            <w:r w:rsidR="00371AC4">
              <w:rPr>
                <w:position w:val="3"/>
                <w:sz w:val="18"/>
                <w:szCs w:val="18"/>
              </w:rPr>
              <w:t xml:space="preserve"> </w:t>
            </w:r>
            <w:r w:rsidRPr="00D02DE0">
              <w:rPr>
                <w:sz w:val="18"/>
                <w:szCs w:val="18"/>
              </w:rPr>
              <w:t>(</w:t>
            </w:r>
            <w:proofErr w:type="spellStart"/>
            <w:r w:rsidRPr="00D02DE0">
              <w:rPr>
                <w:sz w:val="18"/>
                <w:szCs w:val="18"/>
              </w:rPr>
              <w:t>ng∙h</w:t>
            </w:r>
            <w:proofErr w:type="spellEnd"/>
            <w:r w:rsidRPr="00D02DE0">
              <w:rPr>
                <w:sz w:val="18"/>
                <w:szCs w:val="18"/>
              </w:rPr>
              <w:t>/mL)</w:t>
            </w:r>
          </w:p>
        </w:tc>
        <w:tc>
          <w:tcPr>
            <w:tcW w:w="1527" w:type="dxa"/>
          </w:tcPr>
          <w:p w14:paraId="79EBD447" w14:textId="77777777" w:rsidR="00D20DD5" w:rsidRPr="00D02DE0" w:rsidRDefault="00D20DD5" w:rsidP="00D02DE0">
            <w:pPr>
              <w:rPr>
                <w:sz w:val="18"/>
                <w:szCs w:val="18"/>
              </w:rPr>
            </w:pPr>
            <w:r w:rsidRPr="00D02DE0">
              <w:rPr>
                <w:sz w:val="18"/>
                <w:szCs w:val="18"/>
              </w:rPr>
              <w:t>Exposure ratio</w:t>
            </w:r>
            <w:r w:rsidRPr="00D02DE0">
              <w:rPr>
                <w:sz w:val="18"/>
                <w:szCs w:val="18"/>
                <w:vertAlign w:val="superscript"/>
              </w:rPr>
              <w:t>†</w:t>
            </w:r>
          </w:p>
        </w:tc>
      </w:tr>
      <w:tr w:rsidR="00D20DD5" w:rsidRPr="00D02DE0" w14:paraId="71C30EEA" w14:textId="77777777" w:rsidTr="00443F35">
        <w:trPr>
          <w:trHeight w:val="213"/>
        </w:trPr>
        <w:tc>
          <w:tcPr>
            <w:tcW w:w="1528" w:type="dxa"/>
            <w:vMerge w:val="restart"/>
          </w:tcPr>
          <w:p w14:paraId="77B40747" w14:textId="31070515" w:rsidR="00D20DD5" w:rsidRPr="00D02DE0" w:rsidRDefault="00D20DD5" w:rsidP="00371AC4">
            <w:pPr>
              <w:ind w:left="0"/>
              <w:rPr>
                <w:kern w:val="2"/>
                <w:sz w:val="18"/>
                <w:szCs w:val="18"/>
              </w:rPr>
            </w:pPr>
            <w:r w:rsidRPr="00D02DE0">
              <w:rPr>
                <w:b/>
                <w:kern w:val="2"/>
                <w:sz w:val="18"/>
                <w:szCs w:val="18"/>
              </w:rPr>
              <w:t>Rat</w:t>
            </w:r>
            <w:r w:rsidR="00371AC4">
              <w:rPr>
                <w:b/>
                <w:kern w:val="2"/>
                <w:sz w:val="18"/>
                <w:szCs w:val="18"/>
              </w:rPr>
              <w:t xml:space="preserve"> </w:t>
            </w:r>
            <w:r w:rsidRPr="00D02DE0">
              <w:rPr>
                <w:kern w:val="2"/>
                <w:sz w:val="18"/>
                <w:szCs w:val="18"/>
              </w:rPr>
              <w:br/>
              <w:t>(Wister Han)</w:t>
            </w:r>
          </w:p>
        </w:tc>
        <w:tc>
          <w:tcPr>
            <w:tcW w:w="2035" w:type="dxa"/>
            <w:vMerge w:val="restart"/>
          </w:tcPr>
          <w:p w14:paraId="50882EEB" w14:textId="1439F27C" w:rsidR="00D20DD5" w:rsidRPr="00D02DE0" w:rsidRDefault="00D20DD5" w:rsidP="00D02DE0">
            <w:pPr>
              <w:rPr>
                <w:kern w:val="2"/>
                <w:sz w:val="18"/>
                <w:szCs w:val="18"/>
              </w:rPr>
            </w:pPr>
            <w:r w:rsidRPr="00D02DE0">
              <w:rPr>
                <w:kern w:val="2"/>
                <w:sz w:val="18"/>
                <w:szCs w:val="18"/>
              </w:rPr>
              <w:t>2 weeks</w:t>
            </w:r>
            <w:r w:rsidR="00371AC4">
              <w:rPr>
                <w:kern w:val="2"/>
                <w:sz w:val="18"/>
                <w:szCs w:val="18"/>
              </w:rPr>
              <w:t xml:space="preserve"> </w:t>
            </w:r>
            <w:r w:rsidRPr="00D02DE0">
              <w:rPr>
                <w:kern w:val="2"/>
                <w:sz w:val="18"/>
                <w:szCs w:val="18"/>
              </w:rPr>
              <w:br/>
              <w:t>[Study ADR0055]</w:t>
            </w:r>
          </w:p>
        </w:tc>
        <w:tc>
          <w:tcPr>
            <w:tcW w:w="1654" w:type="dxa"/>
          </w:tcPr>
          <w:p w14:paraId="137CDE97" w14:textId="77777777" w:rsidR="00D20DD5" w:rsidRPr="00D02DE0" w:rsidRDefault="00D20DD5" w:rsidP="00D02DE0">
            <w:pPr>
              <w:rPr>
                <w:sz w:val="18"/>
                <w:szCs w:val="18"/>
              </w:rPr>
            </w:pPr>
            <w:r w:rsidRPr="00D02DE0">
              <w:rPr>
                <w:sz w:val="18"/>
                <w:szCs w:val="18"/>
              </w:rPr>
              <w:t>1.45</w:t>
            </w:r>
          </w:p>
        </w:tc>
        <w:tc>
          <w:tcPr>
            <w:tcW w:w="1731" w:type="dxa"/>
          </w:tcPr>
          <w:p w14:paraId="38740BF1" w14:textId="77777777" w:rsidR="00D20DD5" w:rsidRPr="00D02DE0" w:rsidRDefault="00D20DD5" w:rsidP="00D02DE0">
            <w:pPr>
              <w:rPr>
                <w:kern w:val="2"/>
                <w:sz w:val="18"/>
                <w:szCs w:val="18"/>
              </w:rPr>
            </w:pPr>
            <w:r w:rsidRPr="00D02DE0">
              <w:rPr>
                <w:kern w:val="2"/>
                <w:sz w:val="18"/>
                <w:szCs w:val="18"/>
              </w:rPr>
              <w:t>Below LLoQ</w:t>
            </w:r>
            <w:r w:rsidRPr="00D02DE0">
              <w:rPr>
                <w:kern w:val="2"/>
                <w:sz w:val="18"/>
                <w:szCs w:val="18"/>
                <w:vertAlign w:val="superscript"/>
              </w:rPr>
              <w:t>#</w:t>
            </w:r>
          </w:p>
        </w:tc>
        <w:tc>
          <w:tcPr>
            <w:tcW w:w="1527" w:type="dxa"/>
          </w:tcPr>
          <w:p w14:paraId="56FAE228" w14:textId="77777777" w:rsidR="00D20DD5" w:rsidRPr="00D02DE0" w:rsidRDefault="00D20DD5" w:rsidP="00D02DE0">
            <w:pPr>
              <w:rPr>
                <w:kern w:val="2"/>
                <w:sz w:val="18"/>
                <w:szCs w:val="18"/>
              </w:rPr>
            </w:pPr>
            <w:r w:rsidRPr="00D02DE0">
              <w:rPr>
                <w:kern w:val="2"/>
                <w:sz w:val="18"/>
                <w:szCs w:val="18"/>
              </w:rPr>
              <w:t>NC</w:t>
            </w:r>
          </w:p>
        </w:tc>
      </w:tr>
      <w:tr w:rsidR="00D20DD5" w:rsidRPr="00D02DE0" w14:paraId="00AA959D" w14:textId="77777777" w:rsidTr="00443F35">
        <w:trPr>
          <w:trHeight w:val="213"/>
        </w:trPr>
        <w:tc>
          <w:tcPr>
            <w:tcW w:w="1528" w:type="dxa"/>
            <w:vMerge/>
          </w:tcPr>
          <w:p w14:paraId="632026E9" w14:textId="77777777" w:rsidR="00D20DD5" w:rsidRPr="00D02DE0" w:rsidRDefault="00D20DD5" w:rsidP="00371AC4">
            <w:pPr>
              <w:ind w:left="0"/>
              <w:rPr>
                <w:kern w:val="2"/>
                <w:sz w:val="18"/>
                <w:szCs w:val="18"/>
              </w:rPr>
            </w:pPr>
          </w:p>
        </w:tc>
        <w:tc>
          <w:tcPr>
            <w:tcW w:w="2035" w:type="dxa"/>
            <w:vMerge/>
          </w:tcPr>
          <w:p w14:paraId="638194E1" w14:textId="77777777" w:rsidR="00D20DD5" w:rsidRPr="00D02DE0" w:rsidRDefault="00D20DD5" w:rsidP="00D02DE0">
            <w:pPr>
              <w:rPr>
                <w:kern w:val="2"/>
                <w:sz w:val="18"/>
                <w:szCs w:val="18"/>
              </w:rPr>
            </w:pPr>
          </w:p>
        </w:tc>
        <w:tc>
          <w:tcPr>
            <w:tcW w:w="1654" w:type="dxa"/>
          </w:tcPr>
          <w:p w14:paraId="7D396C94" w14:textId="77777777" w:rsidR="00D20DD5" w:rsidRPr="00D02DE0" w:rsidRDefault="00D20DD5" w:rsidP="00D02DE0">
            <w:pPr>
              <w:rPr>
                <w:sz w:val="18"/>
                <w:szCs w:val="18"/>
              </w:rPr>
            </w:pPr>
            <w:r w:rsidRPr="00D02DE0">
              <w:rPr>
                <w:sz w:val="18"/>
                <w:szCs w:val="18"/>
              </w:rPr>
              <w:t>14.5</w:t>
            </w:r>
          </w:p>
        </w:tc>
        <w:tc>
          <w:tcPr>
            <w:tcW w:w="1731" w:type="dxa"/>
          </w:tcPr>
          <w:p w14:paraId="1F0758BD" w14:textId="77777777" w:rsidR="00D20DD5" w:rsidRPr="00D02DE0" w:rsidRDefault="00D20DD5" w:rsidP="00D02DE0">
            <w:pPr>
              <w:rPr>
                <w:sz w:val="18"/>
                <w:szCs w:val="18"/>
              </w:rPr>
            </w:pPr>
            <w:r w:rsidRPr="00D02DE0">
              <w:rPr>
                <w:sz w:val="18"/>
                <w:szCs w:val="18"/>
              </w:rPr>
              <w:t>135</w:t>
            </w:r>
          </w:p>
        </w:tc>
        <w:tc>
          <w:tcPr>
            <w:tcW w:w="1527" w:type="dxa"/>
          </w:tcPr>
          <w:p w14:paraId="77E3FE95" w14:textId="77777777" w:rsidR="00D20DD5" w:rsidRPr="00D02DE0" w:rsidRDefault="00D20DD5" w:rsidP="00D02DE0">
            <w:pPr>
              <w:rPr>
                <w:kern w:val="2"/>
                <w:sz w:val="18"/>
                <w:szCs w:val="18"/>
              </w:rPr>
            </w:pPr>
            <w:r w:rsidRPr="00D02DE0">
              <w:rPr>
                <w:kern w:val="2"/>
                <w:sz w:val="18"/>
                <w:szCs w:val="18"/>
              </w:rPr>
              <w:t>3.2</w:t>
            </w:r>
          </w:p>
        </w:tc>
      </w:tr>
      <w:tr w:rsidR="00D20DD5" w:rsidRPr="00D02DE0" w14:paraId="599AADC7" w14:textId="77777777" w:rsidTr="00443F35">
        <w:trPr>
          <w:trHeight w:val="213"/>
        </w:trPr>
        <w:tc>
          <w:tcPr>
            <w:tcW w:w="1528" w:type="dxa"/>
            <w:vMerge/>
          </w:tcPr>
          <w:p w14:paraId="2B3A68B3" w14:textId="77777777" w:rsidR="00D20DD5" w:rsidRPr="00D02DE0" w:rsidRDefault="00D20DD5" w:rsidP="00371AC4">
            <w:pPr>
              <w:ind w:left="0"/>
              <w:rPr>
                <w:kern w:val="2"/>
                <w:sz w:val="18"/>
                <w:szCs w:val="18"/>
              </w:rPr>
            </w:pPr>
          </w:p>
        </w:tc>
        <w:tc>
          <w:tcPr>
            <w:tcW w:w="2035" w:type="dxa"/>
            <w:vMerge/>
          </w:tcPr>
          <w:p w14:paraId="7ACF6B80" w14:textId="77777777" w:rsidR="00D20DD5" w:rsidRPr="00D02DE0" w:rsidRDefault="00D20DD5" w:rsidP="00D02DE0">
            <w:pPr>
              <w:rPr>
                <w:kern w:val="2"/>
                <w:sz w:val="18"/>
                <w:szCs w:val="18"/>
              </w:rPr>
            </w:pPr>
          </w:p>
        </w:tc>
        <w:tc>
          <w:tcPr>
            <w:tcW w:w="1654" w:type="dxa"/>
          </w:tcPr>
          <w:p w14:paraId="025BF5FE" w14:textId="77777777" w:rsidR="00D20DD5" w:rsidRPr="00D02DE0" w:rsidRDefault="00D20DD5" w:rsidP="00D02DE0">
            <w:pPr>
              <w:rPr>
                <w:sz w:val="18"/>
                <w:szCs w:val="18"/>
              </w:rPr>
            </w:pPr>
            <w:r w:rsidRPr="00D02DE0">
              <w:rPr>
                <w:sz w:val="18"/>
                <w:szCs w:val="18"/>
              </w:rPr>
              <w:t>145</w:t>
            </w:r>
          </w:p>
        </w:tc>
        <w:tc>
          <w:tcPr>
            <w:tcW w:w="1731" w:type="dxa"/>
          </w:tcPr>
          <w:p w14:paraId="1CF8BD1C" w14:textId="77777777" w:rsidR="00D20DD5" w:rsidRPr="00D02DE0" w:rsidRDefault="00D20DD5" w:rsidP="00D02DE0">
            <w:pPr>
              <w:rPr>
                <w:sz w:val="18"/>
                <w:szCs w:val="18"/>
              </w:rPr>
            </w:pPr>
            <w:r w:rsidRPr="00D02DE0">
              <w:rPr>
                <w:sz w:val="18"/>
                <w:szCs w:val="18"/>
              </w:rPr>
              <w:t>4296</w:t>
            </w:r>
          </w:p>
        </w:tc>
        <w:tc>
          <w:tcPr>
            <w:tcW w:w="1527" w:type="dxa"/>
          </w:tcPr>
          <w:p w14:paraId="0D7B989E" w14:textId="77777777" w:rsidR="00D20DD5" w:rsidRPr="00D02DE0" w:rsidRDefault="00D20DD5" w:rsidP="00D02DE0">
            <w:pPr>
              <w:rPr>
                <w:kern w:val="2"/>
                <w:sz w:val="18"/>
                <w:szCs w:val="18"/>
              </w:rPr>
            </w:pPr>
            <w:r w:rsidRPr="00D02DE0">
              <w:rPr>
                <w:kern w:val="2"/>
                <w:sz w:val="18"/>
                <w:szCs w:val="18"/>
              </w:rPr>
              <w:t>103</w:t>
            </w:r>
          </w:p>
        </w:tc>
      </w:tr>
      <w:tr w:rsidR="00D20DD5" w:rsidRPr="00D02DE0" w14:paraId="0668AAFB" w14:textId="77777777" w:rsidTr="00443F35">
        <w:trPr>
          <w:trHeight w:val="213"/>
        </w:trPr>
        <w:tc>
          <w:tcPr>
            <w:tcW w:w="1528" w:type="dxa"/>
            <w:vMerge/>
          </w:tcPr>
          <w:p w14:paraId="1E0996F8" w14:textId="77777777" w:rsidR="00D20DD5" w:rsidRPr="00D02DE0" w:rsidRDefault="00D20DD5" w:rsidP="00371AC4">
            <w:pPr>
              <w:ind w:left="0"/>
              <w:rPr>
                <w:b/>
                <w:kern w:val="2"/>
                <w:sz w:val="18"/>
                <w:szCs w:val="18"/>
              </w:rPr>
            </w:pPr>
          </w:p>
        </w:tc>
        <w:tc>
          <w:tcPr>
            <w:tcW w:w="2035" w:type="dxa"/>
            <w:vMerge w:val="restart"/>
          </w:tcPr>
          <w:p w14:paraId="70F15C3E" w14:textId="77777777" w:rsidR="00D20DD5" w:rsidRPr="00D02DE0" w:rsidRDefault="00D20DD5" w:rsidP="00D02DE0">
            <w:pPr>
              <w:rPr>
                <w:kern w:val="2"/>
                <w:sz w:val="18"/>
                <w:szCs w:val="18"/>
              </w:rPr>
            </w:pPr>
            <w:r w:rsidRPr="00D02DE0">
              <w:rPr>
                <w:kern w:val="2"/>
                <w:sz w:val="18"/>
                <w:szCs w:val="18"/>
              </w:rPr>
              <w:t>4 weeks</w:t>
            </w:r>
            <w:r w:rsidRPr="00D02DE0">
              <w:rPr>
                <w:kern w:val="2"/>
                <w:sz w:val="18"/>
                <w:szCs w:val="18"/>
              </w:rPr>
              <w:br/>
              <w:t>[Study ADR0060]</w:t>
            </w:r>
          </w:p>
        </w:tc>
        <w:tc>
          <w:tcPr>
            <w:tcW w:w="1654" w:type="dxa"/>
          </w:tcPr>
          <w:p w14:paraId="766CA08B" w14:textId="77777777" w:rsidR="00D20DD5" w:rsidRPr="00D02DE0" w:rsidRDefault="00D20DD5" w:rsidP="00D02DE0">
            <w:pPr>
              <w:rPr>
                <w:sz w:val="18"/>
                <w:szCs w:val="18"/>
              </w:rPr>
            </w:pPr>
            <w:r w:rsidRPr="00D02DE0">
              <w:rPr>
                <w:sz w:val="18"/>
                <w:szCs w:val="18"/>
              </w:rPr>
              <w:t>1.04</w:t>
            </w:r>
          </w:p>
        </w:tc>
        <w:tc>
          <w:tcPr>
            <w:tcW w:w="1731" w:type="dxa"/>
          </w:tcPr>
          <w:p w14:paraId="4057F599" w14:textId="77777777" w:rsidR="00D20DD5" w:rsidRPr="00D02DE0" w:rsidRDefault="00D20DD5" w:rsidP="00D02DE0">
            <w:pPr>
              <w:rPr>
                <w:kern w:val="2"/>
                <w:sz w:val="18"/>
                <w:szCs w:val="18"/>
              </w:rPr>
            </w:pPr>
            <w:r w:rsidRPr="00D02DE0">
              <w:rPr>
                <w:kern w:val="2"/>
                <w:sz w:val="18"/>
                <w:szCs w:val="18"/>
              </w:rPr>
              <w:t>Below LLoQ</w:t>
            </w:r>
            <w:r w:rsidRPr="00D02DE0">
              <w:rPr>
                <w:kern w:val="2"/>
                <w:sz w:val="18"/>
                <w:szCs w:val="18"/>
                <w:vertAlign w:val="superscript"/>
              </w:rPr>
              <w:t>#</w:t>
            </w:r>
            <w:r w:rsidRPr="00D02DE0">
              <w:rPr>
                <w:kern w:val="2"/>
                <w:sz w:val="18"/>
                <w:szCs w:val="18"/>
              </w:rPr>
              <w:t>*</w:t>
            </w:r>
          </w:p>
        </w:tc>
        <w:tc>
          <w:tcPr>
            <w:tcW w:w="1527" w:type="dxa"/>
          </w:tcPr>
          <w:p w14:paraId="0975C73A" w14:textId="77777777" w:rsidR="00D20DD5" w:rsidRPr="00D02DE0" w:rsidRDefault="00D20DD5" w:rsidP="00D02DE0">
            <w:pPr>
              <w:rPr>
                <w:kern w:val="2"/>
                <w:sz w:val="18"/>
                <w:szCs w:val="18"/>
              </w:rPr>
            </w:pPr>
            <w:r w:rsidRPr="00D02DE0">
              <w:rPr>
                <w:kern w:val="2"/>
                <w:sz w:val="18"/>
                <w:szCs w:val="18"/>
              </w:rPr>
              <w:t>NC</w:t>
            </w:r>
          </w:p>
        </w:tc>
      </w:tr>
      <w:tr w:rsidR="00D20DD5" w:rsidRPr="00D02DE0" w14:paraId="4A78237F" w14:textId="77777777" w:rsidTr="00443F35">
        <w:trPr>
          <w:trHeight w:val="213"/>
        </w:trPr>
        <w:tc>
          <w:tcPr>
            <w:tcW w:w="1528" w:type="dxa"/>
            <w:vMerge/>
          </w:tcPr>
          <w:p w14:paraId="7874076B" w14:textId="77777777" w:rsidR="00D20DD5" w:rsidRPr="00D02DE0" w:rsidRDefault="00D20DD5" w:rsidP="00371AC4">
            <w:pPr>
              <w:ind w:left="0"/>
              <w:rPr>
                <w:b/>
                <w:kern w:val="2"/>
                <w:sz w:val="18"/>
                <w:szCs w:val="18"/>
              </w:rPr>
            </w:pPr>
          </w:p>
        </w:tc>
        <w:tc>
          <w:tcPr>
            <w:tcW w:w="2035" w:type="dxa"/>
            <w:vMerge/>
          </w:tcPr>
          <w:p w14:paraId="164D8278" w14:textId="77777777" w:rsidR="00D20DD5" w:rsidRPr="00D02DE0" w:rsidRDefault="00D20DD5" w:rsidP="00D02DE0">
            <w:pPr>
              <w:rPr>
                <w:kern w:val="2"/>
                <w:sz w:val="18"/>
                <w:szCs w:val="18"/>
              </w:rPr>
            </w:pPr>
          </w:p>
        </w:tc>
        <w:tc>
          <w:tcPr>
            <w:tcW w:w="1654" w:type="dxa"/>
          </w:tcPr>
          <w:p w14:paraId="3692ECF7" w14:textId="77777777" w:rsidR="00D20DD5" w:rsidRPr="00D02DE0" w:rsidRDefault="00D20DD5" w:rsidP="00D02DE0">
            <w:pPr>
              <w:rPr>
                <w:sz w:val="18"/>
                <w:szCs w:val="18"/>
              </w:rPr>
            </w:pPr>
            <w:r w:rsidRPr="00D02DE0">
              <w:rPr>
                <w:sz w:val="18"/>
                <w:szCs w:val="18"/>
              </w:rPr>
              <w:t>7.3</w:t>
            </w:r>
          </w:p>
        </w:tc>
        <w:tc>
          <w:tcPr>
            <w:tcW w:w="1731" w:type="dxa"/>
          </w:tcPr>
          <w:p w14:paraId="3D99A27D" w14:textId="77777777" w:rsidR="00D20DD5" w:rsidRPr="00D02DE0" w:rsidRDefault="00D20DD5" w:rsidP="00D02DE0">
            <w:pPr>
              <w:rPr>
                <w:kern w:val="2"/>
                <w:sz w:val="18"/>
                <w:szCs w:val="18"/>
              </w:rPr>
            </w:pPr>
            <w:r w:rsidRPr="00D02DE0">
              <w:rPr>
                <w:kern w:val="2"/>
                <w:sz w:val="18"/>
                <w:szCs w:val="18"/>
              </w:rPr>
              <w:t>68*</w:t>
            </w:r>
          </w:p>
        </w:tc>
        <w:tc>
          <w:tcPr>
            <w:tcW w:w="1527" w:type="dxa"/>
          </w:tcPr>
          <w:p w14:paraId="49FB5852" w14:textId="77777777" w:rsidR="00D20DD5" w:rsidRPr="00D02DE0" w:rsidRDefault="00D20DD5" w:rsidP="00D02DE0">
            <w:pPr>
              <w:rPr>
                <w:kern w:val="2"/>
                <w:sz w:val="18"/>
                <w:szCs w:val="18"/>
              </w:rPr>
            </w:pPr>
            <w:r w:rsidRPr="00D02DE0">
              <w:rPr>
                <w:kern w:val="2"/>
                <w:sz w:val="18"/>
                <w:szCs w:val="18"/>
              </w:rPr>
              <w:t>1.6</w:t>
            </w:r>
          </w:p>
        </w:tc>
      </w:tr>
      <w:tr w:rsidR="00D20DD5" w:rsidRPr="00D02DE0" w14:paraId="1F07657C" w14:textId="77777777" w:rsidTr="00443F35">
        <w:trPr>
          <w:trHeight w:val="213"/>
        </w:trPr>
        <w:tc>
          <w:tcPr>
            <w:tcW w:w="1528" w:type="dxa"/>
            <w:vMerge/>
          </w:tcPr>
          <w:p w14:paraId="7DF69394" w14:textId="77777777" w:rsidR="00D20DD5" w:rsidRPr="00D02DE0" w:rsidRDefault="00D20DD5" w:rsidP="00371AC4">
            <w:pPr>
              <w:ind w:left="0"/>
              <w:rPr>
                <w:b/>
                <w:kern w:val="2"/>
                <w:sz w:val="18"/>
                <w:szCs w:val="18"/>
              </w:rPr>
            </w:pPr>
          </w:p>
        </w:tc>
        <w:tc>
          <w:tcPr>
            <w:tcW w:w="2035" w:type="dxa"/>
            <w:vMerge/>
          </w:tcPr>
          <w:p w14:paraId="778889CD" w14:textId="77777777" w:rsidR="00D20DD5" w:rsidRPr="00D02DE0" w:rsidRDefault="00D20DD5" w:rsidP="00D02DE0">
            <w:pPr>
              <w:rPr>
                <w:kern w:val="2"/>
                <w:sz w:val="18"/>
                <w:szCs w:val="18"/>
              </w:rPr>
            </w:pPr>
          </w:p>
        </w:tc>
        <w:tc>
          <w:tcPr>
            <w:tcW w:w="1654" w:type="dxa"/>
          </w:tcPr>
          <w:p w14:paraId="4C1B732F" w14:textId="77777777" w:rsidR="00D20DD5" w:rsidRPr="00D02DE0" w:rsidRDefault="00D20DD5" w:rsidP="00D02DE0">
            <w:pPr>
              <w:rPr>
                <w:sz w:val="18"/>
                <w:szCs w:val="18"/>
              </w:rPr>
            </w:pPr>
            <w:r w:rsidRPr="00D02DE0">
              <w:rPr>
                <w:sz w:val="18"/>
                <w:szCs w:val="18"/>
              </w:rPr>
              <w:t>52.2</w:t>
            </w:r>
          </w:p>
        </w:tc>
        <w:tc>
          <w:tcPr>
            <w:tcW w:w="1731" w:type="dxa"/>
          </w:tcPr>
          <w:p w14:paraId="541EB9B3" w14:textId="77777777" w:rsidR="00D20DD5" w:rsidRPr="00D02DE0" w:rsidRDefault="00D20DD5" w:rsidP="00D02DE0">
            <w:pPr>
              <w:rPr>
                <w:kern w:val="2"/>
                <w:sz w:val="18"/>
                <w:szCs w:val="18"/>
              </w:rPr>
            </w:pPr>
            <w:r w:rsidRPr="00D02DE0">
              <w:rPr>
                <w:kern w:val="2"/>
                <w:sz w:val="18"/>
                <w:szCs w:val="18"/>
              </w:rPr>
              <w:t>1016*</w:t>
            </w:r>
          </w:p>
        </w:tc>
        <w:tc>
          <w:tcPr>
            <w:tcW w:w="1527" w:type="dxa"/>
          </w:tcPr>
          <w:p w14:paraId="39C6E9E2" w14:textId="77777777" w:rsidR="00D20DD5" w:rsidRPr="00D02DE0" w:rsidRDefault="00D20DD5" w:rsidP="00D02DE0">
            <w:pPr>
              <w:rPr>
                <w:kern w:val="2"/>
                <w:sz w:val="18"/>
                <w:szCs w:val="18"/>
              </w:rPr>
            </w:pPr>
            <w:r w:rsidRPr="00D02DE0">
              <w:rPr>
                <w:kern w:val="2"/>
                <w:sz w:val="18"/>
                <w:szCs w:val="18"/>
              </w:rPr>
              <w:t>24</w:t>
            </w:r>
          </w:p>
        </w:tc>
      </w:tr>
      <w:tr w:rsidR="00D20DD5" w:rsidRPr="00D02DE0" w14:paraId="56CDCD97" w14:textId="77777777" w:rsidTr="00443F35">
        <w:trPr>
          <w:trHeight w:val="213"/>
        </w:trPr>
        <w:tc>
          <w:tcPr>
            <w:tcW w:w="1528" w:type="dxa"/>
            <w:vMerge w:val="restart"/>
          </w:tcPr>
          <w:p w14:paraId="79CD0C7A" w14:textId="77777777" w:rsidR="00D20DD5" w:rsidRPr="00D02DE0" w:rsidRDefault="00D20DD5" w:rsidP="00371AC4">
            <w:pPr>
              <w:ind w:left="0"/>
              <w:rPr>
                <w:kern w:val="2"/>
                <w:sz w:val="18"/>
                <w:szCs w:val="18"/>
              </w:rPr>
            </w:pPr>
            <w:r w:rsidRPr="00D02DE0">
              <w:rPr>
                <w:b/>
                <w:kern w:val="2"/>
                <w:sz w:val="18"/>
                <w:szCs w:val="18"/>
              </w:rPr>
              <w:t>Monkey</w:t>
            </w:r>
            <w:r w:rsidRPr="00D02DE0">
              <w:rPr>
                <w:kern w:val="2"/>
                <w:sz w:val="18"/>
                <w:szCs w:val="18"/>
              </w:rPr>
              <w:br/>
              <w:t>(Cynomolgus)</w:t>
            </w:r>
          </w:p>
        </w:tc>
        <w:tc>
          <w:tcPr>
            <w:tcW w:w="2035" w:type="dxa"/>
          </w:tcPr>
          <w:p w14:paraId="4A649AA2" w14:textId="77777777" w:rsidR="00D20DD5" w:rsidRPr="00D02DE0" w:rsidRDefault="00D20DD5" w:rsidP="00D02DE0">
            <w:pPr>
              <w:rPr>
                <w:kern w:val="2"/>
                <w:sz w:val="18"/>
                <w:szCs w:val="18"/>
              </w:rPr>
            </w:pPr>
            <w:r w:rsidRPr="00D02DE0">
              <w:rPr>
                <w:kern w:val="2"/>
                <w:sz w:val="18"/>
                <w:szCs w:val="18"/>
              </w:rPr>
              <w:t>7 days</w:t>
            </w:r>
            <w:r w:rsidRPr="00D02DE0">
              <w:rPr>
                <w:kern w:val="2"/>
                <w:sz w:val="18"/>
                <w:szCs w:val="18"/>
              </w:rPr>
              <w:br/>
              <w:t xml:space="preserve">[Study </w:t>
            </w:r>
            <w:r w:rsidRPr="00D02DE0">
              <w:rPr>
                <w:sz w:val="18"/>
                <w:szCs w:val="18"/>
              </w:rPr>
              <w:t>1475-099</w:t>
            </w:r>
            <w:r w:rsidRPr="00D02DE0">
              <w:rPr>
                <w:kern w:val="2"/>
                <w:sz w:val="18"/>
                <w:szCs w:val="18"/>
              </w:rPr>
              <w:t>]</w:t>
            </w:r>
          </w:p>
        </w:tc>
        <w:tc>
          <w:tcPr>
            <w:tcW w:w="1654" w:type="dxa"/>
          </w:tcPr>
          <w:p w14:paraId="108D0B80" w14:textId="77777777" w:rsidR="00D20DD5" w:rsidRPr="00D02DE0" w:rsidRDefault="00D20DD5" w:rsidP="00D02DE0">
            <w:pPr>
              <w:rPr>
                <w:kern w:val="2"/>
                <w:sz w:val="18"/>
                <w:szCs w:val="18"/>
              </w:rPr>
            </w:pPr>
            <w:r w:rsidRPr="00D02DE0">
              <w:rPr>
                <w:kern w:val="2"/>
                <w:sz w:val="18"/>
                <w:szCs w:val="18"/>
              </w:rPr>
              <w:t>290</w:t>
            </w:r>
          </w:p>
        </w:tc>
        <w:tc>
          <w:tcPr>
            <w:tcW w:w="1731" w:type="dxa"/>
          </w:tcPr>
          <w:p w14:paraId="0DFEEE64" w14:textId="77777777" w:rsidR="00D20DD5" w:rsidRPr="00D02DE0" w:rsidRDefault="00D20DD5" w:rsidP="00D02DE0">
            <w:pPr>
              <w:rPr>
                <w:kern w:val="2"/>
                <w:sz w:val="18"/>
                <w:szCs w:val="18"/>
              </w:rPr>
            </w:pPr>
            <w:r w:rsidRPr="00D02DE0">
              <w:rPr>
                <w:kern w:val="2"/>
                <w:sz w:val="18"/>
                <w:szCs w:val="18"/>
              </w:rPr>
              <w:t>29218</w:t>
            </w:r>
          </w:p>
        </w:tc>
        <w:tc>
          <w:tcPr>
            <w:tcW w:w="1527" w:type="dxa"/>
          </w:tcPr>
          <w:p w14:paraId="080C3159" w14:textId="77777777" w:rsidR="00D20DD5" w:rsidRPr="00D02DE0" w:rsidRDefault="00D20DD5" w:rsidP="00D02DE0">
            <w:pPr>
              <w:rPr>
                <w:kern w:val="2"/>
                <w:sz w:val="18"/>
                <w:szCs w:val="18"/>
              </w:rPr>
            </w:pPr>
            <w:r w:rsidRPr="00D02DE0">
              <w:rPr>
                <w:kern w:val="2"/>
                <w:sz w:val="18"/>
                <w:szCs w:val="18"/>
              </w:rPr>
              <w:t>698</w:t>
            </w:r>
          </w:p>
        </w:tc>
      </w:tr>
      <w:tr w:rsidR="00D20DD5" w:rsidRPr="00D02DE0" w14:paraId="4F07F677" w14:textId="77777777" w:rsidTr="00443F35">
        <w:trPr>
          <w:trHeight w:val="213"/>
        </w:trPr>
        <w:tc>
          <w:tcPr>
            <w:tcW w:w="1528" w:type="dxa"/>
            <w:vMerge/>
          </w:tcPr>
          <w:p w14:paraId="305504C8" w14:textId="77777777" w:rsidR="00D20DD5" w:rsidRPr="00D02DE0" w:rsidRDefault="00D20DD5" w:rsidP="00371AC4">
            <w:pPr>
              <w:ind w:left="0"/>
              <w:rPr>
                <w:kern w:val="2"/>
                <w:sz w:val="18"/>
                <w:szCs w:val="18"/>
              </w:rPr>
            </w:pPr>
          </w:p>
        </w:tc>
        <w:tc>
          <w:tcPr>
            <w:tcW w:w="2035" w:type="dxa"/>
            <w:vMerge w:val="restart"/>
          </w:tcPr>
          <w:p w14:paraId="48A527D9" w14:textId="77777777" w:rsidR="00D20DD5" w:rsidRPr="00D02DE0" w:rsidRDefault="00D20DD5" w:rsidP="00D02DE0">
            <w:pPr>
              <w:rPr>
                <w:kern w:val="2"/>
                <w:sz w:val="18"/>
                <w:szCs w:val="18"/>
              </w:rPr>
            </w:pPr>
            <w:r w:rsidRPr="00D02DE0">
              <w:rPr>
                <w:kern w:val="2"/>
                <w:sz w:val="18"/>
                <w:szCs w:val="18"/>
              </w:rPr>
              <w:t>4 weeks</w:t>
            </w:r>
            <w:r w:rsidRPr="00D02DE0">
              <w:rPr>
                <w:kern w:val="2"/>
                <w:sz w:val="18"/>
                <w:szCs w:val="18"/>
              </w:rPr>
              <w:br/>
              <w:t xml:space="preserve">[Study </w:t>
            </w:r>
            <w:r w:rsidRPr="00D02DE0">
              <w:rPr>
                <w:sz w:val="18"/>
                <w:szCs w:val="18"/>
              </w:rPr>
              <w:t>1475-101</w:t>
            </w:r>
            <w:r w:rsidRPr="00D02DE0">
              <w:rPr>
                <w:kern w:val="2"/>
                <w:sz w:val="18"/>
                <w:szCs w:val="18"/>
              </w:rPr>
              <w:t>]</w:t>
            </w:r>
          </w:p>
        </w:tc>
        <w:tc>
          <w:tcPr>
            <w:tcW w:w="1654" w:type="dxa"/>
          </w:tcPr>
          <w:p w14:paraId="02F69CB5" w14:textId="77777777" w:rsidR="00D20DD5" w:rsidRPr="00D02DE0" w:rsidRDefault="00D20DD5" w:rsidP="00D02DE0">
            <w:pPr>
              <w:rPr>
                <w:sz w:val="18"/>
                <w:szCs w:val="18"/>
              </w:rPr>
            </w:pPr>
            <w:r w:rsidRPr="00D02DE0">
              <w:rPr>
                <w:sz w:val="18"/>
                <w:szCs w:val="18"/>
              </w:rPr>
              <w:t>0.52</w:t>
            </w:r>
          </w:p>
        </w:tc>
        <w:tc>
          <w:tcPr>
            <w:tcW w:w="1731" w:type="dxa"/>
          </w:tcPr>
          <w:p w14:paraId="49E67C4F" w14:textId="77777777" w:rsidR="00D20DD5" w:rsidRPr="00D02DE0" w:rsidRDefault="00D20DD5" w:rsidP="00D02DE0">
            <w:pPr>
              <w:rPr>
                <w:kern w:val="2"/>
                <w:sz w:val="18"/>
                <w:szCs w:val="18"/>
              </w:rPr>
            </w:pPr>
            <w:r w:rsidRPr="00D02DE0">
              <w:rPr>
                <w:kern w:val="2"/>
                <w:sz w:val="18"/>
                <w:szCs w:val="18"/>
              </w:rPr>
              <w:t>60</w:t>
            </w:r>
          </w:p>
        </w:tc>
        <w:tc>
          <w:tcPr>
            <w:tcW w:w="1527" w:type="dxa"/>
          </w:tcPr>
          <w:p w14:paraId="2A3BB127" w14:textId="77777777" w:rsidR="00D20DD5" w:rsidRPr="00D02DE0" w:rsidRDefault="00D20DD5" w:rsidP="00D02DE0">
            <w:pPr>
              <w:rPr>
                <w:kern w:val="2"/>
                <w:sz w:val="18"/>
                <w:szCs w:val="18"/>
              </w:rPr>
            </w:pPr>
            <w:r w:rsidRPr="00D02DE0">
              <w:rPr>
                <w:kern w:val="2"/>
                <w:sz w:val="18"/>
                <w:szCs w:val="18"/>
              </w:rPr>
              <w:t>1.4</w:t>
            </w:r>
          </w:p>
        </w:tc>
      </w:tr>
      <w:tr w:rsidR="00D20DD5" w:rsidRPr="00D02DE0" w14:paraId="192E97E0" w14:textId="77777777" w:rsidTr="00443F35">
        <w:trPr>
          <w:trHeight w:val="213"/>
        </w:trPr>
        <w:tc>
          <w:tcPr>
            <w:tcW w:w="1528" w:type="dxa"/>
            <w:vMerge/>
          </w:tcPr>
          <w:p w14:paraId="7F871023" w14:textId="77777777" w:rsidR="00D20DD5" w:rsidRPr="00D02DE0" w:rsidRDefault="00D20DD5" w:rsidP="00371AC4">
            <w:pPr>
              <w:ind w:left="0"/>
              <w:rPr>
                <w:kern w:val="2"/>
                <w:sz w:val="18"/>
                <w:szCs w:val="18"/>
              </w:rPr>
            </w:pPr>
          </w:p>
        </w:tc>
        <w:tc>
          <w:tcPr>
            <w:tcW w:w="2035" w:type="dxa"/>
            <w:vMerge/>
          </w:tcPr>
          <w:p w14:paraId="7B8317E8" w14:textId="77777777" w:rsidR="00D20DD5" w:rsidRPr="00D02DE0" w:rsidRDefault="00D20DD5" w:rsidP="00D02DE0">
            <w:pPr>
              <w:rPr>
                <w:kern w:val="2"/>
                <w:sz w:val="18"/>
                <w:szCs w:val="18"/>
              </w:rPr>
            </w:pPr>
          </w:p>
        </w:tc>
        <w:tc>
          <w:tcPr>
            <w:tcW w:w="1654" w:type="dxa"/>
          </w:tcPr>
          <w:p w14:paraId="6F390F99" w14:textId="77777777" w:rsidR="00D20DD5" w:rsidRPr="00D02DE0" w:rsidRDefault="00D20DD5" w:rsidP="00D02DE0">
            <w:pPr>
              <w:rPr>
                <w:sz w:val="18"/>
                <w:szCs w:val="18"/>
              </w:rPr>
            </w:pPr>
            <w:r w:rsidRPr="00D02DE0">
              <w:rPr>
                <w:sz w:val="18"/>
                <w:szCs w:val="18"/>
              </w:rPr>
              <w:t>5.22</w:t>
            </w:r>
          </w:p>
        </w:tc>
        <w:tc>
          <w:tcPr>
            <w:tcW w:w="1731" w:type="dxa"/>
          </w:tcPr>
          <w:p w14:paraId="7B184535" w14:textId="77777777" w:rsidR="00D20DD5" w:rsidRPr="00D02DE0" w:rsidRDefault="00D20DD5" w:rsidP="00D02DE0">
            <w:pPr>
              <w:rPr>
                <w:kern w:val="2"/>
                <w:sz w:val="18"/>
                <w:szCs w:val="18"/>
              </w:rPr>
            </w:pPr>
            <w:r w:rsidRPr="00D02DE0">
              <w:rPr>
                <w:kern w:val="2"/>
                <w:sz w:val="18"/>
                <w:szCs w:val="18"/>
              </w:rPr>
              <w:t>499</w:t>
            </w:r>
          </w:p>
        </w:tc>
        <w:tc>
          <w:tcPr>
            <w:tcW w:w="1527" w:type="dxa"/>
          </w:tcPr>
          <w:p w14:paraId="6D24005B" w14:textId="77777777" w:rsidR="00D20DD5" w:rsidRPr="00D02DE0" w:rsidRDefault="00D20DD5" w:rsidP="00D02DE0">
            <w:pPr>
              <w:rPr>
                <w:kern w:val="2"/>
                <w:sz w:val="18"/>
                <w:szCs w:val="18"/>
              </w:rPr>
            </w:pPr>
            <w:r w:rsidRPr="00D02DE0">
              <w:rPr>
                <w:kern w:val="2"/>
                <w:sz w:val="18"/>
                <w:szCs w:val="18"/>
              </w:rPr>
              <w:t>12</w:t>
            </w:r>
          </w:p>
        </w:tc>
      </w:tr>
      <w:tr w:rsidR="00D20DD5" w:rsidRPr="00D02DE0" w14:paraId="6FEA9537" w14:textId="77777777" w:rsidTr="00443F35">
        <w:trPr>
          <w:trHeight w:val="213"/>
        </w:trPr>
        <w:tc>
          <w:tcPr>
            <w:tcW w:w="1528" w:type="dxa"/>
            <w:vMerge/>
          </w:tcPr>
          <w:p w14:paraId="2B8526BF" w14:textId="77777777" w:rsidR="00D20DD5" w:rsidRPr="00D02DE0" w:rsidRDefault="00D20DD5" w:rsidP="00371AC4">
            <w:pPr>
              <w:ind w:left="0"/>
              <w:rPr>
                <w:kern w:val="2"/>
                <w:sz w:val="18"/>
                <w:szCs w:val="18"/>
              </w:rPr>
            </w:pPr>
          </w:p>
        </w:tc>
        <w:tc>
          <w:tcPr>
            <w:tcW w:w="2035" w:type="dxa"/>
            <w:vMerge/>
          </w:tcPr>
          <w:p w14:paraId="2E2C33F8" w14:textId="77777777" w:rsidR="00D20DD5" w:rsidRPr="00D02DE0" w:rsidRDefault="00D20DD5" w:rsidP="00D02DE0">
            <w:pPr>
              <w:rPr>
                <w:kern w:val="2"/>
                <w:sz w:val="18"/>
                <w:szCs w:val="18"/>
              </w:rPr>
            </w:pPr>
          </w:p>
        </w:tc>
        <w:tc>
          <w:tcPr>
            <w:tcW w:w="1654" w:type="dxa"/>
          </w:tcPr>
          <w:p w14:paraId="70D28EFA" w14:textId="77777777" w:rsidR="00D20DD5" w:rsidRPr="00D02DE0" w:rsidRDefault="00D20DD5" w:rsidP="00D02DE0">
            <w:pPr>
              <w:rPr>
                <w:sz w:val="18"/>
                <w:szCs w:val="18"/>
              </w:rPr>
            </w:pPr>
            <w:r w:rsidRPr="00D02DE0">
              <w:rPr>
                <w:sz w:val="18"/>
                <w:szCs w:val="18"/>
              </w:rPr>
              <w:t>52.2</w:t>
            </w:r>
          </w:p>
        </w:tc>
        <w:tc>
          <w:tcPr>
            <w:tcW w:w="1731" w:type="dxa"/>
          </w:tcPr>
          <w:p w14:paraId="58C3FD83" w14:textId="77777777" w:rsidR="00D20DD5" w:rsidRPr="00D02DE0" w:rsidRDefault="00D20DD5" w:rsidP="00D02DE0">
            <w:pPr>
              <w:rPr>
                <w:kern w:val="2"/>
                <w:sz w:val="18"/>
                <w:szCs w:val="18"/>
              </w:rPr>
            </w:pPr>
            <w:r w:rsidRPr="00D02DE0">
              <w:rPr>
                <w:kern w:val="2"/>
                <w:sz w:val="18"/>
                <w:szCs w:val="18"/>
              </w:rPr>
              <w:t>7726</w:t>
            </w:r>
          </w:p>
        </w:tc>
        <w:tc>
          <w:tcPr>
            <w:tcW w:w="1527" w:type="dxa"/>
          </w:tcPr>
          <w:p w14:paraId="71E16B9F" w14:textId="77777777" w:rsidR="00D20DD5" w:rsidRPr="00D02DE0" w:rsidRDefault="00D20DD5" w:rsidP="00D02DE0">
            <w:pPr>
              <w:rPr>
                <w:kern w:val="2"/>
                <w:sz w:val="18"/>
                <w:szCs w:val="18"/>
              </w:rPr>
            </w:pPr>
            <w:r w:rsidRPr="00D02DE0">
              <w:rPr>
                <w:kern w:val="2"/>
                <w:sz w:val="18"/>
                <w:szCs w:val="18"/>
              </w:rPr>
              <w:t>185</w:t>
            </w:r>
          </w:p>
        </w:tc>
      </w:tr>
      <w:tr w:rsidR="00D20DD5" w:rsidRPr="00D02DE0" w14:paraId="51B9923A" w14:textId="77777777" w:rsidTr="00443F35">
        <w:trPr>
          <w:trHeight w:val="239"/>
        </w:trPr>
        <w:tc>
          <w:tcPr>
            <w:tcW w:w="1528" w:type="dxa"/>
          </w:tcPr>
          <w:p w14:paraId="156B52E6" w14:textId="77777777" w:rsidR="00D20DD5" w:rsidRPr="00D02DE0" w:rsidRDefault="00D20DD5" w:rsidP="00371AC4">
            <w:pPr>
              <w:ind w:left="0"/>
              <w:rPr>
                <w:kern w:val="2"/>
                <w:sz w:val="18"/>
                <w:szCs w:val="18"/>
              </w:rPr>
            </w:pPr>
            <w:r w:rsidRPr="00D02DE0">
              <w:rPr>
                <w:b/>
                <w:kern w:val="2"/>
                <w:sz w:val="18"/>
                <w:szCs w:val="18"/>
              </w:rPr>
              <w:t>Human</w:t>
            </w:r>
            <w:r w:rsidRPr="00D02DE0">
              <w:rPr>
                <w:kern w:val="2"/>
                <w:sz w:val="18"/>
                <w:szCs w:val="18"/>
              </w:rPr>
              <w:br/>
              <w:t>(patients)</w:t>
            </w:r>
          </w:p>
        </w:tc>
        <w:tc>
          <w:tcPr>
            <w:tcW w:w="2035" w:type="dxa"/>
          </w:tcPr>
          <w:p w14:paraId="5157F508" w14:textId="77777777" w:rsidR="00D20DD5" w:rsidRPr="00D02DE0" w:rsidRDefault="00D20DD5" w:rsidP="00D02DE0">
            <w:pPr>
              <w:rPr>
                <w:kern w:val="2"/>
                <w:sz w:val="18"/>
                <w:szCs w:val="18"/>
              </w:rPr>
            </w:pPr>
            <w:r w:rsidRPr="00D02DE0">
              <w:rPr>
                <w:kern w:val="2"/>
                <w:sz w:val="18"/>
                <w:szCs w:val="18"/>
              </w:rPr>
              <w:t>PK/PD modelling report</w:t>
            </w:r>
            <w:r w:rsidRPr="00D02DE0">
              <w:rPr>
                <w:kern w:val="2"/>
                <w:sz w:val="18"/>
                <w:szCs w:val="18"/>
              </w:rPr>
              <w:br/>
              <w:t>[on Study 000009]</w:t>
            </w:r>
          </w:p>
        </w:tc>
        <w:tc>
          <w:tcPr>
            <w:tcW w:w="1654" w:type="dxa"/>
          </w:tcPr>
          <w:p w14:paraId="36600594" w14:textId="77777777" w:rsidR="00D20DD5" w:rsidRPr="00D02DE0" w:rsidRDefault="00D20DD5" w:rsidP="00D02DE0">
            <w:pPr>
              <w:rPr>
                <w:kern w:val="2"/>
                <w:sz w:val="18"/>
                <w:szCs w:val="18"/>
              </w:rPr>
            </w:pPr>
            <w:r w:rsidRPr="00D02DE0">
              <w:rPr>
                <w:kern w:val="2"/>
                <w:sz w:val="18"/>
                <w:szCs w:val="18"/>
              </w:rPr>
              <w:t>[24 μg/day]</w:t>
            </w:r>
            <w:r w:rsidRPr="00D02DE0">
              <w:rPr>
                <w:kern w:val="2"/>
                <w:sz w:val="18"/>
                <w:szCs w:val="18"/>
              </w:rPr>
              <w:br/>
              <w:t>(MRHD)</w:t>
            </w:r>
          </w:p>
        </w:tc>
        <w:tc>
          <w:tcPr>
            <w:tcW w:w="1731" w:type="dxa"/>
          </w:tcPr>
          <w:p w14:paraId="1CC2D828" w14:textId="77777777" w:rsidR="00D20DD5" w:rsidRPr="00D02DE0" w:rsidRDefault="00D20DD5" w:rsidP="00D02DE0">
            <w:pPr>
              <w:rPr>
                <w:kern w:val="2"/>
                <w:sz w:val="18"/>
                <w:szCs w:val="18"/>
              </w:rPr>
            </w:pPr>
            <w:r w:rsidRPr="00D02DE0">
              <w:rPr>
                <w:kern w:val="2"/>
                <w:sz w:val="18"/>
                <w:szCs w:val="18"/>
              </w:rPr>
              <w:t>41.8</w:t>
            </w:r>
            <w:r w:rsidRPr="00D02DE0">
              <w:rPr>
                <w:kern w:val="2"/>
                <w:sz w:val="18"/>
                <w:szCs w:val="18"/>
                <w:vertAlign w:val="superscript"/>
              </w:rPr>
              <w:t>‡</w:t>
            </w:r>
          </w:p>
        </w:tc>
        <w:tc>
          <w:tcPr>
            <w:tcW w:w="1527" w:type="dxa"/>
          </w:tcPr>
          <w:p w14:paraId="79EB44C1" w14:textId="77777777" w:rsidR="00D20DD5" w:rsidRPr="00D02DE0" w:rsidRDefault="00D20DD5" w:rsidP="00D02DE0">
            <w:pPr>
              <w:rPr>
                <w:kern w:val="2"/>
                <w:sz w:val="18"/>
                <w:szCs w:val="18"/>
              </w:rPr>
            </w:pPr>
            <w:r w:rsidRPr="00D02DE0">
              <w:rPr>
                <w:kern w:val="2"/>
                <w:sz w:val="18"/>
                <w:szCs w:val="18"/>
              </w:rPr>
              <w:t>–</w:t>
            </w:r>
          </w:p>
        </w:tc>
      </w:tr>
    </w:tbl>
    <w:p w14:paraId="572BAD7C" w14:textId="77777777" w:rsidR="00D20DD5" w:rsidRPr="001A0B5C" w:rsidRDefault="00D20DD5" w:rsidP="00D20DD5">
      <w:pPr>
        <w:pStyle w:val="TableCaption"/>
      </w:pPr>
      <w:r w:rsidRPr="001A0B5C">
        <w:t xml:space="preserve">^, data are for the sexes combined at the last sampling occasion; </w:t>
      </w:r>
      <w:r w:rsidRPr="001A0B5C">
        <w:rPr>
          <w:vertAlign w:val="superscript"/>
        </w:rPr>
        <w:t>#</w:t>
      </w:r>
      <w:r w:rsidRPr="001A0B5C">
        <w:t>, LLoQ</w:t>
      </w:r>
      <w:r w:rsidR="007E1F67">
        <w:t xml:space="preserve"> (lower limit of quantification)</w:t>
      </w:r>
      <w:r w:rsidRPr="001A0B5C">
        <w:t xml:space="preserve"> = 1 ng/mL; NC, not calculated;</w:t>
      </w:r>
      <w:r w:rsidRPr="001A0B5C">
        <w:br/>
        <w:t>*, estimate based on extrapolation of data from Study ADR0055;</w:t>
      </w:r>
      <w:r w:rsidR="005219CC">
        <w:t xml:space="preserve"> </w:t>
      </w:r>
      <w:r w:rsidRPr="001A0B5C">
        <w:rPr>
          <w:vertAlign w:val="superscript"/>
        </w:rPr>
        <w:t>‡</w:t>
      </w:r>
      <w:r w:rsidRPr="001A0B5C">
        <w:t>, AUC calculated from dose/CL for dosing at 12 µg, then doubled (see Section 6.2.3)</w:t>
      </w:r>
      <w:r>
        <w:t xml:space="preserve">; </w:t>
      </w:r>
      <w:r w:rsidRPr="001A0B5C">
        <w:rPr>
          <w:vertAlign w:val="superscript"/>
        </w:rPr>
        <w:t>†</w:t>
      </w:r>
      <w:r w:rsidRPr="001A0B5C">
        <w:t>, animal:</w:t>
      </w:r>
      <w:r w:rsidR="005219CC">
        <w:t xml:space="preserve"> </w:t>
      </w:r>
      <w:r w:rsidRPr="001A0B5C">
        <w:t>human plasma AUC</w:t>
      </w:r>
      <w:r w:rsidRPr="001A0B5C">
        <w:rPr>
          <w:vertAlign w:val="subscript"/>
        </w:rPr>
        <w:t>0–24</w:t>
      </w:r>
      <w:r w:rsidRPr="001A0B5C">
        <w:rPr>
          <w:w w:val="50"/>
          <w:vertAlign w:val="subscript"/>
        </w:rPr>
        <w:t> </w:t>
      </w:r>
      <w:r w:rsidRPr="001A0B5C">
        <w:rPr>
          <w:vertAlign w:val="subscript"/>
        </w:rPr>
        <w:t>h</w:t>
      </w:r>
    </w:p>
    <w:p w14:paraId="41AB55E6" w14:textId="77777777" w:rsidR="001410AB" w:rsidRDefault="001410AB" w:rsidP="00443F35">
      <w:pPr>
        <w:pStyle w:val="Heading5"/>
      </w:pPr>
      <w:r>
        <w:t>Major findings</w:t>
      </w:r>
    </w:p>
    <w:p w14:paraId="650B28F3" w14:textId="77777777" w:rsidR="001410AB" w:rsidRDefault="001410AB" w:rsidP="001410AB">
      <w:r>
        <w:t>Effects on the female reproductive organs were the most prominent finding in treated animals, with effects on mammary gland, pituitary, hormone levels, and male reproductive tissues also seen.</w:t>
      </w:r>
    </w:p>
    <w:p w14:paraId="782EEEA8" w14:textId="77777777" w:rsidR="001410AB" w:rsidRDefault="001410AB" w:rsidP="001410AB">
      <w:r>
        <w:t>Notable changes in the female reproductive tract of follitropin delta-treated animals comprised:</w:t>
      </w:r>
    </w:p>
    <w:p w14:paraId="3B8690F4" w14:textId="77777777" w:rsidR="001410AB" w:rsidRDefault="001410AB" w:rsidP="00443F35">
      <w:pPr>
        <w:pStyle w:val="ListBullet"/>
      </w:pPr>
      <w:r>
        <w:t>increased ovary size/weight, ovarian follicular cysts and follicular haemorrhages in both species, and increased number and prominence of corpora lutea in rats, observed at all dose levels tested</w:t>
      </w:r>
    </w:p>
    <w:p w14:paraId="3473A61A" w14:textId="77777777" w:rsidR="001410AB" w:rsidRDefault="001410AB" w:rsidP="00443F35">
      <w:pPr>
        <w:pStyle w:val="ListBullet"/>
      </w:pPr>
      <w:r>
        <w:t>vaginal/cervical epithelial mucification in rats (at ≥1.04 µg/kg/day in the pivotal 4</w:t>
      </w:r>
      <w:r w:rsidR="00443F35">
        <w:t xml:space="preserve"> </w:t>
      </w:r>
      <w:r>
        <w:t>week study)</w:t>
      </w:r>
    </w:p>
    <w:p w14:paraId="53B7F588" w14:textId="77777777" w:rsidR="001410AB" w:rsidRDefault="001410AB" w:rsidP="00443F35">
      <w:pPr>
        <w:pStyle w:val="ListBullet"/>
      </w:pPr>
      <w:r>
        <w:t>uterine epithelial hypertrophy (at ≥</w:t>
      </w:r>
      <w:r w:rsidR="00443F35">
        <w:t xml:space="preserve"> </w:t>
      </w:r>
      <w:r>
        <w:t>7.3 µg/kg/day in the pivotal 4-week study) and endometrial proliferation/folding (at ≥</w:t>
      </w:r>
      <w:r w:rsidR="00443F35">
        <w:t xml:space="preserve"> </w:t>
      </w:r>
      <w:r>
        <w:t>52.2 µg/kg/day) in rats, and movement to proliferation phase in monkeys (at all doses in the pivotal 4-week study), with endometrial stromal hyalinisation (at 0.52 µg/kg/day) and cyst formation (at 5.22 µg/kg/day) also observed in the monkey uterus</w:t>
      </w:r>
      <w:r w:rsidR="00443F35">
        <w:t>.</w:t>
      </w:r>
    </w:p>
    <w:p w14:paraId="53534430" w14:textId="77777777" w:rsidR="001410AB" w:rsidRDefault="001410AB" w:rsidP="00443F35">
      <w:pPr>
        <w:pStyle w:val="ListBullet"/>
      </w:pPr>
      <w:proofErr w:type="gramStart"/>
      <w:r>
        <w:t>oviduct</w:t>
      </w:r>
      <w:proofErr w:type="gramEnd"/>
      <w:r>
        <w:t xml:space="preserve"> enlargement/dilatation in monkeys at ≥0.52 µg/kg/day in the pivotal 4</w:t>
      </w:r>
      <w:r w:rsidR="00443F35">
        <w:t xml:space="preserve"> </w:t>
      </w:r>
      <w:r>
        <w:t>week study.</w:t>
      </w:r>
    </w:p>
    <w:p w14:paraId="3C6BC0DA" w14:textId="77777777" w:rsidR="001410AB" w:rsidRDefault="001410AB" w:rsidP="007E1F67">
      <w:r>
        <w:t>Mammary gland acinar proliferation was increased in incidence/severity in female rat</w:t>
      </w:r>
      <w:r w:rsidR="00443F35">
        <w:t xml:space="preserve">s at all doses in the pivotal 4 </w:t>
      </w:r>
      <w:r>
        <w:t>week study (≥</w:t>
      </w:r>
      <w:r w:rsidR="00443F35">
        <w:t xml:space="preserve"> </w:t>
      </w:r>
      <w:r>
        <w:t>1.04 µg/kg/day) and with treatment at 14.5 µg/kg/day for 2 weeks. Increased pituitary weight was evident in rats dosed at 52.2 µg/kg/day for 4 weeks, and hyperplasia/hypertrophy of acidophilic cells of the pituitary gland occurred in monkeys at all dose levels in the pivotal 4 week study (≥0.52 µg/kg/day).</w:t>
      </w:r>
    </w:p>
    <w:p w14:paraId="0CD235C1" w14:textId="77777777" w:rsidR="001410AB" w:rsidRDefault="001410AB" w:rsidP="007E1F67">
      <w:r>
        <w:t>These findings are consistent with the primary pharmacology of the drug, with FSH activity and resultant ovarian stimulation causing hormonal changes that affect sensitive tissues. Oestradiol was shown to be increased and luteinising hormone decreased several fold in monkeys, and multi-fold increases in inhibin-B were shown in both species. Most of the histological changes in rats and monkeys were reversed or partly reversed by the end of a 4 week treatment-free period.</w:t>
      </w:r>
    </w:p>
    <w:p w14:paraId="7764D652" w14:textId="77777777" w:rsidR="001410AB" w:rsidRDefault="001410AB" w:rsidP="007E1F67">
      <w:r>
        <w:t>Remarkably, the vagina was not subjected to microscopic examination in either monkey study. This is considered to be a serious deviation from the relevant TGA-adopted EU gui</w:t>
      </w:r>
      <w:r w:rsidR="003236B8">
        <w:t>deline on repeat-dose toxicity</w:t>
      </w:r>
      <w:r w:rsidR="003236B8">
        <w:rPr>
          <w:rStyle w:val="FootnoteReference"/>
        </w:rPr>
        <w:footnoteReference w:id="1"/>
      </w:r>
      <w:r>
        <w:t>, which includes it as a core tissue to be studied histologically. However, it is not judged to be a critical deficiency overall given the examination in rats, existing experience with the pharmacological class and the absence of other observed off-target effects.</w:t>
      </w:r>
    </w:p>
    <w:p w14:paraId="727F043E" w14:textId="77777777" w:rsidR="001410AB" w:rsidRDefault="001410AB" w:rsidP="007E1F67">
      <w:r>
        <w:t>Although follitropin delta is proposed to be indicated solely for use in females, male animals were included in the repeat-dose toxicity studies. Treatment was associated with feminisation of the mammary gland in male rats (seen at ≥1.45 µg/kg/day in the 2-week study) and testes atrophy in monkeys (at ≥0.52 µg/kg/day for 4 weeks), accompanied by degeneration of the germinal epithelium and decreased sperm in the epididymis with treatment at 290 µg/kg/day for 2 weeks. These findings are also consistent with the primary pharmacological activity of the drug. Together with the female data, they support an absence of systemic off-target toxicity for follitropin delta.</w:t>
      </w:r>
    </w:p>
    <w:p w14:paraId="0DD2B37D" w14:textId="77777777" w:rsidR="001410AB" w:rsidRDefault="001410AB" w:rsidP="003236B8">
      <w:pPr>
        <w:pStyle w:val="Heading4"/>
      </w:pPr>
      <w:r>
        <w:t>Genotoxicity</w:t>
      </w:r>
    </w:p>
    <w:p w14:paraId="673C8AB7" w14:textId="2512323A" w:rsidR="001410AB" w:rsidRDefault="001410AB" w:rsidP="001410AB">
      <w:r>
        <w:t xml:space="preserve">Genotoxicity studies were not performed. As a large molecular weight protein, follitropin delta is not anticipated to interact with DNA or other chromosomal material, and genotoxicity studies are not required under </w:t>
      </w:r>
      <w:r w:rsidR="003236B8">
        <w:t>the relevant</w:t>
      </w:r>
      <w:r w:rsidR="00E23AE1">
        <w:t xml:space="preserve"> </w:t>
      </w:r>
      <w:r w:rsidR="00333C0B">
        <w:t>ICH guideline</w:t>
      </w:r>
      <w:r>
        <w:t>.</w:t>
      </w:r>
      <w:bookmarkStart w:id="53" w:name="_Ref491947524"/>
      <w:r w:rsidR="003236B8">
        <w:rPr>
          <w:rStyle w:val="FootnoteReference"/>
        </w:rPr>
        <w:footnoteReference w:id="2"/>
      </w:r>
      <w:bookmarkEnd w:id="53"/>
      <w:r>
        <w:t xml:space="preserve"> Follitropin alfa and follitropin beta were both previously found not to exhibit genotoxic activity.</w:t>
      </w:r>
    </w:p>
    <w:p w14:paraId="18A27330" w14:textId="77777777" w:rsidR="001410AB" w:rsidRDefault="001410AB" w:rsidP="007E1F67">
      <w:pPr>
        <w:pStyle w:val="Heading4"/>
      </w:pPr>
      <w:r>
        <w:t>Carcinogenicity</w:t>
      </w:r>
    </w:p>
    <w:p w14:paraId="2B29B0B6" w14:textId="77777777" w:rsidR="001410AB" w:rsidRDefault="001410AB" w:rsidP="001410AB">
      <w:r>
        <w:t xml:space="preserve">No carcinogenicity studies were submitted. This is considered to be acceptable given the nature of the drug, in accordance with </w:t>
      </w:r>
      <w:r w:rsidR="003236B8">
        <w:t>the relevant guideline</w:t>
      </w:r>
      <w:r w:rsidR="003236B8" w:rsidRPr="003236B8">
        <w:rPr>
          <w:vertAlign w:val="superscript"/>
        </w:rPr>
        <w:fldChar w:fldCharType="begin"/>
      </w:r>
      <w:r w:rsidR="003236B8" w:rsidRPr="003236B8">
        <w:rPr>
          <w:vertAlign w:val="superscript"/>
        </w:rPr>
        <w:instrText xml:space="preserve"> NOTEREF _Ref491947524 \h </w:instrText>
      </w:r>
      <w:r w:rsidR="003236B8">
        <w:rPr>
          <w:vertAlign w:val="superscript"/>
        </w:rPr>
        <w:instrText xml:space="preserve"> \* MERGEFORMAT </w:instrText>
      </w:r>
      <w:r w:rsidR="003236B8" w:rsidRPr="003236B8">
        <w:rPr>
          <w:vertAlign w:val="superscript"/>
        </w:rPr>
      </w:r>
      <w:r w:rsidR="003236B8" w:rsidRPr="003236B8">
        <w:rPr>
          <w:vertAlign w:val="superscript"/>
        </w:rPr>
        <w:fldChar w:fldCharType="separate"/>
      </w:r>
      <w:r w:rsidR="00B3170C">
        <w:rPr>
          <w:vertAlign w:val="superscript"/>
        </w:rPr>
        <w:t>2</w:t>
      </w:r>
      <w:r w:rsidR="003236B8" w:rsidRPr="003236B8">
        <w:rPr>
          <w:vertAlign w:val="superscript"/>
        </w:rPr>
        <w:fldChar w:fldCharType="end"/>
      </w:r>
      <w:r>
        <w:t>, with rodent carcinogenicity studies not feasible due to the development of anti-drug antibodies.</w:t>
      </w:r>
    </w:p>
    <w:p w14:paraId="796CF966" w14:textId="77777777" w:rsidR="001410AB" w:rsidRDefault="001410AB" w:rsidP="003236B8">
      <w:pPr>
        <w:pStyle w:val="Heading4"/>
      </w:pPr>
      <w:r>
        <w:t>Reproductive toxicity</w:t>
      </w:r>
    </w:p>
    <w:p w14:paraId="64A8C29A" w14:textId="535F2463" w:rsidR="001410AB" w:rsidRDefault="001410AB" w:rsidP="001410AB">
      <w:r>
        <w:t>Reproductive toxicity studies with follitropin delta covered fertility and early embryonic development only (examined in rats). The main study was appropriately conducted (in terms of the species used, group size, timing/duration of treatment, end points examined), and consistent with the relevant TGA-adopted guideline</w:t>
      </w:r>
      <w:bookmarkStart w:id="54" w:name="_Ref491947791"/>
      <w:r w:rsidR="003236B8">
        <w:rPr>
          <w:rStyle w:val="FootnoteReference"/>
        </w:rPr>
        <w:footnoteReference w:id="3"/>
      </w:r>
      <w:bookmarkEnd w:id="54"/>
      <w:r w:rsidR="00823EFC">
        <w:t>.</w:t>
      </w:r>
      <w:r w:rsidR="005074D1">
        <w:t xml:space="preserve"> </w:t>
      </w:r>
      <w:r>
        <w:t>Administration was once daily by the clinical route (SC).</w:t>
      </w:r>
    </w:p>
    <w:p w14:paraId="393E7439" w14:textId="77777777" w:rsidR="001410AB" w:rsidRDefault="001410AB" w:rsidP="001410AB">
      <w:r>
        <w:t>Impairment of fertility was observed in female rats at ≥</w:t>
      </w:r>
      <w:r w:rsidR="00823EFC">
        <w:t xml:space="preserve"> </w:t>
      </w:r>
      <w:r>
        <w:t>0.84 µg/kg/day, with disruption of oestrus cycling seen at 2.61 µg/kg/day. Exposure at these doses is presumed to be subclinical, based on AUC data obtained in the general repeat-dose toxicity studies in rats (used due to very limited toxicokinetic sampling in the reproductive toxicity studies). Pre-implantation loss was doubled at 2.61 µg/kg/day</w:t>
      </w:r>
      <w:r w:rsidR="00813CDF">
        <w:t>;</w:t>
      </w:r>
      <w:r>
        <w:t xml:space="preserve"> reflecting a marked increase in the number of corpora lutea with no change in the number of implantations. Pre-implantation loss was unaffected at 0.84 µg/kg/day but the number of live embryos per female was doubled, in line with an increase in the number of corpora lutea.</w:t>
      </w:r>
    </w:p>
    <w:p w14:paraId="2BFD863A" w14:textId="77777777" w:rsidR="001410AB" w:rsidRDefault="001410AB" w:rsidP="001410AB">
      <w:r>
        <w:t xml:space="preserve">Potential effects on male fertility were examined in a pilot rat study, with decreased sperm count and an increase in abnormal sperm observed at 36.3 µg/kg/day. This study featured only a limited number of animals, involved treatment of males for only 2 weeks prior to mating (rather than the 4 week period recommended in </w:t>
      </w:r>
      <w:r w:rsidR="00823EFC">
        <w:t>the guideline</w:t>
      </w:r>
      <w:r w:rsidR="00823EFC" w:rsidRPr="00823EFC">
        <w:rPr>
          <w:vertAlign w:val="superscript"/>
        </w:rPr>
        <w:fldChar w:fldCharType="begin"/>
      </w:r>
      <w:r w:rsidR="00823EFC" w:rsidRPr="00823EFC">
        <w:rPr>
          <w:vertAlign w:val="superscript"/>
        </w:rPr>
        <w:instrText xml:space="preserve"> NOTEREF _Ref491947791 \h </w:instrText>
      </w:r>
      <w:r w:rsidR="00823EFC">
        <w:rPr>
          <w:vertAlign w:val="superscript"/>
        </w:rPr>
        <w:instrText xml:space="preserve"> \* MERGEFORMAT </w:instrText>
      </w:r>
      <w:r w:rsidR="00823EFC" w:rsidRPr="00823EFC">
        <w:rPr>
          <w:vertAlign w:val="superscript"/>
        </w:rPr>
      </w:r>
      <w:r w:rsidR="00823EFC" w:rsidRPr="00823EFC">
        <w:rPr>
          <w:vertAlign w:val="superscript"/>
        </w:rPr>
        <w:fldChar w:fldCharType="separate"/>
      </w:r>
      <w:r w:rsidR="00B3170C">
        <w:rPr>
          <w:vertAlign w:val="superscript"/>
        </w:rPr>
        <w:t>3</w:t>
      </w:r>
      <w:r w:rsidR="00823EFC" w:rsidRPr="00823EFC">
        <w:rPr>
          <w:vertAlign w:val="superscript"/>
        </w:rPr>
        <w:fldChar w:fldCharType="end"/>
      </w:r>
      <w:r>
        <w:t>) and involved pairing of treated males with treated females confounding determination of a sex-specific fertility index. There was no examination of male fertility in a definitive study, which is acceptable given the indication.</w:t>
      </w:r>
    </w:p>
    <w:p w14:paraId="3813188B" w14:textId="77777777" w:rsidR="001410AB" w:rsidRDefault="001410AB" w:rsidP="001410AB">
      <w:r>
        <w:t>These findings are consistent with exaggerated pharmacology of follitropin delta, and in line with effects on reproductive tissues seen in the general repeat-dose toxicity program.</w:t>
      </w:r>
    </w:p>
    <w:p w14:paraId="4FA14C2F" w14:textId="77777777" w:rsidR="001410AB" w:rsidRDefault="001410AB" w:rsidP="001410AB">
      <w:r>
        <w:t>Embryofetal and pre/postnatal development studies were not conducted and placental transfer and excretion in milk were not investigated. This is acceptable. Follitropin alfa was found to cause dystocia and marked post-implantation loss in rats and rabbits previously, without being teratogenic. The sponsor proposes contraindication in pregnancy and lactation.</w:t>
      </w:r>
    </w:p>
    <w:p w14:paraId="79F4900C" w14:textId="77777777" w:rsidR="001410AB" w:rsidRDefault="001410AB" w:rsidP="00823EFC">
      <w:pPr>
        <w:pStyle w:val="Heading5"/>
      </w:pPr>
      <w:r>
        <w:t>Pregnancy classification</w:t>
      </w:r>
    </w:p>
    <w:p w14:paraId="3647088F" w14:textId="77777777" w:rsidR="001410AB" w:rsidRDefault="001410AB" w:rsidP="001410AB">
      <w:r>
        <w:t>The sponsor initially proposed Pregnancy Category B3</w:t>
      </w:r>
      <w:r w:rsidR="00823EFC">
        <w:rPr>
          <w:rStyle w:val="FootnoteReference"/>
        </w:rPr>
        <w:footnoteReference w:id="4"/>
      </w:r>
      <w:r>
        <w:t>, then Category C</w:t>
      </w:r>
      <w:r w:rsidR="00B47BFD">
        <w:rPr>
          <w:rStyle w:val="FootnoteReference"/>
        </w:rPr>
        <w:footnoteReference w:id="5"/>
      </w:r>
      <w:r>
        <w:t xml:space="preserve"> a</w:t>
      </w:r>
      <w:r w:rsidR="00823EFC">
        <w:t xml:space="preserve">fter </w:t>
      </w:r>
      <w:r w:rsidR="007E1F67">
        <w:t xml:space="preserve">receiving the TGA’s </w:t>
      </w:r>
      <w:r w:rsidR="00823EFC">
        <w:t>first round evaluation</w:t>
      </w:r>
      <w:r>
        <w:t>. Findings of embryofetal lethality with the closely related agent, follitropin alfa, warrant placement in Pregnancy Category D</w:t>
      </w:r>
      <w:r w:rsidR="00B47BFD">
        <w:rPr>
          <w:rStyle w:val="FootnoteReference"/>
        </w:rPr>
        <w:footnoteReference w:id="6"/>
      </w:r>
      <w:r>
        <w:t xml:space="preserve"> instead. This is appropriate even in the absence of observed teratogenicity and though pharmacologically mediated, and matches the categorisation of </w:t>
      </w:r>
      <w:r w:rsidR="00823EFC">
        <w:t>Gonal</w:t>
      </w:r>
      <w:r>
        <w:t>-F. Category B3 and C are both inappropriate given the serious and irreversible nature of the adverse effects on embryofetal development.</w:t>
      </w:r>
    </w:p>
    <w:p w14:paraId="75C558F9" w14:textId="77777777" w:rsidR="00371AC4" w:rsidRDefault="001410AB" w:rsidP="00823EFC">
      <w:pPr>
        <w:pStyle w:val="Heading4"/>
      </w:pPr>
      <w:r>
        <w:t>Local tolerance</w:t>
      </w:r>
    </w:p>
    <w:p w14:paraId="0FBFD922" w14:textId="6BD56D0C" w:rsidR="001410AB" w:rsidRDefault="001410AB" w:rsidP="001410AB">
      <w:proofErr w:type="spellStart"/>
      <w:r>
        <w:t>Follitropin</w:t>
      </w:r>
      <w:proofErr w:type="spellEnd"/>
      <w:r>
        <w:t xml:space="preserve"> delta was well tolerated locally following single SC injection in a specialised study in rabbits conducted with various formulations containing 37 µg/mL of the active ingredient (11% higher than the clinical strength). In the repeat-dose toxicity studies where the tested formulation more closely matched the clinical formulation in terms of the excipient profile, injection site reactions were consistent with injection trauma only in rats (tested up to 72.5 µg/mL follitropin delta; more than twice the clinical strength) and were mild in monkeys (tested up to 208.8 µg/mL; &gt;6 times the clinical strength).</w:t>
      </w:r>
    </w:p>
    <w:p w14:paraId="4DF9A446" w14:textId="77777777" w:rsidR="001410AB" w:rsidRDefault="001410AB" w:rsidP="00823EFC">
      <w:pPr>
        <w:pStyle w:val="Heading4"/>
      </w:pPr>
      <w:r>
        <w:t>Paediatric use</w:t>
      </w:r>
    </w:p>
    <w:p w14:paraId="7D1FF0BC" w14:textId="77777777" w:rsidR="00C9747E" w:rsidRDefault="001410AB" w:rsidP="001410AB">
      <w:r>
        <w:t>Follitropin delta is not proposed for paediatric use and no specific studies in juvenile animals were submitted.</w:t>
      </w:r>
    </w:p>
    <w:p w14:paraId="4D635E4C" w14:textId="77777777" w:rsidR="008E7846" w:rsidRDefault="008E7846" w:rsidP="008E7846">
      <w:pPr>
        <w:pStyle w:val="Heading3"/>
      </w:pPr>
      <w:bookmarkStart w:id="55" w:name="_Toc247691515"/>
      <w:bookmarkStart w:id="56" w:name="_Toc314842499"/>
      <w:bookmarkStart w:id="57" w:name="_Toc497744256"/>
      <w:r>
        <w:t>Nonclinical summary and conclusions</w:t>
      </w:r>
      <w:bookmarkEnd w:id="55"/>
      <w:bookmarkEnd w:id="56"/>
      <w:bookmarkEnd w:id="57"/>
    </w:p>
    <w:p w14:paraId="78256924" w14:textId="77777777" w:rsidR="001410AB" w:rsidRDefault="00B47BFD" w:rsidP="00B47BFD">
      <w:pPr>
        <w:pStyle w:val="ListBullet"/>
      </w:pPr>
      <w:r>
        <w:t>The nonclinical submission</w:t>
      </w:r>
      <w:r w:rsidR="001410AB">
        <w:t xml:space="preserve"> contained no critical deficiencies. The set of submitted nonclinical studies was in accordance with ICH guideline S6 (R1)</w:t>
      </w:r>
      <w:r w:rsidRPr="00B47BFD">
        <w:rPr>
          <w:vertAlign w:val="superscript"/>
        </w:rPr>
        <w:fldChar w:fldCharType="begin"/>
      </w:r>
      <w:r w:rsidRPr="00B47BFD">
        <w:rPr>
          <w:vertAlign w:val="superscript"/>
        </w:rPr>
        <w:instrText xml:space="preserve"> NOTEREF _Ref491947524 \h </w:instrText>
      </w:r>
      <w:r>
        <w:rPr>
          <w:vertAlign w:val="superscript"/>
        </w:rPr>
        <w:instrText xml:space="preserve"> \* MERGEFORMAT </w:instrText>
      </w:r>
      <w:r w:rsidRPr="00B47BFD">
        <w:rPr>
          <w:vertAlign w:val="superscript"/>
        </w:rPr>
      </w:r>
      <w:r w:rsidRPr="00B47BFD">
        <w:rPr>
          <w:vertAlign w:val="superscript"/>
        </w:rPr>
        <w:fldChar w:fldCharType="separate"/>
      </w:r>
      <w:r w:rsidR="00B3170C">
        <w:rPr>
          <w:vertAlign w:val="superscript"/>
        </w:rPr>
        <w:t>2</w:t>
      </w:r>
      <w:r w:rsidRPr="00B47BFD">
        <w:rPr>
          <w:vertAlign w:val="superscript"/>
        </w:rPr>
        <w:fldChar w:fldCharType="end"/>
      </w:r>
      <w:r w:rsidR="001410AB">
        <w:t xml:space="preserve"> on the preclinical safety evaluation of biotechnology-derived pharmaceuticals. All pivotal safety-related studies were GLP-compliant.</w:t>
      </w:r>
    </w:p>
    <w:p w14:paraId="4E3F7A9F" w14:textId="77777777" w:rsidR="001410AB" w:rsidRDefault="001410AB" w:rsidP="00B47BFD">
      <w:pPr>
        <w:pStyle w:val="ListBullet"/>
      </w:pPr>
      <w:r>
        <w:t xml:space="preserve">Follitropin delta has a distinct glycosylation profile </w:t>
      </w:r>
      <w:r w:rsidR="000E28C7">
        <w:t>compared to</w:t>
      </w:r>
      <w:r>
        <w:t xml:space="preserve"> existing recombinant human FSH products (follitropin alfa and follitropin beta) owing to its production in a human cell line rather than Chinese hamster ovary cells.</w:t>
      </w:r>
    </w:p>
    <w:p w14:paraId="744FF901" w14:textId="77777777" w:rsidR="001410AB" w:rsidRDefault="001410AB" w:rsidP="00B47BFD">
      <w:pPr>
        <w:pStyle w:val="ListBullet"/>
      </w:pPr>
      <w:r>
        <w:t>In vitro, follitropin delta was shown to bind to the FSH receptor with sub-nanomolar affinity and activate the downstream signalling cascade with similar potency to follitropin alfa. FSH activity was demonstrated for follitropin delta in vivo in rats (ovarian enlargement in the Steelman-Pohley bioassay) and was also evident in rats and monkeys in general repeat-dose toxicity studies.</w:t>
      </w:r>
    </w:p>
    <w:p w14:paraId="3B109400" w14:textId="77777777" w:rsidR="001410AB" w:rsidRDefault="001410AB" w:rsidP="00B47BFD">
      <w:pPr>
        <w:pStyle w:val="ListBullet"/>
      </w:pPr>
      <w:r>
        <w:t>No adverse effects on the cardiovascular, respiratory and central nervous systems were observed with follitropin delta in safety pharmacology studies.</w:t>
      </w:r>
    </w:p>
    <w:p w14:paraId="060A8890" w14:textId="77777777" w:rsidR="001410AB" w:rsidRDefault="001410AB" w:rsidP="00B47BFD">
      <w:pPr>
        <w:pStyle w:val="ListBullet"/>
      </w:pPr>
      <w:r>
        <w:t>Follitropin delta was slowly absorbed following SC injection in laboratory animal species (rats and cynomolgus monkeys), as in humans, with a long serum half-life. The distinct glycosylation profile was shown to influence pharmacokinetics in rodents, but is not expected to do so in humans. More rapid clearance in rats underestimates potency determination in the Steelman-Pohley bioassay. For this reason, the sponsor proposes dosing by mass rather than IU.</w:t>
      </w:r>
    </w:p>
    <w:p w14:paraId="5D25B781" w14:textId="77777777" w:rsidR="001410AB" w:rsidRDefault="001410AB" w:rsidP="00B47BFD">
      <w:pPr>
        <w:pStyle w:val="ListBullet"/>
      </w:pPr>
      <w:r>
        <w:t>Follitropin delta displayed a low order of acute toxicity by the SC (clinical) and IV routes in mice and rats.</w:t>
      </w:r>
    </w:p>
    <w:p w14:paraId="0AFDBCBD" w14:textId="506156E0" w:rsidR="001410AB" w:rsidRDefault="001410AB" w:rsidP="00B47BFD">
      <w:pPr>
        <w:pStyle w:val="ListBullet"/>
      </w:pPr>
      <w:r>
        <w:t xml:space="preserve">Repeat-dose toxicity studies by the SC route of up to 4 weeks duration were conducted with follitropin delta in rats and cynomolgus monkeys. Although short, study duration </w:t>
      </w:r>
      <w:r w:rsidR="00AC0B4B">
        <w:t xml:space="preserve">is </w:t>
      </w:r>
      <w:r>
        <w:t>acceptable, with longer studies not feasible due to the development of anti-drug antibodies. Very large multiples of the human exposure w</w:t>
      </w:r>
      <w:r w:rsidR="00B47BFD">
        <w:t>as</w:t>
      </w:r>
      <w:r>
        <w:t xml:space="preserve"> obtained at the upper dose levels tested in animals. Major target organs were the ovary, vagina, uterus, mammary gland and pituitary, with changes in these tissues reflecting exaggerated effects related to the drug’s primary pharmacology (FSH activity and resultant ovarian stimulation causing hormonal changes that affect sensitive tissues). No toxicity due to off-target effects was seen. SC injection was well tolerated locally in laboratory animal species (examined in rats, rabbits and monkeys).</w:t>
      </w:r>
    </w:p>
    <w:p w14:paraId="433E4F37" w14:textId="77777777" w:rsidR="001410AB" w:rsidRDefault="001410AB" w:rsidP="00B47BFD">
      <w:pPr>
        <w:pStyle w:val="ListBullet"/>
      </w:pPr>
      <w:r>
        <w:t>Consistent with ICH S6 (R1)</w:t>
      </w:r>
      <w:r w:rsidR="00B47BFD" w:rsidRPr="00B47BFD">
        <w:rPr>
          <w:vertAlign w:val="superscript"/>
        </w:rPr>
        <w:fldChar w:fldCharType="begin"/>
      </w:r>
      <w:r w:rsidR="00B47BFD" w:rsidRPr="00B47BFD">
        <w:rPr>
          <w:vertAlign w:val="superscript"/>
        </w:rPr>
        <w:instrText xml:space="preserve"> NOTEREF _Ref491947524 \h </w:instrText>
      </w:r>
      <w:r w:rsidR="00B47BFD">
        <w:rPr>
          <w:vertAlign w:val="superscript"/>
        </w:rPr>
        <w:instrText xml:space="preserve"> \* MERGEFORMAT </w:instrText>
      </w:r>
      <w:r w:rsidR="00B47BFD" w:rsidRPr="00B47BFD">
        <w:rPr>
          <w:vertAlign w:val="superscript"/>
        </w:rPr>
      </w:r>
      <w:r w:rsidR="00B47BFD" w:rsidRPr="00B47BFD">
        <w:rPr>
          <w:vertAlign w:val="superscript"/>
        </w:rPr>
        <w:fldChar w:fldCharType="separate"/>
      </w:r>
      <w:r w:rsidR="00B3170C">
        <w:rPr>
          <w:vertAlign w:val="superscript"/>
        </w:rPr>
        <w:t>2</w:t>
      </w:r>
      <w:r w:rsidR="00B47BFD" w:rsidRPr="00B47BFD">
        <w:rPr>
          <w:vertAlign w:val="superscript"/>
        </w:rPr>
        <w:fldChar w:fldCharType="end"/>
      </w:r>
      <w:r>
        <w:t>, no genotoxicity or carcinogenicity studies were conducted with follitropin delta.</w:t>
      </w:r>
    </w:p>
    <w:p w14:paraId="4871BF6E" w14:textId="77777777" w:rsidR="001410AB" w:rsidRDefault="001410AB" w:rsidP="00B47BFD">
      <w:pPr>
        <w:pStyle w:val="ListBullet"/>
      </w:pPr>
      <w:r>
        <w:t>Follitropin delta impaired fertility, disrupted oestrus cycling and adversely affected early embryonic development (increased pre-implantation loss) in rats, consistent with exaggerated pharmacology. No embryofetal development studies were performed but adverse effects (embryofetal lethality) are expected based on previous findings for follitropin alfa.</w:t>
      </w:r>
    </w:p>
    <w:p w14:paraId="4EC9BF9E" w14:textId="77777777" w:rsidR="001410AB" w:rsidRDefault="001410AB" w:rsidP="00B47BFD">
      <w:pPr>
        <w:pStyle w:val="ListBullet"/>
      </w:pPr>
      <w:r>
        <w:t xml:space="preserve">There are no nonclinical objections to the registration of </w:t>
      </w:r>
      <w:r w:rsidR="00030650">
        <w:t>Rekovelle</w:t>
      </w:r>
      <w:r>
        <w:t>.</w:t>
      </w:r>
    </w:p>
    <w:p w14:paraId="2CC8F661" w14:textId="77777777" w:rsidR="001410AB" w:rsidRPr="001410AB" w:rsidRDefault="000E28C7" w:rsidP="00B47BFD">
      <w:pPr>
        <w:pStyle w:val="ListBullet"/>
      </w:pPr>
      <w:r>
        <w:t>It was recommended that t</w:t>
      </w:r>
      <w:r w:rsidR="001410AB">
        <w:t xml:space="preserve">he sponsor revise </w:t>
      </w:r>
      <w:r w:rsidR="00093DF9">
        <w:t xml:space="preserve">some nonclinical sections of </w:t>
      </w:r>
      <w:r w:rsidR="001410AB">
        <w:t>the proposed Product Information document. In particular, the pregnancy category should be changed to Category D.</w:t>
      </w:r>
    </w:p>
    <w:p w14:paraId="34A0A2E2" w14:textId="77777777" w:rsidR="008E7846" w:rsidRPr="00254787" w:rsidRDefault="008E7846" w:rsidP="008E7846">
      <w:pPr>
        <w:pStyle w:val="Heading2"/>
      </w:pPr>
      <w:bookmarkStart w:id="58" w:name="_Toc196046462"/>
      <w:bookmarkStart w:id="59" w:name="_Toc247691516"/>
      <w:bookmarkStart w:id="60" w:name="_Toc314842500"/>
      <w:bookmarkStart w:id="61" w:name="_Toc163441353"/>
      <w:bookmarkStart w:id="62" w:name="_Toc163441348"/>
      <w:bookmarkStart w:id="63" w:name="_Toc497744257"/>
      <w:r>
        <w:t xml:space="preserve">IV. </w:t>
      </w:r>
      <w:r w:rsidRPr="00254787">
        <w:t>Clinical</w:t>
      </w:r>
      <w:bookmarkEnd w:id="58"/>
      <w:r>
        <w:t xml:space="preserve"> </w:t>
      </w:r>
      <w:r w:rsidR="003A7F6C">
        <w:t>f</w:t>
      </w:r>
      <w:r>
        <w:t>indings</w:t>
      </w:r>
      <w:bookmarkEnd w:id="59"/>
      <w:bookmarkEnd w:id="60"/>
      <w:bookmarkEnd w:id="63"/>
    </w:p>
    <w:p w14:paraId="1195820F" w14:textId="77777777" w:rsidR="00C80137" w:rsidRDefault="00C80137" w:rsidP="00D425BB">
      <w:bookmarkStart w:id="64"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2FAB37A4" w14:textId="77777777" w:rsidR="008E7846" w:rsidRDefault="008E7846" w:rsidP="008E7846">
      <w:pPr>
        <w:pStyle w:val="Heading3"/>
      </w:pPr>
      <w:bookmarkStart w:id="65" w:name="_Toc247691517"/>
      <w:bookmarkStart w:id="66" w:name="_Toc314842501"/>
      <w:bookmarkStart w:id="67" w:name="_Toc497744258"/>
      <w:r w:rsidRPr="00254787">
        <w:t>Introduction</w:t>
      </w:r>
      <w:bookmarkEnd w:id="64"/>
      <w:bookmarkEnd w:id="65"/>
      <w:bookmarkEnd w:id="66"/>
      <w:bookmarkEnd w:id="67"/>
    </w:p>
    <w:p w14:paraId="56825F46" w14:textId="77777777" w:rsidR="00605AD4" w:rsidRDefault="00605AD4" w:rsidP="00605AD4">
      <w:pPr>
        <w:pStyle w:val="Heading4"/>
      </w:pPr>
      <w:bookmarkStart w:id="68" w:name="_Toc196046464"/>
      <w:bookmarkStart w:id="69" w:name="_Toc247691518"/>
      <w:bookmarkStart w:id="70" w:name="_Toc314842502"/>
      <w:r w:rsidRPr="00605AD4">
        <w:t xml:space="preserve">Clinical </w:t>
      </w:r>
      <w:r w:rsidR="00EF59DC">
        <w:t>r</w:t>
      </w:r>
      <w:r w:rsidRPr="00605AD4">
        <w:t>ationale</w:t>
      </w:r>
    </w:p>
    <w:p w14:paraId="628DF252" w14:textId="77777777" w:rsidR="00D20DD5" w:rsidRDefault="00D20DD5" w:rsidP="00D20DD5">
      <w:pPr>
        <w:rPr>
          <w:lang w:eastAsia="ja-JP"/>
        </w:rPr>
      </w:pPr>
      <w:r>
        <w:rPr>
          <w:lang w:eastAsia="ja-JP"/>
        </w:rPr>
        <w:t>This new biological medicine is proposed to have advantages over other available products in that the pen allows accurate dosing, and the dosing algorithm aims at an optimal ovarian response (8 to 14 oocytes) without dose adjustment during controlled ovarian stimulation, resulting in less cycle cancellation, less OHSS and lower gonadotropin consumption.</w:t>
      </w:r>
    </w:p>
    <w:p w14:paraId="7A961139" w14:textId="77777777" w:rsidR="00D20DD5" w:rsidRDefault="00D20DD5" w:rsidP="00D20DD5">
      <w:pPr>
        <w:rPr>
          <w:lang w:eastAsia="ja-JP"/>
        </w:rPr>
      </w:pPr>
      <w:r>
        <w:rPr>
          <w:lang w:eastAsia="ja-JP"/>
        </w:rPr>
        <w:t>The currently available rFSH products (follitropin alfa (</w:t>
      </w:r>
      <w:r w:rsidR="00FB403C">
        <w:t>Gonal-F</w:t>
      </w:r>
      <w:r w:rsidR="005219CC">
        <w:rPr>
          <w:lang w:eastAsia="ja-JP"/>
        </w:rPr>
        <w:t>) and follitropin beta (P</w:t>
      </w:r>
      <w:r>
        <w:rPr>
          <w:lang w:eastAsia="ja-JP"/>
        </w:rPr>
        <w:t xml:space="preserve">uregon)) are derived from CHO cell lines. </w:t>
      </w:r>
      <w:r w:rsidR="004421A0">
        <w:rPr>
          <w:lang w:eastAsia="ja-JP"/>
        </w:rPr>
        <w:t>Rekovelle</w:t>
      </w:r>
      <w:r>
        <w:rPr>
          <w:lang w:eastAsia="ja-JP"/>
        </w:rPr>
        <w:t xml:space="preserve"> is derived from a human cell line. The relevance of this is uncertain.</w:t>
      </w:r>
    </w:p>
    <w:p w14:paraId="6A1FA4F3" w14:textId="77777777" w:rsidR="00605AD4" w:rsidRDefault="00605AD4" w:rsidP="00605AD4">
      <w:pPr>
        <w:pStyle w:val="Heading4"/>
      </w:pPr>
      <w:r w:rsidRPr="00605AD4">
        <w:t>Guidance</w:t>
      </w:r>
    </w:p>
    <w:p w14:paraId="56C0FF0B" w14:textId="77777777" w:rsidR="00371AC4" w:rsidRDefault="00D20DD5" w:rsidP="00D20DD5">
      <w:pPr>
        <w:rPr>
          <w:lang w:eastAsia="ja-JP"/>
        </w:rPr>
      </w:pPr>
      <w:r>
        <w:rPr>
          <w:lang w:eastAsia="ja-JP"/>
        </w:rPr>
        <w:t xml:space="preserve">Early in the scientific development programme, National Scientific Advices were obtained from the </w:t>
      </w:r>
      <w:r w:rsidR="00093DF9" w:rsidRPr="00093DF9">
        <w:rPr>
          <w:lang w:eastAsia="ja-JP"/>
        </w:rPr>
        <w:t>Medicines and Healthcare products Regulatory Agency</w:t>
      </w:r>
      <w:r w:rsidR="00093DF9">
        <w:rPr>
          <w:lang w:eastAsia="ja-JP"/>
        </w:rPr>
        <w:t xml:space="preserve"> (</w:t>
      </w:r>
      <w:r>
        <w:rPr>
          <w:lang w:eastAsia="ja-JP"/>
        </w:rPr>
        <w:t>MHRA</w:t>
      </w:r>
      <w:r w:rsidR="00093DF9">
        <w:rPr>
          <w:lang w:eastAsia="ja-JP"/>
        </w:rPr>
        <w:t>)</w:t>
      </w:r>
      <w:r>
        <w:rPr>
          <w:lang w:eastAsia="ja-JP"/>
        </w:rPr>
        <w:t xml:space="preserve"> in the United Kingdom, the Danish Health and Medicines Agency (DMA) and the Medicines Evaluation Board in the Netherlands. However these ad</w:t>
      </w:r>
      <w:r w:rsidR="00093DF9">
        <w:rPr>
          <w:lang w:eastAsia="ja-JP"/>
        </w:rPr>
        <w:t>vices were obtained before the P</w:t>
      </w:r>
      <w:r>
        <w:rPr>
          <w:lang w:eastAsia="ja-JP"/>
        </w:rPr>
        <w:t xml:space="preserve">hase </w:t>
      </w:r>
      <w:r w:rsidR="00093DF9">
        <w:rPr>
          <w:lang w:eastAsia="ja-JP"/>
        </w:rPr>
        <w:t>I</w:t>
      </w:r>
      <w:r>
        <w:rPr>
          <w:lang w:eastAsia="ja-JP"/>
        </w:rPr>
        <w:t xml:space="preserve"> multiple dose trial demonstrated a lack of PK and PD comparability leading to major changes in the clinical development program</w:t>
      </w:r>
      <w:r w:rsidR="00371AC4">
        <w:rPr>
          <w:lang w:eastAsia="ja-JP"/>
        </w:rPr>
        <w:t>.</w:t>
      </w:r>
    </w:p>
    <w:p w14:paraId="5BC91138" w14:textId="0FE4C75D" w:rsidR="00D20DD5" w:rsidRPr="00D20DD5" w:rsidRDefault="00093DF9" w:rsidP="00D20DD5">
      <w:r>
        <w:rPr>
          <w:lang w:eastAsia="ja-JP"/>
        </w:rPr>
        <w:t>The design of the P</w:t>
      </w:r>
      <w:r w:rsidR="00D20DD5">
        <w:rPr>
          <w:lang w:eastAsia="ja-JP"/>
        </w:rPr>
        <w:t xml:space="preserve">hase </w:t>
      </w:r>
      <w:r>
        <w:rPr>
          <w:lang w:eastAsia="ja-JP"/>
        </w:rPr>
        <w:t>III</w:t>
      </w:r>
      <w:r w:rsidR="00D20DD5">
        <w:rPr>
          <w:lang w:eastAsia="ja-JP"/>
        </w:rPr>
        <w:t xml:space="preserve"> study ESTHER was reviewed and endorsed by the European Medicines Agency during scientific advice </w:t>
      </w:r>
      <w:r w:rsidR="005219CC">
        <w:rPr>
          <w:lang w:eastAsia="ja-JP"/>
        </w:rPr>
        <w:t>consultation;</w:t>
      </w:r>
      <w:r w:rsidR="00D20DD5">
        <w:rPr>
          <w:lang w:eastAsia="ja-JP"/>
        </w:rPr>
        <w:t xml:space="preserve"> this included the individualised dosing regime</w:t>
      </w:r>
      <w:r>
        <w:rPr>
          <w:lang w:eastAsia="ja-JP"/>
        </w:rPr>
        <w:t>n</w:t>
      </w:r>
      <w:r w:rsidR="00D20DD5">
        <w:rPr>
          <w:lang w:eastAsia="ja-JP"/>
        </w:rPr>
        <w:t>.</w:t>
      </w:r>
    </w:p>
    <w:p w14:paraId="4BA66BA2" w14:textId="77777777" w:rsidR="00605AD4" w:rsidRDefault="00605AD4" w:rsidP="00605AD4">
      <w:pPr>
        <w:pStyle w:val="Heading4"/>
      </w:pPr>
      <w:r w:rsidRPr="00605AD4">
        <w:t>Contents of the clinical dossier</w:t>
      </w:r>
    </w:p>
    <w:p w14:paraId="4A7BFAF8" w14:textId="77777777" w:rsidR="00841F6D" w:rsidRDefault="00841F6D" w:rsidP="00093DF9">
      <w:pPr>
        <w:pStyle w:val="Heading5"/>
      </w:pPr>
      <w:bookmarkStart w:id="71" w:name="_Toc463874655"/>
      <w:r>
        <w:t>Scope of the clinical dossier</w:t>
      </w:r>
      <w:bookmarkEnd w:id="71"/>
    </w:p>
    <w:p w14:paraId="1157E320" w14:textId="77777777" w:rsidR="00841F6D" w:rsidRDefault="00093DF9" w:rsidP="00841F6D">
      <w:pPr>
        <w:rPr>
          <w:lang w:eastAsia="ja-JP"/>
        </w:rPr>
      </w:pPr>
      <w:r>
        <w:rPr>
          <w:lang w:eastAsia="ja-JP"/>
        </w:rPr>
        <w:t>The submitted clinical studies are listed in Table 3 below.</w:t>
      </w:r>
    </w:p>
    <w:p w14:paraId="73B0ECBB" w14:textId="77777777" w:rsidR="00093DF9" w:rsidRDefault="00093DF9" w:rsidP="00F536DB">
      <w:pPr>
        <w:pStyle w:val="TableTitle"/>
        <w:rPr>
          <w:lang w:eastAsia="ja-JP"/>
        </w:rPr>
      </w:pPr>
      <w:r>
        <w:rPr>
          <w:lang w:eastAsia="ja-JP"/>
        </w:rPr>
        <w:t>Table 3: Submitted clinical studies</w:t>
      </w:r>
    </w:p>
    <w:p w14:paraId="187B4508" w14:textId="77777777" w:rsidR="00DC2C33" w:rsidRDefault="00DC2C33" w:rsidP="00371AC4">
      <w:pPr>
        <w:rPr>
          <w:lang w:eastAsia="ja-JP"/>
        </w:rPr>
      </w:pPr>
      <w:r>
        <w:rPr>
          <w:noProof/>
          <w:lang w:eastAsia="en-AU"/>
        </w:rPr>
        <w:drawing>
          <wp:inline distT="0" distB="0" distL="0" distR="0" wp14:anchorId="31E26ED2" wp14:editId="56C23FCF">
            <wp:extent cx="5591346" cy="6804000"/>
            <wp:effectExtent l="0" t="0" r="0" b="0"/>
            <wp:docPr id="5" name="Picture 5" descr="Table 3: Submitted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91928" cy="6804708"/>
                    </a:xfrm>
                    <a:prstGeom prst="rect">
                      <a:avLst/>
                    </a:prstGeom>
                  </pic:spPr>
                </pic:pic>
              </a:graphicData>
            </a:graphic>
          </wp:inline>
        </w:drawing>
      </w:r>
    </w:p>
    <w:p w14:paraId="4C1410A2" w14:textId="409747E3" w:rsidR="004D3845" w:rsidRDefault="00371AC4" w:rsidP="00371AC4">
      <w:pPr>
        <w:pStyle w:val="TableDescription"/>
        <w:rPr>
          <w:lang w:eastAsia="ja-JP"/>
        </w:rPr>
      </w:pPr>
      <w:r>
        <w:rPr>
          <w:lang w:eastAsia="ja-JP"/>
        </w:rPr>
        <w:t xml:space="preserve">Note: In the clinical trials </w:t>
      </w:r>
      <w:proofErr w:type="spellStart"/>
      <w:r>
        <w:rPr>
          <w:lang w:eastAsia="ja-JP"/>
        </w:rPr>
        <w:t>Rekovelle</w:t>
      </w:r>
      <w:proofErr w:type="spellEnd"/>
      <w:r>
        <w:rPr>
          <w:lang w:eastAsia="ja-JP"/>
        </w:rPr>
        <w:t xml:space="preserve"> is referred to as </w:t>
      </w:r>
      <w:proofErr w:type="spellStart"/>
      <w:r>
        <w:rPr>
          <w:lang w:eastAsia="ja-JP"/>
        </w:rPr>
        <w:t>Rekovelle</w:t>
      </w:r>
      <w:proofErr w:type="spellEnd"/>
      <w:r>
        <w:rPr>
          <w:lang w:eastAsia="ja-JP"/>
        </w:rPr>
        <w:t xml:space="preserve"> (</w:t>
      </w:r>
      <w:r w:rsidRPr="00333C0B">
        <w:rPr>
          <w:lang w:eastAsia="ja-JP"/>
        </w:rPr>
        <w:t>FE 999049</w:t>
      </w:r>
      <w:r>
        <w:rPr>
          <w:lang w:eastAsia="ja-JP"/>
        </w:rPr>
        <w:t>)</w:t>
      </w:r>
    </w:p>
    <w:p w14:paraId="38CEF0B1" w14:textId="77777777" w:rsidR="004D3845" w:rsidRDefault="004D3845" w:rsidP="004D3845">
      <w:pPr>
        <w:pStyle w:val="TableTitle"/>
        <w:keepLines/>
        <w:rPr>
          <w:lang w:eastAsia="ja-JP"/>
        </w:rPr>
      </w:pPr>
      <w:r>
        <w:rPr>
          <w:lang w:eastAsia="ja-JP"/>
        </w:rPr>
        <w:t>Table 3 continued: Submitted clinical studies</w:t>
      </w:r>
    </w:p>
    <w:p w14:paraId="75F487F8" w14:textId="77777777" w:rsidR="00DC2C33" w:rsidRDefault="00DC2C33" w:rsidP="00371AC4">
      <w:pPr>
        <w:rPr>
          <w:lang w:eastAsia="ja-JP"/>
        </w:rPr>
      </w:pPr>
      <w:r>
        <w:rPr>
          <w:noProof/>
          <w:lang w:eastAsia="en-AU"/>
        </w:rPr>
        <w:drawing>
          <wp:inline distT="0" distB="0" distL="0" distR="0" wp14:anchorId="7516DA03" wp14:editId="08B6A1ED">
            <wp:extent cx="5636511" cy="6595200"/>
            <wp:effectExtent l="0" t="0" r="2540" b="0"/>
            <wp:docPr id="24" name="Picture 24" descr="Table 3: Submitted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44581" cy="6604643"/>
                    </a:xfrm>
                    <a:prstGeom prst="rect">
                      <a:avLst/>
                    </a:prstGeom>
                  </pic:spPr>
                </pic:pic>
              </a:graphicData>
            </a:graphic>
          </wp:inline>
        </w:drawing>
      </w:r>
    </w:p>
    <w:p w14:paraId="4C253722" w14:textId="77777777" w:rsidR="004D3845" w:rsidRDefault="004D3845" w:rsidP="004D3845">
      <w:pPr>
        <w:pStyle w:val="TableTitle"/>
        <w:keepLines/>
        <w:rPr>
          <w:lang w:eastAsia="ja-JP"/>
        </w:rPr>
      </w:pPr>
      <w:r>
        <w:rPr>
          <w:lang w:eastAsia="ja-JP"/>
        </w:rPr>
        <w:t>Table 3 continued: Submitted clinical studies</w:t>
      </w:r>
    </w:p>
    <w:p w14:paraId="4AC0E612" w14:textId="77777777" w:rsidR="00DC2C33" w:rsidRDefault="00DC2C33" w:rsidP="00371AC4">
      <w:pPr>
        <w:rPr>
          <w:lang w:eastAsia="ja-JP"/>
        </w:rPr>
      </w:pPr>
      <w:r>
        <w:rPr>
          <w:noProof/>
          <w:lang w:eastAsia="en-AU"/>
        </w:rPr>
        <w:drawing>
          <wp:inline distT="0" distB="0" distL="0" distR="0" wp14:anchorId="616EA5E3" wp14:editId="6CDED66B">
            <wp:extent cx="5356800" cy="6642203"/>
            <wp:effectExtent l="0" t="0" r="0" b="6350"/>
            <wp:docPr id="25" name="Picture 25" descr="Table 3: Submitted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54704" cy="6639603"/>
                    </a:xfrm>
                    <a:prstGeom prst="rect">
                      <a:avLst/>
                    </a:prstGeom>
                  </pic:spPr>
                </pic:pic>
              </a:graphicData>
            </a:graphic>
          </wp:inline>
        </w:drawing>
      </w:r>
    </w:p>
    <w:p w14:paraId="65472EC2" w14:textId="76B8ADB3" w:rsidR="00841F6D" w:rsidRDefault="00944627" w:rsidP="00841F6D">
      <w:pPr>
        <w:rPr>
          <w:noProof/>
          <w:lang w:eastAsia="en-AU"/>
        </w:rPr>
      </w:pPr>
      <w:r>
        <w:rPr>
          <w:noProof/>
          <w:lang w:eastAsia="en-AU"/>
        </w:rPr>
        <w:t>Also in</w:t>
      </w:r>
      <w:r w:rsidR="00841F6D">
        <w:rPr>
          <w:noProof/>
          <w:lang w:eastAsia="en-AU"/>
        </w:rPr>
        <w:t xml:space="preserve">cluded </w:t>
      </w:r>
      <w:r>
        <w:rPr>
          <w:noProof/>
          <w:lang w:eastAsia="en-AU"/>
        </w:rPr>
        <w:t xml:space="preserve">were </w:t>
      </w:r>
      <w:r w:rsidR="00841F6D">
        <w:rPr>
          <w:noProof/>
          <w:lang w:eastAsia="en-AU"/>
        </w:rPr>
        <w:t>separate reports on the immunogenicity and PK-PD modelling.</w:t>
      </w:r>
    </w:p>
    <w:p w14:paraId="76D9A9BB" w14:textId="77777777" w:rsidR="00841F6D" w:rsidRPr="00841F6D" w:rsidRDefault="00841F6D" w:rsidP="00841F6D">
      <w:r>
        <w:rPr>
          <w:lang w:eastAsia="ja-JP"/>
        </w:rPr>
        <w:t>The population PK studies were reviewed externally and addressed in separate evaluation report.</w:t>
      </w:r>
    </w:p>
    <w:p w14:paraId="1751624C" w14:textId="77777777" w:rsidR="00605AD4" w:rsidRDefault="00605AD4" w:rsidP="00605AD4">
      <w:pPr>
        <w:pStyle w:val="Heading4"/>
      </w:pPr>
      <w:r w:rsidRPr="00605AD4">
        <w:t>Paediatric data</w:t>
      </w:r>
    </w:p>
    <w:p w14:paraId="2834BEB9" w14:textId="77777777" w:rsidR="00841F6D" w:rsidRDefault="00841F6D" w:rsidP="00841F6D">
      <w:pPr>
        <w:rPr>
          <w:lang w:eastAsia="ja-JP"/>
        </w:rPr>
      </w:pPr>
      <w:r>
        <w:rPr>
          <w:lang w:eastAsia="ja-JP"/>
        </w:rPr>
        <w:t>This medication is not proposed for use in children.</w:t>
      </w:r>
    </w:p>
    <w:p w14:paraId="0A859321" w14:textId="77777777" w:rsidR="00605AD4" w:rsidRDefault="00605AD4" w:rsidP="00605AD4">
      <w:pPr>
        <w:pStyle w:val="Heading4"/>
      </w:pPr>
      <w:r w:rsidRPr="00605AD4">
        <w:t>Good clinical practice</w:t>
      </w:r>
    </w:p>
    <w:p w14:paraId="416A1D40" w14:textId="77777777" w:rsidR="00841F6D" w:rsidRDefault="00841F6D" w:rsidP="00841F6D">
      <w:pPr>
        <w:rPr>
          <w:lang w:eastAsia="ja-JP"/>
        </w:rPr>
      </w:pPr>
      <w:r>
        <w:rPr>
          <w:lang w:eastAsia="ja-JP"/>
        </w:rPr>
        <w:t>The clinical trials were performed in compliance with good clinical practice. Local ethics approval was granted at each site.</w:t>
      </w:r>
    </w:p>
    <w:p w14:paraId="1EF0E5F0" w14:textId="77777777" w:rsidR="008E7846" w:rsidRDefault="008E7846" w:rsidP="00605AD4">
      <w:pPr>
        <w:pStyle w:val="Heading3"/>
      </w:pPr>
      <w:bookmarkStart w:id="72" w:name="_Toc497744259"/>
      <w:r w:rsidRPr="00254787">
        <w:t>Pharmacokinetics</w:t>
      </w:r>
      <w:bookmarkEnd w:id="61"/>
      <w:bookmarkEnd w:id="68"/>
      <w:bookmarkEnd w:id="69"/>
      <w:bookmarkEnd w:id="70"/>
      <w:bookmarkEnd w:id="72"/>
    </w:p>
    <w:p w14:paraId="4209FD40" w14:textId="77777777" w:rsidR="00371AC4" w:rsidRDefault="00605AD4" w:rsidP="00605AD4">
      <w:pPr>
        <w:pStyle w:val="Heading4"/>
      </w:pPr>
      <w:r>
        <w:t>Studies providing pharmacokinetic data</w:t>
      </w:r>
    </w:p>
    <w:p w14:paraId="33D79F58" w14:textId="2EF32CCA" w:rsidR="00FA5414" w:rsidRPr="00FA5414" w:rsidRDefault="00FA5414" w:rsidP="00FA5414">
      <w:r>
        <w:t>Table 4 summarises the PK studies submitted.</w:t>
      </w:r>
    </w:p>
    <w:p w14:paraId="7208CF81" w14:textId="77777777" w:rsidR="00841F6D" w:rsidRPr="00996B96" w:rsidRDefault="00841F6D" w:rsidP="00FA5414">
      <w:pPr>
        <w:pStyle w:val="TableTitle"/>
      </w:pPr>
      <w:bookmarkStart w:id="73" w:name="_Toc453839419"/>
      <w:bookmarkStart w:id="74" w:name="_Toc456613796"/>
      <w:r w:rsidRPr="00996B96">
        <w:t xml:space="preserve">Table </w:t>
      </w:r>
      <w:r w:rsidR="00FA5414">
        <w:t>4:</w:t>
      </w:r>
      <w:r w:rsidRPr="00996B96">
        <w:t xml:space="preserve"> Submitted pharmacokinetic studies</w:t>
      </w:r>
      <w:bookmarkEnd w:id="73"/>
      <w:bookmarkEnd w:id="74"/>
    </w:p>
    <w:tbl>
      <w:tblPr>
        <w:tblStyle w:val="TableTGAblue"/>
        <w:tblW w:w="0" w:type="auto"/>
        <w:tblLook w:val="04A0" w:firstRow="1" w:lastRow="0" w:firstColumn="1" w:lastColumn="0" w:noHBand="0" w:noVBand="1"/>
      </w:tblPr>
      <w:tblGrid>
        <w:gridCol w:w="1892"/>
        <w:gridCol w:w="1863"/>
        <w:gridCol w:w="1233"/>
        <w:gridCol w:w="647"/>
        <w:gridCol w:w="3085"/>
      </w:tblGrid>
      <w:tr w:rsidR="00841F6D" w:rsidRPr="0030206B" w14:paraId="2CCEECC3" w14:textId="77777777" w:rsidTr="00841F6D">
        <w:trPr>
          <w:cnfStyle w:val="100000000000" w:firstRow="1" w:lastRow="0" w:firstColumn="0" w:lastColumn="0" w:oddVBand="0" w:evenVBand="0" w:oddHBand="0" w:evenHBand="0" w:firstRowFirstColumn="0" w:firstRowLastColumn="0" w:lastRowFirstColumn="0" w:lastRowLastColumn="0"/>
        </w:trPr>
        <w:tc>
          <w:tcPr>
            <w:tcW w:w="0" w:type="auto"/>
          </w:tcPr>
          <w:p w14:paraId="570D6E37" w14:textId="77777777" w:rsidR="00841F6D" w:rsidRPr="0030206B" w:rsidRDefault="00841F6D" w:rsidP="0030206B">
            <w:pPr>
              <w:rPr>
                <w:b w:val="0"/>
                <w:sz w:val="20"/>
                <w:szCs w:val="20"/>
              </w:rPr>
            </w:pPr>
            <w:r w:rsidRPr="0030206B">
              <w:rPr>
                <w:sz w:val="20"/>
                <w:szCs w:val="20"/>
              </w:rPr>
              <w:t>PK topic</w:t>
            </w:r>
          </w:p>
        </w:tc>
        <w:tc>
          <w:tcPr>
            <w:tcW w:w="0" w:type="auto"/>
          </w:tcPr>
          <w:p w14:paraId="394A129E" w14:textId="77777777" w:rsidR="00841F6D" w:rsidRPr="0030206B" w:rsidRDefault="00841F6D" w:rsidP="0030206B">
            <w:pPr>
              <w:rPr>
                <w:b w:val="0"/>
                <w:sz w:val="20"/>
                <w:szCs w:val="20"/>
              </w:rPr>
            </w:pPr>
            <w:r w:rsidRPr="0030206B">
              <w:rPr>
                <w:sz w:val="20"/>
                <w:szCs w:val="20"/>
              </w:rPr>
              <w:t>Subtopic</w:t>
            </w:r>
          </w:p>
        </w:tc>
        <w:tc>
          <w:tcPr>
            <w:tcW w:w="0" w:type="auto"/>
          </w:tcPr>
          <w:p w14:paraId="69B8FAAF" w14:textId="77777777" w:rsidR="00841F6D" w:rsidRPr="0030206B" w:rsidRDefault="00841F6D" w:rsidP="0030206B">
            <w:pPr>
              <w:rPr>
                <w:b w:val="0"/>
                <w:sz w:val="20"/>
                <w:szCs w:val="20"/>
              </w:rPr>
            </w:pPr>
            <w:r w:rsidRPr="0030206B">
              <w:rPr>
                <w:sz w:val="20"/>
                <w:szCs w:val="20"/>
              </w:rPr>
              <w:t>Study ID</w:t>
            </w:r>
          </w:p>
        </w:tc>
        <w:tc>
          <w:tcPr>
            <w:tcW w:w="0" w:type="auto"/>
          </w:tcPr>
          <w:p w14:paraId="7875E9C2" w14:textId="77777777" w:rsidR="00841F6D" w:rsidRPr="0030206B" w:rsidRDefault="00841F6D" w:rsidP="0030206B">
            <w:pPr>
              <w:rPr>
                <w:b w:val="0"/>
                <w:sz w:val="20"/>
                <w:szCs w:val="20"/>
              </w:rPr>
            </w:pPr>
            <w:r w:rsidRPr="0030206B">
              <w:rPr>
                <w:sz w:val="20"/>
                <w:szCs w:val="20"/>
              </w:rPr>
              <w:t>*</w:t>
            </w:r>
          </w:p>
        </w:tc>
        <w:tc>
          <w:tcPr>
            <w:tcW w:w="0" w:type="auto"/>
          </w:tcPr>
          <w:p w14:paraId="5E959DAD" w14:textId="77777777" w:rsidR="00841F6D" w:rsidRPr="0030206B" w:rsidRDefault="00FD2B65" w:rsidP="0030206B">
            <w:pPr>
              <w:rPr>
                <w:b w:val="0"/>
                <w:sz w:val="20"/>
                <w:szCs w:val="20"/>
              </w:rPr>
            </w:pPr>
            <w:r>
              <w:rPr>
                <w:sz w:val="20"/>
                <w:szCs w:val="20"/>
              </w:rPr>
              <w:t>Objective</w:t>
            </w:r>
          </w:p>
        </w:tc>
      </w:tr>
      <w:tr w:rsidR="00FA5414" w:rsidRPr="0030206B" w14:paraId="46A78C5D" w14:textId="77777777" w:rsidTr="00841F6D">
        <w:tc>
          <w:tcPr>
            <w:tcW w:w="0" w:type="auto"/>
            <w:vMerge w:val="restart"/>
          </w:tcPr>
          <w:p w14:paraId="195DB26F" w14:textId="77777777" w:rsidR="00FA5414" w:rsidRPr="0030206B" w:rsidRDefault="00FA5414" w:rsidP="0030206B">
            <w:pPr>
              <w:rPr>
                <w:sz w:val="20"/>
                <w:szCs w:val="20"/>
              </w:rPr>
            </w:pPr>
            <w:r w:rsidRPr="0030206B">
              <w:rPr>
                <w:sz w:val="20"/>
                <w:szCs w:val="20"/>
              </w:rPr>
              <w:t>PK in healthy adults</w:t>
            </w:r>
          </w:p>
        </w:tc>
        <w:tc>
          <w:tcPr>
            <w:tcW w:w="0" w:type="auto"/>
          </w:tcPr>
          <w:p w14:paraId="3A930BA4" w14:textId="77777777" w:rsidR="00FA5414" w:rsidRPr="0030206B" w:rsidRDefault="00FA5414" w:rsidP="0030206B">
            <w:pPr>
              <w:rPr>
                <w:sz w:val="20"/>
                <w:szCs w:val="20"/>
              </w:rPr>
            </w:pPr>
            <w:r w:rsidRPr="0030206B">
              <w:rPr>
                <w:sz w:val="20"/>
                <w:szCs w:val="20"/>
              </w:rPr>
              <w:t>General PK - Single dose</w:t>
            </w:r>
          </w:p>
        </w:tc>
        <w:tc>
          <w:tcPr>
            <w:tcW w:w="0" w:type="auto"/>
          </w:tcPr>
          <w:p w14:paraId="363258B6" w14:textId="77777777" w:rsidR="00FA5414" w:rsidRPr="0030206B" w:rsidRDefault="00FA5414" w:rsidP="0030206B">
            <w:pPr>
              <w:rPr>
                <w:sz w:val="20"/>
                <w:szCs w:val="20"/>
              </w:rPr>
            </w:pPr>
            <w:r w:rsidRPr="0030206B">
              <w:rPr>
                <w:sz w:val="20"/>
                <w:szCs w:val="20"/>
              </w:rPr>
              <w:t>CS01</w:t>
            </w:r>
          </w:p>
        </w:tc>
        <w:tc>
          <w:tcPr>
            <w:tcW w:w="0" w:type="auto"/>
          </w:tcPr>
          <w:p w14:paraId="4482188E" w14:textId="77777777" w:rsidR="00FA5414" w:rsidRPr="0030206B" w:rsidRDefault="00FA5414" w:rsidP="0030206B">
            <w:pPr>
              <w:rPr>
                <w:sz w:val="20"/>
                <w:szCs w:val="20"/>
              </w:rPr>
            </w:pPr>
            <w:r w:rsidRPr="0030206B">
              <w:rPr>
                <w:sz w:val="20"/>
                <w:szCs w:val="20"/>
              </w:rPr>
              <w:t>*</w:t>
            </w:r>
          </w:p>
        </w:tc>
        <w:tc>
          <w:tcPr>
            <w:tcW w:w="0" w:type="auto"/>
          </w:tcPr>
          <w:p w14:paraId="4DF4E2A4" w14:textId="77777777" w:rsidR="00FA5414" w:rsidRPr="0030206B" w:rsidRDefault="00FA5414" w:rsidP="0030206B">
            <w:pPr>
              <w:rPr>
                <w:sz w:val="20"/>
                <w:szCs w:val="20"/>
              </w:rPr>
            </w:pPr>
            <w:r w:rsidRPr="0030206B">
              <w:rPr>
                <w:sz w:val="20"/>
                <w:szCs w:val="20"/>
              </w:rPr>
              <w:t xml:space="preserve">To assess the safety and tolerability of single ascending doses of </w:t>
            </w:r>
            <w:r w:rsidR="00FD2B65">
              <w:rPr>
                <w:sz w:val="20"/>
                <w:szCs w:val="20"/>
              </w:rPr>
              <w:t>Rekovelle</w:t>
            </w:r>
            <w:r w:rsidRPr="0030206B">
              <w:rPr>
                <w:sz w:val="20"/>
                <w:szCs w:val="20"/>
              </w:rPr>
              <w:t>: 37.5, 75, 150, 225 and 450IU</w:t>
            </w:r>
          </w:p>
        </w:tc>
      </w:tr>
      <w:tr w:rsidR="00FA5414" w:rsidRPr="0030206B" w14:paraId="0A26BBE4" w14:textId="77777777" w:rsidTr="00841F6D">
        <w:tc>
          <w:tcPr>
            <w:tcW w:w="0" w:type="auto"/>
            <w:vMerge/>
          </w:tcPr>
          <w:p w14:paraId="24C09D02" w14:textId="77777777" w:rsidR="00FA5414" w:rsidRPr="0030206B" w:rsidRDefault="00FA5414" w:rsidP="0030206B">
            <w:pPr>
              <w:rPr>
                <w:sz w:val="20"/>
                <w:szCs w:val="20"/>
              </w:rPr>
            </w:pPr>
          </w:p>
        </w:tc>
        <w:tc>
          <w:tcPr>
            <w:tcW w:w="0" w:type="auto"/>
          </w:tcPr>
          <w:p w14:paraId="0C542BAC" w14:textId="77777777" w:rsidR="00FA5414" w:rsidRPr="0030206B" w:rsidRDefault="00FA5414" w:rsidP="0030206B">
            <w:pPr>
              <w:rPr>
                <w:sz w:val="20"/>
                <w:szCs w:val="20"/>
              </w:rPr>
            </w:pPr>
            <w:r w:rsidRPr="0030206B">
              <w:rPr>
                <w:sz w:val="20"/>
                <w:szCs w:val="20"/>
              </w:rPr>
              <w:t xml:space="preserve"> Multi-dose</w:t>
            </w:r>
          </w:p>
        </w:tc>
        <w:tc>
          <w:tcPr>
            <w:tcW w:w="0" w:type="auto"/>
          </w:tcPr>
          <w:p w14:paraId="141C2613" w14:textId="77777777" w:rsidR="00FA5414" w:rsidRPr="0030206B" w:rsidRDefault="00FA5414" w:rsidP="0030206B">
            <w:pPr>
              <w:rPr>
                <w:sz w:val="20"/>
                <w:szCs w:val="20"/>
              </w:rPr>
            </w:pPr>
            <w:r w:rsidRPr="0030206B">
              <w:rPr>
                <w:sz w:val="20"/>
                <w:szCs w:val="20"/>
              </w:rPr>
              <w:t>CS02</w:t>
            </w:r>
          </w:p>
        </w:tc>
        <w:tc>
          <w:tcPr>
            <w:tcW w:w="0" w:type="auto"/>
          </w:tcPr>
          <w:p w14:paraId="16ED7069" w14:textId="77777777" w:rsidR="00FA5414" w:rsidRPr="0030206B" w:rsidRDefault="00FA5414" w:rsidP="0030206B">
            <w:pPr>
              <w:rPr>
                <w:sz w:val="20"/>
                <w:szCs w:val="20"/>
              </w:rPr>
            </w:pPr>
            <w:r w:rsidRPr="0030206B">
              <w:rPr>
                <w:sz w:val="20"/>
                <w:szCs w:val="20"/>
              </w:rPr>
              <w:t>*</w:t>
            </w:r>
          </w:p>
        </w:tc>
        <w:tc>
          <w:tcPr>
            <w:tcW w:w="0" w:type="auto"/>
          </w:tcPr>
          <w:p w14:paraId="2DFE26E4" w14:textId="77777777" w:rsidR="00FA5414" w:rsidRPr="0030206B" w:rsidRDefault="00FA5414" w:rsidP="0030206B">
            <w:pPr>
              <w:rPr>
                <w:sz w:val="20"/>
                <w:szCs w:val="20"/>
              </w:rPr>
            </w:pPr>
            <w:r w:rsidRPr="0030206B">
              <w:rPr>
                <w:sz w:val="20"/>
                <w:szCs w:val="20"/>
              </w:rPr>
              <w:t xml:space="preserve">Safety and tolerability of multiple subcutaneous doses of 225IU </w:t>
            </w:r>
          </w:p>
        </w:tc>
      </w:tr>
      <w:tr w:rsidR="00FA5414" w:rsidRPr="0030206B" w14:paraId="42FB5BFD" w14:textId="77777777" w:rsidTr="00841F6D">
        <w:tc>
          <w:tcPr>
            <w:tcW w:w="0" w:type="auto"/>
            <w:vMerge/>
          </w:tcPr>
          <w:p w14:paraId="0B02E31D" w14:textId="77777777" w:rsidR="00FA5414" w:rsidRPr="0030206B" w:rsidRDefault="00FA5414" w:rsidP="0030206B">
            <w:pPr>
              <w:rPr>
                <w:sz w:val="20"/>
                <w:szCs w:val="20"/>
              </w:rPr>
            </w:pPr>
          </w:p>
        </w:tc>
        <w:tc>
          <w:tcPr>
            <w:tcW w:w="0" w:type="auto"/>
          </w:tcPr>
          <w:p w14:paraId="08CF7561" w14:textId="77777777" w:rsidR="00FA5414" w:rsidRPr="0030206B" w:rsidRDefault="00FA5414" w:rsidP="0030206B">
            <w:pPr>
              <w:rPr>
                <w:sz w:val="20"/>
                <w:szCs w:val="20"/>
              </w:rPr>
            </w:pPr>
            <w:r w:rsidRPr="0030206B">
              <w:rPr>
                <w:sz w:val="20"/>
                <w:szCs w:val="20"/>
              </w:rPr>
              <w:t>Absolute bioavailability</w:t>
            </w:r>
          </w:p>
        </w:tc>
        <w:tc>
          <w:tcPr>
            <w:tcW w:w="0" w:type="auto"/>
          </w:tcPr>
          <w:p w14:paraId="19D6B34D" w14:textId="77777777" w:rsidR="00FA5414" w:rsidRPr="0030206B" w:rsidRDefault="00FA5414" w:rsidP="0030206B">
            <w:pPr>
              <w:rPr>
                <w:sz w:val="20"/>
                <w:szCs w:val="20"/>
              </w:rPr>
            </w:pPr>
            <w:r w:rsidRPr="0030206B">
              <w:rPr>
                <w:sz w:val="20"/>
                <w:szCs w:val="20"/>
              </w:rPr>
              <w:t>000020</w:t>
            </w:r>
          </w:p>
        </w:tc>
        <w:tc>
          <w:tcPr>
            <w:tcW w:w="0" w:type="auto"/>
          </w:tcPr>
          <w:p w14:paraId="5CA95921" w14:textId="77777777" w:rsidR="00FA5414" w:rsidRPr="0030206B" w:rsidRDefault="00FA5414" w:rsidP="0030206B">
            <w:pPr>
              <w:rPr>
                <w:sz w:val="20"/>
                <w:szCs w:val="20"/>
              </w:rPr>
            </w:pPr>
            <w:r w:rsidRPr="0030206B">
              <w:rPr>
                <w:sz w:val="20"/>
                <w:szCs w:val="20"/>
              </w:rPr>
              <w:t>*</w:t>
            </w:r>
          </w:p>
        </w:tc>
        <w:tc>
          <w:tcPr>
            <w:tcW w:w="0" w:type="auto"/>
          </w:tcPr>
          <w:p w14:paraId="67CD1DC1" w14:textId="77777777" w:rsidR="00FA5414" w:rsidRPr="0030206B" w:rsidRDefault="00FA5414" w:rsidP="0030206B">
            <w:pPr>
              <w:rPr>
                <w:sz w:val="20"/>
                <w:szCs w:val="20"/>
              </w:rPr>
            </w:pPr>
            <w:r w:rsidRPr="0030206B">
              <w:rPr>
                <w:sz w:val="20"/>
                <w:szCs w:val="20"/>
              </w:rPr>
              <w:t xml:space="preserve">To determine and compare the absolute bioavailability of </w:t>
            </w:r>
            <w:r w:rsidR="00FD2B65">
              <w:rPr>
                <w:sz w:val="20"/>
                <w:szCs w:val="20"/>
              </w:rPr>
              <w:t>Rekovelle</w:t>
            </w:r>
            <w:r w:rsidRPr="0030206B">
              <w:rPr>
                <w:sz w:val="20"/>
                <w:szCs w:val="20"/>
              </w:rPr>
              <w:t xml:space="preserve"> and </w:t>
            </w:r>
            <w:r w:rsidR="00FB403C">
              <w:rPr>
                <w:sz w:val="20"/>
                <w:szCs w:val="20"/>
              </w:rPr>
              <w:t>Gonal-F</w:t>
            </w:r>
            <w:r w:rsidRPr="0030206B">
              <w:rPr>
                <w:sz w:val="20"/>
                <w:szCs w:val="20"/>
              </w:rPr>
              <w:t xml:space="preserve"> after a single </w:t>
            </w:r>
            <w:r w:rsidR="005219CC" w:rsidRPr="0030206B">
              <w:rPr>
                <w:sz w:val="20"/>
                <w:szCs w:val="20"/>
              </w:rPr>
              <w:t>subcutaneous</w:t>
            </w:r>
            <w:r w:rsidRPr="0030206B">
              <w:rPr>
                <w:sz w:val="20"/>
                <w:szCs w:val="20"/>
              </w:rPr>
              <w:t xml:space="preserve"> dose of 45IU compared to an intravenous dose of 225</w:t>
            </w:r>
          </w:p>
        </w:tc>
      </w:tr>
      <w:tr w:rsidR="00841F6D" w:rsidRPr="0030206B" w14:paraId="036298F4" w14:textId="77777777" w:rsidTr="00841F6D">
        <w:tc>
          <w:tcPr>
            <w:tcW w:w="0" w:type="auto"/>
          </w:tcPr>
          <w:p w14:paraId="4004E1CF" w14:textId="77777777" w:rsidR="00841F6D" w:rsidRPr="0030206B" w:rsidRDefault="00841F6D" w:rsidP="0030206B">
            <w:pPr>
              <w:rPr>
                <w:sz w:val="20"/>
                <w:szCs w:val="20"/>
              </w:rPr>
            </w:pPr>
            <w:r w:rsidRPr="0030206B">
              <w:rPr>
                <w:sz w:val="20"/>
                <w:szCs w:val="20"/>
              </w:rPr>
              <w:t>PK (dose response) in women undergoing IVF/ICSI</w:t>
            </w:r>
          </w:p>
        </w:tc>
        <w:tc>
          <w:tcPr>
            <w:tcW w:w="0" w:type="auto"/>
          </w:tcPr>
          <w:p w14:paraId="1657A76E" w14:textId="77777777" w:rsidR="00841F6D" w:rsidRPr="0030206B" w:rsidRDefault="00841F6D" w:rsidP="0030206B">
            <w:pPr>
              <w:rPr>
                <w:sz w:val="20"/>
                <w:szCs w:val="20"/>
              </w:rPr>
            </w:pPr>
            <w:r w:rsidRPr="0030206B">
              <w:rPr>
                <w:sz w:val="20"/>
                <w:szCs w:val="20"/>
              </w:rPr>
              <w:t xml:space="preserve"> Multi-dose</w:t>
            </w:r>
          </w:p>
        </w:tc>
        <w:tc>
          <w:tcPr>
            <w:tcW w:w="0" w:type="auto"/>
          </w:tcPr>
          <w:p w14:paraId="3BBEE9A6" w14:textId="77777777" w:rsidR="00841F6D" w:rsidRPr="0030206B" w:rsidRDefault="00841F6D" w:rsidP="0030206B">
            <w:pPr>
              <w:rPr>
                <w:sz w:val="20"/>
                <w:szCs w:val="20"/>
              </w:rPr>
            </w:pPr>
            <w:r w:rsidRPr="0030206B">
              <w:rPr>
                <w:sz w:val="20"/>
                <w:szCs w:val="20"/>
              </w:rPr>
              <w:t>000009</w:t>
            </w:r>
          </w:p>
        </w:tc>
        <w:tc>
          <w:tcPr>
            <w:tcW w:w="0" w:type="auto"/>
          </w:tcPr>
          <w:p w14:paraId="2616521C" w14:textId="77777777" w:rsidR="00841F6D" w:rsidRPr="0030206B" w:rsidRDefault="00841F6D" w:rsidP="0030206B">
            <w:pPr>
              <w:rPr>
                <w:sz w:val="20"/>
                <w:szCs w:val="20"/>
              </w:rPr>
            </w:pPr>
            <w:r w:rsidRPr="0030206B">
              <w:rPr>
                <w:sz w:val="20"/>
                <w:szCs w:val="20"/>
              </w:rPr>
              <w:t>*</w:t>
            </w:r>
          </w:p>
        </w:tc>
        <w:tc>
          <w:tcPr>
            <w:tcW w:w="0" w:type="auto"/>
          </w:tcPr>
          <w:p w14:paraId="4158B69E" w14:textId="77777777" w:rsidR="00841F6D" w:rsidRPr="0030206B" w:rsidRDefault="00841F6D" w:rsidP="0030206B">
            <w:pPr>
              <w:rPr>
                <w:sz w:val="20"/>
                <w:szCs w:val="20"/>
              </w:rPr>
            </w:pPr>
            <w:r w:rsidRPr="0030206B">
              <w:rPr>
                <w:sz w:val="20"/>
                <w:szCs w:val="20"/>
              </w:rPr>
              <w:t xml:space="preserve">To investigate the dose response relationship of </w:t>
            </w:r>
            <w:r w:rsidR="00FD2B65">
              <w:rPr>
                <w:sz w:val="20"/>
                <w:szCs w:val="20"/>
              </w:rPr>
              <w:t>Rekovelle</w:t>
            </w:r>
            <w:r w:rsidRPr="0030206B">
              <w:rPr>
                <w:sz w:val="20"/>
                <w:szCs w:val="20"/>
              </w:rPr>
              <w:t xml:space="preserve"> with respect to ovarian response in women undergoing IVF/ICSI</w:t>
            </w:r>
          </w:p>
        </w:tc>
      </w:tr>
    </w:tbl>
    <w:p w14:paraId="78927C0A" w14:textId="77777777" w:rsidR="00841F6D" w:rsidRDefault="00841F6D" w:rsidP="00371AC4">
      <w:pPr>
        <w:pStyle w:val="TableDescription"/>
      </w:pPr>
      <w:r w:rsidRPr="00996B96">
        <w:t>* Indicates the primary PK aim of the study</w:t>
      </w:r>
      <w:r w:rsidR="005219CC" w:rsidRPr="00996B96">
        <w:t>. †</w:t>
      </w:r>
      <w:r w:rsidRPr="00996B96">
        <w:t xml:space="preserve"> Bioequival</w:t>
      </w:r>
      <w:r>
        <w:t>ence of different formulations.</w:t>
      </w:r>
    </w:p>
    <w:p w14:paraId="26AD7CB4" w14:textId="77777777" w:rsidR="00605AD4" w:rsidRDefault="00605AD4" w:rsidP="00605AD4">
      <w:pPr>
        <w:pStyle w:val="Heading4"/>
      </w:pPr>
      <w:r>
        <w:t>Evaluator’s conclusions on pharmacokinetics</w:t>
      </w:r>
    </w:p>
    <w:p w14:paraId="6895BC9C" w14:textId="77777777" w:rsidR="00841F6D" w:rsidRDefault="00841F6D" w:rsidP="00841F6D">
      <w:r>
        <w:t xml:space="preserve">The pharmacokinetics </w:t>
      </w:r>
      <w:r w:rsidR="00FA5414">
        <w:t xml:space="preserve">of the product </w:t>
      </w:r>
      <w:r>
        <w:t>ha</w:t>
      </w:r>
      <w:r w:rsidR="00FA5414">
        <w:t>s</w:t>
      </w:r>
      <w:r>
        <w:t xml:space="preserve"> been well described and </w:t>
      </w:r>
      <w:r w:rsidR="005219CC">
        <w:t>is</w:t>
      </w:r>
      <w:r>
        <w:t xml:space="preserve"> similar to other FSH products. One major difference is the slower clearance, higher exposure and longer </w:t>
      </w:r>
      <w:r w:rsidR="00FA5414">
        <w:t>half-</w:t>
      </w:r>
      <w:r>
        <w:t xml:space="preserve"> life with </w:t>
      </w:r>
      <w:r w:rsidR="00FD2B65">
        <w:t>Rekovelle</w:t>
      </w:r>
      <w:r>
        <w:t xml:space="preserve"> versus </w:t>
      </w:r>
      <w:r w:rsidR="00FA5414">
        <w:t>Gonal</w:t>
      </w:r>
      <w:r>
        <w:t>–</w:t>
      </w:r>
      <w:r w:rsidR="00FD2B65">
        <w:t>F</w:t>
      </w:r>
      <w:r>
        <w:t>. The implications that this has on dosing has been explored. However it is not clear if the implications that this may have on the timing of the development of oocytes or other hormonal parameters have been adequately discussed.</w:t>
      </w:r>
    </w:p>
    <w:p w14:paraId="5371A7DA" w14:textId="77777777" w:rsidR="00841F6D" w:rsidRDefault="00841F6D" w:rsidP="00841F6D">
      <w:r>
        <w:t>There were some deficiencies identified in the development of the population PK model. However, the model was considered adequate for the development of a dosing algorithm. The clinical implications of the dosing algorithm will be tested in the clinical trials.</w:t>
      </w:r>
    </w:p>
    <w:p w14:paraId="4A4147B6" w14:textId="77777777" w:rsidR="00841F6D" w:rsidRPr="00841F6D" w:rsidRDefault="00841F6D" w:rsidP="00841F6D">
      <w:r>
        <w:t>All injections were performed in the abdomen. The PK of other sites has not been established.</w:t>
      </w:r>
    </w:p>
    <w:p w14:paraId="4568F213" w14:textId="77777777" w:rsidR="008E7846" w:rsidRDefault="008E7846" w:rsidP="008E7846">
      <w:pPr>
        <w:pStyle w:val="Heading3"/>
      </w:pPr>
      <w:bookmarkStart w:id="75" w:name="_Toc196046481"/>
      <w:bookmarkStart w:id="76" w:name="_Toc247691520"/>
      <w:bookmarkStart w:id="77" w:name="_Toc314842503"/>
      <w:bookmarkStart w:id="78" w:name="_Toc497744260"/>
      <w:r w:rsidRPr="00254787">
        <w:t>Pharmacodynamics</w:t>
      </w:r>
      <w:bookmarkEnd w:id="62"/>
      <w:bookmarkEnd w:id="75"/>
      <w:bookmarkEnd w:id="76"/>
      <w:bookmarkEnd w:id="77"/>
      <w:bookmarkEnd w:id="78"/>
    </w:p>
    <w:p w14:paraId="661B9E63" w14:textId="77777777" w:rsidR="00605AD4" w:rsidRDefault="00605AD4" w:rsidP="00605AD4">
      <w:pPr>
        <w:pStyle w:val="Heading4"/>
      </w:pPr>
      <w:r>
        <w:t>Studies providing pharmacodynamic data</w:t>
      </w:r>
    </w:p>
    <w:p w14:paraId="4C9833DA" w14:textId="77777777" w:rsidR="00841F6D" w:rsidRDefault="00FD2B65" w:rsidP="00841F6D">
      <w:r>
        <w:t>Rekovelle</w:t>
      </w:r>
      <w:r w:rsidR="00841F6D">
        <w:t xml:space="preserve"> is demonstrated to have specific affinity for and functional activity at the human FSH receptor which the sponsor states in women is only expressed in the granulosa cells of the ovary.</w:t>
      </w:r>
    </w:p>
    <w:p w14:paraId="0609FDA7" w14:textId="77777777" w:rsidR="00841F6D" w:rsidRDefault="00841F6D" w:rsidP="00FA5414">
      <w:pPr>
        <w:pStyle w:val="Heading4"/>
      </w:pPr>
      <w:r>
        <w:t>Studies providing pharmacodynamic information</w:t>
      </w:r>
    </w:p>
    <w:p w14:paraId="48549FC6" w14:textId="77777777" w:rsidR="00841F6D" w:rsidRDefault="00841F6D" w:rsidP="00841F6D">
      <w:r>
        <w:t>Submitted pharmacodynamic studies</w:t>
      </w:r>
      <w:r w:rsidR="00FA5414">
        <w:t>:</w:t>
      </w:r>
    </w:p>
    <w:p w14:paraId="718239EE" w14:textId="77777777" w:rsidR="00FA5414" w:rsidRDefault="00FA5414" w:rsidP="00FA5414">
      <w:pPr>
        <w:pStyle w:val="ListBullet"/>
      </w:pPr>
      <w:r>
        <w:t xml:space="preserve">Study CS02 </w:t>
      </w:r>
      <w:r w:rsidR="00841F6D">
        <w:t>Primary Pharmacology</w:t>
      </w:r>
      <w:r>
        <w:t xml:space="preserve"> </w:t>
      </w:r>
      <w:r w:rsidR="00841F6D">
        <w:t>Effect on PD parameter FSH in healthy subjects</w:t>
      </w:r>
    </w:p>
    <w:p w14:paraId="445E8D5D" w14:textId="77777777" w:rsidR="00371AC4" w:rsidRDefault="00FA5414" w:rsidP="00FA5414">
      <w:pPr>
        <w:pStyle w:val="ListBullet"/>
      </w:pPr>
      <w:r>
        <w:t>Study 000009</w:t>
      </w:r>
      <w:r w:rsidR="003D1750">
        <w:t xml:space="preserve"> </w:t>
      </w:r>
      <w:r w:rsidR="00841F6D">
        <w:t>Effect on oocyte number, hormonal profile and live pregnancy rates in patients undergoing IVF/ICSI</w:t>
      </w:r>
    </w:p>
    <w:p w14:paraId="7E5E3A32" w14:textId="14455F1D" w:rsidR="00605AD4" w:rsidRDefault="00605AD4" w:rsidP="00605AD4">
      <w:pPr>
        <w:pStyle w:val="Heading4"/>
      </w:pPr>
      <w:r>
        <w:t>Evaluator’s conclusions on pharmacodynamics</w:t>
      </w:r>
    </w:p>
    <w:p w14:paraId="7FEB874C" w14:textId="77777777" w:rsidR="00841F6D" w:rsidRDefault="005219CC" w:rsidP="00841F6D">
      <w:r>
        <w:t xml:space="preserve">The pharmacodynamics was </w:t>
      </w:r>
      <w:r w:rsidR="00841F6D" w:rsidRPr="00841F6D">
        <w:t>well described and as expected for a recombinant FSH product.</w:t>
      </w:r>
    </w:p>
    <w:p w14:paraId="09B2679F" w14:textId="50EE53DE" w:rsidR="00841F6D" w:rsidRDefault="00841F6D" w:rsidP="00FD2B65">
      <w:pPr>
        <w:pStyle w:val="Heading3"/>
      </w:pPr>
      <w:bookmarkStart w:id="79" w:name="_Toc497744261"/>
      <w:r>
        <w:t xml:space="preserve">Medical </w:t>
      </w:r>
      <w:r w:rsidR="00371AC4">
        <w:t>device issues</w:t>
      </w:r>
      <w:bookmarkEnd w:id="79"/>
    </w:p>
    <w:p w14:paraId="1C3DFFBA" w14:textId="77777777" w:rsidR="00841F6D" w:rsidRDefault="005219CC" w:rsidP="00FD2B65">
      <w:pPr>
        <w:pStyle w:val="Heading4"/>
      </w:pPr>
      <w:r>
        <w:t>AMH (Anti-Müllerian H</w:t>
      </w:r>
      <w:r w:rsidR="00841F6D">
        <w:t>ormone) assay</w:t>
      </w:r>
    </w:p>
    <w:p w14:paraId="73D0BDFC" w14:textId="77777777" w:rsidR="00371AC4" w:rsidRDefault="00841F6D" w:rsidP="00B65662">
      <w:r>
        <w:t xml:space="preserve">The use of </w:t>
      </w:r>
      <w:r w:rsidR="004421A0">
        <w:t>Rekovelle</w:t>
      </w:r>
      <w:r>
        <w:t xml:space="preserve"> according to the product information requires the use of a biomarker (AMH)</w:t>
      </w:r>
      <w:r w:rsidR="00371AC4">
        <w:t>.</w:t>
      </w:r>
    </w:p>
    <w:p w14:paraId="12503B0E" w14:textId="77777777" w:rsidR="00371AC4" w:rsidRDefault="00841F6D" w:rsidP="00B65662">
      <w:r>
        <w:t>AMH is used as a biomarker for relative size of ovarian reserve. In IVF, AMH can predict excessive response to ovarian hyper stimulation with a sensitivity of 82% and specificity of 76%. However there are situations such as in PCOS where it can be misleading. AMH levels correlate with natural fertility in women aged 30</w:t>
      </w:r>
      <w:r w:rsidR="00B65662">
        <w:t xml:space="preserve"> to </w:t>
      </w:r>
      <w:r>
        <w:t>44 years but not in women aged 20</w:t>
      </w:r>
      <w:r w:rsidR="00B65662">
        <w:t xml:space="preserve"> to </w:t>
      </w:r>
      <w:r>
        <w:t>35 years. There are a number of problems with the available AMH assays. Firstly, different methods will produce different results (</w:t>
      </w:r>
      <w:r w:rsidR="00B65662">
        <w:t xml:space="preserve">such as </w:t>
      </w:r>
      <w:r>
        <w:t>Beckman Coulter versus DSL); there is high within patient variability; the levels changes in samples with pre-mixing of buffers, storage at room temperature or freezing, and dilution</w:t>
      </w:r>
      <w:r w:rsidR="00371AC4">
        <w:t>.</w:t>
      </w:r>
    </w:p>
    <w:p w14:paraId="4537DF63" w14:textId="77777777" w:rsidR="00371AC4" w:rsidRDefault="00841F6D" w:rsidP="00B65662">
      <w:r>
        <w:t xml:space="preserve">The sponsor has recommended that AMH levels used for the doing of </w:t>
      </w:r>
      <w:r w:rsidR="004421A0">
        <w:t>Rekovelle</w:t>
      </w:r>
      <w:r>
        <w:t xml:space="preserve"> are measured using a fully automated </w:t>
      </w:r>
      <w:r w:rsidR="00B65662">
        <w:t>E</w:t>
      </w:r>
      <w:r>
        <w:t xml:space="preserve">lecsys AMH assay from Roche. The Roche Elecsys AMH test system has a CE mark in Australia and is registered for quantifying serum AMH for the assessment of ovarian reserve. The assay is currently being assessed in Europe for the additional purpose of dosing </w:t>
      </w:r>
      <w:r w:rsidR="004421A0">
        <w:t>Rekovelle</w:t>
      </w:r>
      <w:r>
        <w:t>. Once the CE mark has been achieved for this indication in Europe, an application for approval of this indication will be submitted in Australia</w:t>
      </w:r>
      <w:r w:rsidR="00371AC4">
        <w:t>.</w:t>
      </w:r>
    </w:p>
    <w:p w14:paraId="1BD7F3A3" w14:textId="77777777" w:rsidR="00371AC4" w:rsidRDefault="00B65662" w:rsidP="00841F6D">
      <w:r>
        <w:t>In the P</w:t>
      </w:r>
      <w:r w:rsidR="00841F6D">
        <w:t xml:space="preserve">hase </w:t>
      </w:r>
      <w:r>
        <w:t>II</w:t>
      </w:r>
      <w:r w:rsidR="00841F6D">
        <w:t xml:space="preserve"> dose response trial, AMH was measured using the Beckman Coulter Gen II ELISA assay. T</w:t>
      </w:r>
      <w:r>
        <w:t>he P</w:t>
      </w:r>
      <w:r w:rsidR="00841F6D">
        <w:t xml:space="preserve">hase </w:t>
      </w:r>
      <w:r>
        <w:t>III</w:t>
      </w:r>
      <w:r w:rsidR="00841F6D">
        <w:t xml:space="preserve"> trials used the Elecsys AMH assay. The sponsor justified the use of two different assays by the following arguments:</w:t>
      </w:r>
    </w:p>
    <w:p w14:paraId="1521A2E7" w14:textId="77777777" w:rsidR="00371AC4" w:rsidRDefault="00B65662" w:rsidP="0016181B">
      <w:pPr>
        <w:pStyle w:val="Numberbullet0"/>
        <w:numPr>
          <w:ilvl w:val="0"/>
          <w:numId w:val="6"/>
        </w:numPr>
      </w:pPr>
      <w:r>
        <w:t>Analysis of the P</w:t>
      </w:r>
      <w:r w:rsidR="00841F6D">
        <w:t xml:space="preserve">hase </w:t>
      </w:r>
      <w:r>
        <w:t>II</w:t>
      </w:r>
      <w:r w:rsidR="00841F6D">
        <w:t xml:space="preserve"> samples using the Elecsys AMH assay showed good overall agreement with no systemic bias when the results of the two assays were directly compared</w:t>
      </w:r>
    </w:p>
    <w:p w14:paraId="09FD3747" w14:textId="46AA7A46" w:rsidR="00371AC4" w:rsidRDefault="00B65662" w:rsidP="0016181B">
      <w:pPr>
        <w:pStyle w:val="Numberbullet0"/>
        <w:numPr>
          <w:ilvl w:val="0"/>
          <w:numId w:val="6"/>
        </w:numPr>
      </w:pPr>
      <w:r>
        <w:t>T</w:t>
      </w:r>
      <w:r w:rsidR="00841F6D">
        <w:t xml:space="preserve">he parameter estimates obtained for the model underlying the </w:t>
      </w:r>
      <w:r w:rsidR="00FD2B65">
        <w:t>Rekovelle</w:t>
      </w:r>
      <w:r w:rsidR="00841F6D">
        <w:t xml:space="preserve"> dosing algorithm were comparable. This is acceptable</w:t>
      </w:r>
      <w:r w:rsidR="00371AC4">
        <w:t>.</w:t>
      </w:r>
    </w:p>
    <w:p w14:paraId="734B7591" w14:textId="0B81B4AE" w:rsidR="00841F6D" w:rsidRPr="00813CDF" w:rsidRDefault="00813CDF" w:rsidP="00FB403C">
      <w:pPr>
        <w:pStyle w:val="Heading5"/>
      </w:pPr>
      <w:r>
        <w:t>Summary of AMH assay</w:t>
      </w:r>
    </w:p>
    <w:p w14:paraId="30EA2866" w14:textId="475F90B8" w:rsidR="00B65662" w:rsidRPr="00813CDF" w:rsidRDefault="00B65662" w:rsidP="00841F6D">
      <w:r w:rsidRPr="00813CDF">
        <w:t>More detai</w:t>
      </w:r>
      <w:r w:rsidR="00386FFC" w:rsidRPr="00813CDF">
        <w:t xml:space="preserve">ls of </w:t>
      </w:r>
      <w:r w:rsidR="00256913">
        <w:t xml:space="preserve">this </w:t>
      </w:r>
      <w:r w:rsidRPr="00813CDF">
        <w:t>assay are given in Attachment 2 under the same heading.</w:t>
      </w:r>
    </w:p>
    <w:p w14:paraId="221C9A1D" w14:textId="77777777" w:rsidR="00813CDF" w:rsidRPr="00813CDF" w:rsidRDefault="00813CDF" w:rsidP="0016181B">
      <w:pPr>
        <w:pStyle w:val="Numberbullet0"/>
        <w:numPr>
          <w:ilvl w:val="0"/>
          <w:numId w:val="11"/>
        </w:numPr>
      </w:pPr>
      <w:r w:rsidRPr="00813CDF">
        <w:t>It shows good correlation for the lower range of AMH, although at higher levels of AMH there was considerable disagreement between the two assays.</w:t>
      </w:r>
    </w:p>
    <w:p w14:paraId="3DA47EB1" w14:textId="77777777" w:rsidR="00371AC4" w:rsidRDefault="00813CDF" w:rsidP="00813CDF">
      <w:pPr>
        <w:pStyle w:val="Numberbullet0"/>
      </w:pPr>
      <w:r w:rsidRPr="00813CDF">
        <w:t xml:space="preserve">The PK-PD model is based on a number of assumptions. Firstly, that AMH is an accurate surrogate marker of ovarian reserve and ovarian response. Secondly, that the PK-PD model is </w:t>
      </w:r>
      <w:r w:rsidR="003D1750">
        <w:t xml:space="preserve">a </w:t>
      </w:r>
      <w:r w:rsidRPr="00813CDF">
        <w:t xml:space="preserve">valid method of calculating the </w:t>
      </w:r>
      <w:r w:rsidR="00FD2B65">
        <w:t>Rekovelle</w:t>
      </w:r>
      <w:r w:rsidRPr="00813CDF">
        <w:t xml:space="preserve"> dose. Thirdly, the </w:t>
      </w:r>
      <w:r w:rsidR="00FD2B65">
        <w:t>Rekovelle</w:t>
      </w:r>
      <w:r w:rsidRPr="00813CDF">
        <w:t xml:space="preserve"> dose only affects the oocyte retrieved and </w:t>
      </w:r>
      <w:r w:rsidR="005219CC" w:rsidRPr="00813CDF">
        <w:t>no</w:t>
      </w:r>
      <w:r w:rsidRPr="00813CDF">
        <w:t xml:space="preserve"> other parameters related to pregnancy outcome or complications (</w:t>
      </w:r>
      <w:r w:rsidR="00EC0017">
        <w:t>for example,</w:t>
      </w:r>
      <w:r w:rsidRPr="00813CDF">
        <w:t xml:space="preserve"> giving too high a dose may lead to an increased risk of OHSS)</w:t>
      </w:r>
      <w:r w:rsidR="00371AC4">
        <w:t>.</w:t>
      </w:r>
    </w:p>
    <w:p w14:paraId="2BBE4E61" w14:textId="77777777" w:rsidR="00371AC4" w:rsidRDefault="00813CDF" w:rsidP="00813CDF">
      <w:pPr>
        <w:pStyle w:val="Numberbullet0"/>
        <w:numPr>
          <w:ilvl w:val="0"/>
          <w:numId w:val="0"/>
        </w:numPr>
        <w:ind w:left="425"/>
      </w:pPr>
      <w:r w:rsidRPr="00813CDF">
        <w:t>Regardless of this, it appears that even a measurement ‘error’ of 25% in AMH is unlikely to cause significant difference in the number of oocytes retrieved</w:t>
      </w:r>
      <w:r w:rsidR="00371AC4">
        <w:t>.</w:t>
      </w:r>
    </w:p>
    <w:p w14:paraId="1A384CA8" w14:textId="6A9D331A" w:rsidR="00813CDF" w:rsidRPr="00813CDF" w:rsidRDefault="00841F6D" w:rsidP="00813CDF">
      <w:pPr>
        <w:pStyle w:val="Numberbullet0"/>
      </w:pPr>
      <w:r w:rsidRPr="00813CDF">
        <w:t>The most important parameter here is the intra-individual variability in serum AMH over time. Although it is reassuring that there was very little change in the mean value over 12 months, this does not necessarily show the change an individual may have had.</w:t>
      </w:r>
    </w:p>
    <w:p w14:paraId="0B494D63" w14:textId="77777777" w:rsidR="00371AC4" w:rsidRDefault="00813CDF" w:rsidP="00813CDF">
      <w:pPr>
        <w:pStyle w:val="Numberbullet0"/>
        <w:numPr>
          <w:ilvl w:val="0"/>
          <w:numId w:val="0"/>
        </w:numPr>
        <w:ind w:left="425"/>
      </w:pPr>
      <w:r w:rsidRPr="00813CDF">
        <w:t>Results</w:t>
      </w:r>
      <w:r w:rsidR="00841F6D" w:rsidRPr="00813CDF">
        <w:t xml:space="preserve"> showed that the 90% IQ range varied from approximately -7 to +6. This will have little impact on measurements at the </w:t>
      </w:r>
      <w:r w:rsidR="005219CC" w:rsidRPr="00813CDF">
        <w:t>extreme;</w:t>
      </w:r>
      <w:r w:rsidR="00841F6D" w:rsidRPr="00813CDF">
        <w:t xml:space="preserve"> it may have considerable influence on the dose given for measurements between 12 and 40pmol/L</w:t>
      </w:r>
      <w:r w:rsidR="00371AC4">
        <w:t>.</w:t>
      </w:r>
    </w:p>
    <w:p w14:paraId="7291CBF7" w14:textId="3ED1A239" w:rsidR="00841F6D" w:rsidRDefault="00841F6D" w:rsidP="00FB403C">
      <w:pPr>
        <w:pStyle w:val="Heading3"/>
      </w:pPr>
      <w:bookmarkStart w:id="80" w:name="_Toc497744262"/>
      <w:r w:rsidRPr="00813CDF">
        <w:t>Injection pen and needles</w:t>
      </w:r>
      <w:bookmarkEnd w:id="80"/>
    </w:p>
    <w:p w14:paraId="5E4AA629" w14:textId="77777777" w:rsidR="00841F6D" w:rsidRDefault="004421A0" w:rsidP="00841F6D">
      <w:r>
        <w:t>Rekovelle</w:t>
      </w:r>
      <w:r w:rsidR="00841F6D">
        <w:t xml:space="preserve"> is to be administered with the </w:t>
      </w:r>
      <w:r>
        <w:t>Rekovelle</w:t>
      </w:r>
      <w:r w:rsidR="00841F6D">
        <w:t xml:space="preserve"> injection pen. This is a non-sterile, reusable medical device designed for use with replacement cartridges of 3</w:t>
      </w:r>
      <w:r w:rsidR="00386FFC">
        <w:t xml:space="preserve"> </w:t>
      </w:r>
      <w:r w:rsidR="00841F6D">
        <w:t>m</w:t>
      </w:r>
      <w:r w:rsidR="00386FFC">
        <w:t>L</w:t>
      </w:r>
      <w:r w:rsidR="00841F6D">
        <w:t xml:space="preserve"> capacity. The pens allow patients to set doses from 0.33 </w:t>
      </w:r>
      <w:r w:rsidR="00386FFC" w:rsidRPr="00386FFC">
        <w:t>µg</w:t>
      </w:r>
      <w:r w:rsidR="00841F6D">
        <w:t xml:space="preserve"> to 24.0 </w:t>
      </w:r>
      <w:r w:rsidR="00386FFC" w:rsidRPr="00386FFC">
        <w:t>µg</w:t>
      </w:r>
      <w:r w:rsidR="00841F6D">
        <w:t xml:space="preserve"> in increments of 0.33 </w:t>
      </w:r>
      <w:r w:rsidR="00386FFC" w:rsidRPr="00386FFC">
        <w:t>µg</w:t>
      </w:r>
      <w:r w:rsidR="00841F6D">
        <w:t>. The injection pen will be registered in Australia following granting of the CE mark</w:t>
      </w:r>
      <w:r w:rsidR="00386FFC">
        <w:rPr>
          <w:rStyle w:val="FootnoteReference"/>
        </w:rPr>
        <w:footnoteReference w:id="7"/>
      </w:r>
      <w:r w:rsidR="00841F6D">
        <w:t xml:space="preserve"> in Europe.</w:t>
      </w:r>
    </w:p>
    <w:p w14:paraId="70D54E3B" w14:textId="6887563C" w:rsidR="00841F6D" w:rsidRDefault="00841F6D" w:rsidP="00841F6D">
      <w:r>
        <w:t xml:space="preserve">The pen and cartridges are compatible with the </w:t>
      </w:r>
      <w:proofErr w:type="spellStart"/>
      <w:r w:rsidR="003D1750">
        <w:t>Omnican</w:t>
      </w:r>
      <w:proofErr w:type="spellEnd"/>
      <w:r w:rsidR="003D1750">
        <w:t xml:space="preserve"> </w:t>
      </w:r>
      <w:r>
        <w:t xml:space="preserve">fine </w:t>
      </w:r>
      <w:r w:rsidR="00386FFC">
        <w:t>gauge (</w:t>
      </w:r>
      <w:r>
        <w:t>29GX12mm and Clickfine 29GX12mm</w:t>
      </w:r>
      <w:r w:rsidR="00386FFC">
        <w:t>)</w:t>
      </w:r>
      <w:r>
        <w:t xml:space="preserve"> needles which are CE marked in Australia.</w:t>
      </w:r>
    </w:p>
    <w:p w14:paraId="42271762" w14:textId="3F3ED822" w:rsidR="00841F6D" w:rsidRDefault="00841F6D" w:rsidP="00FB403C">
      <w:pPr>
        <w:pStyle w:val="Heading3"/>
      </w:pPr>
      <w:bookmarkStart w:id="81" w:name="_Toc497744263"/>
      <w:r>
        <w:t xml:space="preserve">Dose calculator </w:t>
      </w:r>
      <w:r w:rsidR="00371AC4">
        <w:t>a</w:t>
      </w:r>
      <w:r>
        <w:t>pp</w:t>
      </w:r>
      <w:bookmarkEnd w:id="81"/>
    </w:p>
    <w:p w14:paraId="70B8DE72" w14:textId="77777777" w:rsidR="00841F6D" w:rsidRPr="00841F6D" w:rsidRDefault="00841F6D" w:rsidP="00841F6D">
      <w:r>
        <w:t xml:space="preserve">The PI includes a dosing algorithm table to guide health professionals in the dosing of </w:t>
      </w:r>
      <w:r w:rsidR="004421A0">
        <w:t>Rekovelle</w:t>
      </w:r>
      <w:r>
        <w:t xml:space="preserve"> based on serum AMH and body weight. The sponsor is developing a mobile device app to have available to health care professionals as a medical device.</w:t>
      </w:r>
    </w:p>
    <w:p w14:paraId="7F3A9F11" w14:textId="77777777" w:rsidR="008E7846" w:rsidRDefault="00605AD4" w:rsidP="00605AD4">
      <w:pPr>
        <w:pStyle w:val="Heading3"/>
      </w:pPr>
      <w:bookmarkStart w:id="82" w:name="_Toc497744264"/>
      <w:r>
        <w:t>Dosage selection for the pivotal studies</w:t>
      </w:r>
      <w:bookmarkEnd w:id="82"/>
    </w:p>
    <w:p w14:paraId="06F53F7F" w14:textId="77777777" w:rsidR="00841F6D" w:rsidRDefault="00841F6D" w:rsidP="00386FFC">
      <w:pPr>
        <w:pStyle w:val="Heading4"/>
      </w:pPr>
      <w:r>
        <w:t>Evaluator’s conclusions on dose finding for the pivotal studies</w:t>
      </w:r>
    </w:p>
    <w:p w14:paraId="0991A968" w14:textId="77777777" w:rsidR="00841F6D" w:rsidRPr="00841F6D" w:rsidRDefault="00841F6D" w:rsidP="00841F6D">
      <w:r>
        <w:t>The ability to extrapolate the doses to AMH levels &lt; 5</w:t>
      </w:r>
      <w:r w:rsidR="00386FFC">
        <w:t xml:space="preserve"> </w:t>
      </w:r>
      <w:r>
        <w:t>pmol/L or &gt; 40</w:t>
      </w:r>
      <w:r w:rsidR="00386FFC">
        <w:t xml:space="preserve"> pmol/L is not provided. </w:t>
      </w:r>
      <w:r>
        <w:t xml:space="preserve">The dosing algorithm used in the </w:t>
      </w:r>
      <w:r w:rsidR="00386FFC">
        <w:t>P</w:t>
      </w:r>
      <w:r>
        <w:t xml:space="preserve">hase </w:t>
      </w:r>
      <w:r w:rsidR="00386FFC">
        <w:t>III</w:t>
      </w:r>
      <w:r>
        <w:t xml:space="preserve"> studies is the same as that recommended in the PI. The same formulation of </w:t>
      </w:r>
      <w:r w:rsidR="004421A0">
        <w:t>Rekovelle</w:t>
      </w:r>
      <w:r>
        <w:t xml:space="preserve"> was used in the </w:t>
      </w:r>
      <w:r w:rsidR="002E2679">
        <w:t>P</w:t>
      </w:r>
      <w:r>
        <w:t xml:space="preserve">hase </w:t>
      </w:r>
      <w:r w:rsidR="002E2679">
        <w:t>III</w:t>
      </w:r>
      <w:r>
        <w:t xml:space="preserve"> studies as is planned to be marketed.</w:t>
      </w:r>
    </w:p>
    <w:p w14:paraId="341CAC16" w14:textId="77777777" w:rsidR="008E7846" w:rsidRPr="00254787" w:rsidRDefault="008E7846" w:rsidP="008E7846">
      <w:pPr>
        <w:pStyle w:val="Heading3"/>
      </w:pPr>
      <w:bookmarkStart w:id="83" w:name="_Toc163441372"/>
      <w:bookmarkStart w:id="84" w:name="_Toc196046485"/>
      <w:bookmarkStart w:id="85" w:name="_Toc247691521"/>
      <w:bookmarkStart w:id="86" w:name="_Toc314842504"/>
      <w:bookmarkStart w:id="87" w:name="_Toc497744265"/>
      <w:r w:rsidRPr="00254787">
        <w:t>Efficacy</w:t>
      </w:r>
      <w:bookmarkEnd w:id="83"/>
      <w:bookmarkEnd w:id="84"/>
      <w:bookmarkEnd w:id="85"/>
      <w:bookmarkEnd w:id="86"/>
      <w:bookmarkEnd w:id="87"/>
    </w:p>
    <w:p w14:paraId="4B028F66" w14:textId="77777777" w:rsidR="00605AD4" w:rsidRDefault="00605AD4" w:rsidP="00605AD4">
      <w:pPr>
        <w:pStyle w:val="Heading4"/>
      </w:pPr>
      <w:bookmarkStart w:id="88" w:name="_Toc184439992"/>
      <w:bookmarkStart w:id="89" w:name="_Toc184440279"/>
      <w:bookmarkStart w:id="90" w:name="_Toc184444657"/>
      <w:bookmarkStart w:id="91" w:name="_Toc196046487"/>
      <w:r>
        <w:t>Studies providing efficacy data</w:t>
      </w:r>
    </w:p>
    <w:p w14:paraId="3C4419DE" w14:textId="5BC0E635" w:rsidR="00841F6D" w:rsidRDefault="00841F6D" w:rsidP="002E2679">
      <w:pPr>
        <w:pStyle w:val="ListBullet"/>
      </w:pPr>
      <w:r>
        <w:t xml:space="preserve">ESTHER-1 (Evidence based stimulation trial with </w:t>
      </w:r>
      <w:r w:rsidR="00815EA7">
        <w:t xml:space="preserve">Human rFSH </w:t>
      </w:r>
      <w:r>
        <w:t xml:space="preserve">in Europe and Rest of World Trial) 00004: use of </w:t>
      </w:r>
      <w:r w:rsidR="00FD2B65">
        <w:t>Rekovelle</w:t>
      </w:r>
      <w:r>
        <w:t xml:space="preserve"> at the initial COS cycle.8.2.1</w:t>
      </w:r>
    </w:p>
    <w:p w14:paraId="1BA11D03" w14:textId="6B4FDFD0" w:rsidR="00841F6D" w:rsidRPr="00841F6D" w:rsidRDefault="00841F6D" w:rsidP="002E2679">
      <w:pPr>
        <w:pStyle w:val="ListBullet"/>
      </w:pPr>
      <w:r>
        <w:t>ESTHER II Trial 00071</w:t>
      </w:r>
      <w:r w:rsidR="007634AF">
        <w:t>:</w:t>
      </w:r>
      <w:r>
        <w:t xml:space="preserve"> use of </w:t>
      </w:r>
      <w:r w:rsidR="00FD2B65">
        <w:t>Rekovelle</w:t>
      </w:r>
      <w:r>
        <w:t xml:space="preserve"> with repeated COS cycles.8.3.1</w:t>
      </w:r>
    </w:p>
    <w:p w14:paraId="0EE2BAE2" w14:textId="77777777" w:rsidR="008E7846" w:rsidRDefault="00605AD4" w:rsidP="00605AD4">
      <w:pPr>
        <w:pStyle w:val="Heading4"/>
      </w:pPr>
      <w:r>
        <w:t>Evaluator’s conclusions on efficacy</w:t>
      </w:r>
    </w:p>
    <w:p w14:paraId="2B282BD2" w14:textId="77777777" w:rsidR="00841F6D" w:rsidRDefault="00841F6D" w:rsidP="00841F6D">
      <w:r>
        <w:t xml:space="preserve">The sponsor has submitted one randomised trial of </w:t>
      </w:r>
      <w:r w:rsidR="00FD2B65">
        <w:t>Rekovelle</w:t>
      </w:r>
      <w:r>
        <w:t xml:space="preserve"> compared to </w:t>
      </w:r>
      <w:r w:rsidR="00FB403C">
        <w:t>Gonal-F</w:t>
      </w:r>
      <w:r>
        <w:t xml:space="preserve"> for controlled ovarian stimulation in IVF/ICSI; and a supportive study for use on repeated cycles.</w:t>
      </w:r>
    </w:p>
    <w:p w14:paraId="766DEB25" w14:textId="77777777" w:rsidR="00371AC4" w:rsidRDefault="00841F6D" w:rsidP="00841F6D">
      <w:r>
        <w:t xml:space="preserve">ESTHER I and II demonstrated that </w:t>
      </w:r>
      <w:r w:rsidR="00FD2B65">
        <w:t>Rekovelle</w:t>
      </w:r>
      <w:r>
        <w:t xml:space="preserve"> was non inferior to G</w:t>
      </w:r>
      <w:r w:rsidR="002E2679">
        <w:t>onal</w:t>
      </w:r>
      <w:r>
        <w:t>-</w:t>
      </w:r>
      <w:r w:rsidR="00FB403C">
        <w:t>F</w:t>
      </w:r>
      <w:r>
        <w:t xml:space="preserve"> both during the first and subsequent cycles of controlled ovarian stimulation. The secondary endpoints were supportive of the primary endpoints. The response across age stratum was co</w:t>
      </w:r>
      <w:r w:rsidR="00FB403C">
        <w:t>nsistent, however Rekovelle</w:t>
      </w:r>
      <w:r>
        <w:t xml:space="preserve"> was showed a relatively greater response than </w:t>
      </w:r>
      <w:r w:rsidR="00FB403C">
        <w:t>Gonal-F</w:t>
      </w:r>
      <w:r>
        <w:t xml:space="preserve"> in the older subgroup, possibly as AMH is a better predictor of ovarian reserve in this age group</w:t>
      </w:r>
      <w:r w:rsidR="00371AC4">
        <w:t>.</w:t>
      </w:r>
    </w:p>
    <w:p w14:paraId="2C4A400D" w14:textId="162A78ED" w:rsidR="00841F6D" w:rsidRDefault="00841F6D" w:rsidP="00841F6D">
      <w:r>
        <w:t>There was a small differe</w:t>
      </w:r>
      <w:r w:rsidR="002E2679">
        <w:t>nce in endocrine parameters on D</w:t>
      </w:r>
      <w:r>
        <w:t xml:space="preserve">ay 6 between the two treatment groups in ESTHER I. This was probably due to the different half-lives of </w:t>
      </w:r>
      <w:r w:rsidR="00FD2B65">
        <w:t>Rekovelle</w:t>
      </w:r>
      <w:r>
        <w:t xml:space="preserve"> compared to </w:t>
      </w:r>
      <w:r w:rsidR="00FB403C">
        <w:t>Gonal-F</w:t>
      </w:r>
      <w:r>
        <w:t xml:space="preserve"> and is unlikely to be clinically significant.</w:t>
      </w:r>
    </w:p>
    <w:p w14:paraId="2731460F" w14:textId="77777777" w:rsidR="00371AC4" w:rsidRDefault="00841F6D" w:rsidP="00841F6D">
      <w:r>
        <w:t>There was no information about live births</w:t>
      </w:r>
      <w:r w:rsidR="00371AC4">
        <w:t>.</w:t>
      </w:r>
    </w:p>
    <w:p w14:paraId="7806711D" w14:textId="71E2DC7B" w:rsidR="00841F6D" w:rsidRPr="00841F6D" w:rsidRDefault="00841F6D" w:rsidP="00841F6D">
      <w:r>
        <w:t>It is noted that the patients and study nurses were not blinded to the allocation. This was not possible due to the different devices. The sponsor attempted to ensure the investigators and technicians remained blinded but it is unclear how successful that was. This is not relevant to the efficacy endpoints as there were largely objective.</w:t>
      </w:r>
    </w:p>
    <w:p w14:paraId="2A2E54BB" w14:textId="77777777" w:rsidR="008E7846" w:rsidRPr="002E238E" w:rsidRDefault="008E7846" w:rsidP="008E7846">
      <w:pPr>
        <w:pStyle w:val="Heading3"/>
      </w:pPr>
      <w:bookmarkStart w:id="92" w:name="_Toc163441378"/>
      <w:bookmarkStart w:id="93" w:name="_Toc196046495"/>
      <w:bookmarkStart w:id="94" w:name="_Toc247691522"/>
      <w:bookmarkStart w:id="95" w:name="_Toc314842505"/>
      <w:bookmarkStart w:id="96" w:name="_Toc497744266"/>
      <w:bookmarkEnd w:id="88"/>
      <w:bookmarkEnd w:id="89"/>
      <w:bookmarkEnd w:id="90"/>
      <w:bookmarkEnd w:id="91"/>
      <w:r w:rsidRPr="002E238E">
        <w:t>Safety</w:t>
      </w:r>
      <w:bookmarkEnd w:id="92"/>
      <w:bookmarkEnd w:id="93"/>
      <w:bookmarkEnd w:id="94"/>
      <w:bookmarkEnd w:id="95"/>
      <w:bookmarkEnd w:id="96"/>
    </w:p>
    <w:p w14:paraId="4E7552B0" w14:textId="77777777" w:rsidR="00605AD4" w:rsidRDefault="00605AD4" w:rsidP="00605AD4">
      <w:pPr>
        <w:pStyle w:val="Heading4"/>
      </w:pPr>
      <w:bookmarkStart w:id="97" w:name="_Toc247691524"/>
      <w:bookmarkStart w:id="98" w:name="_Toc314842508"/>
      <w:bookmarkStart w:id="99" w:name="_Toc196046504"/>
      <w:bookmarkStart w:id="100" w:name="_Toc163441390"/>
      <w:r w:rsidRPr="00605AD4">
        <w:t>Studies providing safety data</w:t>
      </w:r>
    </w:p>
    <w:p w14:paraId="05F21217" w14:textId="77777777" w:rsidR="00841F6D" w:rsidRDefault="00841F6D" w:rsidP="002E2679">
      <w:pPr>
        <w:pStyle w:val="Heading5"/>
      </w:pPr>
      <w:r>
        <w:t>Studies providing evaluable safety data</w:t>
      </w:r>
    </w:p>
    <w:p w14:paraId="32ACC244" w14:textId="77777777" w:rsidR="00841F6D" w:rsidRPr="00097874" w:rsidRDefault="00841F6D" w:rsidP="00C7440F">
      <w:pPr>
        <w:pStyle w:val="ListBullet"/>
      </w:pPr>
      <w:r>
        <w:t xml:space="preserve">Pivotal 000004- </w:t>
      </w:r>
      <w:r w:rsidRPr="00097874">
        <w:t>ESTHER-1</w:t>
      </w:r>
      <w:r w:rsidR="00C7440F" w:rsidRPr="00097874">
        <w:t xml:space="preserve"> as well as ESTHER-2.</w:t>
      </w:r>
    </w:p>
    <w:p w14:paraId="28A5703D" w14:textId="77777777" w:rsidR="00605AD4" w:rsidRDefault="00605AD4" w:rsidP="00605AD4">
      <w:pPr>
        <w:pStyle w:val="Heading4"/>
      </w:pPr>
      <w:r w:rsidRPr="00605AD4">
        <w:t>Patient exposure</w:t>
      </w:r>
    </w:p>
    <w:p w14:paraId="6DCF9D36" w14:textId="77777777" w:rsidR="002E2679" w:rsidRDefault="002E2679" w:rsidP="002E2679">
      <w:bookmarkStart w:id="101" w:name="_Toc456613823"/>
      <w:r>
        <w:t>The table below outlines the patient exposure in ESTHER-1 and ESTHER-2.</w:t>
      </w:r>
    </w:p>
    <w:p w14:paraId="50CF24A4" w14:textId="77777777" w:rsidR="00A96CB7" w:rsidRDefault="002E2679" w:rsidP="002E2679">
      <w:pPr>
        <w:pStyle w:val="TableTitle"/>
        <w:rPr>
          <w:lang w:eastAsia="ja-JP"/>
        </w:rPr>
      </w:pPr>
      <w:r>
        <w:t xml:space="preserve">Table </w:t>
      </w:r>
      <w:r w:rsidR="00565852">
        <w:t>6</w:t>
      </w:r>
      <w:r>
        <w:t>:</w:t>
      </w:r>
      <w:r w:rsidR="00A96CB7">
        <w:t xml:space="preserve"> Exposure in ESTHER I and ESTHER II</w:t>
      </w:r>
      <w:bookmarkEnd w:id="101"/>
    </w:p>
    <w:tbl>
      <w:tblPr>
        <w:tblStyle w:val="TableTGAblue"/>
        <w:tblW w:w="0" w:type="auto"/>
        <w:tblLook w:val="04A0" w:firstRow="1" w:lastRow="0" w:firstColumn="1" w:lastColumn="0" w:noHBand="0" w:noVBand="1"/>
      </w:tblPr>
      <w:tblGrid>
        <w:gridCol w:w="2042"/>
        <w:gridCol w:w="2713"/>
        <w:gridCol w:w="1986"/>
        <w:gridCol w:w="1979"/>
      </w:tblGrid>
      <w:tr w:rsidR="00A96CB7" w:rsidRPr="002E2679" w14:paraId="63949262" w14:textId="77777777" w:rsidTr="002E2679">
        <w:trPr>
          <w:cnfStyle w:val="100000000000" w:firstRow="1" w:lastRow="0" w:firstColumn="0" w:lastColumn="0" w:oddVBand="0" w:evenVBand="0" w:oddHBand="0" w:evenHBand="0" w:firstRowFirstColumn="0" w:firstRowLastColumn="0" w:lastRowFirstColumn="0" w:lastRowLastColumn="0"/>
          <w:cantSplit/>
        </w:trPr>
        <w:tc>
          <w:tcPr>
            <w:tcW w:w="0" w:type="auto"/>
          </w:tcPr>
          <w:p w14:paraId="35BD8384" w14:textId="77777777" w:rsidR="00A96CB7" w:rsidRPr="002E2679" w:rsidRDefault="00A96CB7" w:rsidP="007813E5">
            <w:pPr>
              <w:rPr>
                <w:lang w:eastAsia="ja-JP"/>
              </w:rPr>
            </w:pPr>
            <w:r w:rsidRPr="002E2679">
              <w:rPr>
                <w:lang w:eastAsia="ja-JP"/>
              </w:rPr>
              <w:t>Stimulation cycle</w:t>
            </w:r>
          </w:p>
        </w:tc>
        <w:tc>
          <w:tcPr>
            <w:tcW w:w="0" w:type="auto"/>
          </w:tcPr>
          <w:p w14:paraId="426B33EC" w14:textId="77777777" w:rsidR="00A96CB7" w:rsidRPr="002E2679" w:rsidRDefault="00A96CB7" w:rsidP="007813E5">
            <w:pPr>
              <w:rPr>
                <w:lang w:eastAsia="ja-JP"/>
              </w:rPr>
            </w:pPr>
          </w:p>
        </w:tc>
        <w:tc>
          <w:tcPr>
            <w:tcW w:w="0" w:type="auto"/>
          </w:tcPr>
          <w:p w14:paraId="25B3BDD3" w14:textId="77777777" w:rsidR="00A96CB7" w:rsidRPr="002E2679" w:rsidRDefault="0030206B" w:rsidP="007813E5">
            <w:pPr>
              <w:jc w:val="center"/>
              <w:rPr>
                <w:lang w:eastAsia="ja-JP"/>
              </w:rPr>
            </w:pPr>
            <w:r>
              <w:rPr>
                <w:lang w:eastAsia="ja-JP"/>
              </w:rPr>
              <w:t>Rekovelle</w:t>
            </w:r>
          </w:p>
        </w:tc>
        <w:tc>
          <w:tcPr>
            <w:tcW w:w="0" w:type="auto"/>
          </w:tcPr>
          <w:p w14:paraId="7B86205D" w14:textId="77777777" w:rsidR="00A96CB7" w:rsidRPr="002E2679" w:rsidRDefault="00FB403C" w:rsidP="007813E5">
            <w:pPr>
              <w:jc w:val="center"/>
              <w:rPr>
                <w:lang w:eastAsia="ja-JP"/>
              </w:rPr>
            </w:pPr>
            <w:r>
              <w:rPr>
                <w:lang w:eastAsia="ja-JP"/>
              </w:rPr>
              <w:t>Gonal-F</w:t>
            </w:r>
          </w:p>
        </w:tc>
      </w:tr>
      <w:tr w:rsidR="00FB403C" w14:paraId="5602429A" w14:textId="77777777" w:rsidTr="002E2679">
        <w:tc>
          <w:tcPr>
            <w:tcW w:w="0" w:type="auto"/>
            <w:vMerge w:val="restart"/>
          </w:tcPr>
          <w:p w14:paraId="55C0AA84" w14:textId="77777777" w:rsidR="00FB403C" w:rsidRDefault="00FB403C" w:rsidP="007813E5">
            <w:pPr>
              <w:spacing w:before="0"/>
              <w:rPr>
                <w:lang w:eastAsia="ja-JP"/>
              </w:rPr>
            </w:pPr>
            <w:r>
              <w:rPr>
                <w:lang w:eastAsia="ja-JP"/>
              </w:rPr>
              <w:t>COS1</w:t>
            </w:r>
          </w:p>
        </w:tc>
        <w:tc>
          <w:tcPr>
            <w:tcW w:w="0" w:type="auto"/>
          </w:tcPr>
          <w:p w14:paraId="5B5A7FE4" w14:textId="77777777" w:rsidR="00FB403C" w:rsidRDefault="00FB403C" w:rsidP="007813E5">
            <w:pPr>
              <w:spacing w:before="0"/>
              <w:rPr>
                <w:lang w:eastAsia="ja-JP"/>
              </w:rPr>
            </w:pPr>
            <w:r>
              <w:rPr>
                <w:lang w:eastAsia="ja-JP"/>
              </w:rPr>
              <w:t>Number</w:t>
            </w:r>
          </w:p>
        </w:tc>
        <w:tc>
          <w:tcPr>
            <w:tcW w:w="0" w:type="auto"/>
          </w:tcPr>
          <w:p w14:paraId="39E923EC" w14:textId="77777777" w:rsidR="00FB403C" w:rsidRDefault="00FB403C" w:rsidP="007813E5">
            <w:pPr>
              <w:spacing w:before="0"/>
              <w:jc w:val="center"/>
              <w:rPr>
                <w:lang w:eastAsia="ja-JP"/>
              </w:rPr>
            </w:pPr>
            <w:r>
              <w:rPr>
                <w:lang w:eastAsia="ja-JP"/>
              </w:rPr>
              <w:t>665</w:t>
            </w:r>
          </w:p>
        </w:tc>
        <w:tc>
          <w:tcPr>
            <w:tcW w:w="0" w:type="auto"/>
          </w:tcPr>
          <w:p w14:paraId="4013E342" w14:textId="77777777" w:rsidR="00FB403C" w:rsidRDefault="00FB403C" w:rsidP="007813E5">
            <w:pPr>
              <w:spacing w:before="0"/>
              <w:jc w:val="center"/>
              <w:rPr>
                <w:lang w:eastAsia="ja-JP"/>
              </w:rPr>
            </w:pPr>
            <w:r>
              <w:rPr>
                <w:lang w:eastAsia="ja-JP"/>
              </w:rPr>
              <w:t>661</w:t>
            </w:r>
          </w:p>
        </w:tc>
      </w:tr>
      <w:tr w:rsidR="00FB403C" w14:paraId="5075FCF2" w14:textId="77777777" w:rsidTr="002E2679">
        <w:tc>
          <w:tcPr>
            <w:tcW w:w="0" w:type="auto"/>
            <w:vMerge/>
          </w:tcPr>
          <w:p w14:paraId="2FC1EFCE" w14:textId="77777777" w:rsidR="00FB403C" w:rsidRDefault="00FB403C" w:rsidP="007813E5">
            <w:pPr>
              <w:spacing w:before="0"/>
              <w:rPr>
                <w:lang w:eastAsia="ja-JP"/>
              </w:rPr>
            </w:pPr>
          </w:p>
        </w:tc>
        <w:tc>
          <w:tcPr>
            <w:tcW w:w="0" w:type="auto"/>
          </w:tcPr>
          <w:p w14:paraId="709830FD" w14:textId="5099A85E" w:rsidR="00FB403C" w:rsidRDefault="00FB403C" w:rsidP="00371AC4">
            <w:pPr>
              <w:spacing w:before="0"/>
              <w:rPr>
                <w:lang w:eastAsia="ja-JP"/>
              </w:rPr>
            </w:pPr>
            <w:r>
              <w:rPr>
                <w:lang w:eastAsia="ja-JP"/>
              </w:rPr>
              <w:t>Duration (days)</w:t>
            </w:r>
            <w:r w:rsidR="00371AC4">
              <w:rPr>
                <w:lang w:eastAsia="ja-JP"/>
              </w:rPr>
              <w:t xml:space="preserve"> </w:t>
            </w:r>
            <w:r>
              <w:rPr>
                <w:lang w:eastAsia="ja-JP"/>
              </w:rPr>
              <w:t>Median (IQ range)</w:t>
            </w:r>
          </w:p>
        </w:tc>
        <w:tc>
          <w:tcPr>
            <w:tcW w:w="0" w:type="auto"/>
          </w:tcPr>
          <w:p w14:paraId="199C5039" w14:textId="77777777" w:rsidR="00FB403C" w:rsidRDefault="00FB403C" w:rsidP="007813E5">
            <w:pPr>
              <w:spacing w:before="0"/>
              <w:jc w:val="center"/>
              <w:rPr>
                <w:lang w:eastAsia="ja-JP"/>
              </w:rPr>
            </w:pPr>
            <w:r>
              <w:rPr>
                <w:lang w:eastAsia="ja-JP"/>
              </w:rPr>
              <w:t>9 (8,10)</w:t>
            </w:r>
          </w:p>
        </w:tc>
        <w:tc>
          <w:tcPr>
            <w:tcW w:w="0" w:type="auto"/>
          </w:tcPr>
          <w:p w14:paraId="1CBE6D5B" w14:textId="77777777" w:rsidR="00FB403C" w:rsidRDefault="00FB403C" w:rsidP="007813E5">
            <w:pPr>
              <w:spacing w:before="0"/>
              <w:jc w:val="center"/>
              <w:rPr>
                <w:lang w:eastAsia="ja-JP"/>
              </w:rPr>
            </w:pPr>
            <w:r>
              <w:rPr>
                <w:lang w:eastAsia="ja-JP"/>
              </w:rPr>
              <w:t>8 (8,10)</w:t>
            </w:r>
          </w:p>
        </w:tc>
      </w:tr>
      <w:tr w:rsidR="00FB403C" w14:paraId="07A6185A" w14:textId="77777777" w:rsidTr="002E2679">
        <w:tc>
          <w:tcPr>
            <w:tcW w:w="0" w:type="auto"/>
            <w:vMerge/>
          </w:tcPr>
          <w:p w14:paraId="5975B54A" w14:textId="77777777" w:rsidR="00FB403C" w:rsidRDefault="00FB403C" w:rsidP="007813E5">
            <w:pPr>
              <w:spacing w:before="0"/>
              <w:rPr>
                <w:lang w:eastAsia="ja-JP"/>
              </w:rPr>
            </w:pPr>
          </w:p>
        </w:tc>
        <w:tc>
          <w:tcPr>
            <w:tcW w:w="0" w:type="auto"/>
          </w:tcPr>
          <w:p w14:paraId="33E50592" w14:textId="077E1B6D" w:rsidR="00FB403C" w:rsidRDefault="00FB403C" w:rsidP="00371AC4">
            <w:pPr>
              <w:spacing w:before="0"/>
              <w:rPr>
                <w:lang w:eastAsia="ja-JP"/>
              </w:rPr>
            </w:pPr>
            <w:r>
              <w:rPr>
                <w:lang w:eastAsia="ja-JP"/>
              </w:rPr>
              <w:t>Total dose (µg)</w:t>
            </w:r>
            <w:r w:rsidR="00371AC4">
              <w:rPr>
                <w:lang w:eastAsia="ja-JP"/>
              </w:rPr>
              <w:t xml:space="preserve"> </w:t>
            </w:r>
            <w:r>
              <w:rPr>
                <w:lang w:eastAsia="ja-JP"/>
              </w:rPr>
              <w:t>(median IQ range)</w:t>
            </w:r>
          </w:p>
        </w:tc>
        <w:tc>
          <w:tcPr>
            <w:tcW w:w="0" w:type="auto"/>
          </w:tcPr>
          <w:p w14:paraId="74139398" w14:textId="77777777" w:rsidR="00FB403C" w:rsidRDefault="00FB403C" w:rsidP="007813E5">
            <w:pPr>
              <w:spacing w:before="0"/>
              <w:jc w:val="center"/>
              <w:rPr>
                <w:lang w:eastAsia="ja-JP"/>
              </w:rPr>
            </w:pPr>
            <w:r>
              <w:rPr>
                <w:lang w:eastAsia="ja-JP"/>
              </w:rPr>
              <w:t>90 (72,108)</w:t>
            </w:r>
          </w:p>
        </w:tc>
        <w:tc>
          <w:tcPr>
            <w:tcW w:w="0" w:type="auto"/>
          </w:tcPr>
          <w:p w14:paraId="2E121B17" w14:textId="77777777" w:rsidR="00FB403C" w:rsidRDefault="00FB403C" w:rsidP="007813E5">
            <w:pPr>
              <w:spacing w:before="0"/>
              <w:jc w:val="center"/>
              <w:rPr>
                <w:lang w:eastAsia="ja-JP"/>
              </w:rPr>
            </w:pPr>
            <w:r>
              <w:rPr>
                <w:lang w:eastAsia="ja-JP"/>
              </w:rPr>
              <w:t>99 (88,115.5)</w:t>
            </w:r>
          </w:p>
        </w:tc>
      </w:tr>
      <w:tr w:rsidR="00FB403C" w14:paraId="5CE9EBD9" w14:textId="77777777" w:rsidTr="002E2679">
        <w:tc>
          <w:tcPr>
            <w:tcW w:w="0" w:type="auto"/>
            <w:vMerge w:val="restart"/>
          </w:tcPr>
          <w:p w14:paraId="0A00E3C1" w14:textId="77777777" w:rsidR="00FB403C" w:rsidRDefault="00FB403C" w:rsidP="007813E5">
            <w:pPr>
              <w:spacing w:before="0"/>
              <w:rPr>
                <w:lang w:eastAsia="ja-JP"/>
              </w:rPr>
            </w:pPr>
            <w:r>
              <w:rPr>
                <w:lang w:eastAsia="ja-JP"/>
              </w:rPr>
              <w:t>COS2</w:t>
            </w:r>
          </w:p>
        </w:tc>
        <w:tc>
          <w:tcPr>
            <w:tcW w:w="0" w:type="auto"/>
          </w:tcPr>
          <w:p w14:paraId="5F2E1949" w14:textId="77777777" w:rsidR="00FB403C" w:rsidRDefault="00FB403C" w:rsidP="00C7440F">
            <w:pPr>
              <w:spacing w:before="0"/>
              <w:rPr>
                <w:lang w:eastAsia="ja-JP"/>
              </w:rPr>
            </w:pPr>
            <w:r>
              <w:rPr>
                <w:lang w:eastAsia="ja-JP"/>
              </w:rPr>
              <w:t>Number</w:t>
            </w:r>
          </w:p>
        </w:tc>
        <w:tc>
          <w:tcPr>
            <w:tcW w:w="0" w:type="auto"/>
          </w:tcPr>
          <w:p w14:paraId="068CEBE0" w14:textId="77777777" w:rsidR="00FB403C" w:rsidRDefault="00FB403C" w:rsidP="007813E5">
            <w:pPr>
              <w:spacing w:before="0"/>
              <w:jc w:val="center"/>
              <w:rPr>
                <w:lang w:eastAsia="ja-JP"/>
              </w:rPr>
            </w:pPr>
            <w:r>
              <w:rPr>
                <w:lang w:eastAsia="ja-JP"/>
              </w:rPr>
              <w:t>252</w:t>
            </w:r>
          </w:p>
        </w:tc>
        <w:tc>
          <w:tcPr>
            <w:tcW w:w="0" w:type="auto"/>
          </w:tcPr>
          <w:p w14:paraId="6741A87F" w14:textId="77777777" w:rsidR="00FB403C" w:rsidRDefault="00FB403C" w:rsidP="007813E5">
            <w:pPr>
              <w:spacing w:before="0"/>
              <w:jc w:val="center"/>
              <w:rPr>
                <w:lang w:eastAsia="ja-JP"/>
              </w:rPr>
            </w:pPr>
            <w:r>
              <w:rPr>
                <w:lang w:eastAsia="ja-JP"/>
              </w:rPr>
              <w:t>261</w:t>
            </w:r>
          </w:p>
        </w:tc>
      </w:tr>
      <w:tr w:rsidR="00FB403C" w14:paraId="18AEC586" w14:textId="77777777" w:rsidTr="002E2679">
        <w:tc>
          <w:tcPr>
            <w:tcW w:w="0" w:type="auto"/>
            <w:vMerge/>
          </w:tcPr>
          <w:p w14:paraId="1509CA43" w14:textId="77777777" w:rsidR="00FB403C" w:rsidRDefault="00FB403C" w:rsidP="007813E5">
            <w:pPr>
              <w:spacing w:before="0"/>
              <w:rPr>
                <w:lang w:eastAsia="ja-JP"/>
              </w:rPr>
            </w:pPr>
          </w:p>
        </w:tc>
        <w:tc>
          <w:tcPr>
            <w:tcW w:w="0" w:type="auto"/>
          </w:tcPr>
          <w:p w14:paraId="490BF28D" w14:textId="675C861F" w:rsidR="00FB403C" w:rsidRDefault="00FB403C" w:rsidP="00371AC4">
            <w:pPr>
              <w:spacing w:before="0"/>
              <w:rPr>
                <w:lang w:eastAsia="ja-JP"/>
              </w:rPr>
            </w:pPr>
            <w:r>
              <w:rPr>
                <w:lang w:eastAsia="ja-JP"/>
              </w:rPr>
              <w:t>Duration (days)</w:t>
            </w:r>
            <w:r w:rsidR="00371AC4">
              <w:rPr>
                <w:lang w:eastAsia="ja-JP"/>
              </w:rPr>
              <w:t xml:space="preserve"> </w:t>
            </w:r>
            <w:r>
              <w:rPr>
                <w:lang w:eastAsia="ja-JP"/>
              </w:rPr>
              <w:t>Median (IQ range)</w:t>
            </w:r>
          </w:p>
        </w:tc>
        <w:tc>
          <w:tcPr>
            <w:tcW w:w="0" w:type="auto"/>
          </w:tcPr>
          <w:p w14:paraId="6A64F206" w14:textId="77777777" w:rsidR="00FB403C" w:rsidRDefault="00FB403C" w:rsidP="007813E5">
            <w:pPr>
              <w:spacing w:before="0"/>
              <w:jc w:val="center"/>
              <w:rPr>
                <w:lang w:eastAsia="ja-JP"/>
              </w:rPr>
            </w:pPr>
            <w:r>
              <w:rPr>
                <w:lang w:eastAsia="ja-JP"/>
              </w:rPr>
              <w:t>9 (8,10)</w:t>
            </w:r>
          </w:p>
        </w:tc>
        <w:tc>
          <w:tcPr>
            <w:tcW w:w="0" w:type="auto"/>
          </w:tcPr>
          <w:p w14:paraId="3DA5B21D" w14:textId="77777777" w:rsidR="00FB403C" w:rsidRDefault="00FB403C" w:rsidP="007813E5">
            <w:pPr>
              <w:spacing w:before="0"/>
              <w:jc w:val="center"/>
              <w:rPr>
                <w:lang w:eastAsia="ja-JP"/>
              </w:rPr>
            </w:pPr>
            <w:r>
              <w:rPr>
                <w:lang w:eastAsia="ja-JP"/>
              </w:rPr>
              <w:t>9 (8,10)</w:t>
            </w:r>
          </w:p>
        </w:tc>
      </w:tr>
      <w:tr w:rsidR="00FB403C" w14:paraId="021B9E97" w14:textId="77777777" w:rsidTr="002E2679">
        <w:tc>
          <w:tcPr>
            <w:tcW w:w="0" w:type="auto"/>
            <w:vMerge/>
          </w:tcPr>
          <w:p w14:paraId="03DC67FF" w14:textId="77777777" w:rsidR="00FB403C" w:rsidRDefault="00FB403C" w:rsidP="007813E5">
            <w:pPr>
              <w:spacing w:before="0"/>
              <w:rPr>
                <w:lang w:eastAsia="ja-JP"/>
              </w:rPr>
            </w:pPr>
          </w:p>
        </w:tc>
        <w:tc>
          <w:tcPr>
            <w:tcW w:w="0" w:type="auto"/>
          </w:tcPr>
          <w:p w14:paraId="22F6FBA2" w14:textId="7BE43894" w:rsidR="00FB403C" w:rsidRDefault="00FB403C" w:rsidP="00371AC4">
            <w:pPr>
              <w:spacing w:before="0"/>
              <w:rPr>
                <w:lang w:eastAsia="ja-JP"/>
              </w:rPr>
            </w:pPr>
            <w:r>
              <w:rPr>
                <w:lang w:eastAsia="ja-JP"/>
              </w:rPr>
              <w:t xml:space="preserve">Total dose </w:t>
            </w:r>
            <w:r w:rsidRPr="0002790A">
              <w:rPr>
                <w:lang w:eastAsia="ja-JP"/>
              </w:rPr>
              <w:t>(µg)</w:t>
            </w:r>
            <w:r w:rsidR="00371AC4">
              <w:rPr>
                <w:lang w:eastAsia="ja-JP"/>
              </w:rPr>
              <w:t xml:space="preserve"> </w:t>
            </w:r>
            <w:r>
              <w:rPr>
                <w:lang w:eastAsia="ja-JP"/>
              </w:rPr>
              <w:t>median (IQ range)</w:t>
            </w:r>
          </w:p>
        </w:tc>
        <w:tc>
          <w:tcPr>
            <w:tcW w:w="0" w:type="auto"/>
          </w:tcPr>
          <w:p w14:paraId="78204187" w14:textId="77777777" w:rsidR="00FB403C" w:rsidRDefault="00FB403C" w:rsidP="007813E5">
            <w:pPr>
              <w:spacing w:before="0"/>
              <w:jc w:val="center"/>
              <w:rPr>
                <w:lang w:eastAsia="ja-JP"/>
              </w:rPr>
            </w:pPr>
            <w:r>
              <w:rPr>
                <w:lang w:eastAsia="ja-JP"/>
              </w:rPr>
              <w:t>105.0 (80.5, 129.0)</w:t>
            </w:r>
          </w:p>
        </w:tc>
        <w:tc>
          <w:tcPr>
            <w:tcW w:w="0" w:type="auto"/>
          </w:tcPr>
          <w:p w14:paraId="087EC36B" w14:textId="77777777" w:rsidR="00FB403C" w:rsidRDefault="00FB403C" w:rsidP="007813E5">
            <w:pPr>
              <w:spacing w:before="0"/>
              <w:jc w:val="center"/>
              <w:rPr>
                <w:lang w:eastAsia="ja-JP"/>
              </w:rPr>
            </w:pPr>
            <w:r>
              <w:rPr>
                <w:lang w:eastAsia="ja-JP"/>
              </w:rPr>
              <w:t>112.8 (96.3, 145.8)</w:t>
            </w:r>
          </w:p>
        </w:tc>
      </w:tr>
      <w:tr w:rsidR="00FB403C" w14:paraId="7AF2EACC" w14:textId="77777777" w:rsidTr="002E2679">
        <w:tc>
          <w:tcPr>
            <w:tcW w:w="0" w:type="auto"/>
            <w:vMerge w:val="restart"/>
          </w:tcPr>
          <w:p w14:paraId="789FBB9A" w14:textId="77777777" w:rsidR="00FB403C" w:rsidRDefault="00FB403C" w:rsidP="007813E5">
            <w:pPr>
              <w:spacing w:before="0"/>
              <w:rPr>
                <w:lang w:eastAsia="ja-JP"/>
              </w:rPr>
            </w:pPr>
            <w:r>
              <w:rPr>
                <w:lang w:eastAsia="ja-JP"/>
              </w:rPr>
              <w:t>COS3</w:t>
            </w:r>
          </w:p>
        </w:tc>
        <w:tc>
          <w:tcPr>
            <w:tcW w:w="0" w:type="auto"/>
          </w:tcPr>
          <w:p w14:paraId="22ECFE5B" w14:textId="77777777" w:rsidR="00FB403C" w:rsidRDefault="00FB403C" w:rsidP="007813E5">
            <w:pPr>
              <w:spacing w:before="0"/>
              <w:rPr>
                <w:lang w:eastAsia="ja-JP"/>
              </w:rPr>
            </w:pPr>
            <w:r>
              <w:rPr>
                <w:lang w:eastAsia="ja-JP"/>
              </w:rPr>
              <w:t>Number</w:t>
            </w:r>
          </w:p>
        </w:tc>
        <w:tc>
          <w:tcPr>
            <w:tcW w:w="0" w:type="auto"/>
          </w:tcPr>
          <w:p w14:paraId="78E6B9C1" w14:textId="77777777" w:rsidR="00FB403C" w:rsidRDefault="00FB403C" w:rsidP="007813E5">
            <w:pPr>
              <w:spacing w:before="0"/>
              <w:ind w:firstLine="720"/>
              <w:jc w:val="center"/>
              <w:rPr>
                <w:lang w:eastAsia="ja-JP"/>
              </w:rPr>
            </w:pPr>
            <w:r>
              <w:rPr>
                <w:lang w:eastAsia="ja-JP"/>
              </w:rPr>
              <w:t>95</w:t>
            </w:r>
          </w:p>
        </w:tc>
        <w:tc>
          <w:tcPr>
            <w:tcW w:w="0" w:type="auto"/>
          </w:tcPr>
          <w:p w14:paraId="46711301" w14:textId="77777777" w:rsidR="00FB403C" w:rsidRDefault="00FB403C" w:rsidP="007813E5">
            <w:pPr>
              <w:spacing w:before="0"/>
              <w:jc w:val="center"/>
              <w:rPr>
                <w:lang w:eastAsia="ja-JP"/>
              </w:rPr>
            </w:pPr>
            <w:r>
              <w:rPr>
                <w:lang w:eastAsia="ja-JP"/>
              </w:rPr>
              <w:t>93</w:t>
            </w:r>
          </w:p>
        </w:tc>
      </w:tr>
      <w:tr w:rsidR="00FB403C" w14:paraId="388F927A" w14:textId="77777777" w:rsidTr="002E2679">
        <w:tc>
          <w:tcPr>
            <w:tcW w:w="0" w:type="auto"/>
            <w:vMerge/>
          </w:tcPr>
          <w:p w14:paraId="5426815B" w14:textId="77777777" w:rsidR="00FB403C" w:rsidRDefault="00FB403C" w:rsidP="007813E5">
            <w:pPr>
              <w:spacing w:before="0"/>
              <w:rPr>
                <w:lang w:eastAsia="ja-JP"/>
              </w:rPr>
            </w:pPr>
          </w:p>
        </w:tc>
        <w:tc>
          <w:tcPr>
            <w:tcW w:w="0" w:type="auto"/>
          </w:tcPr>
          <w:p w14:paraId="1FBD2918" w14:textId="37F37216" w:rsidR="00FB403C" w:rsidRDefault="00FB403C" w:rsidP="00371AC4">
            <w:pPr>
              <w:spacing w:before="0"/>
              <w:rPr>
                <w:lang w:eastAsia="ja-JP"/>
              </w:rPr>
            </w:pPr>
            <w:r>
              <w:rPr>
                <w:lang w:eastAsia="ja-JP"/>
              </w:rPr>
              <w:t>Duration (days)</w:t>
            </w:r>
            <w:r w:rsidR="00371AC4">
              <w:rPr>
                <w:lang w:eastAsia="ja-JP"/>
              </w:rPr>
              <w:t xml:space="preserve"> </w:t>
            </w:r>
            <w:r>
              <w:rPr>
                <w:lang w:eastAsia="ja-JP"/>
              </w:rPr>
              <w:t>Median (IQ range)</w:t>
            </w:r>
          </w:p>
        </w:tc>
        <w:tc>
          <w:tcPr>
            <w:tcW w:w="0" w:type="auto"/>
          </w:tcPr>
          <w:p w14:paraId="36DE31A5" w14:textId="77777777" w:rsidR="00FB403C" w:rsidRDefault="00FB403C" w:rsidP="007813E5">
            <w:pPr>
              <w:spacing w:before="0"/>
              <w:jc w:val="center"/>
              <w:rPr>
                <w:lang w:eastAsia="ja-JP"/>
              </w:rPr>
            </w:pPr>
            <w:r>
              <w:rPr>
                <w:lang w:eastAsia="ja-JP"/>
              </w:rPr>
              <w:t>9 (8, 10)</w:t>
            </w:r>
          </w:p>
        </w:tc>
        <w:tc>
          <w:tcPr>
            <w:tcW w:w="0" w:type="auto"/>
          </w:tcPr>
          <w:p w14:paraId="05235C10" w14:textId="77777777" w:rsidR="00FB403C" w:rsidRDefault="00FB403C" w:rsidP="007813E5">
            <w:pPr>
              <w:spacing w:before="0"/>
              <w:jc w:val="center"/>
              <w:rPr>
                <w:lang w:eastAsia="ja-JP"/>
              </w:rPr>
            </w:pPr>
            <w:r>
              <w:rPr>
                <w:lang w:eastAsia="ja-JP"/>
              </w:rPr>
              <w:t>9 (8,10)</w:t>
            </w:r>
          </w:p>
        </w:tc>
      </w:tr>
      <w:tr w:rsidR="00FB403C" w14:paraId="272597DC" w14:textId="77777777" w:rsidTr="002E2679">
        <w:tc>
          <w:tcPr>
            <w:tcW w:w="0" w:type="auto"/>
            <w:vMerge/>
          </w:tcPr>
          <w:p w14:paraId="76F322CA" w14:textId="77777777" w:rsidR="00FB403C" w:rsidRDefault="00FB403C" w:rsidP="007813E5">
            <w:pPr>
              <w:spacing w:before="0"/>
              <w:rPr>
                <w:lang w:eastAsia="ja-JP"/>
              </w:rPr>
            </w:pPr>
          </w:p>
        </w:tc>
        <w:tc>
          <w:tcPr>
            <w:tcW w:w="0" w:type="auto"/>
          </w:tcPr>
          <w:p w14:paraId="2991C9CF" w14:textId="0D77A8D0" w:rsidR="00FB403C" w:rsidRDefault="00FB403C" w:rsidP="00371AC4">
            <w:pPr>
              <w:spacing w:before="0"/>
              <w:rPr>
                <w:lang w:eastAsia="ja-JP"/>
              </w:rPr>
            </w:pPr>
            <w:r>
              <w:rPr>
                <w:lang w:eastAsia="ja-JP"/>
              </w:rPr>
              <w:t xml:space="preserve">Total dose </w:t>
            </w:r>
            <w:r w:rsidRPr="0002790A">
              <w:rPr>
                <w:lang w:eastAsia="ja-JP"/>
              </w:rPr>
              <w:t>(µg)</w:t>
            </w:r>
            <w:r w:rsidR="00371AC4">
              <w:rPr>
                <w:lang w:eastAsia="ja-JP"/>
              </w:rPr>
              <w:t xml:space="preserve"> </w:t>
            </w:r>
            <w:r>
              <w:rPr>
                <w:lang w:eastAsia="ja-JP"/>
              </w:rPr>
              <w:t>median (IQ range)</w:t>
            </w:r>
          </w:p>
        </w:tc>
        <w:tc>
          <w:tcPr>
            <w:tcW w:w="0" w:type="auto"/>
          </w:tcPr>
          <w:p w14:paraId="58F7D6ED" w14:textId="77777777" w:rsidR="00FB403C" w:rsidRDefault="00FB403C" w:rsidP="007813E5">
            <w:pPr>
              <w:spacing w:before="0"/>
              <w:jc w:val="center"/>
              <w:rPr>
                <w:lang w:eastAsia="ja-JP"/>
              </w:rPr>
            </w:pPr>
            <w:r>
              <w:rPr>
                <w:lang w:eastAsia="ja-JP"/>
              </w:rPr>
              <w:t>120 (90,153)</w:t>
            </w:r>
          </w:p>
        </w:tc>
        <w:tc>
          <w:tcPr>
            <w:tcW w:w="0" w:type="auto"/>
          </w:tcPr>
          <w:p w14:paraId="36FD1BF0" w14:textId="77777777" w:rsidR="00FB403C" w:rsidRDefault="00FB403C" w:rsidP="007813E5">
            <w:pPr>
              <w:spacing w:before="0"/>
              <w:jc w:val="center"/>
              <w:rPr>
                <w:lang w:eastAsia="ja-JP"/>
              </w:rPr>
            </w:pPr>
            <w:r>
              <w:rPr>
                <w:lang w:eastAsia="ja-JP"/>
              </w:rPr>
              <w:t>132 (99,162.3)</w:t>
            </w:r>
          </w:p>
        </w:tc>
      </w:tr>
    </w:tbl>
    <w:p w14:paraId="683FAC4F" w14:textId="77777777" w:rsidR="00C7440F" w:rsidRDefault="00C7440F" w:rsidP="00C7440F">
      <w:r>
        <w:t>Figure 1 describes the subject disposition by COS cycle.</w:t>
      </w:r>
    </w:p>
    <w:p w14:paraId="6DC24749" w14:textId="77777777" w:rsidR="00A96CB7" w:rsidRDefault="00A96CB7" w:rsidP="00C7440F">
      <w:pPr>
        <w:pStyle w:val="FigureTitle"/>
      </w:pPr>
      <w:bookmarkStart w:id="102" w:name="_Toc456613788"/>
      <w:r>
        <w:t xml:space="preserve">Figure </w:t>
      </w:r>
      <w:r w:rsidR="00C7440F">
        <w:t>1:</w:t>
      </w:r>
      <w:r>
        <w:t xml:space="preserve"> Subject disposition by COS cycle.</w:t>
      </w:r>
      <w:bookmarkEnd w:id="102"/>
    </w:p>
    <w:p w14:paraId="5135ADA2" w14:textId="77777777" w:rsidR="00C7440F" w:rsidRPr="00C7440F" w:rsidRDefault="00C7440F" w:rsidP="00C7440F">
      <w:r>
        <w:rPr>
          <w:noProof/>
          <w:lang w:eastAsia="en-AU"/>
        </w:rPr>
        <w:drawing>
          <wp:inline distT="0" distB="0" distL="0" distR="0" wp14:anchorId="3BD4C8B9" wp14:editId="6D2532CD">
            <wp:extent cx="3050482" cy="1792800"/>
            <wp:effectExtent l="0" t="0" r="0" b="0"/>
            <wp:docPr id="47" name="Picture 47" descr="Figure 1: Subject disposition by CO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lum bright="-20000" contrast="40000"/>
                      <a:extLst>
                        <a:ext uri="{28A0092B-C50C-407E-A947-70E740481C1C}">
                          <a14:useLocalDpi xmlns:a14="http://schemas.microsoft.com/office/drawing/2010/main" val="0"/>
                        </a:ext>
                      </a:extLst>
                    </a:blip>
                    <a:srcRect l="6230" b="18118"/>
                    <a:stretch/>
                  </pic:blipFill>
                  <pic:spPr bwMode="auto">
                    <a:xfrm>
                      <a:off x="0" y="0"/>
                      <a:ext cx="3053006" cy="1794283"/>
                    </a:xfrm>
                    <a:prstGeom prst="rect">
                      <a:avLst/>
                    </a:prstGeom>
                    <a:noFill/>
                    <a:ln>
                      <a:noFill/>
                    </a:ln>
                    <a:extLst>
                      <a:ext uri="{53640926-AAD7-44D8-BBD7-CCE9431645EC}">
                        <a14:shadowObscured xmlns:a14="http://schemas.microsoft.com/office/drawing/2010/main"/>
                      </a:ext>
                    </a:extLst>
                  </pic:spPr>
                </pic:pic>
              </a:graphicData>
            </a:graphic>
          </wp:inline>
        </w:drawing>
      </w:r>
    </w:p>
    <w:p w14:paraId="13531245" w14:textId="77777777" w:rsidR="00605AD4" w:rsidRDefault="00605AD4" w:rsidP="00605AD4">
      <w:pPr>
        <w:pStyle w:val="Heading4"/>
      </w:pPr>
      <w:r w:rsidRPr="00605AD4">
        <w:t>Safety issues with the potential for major regulatory impact</w:t>
      </w:r>
    </w:p>
    <w:p w14:paraId="74F0A28D" w14:textId="77777777" w:rsidR="00A96CB7" w:rsidRDefault="00A96CB7" w:rsidP="00C7440F">
      <w:pPr>
        <w:pStyle w:val="Heading5"/>
      </w:pPr>
      <w:r>
        <w:t>OHSS</w:t>
      </w:r>
    </w:p>
    <w:p w14:paraId="4E98F1FC" w14:textId="77777777" w:rsidR="00A96CB7" w:rsidRPr="00C2074B" w:rsidRDefault="00A96CB7" w:rsidP="00C7440F">
      <w:pPr>
        <w:pStyle w:val="Heading6"/>
      </w:pPr>
      <w:r>
        <w:t>ESTHER-I</w:t>
      </w:r>
    </w:p>
    <w:p w14:paraId="09976260" w14:textId="77777777" w:rsidR="00371AC4" w:rsidRDefault="00A96CB7" w:rsidP="00C7440F">
      <w:pPr>
        <w:rPr>
          <w:lang w:eastAsia="ja-JP"/>
        </w:rPr>
      </w:pPr>
      <w:r>
        <w:rPr>
          <w:lang w:eastAsia="ja-JP"/>
        </w:rPr>
        <w:t>Investigators used Golan’s system to g</w:t>
      </w:r>
      <w:r w:rsidR="00C7440F">
        <w:rPr>
          <w:lang w:eastAsia="ja-JP"/>
        </w:rPr>
        <w:t>rade (1,</w:t>
      </w:r>
      <w:r w:rsidR="005219CC">
        <w:rPr>
          <w:lang w:eastAsia="ja-JP"/>
        </w:rPr>
        <w:t xml:space="preserve"> </w:t>
      </w:r>
      <w:r w:rsidR="00C7440F">
        <w:rPr>
          <w:lang w:eastAsia="ja-JP"/>
        </w:rPr>
        <w:t>2,</w:t>
      </w:r>
      <w:r w:rsidR="005219CC">
        <w:rPr>
          <w:lang w:eastAsia="ja-JP"/>
        </w:rPr>
        <w:t xml:space="preserve"> </w:t>
      </w:r>
      <w:r w:rsidR="00C7440F">
        <w:rPr>
          <w:lang w:eastAsia="ja-JP"/>
        </w:rPr>
        <w:t>3,</w:t>
      </w:r>
      <w:r w:rsidR="005219CC">
        <w:rPr>
          <w:lang w:eastAsia="ja-JP"/>
        </w:rPr>
        <w:t xml:space="preserve"> </w:t>
      </w:r>
      <w:r w:rsidR="00C7440F">
        <w:rPr>
          <w:lang w:eastAsia="ja-JP"/>
        </w:rPr>
        <w:t>4</w:t>
      </w:r>
      <w:r w:rsidR="005219CC">
        <w:rPr>
          <w:lang w:eastAsia="ja-JP"/>
        </w:rPr>
        <w:t xml:space="preserve"> and </w:t>
      </w:r>
      <w:r w:rsidR="00C7440F">
        <w:rPr>
          <w:lang w:eastAsia="ja-JP"/>
        </w:rPr>
        <w:t>5) each OHSS case</w:t>
      </w:r>
      <w:r>
        <w:rPr>
          <w:lang w:eastAsia="ja-JP"/>
        </w:rPr>
        <w:t xml:space="preserve"> see </w:t>
      </w:r>
      <w:r w:rsidR="00565852">
        <w:rPr>
          <w:lang w:eastAsia="ja-JP"/>
        </w:rPr>
        <w:t>Table 7</w:t>
      </w:r>
      <w:r w:rsidR="00371AC4">
        <w:rPr>
          <w:lang w:eastAsia="ja-JP"/>
        </w:rPr>
        <w:t>.</w:t>
      </w:r>
    </w:p>
    <w:p w14:paraId="6E3F301A" w14:textId="28596C2A" w:rsidR="00A96CB7" w:rsidRDefault="00A96CB7" w:rsidP="00C7440F">
      <w:pPr>
        <w:pStyle w:val="TableTitle"/>
      </w:pPr>
      <w:bookmarkStart w:id="103" w:name="_Ref323362772"/>
      <w:bookmarkStart w:id="104" w:name="_Toc456613832"/>
      <w:r>
        <w:t xml:space="preserve">Table </w:t>
      </w:r>
      <w:r w:rsidR="00565852">
        <w:t>7</w:t>
      </w:r>
      <w:r w:rsidR="00C7440F">
        <w:t>:</w:t>
      </w:r>
      <w:bookmarkEnd w:id="103"/>
      <w:r>
        <w:t xml:space="preserve"> ESTHER-1 Classification of mild, moderate and severe OHSS</w:t>
      </w:r>
      <w:bookmarkEnd w:id="104"/>
    </w:p>
    <w:p w14:paraId="09253D13" w14:textId="77777777" w:rsidR="00A96CB7" w:rsidRDefault="00A96CB7" w:rsidP="00A96CB7">
      <w:pPr>
        <w:rPr>
          <w:lang w:eastAsia="ja-JP"/>
        </w:rPr>
      </w:pPr>
      <w:r>
        <w:rPr>
          <w:noProof/>
          <w:lang w:eastAsia="en-AU"/>
        </w:rPr>
        <w:drawing>
          <wp:inline distT="0" distB="0" distL="0" distR="0" wp14:anchorId="471ADB42" wp14:editId="6C5A4552">
            <wp:extent cx="4803444" cy="3326400"/>
            <wp:effectExtent l="0" t="0" r="0" b="7620"/>
            <wp:docPr id="12" name="Picture 12" descr="Table 7: ESTHER-1 Classification of mild, moderate and severe O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lum bright="-20000" contrast="40000"/>
                      <a:extLst>
                        <a:ext uri="{28A0092B-C50C-407E-A947-70E740481C1C}">
                          <a14:useLocalDpi xmlns:a14="http://schemas.microsoft.com/office/drawing/2010/main" val="0"/>
                        </a:ext>
                      </a:extLst>
                    </a:blip>
                    <a:srcRect l="1131" t="4939" b="3193"/>
                    <a:stretch/>
                  </pic:blipFill>
                  <pic:spPr bwMode="auto">
                    <a:xfrm>
                      <a:off x="0" y="0"/>
                      <a:ext cx="4805020" cy="3327491"/>
                    </a:xfrm>
                    <a:prstGeom prst="rect">
                      <a:avLst/>
                    </a:prstGeom>
                    <a:noFill/>
                    <a:ln>
                      <a:noFill/>
                    </a:ln>
                    <a:extLst>
                      <a:ext uri="{53640926-AAD7-44D8-BBD7-CCE9431645EC}">
                        <a14:shadowObscured xmlns:a14="http://schemas.microsoft.com/office/drawing/2010/main"/>
                      </a:ext>
                    </a:extLst>
                  </pic:spPr>
                </pic:pic>
              </a:graphicData>
            </a:graphic>
          </wp:inline>
        </w:drawing>
      </w:r>
    </w:p>
    <w:p w14:paraId="61B346A4" w14:textId="77777777" w:rsidR="00371AC4" w:rsidRDefault="00A96CB7" w:rsidP="00A96CB7">
      <w:pPr>
        <w:rPr>
          <w:lang w:eastAsia="ja-JP"/>
        </w:rPr>
      </w:pPr>
      <w:r>
        <w:rPr>
          <w:lang w:eastAsia="ja-JP"/>
        </w:rPr>
        <w:t>Early OHSS occurred within 9 days of triggering, late OHSS occurred with onset &gt; 9 days after triggering</w:t>
      </w:r>
      <w:r w:rsidR="00371AC4">
        <w:rPr>
          <w:lang w:eastAsia="ja-JP"/>
        </w:rPr>
        <w:t>.</w:t>
      </w:r>
    </w:p>
    <w:p w14:paraId="6F058DF1" w14:textId="0FA5AB8F" w:rsidR="00A96CB7" w:rsidRDefault="00A96CB7" w:rsidP="00A96CB7">
      <w:pPr>
        <w:rPr>
          <w:lang w:eastAsia="ja-JP"/>
        </w:rPr>
      </w:pPr>
      <w:r>
        <w:rPr>
          <w:lang w:eastAsia="ja-JP"/>
        </w:rPr>
        <w:t>Preventative interventions of OHSS included cycle cancellation due to excessive ovarian response, triggering of final follicular maturation with GnRH agonist</w:t>
      </w:r>
      <w:r w:rsidR="00C7440F">
        <w:rPr>
          <w:lang w:eastAsia="ja-JP"/>
        </w:rPr>
        <w:t xml:space="preserve"> and</w:t>
      </w:r>
      <w:r>
        <w:rPr>
          <w:lang w:eastAsia="ja-JP"/>
        </w:rPr>
        <w:t xml:space="preserve"> administration of dopamine agonist.</w:t>
      </w:r>
    </w:p>
    <w:p w14:paraId="43233F60" w14:textId="77777777" w:rsidR="00A96CB7" w:rsidRDefault="00A96CB7" w:rsidP="00A96CB7">
      <w:pPr>
        <w:rPr>
          <w:lang w:eastAsia="ja-JP"/>
        </w:rPr>
      </w:pPr>
      <w:r>
        <w:rPr>
          <w:lang w:eastAsia="ja-JP"/>
        </w:rPr>
        <w:t>OHSS was experienced by 55 subjects in the trial</w:t>
      </w:r>
      <w:r w:rsidR="000B0D1D">
        <w:rPr>
          <w:lang w:eastAsia="ja-JP"/>
        </w:rPr>
        <w:t>;</w:t>
      </w:r>
      <w:r>
        <w:rPr>
          <w:lang w:eastAsia="ja-JP"/>
        </w:rPr>
        <w:t xml:space="preserve"> 23 subjects (3.5%) in the </w:t>
      </w:r>
      <w:r w:rsidR="00FD2B65">
        <w:rPr>
          <w:lang w:eastAsia="ja-JP"/>
        </w:rPr>
        <w:t>Rekovelle</w:t>
      </w:r>
      <w:r>
        <w:rPr>
          <w:lang w:eastAsia="ja-JP"/>
        </w:rPr>
        <w:t xml:space="preserve"> group and 32 (4.8%) in the </w:t>
      </w:r>
      <w:r w:rsidR="00FB403C">
        <w:rPr>
          <w:lang w:eastAsia="ja-JP"/>
        </w:rPr>
        <w:t>Gonal-F</w:t>
      </w:r>
      <w:r w:rsidR="000B0D1D">
        <w:rPr>
          <w:lang w:eastAsia="ja-JP"/>
        </w:rPr>
        <w:t xml:space="preserve"> group. In addition, m</w:t>
      </w:r>
      <w:r>
        <w:rPr>
          <w:lang w:eastAsia="ja-JP"/>
        </w:rPr>
        <w:t xml:space="preserve">ore patients in the </w:t>
      </w:r>
      <w:r w:rsidR="00FB403C">
        <w:rPr>
          <w:lang w:eastAsia="ja-JP"/>
        </w:rPr>
        <w:t>Gonal-F</w:t>
      </w:r>
      <w:r>
        <w:rPr>
          <w:lang w:eastAsia="ja-JP"/>
        </w:rPr>
        <w:t xml:space="preserve"> group received preventative interventions for OHSS (</w:t>
      </w:r>
      <w:r w:rsidR="00565852">
        <w:rPr>
          <w:lang w:eastAsia="ja-JP"/>
        </w:rPr>
        <w:t>Table 8</w:t>
      </w:r>
      <w:r>
        <w:rPr>
          <w:lang w:eastAsia="ja-JP"/>
        </w:rPr>
        <w:t>)</w:t>
      </w:r>
    </w:p>
    <w:p w14:paraId="3A432436" w14:textId="77777777" w:rsidR="00A96CB7" w:rsidRDefault="00A96CB7" w:rsidP="000B0D1D">
      <w:pPr>
        <w:pStyle w:val="TableTitle"/>
        <w:rPr>
          <w:lang w:eastAsia="ja-JP"/>
        </w:rPr>
      </w:pPr>
      <w:bookmarkStart w:id="105" w:name="_Ref323362864"/>
      <w:bookmarkStart w:id="106" w:name="_Toc456613833"/>
      <w:r>
        <w:t xml:space="preserve">Table </w:t>
      </w:r>
      <w:r w:rsidR="00802246">
        <w:t>8</w:t>
      </w:r>
      <w:r w:rsidR="000B0D1D">
        <w:t>:</w:t>
      </w:r>
      <w:bookmarkEnd w:id="105"/>
      <w:r>
        <w:t xml:space="preserve"> ESTHER-1 Early OHSS and preventative interventions for early OHSS</w:t>
      </w:r>
      <w:bookmarkEnd w:id="106"/>
    </w:p>
    <w:p w14:paraId="3CD0F965" w14:textId="77777777" w:rsidR="00A96CB7" w:rsidRDefault="00A96CB7" w:rsidP="00A96CB7">
      <w:pPr>
        <w:rPr>
          <w:lang w:eastAsia="ja-JP"/>
        </w:rPr>
      </w:pPr>
      <w:r>
        <w:rPr>
          <w:noProof/>
          <w:lang w:eastAsia="en-AU"/>
        </w:rPr>
        <w:drawing>
          <wp:inline distT="0" distB="0" distL="0" distR="0" wp14:anchorId="5E224C87" wp14:editId="64DECD0E">
            <wp:extent cx="4975199" cy="1728000"/>
            <wp:effectExtent l="0" t="0" r="0" b="5715"/>
            <wp:docPr id="14" name="Picture 14" descr="Table 8: ESTHER-1 Early OHSS and preventative interventions for early O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l="3120" t="13498" r="-1134" b="16081"/>
                    <a:stretch/>
                  </pic:blipFill>
                  <pic:spPr bwMode="auto">
                    <a:xfrm>
                      <a:off x="0" y="0"/>
                      <a:ext cx="4982339" cy="1730480"/>
                    </a:xfrm>
                    <a:prstGeom prst="rect">
                      <a:avLst/>
                    </a:prstGeom>
                    <a:noFill/>
                    <a:ln>
                      <a:noFill/>
                    </a:ln>
                    <a:extLst>
                      <a:ext uri="{53640926-AAD7-44D8-BBD7-CCE9431645EC}">
                        <a14:shadowObscured xmlns:a14="http://schemas.microsoft.com/office/drawing/2010/main"/>
                      </a:ext>
                    </a:extLst>
                  </pic:spPr>
                </pic:pic>
              </a:graphicData>
            </a:graphic>
          </wp:inline>
        </w:drawing>
      </w:r>
    </w:p>
    <w:p w14:paraId="5549F061" w14:textId="77777777" w:rsidR="00371AC4" w:rsidRDefault="00A96CB7" w:rsidP="00A96CB7">
      <w:pPr>
        <w:rPr>
          <w:lang w:eastAsia="ja-JP"/>
        </w:rPr>
      </w:pPr>
      <w:r>
        <w:rPr>
          <w:lang w:eastAsia="ja-JP"/>
        </w:rPr>
        <w:t>The most common preventative intervention for early OHSS was triggering of final follicular maturation with GnRH agonist followed by administration of dopamine agonist</w:t>
      </w:r>
      <w:r w:rsidR="00371AC4">
        <w:rPr>
          <w:lang w:eastAsia="ja-JP"/>
        </w:rPr>
        <w:t>.</w:t>
      </w:r>
    </w:p>
    <w:p w14:paraId="67FB9E57" w14:textId="35A9FC89" w:rsidR="00A96CB7" w:rsidRDefault="00A96CB7" w:rsidP="000B0D1D">
      <w:pPr>
        <w:pStyle w:val="TableTitle"/>
        <w:rPr>
          <w:lang w:eastAsia="ja-JP"/>
        </w:rPr>
      </w:pPr>
      <w:bookmarkStart w:id="107" w:name="_Ref323362884"/>
      <w:bookmarkStart w:id="108" w:name="_Toc456613834"/>
      <w:r>
        <w:t xml:space="preserve">Table </w:t>
      </w:r>
      <w:r w:rsidR="00565852">
        <w:t>9</w:t>
      </w:r>
      <w:r w:rsidR="000B0D1D">
        <w:t>:</w:t>
      </w:r>
      <w:bookmarkEnd w:id="107"/>
      <w:r>
        <w:t xml:space="preserve"> ESTHER-1 Late OHSS</w:t>
      </w:r>
      <w:bookmarkEnd w:id="108"/>
    </w:p>
    <w:p w14:paraId="3AF64E3E" w14:textId="77777777" w:rsidR="00A96CB7" w:rsidRDefault="00A96CB7" w:rsidP="00A96CB7">
      <w:pPr>
        <w:rPr>
          <w:lang w:eastAsia="ja-JP"/>
        </w:rPr>
      </w:pPr>
      <w:r>
        <w:rPr>
          <w:noProof/>
          <w:lang w:eastAsia="en-AU"/>
        </w:rPr>
        <w:drawing>
          <wp:inline distT="0" distB="0" distL="0" distR="0" wp14:anchorId="526D6F25" wp14:editId="4B4DCF35">
            <wp:extent cx="4903200" cy="1332000"/>
            <wp:effectExtent l="0" t="0" r="0" b="1905"/>
            <wp:docPr id="46" name="Picture 46" descr="Table 9: ESTHER-1 Late O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l="2295" t="19168" b="13753"/>
                    <a:stretch/>
                  </pic:blipFill>
                  <pic:spPr bwMode="auto">
                    <a:xfrm>
                      <a:off x="0" y="0"/>
                      <a:ext cx="4910747" cy="1334050"/>
                    </a:xfrm>
                    <a:prstGeom prst="rect">
                      <a:avLst/>
                    </a:prstGeom>
                    <a:noFill/>
                    <a:ln>
                      <a:noFill/>
                    </a:ln>
                    <a:extLst>
                      <a:ext uri="{53640926-AAD7-44D8-BBD7-CCE9431645EC}">
                        <a14:shadowObscured xmlns:a14="http://schemas.microsoft.com/office/drawing/2010/main"/>
                      </a:ext>
                    </a:extLst>
                  </pic:spPr>
                </pic:pic>
              </a:graphicData>
            </a:graphic>
          </wp:inline>
        </w:drawing>
      </w:r>
    </w:p>
    <w:p w14:paraId="162463D0" w14:textId="77777777" w:rsidR="00A96CB7" w:rsidRDefault="00A96CB7" w:rsidP="00A96CB7">
      <w:pPr>
        <w:rPr>
          <w:lang w:eastAsia="ja-JP"/>
        </w:rPr>
      </w:pPr>
      <w:r>
        <w:rPr>
          <w:lang w:eastAsia="ja-JP"/>
        </w:rPr>
        <w:t xml:space="preserve">The number of cases of late OHSS was </w:t>
      </w:r>
      <w:r w:rsidR="000B0D1D">
        <w:rPr>
          <w:lang w:eastAsia="ja-JP"/>
        </w:rPr>
        <w:t>twice</w:t>
      </w:r>
      <w:r>
        <w:rPr>
          <w:lang w:eastAsia="ja-JP"/>
        </w:rPr>
        <w:t xml:space="preserve"> that with </w:t>
      </w:r>
      <w:r w:rsidR="00FB403C">
        <w:rPr>
          <w:lang w:eastAsia="ja-JP"/>
        </w:rPr>
        <w:t>Gonal-F</w:t>
      </w:r>
      <w:r>
        <w:rPr>
          <w:lang w:eastAsia="ja-JP"/>
        </w:rPr>
        <w:t xml:space="preserve"> than for </w:t>
      </w:r>
      <w:r w:rsidR="00FD2B65">
        <w:rPr>
          <w:lang w:eastAsia="ja-JP"/>
        </w:rPr>
        <w:t>Rekovelle</w:t>
      </w:r>
      <w:r>
        <w:rPr>
          <w:lang w:eastAsia="ja-JP"/>
        </w:rPr>
        <w:t>, however the difference was not statistically significant</w:t>
      </w:r>
      <w:r w:rsidR="000B0D1D">
        <w:rPr>
          <w:lang w:eastAsia="ja-JP"/>
        </w:rPr>
        <w:t>.</w:t>
      </w:r>
    </w:p>
    <w:p w14:paraId="0D15DA63" w14:textId="77777777" w:rsidR="00A96CB7" w:rsidRPr="00C2074B" w:rsidRDefault="00A96CB7" w:rsidP="000B0D1D">
      <w:pPr>
        <w:pStyle w:val="Heading6"/>
      </w:pPr>
      <w:r>
        <w:t>ESTHER II</w:t>
      </w:r>
    </w:p>
    <w:p w14:paraId="4D543C58" w14:textId="77777777" w:rsidR="00371AC4" w:rsidRDefault="00A96CB7" w:rsidP="000B0D1D">
      <w:r w:rsidRPr="00FC5E73">
        <w:t xml:space="preserve">In COS </w:t>
      </w:r>
      <w:r w:rsidR="000B0D1D">
        <w:t>Cycle 2</w:t>
      </w:r>
      <w:r w:rsidRPr="00FC5E73">
        <w:t xml:space="preserve">, OHSS was experienced by 3 subjects (1.2%) in the </w:t>
      </w:r>
      <w:r w:rsidR="00FD2B65">
        <w:t>Rekovelle</w:t>
      </w:r>
      <w:r w:rsidRPr="00FC5E73">
        <w:t xml:space="preserve"> group and 8</w:t>
      </w:r>
      <w:r w:rsidRPr="00FC5E73">
        <w:rPr>
          <w:spacing w:val="-3"/>
        </w:rPr>
        <w:t xml:space="preserve"> </w:t>
      </w:r>
      <w:r w:rsidRPr="00FC5E73">
        <w:t xml:space="preserve">subjects (3.1%) in the </w:t>
      </w:r>
      <w:r w:rsidR="000B0D1D">
        <w:rPr>
          <w:spacing w:val="-2"/>
        </w:rPr>
        <w:t>Gonal</w:t>
      </w:r>
      <w:r w:rsidRPr="00FC5E73">
        <w:rPr>
          <w:spacing w:val="-2"/>
        </w:rPr>
        <w:t>-F</w:t>
      </w:r>
      <w:r w:rsidRPr="00FC5E73">
        <w:t xml:space="preserve"> group. Moderate/severe OHSS in COS </w:t>
      </w:r>
      <w:r w:rsidR="000B0D1D">
        <w:t>Cycle 2</w:t>
      </w:r>
      <w:r w:rsidRPr="00FC5E73">
        <w:t xml:space="preserve"> did not occur in the </w:t>
      </w:r>
      <w:r w:rsidR="00FD2B65">
        <w:t>Rekovelle</w:t>
      </w:r>
      <w:r w:rsidRPr="00FC5E73">
        <w:rPr>
          <w:spacing w:val="38"/>
        </w:rPr>
        <w:t xml:space="preserve"> </w:t>
      </w:r>
      <w:r w:rsidRPr="00FC5E73">
        <w:t xml:space="preserve">group but occurred in 7 subjects in the </w:t>
      </w:r>
      <w:r w:rsidR="000B0D1D">
        <w:rPr>
          <w:spacing w:val="-2"/>
        </w:rPr>
        <w:t>Gonal</w:t>
      </w:r>
      <w:r w:rsidRPr="00FC5E73">
        <w:rPr>
          <w:spacing w:val="-2"/>
        </w:rPr>
        <w:t>-F</w:t>
      </w:r>
      <w:r w:rsidRPr="00FC5E73">
        <w:t xml:space="preserve"> group, of whom 1 subject in the </w:t>
      </w:r>
      <w:r w:rsidR="000B0D1D">
        <w:t>Gonal</w:t>
      </w:r>
      <w:r w:rsidRPr="00FC5E73">
        <w:t>-F group was</w:t>
      </w:r>
      <w:r w:rsidRPr="00FC5E73">
        <w:rPr>
          <w:spacing w:val="37"/>
        </w:rPr>
        <w:t xml:space="preserve"> </w:t>
      </w:r>
      <w:r w:rsidRPr="00FC5E73">
        <w:t>hospitalised for 6 days due to OHSS. Early OHSS was experienced by 2 subjects</w:t>
      </w:r>
      <w:r w:rsidRPr="00FC5E73">
        <w:rPr>
          <w:spacing w:val="-2"/>
        </w:rPr>
        <w:t xml:space="preserve"> </w:t>
      </w:r>
      <w:r w:rsidRPr="00FC5E73">
        <w:t xml:space="preserve">(0.8%) in the </w:t>
      </w:r>
      <w:r w:rsidR="00FD2B65">
        <w:t>Rekovelle</w:t>
      </w:r>
      <w:r w:rsidRPr="00FC5E73">
        <w:rPr>
          <w:spacing w:val="34"/>
        </w:rPr>
        <w:t xml:space="preserve"> </w:t>
      </w:r>
      <w:r w:rsidRPr="00FC5E73">
        <w:t xml:space="preserve">group and 6 subjects (2.3%) in the </w:t>
      </w:r>
      <w:r w:rsidR="000B0D1D">
        <w:rPr>
          <w:spacing w:val="-2"/>
        </w:rPr>
        <w:t>Gonal</w:t>
      </w:r>
      <w:r w:rsidRPr="00FC5E73">
        <w:rPr>
          <w:spacing w:val="-2"/>
        </w:rPr>
        <w:t>-F</w:t>
      </w:r>
      <w:r w:rsidRPr="00FC5E73">
        <w:t xml:space="preserve"> group, of whom 5 subjects (1.9%) in the </w:t>
      </w:r>
      <w:r w:rsidR="000B0D1D">
        <w:rPr>
          <w:spacing w:val="-2"/>
        </w:rPr>
        <w:t>Gonal</w:t>
      </w:r>
      <w:r w:rsidRPr="00FC5E73">
        <w:rPr>
          <w:spacing w:val="-2"/>
        </w:rPr>
        <w:t>-F</w:t>
      </w:r>
      <w:r w:rsidRPr="00FC5E73">
        <w:t xml:space="preserve"> group</w:t>
      </w:r>
      <w:r w:rsidRPr="00FC5E73">
        <w:rPr>
          <w:spacing w:val="45"/>
        </w:rPr>
        <w:t xml:space="preserve"> </w:t>
      </w:r>
      <w:r w:rsidRPr="00FC5E73">
        <w:t xml:space="preserve">developed early moderate/severe OHSS. Preventive interventions for early OHSS were performed in 4 subjects (1.6%) in the </w:t>
      </w:r>
      <w:r w:rsidR="00FD2B65">
        <w:t>Rekovelle</w:t>
      </w:r>
      <w:r w:rsidRPr="00FC5E73">
        <w:t xml:space="preserve"> group</w:t>
      </w:r>
      <w:r w:rsidRPr="00FC5E73">
        <w:rPr>
          <w:spacing w:val="-3"/>
        </w:rPr>
        <w:t xml:space="preserve"> </w:t>
      </w:r>
      <w:r w:rsidRPr="00FC5E73">
        <w:t>and 5</w:t>
      </w:r>
      <w:r w:rsidRPr="00FC5E73">
        <w:rPr>
          <w:spacing w:val="-3"/>
        </w:rPr>
        <w:t xml:space="preserve"> </w:t>
      </w:r>
      <w:r w:rsidRPr="00FC5E73">
        <w:t xml:space="preserve">subjects (1.9%) in the </w:t>
      </w:r>
      <w:r w:rsidR="000B0D1D">
        <w:rPr>
          <w:spacing w:val="-2"/>
        </w:rPr>
        <w:t>Gonal</w:t>
      </w:r>
      <w:r w:rsidRPr="00FC5E73">
        <w:rPr>
          <w:spacing w:val="-2"/>
        </w:rPr>
        <w:t>-F</w:t>
      </w:r>
      <w:r w:rsidRPr="00FC5E73">
        <w:t xml:space="preserve"> group in COS </w:t>
      </w:r>
      <w:r w:rsidR="000B0D1D">
        <w:t>Cycle 2</w:t>
      </w:r>
      <w:r w:rsidRPr="00FC5E73">
        <w:t xml:space="preserve">. One subject (0.4%) in the </w:t>
      </w:r>
      <w:r w:rsidR="00FD2B65">
        <w:t>Rekovelle</w:t>
      </w:r>
      <w:r w:rsidRPr="00FC5E73">
        <w:t xml:space="preserve"> group developed late mild OHSS and 2 subjects (0.8%) in the </w:t>
      </w:r>
      <w:r w:rsidR="000B0D1D">
        <w:rPr>
          <w:spacing w:val="-2"/>
        </w:rPr>
        <w:t>Gonal</w:t>
      </w:r>
      <w:r w:rsidRPr="00FC5E73">
        <w:rPr>
          <w:spacing w:val="-2"/>
        </w:rPr>
        <w:t>-F</w:t>
      </w:r>
      <w:r w:rsidRPr="00FC5E73">
        <w:t xml:space="preserve"> group developed late moderate OHSS (</w:t>
      </w:r>
      <w:r w:rsidR="000B0D1D">
        <w:t xml:space="preserve">Table </w:t>
      </w:r>
      <w:r w:rsidR="00802246">
        <w:t>10</w:t>
      </w:r>
      <w:r w:rsidRPr="00FC5E73">
        <w:t>)</w:t>
      </w:r>
    </w:p>
    <w:p w14:paraId="1A68FA63" w14:textId="467338BB" w:rsidR="00A96CB7" w:rsidRDefault="00A96CB7" w:rsidP="000B0D1D">
      <w:pPr>
        <w:pStyle w:val="TableTitle"/>
      </w:pPr>
      <w:bookmarkStart w:id="109" w:name="_Ref323362933"/>
      <w:bookmarkStart w:id="110" w:name="_Toc456613835"/>
      <w:r>
        <w:t xml:space="preserve">Table </w:t>
      </w:r>
      <w:r w:rsidR="00802246">
        <w:t>10</w:t>
      </w:r>
      <w:r w:rsidR="000B0D1D">
        <w:t>:</w:t>
      </w:r>
      <w:bookmarkEnd w:id="109"/>
      <w:r>
        <w:t xml:space="preserve"> ESTHER II- Early OHSS and preventive interventions for early OHSS- COS </w:t>
      </w:r>
      <w:r w:rsidR="000B0D1D">
        <w:t>Cycle 2</w:t>
      </w:r>
      <w:bookmarkEnd w:id="110"/>
    </w:p>
    <w:p w14:paraId="485A658E" w14:textId="77777777" w:rsidR="00A96CB7" w:rsidRDefault="00A96CB7" w:rsidP="00371AC4">
      <w:r>
        <w:rPr>
          <w:noProof/>
          <w:lang w:eastAsia="en-AU"/>
        </w:rPr>
        <w:drawing>
          <wp:inline distT="0" distB="0" distL="0" distR="0" wp14:anchorId="03130C42" wp14:editId="0CC9F7F4">
            <wp:extent cx="4730400" cy="1231200"/>
            <wp:effectExtent l="0" t="0" r="0" b="7620"/>
            <wp:docPr id="62" name="Picture 62" descr="Table 10: ESTHER II- Early OHSS and preventive interventions for early OHSS- COS cyc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lum bright="-20000" contrast="40000"/>
                      <a:extLst>
                        <a:ext uri="{28A0092B-C50C-407E-A947-70E740481C1C}">
                          <a14:useLocalDpi xmlns:a14="http://schemas.microsoft.com/office/drawing/2010/main" val="0"/>
                        </a:ext>
                      </a:extLst>
                    </a:blip>
                    <a:srcRect l="1499" t="17347" b="9420"/>
                    <a:stretch/>
                  </pic:blipFill>
                  <pic:spPr bwMode="auto">
                    <a:xfrm>
                      <a:off x="0" y="0"/>
                      <a:ext cx="4732402" cy="1231721"/>
                    </a:xfrm>
                    <a:prstGeom prst="rect">
                      <a:avLst/>
                    </a:prstGeom>
                    <a:noFill/>
                    <a:ln>
                      <a:noFill/>
                    </a:ln>
                    <a:extLst>
                      <a:ext uri="{53640926-AAD7-44D8-BBD7-CCE9431645EC}">
                        <a14:shadowObscured xmlns:a14="http://schemas.microsoft.com/office/drawing/2010/main"/>
                      </a:ext>
                    </a:extLst>
                  </pic:spPr>
                </pic:pic>
              </a:graphicData>
            </a:graphic>
          </wp:inline>
        </w:drawing>
      </w:r>
    </w:p>
    <w:p w14:paraId="4EF6DE43" w14:textId="77777777" w:rsidR="00A96CB7" w:rsidRPr="006B2C05" w:rsidRDefault="00A96CB7" w:rsidP="000B0D1D">
      <w:r w:rsidRPr="006B2C05">
        <w:t xml:space="preserve">In COS </w:t>
      </w:r>
      <w:r w:rsidR="000B0D1D">
        <w:t>Cycle 3</w:t>
      </w:r>
      <w:r w:rsidRPr="006B2C05">
        <w:t xml:space="preserve"> OHSS was observed in 2 subjects (2.1%) in the </w:t>
      </w:r>
      <w:r w:rsidR="00FD2B65">
        <w:t>Rekovelle</w:t>
      </w:r>
      <w:r w:rsidRPr="006B2C05">
        <w:t xml:space="preserve"> group and 1 subject (1.1%) in</w:t>
      </w:r>
      <w:r>
        <w:t xml:space="preserve"> </w:t>
      </w:r>
      <w:r w:rsidRPr="006B2C05">
        <w:t xml:space="preserve">the </w:t>
      </w:r>
      <w:r w:rsidR="000B0D1D">
        <w:rPr>
          <w:spacing w:val="-2"/>
        </w:rPr>
        <w:t>Gonal</w:t>
      </w:r>
      <w:r w:rsidRPr="006B2C05">
        <w:rPr>
          <w:spacing w:val="-2"/>
        </w:rPr>
        <w:t>-F</w:t>
      </w:r>
      <w:r w:rsidRPr="006B2C05">
        <w:t xml:space="preserve"> group. Moderate/severe OHSS in COS </w:t>
      </w:r>
      <w:r w:rsidR="000B0D1D">
        <w:t>Cycle 3</w:t>
      </w:r>
      <w:r w:rsidRPr="006B2C05">
        <w:t xml:space="preserve"> did not occur in the </w:t>
      </w:r>
      <w:r w:rsidR="00FD2B65">
        <w:t>Rekovelle</w:t>
      </w:r>
      <w:r w:rsidRPr="006B2C05">
        <w:t xml:space="preserve"> group but</w:t>
      </w:r>
      <w:r>
        <w:t xml:space="preserve"> </w:t>
      </w:r>
      <w:r w:rsidRPr="006B2C05">
        <w:t xml:space="preserve">occurred in 1 subject in the </w:t>
      </w:r>
      <w:r w:rsidR="000B0D1D">
        <w:t>Gonal</w:t>
      </w:r>
      <w:r w:rsidRPr="006B2C05">
        <w:t>-F group, who was hospitalised for 9 days due to OHSS.</w:t>
      </w:r>
    </w:p>
    <w:p w14:paraId="6FB99CD5" w14:textId="77777777" w:rsidR="00A96CB7" w:rsidRPr="008A0FE3" w:rsidRDefault="00A96CB7" w:rsidP="000B0D1D">
      <w:r>
        <w:t xml:space="preserve">Late OHSS occurred in 1 subject in each treatment group. The subject receiving </w:t>
      </w:r>
      <w:r w:rsidR="00FD2B65">
        <w:t>Rekovelle</w:t>
      </w:r>
      <w:r>
        <w:t xml:space="preserve"> had mild late OHSS and the subject in the </w:t>
      </w:r>
      <w:r w:rsidR="00FB403C">
        <w:t>Gonal-F</w:t>
      </w:r>
      <w:r>
        <w:t xml:space="preserve"> group had late severe OHSS.</w:t>
      </w:r>
      <w:bookmarkStart w:id="111" w:name="_Toc272414670"/>
      <w:bookmarkStart w:id="112" w:name="_Toc290888534"/>
      <w:bookmarkStart w:id="113" w:name="_Toc416353750"/>
      <w:bookmarkStart w:id="114" w:name="_Toc421005293"/>
      <w:bookmarkStart w:id="115" w:name="_Toc432079170"/>
      <w:bookmarkStart w:id="116" w:name="_Toc432080743"/>
    </w:p>
    <w:bookmarkEnd w:id="111"/>
    <w:bookmarkEnd w:id="112"/>
    <w:bookmarkEnd w:id="113"/>
    <w:bookmarkEnd w:id="114"/>
    <w:bookmarkEnd w:id="115"/>
    <w:bookmarkEnd w:id="116"/>
    <w:p w14:paraId="3EC2982E" w14:textId="7882C24D" w:rsidR="00A96CB7" w:rsidRPr="000B0D1D" w:rsidRDefault="00A96CB7" w:rsidP="000B0D1D">
      <w:pPr>
        <w:pStyle w:val="Heading5"/>
      </w:pPr>
      <w:r>
        <w:t xml:space="preserve">Early </w:t>
      </w:r>
      <w:r w:rsidR="00371AC4">
        <w:t>pregnancy loss</w:t>
      </w:r>
    </w:p>
    <w:p w14:paraId="4A54FFD7" w14:textId="77777777" w:rsidR="00A96CB7" w:rsidRPr="00C2074B" w:rsidRDefault="00A96CB7" w:rsidP="000B0D1D">
      <w:pPr>
        <w:pStyle w:val="Heading6"/>
      </w:pPr>
      <w:r>
        <w:t>ESTHER-1</w:t>
      </w:r>
    </w:p>
    <w:p w14:paraId="24DD9651" w14:textId="77777777" w:rsidR="00371AC4" w:rsidRDefault="00A96CB7" w:rsidP="000B0D1D">
      <w:pPr>
        <w:rPr>
          <w:lang w:eastAsia="ja-JP"/>
        </w:rPr>
      </w:pPr>
      <w:r>
        <w:rPr>
          <w:lang w:eastAsia="ja-JP"/>
        </w:rPr>
        <w:t xml:space="preserve">Early pregnancy loss occurred in 53 (20.6%) of cases with </w:t>
      </w:r>
      <w:r w:rsidR="00FD2B65">
        <w:rPr>
          <w:lang w:eastAsia="ja-JP"/>
        </w:rPr>
        <w:t>Rekovelle</w:t>
      </w:r>
      <w:r>
        <w:rPr>
          <w:lang w:eastAsia="ja-JP"/>
        </w:rPr>
        <w:t xml:space="preserve"> and 57 (21.4%) of cases with </w:t>
      </w:r>
      <w:r w:rsidR="00FB403C">
        <w:rPr>
          <w:lang w:eastAsia="ja-JP"/>
        </w:rPr>
        <w:t>Gonal-F</w:t>
      </w:r>
      <w:r>
        <w:rPr>
          <w:lang w:eastAsia="ja-JP"/>
        </w:rPr>
        <w:t xml:space="preserve"> with a positive βhCG.</w:t>
      </w:r>
      <w:r w:rsidR="000B0D1D">
        <w:rPr>
          <w:lang w:eastAsia="ja-JP"/>
        </w:rPr>
        <w:t xml:space="preserve"> </w:t>
      </w:r>
      <w:r>
        <w:rPr>
          <w:lang w:eastAsia="ja-JP"/>
        </w:rPr>
        <w:t>The types of pregnancy loss were similar between the two groups</w:t>
      </w:r>
      <w:r w:rsidR="000B0D1D">
        <w:rPr>
          <w:lang w:eastAsia="ja-JP"/>
        </w:rPr>
        <w:t>:</w:t>
      </w:r>
      <w:r>
        <w:rPr>
          <w:lang w:eastAsia="ja-JP"/>
        </w:rPr>
        <w:t xml:space="preserve"> spontaneous abortion 10.1</w:t>
      </w:r>
      <w:r w:rsidR="000B0D1D">
        <w:rPr>
          <w:lang w:eastAsia="ja-JP"/>
        </w:rPr>
        <w:t>%</w:t>
      </w:r>
      <w:r>
        <w:rPr>
          <w:lang w:eastAsia="ja-JP"/>
        </w:rPr>
        <w:t xml:space="preserve"> and 11.3%, biochemical pregnancy 9.7</w:t>
      </w:r>
      <w:r w:rsidR="000B0D1D">
        <w:rPr>
          <w:lang w:eastAsia="ja-JP"/>
        </w:rPr>
        <w:t>%</w:t>
      </w:r>
      <w:r>
        <w:rPr>
          <w:lang w:eastAsia="ja-JP"/>
        </w:rPr>
        <w:t xml:space="preserve"> and 9.4%, ectopic pregnancy 0.4</w:t>
      </w:r>
      <w:r w:rsidR="000B0D1D">
        <w:rPr>
          <w:lang w:eastAsia="ja-JP"/>
        </w:rPr>
        <w:t>%</w:t>
      </w:r>
      <w:r>
        <w:rPr>
          <w:lang w:eastAsia="ja-JP"/>
        </w:rPr>
        <w:t xml:space="preserve"> and 0.4%</w:t>
      </w:r>
      <w:r w:rsidR="000B0D1D">
        <w:rPr>
          <w:lang w:eastAsia="ja-JP"/>
        </w:rPr>
        <w:t xml:space="preserve"> and</w:t>
      </w:r>
      <w:r>
        <w:rPr>
          <w:lang w:eastAsia="ja-JP"/>
        </w:rPr>
        <w:t xml:space="preserve"> induced abortion 0.4</w:t>
      </w:r>
      <w:r w:rsidR="000B0D1D">
        <w:rPr>
          <w:lang w:eastAsia="ja-JP"/>
        </w:rPr>
        <w:t>%</w:t>
      </w:r>
      <w:r>
        <w:rPr>
          <w:lang w:eastAsia="ja-JP"/>
        </w:rPr>
        <w:t xml:space="preserve"> and 0.4%</w:t>
      </w:r>
      <w:r w:rsidR="00371AC4">
        <w:rPr>
          <w:lang w:eastAsia="ja-JP"/>
        </w:rPr>
        <w:t>.</w:t>
      </w:r>
    </w:p>
    <w:p w14:paraId="0ADE8507" w14:textId="1097A690" w:rsidR="00A96CB7" w:rsidRDefault="00A96CB7" w:rsidP="000B0D1D">
      <w:pPr>
        <w:pStyle w:val="Heading6"/>
      </w:pPr>
      <w:r>
        <w:t>ESTHER II</w:t>
      </w:r>
    </w:p>
    <w:p w14:paraId="15A20D80" w14:textId="77777777" w:rsidR="00A96CB7" w:rsidRDefault="00A96CB7" w:rsidP="000B0D1D">
      <w:r>
        <w:t xml:space="preserve">From </w:t>
      </w:r>
      <w:r w:rsidR="000B0D1D">
        <w:t>β</w:t>
      </w:r>
      <w:r>
        <w:t xml:space="preserve">hCG to ongoing pregnancy, early pregnancy loss in COS </w:t>
      </w:r>
      <w:r w:rsidR="000B0D1D">
        <w:t>Cycle 2</w:t>
      </w:r>
      <w:r>
        <w:t xml:space="preserve"> was experienced by 26.3% and 23.0% of subjects with a positive </w:t>
      </w:r>
      <w:r w:rsidR="000B0D1D">
        <w:t>β</w:t>
      </w:r>
      <w:r>
        <w:t xml:space="preserve">hCG in the </w:t>
      </w:r>
      <w:r w:rsidR="00FD2B65">
        <w:t>Rekovelle</w:t>
      </w:r>
      <w:r>
        <w:t xml:space="preserve"> and </w:t>
      </w:r>
      <w:r w:rsidR="000B0D1D">
        <w:t>Gonal</w:t>
      </w:r>
      <w:r>
        <w:t xml:space="preserve">-F groups, respectively. In COS </w:t>
      </w:r>
      <w:r w:rsidR="000B0D1D">
        <w:t>Cycle 3</w:t>
      </w:r>
      <w:r>
        <w:t xml:space="preserve">, the frequency of early pregnancy loss among subjects with a positive </w:t>
      </w:r>
      <w:r w:rsidR="000B0D1D">
        <w:t>β</w:t>
      </w:r>
      <w:r>
        <w:t xml:space="preserve">hCG was 35.0% for </w:t>
      </w:r>
      <w:r w:rsidR="00FD2B65">
        <w:t>Rekovelle</w:t>
      </w:r>
      <w:r>
        <w:t xml:space="preserve"> and 23.5% for </w:t>
      </w:r>
      <w:r w:rsidR="000B0D1D">
        <w:t>Gonal</w:t>
      </w:r>
      <w:r>
        <w:t xml:space="preserve">-F. The type of pregnancy loss in COS3 for </w:t>
      </w:r>
      <w:r w:rsidR="00FD2B65">
        <w:t>Rekovelle</w:t>
      </w:r>
      <w:r>
        <w:t xml:space="preserve"> was biochemical in 22.5% and spontaneous abortion in 12.5%; in the </w:t>
      </w:r>
      <w:r w:rsidR="000B0D1D">
        <w:t>Gonal</w:t>
      </w:r>
      <w:r w:rsidR="00FB403C">
        <w:t>-F</w:t>
      </w:r>
      <w:r>
        <w:t xml:space="preserve"> group it was biochemical in 11.8% and spontaneous abortion in 11.8%.</w:t>
      </w:r>
    </w:p>
    <w:p w14:paraId="04ECA492" w14:textId="77777777" w:rsidR="00A96CB7" w:rsidRDefault="00A96CB7" w:rsidP="000B0D1D">
      <w:r>
        <w:t xml:space="preserve">The higher pregnancy loss in patients who had previously failed IVF is expected. </w:t>
      </w:r>
      <w:bookmarkStart w:id="117" w:name="_Toc272414671"/>
      <w:bookmarkStart w:id="118" w:name="_Toc290888535"/>
      <w:bookmarkStart w:id="119" w:name="_Toc416353751"/>
      <w:bookmarkStart w:id="120" w:name="_Toc421005294"/>
      <w:bookmarkStart w:id="121" w:name="_Toc432079171"/>
      <w:bookmarkStart w:id="122" w:name="_Toc432080744"/>
      <w:r>
        <w:t xml:space="preserve">It is noted </w:t>
      </w:r>
      <w:r w:rsidR="000B0D1D">
        <w:t xml:space="preserve">that </w:t>
      </w:r>
      <w:r>
        <w:t xml:space="preserve">at baseline patients in the </w:t>
      </w:r>
      <w:r w:rsidR="00FD2B65">
        <w:t>Rekovelle</w:t>
      </w:r>
      <w:r>
        <w:t xml:space="preserve"> group had lower AMH and </w:t>
      </w:r>
      <w:r w:rsidR="000B0D1D">
        <w:t xml:space="preserve">a </w:t>
      </w:r>
      <w:r>
        <w:t>higher proportion of patients in the 38</w:t>
      </w:r>
      <w:r w:rsidR="000B0D1D">
        <w:t xml:space="preserve"> to </w:t>
      </w:r>
      <w:r>
        <w:t>40 year old age bracket.</w:t>
      </w:r>
    </w:p>
    <w:bookmarkEnd w:id="117"/>
    <w:bookmarkEnd w:id="118"/>
    <w:bookmarkEnd w:id="119"/>
    <w:bookmarkEnd w:id="120"/>
    <w:bookmarkEnd w:id="121"/>
    <w:bookmarkEnd w:id="122"/>
    <w:p w14:paraId="057229F1" w14:textId="77777777" w:rsidR="00A96CB7" w:rsidRDefault="00A96CB7" w:rsidP="00A96CB7">
      <w:pPr>
        <w:pStyle w:val="Heading4"/>
      </w:pPr>
      <w:r>
        <w:t>Multi-fetal gestations</w:t>
      </w:r>
    </w:p>
    <w:p w14:paraId="07BFBF2C" w14:textId="77777777" w:rsidR="00A96CB7" w:rsidRDefault="00A96CB7" w:rsidP="00A96CB7">
      <w:pPr>
        <w:pStyle w:val="Heading5"/>
      </w:pPr>
      <w:r>
        <w:t>Integrated safety analyses</w:t>
      </w:r>
    </w:p>
    <w:p w14:paraId="6215AC6F" w14:textId="77777777" w:rsidR="00A96CB7" w:rsidRPr="00C2074B" w:rsidRDefault="00A96CB7" w:rsidP="000B0D1D">
      <w:pPr>
        <w:pStyle w:val="Heading6"/>
      </w:pPr>
      <w:r>
        <w:t>ESTHER-1</w:t>
      </w:r>
    </w:p>
    <w:p w14:paraId="74851A07" w14:textId="77777777" w:rsidR="00A96CB7" w:rsidRDefault="00A96CB7" w:rsidP="000B0D1D">
      <w:r>
        <w:rPr>
          <w:lang w:eastAsia="ja-JP"/>
        </w:rPr>
        <w:t xml:space="preserve">There were 4 sets of twins in </w:t>
      </w:r>
      <w:r w:rsidR="000B0D1D">
        <w:rPr>
          <w:lang w:eastAsia="ja-JP"/>
        </w:rPr>
        <w:t xml:space="preserve">the </w:t>
      </w:r>
      <w:r w:rsidR="00FD2B65">
        <w:rPr>
          <w:lang w:eastAsia="ja-JP"/>
        </w:rPr>
        <w:t>Rekovelle</w:t>
      </w:r>
      <w:r w:rsidR="000B0D1D">
        <w:rPr>
          <w:lang w:eastAsia="ja-JP"/>
        </w:rPr>
        <w:t xml:space="preserve"> group</w:t>
      </w:r>
      <w:r>
        <w:rPr>
          <w:lang w:eastAsia="ja-JP"/>
        </w:rPr>
        <w:t xml:space="preserve"> and 8 </w:t>
      </w:r>
      <w:r w:rsidR="000B0D1D">
        <w:rPr>
          <w:lang w:eastAsia="ja-JP"/>
        </w:rPr>
        <w:t>in the</w:t>
      </w:r>
      <w:r>
        <w:rPr>
          <w:lang w:eastAsia="ja-JP"/>
        </w:rPr>
        <w:t xml:space="preserve"> </w:t>
      </w:r>
      <w:r w:rsidR="00FB403C">
        <w:rPr>
          <w:lang w:eastAsia="ja-JP"/>
        </w:rPr>
        <w:t>Gonal-F</w:t>
      </w:r>
      <w:r w:rsidR="000B0D1D">
        <w:rPr>
          <w:lang w:eastAsia="ja-JP"/>
        </w:rPr>
        <w:t xml:space="preserve"> group</w:t>
      </w:r>
      <w:r>
        <w:rPr>
          <w:lang w:eastAsia="ja-JP"/>
        </w:rPr>
        <w:t xml:space="preserve">. </w:t>
      </w:r>
      <w:r>
        <w:t xml:space="preserve">Of them, 2 subjects in the </w:t>
      </w:r>
      <w:r w:rsidR="00FD2B65">
        <w:t>Rekovelle</w:t>
      </w:r>
      <w:r>
        <w:t xml:space="preserve"> group and 8 subjects in the </w:t>
      </w:r>
      <w:r w:rsidR="000B0D1D">
        <w:t>Gonal</w:t>
      </w:r>
      <w:r>
        <w:t xml:space="preserve">-F group conceived twins after single blastocyst transfer and the remaining 2 subjects in the </w:t>
      </w:r>
      <w:r w:rsidR="00FD2B65">
        <w:t>Rekovelle</w:t>
      </w:r>
      <w:r>
        <w:t xml:space="preserve"> group conceived twins after double blastocyst transfer.</w:t>
      </w:r>
    </w:p>
    <w:p w14:paraId="31447A7A" w14:textId="77777777" w:rsidR="00A96CB7" w:rsidRDefault="00A96CB7" w:rsidP="000B0D1D">
      <w:pPr>
        <w:pStyle w:val="Heading6"/>
      </w:pPr>
      <w:r>
        <w:t>ESTHER –II</w:t>
      </w:r>
    </w:p>
    <w:p w14:paraId="2B1B5E95" w14:textId="77777777" w:rsidR="00A96CB7" w:rsidRPr="00FC5E73" w:rsidRDefault="00A96CB7" w:rsidP="000B0D1D">
      <w:r w:rsidRPr="00FC5E73">
        <w:t xml:space="preserve">Among subjects with an ongoing pregnancy, </w:t>
      </w:r>
      <w:r w:rsidRPr="00FC5E73">
        <w:rPr>
          <w:spacing w:val="-2"/>
        </w:rPr>
        <w:t>multi-fetal</w:t>
      </w:r>
      <w:r w:rsidRPr="00FC5E73">
        <w:t xml:space="preserve"> gestations, all being twins, were observed in a total of 7 subjects in COS </w:t>
      </w:r>
      <w:r w:rsidR="000B0D1D">
        <w:t>Cycle 2</w:t>
      </w:r>
      <w:r w:rsidRPr="00FC5E73">
        <w:t xml:space="preserve"> (5 for </w:t>
      </w:r>
      <w:r w:rsidR="00FD2B65">
        <w:t>Rekovelle</w:t>
      </w:r>
      <w:r w:rsidRPr="00FC5E73">
        <w:t xml:space="preserve"> and 2 for </w:t>
      </w:r>
      <w:r w:rsidR="000B0D1D">
        <w:t>Gonal</w:t>
      </w:r>
      <w:r w:rsidRPr="00FC5E73">
        <w:t xml:space="preserve">-F). Two </w:t>
      </w:r>
      <w:bookmarkStart w:id="123" w:name="11.7_Injection_Site_Reactions"/>
      <w:bookmarkStart w:id="124" w:name="11.6.3_Multi-fetal_Gestations"/>
      <w:bookmarkEnd w:id="123"/>
      <w:bookmarkEnd w:id="124"/>
      <w:r w:rsidRPr="00FC5E73">
        <w:t xml:space="preserve">subjects (in the </w:t>
      </w:r>
      <w:r w:rsidR="00FD2B65">
        <w:t>Rekovelle</w:t>
      </w:r>
      <w:r w:rsidRPr="00FC5E73">
        <w:t xml:space="preserve"> group) conceived twins after single blastocyst transfer and the other 5 subjects (3 in the FE99049 group and 2 in the </w:t>
      </w:r>
      <w:r w:rsidR="000B0D1D">
        <w:t>Gonal</w:t>
      </w:r>
      <w:r w:rsidRPr="00FC5E73">
        <w:t>-F group) conceived twins after double blastocyst transfer.</w:t>
      </w:r>
    </w:p>
    <w:p w14:paraId="17082FB6" w14:textId="77777777" w:rsidR="00371AC4" w:rsidRDefault="00A96CB7" w:rsidP="000B0D1D">
      <w:pPr>
        <w:rPr>
          <w:sz w:val="24"/>
          <w:szCs w:val="24"/>
        </w:rPr>
      </w:pPr>
      <w:r w:rsidRPr="00FC5E73">
        <w:t xml:space="preserve">Twins were observed in 18 subjects in COS </w:t>
      </w:r>
      <w:r w:rsidR="000B0D1D">
        <w:t>Cycle 3</w:t>
      </w:r>
      <w:r w:rsidRPr="00FC5E73">
        <w:t xml:space="preserve"> (8 for </w:t>
      </w:r>
      <w:r w:rsidR="00FD2B65">
        <w:t>Rekovelle</w:t>
      </w:r>
      <w:r w:rsidRPr="00FC5E73">
        <w:t xml:space="preserve"> and 10 for </w:t>
      </w:r>
      <w:r w:rsidR="000B0D1D">
        <w:t>Gonal</w:t>
      </w:r>
      <w:r w:rsidRPr="00FC5E73">
        <w:t xml:space="preserve">-F). </w:t>
      </w:r>
      <w:r w:rsidRPr="00FC5E73">
        <w:rPr>
          <w:color w:val="000000"/>
        </w:rPr>
        <w:t xml:space="preserve">Of them, 2 subjects (1 in each treatment group) conceived twins after single </w:t>
      </w:r>
      <w:r w:rsidRPr="00FC5E73">
        <w:t xml:space="preserve">blastocyst transfer and the other 16 subjects (7 in the </w:t>
      </w:r>
      <w:r w:rsidR="00FD2B65">
        <w:t>Rekovelle</w:t>
      </w:r>
      <w:r w:rsidRPr="00FC5E73">
        <w:t xml:space="preserve"> group and 9 in the </w:t>
      </w:r>
      <w:r w:rsidR="000B0D1D">
        <w:t>Gonal</w:t>
      </w:r>
      <w:r w:rsidRPr="00FC5E73">
        <w:t>-F</w:t>
      </w:r>
      <w:r>
        <w:t xml:space="preserve"> </w:t>
      </w:r>
      <w:r w:rsidRPr="00FC5E73">
        <w:t>group) conceived twins after double blastocyst transfer</w:t>
      </w:r>
      <w:r w:rsidR="00371AC4">
        <w:rPr>
          <w:sz w:val="24"/>
          <w:szCs w:val="24"/>
        </w:rPr>
        <w:t>.</w:t>
      </w:r>
    </w:p>
    <w:p w14:paraId="5B84E58E" w14:textId="63DC5726" w:rsidR="00A96CB7" w:rsidRPr="00545B14" w:rsidRDefault="00A96CB7" w:rsidP="00A96CB7">
      <w:pPr>
        <w:pStyle w:val="Heading4"/>
      </w:pPr>
      <w:r>
        <w:t>Injection site reactions</w:t>
      </w:r>
    </w:p>
    <w:p w14:paraId="14674E02" w14:textId="77777777" w:rsidR="00A96CB7" w:rsidRDefault="00A96CB7" w:rsidP="00A96CB7">
      <w:pPr>
        <w:pStyle w:val="Heading5"/>
      </w:pPr>
      <w:r>
        <w:t>Integrated safety analyses</w:t>
      </w:r>
    </w:p>
    <w:p w14:paraId="5A2858E6" w14:textId="77777777" w:rsidR="00A96CB7" w:rsidRPr="00C2074B" w:rsidRDefault="00A96CB7" w:rsidP="000B0D1D">
      <w:pPr>
        <w:pStyle w:val="Heading6"/>
      </w:pPr>
      <w:r>
        <w:t>ESTHER-1</w:t>
      </w:r>
    </w:p>
    <w:p w14:paraId="1D25C233" w14:textId="77777777" w:rsidR="00371AC4" w:rsidRDefault="00A96CB7" w:rsidP="000B0D1D">
      <w:pPr>
        <w:rPr>
          <w:lang w:eastAsia="ja-JP"/>
        </w:rPr>
      </w:pPr>
      <w:r>
        <w:rPr>
          <w:lang w:eastAsia="ja-JP"/>
        </w:rPr>
        <w:t xml:space="preserve">Injection site reactions occurred in &lt; 3.5% of patients and with a similar frequency between the two groups. Itching and redness occurred immediately after injections but decreased in intensity during the stimulation period. There was less pain with </w:t>
      </w:r>
      <w:r w:rsidR="00FD2B65">
        <w:rPr>
          <w:lang w:eastAsia="ja-JP"/>
        </w:rPr>
        <w:t>Rekovelle</w:t>
      </w:r>
      <w:r w:rsidR="00FB403C">
        <w:rPr>
          <w:lang w:eastAsia="ja-JP"/>
        </w:rPr>
        <w:t xml:space="preserve"> administration</w:t>
      </w:r>
      <w:r>
        <w:rPr>
          <w:lang w:eastAsia="ja-JP"/>
        </w:rPr>
        <w:t>. Swelling occurred about 30 minutes after injection in both groups and persisted during the stimulation period. Bruising occurred after 24 hours and continued over the stimulation period</w:t>
      </w:r>
      <w:r w:rsidR="00371AC4">
        <w:rPr>
          <w:lang w:eastAsia="ja-JP"/>
        </w:rPr>
        <w:t>.</w:t>
      </w:r>
    </w:p>
    <w:p w14:paraId="3DD783C4" w14:textId="301B29F7" w:rsidR="00A96CB7" w:rsidRDefault="00A96CB7" w:rsidP="000B0D1D">
      <w:pPr>
        <w:pStyle w:val="Heading6"/>
      </w:pPr>
      <w:r>
        <w:t>ESTHER-II</w:t>
      </w:r>
    </w:p>
    <w:p w14:paraId="0FE6D1EB" w14:textId="77777777" w:rsidR="00A96CB7" w:rsidRPr="008A0FE3" w:rsidRDefault="00A96CB7" w:rsidP="000B0D1D">
      <w:r w:rsidRPr="006B2C05">
        <w:t>Based on all assessments, the overall</w:t>
      </w:r>
      <w:r>
        <w:t xml:space="preserve"> </w:t>
      </w:r>
      <w:r w:rsidRPr="006B2C05">
        <w:t xml:space="preserve">injection site reactions with </w:t>
      </w:r>
      <w:r w:rsidR="00FD2B65">
        <w:t>Rekovelle</w:t>
      </w:r>
      <w:r w:rsidRPr="006B2C05">
        <w:t xml:space="preserve"> and </w:t>
      </w:r>
      <w:r w:rsidR="000B0D1D">
        <w:rPr>
          <w:spacing w:val="-2"/>
        </w:rPr>
        <w:t>Gonal</w:t>
      </w:r>
      <w:r w:rsidRPr="006B2C05">
        <w:rPr>
          <w:spacing w:val="-2"/>
        </w:rPr>
        <w:t>-F</w:t>
      </w:r>
      <w:r w:rsidRPr="006B2C05">
        <w:t xml:space="preserve"> occurred at an incidence of 3.0% and 2.4%</w:t>
      </w:r>
      <w:r w:rsidRPr="006B2C05">
        <w:rPr>
          <w:spacing w:val="-3"/>
        </w:rPr>
        <w:t xml:space="preserve"> </w:t>
      </w:r>
      <w:r w:rsidRPr="006B2C05">
        <w:t>in COS</w:t>
      </w:r>
      <w:r w:rsidRPr="006B2C05">
        <w:rPr>
          <w:spacing w:val="40"/>
        </w:rPr>
        <w:t xml:space="preserve"> </w:t>
      </w:r>
      <w:r w:rsidR="000B0D1D">
        <w:t>Cycle 2</w:t>
      </w:r>
      <w:r w:rsidRPr="006B2C05">
        <w:t xml:space="preserve"> and of 2.8% and 2.3% in COS </w:t>
      </w:r>
      <w:r w:rsidR="000B0D1D">
        <w:t>Cycle 3</w:t>
      </w:r>
      <w:r w:rsidRPr="006B2C05">
        <w:t>, respectively. Severe injection site reactions accounted for</w:t>
      </w:r>
      <w:r>
        <w:t xml:space="preserve"> </w:t>
      </w:r>
      <w:r w:rsidRPr="006B2C05">
        <w:t xml:space="preserve">&lt;0.1% of all observations in both treatment groups in COS </w:t>
      </w:r>
      <w:r w:rsidR="000B0D1D">
        <w:t>Cycle 2</w:t>
      </w:r>
      <w:r w:rsidRPr="006B2C05">
        <w:t xml:space="preserve"> and COS </w:t>
      </w:r>
      <w:r w:rsidR="000B0D1D">
        <w:t>Cycle 3</w:t>
      </w:r>
      <w:r w:rsidRPr="006B2C05">
        <w:t>. On the subject level,</w:t>
      </w:r>
      <w:r w:rsidRPr="006B2C05">
        <w:rPr>
          <w:spacing w:val="34"/>
        </w:rPr>
        <w:t xml:space="preserve"> </w:t>
      </w:r>
      <w:r w:rsidRPr="006B2C05">
        <w:t xml:space="preserve">about </w:t>
      </w:r>
      <w:r w:rsidRPr="006B2C05">
        <w:rPr>
          <w:spacing w:val="-2"/>
        </w:rPr>
        <w:t>40</w:t>
      </w:r>
      <w:r w:rsidR="000B0D1D">
        <w:rPr>
          <w:spacing w:val="-2"/>
        </w:rPr>
        <w:t xml:space="preserve"> to </w:t>
      </w:r>
      <w:r w:rsidRPr="006B2C05">
        <w:rPr>
          <w:spacing w:val="-2"/>
        </w:rPr>
        <w:t>50%</w:t>
      </w:r>
      <w:r w:rsidRPr="006B2C05">
        <w:t xml:space="preserve"> of subjects in a treatment group did not have any injection site reactions in COS </w:t>
      </w:r>
      <w:r w:rsidR="000B0D1D">
        <w:t>Cycle 2</w:t>
      </w:r>
      <w:r w:rsidRPr="006B2C05">
        <w:t xml:space="preserve"> or</w:t>
      </w:r>
      <w:r w:rsidRPr="006B2C05">
        <w:rPr>
          <w:spacing w:val="40"/>
        </w:rPr>
        <w:t xml:space="preserve"> </w:t>
      </w:r>
      <w:r w:rsidR="000B0D1D">
        <w:t>COS Cycle 3. F</w:t>
      </w:r>
      <w:r w:rsidRPr="006B2C05">
        <w:t>ew subjects (≤3 subjects in a treatment group) experienced severe injection site</w:t>
      </w:r>
      <w:r>
        <w:t xml:space="preserve"> </w:t>
      </w:r>
      <w:r w:rsidRPr="006B2C05">
        <w:t xml:space="preserve">reactions in COS </w:t>
      </w:r>
      <w:r w:rsidR="000B0D1D">
        <w:t>Cycle 2</w:t>
      </w:r>
      <w:r w:rsidRPr="006B2C05">
        <w:t xml:space="preserve"> and COS </w:t>
      </w:r>
      <w:r w:rsidR="000B0D1D">
        <w:t>Cycle 3</w:t>
      </w:r>
      <w:r w:rsidRPr="006B2C05">
        <w:t>.</w:t>
      </w:r>
      <w:bookmarkStart w:id="125" w:name="_Toc432079176"/>
      <w:bookmarkStart w:id="126" w:name="_Toc432080749"/>
    </w:p>
    <w:bookmarkEnd w:id="125"/>
    <w:bookmarkEnd w:id="126"/>
    <w:p w14:paraId="250FE470" w14:textId="77777777" w:rsidR="00A96CB7" w:rsidRDefault="00A96CB7" w:rsidP="000B0D1D">
      <w:pPr>
        <w:pStyle w:val="Heading5"/>
      </w:pPr>
      <w:r>
        <w:t>Anti-FSH antibodies</w:t>
      </w:r>
    </w:p>
    <w:p w14:paraId="6DBB5BC6" w14:textId="77777777" w:rsidR="00A96CB7" w:rsidRPr="00C2074B" w:rsidRDefault="00A96CB7" w:rsidP="000B0D1D">
      <w:pPr>
        <w:pStyle w:val="Heading6"/>
      </w:pPr>
      <w:r>
        <w:t>ESTHER-1</w:t>
      </w:r>
    </w:p>
    <w:p w14:paraId="47BCB8E2" w14:textId="77777777" w:rsidR="00A96CB7" w:rsidRPr="000B0D1D" w:rsidRDefault="00A96CB7" w:rsidP="000B0D1D">
      <w:bookmarkStart w:id="127" w:name="10.10.1_Presentation_of_Immunogenicity_D"/>
      <w:bookmarkStart w:id="128" w:name="10.10_Anti-FSH_Antibodies"/>
      <w:bookmarkStart w:id="129" w:name="Table_‎10_37_Changes_in_Maximum_Abdomina"/>
      <w:bookmarkEnd w:id="127"/>
      <w:bookmarkEnd w:id="128"/>
      <w:bookmarkEnd w:id="129"/>
      <w:r w:rsidRPr="000B0D1D">
        <w:t>Blood samples for analysis of anti-FSH antibodies</w:t>
      </w:r>
      <w:r w:rsidR="000B0D1D" w:rsidRPr="000B0D1D">
        <w:t xml:space="preserve"> were collected on stimulation D</w:t>
      </w:r>
      <w:r w:rsidRPr="000B0D1D">
        <w:t xml:space="preserve">ay 1 prior to </w:t>
      </w:r>
      <w:r w:rsidR="000B0D1D" w:rsidRPr="000B0D1D">
        <w:t xml:space="preserve">dosing, at 7 to </w:t>
      </w:r>
      <w:r w:rsidRPr="000B0D1D">
        <w:t>10 days after the last IMP dose (</w:t>
      </w:r>
      <w:r w:rsidR="000B0D1D" w:rsidRPr="000B0D1D">
        <w:t>first</w:t>
      </w:r>
      <w:r w:rsidRPr="000B0D1D">
        <w:t xml:space="preserve"> post-dosing assessment) and 21</w:t>
      </w:r>
      <w:r w:rsidR="000B0D1D" w:rsidRPr="000B0D1D">
        <w:t xml:space="preserve"> to </w:t>
      </w:r>
      <w:r w:rsidRPr="000B0D1D">
        <w:t>28 days after the last IMP dose (</w:t>
      </w:r>
      <w:r w:rsidR="000B0D1D" w:rsidRPr="000B0D1D">
        <w:t>second</w:t>
      </w:r>
      <w:r w:rsidRPr="000B0D1D">
        <w:t xml:space="preserve"> post-dosing assessment). All blood samples were first analysed in the screening assay: if results indicated absence of anti-FSH antibodies, the samples would be classified as negative for anti-FSH antibodies; if results suggested possible presence of anti-FSH antibodies, these samples would be further evaluated in the confirmatory assay and only if positive in this assay would be classified as positive for anti-FSH antibodies. Positive samples would subsequently be analysed in an immunoassay for quantification of the anti-FSH antibodies</w:t>
      </w:r>
      <w:r w:rsidR="00FB403C">
        <w:t>. T</w:t>
      </w:r>
      <w:r w:rsidRPr="000B0D1D">
        <w:t xml:space="preserve">his assay had a titre quantification limit of 0.30 (titre was expressed as a log10 value and a result of &lt;0.30 means that the titre was not quantifiable). Confirmed positive anti-FSH antibody samples </w:t>
      </w:r>
      <w:r w:rsidR="000B0D1D" w:rsidRPr="000B0D1D">
        <w:t>were</w:t>
      </w:r>
      <w:r w:rsidRPr="000B0D1D">
        <w:t xml:space="preserve"> </w:t>
      </w:r>
      <w:r w:rsidR="000B0D1D" w:rsidRPr="000B0D1D">
        <w:t xml:space="preserve">assessed </w:t>
      </w:r>
      <w:r w:rsidRPr="000B0D1D">
        <w:t>in parallel for their neutralising capacity in a cell-based assay.</w:t>
      </w:r>
    </w:p>
    <w:p w14:paraId="76AE0A0D" w14:textId="77777777" w:rsidR="00371AC4" w:rsidRDefault="00A96CB7" w:rsidP="000B0D1D">
      <w:r w:rsidRPr="000B0D1D">
        <w:t>A treatment-induced anti-FSH antibody response is defined as any post-dosing sample being positive in the confirmatory assay in subjects with a negative pre-dosing sample or having a ≥2.0 fold increase (pre-determined minimum significant ratio) in titre from the pre-dosing assessment to a post-dosing assessment in subjects with a positive pre-dosing sample</w:t>
      </w:r>
      <w:r w:rsidR="00371AC4">
        <w:t>.</w:t>
      </w:r>
    </w:p>
    <w:p w14:paraId="5B4C0BB8" w14:textId="4C97CD5B" w:rsidR="00A96CB7" w:rsidRPr="000B0D1D" w:rsidRDefault="00A96CB7" w:rsidP="000B0D1D">
      <w:r w:rsidRPr="000B0D1D">
        <w:t xml:space="preserve">Before being exposed to gonadotropins, 15 subjects (1.13%) were found to have pre-existing anti-FSH antibodies. In 4 subjects the samples were positive at pre-dosing only. In 11 subjects they were present pre and post dosing but </w:t>
      </w:r>
      <w:r w:rsidR="000B0D1D" w:rsidRPr="000B0D1D">
        <w:t>increased</w:t>
      </w:r>
      <w:r w:rsidRPr="000B0D1D">
        <w:t xml:space="preserve"> less than 2 fold. None were of neutralising capacity. </w:t>
      </w:r>
      <w:r w:rsidR="000B0D1D" w:rsidRPr="000B0D1D">
        <w:t>Two</w:t>
      </w:r>
      <w:r w:rsidRPr="000B0D1D">
        <w:t xml:space="preserve"> of the 15 subjects had undergone previous ovulation induction (1.5</w:t>
      </w:r>
      <w:r w:rsidR="004E61DE">
        <w:t xml:space="preserve"> </w:t>
      </w:r>
      <w:r w:rsidRPr="000B0D1D">
        <w:t>months and 3.6 years previously).</w:t>
      </w:r>
    </w:p>
    <w:p w14:paraId="0F6A7713" w14:textId="2B42F656" w:rsidR="00A96CB7" w:rsidRPr="000B0D1D" w:rsidRDefault="00A96CB7" w:rsidP="000B0D1D">
      <w:r w:rsidRPr="000B0D1D">
        <w:t xml:space="preserve">Treatment induced anti-FSH antibodies occurred in 7 of 665 subjects treated with </w:t>
      </w:r>
      <w:r w:rsidR="00FD2B65">
        <w:t>Rekovelle</w:t>
      </w:r>
      <w:r w:rsidRPr="000B0D1D">
        <w:t xml:space="preserve"> (1.05%) and 5 of 661 subjects treated with </w:t>
      </w:r>
      <w:r w:rsidR="00FB403C">
        <w:t>Gonal-F</w:t>
      </w:r>
      <w:r w:rsidRPr="000B0D1D">
        <w:t xml:space="preserve"> (0.76%). These were generally of low titre. These patients had good number of oocytes retrieved and none had a cycle cancellation.</w:t>
      </w:r>
    </w:p>
    <w:p w14:paraId="0266D698" w14:textId="77777777" w:rsidR="00A96CB7" w:rsidRPr="00C2074B" w:rsidRDefault="00A96CB7" w:rsidP="000B0D1D">
      <w:pPr>
        <w:pStyle w:val="Heading6"/>
      </w:pPr>
      <w:r>
        <w:t>ESTHER-II</w:t>
      </w:r>
    </w:p>
    <w:p w14:paraId="3E432BA8" w14:textId="1675BA38" w:rsidR="00A96CB7" w:rsidRPr="000B0D1D" w:rsidRDefault="00A96CB7" w:rsidP="0030206B">
      <w:bookmarkStart w:id="130" w:name="IMMUNOGENICITY_RESULTS"/>
      <w:bookmarkStart w:id="131" w:name="STATISTICAL_METHODS"/>
      <w:bookmarkEnd w:id="130"/>
      <w:bookmarkEnd w:id="131"/>
      <w:r w:rsidRPr="000B0D1D">
        <w:t xml:space="preserve">In COS </w:t>
      </w:r>
      <w:r w:rsidR="000B0D1D">
        <w:t>Cycle 2</w:t>
      </w:r>
      <w:r w:rsidRPr="000B0D1D">
        <w:t xml:space="preserve">, treatment-induced anti-FSH antibodies were observed in 2 of the 252 subjects in the </w:t>
      </w:r>
      <w:r w:rsidR="00FD2B65">
        <w:t>Rekovelle</w:t>
      </w:r>
      <w:r w:rsidRPr="000B0D1D">
        <w:t xml:space="preserve"> group and in 1 of the 261 subjects in the </w:t>
      </w:r>
      <w:r w:rsidR="000B0D1D" w:rsidRPr="000B0D1D">
        <w:t>Gonal</w:t>
      </w:r>
      <w:r w:rsidRPr="000B0D1D">
        <w:t xml:space="preserve">-F group in COS </w:t>
      </w:r>
      <w:r w:rsidR="000B0D1D">
        <w:t>Cycle 2</w:t>
      </w:r>
      <w:r w:rsidRPr="000B0D1D">
        <w:t xml:space="preserve">. There were no new subjects with treatment-induced anti-FSH antibodies in COS </w:t>
      </w:r>
      <w:r w:rsidR="000B0D1D">
        <w:t>Cycle 3</w:t>
      </w:r>
      <w:r w:rsidRPr="000B0D1D">
        <w:t>. Thus, after up to two repeated COS cycles, the propor</w:t>
      </w:r>
      <w:r w:rsidR="00482B10">
        <w:t xml:space="preserve">tion of subjects with treatment </w:t>
      </w:r>
      <w:r w:rsidRPr="000B0D1D">
        <w:t>induced anti-FSH antibodies was 0.79% (95% CI</w:t>
      </w:r>
      <w:r w:rsidR="000B0D1D" w:rsidRPr="000B0D1D">
        <w:t xml:space="preserve"> </w:t>
      </w:r>
      <w:r w:rsidRPr="000B0D1D">
        <w:t xml:space="preserve">[0.10%; 2.84%]) in the </w:t>
      </w:r>
      <w:r w:rsidR="00FD2B65">
        <w:t>Rekovelle</w:t>
      </w:r>
      <w:r w:rsidRPr="000B0D1D">
        <w:t xml:space="preserve"> group</w:t>
      </w:r>
      <w:r w:rsidR="00E23AE1">
        <w:t xml:space="preserve"> </w:t>
      </w:r>
      <w:r w:rsidRPr="000B0D1D">
        <w:t xml:space="preserve">and 0.38% (95% CI [0.01%; 2.12%]) in the </w:t>
      </w:r>
      <w:r w:rsidR="000B0D1D" w:rsidRPr="000B0D1D">
        <w:t>Gonal</w:t>
      </w:r>
      <w:r w:rsidRPr="000B0D1D">
        <w:t xml:space="preserve">-F group. None of the treatment induced anti-FSH antibodies in COS </w:t>
      </w:r>
      <w:r w:rsidR="000B0D1D">
        <w:t>Cycle 2</w:t>
      </w:r>
      <w:r w:rsidRPr="000B0D1D">
        <w:t xml:space="preserve"> or in COS </w:t>
      </w:r>
      <w:r w:rsidR="000B0D1D">
        <w:t>Cycle 3</w:t>
      </w:r>
      <w:r w:rsidRPr="000B0D1D">
        <w:t xml:space="preserve"> were of neutralising capacity.</w:t>
      </w:r>
    </w:p>
    <w:p w14:paraId="478CB11F" w14:textId="77777777" w:rsidR="00371AC4" w:rsidRDefault="00A96CB7" w:rsidP="000B0D1D">
      <w:r w:rsidRPr="000B0D1D">
        <w:t xml:space="preserve">There were 4 subjects who had anti-FSH antibodies in treatment </w:t>
      </w:r>
      <w:r w:rsidR="000B0D1D">
        <w:t>Cycle 2</w:t>
      </w:r>
      <w:r w:rsidRPr="000B0D1D">
        <w:t xml:space="preserve"> who proceeded to a second round of COS. The pregnancy outcomes of these women were comparable to other women in the group. There was one subject with antibodies of neutralising capacity pre-dosing, however post dosing her antibodies were not neutralising</w:t>
      </w:r>
      <w:r w:rsidR="00371AC4">
        <w:t>.</w:t>
      </w:r>
    </w:p>
    <w:p w14:paraId="2C6998A9" w14:textId="0DC48771" w:rsidR="00A96CB7" w:rsidRPr="000B0D1D" w:rsidRDefault="00FB403C" w:rsidP="000B0D1D">
      <w:r>
        <w:t>One</w:t>
      </w:r>
      <w:r w:rsidR="00A96CB7" w:rsidRPr="000B0D1D">
        <w:t xml:space="preserve"> subject in </w:t>
      </w:r>
      <w:r w:rsidR="001D01A9">
        <w:t>the Rekovelle</w:t>
      </w:r>
      <w:r w:rsidR="00A96CB7" w:rsidRPr="000B0D1D">
        <w:t xml:space="preserve"> group had treatment-induced anti-FSH antibodies in COS </w:t>
      </w:r>
      <w:r w:rsidR="000B0D1D">
        <w:t>Cycle 3</w:t>
      </w:r>
      <w:r>
        <w:t xml:space="preserve"> giving the</w:t>
      </w:r>
      <w:r w:rsidR="00A96CB7" w:rsidRPr="000B0D1D">
        <w:t xml:space="preserve"> proportion of subjects with treatment-induced anti-FSH antibodies </w:t>
      </w:r>
      <w:r>
        <w:t>as</w:t>
      </w:r>
      <w:r w:rsidR="00A96CB7" w:rsidRPr="000B0D1D">
        <w:t xml:space="preserve"> 1.05% (95% CI [0.03%; 5.73%]) in the </w:t>
      </w:r>
      <w:r w:rsidR="00FD2B65">
        <w:t>Rekovelle</w:t>
      </w:r>
      <w:r w:rsidR="00A96CB7" w:rsidRPr="000B0D1D">
        <w:t xml:space="preserve"> group in COS </w:t>
      </w:r>
      <w:r w:rsidR="000B0D1D">
        <w:t>Cycle 3</w:t>
      </w:r>
      <w:r w:rsidR="00A96CB7" w:rsidRPr="000B0D1D">
        <w:t xml:space="preserve">. </w:t>
      </w:r>
      <w:r w:rsidR="001D01A9">
        <w:t>This</w:t>
      </w:r>
      <w:r w:rsidR="001D01A9" w:rsidRPr="000B0D1D">
        <w:t xml:space="preserve"> </w:t>
      </w:r>
      <w:r w:rsidR="00A96CB7" w:rsidRPr="000B0D1D">
        <w:t xml:space="preserve">subject had also had treatment-induced anti-FSH antibodies in COS </w:t>
      </w:r>
      <w:r w:rsidR="000B0D1D">
        <w:t>Cycle 2</w:t>
      </w:r>
      <w:r w:rsidR="00A96CB7" w:rsidRPr="000B0D1D">
        <w:t xml:space="preserve"> and the anti-FSH antibodies were below the titre quantification limit both in COS </w:t>
      </w:r>
      <w:r w:rsidR="000B0D1D">
        <w:t>Cycle 2</w:t>
      </w:r>
      <w:r w:rsidR="00A96CB7" w:rsidRPr="000B0D1D">
        <w:t xml:space="preserve"> and in COS </w:t>
      </w:r>
      <w:r w:rsidR="000B0D1D">
        <w:t>Cycle 3</w:t>
      </w:r>
      <w:r w:rsidR="00A96CB7" w:rsidRPr="000B0D1D">
        <w:t>.</w:t>
      </w:r>
    </w:p>
    <w:p w14:paraId="6A125C17" w14:textId="69C95C24" w:rsidR="00A96CB7" w:rsidRDefault="00A96CB7" w:rsidP="000B0D1D">
      <w:r w:rsidRPr="000B0D1D">
        <w:t xml:space="preserve">The proportion of subjects with treatment-induced anti-FSH antibodies did not increase after two repeated COS cycles for </w:t>
      </w:r>
      <w:r w:rsidR="00FD2B65">
        <w:t>Rekovelle</w:t>
      </w:r>
      <w:r w:rsidRPr="000B0D1D">
        <w:t xml:space="preserve"> or </w:t>
      </w:r>
      <w:r w:rsidR="000B0D1D" w:rsidRPr="000B0D1D">
        <w:t>Gonal</w:t>
      </w:r>
      <w:r w:rsidRPr="000B0D1D">
        <w:t>-F</w:t>
      </w:r>
      <w:r w:rsidRPr="00AB06DE">
        <w:t>.</w:t>
      </w:r>
    </w:p>
    <w:p w14:paraId="1CC7DB0B" w14:textId="7A6CE5F9" w:rsidR="00A96CB7" w:rsidRDefault="00A96CB7" w:rsidP="00584707">
      <w:pPr>
        <w:pStyle w:val="Heading5"/>
      </w:pPr>
      <w:r>
        <w:t xml:space="preserve">Potentially </w:t>
      </w:r>
      <w:r w:rsidR="00371AC4">
        <w:t>immune related adverse events</w:t>
      </w:r>
    </w:p>
    <w:p w14:paraId="3A2AF822" w14:textId="77777777" w:rsidR="00A96CB7" w:rsidRPr="0044289B" w:rsidRDefault="00A96CB7" w:rsidP="00584707">
      <w:pPr>
        <w:pStyle w:val="Heading6"/>
      </w:pPr>
      <w:r>
        <w:t>ESTHER-1</w:t>
      </w:r>
    </w:p>
    <w:p w14:paraId="1D7E009A" w14:textId="77777777" w:rsidR="00A96CB7" w:rsidRDefault="00584707" w:rsidP="00A96CB7">
      <w:pPr>
        <w:rPr>
          <w:lang w:eastAsia="ja-JP"/>
        </w:rPr>
      </w:pPr>
      <w:r>
        <w:rPr>
          <w:lang w:eastAsia="ja-JP"/>
        </w:rPr>
        <w:t>Both</w:t>
      </w:r>
      <w:r w:rsidR="00A96CB7">
        <w:rPr>
          <w:lang w:eastAsia="ja-JP"/>
        </w:rPr>
        <w:t xml:space="preserve"> narrow and broad scope search</w:t>
      </w:r>
      <w:r>
        <w:rPr>
          <w:lang w:eastAsia="ja-JP"/>
        </w:rPr>
        <w:t>es</w:t>
      </w:r>
      <w:r w:rsidR="00A96CB7">
        <w:rPr>
          <w:lang w:eastAsia="ja-JP"/>
        </w:rPr>
        <w:t xml:space="preserve"> on the </w:t>
      </w:r>
      <w:r w:rsidRPr="00584707">
        <w:rPr>
          <w:lang w:eastAsia="ja-JP"/>
        </w:rPr>
        <w:t xml:space="preserve">Standardised MedDRA Queries </w:t>
      </w:r>
      <w:r>
        <w:rPr>
          <w:lang w:eastAsia="ja-JP"/>
        </w:rPr>
        <w:t>(</w:t>
      </w:r>
      <w:r w:rsidR="00A96CB7">
        <w:rPr>
          <w:lang w:eastAsia="ja-JP"/>
        </w:rPr>
        <w:t>SMQ</w:t>
      </w:r>
      <w:r>
        <w:rPr>
          <w:lang w:eastAsia="ja-JP"/>
        </w:rPr>
        <w:t>)</w:t>
      </w:r>
      <w:r w:rsidR="00A96CB7">
        <w:rPr>
          <w:lang w:eastAsia="ja-JP"/>
        </w:rPr>
        <w:t xml:space="preserve"> ‘anaphylactic reactions’ ‘angioedema’ and ‘severe cutaneous adverse reactions’ w</w:t>
      </w:r>
      <w:r>
        <w:rPr>
          <w:lang w:eastAsia="ja-JP"/>
        </w:rPr>
        <w:t>ere</w:t>
      </w:r>
      <w:r w:rsidR="00A96CB7">
        <w:rPr>
          <w:lang w:eastAsia="ja-JP"/>
        </w:rPr>
        <w:t xml:space="preserve"> carried out for adverse events that were </w:t>
      </w:r>
      <w:r>
        <w:rPr>
          <w:lang w:eastAsia="ja-JP"/>
        </w:rPr>
        <w:t xml:space="preserve">considered </w:t>
      </w:r>
      <w:r w:rsidR="00A96CB7">
        <w:rPr>
          <w:lang w:eastAsia="ja-JP"/>
        </w:rPr>
        <w:t>potentially immune related.</w:t>
      </w:r>
    </w:p>
    <w:p w14:paraId="05E9DC08" w14:textId="77777777" w:rsidR="00A96CB7" w:rsidRDefault="00A96CB7" w:rsidP="00A96CB7">
      <w:pPr>
        <w:rPr>
          <w:lang w:eastAsia="ja-JP"/>
        </w:rPr>
      </w:pPr>
      <w:r>
        <w:rPr>
          <w:lang w:eastAsia="ja-JP"/>
        </w:rPr>
        <w:t xml:space="preserve">A narrow scope search on the SMQ anaphylactic reactions did not identify any adverse events. A broad scope search on the SMQ anaphylactic reactions found 20 subjects (3%) in the </w:t>
      </w:r>
      <w:r w:rsidR="00FD2B65">
        <w:rPr>
          <w:lang w:eastAsia="ja-JP"/>
        </w:rPr>
        <w:t>Rekovelle</w:t>
      </w:r>
      <w:r>
        <w:rPr>
          <w:lang w:eastAsia="ja-JP"/>
        </w:rPr>
        <w:t xml:space="preserve"> group and 11 subjects (1.7%) in the </w:t>
      </w:r>
      <w:r w:rsidR="00FB403C">
        <w:rPr>
          <w:lang w:eastAsia="ja-JP"/>
        </w:rPr>
        <w:t>Gonal-F</w:t>
      </w:r>
      <w:r>
        <w:rPr>
          <w:lang w:eastAsia="ja-JP"/>
        </w:rPr>
        <w:t xml:space="preserve"> group.</w:t>
      </w:r>
    </w:p>
    <w:p w14:paraId="77AAC857" w14:textId="77777777" w:rsidR="00A96CB7" w:rsidRPr="00584707" w:rsidRDefault="00A96CB7" w:rsidP="00584707">
      <w:r w:rsidRPr="00584707">
        <w:t>A narrow-scope search on the SMQ</w:t>
      </w:r>
      <w:r w:rsidRPr="00584707">
        <w:rPr>
          <w:rFonts w:hint="eastAsia"/>
        </w:rPr>
        <w:t xml:space="preserve"> </w:t>
      </w:r>
      <w:r w:rsidRPr="00584707">
        <w:t xml:space="preserve">Angioedema identified only 1 adverse event of urticaria, which was reported in the </w:t>
      </w:r>
      <w:r w:rsidR="00FD2B65">
        <w:t>Rekovelle</w:t>
      </w:r>
      <w:r w:rsidRPr="00584707">
        <w:t xml:space="preserve"> group but was assessed as having no reasonable possible causality to the I</w:t>
      </w:r>
      <w:r w:rsidR="00FB403C">
        <w:t xml:space="preserve">MP by the investigator. A broad </w:t>
      </w:r>
      <w:r w:rsidRPr="00584707">
        <w:t xml:space="preserve">scope search on the SMQ </w:t>
      </w:r>
      <w:r w:rsidR="00584707">
        <w:t>‘</w:t>
      </w:r>
      <w:r w:rsidRPr="00584707">
        <w:t>Angioedema</w:t>
      </w:r>
      <w:r w:rsidR="00584707">
        <w:t>’</w:t>
      </w:r>
      <w:r w:rsidRPr="00584707">
        <w:t xml:space="preserve"> found 2 subjects (0.3%) in the </w:t>
      </w:r>
      <w:r w:rsidR="00FD2B65">
        <w:t>Rekovelle</w:t>
      </w:r>
      <w:r w:rsidRPr="00584707">
        <w:t xml:space="preserve"> group and 4 subjects (0.6%) in the </w:t>
      </w:r>
      <w:r w:rsidR="000B0D1D" w:rsidRPr="00584707">
        <w:t>Gonal</w:t>
      </w:r>
      <w:r w:rsidRPr="00584707">
        <w:t>-F group experienced at least 1 adverse event. None of these adverse events were regarded as having reasonable possible causality to the IMP by the investigator.</w:t>
      </w:r>
    </w:p>
    <w:p w14:paraId="6DD49C9A" w14:textId="77777777" w:rsidR="00A96CB7" w:rsidRPr="00584707" w:rsidRDefault="00A96CB7" w:rsidP="00584707">
      <w:r w:rsidRPr="00584707">
        <w:t>No adverse events were identified by a narrow-scope search or a broad scope search on the SMQ ‘severe cutaneous adverse reactions’.</w:t>
      </w:r>
    </w:p>
    <w:p w14:paraId="1088A879" w14:textId="77777777" w:rsidR="00A96CB7" w:rsidRPr="00584707" w:rsidRDefault="00A96CB7" w:rsidP="00584707">
      <w:r w:rsidRPr="00584707">
        <w:t xml:space="preserve">A narrow scope search on the SMQ ‘hypersensitivity’ found that 5 subjects (0.8%) in the </w:t>
      </w:r>
      <w:r w:rsidR="00FD2B65">
        <w:t>Rekovelle</w:t>
      </w:r>
      <w:r w:rsidRPr="00584707">
        <w:t xml:space="preserve"> group and 8 subjects in the </w:t>
      </w:r>
      <w:r w:rsidR="00FB403C">
        <w:t>Gonal-F</w:t>
      </w:r>
      <w:r w:rsidRPr="00584707">
        <w:t xml:space="preserve"> group reported at least 1 AE which covered the event of urticaria. A broad scope search identified 15 subjects in the </w:t>
      </w:r>
      <w:r w:rsidR="00FD2B65">
        <w:t>Rekovelle</w:t>
      </w:r>
      <w:r w:rsidRPr="00584707">
        <w:t xml:space="preserve"> group and 12 subjects in the </w:t>
      </w:r>
      <w:r w:rsidR="00FB403C">
        <w:t>Gonal-F</w:t>
      </w:r>
      <w:r w:rsidRPr="00584707">
        <w:t xml:space="preserve"> group.</w:t>
      </w:r>
    </w:p>
    <w:p w14:paraId="65B3EC6B" w14:textId="77777777" w:rsidR="00A96CB7" w:rsidRDefault="00A96CB7" w:rsidP="00584707">
      <w:pPr>
        <w:pStyle w:val="Heading6"/>
      </w:pPr>
      <w:r>
        <w:t>ESTHER II</w:t>
      </w:r>
    </w:p>
    <w:p w14:paraId="4281A322" w14:textId="77777777" w:rsidR="00A96CB7" w:rsidRDefault="00A96CB7" w:rsidP="00A96CB7">
      <w:r w:rsidRPr="00EC3B7F">
        <w:t>A narrow-scope search on the SMQs ‘Anaphylactic reactions’, ‘Angioedema’ and ‘Severe cutaneous</w:t>
      </w:r>
      <w:r>
        <w:t xml:space="preserve"> </w:t>
      </w:r>
      <w:r w:rsidRPr="00EC3B7F">
        <w:t xml:space="preserve">adverse reactions’ did not identify any adverse events in COS </w:t>
      </w:r>
      <w:r w:rsidR="000B0D1D">
        <w:t>Cycle 2</w:t>
      </w:r>
      <w:r w:rsidRPr="00EC3B7F">
        <w:t xml:space="preserve"> or COS </w:t>
      </w:r>
      <w:r w:rsidR="000B0D1D">
        <w:t>Cycle 3</w:t>
      </w:r>
      <w:r w:rsidRPr="00EC3B7F">
        <w:t xml:space="preserve">. A </w:t>
      </w:r>
      <w:r w:rsidRPr="00EC3B7F">
        <w:rPr>
          <w:spacing w:val="-2"/>
        </w:rPr>
        <w:t>narrow-scope</w:t>
      </w:r>
      <w:r w:rsidRPr="00EC3B7F">
        <w:rPr>
          <w:spacing w:val="53"/>
        </w:rPr>
        <w:t xml:space="preserve"> </w:t>
      </w:r>
      <w:r w:rsidRPr="00EC3B7F">
        <w:t xml:space="preserve">search on the SMQ ‘Hypersensitivity’ in COS </w:t>
      </w:r>
      <w:r w:rsidR="000B0D1D">
        <w:t>Cycle 2</w:t>
      </w:r>
      <w:r w:rsidRPr="00EC3B7F">
        <w:t xml:space="preserve"> found that 2 </w:t>
      </w:r>
      <w:r w:rsidRPr="00EC3B7F">
        <w:rPr>
          <w:spacing w:val="-2"/>
        </w:rPr>
        <w:t>subjects</w:t>
      </w:r>
      <w:r w:rsidRPr="00EC3B7F">
        <w:t xml:space="preserve"> in the </w:t>
      </w:r>
      <w:r w:rsidR="00FD2B65">
        <w:t>Rekovelle</w:t>
      </w:r>
      <w:r w:rsidRPr="00EC3B7F">
        <w:t xml:space="preserve"> group and</w:t>
      </w:r>
      <w:r w:rsidRPr="00EC3B7F">
        <w:rPr>
          <w:spacing w:val="42"/>
        </w:rPr>
        <w:t xml:space="preserve"> </w:t>
      </w:r>
      <w:r w:rsidRPr="00EC3B7F">
        <w:t xml:space="preserve">4 subjects in the </w:t>
      </w:r>
      <w:r w:rsidR="000B0D1D">
        <w:rPr>
          <w:spacing w:val="-2"/>
        </w:rPr>
        <w:t>Gonal</w:t>
      </w:r>
      <w:r w:rsidRPr="00EC3B7F">
        <w:rPr>
          <w:spacing w:val="-2"/>
        </w:rPr>
        <w:t>-F</w:t>
      </w:r>
      <w:r w:rsidRPr="00EC3B7F">
        <w:t xml:space="preserve"> group reported at least 1 adverse event but none of the adverse events</w:t>
      </w:r>
      <w:r w:rsidRPr="00EC3B7F">
        <w:rPr>
          <w:spacing w:val="38"/>
        </w:rPr>
        <w:t xml:space="preserve"> </w:t>
      </w:r>
      <w:r w:rsidRPr="00EC3B7F">
        <w:t xml:space="preserve">identified were assessed as having reasonable possible causality to </w:t>
      </w:r>
      <w:r w:rsidR="00FD2B65">
        <w:t>Rekovelle</w:t>
      </w:r>
      <w:r w:rsidRPr="00EC3B7F">
        <w:rPr>
          <w:spacing w:val="-2"/>
        </w:rPr>
        <w:t xml:space="preserve"> </w:t>
      </w:r>
      <w:r w:rsidRPr="00EC3B7F">
        <w:t>or</w:t>
      </w:r>
      <w:r w:rsidRPr="00EC3B7F">
        <w:rPr>
          <w:spacing w:val="-2"/>
        </w:rPr>
        <w:t xml:space="preserve"> </w:t>
      </w:r>
      <w:r w:rsidR="000B0D1D">
        <w:t>Gonal</w:t>
      </w:r>
      <w:r w:rsidRPr="00EC3B7F">
        <w:t>-F by the</w:t>
      </w:r>
      <w:r w:rsidRPr="00EC3B7F">
        <w:rPr>
          <w:spacing w:val="23"/>
        </w:rPr>
        <w:t xml:space="preserve"> </w:t>
      </w:r>
      <w:r w:rsidRPr="00EC3B7F">
        <w:t xml:space="preserve">investigator. A </w:t>
      </w:r>
      <w:r w:rsidRPr="00EC3B7F">
        <w:rPr>
          <w:spacing w:val="-2"/>
        </w:rPr>
        <w:t>narrow-scope</w:t>
      </w:r>
      <w:r w:rsidRPr="00EC3B7F">
        <w:t xml:space="preserve"> search on the SMQ ‘Hypersensitivity’ in COS </w:t>
      </w:r>
      <w:r w:rsidR="000B0D1D">
        <w:t>Cycle 3</w:t>
      </w:r>
      <w:r w:rsidRPr="00EC3B7F">
        <w:t xml:space="preserve"> did not identify any</w:t>
      </w:r>
      <w:r>
        <w:t xml:space="preserve"> </w:t>
      </w:r>
      <w:r w:rsidRPr="00EC3B7F">
        <w:t xml:space="preserve">adverse events in the </w:t>
      </w:r>
      <w:r w:rsidR="00FD2B65">
        <w:t>Rekovelle</w:t>
      </w:r>
      <w:r w:rsidRPr="00EC3B7F">
        <w:t xml:space="preserve"> group but identified a single event of atopic dermatitis in the </w:t>
      </w:r>
      <w:r w:rsidR="000B0D1D">
        <w:rPr>
          <w:spacing w:val="-2"/>
        </w:rPr>
        <w:t>Gonal</w:t>
      </w:r>
      <w:r w:rsidRPr="00EC3B7F">
        <w:rPr>
          <w:spacing w:val="-2"/>
        </w:rPr>
        <w:t>-F</w:t>
      </w:r>
      <w:r>
        <w:t xml:space="preserve"> </w:t>
      </w:r>
      <w:r w:rsidRPr="00EC3B7F">
        <w:t>group, which was judged to have no reasonable possible causality to the IMP by the investigator.</w:t>
      </w:r>
      <w:bookmarkStart w:id="132" w:name="_Toc272414678"/>
      <w:bookmarkStart w:id="133" w:name="_Toc290888542"/>
      <w:bookmarkStart w:id="134" w:name="_Toc416353757"/>
      <w:bookmarkStart w:id="135" w:name="_Toc421005300"/>
      <w:bookmarkStart w:id="136" w:name="_Toc432079178"/>
      <w:bookmarkStart w:id="137" w:name="_Toc432080751"/>
    </w:p>
    <w:bookmarkEnd w:id="132"/>
    <w:bookmarkEnd w:id="133"/>
    <w:bookmarkEnd w:id="134"/>
    <w:bookmarkEnd w:id="135"/>
    <w:bookmarkEnd w:id="136"/>
    <w:bookmarkEnd w:id="137"/>
    <w:p w14:paraId="025C162A" w14:textId="77777777" w:rsidR="00A96CB7" w:rsidRDefault="00A96CB7" w:rsidP="00584707">
      <w:pPr>
        <w:pStyle w:val="Heading5"/>
      </w:pPr>
      <w:r>
        <w:t>Technical malfunction and other problems with the pen</w:t>
      </w:r>
    </w:p>
    <w:p w14:paraId="21CAEF53" w14:textId="77777777" w:rsidR="00A96CB7" w:rsidRPr="00C2074B" w:rsidRDefault="00A96CB7" w:rsidP="00584707">
      <w:pPr>
        <w:pStyle w:val="Heading6"/>
      </w:pPr>
      <w:r>
        <w:t>ESTHER-1</w:t>
      </w:r>
    </w:p>
    <w:p w14:paraId="275251A0" w14:textId="77777777" w:rsidR="00371AC4" w:rsidRDefault="00A96CB7" w:rsidP="00A96CB7">
      <w:pPr>
        <w:rPr>
          <w:lang w:eastAsia="ja-JP"/>
        </w:rPr>
      </w:pPr>
      <w:r>
        <w:rPr>
          <w:lang w:eastAsia="ja-JP"/>
        </w:rPr>
        <w:t>A total of 10 subjects reported 11 events of malfunctions of 10 pens</w:t>
      </w:r>
      <w:r w:rsidR="00F06A57">
        <w:rPr>
          <w:lang w:eastAsia="ja-JP"/>
        </w:rPr>
        <w:t>;</w:t>
      </w:r>
      <w:r>
        <w:rPr>
          <w:lang w:eastAsia="ja-JP"/>
        </w:rPr>
        <w:t xml:space="preserve"> all in the </w:t>
      </w:r>
      <w:r w:rsidR="00FD2B65">
        <w:rPr>
          <w:lang w:eastAsia="ja-JP"/>
        </w:rPr>
        <w:t>Rekovelle</w:t>
      </w:r>
      <w:r>
        <w:rPr>
          <w:lang w:eastAsia="ja-JP"/>
        </w:rPr>
        <w:t xml:space="preserve"> group. There was a technical problem with the pen confirmed on one occasion. A technical problem was not identified in 4 events and 6 events were attributed to human errors associated with inadequate instructions or misunderstanding</w:t>
      </w:r>
      <w:r w:rsidR="00371AC4">
        <w:rPr>
          <w:lang w:eastAsia="ja-JP"/>
        </w:rPr>
        <w:t>.</w:t>
      </w:r>
    </w:p>
    <w:p w14:paraId="5BD3D50E" w14:textId="7B73DF81" w:rsidR="00A96CB7" w:rsidRPr="00C2074B" w:rsidRDefault="00A96CB7" w:rsidP="00F06A57">
      <w:pPr>
        <w:pStyle w:val="Heading6"/>
      </w:pPr>
      <w:r>
        <w:t>ESTHER II</w:t>
      </w:r>
    </w:p>
    <w:p w14:paraId="68A16F46" w14:textId="77777777" w:rsidR="00A96CB7" w:rsidRPr="00AD7C8A" w:rsidRDefault="00A96CB7" w:rsidP="00F06A57">
      <w:r w:rsidRPr="00AD7C8A">
        <w:t xml:space="preserve">There were no cycle cancellations due to technical malfunction with the pens. </w:t>
      </w:r>
      <w:bookmarkStart w:id="138" w:name="11.13.1_Clinical_Chemistry_Parameters"/>
      <w:bookmarkStart w:id="139" w:name="11.13_Clinical_Laboratory_Evaluation"/>
      <w:bookmarkStart w:id="140" w:name="11.12_Potential_Pen_Malfunction"/>
      <w:bookmarkEnd w:id="138"/>
      <w:bookmarkEnd w:id="139"/>
      <w:bookmarkEnd w:id="140"/>
      <w:r w:rsidRPr="00AD7C8A">
        <w:t xml:space="preserve">There were a total of 3 subjects who reported pen malfunctions (2 in COS </w:t>
      </w:r>
      <w:r w:rsidR="000B0D1D">
        <w:rPr>
          <w:spacing w:val="-1"/>
        </w:rPr>
        <w:t>Cycle 2</w:t>
      </w:r>
      <w:r w:rsidRPr="00AD7C8A">
        <w:rPr>
          <w:spacing w:val="-1"/>
        </w:rPr>
        <w:t xml:space="preserve"> and </w:t>
      </w:r>
      <w:r w:rsidRPr="00AD7C8A">
        <w:t>1</w:t>
      </w:r>
      <w:r w:rsidRPr="00AD7C8A">
        <w:rPr>
          <w:spacing w:val="-1"/>
        </w:rPr>
        <w:t xml:space="preserve"> in COS </w:t>
      </w:r>
      <w:r w:rsidR="000B0D1D">
        <w:rPr>
          <w:spacing w:val="-1"/>
        </w:rPr>
        <w:t>Cycle 3</w:t>
      </w:r>
      <w:r w:rsidRPr="00AD7C8A">
        <w:t xml:space="preserve">), all in the </w:t>
      </w:r>
      <w:r w:rsidR="00FD2B65">
        <w:t>Rekovelle</w:t>
      </w:r>
      <w:r w:rsidRPr="00AD7C8A">
        <w:t xml:space="preserve"> group</w:t>
      </w:r>
      <w:r w:rsidRPr="00AD7C8A">
        <w:rPr>
          <w:spacing w:val="-1"/>
        </w:rPr>
        <w:t xml:space="preserve">. </w:t>
      </w:r>
      <w:r w:rsidRPr="00AD7C8A">
        <w:rPr>
          <w:color w:val="000000"/>
          <w:spacing w:val="-1"/>
        </w:rPr>
        <w:t>After</w:t>
      </w:r>
      <w:r w:rsidRPr="00AD7C8A">
        <w:rPr>
          <w:color w:val="000000"/>
          <w:spacing w:val="24"/>
        </w:rPr>
        <w:t xml:space="preserve"> </w:t>
      </w:r>
      <w:r w:rsidRPr="00AD7C8A">
        <w:rPr>
          <w:color w:val="000000"/>
        </w:rPr>
        <w:t>examination,</w:t>
      </w:r>
      <w:r w:rsidRPr="00AD7C8A">
        <w:rPr>
          <w:color w:val="000000"/>
          <w:spacing w:val="-1"/>
        </w:rPr>
        <w:t xml:space="preserve"> </w:t>
      </w:r>
      <w:r w:rsidRPr="00AD7C8A">
        <w:rPr>
          <w:color w:val="000000"/>
        </w:rPr>
        <w:t>all</w:t>
      </w:r>
      <w:r w:rsidRPr="00AD7C8A">
        <w:rPr>
          <w:color w:val="000000"/>
          <w:spacing w:val="-1"/>
        </w:rPr>
        <w:t xml:space="preserve"> </w:t>
      </w:r>
      <w:r w:rsidRPr="00AD7C8A">
        <w:rPr>
          <w:color w:val="000000"/>
        </w:rPr>
        <w:t>the</w:t>
      </w:r>
      <w:r w:rsidRPr="00AD7C8A">
        <w:rPr>
          <w:color w:val="000000"/>
          <w:spacing w:val="-1"/>
        </w:rPr>
        <w:t xml:space="preserve"> </w:t>
      </w:r>
      <w:r w:rsidRPr="00AD7C8A">
        <w:rPr>
          <w:color w:val="000000"/>
        </w:rPr>
        <w:t>3</w:t>
      </w:r>
      <w:r w:rsidRPr="00AD7C8A">
        <w:rPr>
          <w:color w:val="000000"/>
          <w:spacing w:val="-1"/>
        </w:rPr>
        <w:t xml:space="preserve"> </w:t>
      </w:r>
      <w:r w:rsidRPr="00AD7C8A">
        <w:rPr>
          <w:color w:val="000000"/>
        </w:rPr>
        <w:t>cases</w:t>
      </w:r>
      <w:r w:rsidRPr="00AD7C8A">
        <w:rPr>
          <w:color w:val="000000"/>
          <w:spacing w:val="-1"/>
        </w:rPr>
        <w:t xml:space="preserve"> </w:t>
      </w:r>
      <w:r w:rsidRPr="00AD7C8A">
        <w:rPr>
          <w:color w:val="000000"/>
        </w:rPr>
        <w:t xml:space="preserve">were </w:t>
      </w:r>
      <w:r w:rsidR="00F06A57">
        <w:rPr>
          <w:color w:val="000000"/>
        </w:rPr>
        <w:t>h</w:t>
      </w:r>
      <w:r w:rsidRPr="00F06A57">
        <w:t>uman</w:t>
      </w:r>
      <w:r w:rsidRPr="00AD7C8A">
        <w:rPr>
          <w:color w:val="000000"/>
          <w:spacing w:val="-1"/>
        </w:rPr>
        <w:t xml:space="preserve"> </w:t>
      </w:r>
      <w:r w:rsidRPr="00AD7C8A">
        <w:rPr>
          <w:color w:val="000000"/>
        </w:rPr>
        <w:t>errors</w:t>
      </w:r>
      <w:r w:rsidRPr="00AD7C8A">
        <w:rPr>
          <w:color w:val="000000"/>
          <w:spacing w:val="-1"/>
        </w:rPr>
        <w:t xml:space="preserve"> </w:t>
      </w:r>
      <w:r w:rsidRPr="00AD7C8A">
        <w:rPr>
          <w:color w:val="000000"/>
        </w:rPr>
        <w:t>associated</w:t>
      </w:r>
      <w:r w:rsidRPr="00AD7C8A">
        <w:rPr>
          <w:color w:val="000000"/>
          <w:spacing w:val="-1"/>
        </w:rPr>
        <w:t xml:space="preserve"> </w:t>
      </w:r>
      <w:r w:rsidRPr="00AD7C8A">
        <w:rPr>
          <w:color w:val="000000"/>
        </w:rPr>
        <w:t>with</w:t>
      </w:r>
      <w:r w:rsidRPr="00AD7C8A">
        <w:rPr>
          <w:color w:val="000000"/>
          <w:spacing w:val="-1"/>
        </w:rPr>
        <w:t xml:space="preserve"> </w:t>
      </w:r>
      <w:r w:rsidRPr="00AD7C8A">
        <w:rPr>
          <w:color w:val="000000"/>
        </w:rPr>
        <w:t>inadequate</w:t>
      </w:r>
      <w:r w:rsidRPr="00AD7C8A">
        <w:rPr>
          <w:color w:val="000000"/>
          <w:spacing w:val="-1"/>
        </w:rPr>
        <w:t xml:space="preserve"> </w:t>
      </w:r>
      <w:r w:rsidRPr="00AD7C8A">
        <w:rPr>
          <w:color w:val="000000"/>
        </w:rPr>
        <w:t>instructions</w:t>
      </w:r>
      <w:r w:rsidRPr="00AD7C8A">
        <w:rPr>
          <w:color w:val="000000"/>
          <w:spacing w:val="-1"/>
        </w:rPr>
        <w:t xml:space="preserve"> </w:t>
      </w:r>
      <w:r w:rsidRPr="00AD7C8A">
        <w:rPr>
          <w:color w:val="000000"/>
        </w:rPr>
        <w:t xml:space="preserve">or </w:t>
      </w:r>
      <w:r w:rsidRPr="00AD7C8A">
        <w:t>misunderstanding of instructions.</w:t>
      </w:r>
    </w:p>
    <w:p w14:paraId="1436B908" w14:textId="77777777" w:rsidR="00A96CB7" w:rsidRPr="00A96CB7" w:rsidRDefault="00A96CB7" w:rsidP="00F06A57">
      <w:r w:rsidRPr="00AD7C8A">
        <w:rPr>
          <w:lang w:eastAsia="ja-JP"/>
        </w:rPr>
        <w:t xml:space="preserve">There were 2 patients in the </w:t>
      </w:r>
      <w:r w:rsidR="00FD2B65">
        <w:rPr>
          <w:lang w:eastAsia="ja-JP"/>
        </w:rPr>
        <w:t>Rekovelle</w:t>
      </w:r>
      <w:r w:rsidRPr="00AD7C8A">
        <w:rPr>
          <w:lang w:eastAsia="ja-JP"/>
        </w:rPr>
        <w:t xml:space="preserve"> group who omitted more than 5 days of gonadotropins due to incorrect use of the pen.</w:t>
      </w:r>
    </w:p>
    <w:p w14:paraId="12653144" w14:textId="77777777" w:rsidR="00605AD4" w:rsidRDefault="00605AD4" w:rsidP="00605AD4">
      <w:pPr>
        <w:pStyle w:val="Heading4"/>
      </w:pPr>
      <w:r w:rsidRPr="00605AD4">
        <w:t>Postmarketing data</w:t>
      </w:r>
    </w:p>
    <w:p w14:paraId="4F1FAA82" w14:textId="77777777" w:rsidR="00A96CB7" w:rsidRPr="00A96CB7" w:rsidRDefault="00A96CB7" w:rsidP="00A96CB7">
      <w:r>
        <w:t>Not applicable</w:t>
      </w:r>
      <w:r w:rsidR="00584707">
        <w:t>.</w:t>
      </w:r>
    </w:p>
    <w:p w14:paraId="0CDD2EE5" w14:textId="77777777" w:rsidR="00605AD4" w:rsidRPr="00605AD4" w:rsidRDefault="00605AD4" w:rsidP="00605AD4">
      <w:pPr>
        <w:pStyle w:val="Heading4"/>
      </w:pPr>
      <w:r w:rsidRPr="00605AD4">
        <w:t>Evaluator’s conclusions on safety</w:t>
      </w:r>
    </w:p>
    <w:p w14:paraId="1C5CCFB9" w14:textId="77777777" w:rsidR="00A96CB7" w:rsidRDefault="00A96CB7" w:rsidP="00A96CB7">
      <w:r>
        <w:t xml:space="preserve">There were no major safety concerns. The adverse events with </w:t>
      </w:r>
      <w:r w:rsidR="004421A0">
        <w:t>Rekovelle</w:t>
      </w:r>
      <w:r>
        <w:t xml:space="preserve"> were consistent with those with </w:t>
      </w:r>
      <w:r w:rsidR="00FB403C">
        <w:t>Gonal-F</w:t>
      </w:r>
      <w:r>
        <w:t xml:space="preserve"> and/or related to the IVF procedure and/or pregnancy. There were more dosing and administration errors with the </w:t>
      </w:r>
      <w:r w:rsidR="004421A0">
        <w:t>Rekovelle</w:t>
      </w:r>
      <w:r>
        <w:t xml:space="preserve"> device in ESTHER-I. This may be explained by health care providers not being familiar with the device.</w:t>
      </w:r>
    </w:p>
    <w:p w14:paraId="7E8A8C7E" w14:textId="77777777" w:rsidR="00371AC4" w:rsidRDefault="00A96CB7" w:rsidP="00A96CB7">
      <w:r>
        <w:t xml:space="preserve">The most commonly observed adverse events </w:t>
      </w:r>
      <w:r w:rsidR="00F06A57">
        <w:t xml:space="preserve">(AE) </w:t>
      </w:r>
      <w:r>
        <w:t xml:space="preserve">in the </w:t>
      </w:r>
      <w:r w:rsidR="004421A0">
        <w:t>Rekovelle</w:t>
      </w:r>
      <w:r>
        <w:t xml:space="preserve"> and </w:t>
      </w:r>
      <w:r w:rsidR="00FB403C">
        <w:t>Gonal-F</w:t>
      </w:r>
      <w:r>
        <w:t xml:space="preserve"> groups respectively were headache (14.6% versus 13.3%), procedural pain (7.4% and 7.9%), pelvic pain (6.9% and 6.2%), pelvic discomfort (5.7% and 3.8%), vomiting in pregnancy (4.5% and 4.5%) and haemorrhage in pregnancy (3.9% and 4.1%)</w:t>
      </w:r>
      <w:r w:rsidR="00371AC4">
        <w:t>.</w:t>
      </w:r>
    </w:p>
    <w:p w14:paraId="3852976A" w14:textId="1C12210C" w:rsidR="00A96CB7" w:rsidRDefault="00A96CB7" w:rsidP="00F06A57">
      <w:r>
        <w:t xml:space="preserve">The most frequent </w:t>
      </w:r>
      <w:r w:rsidR="00F06A57">
        <w:t>serious AE (</w:t>
      </w:r>
      <w:r>
        <w:t>SAE</w:t>
      </w:r>
      <w:r w:rsidR="00F06A57">
        <w:t>)</w:t>
      </w:r>
      <w:r>
        <w:t xml:space="preserve"> was OHSS. Early, late and measures to prevent OHSS were more common in the </w:t>
      </w:r>
      <w:r w:rsidR="00FB403C">
        <w:t>Gonal-F</w:t>
      </w:r>
      <w:r>
        <w:t xml:space="preserve"> group. OHSS occurred in 23 subjects, 17 early and 6 late in the </w:t>
      </w:r>
      <w:r w:rsidR="004421A0">
        <w:t>Rekovelle</w:t>
      </w:r>
      <w:r>
        <w:t xml:space="preserve"> group and 32 subjects, 20 early and 12 late, in the </w:t>
      </w:r>
      <w:r w:rsidR="000B0D1D">
        <w:t>Gonal</w:t>
      </w:r>
      <w:r>
        <w:t xml:space="preserve"> –f group. More patients in the </w:t>
      </w:r>
      <w:r w:rsidR="00FB403C">
        <w:t>Gonal-F</w:t>
      </w:r>
      <w:r>
        <w:t xml:space="preserve"> group received interventions to prevent OHSS. The duration of hospitalisation for OHSS</w:t>
      </w:r>
      <w:r w:rsidR="000B0D1D">
        <w:t xml:space="preserve"> </w:t>
      </w:r>
      <w:r>
        <w:t xml:space="preserve">in the </w:t>
      </w:r>
      <w:r w:rsidR="004421A0">
        <w:t>Rekovelle</w:t>
      </w:r>
      <w:r>
        <w:t xml:space="preserve"> group was shorter than in the </w:t>
      </w:r>
      <w:r w:rsidR="00FB403C">
        <w:t>Gonal-F</w:t>
      </w:r>
      <w:r>
        <w:t xml:space="preserve"> group.</w:t>
      </w:r>
    </w:p>
    <w:p w14:paraId="538781EB" w14:textId="77777777" w:rsidR="00A96CB7" w:rsidRDefault="00A96CB7" w:rsidP="00F06A57">
      <w:r>
        <w:t>Injection site reactions occurred at a low rate.</w:t>
      </w:r>
    </w:p>
    <w:p w14:paraId="108FE7FF" w14:textId="77777777" w:rsidR="00A96CB7" w:rsidRDefault="00A96CB7" w:rsidP="00F06A57">
      <w:r>
        <w:t xml:space="preserve">Treatment induced FSH antibodies occurred in 1.05% of the Rekovelle group and 0.76% of the </w:t>
      </w:r>
      <w:r w:rsidR="000B0D1D">
        <w:t>Gonal</w:t>
      </w:r>
      <w:r>
        <w:t xml:space="preserve"> f group. None of these were neutralising. The presence of antibodies was not associated with any difference in efficacy or safety outcomes. There was no significant increase in antibody response after repeated dosing.</w:t>
      </w:r>
    </w:p>
    <w:p w14:paraId="7BC3CA05" w14:textId="77777777" w:rsidR="00A96CB7" w:rsidRDefault="00A96CB7" w:rsidP="00F06A57">
      <w:r>
        <w:t>The rate of multiple gestations was similar in both treatment groups.</w:t>
      </w:r>
    </w:p>
    <w:p w14:paraId="212A1E59" w14:textId="77777777" w:rsidR="00A96CB7" w:rsidRDefault="00A96CB7" w:rsidP="00F06A57">
      <w:r>
        <w:t>It is not known who reported the safety outcomes. The evaluator notes that the nurses who administered the dose changes were not blinded as to the treatment allocation, thus if they were reporting adverse events there may be a reporting bias.</w:t>
      </w:r>
    </w:p>
    <w:p w14:paraId="67DB11F9" w14:textId="77777777" w:rsidR="00605AD4" w:rsidRPr="00605AD4" w:rsidRDefault="00A96CB7" w:rsidP="00F06A57">
      <w:r>
        <w:t>Patients with OHSS were excluded from COS 2 and 3. This may underestimate the true rate of OHSS in the real world setting.</w:t>
      </w:r>
    </w:p>
    <w:p w14:paraId="5A4D6EE6" w14:textId="749F9B13" w:rsidR="00605AD4" w:rsidRPr="00605AD4" w:rsidRDefault="00605AD4" w:rsidP="00605AD4">
      <w:pPr>
        <w:pStyle w:val="Heading3"/>
        <w:rPr>
          <w:rFonts w:eastAsia="Cambria"/>
        </w:rPr>
      </w:pPr>
      <w:bookmarkStart w:id="141" w:name="_Toc497744267"/>
      <w:r w:rsidRPr="00605AD4">
        <w:rPr>
          <w:rFonts w:eastAsia="Cambria"/>
        </w:rPr>
        <w:t xml:space="preserve">First </w:t>
      </w:r>
      <w:r w:rsidR="00371AC4" w:rsidRPr="00605AD4">
        <w:rPr>
          <w:rFonts w:eastAsia="Cambria"/>
        </w:rPr>
        <w:t>round benefit-risk assessment</w:t>
      </w:r>
      <w:bookmarkEnd w:id="141"/>
    </w:p>
    <w:p w14:paraId="7BA2C0A9" w14:textId="77777777" w:rsidR="00371AC4" w:rsidRDefault="00F06A57" w:rsidP="00657B42">
      <w:pPr>
        <w:pStyle w:val="Heading4"/>
      </w:pPr>
      <w:bookmarkStart w:id="142" w:name="_Toc236802592"/>
      <w:bookmarkStart w:id="143" w:name="_Toc241374331"/>
      <w:bookmarkStart w:id="144" w:name="_Ref272160836"/>
      <w:bookmarkStart w:id="145" w:name="_Toc272414693"/>
      <w:bookmarkStart w:id="146" w:name="_Toc290888557"/>
      <w:bookmarkStart w:id="147" w:name="_Toc416353772"/>
      <w:bookmarkStart w:id="148" w:name="_Toc421005314"/>
      <w:bookmarkStart w:id="149" w:name="_Toc432079185"/>
      <w:bookmarkStart w:id="150" w:name="_Toc432080758"/>
      <w:bookmarkStart w:id="151" w:name="_Toc463874690"/>
      <w:r w:rsidRPr="00545B14">
        <w:t xml:space="preserve">First round assessment of </w:t>
      </w:r>
      <w:r w:rsidRPr="000D5752">
        <w:t>benefits</w:t>
      </w:r>
      <w:bookmarkEnd w:id="142"/>
      <w:bookmarkEnd w:id="143"/>
      <w:bookmarkEnd w:id="144"/>
      <w:bookmarkEnd w:id="145"/>
      <w:bookmarkEnd w:id="146"/>
      <w:bookmarkEnd w:id="147"/>
      <w:bookmarkEnd w:id="148"/>
      <w:bookmarkEnd w:id="149"/>
      <w:bookmarkEnd w:id="150"/>
      <w:bookmarkEnd w:id="151"/>
    </w:p>
    <w:p w14:paraId="24597F1B" w14:textId="339BD0B7" w:rsidR="00F06A57" w:rsidRDefault="00F06A57" w:rsidP="00F06A57">
      <w:pPr>
        <w:rPr>
          <w:lang w:eastAsia="ja-JP"/>
        </w:rPr>
      </w:pPr>
      <w:r>
        <w:rPr>
          <w:lang w:eastAsia="ja-JP"/>
        </w:rPr>
        <w:t xml:space="preserve">The following table describes the benefit of Rekovelle compared to </w:t>
      </w:r>
      <w:r w:rsidR="00FB403C">
        <w:rPr>
          <w:lang w:eastAsia="ja-JP"/>
        </w:rPr>
        <w:t>Gonal-F</w:t>
      </w:r>
      <w:r>
        <w:rPr>
          <w:lang w:eastAsia="ja-JP"/>
        </w:rPr>
        <w:t xml:space="preserve"> for the management of controlled ovarian stimulation.</w:t>
      </w:r>
    </w:p>
    <w:tbl>
      <w:tblPr>
        <w:tblStyle w:val="TableTGAblue"/>
        <w:tblW w:w="0" w:type="auto"/>
        <w:tblLook w:val="04A0" w:firstRow="1" w:lastRow="0" w:firstColumn="1" w:lastColumn="0" w:noHBand="0" w:noVBand="1"/>
      </w:tblPr>
      <w:tblGrid>
        <w:gridCol w:w="4476"/>
        <w:gridCol w:w="4244"/>
      </w:tblGrid>
      <w:tr w:rsidR="00F06A57" w:rsidRPr="00F06A57" w14:paraId="4F0128FA" w14:textId="77777777" w:rsidTr="00F06A57">
        <w:trPr>
          <w:cnfStyle w:val="100000000000" w:firstRow="1" w:lastRow="0" w:firstColumn="0" w:lastColumn="0" w:oddVBand="0" w:evenVBand="0" w:oddHBand="0" w:evenHBand="0" w:firstRowFirstColumn="0" w:firstRowLastColumn="0" w:lastRowFirstColumn="0" w:lastRowLastColumn="0"/>
          <w:cantSplit/>
        </w:trPr>
        <w:tc>
          <w:tcPr>
            <w:tcW w:w="8789" w:type="dxa"/>
            <w:gridSpan w:val="2"/>
          </w:tcPr>
          <w:p w14:paraId="186DFFF5" w14:textId="77777777" w:rsidR="00F06A57" w:rsidRPr="00F06A57" w:rsidRDefault="00F06A57" w:rsidP="00B7680F">
            <w:pPr>
              <w:rPr>
                <w:rFonts w:asciiTheme="minorHAnsi" w:hAnsiTheme="minorHAnsi"/>
                <w:b w:val="0"/>
                <w:sz w:val="20"/>
                <w:szCs w:val="20"/>
              </w:rPr>
            </w:pPr>
            <w:r w:rsidRPr="00F06A57">
              <w:rPr>
                <w:rFonts w:asciiTheme="minorHAnsi" w:hAnsiTheme="minorHAnsi"/>
                <w:sz w:val="20"/>
                <w:szCs w:val="20"/>
              </w:rPr>
              <w:t>Indication: Controlled Ovarian Stimulation</w:t>
            </w:r>
          </w:p>
        </w:tc>
      </w:tr>
      <w:tr w:rsidR="00F06A57" w:rsidRPr="00F06A57" w14:paraId="4E82916B" w14:textId="77777777" w:rsidTr="00F06A57">
        <w:trPr>
          <w:cantSplit/>
        </w:trPr>
        <w:tc>
          <w:tcPr>
            <w:tcW w:w="4511" w:type="dxa"/>
          </w:tcPr>
          <w:p w14:paraId="7A8DE9E4" w14:textId="77777777" w:rsidR="00F06A57" w:rsidRPr="00F06A57" w:rsidRDefault="00F06A57" w:rsidP="00B7680F">
            <w:pPr>
              <w:rPr>
                <w:rFonts w:asciiTheme="minorHAnsi" w:hAnsiTheme="minorHAnsi"/>
                <w:b/>
                <w:sz w:val="20"/>
                <w:szCs w:val="20"/>
              </w:rPr>
            </w:pPr>
            <w:r w:rsidRPr="00F06A57">
              <w:rPr>
                <w:rFonts w:asciiTheme="minorHAnsi" w:hAnsiTheme="minorHAnsi"/>
                <w:sz w:val="20"/>
                <w:szCs w:val="20"/>
              </w:rPr>
              <w:t>Benefits</w:t>
            </w:r>
          </w:p>
        </w:tc>
        <w:tc>
          <w:tcPr>
            <w:tcW w:w="4278" w:type="dxa"/>
          </w:tcPr>
          <w:p w14:paraId="3152BF53" w14:textId="77777777" w:rsidR="00F06A57" w:rsidRPr="00F06A57" w:rsidRDefault="00F06A57" w:rsidP="00B7680F">
            <w:pPr>
              <w:rPr>
                <w:rFonts w:asciiTheme="minorHAnsi" w:hAnsiTheme="minorHAnsi"/>
                <w:b/>
                <w:sz w:val="20"/>
                <w:szCs w:val="20"/>
              </w:rPr>
            </w:pPr>
            <w:r w:rsidRPr="00F06A57">
              <w:rPr>
                <w:rFonts w:asciiTheme="minorHAnsi" w:hAnsiTheme="minorHAnsi"/>
                <w:sz w:val="20"/>
                <w:szCs w:val="20"/>
              </w:rPr>
              <w:t>Strengths and Uncertainties</w:t>
            </w:r>
          </w:p>
        </w:tc>
      </w:tr>
      <w:tr w:rsidR="00F06A57" w:rsidRPr="00F06A57" w14:paraId="1E689655" w14:textId="77777777" w:rsidTr="00F06A57">
        <w:tc>
          <w:tcPr>
            <w:tcW w:w="4511" w:type="dxa"/>
          </w:tcPr>
          <w:p w14:paraId="02118D8B" w14:textId="77777777" w:rsidR="00F06A57" w:rsidRPr="000A7B13" w:rsidRDefault="00F06A57" w:rsidP="0016181B">
            <w:pPr>
              <w:pStyle w:val="ListParagraph"/>
              <w:numPr>
                <w:ilvl w:val="0"/>
                <w:numId w:val="7"/>
              </w:numPr>
              <w:spacing w:before="120" w:after="120" w:line="240" w:lineRule="atLeast"/>
              <w:ind w:left="0" w:hanging="357"/>
              <w:rPr>
                <w:rFonts w:asciiTheme="minorHAnsi" w:hAnsiTheme="minorHAnsi" w:cstheme="minorHAnsi"/>
                <w:sz w:val="20"/>
              </w:rPr>
            </w:pPr>
            <w:r w:rsidRPr="000A7B13">
              <w:rPr>
                <w:rFonts w:asciiTheme="minorHAnsi" w:hAnsiTheme="minorHAnsi" w:cstheme="minorHAnsi"/>
                <w:sz w:val="20"/>
              </w:rPr>
              <w:t xml:space="preserve">Demonstrated non inferiority to </w:t>
            </w:r>
            <w:r w:rsidR="00FB403C">
              <w:rPr>
                <w:rFonts w:asciiTheme="minorHAnsi" w:hAnsiTheme="minorHAnsi" w:cstheme="minorHAnsi"/>
                <w:sz w:val="20"/>
              </w:rPr>
              <w:t>Gonal-F</w:t>
            </w:r>
            <w:r w:rsidRPr="000A7B13">
              <w:rPr>
                <w:rFonts w:asciiTheme="minorHAnsi" w:hAnsiTheme="minorHAnsi" w:cstheme="minorHAnsi"/>
                <w:sz w:val="20"/>
              </w:rPr>
              <w:t xml:space="preserve"> for ongoing pregnancy and ongoing implantation rates</w:t>
            </w:r>
          </w:p>
        </w:tc>
        <w:tc>
          <w:tcPr>
            <w:tcW w:w="4278" w:type="dxa"/>
          </w:tcPr>
          <w:p w14:paraId="766FAE89" w14:textId="77777777" w:rsidR="00F06A57" w:rsidRPr="000A7B13" w:rsidRDefault="000A7B13" w:rsidP="00B7680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r w:rsidRPr="000A7B13">
              <w:rPr>
                <w:rFonts w:asciiTheme="minorHAnsi" w:hAnsiTheme="minorHAnsi" w:cstheme="minorHAnsi"/>
                <w:i/>
                <w:sz w:val="20"/>
                <w:szCs w:val="20"/>
              </w:rPr>
              <w:t>Strength</w:t>
            </w:r>
          </w:p>
          <w:p w14:paraId="47E1021F" w14:textId="77777777" w:rsidR="00371AC4" w:rsidRDefault="00F06A57" w:rsidP="00B7680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0A7B13">
              <w:rPr>
                <w:rFonts w:asciiTheme="minorHAnsi" w:hAnsiTheme="minorHAnsi" w:cstheme="minorHAnsi"/>
                <w:sz w:val="20"/>
                <w:szCs w:val="20"/>
              </w:rPr>
              <w:t>The use of a fixed dosing regime was proposed to lead to a greater benefit in achieving optimal ovarian response. This was seen in preventing hyperstimulation and OHSS related events, but not in achieving better results in patients with low AMH to start with</w:t>
            </w:r>
            <w:r w:rsidR="00371AC4">
              <w:rPr>
                <w:rFonts w:asciiTheme="minorHAnsi" w:hAnsiTheme="minorHAnsi" w:cstheme="minorHAnsi"/>
                <w:sz w:val="20"/>
                <w:szCs w:val="20"/>
              </w:rPr>
              <w:t>.</w:t>
            </w:r>
          </w:p>
          <w:p w14:paraId="34283B5B" w14:textId="243CB463" w:rsidR="00F06A57" w:rsidRPr="000A7B13" w:rsidRDefault="000A7B13" w:rsidP="00B7680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r w:rsidRPr="000A7B13">
              <w:rPr>
                <w:rFonts w:asciiTheme="minorHAnsi" w:hAnsiTheme="minorHAnsi" w:cstheme="minorHAnsi"/>
                <w:i/>
                <w:sz w:val="20"/>
                <w:szCs w:val="20"/>
              </w:rPr>
              <w:t>Uncertainties</w:t>
            </w:r>
          </w:p>
          <w:p w14:paraId="0679CEC1" w14:textId="77777777" w:rsidR="00F06A57" w:rsidRPr="000A7B13" w:rsidRDefault="00F06A57" w:rsidP="000A7B13">
            <w:pPr>
              <w:pStyle w:val="ListBullet"/>
              <w:spacing w:before="0" w:after="0" w:line="80" w:lineRule="atLeast"/>
              <w:ind w:left="357" w:hanging="357"/>
              <w:rPr>
                <w:sz w:val="20"/>
                <w:szCs w:val="20"/>
              </w:rPr>
            </w:pPr>
            <w:r w:rsidRPr="000A7B13">
              <w:rPr>
                <w:sz w:val="20"/>
                <w:szCs w:val="20"/>
              </w:rPr>
              <w:t>if there will be a reduced need for blood tests and ultrasound with this FSH product compared to other products</w:t>
            </w:r>
          </w:p>
          <w:p w14:paraId="09FD7A8A" w14:textId="77777777" w:rsidR="00F06A57" w:rsidRPr="000A7B13" w:rsidRDefault="00F06A57" w:rsidP="000A7B13">
            <w:pPr>
              <w:pStyle w:val="ListBullet"/>
              <w:spacing w:before="0" w:after="0" w:line="80" w:lineRule="atLeast"/>
              <w:ind w:left="357" w:hanging="357"/>
              <w:rPr>
                <w:sz w:val="20"/>
                <w:szCs w:val="20"/>
              </w:rPr>
            </w:pPr>
            <w:r w:rsidRPr="000A7B13">
              <w:rPr>
                <w:sz w:val="20"/>
                <w:szCs w:val="20"/>
              </w:rPr>
              <w:t>Use before or after other FSH products</w:t>
            </w:r>
          </w:p>
          <w:p w14:paraId="5C52AAFE" w14:textId="77777777" w:rsidR="00F06A57" w:rsidRPr="000A7B13" w:rsidRDefault="00F06A57" w:rsidP="000A7B13">
            <w:pPr>
              <w:pStyle w:val="ListBullet"/>
              <w:spacing w:before="0" w:after="0" w:line="80" w:lineRule="atLeast"/>
              <w:ind w:left="357" w:hanging="357"/>
              <w:rPr>
                <w:sz w:val="20"/>
                <w:szCs w:val="20"/>
              </w:rPr>
            </w:pPr>
            <w:r w:rsidRPr="000A7B13">
              <w:rPr>
                <w:sz w:val="20"/>
                <w:szCs w:val="20"/>
              </w:rPr>
              <w:t>Use in the Australian setting</w:t>
            </w:r>
            <w:r w:rsidR="00586095">
              <w:rPr>
                <w:sz w:val="20"/>
                <w:szCs w:val="20"/>
              </w:rPr>
              <w:t>,</w:t>
            </w:r>
            <w:r w:rsidRPr="000A7B13">
              <w:rPr>
                <w:sz w:val="20"/>
                <w:szCs w:val="20"/>
              </w:rPr>
              <w:t xml:space="preserve"> particularly in view of the need for the </w:t>
            </w:r>
            <w:r w:rsidR="005219CC" w:rsidRPr="000A7B13">
              <w:rPr>
                <w:sz w:val="20"/>
                <w:szCs w:val="20"/>
              </w:rPr>
              <w:t>specific AMH</w:t>
            </w:r>
            <w:r w:rsidRPr="000A7B13">
              <w:rPr>
                <w:sz w:val="20"/>
                <w:szCs w:val="20"/>
              </w:rPr>
              <w:t xml:space="preserve"> assay.</w:t>
            </w:r>
          </w:p>
          <w:p w14:paraId="6A76A837" w14:textId="77777777" w:rsidR="00F06A57" w:rsidRPr="000A7B13" w:rsidRDefault="00F06A57" w:rsidP="000A7B13">
            <w:pPr>
              <w:pStyle w:val="ListBullet"/>
              <w:spacing w:before="0" w:after="0" w:line="80" w:lineRule="atLeast"/>
              <w:ind w:left="357" w:hanging="357"/>
              <w:rPr>
                <w:sz w:val="20"/>
                <w:szCs w:val="20"/>
              </w:rPr>
            </w:pPr>
            <w:r w:rsidRPr="000A7B13">
              <w:rPr>
                <w:sz w:val="20"/>
                <w:szCs w:val="20"/>
              </w:rPr>
              <w:t>There was no information given about the live birth rate</w:t>
            </w:r>
          </w:p>
          <w:p w14:paraId="65202CEE" w14:textId="77777777" w:rsidR="00F06A57" w:rsidRPr="000A7B13" w:rsidRDefault="00F06A57" w:rsidP="00586095">
            <w:pPr>
              <w:pStyle w:val="ListBullet"/>
              <w:spacing w:before="0" w:after="0" w:line="80" w:lineRule="atLeast"/>
              <w:ind w:left="357" w:hanging="357"/>
            </w:pPr>
            <w:r w:rsidRPr="000A7B13">
              <w:rPr>
                <w:sz w:val="20"/>
                <w:szCs w:val="20"/>
              </w:rPr>
              <w:t xml:space="preserve">It is unknown how this would compare using an adjusted fixed dosing algorithm like </w:t>
            </w:r>
            <w:r w:rsidR="00FB403C">
              <w:rPr>
                <w:sz w:val="20"/>
                <w:szCs w:val="20"/>
              </w:rPr>
              <w:t>Gonal-F</w:t>
            </w:r>
          </w:p>
        </w:tc>
      </w:tr>
    </w:tbl>
    <w:p w14:paraId="2D5BF5A0" w14:textId="2A0D2E66" w:rsidR="00F06A57" w:rsidRPr="000D5752" w:rsidRDefault="00F06A57" w:rsidP="00371AC4">
      <w:pPr>
        <w:pStyle w:val="Heading4"/>
        <w:spacing w:after="120"/>
      </w:pPr>
      <w:bookmarkStart w:id="152" w:name="_Toc236802596"/>
      <w:bookmarkStart w:id="153" w:name="_Toc241374334"/>
      <w:bookmarkStart w:id="154" w:name="_Ref272160964"/>
      <w:bookmarkStart w:id="155" w:name="_Toc272414694"/>
      <w:bookmarkStart w:id="156" w:name="_Toc290888558"/>
      <w:bookmarkStart w:id="157" w:name="_Toc416353773"/>
      <w:bookmarkStart w:id="158" w:name="_Toc421005315"/>
      <w:bookmarkStart w:id="159" w:name="_Toc432079186"/>
      <w:bookmarkStart w:id="160" w:name="_Toc432080759"/>
      <w:bookmarkStart w:id="161" w:name="_Toc463874691"/>
      <w:r w:rsidRPr="000D5752">
        <w:t>First round assessment of risks</w:t>
      </w:r>
      <w:bookmarkEnd w:id="152"/>
      <w:bookmarkEnd w:id="153"/>
      <w:bookmarkEnd w:id="154"/>
      <w:bookmarkEnd w:id="155"/>
      <w:bookmarkEnd w:id="156"/>
      <w:bookmarkEnd w:id="157"/>
      <w:bookmarkEnd w:id="158"/>
      <w:bookmarkEnd w:id="159"/>
      <w:bookmarkEnd w:id="160"/>
      <w:bookmarkEnd w:id="161"/>
    </w:p>
    <w:tbl>
      <w:tblPr>
        <w:tblStyle w:val="TableGrid"/>
        <w:tblW w:w="0" w:type="auto"/>
        <w:tblInd w:w="108" w:type="dxa"/>
        <w:tblLook w:val="04A0" w:firstRow="1" w:lastRow="0" w:firstColumn="1" w:lastColumn="0" w:noHBand="0" w:noVBand="1"/>
      </w:tblPr>
      <w:tblGrid>
        <w:gridCol w:w="4315"/>
        <w:gridCol w:w="4297"/>
      </w:tblGrid>
      <w:tr w:rsidR="00F06A57" w:rsidRPr="00C37A1D" w14:paraId="041B5F0D" w14:textId="77777777" w:rsidTr="00F06A57">
        <w:trPr>
          <w:tblHeader/>
        </w:trPr>
        <w:tc>
          <w:tcPr>
            <w:tcW w:w="4315" w:type="dxa"/>
            <w:shd w:val="clear" w:color="auto" w:fill="006DA7" w:themeFill="accent3"/>
          </w:tcPr>
          <w:p w14:paraId="3BEABE30" w14:textId="77777777" w:rsidR="00F06A57" w:rsidRPr="00F06A57" w:rsidRDefault="00F06A57" w:rsidP="00B7680F">
            <w:pPr>
              <w:keepNext/>
              <w:rPr>
                <w:rFonts w:asciiTheme="minorHAnsi" w:hAnsiTheme="minorHAnsi"/>
                <w:b/>
                <w:color w:val="FFFFFF" w:themeColor="background1"/>
                <w:sz w:val="20"/>
                <w:szCs w:val="20"/>
              </w:rPr>
            </w:pPr>
            <w:r w:rsidRPr="00F06A57">
              <w:rPr>
                <w:rFonts w:asciiTheme="minorHAnsi" w:hAnsiTheme="minorHAnsi"/>
                <w:b/>
                <w:color w:val="FFFFFF" w:themeColor="background1"/>
                <w:sz w:val="20"/>
                <w:szCs w:val="20"/>
              </w:rPr>
              <w:t>Risks</w:t>
            </w:r>
          </w:p>
        </w:tc>
        <w:tc>
          <w:tcPr>
            <w:tcW w:w="4297" w:type="dxa"/>
            <w:shd w:val="clear" w:color="auto" w:fill="006DA7" w:themeFill="accent3"/>
          </w:tcPr>
          <w:p w14:paraId="378F00B8" w14:textId="77777777" w:rsidR="00F06A57" w:rsidRPr="00F06A57" w:rsidRDefault="00F06A57" w:rsidP="00B7680F">
            <w:pPr>
              <w:rPr>
                <w:rFonts w:asciiTheme="minorHAnsi" w:hAnsiTheme="minorHAnsi"/>
                <w:b/>
                <w:color w:val="FFFFFF" w:themeColor="background1"/>
                <w:sz w:val="20"/>
                <w:szCs w:val="20"/>
              </w:rPr>
            </w:pPr>
            <w:r w:rsidRPr="00F06A57">
              <w:rPr>
                <w:rFonts w:asciiTheme="minorHAnsi" w:hAnsiTheme="minorHAnsi"/>
                <w:b/>
                <w:color w:val="FFFFFF" w:themeColor="background1"/>
                <w:sz w:val="20"/>
                <w:szCs w:val="20"/>
              </w:rPr>
              <w:t>Strengths and Uncertainties</w:t>
            </w:r>
          </w:p>
        </w:tc>
      </w:tr>
      <w:tr w:rsidR="00F06A57" w:rsidRPr="00C37A1D" w14:paraId="4EC96747" w14:textId="77777777" w:rsidTr="00F06A57">
        <w:tc>
          <w:tcPr>
            <w:tcW w:w="4315" w:type="dxa"/>
          </w:tcPr>
          <w:p w14:paraId="291A1EC9" w14:textId="77777777" w:rsidR="00F06A57" w:rsidRPr="00F06A57" w:rsidRDefault="00586095" w:rsidP="00F06A57">
            <w:pPr>
              <w:pStyle w:val="ListBullet"/>
            </w:pPr>
            <w:r>
              <w:t>M</w:t>
            </w:r>
            <w:r w:rsidR="00F06A57" w:rsidRPr="00F06A57">
              <w:t>ore problems with using the pen device (at least initially). This could be resolved with education.</w:t>
            </w:r>
          </w:p>
          <w:p w14:paraId="6A1BCD2C" w14:textId="77777777" w:rsidR="00F06A57" w:rsidRPr="00F06A57" w:rsidRDefault="00586095" w:rsidP="00F06A57">
            <w:pPr>
              <w:pStyle w:val="ListBullet"/>
            </w:pPr>
            <w:r>
              <w:t>P</w:t>
            </w:r>
            <w:r w:rsidR="00F06A57" w:rsidRPr="00F06A57">
              <w:t>otential dosing errors with weight based as opposed to unit based dosing</w:t>
            </w:r>
          </w:p>
        </w:tc>
        <w:tc>
          <w:tcPr>
            <w:tcW w:w="4297" w:type="dxa"/>
          </w:tcPr>
          <w:p w14:paraId="479B0E1D" w14:textId="77777777" w:rsidR="00F06A57" w:rsidRPr="00586095" w:rsidRDefault="00F06A57" w:rsidP="00B7680F">
            <w:pPr>
              <w:rPr>
                <w:rFonts w:asciiTheme="minorHAnsi" w:hAnsiTheme="minorHAnsi" w:cstheme="minorHAnsi"/>
                <w:i/>
                <w:sz w:val="20"/>
                <w:szCs w:val="20"/>
              </w:rPr>
            </w:pPr>
            <w:r w:rsidRPr="00586095">
              <w:rPr>
                <w:rFonts w:asciiTheme="minorHAnsi" w:hAnsiTheme="minorHAnsi" w:cstheme="minorHAnsi"/>
                <w:i/>
                <w:sz w:val="20"/>
                <w:szCs w:val="20"/>
              </w:rPr>
              <w:t>Strength</w:t>
            </w:r>
          </w:p>
          <w:p w14:paraId="2279556A" w14:textId="77777777" w:rsidR="00F06A57" w:rsidRPr="00F06A57" w:rsidRDefault="00F06A57" w:rsidP="00F06A57">
            <w:pPr>
              <w:pStyle w:val="ListBullet"/>
            </w:pPr>
            <w:r w:rsidRPr="00F06A57">
              <w:t>-possibly less OHSS</w:t>
            </w:r>
          </w:p>
          <w:p w14:paraId="23CE860C" w14:textId="77777777" w:rsidR="00F06A57" w:rsidRPr="00586095" w:rsidRDefault="00F06A57" w:rsidP="00B7680F">
            <w:pPr>
              <w:rPr>
                <w:rFonts w:asciiTheme="minorHAnsi" w:hAnsiTheme="minorHAnsi" w:cstheme="minorHAnsi"/>
                <w:i/>
                <w:sz w:val="20"/>
                <w:szCs w:val="20"/>
              </w:rPr>
            </w:pPr>
            <w:r w:rsidRPr="00586095">
              <w:rPr>
                <w:rFonts w:asciiTheme="minorHAnsi" w:hAnsiTheme="minorHAnsi" w:cstheme="minorHAnsi"/>
                <w:i/>
                <w:sz w:val="20"/>
                <w:szCs w:val="20"/>
              </w:rPr>
              <w:t>Uncertainty</w:t>
            </w:r>
          </w:p>
          <w:p w14:paraId="44F93939" w14:textId="77777777" w:rsidR="00F06A57" w:rsidRPr="00F06A57" w:rsidRDefault="00586095" w:rsidP="00F06A57">
            <w:pPr>
              <w:pStyle w:val="ListBullet"/>
            </w:pPr>
            <w:r>
              <w:t>I</w:t>
            </w:r>
            <w:r w:rsidR="00F06A57" w:rsidRPr="00F06A57">
              <w:t>s the reduced risk of OHSS preventative endpoints a valid measure of benefit?</w:t>
            </w:r>
          </w:p>
          <w:p w14:paraId="281528C2" w14:textId="77777777" w:rsidR="00F06A57" w:rsidRPr="00F06A57" w:rsidRDefault="00F06A57" w:rsidP="00F06A57">
            <w:pPr>
              <w:pStyle w:val="ListBullet"/>
            </w:pPr>
            <w:r w:rsidRPr="00F06A57">
              <w:t>If the use of the AMH assay is better than the current methods of dosing FSH.</w:t>
            </w:r>
          </w:p>
        </w:tc>
      </w:tr>
    </w:tbl>
    <w:p w14:paraId="1F8BEF9A" w14:textId="77777777" w:rsidR="00F06A57" w:rsidRPr="00545B14" w:rsidRDefault="00F06A57" w:rsidP="00657B42">
      <w:pPr>
        <w:pStyle w:val="Heading4"/>
      </w:pPr>
      <w:bookmarkStart w:id="162" w:name="_Toc236802597"/>
      <w:bookmarkStart w:id="163" w:name="_Toc241374335"/>
      <w:bookmarkStart w:id="164" w:name="_Toc272414695"/>
      <w:bookmarkStart w:id="165" w:name="_Toc290888559"/>
      <w:bookmarkStart w:id="166" w:name="_Toc416353775"/>
      <w:bookmarkStart w:id="167" w:name="_Toc421005316"/>
      <w:bookmarkStart w:id="168" w:name="_Toc432079187"/>
      <w:bookmarkStart w:id="169" w:name="_Toc432080760"/>
      <w:bookmarkStart w:id="170" w:name="_Toc463874692"/>
      <w:r w:rsidRPr="00545B14">
        <w:t>First round assessment of benefit-risk</w:t>
      </w:r>
      <w:bookmarkEnd w:id="162"/>
      <w:bookmarkEnd w:id="163"/>
      <w:bookmarkEnd w:id="164"/>
      <w:bookmarkEnd w:id="165"/>
      <w:bookmarkEnd w:id="166"/>
      <w:bookmarkEnd w:id="167"/>
      <w:r>
        <w:t xml:space="preserve"> balance</w:t>
      </w:r>
      <w:bookmarkEnd w:id="168"/>
      <w:bookmarkEnd w:id="169"/>
      <w:bookmarkEnd w:id="170"/>
    </w:p>
    <w:p w14:paraId="5673B47F" w14:textId="77777777" w:rsidR="00F06A57" w:rsidRPr="00586095" w:rsidRDefault="00F06A57" w:rsidP="00586095">
      <w:r w:rsidRPr="00586095">
        <w:t xml:space="preserve">The clinical </w:t>
      </w:r>
      <w:r w:rsidR="00586095" w:rsidRPr="00586095">
        <w:t xml:space="preserve">trials submitted demonstrated </w:t>
      </w:r>
      <w:r w:rsidR="005219CC" w:rsidRPr="00586095">
        <w:t>Rekovelle,</w:t>
      </w:r>
      <w:r w:rsidRPr="00586095">
        <w:t xml:space="preserve"> when used according to the recommended dosing a</w:t>
      </w:r>
      <w:r w:rsidR="00586095" w:rsidRPr="00586095">
        <w:t>lgorithm, was no</w:t>
      </w:r>
      <w:r w:rsidR="00FB403C">
        <w:t>n-</w:t>
      </w:r>
      <w:r w:rsidR="00586095" w:rsidRPr="00586095">
        <w:t xml:space="preserve">inferior to </w:t>
      </w:r>
      <w:r w:rsidR="00FB403C">
        <w:t>Gonal-F</w:t>
      </w:r>
      <w:r w:rsidRPr="00586095">
        <w:t xml:space="preserve"> in the endpoints of ongoing pregnancy and implantation rates as well as most of the secondary endpoints.</w:t>
      </w:r>
    </w:p>
    <w:p w14:paraId="14F4916C" w14:textId="77777777" w:rsidR="00371AC4" w:rsidRDefault="00F06A57" w:rsidP="00586095">
      <w:r w:rsidRPr="00586095">
        <w:t>There may be some limitations in the external validity of this trial, as different IVF centres and clinicians have different practices. Variability in the success of IVF among treatment centres is a well-known phenomenon</w:t>
      </w:r>
      <w:r w:rsidR="00371AC4">
        <w:t>.</w:t>
      </w:r>
    </w:p>
    <w:p w14:paraId="7286D0CB" w14:textId="77777777" w:rsidR="00371AC4" w:rsidRDefault="00F06A57" w:rsidP="00586095">
      <w:r w:rsidRPr="00586095">
        <w:t>However, the major concern about the approval of this medicine is the need for it to be used with an accurate AMH assay in order to give the appropriate dose. It is unclear if this medicine can be used with other AM</w:t>
      </w:r>
      <w:r w:rsidR="00586095" w:rsidRPr="00586095">
        <w:t>H assays other than the Elecsys</w:t>
      </w:r>
      <w:r w:rsidRPr="00586095">
        <w:t xml:space="preserve"> and what the status of the recommended assay is in the Australian setting. This is critical to the approval of this medicine</w:t>
      </w:r>
      <w:r w:rsidR="00371AC4">
        <w:t>.</w:t>
      </w:r>
    </w:p>
    <w:p w14:paraId="29D4A646" w14:textId="057B9EC6" w:rsidR="00F06A57" w:rsidRPr="00586095" w:rsidRDefault="00F06A57" w:rsidP="00586095">
      <w:r w:rsidRPr="00586095">
        <w:t>It is uncertain if the reduction in OHSS and interventions to prevent OHSS are clinically significant.</w:t>
      </w:r>
    </w:p>
    <w:p w14:paraId="5DFB9947" w14:textId="5EDE2958" w:rsidR="00605AD4" w:rsidRPr="00605AD4" w:rsidRDefault="00605AD4" w:rsidP="00F06A57">
      <w:pPr>
        <w:pStyle w:val="Heading4"/>
      </w:pPr>
      <w:r w:rsidRPr="00605AD4">
        <w:t xml:space="preserve">First </w:t>
      </w:r>
      <w:r w:rsidR="003E1B22" w:rsidRPr="00605AD4">
        <w:t>round recommendation regarding authorisation</w:t>
      </w:r>
    </w:p>
    <w:p w14:paraId="18342E6F" w14:textId="77777777" w:rsidR="00605AD4" w:rsidRPr="00605AD4" w:rsidRDefault="00A96CB7" w:rsidP="00A96CB7">
      <w:r>
        <w:t>At this time, the</w:t>
      </w:r>
      <w:r w:rsidR="000B0D1D">
        <w:t xml:space="preserve"> </w:t>
      </w:r>
      <w:r>
        <w:t xml:space="preserve">sponsor will need to respond to further questions </w:t>
      </w:r>
      <w:r w:rsidR="00586095">
        <w:t>before a recommendation is made (see Attachment 2 Clinical questions).</w:t>
      </w:r>
    </w:p>
    <w:p w14:paraId="24E6128C" w14:textId="6C9E1F59" w:rsidR="00605AD4" w:rsidRPr="00605AD4" w:rsidRDefault="00605AD4" w:rsidP="00605AD4">
      <w:pPr>
        <w:pStyle w:val="Heading3"/>
        <w:rPr>
          <w:rFonts w:eastAsia="Cambria"/>
        </w:rPr>
      </w:pPr>
      <w:bookmarkStart w:id="171" w:name="_Toc497744268"/>
      <w:r w:rsidRPr="00605AD4">
        <w:rPr>
          <w:rFonts w:eastAsia="Cambria"/>
        </w:rPr>
        <w:t xml:space="preserve">Second </w:t>
      </w:r>
      <w:r w:rsidR="003E1B22" w:rsidRPr="00605AD4">
        <w:rPr>
          <w:rFonts w:eastAsia="Cambria"/>
        </w:rPr>
        <w:t xml:space="preserve">round evaluation </w:t>
      </w:r>
      <w:r w:rsidRPr="00605AD4">
        <w:rPr>
          <w:rFonts w:eastAsia="Cambria"/>
        </w:rPr>
        <w:t>of clinical data submitted in response to questions</w:t>
      </w:r>
      <w:bookmarkEnd w:id="171"/>
    </w:p>
    <w:p w14:paraId="29623D82" w14:textId="77777777" w:rsidR="006136D7" w:rsidRPr="00605AD4" w:rsidRDefault="006136D7" w:rsidP="006136D7">
      <w:r>
        <w:t>For details of the sponsor’s responses and the evaluation of these responses please see Attachment 2.</w:t>
      </w:r>
    </w:p>
    <w:p w14:paraId="38DE63FE" w14:textId="1C961109" w:rsidR="00605AD4" w:rsidRPr="00605AD4" w:rsidRDefault="00605AD4" w:rsidP="00546154">
      <w:pPr>
        <w:pStyle w:val="Heading3"/>
        <w:rPr>
          <w:rFonts w:eastAsia="Cambria"/>
        </w:rPr>
      </w:pPr>
      <w:bookmarkStart w:id="172" w:name="_Toc497744269"/>
      <w:r w:rsidRPr="00605AD4">
        <w:rPr>
          <w:rFonts w:eastAsia="Cambria"/>
        </w:rPr>
        <w:t xml:space="preserve">Second </w:t>
      </w:r>
      <w:r w:rsidR="003E1B22" w:rsidRPr="00605AD4">
        <w:rPr>
          <w:rFonts w:eastAsia="Cambria"/>
        </w:rPr>
        <w:t>round benefit-risk assessment</w:t>
      </w:r>
      <w:bookmarkEnd w:id="172"/>
    </w:p>
    <w:p w14:paraId="46AED0DA" w14:textId="77777777" w:rsidR="00A96CB7" w:rsidRDefault="00A96CB7" w:rsidP="00586095">
      <w:pPr>
        <w:pStyle w:val="Heading4"/>
      </w:pPr>
      <w:r>
        <w:t>Second round assessment of benefits</w:t>
      </w:r>
    </w:p>
    <w:p w14:paraId="3B8F2345" w14:textId="77777777" w:rsidR="00A96CB7" w:rsidRDefault="00A96CB7" w:rsidP="00586095">
      <w:r>
        <w:t xml:space="preserve">The benefits of </w:t>
      </w:r>
      <w:r w:rsidR="004421A0">
        <w:t>Rekovelle</w:t>
      </w:r>
      <w:r>
        <w:t xml:space="preserve"> in ovarian stimulation remain unchanged. Non-inferiority with </w:t>
      </w:r>
      <w:r w:rsidR="00FB403C">
        <w:t>Gonal-F</w:t>
      </w:r>
      <w:r>
        <w:t xml:space="preserve"> for the co-primary end-points for ongoing pregnancy rate and ongoing implantation rate was established in the pivotal studies. In addition, the sponsor has provided new information demonstrating similar outcomes in live birth rate.</w:t>
      </w:r>
    </w:p>
    <w:p w14:paraId="7D48F35E" w14:textId="77777777" w:rsidR="00A96CB7" w:rsidRDefault="00A96CB7" w:rsidP="00586095">
      <w:r>
        <w:t>The proposed benefit in terms of dosing algorithm to optimise ovarian response is uncertain for a number of reasons. These include uncertainty about the ability to extrapolate the dosing algorithm in a population that is different to the clinical study, based on 1) local variability in endpoints with AMH levels; 2) the need for the specific Elecsys AMH assay that may not be available to clinicians.</w:t>
      </w:r>
    </w:p>
    <w:p w14:paraId="72AD4D2A" w14:textId="77777777" w:rsidR="00A96CB7" w:rsidRDefault="00A96CB7" w:rsidP="00586095">
      <w:pPr>
        <w:pStyle w:val="Heading4"/>
      </w:pPr>
      <w:r>
        <w:t>Second round assessment of risks</w:t>
      </w:r>
    </w:p>
    <w:p w14:paraId="7D763360" w14:textId="77777777" w:rsidR="00A96CB7" w:rsidRDefault="00A96CB7" w:rsidP="00A96CB7">
      <w:r>
        <w:t xml:space="preserve">The risks of </w:t>
      </w:r>
      <w:r w:rsidR="004421A0">
        <w:t>Rekovelle</w:t>
      </w:r>
      <w:r>
        <w:t xml:space="preserve"> are consistent with the risks for other FSH products. In the clinical trials, patients treated with the </w:t>
      </w:r>
      <w:r w:rsidR="004421A0">
        <w:t>Rekovelle</w:t>
      </w:r>
      <w:r>
        <w:t xml:space="preserve"> dosing algorithm had less OHSS related events than those treated with </w:t>
      </w:r>
      <w:r w:rsidR="00FB403C">
        <w:t>Gonal-F</w:t>
      </w:r>
      <w:r>
        <w:t xml:space="preserve"> and the usual treatment algorithm. It is unknown if this is the effect of the drug or the dosing algorithm.</w:t>
      </w:r>
    </w:p>
    <w:p w14:paraId="3A9DD21A" w14:textId="77777777" w:rsidR="00A96CB7" w:rsidRDefault="00A96CB7" w:rsidP="00586095">
      <w:pPr>
        <w:pStyle w:val="Heading4"/>
      </w:pPr>
      <w:r>
        <w:t>Second round assessment of benefit-risk balance</w:t>
      </w:r>
    </w:p>
    <w:p w14:paraId="5391FC65" w14:textId="77777777" w:rsidR="00A96CB7" w:rsidRDefault="00A96CB7" w:rsidP="00A96CB7">
      <w:r>
        <w:t xml:space="preserve">The clinical trials demonstrated non-inferiority of </w:t>
      </w:r>
      <w:r w:rsidR="004421A0">
        <w:t>Rekovelle</w:t>
      </w:r>
      <w:r>
        <w:t xml:space="preserve"> compared to </w:t>
      </w:r>
      <w:r w:rsidR="00FB403C">
        <w:t>Gonal-F</w:t>
      </w:r>
      <w:r>
        <w:t xml:space="preserve"> on the primary efficacy endpoints ongoing pregnancy rate and ongoing implantation rate. Secondary endpoints were consistent, including live birth rate. The risk of OHSS was less with </w:t>
      </w:r>
      <w:r w:rsidR="004421A0">
        <w:t>Rekovelle</w:t>
      </w:r>
      <w:r>
        <w:t xml:space="preserve"> than </w:t>
      </w:r>
      <w:r w:rsidR="00FB403C">
        <w:t>Gonal-F</w:t>
      </w:r>
      <w:r>
        <w:t>.</w:t>
      </w:r>
    </w:p>
    <w:p w14:paraId="228C9D70" w14:textId="77777777" w:rsidR="00A96CB7" w:rsidRDefault="00A96CB7" w:rsidP="00A96CB7">
      <w:r>
        <w:t>However</w:t>
      </w:r>
      <w:r w:rsidR="00900D1E">
        <w:t>,</w:t>
      </w:r>
      <w:r>
        <w:t xml:space="preserve"> the clinical trials used a dosing algorithm which relied upon a specific assay, specimens were collected and processed using strict criteria, there is a wide range of strength of association between AMH levels and oocyte counts and pregnancy outcomes in different centres- thus the validity of the doing algorithm in the Australian setting is unknown. This is a major problem with the submission.</w:t>
      </w:r>
    </w:p>
    <w:p w14:paraId="07809700" w14:textId="77777777" w:rsidR="00A96CB7" w:rsidRDefault="00A96CB7" w:rsidP="00586095">
      <w:pPr>
        <w:pStyle w:val="Heading4"/>
      </w:pPr>
      <w:r>
        <w:t>Second round recommendation regarding authorisation</w:t>
      </w:r>
    </w:p>
    <w:p w14:paraId="6B2D8F26" w14:textId="77777777" w:rsidR="00605AD4" w:rsidRDefault="00A96CB7" w:rsidP="00A96CB7">
      <w:r>
        <w:t xml:space="preserve">At this stage, the evaluator could not recommend approval of </w:t>
      </w:r>
      <w:r w:rsidR="004421A0">
        <w:t>Rekovelle</w:t>
      </w:r>
      <w:r>
        <w:t xml:space="preserve"> due to concerns about the dosing algorithm. The sponsor is requested to provide further evidence of the ability of the AMH assay to predict pregnancy outcome in the Australian setting.</w:t>
      </w:r>
    </w:p>
    <w:p w14:paraId="4DD98ED4" w14:textId="719CD859" w:rsidR="00A96CB7" w:rsidRPr="00586095" w:rsidRDefault="00A96CB7" w:rsidP="00586095">
      <w:pPr>
        <w:pStyle w:val="Heading3"/>
      </w:pPr>
      <w:bookmarkStart w:id="173" w:name="_Toc497744270"/>
      <w:r>
        <w:t>Po</w:t>
      </w:r>
      <w:r w:rsidR="00586095">
        <w:t xml:space="preserve">pulation </w:t>
      </w:r>
      <w:r w:rsidR="003E1B22">
        <w:t>p</w:t>
      </w:r>
      <w:r w:rsidR="00586095">
        <w:t>harmacokinetics</w:t>
      </w:r>
      <w:bookmarkEnd w:id="173"/>
    </w:p>
    <w:p w14:paraId="2E4935C1" w14:textId="77777777" w:rsidR="00A96CB7" w:rsidRPr="00CB293A" w:rsidRDefault="00900D1E" w:rsidP="00900D1E">
      <w:pPr>
        <w:pStyle w:val="Heading4"/>
      </w:pPr>
      <w:bookmarkStart w:id="174" w:name="_Toc455084539"/>
      <w:r>
        <w:t>Summary of f</w:t>
      </w:r>
      <w:r w:rsidR="00A96CB7" w:rsidRPr="00CB293A">
        <w:t>indings</w:t>
      </w:r>
      <w:bookmarkEnd w:id="174"/>
    </w:p>
    <w:p w14:paraId="49A005AE" w14:textId="77777777" w:rsidR="00A96CB7" w:rsidRPr="00D611DF" w:rsidRDefault="00A96CB7" w:rsidP="00B7680F">
      <w:pPr>
        <w:rPr>
          <w:rFonts w:eastAsia="TimesNewRoman"/>
        </w:rPr>
      </w:pPr>
      <w:r>
        <w:t xml:space="preserve">The purpose of the analysis was to identify an exposure– response model for the key PD endpoint (nOR) to permit individualised dosing of </w:t>
      </w:r>
      <w:r w:rsidR="00FD2B65">
        <w:t>Rekovelle</w:t>
      </w:r>
      <w:r>
        <w:rPr>
          <w:rFonts w:cs="Arial"/>
          <w:color w:val="000000"/>
        </w:rPr>
        <w:t>. To this end, the</w:t>
      </w:r>
      <w:r>
        <w:rPr>
          <w:rFonts w:eastAsia="TimesNewRoman"/>
        </w:rPr>
        <w:t xml:space="preserve"> population PK of FSH following administration of </w:t>
      </w:r>
      <w:r w:rsidR="00FD2B65">
        <w:rPr>
          <w:rFonts w:eastAsia="TimesNewRoman"/>
        </w:rPr>
        <w:t>Rekovelle</w:t>
      </w:r>
      <w:r>
        <w:rPr>
          <w:rFonts w:eastAsia="TimesNewRoman"/>
        </w:rPr>
        <w:t xml:space="preserve"> in </w:t>
      </w:r>
      <w:r w:rsidR="00900D1E">
        <w:rPr>
          <w:rFonts w:eastAsia="TimesNewRoman"/>
        </w:rPr>
        <w:t>the P</w:t>
      </w:r>
      <w:r w:rsidR="00B7680F">
        <w:rPr>
          <w:rFonts w:eastAsia="TimesNewRoman"/>
        </w:rPr>
        <w:t xml:space="preserve">hase </w:t>
      </w:r>
      <w:r w:rsidR="00900D1E">
        <w:rPr>
          <w:rFonts w:eastAsia="TimesNewRoman"/>
        </w:rPr>
        <w:t>I</w:t>
      </w:r>
      <w:r w:rsidR="00B7680F">
        <w:rPr>
          <w:rFonts w:eastAsia="TimesNewRoman"/>
        </w:rPr>
        <w:t xml:space="preserve"> trial CS01 and the P</w:t>
      </w:r>
      <w:r>
        <w:rPr>
          <w:rFonts w:eastAsia="TimesNewRoman"/>
        </w:rPr>
        <w:t xml:space="preserve">hase </w:t>
      </w:r>
      <w:r w:rsidR="00B7680F">
        <w:rPr>
          <w:rFonts w:eastAsia="TimesNewRoman"/>
        </w:rPr>
        <w:t>II</w:t>
      </w:r>
      <w:r>
        <w:rPr>
          <w:rFonts w:eastAsia="TimesNewRoman"/>
        </w:rPr>
        <w:t xml:space="preserve"> trial 000009 were characterised, exposure–response relationships for nOR and other biomarkers of ovarian response in trial 000009 were characterised and simulations were performed to establish an individualised dosing regimen for </w:t>
      </w:r>
      <w:r w:rsidR="00FD2B65">
        <w:rPr>
          <w:rFonts w:eastAsia="TimesNewRoman"/>
        </w:rPr>
        <w:t>Rekovelle</w:t>
      </w:r>
      <w:r>
        <w:rPr>
          <w:rFonts w:eastAsia="TimesNewRoman"/>
        </w:rPr>
        <w:t xml:space="preserve"> based on the selected exposure-response model.</w:t>
      </w:r>
    </w:p>
    <w:p w14:paraId="1B06B283" w14:textId="77777777" w:rsidR="00A96CB7" w:rsidRDefault="00A96CB7" w:rsidP="003E1B22">
      <w:pPr>
        <w:pageBreakBefore/>
      </w:pPr>
      <w:r>
        <w:t>On the basis of this evaluation, it was concluded:</w:t>
      </w:r>
    </w:p>
    <w:p w14:paraId="6AFB1E4F" w14:textId="77777777" w:rsidR="00A96CB7" w:rsidRDefault="00A96CB7" w:rsidP="00B7680F">
      <w:pPr>
        <w:pStyle w:val="ListBullet"/>
      </w:pPr>
      <w:r>
        <w:t>The final PK models and variations of these models including the base models were successfully replicated, verifying the models and the reported PK parameters in the report.</w:t>
      </w:r>
    </w:p>
    <w:p w14:paraId="0BCA32EA" w14:textId="77777777" w:rsidR="00371AC4" w:rsidRDefault="00A96CB7" w:rsidP="00B7680F">
      <w:pPr>
        <w:pStyle w:val="ListBullet"/>
      </w:pPr>
      <w:r>
        <w:t>A population PK model was developed usin</w:t>
      </w:r>
      <w:r w:rsidR="00B7680F">
        <w:t>g data from a sparsely sampled P</w:t>
      </w:r>
      <w:r>
        <w:t xml:space="preserve">hase </w:t>
      </w:r>
      <w:r w:rsidR="00B7680F">
        <w:t>II</w:t>
      </w:r>
      <w:r>
        <w:t xml:space="preserve"> trial 000009 using absorption and distribution parameters </w:t>
      </w:r>
      <w:r w:rsidR="00B7680F">
        <w:t>fixed to those estimated using P</w:t>
      </w:r>
      <w:r>
        <w:t xml:space="preserve">hase </w:t>
      </w:r>
      <w:r w:rsidR="00B7680F">
        <w:t>I</w:t>
      </w:r>
      <w:r>
        <w:t xml:space="preserve"> trial CS01 data. However, the assumption that the absorption and distribution parameters were similar following a single SC dose and multiple SC doses was flawed since half-life and T</w:t>
      </w:r>
      <w:r w:rsidRPr="00B7680F">
        <w:rPr>
          <w:vertAlign w:val="subscript"/>
        </w:rPr>
        <w:t>max</w:t>
      </w:r>
      <w:r>
        <w:t xml:space="preserve"> of FSH have been shown to be reduced after multiple SC administrations compared with single SC administration, Furthermore, the covariate development process yielded a final PK model that included correlated covariates and covariates of low clinical relevance. Model refinement was lacking</w:t>
      </w:r>
      <w:r w:rsidR="00371AC4">
        <w:t>.</w:t>
      </w:r>
    </w:p>
    <w:p w14:paraId="6697DAB3" w14:textId="3904E4CC" w:rsidR="00A96CB7" w:rsidRPr="00E92F3C" w:rsidRDefault="00A96CB7" w:rsidP="00B7680F">
      <w:pPr>
        <w:pStyle w:val="ListBullet"/>
      </w:pPr>
      <w:r>
        <w:t xml:space="preserve">The PK model was used to calculate </w:t>
      </w:r>
      <w:r w:rsidRPr="00E92F3C">
        <w:t xml:space="preserve">individual exposures (AUC) </w:t>
      </w:r>
      <w:r>
        <w:t>for subsequent exposure-response analyses</w:t>
      </w:r>
      <w:r w:rsidRPr="00E92F3C">
        <w:t xml:space="preserve">. However, </w:t>
      </w:r>
      <w:r>
        <w:t xml:space="preserve">dose selection was based on </w:t>
      </w:r>
      <w:r w:rsidRPr="00E92F3C">
        <w:t xml:space="preserve">exposure-response models </w:t>
      </w:r>
      <w:r>
        <w:t xml:space="preserve">that </w:t>
      </w:r>
      <w:r w:rsidR="00900D1E">
        <w:t xml:space="preserve">used body weight </w:t>
      </w:r>
      <w:r w:rsidRPr="00E92F3C">
        <w:t>adjusted dose rather than AUC</w:t>
      </w:r>
      <w:r>
        <w:t xml:space="preserve"> as the exposure metric. Consequently, there was no subsequent application of the PK modelling effort. </w:t>
      </w:r>
      <w:r w:rsidRPr="00E92F3C">
        <w:t>It is recommended that modelling assumptions, model building methods and model selection criteria be thoroughly reviewed prior to application of the model for other purposes in the future.</w:t>
      </w:r>
    </w:p>
    <w:p w14:paraId="6AAE035B" w14:textId="77777777" w:rsidR="00A96CB7" w:rsidRDefault="00A96CB7" w:rsidP="00B7680F">
      <w:pPr>
        <w:pStyle w:val="ListBullet"/>
      </w:pPr>
      <w:r>
        <w:t>Exposure-response analyses revealed body weight-adjusted dose and baseline serum AMH concentrations to be predictors of ovarian response including the primary PD response, nOR. Diagnostic plots showed good agreement between observations and model predictions overall and stratified by baseline serum AMH concentrations.</w:t>
      </w:r>
    </w:p>
    <w:p w14:paraId="30C39D57" w14:textId="77777777" w:rsidR="00A96CB7" w:rsidRDefault="00A96CB7" w:rsidP="00B7680F">
      <w:pPr>
        <w:pStyle w:val="ListBullet"/>
      </w:pPr>
      <w:r>
        <w:t xml:space="preserve">Dosing of </w:t>
      </w:r>
      <w:r w:rsidR="00FD2B65">
        <w:t>Rekovelle</w:t>
      </w:r>
      <w:r>
        <w:t xml:space="preserve"> per kg of body weight and adjusted for baseline serum AMH concentration may</w:t>
      </w:r>
      <w:r w:rsidR="00B7680F">
        <w:t xml:space="preserve"> </w:t>
      </w:r>
      <w:r w:rsidR="00900D1E">
        <w:t>result</w:t>
      </w:r>
      <w:r w:rsidR="00B7680F">
        <w:t xml:space="preserve"> </w:t>
      </w:r>
      <w:r w:rsidR="00900D1E">
        <w:t xml:space="preserve">in </w:t>
      </w:r>
      <w:r w:rsidR="00B7680F">
        <w:t>an optimis</w:t>
      </w:r>
      <w:r>
        <w:t>ed nOR response with fewer subjects expected to experience extreme responses. The proposed dosing regimen remains to be evaluated prospectively.</w:t>
      </w:r>
    </w:p>
    <w:p w14:paraId="5B77DFEE" w14:textId="77777777" w:rsidR="00A96CB7" w:rsidRPr="00163C16" w:rsidRDefault="00A96CB7" w:rsidP="00B7680F">
      <w:pPr>
        <w:pStyle w:val="Heading4"/>
      </w:pPr>
      <w:bookmarkStart w:id="175" w:name="_Toc455084540"/>
      <w:r w:rsidRPr="00163C16">
        <w:t>Implications of findings</w:t>
      </w:r>
      <w:bookmarkEnd w:id="175"/>
    </w:p>
    <w:p w14:paraId="20D698B0" w14:textId="77777777" w:rsidR="00A96CB7" w:rsidRDefault="00A96CB7" w:rsidP="00A96CB7">
      <w:bookmarkStart w:id="176" w:name="_Ref454934360"/>
      <w:bookmarkStart w:id="177" w:name="_Ref254947604"/>
      <w:r>
        <w:t>Using the dose-response model developed for nOR individualised dosing regimens based on body weight and baseline serum AMH concentration. Risk-benefit assessment of the proposed dosing algorithm remains to be evaluated.</w:t>
      </w:r>
    </w:p>
    <w:p w14:paraId="63AC48A4" w14:textId="77777777" w:rsidR="00A96CB7" w:rsidRDefault="00A96CB7" w:rsidP="00A96CB7">
      <w:r>
        <w:t xml:space="preserve">A minor consideration with regard to the proposed Australian </w:t>
      </w:r>
      <w:r w:rsidR="00B7680F">
        <w:t xml:space="preserve">draft </w:t>
      </w:r>
      <w:r>
        <w:t>PI is as follows:</w:t>
      </w:r>
    </w:p>
    <w:p w14:paraId="636B97F6" w14:textId="77777777" w:rsidR="00A96CB7" w:rsidRDefault="0030206B" w:rsidP="00900D1E">
      <w:pPr>
        <w:pStyle w:val="Heading4"/>
      </w:pPr>
      <w:r>
        <w:t>Pharmacokinetics and absorption</w:t>
      </w:r>
    </w:p>
    <w:p w14:paraId="6A4830B0" w14:textId="77777777" w:rsidR="00371AC4" w:rsidRDefault="00A96CB7" w:rsidP="003E1B22">
      <w:pPr>
        <w:ind w:right="-143"/>
      </w:pPr>
      <w:r>
        <w:t>Estimates of half-life after single and multiple SC dosing were stated in the Pharmacokinetics, Elimination section.</w:t>
      </w:r>
      <w:r w:rsidR="000B0D1D">
        <w:t xml:space="preserve"> </w:t>
      </w:r>
      <w:r>
        <w:t xml:space="preserve">However, in the Absorption section, the time to maximum concentration after multiple SC doses (but not after a single dose) was stated. While this statement is correct: </w:t>
      </w:r>
      <w:r w:rsidR="0012091C">
        <w:t>‘</w:t>
      </w:r>
      <w:r w:rsidRPr="00B7680F">
        <w:rPr>
          <w:i/>
        </w:rPr>
        <w:t>After daily SC administration of Rekovelle, the time to maximum concentration is 10 h</w:t>
      </w:r>
      <w:r w:rsidR="0012091C" w:rsidRPr="00B7680F">
        <w:rPr>
          <w:i/>
        </w:rPr>
        <w:t>’</w:t>
      </w:r>
      <w:r>
        <w:t>, it might be worthy of consideration to include that after a single CS administration, the mean time to maximum concentration is estimated to be 20 h</w:t>
      </w:r>
      <w:r w:rsidR="00371AC4">
        <w:t>.</w:t>
      </w:r>
    </w:p>
    <w:p w14:paraId="09CBED2C" w14:textId="670FF573" w:rsidR="008E7846" w:rsidRPr="00E41208" w:rsidRDefault="008E7846" w:rsidP="00546154">
      <w:pPr>
        <w:pStyle w:val="Heading2"/>
      </w:pPr>
      <w:bookmarkStart w:id="178" w:name="_Toc497744271"/>
      <w:bookmarkEnd w:id="176"/>
      <w:bookmarkEnd w:id="177"/>
      <w:r w:rsidRPr="00E41208">
        <w:t xml:space="preserve">V. Pharmacovigilance </w:t>
      </w:r>
      <w:r>
        <w:t>f</w:t>
      </w:r>
      <w:r w:rsidRPr="00E41208">
        <w:t>indings</w:t>
      </w:r>
      <w:bookmarkEnd w:id="97"/>
      <w:bookmarkEnd w:id="98"/>
      <w:bookmarkEnd w:id="178"/>
    </w:p>
    <w:p w14:paraId="2499D2EF" w14:textId="77777777" w:rsidR="00371AC4" w:rsidRDefault="00A96CB7" w:rsidP="00B7680F">
      <w:pPr>
        <w:pStyle w:val="Heading4"/>
      </w:pPr>
      <w:bookmarkStart w:id="179" w:name="_Toc465414724"/>
      <w:bookmarkStart w:id="180" w:name="_Toc478137150"/>
      <w:bookmarkStart w:id="181" w:name="_Toc247691527"/>
      <w:bookmarkStart w:id="182" w:name="_Toc314842510"/>
      <w:r>
        <w:t>Summary</w:t>
      </w:r>
      <w:bookmarkEnd w:id="179"/>
      <w:bookmarkEnd w:id="180"/>
    </w:p>
    <w:p w14:paraId="6083F299" w14:textId="2DC61ED6" w:rsidR="00A96CB7" w:rsidRDefault="00A96CB7" w:rsidP="00B7680F">
      <w:pPr>
        <w:pStyle w:val="ListBullet"/>
      </w:pPr>
      <w:proofErr w:type="spellStart"/>
      <w:r w:rsidRPr="00CD00D0">
        <w:rPr>
          <w:rStyle w:val="BulletlistChar"/>
          <w:rFonts w:eastAsia="Cambria"/>
        </w:rPr>
        <w:t>Ferring</w:t>
      </w:r>
      <w:proofErr w:type="spellEnd"/>
      <w:r w:rsidRPr="00CD00D0">
        <w:rPr>
          <w:rStyle w:val="BulletlistChar"/>
          <w:rFonts w:eastAsia="Cambria"/>
        </w:rPr>
        <w:t xml:space="preserve"> Pharmaceuticals Pty Ltd</w:t>
      </w:r>
      <w:r w:rsidRPr="00CD00D0">
        <w:t xml:space="preserve"> </w:t>
      </w:r>
      <w:r>
        <w:t xml:space="preserve">has </w:t>
      </w:r>
      <w:r w:rsidRPr="00CD00D0">
        <w:t xml:space="preserve">submitted EU-RMP </w:t>
      </w:r>
      <w:r>
        <w:t>version 3</w:t>
      </w:r>
      <w:r w:rsidRPr="00D242CE">
        <w:t>.0 (</w:t>
      </w:r>
      <w:r>
        <w:t>6 September 2016</w:t>
      </w:r>
      <w:r w:rsidRPr="00D242CE">
        <w:t xml:space="preserve">; DLP 2 July 2015) and ASA version </w:t>
      </w:r>
      <w:r>
        <w:t>4.0 (24 November</w:t>
      </w:r>
      <w:r w:rsidRPr="00D242CE">
        <w:t xml:space="preserve"> 2016)</w:t>
      </w:r>
      <w:r>
        <w:t xml:space="preserve"> in support of this application.</w:t>
      </w:r>
    </w:p>
    <w:p w14:paraId="40FEBFF5" w14:textId="77777777" w:rsidR="00A96CB7" w:rsidRDefault="00A96CB7" w:rsidP="00B7680F">
      <w:pPr>
        <w:pStyle w:val="ListBullet"/>
      </w:pPr>
      <w:bookmarkStart w:id="183" w:name="_Toc465414725"/>
      <w:r w:rsidRPr="00CD00D0">
        <w:t xml:space="preserve">The </w:t>
      </w:r>
      <w:r w:rsidR="00B7680F">
        <w:t>s</w:t>
      </w:r>
      <w:r>
        <w:t xml:space="preserve">ponsor </w:t>
      </w:r>
      <w:r w:rsidRPr="00CD00D0">
        <w:t xml:space="preserve">proposed </w:t>
      </w:r>
      <w:r>
        <w:t xml:space="preserve">the following </w:t>
      </w:r>
      <w:r w:rsidRPr="00CD00D0">
        <w:t>Summary of Safety Concerns and their associated risk monitoring and mitigation strategies</w:t>
      </w:r>
      <w:r w:rsidR="00B7680F">
        <w:t xml:space="preserve"> (Table 1</w:t>
      </w:r>
      <w:r w:rsidR="00802246">
        <w:t>1</w:t>
      </w:r>
      <w:r w:rsidR="00B7680F">
        <w:t>)</w:t>
      </w:r>
      <w:r w:rsidRPr="00CD00D0">
        <w:t>:</w:t>
      </w:r>
    </w:p>
    <w:p w14:paraId="73BAD575" w14:textId="6511FACD" w:rsidR="00B7680F" w:rsidRDefault="00B7680F" w:rsidP="003E1B22">
      <w:pPr>
        <w:pStyle w:val="TableTitle"/>
      </w:pPr>
      <w:r>
        <w:t>Table 1</w:t>
      </w:r>
      <w:r w:rsidR="00802246">
        <w:t>1</w:t>
      </w:r>
      <w:r>
        <w:t>: Summary of safety concerns</w:t>
      </w:r>
    </w:p>
    <w:tbl>
      <w:tblPr>
        <w:tblStyle w:val="TableTGAblue"/>
        <w:tblW w:w="9469" w:type="dxa"/>
        <w:tblLayout w:type="fixed"/>
        <w:tblLook w:val="04A0" w:firstRow="1" w:lastRow="0" w:firstColumn="1" w:lastColumn="0" w:noHBand="0" w:noVBand="1"/>
      </w:tblPr>
      <w:tblGrid>
        <w:gridCol w:w="2093"/>
        <w:gridCol w:w="2693"/>
        <w:gridCol w:w="1276"/>
        <w:gridCol w:w="1276"/>
        <w:gridCol w:w="1083"/>
        <w:gridCol w:w="1048"/>
      </w:tblGrid>
      <w:tr w:rsidR="00A96CB7" w:rsidRPr="004F1C07" w14:paraId="543C8D8A" w14:textId="77777777" w:rsidTr="003E1B22">
        <w:trPr>
          <w:cnfStyle w:val="100000000000" w:firstRow="1" w:lastRow="0" w:firstColumn="0" w:lastColumn="0" w:oddVBand="0" w:evenVBand="0" w:oddHBand="0" w:evenHBand="0" w:firstRowFirstColumn="0" w:firstRowLastColumn="0" w:lastRowFirstColumn="0" w:lastRowLastColumn="0"/>
          <w:trHeight w:val="131"/>
        </w:trPr>
        <w:tc>
          <w:tcPr>
            <w:tcW w:w="4786" w:type="dxa"/>
            <w:gridSpan w:val="2"/>
            <w:vMerge w:val="restart"/>
          </w:tcPr>
          <w:p w14:paraId="619BDA0B" w14:textId="77777777" w:rsidR="00A96CB7" w:rsidRPr="00672DB4" w:rsidRDefault="00A96CB7" w:rsidP="003E1B22">
            <w:r w:rsidRPr="00672DB4">
              <w:t>Summary of safety concerns</w:t>
            </w:r>
          </w:p>
        </w:tc>
        <w:tc>
          <w:tcPr>
            <w:tcW w:w="2552" w:type="dxa"/>
            <w:gridSpan w:val="2"/>
          </w:tcPr>
          <w:p w14:paraId="3308D19B" w14:textId="77777777" w:rsidR="00A96CB7" w:rsidRPr="003E1B22" w:rsidRDefault="00A96CB7" w:rsidP="003E1B22">
            <w:pPr>
              <w:rPr>
                <w:szCs w:val="22"/>
              </w:rPr>
            </w:pPr>
            <w:r w:rsidRPr="003E1B22">
              <w:rPr>
                <w:szCs w:val="22"/>
              </w:rPr>
              <w:t>Pharmacovigilance</w:t>
            </w:r>
          </w:p>
        </w:tc>
        <w:tc>
          <w:tcPr>
            <w:tcW w:w="2131" w:type="dxa"/>
            <w:gridSpan w:val="2"/>
          </w:tcPr>
          <w:p w14:paraId="745DF994" w14:textId="77777777" w:rsidR="00A96CB7" w:rsidRPr="003E1B22" w:rsidRDefault="00A96CB7" w:rsidP="003E1B22">
            <w:pPr>
              <w:rPr>
                <w:szCs w:val="22"/>
              </w:rPr>
            </w:pPr>
            <w:r w:rsidRPr="003E1B22">
              <w:rPr>
                <w:szCs w:val="22"/>
              </w:rPr>
              <w:t>Risk Minimisation</w:t>
            </w:r>
          </w:p>
        </w:tc>
      </w:tr>
      <w:tr w:rsidR="00A96CB7" w:rsidRPr="004F1C07" w14:paraId="2A7E7317" w14:textId="77777777" w:rsidTr="003E1B22">
        <w:trPr>
          <w:cnfStyle w:val="100000000000" w:firstRow="1" w:lastRow="0" w:firstColumn="0" w:lastColumn="0" w:oddVBand="0" w:evenVBand="0" w:oddHBand="0" w:evenHBand="0" w:firstRowFirstColumn="0" w:firstRowLastColumn="0" w:lastRowFirstColumn="0" w:lastRowLastColumn="0"/>
          <w:trHeight w:val="150"/>
        </w:trPr>
        <w:tc>
          <w:tcPr>
            <w:tcW w:w="4786" w:type="dxa"/>
            <w:gridSpan w:val="2"/>
            <w:vMerge/>
          </w:tcPr>
          <w:p w14:paraId="320EBAD4" w14:textId="77777777" w:rsidR="00A96CB7" w:rsidRPr="00672DB4" w:rsidRDefault="00A96CB7" w:rsidP="003E1B22"/>
        </w:tc>
        <w:tc>
          <w:tcPr>
            <w:tcW w:w="1276" w:type="dxa"/>
          </w:tcPr>
          <w:p w14:paraId="7A222CBB" w14:textId="77777777" w:rsidR="00A96CB7" w:rsidRPr="003E1B22" w:rsidRDefault="00672DB4" w:rsidP="003E1B22">
            <w:pPr>
              <w:rPr>
                <w:szCs w:val="22"/>
              </w:rPr>
            </w:pPr>
            <w:r w:rsidRPr="003E1B22">
              <w:rPr>
                <w:szCs w:val="22"/>
              </w:rPr>
              <w:t>R</w:t>
            </w:r>
          </w:p>
        </w:tc>
        <w:tc>
          <w:tcPr>
            <w:tcW w:w="1276" w:type="dxa"/>
          </w:tcPr>
          <w:p w14:paraId="0C1AFA59" w14:textId="77777777" w:rsidR="00A96CB7" w:rsidRPr="003E1B22" w:rsidRDefault="00A96CB7" w:rsidP="003E1B22">
            <w:pPr>
              <w:rPr>
                <w:szCs w:val="22"/>
              </w:rPr>
            </w:pPr>
            <w:r w:rsidRPr="003E1B22">
              <w:rPr>
                <w:szCs w:val="22"/>
              </w:rPr>
              <w:t>A</w:t>
            </w:r>
          </w:p>
        </w:tc>
        <w:tc>
          <w:tcPr>
            <w:tcW w:w="1083" w:type="dxa"/>
          </w:tcPr>
          <w:p w14:paraId="0202D7EA" w14:textId="77777777" w:rsidR="00A96CB7" w:rsidRPr="003E1B22" w:rsidRDefault="00A96CB7" w:rsidP="003E1B22">
            <w:pPr>
              <w:rPr>
                <w:szCs w:val="22"/>
              </w:rPr>
            </w:pPr>
            <w:r w:rsidRPr="003E1B22">
              <w:rPr>
                <w:szCs w:val="22"/>
              </w:rPr>
              <w:t>R</w:t>
            </w:r>
          </w:p>
        </w:tc>
        <w:tc>
          <w:tcPr>
            <w:tcW w:w="1048" w:type="dxa"/>
          </w:tcPr>
          <w:p w14:paraId="4221EC99" w14:textId="77777777" w:rsidR="00A96CB7" w:rsidRPr="003E1B22" w:rsidRDefault="00A96CB7" w:rsidP="003E1B22">
            <w:pPr>
              <w:rPr>
                <w:szCs w:val="22"/>
              </w:rPr>
            </w:pPr>
            <w:r w:rsidRPr="003E1B22">
              <w:rPr>
                <w:szCs w:val="22"/>
              </w:rPr>
              <w:t>A</w:t>
            </w:r>
          </w:p>
        </w:tc>
      </w:tr>
      <w:tr w:rsidR="00A96CB7" w:rsidRPr="004F1C07" w14:paraId="11687773" w14:textId="77777777" w:rsidTr="003E1B22">
        <w:trPr>
          <w:trHeight w:val="137"/>
        </w:trPr>
        <w:tc>
          <w:tcPr>
            <w:tcW w:w="2093" w:type="dxa"/>
          </w:tcPr>
          <w:p w14:paraId="50120B1A" w14:textId="77777777" w:rsidR="00A96CB7" w:rsidRPr="00680101" w:rsidRDefault="00A96CB7" w:rsidP="003E1B22">
            <w:r w:rsidRPr="00680101">
              <w:t>Important identified risks</w:t>
            </w:r>
          </w:p>
        </w:tc>
        <w:tc>
          <w:tcPr>
            <w:tcW w:w="2693" w:type="dxa"/>
          </w:tcPr>
          <w:p w14:paraId="5F40C4CD" w14:textId="77777777" w:rsidR="00A96CB7" w:rsidRPr="004F1C07" w:rsidRDefault="00A96CB7" w:rsidP="003E1B22">
            <w:r>
              <w:t>Ovarian hyperstimulation syndrome</w:t>
            </w:r>
          </w:p>
        </w:tc>
        <w:tc>
          <w:tcPr>
            <w:tcW w:w="1276" w:type="dxa"/>
          </w:tcPr>
          <w:p w14:paraId="52CADCF0" w14:textId="77777777" w:rsidR="00A96CB7" w:rsidRPr="00F37BD5" w:rsidRDefault="00A96CB7" w:rsidP="003E1B22">
            <w:r w:rsidRPr="00F37BD5">
              <w:sym w:font="Wingdings" w:char="F0FC"/>
            </w:r>
          </w:p>
        </w:tc>
        <w:tc>
          <w:tcPr>
            <w:tcW w:w="1276" w:type="dxa"/>
          </w:tcPr>
          <w:p w14:paraId="4B8AD5AD" w14:textId="77777777" w:rsidR="00A96CB7" w:rsidRPr="00F37BD5" w:rsidRDefault="00A96CB7" w:rsidP="003E1B22">
            <w:r w:rsidRPr="00F37BD5">
              <w:t>–</w:t>
            </w:r>
          </w:p>
        </w:tc>
        <w:tc>
          <w:tcPr>
            <w:tcW w:w="1083" w:type="dxa"/>
          </w:tcPr>
          <w:p w14:paraId="28343CAB" w14:textId="77777777" w:rsidR="00A96CB7" w:rsidRPr="00F37BD5" w:rsidRDefault="00A96CB7" w:rsidP="003E1B22">
            <w:r w:rsidRPr="00F37BD5">
              <w:sym w:font="Wingdings" w:char="F0FC"/>
            </w:r>
          </w:p>
        </w:tc>
        <w:tc>
          <w:tcPr>
            <w:tcW w:w="1048" w:type="dxa"/>
          </w:tcPr>
          <w:p w14:paraId="77083865" w14:textId="77777777" w:rsidR="00A96CB7" w:rsidRPr="00F37BD5" w:rsidRDefault="00A96CB7" w:rsidP="003E1B22">
            <w:r w:rsidRPr="00F37BD5">
              <w:t>–</w:t>
            </w:r>
          </w:p>
        </w:tc>
      </w:tr>
      <w:tr w:rsidR="00A96CB7" w:rsidRPr="004F1C07" w14:paraId="2684AAD4" w14:textId="77777777" w:rsidTr="003E1B22">
        <w:trPr>
          <w:trHeight w:val="318"/>
        </w:trPr>
        <w:tc>
          <w:tcPr>
            <w:tcW w:w="2093" w:type="dxa"/>
            <w:vMerge w:val="restart"/>
          </w:tcPr>
          <w:p w14:paraId="6FBB3AE2" w14:textId="77777777" w:rsidR="00A96CB7" w:rsidRPr="00680101" w:rsidRDefault="00A96CB7" w:rsidP="003E1B22">
            <w:r w:rsidRPr="00680101">
              <w:t>Important potential risks</w:t>
            </w:r>
          </w:p>
        </w:tc>
        <w:tc>
          <w:tcPr>
            <w:tcW w:w="2693" w:type="dxa"/>
          </w:tcPr>
          <w:p w14:paraId="7CCEF492" w14:textId="77777777" w:rsidR="00A96CB7" w:rsidRPr="004F1C07" w:rsidRDefault="00A96CB7" w:rsidP="003E1B22">
            <w:r>
              <w:t>Hypersensitivity/immunogenicity</w:t>
            </w:r>
          </w:p>
        </w:tc>
        <w:tc>
          <w:tcPr>
            <w:tcW w:w="1276" w:type="dxa"/>
          </w:tcPr>
          <w:p w14:paraId="2A898AA3" w14:textId="77777777" w:rsidR="00A96CB7" w:rsidRPr="00F37BD5" w:rsidRDefault="00A96CB7" w:rsidP="003E1B22">
            <w:r w:rsidRPr="00F37BD5">
              <w:sym w:font="Wingdings" w:char="F0FC"/>
            </w:r>
          </w:p>
        </w:tc>
        <w:tc>
          <w:tcPr>
            <w:tcW w:w="1276" w:type="dxa"/>
          </w:tcPr>
          <w:p w14:paraId="799863F5" w14:textId="77777777" w:rsidR="00A96CB7" w:rsidRPr="00F37BD5" w:rsidRDefault="00A96CB7" w:rsidP="003E1B22">
            <w:r w:rsidRPr="00F37BD5">
              <w:t>–</w:t>
            </w:r>
          </w:p>
        </w:tc>
        <w:tc>
          <w:tcPr>
            <w:tcW w:w="1083" w:type="dxa"/>
          </w:tcPr>
          <w:p w14:paraId="663F988D" w14:textId="77777777" w:rsidR="00A96CB7" w:rsidRPr="00F37BD5" w:rsidRDefault="00A96CB7" w:rsidP="003E1B22">
            <w:r w:rsidRPr="00F37BD5">
              <w:sym w:font="Wingdings" w:char="F0FC"/>
            </w:r>
          </w:p>
        </w:tc>
        <w:tc>
          <w:tcPr>
            <w:tcW w:w="1048" w:type="dxa"/>
          </w:tcPr>
          <w:p w14:paraId="30CC3E74" w14:textId="77777777" w:rsidR="00A96CB7" w:rsidRPr="00F37BD5" w:rsidRDefault="00A96CB7" w:rsidP="003E1B22">
            <w:r w:rsidRPr="00F37BD5">
              <w:t>–</w:t>
            </w:r>
          </w:p>
        </w:tc>
      </w:tr>
      <w:tr w:rsidR="00A96CB7" w:rsidRPr="004F1C07" w14:paraId="6DD1A689" w14:textId="77777777" w:rsidTr="003E1B22">
        <w:trPr>
          <w:trHeight w:val="318"/>
        </w:trPr>
        <w:tc>
          <w:tcPr>
            <w:tcW w:w="2093" w:type="dxa"/>
            <w:vMerge/>
          </w:tcPr>
          <w:p w14:paraId="4A9A53D1" w14:textId="77777777" w:rsidR="00A96CB7" w:rsidRPr="00680101" w:rsidRDefault="00A96CB7" w:rsidP="003E1B22"/>
        </w:tc>
        <w:tc>
          <w:tcPr>
            <w:tcW w:w="2693" w:type="dxa"/>
          </w:tcPr>
          <w:p w14:paraId="1D8E59BC" w14:textId="77777777" w:rsidR="00A96CB7" w:rsidRDefault="00A96CB7" w:rsidP="003E1B22">
            <w:r>
              <w:t>Thromboembolic events</w:t>
            </w:r>
          </w:p>
        </w:tc>
        <w:tc>
          <w:tcPr>
            <w:tcW w:w="1276" w:type="dxa"/>
          </w:tcPr>
          <w:p w14:paraId="79154ED8" w14:textId="77777777" w:rsidR="00A96CB7" w:rsidRPr="00F37BD5" w:rsidRDefault="00A96CB7" w:rsidP="003E1B22">
            <w:r w:rsidRPr="00F37BD5">
              <w:sym w:font="Wingdings" w:char="F0FC"/>
            </w:r>
          </w:p>
        </w:tc>
        <w:tc>
          <w:tcPr>
            <w:tcW w:w="1276" w:type="dxa"/>
          </w:tcPr>
          <w:p w14:paraId="417EB499" w14:textId="77777777" w:rsidR="00A96CB7" w:rsidRPr="00F37BD5" w:rsidRDefault="00A96CB7" w:rsidP="003E1B22">
            <w:r>
              <w:t>-</w:t>
            </w:r>
          </w:p>
        </w:tc>
        <w:tc>
          <w:tcPr>
            <w:tcW w:w="1083" w:type="dxa"/>
          </w:tcPr>
          <w:p w14:paraId="34E31C70" w14:textId="77777777" w:rsidR="00A96CB7" w:rsidRPr="00F37BD5" w:rsidRDefault="00A96CB7" w:rsidP="003E1B22">
            <w:r w:rsidRPr="00F37BD5">
              <w:sym w:font="Wingdings" w:char="F0FC"/>
            </w:r>
          </w:p>
        </w:tc>
        <w:tc>
          <w:tcPr>
            <w:tcW w:w="1048" w:type="dxa"/>
          </w:tcPr>
          <w:p w14:paraId="07C6B9C6" w14:textId="77777777" w:rsidR="00A96CB7" w:rsidRPr="00F37BD5" w:rsidRDefault="00A96CB7" w:rsidP="003E1B22">
            <w:r>
              <w:t>-</w:t>
            </w:r>
          </w:p>
        </w:tc>
      </w:tr>
      <w:tr w:rsidR="00A96CB7" w:rsidRPr="004F1C07" w14:paraId="59BEE954" w14:textId="77777777" w:rsidTr="003E1B22">
        <w:trPr>
          <w:trHeight w:val="318"/>
        </w:trPr>
        <w:tc>
          <w:tcPr>
            <w:tcW w:w="2093" w:type="dxa"/>
            <w:vMerge/>
          </w:tcPr>
          <w:p w14:paraId="1EEECC29" w14:textId="77777777" w:rsidR="00A96CB7" w:rsidRPr="00680101" w:rsidRDefault="00A96CB7" w:rsidP="003E1B22"/>
        </w:tc>
        <w:tc>
          <w:tcPr>
            <w:tcW w:w="2693" w:type="dxa"/>
          </w:tcPr>
          <w:p w14:paraId="4A1AF412" w14:textId="77777777" w:rsidR="00A96CB7" w:rsidRDefault="00A96CB7" w:rsidP="003E1B22">
            <w:r>
              <w:t>Ovarian torsion</w:t>
            </w:r>
          </w:p>
        </w:tc>
        <w:tc>
          <w:tcPr>
            <w:tcW w:w="1276" w:type="dxa"/>
          </w:tcPr>
          <w:p w14:paraId="071232B4" w14:textId="77777777" w:rsidR="00A96CB7" w:rsidRPr="00F37BD5" w:rsidRDefault="00A96CB7" w:rsidP="003E1B22">
            <w:r w:rsidRPr="00F37BD5">
              <w:sym w:font="Wingdings" w:char="F0FC"/>
            </w:r>
          </w:p>
        </w:tc>
        <w:tc>
          <w:tcPr>
            <w:tcW w:w="1276" w:type="dxa"/>
          </w:tcPr>
          <w:p w14:paraId="602FE6E6" w14:textId="77777777" w:rsidR="00A96CB7" w:rsidRPr="00F37BD5" w:rsidRDefault="00A96CB7" w:rsidP="003E1B22">
            <w:r>
              <w:t>-</w:t>
            </w:r>
          </w:p>
        </w:tc>
        <w:tc>
          <w:tcPr>
            <w:tcW w:w="1083" w:type="dxa"/>
          </w:tcPr>
          <w:p w14:paraId="28B9F8A5" w14:textId="77777777" w:rsidR="00A96CB7" w:rsidRPr="00F37BD5" w:rsidRDefault="00A96CB7" w:rsidP="003E1B22">
            <w:r w:rsidRPr="00F37BD5">
              <w:sym w:font="Wingdings" w:char="F0FC"/>
            </w:r>
          </w:p>
        </w:tc>
        <w:tc>
          <w:tcPr>
            <w:tcW w:w="1048" w:type="dxa"/>
          </w:tcPr>
          <w:p w14:paraId="0184ABC9" w14:textId="77777777" w:rsidR="00A96CB7" w:rsidRPr="00F37BD5" w:rsidRDefault="00A96CB7" w:rsidP="003E1B22">
            <w:r>
              <w:t>-</w:t>
            </w:r>
          </w:p>
        </w:tc>
      </w:tr>
      <w:tr w:rsidR="00A96CB7" w:rsidRPr="004F1C07" w14:paraId="091189E5" w14:textId="77777777" w:rsidTr="003E1B22">
        <w:trPr>
          <w:trHeight w:val="318"/>
        </w:trPr>
        <w:tc>
          <w:tcPr>
            <w:tcW w:w="2093" w:type="dxa"/>
            <w:vMerge/>
          </w:tcPr>
          <w:p w14:paraId="0C0A14E9" w14:textId="77777777" w:rsidR="00A96CB7" w:rsidRPr="00680101" w:rsidRDefault="00A96CB7" w:rsidP="003E1B22"/>
        </w:tc>
        <w:tc>
          <w:tcPr>
            <w:tcW w:w="2693" w:type="dxa"/>
          </w:tcPr>
          <w:p w14:paraId="79D0E1F8" w14:textId="77777777" w:rsidR="00A96CB7" w:rsidRDefault="00A96CB7" w:rsidP="003E1B22">
            <w:r>
              <w:t>Multiple pregnancy</w:t>
            </w:r>
          </w:p>
        </w:tc>
        <w:tc>
          <w:tcPr>
            <w:tcW w:w="1276" w:type="dxa"/>
          </w:tcPr>
          <w:p w14:paraId="5D79D131" w14:textId="77777777" w:rsidR="00A96CB7" w:rsidRPr="00F37BD5" w:rsidRDefault="00A96CB7" w:rsidP="003E1B22">
            <w:r w:rsidRPr="00F37BD5">
              <w:sym w:font="Wingdings" w:char="F0FC"/>
            </w:r>
          </w:p>
        </w:tc>
        <w:tc>
          <w:tcPr>
            <w:tcW w:w="1276" w:type="dxa"/>
          </w:tcPr>
          <w:p w14:paraId="255B266F" w14:textId="77777777" w:rsidR="00A96CB7" w:rsidRPr="00F37BD5" w:rsidRDefault="00A96CB7" w:rsidP="003E1B22">
            <w:r>
              <w:t>-</w:t>
            </w:r>
          </w:p>
        </w:tc>
        <w:tc>
          <w:tcPr>
            <w:tcW w:w="1083" w:type="dxa"/>
          </w:tcPr>
          <w:p w14:paraId="34DE3DCD" w14:textId="77777777" w:rsidR="00A96CB7" w:rsidRPr="00F37BD5" w:rsidRDefault="00A96CB7" w:rsidP="003E1B22">
            <w:r w:rsidRPr="00F37BD5">
              <w:sym w:font="Wingdings" w:char="F0FC"/>
            </w:r>
          </w:p>
        </w:tc>
        <w:tc>
          <w:tcPr>
            <w:tcW w:w="1048" w:type="dxa"/>
          </w:tcPr>
          <w:p w14:paraId="4CF5B445" w14:textId="77777777" w:rsidR="00A96CB7" w:rsidRPr="00F37BD5" w:rsidRDefault="00A96CB7" w:rsidP="003E1B22">
            <w:r>
              <w:t>-</w:t>
            </w:r>
          </w:p>
        </w:tc>
      </w:tr>
      <w:tr w:rsidR="00A96CB7" w:rsidRPr="004F1C07" w14:paraId="6E3709A7" w14:textId="77777777" w:rsidTr="003E1B22">
        <w:trPr>
          <w:trHeight w:val="318"/>
        </w:trPr>
        <w:tc>
          <w:tcPr>
            <w:tcW w:w="2093" w:type="dxa"/>
            <w:vMerge/>
          </w:tcPr>
          <w:p w14:paraId="00E3CCF8" w14:textId="77777777" w:rsidR="00A96CB7" w:rsidRPr="00680101" w:rsidRDefault="00A96CB7" w:rsidP="003E1B22"/>
        </w:tc>
        <w:tc>
          <w:tcPr>
            <w:tcW w:w="2693" w:type="dxa"/>
          </w:tcPr>
          <w:p w14:paraId="3E3AF11A" w14:textId="77777777" w:rsidR="00A96CB7" w:rsidRDefault="00A96CB7" w:rsidP="003E1B22">
            <w:r>
              <w:t>Pregnancy loss</w:t>
            </w:r>
          </w:p>
        </w:tc>
        <w:tc>
          <w:tcPr>
            <w:tcW w:w="1276" w:type="dxa"/>
          </w:tcPr>
          <w:p w14:paraId="76405653" w14:textId="77777777" w:rsidR="00A96CB7" w:rsidRPr="00F37BD5" w:rsidRDefault="00A96CB7" w:rsidP="003E1B22">
            <w:r w:rsidRPr="00F37BD5">
              <w:sym w:font="Wingdings" w:char="F0FC"/>
            </w:r>
          </w:p>
        </w:tc>
        <w:tc>
          <w:tcPr>
            <w:tcW w:w="1276" w:type="dxa"/>
          </w:tcPr>
          <w:p w14:paraId="1D3C9854" w14:textId="77777777" w:rsidR="00A96CB7" w:rsidRPr="00F37BD5" w:rsidRDefault="00A96CB7" w:rsidP="003E1B22">
            <w:r>
              <w:t>-</w:t>
            </w:r>
          </w:p>
        </w:tc>
        <w:tc>
          <w:tcPr>
            <w:tcW w:w="1083" w:type="dxa"/>
          </w:tcPr>
          <w:p w14:paraId="38AC90D4" w14:textId="77777777" w:rsidR="00A96CB7" w:rsidRPr="00F37BD5" w:rsidRDefault="00A96CB7" w:rsidP="003E1B22">
            <w:r w:rsidRPr="00F37BD5">
              <w:sym w:font="Wingdings" w:char="F0FC"/>
            </w:r>
          </w:p>
        </w:tc>
        <w:tc>
          <w:tcPr>
            <w:tcW w:w="1048" w:type="dxa"/>
          </w:tcPr>
          <w:p w14:paraId="4F3CE557" w14:textId="77777777" w:rsidR="00A96CB7" w:rsidRPr="00F37BD5" w:rsidRDefault="00A96CB7" w:rsidP="003E1B22">
            <w:r>
              <w:t>-</w:t>
            </w:r>
          </w:p>
        </w:tc>
      </w:tr>
      <w:tr w:rsidR="00A96CB7" w:rsidRPr="004F1C07" w14:paraId="3D57EA20" w14:textId="77777777" w:rsidTr="003E1B22">
        <w:trPr>
          <w:trHeight w:val="318"/>
        </w:trPr>
        <w:tc>
          <w:tcPr>
            <w:tcW w:w="2093" w:type="dxa"/>
            <w:vMerge/>
          </w:tcPr>
          <w:p w14:paraId="507A3DB5" w14:textId="77777777" w:rsidR="00A96CB7" w:rsidRPr="00680101" w:rsidRDefault="00A96CB7" w:rsidP="003E1B22"/>
        </w:tc>
        <w:tc>
          <w:tcPr>
            <w:tcW w:w="2693" w:type="dxa"/>
          </w:tcPr>
          <w:p w14:paraId="7C9E3446" w14:textId="77777777" w:rsidR="00A96CB7" w:rsidRDefault="00A96CB7" w:rsidP="003E1B22">
            <w:r>
              <w:t>Ectopic pregnancy</w:t>
            </w:r>
          </w:p>
        </w:tc>
        <w:tc>
          <w:tcPr>
            <w:tcW w:w="1276" w:type="dxa"/>
          </w:tcPr>
          <w:p w14:paraId="5C48545E" w14:textId="77777777" w:rsidR="00A96CB7" w:rsidRPr="00F37BD5" w:rsidRDefault="00A96CB7" w:rsidP="003E1B22">
            <w:r w:rsidRPr="00F37BD5">
              <w:sym w:font="Wingdings" w:char="F0FC"/>
            </w:r>
          </w:p>
        </w:tc>
        <w:tc>
          <w:tcPr>
            <w:tcW w:w="1276" w:type="dxa"/>
          </w:tcPr>
          <w:p w14:paraId="5DD98C90" w14:textId="77777777" w:rsidR="00A96CB7" w:rsidRPr="00F37BD5" w:rsidRDefault="00A96CB7" w:rsidP="003E1B22">
            <w:r>
              <w:t>-</w:t>
            </w:r>
          </w:p>
        </w:tc>
        <w:tc>
          <w:tcPr>
            <w:tcW w:w="1083" w:type="dxa"/>
          </w:tcPr>
          <w:p w14:paraId="7DF25829" w14:textId="77777777" w:rsidR="00A96CB7" w:rsidRPr="00F37BD5" w:rsidRDefault="00A96CB7" w:rsidP="003E1B22">
            <w:r w:rsidRPr="00F37BD5">
              <w:sym w:font="Wingdings" w:char="F0FC"/>
            </w:r>
          </w:p>
        </w:tc>
        <w:tc>
          <w:tcPr>
            <w:tcW w:w="1048" w:type="dxa"/>
          </w:tcPr>
          <w:p w14:paraId="552D13A8" w14:textId="77777777" w:rsidR="00A96CB7" w:rsidRPr="00F37BD5" w:rsidRDefault="00A96CB7" w:rsidP="003E1B22">
            <w:r>
              <w:t>-</w:t>
            </w:r>
          </w:p>
        </w:tc>
      </w:tr>
      <w:tr w:rsidR="00A96CB7" w:rsidRPr="004F1C07" w14:paraId="089F92EB" w14:textId="77777777" w:rsidTr="003E1B22">
        <w:trPr>
          <w:trHeight w:val="318"/>
        </w:trPr>
        <w:tc>
          <w:tcPr>
            <w:tcW w:w="2093" w:type="dxa"/>
            <w:vMerge/>
          </w:tcPr>
          <w:p w14:paraId="70BD9C26" w14:textId="77777777" w:rsidR="00A96CB7" w:rsidRPr="00680101" w:rsidRDefault="00A96CB7" w:rsidP="003E1B22"/>
        </w:tc>
        <w:tc>
          <w:tcPr>
            <w:tcW w:w="2693" w:type="dxa"/>
          </w:tcPr>
          <w:p w14:paraId="351C456E" w14:textId="77777777" w:rsidR="00A96CB7" w:rsidRDefault="00A96CB7" w:rsidP="003E1B22">
            <w:r>
              <w:t>Reproductive system neoplasms</w:t>
            </w:r>
          </w:p>
        </w:tc>
        <w:tc>
          <w:tcPr>
            <w:tcW w:w="1276" w:type="dxa"/>
          </w:tcPr>
          <w:p w14:paraId="18A06EE5" w14:textId="77777777" w:rsidR="00A96CB7" w:rsidRPr="00F37BD5" w:rsidRDefault="00A96CB7" w:rsidP="003E1B22">
            <w:r w:rsidRPr="00F37BD5">
              <w:sym w:font="Wingdings" w:char="F0FC"/>
            </w:r>
          </w:p>
        </w:tc>
        <w:tc>
          <w:tcPr>
            <w:tcW w:w="1276" w:type="dxa"/>
          </w:tcPr>
          <w:p w14:paraId="5DCB0A2D" w14:textId="77777777" w:rsidR="00A96CB7" w:rsidRPr="00F37BD5" w:rsidRDefault="00A96CB7" w:rsidP="003E1B22">
            <w:r>
              <w:t>-</w:t>
            </w:r>
          </w:p>
        </w:tc>
        <w:tc>
          <w:tcPr>
            <w:tcW w:w="1083" w:type="dxa"/>
          </w:tcPr>
          <w:p w14:paraId="51524906" w14:textId="77777777" w:rsidR="00A96CB7" w:rsidRPr="00F37BD5" w:rsidRDefault="00A96CB7" w:rsidP="003E1B22">
            <w:r w:rsidRPr="00F37BD5">
              <w:sym w:font="Wingdings" w:char="F0FC"/>
            </w:r>
          </w:p>
        </w:tc>
        <w:tc>
          <w:tcPr>
            <w:tcW w:w="1048" w:type="dxa"/>
          </w:tcPr>
          <w:p w14:paraId="5CC83B80" w14:textId="77777777" w:rsidR="00A96CB7" w:rsidRPr="00F37BD5" w:rsidRDefault="00A96CB7" w:rsidP="003E1B22">
            <w:r>
              <w:t>-</w:t>
            </w:r>
          </w:p>
        </w:tc>
      </w:tr>
      <w:tr w:rsidR="00A96CB7" w:rsidRPr="004F1C07" w14:paraId="4C823B9D" w14:textId="77777777" w:rsidTr="003E1B22">
        <w:trPr>
          <w:trHeight w:val="318"/>
        </w:trPr>
        <w:tc>
          <w:tcPr>
            <w:tcW w:w="2093" w:type="dxa"/>
            <w:vMerge/>
          </w:tcPr>
          <w:p w14:paraId="6CD3E6AF" w14:textId="77777777" w:rsidR="00A96CB7" w:rsidRPr="00680101" w:rsidRDefault="00A96CB7" w:rsidP="003E1B22"/>
        </w:tc>
        <w:tc>
          <w:tcPr>
            <w:tcW w:w="2693" w:type="dxa"/>
          </w:tcPr>
          <w:p w14:paraId="1845B2F3" w14:textId="77777777" w:rsidR="00A96CB7" w:rsidRDefault="00A96CB7" w:rsidP="003E1B22">
            <w:r>
              <w:t>Congenital malformations</w:t>
            </w:r>
          </w:p>
        </w:tc>
        <w:tc>
          <w:tcPr>
            <w:tcW w:w="1276" w:type="dxa"/>
          </w:tcPr>
          <w:p w14:paraId="44EED2FE" w14:textId="77777777" w:rsidR="00A96CB7" w:rsidRPr="00F37BD5" w:rsidRDefault="00A96CB7" w:rsidP="003E1B22">
            <w:r w:rsidRPr="00F37BD5">
              <w:sym w:font="Wingdings" w:char="F0FC"/>
            </w:r>
          </w:p>
        </w:tc>
        <w:tc>
          <w:tcPr>
            <w:tcW w:w="1276" w:type="dxa"/>
          </w:tcPr>
          <w:p w14:paraId="19213564" w14:textId="77777777" w:rsidR="00A96CB7" w:rsidRPr="00F37BD5" w:rsidRDefault="00A96CB7" w:rsidP="003E1B22">
            <w:r>
              <w:t>-</w:t>
            </w:r>
          </w:p>
        </w:tc>
        <w:tc>
          <w:tcPr>
            <w:tcW w:w="1083" w:type="dxa"/>
          </w:tcPr>
          <w:p w14:paraId="2A09EC03" w14:textId="77777777" w:rsidR="00A96CB7" w:rsidRPr="00F37BD5" w:rsidRDefault="00A96CB7" w:rsidP="003E1B22">
            <w:r w:rsidRPr="00F37BD5">
              <w:sym w:font="Wingdings" w:char="F0FC"/>
            </w:r>
          </w:p>
        </w:tc>
        <w:tc>
          <w:tcPr>
            <w:tcW w:w="1048" w:type="dxa"/>
          </w:tcPr>
          <w:p w14:paraId="59AFE8C9" w14:textId="77777777" w:rsidR="00A96CB7" w:rsidRPr="00F37BD5" w:rsidRDefault="00A96CB7" w:rsidP="003E1B22">
            <w:r>
              <w:t>-</w:t>
            </w:r>
          </w:p>
        </w:tc>
      </w:tr>
      <w:tr w:rsidR="00A96CB7" w:rsidRPr="004F1C07" w14:paraId="64A084B9" w14:textId="77777777" w:rsidTr="003E1B22">
        <w:trPr>
          <w:trHeight w:val="393"/>
        </w:trPr>
        <w:tc>
          <w:tcPr>
            <w:tcW w:w="2093" w:type="dxa"/>
            <w:vMerge w:val="restart"/>
          </w:tcPr>
          <w:p w14:paraId="3B35D2A6" w14:textId="77777777" w:rsidR="00A96CB7" w:rsidRPr="00680101" w:rsidRDefault="00A96CB7" w:rsidP="003E1B22">
            <w:r w:rsidRPr="00680101">
              <w:t>Missing information</w:t>
            </w:r>
          </w:p>
        </w:tc>
        <w:tc>
          <w:tcPr>
            <w:tcW w:w="2693" w:type="dxa"/>
          </w:tcPr>
          <w:p w14:paraId="1ADEF144" w14:textId="77777777" w:rsidR="00A96CB7" w:rsidRPr="00AE4C2A" w:rsidRDefault="00A96CB7" w:rsidP="003E1B22">
            <w:r w:rsidRPr="00AE4C2A">
              <w:t>Use in patients with renal and hepatic impairment</w:t>
            </w:r>
          </w:p>
        </w:tc>
        <w:tc>
          <w:tcPr>
            <w:tcW w:w="1276" w:type="dxa"/>
          </w:tcPr>
          <w:p w14:paraId="75DA71B3" w14:textId="77777777" w:rsidR="00A96CB7" w:rsidRPr="00F37BD5" w:rsidRDefault="00A96CB7" w:rsidP="003E1B22">
            <w:r w:rsidRPr="00F37BD5">
              <w:sym w:font="Wingdings" w:char="F0FC"/>
            </w:r>
          </w:p>
        </w:tc>
        <w:tc>
          <w:tcPr>
            <w:tcW w:w="1276" w:type="dxa"/>
          </w:tcPr>
          <w:p w14:paraId="5848E27A" w14:textId="77777777" w:rsidR="00A96CB7" w:rsidRPr="00F37BD5" w:rsidRDefault="00A96CB7" w:rsidP="003E1B22">
            <w:r w:rsidRPr="00F37BD5">
              <w:t>–</w:t>
            </w:r>
          </w:p>
        </w:tc>
        <w:tc>
          <w:tcPr>
            <w:tcW w:w="1083" w:type="dxa"/>
          </w:tcPr>
          <w:p w14:paraId="7F25454C" w14:textId="77777777" w:rsidR="00A96CB7" w:rsidRPr="00F37BD5" w:rsidRDefault="00A96CB7" w:rsidP="003E1B22">
            <w:r w:rsidRPr="00F37BD5">
              <w:sym w:font="Wingdings" w:char="F0FC"/>
            </w:r>
          </w:p>
        </w:tc>
        <w:tc>
          <w:tcPr>
            <w:tcW w:w="1048" w:type="dxa"/>
          </w:tcPr>
          <w:p w14:paraId="53E072CA" w14:textId="77777777" w:rsidR="00A96CB7" w:rsidRPr="00F37BD5" w:rsidRDefault="00A96CB7" w:rsidP="003E1B22">
            <w:r w:rsidRPr="00F37BD5">
              <w:t>–</w:t>
            </w:r>
          </w:p>
        </w:tc>
      </w:tr>
      <w:tr w:rsidR="00A96CB7" w:rsidRPr="004F1C07" w14:paraId="105F123E" w14:textId="77777777" w:rsidTr="003E1B22">
        <w:trPr>
          <w:trHeight w:val="113"/>
        </w:trPr>
        <w:tc>
          <w:tcPr>
            <w:tcW w:w="2093" w:type="dxa"/>
            <w:vMerge/>
          </w:tcPr>
          <w:p w14:paraId="7D10A923" w14:textId="77777777" w:rsidR="00A96CB7" w:rsidRPr="00680101" w:rsidRDefault="00A96CB7" w:rsidP="003E1B22"/>
        </w:tc>
        <w:tc>
          <w:tcPr>
            <w:tcW w:w="2693" w:type="dxa"/>
          </w:tcPr>
          <w:p w14:paraId="03358E31" w14:textId="77777777" w:rsidR="00A96CB7" w:rsidRPr="00AE4C2A" w:rsidRDefault="00A96CB7" w:rsidP="003E1B22">
            <w:r>
              <w:t>Experience in anovulatory patients with polycystic ovarian syndrome</w:t>
            </w:r>
          </w:p>
        </w:tc>
        <w:tc>
          <w:tcPr>
            <w:tcW w:w="1276" w:type="dxa"/>
          </w:tcPr>
          <w:p w14:paraId="389CA5A0" w14:textId="77777777" w:rsidR="00A96CB7" w:rsidRPr="00F37BD5" w:rsidRDefault="00A96CB7" w:rsidP="003E1B22">
            <w:r w:rsidRPr="00F37BD5">
              <w:sym w:font="Wingdings" w:char="F0FC"/>
            </w:r>
          </w:p>
        </w:tc>
        <w:tc>
          <w:tcPr>
            <w:tcW w:w="1276" w:type="dxa"/>
          </w:tcPr>
          <w:p w14:paraId="6C8AAAF7" w14:textId="77777777" w:rsidR="00A96CB7" w:rsidRPr="00F37BD5" w:rsidRDefault="00A96CB7" w:rsidP="003E1B22">
            <w:r w:rsidRPr="00F37BD5">
              <w:t>–</w:t>
            </w:r>
          </w:p>
        </w:tc>
        <w:tc>
          <w:tcPr>
            <w:tcW w:w="1083" w:type="dxa"/>
          </w:tcPr>
          <w:p w14:paraId="1ECDAD49" w14:textId="77777777" w:rsidR="00A96CB7" w:rsidRPr="00F37BD5" w:rsidRDefault="00A96CB7" w:rsidP="003E1B22">
            <w:r w:rsidRPr="00F37BD5">
              <w:sym w:font="Wingdings" w:char="F0FC"/>
            </w:r>
          </w:p>
        </w:tc>
        <w:tc>
          <w:tcPr>
            <w:tcW w:w="1048" w:type="dxa"/>
          </w:tcPr>
          <w:p w14:paraId="537D7E31" w14:textId="77777777" w:rsidR="00A96CB7" w:rsidRPr="00F37BD5" w:rsidRDefault="00A96CB7" w:rsidP="003E1B22">
            <w:r w:rsidRPr="00F37BD5">
              <w:t>–</w:t>
            </w:r>
          </w:p>
        </w:tc>
      </w:tr>
      <w:tr w:rsidR="00A96CB7" w:rsidRPr="004F1C07" w14:paraId="2CE2E590" w14:textId="77777777" w:rsidTr="003E1B22">
        <w:trPr>
          <w:trHeight w:val="76"/>
        </w:trPr>
        <w:tc>
          <w:tcPr>
            <w:tcW w:w="2093" w:type="dxa"/>
            <w:vMerge/>
          </w:tcPr>
          <w:p w14:paraId="2A4B9257" w14:textId="77777777" w:rsidR="00A96CB7" w:rsidRPr="00680101" w:rsidRDefault="00A96CB7" w:rsidP="003E1B22"/>
        </w:tc>
        <w:tc>
          <w:tcPr>
            <w:tcW w:w="2693" w:type="dxa"/>
          </w:tcPr>
          <w:p w14:paraId="3039E7D3" w14:textId="77777777" w:rsidR="00A96CB7" w:rsidRPr="00AE4C2A" w:rsidRDefault="00A96CB7" w:rsidP="003E1B22">
            <w:r w:rsidRPr="0050352C">
              <w:t xml:space="preserve">Experience with </w:t>
            </w:r>
            <w:r w:rsidR="00FD2B65">
              <w:t>Rekovelle</w:t>
            </w:r>
            <w:r w:rsidRPr="0050352C">
              <w:t xml:space="preserve"> in the GnRH agonist protocol</w:t>
            </w:r>
          </w:p>
        </w:tc>
        <w:tc>
          <w:tcPr>
            <w:tcW w:w="1276" w:type="dxa"/>
          </w:tcPr>
          <w:p w14:paraId="387F69C9" w14:textId="77777777" w:rsidR="00A96CB7" w:rsidRPr="00F37BD5" w:rsidRDefault="00A96CB7" w:rsidP="003E1B22">
            <w:r w:rsidRPr="00F37BD5">
              <w:sym w:font="Wingdings" w:char="F0FC"/>
            </w:r>
          </w:p>
        </w:tc>
        <w:tc>
          <w:tcPr>
            <w:tcW w:w="1276" w:type="dxa"/>
          </w:tcPr>
          <w:p w14:paraId="0B0A1F96" w14:textId="77777777" w:rsidR="00A96CB7" w:rsidRPr="00F37BD5" w:rsidRDefault="00A96CB7" w:rsidP="003E1B22">
            <w:r w:rsidRPr="00F37BD5">
              <w:t>–</w:t>
            </w:r>
          </w:p>
        </w:tc>
        <w:tc>
          <w:tcPr>
            <w:tcW w:w="1083" w:type="dxa"/>
          </w:tcPr>
          <w:p w14:paraId="1E6A6F9F" w14:textId="77777777" w:rsidR="00A96CB7" w:rsidRPr="00F37BD5" w:rsidRDefault="00A96CB7" w:rsidP="003E1B22">
            <w:r w:rsidRPr="00F37BD5">
              <w:sym w:font="Wingdings" w:char="F0FC"/>
            </w:r>
          </w:p>
        </w:tc>
        <w:tc>
          <w:tcPr>
            <w:tcW w:w="1048" w:type="dxa"/>
          </w:tcPr>
          <w:p w14:paraId="7448EE17" w14:textId="77777777" w:rsidR="00A96CB7" w:rsidRPr="00F37BD5" w:rsidRDefault="00A96CB7" w:rsidP="003E1B22">
            <w:r w:rsidRPr="00F37BD5">
              <w:t>–</w:t>
            </w:r>
          </w:p>
        </w:tc>
      </w:tr>
      <w:tr w:rsidR="00A96CB7" w:rsidRPr="004F1C07" w14:paraId="7D731D5D" w14:textId="77777777" w:rsidTr="003E1B22">
        <w:trPr>
          <w:trHeight w:val="195"/>
        </w:trPr>
        <w:tc>
          <w:tcPr>
            <w:tcW w:w="2093" w:type="dxa"/>
            <w:vMerge/>
          </w:tcPr>
          <w:p w14:paraId="178D8CDF" w14:textId="77777777" w:rsidR="00A96CB7" w:rsidRPr="00680101" w:rsidRDefault="00A96CB7" w:rsidP="003E1B22"/>
        </w:tc>
        <w:tc>
          <w:tcPr>
            <w:tcW w:w="2693" w:type="dxa"/>
          </w:tcPr>
          <w:p w14:paraId="2C620C66" w14:textId="77777777" w:rsidR="00A96CB7" w:rsidRDefault="00A96CB7" w:rsidP="003E1B22">
            <w:r w:rsidRPr="0050352C">
              <w:t>Limited experience in women &gt;40 years of age</w:t>
            </w:r>
          </w:p>
        </w:tc>
        <w:tc>
          <w:tcPr>
            <w:tcW w:w="1276" w:type="dxa"/>
          </w:tcPr>
          <w:p w14:paraId="4882602C" w14:textId="77777777" w:rsidR="00A96CB7" w:rsidRPr="00F37BD5" w:rsidRDefault="00A96CB7" w:rsidP="003E1B22">
            <w:r w:rsidRPr="00F37BD5">
              <w:sym w:font="Wingdings" w:char="F0FC"/>
            </w:r>
          </w:p>
        </w:tc>
        <w:tc>
          <w:tcPr>
            <w:tcW w:w="1276" w:type="dxa"/>
          </w:tcPr>
          <w:p w14:paraId="4CB05DE3" w14:textId="77777777" w:rsidR="00A96CB7" w:rsidRPr="00F37BD5" w:rsidRDefault="00A96CB7" w:rsidP="003E1B22">
            <w:r>
              <w:t>-</w:t>
            </w:r>
          </w:p>
        </w:tc>
        <w:tc>
          <w:tcPr>
            <w:tcW w:w="1083" w:type="dxa"/>
          </w:tcPr>
          <w:p w14:paraId="250EA881" w14:textId="77777777" w:rsidR="00A96CB7" w:rsidRPr="00F37BD5" w:rsidRDefault="00A96CB7" w:rsidP="003E1B22">
            <w:r w:rsidRPr="00F37BD5">
              <w:sym w:font="Wingdings" w:char="F0FC"/>
            </w:r>
          </w:p>
        </w:tc>
        <w:tc>
          <w:tcPr>
            <w:tcW w:w="1048" w:type="dxa"/>
          </w:tcPr>
          <w:p w14:paraId="3E632AF0" w14:textId="77777777" w:rsidR="00A96CB7" w:rsidRPr="00F37BD5" w:rsidRDefault="00A96CB7" w:rsidP="003E1B22">
            <w:r>
              <w:t>-</w:t>
            </w:r>
          </w:p>
        </w:tc>
      </w:tr>
    </w:tbl>
    <w:p w14:paraId="7DCF764B" w14:textId="1AFA03B3" w:rsidR="003E1B22" w:rsidRDefault="003E1B22" w:rsidP="003E1B22">
      <w:pPr>
        <w:pStyle w:val="TableDescription"/>
      </w:pPr>
      <w:r>
        <w:t>R=routine and A=Additional</w:t>
      </w:r>
      <w:r>
        <w:rPr>
          <w:rStyle w:val="FootnoteReference"/>
        </w:rPr>
        <w:footnoteReference w:id="8"/>
      </w:r>
    </w:p>
    <w:p w14:paraId="443A735E" w14:textId="77777777" w:rsidR="00A96CB7" w:rsidRDefault="00A96CB7" w:rsidP="00A96CB7">
      <w:pPr>
        <w:pStyle w:val="Bulletlist"/>
        <w:spacing w:before="240"/>
      </w:pPr>
      <w:r>
        <w:t xml:space="preserve">No additional </w:t>
      </w:r>
      <w:r w:rsidRPr="00DD1869">
        <w:t>pharmacovigilance or risk minimisation activities are proposed</w:t>
      </w:r>
      <w:r>
        <w:t>, however:</w:t>
      </w:r>
    </w:p>
    <w:p w14:paraId="1168BD49" w14:textId="77777777" w:rsidR="00672DB4" w:rsidRPr="00DD1869" w:rsidRDefault="00672DB4" w:rsidP="00672DB4">
      <w:pPr>
        <w:pStyle w:val="ListBullet2"/>
      </w:pPr>
      <w:r>
        <w:t xml:space="preserve">A </w:t>
      </w:r>
      <w:r w:rsidR="00900D1E">
        <w:t>Dear Health Care Provider (</w:t>
      </w:r>
      <w:r>
        <w:t>DHCP</w:t>
      </w:r>
      <w:r w:rsidR="00900D1E">
        <w:t>)</w:t>
      </w:r>
      <w:r>
        <w:t xml:space="preserve"> letter addressing the need to use the specified Roche ElecSys AMH Assay for dose selection should be implemented</w:t>
      </w:r>
    </w:p>
    <w:p w14:paraId="7A324EB7" w14:textId="77777777" w:rsidR="00A96CB7" w:rsidRPr="00CD00D0" w:rsidRDefault="00A96CB7" w:rsidP="00672DB4">
      <w:pPr>
        <w:pStyle w:val="ListBullet2"/>
      </w:pPr>
      <w:r w:rsidRPr="00DD1869">
        <w:t xml:space="preserve">The </w:t>
      </w:r>
      <w:r w:rsidR="00672DB4" w:rsidRPr="00672DB4">
        <w:t>Rekovelle</w:t>
      </w:r>
      <w:r w:rsidR="00672DB4" w:rsidRPr="00DD1869">
        <w:t xml:space="preserve"> </w:t>
      </w:r>
      <w:r w:rsidRPr="00DD1869">
        <w:t>in</w:t>
      </w:r>
      <w:r>
        <w:t>jection pen will be supplied with an ‘instructions for use’ leaflet, which is considered part of the routine risk minimisation activities. It must be supplied, along with the CMI, with the product.</w:t>
      </w:r>
    </w:p>
    <w:p w14:paraId="7702C155" w14:textId="77777777" w:rsidR="00A96CB7" w:rsidRDefault="00A96CB7" w:rsidP="00672DB4">
      <w:pPr>
        <w:pStyle w:val="Heading4"/>
      </w:pPr>
      <w:bookmarkStart w:id="184" w:name="_Toc478137151"/>
      <w:bookmarkEnd w:id="183"/>
      <w:r>
        <w:t>Conclusions</w:t>
      </w:r>
      <w:bookmarkEnd w:id="184"/>
    </w:p>
    <w:p w14:paraId="5EBAE6E1" w14:textId="77777777" w:rsidR="00371AC4" w:rsidRDefault="00A96CB7" w:rsidP="00A96CB7">
      <w:pPr>
        <w:pStyle w:val="Standard"/>
      </w:pPr>
      <w:r>
        <w:t>The recommendations made in the Roun</w:t>
      </w:r>
      <w:r w:rsidR="00900D1E">
        <w:t>d 1 and Round 2 RMP evaluations</w:t>
      </w:r>
      <w:r>
        <w:t xml:space="preserve"> have be</w:t>
      </w:r>
      <w:r w:rsidR="00672DB4">
        <w:t>en addressed satisfactorily by s</w:t>
      </w:r>
      <w:r>
        <w:t>ponsor</w:t>
      </w:r>
      <w:r w:rsidR="00371AC4">
        <w:t>.</w:t>
      </w:r>
    </w:p>
    <w:p w14:paraId="3B5B0931" w14:textId="6E80D010" w:rsidR="00A96CB7" w:rsidRDefault="00A96CB7" w:rsidP="00A96CB7">
      <w:pPr>
        <w:pStyle w:val="Standard"/>
      </w:pPr>
      <w:r>
        <w:t>Two additional recommendations are made, following the meeting of the Advisory Committee on Medicines</w:t>
      </w:r>
      <w:r w:rsidR="00672DB4">
        <w:t xml:space="preserve"> (Table 1</w:t>
      </w:r>
      <w:r w:rsidR="00802246">
        <w:t>2</w:t>
      </w:r>
      <w:r w:rsidR="00672DB4">
        <w:t>)</w:t>
      </w:r>
      <w:r>
        <w:t>:</w:t>
      </w:r>
    </w:p>
    <w:p w14:paraId="2E7C6722" w14:textId="77777777" w:rsidR="00672DB4" w:rsidRDefault="00672DB4" w:rsidP="00672DB4">
      <w:pPr>
        <w:pStyle w:val="TableTitle"/>
      </w:pPr>
      <w:r>
        <w:t>Table 1</w:t>
      </w:r>
      <w:r w:rsidR="00802246">
        <w:t>2</w:t>
      </w:r>
      <w:r>
        <w:t>: Post-Advisory committee update</w:t>
      </w:r>
    </w:p>
    <w:tbl>
      <w:tblPr>
        <w:tblStyle w:val="TableTGAblue"/>
        <w:tblW w:w="0" w:type="auto"/>
        <w:tblLook w:val="04A0" w:firstRow="1" w:lastRow="0" w:firstColumn="1" w:lastColumn="0" w:noHBand="0" w:noVBand="1"/>
      </w:tblPr>
      <w:tblGrid>
        <w:gridCol w:w="8720"/>
      </w:tblGrid>
      <w:tr w:rsidR="00A96CB7" w:rsidRPr="00672DB4" w14:paraId="46912846" w14:textId="77777777" w:rsidTr="00672DB4">
        <w:trPr>
          <w:cnfStyle w:val="100000000000" w:firstRow="1" w:lastRow="0" w:firstColumn="0" w:lastColumn="0" w:oddVBand="0" w:evenVBand="0" w:oddHBand="0" w:evenHBand="0" w:firstRowFirstColumn="0" w:firstRowLastColumn="0" w:lastRowFirstColumn="0" w:lastRowLastColumn="0"/>
        </w:trPr>
        <w:tc>
          <w:tcPr>
            <w:tcW w:w="9572" w:type="dxa"/>
          </w:tcPr>
          <w:p w14:paraId="758D3E04" w14:textId="77777777" w:rsidR="00A96CB7" w:rsidRPr="00672DB4" w:rsidRDefault="00672DB4" w:rsidP="00672DB4">
            <w:r>
              <w:t>Post ACM update</w:t>
            </w:r>
          </w:p>
        </w:tc>
      </w:tr>
      <w:tr w:rsidR="00A96CB7" w14:paraId="5E925821" w14:textId="77777777" w:rsidTr="00672DB4">
        <w:tc>
          <w:tcPr>
            <w:tcW w:w="9572" w:type="dxa"/>
          </w:tcPr>
          <w:p w14:paraId="49C2D2FB" w14:textId="77777777" w:rsidR="00A96CB7" w:rsidRPr="00672DB4" w:rsidRDefault="00A96CB7" w:rsidP="00672DB4">
            <w:pPr>
              <w:rPr>
                <w:b/>
              </w:rPr>
            </w:pPr>
            <w:r w:rsidRPr="00672DB4">
              <w:rPr>
                <w:b/>
              </w:rPr>
              <w:t>Outstanding (Post-ACM) RMP issues</w:t>
            </w:r>
          </w:p>
          <w:p w14:paraId="5224C0F2" w14:textId="77777777" w:rsidR="00A96CB7" w:rsidRDefault="00A96CB7" w:rsidP="00672DB4">
            <w:r>
              <w:t>The Delegate has requested that additional risk minimisation, in the form of a DHCP letter to all fertility specialists/clinics, to inform HCPs of the need to use the recommended Roche ElecSys AMH assay be implemented. This should be distributed prior to supply of the product and this activity, including the proposed distribution method should be documented in the ASA.</w:t>
            </w:r>
          </w:p>
          <w:p w14:paraId="670AF4FB" w14:textId="77777777" w:rsidR="00A96CB7" w:rsidRDefault="00A96CB7" w:rsidP="00672DB4">
            <w:r>
              <w:t>The sponsor should submit a draft of the DHCP letter prior to approval.</w:t>
            </w:r>
          </w:p>
          <w:p w14:paraId="5BAFFBF8" w14:textId="77777777" w:rsidR="00371AC4" w:rsidRDefault="00A96CB7" w:rsidP="00672DB4">
            <w:r>
              <w:t>The ASA should be revised and agreed with TGA prior with launch, including the DHCP letter as an additional risk minimisation activity</w:t>
            </w:r>
            <w:r w:rsidR="00371AC4">
              <w:t>.</w:t>
            </w:r>
          </w:p>
          <w:p w14:paraId="04576085" w14:textId="43382353" w:rsidR="00A96CB7" w:rsidRPr="00672DB4" w:rsidRDefault="00A96CB7" w:rsidP="00672DB4">
            <w:pPr>
              <w:rPr>
                <w:b/>
              </w:rPr>
            </w:pPr>
            <w:bookmarkStart w:id="185" w:name="_Toc478137152"/>
            <w:r w:rsidRPr="00672DB4">
              <w:rPr>
                <w:b/>
              </w:rPr>
              <w:t>Wording for conditions of registration</w:t>
            </w:r>
            <w:bookmarkEnd w:id="185"/>
          </w:p>
          <w:p w14:paraId="1AD523A2" w14:textId="77777777" w:rsidR="00371AC4" w:rsidRDefault="00A96CB7" w:rsidP="00672DB4">
            <w:r w:rsidRPr="009D7ED7">
              <w:t>Any changes to which the sponsor</w:t>
            </w:r>
            <w:r>
              <w:t xml:space="preserve"> has</w:t>
            </w:r>
            <w:r w:rsidRPr="009D7ED7">
              <w:t xml:space="preserve"> agreed </w:t>
            </w:r>
            <w:r>
              <w:t>should be included in a revised RMP and ASA. However, irrespective of whether or not</w:t>
            </w:r>
            <w:r w:rsidRPr="009D7ED7">
              <w:t xml:space="preserve"> they are included in the currently available version of the RMP document</w:t>
            </w:r>
            <w:r>
              <w:t xml:space="preserve">, the agreed changes </w:t>
            </w:r>
            <w:r w:rsidRPr="009D7ED7">
              <w:t>become part of the risk management system</w:t>
            </w:r>
            <w:r w:rsidR="00371AC4">
              <w:t>.</w:t>
            </w:r>
          </w:p>
          <w:p w14:paraId="2A738DE5" w14:textId="77777777" w:rsidR="00371AC4" w:rsidRDefault="00A96CB7" w:rsidP="00672DB4">
            <w:r w:rsidRPr="00F73F81">
              <w:t>The suggested wording is:</w:t>
            </w:r>
          </w:p>
          <w:p w14:paraId="234801AE" w14:textId="3C3DD079" w:rsidR="00A96CB7" w:rsidRDefault="00A96CB7" w:rsidP="00672DB4">
            <w:r w:rsidRPr="00F73F81">
              <w:t xml:space="preserve">The </w:t>
            </w:r>
            <w:proofErr w:type="spellStart"/>
            <w:r w:rsidRPr="00672DB4">
              <w:t>Rekovelle</w:t>
            </w:r>
            <w:proofErr w:type="spellEnd"/>
            <w:r>
              <w:rPr>
                <w:smallCaps/>
              </w:rPr>
              <w:t xml:space="preserve"> </w:t>
            </w:r>
            <w:r w:rsidRPr="00F73F81">
              <w:t>EU-RMP version</w:t>
            </w:r>
            <w:r>
              <w:t xml:space="preserve"> 3.0</w:t>
            </w:r>
            <w:r w:rsidRPr="00F73F81">
              <w:t xml:space="preserve"> </w:t>
            </w:r>
            <w:r>
              <w:t xml:space="preserve">(dated </w:t>
            </w:r>
            <w:r w:rsidRPr="00F73F81">
              <w:t>6 September 2016; data lock point 2 July 2015</w:t>
            </w:r>
            <w:r>
              <w:t>)</w:t>
            </w:r>
            <w:r w:rsidRPr="00F73F81">
              <w:t xml:space="preserve"> with Australian Specific Annex version </w:t>
            </w:r>
            <w:r>
              <w:t>4.0 (dated 24 November</w:t>
            </w:r>
            <w:r w:rsidRPr="00F73F81">
              <w:t xml:space="preserve"> 2016</w:t>
            </w:r>
            <w:r>
              <w:t>), included in submission PM-20165-04337-1-5), which must be</w:t>
            </w:r>
            <w:r w:rsidRPr="00F73F81">
              <w:t xml:space="preserve"> </w:t>
            </w:r>
            <w:r>
              <w:t>revised to be consistent with pregnancy category D and including distribution of a Dear Health Care Professional letter (as below), and any future revisions as agreed with the TGA must be implemented.</w:t>
            </w:r>
          </w:p>
          <w:p w14:paraId="1C752FFA" w14:textId="77777777" w:rsidR="00A96CB7" w:rsidRDefault="00A96CB7" w:rsidP="00672DB4">
            <w:pPr>
              <w:rPr>
                <w:rFonts w:eastAsia="Times New Roman"/>
                <w:snapToGrid w:val="0"/>
                <w:kern w:val="16"/>
                <w:sz w:val="23"/>
                <w:szCs w:val="24"/>
              </w:rPr>
            </w:pPr>
            <w:r w:rsidRPr="008143F7">
              <w:rPr>
                <w:rFonts w:eastAsia="Times New Roman"/>
                <w:snapToGrid w:val="0"/>
                <w:kern w:val="16"/>
                <w:sz w:val="23"/>
                <w:szCs w:val="24"/>
              </w:rPr>
              <w:t xml:space="preserve">A DHCP </w:t>
            </w:r>
            <w:r>
              <w:rPr>
                <w:rFonts w:eastAsia="Times New Roman"/>
                <w:snapToGrid w:val="0"/>
                <w:kern w:val="16"/>
                <w:sz w:val="23"/>
                <w:szCs w:val="24"/>
              </w:rPr>
              <w:t>letter addressing the need to</w:t>
            </w:r>
            <w:r w:rsidRPr="008143F7">
              <w:rPr>
                <w:rFonts w:eastAsia="Times New Roman"/>
                <w:snapToGrid w:val="0"/>
                <w:kern w:val="16"/>
                <w:sz w:val="23"/>
                <w:szCs w:val="24"/>
              </w:rPr>
              <w:t xml:space="preserve"> use the specified Roche ElecSys AMH Assay </w:t>
            </w:r>
            <w:r>
              <w:rPr>
                <w:rFonts w:eastAsia="Times New Roman"/>
                <w:snapToGrid w:val="0"/>
                <w:kern w:val="16"/>
                <w:sz w:val="23"/>
                <w:szCs w:val="24"/>
              </w:rPr>
              <w:t xml:space="preserve">for dose selection </w:t>
            </w:r>
            <w:r w:rsidRPr="008143F7">
              <w:rPr>
                <w:rFonts w:eastAsia="Times New Roman"/>
                <w:snapToGrid w:val="0"/>
                <w:kern w:val="16"/>
                <w:sz w:val="23"/>
                <w:szCs w:val="24"/>
              </w:rPr>
              <w:t xml:space="preserve">must be distributed </w:t>
            </w:r>
            <w:r>
              <w:rPr>
                <w:rFonts w:eastAsia="Times New Roman"/>
                <w:snapToGrid w:val="0"/>
                <w:kern w:val="16"/>
                <w:sz w:val="23"/>
                <w:szCs w:val="24"/>
              </w:rPr>
              <w:t>to</w:t>
            </w:r>
            <w:r w:rsidRPr="008143F7">
              <w:rPr>
                <w:rFonts w:eastAsia="Times New Roman"/>
                <w:snapToGrid w:val="0"/>
                <w:kern w:val="16"/>
                <w:sz w:val="23"/>
                <w:szCs w:val="24"/>
              </w:rPr>
              <w:t xml:space="preserve"> fertility specialists/clinics prior to supply</w:t>
            </w:r>
            <w:r>
              <w:rPr>
                <w:rFonts w:eastAsia="Times New Roman"/>
                <w:snapToGrid w:val="0"/>
                <w:kern w:val="16"/>
                <w:sz w:val="23"/>
                <w:szCs w:val="24"/>
              </w:rPr>
              <w:t>.</w:t>
            </w:r>
          </w:p>
          <w:p w14:paraId="56BE5366" w14:textId="77777777" w:rsidR="00A96CB7" w:rsidRPr="00DA79B1" w:rsidRDefault="00A96CB7" w:rsidP="00672DB4">
            <w:r>
              <w:rPr>
                <w:rFonts w:eastAsia="Times New Roman"/>
                <w:snapToGrid w:val="0"/>
                <w:kern w:val="16"/>
                <w:sz w:val="23"/>
                <w:szCs w:val="24"/>
              </w:rPr>
              <w:t>The Consumer Medicines Information and Instructions for Use must be supplied to the patient with the product.</w:t>
            </w:r>
          </w:p>
        </w:tc>
      </w:tr>
    </w:tbl>
    <w:p w14:paraId="2F4BCF4B" w14:textId="77777777" w:rsidR="008E7846" w:rsidRPr="00792A32" w:rsidRDefault="008E7846" w:rsidP="008E7846">
      <w:pPr>
        <w:pStyle w:val="Heading2"/>
      </w:pPr>
      <w:bookmarkStart w:id="186" w:name="_Toc49774427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9"/>
      <w:bookmarkEnd w:id="181"/>
      <w:bookmarkEnd w:id="182"/>
      <w:bookmarkEnd w:id="186"/>
    </w:p>
    <w:p w14:paraId="0A5C39E7" w14:textId="77777777" w:rsidR="008E7846" w:rsidRDefault="008E7846" w:rsidP="008E7846">
      <w:bookmarkStart w:id="187" w:name="_Toc247691528"/>
      <w:r>
        <w:t xml:space="preserve">The submission was summarised in the following </w:t>
      </w:r>
      <w:r w:rsidRPr="00EF5C48">
        <w:t xml:space="preserve">Delegate’s </w:t>
      </w:r>
      <w:r>
        <w:t>overview</w:t>
      </w:r>
      <w:r w:rsidRPr="00EF5C48">
        <w:t xml:space="preserve"> and recommendation</w:t>
      </w:r>
      <w:r>
        <w:t>s:</w:t>
      </w:r>
    </w:p>
    <w:p w14:paraId="0F261B9A" w14:textId="77777777" w:rsidR="008E7846" w:rsidRDefault="008E7846" w:rsidP="008E7846">
      <w:pPr>
        <w:pStyle w:val="Heading3"/>
      </w:pPr>
      <w:bookmarkStart w:id="188" w:name="_Toc314842511"/>
      <w:bookmarkStart w:id="189" w:name="_Toc497744273"/>
      <w:r>
        <w:t>Quality</w:t>
      </w:r>
      <w:bookmarkEnd w:id="187"/>
      <w:bookmarkEnd w:id="188"/>
      <w:bookmarkEnd w:id="189"/>
    </w:p>
    <w:p w14:paraId="43FD9DC4" w14:textId="77777777" w:rsidR="00E45619" w:rsidRDefault="00070DCE" w:rsidP="00070DCE">
      <w:r>
        <w:t xml:space="preserve">The </w:t>
      </w:r>
      <w:r w:rsidR="007C7F05">
        <w:t>q</w:t>
      </w:r>
      <w:r w:rsidR="00672DB4">
        <w:t>uality</w:t>
      </w:r>
      <w:r>
        <w:t xml:space="preserve"> evaluator did not have any objections to the registration of Rekovelle for the proposed indication.</w:t>
      </w:r>
    </w:p>
    <w:p w14:paraId="739A323B" w14:textId="77777777" w:rsidR="008E7846" w:rsidRDefault="008E7846" w:rsidP="008E7846">
      <w:pPr>
        <w:pStyle w:val="Heading3"/>
      </w:pPr>
      <w:bookmarkStart w:id="190" w:name="_Toc314842512"/>
      <w:bookmarkStart w:id="191" w:name="_Toc497744274"/>
      <w:r>
        <w:t>Nonclinical</w:t>
      </w:r>
      <w:bookmarkEnd w:id="190"/>
      <w:bookmarkEnd w:id="191"/>
    </w:p>
    <w:p w14:paraId="7D85ECF4" w14:textId="77777777" w:rsidR="00070DCE" w:rsidRDefault="00070DCE" w:rsidP="00505B5C">
      <w:bookmarkStart w:id="192" w:name="_Toc247691530"/>
      <w:bookmarkStart w:id="193" w:name="_Toc314842513"/>
      <w:r w:rsidRPr="00070DCE">
        <w:t>The nonclinical evaluator did not have any objections to the registration of Rekovelle for the proposed indication.</w:t>
      </w:r>
    </w:p>
    <w:p w14:paraId="15E03FA9" w14:textId="77777777" w:rsidR="008E7846" w:rsidRDefault="008E7846" w:rsidP="008E7846">
      <w:pPr>
        <w:pStyle w:val="Heading3"/>
      </w:pPr>
      <w:bookmarkStart w:id="194" w:name="_Toc497744275"/>
      <w:r>
        <w:t>Clinical</w:t>
      </w:r>
      <w:bookmarkEnd w:id="192"/>
      <w:bookmarkEnd w:id="193"/>
      <w:bookmarkEnd w:id="194"/>
    </w:p>
    <w:p w14:paraId="56F6E2FA" w14:textId="77777777" w:rsidR="00070DCE" w:rsidRDefault="00070DCE" w:rsidP="00505B5C">
      <w:pPr>
        <w:pStyle w:val="Heading4"/>
      </w:pPr>
      <w:bookmarkStart w:id="195" w:name="_Toc314842514"/>
      <w:r w:rsidRPr="00070DCE">
        <w:t>Premarket clinical development program</w:t>
      </w:r>
    </w:p>
    <w:p w14:paraId="586E6D95" w14:textId="77777777" w:rsidR="00505B5C" w:rsidRPr="00505B5C" w:rsidRDefault="00505B5C" w:rsidP="00505B5C">
      <w:r>
        <w:t>The following data was submitted:</w:t>
      </w:r>
    </w:p>
    <w:p w14:paraId="1F6EC206" w14:textId="77777777" w:rsidR="00070DCE" w:rsidRPr="00070DCE" w:rsidRDefault="00505B5C" w:rsidP="00505B5C">
      <w:pPr>
        <w:pStyle w:val="ListBullet"/>
        <w:rPr>
          <w:b/>
          <w:bCs/>
        </w:rPr>
      </w:pPr>
      <w:r>
        <w:t xml:space="preserve">4 </w:t>
      </w:r>
      <w:r w:rsidR="00070DCE" w:rsidRPr="00070DCE">
        <w:t>Phase</w:t>
      </w:r>
      <w:r>
        <w:t xml:space="preserve"> I</w:t>
      </w:r>
      <w:r w:rsidR="00070DCE" w:rsidRPr="00070DCE">
        <w:t xml:space="preserve"> studies</w:t>
      </w:r>
    </w:p>
    <w:p w14:paraId="7716324C" w14:textId="77777777" w:rsidR="00070DCE" w:rsidRPr="00070DCE" w:rsidRDefault="00505B5C" w:rsidP="00505B5C">
      <w:pPr>
        <w:pStyle w:val="ListBullet"/>
        <w:rPr>
          <w:b/>
          <w:bCs/>
        </w:rPr>
      </w:pPr>
      <w:r>
        <w:t xml:space="preserve">1 </w:t>
      </w:r>
      <w:r w:rsidR="00070DCE" w:rsidRPr="00070DCE">
        <w:t>Phase</w:t>
      </w:r>
      <w:r>
        <w:t xml:space="preserve"> II</w:t>
      </w:r>
      <w:r w:rsidR="00070DCE" w:rsidRPr="00070DCE">
        <w:t xml:space="preserve"> </w:t>
      </w:r>
      <w:r w:rsidR="005219CC">
        <w:t>study</w:t>
      </w:r>
    </w:p>
    <w:p w14:paraId="299490CF" w14:textId="77777777" w:rsidR="00070DCE" w:rsidRPr="00070DCE" w:rsidRDefault="00505B5C" w:rsidP="00505B5C">
      <w:pPr>
        <w:pStyle w:val="ListBullet"/>
        <w:rPr>
          <w:b/>
          <w:bCs/>
        </w:rPr>
      </w:pPr>
      <w:r>
        <w:t xml:space="preserve">2 </w:t>
      </w:r>
      <w:r w:rsidR="00070DCE" w:rsidRPr="00070DCE">
        <w:t>Phase</w:t>
      </w:r>
      <w:r>
        <w:t xml:space="preserve"> III</w:t>
      </w:r>
      <w:r w:rsidR="00070DCE" w:rsidRPr="00070DCE">
        <w:t xml:space="preserve"> studies</w:t>
      </w:r>
      <w:r>
        <w:t xml:space="preserve"> (</w:t>
      </w:r>
      <w:r w:rsidR="00F871BA">
        <w:t xml:space="preserve">as </w:t>
      </w:r>
      <w:r>
        <w:t>outlined below)</w:t>
      </w:r>
    </w:p>
    <w:p w14:paraId="43843123" w14:textId="77777777" w:rsidR="00070DCE" w:rsidRPr="00070DCE" w:rsidRDefault="00070DCE" w:rsidP="00505B5C">
      <w:pPr>
        <w:pStyle w:val="ListBullet"/>
        <w:numPr>
          <w:ilvl w:val="0"/>
          <w:numId w:val="0"/>
        </w:numPr>
        <w:rPr>
          <w:b/>
          <w:bCs/>
        </w:rPr>
      </w:pPr>
      <w:r w:rsidRPr="00070DCE">
        <w:t>ESTHER-1</w:t>
      </w:r>
    </w:p>
    <w:p w14:paraId="415DE0AF" w14:textId="77777777" w:rsidR="00070DCE" w:rsidRPr="00070DCE" w:rsidRDefault="00070DCE" w:rsidP="00F871BA">
      <w:pPr>
        <w:pStyle w:val="ListBullet2"/>
        <w:rPr>
          <w:b/>
          <w:bCs/>
        </w:rPr>
      </w:pPr>
      <w:r w:rsidRPr="00070DCE">
        <w:t>pivotal efficacy trial</w:t>
      </w:r>
    </w:p>
    <w:p w14:paraId="498172AA" w14:textId="77777777" w:rsidR="00070DCE" w:rsidRPr="00070DCE" w:rsidRDefault="00070DCE" w:rsidP="00F871BA">
      <w:pPr>
        <w:pStyle w:val="ListBullet2"/>
        <w:rPr>
          <w:b/>
          <w:bCs/>
        </w:rPr>
      </w:pPr>
      <w:r w:rsidRPr="00070DCE">
        <w:t>desi</w:t>
      </w:r>
      <w:r w:rsidR="00505B5C">
        <w:t>g</w:t>
      </w:r>
      <w:r w:rsidRPr="00070DCE">
        <w:t>ned to assess non-inferiority to Gonal-F</w:t>
      </w:r>
    </w:p>
    <w:p w14:paraId="0618BC7A" w14:textId="77777777" w:rsidR="00070DCE" w:rsidRPr="00070DCE" w:rsidRDefault="00070DCE" w:rsidP="00F871BA">
      <w:pPr>
        <w:pStyle w:val="ListBullet2"/>
        <w:rPr>
          <w:b/>
          <w:bCs/>
        </w:rPr>
      </w:pPr>
      <w:r w:rsidRPr="00070DCE">
        <w:t>co-primary endpoints: ongoing pregnancy rate, ongoing implantation rate</w:t>
      </w:r>
    </w:p>
    <w:p w14:paraId="7E034A31" w14:textId="77777777" w:rsidR="00070DCE" w:rsidRPr="00070DCE" w:rsidRDefault="00070DCE" w:rsidP="00505B5C">
      <w:pPr>
        <w:pStyle w:val="ListBullet"/>
        <w:numPr>
          <w:ilvl w:val="0"/>
          <w:numId w:val="0"/>
        </w:numPr>
        <w:rPr>
          <w:b/>
          <w:bCs/>
        </w:rPr>
      </w:pPr>
      <w:r w:rsidRPr="00070DCE">
        <w:t>ESTHER-2</w:t>
      </w:r>
    </w:p>
    <w:p w14:paraId="5F422AA4" w14:textId="77777777" w:rsidR="00070DCE" w:rsidRPr="00070DCE" w:rsidRDefault="00070DCE" w:rsidP="00F871BA">
      <w:pPr>
        <w:pStyle w:val="ListBullet2"/>
        <w:rPr>
          <w:b/>
          <w:bCs/>
        </w:rPr>
      </w:pPr>
      <w:r w:rsidRPr="00070DCE">
        <w:t>Safety/immunogenicity trial</w:t>
      </w:r>
    </w:p>
    <w:p w14:paraId="086AC4B3" w14:textId="77777777" w:rsidR="00070DCE" w:rsidRPr="00505B5C" w:rsidRDefault="00070DCE" w:rsidP="00F871BA">
      <w:pPr>
        <w:pStyle w:val="ListBullet2"/>
        <w:rPr>
          <w:b/>
          <w:bCs/>
        </w:rPr>
      </w:pPr>
      <w:proofErr w:type="gramStart"/>
      <w:r w:rsidRPr="00070DCE">
        <w:t>up</w:t>
      </w:r>
      <w:proofErr w:type="gramEnd"/>
      <w:r w:rsidRPr="00070DCE">
        <w:t xml:space="preserve"> to two repeated treatment cycles in women who did not achieve an ongoing pregnancy in ESTHER-1.</w:t>
      </w:r>
    </w:p>
    <w:p w14:paraId="0308C8D2" w14:textId="77777777" w:rsidR="00070DCE" w:rsidRPr="00070DCE" w:rsidRDefault="00070DCE" w:rsidP="00505B5C">
      <w:pPr>
        <w:pStyle w:val="Heading4"/>
      </w:pPr>
      <w:r w:rsidRPr="00070DCE">
        <w:t xml:space="preserve">Pharmacodynamics </w:t>
      </w:r>
      <w:r w:rsidR="00505B5C">
        <w:t>and</w:t>
      </w:r>
      <w:r w:rsidR="00F871BA">
        <w:t xml:space="preserve"> p</w:t>
      </w:r>
      <w:r w:rsidRPr="00070DCE">
        <w:t>harmacokinetics</w:t>
      </w:r>
    </w:p>
    <w:p w14:paraId="030CBFD7" w14:textId="77777777" w:rsidR="00070DCE" w:rsidRPr="00070DCE" w:rsidRDefault="00070DCE" w:rsidP="00505B5C">
      <w:pPr>
        <w:rPr>
          <w:b/>
          <w:bCs/>
        </w:rPr>
      </w:pPr>
      <w:r w:rsidRPr="00070DCE">
        <w:t xml:space="preserve">The pharmacodynamics </w:t>
      </w:r>
      <w:r w:rsidR="005219CC" w:rsidRPr="00070DCE">
        <w:t>was</w:t>
      </w:r>
      <w:r w:rsidRPr="00070DCE">
        <w:t xml:space="preserve"> as expected for a recombinant FSH product.</w:t>
      </w:r>
    </w:p>
    <w:p w14:paraId="1B283A48" w14:textId="77777777" w:rsidR="00070DCE" w:rsidRPr="00070DCE" w:rsidRDefault="00070DCE" w:rsidP="00505B5C">
      <w:pPr>
        <w:rPr>
          <w:b/>
          <w:bCs/>
        </w:rPr>
      </w:pPr>
      <w:r w:rsidRPr="00070DCE">
        <w:t>Follitropin delta has slower clearance, higher exposure, and longer T</w:t>
      </w:r>
      <w:r w:rsidRPr="0016181B">
        <w:rPr>
          <w:vertAlign w:val="subscript"/>
        </w:rPr>
        <w:t>1/2</w:t>
      </w:r>
      <w:r w:rsidRPr="00070DCE">
        <w:t xml:space="preserve"> than follitropin alpha. As a result, the sponsor developed a dosing algorithm based on AMH and body weight.</w:t>
      </w:r>
    </w:p>
    <w:p w14:paraId="715095D8" w14:textId="77777777" w:rsidR="00070DCE" w:rsidRPr="00070DCE" w:rsidRDefault="00070DCE" w:rsidP="00F871BA">
      <w:pPr>
        <w:pStyle w:val="Heading4"/>
      </w:pPr>
      <w:r w:rsidRPr="00070DCE">
        <w:t>In-vitro diagnostic test</w:t>
      </w:r>
    </w:p>
    <w:p w14:paraId="3B9172C9" w14:textId="77777777" w:rsidR="00070DCE" w:rsidRPr="00070DCE" w:rsidRDefault="00070DCE" w:rsidP="00505B5C">
      <w:pPr>
        <w:rPr>
          <w:b/>
          <w:bCs/>
        </w:rPr>
      </w:pPr>
      <w:r w:rsidRPr="00070DCE">
        <w:t>Roche’s Elecsys AMH assay was included on the ARTG (174907 GMDN CT850) in August 2010 (intended use: determination of AMH). There are other AMH assays included on the ARTG.</w:t>
      </w:r>
    </w:p>
    <w:p w14:paraId="55ED5179" w14:textId="77777777" w:rsidR="00070DCE" w:rsidRPr="00070DCE" w:rsidRDefault="00070DCE" w:rsidP="00505B5C">
      <w:pPr>
        <w:pStyle w:val="Heading4"/>
      </w:pPr>
      <w:r w:rsidRPr="00070DCE">
        <w:t>Efficacy</w:t>
      </w:r>
    </w:p>
    <w:p w14:paraId="0C5B819A" w14:textId="77777777" w:rsidR="00070DCE" w:rsidRPr="00070DCE" w:rsidRDefault="00070DCE" w:rsidP="00505B5C">
      <w:pPr>
        <w:pStyle w:val="Heading5"/>
      </w:pPr>
      <w:r w:rsidRPr="00070DCE">
        <w:t>ESTHER-1</w:t>
      </w:r>
    </w:p>
    <w:p w14:paraId="2D87A0FA" w14:textId="77777777" w:rsidR="00070DCE" w:rsidRPr="00070DCE" w:rsidRDefault="00070DCE" w:rsidP="00505B5C">
      <w:pPr>
        <w:rPr>
          <w:b/>
          <w:bCs/>
        </w:rPr>
      </w:pPr>
      <w:r w:rsidRPr="00070DCE">
        <w:t>Randomised, assessor-blinded (investigators, embryologists, central laboratory personnel were blinded; patients were not blinded), multicentre, non-inferiority study</w:t>
      </w:r>
      <w:r w:rsidR="00565852">
        <w:t xml:space="preserve"> at </w:t>
      </w:r>
      <w:r w:rsidRPr="00070DCE">
        <w:t>37 sites in 11 countries (Belgium, Brazil, Canada, Czech Republic, Denmark, France, Italy, Poland, Russia, Spain, and United Kingdom).</w:t>
      </w:r>
    </w:p>
    <w:p w14:paraId="47375ADB" w14:textId="77777777" w:rsidR="00070DCE" w:rsidRPr="00070DCE" w:rsidRDefault="00070DCE" w:rsidP="00505B5C">
      <w:pPr>
        <w:rPr>
          <w:b/>
          <w:bCs/>
        </w:rPr>
      </w:pPr>
      <w:r w:rsidRPr="00070DCE">
        <w:t>Recru</w:t>
      </w:r>
      <w:r w:rsidR="00505B5C">
        <w:t>i</w:t>
      </w:r>
      <w:r w:rsidRPr="00070DCE">
        <w:t>tment was between Oct</w:t>
      </w:r>
      <w:r w:rsidR="00505B5C">
        <w:t>ober</w:t>
      </w:r>
      <w:r w:rsidRPr="00070DCE">
        <w:t xml:space="preserve"> 2013 and May 2015 with </w:t>
      </w:r>
      <w:r w:rsidR="0016181B">
        <w:t xml:space="preserve">a </w:t>
      </w:r>
      <w:r w:rsidRPr="00070DCE">
        <w:t>follow-up for livebirths completed in Jan</w:t>
      </w:r>
      <w:r w:rsidR="00565852">
        <w:t>uary</w:t>
      </w:r>
      <w:r w:rsidRPr="00070DCE">
        <w:t xml:space="preserve"> 2016.</w:t>
      </w:r>
      <w:r w:rsidR="00565852">
        <w:t xml:space="preserve"> The following table summarises the study:</w:t>
      </w:r>
    </w:p>
    <w:p w14:paraId="31A55AB4" w14:textId="77777777" w:rsidR="00070DCE" w:rsidRPr="00070DCE" w:rsidRDefault="00802246" w:rsidP="00802246">
      <w:pPr>
        <w:pStyle w:val="TableTitle"/>
      </w:pPr>
      <w:r>
        <w:t>Table 13: Summary of ESTHER-1 study</w:t>
      </w:r>
    </w:p>
    <w:tbl>
      <w:tblPr>
        <w:tblStyle w:val="TableTGAblue"/>
        <w:tblW w:w="0" w:type="auto"/>
        <w:tblLook w:val="04A0" w:firstRow="1" w:lastRow="0" w:firstColumn="1" w:lastColumn="0" w:noHBand="0" w:noVBand="1"/>
      </w:tblPr>
      <w:tblGrid>
        <w:gridCol w:w="1632"/>
        <w:gridCol w:w="7088"/>
      </w:tblGrid>
      <w:tr w:rsidR="00565852" w:rsidRPr="00802246" w14:paraId="4BB6774B" w14:textId="77777777" w:rsidTr="00565852">
        <w:trPr>
          <w:cnfStyle w:val="100000000000" w:firstRow="1" w:lastRow="0" w:firstColumn="0" w:lastColumn="0" w:oddVBand="0" w:evenVBand="0" w:oddHBand="0" w:evenHBand="0" w:firstRowFirstColumn="0" w:firstRowLastColumn="0" w:lastRowFirstColumn="0" w:lastRowLastColumn="0"/>
        </w:trPr>
        <w:tc>
          <w:tcPr>
            <w:tcW w:w="1436" w:type="dxa"/>
          </w:tcPr>
          <w:p w14:paraId="2F956862" w14:textId="77777777" w:rsidR="00565852" w:rsidRPr="00802246" w:rsidRDefault="00565852" w:rsidP="00802246">
            <w:pPr>
              <w:rPr>
                <w:sz w:val="20"/>
                <w:szCs w:val="20"/>
              </w:rPr>
            </w:pPr>
          </w:p>
        </w:tc>
        <w:tc>
          <w:tcPr>
            <w:tcW w:w="7284" w:type="dxa"/>
          </w:tcPr>
          <w:p w14:paraId="11D24BE6" w14:textId="77777777" w:rsidR="00565852" w:rsidRPr="00802246" w:rsidRDefault="00802246" w:rsidP="00802246">
            <w:pPr>
              <w:rPr>
                <w:sz w:val="20"/>
                <w:szCs w:val="20"/>
              </w:rPr>
            </w:pPr>
            <w:r w:rsidRPr="00802246">
              <w:rPr>
                <w:sz w:val="20"/>
                <w:szCs w:val="20"/>
              </w:rPr>
              <w:t>Details</w:t>
            </w:r>
          </w:p>
        </w:tc>
      </w:tr>
      <w:tr w:rsidR="00565852" w:rsidRPr="00802246" w14:paraId="01C8CC8B" w14:textId="77777777" w:rsidTr="00565852">
        <w:tc>
          <w:tcPr>
            <w:tcW w:w="1436" w:type="dxa"/>
          </w:tcPr>
          <w:p w14:paraId="320B4FB0" w14:textId="77777777" w:rsidR="00565852" w:rsidRPr="00802246" w:rsidRDefault="00565852" w:rsidP="00802246">
            <w:pPr>
              <w:rPr>
                <w:sz w:val="20"/>
                <w:szCs w:val="20"/>
              </w:rPr>
            </w:pPr>
            <w:r w:rsidRPr="00802246">
              <w:rPr>
                <w:sz w:val="20"/>
                <w:szCs w:val="20"/>
              </w:rPr>
              <w:t>Patients</w:t>
            </w:r>
          </w:p>
        </w:tc>
        <w:tc>
          <w:tcPr>
            <w:tcW w:w="7284" w:type="dxa"/>
          </w:tcPr>
          <w:p w14:paraId="76FCEBCD" w14:textId="77777777" w:rsidR="00565852" w:rsidRPr="00802246" w:rsidRDefault="00565852" w:rsidP="00802246">
            <w:pPr>
              <w:rPr>
                <w:sz w:val="20"/>
                <w:szCs w:val="20"/>
              </w:rPr>
            </w:pPr>
            <w:r w:rsidRPr="00802246">
              <w:rPr>
                <w:sz w:val="20"/>
                <w:szCs w:val="20"/>
              </w:rPr>
              <w:t>Women aged 18-40 years</w:t>
            </w:r>
          </w:p>
          <w:p w14:paraId="5FEF01A5" w14:textId="77777777" w:rsidR="00565852" w:rsidRPr="00802246" w:rsidRDefault="00565852" w:rsidP="00802246">
            <w:pPr>
              <w:rPr>
                <w:sz w:val="20"/>
                <w:szCs w:val="20"/>
              </w:rPr>
            </w:pPr>
            <w:r w:rsidRPr="00802246">
              <w:rPr>
                <w:sz w:val="20"/>
                <w:szCs w:val="20"/>
              </w:rPr>
              <w:t>First IVF/ICSI cycle</w:t>
            </w:r>
          </w:p>
          <w:p w14:paraId="6F1EFF9D" w14:textId="77777777" w:rsidR="00565852" w:rsidRPr="00802246" w:rsidRDefault="00565852" w:rsidP="00802246">
            <w:pPr>
              <w:rPr>
                <w:sz w:val="20"/>
                <w:szCs w:val="20"/>
              </w:rPr>
            </w:pPr>
            <w:r w:rsidRPr="00802246">
              <w:rPr>
                <w:sz w:val="20"/>
                <w:szCs w:val="20"/>
              </w:rPr>
              <w:t>Unexplained infertility, tubal infertility, endometriosis stage I/II, or partners with male infertility</w:t>
            </w:r>
          </w:p>
          <w:p w14:paraId="134120BA" w14:textId="77777777" w:rsidR="00565852" w:rsidRPr="00802246" w:rsidRDefault="00565852" w:rsidP="00802246">
            <w:pPr>
              <w:rPr>
                <w:sz w:val="20"/>
                <w:szCs w:val="20"/>
              </w:rPr>
            </w:pPr>
            <w:r w:rsidRPr="00802246">
              <w:rPr>
                <w:sz w:val="20"/>
                <w:szCs w:val="20"/>
              </w:rPr>
              <w:t>BMI: 17.5-32.0 kg/m</w:t>
            </w:r>
            <w:r w:rsidRPr="00802246">
              <w:rPr>
                <w:sz w:val="20"/>
                <w:szCs w:val="20"/>
                <w:vertAlign w:val="superscript"/>
              </w:rPr>
              <w:t>2</w:t>
            </w:r>
          </w:p>
          <w:p w14:paraId="44912842" w14:textId="77777777" w:rsidR="00565852" w:rsidRPr="00802246" w:rsidRDefault="00565852" w:rsidP="00802246">
            <w:pPr>
              <w:rPr>
                <w:sz w:val="20"/>
                <w:szCs w:val="20"/>
              </w:rPr>
            </w:pPr>
            <w:r w:rsidRPr="00802246">
              <w:rPr>
                <w:sz w:val="20"/>
                <w:szCs w:val="20"/>
              </w:rPr>
              <w:t>Regular, presumed ovulatory, menstrual cycles of 24-35 days</w:t>
            </w:r>
          </w:p>
          <w:p w14:paraId="0FC237A8" w14:textId="77777777" w:rsidR="00565852" w:rsidRPr="00802246" w:rsidRDefault="00565852" w:rsidP="00802246">
            <w:pPr>
              <w:rPr>
                <w:sz w:val="20"/>
                <w:szCs w:val="20"/>
              </w:rPr>
            </w:pPr>
            <w:r w:rsidRPr="00802246">
              <w:rPr>
                <w:sz w:val="20"/>
                <w:szCs w:val="20"/>
              </w:rPr>
              <w:t>Presence of both ovaries</w:t>
            </w:r>
          </w:p>
          <w:p w14:paraId="28DDED0B" w14:textId="77777777" w:rsidR="00565852" w:rsidRPr="00802246" w:rsidRDefault="00565852" w:rsidP="00802246">
            <w:pPr>
              <w:rPr>
                <w:sz w:val="20"/>
                <w:szCs w:val="20"/>
              </w:rPr>
            </w:pPr>
            <w:r w:rsidRPr="00802246">
              <w:rPr>
                <w:sz w:val="20"/>
                <w:szCs w:val="20"/>
              </w:rPr>
              <w:t>Early follicular phase FSH serum concentration: 1-15 IU/L</w:t>
            </w:r>
          </w:p>
          <w:p w14:paraId="64DB7DA2" w14:textId="77777777" w:rsidR="00565852" w:rsidRPr="00802246" w:rsidRDefault="00565852" w:rsidP="00802246">
            <w:pPr>
              <w:rPr>
                <w:sz w:val="20"/>
                <w:szCs w:val="20"/>
              </w:rPr>
            </w:pPr>
            <w:r w:rsidRPr="00802246">
              <w:rPr>
                <w:sz w:val="20"/>
                <w:szCs w:val="20"/>
              </w:rPr>
              <w:t>Main exclusion criteria were:</w:t>
            </w:r>
          </w:p>
          <w:p w14:paraId="536FAA5C" w14:textId="77777777" w:rsidR="00565852" w:rsidRPr="00802246" w:rsidRDefault="00565852" w:rsidP="00802246">
            <w:pPr>
              <w:pStyle w:val="ListBullet2"/>
              <w:rPr>
                <w:sz w:val="20"/>
                <w:szCs w:val="20"/>
              </w:rPr>
            </w:pPr>
            <w:r w:rsidRPr="00802246">
              <w:rPr>
                <w:sz w:val="20"/>
                <w:szCs w:val="20"/>
              </w:rPr>
              <w:t>Endometriosis stage III-IV</w:t>
            </w:r>
          </w:p>
          <w:p w14:paraId="7DE76495" w14:textId="77777777" w:rsidR="00565852" w:rsidRPr="00802246" w:rsidRDefault="00565852" w:rsidP="00802246">
            <w:pPr>
              <w:pStyle w:val="ListBullet2"/>
              <w:rPr>
                <w:sz w:val="20"/>
                <w:szCs w:val="20"/>
              </w:rPr>
            </w:pPr>
            <w:r w:rsidRPr="00802246">
              <w:rPr>
                <w:sz w:val="20"/>
                <w:szCs w:val="20"/>
              </w:rPr>
              <w:t>Recurrent miscarriage</w:t>
            </w:r>
          </w:p>
          <w:p w14:paraId="310AAE2D" w14:textId="77777777" w:rsidR="00565852" w:rsidRPr="00802246" w:rsidRDefault="00565852" w:rsidP="00802246">
            <w:pPr>
              <w:pStyle w:val="ListBullet2"/>
            </w:pPr>
            <w:r w:rsidRPr="00802246">
              <w:rPr>
                <w:sz w:val="20"/>
                <w:szCs w:val="20"/>
              </w:rPr>
              <w:t>Anovulatory polycystic ovarian syndrome</w:t>
            </w:r>
          </w:p>
        </w:tc>
      </w:tr>
      <w:tr w:rsidR="00565852" w:rsidRPr="00802246" w14:paraId="3FA1D5C9" w14:textId="77777777" w:rsidTr="00565852">
        <w:tc>
          <w:tcPr>
            <w:tcW w:w="1436" w:type="dxa"/>
          </w:tcPr>
          <w:p w14:paraId="0F5B9BF5" w14:textId="77777777" w:rsidR="00565852" w:rsidRPr="00802246" w:rsidRDefault="00565852" w:rsidP="00802246">
            <w:pPr>
              <w:rPr>
                <w:sz w:val="20"/>
                <w:szCs w:val="20"/>
              </w:rPr>
            </w:pPr>
            <w:r w:rsidRPr="00802246">
              <w:rPr>
                <w:sz w:val="20"/>
                <w:szCs w:val="20"/>
              </w:rPr>
              <w:t>Intervention</w:t>
            </w:r>
          </w:p>
        </w:tc>
        <w:tc>
          <w:tcPr>
            <w:tcW w:w="7284" w:type="dxa"/>
          </w:tcPr>
          <w:p w14:paraId="487AC6F8" w14:textId="77777777" w:rsidR="00565852" w:rsidRPr="00802246" w:rsidRDefault="00565852" w:rsidP="00802246">
            <w:pPr>
              <w:rPr>
                <w:sz w:val="20"/>
                <w:szCs w:val="20"/>
              </w:rPr>
            </w:pPr>
            <w:r w:rsidRPr="00802246">
              <w:rPr>
                <w:sz w:val="20"/>
                <w:szCs w:val="20"/>
              </w:rPr>
              <w:t>SC follitropin delta (Rekovelle)</w:t>
            </w:r>
          </w:p>
          <w:p w14:paraId="292FF515" w14:textId="77777777" w:rsidR="00565852" w:rsidRPr="00802246" w:rsidRDefault="00565852" w:rsidP="00802246">
            <w:pPr>
              <w:rPr>
                <w:sz w:val="20"/>
                <w:szCs w:val="20"/>
              </w:rPr>
            </w:pPr>
            <w:r w:rsidRPr="00802246">
              <w:rPr>
                <w:sz w:val="20"/>
                <w:szCs w:val="20"/>
              </w:rPr>
              <w:t>Fixed daily dose determined by serum AMH level, by a central laboratory using the automated Elecsys AMH immunoassay (Roche), and body weight (as per the dosing instructions in the proposed PI):</w:t>
            </w:r>
          </w:p>
          <w:p w14:paraId="2FD9EA11" w14:textId="77777777" w:rsidR="00565852" w:rsidRPr="00802246" w:rsidRDefault="00565852" w:rsidP="00802246">
            <w:pPr>
              <w:rPr>
                <w:sz w:val="20"/>
                <w:szCs w:val="20"/>
              </w:rPr>
            </w:pPr>
            <w:r w:rsidRPr="00802246">
              <w:rPr>
                <w:sz w:val="20"/>
                <w:szCs w:val="20"/>
              </w:rPr>
              <w:t xml:space="preserve">AMH &lt; 15 pmol/L: 12 </w:t>
            </w:r>
            <w:r w:rsidR="005219CC">
              <w:rPr>
                <w:sz w:val="20"/>
                <w:szCs w:val="20"/>
              </w:rPr>
              <w:t>µ</w:t>
            </w:r>
            <w:r w:rsidRPr="00802246">
              <w:rPr>
                <w:sz w:val="20"/>
                <w:szCs w:val="20"/>
              </w:rPr>
              <w:t>g (regardless of weight)</w:t>
            </w:r>
          </w:p>
          <w:p w14:paraId="55F553EF" w14:textId="77777777" w:rsidR="00565852" w:rsidRPr="00802246" w:rsidRDefault="00565852" w:rsidP="005219CC">
            <w:pPr>
              <w:rPr>
                <w:sz w:val="20"/>
                <w:szCs w:val="20"/>
              </w:rPr>
            </w:pPr>
            <w:r w:rsidRPr="00802246">
              <w:rPr>
                <w:sz w:val="20"/>
                <w:szCs w:val="20"/>
              </w:rPr>
              <w:t xml:space="preserve">AMH 15+ pmol/L: 0.10-0.19 </w:t>
            </w:r>
            <w:r w:rsidR="005219CC">
              <w:rPr>
                <w:sz w:val="20"/>
                <w:szCs w:val="20"/>
              </w:rPr>
              <w:t>µ</w:t>
            </w:r>
            <w:r w:rsidRPr="00802246">
              <w:rPr>
                <w:sz w:val="20"/>
                <w:szCs w:val="20"/>
              </w:rPr>
              <w:t xml:space="preserve">g/kg (maximum: 12 </w:t>
            </w:r>
            <w:r w:rsidR="005219CC">
              <w:rPr>
                <w:sz w:val="20"/>
                <w:szCs w:val="20"/>
              </w:rPr>
              <w:t>µ</w:t>
            </w:r>
            <w:r w:rsidRPr="00802246">
              <w:rPr>
                <w:sz w:val="20"/>
                <w:szCs w:val="20"/>
              </w:rPr>
              <w:t xml:space="preserve">g) </w:t>
            </w:r>
          </w:p>
        </w:tc>
      </w:tr>
      <w:tr w:rsidR="00565852" w:rsidRPr="00802246" w14:paraId="55A84764" w14:textId="77777777" w:rsidTr="00565852">
        <w:tc>
          <w:tcPr>
            <w:tcW w:w="1436" w:type="dxa"/>
          </w:tcPr>
          <w:p w14:paraId="3E935151" w14:textId="77777777" w:rsidR="00565852" w:rsidRPr="00802246" w:rsidRDefault="00565852" w:rsidP="00802246">
            <w:pPr>
              <w:rPr>
                <w:sz w:val="20"/>
                <w:szCs w:val="20"/>
              </w:rPr>
            </w:pPr>
            <w:r w:rsidRPr="00802246">
              <w:rPr>
                <w:sz w:val="20"/>
                <w:szCs w:val="20"/>
              </w:rPr>
              <w:t>Comparator</w:t>
            </w:r>
          </w:p>
        </w:tc>
        <w:tc>
          <w:tcPr>
            <w:tcW w:w="7284" w:type="dxa"/>
          </w:tcPr>
          <w:p w14:paraId="34A36D56" w14:textId="77777777" w:rsidR="00565852" w:rsidRPr="00802246" w:rsidRDefault="00565852" w:rsidP="00802246">
            <w:pPr>
              <w:rPr>
                <w:sz w:val="20"/>
                <w:szCs w:val="20"/>
              </w:rPr>
            </w:pPr>
            <w:r w:rsidRPr="00802246">
              <w:rPr>
                <w:sz w:val="20"/>
                <w:szCs w:val="20"/>
              </w:rPr>
              <w:t>SC follitropin alpha (Gonal-F)</w:t>
            </w:r>
          </w:p>
          <w:p w14:paraId="7CA65F12" w14:textId="77777777" w:rsidR="00565852" w:rsidRPr="00802246" w:rsidRDefault="00565852" w:rsidP="00802246">
            <w:pPr>
              <w:rPr>
                <w:sz w:val="20"/>
                <w:szCs w:val="20"/>
              </w:rPr>
            </w:pPr>
            <w:r w:rsidRPr="00802246">
              <w:rPr>
                <w:sz w:val="20"/>
                <w:szCs w:val="20"/>
              </w:rPr>
              <w:t xml:space="preserve">150 IU (11 </w:t>
            </w:r>
            <w:r w:rsidR="005219CC">
              <w:rPr>
                <w:sz w:val="20"/>
                <w:szCs w:val="20"/>
              </w:rPr>
              <w:t>µ</w:t>
            </w:r>
            <w:r w:rsidRPr="00802246">
              <w:rPr>
                <w:sz w:val="20"/>
                <w:szCs w:val="20"/>
              </w:rPr>
              <w:t>g) for the 1</w:t>
            </w:r>
            <w:r w:rsidRPr="00802246">
              <w:rPr>
                <w:sz w:val="20"/>
                <w:szCs w:val="20"/>
                <w:vertAlign w:val="superscript"/>
              </w:rPr>
              <w:t>st</w:t>
            </w:r>
            <w:r w:rsidRPr="00802246">
              <w:rPr>
                <w:sz w:val="20"/>
                <w:szCs w:val="20"/>
              </w:rPr>
              <w:t xml:space="preserve"> 5 days</w:t>
            </w:r>
          </w:p>
          <w:p w14:paraId="159A25C9" w14:textId="77777777" w:rsidR="00565852" w:rsidRPr="00802246" w:rsidRDefault="00565852" w:rsidP="00802246">
            <w:pPr>
              <w:rPr>
                <w:sz w:val="20"/>
                <w:szCs w:val="20"/>
              </w:rPr>
            </w:pPr>
            <w:r w:rsidRPr="00802246">
              <w:rPr>
                <w:sz w:val="20"/>
                <w:szCs w:val="20"/>
              </w:rPr>
              <w:t>Dose could then be adjusted up or down according to follicular response (to a maximum of 450 IU)</w:t>
            </w:r>
          </w:p>
        </w:tc>
      </w:tr>
      <w:tr w:rsidR="00565852" w:rsidRPr="00802246" w14:paraId="098E9B40" w14:textId="77777777" w:rsidTr="00565852">
        <w:tc>
          <w:tcPr>
            <w:tcW w:w="1436" w:type="dxa"/>
          </w:tcPr>
          <w:p w14:paraId="33C7AA16" w14:textId="77777777" w:rsidR="00565852" w:rsidRPr="00802246" w:rsidRDefault="00565852" w:rsidP="00802246">
            <w:pPr>
              <w:rPr>
                <w:sz w:val="20"/>
                <w:szCs w:val="20"/>
              </w:rPr>
            </w:pPr>
            <w:r w:rsidRPr="00802246">
              <w:rPr>
                <w:sz w:val="20"/>
                <w:szCs w:val="20"/>
              </w:rPr>
              <w:t>Endpoints</w:t>
            </w:r>
          </w:p>
        </w:tc>
        <w:tc>
          <w:tcPr>
            <w:tcW w:w="7284" w:type="dxa"/>
          </w:tcPr>
          <w:p w14:paraId="0DD4D0E8" w14:textId="77777777" w:rsidR="00565852" w:rsidRPr="00802246" w:rsidRDefault="00565852" w:rsidP="00802246">
            <w:pPr>
              <w:rPr>
                <w:sz w:val="20"/>
                <w:szCs w:val="20"/>
              </w:rPr>
            </w:pPr>
            <w:r w:rsidRPr="00802246">
              <w:rPr>
                <w:sz w:val="20"/>
                <w:szCs w:val="20"/>
              </w:rPr>
              <w:t>Co</w:t>
            </w:r>
            <w:r w:rsidR="005219CC">
              <w:rPr>
                <w:sz w:val="20"/>
                <w:szCs w:val="20"/>
              </w:rPr>
              <w:t>-</w:t>
            </w:r>
            <w:r w:rsidRPr="00802246">
              <w:rPr>
                <w:sz w:val="20"/>
                <w:szCs w:val="20"/>
              </w:rPr>
              <w:t>primary (measured 10-11 weeks after blastocyst transfer)</w:t>
            </w:r>
          </w:p>
          <w:p w14:paraId="385F0FA0" w14:textId="77777777" w:rsidR="00565852" w:rsidRPr="00802246" w:rsidRDefault="00565852" w:rsidP="00802246">
            <w:pPr>
              <w:rPr>
                <w:sz w:val="20"/>
                <w:szCs w:val="20"/>
              </w:rPr>
            </w:pPr>
            <w:r w:rsidRPr="00802246">
              <w:rPr>
                <w:sz w:val="20"/>
                <w:szCs w:val="20"/>
              </w:rPr>
              <w:t>Ongoing pregnancy rate: at least one viable fetus 10-11 weeks after transfer</w:t>
            </w:r>
          </w:p>
          <w:p w14:paraId="31E74192" w14:textId="77777777" w:rsidR="00565852" w:rsidRPr="00802246" w:rsidRDefault="00565852" w:rsidP="00802246">
            <w:pPr>
              <w:rPr>
                <w:sz w:val="20"/>
                <w:szCs w:val="20"/>
              </w:rPr>
            </w:pPr>
            <w:r w:rsidRPr="00802246">
              <w:rPr>
                <w:sz w:val="20"/>
                <w:szCs w:val="20"/>
              </w:rPr>
              <w:t>Ongoing implantation rate: number of viable foetuses divided by the number of blastocysts transferred</w:t>
            </w:r>
          </w:p>
          <w:p w14:paraId="0FCB4CB8" w14:textId="77777777" w:rsidR="00565852" w:rsidRPr="00802246" w:rsidRDefault="00565852" w:rsidP="00802246">
            <w:pPr>
              <w:rPr>
                <w:sz w:val="20"/>
                <w:szCs w:val="20"/>
              </w:rPr>
            </w:pPr>
            <w:r w:rsidRPr="00802246">
              <w:rPr>
                <w:sz w:val="20"/>
                <w:szCs w:val="20"/>
              </w:rPr>
              <w:t>Selected pre-specified secondary outcomes</w:t>
            </w:r>
          </w:p>
          <w:p w14:paraId="054AD7AF" w14:textId="77777777" w:rsidR="00565852" w:rsidRPr="00802246" w:rsidRDefault="00565852" w:rsidP="00802246">
            <w:pPr>
              <w:pStyle w:val="ListBullet2"/>
              <w:rPr>
                <w:sz w:val="20"/>
                <w:szCs w:val="20"/>
              </w:rPr>
            </w:pPr>
            <w:r w:rsidRPr="00802246">
              <w:rPr>
                <w:sz w:val="20"/>
                <w:szCs w:val="20"/>
              </w:rPr>
              <w:t>Livebirth rates</w:t>
            </w:r>
          </w:p>
          <w:p w14:paraId="234107D4" w14:textId="77777777" w:rsidR="00565852" w:rsidRPr="00802246" w:rsidRDefault="00565852" w:rsidP="00802246">
            <w:pPr>
              <w:pStyle w:val="ListBullet2"/>
              <w:rPr>
                <w:sz w:val="20"/>
                <w:szCs w:val="20"/>
              </w:rPr>
            </w:pPr>
            <w:r w:rsidRPr="00802246">
              <w:rPr>
                <w:sz w:val="20"/>
                <w:szCs w:val="20"/>
              </w:rPr>
              <w:t>Targeted ovarian response (8-14 oocytes)</w:t>
            </w:r>
          </w:p>
          <w:p w14:paraId="10D60CC9" w14:textId="77777777" w:rsidR="00565852" w:rsidRPr="00802246" w:rsidRDefault="00565852" w:rsidP="00802246">
            <w:pPr>
              <w:pStyle w:val="ListBullet2"/>
              <w:rPr>
                <w:sz w:val="20"/>
                <w:szCs w:val="20"/>
              </w:rPr>
            </w:pPr>
            <w:r w:rsidRPr="00802246">
              <w:rPr>
                <w:sz w:val="20"/>
                <w:szCs w:val="20"/>
              </w:rPr>
              <w:t>Extreme ovarian response (&lt;4 or &gt;14 oocytes)</w:t>
            </w:r>
          </w:p>
          <w:p w14:paraId="7EB53A68" w14:textId="77777777" w:rsidR="00565852" w:rsidRPr="00802246" w:rsidRDefault="00565852" w:rsidP="00802246">
            <w:pPr>
              <w:pStyle w:val="ListBullet2"/>
            </w:pPr>
            <w:r w:rsidRPr="00802246">
              <w:rPr>
                <w:sz w:val="20"/>
                <w:szCs w:val="20"/>
              </w:rPr>
              <w:t>Early/late OHSS</w:t>
            </w:r>
          </w:p>
        </w:tc>
      </w:tr>
    </w:tbl>
    <w:p w14:paraId="51AA80FC" w14:textId="77777777" w:rsidR="00371AC4" w:rsidRDefault="00565852" w:rsidP="003E1B22">
      <w:pPr>
        <w:pStyle w:val="TableDescription"/>
        <w:rPr>
          <w:lang w:eastAsia="en-AU"/>
        </w:rPr>
      </w:pPr>
      <w:r w:rsidRPr="00E82F60">
        <w:rPr>
          <w:lang w:eastAsia="en-AU"/>
        </w:rPr>
        <w:t>GnRH a</w:t>
      </w:r>
      <w:r>
        <w:rPr>
          <w:lang w:eastAsia="en-AU"/>
        </w:rPr>
        <w:t>ntagonist (cetrorelix) was started on stimulation day-6</w:t>
      </w:r>
    </w:p>
    <w:p w14:paraId="2F200C31" w14:textId="2E175F29" w:rsidR="00070DCE" w:rsidRPr="00802246" w:rsidRDefault="00070DCE" w:rsidP="00802246">
      <w:pPr>
        <w:pStyle w:val="Heading4"/>
      </w:pPr>
      <w:r w:rsidRPr="00070DCE">
        <w:t>Sample size; non-inferiority margin</w:t>
      </w:r>
    </w:p>
    <w:p w14:paraId="7B808AF0" w14:textId="77777777" w:rsidR="00070DCE" w:rsidRPr="00070DCE" w:rsidRDefault="00070DCE" w:rsidP="00802246">
      <w:r w:rsidRPr="00070DCE">
        <w:t xml:space="preserve">The primary aim of ESTHER-1 was to show non-inferiority of </w:t>
      </w:r>
      <w:r w:rsidR="005219CC" w:rsidRPr="00070DCE">
        <w:t>follitropin</w:t>
      </w:r>
      <w:r w:rsidRPr="00070DCE">
        <w:t xml:space="preserve"> delta (fixed dose determined by AMH and body weight) to </w:t>
      </w:r>
      <w:r w:rsidR="005219CC" w:rsidRPr="00070DCE">
        <w:t>follitropin</w:t>
      </w:r>
      <w:r w:rsidRPr="00070DCE">
        <w:t xml:space="preserve"> alpha (conventional dosing) on the co-primary endpoints of pregnancy rate and </w:t>
      </w:r>
      <w:r w:rsidR="005219CC" w:rsidRPr="00070DCE">
        <w:t>implantation</w:t>
      </w:r>
      <w:r w:rsidRPr="00070DCE">
        <w:t xml:space="preserve"> rate.</w:t>
      </w:r>
    </w:p>
    <w:p w14:paraId="0D5F22E9" w14:textId="77777777" w:rsidR="00070DCE" w:rsidRPr="00070DCE" w:rsidRDefault="00070DCE" w:rsidP="00802246">
      <w:r w:rsidRPr="00070DCE">
        <w:t>As originally agreed with the EMA, the non-inferiority margin was specified as - 8.0%; although the subsequent EMA Rapporteur’s assessment report did question this.</w:t>
      </w:r>
    </w:p>
    <w:p w14:paraId="15CAF2BA" w14:textId="77777777" w:rsidR="00070DCE" w:rsidRPr="00070DCE" w:rsidRDefault="00070DCE" w:rsidP="00802246">
      <w:r w:rsidRPr="00070DCE">
        <w:t xml:space="preserve">The pre-specified sample size was 1300. This allowed for blinded assessment for 1150 women, which gave 80% power to detect non-inferiority, off a </w:t>
      </w:r>
      <w:r w:rsidR="005219CC" w:rsidRPr="00070DCE">
        <w:t>pregnancy</w:t>
      </w:r>
      <w:r w:rsidRPr="00070DCE">
        <w:t>/implantation rate of 25-30%. This meant that the point estimate of the difference between the two arms was assumed to be about 2.7%.</w:t>
      </w:r>
    </w:p>
    <w:p w14:paraId="25CE983F" w14:textId="77777777" w:rsidR="00070DCE" w:rsidRPr="00070DCE" w:rsidRDefault="00070DCE" w:rsidP="00F254DB">
      <w:r w:rsidRPr="00070DCE">
        <w:t>Selected baseline characteristics</w:t>
      </w:r>
      <w:r w:rsidR="00802246">
        <w:t xml:space="preserve"> are shown in Table 14 below.</w:t>
      </w:r>
    </w:p>
    <w:p w14:paraId="01B37817" w14:textId="77777777" w:rsidR="00802246" w:rsidRDefault="00802246" w:rsidP="00802246">
      <w:pPr>
        <w:pStyle w:val="TableTitle"/>
      </w:pPr>
      <w:r>
        <w:t>Table 14: Baseline characteristics</w:t>
      </w:r>
    </w:p>
    <w:tbl>
      <w:tblPr>
        <w:tblStyle w:val="TableTGAblue"/>
        <w:tblW w:w="0" w:type="auto"/>
        <w:tblLook w:val="04A0" w:firstRow="1" w:lastRow="0" w:firstColumn="1" w:lastColumn="0" w:noHBand="0" w:noVBand="1"/>
      </w:tblPr>
      <w:tblGrid>
        <w:gridCol w:w="4219"/>
        <w:gridCol w:w="1843"/>
        <w:gridCol w:w="2410"/>
      </w:tblGrid>
      <w:tr w:rsidR="00802246" w:rsidRPr="00802246" w14:paraId="023584BB" w14:textId="77777777" w:rsidTr="00802246">
        <w:trPr>
          <w:cnfStyle w:val="100000000000" w:firstRow="1" w:lastRow="0" w:firstColumn="0" w:lastColumn="0" w:oddVBand="0" w:evenVBand="0" w:oddHBand="0" w:evenHBand="0" w:firstRowFirstColumn="0" w:firstRowLastColumn="0" w:lastRowFirstColumn="0" w:lastRowLastColumn="0"/>
          <w:cantSplit/>
        </w:trPr>
        <w:tc>
          <w:tcPr>
            <w:tcW w:w="4219" w:type="dxa"/>
          </w:tcPr>
          <w:p w14:paraId="5D12BD9B" w14:textId="2C3B94ED" w:rsidR="00802246" w:rsidRPr="00802246" w:rsidRDefault="003E1B22" w:rsidP="003E1B22">
            <w:r>
              <w:t>Age</w:t>
            </w:r>
          </w:p>
        </w:tc>
        <w:tc>
          <w:tcPr>
            <w:tcW w:w="1843" w:type="dxa"/>
          </w:tcPr>
          <w:p w14:paraId="3FC9B372" w14:textId="7C15DF4F" w:rsidR="00802246" w:rsidRPr="00802246" w:rsidRDefault="00802246" w:rsidP="003E1B22">
            <w:proofErr w:type="spellStart"/>
            <w:r w:rsidRPr="00802246">
              <w:t>Rekovelle</w:t>
            </w:r>
            <w:proofErr w:type="spellEnd"/>
            <w:r w:rsidR="003E1B22">
              <w:t xml:space="preserve"> </w:t>
            </w:r>
            <w:r w:rsidRPr="00802246">
              <w:t>n=665</w:t>
            </w:r>
          </w:p>
        </w:tc>
        <w:tc>
          <w:tcPr>
            <w:tcW w:w="2410" w:type="dxa"/>
          </w:tcPr>
          <w:p w14:paraId="6EB072EB" w14:textId="17357FC1" w:rsidR="00802246" w:rsidRPr="00802246" w:rsidRDefault="00802246" w:rsidP="003E1B22">
            <w:proofErr w:type="spellStart"/>
            <w:r w:rsidRPr="00802246">
              <w:t>Gonal</w:t>
            </w:r>
            <w:proofErr w:type="spellEnd"/>
            <w:r w:rsidRPr="00802246">
              <w:t>-F</w:t>
            </w:r>
            <w:r w:rsidR="003E1B22">
              <w:t xml:space="preserve"> </w:t>
            </w:r>
            <w:r w:rsidRPr="00802246">
              <w:t>n=661</w:t>
            </w:r>
          </w:p>
        </w:tc>
      </w:tr>
      <w:tr w:rsidR="00802246" w:rsidRPr="00802246" w14:paraId="58269059" w14:textId="77777777" w:rsidTr="00802246">
        <w:tc>
          <w:tcPr>
            <w:tcW w:w="4219" w:type="dxa"/>
          </w:tcPr>
          <w:p w14:paraId="5A31A803" w14:textId="77777777" w:rsidR="00802246" w:rsidRPr="00802246" w:rsidRDefault="00802246" w:rsidP="003E1B22">
            <w:r w:rsidRPr="00802246">
              <w:t>Age (mean)</w:t>
            </w:r>
          </w:p>
        </w:tc>
        <w:tc>
          <w:tcPr>
            <w:tcW w:w="1843" w:type="dxa"/>
          </w:tcPr>
          <w:p w14:paraId="3E077021" w14:textId="77777777" w:rsidR="00802246" w:rsidRPr="00802246" w:rsidRDefault="00802246" w:rsidP="003E1B22">
            <w:r w:rsidRPr="00802246">
              <w:t>33.4 years</w:t>
            </w:r>
          </w:p>
        </w:tc>
        <w:tc>
          <w:tcPr>
            <w:tcW w:w="2410" w:type="dxa"/>
          </w:tcPr>
          <w:p w14:paraId="3E658831" w14:textId="77777777" w:rsidR="00802246" w:rsidRPr="00802246" w:rsidRDefault="00802246" w:rsidP="003E1B22">
            <w:r w:rsidRPr="00802246">
              <w:t>33.2 years</w:t>
            </w:r>
          </w:p>
        </w:tc>
      </w:tr>
      <w:tr w:rsidR="00802246" w:rsidRPr="00802246" w14:paraId="0DF7F6C8" w14:textId="77777777" w:rsidTr="00802246">
        <w:tc>
          <w:tcPr>
            <w:tcW w:w="4219" w:type="dxa"/>
          </w:tcPr>
          <w:p w14:paraId="5A7C8A49" w14:textId="77777777" w:rsidR="00802246" w:rsidRPr="00802246" w:rsidRDefault="00802246" w:rsidP="003E1B22">
            <w:r w:rsidRPr="00802246">
              <w:t>Age years (%)</w:t>
            </w:r>
          </w:p>
          <w:p w14:paraId="76D1F832" w14:textId="77777777" w:rsidR="00802246" w:rsidRPr="00802246" w:rsidRDefault="00802246" w:rsidP="003E1B22">
            <w:r w:rsidRPr="00802246">
              <w:t xml:space="preserve">  &lt;35</w:t>
            </w:r>
          </w:p>
          <w:p w14:paraId="702B82A8" w14:textId="77777777" w:rsidR="00802246" w:rsidRPr="00802246" w:rsidRDefault="00802246" w:rsidP="003E1B22">
            <w:r w:rsidRPr="00802246">
              <w:t xml:space="preserve">  35-37</w:t>
            </w:r>
          </w:p>
          <w:p w14:paraId="504067D5" w14:textId="77777777" w:rsidR="00802246" w:rsidRPr="00802246" w:rsidRDefault="00802246" w:rsidP="003E1B22">
            <w:r w:rsidRPr="00802246">
              <w:t xml:space="preserve">  38+</w:t>
            </w:r>
          </w:p>
        </w:tc>
        <w:tc>
          <w:tcPr>
            <w:tcW w:w="1843" w:type="dxa"/>
          </w:tcPr>
          <w:p w14:paraId="51DC3982" w14:textId="77777777" w:rsidR="00802246" w:rsidRPr="00802246" w:rsidRDefault="00802246" w:rsidP="003E1B22"/>
          <w:p w14:paraId="089715FC" w14:textId="77777777" w:rsidR="00802246" w:rsidRPr="00802246" w:rsidRDefault="00802246" w:rsidP="003E1B22">
            <w:r w:rsidRPr="00802246">
              <w:t>59%</w:t>
            </w:r>
          </w:p>
          <w:p w14:paraId="27330B49" w14:textId="77777777" w:rsidR="00802246" w:rsidRPr="00802246" w:rsidRDefault="00802246" w:rsidP="003E1B22">
            <w:r w:rsidRPr="00802246">
              <w:t>24%</w:t>
            </w:r>
          </w:p>
          <w:p w14:paraId="6C44C5D6" w14:textId="77777777" w:rsidR="00802246" w:rsidRPr="00802246" w:rsidRDefault="00802246" w:rsidP="003E1B22">
            <w:r w:rsidRPr="00802246">
              <w:t>17%</w:t>
            </w:r>
          </w:p>
        </w:tc>
        <w:tc>
          <w:tcPr>
            <w:tcW w:w="2410" w:type="dxa"/>
          </w:tcPr>
          <w:p w14:paraId="2566862D" w14:textId="77777777" w:rsidR="00802246" w:rsidRPr="00802246" w:rsidRDefault="00802246" w:rsidP="003E1B22"/>
          <w:p w14:paraId="69362152" w14:textId="77777777" w:rsidR="00802246" w:rsidRPr="00802246" w:rsidRDefault="00802246" w:rsidP="003E1B22">
            <w:r w:rsidRPr="00802246">
              <w:t>59%</w:t>
            </w:r>
          </w:p>
          <w:p w14:paraId="5CA930BC" w14:textId="77777777" w:rsidR="00802246" w:rsidRPr="00802246" w:rsidRDefault="00802246" w:rsidP="003E1B22">
            <w:r w:rsidRPr="00802246">
              <w:t>25%</w:t>
            </w:r>
          </w:p>
          <w:p w14:paraId="61BF965A" w14:textId="77777777" w:rsidR="00802246" w:rsidRPr="00802246" w:rsidRDefault="00802246" w:rsidP="003E1B22">
            <w:r w:rsidRPr="00802246">
              <w:t>15%</w:t>
            </w:r>
          </w:p>
        </w:tc>
      </w:tr>
      <w:tr w:rsidR="00802246" w:rsidRPr="00802246" w14:paraId="40F228EB" w14:textId="77777777" w:rsidTr="00802246">
        <w:tc>
          <w:tcPr>
            <w:tcW w:w="4219" w:type="dxa"/>
          </w:tcPr>
          <w:p w14:paraId="7CC30256" w14:textId="77777777" w:rsidR="00802246" w:rsidRPr="00802246" w:rsidRDefault="00802246" w:rsidP="003E1B22">
            <w:pPr>
              <w:rPr>
                <w:vertAlign w:val="superscript"/>
              </w:rPr>
            </w:pPr>
            <w:r w:rsidRPr="00802246">
              <w:t>BMI kg/m</w:t>
            </w:r>
            <w:r w:rsidRPr="00802246">
              <w:rPr>
                <w:vertAlign w:val="superscript"/>
              </w:rPr>
              <w:t>2</w:t>
            </w:r>
          </w:p>
        </w:tc>
        <w:tc>
          <w:tcPr>
            <w:tcW w:w="1843" w:type="dxa"/>
          </w:tcPr>
          <w:p w14:paraId="603D9979" w14:textId="77777777" w:rsidR="00802246" w:rsidRPr="00802246" w:rsidRDefault="00802246" w:rsidP="003E1B22">
            <w:r w:rsidRPr="00802246">
              <w:t>24</w:t>
            </w:r>
          </w:p>
        </w:tc>
        <w:tc>
          <w:tcPr>
            <w:tcW w:w="2410" w:type="dxa"/>
          </w:tcPr>
          <w:p w14:paraId="36359717" w14:textId="77777777" w:rsidR="00802246" w:rsidRPr="00802246" w:rsidRDefault="00802246" w:rsidP="003E1B22">
            <w:r w:rsidRPr="00802246">
              <w:t>23</w:t>
            </w:r>
          </w:p>
        </w:tc>
      </w:tr>
      <w:tr w:rsidR="00802246" w:rsidRPr="00802246" w14:paraId="5B7EC601" w14:textId="77777777" w:rsidTr="00802246">
        <w:tc>
          <w:tcPr>
            <w:tcW w:w="4219" w:type="dxa"/>
          </w:tcPr>
          <w:p w14:paraId="251897DD" w14:textId="77777777" w:rsidR="00802246" w:rsidRPr="00802246" w:rsidRDefault="00802246" w:rsidP="003E1B22">
            <w:r w:rsidRPr="00802246">
              <w:t>Duration of infertility (months)</w:t>
            </w:r>
          </w:p>
        </w:tc>
        <w:tc>
          <w:tcPr>
            <w:tcW w:w="1843" w:type="dxa"/>
          </w:tcPr>
          <w:p w14:paraId="3B86C09E" w14:textId="77777777" w:rsidR="00802246" w:rsidRPr="00802246" w:rsidRDefault="00802246" w:rsidP="003E1B22">
            <w:r w:rsidRPr="00802246">
              <w:t>35</w:t>
            </w:r>
          </w:p>
        </w:tc>
        <w:tc>
          <w:tcPr>
            <w:tcW w:w="2410" w:type="dxa"/>
          </w:tcPr>
          <w:p w14:paraId="3B98443E" w14:textId="77777777" w:rsidR="00802246" w:rsidRPr="00802246" w:rsidRDefault="00802246" w:rsidP="003E1B22">
            <w:r w:rsidRPr="00802246">
              <w:t>35</w:t>
            </w:r>
          </w:p>
        </w:tc>
      </w:tr>
      <w:tr w:rsidR="00802246" w:rsidRPr="00802246" w14:paraId="76224037" w14:textId="77777777" w:rsidTr="00802246">
        <w:tc>
          <w:tcPr>
            <w:tcW w:w="4219" w:type="dxa"/>
          </w:tcPr>
          <w:p w14:paraId="297EF925" w14:textId="77777777" w:rsidR="00802246" w:rsidRPr="00802246" w:rsidRDefault="00802246" w:rsidP="003E1B22">
            <w:r w:rsidRPr="00802246">
              <w:t>Primary infertility (%)</w:t>
            </w:r>
          </w:p>
        </w:tc>
        <w:tc>
          <w:tcPr>
            <w:tcW w:w="1843" w:type="dxa"/>
          </w:tcPr>
          <w:p w14:paraId="0728BFAF" w14:textId="77777777" w:rsidR="00802246" w:rsidRPr="00802246" w:rsidRDefault="00802246" w:rsidP="003E1B22">
            <w:r w:rsidRPr="00802246">
              <w:t>71</w:t>
            </w:r>
          </w:p>
        </w:tc>
        <w:tc>
          <w:tcPr>
            <w:tcW w:w="2410" w:type="dxa"/>
          </w:tcPr>
          <w:p w14:paraId="414E5BBD" w14:textId="77777777" w:rsidR="00802246" w:rsidRPr="00802246" w:rsidRDefault="00802246" w:rsidP="003E1B22">
            <w:r w:rsidRPr="00802246">
              <w:t>71</w:t>
            </w:r>
          </w:p>
        </w:tc>
      </w:tr>
      <w:tr w:rsidR="00802246" w:rsidRPr="00802246" w14:paraId="5CD85E14" w14:textId="77777777" w:rsidTr="00802246">
        <w:tc>
          <w:tcPr>
            <w:tcW w:w="4219" w:type="dxa"/>
          </w:tcPr>
          <w:p w14:paraId="1B068707" w14:textId="77777777" w:rsidR="00802246" w:rsidRPr="00802246" w:rsidRDefault="00802246" w:rsidP="003E1B22">
            <w:r w:rsidRPr="00802246">
              <w:t>Primary reason for infertility (%)</w:t>
            </w:r>
          </w:p>
          <w:p w14:paraId="6476D38F" w14:textId="77777777" w:rsidR="00802246" w:rsidRPr="00802246" w:rsidRDefault="00802246" w:rsidP="003E1B22">
            <w:r w:rsidRPr="00802246">
              <w:t xml:space="preserve">  Unexplained</w:t>
            </w:r>
          </w:p>
          <w:p w14:paraId="3D9F01BF" w14:textId="77777777" w:rsidR="00802246" w:rsidRPr="00802246" w:rsidRDefault="00802246" w:rsidP="003E1B22">
            <w:r w:rsidRPr="00802246">
              <w:t xml:space="preserve">  Tubal</w:t>
            </w:r>
          </w:p>
          <w:p w14:paraId="1812CC57" w14:textId="77777777" w:rsidR="00802246" w:rsidRPr="00802246" w:rsidRDefault="00802246" w:rsidP="003E1B22">
            <w:r w:rsidRPr="00802246">
              <w:t xml:space="preserve">  Male factor</w:t>
            </w:r>
          </w:p>
          <w:p w14:paraId="2435D1D1" w14:textId="77777777" w:rsidR="00802246" w:rsidRPr="00802246" w:rsidRDefault="00802246" w:rsidP="003E1B22">
            <w:r w:rsidRPr="00802246">
              <w:t xml:space="preserve">  Endometriosis (I/II)</w:t>
            </w:r>
          </w:p>
          <w:p w14:paraId="3FBEF8D8" w14:textId="77777777" w:rsidR="00802246" w:rsidRPr="00802246" w:rsidRDefault="00802246" w:rsidP="003E1B22">
            <w:r w:rsidRPr="00802246">
              <w:t xml:space="preserve">  Other</w:t>
            </w:r>
          </w:p>
        </w:tc>
        <w:tc>
          <w:tcPr>
            <w:tcW w:w="1843" w:type="dxa"/>
          </w:tcPr>
          <w:p w14:paraId="1C5D5FF8" w14:textId="77777777" w:rsidR="00802246" w:rsidRPr="00802246" w:rsidRDefault="00802246" w:rsidP="003E1B22"/>
          <w:p w14:paraId="45377D58" w14:textId="77777777" w:rsidR="00802246" w:rsidRPr="00802246" w:rsidRDefault="00802246" w:rsidP="003E1B22">
            <w:r w:rsidRPr="00802246">
              <w:t>42</w:t>
            </w:r>
          </w:p>
          <w:p w14:paraId="7CD0610C" w14:textId="77777777" w:rsidR="00802246" w:rsidRPr="00802246" w:rsidRDefault="00802246" w:rsidP="003E1B22">
            <w:r w:rsidRPr="00802246">
              <w:t>14</w:t>
            </w:r>
          </w:p>
          <w:p w14:paraId="6127FF85" w14:textId="77777777" w:rsidR="00802246" w:rsidRPr="00802246" w:rsidRDefault="00802246" w:rsidP="003E1B22">
            <w:r w:rsidRPr="00802246">
              <w:t>40</w:t>
            </w:r>
          </w:p>
          <w:p w14:paraId="56827C63" w14:textId="77777777" w:rsidR="00802246" w:rsidRPr="00802246" w:rsidRDefault="00802246" w:rsidP="003E1B22">
            <w:r w:rsidRPr="00802246">
              <w:t>3</w:t>
            </w:r>
          </w:p>
          <w:p w14:paraId="66EAD175" w14:textId="77777777" w:rsidR="00802246" w:rsidRPr="00802246" w:rsidRDefault="00802246" w:rsidP="003E1B22">
            <w:r w:rsidRPr="00802246">
              <w:t>&lt;1</w:t>
            </w:r>
          </w:p>
        </w:tc>
        <w:tc>
          <w:tcPr>
            <w:tcW w:w="2410" w:type="dxa"/>
          </w:tcPr>
          <w:p w14:paraId="59725A22" w14:textId="77777777" w:rsidR="00802246" w:rsidRPr="00802246" w:rsidRDefault="00802246" w:rsidP="003E1B22"/>
          <w:p w14:paraId="12F8A205" w14:textId="77777777" w:rsidR="00802246" w:rsidRPr="00802246" w:rsidRDefault="00802246" w:rsidP="003E1B22">
            <w:r w:rsidRPr="00802246">
              <w:t>41</w:t>
            </w:r>
          </w:p>
          <w:p w14:paraId="676C6139" w14:textId="77777777" w:rsidR="00802246" w:rsidRPr="00802246" w:rsidRDefault="00802246" w:rsidP="003E1B22">
            <w:r w:rsidRPr="00802246">
              <w:t>15</w:t>
            </w:r>
          </w:p>
          <w:p w14:paraId="43DAA584" w14:textId="77777777" w:rsidR="00802246" w:rsidRPr="00802246" w:rsidRDefault="00802246" w:rsidP="003E1B22">
            <w:r w:rsidRPr="00802246">
              <w:t>39</w:t>
            </w:r>
          </w:p>
          <w:p w14:paraId="360CA2AE" w14:textId="77777777" w:rsidR="00802246" w:rsidRPr="00802246" w:rsidRDefault="00802246" w:rsidP="003E1B22">
            <w:r w:rsidRPr="00802246">
              <w:t>4</w:t>
            </w:r>
          </w:p>
          <w:p w14:paraId="1DC9AC01" w14:textId="77777777" w:rsidR="00802246" w:rsidRPr="00802246" w:rsidRDefault="00802246" w:rsidP="003E1B22">
            <w:r w:rsidRPr="00802246">
              <w:t>&lt;1</w:t>
            </w:r>
          </w:p>
        </w:tc>
      </w:tr>
      <w:tr w:rsidR="00802246" w:rsidRPr="00802246" w14:paraId="27A145CB" w14:textId="77777777" w:rsidTr="00802246">
        <w:tc>
          <w:tcPr>
            <w:tcW w:w="4219" w:type="dxa"/>
          </w:tcPr>
          <w:p w14:paraId="739E1C8C" w14:textId="77777777" w:rsidR="00802246" w:rsidRPr="00802246" w:rsidRDefault="00802246" w:rsidP="003E1B22">
            <w:r w:rsidRPr="00802246">
              <w:t>Endocrine profile</w:t>
            </w:r>
          </w:p>
          <w:p w14:paraId="13BA2DA9" w14:textId="77777777" w:rsidR="00802246" w:rsidRPr="00802246" w:rsidRDefault="00802246" w:rsidP="003E1B22">
            <w:r w:rsidRPr="00802246">
              <w:t xml:space="preserve">  AMH (pmol/L)</w:t>
            </w:r>
          </w:p>
          <w:p w14:paraId="6876572D" w14:textId="77777777" w:rsidR="00802246" w:rsidRPr="00802246" w:rsidRDefault="00802246" w:rsidP="003E1B22">
            <w:r w:rsidRPr="00802246">
              <w:t xml:space="preserve">  FSH (IU/L)</w:t>
            </w:r>
          </w:p>
          <w:p w14:paraId="1EFB4EB0" w14:textId="77777777" w:rsidR="00802246" w:rsidRPr="00802246" w:rsidRDefault="00802246" w:rsidP="003E1B22">
            <w:r w:rsidRPr="00802246">
              <w:t xml:space="preserve">  LH (IU/L)</w:t>
            </w:r>
          </w:p>
        </w:tc>
        <w:tc>
          <w:tcPr>
            <w:tcW w:w="1843" w:type="dxa"/>
          </w:tcPr>
          <w:p w14:paraId="2A067AA6" w14:textId="77777777" w:rsidR="00802246" w:rsidRPr="00802246" w:rsidRDefault="00802246" w:rsidP="003E1B22"/>
          <w:p w14:paraId="559BFB6F" w14:textId="77777777" w:rsidR="00802246" w:rsidRPr="00802246" w:rsidRDefault="00802246" w:rsidP="003E1B22">
            <w:r w:rsidRPr="00802246">
              <w:t>16.3</w:t>
            </w:r>
          </w:p>
          <w:p w14:paraId="5C09B5F4" w14:textId="77777777" w:rsidR="00802246" w:rsidRPr="00802246" w:rsidRDefault="00802246" w:rsidP="003E1B22">
            <w:r w:rsidRPr="00802246">
              <w:t>7.5</w:t>
            </w:r>
          </w:p>
          <w:p w14:paraId="7B96294E" w14:textId="77777777" w:rsidR="00802246" w:rsidRPr="00802246" w:rsidRDefault="00802246" w:rsidP="003E1B22">
            <w:r w:rsidRPr="00802246">
              <w:t>4.5</w:t>
            </w:r>
          </w:p>
        </w:tc>
        <w:tc>
          <w:tcPr>
            <w:tcW w:w="2410" w:type="dxa"/>
          </w:tcPr>
          <w:p w14:paraId="4ABB831B" w14:textId="77777777" w:rsidR="00802246" w:rsidRPr="00802246" w:rsidRDefault="00802246" w:rsidP="003E1B22"/>
          <w:p w14:paraId="16A180B2" w14:textId="77777777" w:rsidR="00802246" w:rsidRPr="00802246" w:rsidRDefault="00802246" w:rsidP="003E1B22">
            <w:r w:rsidRPr="00802246">
              <w:t>16.0</w:t>
            </w:r>
          </w:p>
          <w:p w14:paraId="4CD2F6FE" w14:textId="77777777" w:rsidR="00802246" w:rsidRPr="00802246" w:rsidRDefault="00802246" w:rsidP="003E1B22">
            <w:r w:rsidRPr="00802246">
              <w:t>7.7</w:t>
            </w:r>
          </w:p>
          <w:p w14:paraId="545A4F4E" w14:textId="77777777" w:rsidR="00802246" w:rsidRPr="00802246" w:rsidRDefault="00802246" w:rsidP="003E1B22">
            <w:r w:rsidRPr="00802246">
              <w:t>4.4</w:t>
            </w:r>
          </w:p>
        </w:tc>
      </w:tr>
    </w:tbl>
    <w:p w14:paraId="70FF4A25" w14:textId="77777777" w:rsidR="00070DCE" w:rsidRDefault="00802246" w:rsidP="00F254DB">
      <w:r>
        <w:t>The following tables summarise the r</w:t>
      </w:r>
      <w:r w:rsidR="00070DCE" w:rsidRPr="00070DCE">
        <w:t>esults (mITT</w:t>
      </w:r>
      <w:r>
        <w:t xml:space="preserve"> and</w:t>
      </w:r>
      <w:r w:rsidR="00070DCE" w:rsidRPr="00070DCE">
        <w:t xml:space="preserve"> PP were similar)</w:t>
      </w:r>
      <w:r>
        <w:t>.</w:t>
      </w:r>
    </w:p>
    <w:p w14:paraId="0CCC5FA3" w14:textId="77777777" w:rsidR="00802246" w:rsidRPr="00070DCE" w:rsidRDefault="00802246" w:rsidP="00802246">
      <w:pPr>
        <w:pStyle w:val="TableTitle"/>
      </w:pPr>
      <w:r>
        <w:t>Table 15: Results from ESTHER-1</w:t>
      </w:r>
    </w:p>
    <w:tbl>
      <w:tblPr>
        <w:tblStyle w:val="TableTGAblue"/>
        <w:tblW w:w="0" w:type="auto"/>
        <w:tblLook w:val="04A0" w:firstRow="1" w:lastRow="0" w:firstColumn="1" w:lastColumn="0" w:noHBand="0" w:noVBand="1"/>
      </w:tblPr>
      <w:tblGrid>
        <w:gridCol w:w="2660"/>
        <w:gridCol w:w="1843"/>
        <w:gridCol w:w="1842"/>
        <w:gridCol w:w="2268"/>
      </w:tblGrid>
      <w:tr w:rsidR="00802246" w:rsidRPr="00514C48" w14:paraId="32E67EE4" w14:textId="77777777" w:rsidTr="00514C48">
        <w:trPr>
          <w:cnfStyle w:val="100000000000" w:firstRow="1" w:lastRow="0" w:firstColumn="0" w:lastColumn="0" w:oddVBand="0" w:evenVBand="0" w:oddHBand="0" w:evenHBand="0" w:firstRowFirstColumn="0" w:firstRowLastColumn="0" w:lastRowFirstColumn="0" w:lastRowLastColumn="0"/>
          <w:cantSplit/>
        </w:trPr>
        <w:tc>
          <w:tcPr>
            <w:tcW w:w="2660" w:type="dxa"/>
          </w:tcPr>
          <w:p w14:paraId="177D9CCD" w14:textId="77777777" w:rsidR="00802246" w:rsidRPr="00514C48" w:rsidRDefault="00802246" w:rsidP="003E1B22"/>
        </w:tc>
        <w:tc>
          <w:tcPr>
            <w:tcW w:w="1843" w:type="dxa"/>
          </w:tcPr>
          <w:p w14:paraId="7E14B1E7" w14:textId="4B42D561" w:rsidR="00802246" w:rsidRPr="00514C48" w:rsidRDefault="00802246" w:rsidP="003E1B22">
            <w:proofErr w:type="spellStart"/>
            <w:r w:rsidRPr="00514C48">
              <w:t>Rekovelle</w:t>
            </w:r>
            <w:proofErr w:type="spellEnd"/>
            <w:r w:rsidR="003E1B22">
              <w:t xml:space="preserve"> </w:t>
            </w:r>
            <w:r w:rsidRPr="00514C48">
              <w:t>n=665</w:t>
            </w:r>
          </w:p>
        </w:tc>
        <w:tc>
          <w:tcPr>
            <w:tcW w:w="1842" w:type="dxa"/>
          </w:tcPr>
          <w:p w14:paraId="5F95C341" w14:textId="5DBCCCF4" w:rsidR="00802246" w:rsidRPr="00514C48" w:rsidRDefault="00802246" w:rsidP="003E1B22">
            <w:proofErr w:type="spellStart"/>
            <w:r w:rsidRPr="00514C48">
              <w:t>Gonal</w:t>
            </w:r>
            <w:proofErr w:type="spellEnd"/>
            <w:r w:rsidRPr="00514C48">
              <w:t>-F</w:t>
            </w:r>
            <w:r w:rsidR="003E1B22">
              <w:t xml:space="preserve"> </w:t>
            </w:r>
            <w:r w:rsidRPr="00514C48">
              <w:t>n=661</w:t>
            </w:r>
          </w:p>
        </w:tc>
        <w:tc>
          <w:tcPr>
            <w:tcW w:w="2268" w:type="dxa"/>
          </w:tcPr>
          <w:p w14:paraId="679AA630" w14:textId="0561436C" w:rsidR="00802246" w:rsidRPr="00514C48" w:rsidRDefault="00802246" w:rsidP="003E1B22">
            <w:r w:rsidRPr="00514C48">
              <w:t>Difference</w:t>
            </w:r>
            <w:r w:rsidR="003E1B22">
              <w:t xml:space="preserve"> </w:t>
            </w:r>
            <w:r w:rsidRPr="00514C48">
              <w:t>(95% CI)</w:t>
            </w:r>
          </w:p>
        </w:tc>
      </w:tr>
      <w:tr w:rsidR="00802246" w:rsidRPr="00514C48" w14:paraId="3A2AEAEF" w14:textId="77777777" w:rsidTr="00802246">
        <w:tc>
          <w:tcPr>
            <w:tcW w:w="2660" w:type="dxa"/>
          </w:tcPr>
          <w:p w14:paraId="4F9EC98B" w14:textId="77777777" w:rsidR="00802246" w:rsidRPr="00514C48" w:rsidRDefault="00802246" w:rsidP="003E1B22">
            <w:r w:rsidRPr="00514C48">
              <w:t>Co-primary endpoints</w:t>
            </w:r>
          </w:p>
          <w:p w14:paraId="19A6B5BC" w14:textId="77777777" w:rsidR="00802246" w:rsidRPr="00514C48" w:rsidRDefault="00802246" w:rsidP="003E1B22">
            <w:r w:rsidRPr="00514C48">
              <w:t xml:space="preserve">  Ongoing pregnancy</w:t>
            </w:r>
          </w:p>
          <w:p w14:paraId="2B96B7C7" w14:textId="77777777" w:rsidR="00802246" w:rsidRPr="00514C48" w:rsidRDefault="00802246" w:rsidP="003E1B22">
            <w:r w:rsidRPr="00514C48">
              <w:t xml:space="preserve">  Ongoing implantation</w:t>
            </w:r>
          </w:p>
        </w:tc>
        <w:tc>
          <w:tcPr>
            <w:tcW w:w="1843" w:type="dxa"/>
          </w:tcPr>
          <w:p w14:paraId="501515E6" w14:textId="77777777" w:rsidR="00802246" w:rsidRPr="00514C48" w:rsidRDefault="00802246" w:rsidP="003E1B22"/>
          <w:p w14:paraId="53F5F2C4" w14:textId="77777777" w:rsidR="00802246" w:rsidRPr="00514C48" w:rsidRDefault="00802246" w:rsidP="003E1B22">
            <w:r w:rsidRPr="00514C48">
              <w:t>204 (30.7%)</w:t>
            </w:r>
          </w:p>
          <w:p w14:paraId="1D6F3DB8" w14:textId="77777777" w:rsidR="00802246" w:rsidRPr="00514C48" w:rsidRDefault="00802246" w:rsidP="003E1B22">
            <w:r w:rsidRPr="00514C48">
              <w:t>206/585 (35.2%)</w:t>
            </w:r>
          </w:p>
        </w:tc>
        <w:tc>
          <w:tcPr>
            <w:tcW w:w="1842" w:type="dxa"/>
          </w:tcPr>
          <w:p w14:paraId="4F9F80A1" w14:textId="77777777" w:rsidR="00802246" w:rsidRPr="00514C48" w:rsidRDefault="00802246" w:rsidP="003E1B22"/>
          <w:p w14:paraId="35167096" w14:textId="77777777" w:rsidR="00802246" w:rsidRPr="00514C48" w:rsidRDefault="00802246" w:rsidP="003E1B22">
            <w:r w:rsidRPr="00514C48">
              <w:t>209 (31.6%)</w:t>
            </w:r>
          </w:p>
          <w:p w14:paraId="38EA0B00" w14:textId="77777777" w:rsidR="00802246" w:rsidRPr="00514C48" w:rsidRDefault="00802246" w:rsidP="003E1B22">
            <w:r w:rsidRPr="00514C48">
              <w:t>209/584 (35.8%)</w:t>
            </w:r>
          </w:p>
        </w:tc>
        <w:tc>
          <w:tcPr>
            <w:tcW w:w="2268" w:type="dxa"/>
          </w:tcPr>
          <w:p w14:paraId="05B4D70B" w14:textId="77777777" w:rsidR="00802246" w:rsidRPr="00514C48" w:rsidRDefault="00802246" w:rsidP="003E1B22"/>
          <w:p w14:paraId="05AA84E3" w14:textId="77777777" w:rsidR="00802246" w:rsidRPr="00514C48" w:rsidRDefault="00802246" w:rsidP="003E1B22">
            <w:r w:rsidRPr="00514C48">
              <w:t>-0.9% (-5.9%, 4.1%)</w:t>
            </w:r>
          </w:p>
          <w:p w14:paraId="79B89B4E" w14:textId="77777777" w:rsidR="00802246" w:rsidRPr="00514C48" w:rsidRDefault="00802246" w:rsidP="003E1B22">
            <w:r w:rsidRPr="00514C48">
              <w:t>-0.6% (-6.1%, 4.8%)</w:t>
            </w:r>
          </w:p>
        </w:tc>
      </w:tr>
      <w:tr w:rsidR="00802246" w:rsidRPr="00514C48" w14:paraId="4FFAAE10" w14:textId="77777777" w:rsidTr="00802246">
        <w:tc>
          <w:tcPr>
            <w:tcW w:w="2660" w:type="dxa"/>
          </w:tcPr>
          <w:p w14:paraId="1B83A65F" w14:textId="77777777" w:rsidR="00802246" w:rsidRPr="00514C48" w:rsidRDefault="00802246" w:rsidP="003E1B22">
            <w:r w:rsidRPr="00514C48">
              <w:t>Selected secondary endpoints</w:t>
            </w:r>
          </w:p>
          <w:p w14:paraId="2492524C" w14:textId="77777777" w:rsidR="00802246" w:rsidRPr="00514C48" w:rsidRDefault="00802246" w:rsidP="003E1B22">
            <w:r w:rsidRPr="00514C48">
              <w:t xml:space="preserve">  Women with a livebirth</w:t>
            </w:r>
          </w:p>
          <w:p w14:paraId="1C6BE18A" w14:textId="77777777" w:rsidR="00802246" w:rsidRPr="00514C48" w:rsidRDefault="00802246" w:rsidP="003E1B22">
            <w:r w:rsidRPr="00514C48">
              <w:t xml:space="preserve">  Women with a live neonate</w:t>
            </w:r>
          </w:p>
          <w:p w14:paraId="71B819E3" w14:textId="77777777" w:rsidR="00802246" w:rsidRPr="00514C48" w:rsidRDefault="00802246" w:rsidP="003E1B22">
            <w:r w:rsidRPr="00514C48">
              <w:t xml:space="preserve">  Birthweight</w:t>
            </w:r>
          </w:p>
          <w:p w14:paraId="3EC6007E" w14:textId="77777777" w:rsidR="00802246" w:rsidRPr="00514C48" w:rsidRDefault="00802246" w:rsidP="003E1B22">
            <w:r w:rsidRPr="00514C48">
              <w:t xml:space="preserve">  Gestational age</w:t>
            </w:r>
          </w:p>
          <w:p w14:paraId="4D0DB252" w14:textId="77777777" w:rsidR="00802246" w:rsidRPr="00514C48" w:rsidRDefault="00802246" w:rsidP="003E1B22">
            <w:r w:rsidRPr="00514C48">
              <w:t xml:space="preserve">  </w:t>
            </w:r>
            <w:r w:rsidR="005219CC" w:rsidRPr="00514C48">
              <w:t>Multiple</w:t>
            </w:r>
            <w:r w:rsidRPr="00514C48">
              <w:t xml:space="preserve"> pregnancy  </w:t>
            </w:r>
          </w:p>
        </w:tc>
        <w:tc>
          <w:tcPr>
            <w:tcW w:w="1843" w:type="dxa"/>
          </w:tcPr>
          <w:p w14:paraId="217ED7BF" w14:textId="77777777" w:rsidR="00802246" w:rsidRPr="00514C48" w:rsidRDefault="00802246" w:rsidP="003E1B22"/>
          <w:p w14:paraId="1A2779B4" w14:textId="77777777" w:rsidR="00802246" w:rsidRPr="00514C48" w:rsidRDefault="00802246" w:rsidP="003E1B22">
            <w:r w:rsidRPr="00514C48">
              <w:t>198 (29.8%)</w:t>
            </w:r>
          </w:p>
          <w:p w14:paraId="7774B485" w14:textId="77777777" w:rsidR="00802246" w:rsidRPr="00514C48" w:rsidRDefault="00802246" w:rsidP="003E1B22">
            <w:r w:rsidRPr="00514C48">
              <w:t>198 (29.8%)</w:t>
            </w:r>
          </w:p>
          <w:p w14:paraId="533E531E" w14:textId="77777777" w:rsidR="00802246" w:rsidRPr="00514C48" w:rsidRDefault="00802246" w:rsidP="003E1B22">
            <w:r w:rsidRPr="00514C48">
              <w:t>3186 g</w:t>
            </w:r>
          </w:p>
          <w:p w14:paraId="19078908" w14:textId="77777777" w:rsidR="00802246" w:rsidRPr="00514C48" w:rsidRDefault="00802246" w:rsidP="003E1B22">
            <w:r w:rsidRPr="00514C48">
              <w:t>272 days</w:t>
            </w:r>
          </w:p>
          <w:p w14:paraId="5120B74B" w14:textId="77777777" w:rsidR="00802246" w:rsidRPr="00514C48" w:rsidRDefault="00802246" w:rsidP="003E1B22">
            <w:r w:rsidRPr="00514C48">
              <w:t>4 (2.0%)</w:t>
            </w:r>
          </w:p>
        </w:tc>
        <w:tc>
          <w:tcPr>
            <w:tcW w:w="1842" w:type="dxa"/>
          </w:tcPr>
          <w:p w14:paraId="6F24ABB5" w14:textId="77777777" w:rsidR="00802246" w:rsidRPr="00514C48" w:rsidRDefault="00802246" w:rsidP="003E1B22"/>
          <w:p w14:paraId="6CDC3B6F" w14:textId="77777777" w:rsidR="00802246" w:rsidRPr="00514C48" w:rsidRDefault="00802246" w:rsidP="003E1B22">
            <w:r w:rsidRPr="00514C48">
              <w:t>203 (30.7%)</w:t>
            </w:r>
          </w:p>
          <w:p w14:paraId="57E0F4C1" w14:textId="77777777" w:rsidR="00802246" w:rsidRPr="00514C48" w:rsidRDefault="00802246" w:rsidP="003E1B22">
            <w:r w:rsidRPr="00514C48">
              <w:t>201 (30.4%)</w:t>
            </w:r>
          </w:p>
          <w:p w14:paraId="6C1A6B73" w14:textId="77777777" w:rsidR="00802246" w:rsidRPr="00514C48" w:rsidRDefault="00802246" w:rsidP="003E1B22">
            <w:r w:rsidRPr="00514C48">
              <w:t>3168 g</w:t>
            </w:r>
          </w:p>
          <w:p w14:paraId="4C9904BA" w14:textId="77777777" w:rsidR="00802246" w:rsidRPr="00514C48" w:rsidRDefault="00802246" w:rsidP="003E1B22">
            <w:r w:rsidRPr="00514C48">
              <w:t>272 days</w:t>
            </w:r>
          </w:p>
          <w:p w14:paraId="2557276B" w14:textId="77777777" w:rsidR="00802246" w:rsidRPr="00514C48" w:rsidRDefault="00802246" w:rsidP="003E1B22">
            <w:r w:rsidRPr="00514C48">
              <w:t>8 (3.8%)</w:t>
            </w:r>
          </w:p>
        </w:tc>
        <w:tc>
          <w:tcPr>
            <w:tcW w:w="2268" w:type="dxa"/>
          </w:tcPr>
          <w:p w14:paraId="1B8FF12A" w14:textId="77777777" w:rsidR="00802246" w:rsidRPr="00514C48" w:rsidRDefault="00802246" w:rsidP="003E1B22"/>
          <w:p w14:paraId="7C23A20F" w14:textId="77777777" w:rsidR="00802246" w:rsidRPr="00514C48" w:rsidRDefault="00802246" w:rsidP="003E1B22">
            <w:r w:rsidRPr="00514C48">
              <w:t>-0.9% (-5.8%, 4.0%)</w:t>
            </w:r>
          </w:p>
          <w:p w14:paraId="7E0D166D" w14:textId="77777777" w:rsidR="00802246" w:rsidRPr="00514C48" w:rsidRDefault="00802246" w:rsidP="003E1B22">
            <w:r w:rsidRPr="00514C48">
              <w:t>-0.6% (-5.5%, 4.3%)</w:t>
            </w:r>
          </w:p>
          <w:p w14:paraId="572252E6" w14:textId="77777777" w:rsidR="00802246" w:rsidRPr="00514C48" w:rsidRDefault="00802246" w:rsidP="003E1B22">
            <w:r w:rsidRPr="00514C48">
              <w:t>22.8 g (-97.2 g, 142.8 g)</w:t>
            </w:r>
          </w:p>
          <w:p w14:paraId="5AD332C5" w14:textId="77777777" w:rsidR="00802246" w:rsidRPr="00514C48" w:rsidRDefault="00802246" w:rsidP="003E1B22">
            <w:r w:rsidRPr="00514C48">
              <w:t>0.1 days (-3.1, 3.3)</w:t>
            </w:r>
          </w:p>
          <w:p w14:paraId="734F9B03" w14:textId="77777777" w:rsidR="00802246" w:rsidRPr="00514C48" w:rsidRDefault="00802246" w:rsidP="003E1B22">
            <w:r w:rsidRPr="00514C48">
              <w:t>-2.0% (-5.0%, 1.1%)</w:t>
            </w:r>
          </w:p>
        </w:tc>
      </w:tr>
    </w:tbl>
    <w:p w14:paraId="5EF46BE9" w14:textId="77777777" w:rsidR="00514C48" w:rsidRPr="00070DCE" w:rsidRDefault="00514C48" w:rsidP="00514C48">
      <w:pPr>
        <w:pStyle w:val="Heading4"/>
        <w:rPr>
          <w:b w:val="0"/>
          <w:bCs w:val="0"/>
          <w:szCs w:val="22"/>
        </w:rPr>
      </w:pPr>
      <w:r>
        <w:rPr>
          <w:b w:val="0"/>
          <w:bCs w:val="0"/>
          <w:szCs w:val="22"/>
        </w:rPr>
        <w:t>Co-primary endpoints by age are shown in Table 16 below.</w:t>
      </w:r>
    </w:p>
    <w:p w14:paraId="61DCAA27" w14:textId="77777777" w:rsidR="00514C48" w:rsidRDefault="00514C48" w:rsidP="00514C48">
      <w:pPr>
        <w:pStyle w:val="TableTitle"/>
      </w:pPr>
      <w:r>
        <w:t>Table 16: Co-primary endpoints by age (Per Protocol (PP))</w:t>
      </w:r>
    </w:p>
    <w:tbl>
      <w:tblPr>
        <w:tblStyle w:val="TableTGAblue"/>
        <w:tblW w:w="0" w:type="auto"/>
        <w:tblLook w:val="04A0" w:firstRow="1" w:lastRow="0" w:firstColumn="1" w:lastColumn="0" w:noHBand="0" w:noVBand="1"/>
      </w:tblPr>
      <w:tblGrid>
        <w:gridCol w:w="2660"/>
        <w:gridCol w:w="1843"/>
        <w:gridCol w:w="1842"/>
        <w:gridCol w:w="2268"/>
      </w:tblGrid>
      <w:tr w:rsidR="00514C48" w:rsidRPr="00514C48" w14:paraId="7626196A" w14:textId="77777777" w:rsidTr="00514C48">
        <w:trPr>
          <w:cnfStyle w:val="100000000000" w:firstRow="1" w:lastRow="0" w:firstColumn="0" w:lastColumn="0" w:oddVBand="0" w:evenVBand="0" w:oddHBand="0" w:evenHBand="0" w:firstRowFirstColumn="0" w:firstRowLastColumn="0" w:lastRowFirstColumn="0" w:lastRowLastColumn="0"/>
        </w:trPr>
        <w:tc>
          <w:tcPr>
            <w:tcW w:w="2660" w:type="dxa"/>
          </w:tcPr>
          <w:p w14:paraId="69787235" w14:textId="77777777" w:rsidR="00514C48" w:rsidRPr="00514C48" w:rsidRDefault="00514C48" w:rsidP="00514C48">
            <w:pPr>
              <w:rPr>
                <w:rFonts w:asciiTheme="minorHAnsi" w:hAnsiTheme="minorHAnsi"/>
                <w:sz w:val="20"/>
                <w:szCs w:val="20"/>
              </w:rPr>
            </w:pPr>
          </w:p>
        </w:tc>
        <w:tc>
          <w:tcPr>
            <w:tcW w:w="1843" w:type="dxa"/>
          </w:tcPr>
          <w:p w14:paraId="4CC24580"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Rekovelle</w:t>
            </w:r>
          </w:p>
          <w:p w14:paraId="53F12F11"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n=665</w:t>
            </w:r>
          </w:p>
        </w:tc>
        <w:tc>
          <w:tcPr>
            <w:tcW w:w="1842" w:type="dxa"/>
          </w:tcPr>
          <w:p w14:paraId="66A78AC5"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Gonal-F</w:t>
            </w:r>
          </w:p>
          <w:p w14:paraId="4483A17A"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n=661</w:t>
            </w:r>
          </w:p>
        </w:tc>
        <w:tc>
          <w:tcPr>
            <w:tcW w:w="2268" w:type="dxa"/>
          </w:tcPr>
          <w:p w14:paraId="08D68D1B"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Difference</w:t>
            </w:r>
          </w:p>
          <w:p w14:paraId="29EFF8BC"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(95% CI)</w:t>
            </w:r>
          </w:p>
        </w:tc>
      </w:tr>
      <w:tr w:rsidR="00514C48" w:rsidRPr="00514C48" w14:paraId="7EDBE35E" w14:textId="77777777" w:rsidTr="00514C48">
        <w:tc>
          <w:tcPr>
            <w:tcW w:w="2660" w:type="dxa"/>
          </w:tcPr>
          <w:p w14:paraId="2EA9DE89"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Co-primary endpoints</w:t>
            </w:r>
          </w:p>
          <w:p w14:paraId="45CAFE51"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 xml:space="preserve">  Ongoing pregnancy</w:t>
            </w:r>
          </w:p>
          <w:p w14:paraId="178B4D62"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 xml:space="preserve">  Ongoing implantation</w:t>
            </w:r>
          </w:p>
        </w:tc>
        <w:tc>
          <w:tcPr>
            <w:tcW w:w="1843" w:type="dxa"/>
          </w:tcPr>
          <w:p w14:paraId="562467EA" w14:textId="77777777" w:rsidR="00514C48" w:rsidRPr="00514C48" w:rsidRDefault="00514C48" w:rsidP="00514C48">
            <w:pPr>
              <w:rPr>
                <w:rFonts w:asciiTheme="minorHAnsi" w:hAnsiTheme="minorHAnsi"/>
                <w:sz w:val="20"/>
                <w:szCs w:val="20"/>
              </w:rPr>
            </w:pPr>
          </w:p>
          <w:p w14:paraId="4DB36881"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204 (30.7%)</w:t>
            </w:r>
          </w:p>
          <w:p w14:paraId="76BCF74C"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206/585 (35.2%)</w:t>
            </w:r>
          </w:p>
        </w:tc>
        <w:tc>
          <w:tcPr>
            <w:tcW w:w="1842" w:type="dxa"/>
          </w:tcPr>
          <w:p w14:paraId="4A682807" w14:textId="77777777" w:rsidR="00514C48" w:rsidRPr="00514C48" w:rsidRDefault="00514C48" w:rsidP="00514C48">
            <w:pPr>
              <w:rPr>
                <w:rFonts w:asciiTheme="minorHAnsi" w:hAnsiTheme="minorHAnsi"/>
                <w:sz w:val="20"/>
                <w:szCs w:val="20"/>
              </w:rPr>
            </w:pPr>
          </w:p>
          <w:p w14:paraId="18D4737B"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209 (31.6%)</w:t>
            </w:r>
          </w:p>
          <w:p w14:paraId="295EEE7B"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209/584 (35.8%)</w:t>
            </w:r>
          </w:p>
        </w:tc>
        <w:tc>
          <w:tcPr>
            <w:tcW w:w="2268" w:type="dxa"/>
          </w:tcPr>
          <w:p w14:paraId="39EFB263" w14:textId="77777777" w:rsidR="00514C48" w:rsidRPr="00514C48" w:rsidRDefault="00514C48" w:rsidP="00514C48">
            <w:pPr>
              <w:rPr>
                <w:rFonts w:asciiTheme="minorHAnsi" w:hAnsiTheme="minorHAnsi"/>
                <w:sz w:val="20"/>
                <w:szCs w:val="20"/>
              </w:rPr>
            </w:pPr>
          </w:p>
          <w:p w14:paraId="3B9B414E"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-0.9% (-5.9%, 4.1%)</w:t>
            </w:r>
          </w:p>
          <w:p w14:paraId="4E250FCC"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-0.6% (-6.1%, 4.8%)</w:t>
            </w:r>
          </w:p>
        </w:tc>
      </w:tr>
      <w:tr w:rsidR="00514C48" w:rsidRPr="00514C48" w14:paraId="26207FA7" w14:textId="77777777" w:rsidTr="00514C48">
        <w:tc>
          <w:tcPr>
            <w:tcW w:w="2660" w:type="dxa"/>
          </w:tcPr>
          <w:p w14:paraId="54AE7A51"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Selected secondary endpoints</w:t>
            </w:r>
          </w:p>
          <w:p w14:paraId="4497684A"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 xml:space="preserve">  Women with a livebirth</w:t>
            </w:r>
          </w:p>
          <w:p w14:paraId="7F88CA2D"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 xml:space="preserve">  Women with a live neonate</w:t>
            </w:r>
          </w:p>
          <w:p w14:paraId="3DC124BF"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 xml:space="preserve">  Birthweight</w:t>
            </w:r>
          </w:p>
          <w:p w14:paraId="35AB8BBA"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 xml:space="preserve">  Gestational age</w:t>
            </w:r>
          </w:p>
          <w:p w14:paraId="111C3E55"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 xml:space="preserve">  </w:t>
            </w:r>
            <w:r w:rsidR="005219CC" w:rsidRPr="00514C48">
              <w:rPr>
                <w:rFonts w:asciiTheme="minorHAnsi" w:hAnsiTheme="minorHAnsi"/>
                <w:sz w:val="20"/>
                <w:szCs w:val="20"/>
              </w:rPr>
              <w:t>Multiple</w:t>
            </w:r>
            <w:r w:rsidRPr="00514C48">
              <w:rPr>
                <w:rFonts w:asciiTheme="minorHAnsi" w:hAnsiTheme="minorHAnsi"/>
                <w:sz w:val="20"/>
                <w:szCs w:val="20"/>
              </w:rPr>
              <w:t xml:space="preserve"> pregnancy  </w:t>
            </w:r>
          </w:p>
        </w:tc>
        <w:tc>
          <w:tcPr>
            <w:tcW w:w="1843" w:type="dxa"/>
          </w:tcPr>
          <w:p w14:paraId="038FFB9B" w14:textId="77777777" w:rsidR="00514C48" w:rsidRPr="00514C48" w:rsidRDefault="00514C48" w:rsidP="00514C48">
            <w:pPr>
              <w:rPr>
                <w:rFonts w:asciiTheme="minorHAnsi" w:hAnsiTheme="minorHAnsi"/>
                <w:sz w:val="20"/>
                <w:szCs w:val="20"/>
              </w:rPr>
            </w:pPr>
          </w:p>
          <w:p w14:paraId="45B409AD"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198 (29.8%)</w:t>
            </w:r>
          </w:p>
          <w:p w14:paraId="26E41DAC"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198 (29.8%)</w:t>
            </w:r>
          </w:p>
          <w:p w14:paraId="18531193"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3186 g</w:t>
            </w:r>
          </w:p>
          <w:p w14:paraId="45D5EFD2"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272 days</w:t>
            </w:r>
          </w:p>
          <w:p w14:paraId="3B5E26B4"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4 (2.0%)</w:t>
            </w:r>
          </w:p>
        </w:tc>
        <w:tc>
          <w:tcPr>
            <w:tcW w:w="1842" w:type="dxa"/>
          </w:tcPr>
          <w:p w14:paraId="25FF91F2" w14:textId="77777777" w:rsidR="00514C48" w:rsidRPr="00514C48" w:rsidRDefault="00514C48" w:rsidP="00514C48">
            <w:pPr>
              <w:rPr>
                <w:rFonts w:asciiTheme="minorHAnsi" w:hAnsiTheme="minorHAnsi"/>
                <w:sz w:val="20"/>
                <w:szCs w:val="20"/>
              </w:rPr>
            </w:pPr>
          </w:p>
          <w:p w14:paraId="588EC07D"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203 (30.7%)</w:t>
            </w:r>
          </w:p>
          <w:p w14:paraId="777B5180"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201 (30.4%)</w:t>
            </w:r>
          </w:p>
          <w:p w14:paraId="50F29063"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3168 g</w:t>
            </w:r>
          </w:p>
          <w:p w14:paraId="049A0D98"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272 days</w:t>
            </w:r>
          </w:p>
          <w:p w14:paraId="25083BB7"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8 (3.8%)</w:t>
            </w:r>
          </w:p>
        </w:tc>
        <w:tc>
          <w:tcPr>
            <w:tcW w:w="2268" w:type="dxa"/>
          </w:tcPr>
          <w:p w14:paraId="47E7977F" w14:textId="77777777" w:rsidR="00514C48" w:rsidRPr="00514C48" w:rsidRDefault="00514C48" w:rsidP="00514C48">
            <w:pPr>
              <w:rPr>
                <w:rFonts w:asciiTheme="minorHAnsi" w:hAnsiTheme="minorHAnsi"/>
                <w:sz w:val="20"/>
                <w:szCs w:val="20"/>
              </w:rPr>
            </w:pPr>
          </w:p>
          <w:p w14:paraId="1AABCFEF"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-0.9% (-5.8%, 4.0%)</w:t>
            </w:r>
          </w:p>
          <w:p w14:paraId="4C54D3C6"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-0.6% (-5.5%, 4.3%)</w:t>
            </w:r>
          </w:p>
          <w:p w14:paraId="6D4D2580"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22.8 g (-97.2 g, 142.8 g)</w:t>
            </w:r>
          </w:p>
          <w:p w14:paraId="43A47FC8"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0.1 days (-3.1, 3.3)</w:t>
            </w:r>
          </w:p>
          <w:p w14:paraId="18C7053C" w14:textId="77777777" w:rsidR="00514C48" w:rsidRPr="00514C48" w:rsidRDefault="00514C48" w:rsidP="00514C48">
            <w:pPr>
              <w:rPr>
                <w:rFonts w:asciiTheme="minorHAnsi" w:hAnsiTheme="minorHAnsi"/>
                <w:sz w:val="20"/>
                <w:szCs w:val="20"/>
              </w:rPr>
            </w:pPr>
            <w:r w:rsidRPr="00514C48">
              <w:rPr>
                <w:rFonts w:asciiTheme="minorHAnsi" w:hAnsiTheme="minorHAnsi"/>
                <w:sz w:val="20"/>
                <w:szCs w:val="20"/>
              </w:rPr>
              <w:t>-2.0% (-5.0%, 1.1%)</w:t>
            </w:r>
          </w:p>
        </w:tc>
      </w:tr>
    </w:tbl>
    <w:p w14:paraId="47CDEDA1" w14:textId="77777777" w:rsidR="00070DCE" w:rsidRPr="00070DCE" w:rsidRDefault="00514C48" w:rsidP="003E1B22">
      <w:pPr>
        <w:pStyle w:val="Heading4"/>
      </w:pPr>
      <w:r>
        <w:t xml:space="preserve">ESTHER-2 </w:t>
      </w:r>
      <w:r w:rsidR="00070DCE" w:rsidRPr="00070DCE">
        <w:t>evaluated two subsequent controlled ovarian stimulation (COS) cycles of women who did not achieve on-going pregnancy in ESTHER-1.</w:t>
      </w:r>
    </w:p>
    <w:p w14:paraId="422209A9" w14:textId="77777777" w:rsidR="00070DCE" w:rsidRPr="00070DCE" w:rsidRDefault="00070DCE" w:rsidP="00F254DB">
      <w:r w:rsidRPr="00070DCE">
        <w:t>The dosing regimen used in ESTHER-2 was not directly based on any modelling or estimation, but was dependent on the ovarian response in the previous cycle (</w:t>
      </w:r>
      <w:r w:rsidR="000B0D1D">
        <w:t>Cycle 1</w:t>
      </w:r>
      <w:r w:rsidRPr="00070DCE">
        <w:t xml:space="preserve"> in ESTHER-1). Women who had an adequate response in the first cycle w</w:t>
      </w:r>
      <w:r w:rsidR="00514C48">
        <w:t>ere</w:t>
      </w:r>
      <w:r w:rsidRPr="00070DCE">
        <w:t xml:space="preserve"> started on the same dose. Women who obtained &lt;4 oocytes or 4-7 oocytes were in the next cycle given a follitropin delta dose which was 50% and 25% higher, respectively, than in the previous cycle. Follitropin doses up to 24 </w:t>
      </w:r>
      <w:r w:rsidR="00514C48">
        <w:t>µg</w:t>
      </w:r>
      <w:r w:rsidRPr="00070DCE">
        <w:t xml:space="preserve"> could be administered in ESTHER-2. Women who had an excessive oocyte response had a dose lower.</w:t>
      </w:r>
    </w:p>
    <w:p w14:paraId="2ED97FDF" w14:textId="77777777" w:rsidR="00070DCE" w:rsidRPr="00070DCE" w:rsidRDefault="00070DCE" w:rsidP="00F254DB">
      <w:r w:rsidRPr="00070DCE">
        <w:t>Ongoing pregnancy rate:</w:t>
      </w:r>
    </w:p>
    <w:p w14:paraId="7F001293" w14:textId="77777777" w:rsidR="00371AC4" w:rsidRDefault="00070DCE" w:rsidP="00F254DB">
      <w:r w:rsidRPr="00070DCE">
        <w:t xml:space="preserve">COS2: follitropin delta: 28%; </w:t>
      </w:r>
      <w:proofErr w:type="spellStart"/>
      <w:r w:rsidRPr="00070DCE">
        <w:t>follitropin</w:t>
      </w:r>
      <w:proofErr w:type="spellEnd"/>
      <w:r w:rsidRPr="00070DCE">
        <w:t xml:space="preserve"> alpha: 26%</w:t>
      </w:r>
    </w:p>
    <w:p w14:paraId="74B8D215" w14:textId="15231C44" w:rsidR="00070DCE" w:rsidRPr="00070DCE" w:rsidRDefault="00070DCE" w:rsidP="00F254DB">
      <w:r w:rsidRPr="00070DCE">
        <w:t xml:space="preserve">COS3: </w:t>
      </w:r>
      <w:proofErr w:type="spellStart"/>
      <w:r w:rsidRPr="00070DCE">
        <w:t>follitropin</w:t>
      </w:r>
      <w:proofErr w:type="spellEnd"/>
      <w:r w:rsidRPr="00070DCE">
        <w:t xml:space="preserve"> delta: 27%; follitropin alpha: 28%</w:t>
      </w:r>
    </w:p>
    <w:p w14:paraId="71605BAC" w14:textId="77777777" w:rsidR="00070DCE" w:rsidRPr="00070DCE" w:rsidRDefault="00070DCE" w:rsidP="00F254DB">
      <w:pPr>
        <w:pStyle w:val="Heading4"/>
      </w:pPr>
      <w:r w:rsidRPr="00070DCE">
        <w:t>Safety</w:t>
      </w:r>
    </w:p>
    <w:p w14:paraId="18A9D2FE" w14:textId="77777777" w:rsidR="00070DCE" w:rsidRDefault="00514C48" w:rsidP="00F254DB">
      <w:r>
        <w:t xml:space="preserve">Results from </w:t>
      </w:r>
      <w:r w:rsidR="00070DCE" w:rsidRPr="00070DCE">
        <w:t>ESTHER-I</w:t>
      </w:r>
      <w:r>
        <w:t xml:space="preserve"> are shown in the table below.</w:t>
      </w:r>
    </w:p>
    <w:p w14:paraId="46101757" w14:textId="77777777" w:rsidR="00514C48" w:rsidRDefault="00514C48" w:rsidP="00514C48">
      <w:pPr>
        <w:pStyle w:val="TableTitle"/>
      </w:pPr>
      <w:r>
        <w:t>Table 17: Safety results from ESTHER-1</w:t>
      </w:r>
    </w:p>
    <w:tbl>
      <w:tblPr>
        <w:tblStyle w:val="TableTGAblue"/>
        <w:tblW w:w="0" w:type="auto"/>
        <w:tblLook w:val="04A0" w:firstRow="1" w:lastRow="0" w:firstColumn="1" w:lastColumn="0" w:noHBand="0" w:noVBand="1"/>
      </w:tblPr>
      <w:tblGrid>
        <w:gridCol w:w="5353"/>
        <w:gridCol w:w="1648"/>
        <w:gridCol w:w="1648"/>
      </w:tblGrid>
      <w:tr w:rsidR="00514C48" w14:paraId="40FCC3F8" w14:textId="77777777" w:rsidTr="00514C48">
        <w:trPr>
          <w:cnfStyle w:val="100000000000" w:firstRow="1" w:lastRow="0" w:firstColumn="0" w:lastColumn="0" w:oddVBand="0" w:evenVBand="0" w:oddHBand="0" w:evenHBand="0" w:firstRowFirstColumn="0" w:firstRowLastColumn="0" w:lastRowFirstColumn="0" w:lastRowLastColumn="0"/>
          <w:cantSplit/>
        </w:trPr>
        <w:tc>
          <w:tcPr>
            <w:tcW w:w="5353" w:type="dxa"/>
          </w:tcPr>
          <w:p w14:paraId="725C3FDE" w14:textId="77777777" w:rsidR="00514C48" w:rsidRPr="00514C48" w:rsidRDefault="00514C48" w:rsidP="000B220A"/>
        </w:tc>
        <w:tc>
          <w:tcPr>
            <w:tcW w:w="1418" w:type="dxa"/>
          </w:tcPr>
          <w:p w14:paraId="580B0AA1" w14:textId="77777777" w:rsidR="00514C48" w:rsidRPr="00514C48" w:rsidRDefault="00514C48" w:rsidP="000B220A">
            <w:r w:rsidRPr="00514C48">
              <w:t>Follitropin delta</w:t>
            </w:r>
          </w:p>
          <w:p w14:paraId="3AA39A61" w14:textId="77777777" w:rsidR="00514C48" w:rsidRPr="00514C48" w:rsidRDefault="00514C48" w:rsidP="000B220A">
            <w:r w:rsidRPr="00514C48">
              <w:t>n=665</w:t>
            </w:r>
          </w:p>
        </w:tc>
        <w:tc>
          <w:tcPr>
            <w:tcW w:w="1417" w:type="dxa"/>
          </w:tcPr>
          <w:p w14:paraId="3166578D" w14:textId="77777777" w:rsidR="00514C48" w:rsidRPr="00514C48" w:rsidRDefault="00514C48" w:rsidP="000B220A">
            <w:r w:rsidRPr="00514C48">
              <w:t>Follitropin alpha</w:t>
            </w:r>
          </w:p>
          <w:p w14:paraId="3E398DAC" w14:textId="77777777" w:rsidR="00514C48" w:rsidRPr="00514C48" w:rsidRDefault="00514C48" w:rsidP="000B220A">
            <w:r w:rsidRPr="00514C48">
              <w:t>n=661</w:t>
            </w:r>
          </w:p>
        </w:tc>
      </w:tr>
      <w:tr w:rsidR="00514C48" w14:paraId="38483C8F" w14:textId="77777777" w:rsidTr="00514C48">
        <w:tc>
          <w:tcPr>
            <w:tcW w:w="5353" w:type="dxa"/>
          </w:tcPr>
          <w:p w14:paraId="3BF6DBAF" w14:textId="77777777" w:rsidR="00514C48" w:rsidRPr="00514C48" w:rsidRDefault="00514C48" w:rsidP="000B220A">
            <w:r w:rsidRPr="00514C48">
              <w:t>Preventive interventions</w:t>
            </w:r>
          </w:p>
          <w:p w14:paraId="08569335" w14:textId="77777777" w:rsidR="00514C48" w:rsidRPr="00514C48" w:rsidRDefault="00514C48" w:rsidP="000B220A">
            <w:r w:rsidRPr="00514C48">
              <w:t>Early OHSS (&lt; 10 days after triggering final follicular maturation)</w:t>
            </w:r>
          </w:p>
          <w:p w14:paraId="7C5A086E" w14:textId="77777777" w:rsidR="00514C48" w:rsidRPr="00514C48" w:rsidRDefault="00514C48" w:rsidP="000B220A">
            <w:r w:rsidRPr="00514C48">
              <w:t xml:space="preserve">  Any grade</w:t>
            </w:r>
          </w:p>
          <w:p w14:paraId="25025C4C" w14:textId="77777777" w:rsidR="00514C48" w:rsidRPr="00514C48" w:rsidRDefault="00514C48" w:rsidP="000B220A">
            <w:r w:rsidRPr="00514C48">
              <w:t xml:space="preserve">  Moderate/severe</w:t>
            </w:r>
          </w:p>
          <w:p w14:paraId="669B9EA8" w14:textId="77777777" w:rsidR="00514C48" w:rsidRPr="00514C48" w:rsidRDefault="00514C48" w:rsidP="000B220A">
            <w:r w:rsidRPr="00514C48">
              <w:t xml:space="preserve">  Any grade or preventive intervention</w:t>
            </w:r>
          </w:p>
          <w:p w14:paraId="7B228512" w14:textId="77777777" w:rsidR="00514C48" w:rsidRPr="00514C48" w:rsidRDefault="00514C48" w:rsidP="000B220A">
            <w:r w:rsidRPr="00514C48">
              <w:t xml:space="preserve">  Moderate/severe or preventive intervention</w:t>
            </w:r>
          </w:p>
          <w:p w14:paraId="7657EEE9" w14:textId="77777777" w:rsidR="00514C48" w:rsidRPr="00514C48" w:rsidRDefault="00514C48" w:rsidP="000B220A">
            <w:r w:rsidRPr="00514C48">
              <w:t>All OHSS</w:t>
            </w:r>
          </w:p>
          <w:p w14:paraId="267545BA" w14:textId="77777777" w:rsidR="00514C48" w:rsidRPr="00514C48" w:rsidRDefault="00514C48" w:rsidP="000B220A">
            <w:r w:rsidRPr="00514C48">
              <w:t xml:space="preserve">  Any grade</w:t>
            </w:r>
          </w:p>
          <w:p w14:paraId="7C00A564" w14:textId="77777777" w:rsidR="00514C48" w:rsidRPr="00514C48" w:rsidRDefault="00514C48" w:rsidP="000B220A">
            <w:r w:rsidRPr="00514C48">
              <w:t xml:space="preserve">  Moderate/severe</w:t>
            </w:r>
          </w:p>
          <w:p w14:paraId="3FD5EFB4" w14:textId="77777777" w:rsidR="00514C48" w:rsidRPr="00514C48" w:rsidRDefault="00514C48" w:rsidP="000B220A">
            <w:r w:rsidRPr="00514C48">
              <w:t xml:space="preserve">  Any grade or preventive intervention</w:t>
            </w:r>
          </w:p>
          <w:p w14:paraId="0D59A855" w14:textId="77777777" w:rsidR="00514C48" w:rsidRPr="00514C48" w:rsidRDefault="00514C48" w:rsidP="000B220A">
            <w:r w:rsidRPr="00514C48">
              <w:t xml:space="preserve">  Moderate/severe or preventive intervention</w:t>
            </w:r>
          </w:p>
          <w:p w14:paraId="439B737C" w14:textId="77777777" w:rsidR="00514C48" w:rsidRPr="00514C48" w:rsidRDefault="00514C48" w:rsidP="000B220A"/>
          <w:p w14:paraId="3DAA3523" w14:textId="77777777" w:rsidR="00514C48" w:rsidRPr="00514C48" w:rsidRDefault="00514C48" w:rsidP="000B220A">
            <w:r w:rsidRPr="00514C48">
              <w:t>Hospitalisation due to OHSS</w:t>
            </w:r>
          </w:p>
          <w:p w14:paraId="45C5586E" w14:textId="77777777" w:rsidR="00514C48" w:rsidRPr="00514C48" w:rsidRDefault="00514C48" w:rsidP="000B220A">
            <w:r w:rsidRPr="00514C48">
              <w:t xml:space="preserve">  Mean duration (days)</w:t>
            </w:r>
          </w:p>
          <w:p w14:paraId="3EDE5033" w14:textId="77777777" w:rsidR="00514C48" w:rsidRPr="00514C48" w:rsidRDefault="00514C48" w:rsidP="000B220A">
            <w:r w:rsidRPr="00514C48">
              <w:t xml:space="preserve">  Total duration (days)</w:t>
            </w:r>
          </w:p>
        </w:tc>
        <w:tc>
          <w:tcPr>
            <w:tcW w:w="1418" w:type="dxa"/>
          </w:tcPr>
          <w:p w14:paraId="71B77F01" w14:textId="77777777" w:rsidR="00514C48" w:rsidRPr="00514C48" w:rsidRDefault="00514C48" w:rsidP="000B220A">
            <w:r w:rsidRPr="00514C48">
              <w:t>15 (2.3%)</w:t>
            </w:r>
          </w:p>
          <w:p w14:paraId="27903855" w14:textId="77777777" w:rsidR="00514C48" w:rsidRPr="00514C48" w:rsidRDefault="00514C48" w:rsidP="000B220A"/>
          <w:p w14:paraId="62CDEF2A" w14:textId="77777777" w:rsidR="00514C48" w:rsidRPr="00514C48" w:rsidRDefault="00514C48" w:rsidP="000B220A">
            <w:r w:rsidRPr="00514C48">
              <w:t>17 (2.6%)</w:t>
            </w:r>
          </w:p>
          <w:p w14:paraId="115D19BE" w14:textId="77777777" w:rsidR="00514C48" w:rsidRPr="00514C48" w:rsidRDefault="00514C48" w:rsidP="000B220A">
            <w:r w:rsidRPr="00514C48">
              <w:t>9 (1.4%)</w:t>
            </w:r>
          </w:p>
          <w:p w14:paraId="3BB14EB0" w14:textId="77777777" w:rsidR="00514C48" w:rsidRPr="00514C48" w:rsidRDefault="00514C48" w:rsidP="000B220A">
            <w:r w:rsidRPr="00514C48">
              <w:t>31 (4.7%)</w:t>
            </w:r>
          </w:p>
          <w:p w14:paraId="1C24866A" w14:textId="77777777" w:rsidR="00514C48" w:rsidRPr="00514C48" w:rsidRDefault="00514C48" w:rsidP="000B220A">
            <w:r w:rsidRPr="00514C48">
              <w:t>24 (3.6%)</w:t>
            </w:r>
          </w:p>
          <w:p w14:paraId="40454721" w14:textId="77777777" w:rsidR="00514C48" w:rsidRPr="00514C48" w:rsidRDefault="00514C48" w:rsidP="000B220A"/>
          <w:p w14:paraId="3CC6A6CA" w14:textId="77777777" w:rsidR="00514C48" w:rsidRPr="00514C48" w:rsidRDefault="00514C48" w:rsidP="000B220A">
            <w:r w:rsidRPr="00514C48">
              <w:t>23 (3.5%)</w:t>
            </w:r>
          </w:p>
          <w:p w14:paraId="2BF95925" w14:textId="77777777" w:rsidR="00514C48" w:rsidRPr="00514C48" w:rsidRDefault="00514C48" w:rsidP="000B220A">
            <w:r w:rsidRPr="00514C48">
              <w:t>14 (2.1%)</w:t>
            </w:r>
          </w:p>
          <w:p w14:paraId="17DD980A" w14:textId="77777777" w:rsidR="00514C48" w:rsidRPr="00514C48" w:rsidRDefault="00514C48" w:rsidP="000B220A">
            <w:r w:rsidRPr="00514C48">
              <w:t>37 (5.6%)</w:t>
            </w:r>
          </w:p>
          <w:p w14:paraId="2B1E88EE" w14:textId="77777777" w:rsidR="00514C48" w:rsidRPr="00514C48" w:rsidRDefault="00514C48" w:rsidP="000B220A">
            <w:r w:rsidRPr="00514C48">
              <w:t>29 (4.4%)</w:t>
            </w:r>
          </w:p>
          <w:p w14:paraId="4D77EF5F" w14:textId="77777777" w:rsidR="00514C48" w:rsidRPr="00514C48" w:rsidRDefault="00514C48" w:rsidP="000B220A"/>
          <w:p w14:paraId="0D26F258" w14:textId="77777777" w:rsidR="00514C48" w:rsidRPr="00514C48" w:rsidRDefault="00514C48" w:rsidP="000B220A">
            <w:r w:rsidRPr="00514C48">
              <w:t>2 (0.3%)</w:t>
            </w:r>
          </w:p>
          <w:p w14:paraId="2A2BE3DA" w14:textId="77777777" w:rsidR="00514C48" w:rsidRPr="00514C48" w:rsidRDefault="00514C48" w:rsidP="000B220A">
            <w:r w:rsidRPr="00514C48">
              <w:t>4.0</w:t>
            </w:r>
          </w:p>
          <w:p w14:paraId="70D0D96A" w14:textId="77777777" w:rsidR="00514C48" w:rsidRPr="00514C48" w:rsidRDefault="00514C48" w:rsidP="000B220A">
            <w:r w:rsidRPr="00514C48">
              <w:t>8</w:t>
            </w:r>
          </w:p>
        </w:tc>
        <w:tc>
          <w:tcPr>
            <w:tcW w:w="1417" w:type="dxa"/>
          </w:tcPr>
          <w:p w14:paraId="1731B2B1" w14:textId="77777777" w:rsidR="00514C48" w:rsidRPr="00514C48" w:rsidRDefault="00514C48" w:rsidP="000B220A">
            <w:r w:rsidRPr="00514C48">
              <w:t>30 (4.5%)</w:t>
            </w:r>
          </w:p>
          <w:p w14:paraId="68A0FB74" w14:textId="77777777" w:rsidR="00514C48" w:rsidRPr="00514C48" w:rsidRDefault="00514C48" w:rsidP="000B220A"/>
          <w:p w14:paraId="02DB721A" w14:textId="77777777" w:rsidR="00514C48" w:rsidRPr="00514C48" w:rsidRDefault="00514C48" w:rsidP="000B220A">
            <w:r w:rsidRPr="00514C48">
              <w:t>20 (3.0%)</w:t>
            </w:r>
          </w:p>
          <w:p w14:paraId="37B50492" w14:textId="77777777" w:rsidR="00514C48" w:rsidRPr="00514C48" w:rsidRDefault="00514C48" w:rsidP="000B220A">
            <w:r w:rsidRPr="00514C48">
              <w:t>9 (1.4%)</w:t>
            </w:r>
          </w:p>
          <w:p w14:paraId="367D2690" w14:textId="77777777" w:rsidR="00514C48" w:rsidRPr="00514C48" w:rsidRDefault="00514C48" w:rsidP="000B220A">
            <w:r w:rsidRPr="00514C48">
              <w:t>41 (6.2%)</w:t>
            </w:r>
          </w:p>
          <w:p w14:paraId="7A3D44C4" w14:textId="77777777" w:rsidR="00514C48" w:rsidRPr="00514C48" w:rsidRDefault="00514C48" w:rsidP="000B220A">
            <w:r w:rsidRPr="00514C48">
              <w:t>34 (5.1%)</w:t>
            </w:r>
          </w:p>
          <w:p w14:paraId="1B8406F8" w14:textId="77777777" w:rsidR="00514C48" w:rsidRPr="00514C48" w:rsidRDefault="00514C48" w:rsidP="000B220A"/>
          <w:p w14:paraId="330C23FF" w14:textId="77777777" w:rsidR="00514C48" w:rsidRPr="00514C48" w:rsidRDefault="00514C48" w:rsidP="000B220A">
            <w:r w:rsidRPr="00514C48">
              <w:t>32 (4.8%)</w:t>
            </w:r>
          </w:p>
          <w:p w14:paraId="73CDC78C" w14:textId="77777777" w:rsidR="00514C48" w:rsidRPr="00514C48" w:rsidRDefault="00514C48" w:rsidP="000B220A">
            <w:r w:rsidRPr="00514C48">
              <w:t>19 (2.9%)</w:t>
            </w:r>
          </w:p>
          <w:p w14:paraId="386D44DD" w14:textId="77777777" w:rsidR="00514C48" w:rsidRPr="00514C48" w:rsidRDefault="00514C48" w:rsidP="000B220A">
            <w:r w:rsidRPr="00514C48">
              <w:t>53 (8.0%)</w:t>
            </w:r>
          </w:p>
          <w:p w14:paraId="52F7A7A1" w14:textId="77777777" w:rsidR="00514C48" w:rsidRPr="00514C48" w:rsidRDefault="00514C48" w:rsidP="000B220A">
            <w:r w:rsidRPr="00514C48">
              <w:t>44 (6.7%)</w:t>
            </w:r>
          </w:p>
          <w:p w14:paraId="01E6A10F" w14:textId="77777777" w:rsidR="00514C48" w:rsidRPr="00514C48" w:rsidRDefault="00514C48" w:rsidP="000B220A"/>
          <w:p w14:paraId="07BD8090" w14:textId="77777777" w:rsidR="00514C48" w:rsidRPr="00514C48" w:rsidRDefault="00514C48" w:rsidP="000B220A">
            <w:r w:rsidRPr="00514C48">
              <w:t>6 (0.9%)</w:t>
            </w:r>
          </w:p>
          <w:p w14:paraId="0BF9CC11" w14:textId="77777777" w:rsidR="00514C48" w:rsidRPr="00514C48" w:rsidRDefault="00514C48" w:rsidP="000B220A">
            <w:r w:rsidRPr="00514C48">
              <w:t>8.7</w:t>
            </w:r>
          </w:p>
          <w:p w14:paraId="091651AE" w14:textId="77777777" w:rsidR="00514C48" w:rsidRPr="00514C48" w:rsidRDefault="00514C48" w:rsidP="000B220A">
            <w:r w:rsidRPr="00514C48">
              <w:t>52</w:t>
            </w:r>
          </w:p>
        </w:tc>
      </w:tr>
    </w:tbl>
    <w:p w14:paraId="4647FD4D" w14:textId="77777777" w:rsidR="00070DCE" w:rsidRPr="002D0360" w:rsidRDefault="00070DCE" w:rsidP="002D0360">
      <w:r w:rsidRPr="00070DCE">
        <w:t xml:space="preserve">As in the above table, rates of OHSS were higher in the </w:t>
      </w:r>
      <w:r w:rsidR="005219CC" w:rsidRPr="00070DCE">
        <w:t>follitropin</w:t>
      </w:r>
      <w:r w:rsidRPr="00070DCE">
        <w:t xml:space="preserve"> alpha group and interventions to prevent OHSS were higher in the </w:t>
      </w:r>
      <w:r w:rsidR="005219CC" w:rsidRPr="00070DCE">
        <w:t>follitropin</w:t>
      </w:r>
      <w:r w:rsidRPr="00070DCE">
        <w:t xml:space="preserve"> alpha arm (with the obvious caveat that the statistical significance of the difference is difficult to interpret because of the problem of </w:t>
      </w:r>
      <w:r w:rsidR="005219CC" w:rsidRPr="00070DCE">
        <w:t>multipole</w:t>
      </w:r>
      <w:r w:rsidRPr="00070DCE">
        <w:t xml:space="preserve"> comparisons). Commonly reported adverse events occurred with similar frequency in the follitropin delta and follitropin alpha groups: headache (14.6 versus 13.3%), procedural pain (7.4% and 7.9%), pelvic pain (6.9% and 6.2%), pelvic discomfort (5.7% and 3.8%), </w:t>
      </w:r>
      <w:r w:rsidRPr="002D0360">
        <w:t>vomiting</w:t>
      </w:r>
      <w:r w:rsidR="002D0360" w:rsidRPr="002D0360">
        <w:t xml:space="preserve"> </w:t>
      </w:r>
      <w:r w:rsidRPr="002D0360">
        <w:t>in pregnancy (4.5% and 4.5%) and haemorrhage in pregnancy (3.9% and 4.1%).</w:t>
      </w:r>
    </w:p>
    <w:p w14:paraId="52CD48D7" w14:textId="77777777" w:rsidR="00070DCE" w:rsidRPr="00070DCE" w:rsidRDefault="00070DCE" w:rsidP="002D0360">
      <w:r w:rsidRPr="00070DCE">
        <w:t>Early and late pregnancy loss and multiple pregnancies were similar for follitropin delta and alpha as were injection site reactions.</w:t>
      </w:r>
    </w:p>
    <w:p w14:paraId="28704017" w14:textId="77777777" w:rsidR="00070DCE" w:rsidRPr="00070DCE" w:rsidRDefault="00070DCE" w:rsidP="002D0360">
      <w:r w:rsidRPr="00070DCE">
        <w:t>Results obtained from ESTHER-2 study showed that Rekovelle has limited immunogenicity</w:t>
      </w:r>
      <w:r w:rsidR="002D0360">
        <w:t xml:space="preserve"> (</w:t>
      </w:r>
      <w:r w:rsidRPr="00070DCE">
        <w:t>of no clinical relevance</w:t>
      </w:r>
      <w:r w:rsidR="002D0360">
        <w:t>)</w:t>
      </w:r>
      <w:r w:rsidRPr="00070DCE">
        <w:t>.</w:t>
      </w:r>
    </w:p>
    <w:p w14:paraId="75577FFA" w14:textId="77777777" w:rsidR="00070DCE" w:rsidRDefault="00070DCE" w:rsidP="002D0360">
      <w:r w:rsidRPr="00070DCE">
        <w:t>Medication errors were more common with Rekovelle which the sponsor put down to the learning curve for the injection pen.</w:t>
      </w:r>
    </w:p>
    <w:p w14:paraId="38D5A0EB" w14:textId="77777777" w:rsidR="008E7846" w:rsidRDefault="00386150" w:rsidP="007B6132">
      <w:pPr>
        <w:pStyle w:val="Heading3"/>
        <w:rPr>
          <w:lang w:eastAsia="en-AU"/>
        </w:rPr>
      </w:pPr>
      <w:bookmarkStart w:id="196" w:name="_Toc497744276"/>
      <w:r>
        <w:rPr>
          <w:lang w:eastAsia="en-AU"/>
        </w:rPr>
        <w:t>Risk m</w:t>
      </w:r>
      <w:r w:rsidR="008E7846">
        <w:rPr>
          <w:lang w:eastAsia="en-AU"/>
        </w:rPr>
        <w:t xml:space="preserve">anagement </w:t>
      </w:r>
      <w:r>
        <w:rPr>
          <w:lang w:eastAsia="en-AU"/>
        </w:rPr>
        <w:t>p</w:t>
      </w:r>
      <w:r w:rsidR="008E7846">
        <w:rPr>
          <w:lang w:eastAsia="en-AU"/>
        </w:rPr>
        <w:t>lan</w:t>
      </w:r>
      <w:bookmarkEnd w:id="195"/>
      <w:bookmarkEnd w:id="196"/>
    </w:p>
    <w:p w14:paraId="768B1E07" w14:textId="77777777" w:rsidR="00070DCE" w:rsidRDefault="00070DCE" w:rsidP="00070DCE">
      <w:r>
        <w:t>Routine pharmacovigilance is proposed in Australia. The EMA considered that routine pharmacovigilance was sufficient in the EU.</w:t>
      </w:r>
    </w:p>
    <w:p w14:paraId="520BD765" w14:textId="77777777" w:rsidR="002D0360" w:rsidRDefault="00070DCE" w:rsidP="00070DCE">
      <w:r>
        <w:t>Summary of safety concerns</w:t>
      </w:r>
      <w:r w:rsidR="002D0360">
        <w:t xml:space="preserve"> are shown in the table below.</w:t>
      </w:r>
    </w:p>
    <w:p w14:paraId="2B532A6A" w14:textId="77777777" w:rsidR="002D0360" w:rsidRDefault="002D0360" w:rsidP="002D0360">
      <w:pPr>
        <w:pStyle w:val="TableTitle"/>
      </w:pPr>
      <w:r>
        <w:t>Table 18: Summary of safety concerns</w:t>
      </w:r>
    </w:p>
    <w:tbl>
      <w:tblPr>
        <w:tblStyle w:val="TableGrid"/>
        <w:tblW w:w="0" w:type="auto"/>
        <w:tblLook w:val="04A0" w:firstRow="1" w:lastRow="0" w:firstColumn="1" w:lastColumn="0" w:noHBand="0" w:noVBand="1"/>
      </w:tblPr>
      <w:tblGrid>
        <w:gridCol w:w="2660"/>
        <w:gridCol w:w="5245"/>
      </w:tblGrid>
      <w:tr w:rsidR="002D0360" w14:paraId="1D65E45B" w14:textId="77777777" w:rsidTr="002D0360">
        <w:tc>
          <w:tcPr>
            <w:tcW w:w="2660" w:type="dxa"/>
            <w:shd w:val="clear" w:color="auto" w:fill="0070C0"/>
          </w:tcPr>
          <w:p w14:paraId="308EED7D" w14:textId="77777777" w:rsidR="002D0360" w:rsidRPr="000B220A" w:rsidRDefault="002D0360" w:rsidP="000B220A">
            <w:pPr>
              <w:rPr>
                <w:color w:val="FFFFFF" w:themeColor="background1"/>
              </w:rPr>
            </w:pPr>
            <w:r w:rsidRPr="000B220A">
              <w:rPr>
                <w:color w:val="FFFFFF" w:themeColor="background1"/>
              </w:rPr>
              <w:t>Important identified risk</w:t>
            </w:r>
          </w:p>
        </w:tc>
        <w:tc>
          <w:tcPr>
            <w:tcW w:w="5245" w:type="dxa"/>
          </w:tcPr>
          <w:p w14:paraId="7639AB19" w14:textId="77777777" w:rsidR="002D0360" w:rsidRPr="007C7F05" w:rsidRDefault="002D0360" w:rsidP="000B220A">
            <w:r w:rsidRPr="007C7F05">
              <w:t>OHSS</w:t>
            </w:r>
          </w:p>
        </w:tc>
      </w:tr>
      <w:tr w:rsidR="002D0360" w14:paraId="38EF12D9" w14:textId="77777777" w:rsidTr="002D0360">
        <w:tc>
          <w:tcPr>
            <w:tcW w:w="2660" w:type="dxa"/>
            <w:shd w:val="clear" w:color="auto" w:fill="0070C0"/>
          </w:tcPr>
          <w:p w14:paraId="68F63DB7" w14:textId="77777777" w:rsidR="002D0360" w:rsidRPr="000B220A" w:rsidRDefault="002D0360" w:rsidP="000B220A">
            <w:pPr>
              <w:rPr>
                <w:color w:val="FFFFFF" w:themeColor="background1"/>
              </w:rPr>
            </w:pPr>
            <w:r w:rsidRPr="000B220A">
              <w:rPr>
                <w:color w:val="FFFFFF" w:themeColor="background1"/>
              </w:rPr>
              <w:t>Important potential risks</w:t>
            </w:r>
          </w:p>
        </w:tc>
        <w:tc>
          <w:tcPr>
            <w:tcW w:w="5245" w:type="dxa"/>
          </w:tcPr>
          <w:p w14:paraId="49AA7A55" w14:textId="77777777" w:rsidR="002D0360" w:rsidRPr="007C7F05" w:rsidRDefault="002D0360" w:rsidP="000B220A">
            <w:r w:rsidRPr="007C7F05">
              <w:t>Immunogenicity, hypersensitivity</w:t>
            </w:r>
          </w:p>
          <w:p w14:paraId="2C23FB74" w14:textId="77777777" w:rsidR="002D0360" w:rsidRPr="007C7F05" w:rsidRDefault="002D0360" w:rsidP="000B220A">
            <w:r w:rsidRPr="007C7F05">
              <w:t>Thromboembolic events</w:t>
            </w:r>
          </w:p>
          <w:p w14:paraId="7B724C2E" w14:textId="77777777" w:rsidR="002D0360" w:rsidRPr="007C7F05" w:rsidRDefault="002D0360" w:rsidP="000B220A">
            <w:r w:rsidRPr="007C7F05">
              <w:t>Ovarian torsion</w:t>
            </w:r>
          </w:p>
          <w:p w14:paraId="6AE18602" w14:textId="77777777" w:rsidR="002D0360" w:rsidRPr="007C7F05" w:rsidRDefault="002D0360" w:rsidP="000B220A">
            <w:r w:rsidRPr="007C7F05">
              <w:t>Multiple pregnancy</w:t>
            </w:r>
          </w:p>
          <w:p w14:paraId="68DED9F5" w14:textId="77777777" w:rsidR="002D0360" w:rsidRPr="007C7F05" w:rsidRDefault="002D0360" w:rsidP="000B220A">
            <w:r w:rsidRPr="007C7F05">
              <w:t>Pregnancy loss</w:t>
            </w:r>
          </w:p>
          <w:p w14:paraId="485C871C" w14:textId="77777777" w:rsidR="002D0360" w:rsidRPr="007C7F05" w:rsidRDefault="002D0360" w:rsidP="000B220A">
            <w:r w:rsidRPr="007C7F05">
              <w:t>Ectopic pregnancy</w:t>
            </w:r>
          </w:p>
          <w:p w14:paraId="20B827B9" w14:textId="77777777" w:rsidR="002D0360" w:rsidRPr="007C7F05" w:rsidRDefault="002D0360" w:rsidP="000B220A">
            <w:r w:rsidRPr="007C7F05">
              <w:t>Reproductive system neoplasms</w:t>
            </w:r>
          </w:p>
          <w:p w14:paraId="53D8A2EC" w14:textId="77777777" w:rsidR="002D0360" w:rsidRPr="007C7F05" w:rsidRDefault="002D0360" w:rsidP="000B220A">
            <w:r w:rsidRPr="007C7F05">
              <w:t>Congenital malformations</w:t>
            </w:r>
          </w:p>
        </w:tc>
      </w:tr>
      <w:tr w:rsidR="002D0360" w14:paraId="6B32F23A" w14:textId="77777777" w:rsidTr="002D0360">
        <w:tc>
          <w:tcPr>
            <w:tcW w:w="2660" w:type="dxa"/>
            <w:shd w:val="clear" w:color="auto" w:fill="0070C0"/>
          </w:tcPr>
          <w:p w14:paraId="46B2E3E0" w14:textId="77777777" w:rsidR="002D0360" w:rsidRPr="000B220A" w:rsidRDefault="002D0360" w:rsidP="000B220A">
            <w:pPr>
              <w:rPr>
                <w:color w:val="FFFFFF" w:themeColor="background1"/>
              </w:rPr>
            </w:pPr>
            <w:r w:rsidRPr="000B220A">
              <w:rPr>
                <w:color w:val="FFFFFF" w:themeColor="background1"/>
              </w:rPr>
              <w:t xml:space="preserve">Missing information </w:t>
            </w:r>
          </w:p>
        </w:tc>
        <w:tc>
          <w:tcPr>
            <w:tcW w:w="5245" w:type="dxa"/>
          </w:tcPr>
          <w:p w14:paraId="57DCE86F" w14:textId="77777777" w:rsidR="002D0360" w:rsidRPr="007C7F05" w:rsidRDefault="002D0360" w:rsidP="000B220A">
            <w:r w:rsidRPr="007C7F05">
              <w:t>Experience in women older than 40</w:t>
            </w:r>
          </w:p>
          <w:p w14:paraId="50CDBEEB" w14:textId="77777777" w:rsidR="002D0360" w:rsidRPr="007C7F05" w:rsidRDefault="002D0360" w:rsidP="000B220A">
            <w:r w:rsidRPr="007C7F05">
              <w:t>Experience in anovulatory women with POCS</w:t>
            </w:r>
          </w:p>
          <w:p w14:paraId="002219FD" w14:textId="77777777" w:rsidR="002D0360" w:rsidRPr="007C7F05" w:rsidRDefault="002D0360" w:rsidP="000B220A">
            <w:r w:rsidRPr="007C7F05">
              <w:t>Experience in the long GnRH agonist protocol</w:t>
            </w:r>
          </w:p>
          <w:p w14:paraId="374B9F81" w14:textId="77777777" w:rsidR="002D0360" w:rsidRPr="007C7F05" w:rsidRDefault="002D0360" w:rsidP="000B220A">
            <w:r w:rsidRPr="007C7F05">
              <w:t>Experience in women with hepatic or renal impairment</w:t>
            </w:r>
          </w:p>
        </w:tc>
      </w:tr>
    </w:tbl>
    <w:p w14:paraId="1C83858C" w14:textId="77777777" w:rsidR="00070DCE" w:rsidRDefault="002D0360" w:rsidP="00070DCE">
      <w:r>
        <w:t>The following should be a</w:t>
      </w:r>
      <w:r w:rsidR="00070DCE">
        <w:t>dd</w:t>
      </w:r>
      <w:r>
        <w:t>ed</w:t>
      </w:r>
      <w:r w:rsidR="00070DCE">
        <w:t xml:space="preserve"> to missing information:</w:t>
      </w:r>
    </w:p>
    <w:p w14:paraId="7CA703AD" w14:textId="77777777" w:rsidR="00070DCE" w:rsidRDefault="00070DCE" w:rsidP="002D0360">
      <w:pPr>
        <w:pStyle w:val="ListBullet"/>
      </w:pPr>
      <w:r>
        <w:t>Use with AMH assays besides the Roche assay.</w:t>
      </w:r>
    </w:p>
    <w:p w14:paraId="2E45106A" w14:textId="77777777" w:rsidR="008E7846" w:rsidRDefault="00070DCE" w:rsidP="002D0360">
      <w:pPr>
        <w:pStyle w:val="ListBullet"/>
      </w:pPr>
      <w:r>
        <w:t>Use with same-cycle-variable dosing.</w:t>
      </w:r>
    </w:p>
    <w:p w14:paraId="2A93830F" w14:textId="77777777" w:rsidR="008E7846" w:rsidRDefault="00AA0ED0" w:rsidP="008E7846">
      <w:pPr>
        <w:pStyle w:val="Heading3"/>
      </w:pPr>
      <w:bookmarkStart w:id="197" w:name="_Toc247691531"/>
      <w:bookmarkStart w:id="198" w:name="_Toc314842515"/>
      <w:bookmarkStart w:id="199" w:name="_Toc196046505"/>
      <w:bookmarkStart w:id="200" w:name="_Toc196046949"/>
      <w:bookmarkStart w:id="201" w:name="_Toc497744277"/>
      <w:r>
        <w:t>Risk-benefit a</w:t>
      </w:r>
      <w:r w:rsidR="008E7846">
        <w:t>nalysis</w:t>
      </w:r>
      <w:bookmarkEnd w:id="197"/>
      <w:bookmarkEnd w:id="198"/>
      <w:bookmarkEnd w:id="201"/>
    </w:p>
    <w:p w14:paraId="59F2737E" w14:textId="77777777" w:rsidR="00371AC4" w:rsidRDefault="00D23139" w:rsidP="00D23139">
      <w:pPr>
        <w:pStyle w:val="Heading4"/>
      </w:pPr>
      <w:r w:rsidRPr="00D23139">
        <w:t>Delegate’s considerations</w:t>
      </w:r>
    </w:p>
    <w:p w14:paraId="3B972950" w14:textId="40D5823F" w:rsidR="00070DCE" w:rsidRDefault="00070DCE" w:rsidP="00070DCE">
      <w:r>
        <w:t>There were no particular concerns with the comparison, internal to ESTHER-1/</w:t>
      </w:r>
      <w:r w:rsidR="0016181B">
        <w:t xml:space="preserve"> and ESTHER</w:t>
      </w:r>
      <w:r>
        <w:t>-2, or the endpoints used. (A minor point is that cumulative livebirth rates accounting for the transfer of all fresh and frozen embryos were not available because some women proceeded directly to a further fresh cycle.)</w:t>
      </w:r>
    </w:p>
    <w:p w14:paraId="3118A846" w14:textId="77777777" w:rsidR="00070DCE" w:rsidRDefault="00070DCE" w:rsidP="00070DCE">
      <w:r>
        <w:t>Comments on external validity</w:t>
      </w:r>
      <w:r w:rsidR="002D0360">
        <w:t>,</w:t>
      </w:r>
      <w:r>
        <w:t xml:space="preserve"> </w:t>
      </w:r>
      <w:r w:rsidR="002D0360">
        <w:t xml:space="preserve">that is, </w:t>
      </w:r>
      <w:r>
        <w:t>applicability</w:t>
      </w:r>
      <w:r w:rsidR="005219CC">
        <w:t xml:space="preserve"> and</w:t>
      </w:r>
      <w:r>
        <w:t xml:space="preserve"> relevance to Australian clinical practice:</w:t>
      </w:r>
    </w:p>
    <w:p w14:paraId="19FC407A" w14:textId="77777777" w:rsidR="00070DCE" w:rsidRDefault="00070DCE" w:rsidP="00F254DB">
      <w:pPr>
        <w:pStyle w:val="ListBullet"/>
      </w:pPr>
      <w:r>
        <w:t>As per the EMA S</w:t>
      </w:r>
      <w:r w:rsidR="0016181B">
        <w:t>ummary of Product Characteristics (S</w:t>
      </w:r>
      <w:r>
        <w:t>mPC</w:t>
      </w:r>
      <w:r w:rsidR="0016181B">
        <w:t>)</w:t>
      </w:r>
      <w:r>
        <w:t>: There is no clinical trial experience with Rekovelle in the long GnRH agonist protocol.</w:t>
      </w:r>
    </w:p>
    <w:p w14:paraId="7D4240E3" w14:textId="77777777" w:rsidR="00070DCE" w:rsidRDefault="00070DCE" w:rsidP="00F254DB">
      <w:pPr>
        <w:pStyle w:val="ListBullet"/>
      </w:pPr>
      <w:r>
        <w:t>Women older than 40 years of age were excluded (similar to the pre-market studies for other exogenous FSH products). Based on the most recently published data, 25.5% of women undergoing an autologous cycle in Aus</w:t>
      </w:r>
      <w:r w:rsidR="002D0360">
        <w:t>tralia were 40 years or older.</w:t>
      </w:r>
      <w:r w:rsidR="002D0360">
        <w:rPr>
          <w:rStyle w:val="FootnoteReference"/>
        </w:rPr>
        <w:footnoteReference w:id="9"/>
      </w:r>
    </w:p>
    <w:p w14:paraId="71C049FC" w14:textId="77777777" w:rsidR="00070DCE" w:rsidRDefault="00070DCE" w:rsidP="00F254DB">
      <w:pPr>
        <w:pStyle w:val="ListBullet"/>
      </w:pPr>
      <w:r>
        <w:t>Women with anovulatory polycystic ovarian syndrome (PCOS) were not part of ESTHER-1/-2; presumably because of the inclusion criterion: Patients were to have regular menstrual cycles, presumed to be ovulatory. PCOS is a common anovulatory disorder and IVF is an effective treatment for PCOS patients, who typically have high AMH levels. The proposed PI includes the statement: anovulatory patients with polycystic ovarian syndrome have not been studied (this is also included in the PIs of other exogenous FSH products).</w:t>
      </w:r>
    </w:p>
    <w:p w14:paraId="78E33CC2" w14:textId="77777777" w:rsidR="00070DCE" w:rsidRDefault="00070DCE" w:rsidP="00F254DB">
      <w:pPr>
        <w:pStyle w:val="ListBullet"/>
      </w:pPr>
      <w:r>
        <w:t>The Roche Elecsys automated AMH analysis in the Phase</w:t>
      </w:r>
      <w:r w:rsidR="002D0360">
        <w:t xml:space="preserve"> III</w:t>
      </w:r>
      <w:r>
        <w:t xml:space="preserve"> premarket study was at a central laboratory. It is uncertain how well the dosing algorithm will work in routine clinical practice in Australia, where the assay will be done at multiple laboratories.</w:t>
      </w:r>
    </w:p>
    <w:p w14:paraId="409ED430" w14:textId="77777777" w:rsidR="00070DCE" w:rsidRDefault="00070DCE" w:rsidP="00F254DB">
      <w:pPr>
        <w:pStyle w:val="ListBullet"/>
      </w:pPr>
      <w:r>
        <w:t>In Australia, starting doses of follitropin alpha tend to be individualised based on, among other factors, the antral follicle count and age. It is not uncommon in Australia for women to be started on doses of follitropin alpha greater than 150 IU.</w:t>
      </w:r>
    </w:p>
    <w:p w14:paraId="283F1D11" w14:textId="77777777" w:rsidR="00070DCE" w:rsidRDefault="00070DCE" w:rsidP="00F254DB">
      <w:pPr>
        <w:pStyle w:val="ListBullet"/>
      </w:pPr>
      <w:r>
        <w:t xml:space="preserve">Rates of OHSS in Australia tend to be low due to close surveillance by IVF specialists. thus, external validity of </w:t>
      </w:r>
      <w:r w:rsidR="002D0360">
        <w:t>the difference in OHSS between R</w:t>
      </w:r>
      <w:r>
        <w:t>ekovelle and FS</w:t>
      </w:r>
      <w:r w:rsidR="002D0360">
        <w:t>H</w:t>
      </w:r>
      <w:r>
        <w:t xml:space="preserve"> is unknown</w:t>
      </w:r>
    </w:p>
    <w:p w14:paraId="184AD0AC" w14:textId="77777777" w:rsidR="00070DCE" w:rsidRDefault="00070DCE" w:rsidP="00F254DB">
      <w:pPr>
        <w:pStyle w:val="ListBullet"/>
      </w:pPr>
      <w:r>
        <w:t>There were no Australian sites in the clini</w:t>
      </w:r>
      <w:r w:rsidR="002D0360">
        <w:t>c</w:t>
      </w:r>
      <w:r>
        <w:t>al development program.</w:t>
      </w:r>
    </w:p>
    <w:p w14:paraId="09341281" w14:textId="77777777" w:rsidR="00070DCE" w:rsidRDefault="00070DCE" w:rsidP="00F254DB">
      <w:pPr>
        <w:pStyle w:val="ListBullet"/>
      </w:pPr>
      <w:r>
        <w:t>Off-label dosing (</w:t>
      </w:r>
      <w:r w:rsidR="002D0360">
        <w:t>for example,</w:t>
      </w:r>
      <w:r>
        <w:t xml:space="preserve"> a same-cycle-variable dose or use of AMH assays other than the Roche assay) could introduce uncertainty around the comparative effectiveness and safety in everyday clinical practice.</w:t>
      </w:r>
    </w:p>
    <w:p w14:paraId="2DB6A54C" w14:textId="77777777" w:rsidR="00070DCE" w:rsidRDefault="00070DCE" w:rsidP="00070DCE">
      <w:r>
        <w:t>A technical/methodological point is the comparison. The interventions compared in the pivotal pre-market Phase</w:t>
      </w:r>
      <w:r w:rsidR="00A56207">
        <w:t xml:space="preserve"> III</w:t>
      </w:r>
      <w:r>
        <w:t xml:space="preserve"> study (ESTHER-1) were compound (rather than simple) interventions (medicine plus individualised same-cycle-fixed dosing versus a different medicine plus same cycle-variable dosing).</w:t>
      </w:r>
    </w:p>
    <w:p w14:paraId="52F0248F" w14:textId="77777777" w:rsidR="00070DCE" w:rsidRDefault="00070DCE" w:rsidP="00F254DB">
      <w:pPr>
        <w:pStyle w:val="ListBullet"/>
      </w:pPr>
      <w:r>
        <w:t>Follitropin delta plus fixed dosing based on AMH levels and body weight.</w:t>
      </w:r>
    </w:p>
    <w:p w14:paraId="61B75485" w14:textId="77777777" w:rsidR="00070DCE" w:rsidRDefault="00070DCE" w:rsidP="00F254DB">
      <w:pPr>
        <w:pStyle w:val="ListBullet"/>
      </w:pPr>
      <w:r>
        <w:t>Follitropin alpha plus flexible dosing, 150 IU for the first 5 days, then adjustment by the treating doctor based on ovarian response.</w:t>
      </w:r>
    </w:p>
    <w:p w14:paraId="51325299" w14:textId="77777777" w:rsidR="00070DCE" w:rsidRDefault="00070DCE" w:rsidP="00070DCE">
      <w:r>
        <w:t>Whether follitropin delta plus same-cycle-flexible dosing is more or less efficacious and safe than follitropin del</w:t>
      </w:r>
      <w:r w:rsidR="00A56207">
        <w:t>ta plus same-cycle-fixed dosing based on the algorithm</w:t>
      </w:r>
      <w:r>
        <w:t xml:space="preserve"> was not tested.</w:t>
      </w:r>
    </w:p>
    <w:p w14:paraId="1297A116" w14:textId="167D60BA" w:rsidR="00A56207" w:rsidRDefault="00A56207" w:rsidP="00A56207">
      <w:pPr>
        <w:pStyle w:val="Heading4"/>
      </w:pPr>
      <w:r w:rsidRPr="00070DCE">
        <w:t xml:space="preserve">Summary of </w:t>
      </w:r>
      <w:r w:rsidR="00CE42F6">
        <w:t>i</w:t>
      </w:r>
      <w:r w:rsidRPr="00070DCE">
        <w:t>ssues</w:t>
      </w:r>
    </w:p>
    <w:p w14:paraId="5E0B72E0" w14:textId="77777777" w:rsidR="00A56207" w:rsidRPr="00070DCE" w:rsidRDefault="00A56207" w:rsidP="00A56207">
      <w:r w:rsidRPr="00070DCE">
        <w:t>Pending further advice, at this point in time, based on the available pre-marketing data, efficacy and safety have been satisfactorily established.</w:t>
      </w:r>
    </w:p>
    <w:p w14:paraId="7842E9D1" w14:textId="77777777" w:rsidR="00070DCE" w:rsidRDefault="00070DCE" w:rsidP="00F254DB">
      <w:pPr>
        <w:pStyle w:val="Heading4"/>
      </w:pPr>
      <w:r>
        <w:t>Conditions of registration</w:t>
      </w:r>
    </w:p>
    <w:p w14:paraId="3A10ED17" w14:textId="77777777" w:rsidR="00070DCE" w:rsidRDefault="00070DCE" w:rsidP="00F254DB">
      <w:r>
        <w:t>Standard</w:t>
      </w:r>
      <w:r w:rsidR="00A56207">
        <w:t xml:space="preserve"> conditions as well as </w:t>
      </w:r>
      <w:r>
        <w:t>implementation of the RMP.</w:t>
      </w:r>
    </w:p>
    <w:p w14:paraId="36645011" w14:textId="77777777" w:rsidR="00D23139" w:rsidRDefault="00D23139" w:rsidP="00D23139">
      <w:pPr>
        <w:pStyle w:val="Heading4"/>
      </w:pPr>
      <w:r w:rsidRPr="00D23139">
        <w:t>Proposed action</w:t>
      </w:r>
    </w:p>
    <w:p w14:paraId="4160654E" w14:textId="77777777" w:rsidR="00070DCE" w:rsidRDefault="00A56207" w:rsidP="00F254DB">
      <w:pPr>
        <w:rPr>
          <w:rFonts w:ascii="Times New Roman" w:hAnsi="Times New Roman"/>
        </w:rPr>
      </w:pPr>
      <w:r>
        <w:t>The Delegate had</w:t>
      </w:r>
      <w:r w:rsidR="00070DCE">
        <w:t xml:space="preserve"> no reason to say, at this time, that Rekovelle should not be approved for registration.</w:t>
      </w:r>
    </w:p>
    <w:p w14:paraId="2A1B45F7" w14:textId="77777777" w:rsidR="00D23139" w:rsidRDefault="00D23139" w:rsidP="00D23139">
      <w:pPr>
        <w:pStyle w:val="Heading4"/>
      </w:pPr>
      <w:r w:rsidRPr="00D23139">
        <w:t>Request for ACPM advice</w:t>
      </w:r>
    </w:p>
    <w:p w14:paraId="7357EC65" w14:textId="77777777" w:rsidR="00070DCE" w:rsidRPr="00A56207" w:rsidRDefault="00070DCE" w:rsidP="0016181B">
      <w:pPr>
        <w:pStyle w:val="Numberbullet0"/>
        <w:numPr>
          <w:ilvl w:val="0"/>
          <w:numId w:val="10"/>
        </w:numPr>
      </w:pPr>
      <w:r w:rsidRPr="00A56207">
        <w:t>Please comment on the applicability/relevance of the pre-market studies to Australian clinical practice.</w:t>
      </w:r>
    </w:p>
    <w:p w14:paraId="0F14CC77" w14:textId="77777777" w:rsidR="00070DCE" w:rsidRPr="00A56207" w:rsidRDefault="00070DCE" w:rsidP="0016181B">
      <w:pPr>
        <w:pStyle w:val="Numberbullet0"/>
        <w:numPr>
          <w:ilvl w:val="0"/>
          <w:numId w:val="10"/>
        </w:numPr>
      </w:pPr>
      <w:r w:rsidRPr="00A56207">
        <w:t>Is routine pharmacovigilance adequate? Or should uptake, usage (</w:t>
      </w:r>
      <w:r w:rsidR="00A56207">
        <w:t>for example,</w:t>
      </w:r>
      <w:r w:rsidRPr="00A56207">
        <w:t xml:space="preserve"> off-label dosing), and outcomes be actively monitored in routine clinical practice in Australia?</w:t>
      </w:r>
    </w:p>
    <w:p w14:paraId="2BF4A8C1" w14:textId="77777777" w:rsidR="00F254DB" w:rsidRPr="00A56207" w:rsidRDefault="00F254DB" w:rsidP="0016181B">
      <w:pPr>
        <w:pStyle w:val="Numberbullet0"/>
        <w:numPr>
          <w:ilvl w:val="0"/>
          <w:numId w:val="10"/>
        </w:numPr>
      </w:pPr>
      <w:r w:rsidRPr="00A56207">
        <w:t>The committee is requested to provide advice on any issues that it thinks may be relevant to a decision on whether or not to approve this application</w:t>
      </w:r>
    </w:p>
    <w:p w14:paraId="63FABE71" w14:textId="77777777" w:rsidR="00070DCE" w:rsidRDefault="00070DCE" w:rsidP="00F254DB">
      <w:pPr>
        <w:pStyle w:val="Heading4"/>
      </w:pPr>
      <w:r>
        <w:t>Questions for sponsor</w:t>
      </w:r>
    </w:p>
    <w:p w14:paraId="2568D616" w14:textId="77777777" w:rsidR="00070DCE" w:rsidRPr="007C7F05" w:rsidRDefault="00070DCE" w:rsidP="0016181B">
      <w:pPr>
        <w:pStyle w:val="Numberbullet0"/>
        <w:numPr>
          <w:ilvl w:val="0"/>
          <w:numId w:val="8"/>
        </w:numPr>
      </w:pPr>
      <w:r w:rsidRPr="007C7F05">
        <w:t>What is the current wording of the intended use of the Roche Elecsys AMH assay in the EU? (please provide the Instructions for Use)</w:t>
      </w:r>
    </w:p>
    <w:p w14:paraId="41E9C616" w14:textId="77777777" w:rsidR="00070DCE" w:rsidRPr="007C7F05" w:rsidRDefault="00070DCE" w:rsidP="007C7F05">
      <w:pPr>
        <w:pStyle w:val="Numberbullet0"/>
      </w:pPr>
      <w:r w:rsidRPr="007C7F05">
        <w:t>What is the registration status of Rekovelle in Canada?</w:t>
      </w:r>
    </w:p>
    <w:p w14:paraId="40610765" w14:textId="77777777" w:rsidR="00070DCE" w:rsidRPr="007C7F05" w:rsidRDefault="00070DCE" w:rsidP="007C7F05">
      <w:pPr>
        <w:pStyle w:val="Numberbullet0"/>
      </w:pPr>
      <w:r w:rsidRPr="007C7F05">
        <w:t>What is the status of the Roche Elecsys AMH assay in Canada</w:t>
      </w:r>
      <w:r w:rsidR="007C7F05">
        <w:t xml:space="preserve"> and</w:t>
      </w:r>
      <w:r w:rsidRPr="007C7F05">
        <w:t xml:space="preserve"> the US</w:t>
      </w:r>
      <w:r w:rsidR="007C7F05">
        <w:t>A</w:t>
      </w:r>
      <w:r w:rsidRPr="007C7F05">
        <w:t>? (please provide the Instructions for Use)</w:t>
      </w:r>
    </w:p>
    <w:p w14:paraId="16BEF210" w14:textId="572DA22F" w:rsidR="00371AC4" w:rsidRDefault="00D23139" w:rsidP="00D23139">
      <w:pPr>
        <w:pStyle w:val="Heading4"/>
      </w:pPr>
      <w:r w:rsidRPr="00D23139">
        <w:t xml:space="preserve">Response from </w:t>
      </w:r>
      <w:r w:rsidR="00CE42F6">
        <w:t>s</w:t>
      </w:r>
      <w:r w:rsidRPr="00D23139">
        <w:t>ponsor</w:t>
      </w:r>
    </w:p>
    <w:p w14:paraId="00F3B644" w14:textId="454582FD" w:rsidR="001B56F1" w:rsidRDefault="001B56F1" w:rsidP="00F254DB">
      <w:r>
        <w:t xml:space="preserve">Presented here is </w:t>
      </w:r>
      <w:r w:rsidR="00E447CE">
        <w:t>the sponsor’s</w:t>
      </w:r>
      <w:r>
        <w:t xml:space="preserve"> response to the TGA Delegate’s Request for ACPM’s Advice on </w:t>
      </w:r>
      <w:r w:rsidR="00E447CE">
        <w:t>the</w:t>
      </w:r>
      <w:r>
        <w:t xml:space="preserve"> application to register </w:t>
      </w:r>
      <w:r w:rsidR="004421A0">
        <w:t>Rekovelle</w:t>
      </w:r>
      <w:r>
        <w:t xml:space="preserve"> (follitropin delta; </w:t>
      </w:r>
      <w:r w:rsidR="00FD2B65">
        <w:t>Rekovelle</w:t>
      </w:r>
      <w:r>
        <w:t>) solution for injection (12 µg/0.36 mL, 36 µg/1.08 mL and 72 µg/2.16 mL) for controlled ovarian stimulation (COS) for the development of multiple follicles in women undergoing assisted reproductive technologies (ART).</w:t>
      </w:r>
    </w:p>
    <w:p w14:paraId="20A4051A" w14:textId="77777777" w:rsidR="001B56F1" w:rsidRDefault="001B56F1" w:rsidP="00F254DB">
      <w:r>
        <w:t>The Delegate has raised two questions for ACPM and three questions for the sponsor. These will be addressed in turn in this pre-ACPM response.</w:t>
      </w:r>
    </w:p>
    <w:p w14:paraId="4F648B57" w14:textId="77777777" w:rsidR="001B56F1" w:rsidRDefault="001B56F1" w:rsidP="00F254DB">
      <w:pPr>
        <w:pStyle w:val="Heading5"/>
      </w:pPr>
      <w:r>
        <w:t>Applicability/relevance of the pre-market studies to Australian clinical</w:t>
      </w:r>
      <w:r>
        <w:rPr>
          <w:spacing w:val="-13"/>
        </w:rPr>
        <w:t xml:space="preserve"> </w:t>
      </w:r>
      <w:r>
        <w:t>practice</w:t>
      </w:r>
    </w:p>
    <w:p w14:paraId="5F42663A" w14:textId="77777777" w:rsidR="001B56F1" w:rsidRDefault="001B56F1" w:rsidP="00F254DB">
      <w:r>
        <w:t xml:space="preserve">The Delegate has included a series of discussion points related to the applicability and relevance of the </w:t>
      </w:r>
      <w:r w:rsidR="004421A0">
        <w:t>Rekovelle</w:t>
      </w:r>
      <w:r>
        <w:t xml:space="preserve"> clinical development programme to Australian clinical practice and has asked ACPM to comment specifically on this matter.</w:t>
      </w:r>
    </w:p>
    <w:p w14:paraId="1158AA85" w14:textId="77777777" w:rsidR="001B56F1" w:rsidRDefault="001B56F1" w:rsidP="00F254DB">
      <w:r>
        <w:t xml:space="preserve">The </w:t>
      </w:r>
      <w:r w:rsidR="004421A0">
        <w:t>Rekovelle</w:t>
      </w:r>
      <w:r>
        <w:t xml:space="preserve"> clinical development programme included a large, multi-centre, randomised comparator-controlled </w:t>
      </w:r>
      <w:r w:rsidR="00E447CE">
        <w:t>P</w:t>
      </w:r>
      <w:r>
        <w:t>hase</w:t>
      </w:r>
      <w:r w:rsidR="00E447CE">
        <w:t xml:space="preserve"> </w:t>
      </w:r>
      <w:r>
        <w:t xml:space="preserve">III trial (ESTHER-1) in first-cycle patients and a </w:t>
      </w:r>
      <w:r w:rsidR="00E447CE">
        <w:t>P</w:t>
      </w:r>
      <w:r>
        <w:t>hase</w:t>
      </w:r>
      <w:r w:rsidR="00E447CE">
        <w:t xml:space="preserve"> </w:t>
      </w:r>
      <w:r>
        <w:t>III trial in repeat COS cycles (ESTHER-2). As with trials used to support the registration of current gonadotropin products, the ESTHER trials involved a population which, while broadly reflective of the population of women in developed countries commonly seeking ART, by necessity was controlled for a number of factors that could potentially influence the trials’ ability to answer the research question at</w:t>
      </w:r>
      <w:r w:rsidR="000B0D1D">
        <w:t xml:space="preserve"> </w:t>
      </w:r>
      <w:r>
        <w:t xml:space="preserve">hand, namely to assess the comparability of </w:t>
      </w:r>
      <w:r w:rsidR="004421A0">
        <w:t>Rekovelle</w:t>
      </w:r>
      <w:r>
        <w:t xml:space="preserve"> and the control exogenous follicle stimulating hormone (FSH) product follitropin alfa (</w:t>
      </w:r>
      <w:r w:rsidR="00FB403C">
        <w:t>Gonal-F</w:t>
      </w:r>
      <w:r>
        <w:t>). Importantly, the comparator arm of the ESTHER trials was designed to be consistent with the product label for follitropin alfa, as well as to take into account patient safety considerations and routine clinical practice. In addition, the eligibility criteria for the ESTHER trials were quite broad, with the studies accommodating wide ranges in patient age and body mass index and allowing for most of the common reasons for infertility.</w:t>
      </w:r>
    </w:p>
    <w:p w14:paraId="119275EE" w14:textId="77777777" w:rsidR="001B56F1" w:rsidRPr="00E447CE" w:rsidRDefault="001B56F1" w:rsidP="00E447CE">
      <w:r w:rsidRPr="00E447CE">
        <w:t xml:space="preserve">The specific issues raised in </w:t>
      </w:r>
      <w:r w:rsidR="00E447CE" w:rsidRPr="00E447CE">
        <w:t>Delegate’s d</w:t>
      </w:r>
      <w:r w:rsidRPr="00E447CE">
        <w:t>iscussion are addressed below.</w:t>
      </w:r>
    </w:p>
    <w:p w14:paraId="3AC2D51F" w14:textId="77777777" w:rsidR="001B56F1" w:rsidRPr="00E447CE" w:rsidRDefault="001B56F1" w:rsidP="00E447CE">
      <w:pPr>
        <w:pStyle w:val="ListBullet"/>
        <w:rPr>
          <w:i/>
        </w:rPr>
      </w:pPr>
      <w:r w:rsidRPr="00E447CE">
        <w:rPr>
          <w:i/>
        </w:rPr>
        <w:t>As per the EMA SmPC: There is no clinical trial experience with Rekovelle in the long GnRH agonist</w:t>
      </w:r>
      <w:r w:rsidRPr="00E447CE">
        <w:rPr>
          <w:i/>
          <w:spacing w:val="-1"/>
        </w:rPr>
        <w:t xml:space="preserve"> </w:t>
      </w:r>
      <w:r w:rsidRPr="00E447CE">
        <w:rPr>
          <w:i/>
        </w:rPr>
        <w:t>protocol.</w:t>
      </w:r>
    </w:p>
    <w:p w14:paraId="5F76DFCD" w14:textId="0B0CEB17" w:rsidR="001B56F1" w:rsidRDefault="001B56F1" w:rsidP="00F254DB">
      <w:r>
        <w:t xml:space="preserve">While the </w:t>
      </w:r>
      <w:r w:rsidR="004421A0">
        <w:t>Rekovelle</w:t>
      </w:r>
      <w:r>
        <w:t xml:space="preserve"> development programme did not explore the use of the product in a GnRH agonist protocol, it should be noted that that the vast majority of COS cycles undertaken in Australia involve GnRH antagonist down-regulation (</w:t>
      </w:r>
      <w:r w:rsidR="0094158B">
        <w:t>approximately</w:t>
      </w:r>
      <w:r w:rsidR="0070725D">
        <w:t xml:space="preserve"> </w:t>
      </w:r>
      <w:r w:rsidR="00580862">
        <w:t xml:space="preserve">75 to </w:t>
      </w:r>
      <w:r>
        <w:t>90% of cycles), consistent with the ESTHER trial design.</w:t>
      </w:r>
    </w:p>
    <w:p w14:paraId="6E7497A2" w14:textId="77777777" w:rsidR="001B56F1" w:rsidRDefault="001B56F1" w:rsidP="00F254DB">
      <w:r>
        <w:t xml:space="preserve">However, to emphasise this limitation of the ESTHER trials, </w:t>
      </w:r>
      <w:r w:rsidR="00580862">
        <w:t>the sponsor</w:t>
      </w:r>
      <w:r>
        <w:t xml:space="preserve"> proposes that the EU SmPC statement</w:t>
      </w:r>
      <w:r w:rsidR="00580862">
        <w:t>:</w:t>
      </w:r>
    </w:p>
    <w:p w14:paraId="09EA0BBB" w14:textId="77777777" w:rsidR="001B56F1" w:rsidRDefault="001B56F1" w:rsidP="00580862">
      <w:pPr>
        <w:ind w:firstLine="720"/>
        <w:rPr>
          <w:i/>
          <w:iCs/>
        </w:rPr>
      </w:pPr>
      <w:r>
        <w:rPr>
          <w:i/>
          <w:iCs/>
        </w:rPr>
        <w:t xml:space="preserve">There is no clinical trial experience with </w:t>
      </w:r>
      <w:r w:rsidR="004421A0">
        <w:rPr>
          <w:i/>
          <w:iCs/>
        </w:rPr>
        <w:t>Rekovelle</w:t>
      </w:r>
      <w:r>
        <w:rPr>
          <w:i/>
          <w:iCs/>
        </w:rPr>
        <w:t xml:space="preserve"> in the long GnRH agonist protocol.</w:t>
      </w:r>
    </w:p>
    <w:p w14:paraId="72D0AB5E" w14:textId="77777777" w:rsidR="001B56F1" w:rsidRDefault="001B56F1" w:rsidP="00F254DB">
      <w:proofErr w:type="gramStart"/>
      <w:r>
        <w:t>be</w:t>
      </w:r>
      <w:proofErr w:type="gramEnd"/>
      <w:r>
        <w:t xml:space="preserve"> included in the Precautions section of the </w:t>
      </w:r>
      <w:r w:rsidR="004421A0">
        <w:t>Rekovelle</w:t>
      </w:r>
      <w:r>
        <w:t xml:space="preserve"> Product Information (PI).</w:t>
      </w:r>
    </w:p>
    <w:p w14:paraId="4A4B3C52" w14:textId="77777777" w:rsidR="001B56F1" w:rsidRPr="00E447CE" w:rsidRDefault="001B56F1" w:rsidP="00E447CE">
      <w:pPr>
        <w:pStyle w:val="ListBullet"/>
        <w:rPr>
          <w:i/>
        </w:rPr>
      </w:pPr>
      <w:r w:rsidRPr="00E447CE">
        <w:rPr>
          <w:i/>
        </w:rPr>
        <w:t>Women older than 40 years of age were excluded (similar to the pre-market studies for other exogenous FSH products). Based on the most recently published data, 25.5% of women undergoing an autologous cycle in Australia were 40 years or older. [NPESU, Assisted Reproductive Technology in Australia and New Zealand, 2014. University of NSW,</w:t>
      </w:r>
      <w:r w:rsidRPr="00E447CE">
        <w:rPr>
          <w:i/>
          <w:spacing w:val="-13"/>
        </w:rPr>
        <w:t xml:space="preserve"> </w:t>
      </w:r>
      <w:r w:rsidRPr="00E447CE">
        <w:rPr>
          <w:i/>
        </w:rPr>
        <w:t>2016.]</w:t>
      </w:r>
    </w:p>
    <w:p w14:paraId="4355E357" w14:textId="77777777" w:rsidR="001B56F1" w:rsidRDefault="001B56F1" w:rsidP="00F254DB">
      <w:r>
        <w:t xml:space="preserve">The response rate in older women is well-recognised to be lower than in younger women and in this respect it is unlikely that </w:t>
      </w:r>
      <w:r w:rsidR="004421A0">
        <w:t>Rekovelle</w:t>
      </w:r>
      <w:r>
        <w:t xml:space="preserve"> would be any different from other FSH products which also lacked pre-market evidence in this population, as acknowledged by the TGA Delegate.</w:t>
      </w:r>
    </w:p>
    <w:p w14:paraId="50FF5A5E" w14:textId="77777777" w:rsidR="001B56F1" w:rsidRDefault="001B56F1" w:rsidP="00F254DB">
      <w:r>
        <w:t>The fertility problems seen in women in this age group are commonly a result of diminished oocyte quality or ovarian reserve or a combination of both factors. As such, most women &gt;40 years of age would be expected to have serum AMH levels &lt;15 pmol/L. With this in</w:t>
      </w:r>
      <w:r w:rsidR="000B0D1D">
        <w:t xml:space="preserve"> </w:t>
      </w:r>
      <w:r>
        <w:t xml:space="preserve">mind, it is worth noting that approximately 45% of women in the ESTHER-1 trial had baseline AMH level in this category (corresponding to a maximum daily dose of </w:t>
      </w:r>
      <w:r w:rsidR="004421A0">
        <w:t>Rekovelle</w:t>
      </w:r>
      <w:r>
        <w:t xml:space="preserve"> of 12 µg). Hence, while trial experience with </w:t>
      </w:r>
      <w:r w:rsidR="004421A0">
        <w:t>Rekovelle</w:t>
      </w:r>
      <w:r>
        <w:t xml:space="preserve"> is lacking in women &gt;40 years of age, as acknowledged in the proposed PI, there is nevertheless ample experience with </w:t>
      </w:r>
      <w:r w:rsidR="004421A0">
        <w:t>Rekovelle</w:t>
      </w:r>
      <w:r>
        <w:t xml:space="preserve"> in women with low ovarian reserve, which would to serve as a guide to physicians choosing to use the product in women in this age group. Basing the dose of </w:t>
      </w:r>
      <w:r w:rsidR="004421A0">
        <w:t>Rekovelle</w:t>
      </w:r>
      <w:r>
        <w:t xml:space="preserve"> in an &gt;40 year old woman on her baseline AMH level (and weight) is expected to give a reasonable ovarian response (</w:t>
      </w:r>
      <w:r w:rsidR="00580862">
        <w:t>that is,</w:t>
      </w:r>
      <w:r>
        <w:t xml:space="preserve"> number of oocyte retrieved). But, due to possible deficits in oocyte quality in women in this age group, her likelihood of a pregnancy might be less than for a younger woman having the same baseline AMH</w:t>
      </w:r>
      <w:r>
        <w:rPr>
          <w:spacing w:val="-14"/>
        </w:rPr>
        <w:t xml:space="preserve"> </w:t>
      </w:r>
      <w:r>
        <w:t>value.</w:t>
      </w:r>
    </w:p>
    <w:p w14:paraId="6F3AB936" w14:textId="77777777" w:rsidR="001B56F1" w:rsidRPr="00E447CE" w:rsidRDefault="001B56F1" w:rsidP="00E447CE">
      <w:pPr>
        <w:pStyle w:val="ListBullet"/>
        <w:rPr>
          <w:i/>
        </w:rPr>
      </w:pPr>
      <w:r w:rsidRPr="00E447CE">
        <w:rPr>
          <w:i/>
        </w:rPr>
        <w:t>Women with anovulatory polycystic ovarian syndrome (PCOS) were not part of ESTHER-1/-2; presumably because of the inclusion criterion: Patients were to have regular menstrual cycles, presumed to be ovulatory. PCOS is a common anovulatory disorder and IVF is an effective treatment for PCOS patients, who typically have high AMH levels. The proposed PI includes the statement: anovulatory patients with polycystic ovarian syndrome have not been studied (this is also included in the PIs of other exogenous FSH</w:t>
      </w:r>
      <w:r w:rsidRPr="00E447CE">
        <w:rPr>
          <w:i/>
          <w:spacing w:val="-12"/>
        </w:rPr>
        <w:t xml:space="preserve"> </w:t>
      </w:r>
      <w:r w:rsidRPr="00E447CE">
        <w:rPr>
          <w:i/>
        </w:rPr>
        <w:t>products).</w:t>
      </w:r>
    </w:p>
    <w:p w14:paraId="3AE0507E" w14:textId="77777777" w:rsidR="001B56F1" w:rsidRDefault="001B56F1" w:rsidP="00F254DB">
      <w:r>
        <w:t xml:space="preserve">As noted by the TGA Delegate, </w:t>
      </w:r>
      <w:r w:rsidR="009410E9">
        <w:t>the sponsor</w:t>
      </w:r>
      <w:r>
        <w:t xml:space="preserve"> has acknowledged the limited experience in anovulatory patients with polycystic ovarian syndrome (PCOS) in the proposed PI by the inclusion of the following statement:</w:t>
      </w:r>
    </w:p>
    <w:p w14:paraId="4A7CBFA0" w14:textId="77777777" w:rsidR="001B56F1" w:rsidRDefault="001B56F1" w:rsidP="009410E9">
      <w:pPr>
        <w:ind w:left="709" w:firstLine="11"/>
        <w:rPr>
          <w:i/>
          <w:iCs/>
        </w:rPr>
      </w:pPr>
      <w:r>
        <w:rPr>
          <w:i/>
          <w:iCs/>
        </w:rPr>
        <w:t>Polycystic ovarian syndrome patients with anovulatory disorders have not been studied.</w:t>
      </w:r>
    </w:p>
    <w:p w14:paraId="2ED02C67" w14:textId="77777777" w:rsidR="001B56F1" w:rsidRDefault="001B56F1" w:rsidP="00F254DB">
      <w:r>
        <w:t>Similar statements are included in the PI documents for other FSH products. The clinical community in Australia is experienced in the use of gonadotropins in this population and is aware of the challenges and risks associated with COS in patients with PCOS, including the risk of OHSS.</w:t>
      </w:r>
    </w:p>
    <w:p w14:paraId="034425A4" w14:textId="77777777" w:rsidR="001B56F1" w:rsidRDefault="001B56F1" w:rsidP="00F254DB">
      <w:r>
        <w:t xml:space="preserve">While patients with anovulatory PCOS were not included the ESTHER-1 trial, the study did include ovulatory patients with polycystic ovaries, a far more common form of PCOS than the anovulatory form and these patients displayed in ESTHER-1 a significantly lower risk of OHSS on </w:t>
      </w:r>
      <w:r w:rsidR="004421A0">
        <w:t>Rekovelle</w:t>
      </w:r>
      <w:r>
        <w:t xml:space="preserve"> than on follitropin alfa, without a compromise in efficacy.</w:t>
      </w:r>
    </w:p>
    <w:p w14:paraId="6864BD39" w14:textId="77777777" w:rsidR="001B56F1" w:rsidRDefault="001B56F1" w:rsidP="00E447CE">
      <w:pPr>
        <w:pStyle w:val="ListBullet"/>
      </w:pPr>
      <w:r w:rsidRPr="00E447CE">
        <w:rPr>
          <w:i/>
        </w:rPr>
        <w:t>The Roche Elecsys automated AMH analysis in the Phase</w:t>
      </w:r>
      <w:r w:rsidR="009410E9">
        <w:rPr>
          <w:i/>
        </w:rPr>
        <w:t xml:space="preserve"> III</w:t>
      </w:r>
      <w:r w:rsidRPr="00E447CE">
        <w:rPr>
          <w:i/>
        </w:rPr>
        <w:t xml:space="preserve"> premarket study was at a central laboratory. It is uncertain how well the dosing algorithm will work in routine clinical practice in Australia where the assay will be done at multiple</w:t>
      </w:r>
      <w:r w:rsidRPr="00E447CE">
        <w:rPr>
          <w:i/>
          <w:spacing w:val="-14"/>
        </w:rPr>
        <w:t xml:space="preserve"> </w:t>
      </w:r>
      <w:r w:rsidRPr="00E447CE">
        <w:rPr>
          <w:i/>
        </w:rPr>
        <w:t>laboratories</w:t>
      </w:r>
      <w:r>
        <w:t>.</w:t>
      </w:r>
    </w:p>
    <w:p w14:paraId="7BBC19D5" w14:textId="77777777" w:rsidR="001B56F1" w:rsidRDefault="009410E9" w:rsidP="00F254DB">
      <w:r>
        <w:t>The sponsor</w:t>
      </w:r>
      <w:r w:rsidR="001B56F1">
        <w:t xml:space="preserve"> undertook a rigorous evaluation of the technical performance and global accessibility of a number of AMH assays prior to adopting the Roche AMH assay for </w:t>
      </w:r>
      <w:r w:rsidR="004421A0">
        <w:t>Rekovelle</w:t>
      </w:r>
      <w:r>
        <w:t xml:space="preserve"> dose </w:t>
      </w:r>
      <w:r w:rsidR="001B56F1">
        <w:t xml:space="preserve">determination. A number of criteria were evaluated for the available AMH assays, including precision, sensitivity, </w:t>
      </w:r>
      <w:r>
        <w:t>calibration time, analysis time,</w:t>
      </w:r>
      <w:r w:rsidR="001B56F1">
        <w:t xml:space="preserve"> and published evidence of performance, geographical presence and platform reliability. On the basis of these technical criteria, the Roche Elecsys AMH assay was considered to be the only option at the time of evaluation that met the standards required of a companion diagnostic.</w:t>
      </w:r>
    </w:p>
    <w:p w14:paraId="7A380752" w14:textId="77777777" w:rsidR="001B56F1" w:rsidRDefault="001B56F1" w:rsidP="00F254DB">
      <w:pPr>
        <w:rPr>
          <w:color w:val="000000"/>
          <w:position w:val="9"/>
          <w:sz w:val="16"/>
          <w:szCs w:val="16"/>
        </w:rPr>
      </w:pPr>
      <w:r>
        <w:t xml:space="preserve">The Roche Elecsys AMH assay includes rigorous calibration and quality control procedures that are standardised across laboratories to ensure the high degrees of accuracy and precision. </w:t>
      </w:r>
      <w:r>
        <w:rPr>
          <w:color w:val="000000"/>
        </w:rPr>
        <w:t>Furthermore, it has been established from analyses performed on samples from different matrices, collected in different types of tubes, stored under different conditions for different time periods that the assay results remain highly stable and reliable, with a very strong correlation around unity across a wide range of clinically-relevant concentrations.</w:t>
      </w:r>
      <w:r w:rsidR="00F4537B">
        <w:rPr>
          <w:rStyle w:val="FootnoteReference"/>
          <w:color w:val="000000"/>
        </w:rPr>
        <w:footnoteReference w:id="10"/>
      </w:r>
    </w:p>
    <w:p w14:paraId="527DDA3C" w14:textId="77777777" w:rsidR="001B56F1" w:rsidRDefault="001B56F1" w:rsidP="00F254DB">
      <w:r>
        <w:t>For these reasons, TGA can be assured that the Roche Elecsys AMH assay is expected to perform in</w:t>
      </w:r>
      <w:r w:rsidR="000B0D1D">
        <w:t xml:space="preserve"> </w:t>
      </w:r>
      <w:r>
        <w:t>the same manner in routine Australian clinical practice to the way it performed in the ESTHER programme.</w:t>
      </w:r>
    </w:p>
    <w:p w14:paraId="412A1CF8" w14:textId="77777777" w:rsidR="001B56F1" w:rsidRPr="00E447CE" w:rsidRDefault="001B56F1" w:rsidP="00E447CE">
      <w:pPr>
        <w:pStyle w:val="ListBullet"/>
        <w:rPr>
          <w:i/>
        </w:rPr>
      </w:pPr>
      <w:r w:rsidRPr="00E447CE">
        <w:rPr>
          <w:i/>
        </w:rPr>
        <w:t>In Australia, starting doses of follitropin alpha tend to be individualised based on, among other factors, the antral follicle count and age. It is not uncommon in Australia for women to be started on doses of follitropin alpha greater than 150</w:t>
      </w:r>
      <w:r w:rsidRPr="00E447CE">
        <w:rPr>
          <w:i/>
          <w:spacing w:val="-10"/>
        </w:rPr>
        <w:t xml:space="preserve"> </w:t>
      </w:r>
      <w:r w:rsidRPr="00E447CE">
        <w:rPr>
          <w:i/>
        </w:rPr>
        <w:t>IU.</w:t>
      </w:r>
    </w:p>
    <w:p w14:paraId="07A62286" w14:textId="77777777" w:rsidR="001B56F1" w:rsidRDefault="009410E9" w:rsidP="00F254DB">
      <w:r>
        <w:t>The sponsor</w:t>
      </w:r>
      <w:r w:rsidR="001B56F1">
        <w:t xml:space="preserve"> accepts that, based on personal experience, and in view of inter-individual variability in ovarian response, clinicians may choose to individualise the starting dose of follitropin alfa based on factors such as level of ovarian reserve and age and as a consequence, start with doses other than 150 IU in some patients in order to achieve a desired ovarian </w:t>
      </w:r>
      <w:r>
        <w:t xml:space="preserve">response. However, the evidence </w:t>
      </w:r>
      <w:r w:rsidR="001B56F1">
        <w:t xml:space="preserve">base for this practice is lacking, with no published guidelines available to assist in the practice. In contrast, the individualised dosing approach for </w:t>
      </w:r>
      <w:r w:rsidR="004421A0">
        <w:t>Rekovelle</w:t>
      </w:r>
      <w:r w:rsidR="001B56F1">
        <w:t xml:space="preserve"> has been developed and esta</w:t>
      </w:r>
      <w:r>
        <w:t xml:space="preserve">blished prospectively in a well </w:t>
      </w:r>
      <w:r w:rsidR="001B56F1">
        <w:t>conducted clinical programme.</w:t>
      </w:r>
    </w:p>
    <w:p w14:paraId="0B872CA6" w14:textId="2CBC7CA9" w:rsidR="001B56F1" w:rsidRDefault="001B56F1" w:rsidP="00F254DB">
      <w:r>
        <w:t xml:space="preserve">The ESTHER-1 trial compared </w:t>
      </w:r>
      <w:r w:rsidR="004421A0">
        <w:t>Rekovelle</w:t>
      </w:r>
      <w:r>
        <w:t>, given in a fixed-dose regimen throughout</w:t>
      </w:r>
      <w:r w:rsidR="000B0D1D">
        <w:t xml:space="preserve"> </w:t>
      </w:r>
      <w:r>
        <w:t>the</w:t>
      </w:r>
      <w:r w:rsidR="000B0D1D">
        <w:t xml:space="preserve"> </w:t>
      </w:r>
      <w:r>
        <w:t xml:space="preserve">first cycle, with follitropin alfa, given in a flexible-dose regimen starting with 150 IU for 5 days, then allowing dose adjustments based on ovarian response, consistent with recommendations in the follitropin alfa PI. With these strategies, the study produced very favourable outcomes for efficacy for both interventions. For example, live birth rates of 29.8% and 30.7% were reported for </w:t>
      </w:r>
      <w:r w:rsidR="004421A0">
        <w:t>Rekovelle</w:t>
      </w:r>
      <w:r>
        <w:t xml:space="preserve"> and follitropin alfa respectively in ESTHER-1 (mean age of patients </w:t>
      </w:r>
      <w:r w:rsidR="0094158B">
        <w:t>approximately</w:t>
      </w:r>
      <w:r w:rsidR="00985817">
        <w:t xml:space="preserve"> </w:t>
      </w:r>
      <w:r>
        <w:t xml:space="preserve">33.3 years but with </w:t>
      </w:r>
      <w:r w:rsidR="0094158B">
        <w:t>approximately</w:t>
      </w:r>
      <w:r w:rsidR="00985817">
        <w:t xml:space="preserve"> </w:t>
      </w:r>
      <w:r>
        <w:t>40% of patients aged between 36</w:t>
      </w:r>
      <w:r w:rsidR="009410E9">
        <w:t xml:space="preserve"> to </w:t>
      </w:r>
      <w:r>
        <w:t>40 years). These live birth rates overall are comparable to those reported</w:t>
      </w:r>
      <w:r w:rsidR="000B0D1D">
        <w:t xml:space="preserve"> </w:t>
      </w:r>
      <w:r>
        <w:t>most recently (2014) for women in the Australian population aged between 30 to 34 years who underwent their first ART cycle (30.0%) and are more favourable than the first-cycle live birth rates reported for women aged between 35</w:t>
      </w:r>
      <w:r w:rsidR="009410E9">
        <w:t xml:space="preserve"> to </w:t>
      </w:r>
      <w:r>
        <w:t>39 years (21.8%)</w:t>
      </w:r>
      <w:r w:rsidR="00F4537B">
        <w:rPr>
          <w:rStyle w:val="FootnoteReference"/>
        </w:rPr>
        <w:footnoteReference w:id="11"/>
      </w:r>
      <w:r>
        <w:t xml:space="preserve"> noting that endogenous FSH products such as follitropin alfa are by far the most commonly used agents for first-cycle COS in</w:t>
      </w:r>
      <w:r>
        <w:rPr>
          <w:spacing w:val="-14"/>
        </w:rPr>
        <w:t xml:space="preserve"> </w:t>
      </w:r>
      <w:r>
        <w:t>Australia.</w:t>
      </w:r>
    </w:p>
    <w:p w14:paraId="5BC89819" w14:textId="77777777" w:rsidR="001B56F1" w:rsidRDefault="001B56F1" w:rsidP="00F254DB">
      <w:r>
        <w:t xml:space="preserve">Hence, </w:t>
      </w:r>
      <w:r w:rsidR="009410E9">
        <w:t>the sponsor</w:t>
      </w:r>
      <w:r>
        <w:t xml:space="preserve"> maintains that the follitropin alfa dose-strategy employed in ESTHER-1 and the</w:t>
      </w:r>
      <w:r w:rsidR="000B0D1D">
        <w:t xml:space="preserve"> </w:t>
      </w:r>
      <w:r>
        <w:t>efficacy outcomes observed in the trial for the comparator appear reasonably representative of Australian clinical</w:t>
      </w:r>
      <w:r>
        <w:rPr>
          <w:spacing w:val="-6"/>
        </w:rPr>
        <w:t xml:space="preserve"> </w:t>
      </w:r>
      <w:r>
        <w:t>practice.</w:t>
      </w:r>
    </w:p>
    <w:p w14:paraId="397FCEF9" w14:textId="77777777" w:rsidR="001B56F1" w:rsidRPr="00E447CE" w:rsidRDefault="001B56F1" w:rsidP="00E447CE">
      <w:pPr>
        <w:pStyle w:val="ListBullet"/>
        <w:rPr>
          <w:i/>
        </w:rPr>
      </w:pPr>
      <w:r w:rsidRPr="00E447CE">
        <w:rPr>
          <w:i/>
        </w:rPr>
        <w:t>Rates of OHSS in Australia tend to be low due to close surveillance by IVF specialists. Thus, external validity of the difference in OHSS between Rekovelle and FSH is</w:t>
      </w:r>
      <w:r w:rsidRPr="00E447CE">
        <w:rPr>
          <w:i/>
          <w:spacing w:val="-18"/>
        </w:rPr>
        <w:t xml:space="preserve"> </w:t>
      </w:r>
      <w:r w:rsidRPr="00E447CE">
        <w:rPr>
          <w:i/>
        </w:rPr>
        <w:t>unknown</w:t>
      </w:r>
    </w:p>
    <w:p w14:paraId="773402C4" w14:textId="77777777" w:rsidR="001B56F1" w:rsidRDefault="001B56F1" w:rsidP="00F254DB">
      <w:r>
        <w:t xml:space="preserve">While individual clinicians may report low rates of ovarian hyperstimulation syndrome (OHSS) in Australia, the true overall rates remain unknown, primarily because the reporting of OHSS in the clinical setting is mainly restricted to those cases resulting in hospitalisation of the patient. By contrast, surveillance for and the reporting of OHSS is comprehensive in a controlled clinical trial setting and therefore a well-conducted trial, such as the ESTHER-1 trial, is expected to provide an accurate reflection of the difference in the true rates of this adverse event between the interventions at the dosages employed in the trial. In addition, ESTHER-1 provided an opportunity to rigorously assess the need for preventive intervention for OHSS, a related safety outcome that would not be easily assessable outside of a controlled trial. ESTHER-1 not only showed fewer cases of OHSS overall for </w:t>
      </w:r>
      <w:r w:rsidR="004421A0">
        <w:t>Rekovelle</w:t>
      </w:r>
      <w:r>
        <w:t xml:space="preserve"> than for follitropin alfa but also fewer cases of OHSS and/or women requiring preventive intervention.</w:t>
      </w:r>
    </w:p>
    <w:p w14:paraId="215B1104" w14:textId="77777777" w:rsidR="001B56F1" w:rsidRDefault="001B56F1" w:rsidP="00F254DB">
      <w:r>
        <w:t>In the ESTHER-1 trial, follitropin alfa was commenced at 150 IU daily, the lowest recommended starting dose and therefore the dose carrying the least risk of OHSS for this product. However, in view of the TGA Delegate’s previous comment above, that Australia fertility centres not uncommonly start COS with follitropin alfa doses higher than the 150 IU used in ESTHER-1, there may in fact be more scope for overstimulation with follitropin alfa in clinical practice than seen in ESTHER-1.</w:t>
      </w:r>
    </w:p>
    <w:p w14:paraId="3DA88B03" w14:textId="77777777" w:rsidR="001B56F1" w:rsidRPr="00E447CE" w:rsidRDefault="001B56F1" w:rsidP="00E447CE">
      <w:pPr>
        <w:pStyle w:val="ListBullet"/>
        <w:rPr>
          <w:i/>
        </w:rPr>
      </w:pPr>
      <w:r w:rsidRPr="00E447CE">
        <w:rPr>
          <w:i/>
        </w:rPr>
        <w:t>There were no Australian sites in the clinical development</w:t>
      </w:r>
      <w:r w:rsidRPr="00E447CE">
        <w:rPr>
          <w:i/>
          <w:spacing w:val="-12"/>
        </w:rPr>
        <w:t xml:space="preserve"> </w:t>
      </w:r>
      <w:r w:rsidRPr="00E447CE">
        <w:rPr>
          <w:i/>
        </w:rPr>
        <w:t>program.</w:t>
      </w:r>
    </w:p>
    <w:p w14:paraId="05E9D3A6" w14:textId="77777777" w:rsidR="001B56F1" w:rsidRDefault="001B56F1" w:rsidP="00F254DB">
      <w:r>
        <w:t xml:space="preserve">It is not unusual for drug development programmes not to involve Australian sites. Like many other development programmes, the ESTHER trials were conducted in sites primarily in Europe and North America and there is no reason to expect that the outcomes for </w:t>
      </w:r>
      <w:r w:rsidR="004421A0">
        <w:t>Rekovelle</w:t>
      </w:r>
      <w:r>
        <w:t xml:space="preserve"> when following the proposed dosage protocol would be different in the Australian clinical setting to those seen in the registration trials.</w:t>
      </w:r>
    </w:p>
    <w:p w14:paraId="76694DCF" w14:textId="77777777" w:rsidR="001B56F1" w:rsidRPr="00E447CE" w:rsidRDefault="001B56F1" w:rsidP="00E447CE">
      <w:pPr>
        <w:pStyle w:val="ListBullet"/>
        <w:rPr>
          <w:i/>
        </w:rPr>
      </w:pPr>
      <w:r w:rsidRPr="00E447CE">
        <w:rPr>
          <w:i/>
        </w:rPr>
        <w:t>Off-label dosing (</w:t>
      </w:r>
      <w:r w:rsidR="005842E4">
        <w:rPr>
          <w:i/>
        </w:rPr>
        <w:t>such as</w:t>
      </w:r>
      <w:r w:rsidRPr="00E447CE">
        <w:rPr>
          <w:i/>
        </w:rPr>
        <w:t xml:space="preserve"> a same-cycle-variable dose or use of AMH assays other than the Roche assay) could introduce uncertainty around the comparative effectiveness and safety in everyday clinical</w:t>
      </w:r>
      <w:r w:rsidRPr="00E447CE">
        <w:rPr>
          <w:i/>
          <w:spacing w:val="-8"/>
        </w:rPr>
        <w:t xml:space="preserve"> </w:t>
      </w:r>
      <w:r w:rsidRPr="00E447CE">
        <w:rPr>
          <w:i/>
        </w:rPr>
        <w:t>practice.</w:t>
      </w:r>
    </w:p>
    <w:p w14:paraId="40DAFB7B" w14:textId="77777777" w:rsidR="001B56F1" w:rsidRDefault="001B56F1" w:rsidP="00F254DB">
      <w:r>
        <w:t xml:space="preserve">The risks associated with off-label use apply to all registered products. In terms of within-cycle adjustments in </w:t>
      </w:r>
      <w:r w:rsidR="004421A0">
        <w:t>Rekovelle</w:t>
      </w:r>
      <w:r>
        <w:t xml:space="preserve"> dose, there remains an absence of evidence to suggest that this improves outcomes, remembering that the use of </w:t>
      </w:r>
      <w:r w:rsidR="004421A0">
        <w:t>Rekovelle</w:t>
      </w:r>
      <w:r>
        <w:t xml:space="preserve"> in a fixed-dose regimen has been shown to be non-inferior in terms </w:t>
      </w:r>
      <w:r w:rsidR="005842E4">
        <w:t>of efficacy to follitropin alfa</w:t>
      </w:r>
      <w:r>
        <w:t xml:space="preserve"> and with less risk of OHSS.</w:t>
      </w:r>
    </w:p>
    <w:p w14:paraId="2BEE6C23" w14:textId="77777777" w:rsidR="001B56F1" w:rsidRDefault="001B56F1" w:rsidP="00F254DB">
      <w:pPr>
        <w:rPr>
          <w:color w:val="000000"/>
        </w:rPr>
      </w:pPr>
      <w:r>
        <w:t xml:space="preserve">On the uncertainty of using an AMH assay other than the Roche Elecsys AMH assay, </w:t>
      </w:r>
      <w:r w:rsidR="005842E4">
        <w:t xml:space="preserve">the </w:t>
      </w:r>
      <w:r w:rsidR="005219CC">
        <w:t>sponsor</w:t>
      </w:r>
      <w:r>
        <w:t xml:space="preserve"> is aware that in Australia AMH testing is routinely performed as part of ART programmes. This is</w:t>
      </w:r>
      <w:r w:rsidR="000B0D1D">
        <w:t xml:space="preserve"> </w:t>
      </w:r>
      <w:r>
        <w:t>usually</w:t>
      </w:r>
      <w:r w:rsidR="000B0D1D">
        <w:t xml:space="preserve"> </w:t>
      </w:r>
      <w:r>
        <w:t xml:space="preserve">either with the Roche Elecsys AMH assay or the Beckman Coulter Access AMH assay, both of which are automated. In </w:t>
      </w:r>
      <w:r w:rsidR="005842E4">
        <w:t>the sponsor’s</w:t>
      </w:r>
      <w:r>
        <w:t xml:space="preserve"> response to the </w:t>
      </w:r>
      <w:r w:rsidR="005842E4">
        <w:t>clinical e</w:t>
      </w:r>
      <w:r>
        <w:t>valuator’s comments</w:t>
      </w:r>
      <w:r>
        <w:rPr>
          <w:color w:val="000000"/>
        </w:rPr>
        <w:t>, two studies were referred to in which the performance of these assays has been compared.</w:t>
      </w:r>
      <w:r w:rsidR="00F4537B">
        <w:rPr>
          <w:rStyle w:val="FootnoteReference"/>
          <w:color w:val="000000"/>
        </w:rPr>
        <w:footnoteReference w:id="12"/>
      </w:r>
      <w:r w:rsidR="000B0D1D">
        <w:rPr>
          <w:color w:val="000000"/>
          <w:position w:val="9"/>
          <w:sz w:val="16"/>
          <w:szCs w:val="16"/>
        </w:rPr>
        <w:t xml:space="preserve"> </w:t>
      </w:r>
      <w:r>
        <w:rPr>
          <w:color w:val="000000"/>
        </w:rPr>
        <w:t>These publications established that a strong correlation exists between the two automated assays, with the slopes of the lines of best fit varying by only 3% to 6% from the unity line. A strong correlation between the two assays was most recently confirmed by Pigny and co-workers.</w:t>
      </w:r>
      <w:r w:rsidR="00F4537B">
        <w:rPr>
          <w:rStyle w:val="FootnoteReference"/>
          <w:color w:val="000000"/>
        </w:rPr>
        <w:footnoteReference w:id="13"/>
      </w:r>
      <w:r>
        <w:rPr>
          <w:color w:val="000000"/>
          <w:position w:val="9"/>
          <w:sz w:val="16"/>
          <w:szCs w:val="16"/>
        </w:rPr>
        <w:t xml:space="preserve"> </w:t>
      </w:r>
      <w:r>
        <w:rPr>
          <w:color w:val="000000"/>
        </w:rPr>
        <w:t xml:space="preserve">This evidence suggests that the influence on </w:t>
      </w:r>
      <w:r w:rsidR="004421A0">
        <w:rPr>
          <w:color w:val="000000"/>
        </w:rPr>
        <w:t>Rekovelle</w:t>
      </w:r>
      <w:r>
        <w:rPr>
          <w:color w:val="000000"/>
        </w:rPr>
        <w:t xml:space="preserve"> dose-determination would be minimal if the Beckman Coulter Access AMH assay were to be used for this purpose instead of the Roche Elecsys AMH</w:t>
      </w:r>
      <w:r>
        <w:rPr>
          <w:color w:val="000000"/>
          <w:spacing w:val="-10"/>
        </w:rPr>
        <w:t xml:space="preserve"> </w:t>
      </w:r>
      <w:r>
        <w:rPr>
          <w:color w:val="000000"/>
        </w:rPr>
        <w:t>assay.</w:t>
      </w:r>
    </w:p>
    <w:p w14:paraId="74B73502" w14:textId="77777777" w:rsidR="001B56F1" w:rsidRDefault="001B56F1" w:rsidP="00F254DB">
      <w:r>
        <w:t>As for the development of any new product (including other gonadotropin products), the ESTHER</w:t>
      </w:r>
      <w:r w:rsidR="000B0D1D">
        <w:t xml:space="preserve"> </w:t>
      </w:r>
      <w:r>
        <w:t xml:space="preserve">trials have not covered all possible ART settings, populations and circumstances in which </w:t>
      </w:r>
      <w:r w:rsidR="004421A0">
        <w:t>Rekovelle</w:t>
      </w:r>
      <w:r>
        <w:t xml:space="preserve"> may be used in future. To address this, statements in the proposed </w:t>
      </w:r>
      <w:r w:rsidR="004421A0">
        <w:t>Rekovelle</w:t>
      </w:r>
      <w:r>
        <w:t xml:space="preserve"> </w:t>
      </w:r>
      <w:r>
        <w:rPr>
          <w:spacing w:val="3"/>
        </w:rPr>
        <w:t xml:space="preserve">PI </w:t>
      </w:r>
      <w:r>
        <w:t xml:space="preserve">highlight not just the representativeness of the ESTHER trial results but also the limitations in extrapolating to patients or protocols not included in these studies. New trials designed to address these limitations are underway or in planning, with a view to including their findings in the </w:t>
      </w:r>
      <w:r w:rsidR="004421A0">
        <w:t>Rekovelle</w:t>
      </w:r>
      <w:r w:rsidR="000B0D1D">
        <w:t xml:space="preserve"> </w:t>
      </w:r>
      <w:r>
        <w:t>PI.</w:t>
      </w:r>
    </w:p>
    <w:p w14:paraId="337973B4" w14:textId="77777777" w:rsidR="001B56F1" w:rsidRPr="005842E4" w:rsidRDefault="001B56F1" w:rsidP="005842E4">
      <w:pPr>
        <w:pStyle w:val="ListBullet"/>
        <w:rPr>
          <w:i/>
        </w:rPr>
      </w:pPr>
      <w:r w:rsidRPr="005842E4">
        <w:rPr>
          <w:i/>
        </w:rPr>
        <w:t>Adequacy of routine pharmacovigilance with</w:t>
      </w:r>
      <w:r w:rsidRPr="005842E4">
        <w:rPr>
          <w:i/>
          <w:spacing w:val="-13"/>
        </w:rPr>
        <w:t xml:space="preserve"> </w:t>
      </w:r>
      <w:r w:rsidR="004421A0" w:rsidRPr="005842E4">
        <w:rPr>
          <w:i/>
        </w:rPr>
        <w:t>Rekovelle</w:t>
      </w:r>
    </w:p>
    <w:p w14:paraId="5558A279" w14:textId="77777777" w:rsidR="001B56F1" w:rsidRDefault="001B56F1" w:rsidP="00F254DB">
      <w:r>
        <w:t xml:space="preserve">The Delegate has asked ACPM about the adequacy of routine pharmacovigilance with </w:t>
      </w:r>
      <w:r w:rsidR="004421A0">
        <w:t>Rekovelle</w:t>
      </w:r>
      <w:r>
        <w:t xml:space="preserve"> and whether there is a need for uptake, usage (</w:t>
      </w:r>
      <w:r w:rsidR="005842E4">
        <w:t>for example,</w:t>
      </w:r>
      <w:r>
        <w:t xml:space="preserve"> off-label dosing) and outcomes to be actively monitored should the product become available in Australia.</w:t>
      </w:r>
    </w:p>
    <w:p w14:paraId="445DCCE1" w14:textId="77777777" w:rsidR="001B56F1" w:rsidRDefault="005842E4" w:rsidP="00F254DB">
      <w:r>
        <w:t>The sponsor’s</w:t>
      </w:r>
      <w:r w:rsidR="001B56F1">
        <w:t xml:space="preserve"> position is that routine monitoring is sufficient for </w:t>
      </w:r>
      <w:r w:rsidR="004421A0">
        <w:t>Rekovelle</w:t>
      </w:r>
      <w:r w:rsidR="001B56F1">
        <w:t>, as is the case in the EU. ART in Australia</w:t>
      </w:r>
      <w:r>
        <w:t xml:space="preserve"> is a well monitored discipline</w:t>
      </w:r>
      <w:r w:rsidR="001B56F1">
        <w:t xml:space="preserve"> for which treatments and outcomes are thoroughly captured in databases, most notably the Australian &amp; New Zealand Assisted Reproduction Database (ANZARD). Also, as discussed </w:t>
      </w:r>
      <w:r>
        <w:t>above</w:t>
      </w:r>
      <w:r w:rsidR="001B56F1">
        <w:t xml:space="preserve">, </w:t>
      </w:r>
      <w:r w:rsidR="0012091C">
        <w:t>‘</w:t>
      </w:r>
      <w:r w:rsidR="001B56F1">
        <w:t>off-label</w:t>
      </w:r>
      <w:r w:rsidR="0012091C">
        <w:t>’</w:t>
      </w:r>
      <w:r w:rsidR="001B56F1">
        <w:t xml:space="preserve"> starting dose</w:t>
      </w:r>
      <w:r>
        <w:t xml:space="preserve">s that lack a rigorous evidence </w:t>
      </w:r>
      <w:r w:rsidR="001B56F1">
        <w:t>base are not uncommonly used for current gonadotropins yet there has never been a need to actively monitor outcomes specifically for this practice.</w:t>
      </w:r>
    </w:p>
    <w:p w14:paraId="5D89B42B" w14:textId="77777777" w:rsidR="001B56F1" w:rsidRDefault="001B56F1" w:rsidP="00F254DB">
      <w:r>
        <w:t xml:space="preserve">Also on the matter of pharmacovigilance, the TGA Delegate has requested that two items be added the RMP proposed for Australia. </w:t>
      </w:r>
      <w:r w:rsidR="005842E4">
        <w:t>The sponsor</w:t>
      </w:r>
      <w:r>
        <w:t xml:space="preserve"> will discuss the appropriateness of this request with the Delegate should </w:t>
      </w:r>
      <w:r w:rsidR="004421A0">
        <w:t>Rekovelle</w:t>
      </w:r>
      <w:r>
        <w:t xml:space="preserve"> be recommended for approval by ACPM.</w:t>
      </w:r>
    </w:p>
    <w:p w14:paraId="06D1CD10" w14:textId="77777777" w:rsidR="001B56F1" w:rsidRDefault="001B56F1" w:rsidP="00F254DB">
      <w:pPr>
        <w:pStyle w:val="Heading5"/>
      </w:pPr>
      <w:r>
        <w:t>Questions for</w:t>
      </w:r>
      <w:r>
        <w:rPr>
          <w:spacing w:val="-13"/>
        </w:rPr>
        <w:t xml:space="preserve"> </w:t>
      </w:r>
      <w:r>
        <w:t>sponsor</w:t>
      </w:r>
    </w:p>
    <w:p w14:paraId="39B48075" w14:textId="77777777" w:rsidR="001B56F1" w:rsidRPr="005842E4" w:rsidRDefault="001B56F1" w:rsidP="0016181B">
      <w:pPr>
        <w:pStyle w:val="Numberbullet0"/>
        <w:numPr>
          <w:ilvl w:val="0"/>
          <w:numId w:val="9"/>
        </w:numPr>
        <w:rPr>
          <w:i/>
        </w:rPr>
      </w:pPr>
      <w:r w:rsidRPr="005842E4">
        <w:rPr>
          <w:i/>
        </w:rPr>
        <w:t>What is the current wording of the intended use of the Roche Elecsys AMH assay in the EU? (please provide the Instructions for</w:t>
      </w:r>
      <w:r w:rsidRPr="005842E4">
        <w:rPr>
          <w:i/>
          <w:spacing w:val="-8"/>
        </w:rPr>
        <w:t xml:space="preserve"> </w:t>
      </w:r>
      <w:r w:rsidRPr="005842E4">
        <w:rPr>
          <w:i/>
        </w:rPr>
        <w:t>Use)</w:t>
      </w:r>
    </w:p>
    <w:p w14:paraId="5CB0D155" w14:textId="77777777" w:rsidR="001B56F1" w:rsidRDefault="001B56F1" w:rsidP="00F254DB">
      <w:r>
        <w:t>The wording of the intended use of the assay in the EU is</w:t>
      </w:r>
    </w:p>
    <w:p w14:paraId="065B9900" w14:textId="77777777" w:rsidR="001B56F1" w:rsidRPr="00F254DB" w:rsidRDefault="001B56F1" w:rsidP="00F254DB">
      <w:pPr>
        <w:ind w:left="230"/>
        <w:rPr>
          <w:i/>
        </w:rPr>
      </w:pPr>
      <w:r w:rsidRPr="00F254DB">
        <w:rPr>
          <w:i/>
        </w:rPr>
        <w:t xml:space="preserve">Immunoassay for the in vitro quantitative determination of AMH in human serum and plasma. The determination of AMH is used for the assessment of the ovarian reserve and the prediction of response to COS in conjunction with other clinical and laboratory findings. In addition, the determination of AMH (in pmol/L) in combination with body weight is used for the establishment of the individual daily dose of the human recombinant follicle-stimulating hormone (rFSH) follitropin delta of Ferring (in accordance with the current prescribing information of the Ferring follitropin delta) in controlled ovarian stimulation for the development of multiple follicles in women undergoing an assisted reproductive technology program. The </w:t>
      </w:r>
      <w:proofErr w:type="spellStart"/>
      <w:r w:rsidRPr="00F254DB">
        <w:rPr>
          <w:i/>
        </w:rPr>
        <w:t>electrochemiluminescence</w:t>
      </w:r>
      <w:proofErr w:type="spellEnd"/>
      <w:r w:rsidRPr="00F254DB">
        <w:rPr>
          <w:i/>
        </w:rPr>
        <w:t xml:space="preserve"> immunoassay </w:t>
      </w:r>
      <w:r w:rsidR="0012091C" w:rsidRPr="00F254DB">
        <w:rPr>
          <w:i/>
        </w:rPr>
        <w:t>‘</w:t>
      </w:r>
      <w:r w:rsidRPr="00F254DB">
        <w:rPr>
          <w:i/>
        </w:rPr>
        <w:t>ECLIA</w:t>
      </w:r>
      <w:r w:rsidR="0012091C" w:rsidRPr="00F254DB">
        <w:rPr>
          <w:i/>
        </w:rPr>
        <w:t>’</w:t>
      </w:r>
      <w:r w:rsidRPr="00F254DB">
        <w:rPr>
          <w:i/>
        </w:rPr>
        <w:t xml:space="preserve"> is intended for use on </w:t>
      </w:r>
      <w:proofErr w:type="spellStart"/>
      <w:r w:rsidRPr="00F254DB">
        <w:rPr>
          <w:i/>
        </w:rPr>
        <w:t>Elecsys</w:t>
      </w:r>
      <w:proofErr w:type="spellEnd"/>
      <w:r w:rsidRPr="00F254DB">
        <w:rPr>
          <w:i/>
        </w:rPr>
        <w:t xml:space="preserve"> and </w:t>
      </w:r>
      <w:proofErr w:type="spellStart"/>
      <w:r w:rsidRPr="00F254DB">
        <w:rPr>
          <w:i/>
        </w:rPr>
        <w:t>cobas</w:t>
      </w:r>
      <w:proofErr w:type="spellEnd"/>
      <w:r w:rsidRPr="00F254DB">
        <w:rPr>
          <w:i/>
        </w:rPr>
        <w:t xml:space="preserve"> e immunoassay </w:t>
      </w:r>
      <w:proofErr w:type="spellStart"/>
      <w:r w:rsidRPr="00F254DB">
        <w:rPr>
          <w:i/>
        </w:rPr>
        <w:t>analyzers</w:t>
      </w:r>
      <w:proofErr w:type="spellEnd"/>
      <w:r w:rsidRPr="00F254DB">
        <w:rPr>
          <w:i/>
        </w:rPr>
        <w:t>.</w:t>
      </w:r>
    </w:p>
    <w:p w14:paraId="030956CB" w14:textId="77777777" w:rsidR="001B56F1" w:rsidRDefault="001B56F1" w:rsidP="005842E4">
      <w:pPr>
        <w:rPr>
          <w:color w:val="000000"/>
        </w:rPr>
      </w:pPr>
      <w:r>
        <w:t>The instructions f</w:t>
      </w:r>
      <w:r w:rsidR="00F254DB">
        <w:t>or use document for this assay wa</w:t>
      </w:r>
      <w:r>
        <w:t>s provided</w:t>
      </w:r>
      <w:r>
        <w:rPr>
          <w:color w:val="000000"/>
        </w:rPr>
        <w:t>.</w:t>
      </w:r>
    </w:p>
    <w:p w14:paraId="1853494B" w14:textId="77777777" w:rsidR="001B56F1" w:rsidRPr="005842E4" w:rsidRDefault="001B56F1" w:rsidP="005842E4">
      <w:pPr>
        <w:pStyle w:val="Numberbullet0"/>
        <w:rPr>
          <w:i/>
        </w:rPr>
      </w:pPr>
      <w:r w:rsidRPr="005842E4">
        <w:rPr>
          <w:i/>
        </w:rPr>
        <w:t>What is the registration status of Rekovelle in</w:t>
      </w:r>
      <w:r w:rsidRPr="005842E4">
        <w:rPr>
          <w:i/>
          <w:spacing w:val="-10"/>
        </w:rPr>
        <w:t xml:space="preserve"> </w:t>
      </w:r>
      <w:r w:rsidRPr="005842E4">
        <w:rPr>
          <w:i/>
        </w:rPr>
        <w:t>Canada?</w:t>
      </w:r>
    </w:p>
    <w:p w14:paraId="4E2F87C8" w14:textId="77777777" w:rsidR="001B56F1" w:rsidRDefault="001B56F1" w:rsidP="00F254DB">
      <w:r>
        <w:t xml:space="preserve">The marketing authorisation procedure of </w:t>
      </w:r>
      <w:r w:rsidR="004421A0">
        <w:t>Rekovelle</w:t>
      </w:r>
      <w:r>
        <w:t xml:space="preserve"> in Canada is ongoing.</w:t>
      </w:r>
    </w:p>
    <w:p w14:paraId="2AFFC7E9" w14:textId="77777777" w:rsidR="001B56F1" w:rsidRPr="00F4537B" w:rsidRDefault="001B56F1" w:rsidP="00F4537B">
      <w:pPr>
        <w:pStyle w:val="Numberbullet0"/>
        <w:rPr>
          <w:i/>
        </w:rPr>
      </w:pPr>
      <w:r w:rsidRPr="00F4537B">
        <w:rPr>
          <w:i/>
        </w:rPr>
        <w:t>What is the status of the Roche Elecsys AMH assay in Canada? And the US? (please provide the Instructions for</w:t>
      </w:r>
      <w:r w:rsidRPr="00F4537B">
        <w:rPr>
          <w:i/>
          <w:spacing w:val="-7"/>
        </w:rPr>
        <w:t xml:space="preserve"> </w:t>
      </w:r>
      <w:r w:rsidRPr="00F4537B">
        <w:rPr>
          <w:i/>
        </w:rPr>
        <w:t>Use)</w:t>
      </w:r>
    </w:p>
    <w:p w14:paraId="31A51016" w14:textId="77777777" w:rsidR="001B56F1" w:rsidRDefault="001B56F1" w:rsidP="00F254DB">
      <w:r>
        <w:t>The Roche Elecsys AMH assay is currently approved in Canada with the following intended use:</w:t>
      </w:r>
    </w:p>
    <w:p w14:paraId="2466D8B0" w14:textId="77777777" w:rsidR="001B56F1" w:rsidRPr="00F4537B" w:rsidRDefault="001B56F1" w:rsidP="00F4537B">
      <w:pPr>
        <w:ind w:left="720"/>
        <w:rPr>
          <w:i/>
        </w:rPr>
      </w:pPr>
      <w:r w:rsidRPr="00F4537B">
        <w:rPr>
          <w:i/>
        </w:rPr>
        <w:t>Immunoassay for the in vitro quantitative determination of AMH in human serum and plasma. The determination of AMH is used for the assessment of the ovarian reserve and the prediction of</w:t>
      </w:r>
      <w:r w:rsidR="000B0D1D" w:rsidRPr="00F4537B">
        <w:rPr>
          <w:i/>
        </w:rPr>
        <w:t xml:space="preserve"> </w:t>
      </w:r>
      <w:r w:rsidRPr="00F4537B">
        <w:rPr>
          <w:i/>
        </w:rPr>
        <w:t>response</w:t>
      </w:r>
      <w:r w:rsidR="00F254DB" w:rsidRPr="00F4537B">
        <w:rPr>
          <w:i/>
        </w:rPr>
        <w:t xml:space="preserve"> </w:t>
      </w:r>
      <w:r w:rsidRPr="00F4537B">
        <w:rPr>
          <w:i/>
        </w:rPr>
        <w:t xml:space="preserve">to COS in conjunction with other clinical and laboratory findings. The </w:t>
      </w:r>
      <w:proofErr w:type="spellStart"/>
      <w:r w:rsidRPr="00F4537B">
        <w:rPr>
          <w:i/>
        </w:rPr>
        <w:t>electrochemiluminescence</w:t>
      </w:r>
      <w:proofErr w:type="spellEnd"/>
      <w:r w:rsidRPr="00F4537B">
        <w:rPr>
          <w:i/>
        </w:rPr>
        <w:t xml:space="preserve"> immunoassay </w:t>
      </w:r>
      <w:r w:rsidR="0012091C" w:rsidRPr="00F4537B">
        <w:rPr>
          <w:i/>
        </w:rPr>
        <w:t>‘</w:t>
      </w:r>
      <w:r w:rsidRPr="00F4537B">
        <w:rPr>
          <w:i/>
        </w:rPr>
        <w:t>ECLIA</w:t>
      </w:r>
      <w:r w:rsidR="0012091C" w:rsidRPr="00F4537B">
        <w:rPr>
          <w:i/>
        </w:rPr>
        <w:t>’</w:t>
      </w:r>
      <w:r w:rsidRPr="00F4537B">
        <w:rPr>
          <w:i/>
        </w:rPr>
        <w:t xml:space="preserve"> is intended for use on </w:t>
      </w:r>
      <w:proofErr w:type="spellStart"/>
      <w:r w:rsidRPr="00F4537B">
        <w:rPr>
          <w:i/>
        </w:rPr>
        <w:t>Elecsys</w:t>
      </w:r>
      <w:proofErr w:type="spellEnd"/>
      <w:r w:rsidRPr="00F4537B">
        <w:rPr>
          <w:i/>
        </w:rPr>
        <w:t xml:space="preserve"> and </w:t>
      </w:r>
      <w:proofErr w:type="spellStart"/>
      <w:r w:rsidRPr="00F4537B">
        <w:rPr>
          <w:i/>
        </w:rPr>
        <w:t>cobas</w:t>
      </w:r>
      <w:proofErr w:type="spellEnd"/>
      <w:r w:rsidRPr="00F4537B">
        <w:rPr>
          <w:i/>
        </w:rPr>
        <w:t xml:space="preserve"> e immunoassay </w:t>
      </w:r>
      <w:proofErr w:type="spellStart"/>
      <w:r w:rsidRPr="00F4537B">
        <w:rPr>
          <w:i/>
        </w:rPr>
        <w:t>analyzers</w:t>
      </w:r>
      <w:proofErr w:type="spellEnd"/>
      <w:r w:rsidRPr="00F4537B">
        <w:rPr>
          <w:i/>
        </w:rPr>
        <w:t>.</w:t>
      </w:r>
    </w:p>
    <w:p w14:paraId="1893905C" w14:textId="77777777" w:rsidR="001B56F1" w:rsidRPr="00F4537B" w:rsidRDefault="001B56F1" w:rsidP="00F4537B">
      <w:r w:rsidRPr="00F4537B">
        <w:t xml:space="preserve">An extension of the intended use to include use for the determination of </w:t>
      </w:r>
      <w:r w:rsidR="004421A0" w:rsidRPr="00F4537B">
        <w:t>Rekovelle</w:t>
      </w:r>
      <w:r w:rsidRPr="00F4537B">
        <w:t xml:space="preserve"> dose</w:t>
      </w:r>
      <w:r w:rsidR="000B0D1D" w:rsidRPr="00F4537B">
        <w:t xml:space="preserve"> </w:t>
      </w:r>
      <w:r w:rsidRPr="00F4537B">
        <w:t>is currently under review by Health Canada, with approval expected in February 2017. When the extension for use is approved, the instructions for use document will be the same as that available in the EU.</w:t>
      </w:r>
    </w:p>
    <w:p w14:paraId="7015EAA4" w14:textId="77777777" w:rsidR="001B56F1" w:rsidRDefault="001B56F1" w:rsidP="00F4537B">
      <w:r w:rsidRPr="00F4537B">
        <w:t xml:space="preserve">The Elecsys AMH assay is approved in the USA but only for the determination of ovarian reserve in women presenting to fertility clinics. As </w:t>
      </w:r>
      <w:r w:rsidR="00F4537B" w:rsidRPr="00F4537B">
        <w:t>the sponsor</w:t>
      </w:r>
      <w:r w:rsidRPr="00F4537B">
        <w:t xml:space="preserve"> has not yet sought to register </w:t>
      </w:r>
      <w:r w:rsidR="004421A0" w:rsidRPr="00F4537B">
        <w:t>Rekovelle</w:t>
      </w:r>
      <w:r w:rsidRPr="00F4537B">
        <w:t xml:space="preserve"> in the</w:t>
      </w:r>
      <w:r>
        <w:t xml:space="preserve"> USA there is no immediate plan to extend the intended use of the assay in that country to include the determination of </w:t>
      </w:r>
      <w:r w:rsidR="004421A0">
        <w:t>Rekovelle</w:t>
      </w:r>
      <w:r>
        <w:t xml:space="preserve"> dose.</w:t>
      </w:r>
    </w:p>
    <w:p w14:paraId="13D791E3" w14:textId="77777777" w:rsidR="001B56F1" w:rsidRDefault="001B56F1" w:rsidP="00F254DB">
      <w:pPr>
        <w:pStyle w:val="Heading5"/>
      </w:pPr>
      <w:r>
        <w:t>Conclusion</w:t>
      </w:r>
    </w:p>
    <w:p w14:paraId="50047221" w14:textId="77777777" w:rsidR="001B56F1" w:rsidRDefault="001B56F1" w:rsidP="00F254DB">
      <w:r>
        <w:t>The primary evidence supporting the registration</w:t>
      </w:r>
      <w:r w:rsidR="000B0D1D">
        <w:t xml:space="preserve"> </w:t>
      </w:r>
      <w:r>
        <w:t xml:space="preserve">of </w:t>
      </w:r>
      <w:r w:rsidR="004421A0">
        <w:t>Rekovelle</w:t>
      </w:r>
      <w:r w:rsidR="000B0D1D">
        <w:t xml:space="preserve"> </w:t>
      </w:r>
      <w:r>
        <w:t xml:space="preserve">comes from the ESTHER trials. While it would be unreasonable to expect these trials to accommodate all possible ART protocols and patient types, </w:t>
      </w:r>
      <w:r w:rsidR="00F4537B">
        <w:t>the sponsor</w:t>
      </w:r>
      <w:r>
        <w:t xml:space="preserve"> maintains that the main design elements of the trials and th</w:t>
      </w:r>
      <w:r w:rsidR="00F4537B">
        <w:t xml:space="preserve">e clinical trial outcomes align </w:t>
      </w:r>
      <w:r>
        <w:t>well with Australian clinical practice and that the Roche Elecsys AMH assay can be expected to perform in a similar manner in Australian facilities as it did in the ESTHER</w:t>
      </w:r>
      <w:r>
        <w:rPr>
          <w:spacing w:val="-5"/>
        </w:rPr>
        <w:t xml:space="preserve"> </w:t>
      </w:r>
      <w:r>
        <w:t>trials</w:t>
      </w:r>
    </w:p>
    <w:p w14:paraId="559B2C76" w14:textId="77777777" w:rsidR="001B56F1" w:rsidRDefault="001B56F1" w:rsidP="00F254DB">
      <w:r>
        <w:t xml:space="preserve">In the first-cycle of use, the dose of </w:t>
      </w:r>
      <w:r w:rsidR="004421A0">
        <w:t>Rekovelle</w:t>
      </w:r>
      <w:r>
        <w:t xml:space="preserve"> is individualised according to women’s ovarian reserve, as measured by a serum AMH concentration and body weight. The ESTHER-1 programme established that, with this fixed-dose regimen, </w:t>
      </w:r>
      <w:r w:rsidR="004421A0">
        <w:t>Rekovelle</w:t>
      </w:r>
      <w:r>
        <w:t xml:space="preserve"> provides similar efficacy to follitropin alfa but is associated with less risk of OHSS than the existing product. </w:t>
      </w:r>
      <w:r w:rsidR="00F4537B">
        <w:t>The sponsor</w:t>
      </w:r>
      <w:r>
        <w:t xml:space="preserve"> contends that the clinical outcomes of the ESTHER programme, including the relative efficacy and safety of </w:t>
      </w:r>
      <w:r w:rsidR="004421A0">
        <w:t>Rekovelle</w:t>
      </w:r>
      <w:r>
        <w:t xml:space="preserve"> to follitropin alfa is generalisable to the majority of women undergoing ART in Australia.</w:t>
      </w:r>
    </w:p>
    <w:p w14:paraId="3D0587DB" w14:textId="77777777" w:rsidR="001B56F1" w:rsidRDefault="001B56F1" w:rsidP="00F254DB">
      <w:r>
        <w:t xml:space="preserve">The registration and availability of </w:t>
      </w:r>
      <w:r w:rsidR="004421A0">
        <w:t>Rekovelle</w:t>
      </w:r>
      <w:r>
        <w:t xml:space="preserve"> in Australia would provide local fertility specialists access to a novel recombinant FSH product derived from a human cell line. </w:t>
      </w:r>
      <w:r w:rsidR="004421A0">
        <w:t>Rekovelle</w:t>
      </w:r>
      <w:r>
        <w:t xml:space="preserve"> use with a personalised dosage regimen is supported by a rigorous evidence-base, unlike the situation with current gonadotrophins, for which doses may be based on age and a measure of ovarian reserve but without evidence to support such practice and in contravention to the PI documents for these products.</w:t>
      </w:r>
    </w:p>
    <w:p w14:paraId="18399FFF" w14:textId="77777777" w:rsidR="008E7846" w:rsidRDefault="008E7846" w:rsidP="008E7846">
      <w:pPr>
        <w:pStyle w:val="Heading4"/>
      </w:pPr>
      <w:r>
        <w:t>Advisory Committee Considerations</w:t>
      </w:r>
    </w:p>
    <w:p w14:paraId="75BBBF64" w14:textId="77777777" w:rsidR="001B56F1" w:rsidRDefault="001B56F1" w:rsidP="00F4537B">
      <w:pPr>
        <w:rPr>
          <w:b/>
          <w:bCs/>
        </w:rPr>
      </w:pPr>
      <w:bookmarkStart w:id="202" w:name="_Toc247691532"/>
      <w:bookmarkStart w:id="203" w:name="_Toc314842516"/>
      <w:bookmarkEnd w:id="100"/>
      <w:bookmarkEnd w:id="199"/>
      <w:bookmarkEnd w:id="200"/>
      <w:r>
        <w:t xml:space="preserve">The ACM, taking into account the submitted evidence of efficacy, safety and quality, considered </w:t>
      </w:r>
      <w:r w:rsidR="004421A0">
        <w:t>Rekovelle</w:t>
      </w:r>
      <w:r>
        <w:t xml:space="preserve"> solution for injection containing 12 µg/0.36 mL; 36 µg/1.08 mL; 72 µg/2.16 mL of follitropin delta are of the opinion that there is an overall positive benefit–risk profile for the indication</w:t>
      </w:r>
      <w:r>
        <w:rPr>
          <w:b/>
          <w:bCs/>
        </w:rPr>
        <w:t>;</w:t>
      </w:r>
    </w:p>
    <w:p w14:paraId="3EAA63A7" w14:textId="77777777" w:rsidR="001B56F1" w:rsidRPr="00B86213" w:rsidRDefault="004421A0" w:rsidP="00B86213">
      <w:pPr>
        <w:ind w:left="720"/>
        <w:rPr>
          <w:i/>
        </w:rPr>
      </w:pPr>
      <w:r w:rsidRPr="00B86213">
        <w:rPr>
          <w:bCs/>
          <w:i/>
          <w:iCs/>
        </w:rPr>
        <w:t>Rekovelle</w:t>
      </w:r>
      <w:r w:rsidR="001B56F1" w:rsidRPr="00B86213">
        <w:rPr>
          <w:bCs/>
          <w:i/>
          <w:iCs/>
        </w:rPr>
        <w:t xml:space="preserve"> is indicated for c</w:t>
      </w:r>
      <w:r w:rsidR="001B56F1" w:rsidRPr="00B86213">
        <w:rPr>
          <w:i/>
        </w:rPr>
        <w:t>ontrolled ovarian stimulation for the development of multiple follicles in women undergoing assisted reproductive technologies such as IVF or ICSI</w:t>
      </w:r>
      <w:r w:rsidR="00B86213">
        <w:rPr>
          <w:i/>
        </w:rPr>
        <w:t>.</w:t>
      </w:r>
    </w:p>
    <w:p w14:paraId="29BDCF1E" w14:textId="6A47BF4B" w:rsidR="001B56F1" w:rsidRDefault="001B56F1" w:rsidP="00F4537B">
      <w:pPr>
        <w:pStyle w:val="Heading5"/>
      </w:pPr>
      <w:r>
        <w:t xml:space="preserve">Specific </w:t>
      </w:r>
      <w:r w:rsidR="00CE42F6">
        <w:t>a</w:t>
      </w:r>
      <w:r>
        <w:t>dvice</w:t>
      </w:r>
    </w:p>
    <w:p w14:paraId="71BF7661" w14:textId="77777777" w:rsidR="001B56F1" w:rsidRDefault="001B56F1" w:rsidP="001B56F1">
      <w:r>
        <w:t>The ACM advised th</w:t>
      </w:r>
      <w:r w:rsidR="00B86213">
        <w:t>e following in response to the D</w:t>
      </w:r>
      <w:r>
        <w:t>elegate’s specific questions on this submission:</w:t>
      </w:r>
    </w:p>
    <w:p w14:paraId="592D6830" w14:textId="77777777" w:rsidR="001B56F1" w:rsidRDefault="001B56F1" w:rsidP="001B56F1">
      <w:pPr>
        <w:rPr>
          <w:i/>
          <w:iCs/>
        </w:rPr>
      </w:pPr>
      <w:r>
        <w:rPr>
          <w:i/>
          <w:iCs/>
        </w:rPr>
        <w:t>Please comment on the applicability/relevance of the pre-market studies to Australian clinical</w:t>
      </w:r>
      <w:r>
        <w:rPr>
          <w:i/>
          <w:iCs/>
          <w:spacing w:val="-15"/>
        </w:rPr>
        <w:t xml:space="preserve"> </w:t>
      </w:r>
      <w:r>
        <w:rPr>
          <w:i/>
          <w:iCs/>
        </w:rPr>
        <w:t>practice</w:t>
      </w:r>
    </w:p>
    <w:p w14:paraId="3E02EA81" w14:textId="77777777" w:rsidR="001B56F1" w:rsidRDefault="001B56F1" w:rsidP="001B56F1">
      <w:r>
        <w:t xml:space="preserve">The ACM advised that in the Australian context most IVF specialists have several options in their choice of medication and dose. The applicability or relevance of the pre –market studies to Australian clinical practice is difficult to predict because of these options. The ACM noted that the </w:t>
      </w:r>
      <w:r w:rsidR="00B86213">
        <w:t>s</w:t>
      </w:r>
      <w:r>
        <w:t xml:space="preserve">ponsor wishes to refer to a specific assay to determine AMH levels. The ACM considered care should be taken to ensure practitioners are aware of the assay(s) that the </w:t>
      </w:r>
      <w:r w:rsidR="005219CC">
        <w:t>Rekovelle</w:t>
      </w:r>
      <w:r>
        <w:t xml:space="preserve"> dosing algorithm has been validated with.</w:t>
      </w:r>
    </w:p>
    <w:p w14:paraId="10EB3461" w14:textId="77777777" w:rsidR="001B56F1" w:rsidRDefault="001B56F1" w:rsidP="001B56F1">
      <w:pPr>
        <w:rPr>
          <w:i/>
          <w:iCs/>
        </w:rPr>
      </w:pPr>
      <w:r>
        <w:rPr>
          <w:i/>
          <w:iCs/>
        </w:rPr>
        <w:t>Is routine pharmacovigilance adequate? Or should uptake, usage (</w:t>
      </w:r>
      <w:r w:rsidR="00B86213">
        <w:rPr>
          <w:i/>
          <w:iCs/>
        </w:rPr>
        <w:t>for example,</w:t>
      </w:r>
      <w:r>
        <w:rPr>
          <w:i/>
          <w:iCs/>
        </w:rPr>
        <w:t xml:space="preserve"> off-label dosing), and outcomes be actively monitored in routine clinical practice in Australia</w:t>
      </w:r>
    </w:p>
    <w:p w14:paraId="2A4514BA" w14:textId="77777777" w:rsidR="001B56F1" w:rsidRDefault="001B56F1" w:rsidP="001B56F1">
      <w:r>
        <w:t>The ACM advised that in Australia, individualised dosing algorithms based on advice from the PI and clinician’s judgements (which may include age, AMH and previous treatments) are used. The ACM also advised that Assisted Reproductive Technology (ART) in Australia is a well monitored discipline, for which treatments are thoroughly captured in notable databases including ‘off–label’ starting doses commonly used for current gonadotropins, and subsequently, there was little need for further active monitoring.</w:t>
      </w:r>
    </w:p>
    <w:p w14:paraId="3738F2D8" w14:textId="77777777" w:rsidR="001B56F1" w:rsidRDefault="001B56F1" w:rsidP="001B56F1">
      <w:r>
        <w:t>The ACM noted the comments from the n</w:t>
      </w:r>
      <w:r w:rsidR="00B86213">
        <w:t>on-clinical evaluator that the s</w:t>
      </w:r>
      <w:r>
        <w:t xml:space="preserve">ponsor had not </w:t>
      </w:r>
      <w:r w:rsidR="00B86213">
        <w:t>changed the Pregnancy C</w:t>
      </w:r>
      <w:r>
        <w:t xml:space="preserve">ategory from C to D nor made other revisions to the PI around use in pregnancy. The ACM recommended that the Pregnancy Category and advice for </w:t>
      </w:r>
      <w:r w:rsidR="004421A0">
        <w:t>Rekovelle</w:t>
      </w:r>
      <w:r w:rsidR="00B86213">
        <w:t xml:space="preserve"> should be C</w:t>
      </w:r>
      <w:r>
        <w:t>ategory D and in line with other recombinant FSH products.</w:t>
      </w:r>
    </w:p>
    <w:p w14:paraId="1EC9290E" w14:textId="77777777" w:rsidR="001B56F1" w:rsidRPr="00B35FEF" w:rsidRDefault="001B56F1" w:rsidP="001B56F1">
      <w:r w:rsidRPr="00B35FEF">
        <w:t>The ACM advi</w:t>
      </w:r>
      <w:r w:rsidR="00B86213" w:rsidRPr="00B35FEF">
        <w:t>sed that implementation by the s</w:t>
      </w:r>
      <w:r w:rsidRPr="00B35FEF">
        <w:t>ponsor of the recommendations outlined above to the satisfaction of the TGA, in addition to the evidence of efficacy and safety provided would support the safe and effective use of these products.</w:t>
      </w:r>
    </w:p>
    <w:p w14:paraId="2638B6BC" w14:textId="77777777" w:rsidR="008E7846" w:rsidRPr="00B35FEF" w:rsidRDefault="008E7846" w:rsidP="001B56F1">
      <w:pPr>
        <w:pStyle w:val="Heading3"/>
      </w:pPr>
      <w:bookmarkStart w:id="204" w:name="_Toc497744278"/>
      <w:r w:rsidRPr="00B35FEF">
        <w:t>Outcome</w:t>
      </w:r>
      <w:bookmarkEnd w:id="202"/>
      <w:bookmarkEnd w:id="203"/>
      <w:bookmarkEnd w:id="204"/>
    </w:p>
    <w:p w14:paraId="68C70A0F" w14:textId="77777777" w:rsidR="00B86213" w:rsidRDefault="00D23139" w:rsidP="00B35FEF">
      <w:bookmarkStart w:id="205" w:name="_Toc247691533"/>
      <w:bookmarkStart w:id="206" w:name="_Toc314842517"/>
      <w:r w:rsidRPr="00B35FEF">
        <w:t xml:space="preserve">Based on a review of quality, safety and efficacy, TGA approved the registration of </w:t>
      </w:r>
      <w:r w:rsidR="00B86213" w:rsidRPr="00B35FEF">
        <w:t>Rekovelle follitropin delta (rhu) 12 µg/0.36 mL solution for injection glass cartridge with rubber</w:t>
      </w:r>
      <w:r w:rsidR="00B86213" w:rsidRPr="00B35FEF">
        <w:rPr>
          <w:spacing w:val="-13"/>
        </w:rPr>
        <w:t xml:space="preserve"> </w:t>
      </w:r>
      <w:r w:rsidR="00B86213" w:rsidRPr="00B35FEF">
        <w:t>plunger; Rekovelle follitropin delta (rhu) 36 µg /1.08 mL solution for injection</w:t>
      </w:r>
      <w:r w:rsidR="00B86213" w:rsidRPr="00B35FEF">
        <w:rPr>
          <w:spacing w:val="-31"/>
        </w:rPr>
        <w:t xml:space="preserve"> </w:t>
      </w:r>
      <w:r w:rsidR="00B86213" w:rsidRPr="00B35FEF">
        <w:t>glass cartridge with rubber</w:t>
      </w:r>
      <w:r w:rsidR="00B86213" w:rsidRPr="00B35FEF">
        <w:rPr>
          <w:spacing w:val="-13"/>
        </w:rPr>
        <w:t xml:space="preserve"> </w:t>
      </w:r>
      <w:r w:rsidR="00B86213" w:rsidRPr="00B35FEF">
        <w:t>plunger</w:t>
      </w:r>
      <w:r w:rsidR="00B86213">
        <w:t xml:space="preserve"> and Rekovelle follitropin delta (rhu) 72 µg /2.16 mL solution for injection</w:t>
      </w:r>
      <w:r w:rsidR="00B86213">
        <w:rPr>
          <w:spacing w:val="-31"/>
        </w:rPr>
        <w:t xml:space="preserve"> </w:t>
      </w:r>
      <w:r w:rsidR="00B86213">
        <w:t>glass cartridge with rubber</w:t>
      </w:r>
      <w:r w:rsidR="00B86213">
        <w:rPr>
          <w:spacing w:val="-12"/>
        </w:rPr>
        <w:t xml:space="preserve"> </w:t>
      </w:r>
      <w:r w:rsidR="00B86213">
        <w:t>plunger indicated for:</w:t>
      </w:r>
    </w:p>
    <w:p w14:paraId="36D9D165" w14:textId="77777777" w:rsidR="00B86213" w:rsidRPr="00B86213" w:rsidRDefault="00B86213" w:rsidP="00B86213">
      <w:pPr>
        <w:ind w:left="720"/>
        <w:rPr>
          <w:i/>
        </w:rPr>
      </w:pPr>
      <w:r w:rsidRPr="00B86213">
        <w:rPr>
          <w:i/>
        </w:rPr>
        <w:t>Controlled ovarian stimulation for the development of multiple follicles in women undergoing assisted reproductive technologies (ART) such as an in vitro fertilisation (IVF) or intracytoplasmic sperm injection (ICSI) cycle</w:t>
      </w:r>
      <w:r w:rsidR="00B35FEF">
        <w:rPr>
          <w:i/>
        </w:rPr>
        <w:t>.</w:t>
      </w:r>
    </w:p>
    <w:p w14:paraId="5D42D167" w14:textId="77777777" w:rsidR="00D23139" w:rsidRPr="00D23139" w:rsidRDefault="00D23139" w:rsidP="00D23139">
      <w:pPr>
        <w:pStyle w:val="Heading4"/>
      </w:pPr>
      <w:r w:rsidRPr="00D23139">
        <w:t>Specific conditions of registration applying to these goods</w:t>
      </w:r>
    </w:p>
    <w:p w14:paraId="676841B8" w14:textId="77777777" w:rsidR="00B86213" w:rsidRPr="00B86213" w:rsidRDefault="00B86213" w:rsidP="00B86213">
      <w:pPr>
        <w:pStyle w:val="ListBullet"/>
      </w:pPr>
      <w:r>
        <w:t>T</w:t>
      </w:r>
      <w:r w:rsidRPr="00B86213">
        <w:t>he R</w:t>
      </w:r>
      <w:r>
        <w:t>ekovelle</w:t>
      </w:r>
      <w:r w:rsidRPr="00B86213">
        <w:t xml:space="preserve"> follitropin delta (rhu) EU Risk Management Plan (RMP), version 3.0, dated 6 September </w:t>
      </w:r>
      <w:r w:rsidRPr="00B86213">
        <w:rPr>
          <w:spacing w:val="-3"/>
        </w:rPr>
        <w:t xml:space="preserve">2016 </w:t>
      </w:r>
      <w:r w:rsidRPr="00B86213">
        <w:t>(data lock point 2 July 2015) with Australian Specific Annex, version 4.0, dated 24 November 2016, which must be revised to be consistent with pregnancy category D and including distribution of a Dear Health Care Professional letter (as below), and any subsequent revisions, as agreed with the TGA will be implemented in</w:t>
      </w:r>
      <w:r w:rsidRPr="00B86213">
        <w:rPr>
          <w:spacing w:val="-12"/>
        </w:rPr>
        <w:t xml:space="preserve"> </w:t>
      </w:r>
      <w:r w:rsidRPr="00B86213">
        <w:t>Australia.</w:t>
      </w:r>
    </w:p>
    <w:p w14:paraId="25AE1FDD" w14:textId="77777777" w:rsidR="00B86213" w:rsidRDefault="00B86213" w:rsidP="00B86213">
      <w:pPr>
        <w:pStyle w:val="ListBullet"/>
      </w:pPr>
      <w:r>
        <w:t>A Dear Health Care Professional (DHCP) letter addressing the need to use the specified Roche ElecSys AMH Assay for dose selection must be distributed to fertility specialists/clinics prior to supply.</w:t>
      </w:r>
    </w:p>
    <w:p w14:paraId="240929F8" w14:textId="77777777" w:rsidR="00B86213" w:rsidRDefault="00B86213" w:rsidP="00B86213">
      <w:pPr>
        <w:pStyle w:val="ListBullet"/>
      </w:pPr>
      <w:r>
        <w:t>The Consumer Medicines Information and Instructions for Use must be supplied to the patient with the product.</w:t>
      </w:r>
    </w:p>
    <w:p w14:paraId="0E9BC9EA" w14:textId="77777777" w:rsidR="00B35FEF" w:rsidRDefault="00B35FEF" w:rsidP="00B35FEF">
      <w:pPr>
        <w:pStyle w:val="ListBullet"/>
      </w:pPr>
      <w:r>
        <w:t>Batch Release</w:t>
      </w:r>
      <w:r>
        <w:rPr>
          <w:spacing w:val="-8"/>
        </w:rPr>
        <w:t xml:space="preserve"> </w:t>
      </w:r>
      <w:r>
        <w:t>Testing:</w:t>
      </w:r>
    </w:p>
    <w:p w14:paraId="099DE00A" w14:textId="77777777" w:rsidR="00B35FEF" w:rsidRDefault="00B35FEF" w:rsidP="00B35FEF">
      <w:pPr>
        <w:pStyle w:val="BodyText"/>
        <w:kinsoku w:val="0"/>
        <w:overflowPunct w:val="0"/>
        <w:spacing w:before="121"/>
        <w:ind w:left="360" w:right="217" w:firstLine="0"/>
        <w:rPr>
          <w:rFonts w:ascii="Cambria" w:hAnsi="Cambria" w:cs="Cambria"/>
        </w:rPr>
      </w:pPr>
      <w:r>
        <w:rPr>
          <w:rFonts w:ascii="Cambria" w:hAnsi="Cambria" w:cs="Cambria"/>
        </w:rPr>
        <w:t>All batches of Rekovelle imported into/manufactured in Australia must comply with the product details and specifications approved during evaluation and detailed in the Certified Product Details (CPD).</w:t>
      </w:r>
    </w:p>
    <w:p w14:paraId="08A8A4CC" w14:textId="77777777" w:rsidR="008E7846" w:rsidRDefault="00A80B5B" w:rsidP="00D23139">
      <w:pPr>
        <w:pStyle w:val="Heading2"/>
      </w:pPr>
      <w:bookmarkStart w:id="207" w:name="_Toc497744279"/>
      <w:r>
        <w:t xml:space="preserve">Attachment 1. </w:t>
      </w:r>
      <w:r w:rsidR="008E7846">
        <w:t xml:space="preserve">Product </w:t>
      </w:r>
      <w:r w:rsidR="00AA0ED0">
        <w:t>I</w:t>
      </w:r>
      <w:r w:rsidR="008E7846">
        <w:t>nformation</w:t>
      </w:r>
      <w:bookmarkEnd w:id="205"/>
      <w:bookmarkEnd w:id="206"/>
      <w:bookmarkEnd w:id="207"/>
    </w:p>
    <w:p w14:paraId="48C6CC53" w14:textId="77777777" w:rsidR="00C80137" w:rsidRDefault="006136D7" w:rsidP="00C80137">
      <w:pPr>
        <w:rPr>
          <w:color w:val="000000"/>
          <w:lang w:eastAsia="en-AU"/>
        </w:rPr>
      </w:pPr>
      <w:r w:rsidRPr="002B3624">
        <w:t xml:space="preserve">The </w:t>
      </w:r>
      <w:r>
        <w:t>PI</w:t>
      </w:r>
      <w:r w:rsidRPr="002B3624">
        <w:t xml:space="preserve"> for </w:t>
      </w:r>
      <w:r w:rsidR="00B86213">
        <w:t>Rekovelle</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3" w:history="1">
        <w:r w:rsidR="007C6B9B" w:rsidRPr="007C6B9B">
          <w:rPr>
            <w:rStyle w:val="Hyperlink"/>
          </w:rPr>
          <w:t>https://www.tga.gov.au/product-information-pi</w:t>
        </w:r>
      </w:hyperlink>
      <w:r w:rsidR="00B86213">
        <w:t>&gt;.</w:t>
      </w:r>
    </w:p>
    <w:p w14:paraId="0D99580F" w14:textId="77777777" w:rsidR="00C80137" w:rsidRDefault="00C80137" w:rsidP="00C80137">
      <w:pPr>
        <w:pStyle w:val="Heading2"/>
        <w:rPr>
          <w:lang w:eastAsia="en-AU"/>
        </w:rPr>
      </w:pPr>
      <w:bookmarkStart w:id="208" w:name="_Toc497744280"/>
      <w:r>
        <w:rPr>
          <w:lang w:eastAsia="en-AU"/>
        </w:rPr>
        <w:t>Attachment 2.</w:t>
      </w:r>
      <w:r w:rsidR="00A80B5B">
        <w:rPr>
          <w:lang w:eastAsia="en-AU"/>
        </w:rPr>
        <w:t xml:space="preserve"> </w:t>
      </w:r>
      <w:r>
        <w:rPr>
          <w:lang w:eastAsia="en-AU"/>
        </w:rPr>
        <w:t>Extract from the Clinical Evaluation Report</w:t>
      </w:r>
      <w:bookmarkEnd w:id="208"/>
    </w:p>
    <w:p w14:paraId="4ED3EB00" w14:textId="77777777" w:rsidR="00291957" w:rsidRDefault="00291957" w:rsidP="00B86213">
      <w:pPr>
        <w:autoSpaceDE w:val="0"/>
        <w:autoSpaceDN w:val="0"/>
        <w:adjustRightInd w:val="0"/>
        <w:spacing w:after="0"/>
        <w:rPr>
          <w:lang w:eastAsia="ja-JP"/>
        </w:rPr>
      </w:pPr>
    </w:p>
    <w:p w14:paraId="32EB37A4" w14:textId="77777777" w:rsidR="00C80137" w:rsidRPr="001D043B" w:rsidRDefault="00C80137" w:rsidP="003A7F6C">
      <w:pPr>
        <w:pStyle w:val="TableTitle"/>
        <w:sectPr w:rsidR="00C80137" w:rsidRPr="001D043B" w:rsidSect="00B452CE">
          <w:headerReference w:type="even" r:id="rId24"/>
          <w:headerReference w:type="default" r:id="rId25"/>
          <w:headerReference w:type="first" r:id="rId26"/>
          <w:footerReference w:type="first" r:id="rId2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07D4A6F" w14:textId="77777777" w:rsidTr="00A05FA4">
        <w:trPr>
          <w:trHeight w:hRule="exact" w:val="704"/>
        </w:trPr>
        <w:tc>
          <w:tcPr>
            <w:tcW w:w="9175" w:type="dxa"/>
          </w:tcPr>
          <w:p w14:paraId="04C263DA" w14:textId="77777777" w:rsidR="001C32CD" w:rsidRPr="00487162" w:rsidRDefault="001C32CD" w:rsidP="00A05FA4">
            <w:pPr>
              <w:pStyle w:val="TGASignoff"/>
            </w:pPr>
            <w:r w:rsidRPr="00487162">
              <w:t>Therapeutic Goods Administration</w:t>
            </w:r>
          </w:p>
        </w:tc>
      </w:tr>
      <w:tr w:rsidR="001C32CD" w:rsidRPr="004C239D" w14:paraId="6D6142C5" w14:textId="77777777" w:rsidTr="00A05FA4">
        <w:trPr>
          <w:trHeight w:val="1221"/>
        </w:trPr>
        <w:tc>
          <w:tcPr>
            <w:tcW w:w="9175" w:type="dxa"/>
            <w:tcMar>
              <w:top w:w="28" w:type="dxa"/>
            </w:tcMar>
          </w:tcPr>
          <w:p w14:paraId="519D4C8E" w14:textId="77777777" w:rsidR="001C32CD" w:rsidRPr="00487162" w:rsidRDefault="001C32CD" w:rsidP="00A05FA4">
            <w:pPr>
              <w:pStyle w:val="Address"/>
            </w:pPr>
            <w:r w:rsidRPr="00487162">
              <w:t>PO Box 100 Woden ACT 2606 Australia</w:t>
            </w:r>
          </w:p>
          <w:p w14:paraId="1A8EC153" w14:textId="77777777" w:rsidR="001C32CD" w:rsidRPr="00487162" w:rsidRDefault="001C32CD" w:rsidP="00A05FA4">
            <w:pPr>
              <w:pStyle w:val="Address"/>
            </w:pPr>
            <w:r w:rsidRPr="00487162">
              <w:t xml:space="preserve">Email: </w:t>
            </w:r>
            <w:hyperlink r:id="rId28" w:history="1">
              <w:r w:rsidRPr="004C239D">
                <w:rPr>
                  <w:rStyle w:val="Hyperlink"/>
                </w:rPr>
                <w:t>info@tga.gov.au</w:t>
              </w:r>
            </w:hyperlink>
            <w:r w:rsidR="000B0D1D">
              <w:t xml:space="preserve"> </w:t>
            </w:r>
            <w:r w:rsidRPr="00487162">
              <w:t>Phone: 1800 020 653</w:t>
            </w:r>
            <w:r w:rsidR="000B0D1D">
              <w:t xml:space="preserve"> </w:t>
            </w:r>
            <w:r w:rsidRPr="00487162">
              <w:t>Fax: 02 6232 8605</w:t>
            </w:r>
          </w:p>
          <w:p w14:paraId="719B498B" w14:textId="77777777" w:rsidR="001C32CD" w:rsidRPr="004C239D" w:rsidRDefault="000959D7" w:rsidP="00A05FA4">
            <w:pPr>
              <w:pStyle w:val="Address"/>
              <w:spacing w:line="260" w:lineRule="atLeast"/>
              <w:rPr>
                <w:b/>
                <w:color w:val="0000FF"/>
                <w:u w:val="single"/>
              </w:rPr>
            </w:pPr>
            <w:hyperlink r:id="rId29" w:history="1">
              <w:r w:rsidR="007C6B9B" w:rsidRPr="007C6B9B">
                <w:rPr>
                  <w:rStyle w:val="Hyperlink"/>
                  <w:b/>
                </w:rPr>
                <w:t>https://www.tga.gov.au</w:t>
              </w:r>
            </w:hyperlink>
          </w:p>
        </w:tc>
      </w:tr>
    </w:tbl>
    <w:p w14:paraId="474B6159" w14:textId="77777777" w:rsidR="00774E1D" w:rsidRPr="008A5E0B" w:rsidRDefault="00774E1D" w:rsidP="004C239D"/>
    <w:sectPr w:rsidR="00774E1D" w:rsidRPr="008A5E0B" w:rsidSect="001C32CD">
      <w:headerReference w:type="even" r:id="rId30"/>
      <w:headerReference w:type="default" r:id="rId31"/>
      <w:footerReference w:type="default" r:id="rId32"/>
      <w:headerReference w:type="first" r:id="rId33"/>
      <w:footerReference w:type="first" r:id="rId34"/>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233988" w15:done="0"/>
  <w15:commentEx w15:paraId="584BDB7E" w15:done="0"/>
  <w15:commentEx w15:paraId="2A39022D" w15:done="0"/>
  <w15:commentEx w15:paraId="23177192" w15:done="0"/>
  <w15:commentEx w15:paraId="434CC65D" w15:done="0"/>
  <w15:commentEx w15:paraId="666735BF" w15:done="0"/>
  <w15:commentEx w15:paraId="0545282E" w15:done="0"/>
  <w15:commentEx w15:paraId="586CE8C0" w15:done="0"/>
  <w15:commentEx w15:paraId="71866234" w15:done="0"/>
  <w15:commentEx w15:paraId="1B3B2865" w15:done="0"/>
  <w15:commentEx w15:paraId="5A042D02" w15:done="0"/>
  <w15:commentEx w15:paraId="70B1BD73" w15:done="0"/>
  <w15:commentEx w15:paraId="1F6F0130" w15:done="0"/>
  <w15:commentEx w15:paraId="12DF54B0" w15:done="0"/>
  <w15:commentEx w15:paraId="5AEE1788" w15:done="0"/>
  <w15:commentEx w15:paraId="037009A4" w15:done="0"/>
  <w15:commentEx w15:paraId="700AED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8B9D17" w14:textId="77777777" w:rsidR="000959D7" w:rsidRDefault="000959D7" w:rsidP="00C40A36">
      <w:pPr>
        <w:spacing w:after="0"/>
      </w:pPr>
      <w:r>
        <w:separator/>
      </w:r>
    </w:p>
  </w:endnote>
  <w:endnote w:type="continuationSeparator" w:id="0">
    <w:p w14:paraId="2FA6C723" w14:textId="77777777" w:rsidR="000959D7" w:rsidRDefault="000959D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83" w:usb1="08070000" w:usb2="00000010" w:usb3="00000000" w:csb0="00020009" w:csb1="00000000"/>
  </w:font>
  <w:font w:name="TimesNewRoman,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959D7" w:rsidRPr="00487162" w14:paraId="640D84A5" w14:textId="77777777" w:rsidTr="00DB750B">
      <w:trPr>
        <w:trHeight w:val="269"/>
      </w:trPr>
      <w:tc>
        <w:tcPr>
          <w:tcW w:w="7371" w:type="dxa"/>
          <w:tcMar>
            <w:top w:w="142" w:type="dxa"/>
            <w:bottom w:w="0" w:type="dxa"/>
          </w:tcMar>
        </w:tcPr>
        <w:p w14:paraId="56D7767A" w14:textId="67C0923C" w:rsidR="000959D7" w:rsidRPr="00487162" w:rsidRDefault="000959D7" w:rsidP="00657B42">
          <w:pPr>
            <w:pStyle w:val="Footer"/>
          </w:pPr>
          <w:r w:rsidRPr="00487162">
            <w:t>AusPA</w:t>
          </w:r>
          <w:r>
            <w:t>R Rekovelle Follitropin delta</w:t>
          </w:r>
          <w:r w:rsidRPr="00436314">
            <w:t xml:space="preserve"> (rhu) </w:t>
          </w:r>
          <w:r>
            <w:t xml:space="preserve">Ferring Pharmaceuticals Pty Ltd </w:t>
          </w:r>
          <w:r w:rsidRPr="00436314">
            <w:t>PM-2015-04337-1-5</w:t>
          </w:r>
          <w:r>
            <w:br/>
            <w:t>Final 25 October 2017</w:t>
          </w:r>
        </w:p>
      </w:tc>
      <w:tc>
        <w:tcPr>
          <w:tcW w:w="1490" w:type="dxa"/>
          <w:tcMar>
            <w:top w:w="142" w:type="dxa"/>
            <w:bottom w:w="0" w:type="dxa"/>
          </w:tcMar>
        </w:tcPr>
        <w:p w14:paraId="22E91D15" w14:textId="77777777" w:rsidR="000959D7" w:rsidRPr="00487162" w:rsidRDefault="000959D7" w:rsidP="00DB750B">
          <w:pPr>
            <w:pStyle w:val="Footer"/>
            <w:jc w:val="right"/>
          </w:pPr>
          <w:r w:rsidRPr="00487162">
            <w:t xml:space="preserve">Page </w:t>
          </w:r>
          <w:r>
            <w:fldChar w:fldCharType="begin"/>
          </w:r>
          <w:r>
            <w:instrText xml:space="preserve"> PAGE  \* Arabic </w:instrText>
          </w:r>
          <w:r>
            <w:fldChar w:fldCharType="separate"/>
          </w:r>
          <w:r w:rsidR="00CE42F6">
            <w:rPr>
              <w:noProof/>
            </w:rPr>
            <w:t>3</w:t>
          </w:r>
          <w:r>
            <w:fldChar w:fldCharType="end"/>
          </w:r>
          <w:r w:rsidRPr="00487162">
            <w:t xml:space="preserve"> of </w:t>
          </w:r>
          <w:fldSimple w:instr=" NUMPAGES  \* Arabic ">
            <w:r w:rsidR="00CE42F6">
              <w:rPr>
                <w:noProof/>
              </w:rPr>
              <w:t>56</w:t>
            </w:r>
          </w:fldSimple>
        </w:p>
      </w:tc>
    </w:tr>
  </w:tbl>
  <w:p w14:paraId="75A69BDC" w14:textId="77777777" w:rsidR="000959D7" w:rsidRDefault="000959D7"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959D7" w:rsidRPr="00487162" w14:paraId="4F12A6D1" w14:textId="77777777" w:rsidTr="00E45619">
      <w:trPr>
        <w:trHeight w:val="269"/>
      </w:trPr>
      <w:tc>
        <w:tcPr>
          <w:tcW w:w="4519" w:type="dxa"/>
          <w:tcBorders>
            <w:top w:val="single" w:sz="4" w:space="0" w:color="auto"/>
          </w:tcBorders>
          <w:tcMar>
            <w:top w:w="142" w:type="dxa"/>
            <w:bottom w:w="0" w:type="dxa"/>
          </w:tcMar>
        </w:tcPr>
        <w:p w14:paraId="25F456B3" w14:textId="77777777" w:rsidR="000959D7" w:rsidRPr="00487162" w:rsidRDefault="000959D7" w:rsidP="00FE1DEE">
          <w:pPr>
            <w:pStyle w:val="Footer"/>
          </w:pPr>
          <w:r w:rsidRPr="00487162">
            <w:t>Document title, Part #, Section # - Section title</w:t>
          </w:r>
        </w:p>
        <w:p w14:paraId="29AEE9BE" w14:textId="77777777" w:rsidR="000959D7" w:rsidRPr="00487162" w:rsidRDefault="000959D7" w:rsidP="00FE1DEE">
          <w:pPr>
            <w:pStyle w:val="Footer"/>
          </w:pPr>
          <w:r w:rsidRPr="00487162">
            <w:t>V1.0 October 2010</w:t>
          </w:r>
        </w:p>
      </w:tc>
      <w:tc>
        <w:tcPr>
          <w:tcW w:w="4342" w:type="dxa"/>
          <w:tcBorders>
            <w:top w:val="single" w:sz="4" w:space="0" w:color="auto"/>
          </w:tcBorders>
          <w:tcMar>
            <w:top w:w="142" w:type="dxa"/>
            <w:bottom w:w="0" w:type="dxa"/>
          </w:tcMar>
        </w:tcPr>
        <w:p w14:paraId="3649FA43" w14:textId="5D1108F4" w:rsidR="000959D7" w:rsidRPr="00487162" w:rsidRDefault="000959D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55</w:t>
            </w:r>
          </w:fldSimple>
        </w:p>
      </w:tc>
    </w:tr>
  </w:tbl>
  <w:p w14:paraId="19968EE6" w14:textId="77777777" w:rsidR="000959D7" w:rsidRDefault="000959D7">
    <w:pPr>
      <w:pStyle w:val="Footer"/>
    </w:pPr>
  </w:p>
  <w:p w14:paraId="3FF4C168" w14:textId="77777777" w:rsidR="000959D7" w:rsidRDefault="000959D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022CC" w14:textId="77777777" w:rsidR="000959D7" w:rsidRPr="001C32CD" w:rsidRDefault="000959D7"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959D7" w14:paraId="4C7D259D" w14:textId="77777777" w:rsidTr="0010601F">
      <w:trPr>
        <w:trHeight w:val="108"/>
      </w:trPr>
      <w:tc>
        <w:tcPr>
          <w:tcW w:w="8875" w:type="dxa"/>
          <w:gridSpan w:val="2"/>
          <w:tcBorders>
            <w:bottom w:val="single" w:sz="4" w:space="0" w:color="auto"/>
          </w:tcBorders>
          <w:tcMar>
            <w:right w:w="284" w:type="dxa"/>
          </w:tcMar>
        </w:tcPr>
        <w:p w14:paraId="614356D4" w14:textId="77777777" w:rsidR="000959D7" w:rsidRDefault="000959D7" w:rsidP="006E08B3">
          <w:pPr>
            <w:pStyle w:val="Heading3"/>
          </w:pPr>
          <w:r>
            <w:t>Copyright</w:t>
          </w:r>
        </w:p>
        <w:p w14:paraId="6F66FBA6" w14:textId="77777777" w:rsidR="000959D7" w:rsidRDefault="000959D7" w:rsidP="006E08B3">
          <w:r>
            <w:rPr>
              <w:rFonts w:cs="Arial"/>
            </w:rPr>
            <w:t>©</w:t>
          </w:r>
          <w:r>
            <w:t xml:space="preserve"> Commonwealth of Australia [add year]</w:t>
          </w:r>
        </w:p>
        <w:p w14:paraId="5CD0FA13" w14:textId="77777777" w:rsidR="000959D7" w:rsidRDefault="000959D7" w:rsidP="006E08B3"/>
        <w:p w14:paraId="5816A4F6" w14:textId="77777777" w:rsidR="000959D7" w:rsidRDefault="000959D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7C34715" w14:textId="77777777" w:rsidR="000959D7" w:rsidRDefault="000959D7" w:rsidP="006E08B3"/>
        <w:p w14:paraId="198AE90B" w14:textId="77777777" w:rsidR="000959D7" w:rsidRDefault="000959D7" w:rsidP="006E08B3">
          <w:pPr>
            <w:pStyle w:val="Heading3"/>
          </w:pPr>
          <w:r>
            <w:t>Confidentiality</w:t>
          </w:r>
        </w:p>
        <w:p w14:paraId="011AFA94" w14:textId="77777777" w:rsidR="000959D7" w:rsidRDefault="000959D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30BC05C" w14:textId="77777777" w:rsidR="000959D7" w:rsidRDefault="000959D7" w:rsidP="006E08B3"/>
        <w:p w14:paraId="74DF2C90" w14:textId="77777777" w:rsidR="000959D7" w:rsidRDefault="000959D7" w:rsidP="006E08B3">
          <w:r>
            <w:t>For submission made by individuals, all personal details, other than your name, will be removed from your submission before it is published on the TGA’s Internet site.</w:t>
          </w:r>
        </w:p>
        <w:p w14:paraId="30BD7CEC" w14:textId="77777777" w:rsidR="000959D7" w:rsidRDefault="000959D7" w:rsidP="006E08B3"/>
        <w:p w14:paraId="706E248D" w14:textId="77777777" w:rsidR="000959D7" w:rsidRDefault="000959D7" w:rsidP="006E08B3">
          <w:r>
            <w:t>In addition, a list of parties making submissions will be published. If you do not wish to be identified with your submission you must specifically request this in the space provided ib the submission coversheet.</w:t>
          </w:r>
        </w:p>
      </w:tc>
    </w:tr>
    <w:tr w:rsidR="000959D7" w14:paraId="18A004A6" w14:textId="77777777" w:rsidTr="0010601F">
      <w:trPr>
        <w:trHeight w:val="417"/>
      </w:trPr>
      <w:tc>
        <w:tcPr>
          <w:tcW w:w="4519" w:type="dxa"/>
          <w:tcBorders>
            <w:top w:val="single" w:sz="4" w:space="0" w:color="auto"/>
          </w:tcBorders>
          <w:tcMar>
            <w:top w:w="142" w:type="dxa"/>
            <w:bottom w:w="0" w:type="dxa"/>
          </w:tcMar>
        </w:tcPr>
        <w:p w14:paraId="7818E38E" w14:textId="77777777" w:rsidR="000959D7" w:rsidRDefault="000959D7" w:rsidP="006E08B3">
          <w:r>
            <w:t>Document title, Part #, Section # - Section title</w:t>
          </w:r>
        </w:p>
        <w:p w14:paraId="6DDEB186" w14:textId="77777777" w:rsidR="000959D7" w:rsidRDefault="000959D7" w:rsidP="006E08B3">
          <w:r>
            <w:t>V1.0 October 2010</w:t>
          </w:r>
        </w:p>
      </w:tc>
      <w:tc>
        <w:tcPr>
          <w:tcW w:w="4356" w:type="dxa"/>
          <w:tcBorders>
            <w:top w:val="single" w:sz="4" w:space="0" w:color="auto"/>
          </w:tcBorders>
          <w:tcMar>
            <w:top w:w="142" w:type="dxa"/>
            <w:bottom w:w="0" w:type="dxa"/>
          </w:tcMar>
        </w:tcPr>
        <w:p w14:paraId="134D5419" w14:textId="7231C525" w:rsidR="000959D7" w:rsidRDefault="000959D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55</w:t>
            </w:r>
          </w:fldSimple>
          <w:r>
            <w:t xml:space="preserve">  </w:t>
          </w:r>
        </w:p>
      </w:tc>
    </w:tr>
  </w:tbl>
  <w:p w14:paraId="4DDF054F" w14:textId="77777777" w:rsidR="000959D7" w:rsidRDefault="000959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3545F" w14:textId="77777777" w:rsidR="000959D7" w:rsidRDefault="000959D7" w:rsidP="00C40A36">
      <w:pPr>
        <w:spacing w:after="0"/>
      </w:pPr>
      <w:r>
        <w:separator/>
      </w:r>
    </w:p>
  </w:footnote>
  <w:footnote w:type="continuationSeparator" w:id="0">
    <w:p w14:paraId="73807638" w14:textId="77777777" w:rsidR="000959D7" w:rsidRDefault="000959D7" w:rsidP="00C40A36">
      <w:pPr>
        <w:spacing w:after="0"/>
      </w:pPr>
      <w:r>
        <w:continuationSeparator/>
      </w:r>
    </w:p>
  </w:footnote>
  <w:footnote w:id="1">
    <w:p w14:paraId="2C2A1248" w14:textId="77777777" w:rsidR="000959D7" w:rsidRPr="003236B8" w:rsidRDefault="000959D7">
      <w:pPr>
        <w:pStyle w:val="FootnoteText"/>
        <w:rPr>
          <w:lang w:val="en-US"/>
        </w:rPr>
      </w:pPr>
      <w:r>
        <w:rPr>
          <w:rStyle w:val="FootnoteReference"/>
        </w:rPr>
        <w:footnoteRef/>
      </w:r>
      <w:r>
        <w:t xml:space="preserve"> </w:t>
      </w:r>
      <w:r w:rsidRPr="003236B8">
        <w:t>CPMP/SWP/1042/99 Rev 1 Corr</w:t>
      </w:r>
      <w:r>
        <w:t xml:space="preserve"> </w:t>
      </w:r>
      <w:r w:rsidRPr="003236B8">
        <w:t>Guideline on repeated dose toxicity</w:t>
      </w:r>
    </w:p>
  </w:footnote>
  <w:footnote w:id="2">
    <w:p w14:paraId="650C2A06" w14:textId="77777777" w:rsidR="000959D7" w:rsidRPr="003236B8" w:rsidRDefault="000959D7">
      <w:pPr>
        <w:pStyle w:val="FootnoteText"/>
        <w:rPr>
          <w:lang w:val="en-US"/>
        </w:rPr>
      </w:pPr>
      <w:r>
        <w:rPr>
          <w:rStyle w:val="FootnoteReference"/>
        </w:rPr>
        <w:footnoteRef/>
      </w:r>
      <w:r w:rsidRPr="003236B8">
        <w:t>ICH S6 (R1)</w:t>
      </w:r>
      <w:r>
        <w:t xml:space="preserve"> </w:t>
      </w:r>
      <w:r w:rsidRPr="003236B8">
        <w:t xml:space="preserve">Preclinical Safety Evaluation </w:t>
      </w:r>
      <w:proofErr w:type="gramStart"/>
      <w:r w:rsidRPr="003236B8">
        <w:t>Of</w:t>
      </w:r>
      <w:proofErr w:type="gramEnd"/>
      <w:r w:rsidRPr="003236B8">
        <w:t xml:space="preserve"> Biotechnology-Derived Pharmaceuticals.</w:t>
      </w:r>
    </w:p>
  </w:footnote>
  <w:footnote w:id="3">
    <w:p w14:paraId="1EB5082A" w14:textId="77777777" w:rsidR="000959D7" w:rsidRPr="003236B8" w:rsidRDefault="000959D7" w:rsidP="003236B8">
      <w:pPr>
        <w:pStyle w:val="FootnoteText"/>
        <w:rPr>
          <w:lang w:val="en-US"/>
        </w:rPr>
      </w:pPr>
      <w:r>
        <w:rPr>
          <w:rStyle w:val="FootnoteReference"/>
        </w:rPr>
        <w:footnoteRef/>
      </w:r>
      <w:r>
        <w:t xml:space="preserve"> ICH </w:t>
      </w:r>
      <w:r w:rsidRPr="00823EFC">
        <w:t>S5(R2)</w:t>
      </w:r>
      <w:r>
        <w:t xml:space="preserve"> Detection Of Toxicity To Reproduction For Medicinal Products &amp; Toxicity To Male Fertility</w:t>
      </w:r>
    </w:p>
  </w:footnote>
  <w:footnote w:id="4">
    <w:p w14:paraId="220700E3" w14:textId="77777777" w:rsidR="000959D7" w:rsidRDefault="000959D7" w:rsidP="00823EFC">
      <w:pPr>
        <w:pStyle w:val="FootnoteText"/>
      </w:pPr>
      <w:r>
        <w:rPr>
          <w:rStyle w:val="FootnoteReference"/>
        </w:rPr>
        <w:footnoteRef/>
      </w:r>
      <w:r>
        <w:t xml:space="preserve"> Category B3: Drugs which have been taken by only a limited number of pregnant women and women of childbearing age, without an increase in the frequency of malformation or other direct or indirect harmful effects on the human fetus having been observed.</w:t>
      </w:r>
    </w:p>
    <w:p w14:paraId="01B9BED7" w14:textId="77777777" w:rsidR="000959D7" w:rsidRPr="00823EFC" w:rsidRDefault="000959D7" w:rsidP="00823EFC">
      <w:pPr>
        <w:pStyle w:val="FootnoteText"/>
        <w:rPr>
          <w:lang w:val="en-US"/>
        </w:rPr>
      </w:pPr>
      <w:r>
        <w:t>Studies in animals have shown evidence of an increased occurrence of fetal damage, the significance of which is considered uncertain in humans.</w:t>
      </w:r>
    </w:p>
  </w:footnote>
  <w:footnote w:id="5">
    <w:p w14:paraId="4DDADE53" w14:textId="77777777" w:rsidR="000959D7" w:rsidRPr="00B47BFD" w:rsidRDefault="000959D7" w:rsidP="00B47BFD">
      <w:pPr>
        <w:pStyle w:val="FootnoteText"/>
        <w:rPr>
          <w:lang w:val="en-US"/>
        </w:rPr>
      </w:pPr>
      <w:r>
        <w:rPr>
          <w:rStyle w:val="FootnoteReference"/>
        </w:rPr>
        <w:footnoteRef/>
      </w:r>
      <w:r>
        <w:t xml:space="preserve"> Category C: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6">
    <w:p w14:paraId="608FF40A" w14:textId="77777777" w:rsidR="000959D7" w:rsidRPr="00B47BFD" w:rsidRDefault="000959D7" w:rsidP="00B47BFD">
      <w:pPr>
        <w:pStyle w:val="FootnoteText"/>
        <w:rPr>
          <w:lang w:val="en-US"/>
        </w:rPr>
      </w:pPr>
      <w:r>
        <w:rPr>
          <w:rStyle w:val="FootnoteReference"/>
        </w:rPr>
        <w:footnoteRef/>
      </w:r>
      <w:r>
        <w:t xml:space="preserve"> Category D: 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7">
    <w:p w14:paraId="0D9204F8" w14:textId="77777777" w:rsidR="000959D7" w:rsidRPr="00386FFC" w:rsidRDefault="000959D7">
      <w:pPr>
        <w:pStyle w:val="FootnoteText"/>
        <w:rPr>
          <w:lang w:val="en-US"/>
        </w:rPr>
      </w:pPr>
      <w:r>
        <w:rPr>
          <w:rStyle w:val="FootnoteReference"/>
        </w:rPr>
        <w:footnoteRef/>
      </w:r>
      <w:r>
        <w:t xml:space="preserve"> ‘</w:t>
      </w:r>
      <w:r w:rsidRPr="00386FFC">
        <w:t>Conformité Européene</w:t>
      </w:r>
      <w:r>
        <w:t>’ which literally means ‘</w:t>
      </w:r>
      <w:r w:rsidRPr="00386FFC">
        <w:t>European Conformity".</w:t>
      </w:r>
    </w:p>
  </w:footnote>
  <w:footnote w:id="8">
    <w:p w14:paraId="10FFE490" w14:textId="77777777" w:rsidR="003E1B22" w:rsidRDefault="003E1B22" w:rsidP="003E1B22">
      <w:pPr>
        <w:pStyle w:val="FootnoteText"/>
      </w:pPr>
      <w:r>
        <w:rPr>
          <w:rStyle w:val="FootnoteReference"/>
        </w:rPr>
        <w:footnoteRef/>
      </w:r>
      <w:r>
        <w:t xml:space="preserve"> </w:t>
      </w:r>
      <w:r w:rsidRPr="008471E2">
        <w:t>Routine risk minimisation activities may be limited to ensuring that suitable warnings are included in the product information or by careful use of labelling and packaging.</w:t>
      </w:r>
    </w:p>
    <w:p w14:paraId="5713E1D3" w14:textId="43F0259B" w:rsidR="003E1B22" w:rsidRPr="008471E2" w:rsidRDefault="003E1B22" w:rsidP="003E1B22">
      <w:pPr>
        <w:pStyle w:val="FootnoteText"/>
      </w:pPr>
      <w:r w:rsidRPr="008471E2">
        <w:rPr>
          <w:lang w:val="en-US"/>
        </w:rPr>
        <w:t>Routine pharmacovigilance practices involve the following activities:</w:t>
      </w:r>
    </w:p>
    <w:p w14:paraId="30CB4C92" w14:textId="77777777" w:rsidR="003E1B22" w:rsidRPr="003E1B22" w:rsidRDefault="003E1B22" w:rsidP="003E1B22">
      <w:pPr>
        <w:numPr>
          <w:ilvl w:val="0"/>
          <w:numId w:val="12"/>
        </w:numPr>
        <w:autoSpaceDE w:val="0"/>
        <w:autoSpaceDN w:val="0"/>
        <w:adjustRightInd w:val="0"/>
        <w:spacing w:before="0" w:after="0" w:line="240" w:lineRule="auto"/>
        <w:rPr>
          <w:color w:val="000000"/>
          <w:sz w:val="18"/>
          <w:szCs w:val="18"/>
        </w:rPr>
      </w:pPr>
      <w:r w:rsidRPr="003E1B22">
        <w:rPr>
          <w:color w:val="000000"/>
          <w:sz w:val="18"/>
          <w:szCs w:val="18"/>
          <w:lang w:val="en-US"/>
        </w:rPr>
        <w:t>All suspected adverse reactions that are reported to the personnel of the company are collected and collated in an accessible manner;</w:t>
      </w:r>
    </w:p>
    <w:p w14:paraId="02454C9E" w14:textId="77777777" w:rsidR="003E1B22" w:rsidRPr="003E1B22" w:rsidRDefault="003E1B22" w:rsidP="003E1B22">
      <w:pPr>
        <w:numPr>
          <w:ilvl w:val="0"/>
          <w:numId w:val="12"/>
        </w:numPr>
        <w:autoSpaceDE w:val="0"/>
        <w:autoSpaceDN w:val="0"/>
        <w:adjustRightInd w:val="0"/>
        <w:spacing w:before="0" w:after="0" w:line="240" w:lineRule="auto"/>
        <w:rPr>
          <w:color w:val="000000"/>
          <w:sz w:val="18"/>
          <w:szCs w:val="18"/>
        </w:rPr>
      </w:pPr>
      <w:r w:rsidRPr="003E1B22">
        <w:rPr>
          <w:color w:val="000000"/>
          <w:sz w:val="18"/>
          <w:szCs w:val="18"/>
          <w:lang w:val="en-US"/>
        </w:rPr>
        <w:t>Reporting to regulatory authorities;</w:t>
      </w:r>
    </w:p>
    <w:p w14:paraId="3798F921" w14:textId="77777777" w:rsidR="003E1B22" w:rsidRPr="003E1B22" w:rsidRDefault="003E1B22" w:rsidP="003E1B22">
      <w:pPr>
        <w:numPr>
          <w:ilvl w:val="0"/>
          <w:numId w:val="12"/>
        </w:numPr>
        <w:autoSpaceDE w:val="0"/>
        <w:autoSpaceDN w:val="0"/>
        <w:adjustRightInd w:val="0"/>
        <w:spacing w:before="0" w:after="0" w:line="240" w:lineRule="auto"/>
        <w:rPr>
          <w:color w:val="000000"/>
          <w:sz w:val="18"/>
          <w:szCs w:val="18"/>
        </w:rPr>
      </w:pPr>
      <w:r w:rsidRPr="003E1B22">
        <w:rPr>
          <w:color w:val="000000"/>
          <w:sz w:val="18"/>
          <w:szCs w:val="18"/>
          <w:lang w:val="en-US"/>
        </w:rPr>
        <w:t>Continuous monitoring of the safety profiles of approved products including signal detection and updating of labeling;</w:t>
      </w:r>
    </w:p>
    <w:p w14:paraId="029A3585" w14:textId="77777777" w:rsidR="003E1B22" w:rsidRPr="003E1B22" w:rsidRDefault="003E1B22" w:rsidP="003E1B22">
      <w:pPr>
        <w:numPr>
          <w:ilvl w:val="0"/>
          <w:numId w:val="12"/>
        </w:numPr>
        <w:autoSpaceDE w:val="0"/>
        <w:autoSpaceDN w:val="0"/>
        <w:adjustRightInd w:val="0"/>
        <w:spacing w:before="0" w:after="0" w:line="240" w:lineRule="auto"/>
        <w:rPr>
          <w:color w:val="000000"/>
          <w:sz w:val="18"/>
          <w:szCs w:val="18"/>
        </w:rPr>
      </w:pPr>
      <w:r w:rsidRPr="003E1B22">
        <w:rPr>
          <w:color w:val="000000"/>
          <w:sz w:val="18"/>
          <w:szCs w:val="18"/>
          <w:lang w:val="en-US"/>
        </w:rPr>
        <w:t>Submission of PSURs;</w:t>
      </w:r>
    </w:p>
    <w:p w14:paraId="7103E137" w14:textId="77777777" w:rsidR="003E1B22" w:rsidRPr="003E1B22" w:rsidRDefault="003E1B22" w:rsidP="003E1B22">
      <w:pPr>
        <w:numPr>
          <w:ilvl w:val="0"/>
          <w:numId w:val="12"/>
        </w:numPr>
        <w:autoSpaceDE w:val="0"/>
        <w:autoSpaceDN w:val="0"/>
        <w:adjustRightInd w:val="0"/>
        <w:spacing w:before="0" w:after="0" w:line="240" w:lineRule="auto"/>
        <w:rPr>
          <w:color w:val="000000"/>
          <w:sz w:val="18"/>
          <w:szCs w:val="18"/>
        </w:rPr>
      </w:pPr>
      <w:r w:rsidRPr="003E1B22">
        <w:rPr>
          <w:color w:val="000000"/>
          <w:sz w:val="18"/>
          <w:szCs w:val="18"/>
          <w:lang w:val="en-US"/>
        </w:rPr>
        <w:t>Meeting other local regulatory agency requirements.</w:t>
      </w:r>
    </w:p>
  </w:footnote>
  <w:footnote w:id="9">
    <w:p w14:paraId="6F16E92C" w14:textId="77777777" w:rsidR="000959D7" w:rsidRPr="002D0360" w:rsidRDefault="000959D7">
      <w:pPr>
        <w:pStyle w:val="FootnoteText"/>
        <w:rPr>
          <w:lang w:val="en-US"/>
        </w:rPr>
      </w:pPr>
      <w:r>
        <w:rPr>
          <w:rStyle w:val="FootnoteReference"/>
        </w:rPr>
        <w:footnoteRef/>
      </w:r>
      <w:r>
        <w:t xml:space="preserve"> </w:t>
      </w:r>
      <w:proofErr w:type="gramStart"/>
      <w:r w:rsidRPr="002D0360">
        <w:t>NPESU,</w:t>
      </w:r>
      <w:proofErr w:type="gramEnd"/>
      <w:r w:rsidRPr="002D0360">
        <w:t xml:space="preserve"> Assisted Reproductive Technology in Australia and New Zealand, 2014. University of NSW, 2016.</w:t>
      </w:r>
    </w:p>
  </w:footnote>
  <w:footnote w:id="10">
    <w:p w14:paraId="5CFC3A30" w14:textId="77777777" w:rsidR="000959D7" w:rsidRPr="004952AB" w:rsidRDefault="000959D7">
      <w:pPr>
        <w:pStyle w:val="FootnoteText"/>
        <w:rPr>
          <w:lang w:val="da-DK"/>
        </w:rPr>
      </w:pPr>
      <w:r>
        <w:rPr>
          <w:rStyle w:val="FootnoteReference"/>
        </w:rPr>
        <w:footnoteRef/>
      </w:r>
      <w:r>
        <w:t xml:space="preserve"> </w:t>
      </w:r>
      <w:r w:rsidRPr="00F4537B">
        <w:t xml:space="preserve">Gassner D, Jung R. First fully automated immunoassay for anti-mullerian hormone. </w:t>
      </w:r>
      <w:r w:rsidRPr="004952AB">
        <w:rPr>
          <w:lang w:val="da-DK"/>
        </w:rPr>
        <w:t>Clin Chem Lab Med. 2014;52:1143-1152.</w:t>
      </w:r>
    </w:p>
  </w:footnote>
  <w:footnote w:id="11">
    <w:p w14:paraId="5351315B" w14:textId="77777777" w:rsidR="000959D7" w:rsidRPr="00F4537B" w:rsidRDefault="000959D7">
      <w:pPr>
        <w:pStyle w:val="FootnoteText"/>
        <w:rPr>
          <w:lang w:val="en-US"/>
        </w:rPr>
      </w:pPr>
      <w:r>
        <w:rPr>
          <w:rStyle w:val="FootnoteReference"/>
        </w:rPr>
        <w:footnoteRef/>
      </w:r>
      <w:r w:rsidRPr="004952AB">
        <w:rPr>
          <w:lang w:val="da-DK"/>
        </w:rPr>
        <w:t xml:space="preserve"> Harris K, Fitzgerald O, Paul R, et al. </w:t>
      </w:r>
      <w:r w:rsidRPr="00F4537B">
        <w:t>Assisted reproductive technology in Australia and New Zealand 2014 (September 2016: https://npesu.unsw.edu.au/data-collection/australian-new-zealand-assisted- reproduction-database-anzard)</w:t>
      </w:r>
    </w:p>
  </w:footnote>
  <w:footnote w:id="12">
    <w:p w14:paraId="6CDF5BCE" w14:textId="77777777" w:rsidR="000959D7" w:rsidRPr="004952AB" w:rsidRDefault="000959D7">
      <w:pPr>
        <w:pStyle w:val="FootnoteText"/>
        <w:rPr>
          <w:lang w:val="da-DK"/>
        </w:rPr>
      </w:pPr>
      <w:r>
        <w:rPr>
          <w:rStyle w:val="FootnoteReference"/>
        </w:rPr>
        <w:footnoteRef/>
      </w:r>
      <w:r>
        <w:t xml:space="preserve"> </w:t>
      </w:r>
      <w:proofErr w:type="gramStart"/>
      <w:r w:rsidRPr="00F4537B">
        <w:t>van</w:t>
      </w:r>
      <w:proofErr w:type="gramEnd"/>
      <w:r w:rsidRPr="00F4537B">
        <w:t xml:space="preserve"> Helden J, Weiskirchen R. Performance of the two new fully automated anti-mullerian hormone immunoassays compared with the clinical standard assay. </w:t>
      </w:r>
      <w:r w:rsidRPr="004952AB">
        <w:rPr>
          <w:lang w:val="da-DK"/>
        </w:rPr>
        <w:t>Hum Reprod. 2015;30:1918-1926.</w:t>
      </w:r>
    </w:p>
    <w:p w14:paraId="4FD1CF51" w14:textId="77777777" w:rsidR="000959D7" w:rsidRPr="004952AB" w:rsidRDefault="000959D7">
      <w:pPr>
        <w:pStyle w:val="FootnoteText"/>
        <w:rPr>
          <w:lang w:val="da-DK"/>
        </w:rPr>
      </w:pPr>
      <w:r w:rsidRPr="004952AB">
        <w:rPr>
          <w:lang w:val="da-DK"/>
        </w:rPr>
        <w:t xml:space="preserve">Nelson SM, Pastuszek E, Kloss G, et al. </w:t>
      </w:r>
      <w:r w:rsidRPr="00F4537B">
        <w:rPr>
          <w:lang w:val="en-US"/>
        </w:rPr>
        <w:t xml:space="preserve">Two new automated, compared with two enzyme-linked immunosorbent, antimullerian hormone assays. </w:t>
      </w:r>
      <w:r w:rsidRPr="004952AB">
        <w:rPr>
          <w:lang w:val="da-DK"/>
        </w:rPr>
        <w:t>Fertil Steril. 2015;104:1016-1021.e6.</w:t>
      </w:r>
    </w:p>
  </w:footnote>
  <w:footnote w:id="13">
    <w:p w14:paraId="3F0B3C67" w14:textId="77777777" w:rsidR="000959D7" w:rsidRPr="00F4537B" w:rsidRDefault="000959D7">
      <w:pPr>
        <w:pStyle w:val="FootnoteText"/>
        <w:rPr>
          <w:lang w:val="en-US"/>
        </w:rPr>
      </w:pPr>
      <w:r>
        <w:rPr>
          <w:rStyle w:val="FootnoteReference"/>
        </w:rPr>
        <w:footnoteRef/>
      </w:r>
      <w:r w:rsidRPr="004952AB">
        <w:rPr>
          <w:lang w:val="da-DK"/>
        </w:rPr>
        <w:t xml:space="preserve"> Pigny P, Gorisse E, Ghulam A, et al. </w:t>
      </w:r>
      <w:r w:rsidRPr="00F4537B">
        <w:t>Comparative assessment of five serum antimullerian hormone assays for the diagnosis of polycystic ovary syndrome. Fertil Steril. 2016</w:t>
      </w:r>
      <w:proofErr w:type="gramStart"/>
      <w:r w:rsidRPr="00F4537B">
        <w:t>;105:1063</w:t>
      </w:r>
      <w:proofErr w:type="gramEnd"/>
      <w:r w:rsidRPr="00F4537B">
        <w:t>-1069.e3.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054A8" w14:textId="77777777" w:rsidR="000959D7" w:rsidRDefault="000959D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2ABC1" w14:textId="77777777" w:rsidR="000959D7" w:rsidRDefault="000959D7">
    <w:pPr>
      <w:rPr>
        <w:noProof/>
        <w:lang w:eastAsia="en-AU"/>
      </w:rPr>
    </w:pPr>
    <w:r w:rsidRPr="00347824">
      <w:rPr>
        <w:noProof/>
        <w:lang w:eastAsia="en-AU"/>
      </w:rPr>
      <w:drawing>
        <wp:anchor distT="0" distB="0" distL="114300" distR="114300" simplePos="0" relativeHeight="251659264" behindDoc="1" locked="0" layoutInCell="1" allowOverlap="1" wp14:anchorId="769E4BD0" wp14:editId="31CF5DCE">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A43D896" w14:textId="77777777" w:rsidR="000959D7" w:rsidRDefault="000959D7" w:rsidP="00593AD1">
    <w:pPr>
      <w:pStyle w:val="HeaderNoLine"/>
    </w:pPr>
    <w:r>
      <w:rPr>
        <w:noProof/>
        <w:lang w:eastAsia="en-AU"/>
      </w:rPr>
      <w:drawing>
        <wp:inline distT="0" distB="0" distL="0" distR="0" wp14:anchorId="7B4E6965" wp14:editId="0A2E456D">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53490" w14:textId="77777777" w:rsidR="000959D7" w:rsidRDefault="000959D7">
    <w:pPr>
      <w:pStyle w:val="Header"/>
    </w:pPr>
  </w:p>
  <w:p w14:paraId="494E82C8" w14:textId="77777777" w:rsidR="000959D7" w:rsidRDefault="000959D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54B89" w14:textId="77777777" w:rsidR="000959D7" w:rsidRDefault="000959D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51004" w14:textId="77777777" w:rsidR="000959D7" w:rsidRDefault="000959D7">
    <w:pPr>
      <w:pStyle w:val="Header"/>
    </w:pPr>
    <w:r>
      <w:t>Therapeutic Goods Administration</w:t>
    </w:r>
  </w:p>
  <w:p w14:paraId="07F44565" w14:textId="77777777" w:rsidR="000959D7" w:rsidRDefault="000959D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B159D" w14:textId="77777777" w:rsidR="000959D7" w:rsidRDefault="000959D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45313" w14:textId="77777777" w:rsidR="000959D7" w:rsidRDefault="000959D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52730" w14:textId="77777777" w:rsidR="000959D7" w:rsidRDefault="000959D7" w:rsidP="006E08B3">
    <w:r>
      <w:t>Therapeutic Goods Administration</w:t>
    </w:r>
  </w:p>
  <w:p w14:paraId="246D27BE" w14:textId="77777777" w:rsidR="000959D7" w:rsidRDefault="000959D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66678E6"/>
    <w:lvl w:ilvl="0">
      <w:start w:val="1"/>
      <w:numFmt w:val="decimal"/>
      <w:lvlText w:val="%1."/>
      <w:lvlJc w:val="left"/>
      <w:pPr>
        <w:tabs>
          <w:tab w:val="num" w:pos="643"/>
        </w:tabs>
        <w:ind w:left="643" w:hanging="360"/>
      </w:pPr>
    </w:lvl>
  </w:abstractNum>
  <w:abstractNum w:abstractNumId="1">
    <w:nsid w:val="FFFFFF80"/>
    <w:multiLevelType w:val="singleLevel"/>
    <w:tmpl w:val="1BE43BEC"/>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5986C39C"/>
    <w:lvl w:ilvl="0">
      <w:start w:val="1"/>
      <w:numFmt w:val="bullet"/>
      <w:lvlText w:val=""/>
      <w:lvlJc w:val="left"/>
      <w:pPr>
        <w:tabs>
          <w:tab w:val="num" w:pos="1209"/>
        </w:tabs>
        <w:ind w:left="1209" w:hanging="360"/>
      </w:pPr>
      <w:rPr>
        <w:rFonts w:ascii="Symbol" w:hAnsi="Symbol" w:hint="default"/>
      </w:rPr>
    </w:lvl>
  </w:abstractNum>
  <w:abstractNum w:abstractNumId="3">
    <w:nsid w:val="FFFFFF88"/>
    <w:multiLevelType w:val="singleLevel"/>
    <w:tmpl w:val="ED3CA9DC"/>
    <w:lvl w:ilvl="0">
      <w:start w:val="1"/>
      <w:numFmt w:val="decimal"/>
      <w:lvlText w:val="%1."/>
      <w:lvlJc w:val="left"/>
      <w:pPr>
        <w:tabs>
          <w:tab w:val="num" w:pos="360"/>
        </w:tabs>
        <w:ind w:left="360" w:hanging="360"/>
      </w:pPr>
    </w:lvl>
  </w:abstractNum>
  <w:abstractNum w:abstractNumId="4">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5C674D3"/>
    <w:multiLevelType w:val="hybridMultilevel"/>
    <w:tmpl w:val="9FF62388"/>
    <w:lvl w:ilvl="0" w:tplc="4D54E7F8">
      <w:start w:val="24"/>
      <w:numFmt w:val="bullet"/>
      <w:lvlText w:val="-"/>
      <w:lvlJc w:val="left"/>
      <w:pPr>
        <w:ind w:left="720" w:hanging="360"/>
      </w:pPr>
      <w:rPr>
        <w:rFonts w:ascii="Cambria" w:eastAsia="Cambria" w:hAnsi="Cambria"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6"/>
  </w:num>
  <w:num w:numId="4">
    <w:abstractNumId w:val="5"/>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
  </w:num>
  <w:num w:numId="14">
    <w:abstractNumId w:val="1"/>
  </w:num>
  <w:num w:numId="15">
    <w:abstractNumId w:val="3"/>
  </w:num>
  <w:num w:numId="16">
    <w:abstractNumId w:val="0"/>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eisiger, Ruth">
    <w15:presenceInfo w15:providerId="AD" w15:userId="S-1-5-21-606747145-2049760794-682003330-20702"/>
  </w15:person>
  <w15:person w15:author="Schmidt-Petersen, Jes">
    <w15:presenceInfo w15:providerId="AD" w15:userId="S-1-5-21-606747145-2049760794-682003330-79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da-DK" w:vendorID="64" w:dllVersion="131078"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314"/>
    <w:rsid w:val="00002031"/>
    <w:rsid w:val="00004734"/>
    <w:rsid w:val="00006B22"/>
    <w:rsid w:val="0001276A"/>
    <w:rsid w:val="000246AE"/>
    <w:rsid w:val="00025C67"/>
    <w:rsid w:val="00030650"/>
    <w:rsid w:val="00044772"/>
    <w:rsid w:val="0005559E"/>
    <w:rsid w:val="000604D6"/>
    <w:rsid w:val="00070DCE"/>
    <w:rsid w:val="000734D8"/>
    <w:rsid w:val="00077775"/>
    <w:rsid w:val="00090471"/>
    <w:rsid w:val="00093DF9"/>
    <w:rsid w:val="000959D7"/>
    <w:rsid w:val="00096AA7"/>
    <w:rsid w:val="00097874"/>
    <w:rsid w:val="000A3AED"/>
    <w:rsid w:val="000A4D70"/>
    <w:rsid w:val="000A7B13"/>
    <w:rsid w:val="000B0D1D"/>
    <w:rsid w:val="000B220A"/>
    <w:rsid w:val="000B3532"/>
    <w:rsid w:val="000B3A75"/>
    <w:rsid w:val="000C00C2"/>
    <w:rsid w:val="000C2E09"/>
    <w:rsid w:val="000C690F"/>
    <w:rsid w:val="000D1295"/>
    <w:rsid w:val="000D391B"/>
    <w:rsid w:val="000D3D6D"/>
    <w:rsid w:val="000D4FC7"/>
    <w:rsid w:val="000E28C7"/>
    <w:rsid w:val="000E2A1A"/>
    <w:rsid w:val="000E6196"/>
    <w:rsid w:val="000E7763"/>
    <w:rsid w:val="000F4869"/>
    <w:rsid w:val="000F5B42"/>
    <w:rsid w:val="000F6E6F"/>
    <w:rsid w:val="00105FAC"/>
    <w:rsid w:val="0010601F"/>
    <w:rsid w:val="0010788A"/>
    <w:rsid w:val="00107A31"/>
    <w:rsid w:val="00110EA5"/>
    <w:rsid w:val="00112F56"/>
    <w:rsid w:val="0012091C"/>
    <w:rsid w:val="00121DC8"/>
    <w:rsid w:val="00125318"/>
    <w:rsid w:val="001305A2"/>
    <w:rsid w:val="00133238"/>
    <w:rsid w:val="00133A1B"/>
    <w:rsid w:val="0013789B"/>
    <w:rsid w:val="001410AB"/>
    <w:rsid w:val="0014197B"/>
    <w:rsid w:val="001447CD"/>
    <w:rsid w:val="001516B1"/>
    <w:rsid w:val="00154EBB"/>
    <w:rsid w:val="00156316"/>
    <w:rsid w:val="00161181"/>
    <w:rsid w:val="0016181B"/>
    <w:rsid w:val="00162D14"/>
    <w:rsid w:val="00165389"/>
    <w:rsid w:val="00166154"/>
    <w:rsid w:val="00174E14"/>
    <w:rsid w:val="0017693F"/>
    <w:rsid w:val="00177D6D"/>
    <w:rsid w:val="0018110E"/>
    <w:rsid w:val="00181684"/>
    <w:rsid w:val="001843C6"/>
    <w:rsid w:val="001850E0"/>
    <w:rsid w:val="001851C3"/>
    <w:rsid w:val="001A2158"/>
    <w:rsid w:val="001A525F"/>
    <w:rsid w:val="001B09F9"/>
    <w:rsid w:val="001B56F1"/>
    <w:rsid w:val="001B5C90"/>
    <w:rsid w:val="001B6448"/>
    <w:rsid w:val="001C32CD"/>
    <w:rsid w:val="001D01A9"/>
    <w:rsid w:val="001D2984"/>
    <w:rsid w:val="001D2C7B"/>
    <w:rsid w:val="001E07CF"/>
    <w:rsid w:val="001E59F1"/>
    <w:rsid w:val="001F2CEE"/>
    <w:rsid w:val="001F2ED1"/>
    <w:rsid w:val="001F49EB"/>
    <w:rsid w:val="001F68C1"/>
    <w:rsid w:val="001F6CBA"/>
    <w:rsid w:val="00201D4E"/>
    <w:rsid w:val="002076C9"/>
    <w:rsid w:val="00220B8A"/>
    <w:rsid w:val="00222CED"/>
    <w:rsid w:val="002257F3"/>
    <w:rsid w:val="00233456"/>
    <w:rsid w:val="002339A5"/>
    <w:rsid w:val="00234416"/>
    <w:rsid w:val="002477D2"/>
    <w:rsid w:val="00256913"/>
    <w:rsid w:val="00257848"/>
    <w:rsid w:val="0027084A"/>
    <w:rsid w:val="00272C05"/>
    <w:rsid w:val="00286434"/>
    <w:rsid w:val="00286C59"/>
    <w:rsid w:val="0029127C"/>
    <w:rsid w:val="00291957"/>
    <w:rsid w:val="002942D1"/>
    <w:rsid w:val="0029501A"/>
    <w:rsid w:val="002A3721"/>
    <w:rsid w:val="002B1638"/>
    <w:rsid w:val="002B3624"/>
    <w:rsid w:val="002B4B6A"/>
    <w:rsid w:val="002D0360"/>
    <w:rsid w:val="002D0952"/>
    <w:rsid w:val="002D5CF1"/>
    <w:rsid w:val="002E0403"/>
    <w:rsid w:val="002E2679"/>
    <w:rsid w:val="002E40B3"/>
    <w:rsid w:val="002E4C9A"/>
    <w:rsid w:val="002F11F8"/>
    <w:rsid w:val="002F3F56"/>
    <w:rsid w:val="002F44B5"/>
    <w:rsid w:val="0030206B"/>
    <w:rsid w:val="00311AC0"/>
    <w:rsid w:val="003176FC"/>
    <w:rsid w:val="0032324F"/>
    <w:rsid w:val="003236B8"/>
    <w:rsid w:val="0032583B"/>
    <w:rsid w:val="00327883"/>
    <w:rsid w:val="00333C0B"/>
    <w:rsid w:val="0033474A"/>
    <w:rsid w:val="00335504"/>
    <w:rsid w:val="00340C18"/>
    <w:rsid w:val="003442FD"/>
    <w:rsid w:val="00347824"/>
    <w:rsid w:val="00350567"/>
    <w:rsid w:val="003521E8"/>
    <w:rsid w:val="00370CE3"/>
    <w:rsid w:val="00371AC4"/>
    <w:rsid w:val="003728F3"/>
    <w:rsid w:val="0037496E"/>
    <w:rsid w:val="00383221"/>
    <w:rsid w:val="00386150"/>
    <w:rsid w:val="00386FFC"/>
    <w:rsid w:val="003874CE"/>
    <w:rsid w:val="00390900"/>
    <w:rsid w:val="00397DDC"/>
    <w:rsid w:val="003A2D2C"/>
    <w:rsid w:val="003A7F6C"/>
    <w:rsid w:val="003B4D60"/>
    <w:rsid w:val="003B7E39"/>
    <w:rsid w:val="003C58DC"/>
    <w:rsid w:val="003D1750"/>
    <w:rsid w:val="003D1E62"/>
    <w:rsid w:val="003E0B99"/>
    <w:rsid w:val="003E1B22"/>
    <w:rsid w:val="003E2486"/>
    <w:rsid w:val="003E3208"/>
    <w:rsid w:val="003F0B04"/>
    <w:rsid w:val="0040134E"/>
    <w:rsid w:val="004334C7"/>
    <w:rsid w:val="00435CD4"/>
    <w:rsid w:val="00436314"/>
    <w:rsid w:val="00440A2D"/>
    <w:rsid w:val="00441C3F"/>
    <w:rsid w:val="004421A0"/>
    <w:rsid w:val="00443F35"/>
    <w:rsid w:val="0045249C"/>
    <w:rsid w:val="004564A7"/>
    <w:rsid w:val="004578C7"/>
    <w:rsid w:val="004617BF"/>
    <w:rsid w:val="00463658"/>
    <w:rsid w:val="004637A0"/>
    <w:rsid w:val="004722CC"/>
    <w:rsid w:val="00482B10"/>
    <w:rsid w:val="004936E4"/>
    <w:rsid w:val="00494E60"/>
    <w:rsid w:val="004952AB"/>
    <w:rsid w:val="00497487"/>
    <w:rsid w:val="004A6189"/>
    <w:rsid w:val="004A7390"/>
    <w:rsid w:val="004B7B76"/>
    <w:rsid w:val="004C239D"/>
    <w:rsid w:val="004C2DCA"/>
    <w:rsid w:val="004C61D2"/>
    <w:rsid w:val="004D3845"/>
    <w:rsid w:val="004E61DE"/>
    <w:rsid w:val="004F0C4A"/>
    <w:rsid w:val="004F0F38"/>
    <w:rsid w:val="004F47D6"/>
    <w:rsid w:val="00501921"/>
    <w:rsid w:val="00505B5C"/>
    <w:rsid w:val="005074D1"/>
    <w:rsid w:val="00512CFB"/>
    <w:rsid w:val="00514C48"/>
    <w:rsid w:val="005219CC"/>
    <w:rsid w:val="00530354"/>
    <w:rsid w:val="0053625B"/>
    <w:rsid w:val="005434C6"/>
    <w:rsid w:val="00543B39"/>
    <w:rsid w:val="00546154"/>
    <w:rsid w:val="00550096"/>
    <w:rsid w:val="00555280"/>
    <w:rsid w:val="00557FF9"/>
    <w:rsid w:val="00562327"/>
    <w:rsid w:val="00565852"/>
    <w:rsid w:val="005711D5"/>
    <w:rsid w:val="00574C5F"/>
    <w:rsid w:val="00576378"/>
    <w:rsid w:val="00577130"/>
    <w:rsid w:val="00577945"/>
    <w:rsid w:val="00577E38"/>
    <w:rsid w:val="00580862"/>
    <w:rsid w:val="005842E4"/>
    <w:rsid w:val="00584707"/>
    <w:rsid w:val="00585322"/>
    <w:rsid w:val="005857C6"/>
    <w:rsid w:val="00586095"/>
    <w:rsid w:val="00592F6E"/>
    <w:rsid w:val="00593AD1"/>
    <w:rsid w:val="005A68B6"/>
    <w:rsid w:val="005B2D24"/>
    <w:rsid w:val="005C5570"/>
    <w:rsid w:val="005C79A4"/>
    <w:rsid w:val="005D5442"/>
    <w:rsid w:val="00603F32"/>
    <w:rsid w:val="00605AD4"/>
    <w:rsid w:val="00605D42"/>
    <w:rsid w:val="006136D7"/>
    <w:rsid w:val="00625A6E"/>
    <w:rsid w:val="006273AD"/>
    <w:rsid w:val="00632398"/>
    <w:rsid w:val="00640FC3"/>
    <w:rsid w:val="00642020"/>
    <w:rsid w:val="00647EA2"/>
    <w:rsid w:val="0065337B"/>
    <w:rsid w:val="0065419D"/>
    <w:rsid w:val="0065759F"/>
    <w:rsid w:val="00657B42"/>
    <w:rsid w:val="00657C22"/>
    <w:rsid w:val="006604D8"/>
    <w:rsid w:val="00664A5B"/>
    <w:rsid w:val="0066735C"/>
    <w:rsid w:val="00672DB4"/>
    <w:rsid w:val="006763D2"/>
    <w:rsid w:val="00680C08"/>
    <w:rsid w:val="006916A0"/>
    <w:rsid w:val="006931B1"/>
    <w:rsid w:val="006A15C0"/>
    <w:rsid w:val="006C3E2A"/>
    <w:rsid w:val="006C642F"/>
    <w:rsid w:val="006D03E5"/>
    <w:rsid w:val="006D4413"/>
    <w:rsid w:val="006D5D3E"/>
    <w:rsid w:val="006E08B3"/>
    <w:rsid w:val="006F17AC"/>
    <w:rsid w:val="006F25B8"/>
    <w:rsid w:val="006F26DF"/>
    <w:rsid w:val="006F572E"/>
    <w:rsid w:val="007046D6"/>
    <w:rsid w:val="00704FAF"/>
    <w:rsid w:val="00705DB0"/>
    <w:rsid w:val="0070725D"/>
    <w:rsid w:val="00722B57"/>
    <w:rsid w:val="00730F8A"/>
    <w:rsid w:val="00732180"/>
    <w:rsid w:val="00735A8C"/>
    <w:rsid w:val="007423DF"/>
    <w:rsid w:val="0074253D"/>
    <w:rsid w:val="0074429B"/>
    <w:rsid w:val="007615BC"/>
    <w:rsid w:val="00762F05"/>
    <w:rsid w:val="007634AF"/>
    <w:rsid w:val="007652FF"/>
    <w:rsid w:val="00770CAC"/>
    <w:rsid w:val="00770EF1"/>
    <w:rsid w:val="00773EF7"/>
    <w:rsid w:val="00774E1D"/>
    <w:rsid w:val="007765D8"/>
    <w:rsid w:val="0077675A"/>
    <w:rsid w:val="00780355"/>
    <w:rsid w:val="007813E5"/>
    <w:rsid w:val="007819FD"/>
    <w:rsid w:val="00785717"/>
    <w:rsid w:val="00785721"/>
    <w:rsid w:val="00793A59"/>
    <w:rsid w:val="007A3048"/>
    <w:rsid w:val="007A628E"/>
    <w:rsid w:val="007B6132"/>
    <w:rsid w:val="007B6E9F"/>
    <w:rsid w:val="007C1216"/>
    <w:rsid w:val="007C1AF7"/>
    <w:rsid w:val="007C5BFB"/>
    <w:rsid w:val="007C6B9B"/>
    <w:rsid w:val="007C7F05"/>
    <w:rsid w:val="007D376F"/>
    <w:rsid w:val="007D3D8F"/>
    <w:rsid w:val="007E1F67"/>
    <w:rsid w:val="007F063B"/>
    <w:rsid w:val="00802246"/>
    <w:rsid w:val="00805D27"/>
    <w:rsid w:val="00806DCB"/>
    <w:rsid w:val="00813CDF"/>
    <w:rsid w:val="00815EA7"/>
    <w:rsid w:val="00821776"/>
    <w:rsid w:val="00823EFC"/>
    <w:rsid w:val="008321F5"/>
    <w:rsid w:val="00832369"/>
    <w:rsid w:val="00834660"/>
    <w:rsid w:val="00836BC2"/>
    <w:rsid w:val="00841F6D"/>
    <w:rsid w:val="0085156D"/>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D33C0"/>
    <w:rsid w:val="008E4B42"/>
    <w:rsid w:val="008E7846"/>
    <w:rsid w:val="008F02E5"/>
    <w:rsid w:val="008F1CCC"/>
    <w:rsid w:val="008F2967"/>
    <w:rsid w:val="008F6943"/>
    <w:rsid w:val="00900D1E"/>
    <w:rsid w:val="00902A21"/>
    <w:rsid w:val="00920330"/>
    <w:rsid w:val="009219D7"/>
    <w:rsid w:val="00922D53"/>
    <w:rsid w:val="00923B70"/>
    <w:rsid w:val="00924482"/>
    <w:rsid w:val="00930237"/>
    <w:rsid w:val="00937C17"/>
    <w:rsid w:val="00940A89"/>
    <w:rsid w:val="009410E9"/>
    <w:rsid w:val="0094158B"/>
    <w:rsid w:val="00944627"/>
    <w:rsid w:val="00946EA5"/>
    <w:rsid w:val="00963C08"/>
    <w:rsid w:val="00974BBE"/>
    <w:rsid w:val="009752A5"/>
    <w:rsid w:val="00985817"/>
    <w:rsid w:val="0098585A"/>
    <w:rsid w:val="00985D89"/>
    <w:rsid w:val="009A3C99"/>
    <w:rsid w:val="009A4CED"/>
    <w:rsid w:val="009A690D"/>
    <w:rsid w:val="009B1D12"/>
    <w:rsid w:val="009B416B"/>
    <w:rsid w:val="009C4BD5"/>
    <w:rsid w:val="009D648F"/>
    <w:rsid w:val="009D7B77"/>
    <w:rsid w:val="009E0BB0"/>
    <w:rsid w:val="009E2E76"/>
    <w:rsid w:val="009E3FBB"/>
    <w:rsid w:val="009F7353"/>
    <w:rsid w:val="00A04F85"/>
    <w:rsid w:val="00A05FA4"/>
    <w:rsid w:val="00A102E4"/>
    <w:rsid w:val="00A12C42"/>
    <w:rsid w:val="00A14DF7"/>
    <w:rsid w:val="00A17826"/>
    <w:rsid w:val="00A3246D"/>
    <w:rsid w:val="00A36FA7"/>
    <w:rsid w:val="00A44DDB"/>
    <w:rsid w:val="00A475B7"/>
    <w:rsid w:val="00A47AF7"/>
    <w:rsid w:val="00A47C3E"/>
    <w:rsid w:val="00A50226"/>
    <w:rsid w:val="00A50464"/>
    <w:rsid w:val="00A56207"/>
    <w:rsid w:val="00A60BAD"/>
    <w:rsid w:val="00A615B6"/>
    <w:rsid w:val="00A62923"/>
    <w:rsid w:val="00A73250"/>
    <w:rsid w:val="00A80B5B"/>
    <w:rsid w:val="00A84E36"/>
    <w:rsid w:val="00A95869"/>
    <w:rsid w:val="00A964D1"/>
    <w:rsid w:val="00A96CB7"/>
    <w:rsid w:val="00AA0ED0"/>
    <w:rsid w:val="00AA18AD"/>
    <w:rsid w:val="00AA1E4B"/>
    <w:rsid w:val="00AA4273"/>
    <w:rsid w:val="00AB59AF"/>
    <w:rsid w:val="00AC0B4B"/>
    <w:rsid w:val="00AC2B40"/>
    <w:rsid w:val="00AC2BB2"/>
    <w:rsid w:val="00AC2C3C"/>
    <w:rsid w:val="00AC512D"/>
    <w:rsid w:val="00AD0083"/>
    <w:rsid w:val="00AD3935"/>
    <w:rsid w:val="00AE65EB"/>
    <w:rsid w:val="00AE67A7"/>
    <w:rsid w:val="00AF1D94"/>
    <w:rsid w:val="00AF60C5"/>
    <w:rsid w:val="00B009C6"/>
    <w:rsid w:val="00B01548"/>
    <w:rsid w:val="00B13EBD"/>
    <w:rsid w:val="00B21D29"/>
    <w:rsid w:val="00B25034"/>
    <w:rsid w:val="00B3014A"/>
    <w:rsid w:val="00B3170C"/>
    <w:rsid w:val="00B33588"/>
    <w:rsid w:val="00B33863"/>
    <w:rsid w:val="00B35FEF"/>
    <w:rsid w:val="00B37D17"/>
    <w:rsid w:val="00B4175E"/>
    <w:rsid w:val="00B452CE"/>
    <w:rsid w:val="00B47BFD"/>
    <w:rsid w:val="00B54C25"/>
    <w:rsid w:val="00B65662"/>
    <w:rsid w:val="00B7680F"/>
    <w:rsid w:val="00B76B91"/>
    <w:rsid w:val="00B77EB1"/>
    <w:rsid w:val="00B811C6"/>
    <w:rsid w:val="00B855B0"/>
    <w:rsid w:val="00B86213"/>
    <w:rsid w:val="00B92E08"/>
    <w:rsid w:val="00BC622A"/>
    <w:rsid w:val="00BE0A78"/>
    <w:rsid w:val="00BE0E1D"/>
    <w:rsid w:val="00BE21B8"/>
    <w:rsid w:val="00BE79F0"/>
    <w:rsid w:val="00BF046D"/>
    <w:rsid w:val="00BF1190"/>
    <w:rsid w:val="00BF4560"/>
    <w:rsid w:val="00BF5D04"/>
    <w:rsid w:val="00C009AA"/>
    <w:rsid w:val="00C1164D"/>
    <w:rsid w:val="00C16861"/>
    <w:rsid w:val="00C246F2"/>
    <w:rsid w:val="00C346AB"/>
    <w:rsid w:val="00C404A6"/>
    <w:rsid w:val="00C40A36"/>
    <w:rsid w:val="00C44419"/>
    <w:rsid w:val="00C45E7B"/>
    <w:rsid w:val="00C471B1"/>
    <w:rsid w:val="00C51184"/>
    <w:rsid w:val="00C52D20"/>
    <w:rsid w:val="00C6316B"/>
    <w:rsid w:val="00C634A9"/>
    <w:rsid w:val="00C64586"/>
    <w:rsid w:val="00C70D53"/>
    <w:rsid w:val="00C723BD"/>
    <w:rsid w:val="00C73D0B"/>
    <w:rsid w:val="00C7440F"/>
    <w:rsid w:val="00C75222"/>
    <w:rsid w:val="00C772FF"/>
    <w:rsid w:val="00C80137"/>
    <w:rsid w:val="00C801AF"/>
    <w:rsid w:val="00C80256"/>
    <w:rsid w:val="00C83E85"/>
    <w:rsid w:val="00C849B3"/>
    <w:rsid w:val="00C94CD4"/>
    <w:rsid w:val="00C952FB"/>
    <w:rsid w:val="00C95984"/>
    <w:rsid w:val="00C9747E"/>
    <w:rsid w:val="00CB6BC0"/>
    <w:rsid w:val="00CC1B7C"/>
    <w:rsid w:val="00CC727F"/>
    <w:rsid w:val="00CE42F6"/>
    <w:rsid w:val="00CF15C3"/>
    <w:rsid w:val="00CF2B6F"/>
    <w:rsid w:val="00CF2F3E"/>
    <w:rsid w:val="00CF4667"/>
    <w:rsid w:val="00CF58B6"/>
    <w:rsid w:val="00D0062D"/>
    <w:rsid w:val="00D017ED"/>
    <w:rsid w:val="00D02DE0"/>
    <w:rsid w:val="00D040D3"/>
    <w:rsid w:val="00D04C65"/>
    <w:rsid w:val="00D14909"/>
    <w:rsid w:val="00D201D2"/>
    <w:rsid w:val="00D20DD5"/>
    <w:rsid w:val="00D224FE"/>
    <w:rsid w:val="00D23139"/>
    <w:rsid w:val="00D32F73"/>
    <w:rsid w:val="00D33574"/>
    <w:rsid w:val="00D425BB"/>
    <w:rsid w:val="00D6493E"/>
    <w:rsid w:val="00D7195D"/>
    <w:rsid w:val="00D7301E"/>
    <w:rsid w:val="00D83AE1"/>
    <w:rsid w:val="00D855D4"/>
    <w:rsid w:val="00D902C9"/>
    <w:rsid w:val="00D90DDA"/>
    <w:rsid w:val="00D93466"/>
    <w:rsid w:val="00DA1124"/>
    <w:rsid w:val="00DA14A3"/>
    <w:rsid w:val="00DB6124"/>
    <w:rsid w:val="00DB750B"/>
    <w:rsid w:val="00DB75B7"/>
    <w:rsid w:val="00DC2C33"/>
    <w:rsid w:val="00DC6E02"/>
    <w:rsid w:val="00DD28CD"/>
    <w:rsid w:val="00DE02AE"/>
    <w:rsid w:val="00DF1D7F"/>
    <w:rsid w:val="00DF4096"/>
    <w:rsid w:val="00DF4BE4"/>
    <w:rsid w:val="00E02FB4"/>
    <w:rsid w:val="00E13FC7"/>
    <w:rsid w:val="00E20571"/>
    <w:rsid w:val="00E235F7"/>
    <w:rsid w:val="00E23659"/>
    <w:rsid w:val="00E239D4"/>
    <w:rsid w:val="00E23AE1"/>
    <w:rsid w:val="00E26130"/>
    <w:rsid w:val="00E40B22"/>
    <w:rsid w:val="00E40FC0"/>
    <w:rsid w:val="00E447CE"/>
    <w:rsid w:val="00E44ED1"/>
    <w:rsid w:val="00E45619"/>
    <w:rsid w:val="00E4588F"/>
    <w:rsid w:val="00E46DA3"/>
    <w:rsid w:val="00E51BB1"/>
    <w:rsid w:val="00E624A5"/>
    <w:rsid w:val="00E64BA4"/>
    <w:rsid w:val="00E7344E"/>
    <w:rsid w:val="00E82665"/>
    <w:rsid w:val="00E87792"/>
    <w:rsid w:val="00EA14D7"/>
    <w:rsid w:val="00EB0798"/>
    <w:rsid w:val="00EB40AD"/>
    <w:rsid w:val="00EB586E"/>
    <w:rsid w:val="00EB5FC8"/>
    <w:rsid w:val="00EC0017"/>
    <w:rsid w:val="00EC463D"/>
    <w:rsid w:val="00EC7A85"/>
    <w:rsid w:val="00ED2922"/>
    <w:rsid w:val="00ED3CAD"/>
    <w:rsid w:val="00ED4B74"/>
    <w:rsid w:val="00ED5A41"/>
    <w:rsid w:val="00EE1DE8"/>
    <w:rsid w:val="00EE27C2"/>
    <w:rsid w:val="00EF3C9A"/>
    <w:rsid w:val="00EF4BAD"/>
    <w:rsid w:val="00EF59DC"/>
    <w:rsid w:val="00F033EC"/>
    <w:rsid w:val="00F04F68"/>
    <w:rsid w:val="00F06A57"/>
    <w:rsid w:val="00F12670"/>
    <w:rsid w:val="00F14B27"/>
    <w:rsid w:val="00F254DB"/>
    <w:rsid w:val="00F3148D"/>
    <w:rsid w:val="00F325C5"/>
    <w:rsid w:val="00F32FE0"/>
    <w:rsid w:val="00F35298"/>
    <w:rsid w:val="00F4537B"/>
    <w:rsid w:val="00F47333"/>
    <w:rsid w:val="00F47E37"/>
    <w:rsid w:val="00F536DB"/>
    <w:rsid w:val="00F53C07"/>
    <w:rsid w:val="00F54B65"/>
    <w:rsid w:val="00F640B6"/>
    <w:rsid w:val="00F66DF2"/>
    <w:rsid w:val="00F80E40"/>
    <w:rsid w:val="00F848D9"/>
    <w:rsid w:val="00F871BA"/>
    <w:rsid w:val="00FA5414"/>
    <w:rsid w:val="00FA5B82"/>
    <w:rsid w:val="00FA639E"/>
    <w:rsid w:val="00FB403C"/>
    <w:rsid w:val="00FB78FB"/>
    <w:rsid w:val="00FC1FCA"/>
    <w:rsid w:val="00FC25E4"/>
    <w:rsid w:val="00FC4EF7"/>
    <w:rsid w:val="00FD0824"/>
    <w:rsid w:val="00FD119B"/>
    <w:rsid w:val="00FD1EDC"/>
    <w:rsid w:val="00FD2B65"/>
    <w:rsid w:val="00FD4DC8"/>
    <w:rsid w:val="00FE1DEE"/>
    <w:rsid w:val="00FF2126"/>
    <w:rsid w:val="00FF2820"/>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D710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E1B2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371AC4"/>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105FA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71AC4"/>
    <w:pPr>
      <w:keepNext/>
      <w:keepLines/>
      <w:spacing w:line="220" w:lineRule="atLeast"/>
    </w:pPr>
    <w:rPr>
      <w:b/>
    </w:rPr>
  </w:style>
  <w:style w:type="character" w:customStyle="1" w:styleId="Heading4Char">
    <w:name w:val="Heading 4 Char"/>
    <w:basedOn w:val="DefaultParagraphFont"/>
    <w:link w:val="Heading4"/>
    <w:rsid w:val="00371AC4"/>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NoSpacing">
    <w:name w:val="No Spacing"/>
    <w:uiPriority w:val="1"/>
    <w:rsid w:val="00436314"/>
    <w:pPr>
      <w:adjustRightInd w:val="0"/>
      <w:snapToGrid w:val="0"/>
      <w:spacing w:after="0" w:line="240" w:lineRule="auto"/>
    </w:pPr>
    <w:rPr>
      <w:rFonts w:ascii="Cambria" w:eastAsia="MS Mincho" w:hAnsi="Cambria" w:cs="Times New Roman"/>
      <w:szCs w:val="20"/>
      <w:lang w:eastAsia="ja-JP"/>
    </w:rPr>
  </w:style>
  <w:style w:type="paragraph" w:customStyle="1" w:styleId="GuidanceText">
    <w:name w:val="Guidance Text"/>
    <w:basedOn w:val="Normal"/>
    <w:link w:val="GuidanceTextChar"/>
    <w:autoRedefine/>
    <w:rsid w:val="00436314"/>
    <w:pPr>
      <w:autoSpaceDE w:val="0"/>
      <w:autoSpaceDN w:val="0"/>
      <w:adjustRightInd w:val="0"/>
      <w:spacing w:before="180" w:after="0" w:line="240" w:lineRule="auto"/>
      <w:ind w:right="-568"/>
    </w:pPr>
    <w:rPr>
      <w:rFonts w:asciiTheme="minorHAnsi" w:eastAsia="Times New Roman" w:hAnsiTheme="minorHAnsi" w:cstheme="majorHAnsi"/>
      <w:lang w:eastAsia="en-AU"/>
    </w:rPr>
  </w:style>
  <w:style w:type="character" w:customStyle="1" w:styleId="GuidanceTextChar">
    <w:name w:val="Guidance Text Char"/>
    <w:basedOn w:val="DefaultParagraphFont"/>
    <w:link w:val="GuidanceText"/>
    <w:rsid w:val="00436314"/>
    <w:rPr>
      <w:rFonts w:eastAsia="Times New Roman" w:cstheme="majorHAnsi"/>
      <w:lang w:eastAsia="en-AU"/>
    </w:rPr>
  </w:style>
  <w:style w:type="paragraph" w:styleId="ListParagraph">
    <w:name w:val="List Paragraph"/>
    <w:basedOn w:val="Normal"/>
    <w:uiPriority w:val="1"/>
    <w:qFormat/>
    <w:rsid w:val="0013789B"/>
    <w:pPr>
      <w:spacing w:before="0" w:after="0" w:line="240" w:lineRule="auto"/>
      <w:ind w:left="720"/>
      <w:contextualSpacing/>
    </w:pPr>
    <w:rPr>
      <w:rFonts w:ascii="Times New Roman" w:eastAsia="Times New Roman" w:hAnsi="Times New Roman"/>
      <w:sz w:val="24"/>
      <w:szCs w:val="20"/>
      <w:lang w:eastAsia="en-AU"/>
    </w:rPr>
  </w:style>
  <w:style w:type="character" w:styleId="HTMLCite">
    <w:name w:val="HTML Cite"/>
    <w:basedOn w:val="DefaultParagraphFont"/>
    <w:uiPriority w:val="99"/>
    <w:unhideWhenUsed/>
    <w:rsid w:val="0013789B"/>
    <w:rPr>
      <w:i/>
      <w:iCs/>
    </w:rPr>
  </w:style>
  <w:style w:type="paragraph" w:customStyle="1" w:styleId="TableCaption">
    <w:name w:val="Table Caption"/>
    <w:basedOn w:val="Normal"/>
    <w:next w:val="Normal"/>
    <w:link w:val="TableCaptionChar"/>
    <w:rsid w:val="00D20DD5"/>
    <w:pPr>
      <w:spacing w:before="60" w:after="440" w:line="215" w:lineRule="exact"/>
      <w:ind w:left="170"/>
    </w:pPr>
    <w:rPr>
      <w:sz w:val="19"/>
    </w:rPr>
  </w:style>
  <w:style w:type="character" w:customStyle="1" w:styleId="TableTitleChar">
    <w:name w:val="Table Title Char"/>
    <w:basedOn w:val="DefaultParagraphFont"/>
    <w:link w:val="TableTitle"/>
    <w:rsid w:val="00D20DD5"/>
    <w:rPr>
      <w:rFonts w:ascii="Cambria" w:eastAsia="Cambria" w:hAnsi="Cambria" w:cs="Times New Roman"/>
      <w:b/>
    </w:rPr>
  </w:style>
  <w:style w:type="character" w:customStyle="1" w:styleId="TabletextChar">
    <w:name w:val="Table text Char"/>
    <w:basedOn w:val="DefaultParagraphFont"/>
    <w:link w:val="Tabletext"/>
    <w:rsid w:val="00D20DD5"/>
    <w:rPr>
      <w:rFonts w:ascii="Cambria" w:eastAsia="Cambria" w:hAnsi="Cambria" w:cs="Times New Roman"/>
      <w:sz w:val="19"/>
    </w:rPr>
  </w:style>
  <w:style w:type="character" w:customStyle="1" w:styleId="TableCaptionChar">
    <w:name w:val="Table Caption Char"/>
    <w:basedOn w:val="TabletextChar"/>
    <w:link w:val="TableCaption"/>
    <w:rsid w:val="00D20DD5"/>
    <w:rPr>
      <w:rFonts w:ascii="Cambria" w:eastAsia="Cambria" w:hAnsi="Cambria" w:cs="Times New Roman"/>
      <w:sz w:val="19"/>
    </w:rPr>
  </w:style>
  <w:style w:type="paragraph" w:customStyle="1" w:styleId="TableHeader">
    <w:name w:val="Table Header"/>
    <w:basedOn w:val="Normal"/>
    <w:rsid w:val="00D20DD5"/>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D20DD5"/>
    <w:pPr>
      <w:spacing w:before="0" w:after="0" w:line="200" w:lineRule="atLeast"/>
      <w:jc w:val="center"/>
    </w:pPr>
    <w:rPr>
      <w:rFonts w:eastAsia="Times New Roman"/>
      <w:snapToGrid w:val="0"/>
      <w:kern w:val="16"/>
      <w:sz w:val="18"/>
      <w:szCs w:val="19"/>
    </w:rPr>
  </w:style>
  <w:style w:type="paragraph" w:styleId="BodyText">
    <w:name w:val="Body Text"/>
    <w:basedOn w:val="Normal"/>
    <w:link w:val="BodyTextChar"/>
    <w:uiPriority w:val="1"/>
    <w:qFormat/>
    <w:rsid w:val="00A96CB7"/>
    <w:pPr>
      <w:autoSpaceDE w:val="0"/>
      <w:autoSpaceDN w:val="0"/>
      <w:adjustRightInd w:val="0"/>
      <w:spacing w:before="101" w:after="0" w:line="240" w:lineRule="auto"/>
      <w:ind w:left="592" w:hanging="362"/>
    </w:pPr>
    <w:rPr>
      <w:rFonts w:ascii="Times New Roman" w:eastAsiaTheme="minorHAnsi" w:hAnsi="Times New Roman"/>
    </w:rPr>
  </w:style>
  <w:style w:type="character" w:customStyle="1" w:styleId="BodyTextChar">
    <w:name w:val="Body Text Char"/>
    <w:basedOn w:val="DefaultParagraphFont"/>
    <w:link w:val="BodyText"/>
    <w:uiPriority w:val="1"/>
    <w:rsid w:val="00A96CB7"/>
    <w:rPr>
      <w:rFonts w:ascii="Times New Roman" w:hAnsi="Times New Roman" w:cs="Times New Roman"/>
    </w:rPr>
  </w:style>
  <w:style w:type="paragraph" w:customStyle="1" w:styleId="Standard">
    <w:name w:val="Standard"/>
    <w:basedOn w:val="Normal"/>
    <w:link w:val="StandardChar"/>
    <w:qFormat/>
    <w:rsid w:val="00A96CB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A96CB7"/>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A96CB7"/>
    <w:pPr>
      <w:numPr>
        <w:numId w:val="5"/>
      </w:numPr>
      <w:spacing w:after="180"/>
      <w:ind w:left="426" w:hanging="284"/>
    </w:pPr>
    <w:rPr>
      <w:kern w:val="2"/>
    </w:rPr>
  </w:style>
  <w:style w:type="character" w:customStyle="1" w:styleId="BulletlistChar">
    <w:name w:val="Bullet list Char"/>
    <w:basedOn w:val="StandardChar"/>
    <w:link w:val="Bulletlist"/>
    <w:rsid w:val="00A96CB7"/>
    <w:rPr>
      <w:rFonts w:ascii="Cambria" w:eastAsia="Times New Roman" w:hAnsi="Cambria" w:cs="Times New Roman"/>
      <w:snapToGrid w:val="0"/>
      <w:kern w:val="2"/>
      <w:sz w:val="23"/>
      <w:szCs w:val="24"/>
    </w:rPr>
  </w:style>
  <w:style w:type="paragraph" w:customStyle="1" w:styleId="TableParagraph">
    <w:name w:val="Table Paragraph"/>
    <w:basedOn w:val="Normal"/>
    <w:uiPriority w:val="1"/>
    <w:qFormat/>
    <w:rsid w:val="00070DCE"/>
    <w:pPr>
      <w:widowControl w:val="0"/>
      <w:autoSpaceDE w:val="0"/>
      <w:autoSpaceDN w:val="0"/>
      <w:adjustRightInd w:val="0"/>
      <w:spacing w:before="0" w:after="0" w:line="240" w:lineRule="auto"/>
    </w:pPr>
    <w:rPr>
      <w:rFonts w:eastAsiaTheme="minorEastAsia" w:cs="Cambria"/>
      <w:sz w:val="24"/>
      <w:szCs w:val="24"/>
      <w:lang w:eastAsia="en-AU"/>
    </w:rPr>
  </w:style>
  <w:style w:type="paragraph" w:customStyle="1" w:styleId="table">
    <w:name w:val="table"/>
    <w:basedOn w:val="Normal"/>
    <w:qFormat/>
    <w:rsid w:val="00565852"/>
    <w:pPr>
      <w:adjustRightInd w:val="0"/>
      <w:snapToGrid w:val="0"/>
      <w:spacing w:before="0" w:after="0" w:line="240" w:lineRule="auto"/>
    </w:pPr>
    <w:rPr>
      <w:rFonts w:ascii="Times New Roman" w:eastAsia="MS Mincho" w:hAnsi="Times New Roman"/>
      <w:sz w:val="18"/>
      <w:szCs w:val="20"/>
      <w:lang w:eastAsia="ja-JP"/>
    </w:rPr>
  </w:style>
  <w:style w:type="table" w:styleId="LightList-Accent1">
    <w:name w:val="Light List Accent 1"/>
    <w:basedOn w:val="TableNormal"/>
    <w:uiPriority w:val="61"/>
    <w:rsid w:val="00565852"/>
    <w:pPr>
      <w:spacing w:after="0" w:line="240" w:lineRule="auto"/>
    </w:pPr>
    <w:rPr>
      <w:rFonts w:ascii="Times New Roman" w:hAnsi="Times New Roman" w:cs="Times New Roman"/>
      <w:sz w:val="24"/>
      <w:szCs w:val="24"/>
    </w:rPr>
    <w:tblPr>
      <w:tblStyleRowBandSize w:val="1"/>
      <w:tblStyleColBandSize w:val="1"/>
      <w:tblBorders>
        <w:top w:val="single" w:sz="8" w:space="0" w:color="002C47" w:themeColor="accent1"/>
        <w:left w:val="single" w:sz="8" w:space="0" w:color="002C47" w:themeColor="accent1"/>
        <w:bottom w:val="single" w:sz="8" w:space="0" w:color="002C47" w:themeColor="accent1"/>
        <w:right w:val="single" w:sz="8" w:space="0" w:color="002C47" w:themeColor="accent1"/>
      </w:tblBorders>
    </w:tblPr>
    <w:tblStylePr w:type="firstRow">
      <w:pPr>
        <w:spacing w:before="0" w:after="0" w:line="240" w:lineRule="auto"/>
      </w:pPr>
      <w:rPr>
        <w:b/>
        <w:bCs/>
        <w:color w:val="FFFFFF" w:themeColor="background1"/>
      </w:rPr>
      <w:tblPr/>
      <w:tcPr>
        <w:shd w:val="clear" w:color="auto" w:fill="002C47" w:themeFill="accent1"/>
      </w:tcPr>
    </w:tblStylePr>
    <w:tblStylePr w:type="lastRow">
      <w:pPr>
        <w:spacing w:before="0" w:after="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 w:type="character" w:customStyle="1" w:styleId="Heading8Char">
    <w:name w:val="Heading 8 Char"/>
    <w:basedOn w:val="DefaultParagraphFont"/>
    <w:link w:val="Heading8"/>
    <w:rsid w:val="00105FAC"/>
    <w:rPr>
      <w:rFonts w:asciiTheme="majorHAnsi" w:eastAsiaTheme="majorEastAsia" w:hAnsiTheme="majorHAnsi" w:cstheme="majorBidi"/>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E1B2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371AC4"/>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105FA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71AC4"/>
    <w:pPr>
      <w:keepNext/>
      <w:keepLines/>
      <w:spacing w:line="220" w:lineRule="atLeast"/>
    </w:pPr>
    <w:rPr>
      <w:b/>
    </w:rPr>
  </w:style>
  <w:style w:type="character" w:customStyle="1" w:styleId="Heading4Char">
    <w:name w:val="Heading 4 Char"/>
    <w:basedOn w:val="DefaultParagraphFont"/>
    <w:link w:val="Heading4"/>
    <w:rsid w:val="00371AC4"/>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NoSpacing">
    <w:name w:val="No Spacing"/>
    <w:uiPriority w:val="1"/>
    <w:rsid w:val="00436314"/>
    <w:pPr>
      <w:adjustRightInd w:val="0"/>
      <w:snapToGrid w:val="0"/>
      <w:spacing w:after="0" w:line="240" w:lineRule="auto"/>
    </w:pPr>
    <w:rPr>
      <w:rFonts w:ascii="Cambria" w:eastAsia="MS Mincho" w:hAnsi="Cambria" w:cs="Times New Roman"/>
      <w:szCs w:val="20"/>
      <w:lang w:eastAsia="ja-JP"/>
    </w:rPr>
  </w:style>
  <w:style w:type="paragraph" w:customStyle="1" w:styleId="GuidanceText">
    <w:name w:val="Guidance Text"/>
    <w:basedOn w:val="Normal"/>
    <w:link w:val="GuidanceTextChar"/>
    <w:autoRedefine/>
    <w:rsid w:val="00436314"/>
    <w:pPr>
      <w:autoSpaceDE w:val="0"/>
      <w:autoSpaceDN w:val="0"/>
      <w:adjustRightInd w:val="0"/>
      <w:spacing w:before="180" w:after="0" w:line="240" w:lineRule="auto"/>
      <w:ind w:right="-568"/>
    </w:pPr>
    <w:rPr>
      <w:rFonts w:asciiTheme="minorHAnsi" w:eastAsia="Times New Roman" w:hAnsiTheme="minorHAnsi" w:cstheme="majorHAnsi"/>
      <w:lang w:eastAsia="en-AU"/>
    </w:rPr>
  </w:style>
  <w:style w:type="character" w:customStyle="1" w:styleId="GuidanceTextChar">
    <w:name w:val="Guidance Text Char"/>
    <w:basedOn w:val="DefaultParagraphFont"/>
    <w:link w:val="GuidanceText"/>
    <w:rsid w:val="00436314"/>
    <w:rPr>
      <w:rFonts w:eastAsia="Times New Roman" w:cstheme="majorHAnsi"/>
      <w:lang w:eastAsia="en-AU"/>
    </w:rPr>
  </w:style>
  <w:style w:type="paragraph" w:styleId="ListParagraph">
    <w:name w:val="List Paragraph"/>
    <w:basedOn w:val="Normal"/>
    <w:uiPriority w:val="1"/>
    <w:qFormat/>
    <w:rsid w:val="0013789B"/>
    <w:pPr>
      <w:spacing w:before="0" w:after="0" w:line="240" w:lineRule="auto"/>
      <w:ind w:left="720"/>
      <w:contextualSpacing/>
    </w:pPr>
    <w:rPr>
      <w:rFonts w:ascii="Times New Roman" w:eastAsia="Times New Roman" w:hAnsi="Times New Roman"/>
      <w:sz w:val="24"/>
      <w:szCs w:val="20"/>
      <w:lang w:eastAsia="en-AU"/>
    </w:rPr>
  </w:style>
  <w:style w:type="character" w:styleId="HTMLCite">
    <w:name w:val="HTML Cite"/>
    <w:basedOn w:val="DefaultParagraphFont"/>
    <w:uiPriority w:val="99"/>
    <w:unhideWhenUsed/>
    <w:rsid w:val="0013789B"/>
    <w:rPr>
      <w:i/>
      <w:iCs/>
    </w:rPr>
  </w:style>
  <w:style w:type="paragraph" w:customStyle="1" w:styleId="TableCaption">
    <w:name w:val="Table Caption"/>
    <w:basedOn w:val="Normal"/>
    <w:next w:val="Normal"/>
    <w:link w:val="TableCaptionChar"/>
    <w:rsid w:val="00D20DD5"/>
    <w:pPr>
      <w:spacing w:before="60" w:after="440" w:line="215" w:lineRule="exact"/>
      <w:ind w:left="170"/>
    </w:pPr>
    <w:rPr>
      <w:sz w:val="19"/>
    </w:rPr>
  </w:style>
  <w:style w:type="character" w:customStyle="1" w:styleId="TableTitleChar">
    <w:name w:val="Table Title Char"/>
    <w:basedOn w:val="DefaultParagraphFont"/>
    <w:link w:val="TableTitle"/>
    <w:rsid w:val="00D20DD5"/>
    <w:rPr>
      <w:rFonts w:ascii="Cambria" w:eastAsia="Cambria" w:hAnsi="Cambria" w:cs="Times New Roman"/>
      <w:b/>
    </w:rPr>
  </w:style>
  <w:style w:type="character" w:customStyle="1" w:styleId="TabletextChar">
    <w:name w:val="Table text Char"/>
    <w:basedOn w:val="DefaultParagraphFont"/>
    <w:link w:val="Tabletext"/>
    <w:rsid w:val="00D20DD5"/>
    <w:rPr>
      <w:rFonts w:ascii="Cambria" w:eastAsia="Cambria" w:hAnsi="Cambria" w:cs="Times New Roman"/>
      <w:sz w:val="19"/>
    </w:rPr>
  </w:style>
  <w:style w:type="character" w:customStyle="1" w:styleId="TableCaptionChar">
    <w:name w:val="Table Caption Char"/>
    <w:basedOn w:val="TabletextChar"/>
    <w:link w:val="TableCaption"/>
    <w:rsid w:val="00D20DD5"/>
    <w:rPr>
      <w:rFonts w:ascii="Cambria" w:eastAsia="Cambria" w:hAnsi="Cambria" w:cs="Times New Roman"/>
      <w:sz w:val="19"/>
    </w:rPr>
  </w:style>
  <w:style w:type="paragraph" w:customStyle="1" w:styleId="TableHeader">
    <w:name w:val="Table Header"/>
    <w:basedOn w:val="Normal"/>
    <w:rsid w:val="00D20DD5"/>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D20DD5"/>
    <w:pPr>
      <w:spacing w:before="0" w:after="0" w:line="200" w:lineRule="atLeast"/>
      <w:jc w:val="center"/>
    </w:pPr>
    <w:rPr>
      <w:rFonts w:eastAsia="Times New Roman"/>
      <w:snapToGrid w:val="0"/>
      <w:kern w:val="16"/>
      <w:sz w:val="18"/>
      <w:szCs w:val="19"/>
    </w:rPr>
  </w:style>
  <w:style w:type="paragraph" w:styleId="BodyText">
    <w:name w:val="Body Text"/>
    <w:basedOn w:val="Normal"/>
    <w:link w:val="BodyTextChar"/>
    <w:uiPriority w:val="1"/>
    <w:qFormat/>
    <w:rsid w:val="00A96CB7"/>
    <w:pPr>
      <w:autoSpaceDE w:val="0"/>
      <w:autoSpaceDN w:val="0"/>
      <w:adjustRightInd w:val="0"/>
      <w:spacing w:before="101" w:after="0" w:line="240" w:lineRule="auto"/>
      <w:ind w:left="592" w:hanging="362"/>
    </w:pPr>
    <w:rPr>
      <w:rFonts w:ascii="Times New Roman" w:eastAsiaTheme="minorHAnsi" w:hAnsi="Times New Roman"/>
    </w:rPr>
  </w:style>
  <w:style w:type="character" w:customStyle="1" w:styleId="BodyTextChar">
    <w:name w:val="Body Text Char"/>
    <w:basedOn w:val="DefaultParagraphFont"/>
    <w:link w:val="BodyText"/>
    <w:uiPriority w:val="1"/>
    <w:rsid w:val="00A96CB7"/>
    <w:rPr>
      <w:rFonts w:ascii="Times New Roman" w:hAnsi="Times New Roman" w:cs="Times New Roman"/>
    </w:rPr>
  </w:style>
  <w:style w:type="paragraph" w:customStyle="1" w:styleId="Standard">
    <w:name w:val="Standard"/>
    <w:basedOn w:val="Normal"/>
    <w:link w:val="StandardChar"/>
    <w:qFormat/>
    <w:rsid w:val="00A96CB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A96CB7"/>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A96CB7"/>
    <w:pPr>
      <w:numPr>
        <w:numId w:val="5"/>
      </w:numPr>
      <w:spacing w:after="180"/>
      <w:ind w:left="426" w:hanging="284"/>
    </w:pPr>
    <w:rPr>
      <w:kern w:val="2"/>
    </w:rPr>
  </w:style>
  <w:style w:type="character" w:customStyle="1" w:styleId="BulletlistChar">
    <w:name w:val="Bullet list Char"/>
    <w:basedOn w:val="StandardChar"/>
    <w:link w:val="Bulletlist"/>
    <w:rsid w:val="00A96CB7"/>
    <w:rPr>
      <w:rFonts w:ascii="Cambria" w:eastAsia="Times New Roman" w:hAnsi="Cambria" w:cs="Times New Roman"/>
      <w:snapToGrid w:val="0"/>
      <w:kern w:val="2"/>
      <w:sz w:val="23"/>
      <w:szCs w:val="24"/>
    </w:rPr>
  </w:style>
  <w:style w:type="paragraph" w:customStyle="1" w:styleId="TableParagraph">
    <w:name w:val="Table Paragraph"/>
    <w:basedOn w:val="Normal"/>
    <w:uiPriority w:val="1"/>
    <w:qFormat/>
    <w:rsid w:val="00070DCE"/>
    <w:pPr>
      <w:widowControl w:val="0"/>
      <w:autoSpaceDE w:val="0"/>
      <w:autoSpaceDN w:val="0"/>
      <w:adjustRightInd w:val="0"/>
      <w:spacing w:before="0" w:after="0" w:line="240" w:lineRule="auto"/>
    </w:pPr>
    <w:rPr>
      <w:rFonts w:eastAsiaTheme="minorEastAsia" w:cs="Cambria"/>
      <w:sz w:val="24"/>
      <w:szCs w:val="24"/>
      <w:lang w:eastAsia="en-AU"/>
    </w:rPr>
  </w:style>
  <w:style w:type="paragraph" w:customStyle="1" w:styleId="table">
    <w:name w:val="table"/>
    <w:basedOn w:val="Normal"/>
    <w:qFormat/>
    <w:rsid w:val="00565852"/>
    <w:pPr>
      <w:adjustRightInd w:val="0"/>
      <w:snapToGrid w:val="0"/>
      <w:spacing w:before="0" w:after="0" w:line="240" w:lineRule="auto"/>
    </w:pPr>
    <w:rPr>
      <w:rFonts w:ascii="Times New Roman" w:eastAsia="MS Mincho" w:hAnsi="Times New Roman"/>
      <w:sz w:val="18"/>
      <w:szCs w:val="20"/>
      <w:lang w:eastAsia="ja-JP"/>
    </w:rPr>
  </w:style>
  <w:style w:type="table" w:styleId="LightList-Accent1">
    <w:name w:val="Light List Accent 1"/>
    <w:basedOn w:val="TableNormal"/>
    <w:uiPriority w:val="61"/>
    <w:rsid w:val="00565852"/>
    <w:pPr>
      <w:spacing w:after="0" w:line="240" w:lineRule="auto"/>
    </w:pPr>
    <w:rPr>
      <w:rFonts w:ascii="Times New Roman" w:hAnsi="Times New Roman" w:cs="Times New Roman"/>
      <w:sz w:val="24"/>
      <w:szCs w:val="24"/>
    </w:rPr>
    <w:tblPr>
      <w:tblStyleRowBandSize w:val="1"/>
      <w:tblStyleColBandSize w:val="1"/>
      <w:tblBorders>
        <w:top w:val="single" w:sz="8" w:space="0" w:color="002C47" w:themeColor="accent1"/>
        <w:left w:val="single" w:sz="8" w:space="0" w:color="002C47" w:themeColor="accent1"/>
        <w:bottom w:val="single" w:sz="8" w:space="0" w:color="002C47" w:themeColor="accent1"/>
        <w:right w:val="single" w:sz="8" w:space="0" w:color="002C47" w:themeColor="accent1"/>
      </w:tblBorders>
    </w:tblPr>
    <w:tblStylePr w:type="firstRow">
      <w:pPr>
        <w:spacing w:before="0" w:after="0" w:line="240" w:lineRule="auto"/>
      </w:pPr>
      <w:rPr>
        <w:b/>
        <w:bCs/>
        <w:color w:val="FFFFFF" w:themeColor="background1"/>
      </w:rPr>
      <w:tblPr/>
      <w:tcPr>
        <w:shd w:val="clear" w:color="auto" w:fill="002C47" w:themeFill="accent1"/>
      </w:tcPr>
    </w:tblStylePr>
    <w:tblStylePr w:type="lastRow">
      <w:pPr>
        <w:spacing w:before="0" w:after="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 w:type="character" w:customStyle="1" w:styleId="Heading8Char">
    <w:name w:val="Heading 8 Char"/>
    <w:basedOn w:val="DefaultParagraphFont"/>
    <w:link w:val="Heading8"/>
    <w:rsid w:val="00105FAC"/>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6333">
      <w:bodyDiv w:val="1"/>
      <w:marLeft w:val="0"/>
      <w:marRight w:val="0"/>
      <w:marTop w:val="0"/>
      <w:marBottom w:val="0"/>
      <w:divBdr>
        <w:top w:val="none" w:sz="0" w:space="0" w:color="auto"/>
        <w:left w:val="none" w:sz="0" w:space="0" w:color="auto"/>
        <w:bottom w:val="none" w:sz="0" w:space="0" w:color="auto"/>
        <w:right w:val="none" w:sz="0" w:space="0" w:color="auto"/>
      </w:divBdr>
    </w:div>
    <w:div w:id="71902646">
      <w:bodyDiv w:val="1"/>
      <w:marLeft w:val="0"/>
      <w:marRight w:val="0"/>
      <w:marTop w:val="0"/>
      <w:marBottom w:val="0"/>
      <w:divBdr>
        <w:top w:val="none" w:sz="0" w:space="0" w:color="auto"/>
        <w:left w:val="none" w:sz="0" w:space="0" w:color="auto"/>
        <w:bottom w:val="none" w:sz="0" w:space="0" w:color="auto"/>
        <w:right w:val="none" w:sz="0" w:space="0" w:color="auto"/>
      </w:divBdr>
    </w:div>
    <w:div w:id="99379626">
      <w:bodyDiv w:val="1"/>
      <w:marLeft w:val="0"/>
      <w:marRight w:val="0"/>
      <w:marTop w:val="0"/>
      <w:marBottom w:val="0"/>
      <w:divBdr>
        <w:top w:val="none" w:sz="0" w:space="0" w:color="auto"/>
        <w:left w:val="none" w:sz="0" w:space="0" w:color="auto"/>
        <w:bottom w:val="none" w:sz="0" w:space="0" w:color="auto"/>
        <w:right w:val="none" w:sz="0" w:space="0" w:color="auto"/>
      </w:divBdr>
    </w:div>
    <w:div w:id="144050502">
      <w:bodyDiv w:val="1"/>
      <w:marLeft w:val="0"/>
      <w:marRight w:val="0"/>
      <w:marTop w:val="0"/>
      <w:marBottom w:val="0"/>
      <w:divBdr>
        <w:top w:val="none" w:sz="0" w:space="0" w:color="auto"/>
        <w:left w:val="none" w:sz="0" w:space="0" w:color="auto"/>
        <w:bottom w:val="none" w:sz="0" w:space="0" w:color="auto"/>
        <w:right w:val="none" w:sz="0" w:space="0" w:color="auto"/>
      </w:divBdr>
    </w:div>
    <w:div w:id="152767109">
      <w:bodyDiv w:val="1"/>
      <w:marLeft w:val="0"/>
      <w:marRight w:val="0"/>
      <w:marTop w:val="0"/>
      <w:marBottom w:val="0"/>
      <w:divBdr>
        <w:top w:val="none" w:sz="0" w:space="0" w:color="auto"/>
        <w:left w:val="none" w:sz="0" w:space="0" w:color="auto"/>
        <w:bottom w:val="none" w:sz="0" w:space="0" w:color="auto"/>
        <w:right w:val="none" w:sz="0" w:space="0" w:color="auto"/>
      </w:divBdr>
    </w:div>
    <w:div w:id="169806483">
      <w:bodyDiv w:val="1"/>
      <w:marLeft w:val="0"/>
      <w:marRight w:val="0"/>
      <w:marTop w:val="0"/>
      <w:marBottom w:val="0"/>
      <w:divBdr>
        <w:top w:val="none" w:sz="0" w:space="0" w:color="auto"/>
        <w:left w:val="none" w:sz="0" w:space="0" w:color="auto"/>
        <w:bottom w:val="none" w:sz="0" w:space="0" w:color="auto"/>
        <w:right w:val="none" w:sz="0" w:space="0" w:color="auto"/>
      </w:divBdr>
    </w:div>
    <w:div w:id="181940647">
      <w:bodyDiv w:val="1"/>
      <w:marLeft w:val="0"/>
      <w:marRight w:val="0"/>
      <w:marTop w:val="0"/>
      <w:marBottom w:val="0"/>
      <w:divBdr>
        <w:top w:val="none" w:sz="0" w:space="0" w:color="auto"/>
        <w:left w:val="none" w:sz="0" w:space="0" w:color="auto"/>
        <w:bottom w:val="none" w:sz="0" w:space="0" w:color="auto"/>
        <w:right w:val="none" w:sz="0" w:space="0" w:color="auto"/>
      </w:divBdr>
    </w:div>
    <w:div w:id="193157086">
      <w:bodyDiv w:val="1"/>
      <w:marLeft w:val="0"/>
      <w:marRight w:val="0"/>
      <w:marTop w:val="0"/>
      <w:marBottom w:val="0"/>
      <w:divBdr>
        <w:top w:val="none" w:sz="0" w:space="0" w:color="auto"/>
        <w:left w:val="none" w:sz="0" w:space="0" w:color="auto"/>
        <w:bottom w:val="none" w:sz="0" w:space="0" w:color="auto"/>
        <w:right w:val="none" w:sz="0" w:space="0" w:color="auto"/>
      </w:divBdr>
    </w:div>
    <w:div w:id="319505109">
      <w:bodyDiv w:val="1"/>
      <w:marLeft w:val="0"/>
      <w:marRight w:val="0"/>
      <w:marTop w:val="0"/>
      <w:marBottom w:val="0"/>
      <w:divBdr>
        <w:top w:val="none" w:sz="0" w:space="0" w:color="auto"/>
        <w:left w:val="none" w:sz="0" w:space="0" w:color="auto"/>
        <w:bottom w:val="none" w:sz="0" w:space="0" w:color="auto"/>
        <w:right w:val="none" w:sz="0" w:space="0" w:color="auto"/>
      </w:divBdr>
      <w:divsChild>
        <w:div w:id="1616674468">
          <w:marLeft w:val="0"/>
          <w:marRight w:val="0"/>
          <w:marTop w:val="0"/>
          <w:marBottom w:val="0"/>
          <w:divBdr>
            <w:top w:val="none" w:sz="0" w:space="0" w:color="auto"/>
            <w:left w:val="none" w:sz="0" w:space="0" w:color="auto"/>
            <w:bottom w:val="none" w:sz="0" w:space="0" w:color="auto"/>
            <w:right w:val="none" w:sz="0" w:space="0" w:color="auto"/>
          </w:divBdr>
          <w:divsChild>
            <w:div w:id="1370498300">
              <w:marLeft w:val="0"/>
              <w:marRight w:val="0"/>
              <w:marTop w:val="0"/>
              <w:marBottom w:val="0"/>
              <w:divBdr>
                <w:top w:val="none" w:sz="0" w:space="0" w:color="auto"/>
                <w:left w:val="none" w:sz="0" w:space="0" w:color="auto"/>
                <w:bottom w:val="none" w:sz="0" w:space="0" w:color="auto"/>
                <w:right w:val="none" w:sz="0" w:space="0" w:color="auto"/>
              </w:divBdr>
              <w:divsChild>
                <w:div w:id="1537349102">
                  <w:marLeft w:val="0"/>
                  <w:marRight w:val="0"/>
                  <w:marTop w:val="0"/>
                  <w:marBottom w:val="0"/>
                  <w:divBdr>
                    <w:top w:val="none" w:sz="0" w:space="0" w:color="auto"/>
                    <w:left w:val="none" w:sz="0" w:space="0" w:color="auto"/>
                    <w:bottom w:val="none" w:sz="0" w:space="0" w:color="auto"/>
                    <w:right w:val="none" w:sz="0" w:space="0" w:color="auto"/>
                  </w:divBdr>
                  <w:divsChild>
                    <w:div w:id="285703052">
                      <w:marLeft w:val="0"/>
                      <w:marRight w:val="0"/>
                      <w:marTop w:val="0"/>
                      <w:marBottom w:val="0"/>
                      <w:divBdr>
                        <w:top w:val="none" w:sz="0" w:space="0" w:color="auto"/>
                        <w:left w:val="none" w:sz="0" w:space="0" w:color="auto"/>
                        <w:bottom w:val="none" w:sz="0" w:space="0" w:color="auto"/>
                        <w:right w:val="none" w:sz="0" w:space="0" w:color="auto"/>
                      </w:divBdr>
                      <w:divsChild>
                        <w:div w:id="142821521">
                          <w:marLeft w:val="0"/>
                          <w:marRight w:val="0"/>
                          <w:marTop w:val="0"/>
                          <w:marBottom w:val="0"/>
                          <w:divBdr>
                            <w:top w:val="none" w:sz="0" w:space="0" w:color="auto"/>
                            <w:left w:val="none" w:sz="0" w:space="0" w:color="auto"/>
                            <w:bottom w:val="none" w:sz="0" w:space="0" w:color="auto"/>
                            <w:right w:val="none" w:sz="0" w:space="0" w:color="auto"/>
                          </w:divBdr>
                          <w:divsChild>
                            <w:div w:id="7542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976850">
      <w:bodyDiv w:val="1"/>
      <w:marLeft w:val="0"/>
      <w:marRight w:val="0"/>
      <w:marTop w:val="0"/>
      <w:marBottom w:val="0"/>
      <w:divBdr>
        <w:top w:val="none" w:sz="0" w:space="0" w:color="auto"/>
        <w:left w:val="none" w:sz="0" w:space="0" w:color="auto"/>
        <w:bottom w:val="none" w:sz="0" w:space="0" w:color="auto"/>
        <w:right w:val="none" w:sz="0" w:space="0" w:color="auto"/>
      </w:divBdr>
    </w:div>
    <w:div w:id="508371856">
      <w:bodyDiv w:val="1"/>
      <w:marLeft w:val="0"/>
      <w:marRight w:val="0"/>
      <w:marTop w:val="0"/>
      <w:marBottom w:val="0"/>
      <w:divBdr>
        <w:top w:val="none" w:sz="0" w:space="0" w:color="auto"/>
        <w:left w:val="none" w:sz="0" w:space="0" w:color="auto"/>
        <w:bottom w:val="none" w:sz="0" w:space="0" w:color="auto"/>
        <w:right w:val="none" w:sz="0" w:space="0" w:color="auto"/>
      </w:divBdr>
    </w:div>
    <w:div w:id="535585339">
      <w:bodyDiv w:val="1"/>
      <w:marLeft w:val="0"/>
      <w:marRight w:val="0"/>
      <w:marTop w:val="0"/>
      <w:marBottom w:val="0"/>
      <w:divBdr>
        <w:top w:val="none" w:sz="0" w:space="0" w:color="auto"/>
        <w:left w:val="none" w:sz="0" w:space="0" w:color="auto"/>
        <w:bottom w:val="none" w:sz="0" w:space="0" w:color="auto"/>
        <w:right w:val="none" w:sz="0" w:space="0" w:color="auto"/>
      </w:divBdr>
    </w:div>
    <w:div w:id="630945509">
      <w:bodyDiv w:val="1"/>
      <w:marLeft w:val="0"/>
      <w:marRight w:val="0"/>
      <w:marTop w:val="0"/>
      <w:marBottom w:val="0"/>
      <w:divBdr>
        <w:top w:val="none" w:sz="0" w:space="0" w:color="auto"/>
        <w:left w:val="none" w:sz="0" w:space="0" w:color="auto"/>
        <w:bottom w:val="none" w:sz="0" w:space="0" w:color="auto"/>
        <w:right w:val="none" w:sz="0" w:space="0" w:color="auto"/>
      </w:divBdr>
    </w:div>
    <w:div w:id="681129116">
      <w:bodyDiv w:val="1"/>
      <w:marLeft w:val="0"/>
      <w:marRight w:val="0"/>
      <w:marTop w:val="0"/>
      <w:marBottom w:val="0"/>
      <w:divBdr>
        <w:top w:val="none" w:sz="0" w:space="0" w:color="auto"/>
        <w:left w:val="none" w:sz="0" w:space="0" w:color="auto"/>
        <w:bottom w:val="none" w:sz="0" w:space="0" w:color="auto"/>
        <w:right w:val="none" w:sz="0" w:space="0" w:color="auto"/>
      </w:divBdr>
      <w:divsChild>
        <w:div w:id="1770194458">
          <w:marLeft w:val="0"/>
          <w:marRight w:val="0"/>
          <w:marTop w:val="0"/>
          <w:marBottom w:val="0"/>
          <w:divBdr>
            <w:top w:val="none" w:sz="0" w:space="0" w:color="auto"/>
            <w:left w:val="none" w:sz="0" w:space="0" w:color="auto"/>
            <w:bottom w:val="none" w:sz="0" w:space="0" w:color="auto"/>
            <w:right w:val="none" w:sz="0" w:space="0" w:color="auto"/>
          </w:divBdr>
          <w:divsChild>
            <w:div w:id="474378657">
              <w:marLeft w:val="0"/>
              <w:marRight w:val="0"/>
              <w:marTop w:val="0"/>
              <w:marBottom w:val="0"/>
              <w:divBdr>
                <w:top w:val="none" w:sz="0" w:space="0" w:color="auto"/>
                <w:left w:val="none" w:sz="0" w:space="0" w:color="auto"/>
                <w:bottom w:val="none" w:sz="0" w:space="0" w:color="auto"/>
                <w:right w:val="none" w:sz="0" w:space="0" w:color="auto"/>
              </w:divBdr>
              <w:divsChild>
                <w:div w:id="2090034114">
                  <w:marLeft w:val="0"/>
                  <w:marRight w:val="0"/>
                  <w:marTop w:val="0"/>
                  <w:marBottom w:val="0"/>
                  <w:divBdr>
                    <w:top w:val="none" w:sz="0" w:space="0" w:color="auto"/>
                    <w:left w:val="none" w:sz="0" w:space="0" w:color="auto"/>
                    <w:bottom w:val="none" w:sz="0" w:space="0" w:color="auto"/>
                    <w:right w:val="none" w:sz="0" w:space="0" w:color="auto"/>
                  </w:divBdr>
                  <w:divsChild>
                    <w:div w:id="1844006410">
                      <w:marLeft w:val="0"/>
                      <w:marRight w:val="0"/>
                      <w:marTop w:val="0"/>
                      <w:marBottom w:val="0"/>
                      <w:divBdr>
                        <w:top w:val="none" w:sz="0" w:space="0" w:color="auto"/>
                        <w:left w:val="none" w:sz="0" w:space="0" w:color="auto"/>
                        <w:bottom w:val="none" w:sz="0" w:space="0" w:color="auto"/>
                        <w:right w:val="none" w:sz="0" w:space="0" w:color="auto"/>
                      </w:divBdr>
                      <w:divsChild>
                        <w:div w:id="1665163257">
                          <w:marLeft w:val="0"/>
                          <w:marRight w:val="0"/>
                          <w:marTop w:val="0"/>
                          <w:marBottom w:val="0"/>
                          <w:divBdr>
                            <w:top w:val="none" w:sz="0" w:space="0" w:color="auto"/>
                            <w:left w:val="none" w:sz="0" w:space="0" w:color="auto"/>
                            <w:bottom w:val="none" w:sz="0" w:space="0" w:color="auto"/>
                            <w:right w:val="none" w:sz="0" w:space="0" w:color="auto"/>
                          </w:divBdr>
                          <w:divsChild>
                            <w:div w:id="19295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327030">
      <w:bodyDiv w:val="1"/>
      <w:marLeft w:val="0"/>
      <w:marRight w:val="0"/>
      <w:marTop w:val="0"/>
      <w:marBottom w:val="0"/>
      <w:divBdr>
        <w:top w:val="none" w:sz="0" w:space="0" w:color="auto"/>
        <w:left w:val="none" w:sz="0" w:space="0" w:color="auto"/>
        <w:bottom w:val="none" w:sz="0" w:space="0" w:color="auto"/>
        <w:right w:val="none" w:sz="0" w:space="0" w:color="auto"/>
      </w:divBdr>
      <w:divsChild>
        <w:div w:id="298344933">
          <w:marLeft w:val="0"/>
          <w:marRight w:val="0"/>
          <w:marTop w:val="0"/>
          <w:marBottom w:val="0"/>
          <w:divBdr>
            <w:top w:val="none" w:sz="0" w:space="0" w:color="auto"/>
            <w:left w:val="none" w:sz="0" w:space="0" w:color="auto"/>
            <w:bottom w:val="none" w:sz="0" w:space="0" w:color="auto"/>
            <w:right w:val="none" w:sz="0" w:space="0" w:color="auto"/>
          </w:divBdr>
          <w:divsChild>
            <w:div w:id="687684142">
              <w:marLeft w:val="0"/>
              <w:marRight w:val="0"/>
              <w:marTop w:val="0"/>
              <w:marBottom w:val="0"/>
              <w:divBdr>
                <w:top w:val="none" w:sz="0" w:space="0" w:color="auto"/>
                <w:left w:val="none" w:sz="0" w:space="0" w:color="auto"/>
                <w:bottom w:val="none" w:sz="0" w:space="0" w:color="auto"/>
                <w:right w:val="none" w:sz="0" w:space="0" w:color="auto"/>
              </w:divBdr>
              <w:divsChild>
                <w:div w:id="155734166">
                  <w:marLeft w:val="0"/>
                  <w:marRight w:val="0"/>
                  <w:marTop w:val="0"/>
                  <w:marBottom w:val="0"/>
                  <w:divBdr>
                    <w:top w:val="none" w:sz="0" w:space="0" w:color="auto"/>
                    <w:left w:val="none" w:sz="0" w:space="0" w:color="auto"/>
                    <w:bottom w:val="none" w:sz="0" w:space="0" w:color="auto"/>
                    <w:right w:val="none" w:sz="0" w:space="0" w:color="auto"/>
                  </w:divBdr>
                  <w:divsChild>
                    <w:div w:id="1238243376">
                      <w:marLeft w:val="0"/>
                      <w:marRight w:val="0"/>
                      <w:marTop w:val="0"/>
                      <w:marBottom w:val="0"/>
                      <w:divBdr>
                        <w:top w:val="none" w:sz="0" w:space="0" w:color="auto"/>
                        <w:left w:val="none" w:sz="0" w:space="0" w:color="auto"/>
                        <w:bottom w:val="none" w:sz="0" w:space="0" w:color="auto"/>
                        <w:right w:val="none" w:sz="0" w:space="0" w:color="auto"/>
                      </w:divBdr>
                      <w:divsChild>
                        <w:div w:id="920262479">
                          <w:marLeft w:val="0"/>
                          <w:marRight w:val="0"/>
                          <w:marTop w:val="0"/>
                          <w:marBottom w:val="0"/>
                          <w:divBdr>
                            <w:top w:val="none" w:sz="0" w:space="0" w:color="auto"/>
                            <w:left w:val="none" w:sz="0" w:space="0" w:color="auto"/>
                            <w:bottom w:val="none" w:sz="0" w:space="0" w:color="auto"/>
                            <w:right w:val="none" w:sz="0" w:space="0" w:color="auto"/>
                          </w:divBdr>
                          <w:divsChild>
                            <w:div w:id="19414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140548">
      <w:bodyDiv w:val="1"/>
      <w:marLeft w:val="0"/>
      <w:marRight w:val="0"/>
      <w:marTop w:val="0"/>
      <w:marBottom w:val="0"/>
      <w:divBdr>
        <w:top w:val="none" w:sz="0" w:space="0" w:color="auto"/>
        <w:left w:val="none" w:sz="0" w:space="0" w:color="auto"/>
        <w:bottom w:val="none" w:sz="0" w:space="0" w:color="auto"/>
        <w:right w:val="none" w:sz="0" w:space="0" w:color="auto"/>
      </w:divBdr>
    </w:div>
    <w:div w:id="754782819">
      <w:bodyDiv w:val="1"/>
      <w:marLeft w:val="0"/>
      <w:marRight w:val="0"/>
      <w:marTop w:val="0"/>
      <w:marBottom w:val="0"/>
      <w:divBdr>
        <w:top w:val="none" w:sz="0" w:space="0" w:color="auto"/>
        <w:left w:val="none" w:sz="0" w:space="0" w:color="auto"/>
        <w:bottom w:val="none" w:sz="0" w:space="0" w:color="auto"/>
        <w:right w:val="none" w:sz="0" w:space="0" w:color="auto"/>
      </w:divBdr>
    </w:div>
    <w:div w:id="772825756">
      <w:bodyDiv w:val="1"/>
      <w:marLeft w:val="0"/>
      <w:marRight w:val="0"/>
      <w:marTop w:val="0"/>
      <w:marBottom w:val="0"/>
      <w:divBdr>
        <w:top w:val="none" w:sz="0" w:space="0" w:color="auto"/>
        <w:left w:val="none" w:sz="0" w:space="0" w:color="auto"/>
        <w:bottom w:val="none" w:sz="0" w:space="0" w:color="auto"/>
        <w:right w:val="none" w:sz="0" w:space="0" w:color="auto"/>
      </w:divBdr>
    </w:div>
    <w:div w:id="824316686">
      <w:bodyDiv w:val="1"/>
      <w:marLeft w:val="0"/>
      <w:marRight w:val="0"/>
      <w:marTop w:val="0"/>
      <w:marBottom w:val="0"/>
      <w:divBdr>
        <w:top w:val="none" w:sz="0" w:space="0" w:color="auto"/>
        <w:left w:val="none" w:sz="0" w:space="0" w:color="auto"/>
        <w:bottom w:val="none" w:sz="0" w:space="0" w:color="auto"/>
        <w:right w:val="none" w:sz="0" w:space="0" w:color="auto"/>
      </w:divBdr>
    </w:div>
    <w:div w:id="831915290">
      <w:bodyDiv w:val="1"/>
      <w:marLeft w:val="0"/>
      <w:marRight w:val="0"/>
      <w:marTop w:val="0"/>
      <w:marBottom w:val="0"/>
      <w:divBdr>
        <w:top w:val="none" w:sz="0" w:space="0" w:color="auto"/>
        <w:left w:val="none" w:sz="0" w:space="0" w:color="auto"/>
        <w:bottom w:val="none" w:sz="0" w:space="0" w:color="auto"/>
        <w:right w:val="none" w:sz="0" w:space="0" w:color="auto"/>
      </w:divBdr>
    </w:div>
    <w:div w:id="854881493">
      <w:bodyDiv w:val="1"/>
      <w:marLeft w:val="0"/>
      <w:marRight w:val="0"/>
      <w:marTop w:val="0"/>
      <w:marBottom w:val="0"/>
      <w:divBdr>
        <w:top w:val="none" w:sz="0" w:space="0" w:color="auto"/>
        <w:left w:val="none" w:sz="0" w:space="0" w:color="auto"/>
        <w:bottom w:val="none" w:sz="0" w:space="0" w:color="auto"/>
        <w:right w:val="none" w:sz="0" w:space="0" w:color="auto"/>
      </w:divBdr>
    </w:div>
    <w:div w:id="918249883">
      <w:bodyDiv w:val="1"/>
      <w:marLeft w:val="0"/>
      <w:marRight w:val="0"/>
      <w:marTop w:val="0"/>
      <w:marBottom w:val="0"/>
      <w:divBdr>
        <w:top w:val="none" w:sz="0" w:space="0" w:color="auto"/>
        <w:left w:val="none" w:sz="0" w:space="0" w:color="auto"/>
        <w:bottom w:val="none" w:sz="0" w:space="0" w:color="auto"/>
        <w:right w:val="none" w:sz="0" w:space="0" w:color="auto"/>
      </w:divBdr>
    </w:div>
    <w:div w:id="1000429504">
      <w:bodyDiv w:val="1"/>
      <w:marLeft w:val="0"/>
      <w:marRight w:val="0"/>
      <w:marTop w:val="0"/>
      <w:marBottom w:val="0"/>
      <w:divBdr>
        <w:top w:val="none" w:sz="0" w:space="0" w:color="auto"/>
        <w:left w:val="none" w:sz="0" w:space="0" w:color="auto"/>
        <w:bottom w:val="none" w:sz="0" w:space="0" w:color="auto"/>
        <w:right w:val="none" w:sz="0" w:space="0" w:color="auto"/>
      </w:divBdr>
    </w:div>
    <w:div w:id="1088959800">
      <w:bodyDiv w:val="1"/>
      <w:marLeft w:val="0"/>
      <w:marRight w:val="0"/>
      <w:marTop w:val="0"/>
      <w:marBottom w:val="0"/>
      <w:divBdr>
        <w:top w:val="none" w:sz="0" w:space="0" w:color="auto"/>
        <w:left w:val="none" w:sz="0" w:space="0" w:color="auto"/>
        <w:bottom w:val="none" w:sz="0" w:space="0" w:color="auto"/>
        <w:right w:val="none" w:sz="0" w:space="0" w:color="auto"/>
      </w:divBdr>
    </w:div>
    <w:div w:id="1103955833">
      <w:bodyDiv w:val="1"/>
      <w:marLeft w:val="0"/>
      <w:marRight w:val="0"/>
      <w:marTop w:val="0"/>
      <w:marBottom w:val="0"/>
      <w:divBdr>
        <w:top w:val="none" w:sz="0" w:space="0" w:color="auto"/>
        <w:left w:val="none" w:sz="0" w:space="0" w:color="auto"/>
        <w:bottom w:val="none" w:sz="0" w:space="0" w:color="auto"/>
        <w:right w:val="none" w:sz="0" w:space="0" w:color="auto"/>
      </w:divBdr>
    </w:div>
    <w:div w:id="1242762156">
      <w:bodyDiv w:val="1"/>
      <w:marLeft w:val="0"/>
      <w:marRight w:val="0"/>
      <w:marTop w:val="0"/>
      <w:marBottom w:val="0"/>
      <w:divBdr>
        <w:top w:val="none" w:sz="0" w:space="0" w:color="auto"/>
        <w:left w:val="none" w:sz="0" w:space="0" w:color="auto"/>
        <w:bottom w:val="none" w:sz="0" w:space="0" w:color="auto"/>
        <w:right w:val="none" w:sz="0" w:space="0" w:color="auto"/>
      </w:divBdr>
    </w:div>
    <w:div w:id="1291126168">
      <w:bodyDiv w:val="1"/>
      <w:marLeft w:val="0"/>
      <w:marRight w:val="0"/>
      <w:marTop w:val="0"/>
      <w:marBottom w:val="0"/>
      <w:divBdr>
        <w:top w:val="none" w:sz="0" w:space="0" w:color="auto"/>
        <w:left w:val="none" w:sz="0" w:space="0" w:color="auto"/>
        <w:bottom w:val="none" w:sz="0" w:space="0" w:color="auto"/>
        <w:right w:val="none" w:sz="0" w:space="0" w:color="auto"/>
      </w:divBdr>
    </w:div>
    <w:div w:id="1315255891">
      <w:bodyDiv w:val="1"/>
      <w:marLeft w:val="0"/>
      <w:marRight w:val="0"/>
      <w:marTop w:val="0"/>
      <w:marBottom w:val="0"/>
      <w:divBdr>
        <w:top w:val="none" w:sz="0" w:space="0" w:color="auto"/>
        <w:left w:val="none" w:sz="0" w:space="0" w:color="auto"/>
        <w:bottom w:val="none" w:sz="0" w:space="0" w:color="auto"/>
        <w:right w:val="none" w:sz="0" w:space="0" w:color="auto"/>
      </w:divBdr>
    </w:div>
    <w:div w:id="1395393872">
      <w:bodyDiv w:val="1"/>
      <w:marLeft w:val="0"/>
      <w:marRight w:val="0"/>
      <w:marTop w:val="0"/>
      <w:marBottom w:val="0"/>
      <w:divBdr>
        <w:top w:val="none" w:sz="0" w:space="0" w:color="auto"/>
        <w:left w:val="none" w:sz="0" w:space="0" w:color="auto"/>
        <w:bottom w:val="none" w:sz="0" w:space="0" w:color="auto"/>
        <w:right w:val="none" w:sz="0" w:space="0" w:color="auto"/>
      </w:divBdr>
    </w:div>
    <w:div w:id="1434938595">
      <w:bodyDiv w:val="1"/>
      <w:marLeft w:val="0"/>
      <w:marRight w:val="0"/>
      <w:marTop w:val="0"/>
      <w:marBottom w:val="0"/>
      <w:divBdr>
        <w:top w:val="none" w:sz="0" w:space="0" w:color="auto"/>
        <w:left w:val="none" w:sz="0" w:space="0" w:color="auto"/>
        <w:bottom w:val="none" w:sz="0" w:space="0" w:color="auto"/>
        <w:right w:val="none" w:sz="0" w:space="0" w:color="auto"/>
      </w:divBdr>
    </w:div>
    <w:div w:id="1467161025">
      <w:bodyDiv w:val="1"/>
      <w:marLeft w:val="0"/>
      <w:marRight w:val="0"/>
      <w:marTop w:val="0"/>
      <w:marBottom w:val="0"/>
      <w:divBdr>
        <w:top w:val="none" w:sz="0" w:space="0" w:color="auto"/>
        <w:left w:val="none" w:sz="0" w:space="0" w:color="auto"/>
        <w:bottom w:val="none" w:sz="0" w:space="0" w:color="auto"/>
        <w:right w:val="none" w:sz="0" w:space="0" w:color="auto"/>
      </w:divBdr>
    </w:div>
    <w:div w:id="1494955803">
      <w:bodyDiv w:val="1"/>
      <w:marLeft w:val="0"/>
      <w:marRight w:val="0"/>
      <w:marTop w:val="0"/>
      <w:marBottom w:val="0"/>
      <w:divBdr>
        <w:top w:val="none" w:sz="0" w:space="0" w:color="auto"/>
        <w:left w:val="none" w:sz="0" w:space="0" w:color="auto"/>
        <w:bottom w:val="none" w:sz="0" w:space="0" w:color="auto"/>
        <w:right w:val="none" w:sz="0" w:space="0" w:color="auto"/>
      </w:divBdr>
    </w:div>
    <w:div w:id="1497116277">
      <w:bodyDiv w:val="1"/>
      <w:marLeft w:val="0"/>
      <w:marRight w:val="0"/>
      <w:marTop w:val="0"/>
      <w:marBottom w:val="0"/>
      <w:divBdr>
        <w:top w:val="none" w:sz="0" w:space="0" w:color="auto"/>
        <w:left w:val="none" w:sz="0" w:space="0" w:color="auto"/>
        <w:bottom w:val="none" w:sz="0" w:space="0" w:color="auto"/>
        <w:right w:val="none" w:sz="0" w:space="0" w:color="auto"/>
      </w:divBdr>
    </w:div>
    <w:div w:id="1527597487">
      <w:bodyDiv w:val="1"/>
      <w:marLeft w:val="0"/>
      <w:marRight w:val="0"/>
      <w:marTop w:val="0"/>
      <w:marBottom w:val="0"/>
      <w:divBdr>
        <w:top w:val="none" w:sz="0" w:space="0" w:color="auto"/>
        <w:left w:val="none" w:sz="0" w:space="0" w:color="auto"/>
        <w:bottom w:val="none" w:sz="0" w:space="0" w:color="auto"/>
        <w:right w:val="none" w:sz="0" w:space="0" w:color="auto"/>
      </w:divBdr>
    </w:div>
    <w:div w:id="1646859654">
      <w:bodyDiv w:val="1"/>
      <w:marLeft w:val="0"/>
      <w:marRight w:val="0"/>
      <w:marTop w:val="0"/>
      <w:marBottom w:val="0"/>
      <w:divBdr>
        <w:top w:val="none" w:sz="0" w:space="0" w:color="auto"/>
        <w:left w:val="none" w:sz="0" w:space="0" w:color="auto"/>
        <w:bottom w:val="none" w:sz="0" w:space="0" w:color="auto"/>
        <w:right w:val="none" w:sz="0" w:space="0" w:color="auto"/>
      </w:divBdr>
    </w:div>
    <w:div w:id="1720009957">
      <w:bodyDiv w:val="1"/>
      <w:marLeft w:val="0"/>
      <w:marRight w:val="0"/>
      <w:marTop w:val="0"/>
      <w:marBottom w:val="0"/>
      <w:divBdr>
        <w:top w:val="none" w:sz="0" w:space="0" w:color="auto"/>
        <w:left w:val="none" w:sz="0" w:space="0" w:color="auto"/>
        <w:bottom w:val="none" w:sz="0" w:space="0" w:color="auto"/>
        <w:right w:val="none" w:sz="0" w:space="0" w:color="auto"/>
      </w:divBdr>
    </w:div>
    <w:div w:id="1821189372">
      <w:bodyDiv w:val="1"/>
      <w:marLeft w:val="0"/>
      <w:marRight w:val="0"/>
      <w:marTop w:val="0"/>
      <w:marBottom w:val="0"/>
      <w:divBdr>
        <w:top w:val="none" w:sz="0" w:space="0" w:color="auto"/>
        <w:left w:val="none" w:sz="0" w:space="0" w:color="auto"/>
        <w:bottom w:val="none" w:sz="0" w:space="0" w:color="auto"/>
        <w:right w:val="none" w:sz="0" w:space="0" w:color="auto"/>
      </w:divBdr>
    </w:div>
    <w:div w:id="1833838730">
      <w:bodyDiv w:val="1"/>
      <w:marLeft w:val="0"/>
      <w:marRight w:val="0"/>
      <w:marTop w:val="0"/>
      <w:marBottom w:val="0"/>
      <w:divBdr>
        <w:top w:val="none" w:sz="0" w:space="0" w:color="auto"/>
        <w:left w:val="none" w:sz="0" w:space="0" w:color="auto"/>
        <w:bottom w:val="none" w:sz="0" w:space="0" w:color="auto"/>
        <w:right w:val="none" w:sz="0" w:space="0" w:color="auto"/>
      </w:divBdr>
    </w:div>
    <w:div w:id="1920367297">
      <w:bodyDiv w:val="1"/>
      <w:marLeft w:val="0"/>
      <w:marRight w:val="0"/>
      <w:marTop w:val="0"/>
      <w:marBottom w:val="0"/>
      <w:divBdr>
        <w:top w:val="none" w:sz="0" w:space="0" w:color="auto"/>
        <w:left w:val="none" w:sz="0" w:space="0" w:color="auto"/>
        <w:bottom w:val="none" w:sz="0" w:space="0" w:color="auto"/>
        <w:right w:val="none" w:sz="0" w:space="0" w:color="auto"/>
      </w:divBdr>
    </w:div>
    <w:div w:id="1971666805">
      <w:bodyDiv w:val="1"/>
      <w:marLeft w:val="0"/>
      <w:marRight w:val="0"/>
      <w:marTop w:val="0"/>
      <w:marBottom w:val="0"/>
      <w:divBdr>
        <w:top w:val="none" w:sz="0" w:space="0" w:color="auto"/>
        <w:left w:val="none" w:sz="0" w:space="0" w:color="auto"/>
        <w:bottom w:val="none" w:sz="0" w:space="0" w:color="auto"/>
        <w:right w:val="none" w:sz="0" w:space="0" w:color="auto"/>
      </w:divBdr>
    </w:div>
    <w:div w:id="198981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yperlink" Target="https://www.tga.gov.au" TargetMode="Externa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oter" Target="footer3.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tga.gov.au/product-information-pi" TargetMode="External"/><Relationship Id="rId28" Type="http://schemas.openxmlformats.org/officeDocument/2006/relationships/hyperlink" Target="mailto:info@tga.gov.au" TargetMode="External"/><Relationship Id="rId36"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emf"/><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996\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2CAAF-DBA3-42F7-AB93-E84E93BCF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Template>
  <TotalTime>46</TotalTime>
  <Pages>56</Pages>
  <Words>18114</Words>
  <Characters>103074</Characters>
  <Application>Microsoft Office Word</Application>
  <DocSecurity>0</DocSecurity>
  <Lines>3123</Lines>
  <Paragraphs>2054</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Company>
  <LinksUpToDate>false</LinksUpToDate>
  <CharactersWithSpaces>119134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Follitropin delta (rhu)</dc:title>
  <dc:subject>prescription medicines</dc:subject>
  <dc:creator>Therapeutic Goods Administration</dc:creator>
  <cp:keywords>AusPARs</cp:keywords>
  <cp:lastModifiedBy>LACK, Janet</cp:lastModifiedBy>
  <cp:revision>3</cp:revision>
  <cp:lastPrinted>2017-10-17T02:03:00Z</cp:lastPrinted>
  <dcterms:created xsi:type="dcterms:W3CDTF">2017-11-06T03:22:00Z</dcterms:created>
  <dcterms:modified xsi:type="dcterms:W3CDTF">2017-11-06T04:09:00Z</dcterms:modified>
</cp:coreProperties>
</file>