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F06CD0F" w14:textId="77777777" w:rsidTr="00BF1190">
        <w:trPr>
          <w:trHeight w:val="1863"/>
        </w:trPr>
        <w:tc>
          <w:tcPr>
            <w:tcW w:w="3652" w:type="dxa"/>
            <w:tcBorders>
              <w:top w:val="nil"/>
              <w:left w:val="nil"/>
              <w:bottom w:val="nil"/>
              <w:right w:val="nil"/>
            </w:tcBorders>
          </w:tcPr>
          <w:p w14:paraId="6FC40BD5" w14:textId="7383993B" w:rsidR="008E7846" w:rsidRPr="00096AA7" w:rsidRDefault="00C01F54" w:rsidP="00096AA7">
            <w:pPr>
              <w:rPr>
                <w:rFonts w:ascii="Arial" w:hAnsi="Arial" w:cs="Arial"/>
                <w:b/>
                <w:color w:val="002C47"/>
                <w:sz w:val="36"/>
                <w:szCs w:val="36"/>
              </w:rPr>
            </w:pPr>
            <w:r>
              <w:rPr>
                <w:rFonts w:ascii="Arial" w:hAnsi="Arial" w:cs="Arial"/>
                <w:b/>
                <w:color w:val="002C47"/>
                <w:sz w:val="36"/>
                <w:szCs w:val="36"/>
              </w:rPr>
              <w:t>May</w:t>
            </w:r>
            <w:r w:rsidR="00F026AD">
              <w:rPr>
                <w:rFonts w:ascii="Arial" w:hAnsi="Arial" w:cs="Arial"/>
                <w:b/>
                <w:color w:val="002C47"/>
                <w:sz w:val="36"/>
                <w:szCs w:val="36"/>
              </w:rPr>
              <w:t xml:space="preserve"> </w:t>
            </w:r>
            <w:r w:rsidR="00AB018C">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341A3D0" w14:textId="77777777" w:rsidTr="0032583B">
        <w:trPr>
          <w:trHeight w:val="868"/>
        </w:trPr>
        <w:tc>
          <w:tcPr>
            <w:tcW w:w="9079" w:type="dxa"/>
          </w:tcPr>
          <w:p w14:paraId="52F59AD4" w14:textId="77777777"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proofErr w:type="spellStart"/>
            <w:r w:rsidR="00626892" w:rsidRPr="00626892">
              <w:rPr>
                <w:color w:val="FFFFFF" w:themeColor="background1"/>
              </w:rPr>
              <w:t>Follitropin</w:t>
            </w:r>
            <w:proofErr w:type="spellEnd"/>
            <w:r w:rsidR="00626892" w:rsidRPr="00626892">
              <w:rPr>
                <w:color w:val="FFFFFF" w:themeColor="background1"/>
              </w:rPr>
              <w:t xml:space="preserve"> alfa</w:t>
            </w:r>
          </w:p>
        </w:tc>
      </w:tr>
      <w:tr w:rsidR="0032583B" w:rsidRPr="00B64760" w14:paraId="523C9E29" w14:textId="77777777" w:rsidTr="0032583B">
        <w:tc>
          <w:tcPr>
            <w:tcW w:w="9079" w:type="dxa"/>
          </w:tcPr>
          <w:p w14:paraId="78363282" w14:textId="77777777" w:rsidR="0032583B" w:rsidRPr="008E7846" w:rsidRDefault="0032583B" w:rsidP="00460036">
            <w:pPr>
              <w:pStyle w:val="Subtitle"/>
              <w:rPr>
                <w:color w:val="FFFFFF" w:themeColor="background1"/>
              </w:rPr>
            </w:pPr>
            <w:r w:rsidRPr="008E7846">
              <w:rPr>
                <w:color w:val="FFFFFF" w:themeColor="background1"/>
              </w:rPr>
              <w:t xml:space="preserve">Proprietary Product Name: </w:t>
            </w:r>
            <w:proofErr w:type="spellStart"/>
            <w:r w:rsidR="00626892" w:rsidRPr="00626892">
              <w:rPr>
                <w:color w:val="FFFFFF" w:themeColor="background1"/>
              </w:rPr>
              <w:t>Ovaleap</w:t>
            </w:r>
            <w:proofErr w:type="spellEnd"/>
          </w:p>
        </w:tc>
      </w:tr>
      <w:tr w:rsidR="0032583B" w:rsidRPr="00B64760" w14:paraId="77FE4696" w14:textId="77777777" w:rsidTr="0032583B">
        <w:trPr>
          <w:trHeight w:val="486"/>
        </w:trPr>
        <w:tc>
          <w:tcPr>
            <w:tcW w:w="9079" w:type="dxa"/>
          </w:tcPr>
          <w:p w14:paraId="7A8C6B53" w14:textId="77777777" w:rsidR="0032583B" w:rsidRPr="008E7846" w:rsidRDefault="00460036" w:rsidP="0032583B">
            <w:pPr>
              <w:pStyle w:val="Subtitle"/>
              <w:rPr>
                <w:color w:val="FFFFFF" w:themeColor="background1"/>
              </w:rPr>
            </w:pPr>
            <w:r>
              <w:rPr>
                <w:color w:val="FFFFFF" w:themeColor="background1"/>
              </w:rPr>
              <w:t xml:space="preserve">Sponsor: </w:t>
            </w:r>
            <w:proofErr w:type="spellStart"/>
            <w:r w:rsidR="00626892" w:rsidRPr="00626892">
              <w:rPr>
                <w:color w:val="FFFFFF" w:themeColor="background1"/>
              </w:rPr>
              <w:t>Theramex</w:t>
            </w:r>
            <w:proofErr w:type="spellEnd"/>
            <w:r w:rsidR="00626892" w:rsidRPr="00626892">
              <w:rPr>
                <w:color w:val="FFFFFF" w:themeColor="background1"/>
              </w:rPr>
              <w:t xml:space="preserve"> Australia Pty Ltd</w:t>
            </w:r>
          </w:p>
        </w:tc>
      </w:tr>
    </w:tbl>
    <w:p w14:paraId="70E6D702" w14:textId="77777777" w:rsidR="008E7846" w:rsidRPr="0085156D" w:rsidRDefault="008E7846" w:rsidP="0085156D">
      <w:r w:rsidRPr="0085156D">
        <w:br w:type="page"/>
      </w:r>
    </w:p>
    <w:p w14:paraId="62D364EE" w14:textId="77777777" w:rsidR="008E7846" w:rsidRPr="001F6CBA" w:rsidRDefault="008E7846" w:rsidP="008E7846">
      <w:pPr>
        <w:pStyle w:val="NonTOCHeading2"/>
      </w:pPr>
      <w:r w:rsidRPr="001F6CBA">
        <w:lastRenderedPageBreak/>
        <w:t>About the Therapeutic Goods Administration (TGA)</w:t>
      </w:r>
    </w:p>
    <w:p w14:paraId="62D3EC61"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72030FB"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29041508"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1CA79386"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63D33752" w14:textId="3402A4A2"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38FE351B" w14:textId="77777777" w:rsidR="008E7846" w:rsidRDefault="008E7846" w:rsidP="00875A6B">
      <w:pPr>
        <w:pStyle w:val="NonTOCHeading2"/>
      </w:pPr>
      <w:r>
        <w:t>About AusPARs</w:t>
      </w:r>
    </w:p>
    <w:p w14:paraId="0B48315E"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6B9A8D7B" w14:textId="77777777" w:rsidR="008E7846" w:rsidRDefault="008E7846" w:rsidP="008E7846">
      <w:pPr>
        <w:pStyle w:val="ListBullet"/>
        <w:numPr>
          <w:ilvl w:val="0"/>
          <w:numId w:val="3"/>
        </w:numPr>
        <w:ind w:left="357" w:hanging="357"/>
      </w:pPr>
      <w:r>
        <w:t>AusPARs are prepared and published by the TGA.</w:t>
      </w:r>
    </w:p>
    <w:p w14:paraId="23329994"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673A79D6"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960F3FD"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277D044F" w14:textId="77777777" w:rsidR="00924482" w:rsidRPr="00DF1D7F" w:rsidRDefault="00924482" w:rsidP="00F54B65">
      <w:pPr>
        <w:pStyle w:val="LegalSubheading"/>
        <w:spacing w:before="3120"/>
      </w:pPr>
      <w:r w:rsidRPr="00DF1D7F">
        <w:t>Copyright</w:t>
      </w:r>
    </w:p>
    <w:p w14:paraId="021B048C" w14:textId="6472BB95"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618A2B06"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CA17FEB" w14:textId="77777777" w:rsidR="0089635C" w:rsidRPr="0089635C" w:rsidRDefault="0089635C" w:rsidP="0010788A">
          <w:pPr>
            <w:pStyle w:val="Contents"/>
          </w:pPr>
          <w:r w:rsidRPr="0010788A">
            <w:t>Con</w:t>
          </w:r>
          <w:bookmarkStart w:id="2" w:name="_GoBack"/>
          <w:bookmarkEnd w:id="2"/>
          <w:r w:rsidRPr="0010788A">
            <w:t>tents</w:t>
          </w:r>
        </w:p>
        <w:p w14:paraId="58E23FD9" w14:textId="682AE75C" w:rsidR="00121618"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72314027" w:history="1">
            <w:r w:rsidR="00121618" w:rsidRPr="00AB1FA8">
              <w:rPr>
                <w:rStyle w:val="Hyperlink"/>
                <w:noProof/>
              </w:rPr>
              <w:t>List of abbreviations</w:t>
            </w:r>
            <w:r w:rsidR="00121618">
              <w:rPr>
                <w:noProof/>
                <w:webHidden/>
              </w:rPr>
              <w:tab/>
            </w:r>
            <w:r w:rsidR="00121618">
              <w:rPr>
                <w:noProof/>
                <w:webHidden/>
              </w:rPr>
              <w:fldChar w:fldCharType="begin"/>
            </w:r>
            <w:r w:rsidR="00121618">
              <w:rPr>
                <w:noProof/>
                <w:webHidden/>
              </w:rPr>
              <w:instrText xml:space="preserve"> PAGEREF _Toc72314027 \h </w:instrText>
            </w:r>
            <w:r w:rsidR="00121618">
              <w:rPr>
                <w:noProof/>
                <w:webHidden/>
              </w:rPr>
            </w:r>
            <w:r w:rsidR="00121618">
              <w:rPr>
                <w:noProof/>
                <w:webHidden/>
              </w:rPr>
              <w:fldChar w:fldCharType="separate"/>
            </w:r>
            <w:r w:rsidR="00121618">
              <w:rPr>
                <w:noProof/>
                <w:webHidden/>
              </w:rPr>
              <w:t>4</w:t>
            </w:r>
            <w:r w:rsidR="00121618">
              <w:rPr>
                <w:noProof/>
                <w:webHidden/>
              </w:rPr>
              <w:fldChar w:fldCharType="end"/>
            </w:r>
          </w:hyperlink>
        </w:p>
        <w:p w14:paraId="7AB83F32" w14:textId="5AB6BF08" w:rsidR="00121618" w:rsidRDefault="00121618">
          <w:pPr>
            <w:pStyle w:val="TOC1"/>
            <w:rPr>
              <w:rFonts w:asciiTheme="minorHAnsi" w:eastAsiaTheme="minorEastAsia" w:hAnsiTheme="minorHAnsi" w:cstheme="minorBidi"/>
              <w:b w:val="0"/>
              <w:noProof/>
              <w:sz w:val="22"/>
              <w:lang w:eastAsia="en-AU"/>
            </w:rPr>
          </w:pPr>
          <w:hyperlink w:anchor="_Toc72314028" w:history="1">
            <w:r w:rsidRPr="00AB1FA8">
              <w:rPr>
                <w:rStyle w:val="Hyperlink"/>
                <w:noProof/>
              </w:rPr>
              <w:t>I. Introduction to product submission</w:t>
            </w:r>
            <w:r>
              <w:rPr>
                <w:noProof/>
                <w:webHidden/>
              </w:rPr>
              <w:tab/>
            </w:r>
            <w:r>
              <w:rPr>
                <w:noProof/>
                <w:webHidden/>
              </w:rPr>
              <w:fldChar w:fldCharType="begin"/>
            </w:r>
            <w:r>
              <w:rPr>
                <w:noProof/>
                <w:webHidden/>
              </w:rPr>
              <w:instrText xml:space="preserve"> PAGEREF _Toc72314028 \h </w:instrText>
            </w:r>
            <w:r>
              <w:rPr>
                <w:noProof/>
                <w:webHidden/>
              </w:rPr>
            </w:r>
            <w:r>
              <w:rPr>
                <w:noProof/>
                <w:webHidden/>
              </w:rPr>
              <w:fldChar w:fldCharType="separate"/>
            </w:r>
            <w:r>
              <w:rPr>
                <w:noProof/>
                <w:webHidden/>
              </w:rPr>
              <w:t>6</w:t>
            </w:r>
            <w:r>
              <w:rPr>
                <w:noProof/>
                <w:webHidden/>
              </w:rPr>
              <w:fldChar w:fldCharType="end"/>
            </w:r>
          </w:hyperlink>
        </w:p>
        <w:p w14:paraId="095D596D" w14:textId="7647ECF9" w:rsidR="00121618" w:rsidRDefault="00121618">
          <w:pPr>
            <w:pStyle w:val="TOC2"/>
            <w:rPr>
              <w:rFonts w:asciiTheme="minorHAnsi" w:eastAsiaTheme="minorEastAsia" w:hAnsiTheme="minorHAnsi" w:cstheme="minorBidi"/>
              <w:b w:val="0"/>
              <w:noProof/>
              <w:sz w:val="22"/>
              <w:lang w:eastAsia="en-AU"/>
            </w:rPr>
          </w:pPr>
          <w:hyperlink w:anchor="_Toc72314029" w:history="1">
            <w:r w:rsidRPr="00AB1FA8">
              <w:rPr>
                <w:rStyle w:val="Hyperlink"/>
                <w:noProof/>
                <w:lang w:eastAsia="en-AU"/>
              </w:rPr>
              <w:t>Submission details</w:t>
            </w:r>
            <w:r>
              <w:rPr>
                <w:noProof/>
                <w:webHidden/>
              </w:rPr>
              <w:tab/>
            </w:r>
            <w:r>
              <w:rPr>
                <w:noProof/>
                <w:webHidden/>
              </w:rPr>
              <w:fldChar w:fldCharType="begin"/>
            </w:r>
            <w:r>
              <w:rPr>
                <w:noProof/>
                <w:webHidden/>
              </w:rPr>
              <w:instrText xml:space="preserve"> PAGEREF _Toc72314029 \h </w:instrText>
            </w:r>
            <w:r>
              <w:rPr>
                <w:noProof/>
                <w:webHidden/>
              </w:rPr>
            </w:r>
            <w:r>
              <w:rPr>
                <w:noProof/>
                <w:webHidden/>
              </w:rPr>
              <w:fldChar w:fldCharType="separate"/>
            </w:r>
            <w:r>
              <w:rPr>
                <w:noProof/>
                <w:webHidden/>
              </w:rPr>
              <w:t>6</w:t>
            </w:r>
            <w:r>
              <w:rPr>
                <w:noProof/>
                <w:webHidden/>
              </w:rPr>
              <w:fldChar w:fldCharType="end"/>
            </w:r>
          </w:hyperlink>
        </w:p>
        <w:p w14:paraId="5D3C729A" w14:textId="0AE9277D" w:rsidR="00121618" w:rsidRDefault="00121618">
          <w:pPr>
            <w:pStyle w:val="TOC2"/>
            <w:rPr>
              <w:rFonts w:asciiTheme="minorHAnsi" w:eastAsiaTheme="minorEastAsia" w:hAnsiTheme="minorHAnsi" w:cstheme="minorBidi"/>
              <w:b w:val="0"/>
              <w:noProof/>
              <w:sz w:val="22"/>
              <w:lang w:eastAsia="en-AU"/>
            </w:rPr>
          </w:pPr>
          <w:hyperlink w:anchor="_Toc72314030" w:history="1">
            <w:r w:rsidRPr="00AB1FA8">
              <w:rPr>
                <w:rStyle w:val="Hyperlink"/>
                <w:noProof/>
              </w:rPr>
              <w:t>Product background</w:t>
            </w:r>
            <w:r>
              <w:rPr>
                <w:noProof/>
                <w:webHidden/>
              </w:rPr>
              <w:tab/>
            </w:r>
            <w:r>
              <w:rPr>
                <w:noProof/>
                <w:webHidden/>
              </w:rPr>
              <w:fldChar w:fldCharType="begin"/>
            </w:r>
            <w:r>
              <w:rPr>
                <w:noProof/>
                <w:webHidden/>
              </w:rPr>
              <w:instrText xml:space="preserve"> PAGEREF _Toc72314030 \h </w:instrText>
            </w:r>
            <w:r>
              <w:rPr>
                <w:noProof/>
                <w:webHidden/>
              </w:rPr>
            </w:r>
            <w:r>
              <w:rPr>
                <w:noProof/>
                <w:webHidden/>
              </w:rPr>
              <w:fldChar w:fldCharType="separate"/>
            </w:r>
            <w:r>
              <w:rPr>
                <w:noProof/>
                <w:webHidden/>
              </w:rPr>
              <w:t>7</w:t>
            </w:r>
            <w:r>
              <w:rPr>
                <w:noProof/>
                <w:webHidden/>
              </w:rPr>
              <w:fldChar w:fldCharType="end"/>
            </w:r>
          </w:hyperlink>
        </w:p>
        <w:p w14:paraId="73056D23" w14:textId="0151057E" w:rsidR="00121618" w:rsidRDefault="00121618">
          <w:pPr>
            <w:pStyle w:val="TOC2"/>
            <w:rPr>
              <w:rFonts w:asciiTheme="minorHAnsi" w:eastAsiaTheme="minorEastAsia" w:hAnsiTheme="minorHAnsi" w:cstheme="minorBidi"/>
              <w:b w:val="0"/>
              <w:noProof/>
              <w:sz w:val="22"/>
              <w:lang w:eastAsia="en-AU"/>
            </w:rPr>
          </w:pPr>
          <w:hyperlink w:anchor="_Toc72314031" w:history="1">
            <w:r w:rsidRPr="00AB1FA8">
              <w:rPr>
                <w:rStyle w:val="Hyperlink"/>
                <w:noProof/>
              </w:rPr>
              <w:t>Regulatory status</w:t>
            </w:r>
            <w:r>
              <w:rPr>
                <w:noProof/>
                <w:webHidden/>
              </w:rPr>
              <w:tab/>
            </w:r>
            <w:r>
              <w:rPr>
                <w:noProof/>
                <w:webHidden/>
              </w:rPr>
              <w:fldChar w:fldCharType="begin"/>
            </w:r>
            <w:r>
              <w:rPr>
                <w:noProof/>
                <w:webHidden/>
              </w:rPr>
              <w:instrText xml:space="preserve"> PAGEREF _Toc72314031 \h </w:instrText>
            </w:r>
            <w:r>
              <w:rPr>
                <w:noProof/>
                <w:webHidden/>
              </w:rPr>
            </w:r>
            <w:r>
              <w:rPr>
                <w:noProof/>
                <w:webHidden/>
              </w:rPr>
              <w:fldChar w:fldCharType="separate"/>
            </w:r>
            <w:r>
              <w:rPr>
                <w:noProof/>
                <w:webHidden/>
              </w:rPr>
              <w:t>9</w:t>
            </w:r>
            <w:r>
              <w:rPr>
                <w:noProof/>
                <w:webHidden/>
              </w:rPr>
              <w:fldChar w:fldCharType="end"/>
            </w:r>
          </w:hyperlink>
        </w:p>
        <w:p w14:paraId="3238C6D6" w14:textId="3F96B32F" w:rsidR="00121618" w:rsidRDefault="00121618">
          <w:pPr>
            <w:pStyle w:val="TOC2"/>
            <w:rPr>
              <w:rFonts w:asciiTheme="minorHAnsi" w:eastAsiaTheme="minorEastAsia" w:hAnsiTheme="minorHAnsi" w:cstheme="minorBidi"/>
              <w:b w:val="0"/>
              <w:noProof/>
              <w:sz w:val="22"/>
              <w:lang w:eastAsia="en-AU"/>
            </w:rPr>
          </w:pPr>
          <w:hyperlink w:anchor="_Toc72314032" w:history="1">
            <w:r w:rsidRPr="00AB1FA8">
              <w:rPr>
                <w:rStyle w:val="Hyperlink"/>
                <w:noProof/>
              </w:rPr>
              <w:t>Product Information</w:t>
            </w:r>
            <w:r>
              <w:rPr>
                <w:noProof/>
                <w:webHidden/>
              </w:rPr>
              <w:tab/>
            </w:r>
            <w:r>
              <w:rPr>
                <w:noProof/>
                <w:webHidden/>
              </w:rPr>
              <w:fldChar w:fldCharType="begin"/>
            </w:r>
            <w:r>
              <w:rPr>
                <w:noProof/>
                <w:webHidden/>
              </w:rPr>
              <w:instrText xml:space="preserve"> PAGEREF _Toc72314032 \h </w:instrText>
            </w:r>
            <w:r>
              <w:rPr>
                <w:noProof/>
                <w:webHidden/>
              </w:rPr>
            </w:r>
            <w:r>
              <w:rPr>
                <w:noProof/>
                <w:webHidden/>
              </w:rPr>
              <w:fldChar w:fldCharType="separate"/>
            </w:r>
            <w:r>
              <w:rPr>
                <w:noProof/>
                <w:webHidden/>
              </w:rPr>
              <w:t>11</w:t>
            </w:r>
            <w:r>
              <w:rPr>
                <w:noProof/>
                <w:webHidden/>
              </w:rPr>
              <w:fldChar w:fldCharType="end"/>
            </w:r>
          </w:hyperlink>
        </w:p>
        <w:p w14:paraId="4730C19B" w14:textId="1E585788" w:rsidR="00121618" w:rsidRDefault="00121618">
          <w:pPr>
            <w:pStyle w:val="TOC1"/>
            <w:rPr>
              <w:rFonts w:asciiTheme="minorHAnsi" w:eastAsiaTheme="minorEastAsia" w:hAnsiTheme="minorHAnsi" w:cstheme="minorBidi"/>
              <w:b w:val="0"/>
              <w:noProof/>
              <w:sz w:val="22"/>
              <w:lang w:eastAsia="en-AU"/>
            </w:rPr>
          </w:pPr>
          <w:hyperlink w:anchor="_Toc72314033" w:history="1">
            <w:r w:rsidRPr="00AB1FA8">
              <w:rPr>
                <w:rStyle w:val="Hyperlink"/>
                <w:noProof/>
              </w:rPr>
              <w:t>II. Registration timeline</w:t>
            </w:r>
            <w:r>
              <w:rPr>
                <w:noProof/>
                <w:webHidden/>
              </w:rPr>
              <w:tab/>
            </w:r>
            <w:r>
              <w:rPr>
                <w:noProof/>
                <w:webHidden/>
              </w:rPr>
              <w:fldChar w:fldCharType="begin"/>
            </w:r>
            <w:r>
              <w:rPr>
                <w:noProof/>
                <w:webHidden/>
              </w:rPr>
              <w:instrText xml:space="preserve"> PAGEREF _Toc72314033 \h </w:instrText>
            </w:r>
            <w:r>
              <w:rPr>
                <w:noProof/>
                <w:webHidden/>
              </w:rPr>
            </w:r>
            <w:r>
              <w:rPr>
                <w:noProof/>
                <w:webHidden/>
              </w:rPr>
              <w:fldChar w:fldCharType="separate"/>
            </w:r>
            <w:r>
              <w:rPr>
                <w:noProof/>
                <w:webHidden/>
              </w:rPr>
              <w:t>11</w:t>
            </w:r>
            <w:r>
              <w:rPr>
                <w:noProof/>
                <w:webHidden/>
              </w:rPr>
              <w:fldChar w:fldCharType="end"/>
            </w:r>
          </w:hyperlink>
        </w:p>
        <w:p w14:paraId="34802430" w14:textId="23C09326" w:rsidR="00121618" w:rsidRDefault="00121618">
          <w:pPr>
            <w:pStyle w:val="TOC1"/>
            <w:rPr>
              <w:rFonts w:asciiTheme="minorHAnsi" w:eastAsiaTheme="minorEastAsia" w:hAnsiTheme="minorHAnsi" w:cstheme="minorBidi"/>
              <w:b w:val="0"/>
              <w:noProof/>
              <w:sz w:val="22"/>
              <w:lang w:eastAsia="en-AU"/>
            </w:rPr>
          </w:pPr>
          <w:hyperlink w:anchor="_Toc72314034" w:history="1">
            <w:r w:rsidRPr="00AB1FA8">
              <w:rPr>
                <w:rStyle w:val="Hyperlink"/>
                <w:noProof/>
              </w:rPr>
              <w:t>III. Submission overview and risk/benefit assessment</w:t>
            </w:r>
            <w:r>
              <w:rPr>
                <w:noProof/>
                <w:webHidden/>
              </w:rPr>
              <w:tab/>
            </w:r>
            <w:r>
              <w:rPr>
                <w:noProof/>
                <w:webHidden/>
              </w:rPr>
              <w:fldChar w:fldCharType="begin"/>
            </w:r>
            <w:r>
              <w:rPr>
                <w:noProof/>
                <w:webHidden/>
              </w:rPr>
              <w:instrText xml:space="preserve"> PAGEREF _Toc72314034 \h </w:instrText>
            </w:r>
            <w:r>
              <w:rPr>
                <w:noProof/>
                <w:webHidden/>
              </w:rPr>
            </w:r>
            <w:r>
              <w:rPr>
                <w:noProof/>
                <w:webHidden/>
              </w:rPr>
              <w:fldChar w:fldCharType="separate"/>
            </w:r>
            <w:r>
              <w:rPr>
                <w:noProof/>
                <w:webHidden/>
              </w:rPr>
              <w:t>11</w:t>
            </w:r>
            <w:r>
              <w:rPr>
                <w:noProof/>
                <w:webHidden/>
              </w:rPr>
              <w:fldChar w:fldCharType="end"/>
            </w:r>
          </w:hyperlink>
        </w:p>
        <w:p w14:paraId="32F906DA" w14:textId="5D409CCC" w:rsidR="00121618" w:rsidRDefault="00121618">
          <w:pPr>
            <w:pStyle w:val="TOC2"/>
            <w:rPr>
              <w:rFonts w:asciiTheme="minorHAnsi" w:eastAsiaTheme="minorEastAsia" w:hAnsiTheme="minorHAnsi" w:cstheme="minorBidi"/>
              <w:b w:val="0"/>
              <w:noProof/>
              <w:sz w:val="22"/>
              <w:lang w:eastAsia="en-AU"/>
            </w:rPr>
          </w:pPr>
          <w:hyperlink w:anchor="_Toc72314035" w:history="1">
            <w:r w:rsidRPr="00AB1FA8">
              <w:rPr>
                <w:rStyle w:val="Hyperlink"/>
                <w:noProof/>
              </w:rPr>
              <w:t>Quality</w:t>
            </w:r>
            <w:r>
              <w:rPr>
                <w:noProof/>
                <w:webHidden/>
              </w:rPr>
              <w:tab/>
            </w:r>
            <w:r>
              <w:rPr>
                <w:noProof/>
                <w:webHidden/>
              </w:rPr>
              <w:fldChar w:fldCharType="begin"/>
            </w:r>
            <w:r>
              <w:rPr>
                <w:noProof/>
                <w:webHidden/>
              </w:rPr>
              <w:instrText xml:space="preserve"> PAGEREF _Toc72314035 \h </w:instrText>
            </w:r>
            <w:r>
              <w:rPr>
                <w:noProof/>
                <w:webHidden/>
              </w:rPr>
            </w:r>
            <w:r>
              <w:rPr>
                <w:noProof/>
                <w:webHidden/>
              </w:rPr>
              <w:fldChar w:fldCharType="separate"/>
            </w:r>
            <w:r>
              <w:rPr>
                <w:noProof/>
                <w:webHidden/>
              </w:rPr>
              <w:t>11</w:t>
            </w:r>
            <w:r>
              <w:rPr>
                <w:noProof/>
                <w:webHidden/>
              </w:rPr>
              <w:fldChar w:fldCharType="end"/>
            </w:r>
          </w:hyperlink>
        </w:p>
        <w:p w14:paraId="1688A2A1" w14:textId="204178F3" w:rsidR="00121618" w:rsidRDefault="00121618">
          <w:pPr>
            <w:pStyle w:val="TOC2"/>
            <w:rPr>
              <w:rFonts w:asciiTheme="minorHAnsi" w:eastAsiaTheme="minorEastAsia" w:hAnsiTheme="minorHAnsi" w:cstheme="minorBidi"/>
              <w:b w:val="0"/>
              <w:noProof/>
              <w:sz w:val="22"/>
              <w:lang w:eastAsia="en-AU"/>
            </w:rPr>
          </w:pPr>
          <w:hyperlink w:anchor="_Toc72314036" w:history="1">
            <w:r w:rsidRPr="00AB1FA8">
              <w:rPr>
                <w:rStyle w:val="Hyperlink"/>
                <w:noProof/>
              </w:rPr>
              <w:t>Nonclinical</w:t>
            </w:r>
            <w:r>
              <w:rPr>
                <w:noProof/>
                <w:webHidden/>
              </w:rPr>
              <w:tab/>
            </w:r>
            <w:r>
              <w:rPr>
                <w:noProof/>
                <w:webHidden/>
              </w:rPr>
              <w:fldChar w:fldCharType="begin"/>
            </w:r>
            <w:r>
              <w:rPr>
                <w:noProof/>
                <w:webHidden/>
              </w:rPr>
              <w:instrText xml:space="preserve"> PAGEREF _Toc72314036 \h </w:instrText>
            </w:r>
            <w:r>
              <w:rPr>
                <w:noProof/>
                <w:webHidden/>
              </w:rPr>
            </w:r>
            <w:r>
              <w:rPr>
                <w:noProof/>
                <w:webHidden/>
              </w:rPr>
              <w:fldChar w:fldCharType="separate"/>
            </w:r>
            <w:r>
              <w:rPr>
                <w:noProof/>
                <w:webHidden/>
              </w:rPr>
              <w:t>14</w:t>
            </w:r>
            <w:r>
              <w:rPr>
                <w:noProof/>
                <w:webHidden/>
              </w:rPr>
              <w:fldChar w:fldCharType="end"/>
            </w:r>
          </w:hyperlink>
        </w:p>
        <w:p w14:paraId="12D3AE44" w14:textId="79FE4D50" w:rsidR="00121618" w:rsidRDefault="00121618">
          <w:pPr>
            <w:pStyle w:val="TOC2"/>
            <w:rPr>
              <w:rFonts w:asciiTheme="minorHAnsi" w:eastAsiaTheme="minorEastAsia" w:hAnsiTheme="minorHAnsi" w:cstheme="minorBidi"/>
              <w:b w:val="0"/>
              <w:noProof/>
              <w:sz w:val="22"/>
              <w:lang w:eastAsia="en-AU"/>
            </w:rPr>
          </w:pPr>
          <w:hyperlink w:anchor="_Toc72314037" w:history="1">
            <w:r w:rsidRPr="00AB1FA8">
              <w:rPr>
                <w:rStyle w:val="Hyperlink"/>
                <w:noProof/>
              </w:rPr>
              <w:t>Clinical</w:t>
            </w:r>
            <w:r>
              <w:rPr>
                <w:noProof/>
                <w:webHidden/>
              </w:rPr>
              <w:tab/>
            </w:r>
            <w:r>
              <w:rPr>
                <w:noProof/>
                <w:webHidden/>
              </w:rPr>
              <w:fldChar w:fldCharType="begin"/>
            </w:r>
            <w:r>
              <w:rPr>
                <w:noProof/>
                <w:webHidden/>
              </w:rPr>
              <w:instrText xml:space="preserve"> PAGEREF _Toc72314037 \h </w:instrText>
            </w:r>
            <w:r>
              <w:rPr>
                <w:noProof/>
                <w:webHidden/>
              </w:rPr>
            </w:r>
            <w:r>
              <w:rPr>
                <w:noProof/>
                <w:webHidden/>
              </w:rPr>
              <w:fldChar w:fldCharType="separate"/>
            </w:r>
            <w:r>
              <w:rPr>
                <w:noProof/>
                <w:webHidden/>
              </w:rPr>
              <w:t>14</w:t>
            </w:r>
            <w:r>
              <w:rPr>
                <w:noProof/>
                <w:webHidden/>
              </w:rPr>
              <w:fldChar w:fldCharType="end"/>
            </w:r>
          </w:hyperlink>
        </w:p>
        <w:p w14:paraId="5DD12DE2" w14:textId="1ED674DD" w:rsidR="00121618" w:rsidRDefault="00121618">
          <w:pPr>
            <w:pStyle w:val="TOC2"/>
            <w:rPr>
              <w:rFonts w:asciiTheme="minorHAnsi" w:eastAsiaTheme="minorEastAsia" w:hAnsiTheme="minorHAnsi" w:cstheme="minorBidi"/>
              <w:b w:val="0"/>
              <w:noProof/>
              <w:sz w:val="22"/>
              <w:lang w:eastAsia="en-AU"/>
            </w:rPr>
          </w:pPr>
          <w:hyperlink w:anchor="_Toc72314038" w:history="1">
            <w:r w:rsidRPr="00AB1FA8">
              <w:rPr>
                <w:rStyle w:val="Hyperlink"/>
                <w:noProof/>
                <w:lang w:eastAsia="en-AU"/>
              </w:rPr>
              <w:t>Risk management plan</w:t>
            </w:r>
            <w:r>
              <w:rPr>
                <w:noProof/>
                <w:webHidden/>
              </w:rPr>
              <w:tab/>
            </w:r>
            <w:r>
              <w:rPr>
                <w:noProof/>
                <w:webHidden/>
              </w:rPr>
              <w:fldChar w:fldCharType="begin"/>
            </w:r>
            <w:r>
              <w:rPr>
                <w:noProof/>
                <w:webHidden/>
              </w:rPr>
              <w:instrText xml:space="preserve"> PAGEREF _Toc72314038 \h </w:instrText>
            </w:r>
            <w:r>
              <w:rPr>
                <w:noProof/>
                <w:webHidden/>
              </w:rPr>
            </w:r>
            <w:r>
              <w:rPr>
                <w:noProof/>
                <w:webHidden/>
              </w:rPr>
              <w:fldChar w:fldCharType="separate"/>
            </w:r>
            <w:r>
              <w:rPr>
                <w:noProof/>
                <w:webHidden/>
              </w:rPr>
              <w:t>21</w:t>
            </w:r>
            <w:r>
              <w:rPr>
                <w:noProof/>
                <w:webHidden/>
              </w:rPr>
              <w:fldChar w:fldCharType="end"/>
            </w:r>
          </w:hyperlink>
        </w:p>
        <w:p w14:paraId="3CDA265F" w14:textId="13310FA6" w:rsidR="00121618" w:rsidRDefault="00121618">
          <w:pPr>
            <w:pStyle w:val="TOC2"/>
            <w:rPr>
              <w:rFonts w:asciiTheme="minorHAnsi" w:eastAsiaTheme="minorEastAsia" w:hAnsiTheme="minorHAnsi" w:cstheme="minorBidi"/>
              <w:b w:val="0"/>
              <w:noProof/>
              <w:sz w:val="22"/>
              <w:lang w:eastAsia="en-AU"/>
            </w:rPr>
          </w:pPr>
          <w:hyperlink w:anchor="_Toc72314039" w:history="1">
            <w:r w:rsidRPr="00AB1FA8">
              <w:rPr>
                <w:rStyle w:val="Hyperlink"/>
                <w:noProof/>
              </w:rPr>
              <w:t>Risk-benefit analysis</w:t>
            </w:r>
            <w:r>
              <w:rPr>
                <w:noProof/>
                <w:webHidden/>
              </w:rPr>
              <w:tab/>
            </w:r>
            <w:r>
              <w:rPr>
                <w:noProof/>
                <w:webHidden/>
              </w:rPr>
              <w:fldChar w:fldCharType="begin"/>
            </w:r>
            <w:r>
              <w:rPr>
                <w:noProof/>
                <w:webHidden/>
              </w:rPr>
              <w:instrText xml:space="preserve"> PAGEREF _Toc72314039 \h </w:instrText>
            </w:r>
            <w:r>
              <w:rPr>
                <w:noProof/>
                <w:webHidden/>
              </w:rPr>
            </w:r>
            <w:r>
              <w:rPr>
                <w:noProof/>
                <w:webHidden/>
              </w:rPr>
              <w:fldChar w:fldCharType="separate"/>
            </w:r>
            <w:r>
              <w:rPr>
                <w:noProof/>
                <w:webHidden/>
              </w:rPr>
              <w:t>21</w:t>
            </w:r>
            <w:r>
              <w:rPr>
                <w:noProof/>
                <w:webHidden/>
              </w:rPr>
              <w:fldChar w:fldCharType="end"/>
            </w:r>
          </w:hyperlink>
        </w:p>
        <w:p w14:paraId="17FEDA3D" w14:textId="657157B5" w:rsidR="00121618" w:rsidRDefault="00121618">
          <w:pPr>
            <w:pStyle w:val="TOC2"/>
            <w:rPr>
              <w:rFonts w:asciiTheme="minorHAnsi" w:eastAsiaTheme="minorEastAsia" w:hAnsiTheme="minorHAnsi" w:cstheme="minorBidi"/>
              <w:b w:val="0"/>
              <w:noProof/>
              <w:sz w:val="22"/>
              <w:lang w:eastAsia="en-AU"/>
            </w:rPr>
          </w:pPr>
          <w:hyperlink w:anchor="_Toc72314040" w:history="1">
            <w:r w:rsidRPr="00AB1FA8">
              <w:rPr>
                <w:rStyle w:val="Hyperlink"/>
                <w:noProof/>
              </w:rPr>
              <w:t>Outcome</w:t>
            </w:r>
            <w:r>
              <w:rPr>
                <w:noProof/>
                <w:webHidden/>
              </w:rPr>
              <w:tab/>
            </w:r>
            <w:r>
              <w:rPr>
                <w:noProof/>
                <w:webHidden/>
              </w:rPr>
              <w:fldChar w:fldCharType="begin"/>
            </w:r>
            <w:r>
              <w:rPr>
                <w:noProof/>
                <w:webHidden/>
              </w:rPr>
              <w:instrText xml:space="preserve"> PAGEREF _Toc72314040 \h </w:instrText>
            </w:r>
            <w:r>
              <w:rPr>
                <w:noProof/>
                <w:webHidden/>
              </w:rPr>
            </w:r>
            <w:r>
              <w:rPr>
                <w:noProof/>
                <w:webHidden/>
              </w:rPr>
              <w:fldChar w:fldCharType="separate"/>
            </w:r>
            <w:r>
              <w:rPr>
                <w:noProof/>
                <w:webHidden/>
              </w:rPr>
              <w:t>23</w:t>
            </w:r>
            <w:r>
              <w:rPr>
                <w:noProof/>
                <w:webHidden/>
              </w:rPr>
              <w:fldChar w:fldCharType="end"/>
            </w:r>
          </w:hyperlink>
        </w:p>
        <w:p w14:paraId="270713D4" w14:textId="2972B851" w:rsidR="00121618" w:rsidRDefault="00121618">
          <w:pPr>
            <w:pStyle w:val="TOC1"/>
            <w:rPr>
              <w:rFonts w:asciiTheme="minorHAnsi" w:eastAsiaTheme="minorEastAsia" w:hAnsiTheme="minorHAnsi" w:cstheme="minorBidi"/>
              <w:b w:val="0"/>
              <w:noProof/>
              <w:sz w:val="22"/>
              <w:lang w:eastAsia="en-AU"/>
            </w:rPr>
          </w:pPr>
          <w:hyperlink w:anchor="_Toc72314041" w:history="1">
            <w:r w:rsidRPr="00AB1FA8">
              <w:rPr>
                <w:rStyle w:val="Hyperlink"/>
                <w:noProof/>
              </w:rPr>
              <w:t>Attachment 1. Product Information</w:t>
            </w:r>
            <w:r>
              <w:rPr>
                <w:noProof/>
                <w:webHidden/>
              </w:rPr>
              <w:tab/>
            </w:r>
            <w:r>
              <w:rPr>
                <w:noProof/>
                <w:webHidden/>
              </w:rPr>
              <w:fldChar w:fldCharType="begin"/>
            </w:r>
            <w:r>
              <w:rPr>
                <w:noProof/>
                <w:webHidden/>
              </w:rPr>
              <w:instrText xml:space="preserve"> PAGEREF _Toc72314041 \h </w:instrText>
            </w:r>
            <w:r>
              <w:rPr>
                <w:noProof/>
                <w:webHidden/>
              </w:rPr>
            </w:r>
            <w:r>
              <w:rPr>
                <w:noProof/>
                <w:webHidden/>
              </w:rPr>
              <w:fldChar w:fldCharType="separate"/>
            </w:r>
            <w:r>
              <w:rPr>
                <w:noProof/>
                <w:webHidden/>
              </w:rPr>
              <w:t>24</w:t>
            </w:r>
            <w:r>
              <w:rPr>
                <w:noProof/>
                <w:webHidden/>
              </w:rPr>
              <w:fldChar w:fldCharType="end"/>
            </w:r>
          </w:hyperlink>
        </w:p>
        <w:p w14:paraId="02FAA72B" w14:textId="247FE0DD" w:rsidR="003A7F6C" w:rsidRPr="00B811C6" w:rsidRDefault="00C525A2" w:rsidP="00B811C6">
          <w:pPr>
            <w:pStyle w:val="TOC2"/>
          </w:pPr>
          <w:r>
            <w:fldChar w:fldCharType="end"/>
          </w:r>
        </w:p>
      </w:sdtContent>
    </w:sdt>
    <w:bookmarkStart w:id="3" w:name="_Toc314842482" w:displacedByCustomXml="prev"/>
    <w:p w14:paraId="64EBD351" w14:textId="77777777" w:rsidR="00FD119B" w:rsidRDefault="00FD119B">
      <w:pPr>
        <w:spacing w:before="0" w:after="200" w:line="0" w:lineRule="auto"/>
      </w:pPr>
      <w:r>
        <w:br w:type="page"/>
      </w:r>
    </w:p>
    <w:p w14:paraId="72D153FB" w14:textId="778CD282" w:rsidR="00C52E24" w:rsidRPr="00C52E24" w:rsidRDefault="00324E45" w:rsidP="00886182">
      <w:pPr>
        <w:pStyle w:val="Heading2"/>
      </w:pPr>
      <w:bookmarkStart w:id="4" w:name="_Toc351716269"/>
      <w:bookmarkStart w:id="5" w:name="_Toc351718881"/>
      <w:bookmarkStart w:id="6" w:name="_Toc355338616"/>
      <w:bookmarkStart w:id="7" w:name="_Toc356306144"/>
      <w:bookmarkStart w:id="8" w:name="_Toc72314027"/>
      <w:r>
        <w:lastRenderedPageBreak/>
        <w:t>List of</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C2270A" w:rsidRPr="00FD119B" w14:paraId="148A5303" w14:textId="77777777" w:rsidTr="00CF5DAD">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4E3D563D" w14:textId="77777777" w:rsidR="00C2270A" w:rsidRPr="00FD119B" w:rsidRDefault="00C2270A" w:rsidP="002B0963">
            <w:pPr>
              <w:keepNext w:val="0"/>
              <w:ind w:left="144" w:right="0"/>
              <w:rPr>
                <w:szCs w:val="22"/>
                <w:lang w:eastAsia="en-US"/>
              </w:rPr>
            </w:pPr>
            <w:r w:rsidRPr="00FD119B">
              <w:rPr>
                <w:szCs w:val="22"/>
                <w:lang w:eastAsia="en-US"/>
              </w:rPr>
              <w:t>Abbreviation</w:t>
            </w:r>
          </w:p>
        </w:tc>
        <w:tc>
          <w:tcPr>
            <w:tcW w:w="6911" w:type="dxa"/>
            <w:tcBorders>
              <w:top w:val="single" w:sz="4" w:space="0" w:color="auto"/>
              <w:left w:val="single" w:sz="4" w:space="0" w:color="auto"/>
              <w:bottom w:val="single" w:sz="4" w:space="0" w:color="auto"/>
              <w:right w:val="single" w:sz="4" w:space="0" w:color="auto"/>
            </w:tcBorders>
          </w:tcPr>
          <w:p w14:paraId="22222FA3" w14:textId="77777777" w:rsidR="00C2270A" w:rsidRPr="00FD119B" w:rsidRDefault="00C2270A" w:rsidP="002B0963">
            <w:pPr>
              <w:keepNext w:val="0"/>
              <w:ind w:left="144" w:right="0"/>
              <w:rPr>
                <w:szCs w:val="22"/>
                <w:lang w:eastAsia="en-US"/>
              </w:rPr>
            </w:pPr>
            <w:r w:rsidRPr="00FD119B">
              <w:rPr>
                <w:szCs w:val="22"/>
                <w:lang w:eastAsia="en-US"/>
              </w:rPr>
              <w:t>Meaning</w:t>
            </w:r>
          </w:p>
        </w:tc>
      </w:tr>
      <w:tr w:rsidR="00C2270A" w:rsidRPr="00FD119B" w14:paraId="7EC07ACF" w14:textId="77777777" w:rsidTr="00CF5DAD">
        <w:tc>
          <w:tcPr>
            <w:tcW w:w="1809" w:type="dxa"/>
            <w:tcBorders>
              <w:top w:val="single" w:sz="4" w:space="0" w:color="auto"/>
            </w:tcBorders>
          </w:tcPr>
          <w:p w14:paraId="199F68EB" w14:textId="77777777" w:rsidR="00C2270A" w:rsidRPr="00FD119B" w:rsidRDefault="00C2270A" w:rsidP="002B0963">
            <w:pPr>
              <w:ind w:left="144" w:right="0"/>
            </w:pPr>
            <w:r>
              <w:t>ACM</w:t>
            </w:r>
          </w:p>
        </w:tc>
        <w:tc>
          <w:tcPr>
            <w:tcW w:w="6911" w:type="dxa"/>
            <w:tcBorders>
              <w:top w:val="single" w:sz="4" w:space="0" w:color="auto"/>
            </w:tcBorders>
          </w:tcPr>
          <w:p w14:paraId="1388B626" w14:textId="77777777" w:rsidR="00C2270A" w:rsidRPr="00FD119B" w:rsidRDefault="00C2270A" w:rsidP="002B0963">
            <w:pPr>
              <w:ind w:left="144" w:right="0"/>
            </w:pPr>
            <w:r w:rsidRPr="00460036">
              <w:t>Advisory Committee on Medicines</w:t>
            </w:r>
          </w:p>
        </w:tc>
      </w:tr>
      <w:tr w:rsidR="00C2270A" w:rsidRPr="00FD119B" w14:paraId="562B84F7" w14:textId="77777777" w:rsidTr="00FD119B">
        <w:tc>
          <w:tcPr>
            <w:tcW w:w="1809" w:type="dxa"/>
          </w:tcPr>
          <w:p w14:paraId="39346171" w14:textId="77777777" w:rsidR="00C2270A" w:rsidRPr="00FD119B" w:rsidRDefault="00C2270A" w:rsidP="002B0963">
            <w:pPr>
              <w:ind w:left="144"/>
            </w:pPr>
            <w:r>
              <w:t>AE</w:t>
            </w:r>
          </w:p>
        </w:tc>
        <w:tc>
          <w:tcPr>
            <w:tcW w:w="6911" w:type="dxa"/>
          </w:tcPr>
          <w:p w14:paraId="298B0AD6" w14:textId="77777777" w:rsidR="00C2270A" w:rsidRPr="00FD119B" w:rsidRDefault="00C2270A" w:rsidP="002B0963">
            <w:pPr>
              <w:ind w:left="144"/>
            </w:pPr>
            <w:r>
              <w:t>Adverse event</w:t>
            </w:r>
          </w:p>
        </w:tc>
      </w:tr>
      <w:tr w:rsidR="00C2270A" w:rsidRPr="00FD119B" w14:paraId="3E2A6031" w14:textId="77777777" w:rsidTr="00FD119B">
        <w:tc>
          <w:tcPr>
            <w:tcW w:w="1809" w:type="dxa"/>
          </w:tcPr>
          <w:p w14:paraId="5E98CDAC" w14:textId="77777777" w:rsidR="00C2270A" w:rsidRPr="00FD119B" w:rsidRDefault="00C2270A" w:rsidP="002B0963">
            <w:pPr>
              <w:ind w:left="144"/>
            </w:pPr>
            <w:r>
              <w:t>AESI</w:t>
            </w:r>
          </w:p>
        </w:tc>
        <w:tc>
          <w:tcPr>
            <w:tcW w:w="6911" w:type="dxa"/>
          </w:tcPr>
          <w:p w14:paraId="27172670" w14:textId="77777777" w:rsidR="00C2270A" w:rsidRPr="00FD119B" w:rsidRDefault="00C2270A" w:rsidP="002B0963">
            <w:pPr>
              <w:ind w:left="144"/>
            </w:pPr>
            <w:r>
              <w:t>Adverse event of special interest</w:t>
            </w:r>
          </w:p>
        </w:tc>
      </w:tr>
      <w:tr w:rsidR="00C2270A" w:rsidRPr="00FD119B" w14:paraId="79339A1B" w14:textId="77777777" w:rsidTr="00FD119B">
        <w:tc>
          <w:tcPr>
            <w:tcW w:w="1809" w:type="dxa"/>
          </w:tcPr>
          <w:p w14:paraId="7AB918E8" w14:textId="77777777" w:rsidR="00C2270A" w:rsidRPr="00FD119B" w:rsidRDefault="00C2270A" w:rsidP="002B0963">
            <w:pPr>
              <w:ind w:left="144"/>
            </w:pPr>
            <w:r>
              <w:t>ARGPM</w:t>
            </w:r>
          </w:p>
        </w:tc>
        <w:tc>
          <w:tcPr>
            <w:tcW w:w="6911" w:type="dxa"/>
          </w:tcPr>
          <w:p w14:paraId="29FD65B5" w14:textId="77777777" w:rsidR="00C2270A" w:rsidRPr="00FD119B" w:rsidRDefault="00C2270A" w:rsidP="002B0963">
            <w:pPr>
              <w:ind w:left="144"/>
            </w:pPr>
            <w:r>
              <w:t>Australian Regulatory Guidelines for Prescription Medicines</w:t>
            </w:r>
          </w:p>
        </w:tc>
      </w:tr>
      <w:tr w:rsidR="00C2270A" w:rsidRPr="00FD119B" w14:paraId="772F23B3" w14:textId="77777777" w:rsidTr="00FD119B">
        <w:tc>
          <w:tcPr>
            <w:tcW w:w="1809" w:type="dxa"/>
          </w:tcPr>
          <w:p w14:paraId="4BABF758" w14:textId="77777777" w:rsidR="00C2270A" w:rsidRPr="00FD119B" w:rsidRDefault="00C2270A" w:rsidP="002B0963">
            <w:pPr>
              <w:ind w:left="144"/>
            </w:pPr>
            <w:r>
              <w:t>ART</w:t>
            </w:r>
          </w:p>
        </w:tc>
        <w:tc>
          <w:tcPr>
            <w:tcW w:w="6911" w:type="dxa"/>
          </w:tcPr>
          <w:p w14:paraId="1F3CB66D" w14:textId="77777777" w:rsidR="00C2270A" w:rsidRPr="00FD119B" w:rsidRDefault="00C2270A" w:rsidP="002B0963">
            <w:pPr>
              <w:ind w:left="144"/>
            </w:pPr>
            <w:r>
              <w:t>A</w:t>
            </w:r>
            <w:r w:rsidRPr="00B32BE0">
              <w:t>ssiste</w:t>
            </w:r>
            <w:r>
              <w:t>d reproductive technologies</w:t>
            </w:r>
          </w:p>
        </w:tc>
      </w:tr>
      <w:tr w:rsidR="00C2270A" w:rsidRPr="00FD119B" w14:paraId="04E19DB9" w14:textId="77777777" w:rsidTr="00FD119B">
        <w:tc>
          <w:tcPr>
            <w:tcW w:w="1809" w:type="dxa"/>
          </w:tcPr>
          <w:p w14:paraId="66797B64" w14:textId="77777777" w:rsidR="00C2270A" w:rsidRPr="00FD119B" w:rsidRDefault="00C2270A" w:rsidP="002B0963">
            <w:pPr>
              <w:ind w:left="144" w:right="0"/>
            </w:pPr>
            <w:r>
              <w:t>ARTG</w:t>
            </w:r>
          </w:p>
        </w:tc>
        <w:tc>
          <w:tcPr>
            <w:tcW w:w="6911" w:type="dxa"/>
          </w:tcPr>
          <w:p w14:paraId="5D7FA4C9" w14:textId="77777777" w:rsidR="00C2270A" w:rsidRPr="00FD119B" w:rsidRDefault="00C2270A" w:rsidP="002B0963">
            <w:pPr>
              <w:ind w:left="144" w:right="0"/>
            </w:pPr>
            <w:r w:rsidRPr="00460036">
              <w:t>Australian Register of Therapeutic Goods</w:t>
            </w:r>
          </w:p>
        </w:tc>
      </w:tr>
      <w:tr w:rsidR="00C2270A" w:rsidRPr="00FD119B" w14:paraId="74075984" w14:textId="77777777" w:rsidTr="00FD119B">
        <w:tc>
          <w:tcPr>
            <w:tcW w:w="1809" w:type="dxa"/>
          </w:tcPr>
          <w:p w14:paraId="5E6C687E" w14:textId="77777777" w:rsidR="00C2270A" w:rsidRPr="00FD119B" w:rsidRDefault="00C2270A" w:rsidP="002B0963">
            <w:pPr>
              <w:ind w:left="144"/>
            </w:pPr>
            <w:r>
              <w:t>ATP</w:t>
            </w:r>
          </w:p>
        </w:tc>
        <w:tc>
          <w:tcPr>
            <w:tcW w:w="6911" w:type="dxa"/>
          </w:tcPr>
          <w:p w14:paraId="7FF1A301" w14:textId="77777777" w:rsidR="00C2270A" w:rsidRPr="00FD119B" w:rsidRDefault="00C2270A" w:rsidP="002B0963">
            <w:pPr>
              <w:ind w:left="144"/>
            </w:pPr>
            <w:r>
              <w:t>According to protocol population</w:t>
            </w:r>
          </w:p>
        </w:tc>
      </w:tr>
      <w:tr w:rsidR="00C2270A" w:rsidRPr="00FD119B" w14:paraId="021EB640" w14:textId="77777777" w:rsidTr="00FD119B">
        <w:tc>
          <w:tcPr>
            <w:tcW w:w="1809" w:type="dxa"/>
          </w:tcPr>
          <w:p w14:paraId="59021C68" w14:textId="77777777" w:rsidR="00C2270A" w:rsidRPr="00FD119B" w:rsidRDefault="00C2270A" w:rsidP="002B0963">
            <w:pPr>
              <w:ind w:left="144"/>
            </w:pPr>
            <w:r>
              <w:t>AUC</w:t>
            </w:r>
            <w:r>
              <w:rPr>
                <w:vertAlign w:val="subscript"/>
              </w:rPr>
              <w:t>0-168h</w:t>
            </w:r>
          </w:p>
        </w:tc>
        <w:tc>
          <w:tcPr>
            <w:tcW w:w="6911" w:type="dxa"/>
          </w:tcPr>
          <w:p w14:paraId="41089A92" w14:textId="75EFF431" w:rsidR="00C2270A" w:rsidRPr="00FD119B" w:rsidRDefault="00C2270A" w:rsidP="002B0963">
            <w:pPr>
              <w:ind w:left="144"/>
            </w:pPr>
            <w:r>
              <w:t xml:space="preserve">Area under the concentration-time curve from time </w:t>
            </w:r>
            <w:r w:rsidR="002B0963">
              <w:t xml:space="preserve">zero </w:t>
            </w:r>
            <w:r>
              <w:t>to</w:t>
            </w:r>
            <w:r w:rsidR="00C01F54">
              <w:t xml:space="preserve"> </w:t>
            </w:r>
            <w:r>
              <w:t>168 hours</w:t>
            </w:r>
          </w:p>
        </w:tc>
      </w:tr>
      <w:tr w:rsidR="00C2270A" w:rsidRPr="00FD119B" w14:paraId="7D8CA46A" w14:textId="77777777" w:rsidTr="00FD119B">
        <w:tc>
          <w:tcPr>
            <w:tcW w:w="1809" w:type="dxa"/>
          </w:tcPr>
          <w:p w14:paraId="6F42553E" w14:textId="77777777" w:rsidR="00C2270A" w:rsidRPr="00FD119B" w:rsidRDefault="00C2270A" w:rsidP="002B0963">
            <w:pPr>
              <w:ind w:left="144"/>
            </w:pPr>
            <w:r>
              <w:t>AUC</w:t>
            </w:r>
            <w:r>
              <w:rPr>
                <w:vertAlign w:val="subscript"/>
              </w:rPr>
              <w:t>0-∞</w:t>
            </w:r>
          </w:p>
        </w:tc>
        <w:tc>
          <w:tcPr>
            <w:tcW w:w="6911" w:type="dxa"/>
          </w:tcPr>
          <w:p w14:paraId="5ECD1ADE" w14:textId="2F4BFA68" w:rsidR="00C2270A" w:rsidRPr="00FD119B" w:rsidRDefault="00C2270A" w:rsidP="002B0963">
            <w:pPr>
              <w:ind w:left="144"/>
            </w:pPr>
            <w:r>
              <w:t xml:space="preserve">Area under the concentration-time curve from time </w:t>
            </w:r>
            <w:r w:rsidR="002B0963">
              <w:t xml:space="preserve">zero </w:t>
            </w:r>
            <w:r>
              <w:t>to infinity</w:t>
            </w:r>
          </w:p>
        </w:tc>
      </w:tr>
      <w:tr w:rsidR="00C2270A" w:rsidRPr="00FD119B" w14:paraId="7B200BF9" w14:textId="77777777" w:rsidTr="00FD119B">
        <w:tc>
          <w:tcPr>
            <w:tcW w:w="1809" w:type="dxa"/>
          </w:tcPr>
          <w:p w14:paraId="178C7AAF" w14:textId="1E779A4B" w:rsidR="00C2270A" w:rsidRPr="00FD119B" w:rsidRDefault="00C2270A" w:rsidP="002B0963">
            <w:pPr>
              <w:ind w:left="144"/>
            </w:pPr>
            <w:r>
              <w:rPr>
                <w:lang w:eastAsia="ja-JP"/>
              </w:rPr>
              <w:t>AUC</w:t>
            </w:r>
            <w:r>
              <w:rPr>
                <w:vertAlign w:val="subscript"/>
                <w:lang w:eastAsia="ja-JP"/>
              </w:rPr>
              <w:t>0-</w:t>
            </w:r>
            <w:r w:rsidR="002B0963">
              <w:rPr>
                <w:vertAlign w:val="subscript"/>
                <w:lang w:eastAsia="ja-JP"/>
              </w:rPr>
              <w:t>last</w:t>
            </w:r>
          </w:p>
        </w:tc>
        <w:tc>
          <w:tcPr>
            <w:tcW w:w="6911" w:type="dxa"/>
          </w:tcPr>
          <w:p w14:paraId="034B4EF0" w14:textId="370D6E60" w:rsidR="00C2270A" w:rsidRPr="00FD119B" w:rsidRDefault="00C2270A" w:rsidP="002B0963">
            <w:pPr>
              <w:ind w:left="144"/>
            </w:pPr>
            <w:r>
              <w:t>Area under the concentration</w:t>
            </w:r>
            <w:r w:rsidR="002B0963">
              <w:noBreakHyphen/>
            </w:r>
            <w:r>
              <w:t xml:space="preserve">time curve from time </w:t>
            </w:r>
            <w:r w:rsidR="002B0963">
              <w:t xml:space="preserve">zero </w:t>
            </w:r>
            <w:r>
              <w:t xml:space="preserve">to the last </w:t>
            </w:r>
            <w:r w:rsidR="002B0963">
              <w:t>measurable concentration</w:t>
            </w:r>
          </w:p>
        </w:tc>
      </w:tr>
      <w:tr w:rsidR="00C2270A" w:rsidRPr="00FD119B" w14:paraId="37E5D5D6" w14:textId="77777777" w:rsidTr="00FD119B">
        <w:tc>
          <w:tcPr>
            <w:tcW w:w="1809" w:type="dxa"/>
          </w:tcPr>
          <w:p w14:paraId="177857E8" w14:textId="77777777" w:rsidR="00C2270A" w:rsidRPr="00FD119B" w:rsidRDefault="00C2270A" w:rsidP="002B0963">
            <w:pPr>
              <w:ind w:left="144"/>
            </w:pPr>
            <w:r>
              <w:t>BMI</w:t>
            </w:r>
          </w:p>
        </w:tc>
        <w:tc>
          <w:tcPr>
            <w:tcW w:w="6911" w:type="dxa"/>
          </w:tcPr>
          <w:p w14:paraId="7ED120D7" w14:textId="77777777" w:rsidR="00C2270A" w:rsidRPr="00FD119B" w:rsidRDefault="00C2270A" w:rsidP="002B0963">
            <w:pPr>
              <w:ind w:left="144"/>
            </w:pPr>
            <w:r>
              <w:rPr>
                <w:lang w:eastAsia="ja-JP"/>
              </w:rPr>
              <w:t>Body mass index</w:t>
            </w:r>
          </w:p>
        </w:tc>
      </w:tr>
      <w:tr w:rsidR="00C2270A" w:rsidRPr="00FD119B" w14:paraId="6B7BAA3B" w14:textId="77777777" w:rsidTr="00FD119B">
        <w:tc>
          <w:tcPr>
            <w:tcW w:w="1809" w:type="dxa"/>
          </w:tcPr>
          <w:p w14:paraId="074944CB" w14:textId="77777777" w:rsidR="00C2270A" w:rsidRPr="00FD119B" w:rsidRDefault="00C2270A" w:rsidP="002B0963">
            <w:pPr>
              <w:ind w:left="144"/>
            </w:pPr>
            <w:r>
              <w:t>CG</w:t>
            </w:r>
          </w:p>
        </w:tc>
        <w:tc>
          <w:tcPr>
            <w:tcW w:w="6911" w:type="dxa"/>
          </w:tcPr>
          <w:p w14:paraId="20E0CF41" w14:textId="77777777" w:rsidR="00C2270A" w:rsidRPr="00FD119B" w:rsidRDefault="00C2270A" w:rsidP="002B0963">
            <w:pPr>
              <w:ind w:left="144"/>
            </w:pPr>
            <w:r>
              <w:rPr>
                <w:lang w:val="en-GB"/>
              </w:rPr>
              <w:t>Chorionic gonadotropin</w:t>
            </w:r>
          </w:p>
        </w:tc>
      </w:tr>
      <w:tr w:rsidR="00C2270A" w:rsidRPr="00FD119B" w14:paraId="693018AD" w14:textId="77777777" w:rsidTr="00FD119B">
        <w:tc>
          <w:tcPr>
            <w:tcW w:w="1809" w:type="dxa"/>
          </w:tcPr>
          <w:p w14:paraId="023E8D6D" w14:textId="77777777" w:rsidR="00C2270A" w:rsidRPr="00FD119B" w:rsidRDefault="00C2270A" w:rsidP="002B0963">
            <w:pPr>
              <w:ind w:left="144"/>
            </w:pPr>
            <w:r>
              <w:t>CHO</w:t>
            </w:r>
          </w:p>
        </w:tc>
        <w:tc>
          <w:tcPr>
            <w:tcW w:w="6911" w:type="dxa"/>
          </w:tcPr>
          <w:p w14:paraId="34C448F8" w14:textId="1B016BC2" w:rsidR="00C2270A" w:rsidRPr="00FD119B" w:rsidRDefault="00C2270A" w:rsidP="002B0963">
            <w:pPr>
              <w:ind w:left="144"/>
            </w:pPr>
            <w:r>
              <w:t xml:space="preserve">Chinese </w:t>
            </w:r>
            <w:r w:rsidR="00DB1B1A">
              <w:t>h</w:t>
            </w:r>
            <w:r>
              <w:t xml:space="preserve">amster </w:t>
            </w:r>
            <w:r w:rsidR="00DB1B1A">
              <w:t>o</w:t>
            </w:r>
            <w:r>
              <w:t>vary</w:t>
            </w:r>
          </w:p>
        </w:tc>
      </w:tr>
      <w:tr w:rsidR="00C2270A" w:rsidRPr="00FD119B" w14:paraId="5F4247AA" w14:textId="77777777" w:rsidTr="00FD119B">
        <w:tc>
          <w:tcPr>
            <w:tcW w:w="1809" w:type="dxa"/>
          </w:tcPr>
          <w:p w14:paraId="752F99BC" w14:textId="77777777" w:rsidR="00C2270A" w:rsidRPr="00FD119B" w:rsidRDefault="00C2270A" w:rsidP="002B0963">
            <w:pPr>
              <w:ind w:left="144"/>
            </w:pPr>
            <w:r>
              <w:t>CI</w:t>
            </w:r>
          </w:p>
        </w:tc>
        <w:tc>
          <w:tcPr>
            <w:tcW w:w="6911" w:type="dxa"/>
          </w:tcPr>
          <w:p w14:paraId="3E29A8EC" w14:textId="77777777" w:rsidR="00C2270A" w:rsidRPr="00FD119B" w:rsidRDefault="00C2270A" w:rsidP="002B0963">
            <w:pPr>
              <w:ind w:left="144"/>
            </w:pPr>
            <w:r>
              <w:t>Confidence interval</w:t>
            </w:r>
          </w:p>
        </w:tc>
      </w:tr>
      <w:tr w:rsidR="00C2270A" w:rsidRPr="00FD119B" w14:paraId="227E275F" w14:textId="77777777" w:rsidTr="00FD119B">
        <w:tc>
          <w:tcPr>
            <w:tcW w:w="1809" w:type="dxa"/>
          </w:tcPr>
          <w:p w14:paraId="0CC42E1C" w14:textId="77777777" w:rsidR="00C2270A" w:rsidRPr="00FD119B" w:rsidRDefault="00C2270A" w:rsidP="002B0963">
            <w:pPr>
              <w:ind w:left="144"/>
            </w:pPr>
            <w:r>
              <w:t>CL/f</w:t>
            </w:r>
          </w:p>
        </w:tc>
        <w:tc>
          <w:tcPr>
            <w:tcW w:w="6911" w:type="dxa"/>
          </w:tcPr>
          <w:p w14:paraId="5D29AA7B" w14:textId="77777777" w:rsidR="00C2270A" w:rsidRPr="00FD119B" w:rsidRDefault="00C2270A" w:rsidP="002B0963">
            <w:pPr>
              <w:ind w:left="144"/>
            </w:pPr>
            <w:r>
              <w:t>Apparent clearance</w:t>
            </w:r>
          </w:p>
        </w:tc>
      </w:tr>
      <w:tr w:rsidR="00C2270A" w:rsidRPr="00FD119B" w14:paraId="6512BE48" w14:textId="77777777" w:rsidTr="00FD119B">
        <w:tc>
          <w:tcPr>
            <w:tcW w:w="1809" w:type="dxa"/>
          </w:tcPr>
          <w:p w14:paraId="5CB9368F" w14:textId="77777777" w:rsidR="00C2270A" w:rsidRPr="00FD119B" w:rsidRDefault="00C2270A" w:rsidP="002B0963">
            <w:pPr>
              <w:ind w:left="144"/>
            </w:pPr>
            <w:proofErr w:type="spellStart"/>
            <w:r>
              <w:rPr>
                <w:lang w:eastAsia="ja-JP"/>
              </w:rPr>
              <w:t>C</w:t>
            </w:r>
            <w:r>
              <w:rPr>
                <w:vertAlign w:val="subscript"/>
                <w:lang w:eastAsia="ja-JP"/>
              </w:rPr>
              <w:t>max</w:t>
            </w:r>
            <w:proofErr w:type="spellEnd"/>
          </w:p>
        </w:tc>
        <w:tc>
          <w:tcPr>
            <w:tcW w:w="6911" w:type="dxa"/>
          </w:tcPr>
          <w:p w14:paraId="486EFDFD" w14:textId="77777777" w:rsidR="00C2270A" w:rsidRPr="00FD119B" w:rsidRDefault="00C2270A" w:rsidP="002B0963">
            <w:pPr>
              <w:ind w:left="144"/>
            </w:pPr>
            <w:r>
              <w:rPr>
                <w:lang w:eastAsia="ja-JP"/>
              </w:rPr>
              <w:t>Maximum plasma concentration</w:t>
            </w:r>
          </w:p>
        </w:tc>
      </w:tr>
      <w:tr w:rsidR="00C2270A" w:rsidRPr="00FD119B" w14:paraId="4C81EACC" w14:textId="77777777" w:rsidTr="00FD119B">
        <w:tc>
          <w:tcPr>
            <w:tcW w:w="1809" w:type="dxa"/>
          </w:tcPr>
          <w:p w14:paraId="1B1AB52A" w14:textId="77777777" w:rsidR="00C2270A" w:rsidRPr="00FD119B" w:rsidRDefault="00C2270A" w:rsidP="002B0963">
            <w:pPr>
              <w:ind w:left="144"/>
            </w:pPr>
            <w:r>
              <w:t>CNS</w:t>
            </w:r>
          </w:p>
        </w:tc>
        <w:tc>
          <w:tcPr>
            <w:tcW w:w="6911" w:type="dxa"/>
          </w:tcPr>
          <w:p w14:paraId="6AA4BA09" w14:textId="77777777" w:rsidR="00C2270A" w:rsidRPr="00FD119B" w:rsidRDefault="00C2270A" w:rsidP="002B0963">
            <w:pPr>
              <w:ind w:left="144"/>
            </w:pPr>
            <w:r>
              <w:t>Central nervous system</w:t>
            </w:r>
          </w:p>
        </w:tc>
      </w:tr>
      <w:tr w:rsidR="00C2270A" w:rsidRPr="00FD119B" w14:paraId="77B98B23" w14:textId="77777777" w:rsidTr="00FD119B">
        <w:tc>
          <w:tcPr>
            <w:tcW w:w="1809" w:type="dxa"/>
          </w:tcPr>
          <w:p w14:paraId="2F1973CB" w14:textId="77777777" w:rsidR="00C2270A" w:rsidRPr="00FD119B" w:rsidRDefault="00C2270A" w:rsidP="002B0963">
            <w:pPr>
              <w:ind w:left="144"/>
            </w:pPr>
            <w:r>
              <w:t>CPD</w:t>
            </w:r>
          </w:p>
        </w:tc>
        <w:tc>
          <w:tcPr>
            <w:tcW w:w="6911" w:type="dxa"/>
          </w:tcPr>
          <w:p w14:paraId="7E7C0ADC" w14:textId="77777777" w:rsidR="00C2270A" w:rsidRPr="00FD119B" w:rsidRDefault="00C2270A" w:rsidP="002B0963">
            <w:pPr>
              <w:ind w:left="144"/>
            </w:pPr>
            <w:r>
              <w:rPr>
                <w:rFonts w:cs="Cambria"/>
              </w:rPr>
              <w:t>Certified Product Details</w:t>
            </w:r>
          </w:p>
        </w:tc>
      </w:tr>
      <w:tr w:rsidR="00026810" w:rsidRPr="00FD119B" w14:paraId="36D4624A" w14:textId="77777777" w:rsidTr="00FD119B">
        <w:tc>
          <w:tcPr>
            <w:tcW w:w="1809" w:type="dxa"/>
          </w:tcPr>
          <w:p w14:paraId="57C28811" w14:textId="2427CDE1" w:rsidR="00026810" w:rsidRDefault="00026810" w:rsidP="002B0963">
            <w:pPr>
              <w:ind w:left="144"/>
            </w:pPr>
            <w:r>
              <w:t>EU</w:t>
            </w:r>
          </w:p>
        </w:tc>
        <w:tc>
          <w:tcPr>
            <w:tcW w:w="6911" w:type="dxa"/>
          </w:tcPr>
          <w:p w14:paraId="5CEACD57" w14:textId="24E047D5" w:rsidR="00026810" w:rsidRDefault="00026810" w:rsidP="002B0963">
            <w:pPr>
              <w:ind w:left="144"/>
              <w:rPr>
                <w:rFonts w:cs="Cambria"/>
              </w:rPr>
            </w:pPr>
            <w:r>
              <w:rPr>
                <w:rFonts w:cs="Cambria"/>
              </w:rPr>
              <w:t>European Union</w:t>
            </w:r>
          </w:p>
        </w:tc>
      </w:tr>
      <w:tr w:rsidR="00C2270A" w:rsidRPr="00FD119B" w14:paraId="1040DF70" w14:textId="77777777" w:rsidTr="00FD119B">
        <w:tc>
          <w:tcPr>
            <w:tcW w:w="1809" w:type="dxa"/>
          </w:tcPr>
          <w:p w14:paraId="241BA93D" w14:textId="77777777" w:rsidR="00C2270A" w:rsidRPr="00FD119B" w:rsidRDefault="00C2270A" w:rsidP="002B0963">
            <w:pPr>
              <w:ind w:left="144"/>
            </w:pPr>
            <w:r>
              <w:t>FSH</w:t>
            </w:r>
          </w:p>
        </w:tc>
        <w:tc>
          <w:tcPr>
            <w:tcW w:w="6911" w:type="dxa"/>
          </w:tcPr>
          <w:p w14:paraId="543855D0" w14:textId="77777777" w:rsidR="00C2270A" w:rsidRPr="00FD119B" w:rsidRDefault="00C2270A" w:rsidP="002B0963">
            <w:pPr>
              <w:ind w:left="144"/>
            </w:pPr>
            <w:r>
              <w:t>Follicle-stimulating hormone</w:t>
            </w:r>
          </w:p>
        </w:tc>
      </w:tr>
      <w:tr w:rsidR="00C2270A" w:rsidRPr="00FD119B" w14:paraId="639E10C1" w14:textId="77777777" w:rsidTr="00FD119B">
        <w:tc>
          <w:tcPr>
            <w:tcW w:w="1809" w:type="dxa"/>
          </w:tcPr>
          <w:p w14:paraId="23C87B1F" w14:textId="77777777" w:rsidR="00C2270A" w:rsidRPr="00FD119B" w:rsidRDefault="00C2270A" w:rsidP="002B0963">
            <w:pPr>
              <w:ind w:left="144"/>
            </w:pPr>
            <w:r>
              <w:t>GIFT</w:t>
            </w:r>
          </w:p>
        </w:tc>
        <w:tc>
          <w:tcPr>
            <w:tcW w:w="6911" w:type="dxa"/>
          </w:tcPr>
          <w:p w14:paraId="5D2806E9" w14:textId="77777777" w:rsidR="00C2270A" w:rsidRPr="00FD119B" w:rsidRDefault="00C2270A" w:rsidP="002B0963">
            <w:pPr>
              <w:ind w:left="144"/>
            </w:pPr>
            <w:r>
              <w:t xml:space="preserve">Gamete </w:t>
            </w:r>
            <w:proofErr w:type="spellStart"/>
            <w:r>
              <w:t>intrafallopian</w:t>
            </w:r>
            <w:proofErr w:type="spellEnd"/>
            <w:r>
              <w:t xml:space="preserve"> transfer</w:t>
            </w:r>
          </w:p>
        </w:tc>
      </w:tr>
      <w:tr w:rsidR="00C2270A" w:rsidRPr="00FD119B" w14:paraId="0E5669F1" w14:textId="77777777" w:rsidTr="00FD119B">
        <w:tc>
          <w:tcPr>
            <w:tcW w:w="1809" w:type="dxa"/>
          </w:tcPr>
          <w:p w14:paraId="41F59C79" w14:textId="77777777" w:rsidR="00C2270A" w:rsidRPr="00FD119B" w:rsidRDefault="00C2270A" w:rsidP="002B0963">
            <w:pPr>
              <w:ind w:left="144"/>
            </w:pPr>
            <w:r>
              <w:t>GMP</w:t>
            </w:r>
          </w:p>
        </w:tc>
        <w:tc>
          <w:tcPr>
            <w:tcW w:w="6911" w:type="dxa"/>
          </w:tcPr>
          <w:p w14:paraId="06809811" w14:textId="77777777" w:rsidR="00C2270A" w:rsidRPr="00FD119B" w:rsidRDefault="00C2270A" w:rsidP="002B0963">
            <w:pPr>
              <w:ind w:left="144"/>
            </w:pPr>
            <w:r>
              <w:rPr>
                <w:rFonts w:asciiTheme="minorHAnsi" w:hAnsiTheme="minorHAnsi"/>
              </w:rPr>
              <w:t>Good Manufacturing Practice</w:t>
            </w:r>
          </w:p>
        </w:tc>
      </w:tr>
      <w:tr w:rsidR="00C2270A" w:rsidRPr="00FD119B" w14:paraId="426FB4C1" w14:textId="77777777" w:rsidTr="00FD119B">
        <w:tc>
          <w:tcPr>
            <w:tcW w:w="1809" w:type="dxa"/>
          </w:tcPr>
          <w:p w14:paraId="242B0B02" w14:textId="77777777" w:rsidR="00C2270A" w:rsidRPr="00FD119B" w:rsidRDefault="00C2270A" w:rsidP="002B0963">
            <w:pPr>
              <w:ind w:left="144"/>
            </w:pPr>
            <w:r>
              <w:t>GPV</w:t>
            </w:r>
          </w:p>
        </w:tc>
        <w:tc>
          <w:tcPr>
            <w:tcW w:w="6911" w:type="dxa"/>
          </w:tcPr>
          <w:p w14:paraId="22521801" w14:textId="77777777" w:rsidR="00C2270A" w:rsidRPr="00C2270A" w:rsidRDefault="00C2270A" w:rsidP="002B0963">
            <w:pPr>
              <w:ind w:left="144"/>
            </w:pPr>
            <w:r w:rsidRPr="00C2270A">
              <w:t xml:space="preserve">Good </w:t>
            </w:r>
            <w:r>
              <w:t>Pharmacovigilance Practice(s)</w:t>
            </w:r>
          </w:p>
        </w:tc>
      </w:tr>
      <w:tr w:rsidR="00C2270A" w:rsidRPr="00FD119B" w14:paraId="156A0B4B" w14:textId="77777777" w:rsidTr="00FD119B">
        <w:tc>
          <w:tcPr>
            <w:tcW w:w="1809" w:type="dxa"/>
          </w:tcPr>
          <w:p w14:paraId="52763A83" w14:textId="77777777" w:rsidR="00C2270A" w:rsidRPr="00FD119B" w:rsidRDefault="00C2270A" w:rsidP="002B0963">
            <w:pPr>
              <w:ind w:left="144" w:right="0"/>
              <w:rPr>
                <w:color w:val="auto"/>
                <w:szCs w:val="22"/>
                <w:lang w:eastAsia="en-US"/>
              </w:rPr>
            </w:pPr>
            <w:proofErr w:type="spellStart"/>
            <w:r>
              <w:rPr>
                <w:color w:val="auto"/>
                <w:szCs w:val="22"/>
                <w:lang w:eastAsia="en-US"/>
              </w:rPr>
              <w:t>hCG</w:t>
            </w:r>
            <w:proofErr w:type="spellEnd"/>
          </w:p>
        </w:tc>
        <w:tc>
          <w:tcPr>
            <w:tcW w:w="6911" w:type="dxa"/>
          </w:tcPr>
          <w:p w14:paraId="1CAF8ABC" w14:textId="77777777" w:rsidR="00C2270A" w:rsidRPr="00FD119B" w:rsidRDefault="00C2270A" w:rsidP="002B0963">
            <w:pPr>
              <w:ind w:left="144" w:right="0"/>
              <w:rPr>
                <w:color w:val="auto"/>
                <w:szCs w:val="22"/>
                <w:lang w:eastAsia="en-US"/>
              </w:rPr>
            </w:pPr>
            <w:r>
              <w:rPr>
                <w:color w:val="auto"/>
                <w:szCs w:val="22"/>
                <w:lang w:eastAsia="en-US"/>
              </w:rPr>
              <w:t>H</w:t>
            </w:r>
            <w:r w:rsidRPr="00B32BE0">
              <w:rPr>
                <w:color w:val="auto"/>
                <w:szCs w:val="22"/>
                <w:lang w:eastAsia="en-US"/>
              </w:rPr>
              <w:t>u</w:t>
            </w:r>
            <w:r>
              <w:rPr>
                <w:color w:val="auto"/>
                <w:szCs w:val="22"/>
                <w:lang w:eastAsia="en-US"/>
              </w:rPr>
              <w:t>man chorionic gonadotrophin</w:t>
            </w:r>
          </w:p>
        </w:tc>
      </w:tr>
      <w:tr w:rsidR="00C2270A" w:rsidRPr="00FD119B" w14:paraId="73AFBE37" w14:textId="77777777" w:rsidTr="00FD119B">
        <w:tc>
          <w:tcPr>
            <w:tcW w:w="1809" w:type="dxa"/>
          </w:tcPr>
          <w:p w14:paraId="203FEA2E" w14:textId="77777777" w:rsidR="00C2270A" w:rsidRPr="00FD119B" w:rsidRDefault="00C2270A" w:rsidP="002B0963">
            <w:pPr>
              <w:ind w:left="144"/>
            </w:pPr>
            <w:r>
              <w:lastRenderedPageBreak/>
              <w:t>ICSI</w:t>
            </w:r>
          </w:p>
        </w:tc>
        <w:tc>
          <w:tcPr>
            <w:tcW w:w="6911" w:type="dxa"/>
          </w:tcPr>
          <w:p w14:paraId="4F07A773" w14:textId="77777777" w:rsidR="00C2270A" w:rsidRPr="00FD119B" w:rsidRDefault="00C2270A" w:rsidP="002B0963">
            <w:pPr>
              <w:ind w:left="144"/>
            </w:pPr>
            <w:r>
              <w:t>Intracytoplasmic sperm injection</w:t>
            </w:r>
          </w:p>
        </w:tc>
      </w:tr>
      <w:tr w:rsidR="00C2270A" w:rsidRPr="00FD119B" w14:paraId="27CD27F1" w14:textId="77777777" w:rsidTr="00FD119B">
        <w:tc>
          <w:tcPr>
            <w:tcW w:w="1809" w:type="dxa"/>
          </w:tcPr>
          <w:p w14:paraId="38214336" w14:textId="77777777" w:rsidR="00C2270A" w:rsidRPr="00FD119B" w:rsidRDefault="00C2270A" w:rsidP="002B0963">
            <w:pPr>
              <w:ind w:left="144"/>
            </w:pPr>
            <w:r>
              <w:t>ITT</w:t>
            </w:r>
          </w:p>
        </w:tc>
        <w:tc>
          <w:tcPr>
            <w:tcW w:w="6911" w:type="dxa"/>
          </w:tcPr>
          <w:p w14:paraId="6F1C3293" w14:textId="77777777" w:rsidR="00C2270A" w:rsidRPr="00FD119B" w:rsidRDefault="00C2270A" w:rsidP="002B0963">
            <w:pPr>
              <w:ind w:left="144"/>
            </w:pPr>
            <w:r>
              <w:t>Intent to treat population</w:t>
            </w:r>
          </w:p>
        </w:tc>
      </w:tr>
      <w:tr w:rsidR="00C2270A" w:rsidRPr="00FD119B" w14:paraId="45C9B540" w14:textId="77777777" w:rsidTr="00FD119B">
        <w:tc>
          <w:tcPr>
            <w:tcW w:w="1809" w:type="dxa"/>
          </w:tcPr>
          <w:p w14:paraId="048209D1" w14:textId="77777777" w:rsidR="00C2270A" w:rsidRPr="00FD119B" w:rsidRDefault="00C2270A" w:rsidP="002B0963">
            <w:pPr>
              <w:ind w:left="144" w:right="0"/>
              <w:rPr>
                <w:color w:val="auto"/>
                <w:szCs w:val="22"/>
                <w:lang w:eastAsia="en-US"/>
              </w:rPr>
            </w:pPr>
            <w:r>
              <w:rPr>
                <w:color w:val="auto"/>
                <w:szCs w:val="22"/>
                <w:lang w:eastAsia="en-US"/>
              </w:rPr>
              <w:t>IU</w:t>
            </w:r>
          </w:p>
        </w:tc>
        <w:tc>
          <w:tcPr>
            <w:tcW w:w="6911" w:type="dxa"/>
          </w:tcPr>
          <w:p w14:paraId="0BBF526C" w14:textId="77777777" w:rsidR="00C2270A" w:rsidRPr="00FD119B" w:rsidRDefault="00C2270A" w:rsidP="002B0963">
            <w:pPr>
              <w:ind w:left="144" w:right="0"/>
              <w:rPr>
                <w:color w:val="auto"/>
                <w:szCs w:val="22"/>
                <w:lang w:eastAsia="en-US"/>
              </w:rPr>
            </w:pPr>
            <w:r>
              <w:t>International units</w:t>
            </w:r>
          </w:p>
        </w:tc>
      </w:tr>
      <w:tr w:rsidR="00C2270A" w:rsidRPr="00FD119B" w14:paraId="1C098246" w14:textId="77777777" w:rsidTr="00FD119B">
        <w:tc>
          <w:tcPr>
            <w:tcW w:w="1809" w:type="dxa"/>
          </w:tcPr>
          <w:p w14:paraId="663B450B" w14:textId="77777777" w:rsidR="00C2270A" w:rsidRPr="00FD119B" w:rsidRDefault="00C2270A" w:rsidP="002B0963">
            <w:pPr>
              <w:ind w:left="144"/>
            </w:pPr>
            <w:r>
              <w:t>IVF</w:t>
            </w:r>
          </w:p>
        </w:tc>
        <w:tc>
          <w:tcPr>
            <w:tcW w:w="6911" w:type="dxa"/>
          </w:tcPr>
          <w:p w14:paraId="0AD4AD50" w14:textId="77777777" w:rsidR="00C2270A" w:rsidRPr="00FD119B" w:rsidRDefault="00C2270A" w:rsidP="002B0963">
            <w:pPr>
              <w:ind w:left="144"/>
            </w:pPr>
            <w:r>
              <w:rPr>
                <w:i/>
              </w:rPr>
              <w:t>In vitro</w:t>
            </w:r>
            <w:r>
              <w:t xml:space="preserve"> fertilisation</w:t>
            </w:r>
          </w:p>
        </w:tc>
      </w:tr>
      <w:tr w:rsidR="00C2270A" w:rsidRPr="00FD119B" w14:paraId="6AA457A0" w14:textId="77777777" w:rsidTr="00FD119B">
        <w:tc>
          <w:tcPr>
            <w:tcW w:w="1809" w:type="dxa"/>
          </w:tcPr>
          <w:p w14:paraId="33D7715A" w14:textId="77777777" w:rsidR="00C2270A" w:rsidRPr="00FD119B" w:rsidRDefault="00C2270A" w:rsidP="002B0963">
            <w:pPr>
              <w:ind w:left="144"/>
            </w:pPr>
            <w:r>
              <w:t>LH</w:t>
            </w:r>
          </w:p>
        </w:tc>
        <w:tc>
          <w:tcPr>
            <w:tcW w:w="6911" w:type="dxa"/>
          </w:tcPr>
          <w:p w14:paraId="6B244CD4" w14:textId="77777777" w:rsidR="00C2270A" w:rsidRPr="00FD119B" w:rsidRDefault="00C2270A" w:rsidP="002B0963">
            <w:pPr>
              <w:ind w:left="144"/>
            </w:pPr>
            <w:r>
              <w:t>Luteinising hormone</w:t>
            </w:r>
          </w:p>
        </w:tc>
      </w:tr>
      <w:tr w:rsidR="00C2270A" w:rsidRPr="00FD119B" w14:paraId="609D31A1" w14:textId="77777777" w:rsidTr="00FD119B">
        <w:tc>
          <w:tcPr>
            <w:tcW w:w="1809" w:type="dxa"/>
          </w:tcPr>
          <w:p w14:paraId="3DC283A5" w14:textId="77777777" w:rsidR="00C2270A" w:rsidRPr="00FD119B" w:rsidRDefault="00C2270A" w:rsidP="002B0963">
            <w:pPr>
              <w:ind w:left="144"/>
            </w:pPr>
            <w:proofErr w:type="spellStart"/>
            <w:r>
              <w:t>N</w:t>
            </w:r>
            <w:r>
              <w:rPr>
                <w:vertAlign w:val="subscript"/>
              </w:rPr>
              <w:t>calc</w:t>
            </w:r>
            <w:proofErr w:type="spellEnd"/>
          </w:p>
        </w:tc>
        <w:tc>
          <w:tcPr>
            <w:tcW w:w="6911" w:type="dxa"/>
          </w:tcPr>
          <w:p w14:paraId="6A4127B5" w14:textId="77777777" w:rsidR="00C2270A" w:rsidRPr="00FD119B" w:rsidRDefault="00C2270A" w:rsidP="002B0963">
            <w:pPr>
              <w:ind w:left="144"/>
            </w:pPr>
            <w:r>
              <w:t>Number of subjects used for calculation</w:t>
            </w:r>
          </w:p>
        </w:tc>
      </w:tr>
      <w:tr w:rsidR="00C2270A" w:rsidRPr="00FD119B" w14:paraId="04FC35DB" w14:textId="77777777" w:rsidTr="00FD119B">
        <w:tc>
          <w:tcPr>
            <w:tcW w:w="1809" w:type="dxa"/>
          </w:tcPr>
          <w:p w14:paraId="0985D664" w14:textId="77777777" w:rsidR="00C2270A" w:rsidRPr="00FD119B" w:rsidRDefault="00C2270A" w:rsidP="002B0963">
            <w:pPr>
              <w:ind w:left="144"/>
            </w:pPr>
            <w:r>
              <w:t>Neu5Gc</w:t>
            </w:r>
          </w:p>
        </w:tc>
        <w:tc>
          <w:tcPr>
            <w:tcW w:w="6911" w:type="dxa"/>
          </w:tcPr>
          <w:p w14:paraId="6E7E7931" w14:textId="77777777" w:rsidR="00C2270A" w:rsidRPr="00FD119B" w:rsidRDefault="00C2270A" w:rsidP="002B0963">
            <w:pPr>
              <w:ind w:left="144"/>
            </w:pPr>
            <w:r>
              <w:t>N-</w:t>
            </w:r>
            <w:proofErr w:type="spellStart"/>
            <w:r>
              <w:t>glycolylneuraminic</w:t>
            </w:r>
            <w:proofErr w:type="spellEnd"/>
            <w:r>
              <w:t xml:space="preserve"> acid</w:t>
            </w:r>
          </w:p>
        </w:tc>
      </w:tr>
      <w:tr w:rsidR="00C2270A" w:rsidRPr="00FD119B" w14:paraId="708689BE" w14:textId="77777777" w:rsidTr="00FD119B">
        <w:tc>
          <w:tcPr>
            <w:tcW w:w="1809" w:type="dxa"/>
          </w:tcPr>
          <w:p w14:paraId="5AAAB925" w14:textId="77777777" w:rsidR="00C2270A" w:rsidRPr="00FD119B" w:rsidRDefault="00C2270A" w:rsidP="002B0963">
            <w:pPr>
              <w:ind w:left="144"/>
            </w:pPr>
            <w:r>
              <w:t>NICE</w:t>
            </w:r>
          </w:p>
        </w:tc>
        <w:tc>
          <w:tcPr>
            <w:tcW w:w="6911" w:type="dxa"/>
          </w:tcPr>
          <w:p w14:paraId="628DAF2F" w14:textId="5F72E480" w:rsidR="00C2270A" w:rsidRPr="00FD119B" w:rsidRDefault="00C2270A" w:rsidP="002B0963">
            <w:pPr>
              <w:ind w:left="144"/>
            </w:pPr>
            <w:r>
              <w:t>National Institute for Health and Care Excellence</w:t>
            </w:r>
            <w:r w:rsidR="00DB1B1A">
              <w:t xml:space="preserve"> (United Kingdom)</w:t>
            </w:r>
          </w:p>
        </w:tc>
      </w:tr>
      <w:tr w:rsidR="00C2270A" w:rsidRPr="00FD119B" w14:paraId="754CF380" w14:textId="77777777" w:rsidTr="00FD119B">
        <w:tc>
          <w:tcPr>
            <w:tcW w:w="1809" w:type="dxa"/>
          </w:tcPr>
          <w:p w14:paraId="745F3EE6" w14:textId="77777777" w:rsidR="00C2270A" w:rsidRPr="00FD119B" w:rsidRDefault="00C2270A" w:rsidP="002B0963">
            <w:pPr>
              <w:ind w:left="144"/>
            </w:pPr>
            <w:r>
              <w:t>OHSS</w:t>
            </w:r>
          </w:p>
        </w:tc>
        <w:tc>
          <w:tcPr>
            <w:tcW w:w="6911" w:type="dxa"/>
          </w:tcPr>
          <w:p w14:paraId="04FCE795" w14:textId="77777777" w:rsidR="00C2270A" w:rsidRPr="00FD119B" w:rsidRDefault="00C2270A" w:rsidP="002B0963">
            <w:pPr>
              <w:ind w:left="144"/>
            </w:pPr>
            <w:r>
              <w:t xml:space="preserve">Ovarian </w:t>
            </w:r>
            <w:proofErr w:type="spellStart"/>
            <w:r>
              <w:t>hyperstimulation</w:t>
            </w:r>
            <w:proofErr w:type="spellEnd"/>
            <w:r>
              <w:t xml:space="preserve"> syndrome</w:t>
            </w:r>
          </w:p>
        </w:tc>
      </w:tr>
      <w:tr w:rsidR="00C2270A" w:rsidRPr="00FD119B" w14:paraId="1F9192CE" w14:textId="77777777" w:rsidTr="00FD119B">
        <w:tc>
          <w:tcPr>
            <w:tcW w:w="1809" w:type="dxa"/>
          </w:tcPr>
          <w:p w14:paraId="2426746E" w14:textId="77777777" w:rsidR="00C2270A" w:rsidRPr="00FD119B" w:rsidRDefault="00C2270A" w:rsidP="002B0963">
            <w:pPr>
              <w:ind w:left="144"/>
            </w:pPr>
            <w:r>
              <w:t>PCOS</w:t>
            </w:r>
          </w:p>
        </w:tc>
        <w:tc>
          <w:tcPr>
            <w:tcW w:w="6911" w:type="dxa"/>
          </w:tcPr>
          <w:p w14:paraId="724D6E68" w14:textId="77777777" w:rsidR="00C2270A" w:rsidRPr="00FD119B" w:rsidRDefault="00C2270A" w:rsidP="002B0963">
            <w:pPr>
              <w:ind w:left="144"/>
            </w:pPr>
            <w:r>
              <w:t>Polycystic ovary syndrome</w:t>
            </w:r>
          </w:p>
        </w:tc>
      </w:tr>
      <w:tr w:rsidR="00C2270A" w:rsidRPr="00FD119B" w14:paraId="62C32DC1" w14:textId="77777777" w:rsidTr="00FD119B">
        <w:tc>
          <w:tcPr>
            <w:tcW w:w="1809" w:type="dxa"/>
          </w:tcPr>
          <w:p w14:paraId="2EB9A89A" w14:textId="77777777" w:rsidR="00C2270A" w:rsidRPr="00FD119B" w:rsidRDefault="00C2270A" w:rsidP="002B0963">
            <w:pPr>
              <w:ind w:left="144"/>
            </w:pPr>
            <w:r>
              <w:t>PI</w:t>
            </w:r>
          </w:p>
        </w:tc>
        <w:tc>
          <w:tcPr>
            <w:tcW w:w="6911" w:type="dxa"/>
          </w:tcPr>
          <w:p w14:paraId="2385E587" w14:textId="77777777" w:rsidR="00C2270A" w:rsidRPr="00FD119B" w:rsidRDefault="00C2270A" w:rsidP="002B0963">
            <w:pPr>
              <w:ind w:left="144"/>
            </w:pPr>
            <w:r>
              <w:t>Product Information</w:t>
            </w:r>
          </w:p>
        </w:tc>
      </w:tr>
      <w:tr w:rsidR="00C2270A" w:rsidRPr="00FD119B" w14:paraId="5DDF47CC" w14:textId="77777777" w:rsidTr="00FD119B">
        <w:tc>
          <w:tcPr>
            <w:tcW w:w="1809" w:type="dxa"/>
          </w:tcPr>
          <w:p w14:paraId="74BF2A6A" w14:textId="77777777" w:rsidR="00C2270A" w:rsidRPr="00FD119B" w:rsidRDefault="00C2270A" w:rsidP="002B0963">
            <w:pPr>
              <w:ind w:left="144"/>
            </w:pPr>
            <w:r>
              <w:t>PSUR</w:t>
            </w:r>
          </w:p>
        </w:tc>
        <w:tc>
          <w:tcPr>
            <w:tcW w:w="6911" w:type="dxa"/>
          </w:tcPr>
          <w:p w14:paraId="64CB1486" w14:textId="77777777" w:rsidR="00C2270A" w:rsidRPr="00FD119B" w:rsidRDefault="00C2270A" w:rsidP="002B0963">
            <w:pPr>
              <w:ind w:left="144"/>
            </w:pPr>
            <w:r>
              <w:t>Periodic safety update report</w:t>
            </w:r>
          </w:p>
        </w:tc>
      </w:tr>
      <w:tr w:rsidR="00C2270A" w:rsidRPr="00FD119B" w14:paraId="134919C9" w14:textId="77777777" w:rsidTr="00FD119B">
        <w:tc>
          <w:tcPr>
            <w:tcW w:w="1809" w:type="dxa"/>
          </w:tcPr>
          <w:p w14:paraId="59D24542" w14:textId="77777777" w:rsidR="00C2270A" w:rsidRPr="00FD119B" w:rsidRDefault="00C2270A" w:rsidP="002B0963">
            <w:pPr>
              <w:ind w:left="144"/>
            </w:pPr>
            <w:r>
              <w:t>r-FSH</w:t>
            </w:r>
          </w:p>
        </w:tc>
        <w:tc>
          <w:tcPr>
            <w:tcW w:w="6911" w:type="dxa"/>
          </w:tcPr>
          <w:p w14:paraId="72B7E13F" w14:textId="7FDB73C6" w:rsidR="00C2270A" w:rsidRPr="00FD119B" w:rsidRDefault="00C2270A" w:rsidP="00026810">
            <w:pPr>
              <w:ind w:left="144"/>
            </w:pPr>
            <w:r>
              <w:t>Recombinant</w:t>
            </w:r>
            <w:r w:rsidR="00DB1B1A">
              <w:noBreakHyphen/>
            </w:r>
            <w:r>
              <w:t>follicle stimulating hormone</w:t>
            </w:r>
          </w:p>
        </w:tc>
      </w:tr>
      <w:tr w:rsidR="00C2270A" w:rsidRPr="00FD119B" w14:paraId="75C9333F" w14:textId="77777777" w:rsidTr="00FD119B">
        <w:tc>
          <w:tcPr>
            <w:tcW w:w="1809" w:type="dxa"/>
          </w:tcPr>
          <w:p w14:paraId="766EFD12" w14:textId="77777777" w:rsidR="00C2270A" w:rsidRPr="00FD119B" w:rsidRDefault="00C2270A" w:rsidP="002B0963">
            <w:pPr>
              <w:ind w:left="144"/>
            </w:pPr>
            <w:r>
              <w:t>SAE</w:t>
            </w:r>
          </w:p>
        </w:tc>
        <w:tc>
          <w:tcPr>
            <w:tcW w:w="6911" w:type="dxa"/>
          </w:tcPr>
          <w:p w14:paraId="1AEF9F91" w14:textId="77777777" w:rsidR="00C2270A" w:rsidRPr="00FD119B" w:rsidRDefault="00C2270A" w:rsidP="002B0963">
            <w:pPr>
              <w:ind w:left="144"/>
            </w:pPr>
            <w:r>
              <w:t>Serious adverse event</w:t>
            </w:r>
          </w:p>
        </w:tc>
      </w:tr>
      <w:tr w:rsidR="00C2270A" w:rsidRPr="00FD119B" w14:paraId="05052EC9" w14:textId="77777777" w:rsidTr="00FD119B">
        <w:tc>
          <w:tcPr>
            <w:tcW w:w="1809" w:type="dxa"/>
          </w:tcPr>
          <w:p w14:paraId="42BFF338" w14:textId="77777777" w:rsidR="00C2270A" w:rsidRPr="00FD119B" w:rsidRDefault="00C2270A" w:rsidP="002B0963">
            <w:pPr>
              <w:ind w:left="144"/>
            </w:pPr>
            <w:r>
              <w:t>SC</w:t>
            </w:r>
          </w:p>
        </w:tc>
        <w:tc>
          <w:tcPr>
            <w:tcW w:w="6911" w:type="dxa"/>
          </w:tcPr>
          <w:p w14:paraId="58E28495" w14:textId="77777777" w:rsidR="00C2270A" w:rsidRPr="00FD119B" w:rsidRDefault="00C2270A" w:rsidP="002B0963">
            <w:pPr>
              <w:ind w:left="144"/>
            </w:pPr>
            <w:r>
              <w:t>Subcutaneous</w:t>
            </w:r>
          </w:p>
        </w:tc>
      </w:tr>
      <w:tr w:rsidR="00C2270A" w:rsidRPr="00FD119B" w14:paraId="4532381E" w14:textId="77777777" w:rsidTr="00FD119B">
        <w:tc>
          <w:tcPr>
            <w:tcW w:w="1809" w:type="dxa"/>
          </w:tcPr>
          <w:p w14:paraId="32E082A7" w14:textId="77777777" w:rsidR="00C2270A" w:rsidRPr="00FD119B" w:rsidRDefault="00C2270A" w:rsidP="002B0963">
            <w:pPr>
              <w:ind w:left="144"/>
            </w:pPr>
            <w:r>
              <w:t>SD</w:t>
            </w:r>
          </w:p>
        </w:tc>
        <w:tc>
          <w:tcPr>
            <w:tcW w:w="6911" w:type="dxa"/>
          </w:tcPr>
          <w:p w14:paraId="6A010BE5" w14:textId="77777777" w:rsidR="00C2270A" w:rsidRPr="00FD119B" w:rsidRDefault="00C2270A" w:rsidP="002B0963">
            <w:pPr>
              <w:ind w:left="144"/>
            </w:pPr>
            <w:r>
              <w:t>Standard deviation</w:t>
            </w:r>
          </w:p>
        </w:tc>
      </w:tr>
      <w:tr w:rsidR="00C2270A" w:rsidRPr="00FD119B" w14:paraId="51A133E0" w14:textId="77777777" w:rsidTr="00FD119B">
        <w:tc>
          <w:tcPr>
            <w:tcW w:w="1809" w:type="dxa"/>
          </w:tcPr>
          <w:p w14:paraId="329FAE44" w14:textId="77777777" w:rsidR="00C2270A" w:rsidRPr="00FD119B" w:rsidRDefault="00C2270A" w:rsidP="002B0963">
            <w:pPr>
              <w:ind w:left="144"/>
            </w:pPr>
            <w:r>
              <w:rPr>
                <w:lang w:eastAsia="ja-JP"/>
              </w:rPr>
              <w:t>t</w:t>
            </w:r>
            <w:r>
              <w:rPr>
                <w:vertAlign w:val="subscript"/>
                <w:lang w:eastAsia="ja-JP"/>
              </w:rPr>
              <w:t>½</w:t>
            </w:r>
          </w:p>
        </w:tc>
        <w:tc>
          <w:tcPr>
            <w:tcW w:w="6911" w:type="dxa"/>
          </w:tcPr>
          <w:p w14:paraId="32ED389A" w14:textId="77777777" w:rsidR="00C2270A" w:rsidRPr="00FD119B" w:rsidRDefault="00C2270A" w:rsidP="002B0963">
            <w:pPr>
              <w:ind w:left="144"/>
            </w:pPr>
            <w:r>
              <w:rPr>
                <w:lang w:eastAsia="ja-JP"/>
              </w:rPr>
              <w:t>Elimination half life</w:t>
            </w:r>
          </w:p>
        </w:tc>
      </w:tr>
      <w:tr w:rsidR="00C2270A" w:rsidRPr="00FD119B" w14:paraId="4944C011" w14:textId="77777777" w:rsidTr="00FD119B">
        <w:tc>
          <w:tcPr>
            <w:tcW w:w="1809" w:type="dxa"/>
          </w:tcPr>
          <w:p w14:paraId="3050009A" w14:textId="77777777" w:rsidR="00C2270A" w:rsidRPr="00FD119B" w:rsidRDefault="00C2270A" w:rsidP="002B0963">
            <w:pPr>
              <w:ind w:left="144"/>
            </w:pPr>
            <w:r>
              <w:t>TEAE</w:t>
            </w:r>
          </w:p>
        </w:tc>
        <w:tc>
          <w:tcPr>
            <w:tcW w:w="6911" w:type="dxa"/>
          </w:tcPr>
          <w:p w14:paraId="0833E0D3" w14:textId="77777777" w:rsidR="00C2270A" w:rsidRPr="00FD119B" w:rsidRDefault="00C2270A" w:rsidP="002B0963">
            <w:pPr>
              <w:ind w:left="144"/>
            </w:pPr>
            <w:r>
              <w:rPr>
                <w:lang w:eastAsia="ja-JP"/>
              </w:rPr>
              <w:t>Treatment emergent adverse event</w:t>
            </w:r>
          </w:p>
        </w:tc>
      </w:tr>
      <w:tr w:rsidR="00C2270A" w:rsidRPr="00FD119B" w14:paraId="3253C409" w14:textId="77777777" w:rsidTr="00FD119B">
        <w:tc>
          <w:tcPr>
            <w:tcW w:w="1809" w:type="dxa"/>
          </w:tcPr>
          <w:p w14:paraId="6D89159A" w14:textId="77777777" w:rsidR="00C2270A" w:rsidRPr="00FD119B" w:rsidRDefault="00C2270A" w:rsidP="002B0963">
            <w:pPr>
              <w:ind w:left="144"/>
            </w:pPr>
            <w:proofErr w:type="spellStart"/>
            <w:r>
              <w:rPr>
                <w:lang w:eastAsia="ja-JP"/>
              </w:rPr>
              <w:t>t</w:t>
            </w:r>
            <w:r>
              <w:rPr>
                <w:vertAlign w:val="subscript"/>
                <w:lang w:eastAsia="ja-JP"/>
              </w:rPr>
              <w:t>max</w:t>
            </w:r>
            <w:proofErr w:type="spellEnd"/>
          </w:p>
        </w:tc>
        <w:tc>
          <w:tcPr>
            <w:tcW w:w="6911" w:type="dxa"/>
          </w:tcPr>
          <w:p w14:paraId="3F0EB573" w14:textId="77777777" w:rsidR="00C2270A" w:rsidRPr="00FD119B" w:rsidRDefault="00C2270A" w:rsidP="002B0963">
            <w:pPr>
              <w:ind w:left="144"/>
            </w:pPr>
            <w:r>
              <w:rPr>
                <w:lang w:eastAsia="ja-JP"/>
              </w:rPr>
              <w:t>Time to maximum plasma concentration</w:t>
            </w:r>
          </w:p>
        </w:tc>
      </w:tr>
      <w:tr w:rsidR="00026810" w:rsidRPr="00FD119B" w14:paraId="09DAA119" w14:textId="77777777" w:rsidTr="00FD119B">
        <w:tc>
          <w:tcPr>
            <w:tcW w:w="1809" w:type="dxa"/>
          </w:tcPr>
          <w:p w14:paraId="3E40305F" w14:textId="7E9A14C9" w:rsidR="00026810" w:rsidRDefault="00026810" w:rsidP="002B0963">
            <w:pPr>
              <w:ind w:left="144"/>
              <w:rPr>
                <w:lang w:eastAsia="ja-JP"/>
              </w:rPr>
            </w:pPr>
            <w:r>
              <w:rPr>
                <w:lang w:eastAsia="ja-JP"/>
              </w:rPr>
              <w:t>UK</w:t>
            </w:r>
          </w:p>
        </w:tc>
        <w:tc>
          <w:tcPr>
            <w:tcW w:w="6911" w:type="dxa"/>
          </w:tcPr>
          <w:p w14:paraId="3F8C7112" w14:textId="5FA70E56" w:rsidR="00026810" w:rsidRDefault="00026810" w:rsidP="002B0963">
            <w:pPr>
              <w:ind w:left="144"/>
              <w:rPr>
                <w:lang w:eastAsia="ja-JP"/>
              </w:rPr>
            </w:pPr>
            <w:r>
              <w:rPr>
                <w:lang w:eastAsia="ja-JP"/>
              </w:rPr>
              <w:t>United Kingdom</w:t>
            </w:r>
          </w:p>
        </w:tc>
      </w:tr>
      <w:tr w:rsidR="00C2270A" w:rsidRPr="00FD119B" w14:paraId="6BC82A66" w14:textId="77777777" w:rsidTr="00FD119B">
        <w:tc>
          <w:tcPr>
            <w:tcW w:w="1809" w:type="dxa"/>
          </w:tcPr>
          <w:p w14:paraId="52945D24" w14:textId="16F2ABDD" w:rsidR="00C2270A" w:rsidRPr="00FD119B" w:rsidRDefault="00C2270A" w:rsidP="002B0963">
            <w:pPr>
              <w:ind w:left="144"/>
            </w:pPr>
            <w:r>
              <w:t>US</w:t>
            </w:r>
            <w:r w:rsidR="00DB1B1A">
              <w:t>(A)</w:t>
            </w:r>
          </w:p>
        </w:tc>
        <w:tc>
          <w:tcPr>
            <w:tcW w:w="6911" w:type="dxa"/>
          </w:tcPr>
          <w:p w14:paraId="20C6200C" w14:textId="6CFEC2D9" w:rsidR="00C2270A" w:rsidRPr="00FD119B" w:rsidRDefault="00C2270A" w:rsidP="002B0963">
            <w:pPr>
              <w:ind w:left="144"/>
            </w:pPr>
            <w:r>
              <w:t>United States</w:t>
            </w:r>
            <w:r w:rsidR="00DB1B1A">
              <w:t xml:space="preserve"> (of America)</w:t>
            </w:r>
          </w:p>
        </w:tc>
      </w:tr>
      <w:tr w:rsidR="00C2270A" w:rsidRPr="00FD119B" w14:paraId="60621750" w14:textId="77777777" w:rsidTr="00FD119B">
        <w:tc>
          <w:tcPr>
            <w:tcW w:w="1809" w:type="dxa"/>
          </w:tcPr>
          <w:p w14:paraId="790F742D" w14:textId="77777777" w:rsidR="00C2270A" w:rsidRPr="00FD119B" w:rsidRDefault="00C2270A" w:rsidP="002B0963">
            <w:pPr>
              <w:ind w:left="144"/>
            </w:pPr>
            <w:proofErr w:type="spellStart"/>
            <w:r>
              <w:t>V</w:t>
            </w:r>
            <w:r>
              <w:rPr>
                <w:vertAlign w:val="subscript"/>
              </w:rPr>
              <w:t>z</w:t>
            </w:r>
            <w:proofErr w:type="spellEnd"/>
            <w:r>
              <w:t>/f</w:t>
            </w:r>
          </w:p>
        </w:tc>
        <w:tc>
          <w:tcPr>
            <w:tcW w:w="6911" w:type="dxa"/>
          </w:tcPr>
          <w:p w14:paraId="60E8DC8E" w14:textId="77777777" w:rsidR="00C2270A" w:rsidRPr="00FD119B" w:rsidRDefault="00C2270A" w:rsidP="002B0963">
            <w:pPr>
              <w:ind w:left="144"/>
            </w:pPr>
            <w:r>
              <w:t>Apparent volume of distribution</w:t>
            </w:r>
          </w:p>
        </w:tc>
      </w:tr>
      <w:tr w:rsidR="00C2270A" w:rsidRPr="00FD119B" w14:paraId="32C5017F" w14:textId="77777777" w:rsidTr="00FD119B">
        <w:tc>
          <w:tcPr>
            <w:tcW w:w="1809" w:type="dxa"/>
          </w:tcPr>
          <w:p w14:paraId="2E254F33" w14:textId="77777777" w:rsidR="00C2270A" w:rsidRPr="00FD119B" w:rsidRDefault="00C2270A" w:rsidP="002B0963">
            <w:pPr>
              <w:ind w:left="144"/>
            </w:pPr>
            <w:r>
              <w:t>WHO</w:t>
            </w:r>
          </w:p>
        </w:tc>
        <w:tc>
          <w:tcPr>
            <w:tcW w:w="6911" w:type="dxa"/>
          </w:tcPr>
          <w:p w14:paraId="685C2A05" w14:textId="77777777" w:rsidR="00C2270A" w:rsidRPr="00FD119B" w:rsidRDefault="00C2270A" w:rsidP="002B0963">
            <w:pPr>
              <w:ind w:left="144"/>
            </w:pPr>
            <w:r>
              <w:rPr>
                <w:lang w:eastAsia="ja-JP"/>
              </w:rPr>
              <w:t>World Health Organization</w:t>
            </w:r>
          </w:p>
        </w:tc>
      </w:tr>
      <w:tr w:rsidR="00C2270A" w:rsidRPr="00FD119B" w14:paraId="0CA2FC48" w14:textId="77777777" w:rsidTr="00FD119B">
        <w:tc>
          <w:tcPr>
            <w:tcW w:w="1809" w:type="dxa"/>
          </w:tcPr>
          <w:p w14:paraId="4AD72C65" w14:textId="77777777" w:rsidR="00C2270A" w:rsidRPr="00FD119B" w:rsidRDefault="00C2270A" w:rsidP="002B0963">
            <w:pPr>
              <w:ind w:left="144"/>
            </w:pPr>
            <w:r>
              <w:t>XM17</w:t>
            </w:r>
          </w:p>
        </w:tc>
        <w:tc>
          <w:tcPr>
            <w:tcW w:w="6911" w:type="dxa"/>
          </w:tcPr>
          <w:p w14:paraId="3BCEEE91" w14:textId="3F357107" w:rsidR="00C2270A" w:rsidRPr="00FD119B" w:rsidRDefault="00C2270A" w:rsidP="002B0963">
            <w:pPr>
              <w:ind w:left="144"/>
            </w:pPr>
            <w:proofErr w:type="spellStart"/>
            <w:r>
              <w:t>Ovaleap</w:t>
            </w:r>
            <w:proofErr w:type="spellEnd"/>
            <w:r>
              <w:t xml:space="preserve"> (</w:t>
            </w:r>
            <w:proofErr w:type="spellStart"/>
            <w:r>
              <w:t>follitropin</w:t>
            </w:r>
            <w:proofErr w:type="spellEnd"/>
            <w:r>
              <w:t xml:space="preserve"> alfa)</w:t>
            </w:r>
            <w:r w:rsidR="00DB1B1A">
              <w:t xml:space="preserve"> drug development code</w:t>
            </w:r>
          </w:p>
        </w:tc>
      </w:tr>
    </w:tbl>
    <w:p w14:paraId="1DC82F35" w14:textId="77777777" w:rsidR="00FD119B" w:rsidRDefault="00FD119B" w:rsidP="00FD119B"/>
    <w:p w14:paraId="23C7B449" w14:textId="77777777" w:rsidR="00FD119B" w:rsidRPr="00FD119B" w:rsidRDefault="00FD119B" w:rsidP="00FD119B">
      <w:pPr>
        <w:spacing w:before="0" w:after="200" w:line="0" w:lineRule="auto"/>
        <w:rPr>
          <w:b/>
          <w:i/>
          <w:sz w:val="24"/>
          <w:szCs w:val="24"/>
        </w:rPr>
      </w:pPr>
      <w:r w:rsidRPr="00FD119B">
        <w:rPr>
          <w:b/>
          <w:i/>
          <w:sz w:val="24"/>
          <w:szCs w:val="24"/>
        </w:rPr>
        <w:br w:type="page"/>
      </w:r>
    </w:p>
    <w:p w14:paraId="3F5C188E" w14:textId="77777777" w:rsidR="008E7846" w:rsidRDefault="00F53C07" w:rsidP="008E7846">
      <w:pPr>
        <w:pStyle w:val="Heading2"/>
      </w:pPr>
      <w:bookmarkStart w:id="9" w:name="_Toc72314028"/>
      <w:r>
        <w:lastRenderedPageBreak/>
        <w:t>I.</w:t>
      </w:r>
      <w:r w:rsidR="008E7846">
        <w:t xml:space="preserve"> Introduction to product submission</w:t>
      </w:r>
      <w:bookmarkEnd w:id="3"/>
      <w:bookmarkEnd w:id="0"/>
      <w:bookmarkEnd w:id="9"/>
    </w:p>
    <w:p w14:paraId="4B26D6BA" w14:textId="77777777" w:rsidR="008E7846" w:rsidRDefault="008E7846" w:rsidP="008E7846">
      <w:pPr>
        <w:pStyle w:val="Heading3"/>
        <w:rPr>
          <w:lang w:eastAsia="en-AU"/>
        </w:rPr>
      </w:pPr>
      <w:bookmarkStart w:id="10" w:name="_Toc247691502"/>
      <w:bookmarkStart w:id="11" w:name="_Toc314842483"/>
      <w:bookmarkStart w:id="12" w:name="_Toc72314029"/>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AB018C" w:rsidRPr="003D1E62" w14:paraId="01E85B6F" w14:textId="77777777" w:rsidTr="003735BC">
        <w:tc>
          <w:tcPr>
            <w:tcW w:w="2907" w:type="dxa"/>
          </w:tcPr>
          <w:p w14:paraId="2C0880ED" w14:textId="77777777" w:rsidR="00AB018C" w:rsidRPr="003D1E62" w:rsidRDefault="00AB018C" w:rsidP="00AB018C">
            <w:pPr>
              <w:rPr>
                <w:i/>
              </w:rPr>
            </w:pPr>
            <w:r>
              <w:rPr>
                <w:i/>
              </w:rPr>
              <w:t>Type of s</w:t>
            </w:r>
            <w:r w:rsidRPr="003D1E62">
              <w:rPr>
                <w:i/>
              </w:rPr>
              <w:t>ubmission</w:t>
            </w:r>
            <w:r>
              <w:rPr>
                <w:i/>
              </w:rPr>
              <w:t>:</w:t>
            </w:r>
          </w:p>
        </w:tc>
        <w:tc>
          <w:tcPr>
            <w:tcW w:w="6307" w:type="dxa"/>
          </w:tcPr>
          <w:p w14:paraId="5D46D864" w14:textId="77777777" w:rsidR="00AB018C" w:rsidRPr="00EB01E9" w:rsidRDefault="00AB018C" w:rsidP="00AB018C">
            <w:r w:rsidRPr="00EB01E9">
              <w:t>New biosimilar medicine</w:t>
            </w:r>
          </w:p>
        </w:tc>
      </w:tr>
      <w:tr w:rsidR="00AB018C" w:rsidRPr="003D1E62" w14:paraId="15FCE556" w14:textId="77777777" w:rsidTr="003735BC">
        <w:tc>
          <w:tcPr>
            <w:tcW w:w="2907" w:type="dxa"/>
          </w:tcPr>
          <w:p w14:paraId="4A086267" w14:textId="77777777" w:rsidR="00AB018C" w:rsidRPr="003D1E62" w:rsidRDefault="00AB018C" w:rsidP="00AB018C">
            <w:pPr>
              <w:rPr>
                <w:i/>
              </w:rPr>
            </w:pPr>
            <w:r w:rsidRPr="00460036">
              <w:rPr>
                <w:i/>
              </w:rPr>
              <w:t>Prod</w:t>
            </w:r>
            <w:r>
              <w:rPr>
                <w:i/>
              </w:rPr>
              <w:t>uct name</w:t>
            </w:r>
            <w:r w:rsidRPr="00460036">
              <w:rPr>
                <w:i/>
              </w:rPr>
              <w:t>:</w:t>
            </w:r>
          </w:p>
        </w:tc>
        <w:tc>
          <w:tcPr>
            <w:tcW w:w="6307" w:type="dxa"/>
          </w:tcPr>
          <w:p w14:paraId="3EB3E249" w14:textId="77777777" w:rsidR="00AB018C" w:rsidRPr="00EB01E9" w:rsidRDefault="00AB018C" w:rsidP="00AB018C">
            <w:proofErr w:type="spellStart"/>
            <w:r w:rsidRPr="00EB01E9">
              <w:t>Ovaleap</w:t>
            </w:r>
            <w:proofErr w:type="spellEnd"/>
          </w:p>
        </w:tc>
      </w:tr>
      <w:tr w:rsidR="00AB018C" w:rsidRPr="003D1E62" w14:paraId="0939A409" w14:textId="77777777" w:rsidTr="003735BC">
        <w:tc>
          <w:tcPr>
            <w:tcW w:w="2907" w:type="dxa"/>
          </w:tcPr>
          <w:p w14:paraId="21F6CD6A" w14:textId="77777777" w:rsidR="00AB018C" w:rsidRPr="003D1E62" w:rsidRDefault="00AB018C" w:rsidP="00AB018C">
            <w:pPr>
              <w:rPr>
                <w:i/>
              </w:rPr>
            </w:pPr>
            <w:r>
              <w:rPr>
                <w:i/>
              </w:rPr>
              <w:t>Active ingredient</w:t>
            </w:r>
            <w:r w:rsidRPr="00460036">
              <w:rPr>
                <w:i/>
              </w:rPr>
              <w:t>:</w:t>
            </w:r>
          </w:p>
        </w:tc>
        <w:tc>
          <w:tcPr>
            <w:tcW w:w="6307" w:type="dxa"/>
          </w:tcPr>
          <w:p w14:paraId="143325B1" w14:textId="77777777" w:rsidR="00AB018C" w:rsidRPr="00EB01E9" w:rsidRDefault="00AB018C" w:rsidP="00AB018C">
            <w:proofErr w:type="spellStart"/>
            <w:r w:rsidRPr="00EB01E9">
              <w:t>Follitropin</w:t>
            </w:r>
            <w:proofErr w:type="spellEnd"/>
            <w:r w:rsidRPr="00EB01E9">
              <w:t xml:space="preserve"> alfa</w:t>
            </w:r>
          </w:p>
        </w:tc>
      </w:tr>
      <w:tr w:rsidR="00AB018C" w:rsidRPr="003D1E62" w14:paraId="7EE9D73C" w14:textId="77777777" w:rsidTr="003735BC">
        <w:tc>
          <w:tcPr>
            <w:tcW w:w="2907" w:type="dxa"/>
          </w:tcPr>
          <w:p w14:paraId="0356B19C" w14:textId="77777777" w:rsidR="00AB018C" w:rsidRPr="003D1E62" w:rsidRDefault="00AB018C" w:rsidP="00AB018C">
            <w:r w:rsidRPr="003D1E62">
              <w:rPr>
                <w:i/>
              </w:rPr>
              <w:t>Decision</w:t>
            </w:r>
            <w:r w:rsidRPr="003D1E62">
              <w:t>:</w:t>
            </w:r>
          </w:p>
        </w:tc>
        <w:tc>
          <w:tcPr>
            <w:tcW w:w="6307" w:type="dxa"/>
          </w:tcPr>
          <w:p w14:paraId="2FE853F6" w14:textId="77777777" w:rsidR="00AB018C" w:rsidRPr="00B67B59" w:rsidRDefault="00AB018C" w:rsidP="00AB018C">
            <w:r w:rsidRPr="00B67B59">
              <w:t>Approved</w:t>
            </w:r>
          </w:p>
        </w:tc>
      </w:tr>
      <w:tr w:rsidR="00AB018C" w:rsidRPr="003D1E62" w14:paraId="7550B7B8" w14:textId="77777777" w:rsidTr="003735BC">
        <w:tc>
          <w:tcPr>
            <w:tcW w:w="2907" w:type="dxa"/>
          </w:tcPr>
          <w:p w14:paraId="6BF314F3" w14:textId="77777777" w:rsidR="00AB018C" w:rsidRPr="003D1E62" w:rsidRDefault="00AB018C" w:rsidP="00AB018C">
            <w:pPr>
              <w:rPr>
                <w:i/>
              </w:rPr>
            </w:pPr>
            <w:r w:rsidRPr="003D1E62">
              <w:rPr>
                <w:i/>
              </w:rPr>
              <w:t xml:space="preserve">Date of </w:t>
            </w:r>
            <w:r>
              <w:rPr>
                <w:i/>
              </w:rPr>
              <w:t>d</w:t>
            </w:r>
            <w:r w:rsidRPr="003D1E62">
              <w:rPr>
                <w:i/>
              </w:rPr>
              <w:t>ecision:</w:t>
            </w:r>
          </w:p>
        </w:tc>
        <w:tc>
          <w:tcPr>
            <w:tcW w:w="6307" w:type="dxa"/>
          </w:tcPr>
          <w:p w14:paraId="6777ADBA" w14:textId="77777777" w:rsidR="00AB018C" w:rsidRPr="00B67B59" w:rsidRDefault="00AB018C" w:rsidP="00AB018C">
            <w:r w:rsidRPr="00B67B59">
              <w:t>9 March 2021</w:t>
            </w:r>
          </w:p>
        </w:tc>
      </w:tr>
      <w:tr w:rsidR="00AB018C" w:rsidRPr="003D1E62" w14:paraId="162124A2" w14:textId="77777777" w:rsidTr="003735BC">
        <w:tc>
          <w:tcPr>
            <w:tcW w:w="2907" w:type="dxa"/>
          </w:tcPr>
          <w:p w14:paraId="34A5176A" w14:textId="77777777" w:rsidR="00AB018C" w:rsidRPr="00441C3F" w:rsidRDefault="00AB018C" w:rsidP="00AB018C">
            <w:pPr>
              <w:rPr>
                <w:i/>
              </w:rPr>
            </w:pPr>
            <w:r w:rsidRPr="00441C3F">
              <w:rPr>
                <w:i/>
              </w:rPr>
              <w:t>Date of entry onto ARTG</w:t>
            </w:r>
            <w:r>
              <w:rPr>
                <w:i/>
              </w:rPr>
              <w:t>:</w:t>
            </w:r>
          </w:p>
        </w:tc>
        <w:tc>
          <w:tcPr>
            <w:tcW w:w="6307" w:type="dxa"/>
          </w:tcPr>
          <w:p w14:paraId="3C8003DE" w14:textId="77777777" w:rsidR="00AB018C" w:rsidRPr="00B67B59" w:rsidRDefault="00AB018C" w:rsidP="00AB018C">
            <w:r w:rsidRPr="00B67B59">
              <w:t>10 March 2021</w:t>
            </w:r>
          </w:p>
        </w:tc>
      </w:tr>
      <w:tr w:rsidR="00AB018C" w:rsidRPr="003D1E62" w14:paraId="4291716B" w14:textId="77777777" w:rsidTr="003735BC">
        <w:tc>
          <w:tcPr>
            <w:tcW w:w="2907" w:type="dxa"/>
          </w:tcPr>
          <w:p w14:paraId="10870B2F" w14:textId="77777777" w:rsidR="00AB018C" w:rsidRPr="00441C3F" w:rsidRDefault="00AB018C" w:rsidP="00AB018C">
            <w:pPr>
              <w:rPr>
                <w:i/>
              </w:rPr>
            </w:pPr>
            <w:r>
              <w:rPr>
                <w:i/>
              </w:rPr>
              <w:t>ARTG numbers:</w:t>
            </w:r>
          </w:p>
        </w:tc>
        <w:tc>
          <w:tcPr>
            <w:tcW w:w="6307" w:type="dxa"/>
          </w:tcPr>
          <w:p w14:paraId="27C4C39F" w14:textId="77777777" w:rsidR="00AB018C" w:rsidRPr="00B67B59" w:rsidRDefault="00AB018C" w:rsidP="00AB018C">
            <w:r w:rsidRPr="00B67B59">
              <w:t>328120, 328121, 328122</w:t>
            </w:r>
          </w:p>
        </w:tc>
      </w:tr>
      <w:tr w:rsidR="00AB018C" w:rsidRPr="003D1E62" w14:paraId="093AEEB4" w14:textId="77777777" w:rsidTr="003735BC">
        <w:tc>
          <w:tcPr>
            <w:tcW w:w="2907" w:type="dxa"/>
          </w:tcPr>
          <w:p w14:paraId="60B8FAB9" w14:textId="77777777" w:rsidR="00AB018C" w:rsidRDefault="00AB018C" w:rsidP="00AB018C">
            <w:pPr>
              <w:rPr>
                <w:i/>
              </w:rPr>
            </w:pPr>
            <w:r>
              <w:rPr>
                <w:rFonts w:ascii="Wingdings 3" w:hAnsi="Wingdings 3"/>
                <w:sz w:val="34"/>
                <w:szCs w:val="34"/>
                <w:lang w:eastAsia="en-AU"/>
              </w:rPr>
              <w:t></w:t>
            </w:r>
            <w:r w:rsidRPr="003735BC">
              <w:rPr>
                <w:i/>
              </w:rPr>
              <w:t>Black Triangle Scheme</w:t>
            </w:r>
            <w:r>
              <w:rPr>
                <w:i/>
              </w:rPr>
              <w:t>:</w:t>
            </w:r>
            <w:r>
              <w:rPr>
                <w:rStyle w:val="FootnoteReference"/>
                <w:i/>
              </w:rPr>
              <w:footnoteReference w:id="1"/>
            </w:r>
          </w:p>
        </w:tc>
        <w:tc>
          <w:tcPr>
            <w:tcW w:w="6307" w:type="dxa"/>
          </w:tcPr>
          <w:p w14:paraId="337777C7" w14:textId="77777777" w:rsidR="00AB018C" w:rsidRDefault="00AB018C" w:rsidP="00AB018C">
            <w:r w:rsidRPr="00B67B59">
              <w:t>No</w:t>
            </w:r>
          </w:p>
        </w:tc>
      </w:tr>
      <w:tr w:rsidR="00AB018C" w:rsidRPr="00487162" w14:paraId="2A390A2B" w14:textId="77777777" w:rsidTr="00BF1190">
        <w:tc>
          <w:tcPr>
            <w:tcW w:w="2907" w:type="dxa"/>
          </w:tcPr>
          <w:p w14:paraId="2FDDE787" w14:textId="77777777" w:rsidR="00AB018C" w:rsidRPr="00487162" w:rsidRDefault="00AB018C" w:rsidP="00AB018C">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14:paraId="6F07F3BE" w14:textId="77777777" w:rsidR="00AB018C" w:rsidRPr="00EB01E9" w:rsidRDefault="00AB018C" w:rsidP="00AB018C">
            <w:pPr>
              <w:rPr>
                <w:lang w:val="es-ES"/>
              </w:rPr>
            </w:pPr>
            <w:proofErr w:type="spellStart"/>
            <w:r w:rsidRPr="00EB01E9">
              <w:rPr>
                <w:lang w:val="es-ES"/>
              </w:rPr>
              <w:t>Theramex</w:t>
            </w:r>
            <w:proofErr w:type="spellEnd"/>
            <w:r w:rsidRPr="00EB01E9">
              <w:rPr>
                <w:lang w:val="es-ES"/>
              </w:rPr>
              <w:t xml:space="preserve"> Australia </w:t>
            </w:r>
            <w:proofErr w:type="spellStart"/>
            <w:r w:rsidRPr="00EB01E9">
              <w:rPr>
                <w:lang w:val="es-ES"/>
              </w:rPr>
              <w:t>Pty</w:t>
            </w:r>
            <w:proofErr w:type="spellEnd"/>
            <w:r w:rsidRPr="00EB01E9">
              <w:rPr>
                <w:lang w:val="es-ES"/>
              </w:rPr>
              <w:t xml:space="preserve"> </w:t>
            </w:r>
            <w:proofErr w:type="spellStart"/>
            <w:r w:rsidRPr="00EB01E9">
              <w:rPr>
                <w:lang w:val="es-ES"/>
              </w:rPr>
              <w:t>Ltd</w:t>
            </w:r>
            <w:proofErr w:type="spellEnd"/>
          </w:p>
          <w:p w14:paraId="1F1EA7BA" w14:textId="77777777" w:rsidR="00AB018C" w:rsidRPr="00EB01E9" w:rsidRDefault="00AB018C" w:rsidP="00AB018C">
            <w:pPr>
              <w:rPr>
                <w:lang w:val="es-ES"/>
              </w:rPr>
            </w:pPr>
            <w:r w:rsidRPr="00EB01E9">
              <w:rPr>
                <w:lang w:val="es-ES"/>
              </w:rPr>
              <w:t>60 Margaret Street,</w:t>
            </w:r>
          </w:p>
          <w:p w14:paraId="76154D07" w14:textId="5204358A" w:rsidR="00AB018C" w:rsidRPr="00EB01E9" w:rsidRDefault="00AB018C" w:rsidP="00AB018C">
            <w:pPr>
              <w:rPr>
                <w:lang w:val="es-ES"/>
              </w:rPr>
            </w:pPr>
            <w:proofErr w:type="spellStart"/>
            <w:r w:rsidRPr="00EB01E9">
              <w:rPr>
                <w:lang w:val="es-ES"/>
              </w:rPr>
              <w:t>Sydney</w:t>
            </w:r>
            <w:proofErr w:type="spellEnd"/>
            <w:r w:rsidRPr="00EB01E9">
              <w:rPr>
                <w:lang w:val="es-ES"/>
              </w:rPr>
              <w:t>, NSW</w:t>
            </w:r>
            <w:r w:rsidR="00DB1B1A">
              <w:rPr>
                <w:lang w:val="es-ES"/>
              </w:rPr>
              <w:t>,</w:t>
            </w:r>
            <w:r w:rsidRPr="00EB01E9">
              <w:rPr>
                <w:lang w:val="es-ES"/>
              </w:rPr>
              <w:t xml:space="preserve"> 2000</w:t>
            </w:r>
          </w:p>
        </w:tc>
      </w:tr>
      <w:tr w:rsidR="00AB018C" w:rsidRPr="00487162" w14:paraId="0557E014" w14:textId="77777777" w:rsidTr="00BF1190">
        <w:tc>
          <w:tcPr>
            <w:tcW w:w="2907" w:type="dxa"/>
          </w:tcPr>
          <w:p w14:paraId="6947DA93" w14:textId="77777777" w:rsidR="00AB018C" w:rsidRPr="00487162" w:rsidRDefault="00AB018C" w:rsidP="00AB018C">
            <w:pPr>
              <w:rPr>
                <w:i/>
              </w:rPr>
            </w:pPr>
            <w:r>
              <w:rPr>
                <w:i/>
              </w:rPr>
              <w:t>Dose form:</w:t>
            </w:r>
          </w:p>
        </w:tc>
        <w:tc>
          <w:tcPr>
            <w:tcW w:w="6307" w:type="dxa"/>
          </w:tcPr>
          <w:p w14:paraId="04993A22" w14:textId="77777777" w:rsidR="00AB018C" w:rsidRPr="00EB01E9" w:rsidRDefault="00AB018C" w:rsidP="00AB018C">
            <w:r w:rsidRPr="00EB01E9">
              <w:t>Solution for injection</w:t>
            </w:r>
          </w:p>
        </w:tc>
      </w:tr>
      <w:tr w:rsidR="00AB018C" w:rsidRPr="00487162" w14:paraId="3EDF96D3" w14:textId="77777777" w:rsidTr="00BF1190">
        <w:tc>
          <w:tcPr>
            <w:tcW w:w="2907" w:type="dxa"/>
          </w:tcPr>
          <w:p w14:paraId="173C1BCF" w14:textId="77777777" w:rsidR="00AB018C" w:rsidRPr="00487162" w:rsidRDefault="00AB018C" w:rsidP="00AB018C">
            <w:pPr>
              <w:rPr>
                <w:i/>
              </w:rPr>
            </w:pPr>
            <w:r>
              <w:rPr>
                <w:i/>
              </w:rPr>
              <w:t>Strengths:</w:t>
            </w:r>
          </w:p>
        </w:tc>
        <w:tc>
          <w:tcPr>
            <w:tcW w:w="6307" w:type="dxa"/>
          </w:tcPr>
          <w:p w14:paraId="7803A50B" w14:textId="64386FA6" w:rsidR="00AB018C" w:rsidRPr="00EB01E9" w:rsidRDefault="00AB018C" w:rsidP="00AB018C">
            <w:r w:rsidRPr="00EB01E9">
              <w:t xml:space="preserve">300 </w:t>
            </w:r>
            <w:r w:rsidR="00402FCC" w:rsidRPr="00402FCC">
              <w:t>international unit</w:t>
            </w:r>
            <w:r w:rsidR="00402FCC">
              <w:t>s</w:t>
            </w:r>
            <w:r w:rsidR="00402FCC" w:rsidRPr="00402FCC">
              <w:t xml:space="preserve"> (</w:t>
            </w:r>
            <w:r w:rsidRPr="00EB01E9">
              <w:t>IU</w:t>
            </w:r>
            <w:r w:rsidR="00402FCC">
              <w:t>)</w:t>
            </w:r>
            <w:r w:rsidRPr="00EB01E9">
              <w:t>/0.5 mL, 450 IU/0.75 mL</w:t>
            </w:r>
            <w:r w:rsidR="00DB1B1A">
              <w:t>,</w:t>
            </w:r>
            <w:r w:rsidRPr="00EB01E9">
              <w:t xml:space="preserve"> and 900</w:t>
            </w:r>
            <w:r w:rsidR="00DB1B1A">
              <w:t> </w:t>
            </w:r>
            <w:r w:rsidRPr="00EB01E9">
              <w:t>IU/1.5 mL</w:t>
            </w:r>
          </w:p>
        </w:tc>
      </w:tr>
      <w:tr w:rsidR="00AB018C" w:rsidRPr="00487162" w14:paraId="0DC34A5E" w14:textId="77777777" w:rsidTr="00BF1190">
        <w:tc>
          <w:tcPr>
            <w:tcW w:w="2907" w:type="dxa"/>
          </w:tcPr>
          <w:p w14:paraId="22A9F1FF" w14:textId="77777777" w:rsidR="00AB018C" w:rsidRPr="00487162" w:rsidRDefault="00AB018C" w:rsidP="00AB018C">
            <w:pPr>
              <w:rPr>
                <w:i/>
              </w:rPr>
            </w:pPr>
            <w:r>
              <w:rPr>
                <w:i/>
              </w:rPr>
              <w:t>Container</w:t>
            </w:r>
            <w:r w:rsidRPr="00487162">
              <w:rPr>
                <w:i/>
              </w:rPr>
              <w:t>:</w:t>
            </w:r>
          </w:p>
        </w:tc>
        <w:tc>
          <w:tcPr>
            <w:tcW w:w="6307" w:type="dxa"/>
          </w:tcPr>
          <w:p w14:paraId="6CB59934" w14:textId="17A8ECDD" w:rsidR="00AB018C" w:rsidRPr="00EB01E9" w:rsidRDefault="00AB018C" w:rsidP="00AB018C">
            <w:r w:rsidRPr="00EB01E9">
              <w:t>Cartridge (fill volumes</w:t>
            </w:r>
            <w:r w:rsidR="00DB1B1A">
              <w:t>:</w:t>
            </w:r>
            <w:r w:rsidRPr="00EB01E9">
              <w:t xml:space="preserve"> 0.5 mL, 0.75 mL, </w:t>
            </w:r>
            <w:r w:rsidR="00DB1B1A">
              <w:t xml:space="preserve">and </w:t>
            </w:r>
            <w:r w:rsidRPr="00EB01E9">
              <w:t>1.5 mL)</w:t>
            </w:r>
          </w:p>
        </w:tc>
      </w:tr>
      <w:tr w:rsidR="00AB018C" w:rsidRPr="00487162" w14:paraId="43AC6B28" w14:textId="77777777" w:rsidTr="00BF1190">
        <w:tc>
          <w:tcPr>
            <w:tcW w:w="2907" w:type="dxa"/>
          </w:tcPr>
          <w:p w14:paraId="1808AFF9" w14:textId="77777777" w:rsidR="00AB018C" w:rsidRPr="00487162" w:rsidRDefault="00AB018C" w:rsidP="00AB018C">
            <w:pPr>
              <w:rPr>
                <w:i/>
              </w:rPr>
            </w:pPr>
            <w:r w:rsidRPr="00487162">
              <w:rPr>
                <w:i/>
              </w:rPr>
              <w:t xml:space="preserve">Pack </w:t>
            </w:r>
            <w:r>
              <w:rPr>
                <w:i/>
              </w:rPr>
              <w:t>size</w:t>
            </w:r>
            <w:r w:rsidRPr="00487162">
              <w:rPr>
                <w:i/>
              </w:rPr>
              <w:t>:</w:t>
            </w:r>
          </w:p>
        </w:tc>
        <w:tc>
          <w:tcPr>
            <w:tcW w:w="6307" w:type="dxa"/>
          </w:tcPr>
          <w:p w14:paraId="2053A34C" w14:textId="77777777" w:rsidR="00AB018C" w:rsidRPr="00EB01E9" w:rsidRDefault="00AB018C" w:rsidP="00AB018C">
            <w:r w:rsidRPr="00EB01E9">
              <w:t>One cartridge</w:t>
            </w:r>
          </w:p>
        </w:tc>
      </w:tr>
      <w:tr w:rsidR="008E7846" w:rsidRPr="00487162" w14:paraId="7129DA92" w14:textId="77777777" w:rsidTr="00121618">
        <w:trPr>
          <w:trHeight w:val="3443"/>
        </w:trPr>
        <w:tc>
          <w:tcPr>
            <w:tcW w:w="2907" w:type="dxa"/>
          </w:tcPr>
          <w:p w14:paraId="4897C17C"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0E697BB" w14:textId="77777777" w:rsidR="00AB018C" w:rsidRPr="00EB01E9" w:rsidRDefault="00AB018C" w:rsidP="00AB018C">
            <w:pPr>
              <w:rPr>
                <w:i/>
              </w:rPr>
            </w:pPr>
            <w:r w:rsidRPr="00EB01E9">
              <w:rPr>
                <w:i/>
              </w:rPr>
              <w:t xml:space="preserve">1. The treatment of </w:t>
            </w:r>
            <w:proofErr w:type="spellStart"/>
            <w:r w:rsidRPr="00EB01E9">
              <w:rPr>
                <w:i/>
              </w:rPr>
              <w:t>anovulatory</w:t>
            </w:r>
            <w:proofErr w:type="spellEnd"/>
            <w:r w:rsidRPr="00EB01E9">
              <w:rPr>
                <w:i/>
              </w:rPr>
              <w:t xml:space="preserve"> infertility in women who have been unresponsive to clomiphene citrate or where clomiphene citrate is contraindicated.</w:t>
            </w:r>
          </w:p>
          <w:p w14:paraId="295780B4" w14:textId="77777777" w:rsidR="00AB018C" w:rsidRPr="00EB01E9" w:rsidRDefault="00AB018C" w:rsidP="00AB018C">
            <w:pPr>
              <w:rPr>
                <w:i/>
              </w:rPr>
            </w:pPr>
            <w:r w:rsidRPr="00EB01E9">
              <w:rPr>
                <w:i/>
              </w:rPr>
              <w:t xml:space="preserve">2. For controlled ovarian </w:t>
            </w:r>
            <w:proofErr w:type="spellStart"/>
            <w:r w:rsidRPr="00EB01E9">
              <w:rPr>
                <w:i/>
              </w:rPr>
              <w:t>hyperstimulation</w:t>
            </w:r>
            <w:proofErr w:type="spellEnd"/>
            <w:r w:rsidRPr="00EB01E9">
              <w:rPr>
                <w:i/>
              </w:rPr>
              <w:t xml:space="preserve"> in women undergoing assisted reproductive technologies.</w:t>
            </w:r>
          </w:p>
          <w:p w14:paraId="1CF153D5" w14:textId="77777777" w:rsidR="008E7846" w:rsidRPr="00AB018C" w:rsidRDefault="00AB018C" w:rsidP="00E45619">
            <w:r w:rsidRPr="00EB01E9">
              <w:rPr>
                <w:i/>
              </w:rPr>
              <w:t xml:space="preserve">3. </w:t>
            </w:r>
            <w:proofErr w:type="spellStart"/>
            <w:r w:rsidRPr="00EB01E9">
              <w:rPr>
                <w:i/>
              </w:rPr>
              <w:t>Ovaleap</w:t>
            </w:r>
            <w:proofErr w:type="spellEnd"/>
            <w:r w:rsidRPr="00EB01E9">
              <w:rPr>
                <w:i/>
              </w:rPr>
              <w:t xml:space="preserve"> is indicated with concomitant human chorionic gonadotrophin (</w:t>
            </w:r>
            <w:proofErr w:type="spellStart"/>
            <w:r w:rsidRPr="00EB01E9">
              <w:rPr>
                <w:i/>
              </w:rPr>
              <w:t>hCG</w:t>
            </w:r>
            <w:proofErr w:type="spellEnd"/>
            <w:r w:rsidRPr="00EB01E9">
              <w:rPr>
                <w:i/>
              </w:rPr>
              <w:t xml:space="preserve">) therapy for the stimulation of spermatogenesis in gonadotrophin-deficient men in whom </w:t>
            </w:r>
            <w:proofErr w:type="spellStart"/>
            <w:r w:rsidRPr="00EB01E9">
              <w:rPr>
                <w:i/>
              </w:rPr>
              <w:t>hCG</w:t>
            </w:r>
            <w:proofErr w:type="spellEnd"/>
            <w:r w:rsidRPr="00EB01E9">
              <w:rPr>
                <w:i/>
              </w:rPr>
              <w:t xml:space="preserve"> alone is ineffective</w:t>
            </w:r>
          </w:p>
        </w:tc>
      </w:tr>
      <w:tr w:rsidR="00AB018C" w:rsidRPr="00487162" w14:paraId="560320D3" w14:textId="77777777" w:rsidTr="00BF1190">
        <w:tc>
          <w:tcPr>
            <w:tcW w:w="2907" w:type="dxa"/>
          </w:tcPr>
          <w:p w14:paraId="6DB30078" w14:textId="77777777" w:rsidR="00AB018C" w:rsidRPr="00487162" w:rsidRDefault="00AB018C" w:rsidP="00AB018C">
            <w:pPr>
              <w:rPr>
                <w:i/>
              </w:rPr>
            </w:pPr>
            <w:r>
              <w:rPr>
                <w:i/>
              </w:rPr>
              <w:lastRenderedPageBreak/>
              <w:t>Route</w:t>
            </w:r>
            <w:r w:rsidRPr="00487162">
              <w:rPr>
                <w:i/>
              </w:rPr>
              <w:t xml:space="preserve"> of administration:</w:t>
            </w:r>
          </w:p>
        </w:tc>
        <w:tc>
          <w:tcPr>
            <w:tcW w:w="6307" w:type="dxa"/>
          </w:tcPr>
          <w:p w14:paraId="0725F3B5" w14:textId="7CA43D98" w:rsidR="00AB018C" w:rsidRPr="00EB01E9" w:rsidRDefault="00AB018C" w:rsidP="00AB018C">
            <w:r w:rsidRPr="00EB01E9">
              <w:t xml:space="preserve">Subcutaneous </w:t>
            </w:r>
            <w:r w:rsidR="001E1DF0">
              <w:t xml:space="preserve">(SC) </w:t>
            </w:r>
            <w:r w:rsidRPr="00EB01E9">
              <w:t>injection</w:t>
            </w:r>
          </w:p>
        </w:tc>
      </w:tr>
      <w:tr w:rsidR="00AB018C" w:rsidRPr="00487162" w14:paraId="0B3C7579" w14:textId="77777777" w:rsidTr="00BF1190">
        <w:tc>
          <w:tcPr>
            <w:tcW w:w="2907" w:type="dxa"/>
          </w:tcPr>
          <w:p w14:paraId="510F0FB9" w14:textId="77777777" w:rsidR="00AB018C" w:rsidRPr="00487162" w:rsidRDefault="00AB018C" w:rsidP="00AB018C">
            <w:pPr>
              <w:rPr>
                <w:i/>
              </w:rPr>
            </w:pPr>
            <w:r w:rsidRPr="00487162">
              <w:rPr>
                <w:i/>
              </w:rPr>
              <w:t>Dosage:</w:t>
            </w:r>
          </w:p>
        </w:tc>
        <w:tc>
          <w:tcPr>
            <w:tcW w:w="6307" w:type="dxa"/>
          </w:tcPr>
          <w:p w14:paraId="49DB1A93" w14:textId="77777777" w:rsidR="00AB018C" w:rsidRPr="00EB01E9" w:rsidRDefault="00AB018C" w:rsidP="00AB018C">
            <w:r w:rsidRPr="00EB01E9">
              <w:t xml:space="preserve">Treatment with </w:t>
            </w:r>
            <w:proofErr w:type="spellStart"/>
            <w:r w:rsidRPr="00EB01E9">
              <w:t>Ovaleap</w:t>
            </w:r>
            <w:proofErr w:type="spellEnd"/>
            <w:r w:rsidRPr="00EB01E9">
              <w:t xml:space="preserve"> should be initiated under the supervision of a physician experienced in the treatment of fertility disorders.</w:t>
            </w:r>
          </w:p>
          <w:p w14:paraId="75976898" w14:textId="77777777" w:rsidR="00AB018C" w:rsidRDefault="00AB018C" w:rsidP="00AB018C">
            <w:r w:rsidRPr="00EB01E9">
              <w:t xml:space="preserve">The injection site should be alternated daily to prevent lipoatrophy. Self-administration of </w:t>
            </w:r>
            <w:proofErr w:type="spellStart"/>
            <w:r w:rsidRPr="00EB01E9">
              <w:t>O</w:t>
            </w:r>
            <w:r w:rsidRPr="004672F9">
              <w:t>valeap</w:t>
            </w:r>
            <w:proofErr w:type="spellEnd"/>
            <w:r w:rsidRPr="004672F9">
              <w:t xml:space="preserve"> should only be performed by patients who are well motivated, adequately trained and who have access to expert advice. </w:t>
            </w:r>
            <w:proofErr w:type="spellStart"/>
            <w:r w:rsidRPr="004672F9">
              <w:t>Ovaleap</w:t>
            </w:r>
            <w:proofErr w:type="spellEnd"/>
            <w:r w:rsidRPr="004672F9">
              <w:t xml:space="preserve"> cartridge should only be administered using the </w:t>
            </w:r>
            <w:proofErr w:type="spellStart"/>
            <w:r w:rsidRPr="004672F9">
              <w:t>Ovaleap</w:t>
            </w:r>
            <w:proofErr w:type="spellEnd"/>
            <w:r w:rsidRPr="004672F9">
              <w:t xml:space="preserve"> Pen</w:t>
            </w:r>
            <w:r>
              <w:t xml:space="preserve">, </w:t>
            </w:r>
            <w:r>
              <w:rPr>
                <w:rFonts w:cs="Cambria"/>
                <w:lang w:eastAsia="en-AU"/>
              </w:rPr>
              <w:t>which is separately available</w:t>
            </w:r>
            <w:r w:rsidRPr="004672F9">
              <w:t>.</w:t>
            </w:r>
          </w:p>
          <w:p w14:paraId="4C947E56" w14:textId="77777777" w:rsidR="00AB018C" w:rsidRPr="00EB01E9" w:rsidRDefault="00AB018C" w:rsidP="00AB018C">
            <w:r>
              <w:t xml:space="preserve">The recommended dosage of </w:t>
            </w:r>
            <w:proofErr w:type="spellStart"/>
            <w:r>
              <w:t>Ovaleap</w:t>
            </w:r>
            <w:proofErr w:type="spellEnd"/>
            <w:r>
              <w:t xml:space="preserve"> depends on multiple factors, including the condition being treated and the </w:t>
            </w:r>
            <w:r>
              <w:rPr>
                <w:rFonts w:cs="Cambria"/>
                <w:lang w:eastAsia="en-AU"/>
              </w:rPr>
              <w:t>individual patient's response to treatment.</w:t>
            </w:r>
          </w:p>
          <w:p w14:paraId="77BF9177" w14:textId="77777777" w:rsidR="00AB018C" w:rsidRPr="00EB01E9" w:rsidRDefault="00AB018C" w:rsidP="00AB018C">
            <w:r w:rsidRPr="004672F9">
              <w:t>For further information refer to the Product Information.</w:t>
            </w:r>
          </w:p>
        </w:tc>
      </w:tr>
      <w:tr w:rsidR="00AB018C" w:rsidRPr="00487162" w14:paraId="2AC2B1B1" w14:textId="77777777" w:rsidTr="00BF1190">
        <w:tc>
          <w:tcPr>
            <w:tcW w:w="2907" w:type="dxa"/>
          </w:tcPr>
          <w:p w14:paraId="29736485" w14:textId="77777777" w:rsidR="00AB018C" w:rsidRPr="00487162" w:rsidRDefault="00AB018C" w:rsidP="00AB018C">
            <w:pPr>
              <w:rPr>
                <w:i/>
              </w:rPr>
            </w:pPr>
            <w:r w:rsidRPr="00460036">
              <w:rPr>
                <w:i/>
              </w:rPr>
              <w:t>Pregnancy category</w:t>
            </w:r>
            <w:r>
              <w:rPr>
                <w:i/>
              </w:rPr>
              <w:t>:</w:t>
            </w:r>
          </w:p>
        </w:tc>
        <w:tc>
          <w:tcPr>
            <w:tcW w:w="6307" w:type="dxa"/>
          </w:tcPr>
          <w:p w14:paraId="4AE419AF" w14:textId="77777777" w:rsidR="00AB018C" w:rsidRPr="00EB01E9" w:rsidRDefault="00AB018C" w:rsidP="00AB018C">
            <w:r w:rsidRPr="00EB01E9">
              <w:t>D</w:t>
            </w:r>
          </w:p>
          <w:p w14:paraId="2BBA2079" w14:textId="77777777" w:rsidR="00AB018C" w:rsidRPr="00EB01E9" w:rsidRDefault="00AB018C" w:rsidP="00AB018C">
            <w:r w:rsidRPr="00EB01E9">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1E7C89E4" w14:textId="77777777" w:rsidR="00AB018C" w:rsidRPr="005326A2" w:rsidRDefault="00AB018C" w:rsidP="00AB018C">
            <w:r w:rsidRPr="004672F9">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w:t>
            </w:r>
            <w:r w:rsidRPr="00E4683C">
              <w:t xml:space="preserve"> in your State or Territory.</w:t>
            </w:r>
          </w:p>
        </w:tc>
      </w:tr>
    </w:tbl>
    <w:p w14:paraId="0A27A02E" w14:textId="77777777" w:rsidR="008E7846" w:rsidRDefault="008E7846" w:rsidP="008E7846">
      <w:pPr>
        <w:pStyle w:val="Heading3"/>
      </w:pPr>
      <w:bookmarkStart w:id="13" w:name="_Toc247691503"/>
      <w:bookmarkStart w:id="14" w:name="_Toc314842484"/>
      <w:bookmarkStart w:id="15" w:name="_Toc72314030"/>
      <w:r>
        <w:t>Product background</w:t>
      </w:r>
      <w:bookmarkEnd w:id="13"/>
      <w:bookmarkEnd w:id="14"/>
      <w:bookmarkEnd w:id="15"/>
    </w:p>
    <w:p w14:paraId="2D38C620" w14:textId="2D72BE51" w:rsidR="008E7846" w:rsidRPr="00AB018C" w:rsidRDefault="00250271" w:rsidP="00AB018C">
      <w:pPr>
        <w:rPr>
          <w:lang w:val="es-ES"/>
        </w:rPr>
      </w:pPr>
      <w:r w:rsidRPr="00250271">
        <w:t xml:space="preserve">This AusPAR describes the application by </w:t>
      </w:r>
      <w:proofErr w:type="spellStart"/>
      <w:r w:rsidR="00AB018C">
        <w:rPr>
          <w:lang w:val="es-ES"/>
        </w:rPr>
        <w:t>Theramex</w:t>
      </w:r>
      <w:proofErr w:type="spellEnd"/>
      <w:r w:rsidR="00AB018C">
        <w:rPr>
          <w:lang w:val="es-ES"/>
        </w:rPr>
        <w:t xml:space="preserve"> Australia </w:t>
      </w:r>
      <w:proofErr w:type="spellStart"/>
      <w:r w:rsidR="00AB018C">
        <w:rPr>
          <w:lang w:val="es-ES"/>
        </w:rPr>
        <w:t>Pty</w:t>
      </w:r>
      <w:proofErr w:type="spellEnd"/>
      <w:r w:rsidR="00AB018C">
        <w:rPr>
          <w:lang w:val="es-ES"/>
        </w:rPr>
        <w:t xml:space="preserve"> </w:t>
      </w:r>
      <w:proofErr w:type="spellStart"/>
      <w:r w:rsidR="00AB018C">
        <w:rPr>
          <w:lang w:val="es-ES"/>
        </w:rPr>
        <w:t>Ltd</w:t>
      </w:r>
      <w:proofErr w:type="spellEnd"/>
      <w:r w:rsidR="00AB018C">
        <w:rPr>
          <w:lang w:val="es-ES"/>
        </w:rPr>
        <w:t xml:space="preserve"> </w:t>
      </w:r>
      <w:r w:rsidRPr="00250271">
        <w:t xml:space="preserve">(the sponsor) to register </w:t>
      </w:r>
      <w:proofErr w:type="spellStart"/>
      <w:r w:rsidR="00AB018C">
        <w:t>Ovaleap</w:t>
      </w:r>
      <w:proofErr w:type="spellEnd"/>
      <w:r w:rsidR="00AB018C">
        <w:t xml:space="preserve"> (</w:t>
      </w:r>
      <w:proofErr w:type="spellStart"/>
      <w:r w:rsidR="00AB018C">
        <w:t>follitropin</w:t>
      </w:r>
      <w:proofErr w:type="spellEnd"/>
      <w:r w:rsidR="00AB018C">
        <w:t xml:space="preserve"> alfa)</w:t>
      </w:r>
      <w:r w:rsidRPr="00250271">
        <w:t xml:space="preserve"> </w:t>
      </w:r>
      <w:r w:rsidR="00AB018C">
        <w:t xml:space="preserve">300 </w:t>
      </w:r>
      <w:r w:rsidR="00402FCC" w:rsidRPr="00402FCC">
        <w:t>international unit</w:t>
      </w:r>
      <w:r w:rsidR="00402FCC">
        <w:t>s</w:t>
      </w:r>
      <w:r w:rsidR="00402FCC" w:rsidRPr="00402FCC">
        <w:t xml:space="preserve"> (</w:t>
      </w:r>
      <w:r w:rsidR="00AB018C">
        <w:t>IU</w:t>
      </w:r>
      <w:r w:rsidR="00402FCC">
        <w:t>)</w:t>
      </w:r>
      <w:r w:rsidR="00AB018C">
        <w:t>/0.5 mL, 450 IU/0.75 mL and 900 IU/1.5 mL</w:t>
      </w:r>
      <w:r w:rsidR="00AB018C" w:rsidRPr="00250271">
        <w:t xml:space="preserve"> </w:t>
      </w:r>
      <w:r w:rsidR="00AB018C">
        <w:t>solution for injection</w:t>
      </w:r>
      <w:r w:rsidR="00AB018C" w:rsidRPr="00250271">
        <w:t xml:space="preserve"> </w:t>
      </w:r>
      <w:r w:rsidRPr="00250271">
        <w:t>for th</w:t>
      </w:r>
      <w:r w:rsidR="00AB018C">
        <w:t>e following proposed indication</w:t>
      </w:r>
      <w:r w:rsidR="00CF5DAD">
        <w:t>:</w:t>
      </w:r>
    </w:p>
    <w:p w14:paraId="7615830D" w14:textId="77777777" w:rsidR="00AB018C" w:rsidRPr="00AB018C" w:rsidRDefault="00AB018C" w:rsidP="00AB018C">
      <w:pPr>
        <w:ind w:left="360"/>
        <w:rPr>
          <w:i/>
        </w:rPr>
      </w:pPr>
      <w:r w:rsidRPr="00AB018C">
        <w:rPr>
          <w:i/>
        </w:rPr>
        <w:t>In adult women,</w:t>
      </w:r>
    </w:p>
    <w:p w14:paraId="32518A3A" w14:textId="77777777" w:rsidR="00AB018C" w:rsidRPr="00AB018C" w:rsidRDefault="00AB018C" w:rsidP="00AB018C">
      <w:pPr>
        <w:pStyle w:val="ListBullet"/>
        <w:ind w:left="720"/>
        <w:rPr>
          <w:i/>
        </w:rPr>
      </w:pPr>
      <w:proofErr w:type="spellStart"/>
      <w:r w:rsidRPr="00AB018C">
        <w:rPr>
          <w:i/>
        </w:rPr>
        <w:t>Ovaleap</w:t>
      </w:r>
      <w:proofErr w:type="spellEnd"/>
      <w:r w:rsidRPr="00AB018C">
        <w:rPr>
          <w:i/>
        </w:rPr>
        <w:t xml:space="preserve"> is indicated for the treatment of </w:t>
      </w:r>
      <w:proofErr w:type="spellStart"/>
      <w:r w:rsidRPr="00AB018C">
        <w:rPr>
          <w:i/>
        </w:rPr>
        <w:t>anovulatory</w:t>
      </w:r>
      <w:proofErr w:type="spellEnd"/>
      <w:r w:rsidRPr="00AB018C">
        <w:rPr>
          <w:i/>
        </w:rPr>
        <w:t xml:space="preserve"> infertility in women who have been unresponsive to clomiphene citrate or where clomiphene citrate is contraindicated,</w:t>
      </w:r>
    </w:p>
    <w:p w14:paraId="7D309A53" w14:textId="77777777" w:rsidR="00AB018C" w:rsidRPr="00AB018C" w:rsidRDefault="00AB018C" w:rsidP="00AB018C">
      <w:pPr>
        <w:pStyle w:val="ListBullet"/>
        <w:ind w:left="720"/>
        <w:rPr>
          <w:i/>
        </w:rPr>
      </w:pPr>
      <w:r w:rsidRPr="00AB018C">
        <w:rPr>
          <w:i/>
        </w:rPr>
        <w:t xml:space="preserve">Controlled ovarian </w:t>
      </w:r>
      <w:proofErr w:type="spellStart"/>
      <w:r w:rsidRPr="00AB018C">
        <w:rPr>
          <w:i/>
        </w:rPr>
        <w:t>hyperstimulation</w:t>
      </w:r>
      <w:proofErr w:type="spellEnd"/>
      <w:r w:rsidRPr="00AB018C">
        <w:rPr>
          <w:i/>
        </w:rPr>
        <w:t xml:space="preserve"> in women undergoing assisted reproductive technologies,</w:t>
      </w:r>
    </w:p>
    <w:p w14:paraId="4C9D5864" w14:textId="55953A2F" w:rsidR="00AB018C" w:rsidRPr="00AB018C" w:rsidRDefault="00AB018C" w:rsidP="00AB018C">
      <w:pPr>
        <w:pStyle w:val="ListBullet"/>
        <w:ind w:left="720"/>
        <w:rPr>
          <w:i/>
        </w:rPr>
      </w:pPr>
      <w:proofErr w:type="spellStart"/>
      <w:r w:rsidRPr="00AB018C">
        <w:rPr>
          <w:i/>
        </w:rPr>
        <w:t>Ovaleap</w:t>
      </w:r>
      <w:proofErr w:type="spellEnd"/>
      <w:r w:rsidRPr="00AB018C">
        <w:rPr>
          <w:i/>
        </w:rPr>
        <w:t xml:space="preserve"> in association with a luteinising hormone (LH) preparation is recommended for the stimulation of follicular development in women with severe LH and FSH deficiency. In clinical trials these patients were defined by an endogenous serum LH level &lt;</w:t>
      </w:r>
      <w:r w:rsidR="00DA5F28">
        <w:rPr>
          <w:i/>
        </w:rPr>
        <w:t xml:space="preserve"> </w:t>
      </w:r>
      <w:r w:rsidRPr="00AB018C">
        <w:rPr>
          <w:i/>
        </w:rPr>
        <w:t>1.2 IU/L.</w:t>
      </w:r>
    </w:p>
    <w:p w14:paraId="4B54C015" w14:textId="77777777" w:rsidR="00AB018C" w:rsidRPr="00AB018C" w:rsidRDefault="00AB018C" w:rsidP="00121618">
      <w:pPr>
        <w:pageBreakBefore/>
        <w:ind w:left="357"/>
        <w:rPr>
          <w:i/>
        </w:rPr>
      </w:pPr>
      <w:r w:rsidRPr="00AB018C">
        <w:rPr>
          <w:i/>
        </w:rPr>
        <w:lastRenderedPageBreak/>
        <w:t>In adult men,</w:t>
      </w:r>
    </w:p>
    <w:p w14:paraId="0D59B19C" w14:textId="77777777" w:rsidR="00ED2922" w:rsidRPr="00AB018C" w:rsidRDefault="00AB018C" w:rsidP="00AB018C">
      <w:pPr>
        <w:pStyle w:val="ListBullet"/>
        <w:ind w:left="720"/>
        <w:rPr>
          <w:i/>
        </w:rPr>
      </w:pPr>
      <w:proofErr w:type="spellStart"/>
      <w:r w:rsidRPr="00AB018C">
        <w:rPr>
          <w:i/>
        </w:rPr>
        <w:t>Ovaleap</w:t>
      </w:r>
      <w:proofErr w:type="spellEnd"/>
      <w:r w:rsidRPr="00AB018C">
        <w:rPr>
          <w:i/>
        </w:rPr>
        <w:t xml:space="preserve"> is indicated with concomitant human chorionic gonadotrophin (</w:t>
      </w:r>
      <w:proofErr w:type="spellStart"/>
      <w:r w:rsidRPr="00AB018C">
        <w:rPr>
          <w:i/>
        </w:rPr>
        <w:t>hCG</w:t>
      </w:r>
      <w:proofErr w:type="spellEnd"/>
      <w:r w:rsidRPr="00AB018C">
        <w:rPr>
          <w:i/>
        </w:rPr>
        <w:t xml:space="preserve">) therapy for the stimulation of spermatogenesis in gonadotrophin-deficient men in whom </w:t>
      </w:r>
      <w:proofErr w:type="spellStart"/>
      <w:r w:rsidRPr="00AB018C">
        <w:rPr>
          <w:i/>
        </w:rPr>
        <w:t>hCG</w:t>
      </w:r>
      <w:proofErr w:type="spellEnd"/>
      <w:r w:rsidRPr="00AB018C">
        <w:rPr>
          <w:i/>
        </w:rPr>
        <w:t xml:space="preserve"> alone is ineffective.</w:t>
      </w:r>
    </w:p>
    <w:p w14:paraId="44FF6831" w14:textId="6400A491" w:rsidR="00167DEB" w:rsidRPr="00625FCB" w:rsidRDefault="00626892" w:rsidP="00167DEB">
      <w:r w:rsidRPr="00626892">
        <w:t>Follicle-stimulating hormone</w:t>
      </w:r>
      <w:r>
        <w:t xml:space="preserve"> (</w:t>
      </w:r>
      <w:r w:rsidR="00167DEB" w:rsidRPr="00625FCB">
        <w:t>FSH</w:t>
      </w:r>
      <w:r>
        <w:t>)</w:t>
      </w:r>
      <w:r w:rsidR="00167DEB" w:rsidRPr="00625FCB">
        <w:t xml:space="preserve"> is secreted by the anterior pituitary gland and is necessary for normal gamete growth and ma</w:t>
      </w:r>
      <w:r w:rsidR="00167DEB">
        <w:t xml:space="preserve">turation in males and females. </w:t>
      </w:r>
      <w:r w:rsidR="00167DEB" w:rsidRPr="00625FCB">
        <w:t xml:space="preserve">The therapeutic uses for FSH analogues are where endogenous FSH is </w:t>
      </w:r>
      <w:r w:rsidR="00DB1B1A">
        <w:t>in</w:t>
      </w:r>
      <w:r w:rsidR="00167DEB" w:rsidRPr="00625FCB">
        <w:t>sufficient (as in some causes of anovulation in females or impaired spermatogenesis in males) or where endogenous FSH has been suppressed (as in follicular stimulation procedures for harvesting multiple o</w:t>
      </w:r>
      <w:r>
        <w:t xml:space="preserve">va for </w:t>
      </w:r>
      <w:r w:rsidRPr="00626892">
        <w:rPr>
          <w:i/>
        </w:rPr>
        <w:t>in vitro</w:t>
      </w:r>
      <w:r w:rsidRPr="00626892">
        <w:t xml:space="preserve"> fertilisation</w:t>
      </w:r>
      <w:r>
        <w:t xml:space="preserve"> (IVF) or g</w:t>
      </w:r>
      <w:r w:rsidRPr="00626892">
        <w:t xml:space="preserve">amete </w:t>
      </w:r>
      <w:proofErr w:type="spellStart"/>
      <w:r w:rsidRPr="00626892">
        <w:t>intrafallopian</w:t>
      </w:r>
      <w:proofErr w:type="spellEnd"/>
      <w:r w:rsidRPr="00626892">
        <w:t xml:space="preserve"> transfer</w:t>
      </w:r>
      <w:r>
        <w:t xml:space="preserve"> (GIFT) procedures).</w:t>
      </w:r>
    </w:p>
    <w:p w14:paraId="154CF453" w14:textId="15941EAC" w:rsidR="00167DEB" w:rsidRDefault="004674F0" w:rsidP="00167DEB">
      <w:pPr>
        <w:rPr>
          <w:lang w:eastAsia="ja-JP"/>
        </w:rPr>
      </w:pPr>
      <w:r>
        <w:rPr>
          <w:lang w:eastAsia="ja-JP"/>
        </w:rPr>
        <w:t>The World Health Organiz</w:t>
      </w:r>
      <w:r w:rsidR="00167DEB">
        <w:rPr>
          <w:lang w:eastAsia="ja-JP"/>
        </w:rPr>
        <w:t xml:space="preserve">ation </w:t>
      </w:r>
      <w:r w:rsidR="00B32BE0">
        <w:rPr>
          <w:lang w:eastAsia="ja-JP"/>
        </w:rPr>
        <w:t xml:space="preserve">(WHO) </w:t>
      </w:r>
      <w:r w:rsidR="00167DEB">
        <w:rPr>
          <w:lang w:eastAsia="ja-JP"/>
        </w:rPr>
        <w:t>classifies ovulation disorders into three categories:</w:t>
      </w:r>
      <w:r w:rsidR="00C2270A">
        <w:rPr>
          <w:rStyle w:val="FootnoteReference"/>
          <w:lang w:eastAsia="ja-JP"/>
        </w:rPr>
        <w:footnoteReference w:id="2"/>
      </w:r>
    </w:p>
    <w:p w14:paraId="4445C36F" w14:textId="794D8692" w:rsidR="00167DEB" w:rsidRPr="00847118" w:rsidRDefault="00167DEB" w:rsidP="00C96208">
      <w:pPr>
        <w:pStyle w:val="ListBullet"/>
      </w:pPr>
      <w:r w:rsidRPr="00C96208">
        <w:t>Group 1: Hypothalamic-pituitary failure (hypothalamic amenorrhoea or hypo</w:t>
      </w:r>
      <w:r w:rsidR="006A2159" w:rsidRPr="00847118">
        <w:noBreakHyphen/>
      </w:r>
      <w:r w:rsidRPr="00847118">
        <w:t>go</w:t>
      </w:r>
      <w:r w:rsidR="00626892" w:rsidRPr="00847118">
        <w:t>nadotrophic hypogonadism)</w:t>
      </w:r>
      <w:r w:rsidR="00847118">
        <w:t>. Approximately</w:t>
      </w:r>
      <w:r w:rsidR="00626892" w:rsidRPr="00847118">
        <w:t xml:space="preserve"> 10%</w:t>
      </w:r>
      <w:r w:rsidR="00847118">
        <w:t xml:space="preserve"> of women with an ovulation disorder have a Group 1 ovulation disorder</w:t>
      </w:r>
      <w:r w:rsidR="00626892" w:rsidRPr="00847118">
        <w:t>.</w:t>
      </w:r>
    </w:p>
    <w:p w14:paraId="43674467" w14:textId="1E87D7E5" w:rsidR="00167DEB" w:rsidRPr="00847118" w:rsidRDefault="00167DEB" w:rsidP="00026810">
      <w:pPr>
        <w:pStyle w:val="ListBullet"/>
      </w:pPr>
      <w:r w:rsidRPr="00026810">
        <w:t>Group 2: Hypothalamic-pituitary-ovarian dysfunction (predominately polycystic ovary syndrome)</w:t>
      </w:r>
      <w:r w:rsidR="00847118">
        <w:t>. Approximately</w:t>
      </w:r>
      <w:r w:rsidRPr="00847118">
        <w:t xml:space="preserve"> 85</w:t>
      </w:r>
      <w:r w:rsidR="00626892" w:rsidRPr="00847118">
        <w:t>%</w:t>
      </w:r>
      <w:r w:rsidR="00847118">
        <w:t xml:space="preserve"> of women with an ovulation disorder have a Group 2 ovulation disorder</w:t>
      </w:r>
      <w:r w:rsidR="00626892" w:rsidRPr="00847118">
        <w:t>.</w:t>
      </w:r>
    </w:p>
    <w:p w14:paraId="6BB7FD68" w14:textId="5C5F83F2" w:rsidR="00167DEB" w:rsidRPr="00847118" w:rsidRDefault="00167DEB" w:rsidP="000900C5">
      <w:pPr>
        <w:pStyle w:val="ListBullet"/>
      </w:pPr>
      <w:r w:rsidRPr="00847118">
        <w:t xml:space="preserve">Group 3: Ovarian failure (hyper-gonadotrophic hypogonadism, ovarian insufficiency) </w:t>
      </w:r>
      <w:r w:rsidR="00847118">
        <w:t xml:space="preserve">Approximately </w:t>
      </w:r>
      <w:r w:rsidRPr="00847118">
        <w:t>5%</w:t>
      </w:r>
      <w:r w:rsidR="00847118">
        <w:t xml:space="preserve"> of women with an ovulation disorder have a Group 3 ovulation disorder</w:t>
      </w:r>
      <w:r w:rsidR="00626892" w:rsidRPr="00847118">
        <w:t>.</w:t>
      </w:r>
    </w:p>
    <w:p w14:paraId="0C815E65" w14:textId="51538F20" w:rsidR="00167DEB" w:rsidRPr="009B2C54" w:rsidRDefault="00167DEB" w:rsidP="00167DEB">
      <w:r w:rsidRPr="009B2C54">
        <w:t xml:space="preserve">A serum FSH measurement is the single most useful test for ascertaining the type of ovulatory </w:t>
      </w:r>
      <w:r>
        <w:t>disorder (</w:t>
      </w:r>
      <w:r w:rsidR="00D2636B">
        <w:t>Group</w:t>
      </w:r>
      <w:r>
        <w:t xml:space="preserve"> </w:t>
      </w:r>
      <w:r w:rsidR="00D2636B">
        <w:t>1</w:t>
      </w:r>
      <w:r>
        <w:t>,</w:t>
      </w:r>
      <w:r w:rsidR="00D2636B">
        <w:t xml:space="preserve"> 2</w:t>
      </w:r>
      <w:r>
        <w:t xml:space="preserve"> or</w:t>
      </w:r>
      <w:r w:rsidR="00D2636B">
        <w:t xml:space="preserve"> 3</w:t>
      </w:r>
      <w:r>
        <w:t xml:space="preserve">). </w:t>
      </w:r>
      <w:r w:rsidRPr="009B2C54">
        <w:t xml:space="preserve">Differentiating between </w:t>
      </w:r>
      <w:r w:rsidR="00847118" w:rsidRPr="009B2C54">
        <w:t>hypogonadotropic</w:t>
      </w:r>
      <w:r w:rsidRPr="009B2C54">
        <w:t xml:space="preserve"> hypogonadism (</w:t>
      </w:r>
      <w:r w:rsidR="00D2636B">
        <w:t>Group 1</w:t>
      </w:r>
      <w:r w:rsidRPr="009B2C54">
        <w:t>) and anovulation due to hypothalamic/pituitary/ovarian dysfunction (</w:t>
      </w:r>
      <w:r w:rsidR="00D2636B">
        <w:t>Group 2</w:t>
      </w:r>
      <w:r w:rsidRPr="009B2C54">
        <w:t>) can be challenging and requires consideration of history, examination, hormonal and imaging data.</w:t>
      </w:r>
    </w:p>
    <w:p w14:paraId="5A0EF379" w14:textId="77777777" w:rsidR="00167DEB" w:rsidRPr="00514515" w:rsidRDefault="00167DEB" w:rsidP="00167DEB">
      <w:r w:rsidRPr="009B2C54">
        <w:t>Male factor infertility can arise from a number of anatomical, endocrine,</w:t>
      </w:r>
      <w:r>
        <w:t xml:space="preserve"> genetic or autoimmune causes. </w:t>
      </w:r>
      <w:r w:rsidRPr="009B2C54">
        <w:t>Hypogonadotropic hypogonadism, also known as secondary hypogonadism, results from failure of the hypothalamic–pituitary axis to stimulate normal gonada</w:t>
      </w:r>
      <w:r>
        <w:t>l function</w:t>
      </w:r>
      <w:r w:rsidRPr="009B2C54">
        <w:t>.</w:t>
      </w:r>
    </w:p>
    <w:p w14:paraId="6E1EF6A8" w14:textId="6A8967A3" w:rsidR="00254E4C" w:rsidRDefault="00254E4C" w:rsidP="00167DEB">
      <w:pPr>
        <w:rPr>
          <w:lang w:eastAsia="ja-JP"/>
        </w:rPr>
      </w:pPr>
      <w:r w:rsidRPr="000E6FC8">
        <w:t>The</w:t>
      </w:r>
      <w:r>
        <w:t xml:space="preserve"> United Kingdom (UK)</w:t>
      </w:r>
      <w:r w:rsidRPr="000E6FC8">
        <w:t xml:space="preserve"> </w:t>
      </w:r>
      <w:r>
        <w:t>National Institute for Health and Care Excellence (</w:t>
      </w:r>
      <w:r w:rsidRPr="000E6FC8">
        <w:t>NICE</w:t>
      </w:r>
      <w:r>
        <w:t>)</w:t>
      </w:r>
      <w:r w:rsidRPr="000E6FC8">
        <w:t xml:space="preserve"> </w:t>
      </w:r>
      <w:r>
        <w:t>Clinical guideline on the assessment and treatment of fertility problems recommends weight loss as a first-line intervention i</w:t>
      </w:r>
      <w:r w:rsidR="00167DEB">
        <w:rPr>
          <w:lang w:eastAsia="ja-JP"/>
        </w:rPr>
        <w:t xml:space="preserve">n women with Group 2 </w:t>
      </w:r>
      <w:proofErr w:type="spellStart"/>
      <w:r w:rsidR="00167DEB">
        <w:rPr>
          <w:lang w:eastAsia="ja-JP"/>
        </w:rPr>
        <w:t>anovulatory</w:t>
      </w:r>
      <w:proofErr w:type="spellEnd"/>
      <w:r w:rsidR="00167DEB">
        <w:rPr>
          <w:lang w:eastAsia="ja-JP"/>
        </w:rPr>
        <w:t xml:space="preserve"> disorders, if </w:t>
      </w:r>
      <w:r w:rsidR="00207272">
        <w:rPr>
          <w:lang w:eastAsia="ja-JP"/>
        </w:rPr>
        <w:t>the body mass index (</w:t>
      </w:r>
      <w:r w:rsidR="00167DEB">
        <w:rPr>
          <w:lang w:eastAsia="ja-JP"/>
        </w:rPr>
        <w:t>BMI</w:t>
      </w:r>
      <w:r w:rsidR="00207272">
        <w:rPr>
          <w:lang w:eastAsia="ja-JP"/>
        </w:rPr>
        <w:t>)</w:t>
      </w:r>
      <w:r w:rsidR="00167DEB">
        <w:rPr>
          <w:lang w:eastAsia="ja-JP"/>
        </w:rPr>
        <w:t xml:space="preserve"> </w:t>
      </w:r>
      <w:r w:rsidR="006A2159">
        <w:rPr>
          <w:lang w:eastAsia="ja-JP"/>
        </w:rPr>
        <w:t xml:space="preserve">is </w:t>
      </w:r>
      <w:r w:rsidR="00167DEB">
        <w:rPr>
          <w:lang w:eastAsia="ja-JP"/>
        </w:rPr>
        <w:t>≥</w:t>
      </w:r>
      <w:r w:rsidR="006A2159">
        <w:rPr>
          <w:lang w:eastAsia="ja-JP"/>
        </w:rPr>
        <w:t xml:space="preserve"> </w:t>
      </w:r>
      <w:r w:rsidR="00167DEB">
        <w:rPr>
          <w:lang w:eastAsia="ja-JP"/>
        </w:rPr>
        <w:t>30 kg/m</w:t>
      </w:r>
      <w:r w:rsidR="00167DEB" w:rsidRPr="00580F6F">
        <w:rPr>
          <w:vertAlign w:val="superscript"/>
          <w:lang w:eastAsia="ja-JP"/>
        </w:rPr>
        <w:t>2</w:t>
      </w:r>
      <w:r w:rsidR="00167DEB">
        <w:rPr>
          <w:lang w:eastAsia="ja-JP"/>
        </w:rPr>
        <w:t>.</w:t>
      </w:r>
      <w:bookmarkStart w:id="16" w:name="_Ref66470586"/>
      <w:r w:rsidR="006A2159">
        <w:rPr>
          <w:rStyle w:val="FootnoteReference"/>
          <w:lang w:eastAsia="ja-JP"/>
        </w:rPr>
        <w:footnoteReference w:id="3"/>
      </w:r>
      <w:bookmarkEnd w:id="16"/>
      <w:r w:rsidR="00167DEB">
        <w:rPr>
          <w:lang w:eastAsia="ja-JP"/>
        </w:rPr>
        <w:t xml:space="preserve"> Second-line treatment is </w:t>
      </w:r>
      <w:proofErr w:type="spellStart"/>
      <w:r w:rsidR="00167DEB">
        <w:rPr>
          <w:lang w:eastAsia="ja-JP"/>
        </w:rPr>
        <w:t>clomi</w:t>
      </w:r>
      <w:r w:rsidR="00847118">
        <w:rPr>
          <w:lang w:eastAsia="ja-JP"/>
        </w:rPr>
        <w:t>f</w:t>
      </w:r>
      <w:r w:rsidR="00167DEB">
        <w:rPr>
          <w:lang w:eastAsia="ja-JP"/>
        </w:rPr>
        <w:t>ene</w:t>
      </w:r>
      <w:proofErr w:type="spellEnd"/>
      <w:r w:rsidR="00167DEB">
        <w:rPr>
          <w:lang w:eastAsia="ja-JP"/>
        </w:rPr>
        <w:t xml:space="preserve"> and/or metformin. Gonadotropins are a third</w:t>
      </w:r>
      <w:r>
        <w:rPr>
          <w:lang w:eastAsia="ja-JP"/>
        </w:rPr>
        <w:noBreakHyphen/>
      </w:r>
      <w:r w:rsidR="00167DEB">
        <w:rPr>
          <w:lang w:eastAsia="ja-JP"/>
        </w:rPr>
        <w:t xml:space="preserve">line option in women who are resistant to </w:t>
      </w:r>
      <w:proofErr w:type="spellStart"/>
      <w:r w:rsidR="00167DEB">
        <w:rPr>
          <w:lang w:eastAsia="ja-JP"/>
        </w:rPr>
        <w:t>clomi</w:t>
      </w:r>
      <w:r w:rsidR="00847118">
        <w:rPr>
          <w:lang w:eastAsia="ja-JP"/>
        </w:rPr>
        <w:t>f</w:t>
      </w:r>
      <w:r w:rsidR="00167DEB">
        <w:rPr>
          <w:lang w:eastAsia="ja-JP"/>
        </w:rPr>
        <w:t>ene</w:t>
      </w:r>
      <w:proofErr w:type="spellEnd"/>
      <w:r w:rsidR="00167DEB">
        <w:rPr>
          <w:lang w:eastAsia="ja-JP"/>
        </w:rPr>
        <w:t>.</w:t>
      </w:r>
    </w:p>
    <w:p w14:paraId="0A9F5E4C" w14:textId="58EBE1AE" w:rsidR="00167DEB" w:rsidRPr="00C55D44" w:rsidRDefault="00167DEB" w:rsidP="00167DEB">
      <w:proofErr w:type="spellStart"/>
      <w:r w:rsidRPr="00C55D44">
        <w:t>Clomi</w:t>
      </w:r>
      <w:r>
        <w:t>f</w:t>
      </w:r>
      <w:r w:rsidRPr="00C55D44">
        <w:t>ene</w:t>
      </w:r>
      <w:proofErr w:type="spellEnd"/>
      <w:r w:rsidRPr="00C55D44">
        <w:t xml:space="preserve"> ovulation induction</w:t>
      </w:r>
      <w:r>
        <w:t xml:space="preserve"> </w:t>
      </w:r>
      <w:r w:rsidRPr="00C55D44">
        <w:t>is suitable for women with ovarian dysfunction (</w:t>
      </w:r>
      <w:r w:rsidR="00254E4C">
        <w:t>Group</w:t>
      </w:r>
      <w:r w:rsidR="00254E4C" w:rsidRPr="00C55D44">
        <w:t xml:space="preserve"> </w:t>
      </w:r>
      <w:r w:rsidR="00254E4C">
        <w:t>2 ovulation disorders</w:t>
      </w:r>
      <w:r w:rsidRPr="00C55D44">
        <w:t xml:space="preserve">), but because it relies on an intact hypothalamic-pituitary axis, it is not suitable for other </w:t>
      </w:r>
      <w:r w:rsidR="00254E4C">
        <w:t>causes of anovulation</w:t>
      </w:r>
      <w:r w:rsidR="00C01F54">
        <w:t xml:space="preserve"> </w:t>
      </w:r>
      <w:r w:rsidRPr="00C55D44">
        <w:t>(</w:t>
      </w:r>
      <w:r w:rsidR="00254E4C">
        <w:t>Group 1</w:t>
      </w:r>
      <w:r w:rsidRPr="00C55D44">
        <w:t xml:space="preserve"> or </w:t>
      </w:r>
      <w:r w:rsidR="00254E4C">
        <w:t>3 ovulation disorders</w:t>
      </w:r>
      <w:r w:rsidRPr="00C55D44">
        <w:t>).</w:t>
      </w:r>
      <w:r>
        <w:t xml:space="preserve"> </w:t>
      </w:r>
      <w:r w:rsidRPr="00C55D44">
        <w:t xml:space="preserve">Women with or without </w:t>
      </w:r>
      <w:r>
        <w:t>polycystic ovary syndrome (</w:t>
      </w:r>
      <w:r w:rsidRPr="00C55D44">
        <w:t>PCOS</w:t>
      </w:r>
      <w:r>
        <w:t>)</w:t>
      </w:r>
      <w:r w:rsidRPr="00C55D44">
        <w:t xml:space="preserve"> who are resistant to </w:t>
      </w:r>
      <w:proofErr w:type="spellStart"/>
      <w:r>
        <w:t>c</w:t>
      </w:r>
      <w:r w:rsidRPr="00C55D44">
        <w:t>lomifene</w:t>
      </w:r>
      <w:proofErr w:type="spellEnd"/>
      <w:r w:rsidRPr="00C55D44">
        <w:t xml:space="preserve"> </w:t>
      </w:r>
      <w:r w:rsidR="006A2159" w:rsidRPr="00C55D44">
        <w:t>ovulation induction</w:t>
      </w:r>
      <w:r w:rsidRPr="00C55D44">
        <w:t xml:space="preserve"> are candidates for </w:t>
      </w:r>
      <w:r w:rsidR="006A2159" w:rsidRPr="00C55D44">
        <w:t>ovulation induction</w:t>
      </w:r>
      <w:r w:rsidR="006A2159">
        <w:t xml:space="preserve"> </w:t>
      </w:r>
      <w:r w:rsidRPr="00C55D44">
        <w:t>with gonadotrophins.</w:t>
      </w:r>
      <w:r>
        <w:t xml:space="preserve"> </w:t>
      </w:r>
      <w:r w:rsidRPr="00C55D44">
        <w:t xml:space="preserve">Gonadotrophin </w:t>
      </w:r>
      <w:r w:rsidR="006A2159" w:rsidRPr="00C55D44">
        <w:t>ovulation induction</w:t>
      </w:r>
      <w:r w:rsidRPr="00C55D44">
        <w:t xml:space="preserve"> is highly successful in inducing ovulation (&gt;</w:t>
      </w:r>
      <w:r w:rsidR="006A2159">
        <w:t xml:space="preserve"> </w:t>
      </w:r>
      <w:r w:rsidRPr="00C55D44">
        <w:t xml:space="preserve">95% of cases). It also achieves higher live birth rates compared to other methods of </w:t>
      </w:r>
      <w:r w:rsidR="006A2159">
        <w:t>ovulation induction</w:t>
      </w:r>
      <w:r w:rsidRPr="00C55D44">
        <w:t xml:space="preserve">. Unlike </w:t>
      </w:r>
      <w:r w:rsidRPr="00C55D44">
        <w:lastRenderedPageBreak/>
        <w:t xml:space="preserve">women with </w:t>
      </w:r>
      <w:proofErr w:type="spellStart"/>
      <w:r w:rsidRPr="00C55D44">
        <w:t>hypogonadotrophic</w:t>
      </w:r>
      <w:proofErr w:type="spellEnd"/>
      <w:r w:rsidRPr="00C55D44">
        <w:t xml:space="preserve"> hypogonadism that require preparations with FSH and LH activity, women with PCO</w:t>
      </w:r>
      <w:r w:rsidR="006A2159">
        <w:t xml:space="preserve">S require preparations with FSH </w:t>
      </w:r>
      <w:r w:rsidRPr="00C55D44">
        <w:t>only activity.</w:t>
      </w:r>
    </w:p>
    <w:p w14:paraId="1EF14E52" w14:textId="6FAEA2F1" w:rsidR="00940A89" w:rsidRDefault="00167DEB" w:rsidP="00250271">
      <w:r w:rsidRPr="000E6FC8">
        <w:t xml:space="preserve">The </w:t>
      </w:r>
      <w:r w:rsidR="00026810">
        <w:t xml:space="preserve">same </w:t>
      </w:r>
      <w:r w:rsidRPr="000E6FC8">
        <w:t xml:space="preserve">NICE </w:t>
      </w:r>
      <w:r w:rsidR="00026810">
        <w:t xml:space="preserve">clinical guideline provides </w:t>
      </w:r>
      <w:r w:rsidRPr="000E6FC8">
        <w:t xml:space="preserve">guidance for </w:t>
      </w:r>
      <w:r w:rsidR="00026810">
        <w:t xml:space="preserve">the </w:t>
      </w:r>
      <w:r w:rsidRPr="000E6FC8">
        <w:t>medical management of m</w:t>
      </w:r>
      <w:r w:rsidR="006A2159">
        <w:t>ale factor infertility</w:t>
      </w:r>
      <w:r w:rsidR="00026810">
        <w:t>,</w:t>
      </w:r>
      <w:r w:rsidR="006A2159">
        <w:t xml:space="preserve"> stat</w:t>
      </w:r>
      <w:r w:rsidR="00026810">
        <w:t>ing</w:t>
      </w:r>
      <w:r w:rsidR="006A2159">
        <w:t xml:space="preserve"> ‘</w:t>
      </w:r>
      <w:r w:rsidRPr="006A2159">
        <w:rPr>
          <w:i/>
        </w:rPr>
        <w:t>Men with hypo-gonadotrophic hypogonadism should be offered gonadotrophin drugs because these are ef</w:t>
      </w:r>
      <w:r w:rsidR="006A2159" w:rsidRPr="006A2159">
        <w:rPr>
          <w:i/>
        </w:rPr>
        <w:t>fective in improving fertility</w:t>
      </w:r>
      <w:r w:rsidR="006A2159">
        <w:t>’</w:t>
      </w:r>
      <w:r w:rsidR="00026810">
        <w:t>.</w:t>
      </w:r>
      <w:r w:rsidR="006A2159">
        <w:fldChar w:fldCharType="begin"/>
      </w:r>
      <w:r w:rsidR="006A2159">
        <w:instrText xml:space="preserve"> NOTEREF _Ref66470586 \f \h </w:instrText>
      </w:r>
      <w:r w:rsidR="006A2159">
        <w:fldChar w:fldCharType="separate"/>
      </w:r>
      <w:r w:rsidR="005A7CFA" w:rsidRPr="005A7CFA">
        <w:rPr>
          <w:rStyle w:val="FootnoteReference"/>
        </w:rPr>
        <w:t>3</w:t>
      </w:r>
      <w:r w:rsidR="006A2159">
        <w:fldChar w:fldCharType="end"/>
      </w:r>
      <w:r>
        <w:t xml:space="preserve"> No other treatment options are discussed in the NICE guidance. </w:t>
      </w:r>
      <w:r w:rsidR="006A2159">
        <w:t>The guidance further states ‘</w:t>
      </w:r>
      <w:r w:rsidRPr="00DA5F28">
        <w:rPr>
          <w:i/>
        </w:rPr>
        <w:t xml:space="preserve">Men with idiopathic semen abnormalities should not be offered anti-oestrogens, gonadotrophins, androgens, </w:t>
      </w:r>
      <w:proofErr w:type="spellStart"/>
      <w:r w:rsidRPr="00DA5F28">
        <w:rPr>
          <w:i/>
        </w:rPr>
        <w:t>bromocriptine</w:t>
      </w:r>
      <w:proofErr w:type="spellEnd"/>
      <w:r w:rsidRPr="00DA5F28">
        <w:rPr>
          <w:i/>
        </w:rPr>
        <w:t xml:space="preserve"> or </w:t>
      </w:r>
      <w:proofErr w:type="spellStart"/>
      <w:r w:rsidRPr="00DA5F28">
        <w:rPr>
          <w:i/>
        </w:rPr>
        <w:t>kinin</w:t>
      </w:r>
      <w:proofErr w:type="spellEnd"/>
      <w:r w:rsidR="00026810">
        <w:rPr>
          <w:i/>
        </w:rPr>
        <w:noBreakHyphen/>
      </w:r>
      <w:r w:rsidRPr="00DA5F28">
        <w:rPr>
          <w:i/>
        </w:rPr>
        <w:t xml:space="preserve">enhancing drugs because they have </w:t>
      </w:r>
      <w:r w:rsidR="006A2159" w:rsidRPr="00DA5F28">
        <w:rPr>
          <w:i/>
        </w:rPr>
        <w:t>not been shown to be effective</w:t>
      </w:r>
      <w:r w:rsidR="006A2159">
        <w:t>’</w:t>
      </w:r>
      <w:r w:rsidR="00026810">
        <w:t>.</w:t>
      </w:r>
      <w:r w:rsidR="006A2159">
        <w:fldChar w:fldCharType="begin"/>
      </w:r>
      <w:r w:rsidR="006A2159">
        <w:instrText xml:space="preserve"> NOTEREF _Ref66470586 \f \h </w:instrText>
      </w:r>
      <w:r w:rsidR="006A2159">
        <w:fldChar w:fldCharType="separate"/>
      </w:r>
      <w:r w:rsidR="005A7CFA" w:rsidRPr="005A7CFA">
        <w:rPr>
          <w:rStyle w:val="FootnoteReference"/>
        </w:rPr>
        <w:t>3</w:t>
      </w:r>
      <w:r w:rsidR="006A2159">
        <w:fldChar w:fldCharType="end"/>
      </w:r>
    </w:p>
    <w:p w14:paraId="2A5668EC" w14:textId="38CF7B34" w:rsidR="00626892" w:rsidRDefault="00626892" w:rsidP="00626892">
      <w:r>
        <w:t xml:space="preserve">This is an application to register </w:t>
      </w:r>
      <w:proofErr w:type="spellStart"/>
      <w:r>
        <w:t>Ovaleap</w:t>
      </w:r>
      <w:proofErr w:type="spellEnd"/>
      <w:r>
        <w:t xml:space="preserve"> (</w:t>
      </w:r>
      <w:proofErr w:type="spellStart"/>
      <w:r>
        <w:t>follitropin</w:t>
      </w:r>
      <w:proofErr w:type="spellEnd"/>
      <w:r>
        <w:t xml:space="preserve"> alfa) as a biosimilar to </w:t>
      </w:r>
      <w:proofErr w:type="spellStart"/>
      <w:r>
        <w:t>Gonal</w:t>
      </w:r>
      <w:proofErr w:type="spellEnd"/>
      <w:r>
        <w:t>-f (</w:t>
      </w:r>
      <w:proofErr w:type="spellStart"/>
      <w:r>
        <w:t>follitropin</w:t>
      </w:r>
      <w:proofErr w:type="spellEnd"/>
      <w:r>
        <w:t xml:space="preserve"> alfa).</w:t>
      </w:r>
      <w:r>
        <w:rPr>
          <w:rStyle w:val="FootnoteReference"/>
        </w:rPr>
        <w:footnoteReference w:id="4"/>
      </w:r>
      <w:r w:rsidRPr="00F50929">
        <w:t xml:space="preserve"> </w:t>
      </w:r>
      <w:proofErr w:type="spellStart"/>
      <w:r>
        <w:t>Ovaleap</w:t>
      </w:r>
      <w:proofErr w:type="spellEnd"/>
      <w:r>
        <w:t xml:space="preserve"> is presented as a solution for injection in a cartridge for use in conjunction with the </w:t>
      </w:r>
      <w:proofErr w:type="spellStart"/>
      <w:r>
        <w:t>Ovaleap</w:t>
      </w:r>
      <w:proofErr w:type="spellEnd"/>
      <w:r>
        <w:t xml:space="preserve"> Pen, which is separately available.</w:t>
      </w:r>
      <w:bookmarkStart w:id="17" w:name="_Ref66559228"/>
      <w:r w:rsidR="00213DF1">
        <w:rPr>
          <w:rStyle w:val="FootnoteReference"/>
        </w:rPr>
        <w:footnoteReference w:id="5"/>
      </w:r>
      <w:bookmarkEnd w:id="17"/>
      <w:r>
        <w:t xml:space="preserve"> Injection needles are supplied with the </w:t>
      </w:r>
      <w:proofErr w:type="spellStart"/>
      <w:r>
        <w:t>Ovaleap</w:t>
      </w:r>
      <w:proofErr w:type="spellEnd"/>
      <w:r>
        <w:t xml:space="preserve"> cartridges.</w:t>
      </w:r>
    </w:p>
    <w:p w14:paraId="5003E400" w14:textId="445B43EE" w:rsidR="00626892" w:rsidRDefault="00626892" w:rsidP="00626892">
      <w:pPr>
        <w:rPr>
          <w:rFonts w:ascii="Calibri" w:eastAsiaTheme="minorHAnsi" w:hAnsi="Calibri"/>
        </w:rPr>
      </w:pPr>
      <w:r>
        <w:t>In</w:t>
      </w:r>
      <w:r w:rsidR="00402FCC">
        <w:t xml:space="preserve"> their initial application</w:t>
      </w:r>
      <w:r w:rsidR="00026810">
        <w:t>,</w:t>
      </w:r>
      <w:r w:rsidR="00402FCC">
        <w:t xml:space="preserve"> the s</w:t>
      </w:r>
      <w:r>
        <w:t xml:space="preserve">ponsor proposed the registration of the indications of the </w:t>
      </w:r>
      <w:r w:rsidR="00402FCC">
        <w:t>European Union (</w:t>
      </w:r>
      <w:r>
        <w:t>EU</w:t>
      </w:r>
      <w:r w:rsidR="00402FCC">
        <w:t>)</w:t>
      </w:r>
      <w:r>
        <w:t xml:space="preserve"> reference product (</w:t>
      </w:r>
      <w:proofErr w:type="spellStart"/>
      <w:r>
        <w:t>Gonal</w:t>
      </w:r>
      <w:proofErr w:type="spellEnd"/>
      <w:r>
        <w:t>-f</w:t>
      </w:r>
      <w:r w:rsidR="004674F0">
        <w:t xml:space="preserve"> (</w:t>
      </w:r>
      <w:proofErr w:type="spellStart"/>
      <w:r w:rsidR="004674F0">
        <w:t>follitropin</w:t>
      </w:r>
      <w:proofErr w:type="spellEnd"/>
      <w:r w:rsidR="004674F0">
        <w:t xml:space="preserve"> alfa)</w:t>
      </w:r>
      <w:r>
        <w:t xml:space="preserve"> Merck Europe B.V.). The Australian and EU </w:t>
      </w:r>
      <w:proofErr w:type="spellStart"/>
      <w:r>
        <w:t>Gonal</w:t>
      </w:r>
      <w:proofErr w:type="spellEnd"/>
      <w:r>
        <w:t>-f reference products have three similar indications with slightly different wording and the EU reference product has one additional indication regarding combination use with a luteinising hormone (LH) preparation in women wit</w:t>
      </w:r>
      <w:r w:rsidR="004674F0">
        <w:t>h severe LH and FSH deficiency.</w:t>
      </w:r>
    </w:p>
    <w:p w14:paraId="404EABAB" w14:textId="19DD4D34" w:rsidR="00626892" w:rsidRDefault="00626892" w:rsidP="00250271">
      <w:r w:rsidRPr="00F50929">
        <w:t xml:space="preserve">The </w:t>
      </w:r>
      <w:r>
        <w:t xml:space="preserve">proposed </w:t>
      </w:r>
      <w:proofErr w:type="spellStart"/>
      <w:r>
        <w:t>Ovaleap</w:t>
      </w:r>
      <w:proofErr w:type="spellEnd"/>
      <w:r>
        <w:t xml:space="preserve"> </w:t>
      </w:r>
      <w:r w:rsidRPr="00F50929">
        <w:t xml:space="preserve">PI is derived from the current </w:t>
      </w:r>
      <w:r>
        <w:t xml:space="preserve">Australian </w:t>
      </w:r>
      <w:r w:rsidR="00026810">
        <w:t>Product Information (PI)</w:t>
      </w:r>
      <w:r w:rsidRPr="00F50929">
        <w:t xml:space="preserve"> for </w:t>
      </w:r>
      <w:proofErr w:type="spellStart"/>
      <w:r>
        <w:t>Gonal</w:t>
      </w:r>
      <w:proofErr w:type="spellEnd"/>
      <w:r>
        <w:t>-f apart from the changes to the wording of the indications described above as well as additional information regarding comparability between the two products and product specific information</w:t>
      </w:r>
      <w:r w:rsidRPr="00F50929">
        <w:t>.</w:t>
      </w:r>
    </w:p>
    <w:p w14:paraId="251C8688" w14:textId="77777777" w:rsidR="008E7846" w:rsidRPr="003F31A2" w:rsidRDefault="00386150" w:rsidP="008E7846">
      <w:pPr>
        <w:pStyle w:val="Heading3"/>
      </w:pPr>
      <w:bookmarkStart w:id="18" w:name="_Toc314842485"/>
      <w:bookmarkStart w:id="19" w:name="_Toc247691504"/>
      <w:bookmarkStart w:id="20" w:name="_Toc72314031"/>
      <w:r>
        <w:t>Regulatory s</w:t>
      </w:r>
      <w:r w:rsidR="008E7846">
        <w:t>tatus</w:t>
      </w:r>
      <w:bookmarkEnd w:id="18"/>
      <w:bookmarkEnd w:id="19"/>
      <w:bookmarkEnd w:id="20"/>
    </w:p>
    <w:p w14:paraId="5261C6DA" w14:textId="4727BFBF" w:rsidR="00940A89" w:rsidRDefault="00006FAB" w:rsidP="00940A89">
      <w:bookmarkStart w:id="21" w:name="_Toc247691505"/>
      <w:bookmarkStart w:id="22" w:name="_Toc314842486"/>
      <w:r w:rsidRPr="00006FAB">
        <w:t xml:space="preserve">This product is considered </w:t>
      </w:r>
      <w:r w:rsidR="00C01F54">
        <w:t>a</w:t>
      </w:r>
      <w:r w:rsidRPr="00006FAB">
        <w:t xml:space="preserve"> new biosimilar medicine for Australian regulatory purposes.</w:t>
      </w:r>
    </w:p>
    <w:p w14:paraId="0C1682EC" w14:textId="52265096" w:rsidR="00006FAB" w:rsidRDefault="00006FAB" w:rsidP="00006FAB">
      <w:r>
        <w:t>At the time the TGA considered this application, similar application</w:t>
      </w:r>
      <w:r w:rsidR="00026810">
        <w:t>s</w:t>
      </w:r>
      <w:r>
        <w:t xml:space="preserve"> had been approved </w:t>
      </w:r>
      <w:r w:rsidR="00402FCC">
        <w:t>the EU</w:t>
      </w:r>
      <w:r w:rsidR="006842C2">
        <w:t xml:space="preserve"> </w:t>
      </w:r>
      <w:r w:rsidR="00402FCC">
        <w:t>(</w:t>
      </w:r>
      <w:r w:rsidR="006842C2">
        <w:t>approved on 27 September 2013), Switzerland</w:t>
      </w:r>
      <w:r w:rsidR="00167DEB">
        <w:t xml:space="preserve"> (approved in May 2018)</w:t>
      </w:r>
      <w:r w:rsidR="006842C2">
        <w:t xml:space="preserve">, </w:t>
      </w:r>
      <w:r w:rsidR="00167DEB">
        <w:t>Argentina</w:t>
      </w:r>
      <w:r w:rsidR="006842C2">
        <w:t xml:space="preserve"> </w:t>
      </w:r>
      <w:r w:rsidR="00167DEB">
        <w:t xml:space="preserve">(approved on 16 May 2017) </w:t>
      </w:r>
      <w:r w:rsidR="006842C2">
        <w:t xml:space="preserve">and </w:t>
      </w:r>
      <w:r w:rsidR="00402FCC">
        <w:t>Israel</w:t>
      </w:r>
      <w:r w:rsidR="006842C2">
        <w:t xml:space="preserve"> (approved on </w:t>
      </w:r>
      <w:r w:rsidR="00167DEB">
        <w:t>31 January 2017)</w:t>
      </w:r>
      <w:r>
        <w:t>.</w:t>
      </w:r>
    </w:p>
    <w:p w14:paraId="56A95686" w14:textId="31BC5C0B" w:rsidR="00167DEB" w:rsidRDefault="00167DEB" w:rsidP="00006FAB">
      <w:r>
        <w:t xml:space="preserve">The approved indications in the EU and Switzerland are shown in </w:t>
      </w:r>
      <w:r>
        <w:fldChar w:fldCharType="begin"/>
      </w:r>
      <w:r>
        <w:instrText xml:space="preserve"> REF _Ref66467805 \h </w:instrText>
      </w:r>
      <w:r>
        <w:fldChar w:fldCharType="separate"/>
      </w:r>
      <w:r w:rsidR="005A7CFA">
        <w:t xml:space="preserve">Table </w:t>
      </w:r>
      <w:r w:rsidR="005A7CFA">
        <w:rPr>
          <w:noProof/>
        </w:rPr>
        <w:t>1</w:t>
      </w:r>
      <w:r>
        <w:fldChar w:fldCharType="end"/>
      </w:r>
      <w:r>
        <w:t>.</w:t>
      </w:r>
    </w:p>
    <w:p w14:paraId="396934C3" w14:textId="03B0CDF6" w:rsidR="00324E45" w:rsidRPr="00F0146F" w:rsidRDefault="00324E45" w:rsidP="00121618">
      <w:pPr>
        <w:pStyle w:val="TableTitle"/>
        <w:pageBreakBefore/>
      </w:pPr>
      <w:bookmarkStart w:id="23" w:name="_Ref66467805"/>
      <w:r>
        <w:lastRenderedPageBreak/>
        <w:t xml:space="preserve">Table </w:t>
      </w:r>
      <w:fldSimple w:instr=" SEQ Table \* ARABIC ">
        <w:r w:rsidR="005A7CFA">
          <w:rPr>
            <w:noProof/>
          </w:rPr>
          <w:t>1</w:t>
        </w:r>
      </w:fldSimple>
      <w:bookmarkEnd w:id="23"/>
      <w:r>
        <w:t xml:space="preserve">: </w:t>
      </w:r>
      <w:r w:rsidR="006842C2">
        <w:t>Approved indications in the European Union and Switzerland</w:t>
      </w:r>
    </w:p>
    <w:tbl>
      <w:tblPr>
        <w:tblStyle w:val="TableTGAblue"/>
        <w:tblW w:w="5000" w:type="pct"/>
        <w:tblLook w:val="04A0" w:firstRow="1" w:lastRow="0" w:firstColumn="1" w:lastColumn="0" w:noHBand="0" w:noVBand="1"/>
      </w:tblPr>
      <w:tblGrid>
        <w:gridCol w:w="1267"/>
        <w:gridCol w:w="1411"/>
        <w:gridCol w:w="6042"/>
      </w:tblGrid>
      <w:tr w:rsidR="006842C2" w:rsidRPr="00121618" w14:paraId="7457B4DE" w14:textId="77777777" w:rsidTr="00121618">
        <w:trPr>
          <w:cnfStyle w:val="100000000000" w:firstRow="1" w:lastRow="0" w:firstColumn="0" w:lastColumn="0" w:oddVBand="0" w:evenVBand="0" w:oddHBand="0" w:evenHBand="0" w:firstRowFirstColumn="0" w:firstRowLastColumn="0" w:lastRowFirstColumn="0" w:lastRowLastColumn="0"/>
        </w:trPr>
        <w:tc>
          <w:tcPr>
            <w:tcW w:w="712" w:type="pct"/>
            <w:tcBorders>
              <w:top w:val="single" w:sz="4" w:space="0" w:color="auto"/>
              <w:left w:val="single" w:sz="4" w:space="0" w:color="auto"/>
              <w:bottom w:val="single" w:sz="4" w:space="0" w:color="auto"/>
              <w:right w:val="single" w:sz="4" w:space="0" w:color="auto"/>
            </w:tcBorders>
          </w:tcPr>
          <w:p w14:paraId="1419EDC4" w14:textId="77777777" w:rsidR="006842C2" w:rsidRPr="00121618" w:rsidRDefault="006842C2" w:rsidP="005A7CFA">
            <w:pPr>
              <w:ind w:left="0" w:right="0"/>
              <w:rPr>
                <w:sz w:val="20"/>
                <w:szCs w:val="20"/>
              </w:rPr>
            </w:pPr>
            <w:r w:rsidRPr="00121618">
              <w:rPr>
                <w:sz w:val="20"/>
                <w:szCs w:val="20"/>
              </w:rPr>
              <w:t>Region</w:t>
            </w:r>
          </w:p>
        </w:tc>
        <w:tc>
          <w:tcPr>
            <w:tcW w:w="814" w:type="pct"/>
            <w:tcBorders>
              <w:top w:val="single" w:sz="4" w:space="0" w:color="auto"/>
              <w:left w:val="single" w:sz="4" w:space="0" w:color="auto"/>
              <w:bottom w:val="single" w:sz="4" w:space="0" w:color="auto"/>
              <w:right w:val="single" w:sz="4" w:space="0" w:color="auto"/>
            </w:tcBorders>
          </w:tcPr>
          <w:p w14:paraId="41C33246" w14:textId="77777777" w:rsidR="006842C2" w:rsidRPr="00121618" w:rsidRDefault="006842C2" w:rsidP="005A7CFA">
            <w:pPr>
              <w:ind w:left="0" w:right="0"/>
              <w:rPr>
                <w:sz w:val="20"/>
                <w:szCs w:val="20"/>
              </w:rPr>
            </w:pPr>
            <w:r w:rsidRPr="00121618">
              <w:rPr>
                <w:sz w:val="20"/>
                <w:szCs w:val="20"/>
              </w:rPr>
              <w:t>Status</w:t>
            </w:r>
          </w:p>
        </w:tc>
        <w:tc>
          <w:tcPr>
            <w:tcW w:w="3475" w:type="pct"/>
            <w:tcBorders>
              <w:top w:val="single" w:sz="4" w:space="0" w:color="auto"/>
              <w:left w:val="single" w:sz="4" w:space="0" w:color="auto"/>
              <w:bottom w:val="single" w:sz="4" w:space="0" w:color="auto"/>
              <w:right w:val="single" w:sz="4" w:space="0" w:color="auto"/>
            </w:tcBorders>
          </w:tcPr>
          <w:p w14:paraId="786C7880" w14:textId="77777777" w:rsidR="006842C2" w:rsidRPr="00121618" w:rsidRDefault="006842C2" w:rsidP="005A7CFA">
            <w:pPr>
              <w:ind w:left="0" w:right="0"/>
              <w:rPr>
                <w:sz w:val="20"/>
                <w:szCs w:val="20"/>
              </w:rPr>
            </w:pPr>
            <w:r w:rsidRPr="00121618">
              <w:rPr>
                <w:sz w:val="20"/>
                <w:szCs w:val="20"/>
              </w:rPr>
              <w:t>Approved indications</w:t>
            </w:r>
          </w:p>
        </w:tc>
      </w:tr>
      <w:tr w:rsidR="006842C2" w:rsidRPr="00121618" w14:paraId="335F9A57" w14:textId="77777777" w:rsidTr="00121618">
        <w:tc>
          <w:tcPr>
            <w:tcW w:w="712" w:type="pct"/>
          </w:tcPr>
          <w:p w14:paraId="2DB8B357" w14:textId="77777777" w:rsidR="006842C2" w:rsidRPr="00121618" w:rsidRDefault="006842C2" w:rsidP="00121618">
            <w:pPr>
              <w:ind w:left="0" w:right="0"/>
              <w:rPr>
                <w:sz w:val="20"/>
                <w:szCs w:val="20"/>
              </w:rPr>
            </w:pPr>
            <w:r w:rsidRPr="00121618">
              <w:rPr>
                <w:sz w:val="20"/>
                <w:szCs w:val="20"/>
              </w:rPr>
              <w:t>Switzerland</w:t>
            </w:r>
          </w:p>
        </w:tc>
        <w:tc>
          <w:tcPr>
            <w:tcW w:w="814" w:type="pct"/>
          </w:tcPr>
          <w:p w14:paraId="21C4D82A" w14:textId="6320FEFC" w:rsidR="006842C2" w:rsidRPr="00121618" w:rsidRDefault="00026810" w:rsidP="005A7CFA">
            <w:pPr>
              <w:keepNext/>
              <w:ind w:left="0" w:right="0"/>
              <w:rPr>
                <w:sz w:val="20"/>
                <w:szCs w:val="20"/>
              </w:rPr>
            </w:pPr>
            <w:r w:rsidRPr="00121618">
              <w:rPr>
                <w:sz w:val="20"/>
                <w:szCs w:val="20"/>
              </w:rPr>
              <w:t xml:space="preserve">Approved in </w:t>
            </w:r>
            <w:r w:rsidR="00167DEB" w:rsidRPr="00121618">
              <w:rPr>
                <w:sz w:val="20"/>
                <w:szCs w:val="20"/>
              </w:rPr>
              <w:t>May</w:t>
            </w:r>
            <w:r w:rsidRPr="00121618">
              <w:rPr>
                <w:sz w:val="20"/>
                <w:szCs w:val="20"/>
              </w:rPr>
              <w:t> </w:t>
            </w:r>
            <w:r w:rsidR="006842C2" w:rsidRPr="00121618">
              <w:rPr>
                <w:sz w:val="20"/>
                <w:szCs w:val="20"/>
              </w:rPr>
              <w:t>2018</w:t>
            </w:r>
          </w:p>
        </w:tc>
        <w:tc>
          <w:tcPr>
            <w:tcW w:w="3475" w:type="pct"/>
          </w:tcPr>
          <w:p w14:paraId="17A588A5" w14:textId="77777777" w:rsidR="006842C2" w:rsidRPr="00121618" w:rsidRDefault="006842C2" w:rsidP="005A7CFA">
            <w:pPr>
              <w:keepNext/>
              <w:ind w:left="0" w:right="0"/>
              <w:rPr>
                <w:i/>
                <w:sz w:val="20"/>
                <w:szCs w:val="20"/>
              </w:rPr>
            </w:pPr>
            <w:r w:rsidRPr="00121618">
              <w:rPr>
                <w:i/>
                <w:sz w:val="20"/>
                <w:szCs w:val="20"/>
              </w:rPr>
              <w:t>In women</w:t>
            </w:r>
          </w:p>
          <w:p w14:paraId="4477DD0F" w14:textId="77777777" w:rsidR="006842C2" w:rsidRPr="00121618" w:rsidRDefault="006842C2" w:rsidP="005A7CFA">
            <w:pPr>
              <w:keepNext/>
              <w:ind w:left="0" w:right="0"/>
              <w:rPr>
                <w:i/>
                <w:sz w:val="20"/>
                <w:szCs w:val="20"/>
              </w:rPr>
            </w:pPr>
            <w:r w:rsidRPr="00121618">
              <w:rPr>
                <w:i/>
                <w:sz w:val="20"/>
                <w:szCs w:val="20"/>
              </w:rPr>
              <w:t xml:space="preserve">a) Treatment with </w:t>
            </w:r>
            <w:proofErr w:type="spellStart"/>
            <w:r w:rsidRPr="00121618">
              <w:rPr>
                <w:i/>
                <w:sz w:val="20"/>
                <w:szCs w:val="20"/>
              </w:rPr>
              <w:t>Ovaleap</w:t>
            </w:r>
            <w:proofErr w:type="spellEnd"/>
            <w:r w:rsidRPr="00121618">
              <w:rPr>
                <w:i/>
                <w:sz w:val="20"/>
                <w:szCs w:val="20"/>
              </w:rPr>
              <w:t xml:space="preserve"> followed by ovulation by human chorionic gonadotropin (</w:t>
            </w:r>
            <w:proofErr w:type="spellStart"/>
            <w:r w:rsidRPr="00121618">
              <w:rPr>
                <w:i/>
                <w:sz w:val="20"/>
                <w:szCs w:val="20"/>
              </w:rPr>
              <w:t>hCG</w:t>
            </w:r>
            <w:proofErr w:type="spellEnd"/>
            <w:r w:rsidRPr="00121618">
              <w:rPr>
                <w:i/>
                <w:sz w:val="20"/>
                <w:szCs w:val="20"/>
              </w:rPr>
              <w:t xml:space="preserve">) is indicated for the stimulation of follicle growth and ovulation in women with hypothalamic-pituitary dysfunction who have </w:t>
            </w:r>
            <w:proofErr w:type="spellStart"/>
            <w:r w:rsidRPr="00121618">
              <w:rPr>
                <w:i/>
                <w:sz w:val="20"/>
                <w:szCs w:val="20"/>
              </w:rPr>
              <w:t>oligomenorrhea</w:t>
            </w:r>
            <w:proofErr w:type="spellEnd"/>
            <w:r w:rsidRPr="00121618">
              <w:rPr>
                <w:i/>
                <w:sz w:val="20"/>
                <w:szCs w:val="20"/>
              </w:rPr>
              <w:t xml:space="preserve"> or amenorrhea.</w:t>
            </w:r>
          </w:p>
          <w:p w14:paraId="45686E5A" w14:textId="77777777" w:rsidR="006842C2" w:rsidRPr="00121618" w:rsidRDefault="006842C2" w:rsidP="005A7CFA">
            <w:pPr>
              <w:keepNext/>
              <w:ind w:left="0" w:right="0"/>
              <w:rPr>
                <w:i/>
                <w:sz w:val="20"/>
                <w:szCs w:val="20"/>
              </w:rPr>
            </w:pPr>
            <w:r w:rsidRPr="00121618">
              <w:rPr>
                <w:i/>
                <w:sz w:val="20"/>
                <w:szCs w:val="20"/>
              </w:rPr>
              <w:t xml:space="preserve">These women are classified in WHO Group II. You are usually given clomiphene citrate as primary therapy. They have endogenous </w:t>
            </w:r>
            <w:proofErr w:type="spellStart"/>
            <w:r w:rsidRPr="00121618">
              <w:rPr>
                <w:i/>
                <w:sz w:val="20"/>
                <w:szCs w:val="20"/>
              </w:rPr>
              <w:t>estrogen</w:t>
            </w:r>
            <w:proofErr w:type="spellEnd"/>
            <w:r w:rsidRPr="00121618">
              <w:rPr>
                <w:i/>
                <w:sz w:val="20"/>
                <w:szCs w:val="20"/>
              </w:rPr>
              <w:t xml:space="preserve"> production and therefore menstruate either spontaneously or after progestogen administration.</w:t>
            </w:r>
          </w:p>
          <w:p w14:paraId="525E4DBB" w14:textId="77777777" w:rsidR="006842C2" w:rsidRPr="00121618" w:rsidRDefault="006842C2" w:rsidP="005A7CFA">
            <w:pPr>
              <w:keepNext/>
              <w:ind w:left="0" w:right="0"/>
              <w:rPr>
                <w:i/>
                <w:sz w:val="20"/>
                <w:szCs w:val="20"/>
              </w:rPr>
            </w:pPr>
            <w:r w:rsidRPr="00121618">
              <w:rPr>
                <w:i/>
                <w:sz w:val="20"/>
                <w:szCs w:val="20"/>
              </w:rPr>
              <w:t>Many of these patients have polycystic ovarian syndrome (PCOS). This syndrome is assigned to WHO Group II.</w:t>
            </w:r>
          </w:p>
          <w:p w14:paraId="06D8F360" w14:textId="77777777" w:rsidR="006842C2" w:rsidRPr="00121618" w:rsidRDefault="006842C2" w:rsidP="005A7CFA">
            <w:pPr>
              <w:keepNext/>
              <w:ind w:left="0" w:right="0"/>
              <w:rPr>
                <w:i/>
                <w:sz w:val="20"/>
                <w:szCs w:val="20"/>
              </w:rPr>
            </w:pPr>
            <w:r w:rsidRPr="00121618">
              <w:rPr>
                <w:i/>
                <w:sz w:val="20"/>
                <w:szCs w:val="20"/>
              </w:rPr>
              <w:t xml:space="preserve">b) </w:t>
            </w:r>
            <w:proofErr w:type="spellStart"/>
            <w:r w:rsidRPr="00121618">
              <w:rPr>
                <w:i/>
                <w:sz w:val="20"/>
                <w:szCs w:val="20"/>
              </w:rPr>
              <w:t>Ovaleap</w:t>
            </w:r>
            <w:proofErr w:type="spellEnd"/>
            <w:r w:rsidRPr="00121618">
              <w:rPr>
                <w:i/>
                <w:sz w:val="20"/>
                <w:szCs w:val="20"/>
              </w:rPr>
              <w:t xml:space="preserve"> is indicated for a targeted, </w:t>
            </w:r>
            <w:proofErr w:type="spellStart"/>
            <w:r w:rsidRPr="00121618">
              <w:rPr>
                <w:i/>
                <w:sz w:val="20"/>
                <w:szCs w:val="20"/>
              </w:rPr>
              <w:t>multifollicular</w:t>
            </w:r>
            <w:proofErr w:type="spellEnd"/>
            <w:r w:rsidRPr="00121618">
              <w:rPr>
                <w:i/>
                <w:sz w:val="20"/>
                <w:szCs w:val="20"/>
              </w:rPr>
              <w:t xml:space="preserve"> ovarian stimulation in women who participate in medically assisted reproduction programs such as in vitro fertilization (IVF), </w:t>
            </w:r>
            <w:proofErr w:type="spellStart"/>
            <w:r w:rsidRPr="00121618">
              <w:rPr>
                <w:i/>
                <w:sz w:val="20"/>
                <w:szCs w:val="20"/>
              </w:rPr>
              <w:t>intratubar</w:t>
            </w:r>
            <w:proofErr w:type="spellEnd"/>
            <w:r w:rsidRPr="00121618">
              <w:rPr>
                <w:i/>
                <w:sz w:val="20"/>
                <w:szCs w:val="20"/>
              </w:rPr>
              <w:t xml:space="preserve"> gamete transfer or </w:t>
            </w:r>
            <w:proofErr w:type="spellStart"/>
            <w:r w:rsidRPr="00121618">
              <w:rPr>
                <w:i/>
                <w:sz w:val="20"/>
                <w:szCs w:val="20"/>
              </w:rPr>
              <w:t>intratubar</w:t>
            </w:r>
            <w:proofErr w:type="spellEnd"/>
            <w:r w:rsidRPr="00121618">
              <w:rPr>
                <w:i/>
                <w:sz w:val="20"/>
                <w:szCs w:val="20"/>
              </w:rPr>
              <w:t xml:space="preserve"> zygote transfer.</w:t>
            </w:r>
          </w:p>
          <w:p w14:paraId="4BFD67B1" w14:textId="6A8F9BEA" w:rsidR="006842C2" w:rsidRPr="00121618" w:rsidRDefault="006842C2" w:rsidP="005A7CFA">
            <w:pPr>
              <w:keepNext/>
              <w:ind w:left="0" w:right="0"/>
              <w:rPr>
                <w:i/>
                <w:sz w:val="20"/>
                <w:szCs w:val="20"/>
              </w:rPr>
            </w:pPr>
            <w:r w:rsidRPr="00121618">
              <w:rPr>
                <w:i/>
                <w:sz w:val="20"/>
                <w:szCs w:val="20"/>
              </w:rPr>
              <w:t xml:space="preserve">c) </w:t>
            </w:r>
            <w:proofErr w:type="spellStart"/>
            <w:r w:rsidRPr="00121618">
              <w:rPr>
                <w:i/>
                <w:sz w:val="20"/>
                <w:szCs w:val="20"/>
              </w:rPr>
              <w:t>Ovaleap</w:t>
            </w:r>
            <w:proofErr w:type="spellEnd"/>
            <w:r w:rsidRPr="00121618">
              <w:rPr>
                <w:i/>
                <w:sz w:val="20"/>
                <w:szCs w:val="20"/>
              </w:rPr>
              <w:t xml:space="preserve"> is used together with a luteinizing hormone (LH) preparation to stimulate follicular maturation in women who are severely deficient in LH and FSH. In clinical studies, these patients were defined by an endog</w:t>
            </w:r>
            <w:r w:rsidR="00465CE9" w:rsidRPr="00121618">
              <w:rPr>
                <w:i/>
                <w:sz w:val="20"/>
                <w:szCs w:val="20"/>
              </w:rPr>
              <w:t>enous LH serum level &lt; 1.2 </w:t>
            </w:r>
            <w:r w:rsidRPr="00121618">
              <w:rPr>
                <w:i/>
                <w:sz w:val="20"/>
                <w:szCs w:val="20"/>
              </w:rPr>
              <w:t>IU/L.</w:t>
            </w:r>
          </w:p>
          <w:p w14:paraId="537FC585" w14:textId="77777777" w:rsidR="006842C2" w:rsidRPr="00121618" w:rsidRDefault="006842C2" w:rsidP="005A7CFA">
            <w:pPr>
              <w:keepNext/>
              <w:ind w:left="0" w:right="0"/>
              <w:rPr>
                <w:i/>
                <w:sz w:val="20"/>
                <w:szCs w:val="20"/>
              </w:rPr>
            </w:pPr>
            <w:r w:rsidRPr="00121618">
              <w:rPr>
                <w:i/>
                <w:sz w:val="20"/>
                <w:szCs w:val="20"/>
              </w:rPr>
              <w:t>In men</w:t>
            </w:r>
          </w:p>
          <w:p w14:paraId="67C95F73" w14:textId="77777777" w:rsidR="006842C2" w:rsidRPr="00121618" w:rsidRDefault="006842C2" w:rsidP="005A7CFA">
            <w:pPr>
              <w:keepNext/>
              <w:ind w:left="0" w:right="0"/>
              <w:rPr>
                <w:sz w:val="20"/>
                <w:szCs w:val="20"/>
              </w:rPr>
            </w:pPr>
            <w:proofErr w:type="spellStart"/>
            <w:r w:rsidRPr="00121618">
              <w:rPr>
                <w:i/>
                <w:sz w:val="20"/>
                <w:szCs w:val="20"/>
              </w:rPr>
              <w:t>Ovaleap</w:t>
            </w:r>
            <w:proofErr w:type="spellEnd"/>
            <w:r w:rsidRPr="00121618">
              <w:rPr>
                <w:i/>
                <w:sz w:val="20"/>
                <w:szCs w:val="20"/>
              </w:rPr>
              <w:t xml:space="preserve"> is used together with human chorionic gonadotropin to stimulate spermatogenesis in men who have congenital or acquired hypogonadotropic hypogonadism.</w:t>
            </w:r>
          </w:p>
        </w:tc>
      </w:tr>
      <w:tr w:rsidR="00C01F54" w:rsidRPr="00121618" w14:paraId="5238784B" w14:textId="77777777" w:rsidTr="00121618">
        <w:tc>
          <w:tcPr>
            <w:tcW w:w="712" w:type="pct"/>
          </w:tcPr>
          <w:p w14:paraId="6C4F6A7F" w14:textId="77777777" w:rsidR="00C01F54" w:rsidRPr="00121618" w:rsidRDefault="00C01F54" w:rsidP="00121618">
            <w:pPr>
              <w:ind w:left="0" w:right="0"/>
              <w:rPr>
                <w:sz w:val="20"/>
                <w:szCs w:val="20"/>
              </w:rPr>
            </w:pPr>
            <w:r w:rsidRPr="00121618">
              <w:rPr>
                <w:sz w:val="20"/>
                <w:szCs w:val="20"/>
              </w:rPr>
              <w:t>EU</w:t>
            </w:r>
          </w:p>
          <w:p w14:paraId="29E4BD94" w14:textId="3DB581F3" w:rsidR="00C01F54" w:rsidRPr="00121618" w:rsidRDefault="00C01F54" w:rsidP="00465CE9">
            <w:pPr>
              <w:keepNext/>
              <w:pageBreakBefore/>
              <w:ind w:left="0" w:right="0"/>
              <w:rPr>
                <w:sz w:val="20"/>
                <w:szCs w:val="20"/>
              </w:rPr>
            </w:pPr>
            <w:r w:rsidRPr="00121618">
              <w:rPr>
                <w:sz w:val="20"/>
                <w:szCs w:val="20"/>
              </w:rPr>
              <w:t>(Centralised Procedure)</w:t>
            </w:r>
          </w:p>
        </w:tc>
        <w:tc>
          <w:tcPr>
            <w:tcW w:w="814" w:type="pct"/>
          </w:tcPr>
          <w:p w14:paraId="474991F5" w14:textId="77470BD5" w:rsidR="00C01F54" w:rsidRPr="00121618" w:rsidRDefault="00C01F54" w:rsidP="005A7CFA">
            <w:pPr>
              <w:keepNext/>
              <w:pageBreakBefore/>
              <w:ind w:left="0" w:right="0"/>
              <w:rPr>
                <w:sz w:val="20"/>
                <w:szCs w:val="20"/>
              </w:rPr>
            </w:pPr>
            <w:r w:rsidRPr="00121618">
              <w:rPr>
                <w:sz w:val="20"/>
                <w:szCs w:val="20"/>
              </w:rPr>
              <w:t>Approved on 27 September 2013</w:t>
            </w:r>
          </w:p>
        </w:tc>
        <w:tc>
          <w:tcPr>
            <w:tcW w:w="3475" w:type="pct"/>
          </w:tcPr>
          <w:p w14:paraId="7B9DF24C" w14:textId="77777777" w:rsidR="00C01F54" w:rsidRPr="00121618" w:rsidRDefault="00C01F54" w:rsidP="005A7CFA">
            <w:pPr>
              <w:keepNext/>
              <w:pageBreakBefore/>
              <w:ind w:left="0" w:right="0"/>
              <w:rPr>
                <w:i/>
                <w:sz w:val="20"/>
                <w:szCs w:val="20"/>
              </w:rPr>
            </w:pPr>
            <w:r w:rsidRPr="00121618">
              <w:rPr>
                <w:i/>
                <w:sz w:val="20"/>
                <w:szCs w:val="20"/>
              </w:rPr>
              <w:t>In adult women</w:t>
            </w:r>
          </w:p>
          <w:p w14:paraId="75653AA1" w14:textId="77777777" w:rsidR="00C01F54" w:rsidRPr="00121618" w:rsidRDefault="00C01F54" w:rsidP="005A7CFA">
            <w:pPr>
              <w:pStyle w:val="ListBullet"/>
              <w:keepNext/>
              <w:pageBreakBefore/>
              <w:numPr>
                <w:ilvl w:val="0"/>
                <w:numId w:val="3"/>
              </w:numPr>
              <w:rPr>
                <w:i/>
                <w:sz w:val="20"/>
                <w:szCs w:val="20"/>
              </w:rPr>
            </w:pPr>
            <w:r w:rsidRPr="00121618">
              <w:rPr>
                <w:i/>
                <w:sz w:val="20"/>
                <w:szCs w:val="20"/>
              </w:rPr>
              <w:t xml:space="preserve">Anovulation (including polycystic ovarian syndrome) in women who have been unresponsive to treatment with </w:t>
            </w:r>
            <w:proofErr w:type="spellStart"/>
            <w:r w:rsidRPr="00121618">
              <w:rPr>
                <w:i/>
                <w:sz w:val="20"/>
                <w:szCs w:val="20"/>
              </w:rPr>
              <w:t>clomifene</w:t>
            </w:r>
            <w:proofErr w:type="spellEnd"/>
            <w:r w:rsidRPr="00121618">
              <w:rPr>
                <w:i/>
                <w:sz w:val="20"/>
                <w:szCs w:val="20"/>
              </w:rPr>
              <w:t xml:space="preserve"> citrate.</w:t>
            </w:r>
          </w:p>
          <w:p w14:paraId="4787176B" w14:textId="77777777" w:rsidR="00C01F54" w:rsidRPr="00121618" w:rsidRDefault="00C01F54" w:rsidP="005A7CFA">
            <w:pPr>
              <w:pStyle w:val="ListBullet"/>
              <w:keepNext/>
              <w:pageBreakBefore/>
              <w:numPr>
                <w:ilvl w:val="0"/>
                <w:numId w:val="3"/>
              </w:numPr>
              <w:rPr>
                <w:i/>
                <w:sz w:val="20"/>
                <w:szCs w:val="20"/>
              </w:rPr>
            </w:pPr>
            <w:r w:rsidRPr="00121618">
              <w:rPr>
                <w:i/>
                <w:sz w:val="20"/>
                <w:szCs w:val="20"/>
              </w:rPr>
              <w:t xml:space="preserve">Stimulation of </w:t>
            </w:r>
            <w:proofErr w:type="spellStart"/>
            <w:r w:rsidRPr="00121618">
              <w:rPr>
                <w:i/>
                <w:sz w:val="20"/>
                <w:szCs w:val="20"/>
              </w:rPr>
              <w:t>multifollicular</w:t>
            </w:r>
            <w:proofErr w:type="spellEnd"/>
            <w:r w:rsidRPr="00121618">
              <w:rPr>
                <w:i/>
                <w:sz w:val="20"/>
                <w:szCs w:val="20"/>
              </w:rPr>
              <w:t xml:space="preserve"> development in women undergoing superovulation for assisted reproductive technologies (ART) such as in vitro fertilisation (IVF), gamete intra-fallopian transfer and zygote intra-fallopian transfer.</w:t>
            </w:r>
          </w:p>
          <w:p w14:paraId="249A3120" w14:textId="77777777" w:rsidR="00C01F54" w:rsidRPr="00121618" w:rsidRDefault="00C01F54" w:rsidP="005A7CFA">
            <w:pPr>
              <w:pStyle w:val="ListBullet"/>
              <w:keepNext/>
              <w:pageBreakBefore/>
              <w:numPr>
                <w:ilvl w:val="0"/>
                <w:numId w:val="3"/>
              </w:numPr>
              <w:rPr>
                <w:i/>
                <w:sz w:val="20"/>
                <w:szCs w:val="20"/>
              </w:rPr>
            </w:pPr>
            <w:proofErr w:type="spellStart"/>
            <w:r w:rsidRPr="00121618">
              <w:rPr>
                <w:i/>
                <w:sz w:val="20"/>
                <w:szCs w:val="20"/>
              </w:rPr>
              <w:t>Ovaleap</w:t>
            </w:r>
            <w:proofErr w:type="spellEnd"/>
            <w:r w:rsidRPr="00121618">
              <w:rPr>
                <w:i/>
                <w:sz w:val="20"/>
                <w:szCs w:val="20"/>
              </w:rPr>
              <w:t xml:space="preserve"> in association with a luteinising hormone (LH) preparation is recommended for the stimulation of follicular development in women with severe LH and FSH deficiency. In clinical trials these patients were defined by an endogenous serum LH level &lt; 1.2 IU/L.</w:t>
            </w:r>
          </w:p>
          <w:p w14:paraId="4A5B5684" w14:textId="77777777" w:rsidR="00C01F54" w:rsidRPr="00121618" w:rsidRDefault="00C01F54" w:rsidP="005A7CFA">
            <w:pPr>
              <w:keepNext/>
              <w:pageBreakBefore/>
              <w:ind w:left="0" w:right="0"/>
              <w:rPr>
                <w:i/>
                <w:sz w:val="20"/>
                <w:szCs w:val="20"/>
              </w:rPr>
            </w:pPr>
            <w:r w:rsidRPr="00121618">
              <w:rPr>
                <w:i/>
                <w:sz w:val="20"/>
                <w:szCs w:val="20"/>
              </w:rPr>
              <w:t>In adult men</w:t>
            </w:r>
          </w:p>
          <w:p w14:paraId="6C7150DF" w14:textId="2D12E124" w:rsidR="00C01F54" w:rsidRPr="00121618" w:rsidRDefault="00C01F54" w:rsidP="005A7CFA">
            <w:pPr>
              <w:keepNext/>
              <w:pageBreakBefore/>
              <w:rPr>
                <w:i/>
                <w:sz w:val="20"/>
                <w:szCs w:val="20"/>
              </w:rPr>
            </w:pPr>
            <w:proofErr w:type="spellStart"/>
            <w:r w:rsidRPr="00121618">
              <w:rPr>
                <w:i/>
                <w:sz w:val="20"/>
                <w:szCs w:val="20"/>
              </w:rPr>
              <w:t>Ovaleap</w:t>
            </w:r>
            <w:proofErr w:type="spellEnd"/>
            <w:r w:rsidRPr="00121618">
              <w:rPr>
                <w:i/>
                <w:sz w:val="20"/>
                <w:szCs w:val="20"/>
              </w:rPr>
              <w:t xml:space="preserve"> is indicated for the stimulation of spermatogenesis in men who have congenital or acquired hypogonadotropic hypogonadism with concomitant human chorionic gonadotropin (</w:t>
            </w:r>
            <w:proofErr w:type="spellStart"/>
            <w:r w:rsidRPr="00121618">
              <w:rPr>
                <w:i/>
                <w:sz w:val="20"/>
                <w:szCs w:val="20"/>
              </w:rPr>
              <w:t>hCG</w:t>
            </w:r>
            <w:proofErr w:type="spellEnd"/>
            <w:r w:rsidRPr="00121618">
              <w:rPr>
                <w:i/>
                <w:sz w:val="20"/>
                <w:szCs w:val="20"/>
              </w:rPr>
              <w:t>) therapy.</w:t>
            </w:r>
          </w:p>
        </w:tc>
      </w:tr>
    </w:tbl>
    <w:p w14:paraId="75B0D418" w14:textId="77777777" w:rsidR="008E7846" w:rsidRDefault="008E7846" w:rsidP="00940A89">
      <w:pPr>
        <w:pStyle w:val="Heading3"/>
      </w:pPr>
      <w:bookmarkStart w:id="24" w:name="_Toc72314032"/>
      <w:r>
        <w:lastRenderedPageBreak/>
        <w:t>Product Information</w:t>
      </w:r>
      <w:bookmarkEnd w:id="21"/>
      <w:bookmarkEnd w:id="22"/>
      <w:bookmarkEnd w:id="24"/>
    </w:p>
    <w:p w14:paraId="1BC58A6B" w14:textId="59FE9F76" w:rsidR="00940A89" w:rsidRDefault="006136D7" w:rsidP="00940A89">
      <w:bookmarkStart w:id="25" w:name="_Toc247691506"/>
      <w:bookmarkStart w:id="26"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045BDB5B" w14:textId="77777777" w:rsidR="00500337" w:rsidRDefault="00500337" w:rsidP="005A7CFA">
      <w:pPr>
        <w:pStyle w:val="Heading2"/>
      </w:pPr>
      <w:bookmarkStart w:id="27" w:name="_Toc504480011"/>
      <w:bookmarkStart w:id="28" w:name="_Toc72314033"/>
      <w:r>
        <w:t>II. Registration timeline</w:t>
      </w:r>
      <w:bookmarkEnd w:id="27"/>
      <w:bookmarkEnd w:id="28"/>
    </w:p>
    <w:p w14:paraId="52FAD32D" w14:textId="77777777" w:rsidR="00500337" w:rsidRDefault="00500337" w:rsidP="005A7CFA">
      <w:pPr>
        <w:keepNext/>
      </w:pPr>
      <w:r>
        <w:t>The following table captures the key steps and dates for this application and which are detailed and discussed in this AusPAR.</w:t>
      </w:r>
    </w:p>
    <w:p w14:paraId="7B844A1F" w14:textId="11EEA987" w:rsidR="00500337" w:rsidRPr="00377BD4" w:rsidRDefault="00AB018C" w:rsidP="00AB018C">
      <w:pPr>
        <w:pStyle w:val="TableTitle"/>
      </w:pPr>
      <w:r>
        <w:t xml:space="preserve">Table </w:t>
      </w:r>
      <w:fldSimple w:instr=" SEQ Table \* ARABIC ">
        <w:r w:rsidR="005A7CFA">
          <w:rPr>
            <w:noProof/>
          </w:rPr>
          <w:t>2</w:t>
        </w:r>
      </w:fldSimple>
      <w:r w:rsidR="00006FAB">
        <w:t>:</w:t>
      </w:r>
      <w:r w:rsidR="006A58A8" w:rsidRPr="006A58A8">
        <w:t xml:space="preserve"> Timeline for Submission </w:t>
      </w:r>
      <w:r w:rsidRPr="00AB018C">
        <w:t>PM-2019-05982-1-5</w:t>
      </w:r>
    </w:p>
    <w:tbl>
      <w:tblPr>
        <w:tblStyle w:val="TableTGAblue"/>
        <w:tblW w:w="0" w:type="auto"/>
        <w:tblLook w:val="04A0" w:firstRow="1" w:lastRow="0" w:firstColumn="1" w:lastColumn="0" w:noHBand="0" w:noVBand="1"/>
      </w:tblPr>
      <w:tblGrid>
        <w:gridCol w:w="6487"/>
        <w:gridCol w:w="2233"/>
      </w:tblGrid>
      <w:tr w:rsidR="00500337" w14:paraId="4735B524" w14:textId="77777777" w:rsidTr="00121618">
        <w:trPr>
          <w:cnfStyle w:val="100000000000" w:firstRow="1" w:lastRow="0" w:firstColumn="0" w:lastColumn="0" w:oddVBand="0" w:evenVBand="0" w:oddHBand="0" w:evenHBand="0" w:firstRowFirstColumn="0" w:firstRowLastColumn="0" w:lastRowFirstColumn="0" w:lastRowLastColumn="0"/>
          <w:cantSplit/>
        </w:trPr>
        <w:tc>
          <w:tcPr>
            <w:tcW w:w="6487" w:type="dxa"/>
            <w:tcBorders>
              <w:top w:val="single" w:sz="4" w:space="0" w:color="auto"/>
              <w:left w:val="single" w:sz="4" w:space="0" w:color="auto"/>
              <w:bottom w:val="single" w:sz="4" w:space="0" w:color="auto"/>
              <w:right w:val="single" w:sz="4" w:space="0" w:color="auto"/>
            </w:tcBorders>
          </w:tcPr>
          <w:p w14:paraId="1D1C933B" w14:textId="77777777" w:rsidR="00500337" w:rsidRDefault="00500337" w:rsidP="00B32BE0">
            <w:pPr>
              <w:ind w:left="0" w:right="0"/>
            </w:pPr>
            <w:r>
              <w:t>Description</w:t>
            </w:r>
          </w:p>
        </w:tc>
        <w:tc>
          <w:tcPr>
            <w:tcW w:w="2233" w:type="dxa"/>
            <w:tcBorders>
              <w:top w:val="single" w:sz="4" w:space="0" w:color="auto"/>
              <w:left w:val="single" w:sz="4" w:space="0" w:color="auto"/>
              <w:bottom w:val="single" w:sz="4" w:space="0" w:color="auto"/>
              <w:right w:val="single" w:sz="4" w:space="0" w:color="auto"/>
            </w:tcBorders>
          </w:tcPr>
          <w:p w14:paraId="6C48FD99" w14:textId="77777777" w:rsidR="00500337" w:rsidRDefault="00500337" w:rsidP="00B32BE0">
            <w:pPr>
              <w:ind w:left="0" w:right="0"/>
            </w:pPr>
            <w:r>
              <w:t>Date</w:t>
            </w:r>
          </w:p>
        </w:tc>
      </w:tr>
      <w:tr w:rsidR="00AB018C" w14:paraId="51669E6A" w14:textId="77777777" w:rsidTr="00121618">
        <w:tc>
          <w:tcPr>
            <w:tcW w:w="6487" w:type="dxa"/>
            <w:tcBorders>
              <w:top w:val="single" w:sz="4" w:space="0" w:color="auto"/>
            </w:tcBorders>
          </w:tcPr>
          <w:p w14:paraId="727308E8" w14:textId="77777777" w:rsidR="00AB018C" w:rsidRDefault="00AB018C" w:rsidP="00121618">
            <w:pPr>
              <w:ind w:left="0" w:right="0"/>
            </w:pPr>
            <w:r>
              <w:t>Submission dossier accepted and first round evaluation commenced</w:t>
            </w:r>
          </w:p>
        </w:tc>
        <w:tc>
          <w:tcPr>
            <w:tcW w:w="2233" w:type="dxa"/>
            <w:tcBorders>
              <w:top w:val="single" w:sz="4" w:space="0" w:color="auto"/>
            </w:tcBorders>
          </w:tcPr>
          <w:p w14:paraId="42299C86" w14:textId="77777777" w:rsidR="00AB018C" w:rsidRPr="008A62CA" w:rsidRDefault="00AB018C" w:rsidP="00B32BE0">
            <w:pPr>
              <w:keepNext/>
              <w:ind w:left="0"/>
            </w:pPr>
            <w:r w:rsidRPr="008A62CA">
              <w:t>31 January 2020</w:t>
            </w:r>
          </w:p>
        </w:tc>
      </w:tr>
      <w:tr w:rsidR="00AB018C" w14:paraId="590572BE" w14:textId="77777777" w:rsidTr="00121618">
        <w:tc>
          <w:tcPr>
            <w:tcW w:w="6487" w:type="dxa"/>
          </w:tcPr>
          <w:p w14:paraId="68D82B43" w14:textId="77777777" w:rsidR="00AB018C" w:rsidRDefault="00AB018C" w:rsidP="00121618">
            <w:pPr>
              <w:ind w:left="0" w:right="0"/>
            </w:pPr>
            <w:r>
              <w:t>First round evaluation completed</w:t>
            </w:r>
          </w:p>
        </w:tc>
        <w:tc>
          <w:tcPr>
            <w:tcW w:w="2233" w:type="dxa"/>
          </w:tcPr>
          <w:p w14:paraId="4800929D" w14:textId="77777777" w:rsidR="00AB018C" w:rsidRPr="008A62CA" w:rsidRDefault="00AB018C" w:rsidP="00B32BE0">
            <w:pPr>
              <w:keepNext/>
              <w:ind w:left="0"/>
            </w:pPr>
            <w:r w:rsidRPr="008A62CA">
              <w:t>30 June 2020</w:t>
            </w:r>
          </w:p>
        </w:tc>
      </w:tr>
      <w:tr w:rsidR="00AB018C" w14:paraId="3FB43744" w14:textId="77777777" w:rsidTr="00121618">
        <w:tc>
          <w:tcPr>
            <w:tcW w:w="6487" w:type="dxa"/>
          </w:tcPr>
          <w:p w14:paraId="410FB778" w14:textId="77777777" w:rsidR="00AB018C" w:rsidRDefault="00AB018C" w:rsidP="00121618">
            <w:pPr>
              <w:ind w:left="0" w:right="0"/>
            </w:pPr>
            <w:r>
              <w:t>Sponsor provides responses on questions raised in first round evaluation</w:t>
            </w:r>
          </w:p>
        </w:tc>
        <w:tc>
          <w:tcPr>
            <w:tcW w:w="2233" w:type="dxa"/>
          </w:tcPr>
          <w:p w14:paraId="12FE4546" w14:textId="77777777" w:rsidR="00AB018C" w:rsidRPr="008A62CA" w:rsidRDefault="00AB018C" w:rsidP="00B32BE0">
            <w:pPr>
              <w:keepNext/>
              <w:ind w:left="0"/>
            </w:pPr>
            <w:r w:rsidRPr="008A62CA">
              <w:t>4 September 2020</w:t>
            </w:r>
          </w:p>
        </w:tc>
      </w:tr>
      <w:tr w:rsidR="00AB018C" w14:paraId="4613486A" w14:textId="77777777" w:rsidTr="00121618">
        <w:tc>
          <w:tcPr>
            <w:tcW w:w="6487" w:type="dxa"/>
          </w:tcPr>
          <w:p w14:paraId="7FB90550" w14:textId="77777777" w:rsidR="00AB018C" w:rsidRDefault="00AB018C" w:rsidP="00121618">
            <w:pPr>
              <w:ind w:left="0" w:right="0"/>
            </w:pPr>
            <w:r>
              <w:t>Second round evaluation completed</w:t>
            </w:r>
          </w:p>
        </w:tc>
        <w:tc>
          <w:tcPr>
            <w:tcW w:w="2233" w:type="dxa"/>
          </w:tcPr>
          <w:p w14:paraId="780DD78E" w14:textId="77777777" w:rsidR="00AB018C" w:rsidRPr="008A62CA" w:rsidRDefault="00AB018C" w:rsidP="00B32BE0">
            <w:pPr>
              <w:keepNext/>
              <w:ind w:left="0"/>
            </w:pPr>
            <w:r w:rsidRPr="008A62CA">
              <w:t>1 October 2020</w:t>
            </w:r>
          </w:p>
        </w:tc>
      </w:tr>
      <w:tr w:rsidR="00AB018C" w14:paraId="23921C37" w14:textId="77777777" w:rsidTr="00121618">
        <w:tc>
          <w:tcPr>
            <w:tcW w:w="6487" w:type="dxa"/>
          </w:tcPr>
          <w:p w14:paraId="6CCDDEA6" w14:textId="77777777" w:rsidR="00AB018C" w:rsidRDefault="00AB018C" w:rsidP="00121618">
            <w:pPr>
              <w:ind w:left="0" w:right="0"/>
            </w:pPr>
            <w:r>
              <w:t>Delegate’s Overall benefit-risk assessment</w:t>
            </w:r>
          </w:p>
        </w:tc>
        <w:tc>
          <w:tcPr>
            <w:tcW w:w="2233" w:type="dxa"/>
          </w:tcPr>
          <w:p w14:paraId="30E385D5" w14:textId="77777777" w:rsidR="00AB018C" w:rsidRPr="008A62CA" w:rsidRDefault="00AB018C" w:rsidP="00B32BE0">
            <w:pPr>
              <w:keepNext/>
              <w:ind w:left="0"/>
            </w:pPr>
            <w:r w:rsidRPr="008A62CA">
              <w:t>23 January 2021</w:t>
            </w:r>
          </w:p>
        </w:tc>
      </w:tr>
      <w:tr w:rsidR="00AB018C" w14:paraId="21647AEB" w14:textId="77777777" w:rsidTr="00121618">
        <w:tc>
          <w:tcPr>
            <w:tcW w:w="6487" w:type="dxa"/>
          </w:tcPr>
          <w:p w14:paraId="375129AC" w14:textId="77777777" w:rsidR="00AB018C" w:rsidRDefault="00AB018C" w:rsidP="00121618">
            <w:pPr>
              <w:ind w:left="0" w:right="0"/>
            </w:pPr>
            <w:r>
              <w:t>Sponsor’s pre-Advisory Committee response</w:t>
            </w:r>
          </w:p>
        </w:tc>
        <w:tc>
          <w:tcPr>
            <w:tcW w:w="2233" w:type="dxa"/>
          </w:tcPr>
          <w:p w14:paraId="3FB86E19" w14:textId="77777777" w:rsidR="00AB018C" w:rsidRPr="008A62CA" w:rsidRDefault="00AB018C" w:rsidP="00B32BE0">
            <w:pPr>
              <w:keepNext/>
              <w:ind w:left="0"/>
            </w:pPr>
            <w:r w:rsidRPr="008A62CA">
              <w:t>Not applicable</w:t>
            </w:r>
          </w:p>
        </w:tc>
      </w:tr>
      <w:tr w:rsidR="00AB018C" w14:paraId="78B8C011" w14:textId="77777777" w:rsidTr="00121618">
        <w:tc>
          <w:tcPr>
            <w:tcW w:w="6487" w:type="dxa"/>
          </w:tcPr>
          <w:p w14:paraId="26CC47F0" w14:textId="77777777" w:rsidR="00AB018C" w:rsidRDefault="00AB018C" w:rsidP="00121618">
            <w:pPr>
              <w:ind w:left="0" w:right="0"/>
            </w:pPr>
            <w:r>
              <w:t>Advisory Committee meeting</w:t>
            </w:r>
          </w:p>
        </w:tc>
        <w:tc>
          <w:tcPr>
            <w:tcW w:w="2233" w:type="dxa"/>
          </w:tcPr>
          <w:p w14:paraId="05F08F5E" w14:textId="77777777" w:rsidR="00AB018C" w:rsidRPr="008A62CA" w:rsidRDefault="00AB018C" w:rsidP="00B32BE0">
            <w:pPr>
              <w:keepNext/>
              <w:ind w:left="0"/>
            </w:pPr>
            <w:r w:rsidRPr="008A62CA">
              <w:t>Not applicable</w:t>
            </w:r>
          </w:p>
        </w:tc>
      </w:tr>
      <w:tr w:rsidR="00AB018C" w14:paraId="14BC540E" w14:textId="77777777" w:rsidTr="00121618">
        <w:tc>
          <w:tcPr>
            <w:tcW w:w="6487" w:type="dxa"/>
          </w:tcPr>
          <w:p w14:paraId="62AD51D9" w14:textId="77777777" w:rsidR="00AB018C" w:rsidRDefault="00AB018C" w:rsidP="00121618">
            <w:pPr>
              <w:ind w:left="0" w:right="0"/>
            </w:pPr>
            <w:r>
              <w:t>Registration decision (Outcome)</w:t>
            </w:r>
          </w:p>
        </w:tc>
        <w:tc>
          <w:tcPr>
            <w:tcW w:w="2233" w:type="dxa"/>
          </w:tcPr>
          <w:p w14:paraId="2E29CD79" w14:textId="77777777" w:rsidR="00AB018C" w:rsidRPr="008A62CA" w:rsidRDefault="00AB018C" w:rsidP="00B32BE0">
            <w:pPr>
              <w:keepNext/>
              <w:ind w:left="0"/>
            </w:pPr>
            <w:r w:rsidRPr="008A62CA">
              <w:t>9 March 2021</w:t>
            </w:r>
          </w:p>
        </w:tc>
      </w:tr>
      <w:tr w:rsidR="00AB018C" w14:paraId="2BF9FAFA" w14:textId="77777777" w:rsidTr="00121618">
        <w:tc>
          <w:tcPr>
            <w:tcW w:w="6487" w:type="dxa"/>
          </w:tcPr>
          <w:p w14:paraId="17F1604D" w14:textId="77777777" w:rsidR="00AB018C" w:rsidRDefault="00AB018C" w:rsidP="00121618">
            <w:pPr>
              <w:ind w:left="0" w:right="0"/>
            </w:pPr>
            <w:r>
              <w:t>Completion of administrative activities and registration on the ARTG</w:t>
            </w:r>
          </w:p>
        </w:tc>
        <w:tc>
          <w:tcPr>
            <w:tcW w:w="2233" w:type="dxa"/>
          </w:tcPr>
          <w:p w14:paraId="22081AD4" w14:textId="77777777" w:rsidR="00AB018C" w:rsidRPr="008A62CA" w:rsidRDefault="00AB018C" w:rsidP="00B32BE0">
            <w:pPr>
              <w:keepNext/>
              <w:ind w:left="0"/>
            </w:pPr>
            <w:r w:rsidRPr="008A62CA">
              <w:t>10 March 2021</w:t>
            </w:r>
          </w:p>
        </w:tc>
      </w:tr>
      <w:tr w:rsidR="00AB018C" w14:paraId="74B02CAB" w14:textId="77777777" w:rsidTr="00121618">
        <w:tc>
          <w:tcPr>
            <w:tcW w:w="6487" w:type="dxa"/>
          </w:tcPr>
          <w:p w14:paraId="301E18FF" w14:textId="77777777" w:rsidR="00AB018C" w:rsidRDefault="00AB018C" w:rsidP="00121618">
            <w:pPr>
              <w:ind w:left="0" w:right="0"/>
            </w:pPr>
            <w:r>
              <w:t>Number of working days from submission dossier acceptance to registration decision*</w:t>
            </w:r>
          </w:p>
        </w:tc>
        <w:tc>
          <w:tcPr>
            <w:tcW w:w="2233" w:type="dxa"/>
          </w:tcPr>
          <w:p w14:paraId="0DB1AFC1" w14:textId="77777777" w:rsidR="00AB018C" w:rsidRDefault="00AB018C" w:rsidP="00B32BE0">
            <w:pPr>
              <w:keepNext/>
              <w:ind w:left="0"/>
            </w:pPr>
            <w:r w:rsidRPr="008A62CA">
              <w:t>187</w:t>
            </w:r>
          </w:p>
        </w:tc>
      </w:tr>
    </w:tbl>
    <w:p w14:paraId="25AE86BF"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33741325" w14:textId="77777777" w:rsidR="008E7846" w:rsidRPr="00792A32" w:rsidRDefault="00456765" w:rsidP="008E7846">
      <w:pPr>
        <w:pStyle w:val="Heading2"/>
      </w:pPr>
      <w:bookmarkStart w:id="29" w:name="_Toc196046504"/>
      <w:bookmarkStart w:id="30" w:name="_Toc247691527"/>
      <w:bookmarkStart w:id="31" w:name="_Toc314842510"/>
      <w:bookmarkStart w:id="32" w:name="_Toc163441390"/>
      <w:bookmarkStart w:id="33" w:name="_Toc72314034"/>
      <w:bookmarkEnd w:id="25"/>
      <w:bookmarkEnd w:id="26"/>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9"/>
      <w:bookmarkEnd w:id="30"/>
      <w:bookmarkEnd w:id="31"/>
      <w:bookmarkEnd w:id="33"/>
    </w:p>
    <w:p w14:paraId="070F5068" w14:textId="77777777" w:rsidR="00006FAB" w:rsidRDefault="00006FAB" w:rsidP="00006FAB">
      <w:bookmarkStart w:id="34" w:name="_Toc247691528"/>
      <w:r>
        <w:t>The submission was summarised in the following Delegate’s overview and recommendations.</w:t>
      </w:r>
    </w:p>
    <w:p w14:paraId="718C50B6" w14:textId="77777777" w:rsidR="008E7846" w:rsidRDefault="008E7846" w:rsidP="008E7846">
      <w:pPr>
        <w:pStyle w:val="Heading3"/>
      </w:pPr>
      <w:bookmarkStart w:id="35" w:name="_Toc314842511"/>
      <w:bookmarkStart w:id="36" w:name="_Toc72314035"/>
      <w:r>
        <w:t>Quality</w:t>
      </w:r>
      <w:bookmarkEnd w:id="34"/>
      <w:bookmarkEnd w:id="35"/>
      <w:bookmarkEnd w:id="36"/>
    </w:p>
    <w:p w14:paraId="2F015965" w14:textId="4B4C9454" w:rsidR="00167DEB" w:rsidRDefault="00167DEB" w:rsidP="00167DEB">
      <w:r>
        <w:rPr>
          <w:rFonts w:asciiTheme="minorHAnsi" w:hAnsiTheme="minorHAnsi"/>
        </w:rPr>
        <w:t xml:space="preserve">The </w:t>
      </w:r>
      <w:r w:rsidR="004674F0">
        <w:rPr>
          <w:rFonts w:asciiTheme="minorHAnsi" w:hAnsiTheme="minorHAnsi"/>
        </w:rPr>
        <w:t>quality</w:t>
      </w:r>
      <w:r>
        <w:rPr>
          <w:rFonts w:asciiTheme="minorHAnsi" w:hAnsiTheme="minorHAnsi"/>
        </w:rPr>
        <w:t xml:space="preserve"> evaluator had no </w:t>
      </w:r>
      <w:r w:rsidRPr="00D91190">
        <w:rPr>
          <w:rFonts w:asciiTheme="minorHAnsi" w:hAnsiTheme="minorHAnsi"/>
        </w:rPr>
        <w:t xml:space="preserve">objections </w:t>
      </w:r>
      <w:r>
        <w:rPr>
          <w:rFonts w:asciiTheme="minorHAnsi" w:hAnsiTheme="minorHAnsi"/>
        </w:rPr>
        <w:t xml:space="preserve">to the registration of </w:t>
      </w:r>
      <w:proofErr w:type="spellStart"/>
      <w:r w:rsidR="00626892">
        <w:rPr>
          <w:rFonts w:asciiTheme="minorHAnsi" w:hAnsiTheme="minorHAnsi"/>
        </w:rPr>
        <w:t>Ovaleap</w:t>
      </w:r>
      <w:proofErr w:type="spellEnd"/>
      <w:r>
        <w:rPr>
          <w:rFonts w:asciiTheme="minorHAnsi" w:hAnsiTheme="minorHAnsi"/>
        </w:rPr>
        <w:t xml:space="preserve"> </w:t>
      </w:r>
      <w:r w:rsidRPr="00D91190">
        <w:rPr>
          <w:rFonts w:asciiTheme="minorHAnsi" w:hAnsiTheme="minorHAnsi"/>
        </w:rPr>
        <w:t xml:space="preserve">on </w:t>
      </w:r>
      <w:r>
        <w:rPr>
          <w:rFonts w:asciiTheme="minorHAnsi" w:hAnsiTheme="minorHAnsi"/>
        </w:rPr>
        <w:t xml:space="preserve">quality grounds </w:t>
      </w:r>
      <w:r w:rsidR="004674F0">
        <w:rPr>
          <w:rFonts w:asciiTheme="minorHAnsi" w:hAnsiTheme="minorHAnsi"/>
        </w:rPr>
        <w:t xml:space="preserve">apart from outstanding </w:t>
      </w:r>
      <w:r w:rsidR="00B32BE0">
        <w:rPr>
          <w:rFonts w:asciiTheme="minorHAnsi" w:hAnsiTheme="minorHAnsi"/>
        </w:rPr>
        <w:t>Good Manufacturing Practice (</w:t>
      </w:r>
      <w:r w:rsidR="004674F0">
        <w:rPr>
          <w:rFonts w:asciiTheme="minorHAnsi" w:hAnsiTheme="minorHAnsi"/>
        </w:rPr>
        <w:t>GMP</w:t>
      </w:r>
      <w:r w:rsidR="00B32BE0">
        <w:rPr>
          <w:rFonts w:asciiTheme="minorHAnsi" w:hAnsiTheme="minorHAnsi"/>
        </w:rPr>
        <w:t>)</w:t>
      </w:r>
      <w:r w:rsidR="004674F0">
        <w:rPr>
          <w:rFonts w:asciiTheme="minorHAnsi" w:hAnsiTheme="minorHAnsi"/>
        </w:rPr>
        <w:t xml:space="preserve"> clearance for one manufacturing site</w:t>
      </w:r>
      <w:r>
        <w:rPr>
          <w:rFonts w:asciiTheme="minorHAnsi" w:hAnsiTheme="minorHAnsi"/>
        </w:rPr>
        <w:t>.</w:t>
      </w:r>
      <w:r w:rsidR="004674F0">
        <w:rPr>
          <w:rStyle w:val="FootnoteReference"/>
          <w:rFonts w:asciiTheme="minorHAnsi" w:hAnsiTheme="minorHAnsi"/>
        </w:rPr>
        <w:footnoteReference w:id="6"/>
      </w:r>
      <w:r>
        <w:rPr>
          <w:rFonts w:asciiTheme="minorHAnsi" w:hAnsiTheme="minorHAnsi"/>
        </w:rPr>
        <w:t xml:space="preserve"> </w:t>
      </w:r>
      <w:r w:rsidRPr="00BD0265">
        <w:rPr>
          <w:rFonts w:asciiTheme="minorHAnsi" w:hAnsiTheme="minorHAnsi"/>
        </w:rPr>
        <w:t>Overall,</w:t>
      </w:r>
      <w:r>
        <w:rPr>
          <w:rFonts w:asciiTheme="minorHAnsi" w:hAnsiTheme="minorHAnsi"/>
        </w:rPr>
        <w:t xml:space="preserve"> the supplied data wa</w:t>
      </w:r>
      <w:r w:rsidRPr="00BD0265">
        <w:rPr>
          <w:rFonts w:asciiTheme="minorHAnsi" w:hAnsiTheme="minorHAnsi"/>
        </w:rPr>
        <w:t xml:space="preserve">s satisfactory and there are no further </w:t>
      </w:r>
      <w:r w:rsidRPr="00BD0265">
        <w:rPr>
          <w:rFonts w:asciiTheme="minorHAnsi" w:hAnsiTheme="minorHAnsi"/>
        </w:rPr>
        <w:lastRenderedPageBreak/>
        <w:t>quality related concerns</w:t>
      </w:r>
      <w:r>
        <w:rPr>
          <w:rFonts w:asciiTheme="minorHAnsi" w:hAnsiTheme="minorHAnsi"/>
        </w:rPr>
        <w:t>. S</w:t>
      </w:r>
      <w:r w:rsidRPr="008D4037">
        <w:rPr>
          <w:rFonts w:asciiTheme="minorHAnsi" w:hAnsiTheme="minorHAnsi"/>
        </w:rPr>
        <w:t xml:space="preserve">ufficient evidence </w:t>
      </w:r>
      <w:r>
        <w:rPr>
          <w:rFonts w:asciiTheme="minorHAnsi" w:hAnsiTheme="minorHAnsi"/>
        </w:rPr>
        <w:t>was</w:t>
      </w:r>
      <w:r w:rsidRPr="008D4037">
        <w:rPr>
          <w:rFonts w:asciiTheme="minorHAnsi" w:hAnsiTheme="minorHAnsi"/>
        </w:rPr>
        <w:t xml:space="preserve"> provided to demonstrate that the risks related to the manufacturing quality of </w:t>
      </w:r>
      <w:proofErr w:type="spellStart"/>
      <w:r w:rsidR="00626892">
        <w:rPr>
          <w:rFonts w:asciiTheme="minorHAnsi" w:hAnsiTheme="minorHAnsi"/>
        </w:rPr>
        <w:t>Ovaleap</w:t>
      </w:r>
      <w:proofErr w:type="spellEnd"/>
      <w:r w:rsidRPr="008D4037">
        <w:rPr>
          <w:rFonts w:asciiTheme="minorHAnsi" w:hAnsiTheme="minorHAnsi"/>
        </w:rPr>
        <w:t xml:space="preserve"> have been controlled to an acceptable level.</w:t>
      </w:r>
    </w:p>
    <w:p w14:paraId="61CF3428" w14:textId="63B4F509" w:rsidR="00167DEB" w:rsidRDefault="00626892" w:rsidP="00167DEB">
      <w:pPr>
        <w:rPr>
          <w:lang w:val="en-GB"/>
        </w:rPr>
      </w:pPr>
      <w:proofErr w:type="spellStart"/>
      <w:r>
        <w:t>Ovaleap</w:t>
      </w:r>
      <w:proofErr w:type="spellEnd"/>
      <w:r w:rsidR="00167DEB">
        <w:t xml:space="preserve"> (also referred to as XM17 in the submission)</w:t>
      </w:r>
      <w:r w:rsidR="004674F0">
        <w:rPr>
          <w:rStyle w:val="FootnoteReference"/>
        </w:rPr>
        <w:footnoteReference w:id="7"/>
      </w:r>
      <w:r w:rsidR="00167DEB">
        <w:t xml:space="preserve"> </w:t>
      </w:r>
      <w:r w:rsidR="00167DEB" w:rsidRPr="00EF5AA2">
        <w:t xml:space="preserve">is a </w:t>
      </w:r>
      <w:r w:rsidR="005A7CFA" w:rsidRPr="00EF5AA2">
        <w:t xml:space="preserve">human </w:t>
      </w:r>
      <w:r w:rsidR="00167DEB" w:rsidRPr="00EF5AA2">
        <w:t>recombinant follicle stimulating hormone</w:t>
      </w:r>
      <w:r w:rsidR="00167DEB">
        <w:t xml:space="preserve"> </w:t>
      </w:r>
      <w:r w:rsidR="00167DEB" w:rsidRPr="00EF5AA2">
        <w:t xml:space="preserve">(r-FSH), expressed in genetically modified Chinese </w:t>
      </w:r>
      <w:r w:rsidR="00A84A13">
        <w:t>h</w:t>
      </w:r>
      <w:r w:rsidR="00167DEB" w:rsidRPr="00EF5AA2">
        <w:t xml:space="preserve">amster </w:t>
      </w:r>
      <w:r w:rsidR="00A84A13">
        <w:t>o</w:t>
      </w:r>
      <w:r w:rsidR="00167DEB" w:rsidRPr="00EF5AA2">
        <w:t>vary (CHO) cells.</w:t>
      </w:r>
      <w:r w:rsidR="00167DEB">
        <w:rPr>
          <w:lang w:val="en-GB"/>
        </w:rPr>
        <w:t xml:space="preserve"> </w:t>
      </w:r>
      <w:r w:rsidR="00A84A13">
        <w:rPr>
          <w:lang w:val="en-GB"/>
        </w:rPr>
        <w:t xml:space="preserve">Human </w:t>
      </w:r>
      <w:r w:rsidR="00167DEB" w:rsidRPr="00546B2A">
        <w:rPr>
          <w:lang w:val="en-GB"/>
        </w:rPr>
        <w:t xml:space="preserve">r-FSH is a heterodimeric glycoprotein hormone weighing 22,690 Da, the sum of two </w:t>
      </w:r>
      <w:proofErr w:type="spellStart"/>
      <w:r w:rsidR="00167DEB" w:rsidRPr="00546B2A">
        <w:rPr>
          <w:lang w:val="en-GB"/>
        </w:rPr>
        <w:t>noncovalently</w:t>
      </w:r>
      <w:proofErr w:type="spellEnd"/>
      <w:r w:rsidR="00167DEB">
        <w:rPr>
          <w:lang w:val="en-GB"/>
        </w:rPr>
        <w:t xml:space="preserve"> </w:t>
      </w:r>
      <w:r w:rsidR="00167DEB" w:rsidRPr="00546B2A">
        <w:rPr>
          <w:lang w:val="en-GB"/>
        </w:rPr>
        <w:t xml:space="preserve">bound subunits, alpha (10,205 Da) and beta (12,485 </w:t>
      </w:r>
      <w:proofErr w:type="spellStart"/>
      <w:r w:rsidR="00167DEB" w:rsidRPr="00546B2A">
        <w:rPr>
          <w:lang w:val="en-GB"/>
        </w:rPr>
        <w:t>Da</w:t>
      </w:r>
      <w:proofErr w:type="spellEnd"/>
      <w:r w:rsidR="00167DEB" w:rsidRPr="00546B2A">
        <w:rPr>
          <w:lang w:val="en-GB"/>
        </w:rPr>
        <w:t>).</w:t>
      </w:r>
      <w:r w:rsidR="00167DEB">
        <w:rPr>
          <w:lang w:val="en-GB"/>
        </w:rPr>
        <w:t xml:space="preserve"> </w:t>
      </w:r>
      <w:r w:rsidR="00167DEB" w:rsidRPr="00546B2A">
        <w:rPr>
          <w:lang w:val="en-GB"/>
        </w:rPr>
        <w:t xml:space="preserve">The alpha chain (common to </w:t>
      </w:r>
      <w:r w:rsidR="00167DEB">
        <w:rPr>
          <w:lang w:val="en-GB"/>
        </w:rPr>
        <w:t>LH</w:t>
      </w:r>
      <w:r w:rsidR="00167DEB" w:rsidRPr="00546B2A">
        <w:rPr>
          <w:lang w:val="en-GB"/>
        </w:rPr>
        <w:t xml:space="preserve"> and chorionic</w:t>
      </w:r>
      <w:r w:rsidR="00167DEB">
        <w:rPr>
          <w:lang w:val="en-GB"/>
        </w:rPr>
        <w:t xml:space="preserve"> </w:t>
      </w:r>
      <w:r w:rsidR="00167DEB" w:rsidRPr="00546B2A">
        <w:rPr>
          <w:lang w:val="en-GB"/>
        </w:rPr>
        <w:t xml:space="preserve">gonadotropin </w:t>
      </w:r>
      <w:r w:rsidR="00167DEB">
        <w:rPr>
          <w:lang w:val="en-GB"/>
        </w:rPr>
        <w:t>(CG))</w:t>
      </w:r>
      <w:r w:rsidR="00167DEB" w:rsidRPr="00546B2A">
        <w:rPr>
          <w:lang w:val="en-GB"/>
        </w:rPr>
        <w:t xml:space="preserve"> has 92</w:t>
      </w:r>
      <w:r w:rsidR="00A84A13">
        <w:rPr>
          <w:lang w:val="en-GB"/>
        </w:rPr>
        <w:t> </w:t>
      </w:r>
      <w:r w:rsidR="00167DEB" w:rsidRPr="00546B2A">
        <w:rPr>
          <w:lang w:val="en-GB"/>
        </w:rPr>
        <w:t>amino acids</w:t>
      </w:r>
      <w:r w:rsidR="00167DEB">
        <w:rPr>
          <w:lang w:val="en-GB"/>
        </w:rPr>
        <w:t xml:space="preserve"> </w:t>
      </w:r>
      <w:r w:rsidR="00B32BE0">
        <w:rPr>
          <w:lang w:val="en-GB"/>
        </w:rPr>
        <w:t>with 10 </w:t>
      </w:r>
      <w:r w:rsidR="00167DEB" w:rsidRPr="00546B2A">
        <w:rPr>
          <w:lang w:val="en-GB"/>
        </w:rPr>
        <w:t xml:space="preserve">cysteine residues resulting in five </w:t>
      </w:r>
      <w:r w:rsidR="00167DEB">
        <w:rPr>
          <w:lang w:val="en-GB"/>
        </w:rPr>
        <w:t xml:space="preserve">internal </w:t>
      </w:r>
      <w:proofErr w:type="spellStart"/>
      <w:r w:rsidR="00167DEB" w:rsidRPr="00546B2A">
        <w:rPr>
          <w:lang w:val="en-GB"/>
        </w:rPr>
        <w:t>disulfide</w:t>
      </w:r>
      <w:proofErr w:type="spellEnd"/>
      <w:r w:rsidR="00167DEB" w:rsidRPr="00546B2A">
        <w:rPr>
          <w:lang w:val="en-GB"/>
        </w:rPr>
        <w:t xml:space="preserve"> bridges. </w:t>
      </w:r>
      <w:r w:rsidR="00167DEB">
        <w:rPr>
          <w:lang w:val="en-GB"/>
        </w:rPr>
        <w:t>There are</w:t>
      </w:r>
      <w:r w:rsidR="00167DEB" w:rsidRPr="00546B2A">
        <w:rPr>
          <w:lang w:val="en-GB"/>
        </w:rPr>
        <w:t xml:space="preserve"> two N</w:t>
      </w:r>
      <w:r w:rsidR="00B32BE0">
        <w:rPr>
          <w:lang w:val="en-GB"/>
        </w:rPr>
        <w:noBreakHyphen/>
      </w:r>
      <w:r w:rsidR="00167DEB" w:rsidRPr="00546B2A">
        <w:rPr>
          <w:lang w:val="en-GB"/>
        </w:rPr>
        <w:t>glycosylation sites</w:t>
      </w:r>
      <w:r w:rsidR="00167DEB">
        <w:rPr>
          <w:lang w:val="en-GB"/>
        </w:rPr>
        <w:t xml:space="preserve"> </w:t>
      </w:r>
      <w:r w:rsidR="00167DEB" w:rsidRPr="00546B2A">
        <w:rPr>
          <w:lang w:val="en-GB"/>
        </w:rPr>
        <w:t>(</w:t>
      </w:r>
      <w:proofErr w:type="spellStart"/>
      <w:r w:rsidR="00167DEB" w:rsidRPr="00546B2A">
        <w:rPr>
          <w:lang w:val="en-GB"/>
        </w:rPr>
        <w:t>Asn</w:t>
      </w:r>
      <w:proofErr w:type="spellEnd"/>
      <w:r w:rsidR="00167DEB" w:rsidRPr="00546B2A">
        <w:rPr>
          <w:lang w:val="en-GB"/>
        </w:rPr>
        <w:t xml:space="preserve"> 52 and </w:t>
      </w:r>
      <w:proofErr w:type="spellStart"/>
      <w:r w:rsidR="00167DEB" w:rsidRPr="00546B2A">
        <w:rPr>
          <w:lang w:val="en-GB"/>
        </w:rPr>
        <w:t>Asn</w:t>
      </w:r>
      <w:proofErr w:type="spellEnd"/>
      <w:r w:rsidR="00167DEB" w:rsidRPr="00546B2A">
        <w:rPr>
          <w:lang w:val="en-GB"/>
        </w:rPr>
        <w:t xml:space="preserve"> 78)</w:t>
      </w:r>
      <w:r w:rsidR="00167DEB">
        <w:rPr>
          <w:lang w:val="en-GB"/>
        </w:rPr>
        <w:t xml:space="preserve"> and </w:t>
      </w:r>
      <w:r w:rsidR="00167DEB" w:rsidRPr="00546B2A">
        <w:rPr>
          <w:lang w:val="en-GB"/>
        </w:rPr>
        <w:t>three methionine residues.</w:t>
      </w:r>
      <w:r w:rsidR="00167DEB">
        <w:rPr>
          <w:lang w:val="en-GB"/>
        </w:rPr>
        <w:t xml:space="preserve"> </w:t>
      </w:r>
      <w:r w:rsidR="00167DEB" w:rsidRPr="00546B2A">
        <w:rPr>
          <w:lang w:val="en-GB"/>
        </w:rPr>
        <w:t xml:space="preserve">The beta chain, which </w:t>
      </w:r>
      <w:r w:rsidR="00167DEB">
        <w:rPr>
          <w:lang w:val="en-GB"/>
        </w:rPr>
        <w:t>g</w:t>
      </w:r>
      <w:r w:rsidR="00167DEB" w:rsidRPr="00546B2A">
        <w:rPr>
          <w:lang w:val="en-GB"/>
        </w:rPr>
        <w:t>i</w:t>
      </w:r>
      <w:r w:rsidR="00167DEB">
        <w:rPr>
          <w:lang w:val="en-GB"/>
        </w:rPr>
        <w:t>ve</w:t>
      </w:r>
      <w:r w:rsidR="00167DEB" w:rsidRPr="00546B2A">
        <w:rPr>
          <w:lang w:val="en-GB"/>
        </w:rPr>
        <w:t xml:space="preserve">s </w:t>
      </w:r>
      <w:r w:rsidR="00A84A13">
        <w:rPr>
          <w:lang w:val="en-GB"/>
        </w:rPr>
        <w:t xml:space="preserve">human </w:t>
      </w:r>
      <w:r w:rsidR="00167DEB" w:rsidRPr="00546B2A">
        <w:rPr>
          <w:lang w:val="en-GB"/>
        </w:rPr>
        <w:t>r-FSH</w:t>
      </w:r>
      <w:r w:rsidR="00167DEB">
        <w:rPr>
          <w:lang w:val="en-GB"/>
        </w:rPr>
        <w:t xml:space="preserve"> its specificity</w:t>
      </w:r>
      <w:r w:rsidR="00167DEB" w:rsidRPr="00546B2A">
        <w:rPr>
          <w:lang w:val="en-GB"/>
        </w:rPr>
        <w:t>, consists of 111 amino acids with 12</w:t>
      </w:r>
      <w:r w:rsidR="00A84A13">
        <w:rPr>
          <w:lang w:val="en-GB"/>
        </w:rPr>
        <w:t> </w:t>
      </w:r>
      <w:r w:rsidR="00167DEB" w:rsidRPr="00546B2A">
        <w:rPr>
          <w:lang w:val="en-GB"/>
        </w:rPr>
        <w:t>cysteine</w:t>
      </w:r>
      <w:r w:rsidR="00167DEB">
        <w:rPr>
          <w:lang w:val="en-GB"/>
        </w:rPr>
        <w:t xml:space="preserve"> </w:t>
      </w:r>
      <w:r w:rsidR="00167DEB" w:rsidRPr="00546B2A">
        <w:rPr>
          <w:lang w:val="en-GB"/>
        </w:rPr>
        <w:t xml:space="preserve">residues resulting in six </w:t>
      </w:r>
      <w:proofErr w:type="spellStart"/>
      <w:r w:rsidR="00167DEB" w:rsidRPr="00546B2A">
        <w:rPr>
          <w:lang w:val="en-GB"/>
        </w:rPr>
        <w:t>disulfide</w:t>
      </w:r>
      <w:proofErr w:type="spellEnd"/>
      <w:r w:rsidR="00167DEB" w:rsidRPr="00546B2A">
        <w:rPr>
          <w:lang w:val="en-GB"/>
        </w:rPr>
        <w:t xml:space="preserve"> bridges. It also has two N-glycosylation sites (</w:t>
      </w:r>
      <w:proofErr w:type="spellStart"/>
      <w:r w:rsidR="00167DEB" w:rsidRPr="00546B2A">
        <w:rPr>
          <w:lang w:val="en-GB"/>
        </w:rPr>
        <w:t>Asn</w:t>
      </w:r>
      <w:proofErr w:type="spellEnd"/>
      <w:r w:rsidR="00167DEB" w:rsidRPr="00546B2A">
        <w:rPr>
          <w:lang w:val="en-GB"/>
        </w:rPr>
        <w:t xml:space="preserve"> 7 and </w:t>
      </w:r>
      <w:proofErr w:type="spellStart"/>
      <w:r w:rsidR="00167DEB" w:rsidRPr="00546B2A">
        <w:rPr>
          <w:lang w:val="en-GB"/>
        </w:rPr>
        <w:t>Asn</w:t>
      </w:r>
      <w:proofErr w:type="spellEnd"/>
      <w:r w:rsidR="00167DEB">
        <w:rPr>
          <w:lang w:val="en-GB"/>
        </w:rPr>
        <w:t xml:space="preserve"> </w:t>
      </w:r>
      <w:r w:rsidR="00167DEB" w:rsidRPr="00546B2A">
        <w:rPr>
          <w:lang w:val="en-GB"/>
        </w:rPr>
        <w:t>24) and one methionine residue.</w:t>
      </w:r>
      <w:r w:rsidR="00167DEB">
        <w:rPr>
          <w:lang w:val="en-GB"/>
        </w:rPr>
        <w:t xml:space="preserve"> </w:t>
      </w:r>
      <w:r w:rsidR="00167DEB">
        <w:rPr>
          <w:lang w:val="en-GB"/>
        </w:rPr>
        <w:fldChar w:fldCharType="begin"/>
      </w:r>
      <w:r w:rsidR="00167DEB">
        <w:rPr>
          <w:lang w:val="en-GB"/>
        </w:rPr>
        <w:instrText xml:space="preserve"> REF _Ref54945755 \h </w:instrText>
      </w:r>
      <w:r w:rsidR="00167DEB">
        <w:rPr>
          <w:lang w:val="en-GB"/>
        </w:rPr>
      </w:r>
      <w:r w:rsidR="00167DEB">
        <w:rPr>
          <w:lang w:val="en-GB"/>
        </w:rPr>
        <w:fldChar w:fldCharType="separate"/>
      </w:r>
      <w:r w:rsidR="005A7CFA">
        <w:t xml:space="preserve">Figure </w:t>
      </w:r>
      <w:r w:rsidR="005A7CFA">
        <w:rPr>
          <w:noProof/>
        </w:rPr>
        <w:t>1</w:t>
      </w:r>
      <w:r w:rsidR="00167DEB">
        <w:rPr>
          <w:lang w:val="en-GB"/>
        </w:rPr>
        <w:fldChar w:fldCharType="end"/>
      </w:r>
      <w:r w:rsidR="00167DEB">
        <w:rPr>
          <w:lang w:val="en-GB"/>
        </w:rPr>
        <w:t xml:space="preserve"> shows the 3D structure of the polypeptide backbone of </w:t>
      </w:r>
      <w:r w:rsidR="00A84A13">
        <w:rPr>
          <w:lang w:val="en-GB"/>
        </w:rPr>
        <w:t xml:space="preserve">human </w:t>
      </w:r>
      <w:r w:rsidR="00167DEB">
        <w:rPr>
          <w:lang w:val="en-GB"/>
        </w:rPr>
        <w:t>r-FSH.</w:t>
      </w:r>
    </w:p>
    <w:p w14:paraId="4EBFC5B0" w14:textId="37553442" w:rsidR="00B32BE0" w:rsidRDefault="00B32BE0" w:rsidP="00B32BE0">
      <w:pPr>
        <w:pStyle w:val="FigureTitle"/>
        <w:rPr>
          <w:lang w:val="en-GB"/>
        </w:rPr>
      </w:pPr>
      <w:bookmarkStart w:id="37" w:name="_Ref54945755"/>
      <w:r>
        <w:t xml:space="preserve">Figure </w:t>
      </w:r>
      <w:fldSimple w:instr=" SEQ Figure \* ARABIC ">
        <w:r w:rsidR="005A7CFA">
          <w:rPr>
            <w:noProof/>
          </w:rPr>
          <w:t>1</w:t>
        </w:r>
      </w:fldSimple>
      <w:bookmarkEnd w:id="37"/>
      <w:r>
        <w:rPr>
          <w:noProof/>
        </w:rPr>
        <w:t>:</w:t>
      </w:r>
      <w:r>
        <w:t xml:space="preserve"> 3</w:t>
      </w:r>
      <w:r w:rsidR="00C14C23">
        <w:t>D</w:t>
      </w:r>
      <w:r>
        <w:t xml:space="preserve"> structure of human follicle-stimulating hormone</w:t>
      </w:r>
    </w:p>
    <w:p w14:paraId="1165E211" w14:textId="16FDC829" w:rsidR="00B32BE0" w:rsidRDefault="00B32BE0" w:rsidP="00167DEB">
      <w:pPr>
        <w:rPr>
          <w:lang w:val="en-GB"/>
        </w:rPr>
      </w:pPr>
      <w:r w:rsidRPr="00112D10">
        <w:rPr>
          <w:noProof/>
          <w:lang w:eastAsia="en-AU"/>
        </w:rPr>
        <w:drawing>
          <wp:inline distT="0" distB="0" distL="0" distR="0" wp14:anchorId="2DC7E2BE" wp14:editId="2780089E">
            <wp:extent cx="3456749" cy="3602664"/>
            <wp:effectExtent l="0" t="0" r="0" b="0"/>
            <wp:docPr id="2" name="Picture 2" descr="3 dimensional structure of human follicle-stimulating hor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3182" cy="3671901"/>
                    </a:xfrm>
                    <a:prstGeom prst="rect">
                      <a:avLst/>
                    </a:prstGeom>
                  </pic:spPr>
                </pic:pic>
              </a:graphicData>
            </a:graphic>
          </wp:inline>
        </w:drawing>
      </w:r>
    </w:p>
    <w:p w14:paraId="20F48D0A" w14:textId="7D2B9555" w:rsidR="00C14C23" w:rsidRDefault="00C14C23" w:rsidP="00C01F54">
      <w:pPr>
        <w:pStyle w:val="FigureDescription"/>
        <w:rPr>
          <w:lang w:val="en-GB"/>
        </w:rPr>
      </w:pPr>
      <w:r>
        <w:rPr>
          <w:lang w:val="en-GB"/>
        </w:rPr>
        <w:t>Ribbon model of human follicle-stimulating hormone. Pale blue and green ribbon strands represent the alpha and beta chains; yellow sticks represent the disulphide bridges;</w:t>
      </w:r>
      <w:r w:rsidR="005A7CFA">
        <w:rPr>
          <w:lang w:val="en-GB"/>
        </w:rPr>
        <w:t xml:space="preserve"> coloured balls represent the N</w:t>
      </w:r>
      <w:r w:rsidR="005A7CFA">
        <w:rPr>
          <w:lang w:val="en-GB"/>
        </w:rPr>
        <w:noBreakHyphen/>
      </w:r>
      <w:r>
        <w:rPr>
          <w:lang w:val="en-GB"/>
        </w:rPr>
        <w:t>glycosylation (carbohydrate) sites.</w:t>
      </w:r>
    </w:p>
    <w:p w14:paraId="6510D2C6" w14:textId="2542995E" w:rsidR="00167DEB" w:rsidRPr="001B2698" w:rsidRDefault="00167DEB" w:rsidP="00167DEB">
      <w:pPr>
        <w:rPr>
          <w:b/>
        </w:rPr>
      </w:pPr>
      <w:r w:rsidRPr="001F48AA">
        <w:t xml:space="preserve">The active substance of </w:t>
      </w:r>
      <w:proofErr w:type="spellStart"/>
      <w:r w:rsidR="00626892">
        <w:t>Ovaleap</w:t>
      </w:r>
      <w:proofErr w:type="spellEnd"/>
      <w:r w:rsidRPr="00BA7C96">
        <w:t xml:space="preserve"> </w:t>
      </w:r>
      <w:r>
        <w:t>(</w:t>
      </w:r>
      <w:proofErr w:type="spellStart"/>
      <w:r w:rsidRPr="00BA7C96">
        <w:t>follitropin</w:t>
      </w:r>
      <w:proofErr w:type="spellEnd"/>
      <w:r w:rsidRPr="00BA7C96">
        <w:t xml:space="preserve"> alfa</w:t>
      </w:r>
      <w:r>
        <w:t xml:space="preserve">) </w:t>
      </w:r>
      <w:r w:rsidRPr="001F48AA">
        <w:t xml:space="preserve">has been developed as a </w:t>
      </w:r>
      <w:r>
        <w:t>biosimilar</w:t>
      </w:r>
      <w:r w:rsidRPr="001F48AA">
        <w:t xml:space="preserve"> to the registered reference product </w:t>
      </w:r>
      <w:proofErr w:type="spellStart"/>
      <w:r w:rsidR="00626892">
        <w:rPr>
          <w:lang w:val="en-GB"/>
        </w:rPr>
        <w:t>Gonal</w:t>
      </w:r>
      <w:proofErr w:type="spellEnd"/>
      <w:r w:rsidR="00626892">
        <w:rPr>
          <w:lang w:val="en-GB"/>
        </w:rPr>
        <w:t>-f</w:t>
      </w:r>
      <w:r>
        <w:rPr>
          <w:lang w:val="en-GB"/>
        </w:rPr>
        <w:t xml:space="preserve"> </w:t>
      </w:r>
      <w:r>
        <w:t>(</w:t>
      </w:r>
      <w:proofErr w:type="spellStart"/>
      <w:r w:rsidRPr="00BA7C96">
        <w:t>follitropin</w:t>
      </w:r>
      <w:proofErr w:type="spellEnd"/>
      <w:r w:rsidRPr="00BA7C96">
        <w:t xml:space="preserve"> alfa</w:t>
      </w:r>
      <w:r>
        <w:t xml:space="preserve">). </w:t>
      </w:r>
      <w:proofErr w:type="spellStart"/>
      <w:r w:rsidR="00626892">
        <w:t>Gonal</w:t>
      </w:r>
      <w:proofErr w:type="spellEnd"/>
      <w:r w:rsidR="00626892">
        <w:t>-f</w:t>
      </w:r>
      <w:r>
        <w:t xml:space="preserve"> (EU</w:t>
      </w:r>
      <w:r w:rsidR="00C14C23">
        <w:noBreakHyphen/>
      </w:r>
      <w:r>
        <w:t xml:space="preserve">sourced) was used as the reference product in </w:t>
      </w:r>
      <w:r w:rsidR="00F40E06">
        <w:t xml:space="preserve">the </w:t>
      </w:r>
      <w:r>
        <w:t>clinical studies</w:t>
      </w:r>
      <w:r w:rsidR="00F40E06">
        <w:t>, Studies</w:t>
      </w:r>
      <w:r>
        <w:t xml:space="preserve"> XM17-02 and XM17-05. </w:t>
      </w:r>
      <w:proofErr w:type="spellStart"/>
      <w:r w:rsidRPr="00C94F8E">
        <w:t>Biosimilarity</w:t>
      </w:r>
      <w:proofErr w:type="spellEnd"/>
      <w:r w:rsidRPr="00C94F8E">
        <w:t xml:space="preserve"> bridging studies between the innovator EU product used for the </w:t>
      </w:r>
      <w:proofErr w:type="spellStart"/>
      <w:r w:rsidRPr="00C94F8E">
        <w:t>biosimilarity</w:t>
      </w:r>
      <w:proofErr w:type="spellEnd"/>
      <w:r w:rsidRPr="00C94F8E">
        <w:t xml:space="preserve"> comparability study and the product supplied in Australia </w:t>
      </w:r>
      <w:r>
        <w:t>were</w:t>
      </w:r>
      <w:r w:rsidRPr="00C94F8E">
        <w:t xml:space="preserve"> not provided. </w:t>
      </w:r>
      <w:r>
        <w:t xml:space="preserve">However, </w:t>
      </w:r>
      <w:r>
        <w:rPr>
          <w:color w:val="000000" w:themeColor="text1"/>
          <w:lang w:val="en-GB"/>
        </w:rPr>
        <w:t xml:space="preserve">the </w:t>
      </w:r>
      <w:r w:rsidRPr="006E0217">
        <w:t>comparison of the manufacturing sites</w:t>
      </w:r>
      <w:r w:rsidRPr="0018305F">
        <w:t xml:space="preserve"> </w:t>
      </w:r>
      <w:r w:rsidRPr="006E0217">
        <w:t xml:space="preserve">and a search of internal quality database for the Australia market </w:t>
      </w:r>
      <w:proofErr w:type="spellStart"/>
      <w:r w:rsidR="00626892">
        <w:t>Gonal</w:t>
      </w:r>
      <w:proofErr w:type="spellEnd"/>
      <w:r w:rsidR="00626892">
        <w:t>-f</w:t>
      </w:r>
      <w:r>
        <w:rPr>
          <w:color w:val="000000" w:themeColor="text1"/>
          <w:lang w:val="en-GB"/>
        </w:rPr>
        <w:t xml:space="preserve">, demonstrated </w:t>
      </w:r>
      <w:r w:rsidRPr="00792AD9">
        <w:rPr>
          <w:color w:val="000000" w:themeColor="text1"/>
          <w:lang w:val="en-GB"/>
        </w:rPr>
        <w:t xml:space="preserve">that </w:t>
      </w:r>
      <w:proofErr w:type="spellStart"/>
      <w:r w:rsidR="00626892">
        <w:t>Gonal</w:t>
      </w:r>
      <w:proofErr w:type="spellEnd"/>
      <w:r w:rsidR="00626892">
        <w:t>-f</w:t>
      </w:r>
      <w:r>
        <w:t xml:space="preserve"> </w:t>
      </w:r>
      <w:r w:rsidRPr="00792AD9">
        <w:rPr>
          <w:color w:val="000000" w:themeColor="text1"/>
          <w:lang w:val="en-GB"/>
        </w:rPr>
        <w:t xml:space="preserve">is manufactured at the same </w:t>
      </w:r>
      <w:r>
        <w:rPr>
          <w:color w:val="000000" w:themeColor="text1"/>
          <w:lang w:val="en-GB"/>
        </w:rPr>
        <w:t>site(s) for global distribution</w:t>
      </w:r>
      <w:r w:rsidRPr="00792AD9">
        <w:rPr>
          <w:color w:val="000000" w:themeColor="text1"/>
          <w:lang w:val="en-GB"/>
        </w:rPr>
        <w:t xml:space="preserve"> </w:t>
      </w:r>
      <w:r>
        <w:rPr>
          <w:color w:val="000000" w:themeColor="text1"/>
          <w:lang w:val="en-GB"/>
        </w:rPr>
        <w:t xml:space="preserve">and the </w:t>
      </w:r>
      <w:r w:rsidRPr="00792AD9">
        <w:rPr>
          <w:color w:val="000000" w:themeColor="text1"/>
          <w:lang w:val="en-GB"/>
        </w:rPr>
        <w:t>Austr</w:t>
      </w:r>
      <w:r>
        <w:rPr>
          <w:color w:val="000000" w:themeColor="text1"/>
          <w:lang w:val="en-GB"/>
        </w:rPr>
        <w:t xml:space="preserve">alian market. </w:t>
      </w:r>
      <w:r>
        <w:t>The evaluator concluded that the Australian marketed reference product is equivalent to that of EU</w:t>
      </w:r>
      <w:r w:rsidR="00F40E06">
        <w:t>/United States (US) marketed reference product.</w:t>
      </w:r>
    </w:p>
    <w:p w14:paraId="5172D384" w14:textId="6A8FB17D" w:rsidR="00167DEB" w:rsidRDefault="00167DEB" w:rsidP="00167DEB">
      <w:r>
        <w:lastRenderedPageBreak/>
        <w:t>Overall</w:t>
      </w:r>
      <w:r w:rsidR="00F40E06">
        <w:t>, the s</w:t>
      </w:r>
      <w:r w:rsidRPr="00693973">
        <w:t xml:space="preserve">ponsor has demonstrated that </w:t>
      </w:r>
      <w:proofErr w:type="spellStart"/>
      <w:r w:rsidR="00626892">
        <w:t>Ovaleap</w:t>
      </w:r>
      <w:proofErr w:type="spellEnd"/>
      <w:r w:rsidRPr="00BA7C96">
        <w:t xml:space="preserve"> </w:t>
      </w:r>
      <w:r w:rsidRPr="00693973">
        <w:t xml:space="preserve">is comparable to </w:t>
      </w:r>
      <w:proofErr w:type="spellStart"/>
      <w:r w:rsidR="00626892">
        <w:rPr>
          <w:lang w:val="en-GB"/>
        </w:rPr>
        <w:t>Gonal</w:t>
      </w:r>
      <w:proofErr w:type="spellEnd"/>
      <w:r w:rsidR="00626892">
        <w:rPr>
          <w:lang w:val="en-GB"/>
        </w:rPr>
        <w:t>-f</w:t>
      </w:r>
      <w:r>
        <w:rPr>
          <w:lang w:val="en-GB"/>
        </w:rPr>
        <w:t xml:space="preserve"> </w:t>
      </w:r>
      <w:r w:rsidRPr="00693973">
        <w:t>in terms of structure, species, functi</w:t>
      </w:r>
      <w:r w:rsidR="00F40E06">
        <w:t xml:space="preserve">on and degradation profile (that is, </w:t>
      </w:r>
      <w:proofErr w:type="spellStart"/>
      <w:r w:rsidRPr="00693973">
        <w:t>physicochemically</w:t>
      </w:r>
      <w:proofErr w:type="spellEnd"/>
      <w:r w:rsidRPr="00693973">
        <w:t xml:space="preserve"> and biologically).</w:t>
      </w:r>
      <w:r>
        <w:t xml:space="preserve"> The evaluator considered the differences in the quality attributes between </w:t>
      </w:r>
      <w:proofErr w:type="spellStart"/>
      <w:r w:rsidR="00626892">
        <w:t>Ovaleap</w:t>
      </w:r>
      <w:proofErr w:type="spellEnd"/>
      <w:r>
        <w:t xml:space="preserve"> and EU/US marketed reference product </w:t>
      </w:r>
      <w:proofErr w:type="spellStart"/>
      <w:r w:rsidR="00626892">
        <w:t>Gonal</w:t>
      </w:r>
      <w:proofErr w:type="spellEnd"/>
      <w:r w:rsidR="00626892">
        <w:t>-f</w:t>
      </w:r>
      <w:r>
        <w:t xml:space="preserve"> to be minor. </w:t>
      </w:r>
      <w:r w:rsidRPr="003743B3">
        <w:t xml:space="preserve">The comparability parameters of </w:t>
      </w:r>
      <w:proofErr w:type="spellStart"/>
      <w:r w:rsidR="00626892">
        <w:t>Ovaleap</w:t>
      </w:r>
      <w:proofErr w:type="spellEnd"/>
      <w:r w:rsidRPr="003743B3">
        <w:t xml:space="preserve"> and </w:t>
      </w:r>
      <w:proofErr w:type="spellStart"/>
      <w:r w:rsidR="00626892">
        <w:t>Gonal</w:t>
      </w:r>
      <w:proofErr w:type="spellEnd"/>
      <w:r w:rsidR="00626892">
        <w:t>-f</w:t>
      </w:r>
      <w:r w:rsidRPr="003743B3">
        <w:t xml:space="preserve"> were qualitatively similar to those previously approved for earlier </w:t>
      </w:r>
      <w:proofErr w:type="spellStart"/>
      <w:r w:rsidR="00626892">
        <w:t>Gonal</w:t>
      </w:r>
      <w:proofErr w:type="spellEnd"/>
      <w:r w:rsidR="00626892">
        <w:t>-f</w:t>
      </w:r>
      <w:r w:rsidRPr="003743B3">
        <w:t xml:space="preserve"> </w:t>
      </w:r>
      <w:proofErr w:type="spellStart"/>
      <w:r w:rsidRPr="003743B3">
        <w:t>biosimilars</w:t>
      </w:r>
      <w:proofErr w:type="spellEnd"/>
      <w:r w:rsidRPr="003743B3">
        <w:t xml:space="preserve"> (</w:t>
      </w:r>
      <w:proofErr w:type="spellStart"/>
      <w:r w:rsidR="00F40E06" w:rsidRPr="003743B3">
        <w:t>Bemfolia</w:t>
      </w:r>
      <w:proofErr w:type="spellEnd"/>
      <w:r w:rsidR="00F40E06" w:rsidRPr="003743B3">
        <w:t>/</w:t>
      </w:r>
      <w:proofErr w:type="spellStart"/>
      <w:r w:rsidR="00F40E06" w:rsidRPr="003743B3">
        <w:t>Afolia</w:t>
      </w:r>
      <w:proofErr w:type="spellEnd"/>
      <w:r w:rsidRPr="003743B3">
        <w:t>)</w:t>
      </w:r>
      <w:r w:rsidR="00F40E06">
        <w:rPr>
          <w:rStyle w:val="FootnoteReference"/>
        </w:rPr>
        <w:footnoteReference w:id="8"/>
      </w:r>
      <w:r w:rsidRPr="003743B3">
        <w:t xml:space="preserve"> except for the thermal stability of the higher order structure. There were also qualitative differences in the formulations of </w:t>
      </w:r>
      <w:proofErr w:type="spellStart"/>
      <w:r w:rsidR="00626892">
        <w:t>Gonal</w:t>
      </w:r>
      <w:proofErr w:type="spellEnd"/>
      <w:r w:rsidR="00626892">
        <w:t>-f</w:t>
      </w:r>
      <w:r w:rsidRPr="003743B3">
        <w:t xml:space="preserve"> and </w:t>
      </w:r>
      <w:proofErr w:type="spellStart"/>
      <w:r w:rsidR="00626892">
        <w:t>Ovaleap</w:t>
      </w:r>
      <w:proofErr w:type="spellEnd"/>
      <w:r w:rsidRPr="003743B3">
        <w:t xml:space="preserve">. The evaluator states that, as per </w:t>
      </w:r>
      <w:r w:rsidR="005A7CFA">
        <w:t>the TGA and TGA-</w:t>
      </w:r>
      <w:r w:rsidRPr="003743B3">
        <w:t>adopted guidelines, clinical studies are required to confirm that these differences are not clinically relevant.</w:t>
      </w:r>
    </w:p>
    <w:p w14:paraId="3D2943C6" w14:textId="77777777" w:rsidR="00167DEB" w:rsidRPr="00893B34" w:rsidRDefault="00167DEB" w:rsidP="00167DEB">
      <w:r>
        <w:t xml:space="preserve">The data supplied in relation to the physical and chemical properties of </w:t>
      </w:r>
      <w:proofErr w:type="spellStart"/>
      <w:r w:rsidR="00626892">
        <w:t>Ovaleap</w:t>
      </w:r>
      <w:proofErr w:type="spellEnd"/>
      <w:r>
        <w:t xml:space="preserve"> were satisfactory. </w:t>
      </w:r>
      <w:r w:rsidRPr="00BD0265">
        <w:t xml:space="preserve">There are no issues pertaining to </w:t>
      </w:r>
      <w:r>
        <w:t>the specifications or the</w:t>
      </w:r>
      <w:r w:rsidRPr="00BD0265">
        <w:t xml:space="preserve"> stability of </w:t>
      </w:r>
      <w:r>
        <w:t xml:space="preserve">the </w:t>
      </w:r>
      <w:r w:rsidR="00F40E06" w:rsidRPr="00BD0265">
        <w:t xml:space="preserve">drug substance </w:t>
      </w:r>
      <w:r w:rsidR="00F40E06">
        <w:t>or the drug product.</w:t>
      </w:r>
    </w:p>
    <w:p w14:paraId="7319CE14" w14:textId="049A2258" w:rsidR="00167DEB" w:rsidRDefault="00167DEB" w:rsidP="00167DEB">
      <w:r w:rsidRPr="00BD0265">
        <w:t xml:space="preserve">All manufacturing steps </w:t>
      </w:r>
      <w:r>
        <w:t>and analytical procedures we</w:t>
      </w:r>
      <w:r w:rsidR="00F40E06">
        <w:t>re validated.</w:t>
      </w:r>
    </w:p>
    <w:p w14:paraId="2824410B" w14:textId="7838A598" w:rsidR="00D2636B" w:rsidRDefault="00D2636B" w:rsidP="00167DEB">
      <w:r w:rsidRPr="001F768A">
        <w:t xml:space="preserve">The real time data submitted support a shelf life for the </w:t>
      </w:r>
      <w:r>
        <w:t xml:space="preserve">drug product of 36 months when stored at </w:t>
      </w:r>
      <w:r>
        <w:rPr>
          <w:lang w:val="en-GB"/>
        </w:rPr>
        <w:t>2°C to 8°C protected from light</w:t>
      </w:r>
      <w:r w:rsidRPr="001F48AA">
        <w:t>.</w:t>
      </w:r>
      <w:r>
        <w:t xml:space="preserve"> </w:t>
      </w:r>
      <w:r w:rsidRPr="008A1D85">
        <w:t>During transport</w:t>
      </w:r>
      <w:r>
        <w:t>,</w:t>
      </w:r>
      <w:r w:rsidRPr="008A1D85">
        <w:t xml:space="preserve"> </w:t>
      </w:r>
      <w:proofErr w:type="spellStart"/>
      <w:r>
        <w:t>Ovaleap</w:t>
      </w:r>
      <w:proofErr w:type="spellEnd"/>
      <w:r>
        <w:t xml:space="preserve"> can be stored at 2 to </w:t>
      </w:r>
      <w:r w:rsidRPr="008A1D85">
        <w:t>8</w:t>
      </w:r>
      <w:r>
        <w:rPr>
          <w:lang w:val="en-GB"/>
        </w:rPr>
        <w:t>°</w:t>
      </w:r>
      <w:r>
        <w:t>C with no more than 5 hours at 25</w:t>
      </w:r>
      <w:r>
        <w:rPr>
          <w:lang w:val="en-GB"/>
        </w:rPr>
        <w:t>°</w:t>
      </w:r>
      <w:r w:rsidRPr="008A1D85">
        <w:t>C</w:t>
      </w:r>
      <w:r>
        <w:t>.</w:t>
      </w:r>
    </w:p>
    <w:p w14:paraId="4003DC96" w14:textId="77777777" w:rsidR="00167DEB" w:rsidRDefault="00167DEB" w:rsidP="00167DEB">
      <w:r>
        <w:t xml:space="preserve">There are no objections to the registration of this product from sterility, endotoxin, container safety or an </w:t>
      </w:r>
      <w:r w:rsidR="00F40E06">
        <w:t>adventitious agent perspective.</w:t>
      </w:r>
    </w:p>
    <w:p w14:paraId="15A729F2" w14:textId="77777777" w:rsidR="00167DEB" w:rsidRDefault="00C81051" w:rsidP="00167DEB">
      <w:pPr>
        <w:pStyle w:val="Heading4"/>
      </w:pPr>
      <w:r>
        <w:t>Proposed quality</w:t>
      </w:r>
      <w:r w:rsidR="00167DEB" w:rsidRPr="00AA53F4">
        <w:t xml:space="preserve"> conditions of registration</w:t>
      </w:r>
    </w:p>
    <w:p w14:paraId="4900EB9A" w14:textId="77777777" w:rsidR="00C81051" w:rsidRPr="00EB01E9" w:rsidRDefault="00C81051" w:rsidP="00C81051">
      <w:pPr>
        <w:pStyle w:val="ListBullet"/>
        <w:numPr>
          <w:ilvl w:val="0"/>
          <w:numId w:val="3"/>
        </w:numPr>
        <w:rPr>
          <w:lang w:eastAsia="en-AU"/>
        </w:rPr>
      </w:pPr>
      <w:r w:rsidRPr="004672F9">
        <w:rPr>
          <w:lang w:eastAsia="en-AU"/>
        </w:rPr>
        <w:t xml:space="preserve">Laboratory testing </w:t>
      </w:r>
      <w:r w:rsidRPr="00E4683C">
        <w:rPr>
          <w:lang w:eastAsia="en-AU"/>
        </w:rPr>
        <w:t xml:space="preserve">and </w:t>
      </w:r>
      <w:r w:rsidRPr="00903D9D">
        <w:rPr>
          <w:lang w:eastAsia="en-AU"/>
        </w:rPr>
        <w:t>compliance with</w:t>
      </w:r>
      <w:r w:rsidRPr="00EB01E9">
        <w:rPr>
          <w:lang w:eastAsia="en-AU"/>
        </w:rPr>
        <w:t xml:space="preserve"> Certified Product Details</w:t>
      </w:r>
    </w:p>
    <w:p w14:paraId="435B3FBF" w14:textId="77777777" w:rsidR="00C81051" w:rsidRPr="00EB01E9" w:rsidRDefault="00C81051" w:rsidP="00C81051">
      <w:pPr>
        <w:pStyle w:val="ListBullet2"/>
        <w:numPr>
          <w:ilvl w:val="1"/>
          <w:numId w:val="3"/>
        </w:numPr>
        <w:rPr>
          <w:lang w:eastAsia="en-AU"/>
        </w:rPr>
      </w:pPr>
      <w:r w:rsidRPr="00EB01E9">
        <w:rPr>
          <w:lang w:eastAsia="en-AU"/>
        </w:rPr>
        <w:t>All batches of:</w:t>
      </w:r>
    </w:p>
    <w:p w14:paraId="1EA96332" w14:textId="77777777" w:rsidR="00C81051" w:rsidRPr="00EB01E9" w:rsidRDefault="00C81051" w:rsidP="00C81051">
      <w:pPr>
        <w:pStyle w:val="ListBullet2"/>
        <w:numPr>
          <w:ilvl w:val="0"/>
          <w:numId w:val="0"/>
        </w:numPr>
        <w:ind w:left="850"/>
        <w:rPr>
          <w:lang w:eastAsia="en-AU"/>
        </w:rPr>
      </w:pPr>
      <w:proofErr w:type="spellStart"/>
      <w:r w:rsidRPr="00EB01E9">
        <w:rPr>
          <w:rFonts w:cs="Cambria"/>
          <w:lang w:eastAsia="en-AU"/>
        </w:rPr>
        <w:t>Ovaleap</w:t>
      </w:r>
      <w:proofErr w:type="spellEnd"/>
      <w:r w:rsidRPr="00EB01E9">
        <w:rPr>
          <w:rFonts w:cs="Cambria"/>
          <w:lang w:eastAsia="en-AU"/>
        </w:rPr>
        <w:t xml:space="preserve"> 450 IU/0.75 mL </w:t>
      </w:r>
      <w:proofErr w:type="spellStart"/>
      <w:r w:rsidRPr="00EB01E9">
        <w:rPr>
          <w:rFonts w:cs="Cambria"/>
          <w:lang w:eastAsia="en-AU"/>
        </w:rPr>
        <w:t>follitropin</w:t>
      </w:r>
      <w:proofErr w:type="spellEnd"/>
      <w:r w:rsidRPr="00EB01E9">
        <w:rPr>
          <w:rFonts w:cs="Cambria"/>
          <w:lang w:eastAsia="en-AU"/>
        </w:rPr>
        <w:t xml:space="preserve"> alfa (rch) solution for injection- cartridge;</w:t>
      </w:r>
    </w:p>
    <w:p w14:paraId="634F42B7" w14:textId="77777777" w:rsidR="00C81051" w:rsidRPr="004672F9" w:rsidRDefault="00C81051" w:rsidP="00C81051">
      <w:pPr>
        <w:pStyle w:val="ListBullet2"/>
        <w:numPr>
          <w:ilvl w:val="0"/>
          <w:numId w:val="0"/>
        </w:numPr>
        <w:ind w:left="850"/>
        <w:rPr>
          <w:lang w:eastAsia="en-AU"/>
        </w:rPr>
      </w:pPr>
      <w:proofErr w:type="spellStart"/>
      <w:r w:rsidRPr="00EB01E9">
        <w:rPr>
          <w:rFonts w:cs="Cambria"/>
          <w:lang w:eastAsia="en-AU"/>
        </w:rPr>
        <w:t>O</w:t>
      </w:r>
      <w:r w:rsidRPr="004672F9">
        <w:rPr>
          <w:rFonts w:cs="Cambria"/>
          <w:lang w:eastAsia="en-AU"/>
        </w:rPr>
        <w:t>valeap</w:t>
      </w:r>
      <w:proofErr w:type="spellEnd"/>
      <w:r w:rsidRPr="004672F9">
        <w:rPr>
          <w:rFonts w:cs="Cambria"/>
          <w:lang w:eastAsia="en-AU"/>
        </w:rPr>
        <w:t xml:space="preserve"> 900 IU/1.5 mL </w:t>
      </w:r>
      <w:proofErr w:type="spellStart"/>
      <w:r w:rsidRPr="004672F9">
        <w:rPr>
          <w:rFonts w:cs="Cambria"/>
          <w:lang w:eastAsia="en-AU"/>
        </w:rPr>
        <w:t>follitropin</w:t>
      </w:r>
      <w:proofErr w:type="spellEnd"/>
      <w:r w:rsidRPr="004672F9">
        <w:rPr>
          <w:rFonts w:cs="Cambria"/>
          <w:lang w:eastAsia="en-AU"/>
        </w:rPr>
        <w:t xml:space="preserve"> alfa (rch) solution for injection- cartridge;</w:t>
      </w:r>
    </w:p>
    <w:p w14:paraId="72BF403E" w14:textId="77777777" w:rsidR="00C81051" w:rsidRPr="00EB01E9" w:rsidRDefault="00C81051" w:rsidP="00C81051">
      <w:pPr>
        <w:pStyle w:val="ListBullet2"/>
        <w:numPr>
          <w:ilvl w:val="0"/>
          <w:numId w:val="0"/>
        </w:numPr>
        <w:ind w:left="850"/>
        <w:rPr>
          <w:lang w:eastAsia="en-AU"/>
        </w:rPr>
      </w:pPr>
      <w:proofErr w:type="spellStart"/>
      <w:r w:rsidRPr="004672F9">
        <w:rPr>
          <w:rFonts w:cs="Cambria"/>
          <w:lang w:eastAsia="en-AU"/>
        </w:rPr>
        <w:t>O</w:t>
      </w:r>
      <w:r w:rsidRPr="00E4683C">
        <w:rPr>
          <w:rFonts w:cs="Cambria"/>
          <w:lang w:eastAsia="en-AU"/>
        </w:rPr>
        <w:t>valeap</w:t>
      </w:r>
      <w:proofErr w:type="spellEnd"/>
      <w:r w:rsidRPr="00E4683C">
        <w:rPr>
          <w:rFonts w:cs="Cambria"/>
          <w:lang w:eastAsia="en-AU"/>
        </w:rPr>
        <w:t xml:space="preserve"> 300</w:t>
      </w:r>
      <w:r w:rsidRPr="00903D9D">
        <w:rPr>
          <w:rFonts w:cs="Cambria"/>
          <w:lang w:eastAsia="en-AU"/>
        </w:rPr>
        <w:t xml:space="preserve"> </w:t>
      </w:r>
      <w:r w:rsidRPr="00EB01E9">
        <w:rPr>
          <w:rFonts w:cs="Cambria"/>
          <w:lang w:eastAsia="en-AU"/>
        </w:rPr>
        <w:t xml:space="preserve">IU/0.5 mL </w:t>
      </w:r>
      <w:proofErr w:type="spellStart"/>
      <w:r w:rsidRPr="00EB01E9">
        <w:rPr>
          <w:rFonts w:cs="Cambria"/>
          <w:lang w:eastAsia="en-AU"/>
        </w:rPr>
        <w:t>follitropin</w:t>
      </w:r>
      <w:proofErr w:type="spellEnd"/>
      <w:r w:rsidRPr="00EB01E9">
        <w:rPr>
          <w:rFonts w:cs="Cambria"/>
          <w:lang w:eastAsia="en-AU"/>
        </w:rPr>
        <w:t xml:space="preserve"> alfa (rch) solution for injection- cartridge</w:t>
      </w:r>
    </w:p>
    <w:p w14:paraId="2E107B97" w14:textId="77777777" w:rsidR="00C81051" w:rsidRPr="00EB01E9" w:rsidRDefault="00C81051" w:rsidP="00C81051">
      <w:pPr>
        <w:pStyle w:val="ListBullet2"/>
        <w:numPr>
          <w:ilvl w:val="0"/>
          <w:numId w:val="0"/>
        </w:numPr>
        <w:ind w:left="850"/>
        <w:rPr>
          <w:lang w:eastAsia="en-AU"/>
        </w:rPr>
      </w:pPr>
      <w:r w:rsidRPr="00EB01E9">
        <w:rPr>
          <w:rFonts w:cs="Cambria"/>
          <w:lang w:eastAsia="en-AU"/>
        </w:rPr>
        <w:t>supplied in Australia must comply with the product details and specifications approved during evaluation and detailed in the Certified Product Details (CPD).</w:t>
      </w:r>
    </w:p>
    <w:p w14:paraId="49622D71" w14:textId="77777777" w:rsidR="00C81051" w:rsidRPr="00EB01E9" w:rsidRDefault="00C81051" w:rsidP="00C81051">
      <w:pPr>
        <w:pStyle w:val="ListBullet2"/>
        <w:numPr>
          <w:ilvl w:val="1"/>
          <w:numId w:val="3"/>
        </w:numPr>
        <w:rPr>
          <w:lang w:eastAsia="en-AU"/>
        </w:rPr>
      </w:pPr>
      <w:r w:rsidRPr="00EB01E9">
        <w:rPr>
          <w:lang w:eastAsia="en-AU"/>
        </w:rPr>
        <w:t xml:space="preserve">When requested by the TGA, the sponsor should be prepared to provide product </w:t>
      </w:r>
      <w:r w:rsidRPr="00EB01E9">
        <w:rPr>
          <w:rFonts w:cs="Cambria"/>
          <w:lang w:eastAsia="en-AU"/>
        </w:rPr>
        <w:t>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56761CDE" w14:textId="77777777" w:rsidR="00C81051" w:rsidRPr="00EB01E9" w:rsidRDefault="00C81051" w:rsidP="00C81051">
      <w:pPr>
        <w:pStyle w:val="ListBullet"/>
        <w:numPr>
          <w:ilvl w:val="0"/>
          <w:numId w:val="3"/>
        </w:numPr>
        <w:rPr>
          <w:lang w:eastAsia="en-AU"/>
        </w:rPr>
      </w:pPr>
      <w:r w:rsidRPr="00EB01E9">
        <w:rPr>
          <w:lang w:eastAsia="en-AU"/>
        </w:rPr>
        <w:t>Certified Product Details</w:t>
      </w:r>
    </w:p>
    <w:p w14:paraId="0C3E622B" w14:textId="77777777" w:rsidR="00E45619" w:rsidRDefault="00C81051" w:rsidP="00C81051">
      <w:pPr>
        <w:pStyle w:val="ListBullet"/>
        <w:numPr>
          <w:ilvl w:val="0"/>
          <w:numId w:val="0"/>
        </w:numPr>
        <w:ind w:left="360"/>
        <w:rPr>
          <w:lang w:eastAsia="en-AU"/>
        </w:rPr>
      </w:pPr>
      <w:r w:rsidRPr="00EB01E9">
        <w:rPr>
          <w:lang w:eastAsia="en-AU"/>
        </w:rPr>
        <w:t>The CPD, as described in Guidance 7: Certified Product Details of the Australian Regulatory Guidelines for Prescription Medicines (ARGPM) (</w:t>
      </w:r>
      <w:r w:rsidRPr="00EB01E9">
        <w:rPr>
          <w:color w:val="0000FF"/>
          <w:lang w:eastAsia="en-AU"/>
        </w:rPr>
        <w:t>http://www.tga.gov.au/industry/pm-argpm-guidance-7.htm</w:t>
      </w:r>
      <w:r w:rsidRPr="00EB01E9">
        <w:rPr>
          <w:lang w:eastAsia="en-AU"/>
        </w:rPr>
        <w:t>),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w:t>
      </w:r>
      <w:r>
        <w:rPr>
          <w:lang w:eastAsia="en-AU"/>
        </w:rPr>
        <w:t>hange.</w:t>
      </w:r>
    </w:p>
    <w:p w14:paraId="5048C637" w14:textId="77777777" w:rsidR="008E7846" w:rsidRDefault="008E7846" w:rsidP="005A7CFA">
      <w:pPr>
        <w:pStyle w:val="Heading3"/>
      </w:pPr>
      <w:bookmarkStart w:id="38" w:name="_Toc314842512"/>
      <w:bookmarkStart w:id="39" w:name="_Toc72314036"/>
      <w:r>
        <w:lastRenderedPageBreak/>
        <w:t>Nonclinical</w:t>
      </w:r>
      <w:bookmarkEnd w:id="38"/>
      <w:bookmarkEnd w:id="39"/>
    </w:p>
    <w:p w14:paraId="12E90779" w14:textId="553D5600" w:rsidR="00167DEB" w:rsidRDefault="00167DEB" w:rsidP="005A7CFA">
      <w:pPr>
        <w:keepLines/>
      </w:pPr>
      <w:r>
        <w:t xml:space="preserve">There were no nonclinical objections to the registration of </w:t>
      </w:r>
      <w:proofErr w:type="spellStart"/>
      <w:r w:rsidR="00626892">
        <w:t>Ovaleap</w:t>
      </w:r>
      <w:proofErr w:type="spellEnd"/>
      <w:r>
        <w:t xml:space="preserve"> </w:t>
      </w:r>
      <w:proofErr w:type="spellStart"/>
      <w:r w:rsidR="00C14C23">
        <w:t>follitropin</w:t>
      </w:r>
      <w:proofErr w:type="spellEnd"/>
      <w:r w:rsidR="00C14C23">
        <w:t xml:space="preserve"> alfa </w:t>
      </w:r>
      <w:r>
        <w:t xml:space="preserve">for the proposed indications. </w:t>
      </w:r>
      <w:r w:rsidRPr="000C2F0E">
        <w:t xml:space="preserve">Comparability of the </w:t>
      </w:r>
      <w:proofErr w:type="spellStart"/>
      <w:r w:rsidR="00626892">
        <w:t>Ovaleap</w:t>
      </w:r>
      <w:proofErr w:type="spellEnd"/>
      <w:r w:rsidRPr="000C2F0E">
        <w:t xml:space="preserve"> and </w:t>
      </w:r>
      <w:proofErr w:type="spellStart"/>
      <w:r w:rsidR="00626892">
        <w:t>Gonal</w:t>
      </w:r>
      <w:proofErr w:type="spellEnd"/>
      <w:r w:rsidR="00626892">
        <w:t>-f</w:t>
      </w:r>
      <w:r w:rsidRPr="000C2F0E">
        <w:t xml:space="preserve"> forms of </w:t>
      </w:r>
      <w:proofErr w:type="spellStart"/>
      <w:r w:rsidRPr="000C2F0E">
        <w:t>follitropin</w:t>
      </w:r>
      <w:proofErr w:type="spellEnd"/>
      <w:r w:rsidRPr="000C2F0E">
        <w:t xml:space="preserve"> alfa, and acceptable local tolerability of the </w:t>
      </w:r>
      <w:proofErr w:type="spellStart"/>
      <w:r w:rsidR="00626892">
        <w:t>Ovaleap</w:t>
      </w:r>
      <w:proofErr w:type="spellEnd"/>
      <w:r w:rsidRPr="000C2F0E">
        <w:t xml:space="preserve"> formulation, </w:t>
      </w:r>
      <w:r>
        <w:t>were</w:t>
      </w:r>
      <w:r w:rsidRPr="000C2F0E">
        <w:t xml:space="preserve"> adequately demonstrated in the submitted nonclinical studies.</w:t>
      </w:r>
    </w:p>
    <w:p w14:paraId="10D0581E" w14:textId="224C8BD4" w:rsidR="00167DEB" w:rsidRDefault="00167DEB" w:rsidP="00167DEB">
      <w:r>
        <w:t xml:space="preserve">The dossier </w:t>
      </w:r>
      <w:r w:rsidRPr="00BD4775">
        <w:t>contained comparative studies on primary pharmacology, pharmacokinetics</w:t>
      </w:r>
      <w:r w:rsidR="001E1DF0">
        <w:t xml:space="preserve"> (PK)</w:t>
      </w:r>
      <w:r w:rsidRPr="00BD4775">
        <w:t xml:space="preserve"> and repeat-dose toxicity; and non-comparative studies on safety pharmacology, single-dose toxicity, repeat-dose toxicity and local tolerance.</w:t>
      </w:r>
      <w:r>
        <w:t xml:space="preserve"> </w:t>
      </w:r>
      <w:r w:rsidRPr="00BD4775">
        <w:t xml:space="preserve">The scope of the nonclinical program was adequate according to the </w:t>
      </w:r>
      <w:r w:rsidR="001E1DF0">
        <w:t>relevant TGA-adopted guideline.</w:t>
      </w:r>
      <w:r w:rsidR="001E1DF0">
        <w:rPr>
          <w:rStyle w:val="FootnoteReference"/>
        </w:rPr>
        <w:footnoteReference w:id="9"/>
      </w:r>
      <w:r w:rsidRPr="00BD4775">
        <w:t xml:space="preserve"> All</w:t>
      </w:r>
      <w:r w:rsidR="001E1DF0">
        <w:t xml:space="preserve"> safety</w:t>
      </w:r>
      <w:r w:rsidR="001E1DF0">
        <w:noBreakHyphen/>
        <w:t>related studies were Good Laboratory Practice</w:t>
      </w:r>
      <w:r w:rsidRPr="00BD4775">
        <w:t>-compliant.</w:t>
      </w:r>
      <w:r>
        <w:t xml:space="preserve"> </w:t>
      </w:r>
      <w:r w:rsidRPr="000C2F0E">
        <w:t xml:space="preserve">Comparative studies were performed using EU sourced </w:t>
      </w:r>
      <w:proofErr w:type="spellStart"/>
      <w:r w:rsidR="00626892">
        <w:t>Gonal</w:t>
      </w:r>
      <w:proofErr w:type="spellEnd"/>
      <w:r w:rsidR="00626892">
        <w:t>-f</w:t>
      </w:r>
      <w:r w:rsidRPr="000C2F0E">
        <w:t xml:space="preserve"> as the refer</w:t>
      </w:r>
      <w:r w:rsidR="001E1DF0">
        <w:t>ence product. The use of the EU</w:t>
      </w:r>
      <w:r w:rsidR="001E1DF0">
        <w:noBreakHyphen/>
      </w:r>
      <w:r w:rsidRPr="000C2F0E">
        <w:t xml:space="preserve">reference product in place of Australian-sourced </w:t>
      </w:r>
      <w:proofErr w:type="spellStart"/>
      <w:r w:rsidR="00626892">
        <w:t>Gonal</w:t>
      </w:r>
      <w:proofErr w:type="spellEnd"/>
      <w:r w:rsidR="00626892">
        <w:t>-f</w:t>
      </w:r>
      <w:r w:rsidRPr="000C2F0E">
        <w:t xml:space="preserve"> was previously found to be acceptable.</w:t>
      </w:r>
    </w:p>
    <w:p w14:paraId="23D1425A" w14:textId="23F07DBA" w:rsidR="00167DEB" w:rsidRDefault="00167DEB" w:rsidP="00167DEB">
      <w:r w:rsidRPr="00D76E95">
        <w:t xml:space="preserve">Comparable serum kinetics were seen for the </w:t>
      </w:r>
      <w:proofErr w:type="spellStart"/>
      <w:r w:rsidR="00626892" w:rsidRPr="00C81051">
        <w:t>Ovaleap</w:t>
      </w:r>
      <w:proofErr w:type="spellEnd"/>
      <w:r w:rsidRPr="00C81051">
        <w:t xml:space="preserve"> </w:t>
      </w:r>
      <w:r w:rsidRPr="00D76E95">
        <w:t xml:space="preserve">and </w:t>
      </w:r>
      <w:proofErr w:type="spellStart"/>
      <w:r w:rsidR="00626892">
        <w:t>Gonal</w:t>
      </w:r>
      <w:proofErr w:type="spellEnd"/>
      <w:r w:rsidR="00626892">
        <w:t>-f</w:t>
      </w:r>
      <w:r>
        <w:rPr>
          <w:smallCaps/>
        </w:rPr>
        <w:t xml:space="preserve"> </w:t>
      </w:r>
      <w:r w:rsidRPr="00D76E95">
        <w:t xml:space="preserve">after </w:t>
      </w:r>
      <w:r w:rsidR="00C14C23">
        <w:t>subcutaneous (</w:t>
      </w:r>
      <w:r w:rsidRPr="00D76E95">
        <w:t>SC</w:t>
      </w:r>
      <w:r w:rsidR="00C14C23">
        <w:t>)</w:t>
      </w:r>
      <w:r w:rsidRPr="00D76E95">
        <w:t xml:space="preserve"> administration in rats. </w:t>
      </w:r>
      <w:r>
        <w:t xml:space="preserve">Comparability of the primary pharmacological activity of the </w:t>
      </w:r>
      <w:proofErr w:type="spellStart"/>
      <w:r w:rsidR="00626892" w:rsidRPr="00C81051">
        <w:t>Ovaleap</w:t>
      </w:r>
      <w:proofErr w:type="spellEnd"/>
      <w:r>
        <w:t xml:space="preserve"> and </w:t>
      </w:r>
      <w:proofErr w:type="spellStart"/>
      <w:r w:rsidR="00626892">
        <w:t>Gonal</w:t>
      </w:r>
      <w:proofErr w:type="spellEnd"/>
      <w:r w:rsidR="00626892">
        <w:t>-f</w:t>
      </w:r>
      <w:r>
        <w:t xml:space="preserve"> was demonstrated in:</w:t>
      </w:r>
    </w:p>
    <w:p w14:paraId="2DEB4D2A" w14:textId="73A38BEC" w:rsidR="00167DEB" w:rsidRDefault="00167DEB" w:rsidP="00C81051">
      <w:pPr>
        <w:pStyle w:val="ListBullet"/>
      </w:pPr>
      <w:r w:rsidRPr="001D5046">
        <w:rPr>
          <w:i/>
        </w:rPr>
        <w:t>in vitro</w:t>
      </w:r>
      <w:r>
        <w:t xml:space="preserve"> assays examining binding affinity and association/dissociation kinetics at the </w:t>
      </w:r>
      <w:r w:rsidR="00C14C23">
        <w:t xml:space="preserve">human </w:t>
      </w:r>
      <w:r>
        <w:t>r</w:t>
      </w:r>
      <w:r w:rsidR="00C14C23">
        <w:t>-</w:t>
      </w:r>
      <w:r>
        <w:t>FSH receptor;</w:t>
      </w:r>
    </w:p>
    <w:p w14:paraId="36FC0F43" w14:textId="77777777" w:rsidR="00167DEB" w:rsidRDefault="00167DEB" w:rsidP="00C81051">
      <w:pPr>
        <w:pStyle w:val="ListBullet"/>
      </w:pPr>
      <w:r w:rsidRPr="008B2D8B">
        <w:rPr>
          <w:i/>
        </w:rPr>
        <w:t>in vitro</w:t>
      </w:r>
      <w:r>
        <w:t xml:space="preserve"> assays examining activation of the recombinant human FSH receptor;</w:t>
      </w:r>
    </w:p>
    <w:p w14:paraId="7EE2505B" w14:textId="77777777" w:rsidR="00167DEB" w:rsidRDefault="00167DEB" w:rsidP="00C81051">
      <w:pPr>
        <w:pStyle w:val="ListBullet"/>
      </w:pPr>
      <w:r>
        <w:t xml:space="preserve">the </w:t>
      </w:r>
      <w:r w:rsidRPr="008B2D8B">
        <w:rPr>
          <w:i/>
        </w:rPr>
        <w:t>in vivo</w:t>
      </w:r>
      <w:r>
        <w:t xml:space="preserve"> </w:t>
      </w:r>
      <w:proofErr w:type="spellStart"/>
      <w:r>
        <w:t>Steelman-Pohley</w:t>
      </w:r>
      <w:proofErr w:type="spellEnd"/>
      <w:r>
        <w:t xml:space="preserve"> assay, examining increased ovarian weight in treated immature rats.</w:t>
      </w:r>
    </w:p>
    <w:p w14:paraId="4B31BD27" w14:textId="7DFB5081" w:rsidR="00167DEB" w:rsidRPr="00C81051" w:rsidRDefault="00167DEB" w:rsidP="00C81051">
      <w:r>
        <w:t xml:space="preserve">Safety pharmacology studies with </w:t>
      </w:r>
      <w:proofErr w:type="spellStart"/>
      <w:r w:rsidR="00626892" w:rsidRPr="00C81051">
        <w:t>Ovaleap</w:t>
      </w:r>
      <w:proofErr w:type="spellEnd"/>
      <w:r>
        <w:t xml:space="preserve"> revealed no adverse effects on </w:t>
      </w:r>
      <w:r w:rsidR="00DA5F28">
        <w:t>central nervous system (</w:t>
      </w:r>
      <w:r>
        <w:t>CNS</w:t>
      </w:r>
      <w:r w:rsidR="00DA5F28">
        <w:t>)</w:t>
      </w:r>
      <w:r>
        <w:t xml:space="preserve"> and respiratory function in rats (at up to 5000 and 1000 IU/kg SC) or on cardiovascular function in dogs (tested up to 100 IU/kg SC). </w:t>
      </w:r>
      <w:r w:rsidRPr="009513F7">
        <w:t xml:space="preserve">No acute toxic effects were observed with </w:t>
      </w:r>
      <w:proofErr w:type="spellStart"/>
      <w:r w:rsidR="00626892" w:rsidRPr="00C81051">
        <w:t>Ovaleap</w:t>
      </w:r>
      <w:proofErr w:type="spellEnd"/>
      <w:r w:rsidRPr="00C81051">
        <w:t xml:space="preserve"> in male and female rats following si</w:t>
      </w:r>
      <w:r w:rsidR="00DA5F28">
        <w:t>ngle SC administration at 5000 </w:t>
      </w:r>
      <w:r w:rsidRPr="00C81051">
        <w:t xml:space="preserve">IU/kg. Repeat-dose toxicity studies of 2 weeks duration were performed with </w:t>
      </w:r>
      <w:proofErr w:type="spellStart"/>
      <w:r w:rsidR="00626892" w:rsidRPr="00C81051">
        <w:t>Ovaleap</w:t>
      </w:r>
      <w:proofErr w:type="spellEnd"/>
      <w:r w:rsidRPr="00C81051">
        <w:t xml:space="preserve"> in female rats and dogs, and with </w:t>
      </w:r>
      <w:proofErr w:type="spellStart"/>
      <w:r w:rsidR="00626892" w:rsidRPr="00C81051">
        <w:t>Ovaleap</w:t>
      </w:r>
      <w:proofErr w:type="spellEnd"/>
      <w:r w:rsidRPr="00C81051">
        <w:t xml:space="preserve"> compared against </w:t>
      </w:r>
      <w:proofErr w:type="spellStart"/>
      <w:r w:rsidR="00626892" w:rsidRPr="00C81051">
        <w:t>Gonal</w:t>
      </w:r>
      <w:proofErr w:type="spellEnd"/>
      <w:r w:rsidR="00626892" w:rsidRPr="00C81051">
        <w:t>-f</w:t>
      </w:r>
      <w:r w:rsidR="00DA5F28">
        <w:t xml:space="preserve"> in a 4 </w:t>
      </w:r>
      <w:r w:rsidRPr="00C81051">
        <w:t xml:space="preserve">week study in male and female rats. The key findings in the studies represented the pharmacological effects of FSH activity, with effects comparable between </w:t>
      </w:r>
      <w:proofErr w:type="spellStart"/>
      <w:r w:rsidR="00626892" w:rsidRPr="00C81051">
        <w:t>Ovaleap</w:t>
      </w:r>
      <w:proofErr w:type="spellEnd"/>
      <w:r w:rsidRPr="00C81051">
        <w:t xml:space="preserve"> and </w:t>
      </w:r>
      <w:proofErr w:type="spellStart"/>
      <w:r w:rsidR="00626892" w:rsidRPr="00C81051">
        <w:t>Gonal</w:t>
      </w:r>
      <w:proofErr w:type="spellEnd"/>
      <w:r w:rsidR="00626892" w:rsidRPr="00C81051">
        <w:t>-f</w:t>
      </w:r>
      <w:r w:rsidRPr="00C81051">
        <w:t>.</w:t>
      </w:r>
    </w:p>
    <w:p w14:paraId="4E325204" w14:textId="57DA8490" w:rsidR="008E7846" w:rsidRDefault="00167DEB" w:rsidP="00C81051">
      <w:r w:rsidRPr="00C81051">
        <w:t xml:space="preserve">The excipient profile of </w:t>
      </w:r>
      <w:proofErr w:type="spellStart"/>
      <w:r w:rsidR="00626892" w:rsidRPr="00C81051">
        <w:t>Ovaleap</w:t>
      </w:r>
      <w:proofErr w:type="spellEnd"/>
      <w:r w:rsidRPr="00C81051">
        <w:t xml:space="preserve"> differs from that of </w:t>
      </w:r>
      <w:proofErr w:type="spellStart"/>
      <w:r w:rsidR="00626892" w:rsidRPr="00C81051">
        <w:t>Gonal</w:t>
      </w:r>
      <w:proofErr w:type="spellEnd"/>
      <w:r w:rsidR="00626892" w:rsidRPr="00C81051">
        <w:t>-f</w:t>
      </w:r>
      <w:r w:rsidRPr="00C81051">
        <w:t xml:space="preserve">. </w:t>
      </w:r>
      <w:proofErr w:type="spellStart"/>
      <w:r w:rsidR="00626892" w:rsidRPr="00C81051">
        <w:t>Ovaleap</w:t>
      </w:r>
      <w:proofErr w:type="spellEnd"/>
      <w:r w:rsidRPr="00C81051">
        <w:t xml:space="preserve"> was</w:t>
      </w:r>
      <w:r w:rsidRPr="00814BC7">
        <w:t xml:space="preserve"> shown to be acceptably well tolerated locally by the SC </w:t>
      </w:r>
      <w:r>
        <w:t>route</w:t>
      </w:r>
      <w:r w:rsidRPr="00814BC7">
        <w:t>, and with intramuscular</w:t>
      </w:r>
      <w:r w:rsidR="00DA5F28">
        <w:t xml:space="preserve"> and </w:t>
      </w:r>
      <w:proofErr w:type="spellStart"/>
      <w:r w:rsidR="00DA5F28">
        <w:t>paravenous</w:t>
      </w:r>
      <w:proofErr w:type="spellEnd"/>
      <w:r w:rsidR="00DA5F28">
        <w:t xml:space="preserve"> administration.</w:t>
      </w:r>
    </w:p>
    <w:p w14:paraId="7B813CEA" w14:textId="77777777" w:rsidR="008E7846" w:rsidRDefault="008E7846" w:rsidP="008E7846">
      <w:pPr>
        <w:pStyle w:val="Heading3"/>
      </w:pPr>
      <w:bookmarkStart w:id="40" w:name="_Toc247691530"/>
      <w:bookmarkStart w:id="41" w:name="_Toc314842513"/>
      <w:bookmarkStart w:id="42" w:name="_Toc72314037"/>
      <w:r>
        <w:t>Clinical</w:t>
      </w:r>
      <w:bookmarkEnd w:id="40"/>
      <w:bookmarkEnd w:id="41"/>
      <w:bookmarkEnd w:id="42"/>
    </w:p>
    <w:p w14:paraId="280AD891" w14:textId="040084FA" w:rsidR="00167DEB" w:rsidRDefault="00167DEB" w:rsidP="00167DEB">
      <w:r>
        <w:t xml:space="preserve">The submission included a single dose PK study, a single dose bioequivalence study and one pivotal study of efficacy and safety in infertile, but ovulatory, women undergoing superovulation for </w:t>
      </w:r>
      <w:r w:rsidR="00E70552">
        <w:t>a</w:t>
      </w:r>
      <w:r w:rsidR="00E70552" w:rsidRPr="00B32BE0">
        <w:t>ssiste</w:t>
      </w:r>
      <w:r w:rsidR="00E70552">
        <w:t>d reproductive technologies (</w:t>
      </w:r>
      <w:r w:rsidR="00C904BD">
        <w:t>ART</w:t>
      </w:r>
      <w:r w:rsidR="00E70552">
        <w:t>) as summarised in</w:t>
      </w:r>
      <w:r>
        <w:t xml:space="preserve"> </w:t>
      </w:r>
      <w:r>
        <w:fldChar w:fldCharType="begin"/>
      </w:r>
      <w:r>
        <w:instrText xml:space="preserve"> REF _Ref60837473 \h </w:instrText>
      </w:r>
      <w:r>
        <w:fldChar w:fldCharType="separate"/>
      </w:r>
      <w:r w:rsidR="005A7CFA">
        <w:t xml:space="preserve">Table </w:t>
      </w:r>
      <w:r w:rsidR="005A7CFA">
        <w:rPr>
          <w:noProof/>
        </w:rPr>
        <w:t>3</w:t>
      </w:r>
      <w:r>
        <w:fldChar w:fldCharType="end"/>
      </w:r>
      <w:r w:rsidR="00207272">
        <w:t>.</w:t>
      </w:r>
      <w:r w:rsidR="00CA1F46">
        <w:t xml:space="preserve"> </w:t>
      </w:r>
      <w:r w:rsidR="00CA1F46">
        <w:rPr>
          <w:lang w:eastAsia="ja-JP"/>
        </w:rPr>
        <w:t>In addition, there were preliminary data from Study XM17-WH-50005</w:t>
      </w:r>
      <w:r w:rsidR="00E70552">
        <w:rPr>
          <w:lang w:eastAsia="ja-JP"/>
        </w:rPr>
        <w:t>, a post</w:t>
      </w:r>
      <w:r w:rsidR="00E70552">
        <w:rPr>
          <w:lang w:eastAsia="ja-JP"/>
        </w:rPr>
        <w:noBreakHyphen/>
        <w:t>marketing study.</w:t>
      </w:r>
    </w:p>
    <w:p w14:paraId="4322FA62" w14:textId="6EE4A80A" w:rsidR="00167DEB" w:rsidRDefault="00167DEB" w:rsidP="00D74C4A">
      <w:pPr>
        <w:pStyle w:val="TableTitle"/>
      </w:pPr>
      <w:bookmarkStart w:id="43" w:name="_Ref60837473"/>
      <w:r>
        <w:lastRenderedPageBreak/>
        <w:t xml:space="preserve">Table </w:t>
      </w:r>
      <w:fldSimple w:instr=" SEQ Table \* ARABIC ">
        <w:r w:rsidR="005A7CFA">
          <w:rPr>
            <w:noProof/>
          </w:rPr>
          <w:t>3</w:t>
        </w:r>
      </w:fldSimple>
      <w:bookmarkEnd w:id="43"/>
      <w:r w:rsidR="00D74C4A">
        <w:rPr>
          <w:noProof/>
        </w:rPr>
        <w:t>:</w:t>
      </w:r>
      <w:r>
        <w:t xml:space="preserve"> Clinical development program for</w:t>
      </w:r>
      <w:r w:rsidR="00D74C4A">
        <w:t xml:space="preserve"> </w:t>
      </w:r>
      <w:proofErr w:type="spellStart"/>
      <w:r w:rsidR="00D74C4A">
        <w:t>Ovaleap</w:t>
      </w:r>
      <w:proofErr w:type="spellEnd"/>
    </w:p>
    <w:tbl>
      <w:tblPr>
        <w:tblStyle w:val="TableTGAblue"/>
        <w:tblW w:w="5000" w:type="pct"/>
        <w:tblLook w:val="04A0" w:firstRow="1" w:lastRow="0" w:firstColumn="1" w:lastColumn="0" w:noHBand="0" w:noVBand="1"/>
      </w:tblPr>
      <w:tblGrid>
        <w:gridCol w:w="1009"/>
        <w:gridCol w:w="1529"/>
        <w:gridCol w:w="1580"/>
        <w:gridCol w:w="1078"/>
        <w:gridCol w:w="1328"/>
        <w:gridCol w:w="1214"/>
        <w:gridCol w:w="982"/>
      </w:tblGrid>
      <w:tr w:rsidR="00167DEB" w:rsidRPr="00167DEB" w14:paraId="07B7C85E" w14:textId="77777777" w:rsidTr="005A7CFA">
        <w:trPr>
          <w:cnfStyle w:val="100000000000" w:firstRow="1" w:lastRow="0" w:firstColumn="0" w:lastColumn="0" w:oddVBand="0" w:evenVBand="0" w:oddHBand="0" w:evenHBand="0" w:firstRowFirstColumn="0" w:firstRowLastColumn="0" w:lastRowFirstColumn="0" w:lastRowLastColumn="0"/>
        </w:trPr>
        <w:tc>
          <w:tcPr>
            <w:tcW w:w="578" w:type="pct"/>
          </w:tcPr>
          <w:p w14:paraId="2FEC54EC" w14:textId="0189A4EF" w:rsidR="00167DEB" w:rsidRPr="00167DEB" w:rsidRDefault="00D2636B" w:rsidP="00167DEB">
            <w:pPr>
              <w:ind w:left="0" w:right="0"/>
              <w:rPr>
                <w:sz w:val="20"/>
              </w:rPr>
            </w:pPr>
            <w:r>
              <w:rPr>
                <w:sz w:val="20"/>
              </w:rPr>
              <w:t>Study n</w:t>
            </w:r>
            <w:r w:rsidR="00167DEB" w:rsidRPr="00167DEB">
              <w:rPr>
                <w:sz w:val="20"/>
              </w:rPr>
              <w:t>o.</w:t>
            </w:r>
          </w:p>
        </w:tc>
        <w:tc>
          <w:tcPr>
            <w:tcW w:w="877" w:type="pct"/>
          </w:tcPr>
          <w:p w14:paraId="1882BAFA" w14:textId="77777777" w:rsidR="00167DEB" w:rsidRPr="00167DEB" w:rsidRDefault="00167DEB" w:rsidP="00167DEB">
            <w:pPr>
              <w:ind w:left="0" w:right="0"/>
              <w:rPr>
                <w:sz w:val="20"/>
              </w:rPr>
            </w:pPr>
            <w:r w:rsidRPr="00167DEB">
              <w:rPr>
                <w:sz w:val="20"/>
              </w:rPr>
              <w:t>Study type</w:t>
            </w:r>
          </w:p>
        </w:tc>
        <w:tc>
          <w:tcPr>
            <w:tcW w:w="906" w:type="pct"/>
          </w:tcPr>
          <w:p w14:paraId="6A4BC91B" w14:textId="2129CABA" w:rsidR="00167DEB" w:rsidRPr="00167DEB" w:rsidRDefault="00167DEB" w:rsidP="00167DEB">
            <w:pPr>
              <w:ind w:left="0" w:right="0"/>
              <w:rPr>
                <w:sz w:val="20"/>
              </w:rPr>
            </w:pPr>
            <w:r w:rsidRPr="00167DEB">
              <w:rPr>
                <w:sz w:val="20"/>
              </w:rPr>
              <w:t>Subject/</w:t>
            </w:r>
            <w:r w:rsidR="00E70552">
              <w:rPr>
                <w:sz w:val="20"/>
              </w:rPr>
              <w:t xml:space="preserve"> </w:t>
            </w:r>
            <w:r w:rsidRPr="00167DEB">
              <w:rPr>
                <w:sz w:val="20"/>
              </w:rPr>
              <w:t>patient type</w:t>
            </w:r>
          </w:p>
        </w:tc>
        <w:tc>
          <w:tcPr>
            <w:tcW w:w="618" w:type="pct"/>
          </w:tcPr>
          <w:p w14:paraId="786F0B2A" w14:textId="77777777" w:rsidR="00167DEB" w:rsidRPr="00167DEB" w:rsidRDefault="00D74C4A" w:rsidP="00167DEB">
            <w:pPr>
              <w:ind w:left="0" w:right="0"/>
              <w:rPr>
                <w:sz w:val="20"/>
              </w:rPr>
            </w:pPr>
            <w:proofErr w:type="spellStart"/>
            <w:r w:rsidRPr="00167DEB">
              <w:rPr>
                <w:sz w:val="20"/>
              </w:rPr>
              <w:t>Ovaleap</w:t>
            </w:r>
            <w:proofErr w:type="spellEnd"/>
          </w:p>
        </w:tc>
        <w:tc>
          <w:tcPr>
            <w:tcW w:w="761" w:type="pct"/>
          </w:tcPr>
          <w:p w14:paraId="570C3BD9" w14:textId="77777777" w:rsidR="00167DEB" w:rsidRPr="00167DEB" w:rsidRDefault="00167DEB" w:rsidP="00167DEB">
            <w:pPr>
              <w:ind w:left="0" w:right="0"/>
              <w:rPr>
                <w:sz w:val="20"/>
              </w:rPr>
            </w:pPr>
            <w:r w:rsidRPr="00167DEB">
              <w:rPr>
                <w:sz w:val="20"/>
              </w:rPr>
              <w:t>Comparator (</w:t>
            </w:r>
            <w:proofErr w:type="spellStart"/>
            <w:r w:rsidR="00D74C4A" w:rsidRPr="00167DEB">
              <w:rPr>
                <w:sz w:val="20"/>
              </w:rPr>
              <w:t>Gonal</w:t>
            </w:r>
            <w:proofErr w:type="spellEnd"/>
            <w:r w:rsidRPr="00167DEB">
              <w:rPr>
                <w:sz w:val="20"/>
              </w:rPr>
              <w:t>-f)</w:t>
            </w:r>
          </w:p>
        </w:tc>
        <w:tc>
          <w:tcPr>
            <w:tcW w:w="696" w:type="pct"/>
          </w:tcPr>
          <w:p w14:paraId="0B60DBC3" w14:textId="77777777" w:rsidR="00167DEB" w:rsidRPr="00167DEB" w:rsidRDefault="00167DEB" w:rsidP="00167DEB">
            <w:pPr>
              <w:ind w:left="0" w:right="0"/>
              <w:rPr>
                <w:sz w:val="20"/>
              </w:rPr>
            </w:pPr>
            <w:r w:rsidRPr="00167DEB">
              <w:rPr>
                <w:sz w:val="20"/>
              </w:rPr>
              <w:t>Treatment duration</w:t>
            </w:r>
          </w:p>
        </w:tc>
        <w:tc>
          <w:tcPr>
            <w:tcW w:w="563" w:type="pct"/>
          </w:tcPr>
          <w:p w14:paraId="1DDB78D8" w14:textId="77777777" w:rsidR="00167DEB" w:rsidRPr="00167DEB" w:rsidRDefault="00167DEB" w:rsidP="00167DEB">
            <w:pPr>
              <w:ind w:left="0" w:right="0"/>
              <w:rPr>
                <w:sz w:val="20"/>
              </w:rPr>
            </w:pPr>
            <w:r w:rsidRPr="00167DEB">
              <w:rPr>
                <w:sz w:val="20"/>
              </w:rPr>
              <w:t>No. treated</w:t>
            </w:r>
          </w:p>
        </w:tc>
      </w:tr>
      <w:tr w:rsidR="00167DEB" w:rsidRPr="00167DEB" w14:paraId="168BBA71" w14:textId="77777777" w:rsidTr="005A7CFA">
        <w:trPr>
          <w:cantSplit/>
        </w:trPr>
        <w:tc>
          <w:tcPr>
            <w:tcW w:w="578" w:type="pct"/>
          </w:tcPr>
          <w:p w14:paraId="308E8615" w14:textId="77777777" w:rsidR="00167DEB" w:rsidRPr="00167DEB" w:rsidRDefault="00167DEB" w:rsidP="00167DEB">
            <w:pPr>
              <w:ind w:left="0" w:right="0"/>
              <w:rPr>
                <w:sz w:val="20"/>
              </w:rPr>
            </w:pPr>
            <w:r w:rsidRPr="00167DEB">
              <w:rPr>
                <w:sz w:val="20"/>
              </w:rPr>
              <w:t>XM17-01</w:t>
            </w:r>
          </w:p>
        </w:tc>
        <w:tc>
          <w:tcPr>
            <w:tcW w:w="877" w:type="pct"/>
          </w:tcPr>
          <w:p w14:paraId="66BA957D" w14:textId="5635E601" w:rsidR="00167DEB" w:rsidRPr="00167DEB" w:rsidRDefault="00DA5F28" w:rsidP="00C904BD">
            <w:pPr>
              <w:ind w:left="0" w:right="0"/>
              <w:rPr>
                <w:sz w:val="20"/>
              </w:rPr>
            </w:pPr>
            <w:r>
              <w:rPr>
                <w:sz w:val="20"/>
              </w:rPr>
              <w:t xml:space="preserve">General </w:t>
            </w:r>
            <w:r w:rsidR="00C904BD">
              <w:rPr>
                <w:sz w:val="20"/>
              </w:rPr>
              <w:t>PK</w:t>
            </w:r>
          </w:p>
        </w:tc>
        <w:tc>
          <w:tcPr>
            <w:tcW w:w="906" w:type="pct"/>
          </w:tcPr>
          <w:p w14:paraId="1F05CFA7" w14:textId="2894EA01" w:rsidR="00167DEB" w:rsidRPr="00167DEB" w:rsidRDefault="00167DEB" w:rsidP="00167DEB">
            <w:pPr>
              <w:ind w:left="0" w:right="0"/>
              <w:rPr>
                <w:sz w:val="20"/>
              </w:rPr>
            </w:pPr>
            <w:r w:rsidRPr="00167DEB">
              <w:rPr>
                <w:sz w:val="20"/>
              </w:rPr>
              <w:t>Health</w:t>
            </w:r>
            <w:r w:rsidR="00C904BD">
              <w:rPr>
                <w:sz w:val="20"/>
              </w:rPr>
              <w:t xml:space="preserve">y adult female subjects aged 18 to </w:t>
            </w:r>
            <w:r w:rsidRPr="00167DEB">
              <w:rPr>
                <w:sz w:val="20"/>
              </w:rPr>
              <w:t>39</w:t>
            </w:r>
            <w:r w:rsidR="00E70552">
              <w:rPr>
                <w:sz w:val="20"/>
              </w:rPr>
              <w:t> </w:t>
            </w:r>
            <w:r w:rsidRPr="00167DEB">
              <w:rPr>
                <w:sz w:val="20"/>
              </w:rPr>
              <w:t>years</w:t>
            </w:r>
          </w:p>
        </w:tc>
        <w:tc>
          <w:tcPr>
            <w:tcW w:w="618" w:type="pct"/>
          </w:tcPr>
          <w:p w14:paraId="3CFBFB15" w14:textId="7B1E4B31" w:rsidR="00167DEB" w:rsidRPr="00167DEB" w:rsidRDefault="00167DEB" w:rsidP="00167DEB">
            <w:pPr>
              <w:ind w:left="0" w:right="0"/>
              <w:rPr>
                <w:sz w:val="20"/>
              </w:rPr>
            </w:pPr>
            <w:r w:rsidRPr="00167DEB">
              <w:rPr>
                <w:sz w:val="20"/>
              </w:rPr>
              <w:t>37.5 IU (n</w:t>
            </w:r>
            <w:r w:rsidR="00D46146">
              <w:rPr>
                <w:sz w:val="20"/>
              </w:rPr>
              <w:t> </w:t>
            </w:r>
            <w:r w:rsidRPr="00167DEB">
              <w:rPr>
                <w:sz w:val="20"/>
              </w:rPr>
              <w:t>=</w:t>
            </w:r>
            <w:r w:rsidR="00D46146">
              <w:rPr>
                <w:sz w:val="20"/>
              </w:rPr>
              <w:t xml:space="preserve"> </w:t>
            </w:r>
            <w:r w:rsidRPr="00167DEB">
              <w:rPr>
                <w:sz w:val="20"/>
              </w:rPr>
              <w:t>4)</w:t>
            </w:r>
            <w:r w:rsidR="00121618">
              <w:rPr>
                <w:sz w:val="20"/>
              </w:rPr>
              <w:t xml:space="preserve"> </w:t>
            </w:r>
          </w:p>
          <w:p w14:paraId="29DC1E0F" w14:textId="0F7DBBA8" w:rsidR="00167DEB" w:rsidRPr="00167DEB" w:rsidRDefault="00167DEB" w:rsidP="00167DEB">
            <w:pPr>
              <w:ind w:left="0" w:right="0"/>
              <w:rPr>
                <w:sz w:val="20"/>
              </w:rPr>
            </w:pPr>
            <w:r w:rsidRPr="00167DEB">
              <w:rPr>
                <w:sz w:val="20"/>
              </w:rPr>
              <w:t>75 IU (n</w:t>
            </w:r>
            <w:r w:rsidR="00D46146">
              <w:rPr>
                <w:sz w:val="20"/>
              </w:rPr>
              <w:t> </w:t>
            </w:r>
            <w:r w:rsidRPr="00167DEB">
              <w:rPr>
                <w:sz w:val="20"/>
              </w:rPr>
              <w:t>=</w:t>
            </w:r>
            <w:r w:rsidR="00D46146">
              <w:rPr>
                <w:sz w:val="20"/>
              </w:rPr>
              <w:t> </w:t>
            </w:r>
            <w:r w:rsidRPr="00167DEB">
              <w:rPr>
                <w:sz w:val="20"/>
              </w:rPr>
              <w:t>12)</w:t>
            </w:r>
          </w:p>
          <w:p w14:paraId="7C79FF96" w14:textId="3AD22747" w:rsidR="00167DEB" w:rsidRPr="00167DEB" w:rsidRDefault="00167DEB" w:rsidP="00167DEB">
            <w:pPr>
              <w:ind w:left="0" w:right="0"/>
              <w:rPr>
                <w:sz w:val="20"/>
              </w:rPr>
            </w:pPr>
            <w:r w:rsidRPr="00167DEB">
              <w:rPr>
                <w:sz w:val="20"/>
              </w:rPr>
              <w:t>150 IU (n</w:t>
            </w:r>
            <w:r w:rsidR="00D46146">
              <w:rPr>
                <w:sz w:val="20"/>
              </w:rPr>
              <w:t> </w:t>
            </w:r>
            <w:r w:rsidRPr="00167DEB">
              <w:rPr>
                <w:sz w:val="20"/>
              </w:rPr>
              <w:t>=</w:t>
            </w:r>
            <w:r w:rsidR="00D46146">
              <w:rPr>
                <w:sz w:val="20"/>
              </w:rPr>
              <w:t> </w:t>
            </w:r>
            <w:r w:rsidRPr="00167DEB">
              <w:rPr>
                <w:sz w:val="20"/>
              </w:rPr>
              <w:t>12)</w:t>
            </w:r>
          </w:p>
          <w:p w14:paraId="6F4F0B09" w14:textId="0A3AC73C" w:rsidR="00167DEB" w:rsidRPr="00167DEB" w:rsidRDefault="00167DEB" w:rsidP="00167DEB">
            <w:pPr>
              <w:ind w:left="0" w:right="0"/>
              <w:rPr>
                <w:sz w:val="20"/>
              </w:rPr>
            </w:pPr>
            <w:r w:rsidRPr="00167DEB">
              <w:rPr>
                <w:sz w:val="20"/>
              </w:rPr>
              <w:t>300 IU (n</w:t>
            </w:r>
            <w:r w:rsidR="00D2636B">
              <w:rPr>
                <w:sz w:val="20"/>
              </w:rPr>
              <w:t> </w:t>
            </w:r>
            <w:r w:rsidRPr="00167DEB">
              <w:rPr>
                <w:sz w:val="20"/>
              </w:rPr>
              <w:t>=</w:t>
            </w:r>
            <w:r w:rsidR="00D2636B">
              <w:rPr>
                <w:sz w:val="20"/>
              </w:rPr>
              <w:t> </w:t>
            </w:r>
            <w:r w:rsidRPr="00167DEB">
              <w:rPr>
                <w:sz w:val="20"/>
              </w:rPr>
              <w:t>12)</w:t>
            </w:r>
          </w:p>
        </w:tc>
        <w:tc>
          <w:tcPr>
            <w:tcW w:w="761" w:type="pct"/>
          </w:tcPr>
          <w:p w14:paraId="466747B0" w14:textId="4A1FA4A7" w:rsidR="00167DEB" w:rsidRPr="00167DEB" w:rsidRDefault="00D46146" w:rsidP="00167DEB">
            <w:pPr>
              <w:ind w:left="0" w:right="0"/>
              <w:rPr>
                <w:sz w:val="20"/>
              </w:rPr>
            </w:pPr>
            <w:r>
              <w:rPr>
                <w:sz w:val="20"/>
              </w:rPr>
              <w:t>Not applicable</w:t>
            </w:r>
          </w:p>
        </w:tc>
        <w:tc>
          <w:tcPr>
            <w:tcW w:w="696" w:type="pct"/>
          </w:tcPr>
          <w:p w14:paraId="033608AD" w14:textId="77777777" w:rsidR="00167DEB" w:rsidRPr="00167DEB" w:rsidRDefault="00167DEB" w:rsidP="00167DEB">
            <w:pPr>
              <w:ind w:left="0" w:right="0"/>
              <w:rPr>
                <w:sz w:val="20"/>
              </w:rPr>
            </w:pPr>
            <w:r w:rsidRPr="00167DEB">
              <w:rPr>
                <w:sz w:val="20"/>
              </w:rPr>
              <w:t>Single dose</w:t>
            </w:r>
          </w:p>
        </w:tc>
        <w:tc>
          <w:tcPr>
            <w:tcW w:w="563" w:type="pct"/>
          </w:tcPr>
          <w:p w14:paraId="4AF7913D" w14:textId="77777777" w:rsidR="00167DEB" w:rsidRPr="00167DEB" w:rsidRDefault="00167DEB" w:rsidP="00167DEB">
            <w:pPr>
              <w:ind w:left="0" w:right="0"/>
              <w:rPr>
                <w:sz w:val="20"/>
              </w:rPr>
            </w:pPr>
            <w:r w:rsidRPr="00167DEB">
              <w:rPr>
                <w:sz w:val="20"/>
              </w:rPr>
              <w:t>40</w:t>
            </w:r>
          </w:p>
        </w:tc>
      </w:tr>
      <w:tr w:rsidR="00167DEB" w:rsidRPr="00167DEB" w14:paraId="0C5770B1" w14:textId="77777777" w:rsidTr="005A7CFA">
        <w:tc>
          <w:tcPr>
            <w:tcW w:w="578" w:type="pct"/>
          </w:tcPr>
          <w:p w14:paraId="097C2D0A" w14:textId="77777777" w:rsidR="00167DEB" w:rsidRPr="00167DEB" w:rsidRDefault="00167DEB" w:rsidP="00167DEB">
            <w:pPr>
              <w:ind w:left="0" w:right="0"/>
              <w:rPr>
                <w:sz w:val="20"/>
              </w:rPr>
            </w:pPr>
            <w:r w:rsidRPr="00167DEB">
              <w:rPr>
                <w:sz w:val="20"/>
              </w:rPr>
              <w:t>XM17-02</w:t>
            </w:r>
          </w:p>
        </w:tc>
        <w:tc>
          <w:tcPr>
            <w:tcW w:w="877" w:type="pct"/>
          </w:tcPr>
          <w:p w14:paraId="7BD87DA5" w14:textId="77777777" w:rsidR="00167DEB" w:rsidRPr="00167DEB" w:rsidRDefault="00167DEB" w:rsidP="00167DEB">
            <w:pPr>
              <w:ind w:left="0" w:right="0"/>
              <w:rPr>
                <w:sz w:val="20"/>
              </w:rPr>
            </w:pPr>
            <w:r w:rsidRPr="00167DEB">
              <w:rPr>
                <w:sz w:val="20"/>
              </w:rPr>
              <w:t>Bioequivalence</w:t>
            </w:r>
          </w:p>
        </w:tc>
        <w:tc>
          <w:tcPr>
            <w:tcW w:w="906" w:type="pct"/>
          </w:tcPr>
          <w:p w14:paraId="3B5918CE" w14:textId="01ABA445" w:rsidR="00167DEB" w:rsidRPr="00167DEB" w:rsidRDefault="00167DEB" w:rsidP="00167DEB">
            <w:pPr>
              <w:ind w:left="0" w:right="0"/>
              <w:rPr>
                <w:sz w:val="20"/>
              </w:rPr>
            </w:pPr>
            <w:r w:rsidRPr="00167DEB">
              <w:rPr>
                <w:sz w:val="20"/>
              </w:rPr>
              <w:t>Health</w:t>
            </w:r>
            <w:r w:rsidR="00C904BD">
              <w:rPr>
                <w:sz w:val="20"/>
              </w:rPr>
              <w:t xml:space="preserve">y adult female subjects aged 18 to </w:t>
            </w:r>
            <w:r w:rsidRPr="00167DEB">
              <w:rPr>
                <w:sz w:val="20"/>
              </w:rPr>
              <w:t>39</w:t>
            </w:r>
            <w:r w:rsidR="00E70552">
              <w:rPr>
                <w:sz w:val="20"/>
              </w:rPr>
              <w:t> </w:t>
            </w:r>
            <w:r w:rsidRPr="00167DEB">
              <w:rPr>
                <w:sz w:val="20"/>
              </w:rPr>
              <w:t>years</w:t>
            </w:r>
          </w:p>
        </w:tc>
        <w:tc>
          <w:tcPr>
            <w:tcW w:w="618" w:type="pct"/>
          </w:tcPr>
          <w:p w14:paraId="64196609" w14:textId="77777777" w:rsidR="00167DEB" w:rsidRPr="00167DEB" w:rsidRDefault="00167DEB" w:rsidP="00167DEB">
            <w:pPr>
              <w:ind w:left="0" w:right="0"/>
              <w:rPr>
                <w:sz w:val="20"/>
              </w:rPr>
            </w:pPr>
            <w:r w:rsidRPr="00167DEB">
              <w:rPr>
                <w:sz w:val="20"/>
              </w:rPr>
              <w:t>300 IU</w:t>
            </w:r>
          </w:p>
        </w:tc>
        <w:tc>
          <w:tcPr>
            <w:tcW w:w="761" w:type="pct"/>
          </w:tcPr>
          <w:p w14:paraId="3D6C40E2" w14:textId="77777777" w:rsidR="00167DEB" w:rsidRPr="00167DEB" w:rsidRDefault="00167DEB" w:rsidP="00167DEB">
            <w:pPr>
              <w:ind w:left="0" w:right="0"/>
              <w:rPr>
                <w:sz w:val="20"/>
              </w:rPr>
            </w:pPr>
            <w:r w:rsidRPr="00167DEB">
              <w:rPr>
                <w:sz w:val="20"/>
              </w:rPr>
              <w:t>300 IU</w:t>
            </w:r>
          </w:p>
        </w:tc>
        <w:tc>
          <w:tcPr>
            <w:tcW w:w="696" w:type="pct"/>
          </w:tcPr>
          <w:p w14:paraId="7D02013A" w14:textId="77777777" w:rsidR="00167DEB" w:rsidRPr="00167DEB" w:rsidRDefault="00167DEB" w:rsidP="00167DEB">
            <w:pPr>
              <w:ind w:left="0" w:right="0"/>
              <w:rPr>
                <w:sz w:val="20"/>
              </w:rPr>
            </w:pPr>
            <w:r w:rsidRPr="00167DEB">
              <w:rPr>
                <w:sz w:val="20"/>
              </w:rPr>
              <w:t>Single dose</w:t>
            </w:r>
          </w:p>
        </w:tc>
        <w:tc>
          <w:tcPr>
            <w:tcW w:w="563" w:type="pct"/>
          </w:tcPr>
          <w:p w14:paraId="50F61A2F" w14:textId="77777777" w:rsidR="00167DEB" w:rsidRPr="00167DEB" w:rsidRDefault="00167DEB" w:rsidP="00167DEB">
            <w:pPr>
              <w:ind w:left="0" w:right="0"/>
              <w:rPr>
                <w:sz w:val="20"/>
              </w:rPr>
            </w:pPr>
            <w:r w:rsidRPr="00167DEB">
              <w:rPr>
                <w:sz w:val="20"/>
              </w:rPr>
              <w:t>36</w:t>
            </w:r>
          </w:p>
        </w:tc>
      </w:tr>
      <w:tr w:rsidR="00167DEB" w:rsidRPr="00167DEB" w14:paraId="2FEF2057" w14:textId="77777777" w:rsidTr="005A7CFA">
        <w:tc>
          <w:tcPr>
            <w:tcW w:w="578" w:type="pct"/>
          </w:tcPr>
          <w:p w14:paraId="118AF432" w14:textId="77777777" w:rsidR="00167DEB" w:rsidRPr="00167DEB" w:rsidRDefault="00167DEB" w:rsidP="00167DEB">
            <w:pPr>
              <w:ind w:left="0" w:right="0"/>
              <w:rPr>
                <w:sz w:val="20"/>
              </w:rPr>
            </w:pPr>
            <w:r w:rsidRPr="00167DEB">
              <w:rPr>
                <w:sz w:val="20"/>
              </w:rPr>
              <w:t>XM17-05</w:t>
            </w:r>
          </w:p>
        </w:tc>
        <w:tc>
          <w:tcPr>
            <w:tcW w:w="877" w:type="pct"/>
          </w:tcPr>
          <w:p w14:paraId="1AC6D6FE" w14:textId="6EE1FCD5" w:rsidR="00167DEB" w:rsidRPr="00167DEB" w:rsidRDefault="00167DEB" w:rsidP="00167DEB">
            <w:pPr>
              <w:ind w:left="0" w:right="0"/>
              <w:rPr>
                <w:sz w:val="20"/>
              </w:rPr>
            </w:pPr>
            <w:r w:rsidRPr="00167DEB">
              <w:rPr>
                <w:sz w:val="20"/>
              </w:rPr>
              <w:t>Phase III</w:t>
            </w:r>
            <w:r w:rsidR="0089098C">
              <w:rPr>
                <w:sz w:val="20"/>
              </w:rPr>
              <w:t>, randomised, parallel group, assessor blinded</w:t>
            </w:r>
          </w:p>
        </w:tc>
        <w:tc>
          <w:tcPr>
            <w:tcW w:w="906" w:type="pct"/>
          </w:tcPr>
          <w:p w14:paraId="593283EC" w14:textId="77777777" w:rsidR="00167DEB" w:rsidRPr="00167DEB" w:rsidRDefault="00167DEB" w:rsidP="00167DEB">
            <w:pPr>
              <w:ind w:left="0" w:right="0"/>
              <w:rPr>
                <w:sz w:val="20"/>
              </w:rPr>
            </w:pPr>
            <w:r w:rsidRPr="00167DEB">
              <w:rPr>
                <w:sz w:val="20"/>
              </w:rPr>
              <w:t>Infertile, but ovulatory, women undergoing superovulation for ART</w:t>
            </w:r>
          </w:p>
        </w:tc>
        <w:tc>
          <w:tcPr>
            <w:tcW w:w="618" w:type="pct"/>
          </w:tcPr>
          <w:p w14:paraId="01FBD0AD" w14:textId="0D66B649" w:rsidR="00167DEB" w:rsidRPr="00167DEB" w:rsidRDefault="00167DEB" w:rsidP="00167DEB">
            <w:pPr>
              <w:ind w:left="0" w:right="0"/>
              <w:rPr>
                <w:sz w:val="20"/>
              </w:rPr>
            </w:pPr>
            <w:r w:rsidRPr="00167DEB">
              <w:rPr>
                <w:sz w:val="20"/>
              </w:rPr>
              <w:t>150 IU/day for the first 5</w:t>
            </w:r>
            <w:r w:rsidR="00E70552">
              <w:rPr>
                <w:sz w:val="20"/>
              </w:rPr>
              <w:t> </w:t>
            </w:r>
            <w:r w:rsidRPr="00167DEB">
              <w:rPr>
                <w:sz w:val="20"/>
              </w:rPr>
              <w:t>days, then adjusted from Day</w:t>
            </w:r>
            <w:r w:rsidR="00E70552">
              <w:rPr>
                <w:sz w:val="20"/>
              </w:rPr>
              <w:t> </w:t>
            </w:r>
            <w:r w:rsidRPr="00167DEB">
              <w:rPr>
                <w:sz w:val="20"/>
              </w:rPr>
              <w:t>6</w:t>
            </w:r>
          </w:p>
        </w:tc>
        <w:tc>
          <w:tcPr>
            <w:tcW w:w="761" w:type="pct"/>
          </w:tcPr>
          <w:p w14:paraId="34812B74" w14:textId="77777777" w:rsidR="00167DEB" w:rsidRPr="00167DEB" w:rsidRDefault="00167DEB" w:rsidP="00167DEB">
            <w:pPr>
              <w:ind w:left="0" w:right="0"/>
              <w:rPr>
                <w:sz w:val="20"/>
              </w:rPr>
            </w:pPr>
            <w:r w:rsidRPr="00167DEB">
              <w:rPr>
                <w:sz w:val="20"/>
              </w:rPr>
              <w:t>150 IU/day for the first 5 days, then adjusted from Day 6</w:t>
            </w:r>
          </w:p>
        </w:tc>
        <w:tc>
          <w:tcPr>
            <w:tcW w:w="696" w:type="pct"/>
          </w:tcPr>
          <w:p w14:paraId="5A6CDA3B" w14:textId="77777777" w:rsidR="00167DEB" w:rsidRPr="00167DEB" w:rsidRDefault="00167DEB" w:rsidP="00167DEB">
            <w:pPr>
              <w:ind w:left="0" w:right="0"/>
              <w:rPr>
                <w:sz w:val="20"/>
              </w:rPr>
            </w:pPr>
            <w:r w:rsidRPr="00167DEB">
              <w:rPr>
                <w:sz w:val="20"/>
              </w:rPr>
              <w:t>Multiple doses</w:t>
            </w:r>
          </w:p>
        </w:tc>
        <w:tc>
          <w:tcPr>
            <w:tcW w:w="563" w:type="pct"/>
          </w:tcPr>
          <w:p w14:paraId="1CFCF927" w14:textId="77777777" w:rsidR="00167DEB" w:rsidRPr="00167DEB" w:rsidRDefault="00167DEB" w:rsidP="00167DEB">
            <w:pPr>
              <w:ind w:left="0" w:right="0"/>
              <w:rPr>
                <w:sz w:val="20"/>
              </w:rPr>
            </w:pPr>
            <w:r w:rsidRPr="00167DEB">
              <w:rPr>
                <w:sz w:val="20"/>
              </w:rPr>
              <w:t>299</w:t>
            </w:r>
          </w:p>
        </w:tc>
      </w:tr>
    </w:tbl>
    <w:p w14:paraId="5A332D5D" w14:textId="57F1247C" w:rsidR="00E70552" w:rsidRPr="00E70552" w:rsidRDefault="00E70552" w:rsidP="00C01F54">
      <w:pPr>
        <w:pStyle w:val="TableDescription"/>
      </w:pPr>
      <w:r>
        <w:t>ART = assisted reproductive technologies; IU = international units; PK = pharmacokinetic(S).</w:t>
      </w:r>
    </w:p>
    <w:p w14:paraId="03B874EA" w14:textId="53B82368" w:rsidR="00167DEB" w:rsidRPr="00DD0A28" w:rsidRDefault="00167DEB" w:rsidP="00167DEB">
      <w:pPr>
        <w:pStyle w:val="Heading4"/>
        <w:rPr>
          <w:rFonts w:eastAsia="Times New Roman"/>
          <w:b w:val="0"/>
        </w:rPr>
      </w:pPr>
      <w:r w:rsidRPr="00AA53F4">
        <w:t>Pharmacology</w:t>
      </w:r>
    </w:p>
    <w:p w14:paraId="5669D72D" w14:textId="77777777" w:rsidR="00167DEB" w:rsidRDefault="00D74C4A" w:rsidP="00167DEB">
      <w:pPr>
        <w:pStyle w:val="Heading5"/>
      </w:pPr>
      <w:r>
        <w:t>Pharmacokinetics</w:t>
      </w:r>
    </w:p>
    <w:p w14:paraId="3570AC98" w14:textId="77777777" w:rsidR="00167DEB" w:rsidRPr="009F57DB" w:rsidRDefault="00167DEB" w:rsidP="00D74C4A">
      <w:pPr>
        <w:pStyle w:val="Heading6"/>
        <w:rPr>
          <w:lang w:eastAsia="ja-JP"/>
        </w:rPr>
      </w:pPr>
      <w:r w:rsidRPr="009F57DB">
        <w:rPr>
          <w:lang w:eastAsia="ja-JP"/>
        </w:rPr>
        <w:t>Study XM17-01</w:t>
      </w:r>
    </w:p>
    <w:p w14:paraId="3E9A157E" w14:textId="52CC8774" w:rsidR="00167DEB" w:rsidRDefault="00167DEB" w:rsidP="00D74C4A">
      <w:pPr>
        <w:rPr>
          <w:lang w:eastAsia="ja-JP"/>
        </w:rPr>
      </w:pPr>
      <w:r>
        <w:rPr>
          <w:lang w:eastAsia="ja-JP"/>
        </w:rPr>
        <w:t>Study XM17-01 was a sing</w:t>
      </w:r>
      <w:r w:rsidR="00207272">
        <w:rPr>
          <w:lang w:eastAsia="ja-JP"/>
        </w:rPr>
        <w:t xml:space="preserve">le centre, first in human, open </w:t>
      </w:r>
      <w:r>
        <w:rPr>
          <w:lang w:eastAsia="ja-JP"/>
        </w:rPr>
        <w:t xml:space="preserve">label, parallel group, ascending dose study of the PK, tolerability and safety of </w:t>
      </w:r>
      <w:proofErr w:type="spellStart"/>
      <w:r w:rsidR="00626892">
        <w:rPr>
          <w:lang w:eastAsia="ja-JP"/>
        </w:rPr>
        <w:t>Ovaleap</w:t>
      </w:r>
      <w:proofErr w:type="spellEnd"/>
      <w:r>
        <w:rPr>
          <w:lang w:eastAsia="ja-JP"/>
        </w:rPr>
        <w:t xml:space="preserve"> (XM17). The study included healthy female volunteers, aged 18 to 39 years.</w:t>
      </w:r>
    </w:p>
    <w:p w14:paraId="3837472F" w14:textId="64733739" w:rsidR="00167DEB" w:rsidRDefault="00167DEB" w:rsidP="00D74C4A">
      <w:pPr>
        <w:rPr>
          <w:lang w:eastAsia="ja-JP"/>
        </w:rPr>
      </w:pPr>
      <w:r>
        <w:rPr>
          <w:lang w:eastAsia="ja-JP"/>
        </w:rPr>
        <w:t xml:space="preserve">The study treatment was XM17 at doses of </w:t>
      </w:r>
      <w:r>
        <w:t>37.5 IU (n</w:t>
      </w:r>
      <w:r w:rsidR="00207272">
        <w:t xml:space="preserve"> </w:t>
      </w:r>
      <w:r>
        <w:t>=</w:t>
      </w:r>
      <w:r w:rsidR="00207272">
        <w:t xml:space="preserve"> </w:t>
      </w:r>
      <w:r>
        <w:t>4),</w:t>
      </w:r>
      <w:r>
        <w:rPr>
          <w:lang w:eastAsia="ja-JP"/>
        </w:rPr>
        <w:t xml:space="preserve"> </w:t>
      </w:r>
      <w:r>
        <w:t>75 IU (n</w:t>
      </w:r>
      <w:r w:rsidR="00207272">
        <w:t xml:space="preserve"> </w:t>
      </w:r>
      <w:r>
        <w:t>=</w:t>
      </w:r>
      <w:r w:rsidR="00207272">
        <w:t xml:space="preserve"> </w:t>
      </w:r>
      <w:r>
        <w:t>12),</w:t>
      </w:r>
      <w:r>
        <w:rPr>
          <w:lang w:eastAsia="ja-JP"/>
        </w:rPr>
        <w:t xml:space="preserve"> </w:t>
      </w:r>
      <w:r>
        <w:t>150 IU (n</w:t>
      </w:r>
      <w:r w:rsidR="00207272">
        <w:t xml:space="preserve"> </w:t>
      </w:r>
      <w:r>
        <w:t>=</w:t>
      </w:r>
      <w:r w:rsidR="00207272">
        <w:t xml:space="preserve"> </w:t>
      </w:r>
      <w:r>
        <w:t>12) and</w:t>
      </w:r>
      <w:r>
        <w:rPr>
          <w:lang w:eastAsia="ja-JP"/>
        </w:rPr>
        <w:t xml:space="preserve"> </w:t>
      </w:r>
      <w:r>
        <w:t>300 IU (n</w:t>
      </w:r>
      <w:r w:rsidR="00207272">
        <w:t xml:space="preserve"> </w:t>
      </w:r>
      <w:r>
        <w:t>=</w:t>
      </w:r>
      <w:r w:rsidR="00207272">
        <w:t xml:space="preserve"> </w:t>
      </w:r>
      <w:r>
        <w:t>12).</w:t>
      </w:r>
      <w:r>
        <w:rPr>
          <w:lang w:eastAsia="ja-JP"/>
        </w:rPr>
        <w:t xml:space="preserve"> All patients were treated with a single dose of </w:t>
      </w:r>
      <w:proofErr w:type="spellStart"/>
      <w:r>
        <w:rPr>
          <w:lang w:eastAsia="ja-JP"/>
        </w:rPr>
        <w:t>Zoladex</w:t>
      </w:r>
      <w:proofErr w:type="spellEnd"/>
      <w:r>
        <w:rPr>
          <w:lang w:eastAsia="ja-JP"/>
        </w:rPr>
        <w:t xml:space="preserve"> </w:t>
      </w:r>
      <w:r w:rsidR="00207272">
        <w:rPr>
          <w:lang w:eastAsia="ja-JP"/>
        </w:rPr>
        <w:t>(</w:t>
      </w:r>
      <w:proofErr w:type="spellStart"/>
      <w:r w:rsidR="00207272">
        <w:rPr>
          <w:lang w:eastAsia="ja-JP"/>
        </w:rPr>
        <w:t>g</w:t>
      </w:r>
      <w:r w:rsidR="00207272" w:rsidRPr="00207272">
        <w:rPr>
          <w:lang w:eastAsia="ja-JP"/>
        </w:rPr>
        <w:t>oserelin</w:t>
      </w:r>
      <w:proofErr w:type="spellEnd"/>
      <w:r w:rsidR="00207272">
        <w:rPr>
          <w:lang w:eastAsia="ja-JP"/>
        </w:rPr>
        <w:t>)</w:t>
      </w:r>
      <w:r w:rsidR="00207272" w:rsidRPr="00207272">
        <w:rPr>
          <w:lang w:eastAsia="ja-JP"/>
        </w:rPr>
        <w:t xml:space="preserve"> </w:t>
      </w:r>
      <w:r w:rsidR="00207272">
        <w:rPr>
          <w:lang w:eastAsia="ja-JP"/>
        </w:rPr>
        <w:t>3.6 </w:t>
      </w:r>
      <w:r>
        <w:rPr>
          <w:lang w:eastAsia="ja-JP"/>
        </w:rPr>
        <w:t>mg on Day 0, followed by injection of the study medication on Day 14. The PK evaluation was performed using pre-dose corrected XM17</w:t>
      </w:r>
      <w:r w:rsidR="00207272">
        <w:rPr>
          <w:lang w:eastAsia="ja-JP"/>
        </w:rPr>
        <w:t xml:space="preserve"> (FSH) serum concentrations. 70 </w:t>
      </w:r>
      <w:r>
        <w:rPr>
          <w:lang w:eastAsia="ja-JP"/>
        </w:rPr>
        <w:t>women were screened, 46 passed the screening, 42</w:t>
      </w:r>
      <w:r w:rsidR="00C904BD">
        <w:rPr>
          <w:lang w:eastAsia="ja-JP"/>
        </w:rPr>
        <w:t xml:space="preserve"> were entered into the study (</w:t>
      </w:r>
      <w:r w:rsidR="00D2636B">
        <w:rPr>
          <w:lang w:eastAsia="ja-JP"/>
        </w:rPr>
        <w:t>four</w:t>
      </w:r>
      <w:r w:rsidR="00C904BD">
        <w:rPr>
          <w:lang w:eastAsia="ja-JP"/>
        </w:rPr>
        <w:t> </w:t>
      </w:r>
      <w:r>
        <w:rPr>
          <w:lang w:eastAsia="ja-JP"/>
        </w:rPr>
        <w:t>were re</w:t>
      </w:r>
      <w:r w:rsidR="00207272">
        <w:rPr>
          <w:lang w:eastAsia="ja-JP"/>
        </w:rPr>
        <w:t xml:space="preserve">serves) and </w:t>
      </w:r>
      <w:r w:rsidR="00D2636B">
        <w:rPr>
          <w:lang w:eastAsia="ja-JP"/>
        </w:rPr>
        <w:t>two</w:t>
      </w:r>
      <w:r w:rsidR="00207272">
        <w:rPr>
          <w:lang w:eastAsia="ja-JP"/>
        </w:rPr>
        <w:t xml:space="preserve"> were withdrawn.</w:t>
      </w:r>
    </w:p>
    <w:p w14:paraId="3BB2A9B2" w14:textId="4D0B6652" w:rsidR="00167DEB" w:rsidRDefault="00167DEB" w:rsidP="00351E57">
      <w:r>
        <w:rPr>
          <w:lang w:eastAsia="ja-JP"/>
        </w:rPr>
        <w:t xml:space="preserve">The absorption for the 37.5 IU dose level was prolonged compared with the higher dose levels. However, for the remaining three, higher dose levels the PK profiles were proportional to dose. From 75 IU to 300 IU there was dose proportionality for </w:t>
      </w:r>
      <w:r w:rsidR="00C904BD">
        <w:t>area under the concentration</w:t>
      </w:r>
      <w:r w:rsidR="00351E57">
        <w:t xml:space="preserve"> time curve from zero time to the last observed concentration value above lower limit of quantification </w:t>
      </w:r>
      <w:r w:rsidR="00207272">
        <w:rPr>
          <w:lang w:eastAsia="ja-JP"/>
        </w:rPr>
        <w:t>(</w:t>
      </w:r>
      <w:r>
        <w:rPr>
          <w:lang w:eastAsia="ja-JP"/>
        </w:rPr>
        <w:t>AUC</w:t>
      </w:r>
      <w:r w:rsidRPr="00592B13">
        <w:rPr>
          <w:vertAlign w:val="subscript"/>
          <w:lang w:eastAsia="ja-JP"/>
        </w:rPr>
        <w:t>0-</w:t>
      </w:r>
      <w:r w:rsidR="002B0963">
        <w:rPr>
          <w:vertAlign w:val="subscript"/>
          <w:lang w:eastAsia="ja-JP"/>
        </w:rPr>
        <w:t>last</w:t>
      </w:r>
      <w:r w:rsidR="00207272">
        <w:rPr>
          <w:lang w:eastAsia="ja-JP"/>
        </w:rPr>
        <w:t>)</w:t>
      </w:r>
      <w:r>
        <w:rPr>
          <w:lang w:eastAsia="ja-JP"/>
        </w:rPr>
        <w:t xml:space="preserve"> and </w:t>
      </w:r>
      <w:r w:rsidR="00207272">
        <w:rPr>
          <w:lang w:eastAsia="ja-JP"/>
        </w:rPr>
        <w:t>maximum plasma concentration (</w:t>
      </w:r>
      <w:proofErr w:type="spellStart"/>
      <w:r>
        <w:rPr>
          <w:lang w:eastAsia="ja-JP"/>
        </w:rPr>
        <w:t>C</w:t>
      </w:r>
      <w:r>
        <w:rPr>
          <w:vertAlign w:val="subscript"/>
          <w:lang w:eastAsia="ja-JP"/>
        </w:rPr>
        <w:t>max</w:t>
      </w:r>
      <w:proofErr w:type="spellEnd"/>
      <w:r w:rsidR="00207272">
        <w:rPr>
          <w:lang w:eastAsia="ja-JP"/>
        </w:rPr>
        <w:t>)</w:t>
      </w:r>
      <w:r>
        <w:rPr>
          <w:lang w:eastAsia="ja-JP"/>
        </w:rPr>
        <w:t xml:space="preserve">. Dose linearity was demonstrated across this dose range. Median </w:t>
      </w:r>
      <w:r w:rsidR="00207272">
        <w:rPr>
          <w:lang w:eastAsia="ja-JP"/>
        </w:rPr>
        <w:t>time to maximum plasma concentration (</w:t>
      </w:r>
      <w:proofErr w:type="spellStart"/>
      <w:r>
        <w:rPr>
          <w:lang w:eastAsia="ja-JP"/>
        </w:rPr>
        <w:t>t</w:t>
      </w:r>
      <w:r w:rsidRPr="00DF4B07">
        <w:rPr>
          <w:vertAlign w:val="subscript"/>
          <w:lang w:eastAsia="ja-JP"/>
        </w:rPr>
        <w:t>max</w:t>
      </w:r>
      <w:proofErr w:type="spellEnd"/>
      <w:r w:rsidR="00207272">
        <w:rPr>
          <w:lang w:eastAsia="ja-JP"/>
        </w:rPr>
        <w:t>)</w:t>
      </w:r>
      <w:r>
        <w:rPr>
          <w:lang w:eastAsia="ja-JP"/>
        </w:rPr>
        <w:t xml:space="preserve"> was 36 hours in the three higher dose groups. Median </w:t>
      </w:r>
      <w:r w:rsidR="00207272">
        <w:rPr>
          <w:lang w:eastAsia="ja-JP"/>
        </w:rPr>
        <w:t xml:space="preserve">elimination </w:t>
      </w:r>
      <w:proofErr w:type="spellStart"/>
      <w:r w:rsidR="00207272">
        <w:rPr>
          <w:lang w:eastAsia="ja-JP"/>
        </w:rPr>
        <w:t>half life</w:t>
      </w:r>
      <w:proofErr w:type="spellEnd"/>
      <w:r w:rsidR="00207272">
        <w:rPr>
          <w:lang w:eastAsia="ja-JP"/>
        </w:rPr>
        <w:t xml:space="preserve"> (</w:t>
      </w:r>
      <w:r>
        <w:rPr>
          <w:lang w:eastAsia="ja-JP"/>
        </w:rPr>
        <w:t>t</w:t>
      </w:r>
      <w:r w:rsidRPr="00522A61">
        <w:rPr>
          <w:vertAlign w:val="subscript"/>
          <w:lang w:eastAsia="ja-JP"/>
        </w:rPr>
        <w:t>½</w:t>
      </w:r>
      <w:r w:rsidR="00207272">
        <w:rPr>
          <w:lang w:eastAsia="ja-JP"/>
        </w:rPr>
        <w:t>)</w:t>
      </w:r>
      <w:r>
        <w:rPr>
          <w:lang w:eastAsia="ja-JP"/>
        </w:rPr>
        <w:t xml:space="preserve"> ranged from 63 to 77 hours.</w:t>
      </w:r>
    </w:p>
    <w:p w14:paraId="5024E06A" w14:textId="77777777" w:rsidR="00167DEB" w:rsidRPr="00136528" w:rsidRDefault="00167DEB" w:rsidP="00D74C4A">
      <w:pPr>
        <w:pStyle w:val="Heading6"/>
      </w:pPr>
      <w:r>
        <w:lastRenderedPageBreak/>
        <w:t>Study</w:t>
      </w:r>
      <w:r w:rsidRPr="00136528">
        <w:t xml:space="preserve"> XM17-02</w:t>
      </w:r>
    </w:p>
    <w:p w14:paraId="31C218AD" w14:textId="1E031E8E" w:rsidR="00167DEB" w:rsidRDefault="00167DEB" w:rsidP="00D74C4A">
      <w:pPr>
        <w:rPr>
          <w:lang w:eastAsia="ja-JP"/>
        </w:rPr>
      </w:pPr>
      <w:r>
        <w:rPr>
          <w:lang w:eastAsia="ja-JP"/>
        </w:rPr>
        <w:t xml:space="preserve">The bioequivalence of </w:t>
      </w:r>
      <w:proofErr w:type="spellStart"/>
      <w:r w:rsidR="00626892">
        <w:rPr>
          <w:lang w:eastAsia="ja-JP"/>
        </w:rPr>
        <w:t>Ovaleap</w:t>
      </w:r>
      <w:proofErr w:type="spellEnd"/>
      <w:r>
        <w:rPr>
          <w:lang w:eastAsia="ja-JP"/>
        </w:rPr>
        <w:t xml:space="preserve"> and </w:t>
      </w:r>
      <w:proofErr w:type="spellStart"/>
      <w:r w:rsidR="00626892">
        <w:t>Gonal</w:t>
      </w:r>
      <w:proofErr w:type="spellEnd"/>
      <w:r w:rsidR="00626892">
        <w:t>-f</w:t>
      </w:r>
      <w:r>
        <w:rPr>
          <w:lang w:eastAsia="ja-JP"/>
        </w:rPr>
        <w:t xml:space="preserve"> was assess</w:t>
      </w:r>
      <w:r w:rsidR="00207272">
        <w:rPr>
          <w:lang w:eastAsia="ja-JP"/>
        </w:rPr>
        <w:t>ed in S</w:t>
      </w:r>
      <w:r>
        <w:rPr>
          <w:lang w:eastAsia="ja-JP"/>
        </w:rPr>
        <w:t>tudy</w:t>
      </w:r>
      <w:r w:rsidR="00207272">
        <w:rPr>
          <w:lang w:eastAsia="ja-JP"/>
        </w:rPr>
        <w:t xml:space="preserve"> XM17-02, a single centre, open label, randomised, two </w:t>
      </w:r>
      <w:r>
        <w:rPr>
          <w:lang w:eastAsia="ja-JP"/>
        </w:rPr>
        <w:t>way, single dose, crossover study. The study included healthy female v</w:t>
      </w:r>
      <w:r w:rsidR="00207272">
        <w:rPr>
          <w:lang w:eastAsia="ja-JP"/>
        </w:rPr>
        <w:t>olunteers, aged 18 to 39 years.</w:t>
      </w:r>
    </w:p>
    <w:p w14:paraId="7E397A56" w14:textId="570EA6CB" w:rsidR="00167DEB" w:rsidRDefault="00167DEB" w:rsidP="00D74C4A">
      <w:r>
        <w:rPr>
          <w:lang w:eastAsia="ja-JP"/>
        </w:rPr>
        <w:t xml:space="preserve">The study treatments were </w:t>
      </w:r>
      <w:proofErr w:type="spellStart"/>
      <w:r w:rsidR="00E70552">
        <w:rPr>
          <w:lang w:eastAsia="ja-JP"/>
        </w:rPr>
        <w:t>Ovaleap</w:t>
      </w:r>
      <w:proofErr w:type="spellEnd"/>
      <w:r w:rsidR="00E70552">
        <w:rPr>
          <w:lang w:eastAsia="ja-JP"/>
        </w:rPr>
        <w:t xml:space="preserve"> (</w:t>
      </w:r>
      <w:r>
        <w:t>XM17</w:t>
      </w:r>
      <w:r w:rsidR="00E70552">
        <w:t>)</w:t>
      </w:r>
      <w:r>
        <w:t xml:space="preserve">, 300 IU in 0.5 mL injection volume and </w:t>
      </w:r>
      <w:proofErr w:type="spellStart"/>
      <w:r w:rsidR="00626892">
        <w:t>Gonal</w:t>
      </w:r>
      <w:proofErr w:type="spellEnd"/>
      <w:r w:rsidR="00626892">
        <w:t>-f</w:t>
      </w:r>
      <w:r>
        <w:t xml:space="preserve"> (</w:t>
      </w:r>
      <w:proofErr w:type="spellStart"/>
      <w:r>
        <w:t>follitropin</w:t>
      </w:r>
      <w:proofErr w:type="spellEnd"/>
      <w:r>
        <w:t xml:space="preserve"> alfa) 300 IU in 0.5 mL injection volume. </w:t>
      </w:r>
      <w:r>
        <w:rPr>
          <w:lang w:eastAsia="ja-JP"/>
        </w:rPr>
        <w:t xml:space="preserve">The treatments were administered by </w:t>
      </w:r>
      <w:r w:rsidR="001E1DF0">
        <w:rPr>
          <w:lang w:eastAsia="ja-JP"/>
        </w:rPr>
        <w:t xml:space="preserve">SC </w:t>
      </w:r>
      <w:r w:rsidR="00207272">
        <w:rPr>
          <w:lang w:eastAsia="ja-JP"/>
        </w:rPr>
        <w:t xml:space="preserve">injection and there was an 8 </w:t>
      </w:r>
      <w:r>
        <w:rPr>
          <w:lang w:eastAsia="ja-JP"/>
        </w:rPr>
        <w:t xml:space="preserve">day washout period between </w:t>
      </w:r>
      <w:r w:rsidRPr="003F4620">
        <w:t>doses</w:t>
      </w:r>
      <w:r>
        <w:t xml:space="preserve">. </w:t>
      </w:r>
      <w:proofErr w:type="spellStart"/>
      <w:r>
        <w:t>G</w:t>
      </w:r>
      <w:r w:rsidRPr="003F4620">
        <w:t>oserelin</w:t>
      </w:r>
      <w:proofErr w:type="spellEnd"/>
      <w:r w:rsidRPr="003F4620">
        <w:t xml:space="preserve"> (</w:t>
      </w:r>
      <w:proofErr w:type="spellStart"/>
      <w:r w:rsidRPr="003F4620">
        <w:t>Zoladex</w:t>
      </w:r>
      <w:proofErr w:type="spellEnd"/>
      <w:r w:rsidRPr="003F4620">
        <w:t xml:space="preserve">) was administered for </w:t>
      </w:r>
      <w:r w:rsidRPr="009A1A34">
        <w:t xml:space="preserve">endogenous FSH down-regulation </w:t>
      </w:r>
      <w:r>
        <w:t>e</w:t>
      </w:r>
      <w:r w:rsidRPr="003F4620">
        <w:t xml:space="preserve">leven days before </w:t>
      </w:r>
      <w:r>
        <w:t xml:space="preserve">study treatment was </w:t>
      </w:r>
      <w:r w:rsidRPr="003F4620">
        <w:t>administered</w:t>
      </w:r>
      <w:r w:rsidRPr="009A1A34">
        <w:t>.</w:t>
      </w:r>
      <w:r>
        <w:t xml:space="preserve"> </w:t>
      </w:r>
      <w:r>
        <w:rPr>
          <w:lang w:eastAsia="ja-JP"/>
        </w:rPr>
        <w:t>The study included 36 healthy, FSH down-regulated women with a BMI in the range of 18.1 to 27.9 kg/m</w:t>
      </w:r>
      <w:r w:rsidRPr="00BF140B">
        <w:rPr>
          <w:vertAlign w:val="superscript"/>
          <w:lang w:eastAsia="ja-JP"/>
        </w:rPr>
        <w:t>2</w:t>
      </w:r>
      <w:r>
        <w:rPr>
          <w:lang w:eastAsia="ja-JP"/>
        </w:rPr>
        <w:t>. All 3</w:t>
      </w:r>
      <w:r w:rsidR="00207272">
        <w:rPr>
          <w:lang w:eastAsia="ja-JP"/>
        </w:rPr>
        <w:t>6 subjects completed the study.</w:t>
      </w:r>
    </w:p>
    <w:p w14:paraId="7E173F1B" w14:textId="4535D66C" w:rsidR="00167DEB" w:rsidRDefault="00167DEB" w:rsidP="00D74C4A">
      <w:pPr>
        <w:rPr>
          <w:lang w:eastAsia="ja-JP"/>
        </w:rPr>
      </w:pPr>
      <w:r>
        <w:rPr>
          <w:lang w:eastAsia="ja-JP"/>
        </w:rPr>
        <w:t>The primary PK outcome measures were AUC</w:t>
      </w:r>
      <w:r w:rsidRPr="007348CE">
        <w:rPr>
          <w:vertAlign w:val="subscript"/>
          <w:lang w:eastAsia="ja-JP"/>
        </w:rPr>
        <w:t>0-</w:t>
      </w:r>
      <w:r w:rsidR="002B0963">
        <w:rPr>
          <w:vertAlign w:val="subscript"/>
          <w:lang w:eastAsia="ja-JP"/>
        </w:rPr>
        <w:t>last</w:t>
      </w:r>
      <w:r>
        <w:rPr>
          <w:lang w:eastAsia="ja-JP"/>
        </w:rPr>
        <w:t xml:space="preserve"> and </w:t>
      </w:r>
      <w:proofErr w:type="spellStart"/>
      <w:r>
        <w:rPr>
          <w:lang w:eastAsia="ja-JP"/>
        </w:rPr>
        <w:t>C</w:t>
      </w:r>
      <w:r w:rsidRPr="007348CE">
        <w:rPr>
          <w:vertAlign w:val="subscript"/>
          <w:lang w:eastAsia="ja-JP"/>
        </w:rPr>
        <w:t>max</w:t>
      </w:r>
      <w:proofErr w:type="spellEnd"/>
      <w:r>
        <w:rPr>
          <w:lang w:eastAsia="ja-JP"/>
        </w:rPr>
        <w:t xml:space="preserve">. The analysis was based on baseline corrected FSH concentrations. </w:t>
      </w:r>
      <w:r>
        <w:t>The</w:t>
      </w:r>
      <w:r w:rsidRPr="00136528">
        <w:t xml:space="preserve"> plasma concentration time curves for XM17 and </w:t>
      </w:r>
      <w:proofErr w:type="spellStart"/>
      <w:r w:rsidR="00626892">
        <w:t>Gonal</w:t>
      </w:r>
      <w:proofErr w:type="spellEnd"/>
      <w:r w:rsidR="00626892">
        <w:t>-f</w:t>
      </w:r>
      <w:r>
        <w:t xml:space="preserve"> </w:t>
      </w:r>
      <w:r w:rsidRPr="00136528">
        <w:t>were identical</w:t>
      </w:r>
      <w:r>
        <w:t xml:space="preserve"> (</w:t>
      </w:r>
      <w:r>
        <w:fldChar w:fldCharType="begin"/>
      </w:r>
      <w:r>
        <w:instrText xml:space="preserve"> REF _Ref54948221 \h </w:instrText>
      </w:r>
      <w:r w:rsidR="00D74C4A">
        <w:instrText xml:space="preserve"> \* MERGEFORMAT </w:instrText>
      </w:r>
      <w:r>
        <w:fldChar w:fldCharType="separate"/>
      </w:r>
      <w:r w:rsidR="005A7CFA">
        <w:t xml:space="preserve">Figure </w:t>
      </w:r>
      <w:r w:rsidR="005A7CFA">
        <w:rPr>
          <w:noProof/>
        </w:rPr>
        <w:t>2</w:t>
      </w:r>
      <w:r>
        <w:fldChar w:fldCharType="end"/>
      </w:r>
      <w:r>
        <w:t>)</w:t>
      </w:r>
      <w:r w:rsidRPr="00136528">
        <w:t>. The PK parameters for the two products were similar</w:t>
      </w:r>
      <w:r>
        <w:t xml:space="preserve"> (</w:t>
      </w:r>
      <w:r>
        <w:fldChar w:fldCharType="begin"/>
      </w:r>
      <w:r>
        <w:instrText xml:space="preserve"> REF _Ref54948244 \h </w:instrText>
      </w:r>
      <w:r w:rsidR="00D74C4A">
        <w:instrText xml:space="preserve"> \* MERGEFORMAT </w:instrText>
      </w:r>
      <w:r>
        <w:fldChar w:fldCharType="separate"/>
      </w:r>
      <w:r w:rsidR="005A7CFA">
        <w:t xml:space="preserve">Table </w:t>
      </w:r>
      <w:r w:rsidR="005A7CFA">
        <w:rPr>
          <w:noProof/>
        </w:rPr>
        <w:t>4</w:t>
      </w:r>
      <w:r>
        <w:fldChar w:fldCharType="end"/>
      </w:r>
      <w:r>
        <w:t xml:space="preserve">). </w:t>
      </w:r>
      <w:r w:rsidRPr="00136528">
        <w:t xml:space="preserve">Bioequivalence was demonstrated </w:t>
      </w:r>
      <w:r>
        <w:t>for the primary PK parameters. T</w:t>
      </w:r>
      <w:r w:rsidRPr="00136528">
        <w:t xml:space="preserve">he mean ratio (90% </w:t>
      </w:r>
      <w:r w:rsidR="00D46146">
        <w:t>confidence interval (</w:t>
      </w:r>
      <w:r w:rsidRPr="00136528">
        <w:t>CI</w:t>
      </w:r>
      <w:r w:rsidR="00D46146">
        <w:t>)</w:t>
      </w:r>
      <w:r w:rsidRPr="00136528">
        <w:t>) was 1.028 (0.931 to 1.134) for AUC</w:t>
      </w:r>
      <w:r w:rsidRPr="00670572">
        <w:rPr>
          <w:vertAlign w:val="subscript"/>
        </w:rPr>
        <w:t>0-</w:t>
      </w:r>
      <w:r w:rsidR="002B0963">
        <w:rPr>
          <w:vertAlign w:val="subscript"/>
        </w:rPr>
        <w:t>last</w:t>
      </w:r>
      <w:r w:rsidRPr="00136528">
        <w:t xml:space="preserve"> and 1.017 (0.958 to 1.080) for </w:t>
      </w:r>
      <w:proofErr w:type="spellStart"/>
      <w:r w:rsidRPr="00136528">
        <w:t>C</w:t>
      </w:r>
      <w:r w:rsidRPr="009A4748">
        <w:rPr>
          <w:vertAlign w:val="subscript"/>
        </w:rPr>
        <w:t>max</w:t>
      </w:r>
      <w:proofErr w:type="spellEnd"/>
      <w:r>
        <w:t xml:space="preserve"> (</w:t>
      </w:r>
      <w:r>
        <w:fldChar w:fldCharType="begin"/>
      </w:r>
      <w:r>
        <w:instrText xml:space="preserve"> REF _Ref54948266 \h </w:instrText>
      </w:r>
      <w:r w:rsidR="00D74C4A">
        <w:instrText xml:space="preserve"> \* MERGEFORMAT </w:instrText>
      </w:r>
      <w:r>
        <w:fldChar w:fldCharType="separate"/>
      </w:r>
      <w:r w:rsidR="005A7CFA">
        <w:t xml:space="preserve">Table </w:t>
      </w:r>
      <w:r w:rsidR="005A7CFA">
        <w:rPr>
          <w:noProof/>
        </w:rPr>
        <w:t>5</w:t>
      </w:r>
      <w:r>
        <w:fldChar w:fldCharType="end"/>
      </w:r>
      <w:r>
        <w:t>)</w:t>
      </w:r>
      <w:r w:rsidRPr="00136528">
        <w:t>.</w:t>
      </w:r>
    </w:p>
    <w:p w14:paraId="5CDCF767" w14:textId="5DA8C9D5" w:rsidR="00167DEB" w:rsidRDefault="00167DEB" w:rsidP="00D46146">
      <w:pPr>
        <w:pStyle w:val="FigureTitle"/>
      </w:pPr>
      <w:bookmarkStart w:id="44" w:name="_Ref54948221"/>
      <w:r>
        <w:t xml:space="preserve">Figure </w:t>
      </w:r>
      <w:fldSimple w:instr=" SEQ Figure \* ARABIC ">
        <w:r w:rsidR="005A7CFA">
          <w:rPr>
            <w:noProof/>
          </w:rPr>
          <w:t>2</w:t>
        </w:r>
      </w:fldSimple>
      <w:bookmarkEnd w:id="44"/>
      <w:r w:rsidR="00D46146">
        <w:rPr>
          <w:noProof/>
        </w:rPr>
        <w:t>:</w:t>
      </w:r>
      <w:r>
        <w:t xml:space="preserve"> </w:t>
      </w:r>
      <w:r w:rsidR="00E70552">
        <w:t xml:space="preserve">Study XM17-02 </w:t>
      </w:r>
      <w:r w:rsidRPr="009F57DB">
        <w:t xml:space="preserve">Baseline corrected </w:t>
      </w:r>
      <w:r w:rsidR="00D46146">
        <w:t>f</w:t>
      </w:r>
      <w:r w:rsidR="00D46146" w:rsidRPr="00626892">
        <w:t>ollicle-stimulating hormone</w:t>
      </w:r>
      <w:r w:rsidR="00D46146">
        <w:t xml:space="preserve"> concentrations (IU/L)</w:t>
      </w:r>
      <w:r w:rsidRPr="009F57DB">
        <w:t xml:space="preserve"> after treatment with </w:t>
      </w:r>
      <w:proofErr w:type="spellStart"/>
      <w:r w:rsidR="00E70552">
        <w:t>Ovaleap</w:t>
      </w:r>
      <w:proofErr w:type="spellEnd"/>
      <w:r w:rsidR="00E70552">
        <w:t xml:space="preserve"> (</w:t>
      </w:r>
      <w:r w:rsidRPr="009F57DB">
        <w:t>XM17</w:t>
      </w:r>
      <w:r w:rsidR="00E70552">
        <w:t>)</w:t>
      </w:r>
      <w:r w:rsidRPr="009F57DB">
        <w:t xml:space="preserve"> and </w:t>
      </w:r>
      <w:proofErr w:type="spellStart"/>
      <w:r w:rsidR="00626892">
        <w:t>Gonal</w:t>
      </w:r>
      <w:proofErr w:type="spellEnd"/>
      <w:r w:rsidR="00626892">
        <w:t>-f</w:t>
      </w:r>
      <w:r w:rsidR="00D46146">
        <w:t xml:space="preserve"> versus time (h</w:t>
      </w:r>
      <w:r w:rsidR="00C904BD">
        <w:t>ours</w:t>
      </w:r>
      <w:r w:rsidR="00D46146">
        <w:t>) (linear scale)</w:t>
      </w:r>
      <w:r w:rsidR="0089098C">
        <w:t xml:space="preserve">; </w:t>
      </w:r>
      <w:r w:rsidR="00D46146">
        <w:t>m</w:t>
      </w:r>
      <w:r w:rsidRPr="009F57DB">
        <w:t>ean values and standard deviation (pharmacokinetic population)</w:t>
      </w:r>
    </w:p>
    <w:p w14:paraId="240C095B" w14:textId="4A3FBE25" w:rsidR="00167DEB" w:rsidRDefault="00D46146" w:rsidP="00167DEB">
      <w:r>
        <w:rPr>
          <w:noProof/>
          <w:lang w:eastAsia="en-AU"/>
        </w:rPr>
        <w:drawing>
          <wp:inline distT="0" distB="0" distL="0" distR="0" wp14:anchorId="5CCF869A" wp14:editId="56570D04">
            <wp:extent cx="5400040" cy="3257550"/>
            <wp:effectExtent l="0" t="0" r="0" b="0"/>
            <wp:docPr id="1" name="Picture 1" descr="Baseline corrected follicle-stimulating hormone concentrations (IU/L) after treatment with XM17 and Gonal-f versus time (h) (linear scale) – mean values and standard deviation (pharmacokinet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257550"/>
                    </a:xfrm>
                    <a:prstGeom prst="rect">
                      <a:avLst/>
                    </a:prstGeom>
                  </pic:spPr>
                </pic:pic>
              </a:graphicData>
            </a:graphic>
          </wp:inline>
        </w:drawing>
      </w:r>
    </w:p>
    <w:p w14:paraId="0A6E7600" w14:textId="5E10537A" w:rsidR="00F026AD" w:rsidRDefault="00F026AD" w:rsidP="00C01F54">
      <w:pPr>
        <w:pStyle w:val="TableDescription"/>
      </w:pPr>
      <w:r>
        <w:t>FSH = follicle-stimulating hormone</w:t>
      </w:r>
      <w:r w:rsidR="0089098C">
        <w:t xml:space="preserve">; </w:t>
      </w:r>
      <w:proofErr w:type="spellStart"/>
      <w:r w:rsidR="0089098C">
        <w:t>Gonal</w:t>
      </w:r>
      <w:proofErr w:type="spellEnd"/>
      <w:r w:rsidR="0089098C">
        <w:t xml:space="preserve">-F = </w:t>
      </w:r>
      <w:proofErr w:type="spellStart"/>
      <w:r w:rsidR="0089098C">
        <w:t>follitropin</w:t>
      </w:r>
      <w:proofErr w:type="spellEnd"/>
      <w:r w:rsidR="0089098C">
        <w:t xml:space="preserve"> alfa (comparator); XM17 = </w:t>
      </w:r>
      <w:proofErr w:type="spellStart"/>
      <w:r w:rsidR="0089098C">
        <w:t>Ovaleap</w:t>
      </w:r>
      <w:proofErr w:type="spellEnd"/>
      <w:r w:rsidR="0089098C">
        <w:t xml:space="preserve"> (</w:t>
      </w:r>
      <w:proofErr w:type="spellStart"/>
      <w:r w:rsidR="0089098C">
        <w:t>follitropin</w:t>
      </w:r>
      <w:proofErr w:type="spellEnd"/>
      <w:r w:rsidR="0089098C">
        <w:t xml:space="preserve"> alfa)</w:t>
      </w:r>
    </w:p>
    <w:p w14:paraId="445ABF42" w14:textId="78B3C568" w:rsidR="00167DEB" w:rsidRDefault="00167DEB" w:rsidP="0017519B">
      <w:pPr>
        <w:pStyle w:val="TableTitle"/>
      </w:pPr>
      <w:bookmarkStart w:id="45" w:name="_Ref54948244"/>
      <w:r>
        <w:lastRenderedPageBreak/>
        <w:t xml:space="preserve">Table </w:t>
      </w:r>
      <w:fldSimple w:instr=" SEQ Table \* ARABIC ">
        <w:r w:rsidR="005A7CFA">
          <w:rPr>
            <w:noProof/>
          </w:rPr>
          <w:t>4</w:t>
        </w:r>
      </w:fldSimple>
      <w:bookmarkEnd w:id="45"/>
      <w:r w:rsidR="00D46146">
        <w:rPr>
          <w:noProof/>
        </w:rPr>
        <w:t>:</w:t>
      </w:r>
      <w:r>
        <w:t xml:space="preserve"> </w:t>
      </w:r>
      <w:r w:rsidR="0089098C">
        <w:t xml:space="preserve">Study XM17-02 </w:t>
      </w:r>
      <w:r w:rsidRPr="009F57DB">
        <w:t>Descriptive statistics of primary and secondary p</w:t>
      </w:r>
      <w:r w:rsidR="00D46146">
        <w:t>harmacokinetic parameters of follicle-stimulating hormone</w:t>
      </w:r>
      <w:r w:rsidRPr="009F57DB">
        <w:t xml:space="preserve"> (pharmacokinetic population)</w:t>
      </w:r>
    </w:p>
    <w:p w14:paraId="6D7B11CB" w14:textId="48F1A134" w:rsidR="00351E57" w:rsidRDefault="0017519B" w:rsidP="00351E57">
      <w:pPr>
        <w:spacing w:before="0" w:after="0" w:line="0" w:lineRule="atLeast"/>
      </w:pPr>
      <w:r>
        <w:rPr>
          <w:noProof/>
          <w:lang w:eastAsia="en-AU"/>
        </w:rPr>
        <w:drawing>
          <wp:inline distT="0" distB="0" distL="0" distR="0" wp14:anchorId="7336EC2A" wp14:editId="2CA1824C">
            <wp:extent cx="4323283" cy="7366178"/>
            <wp:effectExtent l="0" t="0" r="1270" b="6350"/>
            <wp:docPr id="13" name="Picture 13" descr="Descriptive statistics of primary and secondary pharmacokinetic parameters of follicle-stimulating hormone (pharmacokinet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9259" cy="7427475"/>
                    </a:xfrm>
                    <a:prstGeom prst="rect">
                      <a:avLst/>
                    </a:prstGeom>
                  </pic:spPr>
                </pic:pic>
              </a:graphicData>
            </a:graphic>
          </wp:inline>
        </w:drawing>
      </w:r>
    </w:p>
    <w:p w14:paraId="1B6C8090" w14:textId="603E56D4" w:rsidR="00351E57" w:rsidRDefault="00351E57" w:rsidP="0017519B">
      <w:pPr>
        <w:pStyle w:val="TableDescription"/>
      </w:pPr>
      <w:r>
        <w:t>AUC</w:t>
      </w:r>
      <w:r w:rsidRPr="00351E57">
        <w:rPr>
          <w:vertAlign w:val="subscript"/>
        </w:rPr>
        <w:t>0-168h</w:t>
      </w:r>
      <w:r w:rsidRPr="00351E57">
        <w:t xml:space="preserve"> </w:t>
      </w:r>
      <w:r>
        <w:t xml:space="preserve">= area under the concentration-time curve from zero time to the sampling time point at 168 hours, </w:t>
      </w:r>
      <w:r w:rsidR="00F026AD">
        <w:t>AUC</w:t>
      </w:r>
      <w:r w:rsidR="00F026AD" w:rsidRPr="00C01F54">
        <w:rPr>
          <w:vertAlign w:val="subscript"/>
        </w:rPr>
        <w:t xml:space="preserve">0-t </w:t>
      </w:r>
      <w:r w:rsidR="00F026AD">
        <w:t>= a</w:t>
      </w:r>
      <w:r w:rsidR="00F026AD" w:rsidRPr="00F026AD">
        <w:t>rea under the concentration time curve from zero time to the last observed concentration value above lower limit of quantification</w:t>
      </w:r>
      <w:r w:rsidR="00F026AD">
        <w:t xml:space="preserve">, </w:t>
      </w:r>
      <w:r>
        <w:t>AUC</w:t>
      </w:r>
      <w:r w:rsidRPr="00351E57">
        <w:rPr>
          <w:vertAlign w:val="subscript"/>
        </w:rPr>
        <w:t>0-∞</w:t>
      </w:r>
      <w:r>
        <w:t xml:space="preserve"> = area under the concentration-time curve from zero time to infinity, CL/f = apparent clearance, </w:t>
      </w:r>
      <w:proofErr w:type="spellStart"/>
      <w:r w:rsidRPr="00351E57">
        <w:t>N</w:t>
      </w:r>
      <w:r w:rsidRPr="00351E57">
        <w:rPr>
          <w:vertAlign w:val="subscript"/>
        </w:rPr>
        <w:t>calc</w:t>
      </w:r>
      <w:proofErr w:type="spellEnd"/>
      <w:r w:rsidRPr="00351E57">
        <w:t xml:space="preserve"> = number of subjects used for calculation</w:t>
      </w:r>
      <w:r w:rsidR="0017519B">
        <w:t xml:space="preserve">, </w:t>
      </w:r>
      <w:r w:rsidR="00F026AD">
        <w:t>t</w:t>
      </w:r>
      <w:r w:rsidR="00F026AD" w:rsidRPr="00C01F54">
        <w:rPr>
          <w:vertAlign w:val="subscript"/>
        </w:rPr>
        <w:t xml:space="preserve">1/2 </w:t>
      </w:r>
      <w:r w:rsidR="00F026AD">
        <w:t>= e</w:t>
      </w:r>
      <w:r w:rsidR="00F026AD" w:rsidRPr="00F026AD">
        <w:t xml:space="preserve">limination </w:t>
      </w:r>
      <w:proofErr w:type="spellStart"/>
      <w:r w:rsidR="00F026AD" w:rsidRPr="00F026AD">
        <w:t>half life</w:t>
      </w:r>
      <w:proofErr w:type="spellEnd"/>
      <w:r w:rsidR="00F026AD">
        <w:t xml:space="preserve">, </w:t>
      </w:r>
      <w:proofErr w:type="spellStart"/>
      <w:r w:rsidR="00F026AD">
        <w:t>t</w:t>
      </w:r>
      <w:r w:rsidR="00F026AD" w:rsidRPr="00C01F54">
        <w:rPr>
          <w:vertAlign w:val="subscript"/>
        </w:rPr>
        <w:t>max</w:t>
      </w:r>
      <w:proofErr w:type="spellEnd"/>
      <w:r w:rsidR="00F026AD">
        <w:t xml:space="preserve"> = t</w:t>
      </w:r>
      <w:r w:rsidR="00F026AD" w:rsidRPr="00F026AD">
        <w:t>ime to maximum plasma concentration</w:t>
      </w:r>
      <w:r w:rsidR="00F026AD">
        <w:t xml:space="preserve">, </w:t>
      </w:r>
      <w:proofErr w:type="spellStart"/>
      <w:r w:rsidR="0017519B">
        <w:t>V</w:t>
      </w:r>
      <w:r w:rsidR="0017519B" w:rsidRPr="0017519B">
        <w:rPr>
          <w:vertAlign w:val="subscript"/>
        </w:rPr>
        <w:t>z</w:t>
      </w:r>
      <w:proofErr w:type="spellEnd"/>
      <w:r w:rsidR="0017519B">
        <w:t xml:space="preserve">/f = </w:t>
      </w:r>
      <w:r w:rsidR="00C904BD">
        <w:t>a</w:t>
      </w:r>
      <w:r w:rsidR="0017519B" w:rsidRPr="0017519B">
        <w:t>pparent volume of distribution</w:t>
      </w:r>
      <w:r w:rsidR="00C904BD">
        <w:t>.</w:t>
      </w:r>
    </w:p>
    <w:p w14:paraId="68682EC0" w14:textId="472BFE22" w:rsidR="00167DEB" w:rsidRDefault="00167DEB" w:rsidP="0017519B">
      <w:pPr>
        <w:pStyle w:val="TableTitle"/>
      </w:pPr>
      <w:bookmarkStart w:id="46" w:name="_Ref54948266"/>
      <w:r>
        <w:lastRenderedPageBreak/>
        <w:t xml:space="preserve">Table </w:t>
      </w:r>
      <w:fldSimple w:instr=" SEQ Table \* ARABIC ">
        <w:r w:rsidR="005A7CFA">
          <w:rPr>
            <w:noProof/>
          </w:rPr>
          <w:t>5</w:t>
        </w:r>
      </w:fldSimple>
      <w:bookmarkEnd w:id="46"/>
      <w:r w:rsidR="004D6C0E">
        <w:rPr>
          <w:noProof/>
        </w:rPr>
        <w:t>:</w:t>
      </w:r>
      <w:r>
        <w:t xml:space="preserve"> </w:t>
      </w:r>
      <w:r w:rsidR="0089098C">
        <w:t xml:space="preserve">Study XM17-02 </w:t>
      </w:r>
      <w:r w:rsidR="004D6C0E" w:rsidRPr="004D6C0E">
        <w:t>Rat</w:t>
      </w:r>
      <w:r w:rsidR="004D6C0E">
        <w:t xml:space="preserve">ios of pharmacokinetic parameters for </w:t>
      </w:r>
      <w:proofErr w:type="spellStart"/>
      <w:r w:rsidR="0089098C">
        <w:t>Ovaleap</w:t>
      </w:r>
      <w:proofErr w:type="spellEnd"/>
      <w:r w:rsidR="0089098C">
        <w:t xml:space="preserve"> (</w:t>
      </w:r>
      <w:r w:rsidR="004D6C0E">
        <w:t>XM17</w:t>
      </w:r>
      <w:r w:rsidR="0089098C">
        <w:t>)</w:t>
      </w:r>
      <w:r w:rsidR="004D6C0E">
        <w:t xml:space="preserve"> versus</w:t>
      </w:r>
      <w:r w:rsidR="004D6C0E" w:rsidRPr="004D6C0E">
        <w:t xml:space="preserve"> </w:t>
      </w:r>
      <w:proofErr w:type="spellStart"/>
      <w:r w:rsidR="004D6C0E" w:rsidRPr="004D6C0E">
        <w:t>Gonal</w:t>
      </w:r>
      <w:proofErr w:type="spellEnd"/>
      <w:r w:rsidR="004D6C0E" w:rsidRPr="004D6C0E">
        <w:t>-f</w:t>
      </w:r>
      <w:r w:rsidR="004D6C0E">
        <w:t xml:space="preserve"> </w:t>
      </w:r>
      <w:r w:rsidRPr="009F57DB">
        <w:t>with 90% confidence intervals</w:t>
      </w:r>
    </w:p>
    <w:p w14:paraId="3DEF7FB4" w14:textId="05D59CF9" w:rsidR="00351E57" w:rsidRDefault="00351E57" w:rsidP="00351E57">
      <w:r>
        <w:rPr>
          <w:noProof/>
          <w:lang w:eastAsia="en-AU"/>
        </w:rPr>
        <w:drawing>
          <wp:inline distT="0" distB="0" distL="0" distR="0" wp14:anchorId="46184D15" wp14:editId="6C57D316">
            <wp:extent cx="5400040" cy="1699260"/>
            <wp:effectExtent l="0" t="0" r="0" b="0"/>
            <wp:docPr id="8" name="Picture 8" descr="Ratios of pharmacokinetic parameters for XM17 versus Gonal-f with 90% confidenc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699260"/>
                    </a:xfrm>
                    <a:prstGeom prst="rect">
                      <a:avLst/>
                    </a:prstGeom>
                  </pic:spPr>
                </pic:pic>
              </a:graphicData>
            </a:graphic>
          </wp:inline>
        </w:drawing>
      </w:r>
    </w:p>
    <w:p w14:paraId="6EF39F5F" w14:textId="0A8D4A98" w:rsidR="00351E57" w:rsidRDefault="00351E57" w:rsidP="0017519B">
      <w:pPr>
        <w:pStyle w:val="TableDescription"/>
      </w:pPr>
      <w:r w:rsidRPr="00351E57">
        <w:t xml:space="preserve">* Difference between XM17 versus </w:t>
      </w:r>
      <w:proofErr w:type="spellStart"/>
      <w:r w:rsidRPr="00351E57">
        <w:t>Gonal</w:t>
      </w:r>
      <w:proofErr w:type="spellEnd"/>
      <w:r w:rsidRPr="00351E57">
        <w:t>-f.</w:t>
      </w:r>
    </w:p>
    <w:p w14:paraId="5FE88DA2" w14:textId="73179F94" w:rsidR="00167DEB" w:rsidRDefault="004D6C0E" w:rsidP="004D6C0E">
      <w:pPr>
        <w:pStyle w:val="TableDescription"/>
      </w:pPr>
      <w:r>
        <w:t xml:space="preserve">Log-transformed evaluation (except for </w:t>
      </w:r>
      <w:proofErr w:type="spellStart"/>
      <w:r>
        <w:t>t</w:t>
      </w:r>
      <w:r w:rsidRPr="004D6C0E">
        <w:rPr>
          <w:vertAlign w:val="subscript"/>
        </w:rPr>
        <w:t>max</w:t>
      </w:r>
      <w:proofErr w:type="spellEnd"/>
      <w:r>
        <w:t xml:space="preserve">) results presented after back-transformation. Ratios derived from least squares geometric means, for </w:t>
      </w:r>
      <w:proofErr w:type="spellStart"/>
      <w:r>
        <w:t>t</w:t>
      </w:r>
      <w:r w:rsidRPr="004D6C0E">
        <w:rPr>
          <w:vertAlign w:val="subscript"/>
        </w:rPr>
        <w:t>max</w:t>
      </w:r>
      <w:proofErr w:type="spellEnd"/>
      <w:r>
        <w:t xml:space="preserve"> nonparametric estimate of difference. Individual parameter estimates of insufficient reliability were excluded from the analyses.</w:t>
      </w:r>
    </w:p>
    <w:p w14:paraId="6C51E8B9" w14:textId="74F92E14" w:rsidR="00F026AD" w:rsidRDefault="00F026AD" w:rsidP="004D6C0E">
      <w:pPr>
        <w:pStyle w:val="TableDescription"/>
      </w:pPr>
      <w:r>
        <w:t>AUC</w:t>
      </w:r>
      <w:r w:rsidRPr="00351E57">
        <w:rPr>
          <w:vertAlign w:val="subscript"/>
        </w:rPr>
        <w:t>0-168h</w:t>
      </w:r>
      <w:r w:rsidRPr="00351E57">
        <w:t xml:space="preserve"> </w:t>
      </w:r>
      <w:r>
        <w:t>= area under the concentration-time curve from zero time to the sampling time point at 168 hours, AUC</w:t>
      </w:r>
      <w:r w:rsidRPr="00C228AF">
        <w:rPr>
          <w:vertAlign w:val="subscript"/>
        </w:rPr>
        <w:t xml:space="preserve">0-t </w:t>
      </w:r>
      <w:r>
        <w:t>= a</w:t>
      </w:r>
      <w:r w:rsidRPr="00F026AD">
        <w:t>rea under the concentration time curve from zero time to the last observed concentration value above lower limit of quantification</w:t>
      </w:r>
      <w:r>
        <w:t>, AUC</w:t>
      </w:r>
      <w:r w:rsidRPr="00351E57">
        <w:rPr>
          <w:vertAlign w:val="subscript"/>
        </w:rPr>
        <w:t>0-∞</w:t>
      </w:r>
      <w:r>
        <w:t xml:space="preserve"> = area under the concentration-time curve from zero time to infinity, </w:t>
      </w:r>
      <w:proofErr w:type="spellStart"/>
      <w:r>
        <w:t>C</w:t>
      </w:r>
      <w:r w:rsidRPr="00C01F54">
        <w:rPr>
          <w:vertAlign w:val="subscript"/>
        </w:rPr>
        <w:t>max</w:t>
      </w:r>
      <w:proofErr w:type="spellEnd"/>
      <w:r>
        <w:t xml:space="preserve"> = m</w:t>
      </w:r>
      <w:r w:rsidRPr="00F026AD">
        <w:t>aximum plasma concentration</w:t>
      </w:r>
      <w:r>
        <w:t>, t</w:t>
      </w:r>
      <w:r w:rsidRPr="00C228AF">
        <w:rPr>
          <w:vertAlign w:val="subscript"/>
        </w:rPr>
        <w:t xml:space="preserve">1/2 </w:t>
      </w:r>
      <w:r>
        <w:t>= e</w:t>
      </w:r>
      <w:r w:rsidRPr="00F026AD">
        <w:t xml:space="preserve">limination </w:t>
      </w:r>
      <w:proofErr w:type="spellStart"/>
      <w:r w:rsidRPr="00F026AD">
        <w:t>half life</w:t>
      </w:r>
      <w:proofErr w:type="spellEnd"/>
      <w:r>
        <w:t xml:space="preserve">, </w:t>
      </w:r>
      <w:proofErr w:type="spellStart"/>
      <w:r>
        <w:t>t</w:t>
      </w:r>
      <w:r w:rsidRPr="00C228AF">
        <w:rPr>
          <w:vertAlign w:val="subscript"/>
        </w:rPr>
        <w:t>max</w:t>
      </w:r>
      <w:proofErr w:type="spellEnd"/>
      <w:r>
        <w:t xml:space="preserve"> = t</w:t>
      </w:r>
      <w:r w:rsidRPr="00F026AD">
        <w:t>ime to maximum plasma concentration</w:t>
      </w:r>
      <w:r>
        <w:t>..</w:t>
      </w:r>
    </w:p>
    <w:p w14:paraId="778E6D78" w14:textId="77777777" w:rsidR="00167DEB" w:rsidRDefault="00167DEB" w:rsidP="00167DEB">
      <w:pPr>
        <w:pStyle w:val="Heading4"/>
      </w:pPr>
      <w:r w:rsidRPr="00AA53F4">
        <w:t>Efficacy</w:t>
      </w:r>
    </w:p>
    <w:p w14:paraId="2E0A8AD5" w14:textId="77777777" w:rsidR="00167DEB" w:rsidRPr="00FF3C38" w:rsidRDefault="00167DEB" w:rsidP="00D74C4A">
      <w:pPr>
        <w:pStyle w:val="Heading5"/>
      </w:pPr>
      <w:r w:rsidRPr="00FF3C38">
        <w:t>Study XM17-05</w:t>
      </w:r>
    </w:p>
    <w:p w14:paraId="657CD921" w14:textId="6E7CED33" w:rsidR="00167DEB" w:rsidRDefault="00793983" w:rsidP="00D74C4A">
      <w:r>
        <w:t>Study</w:t>
      </w:r>
      <w:r w:rsidR="00167DEB" w:rsidRPr="002F6C79">
        <w:t xml:space="preserve"> XM17-05 was an </w:t>
      </w:r>
      <w:r w:rsidR="00D2636B">
        <w:t>international, multi</w:t>
      </w:r>
      <w:r w:rsidR="00167DEB">
        <w:t xml:space="preserve">centre, </w:t>
      </w:r>
      <w:r w:rsidR="004D6C0E">
        <w:t>Phase III, randomised, assessor </w:t>
      </w:r>
      <w:r w:rsidR="00167DEB" w:rsidRPr="002F6C79">
        <w:t xml:space="preserve">blind, comparator controlled, parallel group efficacy and safety study of </w:t>
      </w:r>
      <w:proofErr w:type="spellStart"/>
      <w:r w:rsidR="0089098C">
        <w:t>Ovaleap</w:t>
      </w:r>
      <w:proofErr w:type="spellEnd"/>
      <w:r w:rsidR="0089098C">
        <w:t xml:space="preserve"> (</w:t>
      </w:r>
      <w:r w:rsidR="00167DEB" w:rsidRPr="002F6C79">
        <w:t>XM</w:t>
      </w:r>
      <w:r w:rsidR="00167DEB">
        <w:t>17</w:t>
      </w:r>
      <w:r w:rsidR="0089098C">
        <w:t xml:space="preserve">) </w:t>
      </w:r>
      <w:proofErr w:type="spellStart"/>
      <w:r w:rsidR="0089098C">
        <w:t>follitropin</w:t>
      </w:r>
      <w:proofErr w:type="spellEnd"/>
      <w:r w:rsidR="0089098C">
        <w:t xml:space="preserve"> alfa</w:t>
      </w:r>
      <w:r w:rsidR="00167DEB">
        <w:t xml:space="preserve"> in comparison to </w:t>
      </w:r>
      <w:proofErr w:type="spellStart"/>
      <w:r w:rsidR="00626892">
        <w:t>Gonal</w:t>
      </w:r>
      <w:proofErr w:type="spellEnd"/>
      <w:r w:rsidR="00626892">
        <w:t>-f</w:t>
      </w:r>
      <w:r w:rsidR="0089098C">
        <w:t xml:space="preserve"> </w:t>
      </w:r>
      <w:proofErr w:type="spellStart"/>
      <w:r w:rsidR="0089098C">
        <w:t>follitropin</w:t>
      </w:r>
      <w:proofErr w:type="spellEnd"/>
      <w:r w:rsidR="0089098C">
        <w:t xml:space="preserve"> alfa</w:t>
      </w:r>
      <w:r w:rsidR="00167DEB">
        <w:t xml:space="preserve">. A double blind study design was not technically feasible due to differences in product packaging. </w:t>
      </w:r>
      <w:r w:rsidR="00167DEB" w:rsidRPr="002F6C79">
        <w:t xml:space="preserve">The primary objective was to demonstrate the </w:t>
      </w:r>
      <w:r w:rsidR="00167DEB">
        <w:t>bio</w:t>
      </w:r>
      <w:r w:rsidR="00167DEB" w:rsidRPr="002F6C79">
        <w:t xml:space="preserve">equivalence of </w:t>
      </w:r>
      <w:proofErr w:type="spellStart"/>
      <w:r w:rsidR="0089098C">
        <w:t>Ovaleap</w:t>
      </w:r>
      <w:proofErr w:type="spellEnd"/>
      <w:r w:rsidR="0089098C">
        <w:t xml:space="preserve"> (</w:t>
      </w:r>
      <w:r w:rsidR="00167DEB" w:rsidRPr="002F6C79">
        <w:t>XM17</w:t>
      </w:r>
      <w:r w:rsidR="0089098C">
        <w:t>)</w:t>
      </w:r>
      <w:r w:rsidR="00167DEB" w:rsidRPr="002F6C79">
        <w:t xml:space="preserve"> </w:t>
      </w:r>
      <w:r w:rsidR="00167DEB">
        <w:t>and</w:t>
      </w:r>
      <w:r w:rsidR="00167DEB" w:rsidRPr="002F6C79">
        <w:t xml:space="preserve"> </w:t>
      </w:r>
      <w:proofErr w:type="spellStart"/>
      <w:r w:rsidR="00626892">
        <w:t>Gonal</w:t>
      </w:r>
      <w:proofErr w:type="spellEnd"/>
      <w:r w:rsidR="00626892">
        <w:t>-f</w:t>
      </w:r>
      <w:r w:rsidR="00167DEB" w:rsidRPr="002F6C79">
        <w:t xml:space="preserve"> with respect to the number of oocytes retrieved in infertile</w:t>
      </w:r>
      <w:r w:rsidR="00167DEB">
        <w:t>,</w:t>
      </w:r>
      <w:r w:rsidR="00167DEB" w:rsidRPr="002F6C79">
        <w:t xml:space="preserve"> but ovulatory</w:t>
      </w:r>
      <w:r w:rsidR="00167DEB">
        <w:t>,</w:t>
      </w:r>
      <w:r w:rsidR="00167DEB" w:rsidRPr="002F6C79">
        <w:t xml:space="preserve"> women undergoing superovulation for </w:t>
      </w:r>
      <w:r w:rsidR="00167DEB">
        <w:t>ART.</w:t>
      </w:r>
    </w:p>
    <w:p w14:paraId="01A2B955" w14:textId="1DCE46DF" w:rsidR="00167DEB" w:rsidRDefault="00167DEB" w:rsidP="00D74C4A">
      <w:r>
        <w:t>The main study was for one cycle. Patients who became p</w:t>
      </w:r>
      <w:r w:rsidR="00793983">
        <w:t>regnant were included in Follow</w:t>
      </w:r>
      <w:r w:rsidR="00793983">
        <w:noBreakHyphen/>
      </w:r>
      <w:r>
        <w:t xml:space="preserve">up Part A. Patients who did not become </w:t>
      </w:r>
      <w:r w:rsidRPr="00921FDD">
        <w:t xml:space="preserve">pregnant </w:t>
      </w:r>
      <w:r>
        <w:t>were able to enter Follow-up Part B. Patients in Part B received XM17 for a second or third cycle and the safety and immunogenicity of sever</w:t>
      </w:r>
      <w:r w:rsidR="00793983">
        <w:t>al cycles of XM17 was assessed.</w:t>
      </w:r>
    </w:p>
    <w:p w14:paraId="5AACAC66" w14:textId="356BA093" w:rsidR="00167DEB" w:rsidRDefault="00167DEB" w:rsidP="00D74C4A">
      <w:r>
        <w:t>The study included infertile women undergoing superovulation for ART, aged betwee</w:t>
      </w:r>
      <w:r w:rsidR="00793983">
        <w:t xml:space="preserve">n 18 to </w:t>
      </w:r>
      <w:r>
        <w:t>37 years with regular menstrual cycles and a BMI between 18 and 29 kg/m</w:t>
      </w:r>
      <w:r w:rsidRPr="00A253F0">
        <w:rPr>
          <w:vertAlign w:val="superscript"/>
        </w:rPr>
        <w:t>2</w:t>
      </w:r>
      <w:r>
        <w:t>, who had not undergone more than two consecutive previously unsuccessful IVF cycles, had not had more than three miscar</w:t>
      </w:r>
      <w:r w:rsidR="002B12DB">
        <w:t>riages and had no cysts &gt; 2 cm.</w:t>
      </w:r>
    </w:p>
    <w:p w14:paraId="2D5E9994" w14:textId="01ACD4A9" w:rsidR="00167DEB" w:rsidRDefault="00167DEB" w:rsidP="00D74C4A">
      <w:r>
        <w:t xml:space="preserve">The doses of XM17 and </w:t>
      </w:r>
      <w:proofErr w:type="spellStart"/>
      <w:r w:rsidR="00626892">
        <w:t>Gonal</w:t>
      </w:r>
      <w:proofErr w:type="spellEnd"/>
      <w:r w:rsidR="00626892">
        <w:t>-f</w:t>
      </w:r>
      <w:r>
        <w:t xml:space="preserve"> were fixed at 150 IU/day for the first 5 days, then adjusted from Day 6 to achieve adequate follicular development. Doses were adjusted in steps or multiples of 37.5 IU, up to 300 IU. Doses &gt;</w:t>
      </w:r>
      <w:r w:rsidR="002B12DB">
        <w:t xml:space="preserve"> </w:t>
      </w:r>
      <w:r>
        <w:t>450 IU were not recommended. All patients received</w:t>
      </w:r>
      <w:r w:rsidRPr="003676F6">
        <w:t xml:space="preserve"> </w:t>
      </w:r>
      <w:r w:rsidR="000D1C0D">
        <w:t>g</w:t>
      </w:r>
      <w:r w:rsidR="000D1C0D" w:rsidRPr="000D1C0D">
        <w:t xml:space="preserve">onadotropin-releasing hormone </w:t>
      </w:r>
      <w:r w:rsidRPr="003676F6">
        <w:t xml:space="preserve">agonist </w:t>
      </w:r>
      <w:proofErr w:type="spellStart"/>
      <w:r w:rsidRPr="003676F6">
        <w:t>Metrelef</w:t>
      </w:r>
      <w:proofErr w:type="spellEnd"/>
      <w:r w:rsidRPr="003676F6">
        <w:t xml:space="preserve"> (</w:t>
      </w:r>
      <w:proofErr w:type="spellStart"/>
      <w:r w:rsidRPr="003676F6">
        <w:t>buserelin</w:t>
      </w:r>
      <w:proofErr w:type="spellEnd"/>
      <w:r w:rsidRPr="003676F6">
        <w:t xml:space="preserve"> acetate) for pituitary down-regulation and recombinant </w:t>
      </w:r>
      <w:proofErr w:type="spellStart"/>
      <w:r w:rsidRPr="003676F6">
        <w:t>hCG</w:t>
      </w:r>
      <w:proofErr w:type="spellEnd"/>
      <w:r w:rsidRPr="003676F6">
        <w:t xml:space="preserve"> alfa </w:t>
      </w:r>
      <w:proofErr w:type="spellStart"/>
      <w:r w:rsidRPr="003676F6">
        <w:t>Ovitrelle</w:t>
      </w:r>
      <w:proofErr w:type="spellEnd"/>
      <w:r w:rsidRPr="003676F6">
        <w:t xml:space="preserve"> for final follicular maturation and induction of ovulation.</w:t>
      </w:r>
    </w:p>
    <w:p w14:paraId="21367D83" w14:textId="3FB77831" w:rsidR="00167DEB" w:rsidRPr="00C85010" w:rsidRDefault="00167DEB" w:rsidP="00D74C4A">
      <w:r w:rsidRPr="00C85010">
        <w:t xml:space="preserve">There were 398 patients enrolled and screened, and 299 were randomised and treated: 153 to XM17 and 146 to </w:t>
      </w:r>
      <w:proofErr w:type="spellStart"/>
      <w:r w:rsidR="00626892" w:rsidRPr="00C85010">
        <w:t>Gonal</w:t>
      </w:r>
      <w:proofErr w:type="spellEnd"/>
      <w:r w:rsidR="00626892" w:rsidRPr="00C85010">
        <w:t>-f</w:t>
      </w:r>
      <w:r w:rsidRPr="00C85010">
        <w:t xml:space="preserve">. 276 (92.3%) patients completed the study, and 23 (7.7%) were withdrawn: 11 (7.2%) patients in the XM17 group and 12 (8.2%) in the </w:t>
      </w:r>
      <w:proofErr w:type="spellStart"/>
      <w:r w:rsidR="00626892" w:rsidRPr="00C85010">
        <w:t>Gonal</w:t>
      </w:r>
      <w:proofErr w:type="spellEnd"/>
      <w:r w:rsidR="00626892" w:rsidRPr="00C85010">
        <w:t>-f</w:t>
      </w:r>
      <w:r w:rsidRPr="00C85010">
        <w:t xml:space="preserve">. </w:t>
      </w:r>
      <w:r w:rsidR="000D1C0D" w:rsidRPr="00C85010">
        <w:t>Nine</w:t>
      </w:r>
      <w:r w:rsidR="00974A55">
        <w:t> </w:t>
      </w:r>
      <w:r w:rsidRPr="00C85010">
        <w:t>(3.0%) patients discontinued because n</w:t>
      </w:r>
      <w:r w:rsidR="000D1C0D" w:rsidRPr="00C85010">
        <w:t>o oocytes were fertilised (5 versus</w:t>
      </w:r>
      <w:r w:rsidR="00974A55">
        <w:t xml:space="preserve"> 4) and 6 </w:t>
      </w:r>
      <w:r w:rsidRPr="00C85010">
        <w:t>(2.0%) because no embryos were transferred</w:t>
      </w:r>
      <w:r w:rsidR="000D1C0D" w:rsidRPr="00C85010">
        <w:t xml:space="preserve"> (5 versus</w:t>
      </w:r>
      <w:r w:rsidRPr="00C85010">
        <w:t xml:space="preserve"> 1). The mean (</w:t>
      </w:r>
      <w:r w:rsidR="000D1C0D" w:rsidRPr="00C85010">
        <w:t xml:space="preserve">standard </w:t>
      </w:r>
      <w:r w:rsidR="000D1C0D" w:rsidRPr="00C85010">
        <w:lastRenderedPageBreak/>
        <w:t>deviation (</w:t>
      </w:r>
      <w:r w:rsidRPr="00C85010">
        <w:t>SD</w:t>
      </w:r>
      <w:r w:rsidR="000D1C0D" w:rsidRPr="00C85010">
        <w:t>)</w:t>
      </w:r>
      <w:r w:rsidRPr="00C85010">
        <w:t>) patient age was 31.6 (3.2) years. The treatment groups were similar in demographic and baseline characteristics.</w:t>
      </w:r>
    </w:p>
    <w:p w14:paraId="4279CDA7" w14:textId="6BDF37AC" w:rsidR="00167DEB" w:rsidRDefault="00167DEB" w:rsidP="00D74C4A">
      <w:r w:rsidRPr="00C85010">
        <w:rPr>
          <w:lang w:eastAsia="ja-JP"/>
        </w:rPr>
        <w:t xml:space="preserve">The primary efficacy outcome measure was the number of oocytes retrieved. </w:t>
      </w:r>
      <w:r w:rsidRPr="00C85010">
        <w:t xml:space="preserve">At least one oocyte was harvested in 151 (99.3%) subjects in the XM17 group and 143 (98.6%) subjects in the </w:t>
      </w:r>
      <w:proofErr w:type="spellStart"/>
      <w:r w:rsidR="00626892" w:rsidRPr="00C85010">
        <w:t>Gonal</w:t>
      </w:r>
      <w:proofErr w:type="spellEnd"/>
      <w:r w:rsidR="00626892" w:rsidRPr="00C85010">
        <w:t>-f</w:t>
      </w:r>
      <w:r w:rsidRPr="00C85010">
        <w:t xml:space="preserve"> group in the according to protocol population (ATP). The mean</w:t>
      </w:r>
      <w:r>
        <w:t xml:space="preserve"> (SD) numbers of oocytes per patient was 12.2 (6.8) in the XM17 group and 12.0 (6.8) in the </w:t>
      </w:r>
      <w:proofErr w:type="spellStart"/>
      <w:r w:rsidR="00626892">
        <w:t>Gonal</w:t>
      </w:r>
      <w:proofErr w:type="spellEnd"/>
      <w:r w:rsidR="00626892">
        <w:t>-f</w:t>
      </w:r>
      <w:r>
        <w:t xml:space="preserve"> group. The </w:t>
      </w:r>
      <w:r w:rsidR="00C85010">
        <w:t>mean difference (95% CI), XM17 minus</w:t>
      </w:r>
      <w:r>
        <w:t xml:space="preserve"> </w:t>
      </w:r>
      <w:proofErr w:type="spellStart"/>
      <w:r w:rsidR="00626892">
        <w:t>Gonal</w:t>
      </w:r>
      <w:proofErr w:type="spellEnd"/>
      <w:r w:rsidR="00626892">
        <w:t>-f</w:t>
      </w:r>
      <w:r>
        <w:t xml:space="preserve"> was 0.03 (-0.76 to 0.82) oocytes which was well within the boundary for non-inferiority (-3). Age and country had a significant effect on the number of oocytes (p &lt;</w:t>
      </w:r>
      <w:r w:rsidR="004D6C0E">
        <w:t xml:space="preserve"> </w:t>
      </w:r>
      <w:r>
        <w:t xml:space="preserve">0.001). The </w:t>
      </w:r>
      <w:r w:rsidR="00C85010">
        <w:t>analysis of covariance</w:t>
      </w:r>
      <w:r>
        <w:t xml:space="preserve"> analysis a</w:t>
      </w:r>
      <w:r w:rsidR="00C85010">
        <w:t>nd the analysis of the intent</w:t>
      </w:r>
      <w:r>
        <w:t xml:space="preserve"> to treat population (ITT) were supportive of the primary analysis.</w:t>
      </w:r>
    </w:p>
    <w:p w14:paraId="55D348F2" w14:textId="77777777" w:rsidR="00167DEB" w:rsidRDefault="00167DEB" w:rsidP="00D74C4A">
      <w:pPr>
        <w:rPr>
          <w:lang w:eastAsia="ja-JP"/>
        </w:rPr>
      </w:pPr>
      <w:r>
        <w:rPr>
          <w:lang w:eastAsia="ja-JP"/>
        </w:rPr>
        <w:t>The results for the secondary efficacy outcome measures were:</w:t>
      </w:r>
    </w:p>
    <w:p w14:paraId="25A25E7B" w14:textId="309B2408" w:rsidR="00167DEB" w:rsidRDefault="00167DEB" w:rsidP="00D74C4A">
      <w:pPr>
        <w:pStyle w:val="ListBullet"/>
      </w:pPr>
      <w:r>
        <w:t xml:space="preserve">Total </w:t>
      </w:r>
      <w:r w:rsidR="0089098C">
        <w:t xml:space="preserve">human </w:t>
      </w:r>
      <w:r>
        <w:t>r-FSH dose was similar in the ITT populatio</w:t>
      </w:r>
      <w:r w:rsidR="00C85010">
        <w:t>ns for the two treatments: mean </w:t>
      </w:r>
      <w:r>
        <w:t xml:space="preserve">(SD) 1535.8 (495.6) IU for XM17 and 1614.3 (484.9) IU for </w:t>
      </w:r>
      <w:proofErr w:type="spellStart"/>
      <w:r w:rsidR="00626892">
        <w:t>Gonal</w:t>
      </w:r>
      <w:proofErr w:type="spellEnd"/>
      <w:r w:rsidR="00626892">
        <w:t>-f</w:t>
      </w:r>
      <w:r>
        <w:t xml:space="preserve"> (p = 0.065). The pattern of dose adaptations was similar in for the two treatment groups.</w:t>
      </w:r>
    </w:p>
    <w:p w14:paraId="610F641B" w14:textId="5361E1D3" w:rsidR="00167DEB" w:rsidRDefault="00167DEB" w:rsidP="00D74C4A">
      <w:pPr>
        <w:pStyle w:val="ListBullet"/>
      </w:pPr>
      <w:r>
        <w:t xml:space="preserve">The duration of </w:t>
      </w:r>
      <w:r w:rsidR="0089098C">
        <w:t>human r</w:t>
      </w:r>
      <w:r>
        <w:t>-FSH stimulation was similar for th</w:t>
      </w:r>
      <w:r w:rsidR="00974A55">
        <w:t>e two treatments: mean (SD) 9.3 </w:t>
      </w:r>
      <w:r>
        <w:t xml:space="preserve">(1.8) days for XM17 and 9.7 (1.6) days for </w:t>
      </w:r>
      <w:proofErr w:type="spellStart"/>
      <w:r w:rsidR="00626892">
        <w:t>Gonal</w:t>
      </w:r>
      <w:proofErr w:type="spellEnd"/>
      <w:r w:rsidR="00626892">
        <w:t>-f</w:t>
      </w:r>
      <w:r>
        <w:t xml:space="preserve"> (p = 0.116).</w:t>
      </w:r>
    </w:p>
    <w:p w14:paraId="26804E54" w14:textId="77777777" w:rsidR="00167DEB" w:rsidRDefault="00167DEB" w:rsidP="00D74C4A">
      <w:pPr>
        <w:pStyle w:val="ListBullet"/>
      </w:pPr>
      <w:r>
        <w:t>Follicle size on Day 6 was similar for the two treatment groups.</w:t>
      </w:r>
    </w:p>
    <w:p w14:paraId="2349C349" w14:textId="2EACE305" w:rsidR="00167DEB" w:rsidRDefault="00167DEB" w:rsidP="00D74C4A">
      <w:pPr>
        <w:pStyle w:val="ListBullet"/>
      </w:pPr>
      <w:r>
        <w:t xml:space="preserve">Mean serum oestradiol on Day 6 was higher in </w:t>
      </w:r>
      <w:r w:rsidR="00974A55">
        <w:t>the XM17 group: mean (SD) 650.2 </w:t>
      </w:r>
      <w:r>
        <w:t xml:space="preserve">(553.8) </w:t>
      </w:r>
      <w:proofErr w:type="spellStart"/>
      <w:r>
        <w:t>pg</w:t>
      </w:r>
      <w:proofErr w:type="spellEnd"/>
      <w:r>
        <w:t xml:space="preserve">/mL for XM17 and 516.3 (445.4) </w:t>
      </w:r>
      <w:proofErr w:type="spellStart"/>
      <w:r>
        <w:t>pg</w:t>
      </w:r>
      <w:proofErr w:type="spellEnd"/>
      <w:r>
        <w:t xml:space="preserve">/mL for </w:t>
      </w:r>
      <w:proofErr w:type="spellStart"/>
      <w:r w:rsidR="00626892">
        <w:t>Gonal</w:t>
      </w:r>
      <w:proofErr w:type="spellEnd"/>
      <w:r w:rsidR="00626892">
        <w:t>-f</w:t>
      </w:r>
      <w:r>
        <w:t xml:space="preserve"> (p = 0.009).</w:t>
      </w:r>
    </w:p>
    <w:p w14:paraId="5FD58808" w14:textId="1F1B3A6C" w:rsidR="00167DEB" w:rsidRDefault="00167DEB" w:rsidP="00D74C4A">
      <w:pPr>
        <w:pStyle w:val="ListBullet"/>
      </w:pPr>
      <w:r>
        <w:t>Mean endometrial thickness on Day 6 was similar fo</w:t>
      </w:r>
      <w:r w:rsidR="00974A55">
        <w:t>r the two groups: mean (SD) 8.2 </w:t>
      </w:r>
      <w:r>
        <w:t xml:space="preserve">(2.1) mm for XM17 and 8.0 (2.1) mm for </w:t>
      </w:r>
      <w:proofErr w:type="spellStart"/>
      <w:r w:rsidR="00626892">
        <w:t>Gonal</w:t>
      </w:r>
      <w:proofErr w:type="spellEnd"/>
      <w:r w:rsidR="00626892">
        <w:t>-f</w:t>
      </w:r>
      <w:r>
        <w:t>.</w:t>
      </w:r>
    </w:p>
    <w:p w14:paraId="1DD083CF" w14:textId="3763B2C6" w:rsidR="00167DEB" w:rsidRDefault="00167DEB" w:rsidP="00D74C4A">
      <w:pPr>
        <w:pStyle w:val="ListBullet"/>
      </w:pPr>
      <w:r>
        <w:t>The mean (SD) number of follicles &gt;</w:t>
      </w:r>
      <w:r w:rsidR="00C85010">
        <w:t xml:space="preserve"> </w:t>
      </w:r>
      <w:r>
        <w:t>14 mm on day</w:t>
      </w:r>
      <w:r w:rsidR="00974A55">
        <w:t xml:space="preserve"> of </w:t>
      </w:r>
      <w:proofErr w:type="spellStart"/>
      <w:r w:rsidR="00974A55">
        <w:t>hCG</w:t>
      </w:r>
      <w:proofErr w:type="spellEnd"/>
      <w:r w:rsidR="00974A55">
        <w:t xml:space="preserve"> administration was 10.8 </w:t>
      </w:r>
      <w:r>
        <w:t xml:space="preserve">(4.9) for XM17 and 10.5 (4.7) for </w:t>
      </w:r>
      <w:proofErr w:type="spellStart"/>
      <w:r w:rsidR="00626892">
        <w:t>Gonal</w:t>
      </w:r>
      <w:proofErr w:type="spellEnd"/>
      <w:r w:rsidR="00626892">
        <w:t>-f</w:t>
      </w:r>
      <w:r>
        <w:t>.</w:t>
      </w:r>
    </w:p>
    <w:p w14:paraId="635D5B10" w14:textId="46ACD8E0" w:rsidR="00167DEB" w:rsidRDefault="00167DEB" w:rsidP="00D74C4A">
      <w:pPr>
        <w:pStyle w:val="ListBullet"/>
      </w:pPr>
      <w:r>
        <w:t xml:space="preserve">Mean serum oestradiol on day of </w:t>
      </w:r>
      <w:proofErr w:type="spellStart"/>
      <w:r>
        <w:t>hCG</w:t>
      </w:r>
      <w:proofErr w:type="spellEnd"/>
      <w:r>
        <w:t xml:space="preserve"> administration was similar for the two treatment groups: mean (SD) 2744.3 (1728.5) </w:t>
      </w:r>
      <w:proofErr w:type="spellStart"/>
      <w:r>
        <w:t>pg</w:t>
      </w:r>
      <w:proofErr w:type="spellEnd"/>
      <w:r>
        <w:t>/</w:t>
      </w:r>
      <w:r w:rsidR="00974A55">
        <w:t>mL for XM17 and 2598.5 (1562.6) </w:t>
      </w:r>
      <w:proofErr w:type="spellStart"/>
      <w:r>
        <w:t>pg</w:t>
      </w:r>
      <w:proofErr w:type="spellEnd"/>
      <w:r>
        <w:t xml:space="preserve">/mL for </w:t>
      </w:r>
      <w:proofErr w:type="spellStart"/>
      <w:r w:rsidR="00626892">
        <w:t>Gonal</w:t>
      </w:r>
      <w:proofErr w:type="spellEnd"/>
      <w:r w:rsidR="00626892">
        <w:t>-f</w:t>
      </w:r>
      <w:r>
        <w:t>.</w:t>
      </w:r>
    </w:p>
    <w:p w14:paraId="0F7B5DDE" w14:textId="77777777" w:rsidR="00167DEB" w:rsidRDefault="00167DEB" w:rsidP="00D74C4A">
      <w:pPr>
        <w:pStyle w:val="ListBullet"/>
      </w:pPr>
      <w:r>
        <w:t xml:space="preserve">Mean endometrial thickness on day of </w:t>
      </w:r>
      <w:proofErr w:type="spellStart"/>
      <w:r>
        <w:t>hCG</w:t>
      </w:r>
      <w:proofErr w:type="spellEnd"/>
      <w:r>
        <w:t xml:space="preserve"> administration was similar for the two groups: mean (SD) 10.9 (2.0) mm for XM17 and 10.9 (1.9) mm for </w:t>
      </w:r>
      <w:proofErr w:type="spellStart"/>
      <w:r w:rsidR="00626892">
        <w:t>Gonal</w:t>
      </w:r>
      <w:proofErr w:type="spellEnd"/>
      <w:r w:rsidR="00626892">
        <w:t>-f</w:t>
      </w:r>
      <w:r>
        <w:t>.</w:t>
      </w:r>
    </w:p>
    <w:p w14:paraId="0ACCB417" w14:textId="34950DC8" w:rsidR="00167DEB" w:rsidRPr="007B23C1" w:rsidRDefault="00167DEB" w:rsidP="00D74C4A">
      <w:pPr>
        <w:pStyle w:val="ListBullet"/>
      </w:pPr>
      <w:r>
        <w:t>The c</w:t>
      </w:r>
      <w:r w:rsidRPr="007B23C1">
        <w:t>ancellation rate prior to oocyte retrieval</w:t>
      </w:r>
      <w:r>
        <w:t xml:space="preserve"> in the ITT population was 1 (0.7%) patient in the XM17 group and 3 (2.1%) in the </w:t>
      </w:r>
      <w:proofErr w:type="spellStart"/>
      <w:r w:rsidR="00626892">
        <w:t>Gonal</w:t>
      </w:r>
      <w:proofErr w:type="spellEnd"/>
      <w:r w:rsidR="00626892">
        <w:t>-f</w:t>
      </w:r>
      <w:r w:rsidR="00974A55">
        <w:t>.</w:t>
      </w:r>
    </w:p>
    <w:p w14:paraId="6A2590CC" w14:textId="16E466C0" w:rsidR="00167DEB" w:rsidRPr="007B23C1" w:rsidRDefault="00167DEB" w:rsidP="00C85010">
      <w:pPr>
        <w:pStyle w:val="ListBullet"/>
      </w:pPr>
      <w:r w:rsidRPr="007B23C1">
        <w:t>Oocyte maturity (</w:t>
      </w:r>
      <w:r w:rsidR="00C85010">
        <w:t>i</w:t>
      </w:r>
      <w:r w:rsidR="00C85010" w:rsidRPr="00C85010">
        <w:t>ntracytoplasmic sperm injecti</w:t>
      </w:r>
      <w:r w:rsidR="00C85010">
        <w:t>on (</w:t>
      </w:r>
      <w:r w:rsidRPr="007B23C1">
        <w:t>ICSI</w:t>
      </w:r>
      <w:r w:rsidR="00C85010">
        <w:t>)</w:t>
      </w:r>
      <w:r w:rsidRPr="007B23C1">
        <w:t xml:space="preserve"> procedure only)</w:t>
      </w:r>
      <w:r>
        <w:t xml:space="preserve"> was simil</w:t>
      </w:r>
      <w:r w:rsidR="00C85010">
        <w:t>ar for the two treatment groups</w:t>
      </w:r>
      <w:r w:rsidR="00974A55">
        <w:t>.</w:t>
      </w:r>
    </w:p>
    <w:p w14:paraId="3E30D606" w14:textId="29E20B3A" w:rsidR="00167DEB" w:rsidRPr="007B23C1" w:rsidRDefault="00167DEB" w:rsidP="00D74C4A">
      <w:pPr>
        <w:pStyle w:val="ListBullet"/>
      </w:pPr>
      <w:r w:rsidRPr="007B23C1">
        <w:t>Oocyte quality (based on the Z-scoring system)</w:t>
      </w:r>
      <w:r>
        <w:t xml:space="preserve"> was simil</w:t>
      </w:r>
      <w:r w:rsidR="00974A55">
        <w:t>ar for the two treatment groups.</w:t>
      </w:r>
    </w:p>
    <w:p w14:paraId="728F7DF1" w14:textId="0F3302F5" w:rsidR="00167DEB" w:rsidRPr="007B23C1" w:rsidRDefault="00167DEB" w:rsidP="00D74C4A">
      <w:pPr>
        <w:pStyle w:val="ListBullet"/>
      </w:pPr>
      <w:r>
        <w:t>The mean (SD) f</w:t>
      </w:r>
      <w:r w:rsidRPr="007B23C1">
        <w:t xml:space="preserve">ertilisation rate </w:t>
      </w:r>
      <w:r w:rsidR="00C85010">
        <w:t>for ICSI was 67.2 (22.9)% for XM17 and 63.3 (26.3)</w:t>
      </w:r>
      <w:r>
        <w:t xml:space="preserve">% for </w:t>
      </w:r>
      <w:proofErr w:type="spellStart"/>
      <w:r w:rsidR="00626892">
        <w:t>Gonal</w:t>
      </w:r>
      <w:proofErr w:type="spellEnd"/>
      <w:r w:rsidR="00626892">
        <w:t>-f</w:t>
      </w:r>
      <w:r>
        <w:t>. The mean (SD) f</w:t>
      </w:r>
      <w:r w:rsidRPr="007B23C1">
        <w:t xml:space="preserve">ertilisation rate </w:t>
      </w:r>
      <w:r w:rsidR="00C85010">
        <w:t>for IVF was 42.6 (33.9)% for XM17 and 45.6 (31.2)</w:t>
      </w:r>
      <w:r>
        <w:t xml:space="preserve">% for </w:t>
      </w:r>
      <w:proofErr w:type="spellStart"/>
      <w:r w:rsidR="00626892">
        <w:t>Gonal</w:t>
      </w:r>
      <w:proofErr w:type="spellEnd"/>
      <w:r w:rsidR="00626892">
        <w:t>-f</w:t>
      </w:r>
      <w:r>
        <w:t>.</w:t>
      </w:r>
    </w:p>
    <w:p w14:paraId="05DF779F" w14:textId="3EA85063" w:rsidR="00167DEB" w:rsidRDefault="00167DEB" w:rsidP="00D74C4A">
      <w:pPr>
        <w:pStyle w:val="ListBullet"/>
      </w:pPr>
      <w:r w:rsidRPr="00340962">
        <w:t>Biochemical pregnancy was detected in 58 (37.9%) patients in the XM17 group and 60</w:t>
      </w:r>
      <w:r w:rsidR="00C85010">
        <w:t> </w:t>
      </w:r>
      <w:r w:rsidRPr="00340962">
        <w:t xml:space="preserve">(41.1%) in the </w:t>
      </w:r>
      <w:proofErr w:type="spellStart"/>
      <w:r w:rsidR="00626892">
        <w:t>Gonal</w:t>
      </w:r>
      <w:proofErr w:type="spellEnd"/>
      <w:r w:rsidR="00626892">
        <w:t>-f</w:t>
      </w:r>
      <w:r w:rsidRPr="00340962">
        <w:t xml:space="preserve"> </w:t>
      </w:r>
      <w:r w:rsidR="00C85010">
        <w:t xml:space="preserve">group </w:t>
      </w:r>
      <w:r w:rsidRPr="00340962">
        <w:t>(p = 0.606).</w:t>
      </w:r>
      <w:r>
        <w:t xml:space="preserve"> Clinical</w:t>
      </w:r>
      <w:r w:rsidRPr="00340962">
        <w:t xml:space="preserve"> pregnancy was detected in </w:t>
      </w:r>
      <w:r>
        <w:t>43</w:t>
      </w:r>
      <w:r w:rsidR="00C85010">
        <w:t> </w:t>
      </w:r>
      <w:r w:rsidRPr="00340962">
        <w:t>(</w:t>
      </w:r>
      <w:r>
        <w:t>28.1</w:t>
      </w:r>
      <w:r w:rsidRPr="00340962">
        <w:t xml:space="preserve">%) patients in the XM17 group and </w:t>
      </w:r>
      <w:r>
        <w:t>52</w:t>
      </w:r>
      <w:r w:rsidRPr="00340962">
        <w:t xml:space="preserve"> (</w:t>
      </w:r>
      <w:r>
        <w:t>35.6</w:t>
      </w:r>
      <w:r w:rsidRPr="00340962">
        <w:t xml:space="preserve">%) in the </w:t>
      </w:r>
      <w:proofErr w:type="spellStart"/>
      <w:r w:rsidR="00626892">
        <w:t>Gonal</w:t>
      </w:r>
      <w:proofErr w:type="spellEnd"/>
      <w:r w:rsidR="00626892">
        <w:t>-f</w:t>
      </w:r>
      <w:r>
        <w:t xml:space="preserve"> </w:t>
      </w:r>
      <w:r w:rsidR="00C85010">
        <w:t>group</w:t>
      </w:r>
      <w:r w:rsidR="00974A55">
        <w:t xml:space="preserve"> (p = </w:t>
      </w:r>
      <w:r w:rsidRPr="00340962">
        <w:t>0.</w:t>
      </w:r>
      <w:r>
        <w:t>172</w:t>
      </w:r>
      <w:r w:rsidRPr="00340962">
        <w:t>).</w:t>
      </w:r>
    </w:p>
    <w:p w14:paraId="68FCC5FB" w14:textId="6E6F78B3" w:rsidR="00167DEB" w:rsidRDefault="00167DEB" w:rsidP="00D74C4A">
      <w:pPr>
        <w:rPr>
          <w:lang w:eastAsia="ja-JP"/>
        </w:rPr>
      </w:pPr>
      <w:r>
        <w:rPr>
          <w:lang w:eastAsia="ja-JP"/>
        </w:rPr>
        <w:t>Follow-up Part A includ</w:t>
      </w:r>
      <w:r w:rsidR="00C85010">
        <w:rPr>
          <w:lang w:eastAsia="ja-JP"/>
        </w:rPr>
        <w:t>ed a total of 99 patients (46 versus 53). An additional four</w:t>
      </w:r>
      <w:r>
        <w:rPr>
          <w:lang w:eastAsia="ja-JP"/>
        </w:rPr>
        <w:t xml:space="preserve"> patients who did not have a biochemical pregnancy after an initial embryo transfer but became pregnant after an additional embryo transfer with frozen embryos developed during the main study. In the Part A patient population t</w:t>
      </w:r>
      <w:r w:rsidRPr="00E362EF">
        <w:rPr>
          <w:lang w:eastAsia="ja-JP"/>
        </w:rPr>
        <w:t xml:space="preserve">here was a higher proportion of patients who smoked and who drank alcohol in the </w:t>
      </w:r>
      <w:proofErr w:type="spellStart"/>
      <w:r w:rsidR="00626892">
        <w:t>Gonal</w:t>
      </w:r>
      <w:proofErr w:type="spellEnd"/>
      <w:r w:rsidR="00626892">
        <w:t>-f</w:t>
      </w:r>
      <w:r w:rsidRPr="00E362EF">
        <w:t xml:space="preserve"> </w:t>
      </w:r>
      <w:r w:rsidRPr="00E362EF">
        <w:rPr>
          <w:lang w:eastAsia="ja-JP"/>
        </w:rPr>
        <w:t>group.</w:t>
      </w:r>
    </w:p>
    <w:p w14:paraId="4444295E" w14:textId="733BC60D" w:rsidR="00167DEB" w:rsidRDefault="00167DEB" w:rsidP="00D74C4A">
      <w:pPr>
        <w:rPr>
          <w:lang w:eastAsia="ja-JP"/>
        </w:rPr>
      </w:pPr>
      <w:r w:rsidRPr="002C1C65">
        <w:rPr>
          <w:lang w:eastAsia="ja-JP"/>
        </w:rPr>
        <w:lastRenderedPageBreak/>
        <w:t>There were 42 (27.5% of the main study population) pa</w:t>
      </w:r>
      <w:r w:rsidR="00C85010">
        <w:rPr>
          <w:lang w:eastAsia="ja-JP"/>
        </w:rPr>
        <w:t>tients in the XM17 group and 49 </w:t>
      </w:r>
      <w:r w:rsidRPr="002C1C65">
        <w:rPr>
          <w:lang w:eastAsia="ja-JP"/>
        </w:rPr>
        <w:t xml:space="preserve">(33.6%) in the </w:t>
      </w:r>
      <w:proofErr w:type="spellStart"/>
      <w:r w:rsidR="00626892">
        <w:t>Gonal</w:t>
      </w:r>
      <w:proofErr w:type="spellEnd"/>
      <w:r w:rsidR="00626892">
        <w:t>-f</w:t>
      </w:r>
      <w:r w:rsidRPr="002C1C65">
        <w:t xml:space="preserve"> </w:t>
      </w:r>
      <w:r w:rsidRPr="002C1C65">
        <w:rPr>
          <w:lang w:eastAsia="ja-JP"/>
        </w:rPr>
        <w:t>with ongoing pregnancy. Complications during pregnancy were</w:t>
      </w:r>
      <w:r>
        <w:rPr>
          <w:lang w:eastAsia="ja-JP"/>
        </w:rPr>
        <w:t xml:space="preserve"> reported in 5 (11.4% of the Part A population) patients in the XM17 group and 7 (13.2%) in the </w:t>
      </w:r>
      <w:proofErr w:type="spellStart"/>
      <w:r w:rsidR="00626892">
        <w:t>Gonal</w:t>
      </w:r>
      <w:proofErr w:type="spellEnd"/>
      <w:r w:rsidR="00626892">
        <w:t>-f</w:t>
      </w:r>
      <w:r>
        <w:t xml:space="preserve"> group</w:t>
      </w:r>
      <w:r>
        <w:rPr>
          <w:lang w:eastAsia="ja-JP"/>
        </w:rPr>
        <w:t xml:space="preserve">. There were no ectopic pregnancies reported in the </w:t>
      </w:r>
      <w:r w:rsidR="00C85010">
        <w:rPr>
          <w:lang w:eastAsia="ja-JP"/>
        </w:rPr>
        <w:t>Part</w:t>
      </w:r>
      <w:r>
        <w:rPr>
          <w:lang w:eastAsia="ja-JP"/>
        </w:rPr>
        <w:t xml:space="preserve"> A follow-up but in the main study report</w:t>
      </w:r>
      <w:r w:rsidR="0089098C">
        <w:rPr>
          <w:lang w:eastAsia="ja-JP"/>
        </w:rPr>
        <w:t xml:space="preserve"> ectopic pregnancy was reported</w:t>
      </w:r>
      <w:r>
        <w:rPr>
          <w:lang w:eastAsia="ja-JP"/>
        </w:rPr>
        <w:t xml:space="preserve"> </w:t>
      </w:r>
      <w:r w:rsidR="0089098C">
        <w:t>in</w:t>
      </w:r>
      <w:r>
        <w:t xml:space="preserve"> 2 (1.3%) patients in the XM17 and 1 (0.7%) in the </w:t>
      </w:r>
      <w:proofErr w:type="spellStart"/>
      <w:r w:rsidR="00626892">
        <w:t>Gonal</w:t>
      </w:r>
      <w:proofErr w:type="spellEnd"/>
      <w:r w:rsidR="00626892">
        <w:t>-f</w:t>
      </w:r>
      <w:r>
        <w:t xml:space="preserve"> group</w:t>
      </w:r>
      <w:r>
        <w:rPr>
          <w:lang w:eastAsia="ja-JP"/>
        </w:rPr>
        <w:t xml:space="preserve">. Clinical abortion was </w:t>
      </w:r>
      <w:r w:rsidR="00C85010">
        <w:rPr>
          <w:lang w:eastAsia="ja-JP"/>
        </w:rPr>
        <w:t>reported in two</w:t>
      </w:r>
      <w:r>
        <w:rPr>
          <w:lang w:eastAsia="ja-JP"/>
        </w:rPr>
        <w:t xml:space="preserve"> (4.5%) </w:t>
      </w:r>
      <w:r w:rsidR="00C85010">
        <w:rPr>
          <w:lang w:eastAsia="ja-JP"/>
        </w:rPr>
        <w:t>patients in the XM17 group and one</w:t>
      </w:r>
      <w:r>
        <w:rPr>
          <w:lang w:eastAsia="ja-JP"/>
        </w:rPr>
        <w:t xml:space="preserve"> (1.9%) in the </w:t>
      </w:r>
      <w:proofErr w:type="spellStart"/>
      <w:r w:rsidR="00626892">
        <w:t>Gonal</w:t>
      </w:r>
      <w:proofErr w:type="spellEnd"/>
      <w:r w:rsidR="00626892">
        <w:t>-f</w:t>
      </w:r>
      <w:r>
        <w:rPr>
          <w:lang w:eastAsia="ja-JP"/>
        </w:rPr>
        <w:t>. M</w:t>
      </w:r>
      <w:r w:rsidR="00C85010">
        <w:rPr>
          <w:lang w:eastAsia="ja-JP"/>
        </w:rPr>
        <w:t>issed abortion was reported in three</w:t>
      </w:r>
      <w:r>
        <w:rPr>
          <w:lang w:eastAsia="ja-JP"/>
        </w:rPr>
        <w:t xml:space="preserve"> (6.8%) </w:t>
      </w:r>
      <w:r w:rsidR="00C85010">
        <w:rPr>
          <w:lang w:eastAsia="ja-JP"/>
        </w:rPr>
        <w:t>patients in the XM17 group and three</w:t>
      </w:r>
      <w:r>
        <w:rPr>
          <w:lang w:eastAsia="ja-JP"/>
        </w:rPr>
        <w:t xml:space="preserve"> (5.7%) in the </w:t>
      </w:r>
      <w:proofErr w:type="spellStart"/>
      <w:r w:rsidR="00626892">
        <w:t>Gonal</w:t>
      </w:r>
      <w:proofErr w:type="spellEnd"/>
      <w:r w:rsidR="00626892">
        <w:t>-f</w:t>
      </w:r>
      <w:r>
        <w:t xml:space="preserve"> group</w:t>
      </w:r>
      <w:r>
        <w:rPr>
          <w:lang w:eastAsia="ja-JP"/>
        </w:rPr>
        <w:t>. In the XM17 group there was one</w:t>
      </w:r>
      <w:r w:rsidR="00F164A5">
        <w:rPr>
          <w:lang w:eastAsia="ja-JP"/>
        </w:rPr>
        <w:t xml:space="preserve"> trisomy 21-related</w:t>
      </w:r>
      <w:r>
        <w:rPr>
          <w:lang w:eastAsia="ja-JP"/>
        </w:rPr>
        <w:t xml:space="preserve"> clinical abortion; and in the </w:t>
      </w:r>
      <w:proofErr w:type="spellStart"/>
      <w:r w:rsidR="00626892">
        <w:t>Gonal</w:t>
      </w:r>
      <w:proofErr w:type="spellEnd"/>
      <w:r w:rsidR="00626892">
        <w:t>-f</w:t>
      </w:r>
      <w:r>
        <w:rPr>
          <w:lang w:eastAsia="ja-JP"/>
        </w:rPr>
        <w:t xml:space="preserve"> group there was a</w:t>
      </w:r>
      <w:r w:rsidR="00F164A5">
        <w:rPr>
          <w:lang w:eastAsia="ja-JP"/>
        </w:rPr>
        <w:t xml:space="preserve"> 5;13 chromosomal translocation-related</w:t>
      </w:r>
      <w:r>
        <w:rPr>
          <w:lang w:eastAsia="ja-JP"/>
        </w:rPr>
        <w:t xml:space="preserve"> induc</w:t>
      </w:r>
      <w:r w:rsidR="00C85010">
        <w:rPr>
          <w:lang w:eastAsia="ja-JP"/>
        </w:rPr>
        <w:t>ed abortion</w:t>
      </w:r>
      <w:r w:rsidR="00F164A5">
        <w:rPr>
          <w:lang w:eastAsia="ja-JP"/>
        </w:rPr>
        <w:t>.</w:t>
      </w:r>
    </w:p>
    <w:p w14:paraId="05F3C64E" w14:textId="67ECC180" w:rsidR="00167DEB" w:rsidRPr="00136528" w:rsidRDefault="00167DEB" w:rsidP="00D74C4A">
      <w:pPr>
        <w:rPr>
          <w:lang w:eastAsia="ja-JP"/>
        </w:rPr>
      </w:pPr>
      <w:r>
        <w:rPr>
          <w:lang w:eastAsia="ja-JP"/>
        </w:rPr>
        <w:t xml:space="preserve">The take home baby rate was 41 (26.8% of the main study population) in the XM17 group and 47 (32.2%) in the </w:t>
      </w:r>
      <w:proofErr w:type="spellStart"/>
      <w:r w:rsidR="00626892">
        <w:t>Gonal</w:t>
      </w:r>
      <w:proofErr w:type="spellEnd"/>
      <w:r w:rsidR="00626892">
        <w:t>-f</w:t>
      </w:r>
      <w:r>
        <w:t xml:space="preserve"> group</w:t>
      </w:r>
      <w:r>
        <w:rPr>
          <w:lang w:eastAsia="ja-JP"/>
        </w:rPr>
        <w:t>. In the XM17 group t</w:t>
      </w:r>
      <w:r w:rsidR="00CA1F46">
        <w:rPr>
          <w:lang w:eastAsia="ja-JP"/>
        </w:rPr>
        <w:t>here were multiple births in 13 </w:t>
      </w:r>
      <w:r>
        <w:rPr>
          <w:lang w:eastAsia="ja-JP"/>
        </w:rPr>
        <w:t>(31.7%) patients; there were no stillbirths; and four b</w:t>
      </w:r>
      <w:r w:rsidR="00CA1F46">
        <w:rPr>
          <w:lang w:eastAsia="ja-JP"/>
        </w:rPr>
        <w:t>abies were born premature at 32 </w:t>
      </w:r>
      <w:r>
        <w:rPr>
          <w:lang w:eastAsia="ja-JP"/>
        </w:rPr>
        <w:t xml:space="preserve">weeks gestation. In the </w:t>
      </w:r>
      <w:proofErr w:type="spellStart"/>
      <w:r w:rsidR="00626892">
        <w:t>Gonal</w:t>
      </w:r>
      <w:proofErr w:type="spellEnd"/>
      <w:r w:rsidR="00626892">
        <w:t>-f</w:t>
      </w:r>
      <w:r>
        <w:t xml:space="preserve"> </w:t>
      </w:r>
      <w:r>
        <w:rPr>
          <w:lang w:eastAsia="ja-JP"/>
        </w:rPr>
        <w:t>group there were multiple births in 9 (19.1%) patients; there was one stillbirth; one was born at 24 weeks gestation and died on the third day after delivery; one set of triplets was born at 24 weeks gestation, one of whom died of sepsis and icterus.</w:t>
      </w:r>
    </w:p>
    <w:p w14:paraId="740B58ED" w14:textId="77777777" w:rsidR="00167DEB" w:rsidRDefault="00167DEB" w:rsidP="00167DEB">
      <w:pPr>
        <w:pStyle w:val="Heading4"/>
      </w:pPr>
      <w:r w:rsidRPr="00AA53F4">
        <w:t>Safety</w:t>
      </w:r>
    </w:p>
    <w:p w14:paraId="725F7DF2" w14:textId="384047B4" w:rsidR="00167DEB" w:rsidRDefault="00167DEB" w:rsidP="00D74C4A">
      <w:pPr>
        <w:rPr>
          <w:lang w:eastAsia="ja-JP"/>
        </w:rPr>
      </w:pPr>
      <w:r>
        <w:rPr>
          <w:lang w:eastAsia="ja-JP"/>
        </w:rPr>
        <w:t xml:space="preserve">In Study XM17-01, 40 healthy female volunteers were exposed to a single dose of </w:t>
      </w:r>
      <w:proofErr w:type="spellStart"/>
      <w:r w:rsidR="00F164A5">
        <w:rPr>
          <w:lang w:eastAsia="ja-JP"/>
        </w:rPr>
        <w:t>Ovaleap</w:t>
      </w:r>
      <w:proofErr w:type="spellEnd"/>
      <w:r w:rsidR="00F164A5">
        <w:rPr>
          <w:lang w:eastAsia="ja-JP"/>
        </w:rPr>
        <w:t xml:space="preserve"> (</w:t>
      </w:r>
      <w:r>
        <w:rPr>
          <w:lang w:eastAsia="ja-JP"/>
        </w:rPr>
        <w:t>XM17</w:t>
      </w:r>
      <w:r w:rsidR="00F164A5">
        <w:rPr>
          <w:lang w:eastAsia="ja-JP"/>
        </w:rPr>
        <w:t>)</w:t>
      </w:r>
      <w:r>
        <w:rPr>
          <w:lang w:eastAsia="ja-JP"/>
        </w:rPr>
        <w:t xml:space="preserve">. There were 33 </w:t>
      </w:r>
      <w:r w:rsidR="00CA1F46">
        <w:rPr>
          <w:lang w:eastAsia="ja-JP"/>
        </w:rPr>
        <w:t>treatment emergent adverse events (</w:t>
      </w:r>
      <w:r>
        <w:rPr>
          <w:lang w:eastAsia="ja-JP"/>
        </w:rPr>
        <w:t>TEAEs</w:t>
      </w:r>
      <w:r w:rsidR="00CA1F46">
        <w:rPr>
          <w:lang w:eastAsia="ja-JP"/>
        </w:rPr>
        <w:t>)</w:t>
      </w:r>
      <w:r>
        <w:rPr>
          <w:lang w:eastAsia="ja-JP"/>
        </w:rPr>
        <w:t xml:space="preserve"> reported in 21</w:t>
      </w:r>
      <w:r w:rsidR="00F164A5">
        <w:rPr>
          <w:lang w:eastAsia="ja-JP"/>
        </w:rPr>
        <w:t> </w:t>
      </w:r>
      <w:r>
        <w:rPr>
          <w:lang w:eastAsia="ja-JP"/>
        </w:rPr>
        <w:t>(52.5%) volunteers. There was no clear dose relationship for TEAEs. The most common TEAE was headache (27.5%).</w:t>
      </w:r>
    </w:p>
    <w:p w14:paraId="546FA4E0" w14:textId="2C2E5699" w:rsidR="00167DEB" w:rsidRPr="00423EA4" w:rsidRDefault="00167DEB" w:rsidP="00D74C4A">
      <w:r>
        <w:t>In Study</w:t>
      </w:r>
      <w:r w:rsidRPr="00423EA4">
        <w:t xml:space="preserve"> XM17-02</w:t>
      </w:r>
      <w:r>
        <w:t xml:space="preserve">, </w:t>
      </w:r>
      <w:r w:rsidRPr="00423EA4">
        <w:t xml:space="preserve">36 </w:t>
      </w:r>
      <w:r>
        <w:rPr>
          <w:lang w:eastAsia="ja-JP"/>
        </w:rPr>
        <w:t>healthy female volunteers</w:t>
      </w:r>
      <w:r w:rsidRPr="00423EA4">
        <w:t xml:space="preserve"> were exposed to s</w:t>
      </w:r>
      <w:r>
        <w:t xml:space="preserve">ingle doses of XM17 and </w:t>
      </w:r>
      <w:proofErr w:type="spellStart"/>
      <w:r w:rsidR="00626892">
        <w:t>Gonal</w:t>
      </w:r>
      <w:proofErr w:type="spellEnd"/>
      <w:r w:rsidR="00626892">
        <w:t>-f</w:t>
      </w:r>
      <w:r>
        <w:t xml:space="preserve">. </w:t>
      </w:r>
      <w:r w:rsidRPr="00423EA4">
        <w:t>TEAEs were reported b</w:t>
      </w:r>
      <w:r>
        <w:t xml:space="preserve">y 17 (43.6%) women with </w:t>
      </w:r>
      <w:proofErr w:type="spellStart"/>
      <w:r>
        <w:t>Zoladex</w:t>
      </w:r>
      <w:proofErr w:type="spellEnd"/>
      <w:r w:rsidR="00F164A5">
        <w:t xml:space="preserve"> (</w:t>
      </w:r>
      <w:proofErr w:type="spellStart"/>
      <w:r w:rsidR="00F164A5">
        <w:t>goserelin</w:t>
      </w:r>
      <w:proofErr w:type="spellEnd"/>
      <w:r w:rsidR="00F164A5">
        <w:t>)</w:t>
      </w:r>
      <w:r w:rsidRPr="00423EA4">
        <w:t>, 25</w:t>
      </w:r>
      <w:r w:rsidR="00F164A5">
        <w:t> </w:t>
      </w:r>
      <w:r w:rsidRPr="00423EA4">
        <w:t>(69.4%) with XM17 an</w:t>
      </w:r>
      <w:r>
        <w:t xml:space="preserve">d 20 (55.6%) with </w:t>
      </w:r>
      <w:proofErr w:type="spellStart"/>
      <w:r w:rsidR="00626892">
        <w:t>Gonal</w:t>
      </w:r>
      <w:proofErr w:type="spellEnd"/>
      <w:r w:rsidR="00626892">
        <w:t>-f</w:t>
      </w:r>
      <w:r>
        <w:t xml:space="preserve">. The </w:t>
      </w:r>
      <w:r w:rsidR="008419D3">
        <w:t>most common</w:t>
      </w:r>
      <w:r>
        <w:t xml:space="preserve"> TEAE</w:t>
      </w:r>
      <w:r w:rsidR="00CA1F46">
        <w:t>s were headache, reported in 17 </w:t>
      </w:r>
      <w:r>
        <w:t>(47.2%) of the volunteers</w:t>
      </w:r>
      <w:r w:rsidR="00F164A5">
        <w:t>,</w:t>
      </w:r>
      <w:r>
        <w:t xml:space="preserve"> and hot flushes, reported in 10</w:t>
      </w:r>
      <w:r w:rsidR="00F164A5">
        <w:t> </w:t>
      </w:r>
      <w:r>
        <w:t>(27.8%)</w:t>
      </w:r>
      <w:r w:rsidR="00F164A5">
        <w:t xml:space="preserve"> volunteers</w:t>
      </w:r>
      <w:r>
        <w:t>.</w:t>
      </w:r>
    </w:p>
    <w:p w14:paraId="5A14F7DF" w14:textId="713C5B58" w:rsidR="00167DEB" w:rsidRDefault="00167DEB" w:rsidP="00D74C4A">
      <w:r>
        <w:t xml:space="preserve">In Study XM17-05, 153 patients were treated with at least one dose of XM17 and 146 with at least one dose of </w:t>
      </w:r>
      <w:proofErr w:type="spellStart"/>
      <w:r w:rsidR="00626892">
        <w:t>Gonal</w:t>
      </w:r>
      <w:proofErr w:type="spellEnd"/>
      <w:r w:rsidR="00626892">
        <w:t>-f</w:t>
      </w:r>
      <w:r>
        <w:t xml:space="preserve">. The mean (SD) total dose of XM17 in the first cycle was 1535.8 (495.6) IU, and mean (SD) duration of stimulation was 9.3 (1.8) days. The mean (SD) total dose of </w:t>
      </w:r>
      <w:proofErr w:type="spellStart"/>
      <w:r w:rsidR="00626892">
        <w:t>Gonal</w:t>
      </w:r>
      <w:proofErr w:type="spellEnd"/>
      <w:r w:rsidR="00626892">
        <w:t>-f</w:t>
      </w:r>
      <w:r>
        <w:t xml:space="preserve"> was 1614.3 (484.9) IU, and mean (SD) duration of stimulation was 9.7 (1.6) days. All 147 patients enrolled in Part B were treated with XM17. Of these patients, 80 were from the original XM17 group and 67 from the original </w:t>
      </w:r>
      <w:proofErr w:type="spellStart"/>
      <w:r w:rsidR="00626892">
        <w:t>Gonal</w:t>
      </w:r>
      <w:proofErr w:type="spellEnd"/>
      <w:r w:rsidR="00626892">
        <w:t>-f</w:t>
      </w:r>
      <w:r w:rsidR="00CA1F46">
        <w:t xml:space="preserve"> group. 220 </w:t>
      </w:r>
      <w:r>
        <w:t xml:space="preserve">patients were treated with at least one cycle of XM17, of whom 73 received two cycles and 34 received </w:t>
      </w:r>
      <w:r w:rsidR="00974A55">
        <w:t>three</w:t>
      </w:r>
      <w:r>
        <w:t xml:space="preserve"> cycles. Th</w:t>
      </w:r>
      <w:r w:rsidR="00CA1F46">
        <w:t>e median total dose of XM17 in C</w:t>
      </w:r>
      <w:r>
        <w:t>ycles 2 and 3 was 1875</w:t>
      </w:r>
      <w:r w:rsidR="000900C5">
        <w:t> </w:t>
      </w:r>
      <w:r>
        <w:t>IU. The biochemical pregnancy rate for Cycle 2 was 31.3% and Cycle 3 was 31.1%. The ongoing pregnancy rate for Cycle 2 was 2</w:t>
      </w:r>
      <w:r w:rsidR="00DA5F28">
        <w:t>5.9% and for Cycle 3 was 21.7%.</w:t>
      </w:r>
    </w:p>
    <w:p w14:paraId="7175FF53" w14:textId="6DD2D11C" w:rsidR="00167DEB" w:rsidRDefault="00167DEB" w:rsidP="00D74C4A">
      <w:r>
        <w:t>Study XM17-05 included the safety outcome measures</w:t>
      </w:r>
      <w:r w:rsidRPr="007B23C1">
        <w:t xml:space="preserve"> </w:t>
      </w:r>
      <w:r w:rsidR="00CA1F46">
        <w:t>adverse events (</w:t>
      </w:r>
      <w:r w:rsidRPr="007B23C1">
        <w:t>AEs</w:t>
      </w:r>
      <w:r w:rsidR="00CA1F46">
        <w:t>)</w:t>
      </w:r>
      <w:r w:rsidRPr="007B23C1">
        <w:t xml:space="preserve">, </w:t>
      </w:r>
      <w:r w:rsidR="00CA1F46">
        <w:t>adverse events of special interest (</w:t>
      </w:r>
      <w:r w:rsidRPr="007B23C1">
        <w:t>AESI</w:t>
      </w:r>
      <w:r w:rsidR="008419D3">
        <w:t>s</w:t>
      </w:r>
      <w:r w:rsidR="00CA1F46">
        <w:t xml:space="preserve">; </w:t>
      </w:r>
      <w:r>
        <w:t xml:space="preserve">ovarian </w:t>
      </w:r>
      <w:proofErr w:type="spellStart"/>
      <w:r>
        <w:t>hyperstimulation</w:t>
      </w:r>
      <w:proofErr w:type="spellEnd"/>
      <w:r>
        <w:t xml:space="preserve"> syndrome</w:t>
      </w:r>
      <w:r w:rsidRPr="007B23C1">
        <w:t xml:space="preserve"> </w:t>
      </w:r>
      <w:r>
        <w:t>(</w:t>
      </w:r>
      <w:r w:rsidRPr="007B23C1">
        <w:t>OHSS</w:t>
      </w:r>
      <w:r>
        <w:t>)</w:t>
      </w:r>
      <w:r w:rsidRPr="007B23C1">
        <w:t>, ectopic pregnancy, pregnancy loss, embolic and thrombotic events)</w:t>
      </w:r>
      <w:r>
        <w:t>, clinical laboratory tests, tolerability, vital signs, body weight and physical examination</w:t>
      </w:r>
      <w:r w:rsidRPr="007B23C1">
        <w:t>.</w:t>
      </w:r>
      <w:r w:rsidR="00CA1F46">
        <w:t xml:space="preserve"> TEAEs were reported in 25 </w:t>
      </w:r>
      <w:r>
        <w:t xml:space="preserve">(16.3%) patients in the XM17 group and 22 (15.1%) in the </w:t>
      </w:r>
      <w:proofErr w:type="spellStart"/>
      <w:r w:rsidR="00626892">
        <w:t>Gonal</w:t>
      </w:r>
      <w:proofErr w:type="spellEnd"/>
      <w:r w:rsidR="00626892">
        <w:t>-f</w:t>
      </w:r>
      <w:r>
        <w:t>. The most frequently reported TEAE</w:t>
      </w:r>
      <w:r w:rsidR="008419D3">
        <w:t>s</w:t>
      </w:r>
      <w:r>
        <w:t xml:space="preserve"> were </w:t>
      </w:r>
      <w:r w:rsidRPr="007B23C1">
        <w:t>OHSS</w:t>
      </w:r>
      <w:r>
        <w:t xml:space="preserve"> (7 (4.6%) and 4 (2.7%) respectively), and abdominal pain (3.3% and 0.7% respectively</w:t>
      </w:r>
      <w:r w:rsidR="008419D3">
        <w:t>)</w:t>
      </w:r>
      <w:r>
        <w:t xml:space="preserve">. </w:t>
      </w:r>
      <w:r>
        <w:rPr>
          <w:lang w:eastAsia="ja-JP"/>
        </w:rPr>
        <w:t>As outlined above, there were no ectopic pregnancies reported in the Part A follow-up but in the main study report t</w:t>
      </w:r>
      <w:r>
        <w:t xml:space="preserve">here were 2 (1.3%) patients in the XM17 and 1 (0.7%) in the </w:t>
      </w:r>
      <w:proofErr w:type="spellStart"/>
      <w:r w:rsidR="00626892">
        <w:t>Gonal</w:t>
      </w:r>
      <w:proofErr w:type="spellEnd"/>
      <w:r w:rsidR="00626892">
        <w:t>-f</w:t>
      </w:r>
      <w:r>
        <w:t xml:space="preserve"> group</w:t>
      </w:r>
      <w:r>
        <w:rPr>
          <w:lang w:eastAsia="ja-JP"/>
        </w:rPr>
        <w:t>. Pregnancy loss occu</w:t>
      </w:r>
      <w:r w:rsidR="00974A55">
        <w:rPr>
          <w:lang w:eastAsia="ja-JP"/>
        </w:rPr>
        <w:t>rred in 7 patients (3 </w:t>
      </w:r>
      <w:r w:rsidR="00CA1F46">
        <w:rPr>
          <w:lang w:eastAsia="ja-JP"/>
        </w:rPr>
        <w:t>(2.0%) versus</w:t>
      </w:r>
      <w:r>
        <w:rPr>
          <w:lang w:eastAsia="ja-JP"/>
        </w:rPr>
        <w:t xml:space="preserve"> 4 (2.7%)). There were no reports of e</w:t>
      </w:r>
      <w:r w:rsidR="00CA1F46">
        <w:rPr>
          <w:lang w:eastAsia="ja-JP"/>
        </w:rPr>
        <w:t>mbolic or thrombotic events in Study </w:t>
      </w:r>
      <w:r>
        <w:rPr>
          <w:lang w:eastAsia="ja-JP"/>
        </w:rPr>
        <w:t xml:space="preserve">XM17-05. </w:t>
      </w:r>
      <w:r>
        <w:t>In Part B, TEAEs were reported by 16 (10.9%) patients in C</w:t>
      </w:r>
      <w:r w:rsidR="00CA1F46">
        <w:t>ycle 2 and 4 (6.6%) in Cycle 3.</w:t>
      </w:r>
    </w:p>
    <w:p w14:paraId="56D100C5" w14:textId="73261DB7" w:rsidR="00167DEB" w:rsidRDefault="00167DEB" w:rsidP="00D74C4A">
      <w:r>
        <w:lastRenderedPageBreak/>
        <w:t>No deaths were reported in</w:t>
      </w:r>
      <w:r w:rsidR="00CA1F46">
        <w:t xml:space="preserve"> S</w:t>
      </w:r>
      <w:r>
        <w:t xml:space="preserve">tudies XM17-01, XM17-02 or XM17-05. There were no </w:t>
      </w:r>
      <w:r w:rsidR="00CA1F46">
        <w:t>serious adverse events (</w:t>
      </w:r>
      <w:r>
        <w:t>SAEs</w:t>
      </w:r>
      <w:r w:rsidR="00CA1F46">
        <w:t>)</w:t>
      </w:r>
      <w:r>
        <w:t xml:space="preserve"> reported</w:t>
      </w:r>
      <w:r w:rsidR="00CA1F46">
        <w:t xml:space="preserve"> in Studies XM17-01 or XM17-02.</w:t>
      </w:r>
    </w:p>
    <w:p w14:paraId="2B177BE1" w14:textId="13D48DAD" w:rsidR="00167DEB" w:rsidRDefault="00CA1F46" w:rsidP="00D74C4A">
      <w:pPr>
        <w:rPr>
          <w:lang w:eastAsia="ja-JP"/>
        </w:rPr>
      </w:pPr>
      <w:r>
        <w:t>In S</w:t>
      </w:r>
      <w:r w:rsidR="00167DEB">
        <w:t>tudy XM17-05</w:t>
      </w:r>
      <w:r>
        <w:t>,</w:t>
      </w:r>
      <w:r w:rsidR="00167DEB">
        <w:t xml:space="preserve"> SAEs were reported in 9 (5.9%) p</w:t>
      </w:r>
      <w:r>
        <w:t>atients in the XM17 group and 7 </w:t>
      </w:r>
      <w:r w:rsidR="00167DEB">
        <w:t xml:space="preserve">(4.8%) in the </w:t>
      </w:r>
      <w:proofErr w:type="spellStart"/>
      <w:r w:rsidR="00626892">
        <w:t>Gonal</w:t>
      </w:r>
      <w:proofErr w:type="spellEnd"/>
      <w:r w:rsidR="00626892">
        <w:t>-f</w:t>
      </w:r>
      <w:r w:rsidR="00167DEB">
        <w:t xml:space="preserve"> group. There were 3 (2.0%) patients in the XM17 and 2 (1.4%) in the </w:t>
      </w:r>
      <w:proofErr w:type="spellStart"/>
      <w:r w:rsidR="00626892">
        <w:t>Gonal</w:t>
      </w:r>
      <w:proofErr w:type="spellEnd"/>
      <w:r w:rsidR="00626892">
        <w:t>-f</w:t>
      </w:r>
      <w:r w:rsidR="00167DEB">
        <w:t xml:space="preserve"> group with OHSS as an SAE.</w:t>
      </w:r>
      <w:r w:rsidR="00167DEB" w:rsidRPr="00D32691">
        <w:rPr>
          <w:lang w:eastAsia="ja-JP"/>
        </w:rPr>
        <w:t xml:space="preserve"> </w:t>
      </w:r>
      <w:r w:rsidR="00167DEB">
        <w:rPr>
          <w:lang w:eastAsia="ja-JP"/>
        </w:rPr>
        <w:t>A similar frequency of OHSS was observed in</w:t>
      </w:r>
      <w:r>
        <w:rPr>
          <w:lang w:eastAsia="ja-JP"/>
        </w:rPr>
        <w:t xml:space="preserve"> the post-authorisation cohort Study XM17-WH50005 (8 (3.3%) versus</w:t>
      </w:r>
      <w:r w:rsidR="00167DEB">
        <w:rPr>
          <w:lang w:eastAsia="ja-JP"/>
        </w:rPr>
        <w:t xml:space="preserve"> 3 (1.7%)). </w:t>
      </w:r>
      <w:r>
        <w:t>In S</w:t>
      </w:r>
      <w:r w:rsidR="00167DEB">
        <w:t>tudy</w:t>
      </w:r>
      <w:r>
        <w:t> </w:t>
      </w:r>
      <w:r w:rsidR="00167DEB">
        <w:t xml:space="preserve">XM17-05 </w:t>
      </w:r>
      <w:r w:rsidR="00167DEB">
        <w:rPr>
          <w:lang w:eastAsia="ja-JP"/>
        </w:rPr>
        <w:t xml:space="preserve">ectopic pregnancy was classified as severe for </w:t>
      </w:r>
      <w:r w:rsidR="00167DEB">
        <w:t xml:space="preserve">2 (1.3%) patients in the XM17 and 1 (0.7%) in the </w:t>
      </w:r>
      <w:proofErr w:type="spellStart"/>
      <w:r w:rsidR="00626892">
        <w:t>Gonal</w:t>
      </w:r>
      <w:proofErr w:type="spellEnd"/>
      <w:r w:rsidR="00626892">
        <w:t>-f</w:t>
      </w:r>
      <w:r w:rsidR="00167DEB">
        <w:t xml:space="preserve"> group.</w:t>
      </w:r>
      <w:r w:rsidR="00167DEB">
        <w:rPr>
          <w:lang w:eastAsia="ja-JP"/>
        </w:rPr>
        <w:t xml:space="preserve"> </w:t>
      </w:r>
      <w:r w:rsidR="00167DEB">
        <w:t>In Part B, SAEs were reported by 2 (2.4%) patients in Cycle 2 (appendicitis, OHSS) and 1 (1.6%) in Cycle 3 (borderline ovarian tumour).</w:t>
      </w:r>
    </w:p>
    <w:p w14:paraId="3EF8394F" w14:textId="77777777" w:rsidR="00167DEB" w:rsidRDefault="00167DEB" w:rsidP="00D74C4A">
      <w:r>
        <w:t>Study XM17-05 found l</w:t>
      </w:r>
      <w:r w:rsidRPr="00C17B88">
        <w:t>ocal tolerability was s</w:t>
      </w:r>
      <w:r>
        <w:t>imilar for the two treatments. Injection site reactions were uncommon in both treatment groups.</w:t>
      </w:r>
    </w:p>
    <w:p w14:paraId="53BB6BFB" w14:textId="77777777" w:rsidR="00167DEB" w:rsidRPr="00C152A9" w:rsidRDefault="00167DEB" w:rsidP="00D74C4A">
      <w:pPr>
        <w:pStyle w:val="Heading5"/>
      </w:pPr>
      <w:r w:rsidRPr="00C152A9">
        <w:t>Immunogenicity</w:t>
      </w:r>
    </w:p>
    <w:p w14:paraId="582A65AE" w14:textId="5BC051DB" w:rsidR="00167DEB" w:rsidRDefault="00167DEB" w:rsidP="00D74C4A">
      <w:r w:rsidRPr="00B03967">
        <w:t>In Study XM17-05</w:t>
      </w:r>
      <w:r w:rsidR="00CA1F46">
        <w:t>,</w:t>
      </w:r>
      <w:r w:rsidRPr="00B03967">
        <w:t xml:space="preserve"> about 18 % of the patients had pre-existing positive findings </w:t>
      </w:r>
      <w:r w:rsidR="00CA1F46">
        <w:t>(17% anti</w:t>
      </w:r>
      <w:r w:rsidR="00CA1F46">
        <w:noBreakHyphen/>
      </w:r>
      <w:r w:rsidR="00DA5F28">
        <w:t>N-</w:t>
      </w:r>
      <w:proofErr w:type="spellStart"/>
      <w:r w:rsidR="00DA5F28">
        <w:t>g</w:t>
      </w:r>
      <w:r w:rsidR="00DA5F28" w:rsidRPr="00DA5F28">
        <w:t>lycolylneuraminic</w:t>
      </w:r>
      <w:proofErr w:type="spellEnd"/>
      <w:r w:rsidR="00DA5F28" w:rsidRPr="00DA5F28">
        <w:t xml:space="preserve"> acid </w:t>
      </w:r>
      <w:r w:rsidR="00DA5F28">
        <w:t>(</w:t>
      </w:r>
      <w:r>
        <w:t>Neu5Gc</w:t>
      </w:r>
      <w:r w:rsidR="00DA5F28">
        <w:t>)</w:t>
      </w:r>
      <w:r>
        <w:t>, 1% anti-FSH).</w:t>
      </w:r>
      <w:r w:rsidRPr="00B03967">
        <w:t xml:space="preserve"> In these patients there was no relevant increase in the titre during the treatment with XM17 or </w:t>
      </w:r>
      <w:proofErr w:type="spellStart"/>
      <w:r w:rsidR="00626892">
        <w:t>Gonal</w:t>
      </w:r>
      <w:proofErr w:type="spellEnd"/>
      <w:r w:rsidR="00626892">
        <w:t>-f</w:t>
      </w:r>
      <w:r w:rsidRPr="00B03967">
        <w:t>.</w:t>
      </w:r>
      <w:r>
        <w:t xml:space="preserve"> A positive response developed, post treatment, in 11 patients in the XM17 group and 5 in the </w:t>
      </w:r>
      <w:proofErr w:type="spellStart"/>
      <w:r w:rsidR="00626892">
        <w:t>Gonal</w:t>
      </w:r>
      <w:proofErr w:type="spellEnd"/>
      <w:r w:rsidR="00626892">
        <w:t>-f</w:t>
      </w:r>
      <w:r>
        <w:t xml:space="preserve"> group. </w:t>
      </w:r>
      <w:r w:rsidRPr="00636EB4">
        <w:t>During the</w:t>
      </w:r>
      <w:r>
        <w:t xml:space="preserve"> study, </w:t>
      </w:r>
      <w:r w:rsidRPr="00636EB4">
        <w:t>22 patients (7.4%) showed post-dose positive findings</w:t>
      </w:r>
      <w:r>
        <w:t xml:space="preserve">: </w:t>
      </w:r>
      <w:r w:rsidRPr="00636EB4">
        <w:t xml:space="preserve">12 patients </w:t>
      </w:r>
      <w:r>
        <w:t>were positive for</w:t>
      </w:r>
      <w:r w:rsidRPr="00636EB4">
        <w:t xml:space="preserve"> anti-Neu5Gc, 2 </w:t>
      </w:r>
      <w:r>
        <w:t>for</w:t>
      </w:r>
      <w:r w:rsidRPr="00636EB4">
        <w:t xml:space="preserve"> anti-XM17, 1 </w:t>
      </w:r>
      <w:r>
        <w:t>for</w:t>
      </w:r>
      <w:r w:rsidRPr="00636EB4">
        <w:t xml:space="preserve"> anti-</w:t>
      </w:r>
      <w:r w:rsidRPr="003B58DE">
        <w:t xml:space="preserve"> </w:t>
      </w:r>
      <w:proofErr w:type="spellStart"/>
      <w:r w:rsidR="00626892">
        <w:t>Gonal</w:t>
      </w:r>
      <w:proofErr w:type="spellEnd"/>
      <w:r w:rsidR="00626892">
        <w:t>-f</w:t>
      </w:r>
      <w:r w:rsidRPr="00636EB4">
        <w:t xml:space="preserve">, 1 patient </w:t>
      </w:r>
      <w:r>
        <w:t xml:space="preserve">had </w:t>
      </w:r>
      <w:r w:rsidRPr="00636EB4">
        <w:t xml:space="preserve">transient positive findings inhibited by all competitors and 6 patients were classified as having pre-existing </w:t>
      </w:r>
      <w:r>
        <w:t xml:space="preserve">anti-Neu5Gc positive findings. </w:t>
      </w:r>
      <w:r w:rsidRPr="00636EB4">
        <w:t>None of the samples demonstrated</w:t>
      </w:r>
      <w:r w:rsidR="00CA1F46">
        <w:t xml:space="preserve"> neutralis</w:t>
      </w:r>
      <w:r>
        <w:t>ing activity.</w:t>
      </w:r>
      <w:r w:rsidRPr="00636EB4">
        <w:t xml:space="preserve"> </w:t>
      </w:r>
      <w:r>
        <w:t>Biochemical pregnancy was achieved by</w:t>
      </w:r>
      <w:r w:rsidRPr="00636EB4">
        <w:t xml:space="preserve"> 11 of these 22 patients (50.0%) compared to 161 of 277 patients (</w:t>
      </w:r>
      <w:r>
        <w:t xml:space="preserve">58.1%) without these findings. </w:t>
      </w:r>
      <w:r w:rsidRPr="00636EB4">
        <w:t>None of the patients had a hypersensitivity reaction during the study.</w:t>
      </w:r>
    </w:p>
    <w:p w14:paraId="6D8BBAD2" w14:textId="77777777" w:rsidR="00C81051" w:rsidRDefault="00C81051" w:rsidP="00C81051">
      <w:pPr>
        <w:pStyle w:val="Heading4"/>
      </w:pPr>
      <w:r>
        <w:t>Clinical evaluator’s recommendation</w:t>
      </w:r>
    </w:p>
    <w:p w14:paraId="248AF8BC" w14:textId="56BA5092" w:rsidR="00C81051" w:rsidRPr="00167DEB" w:rsidRDefault="00C81051" w:rsidP="00D74C4A">
      <w:pPr>
        <w:rPr>
          <w:lang w:eastAsia="ja-JP"/>
        </w:rPr>
      </w:pPr>
      <w:r>
        <w:t xml:space="preserve">The clinical evaluator has recommended approval </w:t>
      </w:r>
      <w:r>
        <w:rPr>
          <w:lang w:eastAsia="ja-JP"/>
        </w:rPr>
        <w:t xml:space="preserve">of </w:t>
      </w:r>
      <w:proofErr w:type="spellStart"/>
      <w:r>
        <w:rPr>
          <w:lang w:eastAsia="ja-JP"/>
        </w:rPr>
        <w:t>Ovaleap</w:t>
      </w:r>
      <w:proofErr w:type="spellEnd"/>
      <w:r w:rsidR="000900C5">
        <w:rPr>
          <w:lang w:eastAsia="ja-JP"/>
        </w:rPr>
        <w:t xml:space="preserve"> </w:t>
      </w:r>
      <w:proofErr w:type="spellStart"/>
      <w:r w:rsidR="000900C5">
        <w:rPr>
          <w:lang w:eastAsia="ja-JP"/>
        </w:rPr>
        <w:t>follitropin</w:t>
      </w:r>
      <w:proofErr w:type="spellEnd"/>
      <w:r w:rsidR="000900C5">
        <w:rPr>
          <w:lang w:eastAsia="ja-JP"/>
        </w:rPr>
        <w:t xml:space="preserve"> alfa</w:t>
      </w:r>
      <w:r>
        <w:rPr>
          <w:lang w:eastAsia="ja-JP"/>
        </w:rPr>
        <w:t xml:space="preserve"> for the same indications as the Australian reference product.</w:t>
      </w:r>
      <w:r w:rsidRPr="004C55FB">
        <w:t xml:space="preserve"> </w:t>
      </w:r>
      <w:r>
        <w:t>The evaluator was unable to determine the benefit-risk balance for the additional indication relating to combination use with LH.</w:t>
      </w:r>
      <w:r w:rsidRPr="004C55FB">
        <w:t xml:space="preserve"> </w:t>
      </w:r>
      <w:r>
        <w:t>This indication is not approved for the Australian reference product and the clinical evaluator concluded that there was insufficient data to support the approval of t</w:t>
      </w:r>
      <w:r w:rsidR="00CA1F46">
        <w:t>his additional indication. The s</w:t>
      </w:r>
      <w:r>
        <w:t xml:space="preserve">ponsor removed the additional indication in their response to the </w:t>
      </w:r>
      <w:r w:rsidR="00CA1F46">
        <w:t>second round</w:t>
      </w:r>
      <w:r>
        <w:t xml:space="preserve"> evaluation reports.</w:t>
      </w:r>
    </w:p>
    <w:p w14:paraId="02751440" w14:textId="77777777" w:rsidR="008E7846" w:rsidRDefault="00386150" w:rsidP="007B6132">
      <w:pPr>
        <w:pStyle w:val="Heading3"/>
        <w:rPr>
          <w:lang w:eastAsia="en-AU"/>
        </w:rPr>
      </w:pPr>
      <w:bookmarkStart w:id="47" w:name="_Toc314842514"/>
      <w:bookmarkStart w:id="48" w:name="_Toc72314038"/>
      <w:r>
        <w:rPr>
          <w:lang w:eastAsia="en-AU"/>
        </w:rPr>
        <w:t>Risk m</w:t>
      </w:r>
      <w:r w:rsidR="008E7846">
        <w:rPr>
          <w:lang w:eastAsia="en-AU"/>
        </w:rPr>
        <w:t xml:space="preserve">anagement </w:t>
      </w:r>
      <w:r>
        <w:rPr>
          <w:lang w:eastAsia="en-AU"/>
        </w:rPr>
        <w:t>p</w:t>
      </w:r>
      <w:r w:rsidR="008E7846">
        <w:rPr>
          <w:lang w:eastAsia="en-AU"/>
        </w:rPr>
        <w:t>lan</w:t>
      </w:r>
      <w:bookmarkEnd w:id="47"/>
      <w:bookmarkEnd w:id="48"/>
    </w:p>
    <w:p w14:paraId="60968775" w14:textId="77777777" w:rsidR="008E7846" w:rsidRDefault="007D53B6" w:rsidP="007D53B6">
      <w:r>
        <w:t>There was no requirement for a risk management plan evaluation for a submission of this type.</w:t>
      </w:r>
      <w:r>
        <w:rPr>
          <w:rStyle w:val="FootnoteReference"/>
        </w:rPr>
        <w:footnoteReference w:id="10"/>
      </w:r>
    </w:p>
    <w:p w14:paraId="09D773CB" w14:textId="77777777" w:rsidR="008E7846" w:rsidRDefault="00AA0ED0" w:rsidP="008E7846">
      <w:pPr>
        <w:pStyle w:val="Heading3"/>
      </w:pPr>
      <w:bookmarkStart w:id="49" w:name="_Toc247691531"/>
      <w:bookmarkStart w:id="50" w:name="_Toc314842515"/>
      <w:bookmarkStart w:id="51" w:name="_Toc196046505"/>
      <w:bookmarkStart w:id="52" w:name="_Toc196046949"/>
      <w:bookmarkStart w:id="53" w:name="_Toc72314039"/>
      <w:r>
        <w:t>Risk-benefit a</w:t>
      </w:r>
      <w:r w:rsidR="008E7846">
        <w:t>nalysis</w:t>
      </w:r>
      <w:bookmarkEnd w:id="49"/>
      <w:bookmarkEnd w:id="50"/>
      <w:bookmarkEnd w:id="53"/>
    </w:p>
    <w:p w14:paraId="2981E686" w14:textId="77777777" w:rsidR="00D23139" w:rsidRDefault="007D53B6" w:rsidP="00D23139">
      <w:pPr>
        <w:pStyle w:val="Heading4"/>
      </w:pPr>
      <w:r>
        <w:t>Delegate’s considerations</w:t>
      </w:r>
    </w:p>
    <w:p w14:paraId="777569DC" w14:textId="0C33EE1B" w:rsidR="00167DEB" w:rsidRDefault="004D6C0E" w:rsidP="00167DEB">
      <w:pPr>
        <w:rPr>
          <w:lang w:eastAsia="ja-JP"/>
        </w:rPr>
      </w:pPr>
      <w:r>
        <w:rPr>
          <w:lang w:eastAsia="ja-JP"/>
        </w:rPr>
        <w:t>The s</w:t>
      </w:r>
      <w:r w:rsidR="00167DEB">
        <w:rPr>
          <w:lang w:eastAsia="ja-JP"/>
        </w:rPr>
        <w:t xml:space="preserve">ponsor has demonstrated bioequivalence for </w:t>
      </w:r>
      <w:proofErr w:type="spellStart"/>
      <w:r w:rsidR="00626892">
        <w:rPr>
          <w:lang w:eastAsia="ja-JP"/>
        </w:rPr>
        <w:t>Ovaleap</w:t>
      </w:r>
      <w:proofErr w:type="spellEnd"/>
      <w:r w:rsidR="00167DEB">
        <w:rPr>
          <w:lang w:eastAsia="ja-JP"/>
        </w:rPr>
        <w:t xml:space="preserve"> and </w:t>
      </w:r>
      <w:proofErr w:type="spellStart"/>
      <w:r w:rsidR="00626892">
        <w:t>Gonal</w:t>
      </w:r>
      <w:proofErr w:type="spellEnd"/>
      <w:r w:rsidR="00626892">
        <w:t>-f</w:t>
      </w:r>
      <w:r w:rsidR="00167DEB">
        <w:rPr>
          <w:lang w:eastAsia="ja-JP"/>
        </w:rPr>
        <w:t xml:space="preserve">. </w:t>
      </w:r>
      <w:r w:rsidR="00167DEB" w:rsidRPr="00136528">
        <w:rPr>
          <w:lang w:eastAsia="ja-JP"/>
        </w:rPr>
        <w:t xml:space="preserve">The 90% CIs </w:t>
      </w:r>
      <w:r w:rsidR="00167DEB">
        <w:rPr>
          <w:lang w:eastAsia="ja-JP"/>
        </w:rPr>
        <w:t xml:space="preserve">for the primary PK parameters </w:t>
      </w:r>
      <w:r w:rsidR="00167DEB" w:rsidRPr="00136528">
        <w:rPr>
          <w:lang w:eastAsia="ja-JP"/>
        </w:rPr>
        <w:t>AUC</w:t>
      </w:r>
      <w:r w:rsidR="00167DEB" w:rsidRPr="003B58DE">
        <w:rPr>
          <w:vertAlign w:val="subscript"/>
          <w:lang w:eastAsia="ja-JP"/>
        </w:rPr>
        <w:t>0-</w:t>
      </w:r>
      <w:r w:rsidR="002B0963">
        <w:rPr>
          <w:vertAlign w:val="subscript"/>
          <w:lang w:eastAsia="ja-JP"/>
        </w:rPr>
        <w:t>last</w:t>
      </w:r>
      <w:r w:rsidR="00167DEB" w:rsidRPr="00136528">
        <w:rPr>
          <w:lang w:eastAsia="ja-JP"/>
        </w:rPr>
        <w:t xml:space="preserve"> </w:t>
      </w:r>
      <w:r w:rsidR="00167DEB">
        <w:rPr>
          <w:lang w:eastAsia="ja-JP"/>
        </w:rPr>
        <w:t xml:space="preserve">and </w:t>
      </w:r>
      <w:proofErr w:type="spellStart"/>
      <w:r w:rsidR="00167DEB" w:rsidRPr="00136528">
        <w:rPr>
          <w:lang w:eastAsia="ja-JP"/>
        </w:rPr>
        <w:t>C</w:t>
      </w:r>
      <w:r w:rsidR="00167DEB" w:rsidRPr="008B2842">
        <w:rPr>
          <w:vertAlign w:val="subscript"/>
          <w:lang w:eastAsia="ja-JP"/>
        </w:rPr>
        <w:t>max</w:t>
      </w:r>
      <w:proofErr w:type="spellEnd"/>
      <w:r w:rsidR="00167DEB" w:rsidRPr="00136528">
        <w:rPr>
          <w:lang w:eastAsia="ja-JP"/>
        </w:rPr>
        <w:t xml:space="preserve"> were </w:t>
      </w:r>
      <w:r w:rsidR="00167DEB">
        <w:rPr>
          <w:lang w:eastAsia="ja-JP"/>
        </w:rPr>
        <w:t xml:space="preserve">well </w:t>
      </w:r>
      <w:r w:rsidR="00167DEB" w:rsidRPr="00136528">
        <w:rPr>
          <w:lang w:eastAsia="ja-JP"/>
        </w:rPr>
        <w:t xml:space="preserve">within the </w:t>
      </w:r>
      <w:r>
        <w:rPr>
          <w:lang w:eastAsia="ja-JP"/>
        </w:rPr>
        <w:t xml:space="preserve">acceptance interval of 80.00 to </w:t>
      </w:r>
      <w:r w:rsidR="00167DEB">
        <w:rPr>
          <w:lang w:eastAsia="ja-JP"/>
        </w:rPr>
        <w:t>125.00% (</w:t>
      </w:r>
      <w:r w:rsidR="00974A55">
        <w:rPr>
          <w:lang w:eastAsia="ja-JP"/>
        </w:rPr>
        <w:t xml:space="preserve">see </w:t>
      </w:r>
      <w:r w:rsidR="00167DEB">
        <w:rPr>
          <w:lang w:eastAsia="ja-JP"/>
        </w:rPr>
        <w:fldChar w:fldCharType="begin"/>
      </w:r>
      <w:r w:rsidR="00167DEB">
        <w:rPr>
          <w:lang w:eastAsia="ja-JP"/>
        </w:rPr>
        <w:instrText xml:space="preserve"> REF _Ref54948266 \h </w:instrText>
      </w:r>
      <w:r w:rsidR="00167DEB">
        <w:rPr>
          <w:lang w:eastAsia="ja-JP"/>
        </w:rPr>
      </w:r>
      <w:r w:rsidR="00167DEB">
        <w:rPr>
          <w:lang w:eastAsia="ja-JP"/>
        </w:rPr>
        <w:fldChar w:fldCharType="separate"/>
      </w:r>
      <w:r w:rsidR="005A7CFA">
        <w:t xml:space="preserve">Table </w:t>
      </w:r>
      <w:r w:rsidR="005A7CFA">
        <w:rPr>
          <w:noProof/>
        </w:rPr>
        <w:t>5</w:t>
      </w:r>
      <w:r w:rsidR="00167DEB">
        <w:rPr>
          <w:lang w:eastAsia="ja-JP"/>
        </w:rPr>
        <w:fldChar w:fldCharType="end"/>
      </w:r>
      <w:r w:rsidR="00213DF1">
        <w:rPr>
          <w:lang w:eastAsia="ja-JP"/>
        </w:rPr>
        <w:t>). Clinical S</w:t>
      </w:r>
      <w:r w:rsidR="00167DEB">
        <w:rPr>
          <w:lang w:eastAsia="ja-JP"/>
        </w:rPr>
        <w:t xml:space="preserve">tudy XM17-05 demonstrated equivalent efficacy for </w:t>
      </w:r>
      <w:proofErr w:type="spellStart"/>
      <w:r w:rsidR="00626892">
        <w:rPr>
          <w:lang w:eastAsia="ja-JP"/>
        </w:rPr>
        <w:t>Ovaleap</w:t>
      </w:r>
      <w:proofErr w:type="spellEnd"/>
      <w:r w:rsidR="00167DEB">
        <w:rPr>
          <w:lang w:eastAsia="ja-JP"/>
        </w:rPr>
        <w:t xml:space="preserve"> and </w:t>
      </w:r>
      <w:proofErr w:type="spellStart"/>
      <w:r w:rsidR="00626892">
        <w:rPr>
          <w:lang w:eastAsia="ja-JP"/>
        </w:rPr>
        <w:t>Gonal</w:t>
      </w:r>
      <w:proofErr w:type="spellEnd"/>
      <w:r w:rsidR="00626892">
        <w:rPr>
          <w:lang w:eastAsia="ja-JP"/>
        </w:rPr>
        <w:t>-f</w:t>
      </w:r>
      <w:r w:rsidR="00167DEB">
        <w:rPr>
          <w:lang w:eastAsia="ja-JP"/>
        </w:rPr>
        <w:t xml:space="preserve"> with respect to the guideline recommended primary endpoint, ‘number of oocytes retrieved’. The 95% CIs for this endpoint fell within the pre-defined </w:t>
      </w:r>
      <w:r w:rsidR="00167DEB">
        <w:rPr>
          <w:lang w:eastAsia="ja-JP"/>
        </w:rPr>
        <w:lastRenderedPageBreak/>
        <w:t xml:space="preserve">equivalence margin. The summary statistics for effectiveness were similar for the secondary efficacy outcome measures. </w:t>
      </w:r>
      <w:r w:rsidR="00167DEB" w:rsidRPr="004B5719">
        <w:rPr>
          <w:lang w:eastAsia="ja-JP"/>
        </w:rPr>
        <w:t>Pregnancy outcome</w:t>
      </w:r>
      <w:r w:rsidR="00167DEB">
        <w:rPr>
          <w:lang w:eastAsia="ja-JP"/>
        </w:rPr>
        <w:t xml:space="preserve"> was not</w:t>
      </w:r>
      <w:r w:rsidR="00213DF1">
        <w:rPr>
          <w:lang w:eastAsia="ja-JP"/>
        </w:rPr>
        <w:t>ed to be slightly different in S</w:t>
      </w:r>
      <w:r w:rsidR="00167DEB">
        <w:rPr>
          <w:lang w:eastAsia="ja-JP"/>
        </w:rPr>
        <w:t xml:space="preserve">tudy XM17-05 but </w:t>
      </w:r>
      <w:r w:rsidR="00167DEB" w:rsidRPr="003C6A99">
        <w:rPr>
          <w:lang w:eastAsia="ja-JP"/>
        </w:rPr>
        <w:t>this outcome was influenced by differing practices</w:t>
      </w:r>
      <w:r w:rsidR="00167DEB">
        <w:rPr>
          <w:lang w:eastAsia="ja-JP"/>
        </w:rPr>
        <w:t xml:space="preserve"> between countries and centres.</w:t>
      </w:r>
    </w:p>
    <w:p w14:paraId="6E6B0C30" w14:textId="19251A20" w:rsidR="00167DEB" w:rsidRDefault="00167DEB" w:rsidP="00167DEB">
      <w:pPr>
        <w:rPr>
          <w:lang w:eastAsia="ja-JP"/>
        </w:rPr>
      </w:pPr>
      <w:r>
        <w:rPr>
          <w:rFonts w:asciiTheme="minorHAnsi" w:hAnsiTheme="minorHAnsi" w:cstheme="minorHAnsi"/>
          <w:iCs/>
        </w:rPr>
        <w:t xml:space="preserve">The safety and tolerability profile of the two products were similar. </w:t>
      </w:r>
      <w:r w:rsidRPr="00954535">
        <w:rPr>
          <w:rFonts w:asciiTheme="minorHAnsi" w:hAnsiTheme="minorHAnsi" w:cstheme="minorHAnsi"/>
          <w:iCs/>
        </w:rPr>
        <w:t xml:space="preserve">The rate of OHSS was slightly higher for </w:t>
      </w:r>
      <w:proofErr w:type="spellStart"/>
      <w:r w:rsidR="00626892">
        <w:rPr>
          <w:rFonts w:asciiTheme="minorHAnsi" w:hAnsiTheme="minorHAnsi" w:cstheme="minorHAnsi"/>
          <w:iCs/>
        </w:rPr>
        <w:t>Ovaleap</w:t>
      </w:r>
      <w:proofErr w:type="spellEnd"/>
      <w:r w:rsidRPr="00954535">
        <w:rPr>
          <w:rFonts w:asciiTheme="minorHAnsi" w:hAnsiTheme="minorHAnsi" w:cstheme="minorHAnsi"/>
          <w:iCs/>
        </w:rPr>
        <w:t xml:space="preserve"> in both the pivotal study and the post-marketing study.</w:t>
      </w:r>
      <w:r>
        <w:rPr>
          <w:rFonts w:asciiTheme="minorHAnsi" w:hAnsiTheme="minorHAnsi" w:cstheme="minorHAnsi"/>
          <w:iCs/>
        </w:rPr>
        <w:t xml:space="preserve"> The pathology of OHSS is multifactorial. </w:t>
      </w:r>
      <w:proofErr w:type="spellStart"/>
      <w:r>
        <w:rPr>
          <w:rFonts w:asciiTheme="minorHAnsi" w:hAnsiTheme="minorHAnsi" w:cstheme="minorHAnsi"/>
          <w:iCs/>
        </w:rPr>
        <w:t>Follitropin</w:t>
      </w:r>
      <w:proofErr w:type="spellEnd"/>
      <w:r>
        <w:rPr>
          <w:rFonts w:asciiTheme="minorHAnsi" w:hAnsiTheme="minorHAnsi" w:cstheme="minorHAnsi"/>
          <w:iCs/>
        </w:rPr>
        <w:t xml:space="preserve"> alfa treatment is a known risk factor for OHSS as related the mechanism of action. </w:t>
      </w:r>
      <w:r>
        <w:rPr>
          <w:lang w:eastAsia="ja-JP"/>
        </w:rPr>
        <w:t xml:space="preserve">Increased oestradiol levels were observed for </w:t>
      </w:r>
      <w:proofErr w:type="spellStart"/>
      <w:r w:rsidR="00626892">
        <w:rPr>
          <w:lang w:eastAsia="ja-JP"/>
        </w:rPr>
        <w:t>Ovaleap</w:t>
      </w:r>
      <w:proofErr w:type="spellEnd"/>
      <w:r>
        <w:rPr>
          <w:lang w:eastAsia="ja-JP"/>
        </w:rPr>
        <w:t xml:space="preserve"> on Day 6</w:t>
      </w:r>
      <w:r w:rsidR="00213DF1">
        <w:rPr>
          <w:lang w:eastAsia="ja-JP"/>
        </w:rPr>
        <w:t>,</w:t>
      </w:r>
      <w:r>
        <w:rPr>
          <w:lang w:eastAsia="ja-JP"/>
        </w:rPr>
        <w:t xml:space="preserve"> but not on the day of </w:t>
      </w:r>
      <w:proofErr w:type="spellStart"/>
      <w:r>
        <w:rPr>
          <w:lang w:eastAsia="ja-JP"/>
        </w:rPr>
        <w:t>hCG</w:t>
      </w:r>
      <w:proofErr w:type="spellEnd"/>
      <w:r>
        <w:rPr>
          <w:lang w:eastAsia="ja-JP"/>
        </w:rPr>
        <w:t xml:space="preserve"> administration. </w:t>
      </w:r>
      <w:r>
        <w:rPr>
          <w:rFonts w:asciiTheme="minorHAnsi" w:hAnsiTheme="minorHAnsi" w:cstheme="minorHAnsi"/>
          <w:iCs/>
        </w:rPr>
        <w:t xml:space="preserve">In clinical practice the risk of OHSS is somewhat mitigated by the close monitoring of a patient’s response to treatment. The risk of OHSS is </w:t>
      </w:r>
      <w:r w:rsidR="004D6C0E">
        <w:rPr>
          <w:rFonts w:asciiTheme="minorHAnsi" w:hAnsiTheme="minorHAnsi" w:cstheme="minorHAnsi"/>
          <w:iCs/>
        </w:rPr>
        <w:t>adequately described in the PI.</w:t>
      </w:r>
    </w:p>
    <w:p w14:paraId="1BBF839A" w14:textId="77777777" w:rsidR="00167DEB" w:rsidRDefault="00167DEB" w:rsidP="00167DEB">
      <w:pPr>
        <w:rPr>
          <w:lang w:eastAsia="ja-JP"/>
        </w:rPr>
      </w:pPr>
      <w:r>
        <w:rPr>
          <w:lang w:eastAsia="ja-JP"/>
        </w:rPr>
        <w:t xml:space="preserve">The immunogenicity of </w:t>
      </w:r>
      <w:proofErr w:type="spellStart"/>
      <w:r w:rsidR="00626892">
        <w:rPr>
          <w:lang w:eastAsia="ja-JP"/>
        </w:rPr>
        <w:t>Ovaleap</w:t>
      </w:r>
      <w:proofErr w:type="spellEnd"/>
      <w:r>
        <w:rPr>
          <w:lang w:eastAsia="ja-JP"/>
        </w:rPr>
        <w:t xml:space="preserve"> and </w:t>
      </w:r>
      <w:proofErr w:type="spellStart"/>
      <w:r w:rsidR="00626892">
        <w:rPr>
          <w:lang w:eastAsia="ja-JP"/>
        </w:rPr>
        <w:t>Gonal</w:t>
      </w:r>
      <w:proofErr w:type="spellEnd"/>
      <w:r w:rsidR="00626892">
        <w:rPr>
          <w:lang w:eastAsia="ja-JP"/>
        </w:rPr>
        <w:t>-f</w:t>
      </w:r>
      <w:r>
        <w:rPr>
          <w:lang w:eastAsia="ja-JP"/>
        </w:rPr>
        <w:t xml:space="preserve"> can be considered similar. The clinical studies found no indication of neutralising antibodies or hypersensitivity syndromes.</w:t>
      </w:r>
    </w:p>
    <w:p w14:paraId="1D286FA8" w14:textId="13B244FB" w:rsidR="00456765" w:rsidRPr="00456765" w:rsidRDefault="004D6C0E" w:rsidP="00167DEB">
      <w:r>
        <w:t>The s</w:t>
      </w:r>
      <w:r w:rsidR="00167DEB">
        <w:t>ponsor has proposed wording for the indication that differs slightly from that of the Austr</w:t>
      </w:r>
      <w:r w:rsidR="00213DF1">
        <w:t>alian reference product. The D</w:t>
      </w:r>
      <w:r w:rsidR="00167DEB">
        <w:t>elegate is of the opinion that the wording of the indication should be as close to the Australian reference product as possible to prevent any diff</w:t>
      </w:r>
      <w:r w:rsidR="00213DF1">
        <w:t>erences in interpretation. The s</w:t>
      </w:r>
      <w:r w:rsidR="00167DEB">
        <w:t>ponsor is requested to align the proposed indications with those of the Australian reference product.</w:t>
      </w:r>
    </w:p>
    <w:p w14:paraId="3350492A" w14:textId="77777777" w:rsidR="00D23139" w:rsidRDefault="00D23139" w:rsidP="00D23139">
      <w:pPr>
        <w:pStyle w:val="Heading4"/>
      </w:pPr>
      <w:r w:rsidRPr="00D23139">
        <w:t>Proposed action</w:t>
      </w:r>
    </w:p>
    <w:p w14:paraId="2A138E86" w14:textId="3D9AF3F5" w:rsidR="00456765" w:rsidRPr="00167DEB" w:rsidRDefault="004D6C0E" w:rsidP="00167DEB">
      <w:pPr>
        <w:pStyle w:val="Instructions"/>
        <w:rPr>
          <w:i w:val="0"/>
          <w:color w:val="auto"/>
        </w:rPr>
      </w:pPr>
      <w:r>
        <w:rPr>
          <w:i w:val="0"/>
          <w:color w:val="auto"/>
        </w:rPr>
        <w:t>The Delegate</w:t>
      </w:r>
      <w:r w:rsidR="00167DEB" w:rsidRPr="008E2328">
        <w:rPr>
          <w:i w:val="0"/>
          <w:color w:val="auto"/>
        </w:rPr>
        <w:t xml:space="preserve"> propose</w:t>
      </w:r>
      <w:r>
        <w:rPr>
          <w:i w:val="0"/>
          <w:color w:val="auto"/>
        </w:rPr>
        <w:t>s</w:t>
      </w:r>
      <w:r w:rsidR="00167DEB" w:rsidRPr="008E2328">
        <w:rPr>
          <w:i w:val="0"/>
          <w:color w:val="auto"/>
        </w:rPr>
        <w:t xml:space="preserve"> to approve the registration of </w:t>
      </w:r>
      <w:proofErr w:type="spellStart"/>
      <w:r w:rsidR="00626892">
        <w:rPr>
          <w:i w:val="0"/>
          <w:color w:val="auto"/>
        </w:rPr>
        <w:t>Ovaleap</w:t>
      </w:r>
      <w:proofErr w:type="spellEnd"/>
      <w:r w:rsidR="00167DEB">
        <w:rPr>
          <w:i w:val="0"/>
          <w:color w:val="auto"/>
        </w:rPr>
        <w:t xml:space="preserve"> (</w:t>
      </w:r>
      <w:proofErr w:type="spellStart"/>
      <w:r w:rsidR="00167DEB">
        <w:rPr>
          <w:i w:val="0"/>
          <w:color w:val="auto"/>
        </w:rPr>
        <w:t>follitropin</w:t>
      </w:r>
      <w:proofErr w:type="spellEnd"/>
      <w:r w:rsidR="00167DEB">
        <w:rPr>
          <w:i w:val="0"/>
          <w:color w:val="auto"/>
        </w:rPr>
        <w:t xml:space="preserve"> alfa) as a new biosimilar of the reference product </w:t>
      </w:r>
      <w:proofErr w:type="spellStart"/>
      <w:r w:rsidR="00626892">
        <w:rPr>
          <w:i w:val="0"/>
          <w:color w:val="auto"/>
        </w:rPr>
        <w:t>Gonal</w:t>
      </w:r>
      <w:proofErr w:type="spellEnd"/>
      <w:r w:rsidR="00626892">
        <w:rPr>
          <w:i w:val="0"/>
          <w:color w:val="auto"/>
        </w:rPr>
        <w:t>-f</w:t>
      </w:r>
      <w:r w:rsidR="00167DEB">
        <w:rPr>
          <w:i w:val="0"/>
          <w:color w:val="auto"/>
        </w:rPr>
        <w:t xml:space="preserve"> (</w:t>
      </w:r>
      <w:proofErr w:type="spellStart"/>
      <w:r w:rsidR="00167DEB">
        <w:rPr>
          <w:i w:val="0"/>
          <w:color w:val="auto"/>
        </w:rPr>
        <w:t>follitropin</w:t>
      </w:r>
      <w:proofErr w:type="spellEnd"/>
      <w:r w:rsidR="00167DEB">
        <w:rPr>
          <w:i w:val="0"/>
          <w:color w:val="auto"/>
        </w:rPr>
        <w:t xml:space="preserve"> alfa). </w:t>
      </w:r>
      <w:r w:rsidR="00167DEB" w:rsidRPr="008E2328">
        <w:rPr>
          <w:i w:val="0"/>
          <w:color w:val="auto"/>
        </w:rPr>
        <w:t>The evidence for comparabil</w:t>
      </w:r>
      <w:r w:rsidR="00167DEB">
        <w:rPr>
          <w:i w:val="0"/>
          <w:color w:val="auto"/>
        </w:rPr>
        <w:t xml:space="preserve">ity supports the use of </w:t>
      </w:r>
      <w:proofErr w:type="spellStart"/>
      <w:r w:rsidR="00626892">
        <w:rPr>
          <w:i w:val="0"/>
          <w:color w:val="auto"/>
        </w:rPr>
        <w:t>Ovaleap</w:t>
      </w:r>
      <w:proofErr w:type="spellEnd"/>
      <w:r w:rsidR="00167DEB" w:rsidRPr="008E2328">
        <w:rPr>
          <w:i w:val="0"/>
          <w:color w:val="auto"/>
        </w:rPr>
        <w:t xml:space="preserve"> for the </w:t>
      </w:r>
      <w:r>
        <w:rPr>
          <w:i w:val="0"/>
          <w:color w:val="auto"/>
        </w:rPr>
        <w:t>same indications as</w:t>
      </w:r>
      <w:r w:rsidR="00167DEB">
        <w:rPr>
          <w:i w:val="0"/>
          <w:color w:val="auto"/>
        </w:rPr>
        <w:t xml:space="preserve"> </w:t>
      </w:r>
      <w:proofErr w:type="spellStart"/>
      <w:r w:rsidR="00626892">
        <w:rPr>
          <w:i w:val="0"/>
          <w:color w:val="auto"/>
        </w:rPr>
        <w:t>Gonal</w:t>
      </w:r>
      <w:proofErr w:type="spellEnd"/>
      <w:r w:rsidR="00626892">
        <w:rPr>
          <w:i w:val="0"/>
          <w:color w:val="auto"/>
        </w:rPr>
        <w:t>-f</w:t>
      </w:r>
      <w:r w:rsidR="00167DEB" w:rsidRPr="008E2328">
        <w:rPr>
          <w:i w:val="0"/>
          <w:color w:val="auto"/>
        </w:rPr>
        <w:t>.</w:t>
      </w:r>
    </w:p>
    <w:p w14:paraId="4B4F8258" w14:textId="77777777" w:rsidR="007D53B6" w:rsidRDefault="007D53B6" w:rsidP="007D53B6">
      <w:pPr>
        <w:pStyle w:val="Heading4"/>
      </w:pPr>
      <w:r>
        <w:t xml:space="preserve">Questions for </w:t>
      </w:r>
      <w:r w:rsidR="00744121">
        <w:t xml:space="preserve">the </w:t>
      </w:r>
      <w:r>
        <w:t>sponsor</w:t>
      </w:r>
    </w:p>
    <w:p w14:paraId="444857BD" w14:textId="77777777" w:rsidR="00744121" w:rsidRPr="00955A16" w:rsidRDefault="00744121" w:rsidP="00744121">
      <w:r>
        <w:t>The sponsor provided the following response to questions from the Delegate.</w:t>
      </w:r>
    </w:p>
    <w:p w14:paraId="265ACB79" w14:textId="77777777" w:rsidR="00167DEB" w:rsidRPr="00167DEB" w:rsidRDefault="00167DEB" w:rsidP="00167DEB">
      <w:pPr>
        <w:pStyle w:val="Numberbullet0"/>
        <w:rPr>
          <w:b/>
          <w:i/>
        </w:rPr>
      </w:pPr>
      <w:r w:rsidRPr="00167DEB">
        <w:rPr>
          <w:b/>
          <w:i/>
        </w:rPr>
        <w:t>It is noted that the pen device will be distributed separately. Is the pen device already approved in Australia or will a separate application be made to devices?</w:t>
      </w:r>
    </w:p>
    <w:p w14:paraId="043CA452" w14:textId="6D673320" w:rsidR="00167DEB" w:rsidRDefault="00167DEB" w:rsidP="00167DEB">
      <w:r>
        <w:t xml:space="preserve">The sponsor can confirm that the </w:t>
      </w:r>
      <w:proofErr w:type="spellStart"/>
      <w:r>
        <w:t>Ovaleap</w:t>
      </w:r>
      <w:proofErr w:type="spellEnd"/>
      <w:r>
        <w:t xml:space="preserve"> Pen device has been registered and copy of ARTG certificate is attached as Annex 1 of the response</w:t>
      </w:r>
      <w:r w:rsidR="00974A55">
        <w:t xml:space="preserve"> </w:t>
      </w:r>
      <w:r w:rsidR="00C2270A">
        <w:t>[not included in this AusPAR]</w:t>
      </w:r>
      <w:r>
        <w:t>.</w:t>
      </w:r>
      <w:r w:rsidR="00213DF1">
        <w:fldChar w:fldCharType="begin"/>
      </w:r>
      <w:r w:rsidR="00213DF1">
        <w:instrText xml:space="preserve"> NOTEREF _Ref66559228 \f \h </w:instrText>
      </w:r>
      <w:r w:rsidR="00213DF1">
        <w:fldChar w:fldCharType="separate"/>
      </w:r>
      <w:r w:rsidR="005A7CFA" w:rsidRPr="005A7CFA">
        <w:rPr>
          <w:rStyle w:val="FootnoteReference"/>
        </w:rPr>
        <w:t>5</w:t>
      </w:r>
      <w:r w:rsidR="00213DF1">
        <w:fldChar w:fldCharType="end"/>
      </w:r>
    </w:p>
    <w:p w14:paraId="25789C95" w14:textId="3E9381CC" w:rsidR="00167DEB" w:rsidRPr="00167DEB" w:rsidRDefault="00167DEB" w:rsidP="00167DEB">
      <w:pPr>
        <w:pStyle w:val="Numberbullet0"/>
        <w:rPr>
          <w:b/>
          <w:i/>
        </w:rPr>
      </w:pPr>
      <w:r w:rsidRPr="00167DEB">
        <w:rPr>
          <w:b/>
          <w:i/>
        </w:rPr>
        <w:t>Is the proposed/approved pen device for the Australian market the same as that used in the clinical trials</w:t>
      </w:r>
      <w:r w:rsidR="00C2270A">
        <w:rPr>
          <w:b/>
          <w:i/>
        </w:rPr>
        <w:t>, Studies</w:t>
      </w:r>
      <w:r w:rsidRPr="00167DEB">
        <w:rPr>
          <w:b/>
          <w:i/>
        </w:rPr>
        <w:t xml:space="preserve"> XM17-01 and XM17-05?</w:t>
      </w:r>
    </w:p>
    <w:p w14:paraId="1F1BBBD9" w14:textId="35F71C9E" w:rsidR="007D53B6" w:rsidRDefault="00167DEB" w:rsidP="00167DEB">
      <w:r>
        <w:t xml:space="preserve">The sponsor confirms that the </w:t>
      </w:r>
      <w:proofErr w:type="spellStart"/>
      <w:r>
        <w:t>Ovaleap</w:t>
      </w:r>
      <w:proofErr w:type="spellEnd"/>
      <w:r>
        <w:t xml:space="preserve"> Pen device registered in Australia is identical to that used in the Phase III clinical trial</w:t>
      </w:r>
      <w:r w:rsidR="004D6C0E">
        <w:t>,</w:t>
      </w:r>
      <w:r>
        <w:t xml:space="preserve"> </w:t>
      </w:r>
      <w:r w:rsidR="004D6C0E">
        <w:t xml:space="preserve">Study </w:t>
      </w:r>
      <w:r>
        <w:t>XM17-05</w:t>
      </w:r>
      <w:r w:rsidR="004D6C0E">
        <w:t>,</w:t>
      </w:r>
      <w:r>
        <w:t xml:space="preserve"> for </w:t>
      </w:r>
      <w:proofErr w:type="spellStart"/>
      <w:r>
        <w:t>Ovaleap</w:t>
      </w:r>
      <w:proofErr w:type="spellEnd"/>
      <w:r>
        <w:t>. The sponsor highlight</w:t>
      </w:r>
      <w:r w:rsidR="004D6C0E">
        <w:t>s that as noted in the Phase I S</w:t>
      </w:r>
      <w:r>
        <w:t xml:space="preserve">tudy XM-17-01 protocol and the </w:t>
      </w:r>
      <w:r w:rsidR="004D6C0E">
        <w:t>clinical study report</w:t>
      </w:r>
      <w:r>
        <w:t xml:space="preserve">, the product was not delivered in this study using the </w:t>
      </w:r>
      <w:proofErr w:type="spellStart"/>
      <w:r>
        <w:t>Ovaleap</w:t>
      </w:r>
      <w:proofErr w:type="spellEnd"/>
      <w:r>
        <w:t xml:space="preserve"> pen device but rather administered by 1 mL syringes closed tightly to t</w:t>
      </w:r>
      <w:r w:rsidR="004D6C0E">
        <w:t xml:space="preserve">he cannulas which were sized 27 </w:t>
      </w:r>
      <w:r>
        <w:t>gauge.</w:t>
      </w:r>
    </w:p>
    <w:p w14:paraId="060244C2" w14:textId="77777777" w:rsidR="008E7846" w:rsidRDefault="008E7846" w:rsidP="007D53B6">
      <w:pPr>
        <w:pStyle w:val="Heading4"/>
      </w:pPr>
      <w:r>
        <w:lastRenderedPageBreak/>
        <w:t xml:space="preserve">Advisory Committee </w:t>
      </w:r>
      <w:r w:rsidR="007D53B6">
        <w:t>c</w:t>
      </w:r>
      <w:r>
        <w:t>onsiderations</w:t>
      </w:r>
      <w:r w:rsidR="00456765">
        <w:rPr>
          <w:rStyle w:val="FootnoteReference"/>
        </w:rPr>
        <w:footnoteReference w:id="11"/>
      </w:r>
    </w:p>
    <w:p w14:paraId="2014808C" w14:textId="77777777" w:rsidR="00744121" w:rsidRPr="007D53B6" w:rsidRDefault="00744121" w:rsidP="00744121">
      <w:bookmarkStart w:id="54" w:name="_Toc247691532"/>
      <w:bookmarkStart w:id="55" w:name="_Toc314842516"/>
      <w:bookmarkEnd w:id="32"/>
      <w:bookmarkEnd w:id="51"/>
      <w:bookmarkEnd w:id="52"/>
      <w:r w:rsidRPr="007D53B6">
        <w:t>The Delegate did not refer this application to the Advisory Committee on Medicines (ACM) for advice.</w:t>
      </w:r>
    </w:p>
    <w:p w14:paraId="4D944BEE" w14:textId="77777777" w:rsidR="008E7846" w:rsidRPr="002E238E" w:rsidRDefault="008E7846" w:rsidP="008E7846">
      <w:pPr>
        <w:pStyle w:val="Heading3"/>
      </w:pPr>
      <w:bookmarkStart w:id="56" w:name="_Toc72314040"/>
      <w:r>
        <w:t>Outcome</w:t>
      </w:r>
      <w:bookmarkEnd w:id="54"/>
      <w:bookmarkEnd w:id="55"/>
      <w:bookmarkEnd w:id="56"/>
    </w:p>
    <w:p w14:paraId="4D31D7D4" w14:textId="62593D5D" w:rsidR="00744121" w:rsidRDefault="00744121" w:rsidP="00744121">
      <w:bookmarkStart w:id="57" w:name="_Toc247691533"/>
      <w:bookmarkStart w:id="58" w:name="_Toc314842517"/>
      <w:r>
        <w:t xml:space="preserve">Based on a review of quality, safety and efficacy, the TGA approved the registration of </w:t>
      </w:r>
      <w:proofErr w:type="spellStart"/>
      <w:r w:rsidR="00AB018C">
        <w:t>Ovaleap</w:t>
      </w:r>
      <w:proofErr w:type="spellEnd"/>
      <w:r w:rsidR="00AB018C">
        <w:t xml:space="preserve"> (</w:t>
      </w:r>
      <w:proofErr w:type="spellStart"/>
      <w:r w:rsidR="00AB018C">
        <w:t>follitropin</w:t>
      </w:r>
      <w:proofErr w:type="spellEnd"/>
      <w:r w:rsidR="00AB018C">
        <w:t xml:space="preserve"> alfa)</w:t>
      </w:r>
      <w:r w:rsidR="00AB018C" w:rsidRPr="00250271">
        <w:t xml:space="preserve"> </w:t>
      </w:r>
      <w:r w:rsidR="00AB018C">
        <w:t>300 IU/0.5 mL, 450 IU/0.75 mL and 900 IU/1.5 mL</w:t>
      </w:r>
      <w:r w:rsidR="00AB018C" w:rsidRPr="00250271">
        <w:t xml:space="preserve"> </w:t>
      </w:r>
      <w:r w:rsidR="00AB018C">
        <w:t xml:space="preserve">solution for injection </w:t>
      </w:r>
      <w:r w:rsidR="004D6C0E">
        <w:t>cartridges</w:t>
      </w:r>
      <w:r>
        <w:t>, indicated for:</w:t>
      </w:r>
    </w:p>
    <w:p w14:paraId="0C31CF36" w14:textId="77777777" w:rsidR="00AB018C" w:rsidRPr="00EB01E9" w:rsidRDefault="00AB018C" w:rsidP="00AB018C">
      <w:pPr>
        <w:ind w:left="720"/>
        <w:rPr>
          <w:i/>
        </w:rPr>
      </w:pPr>
      <w:r w:rsidRPr="00EB01E9">
        <w:rPr>
          <w:i/>
        </w:rPr>
        <w:t xml:space="preserve">1. The treatment of </w:t>
      </w:r>
      <w:proofErr w:type="spellStart"/>
      <w:r w:rsidRPr="00EB01E9">
        <w:rPr>
          <w:i/>
        </w:rPr>
        <w:t>anovulatory</w:t>
      </w:r>
      <w:proofErr w:type="spellEnd"/>
      <w:r w:rsidRPr="00EB01E9">
        <w:rPr>
          <w:i/>
        </w:rPr>
        <w:t xml:space="preserve"> infertility in women who have been unresponsive to clomiphene citrate or where clomiphene citrate is contraindicated.</w:t>
      </w:r>
    </w:p>
    <w:p w14:paraId="6DE7135F" w14:textId="77777777" w:rsidR="00AB018C" w:rsidRPr="00EB01E9" w:rsidRDefault="00AB018C" w:rsidP="00AB018C">
      <w:pPr>
        <w:ind w:left="720"/>
        <w:rPr>
          <w:i/>
        </w:rPr>
      </w:pPr>
      <w:r w:rsidRPr="00EB01E9">
        <w:rPr>
          <w:i/>
        </w:rPr>
        <w:t xml:space="preserve">2. For controlled ovarian </w:t>
      </w:r>
      <w:proofErr w:type="spellStart"/>
      <w:r w:rsidRPr="00EB01E9">
        <w:rPr>
          <w:i/>
        </w:rPr>
        <w:t>hyperstimulation</w:t>
      </w:r>
      <w:proofErr w:type="spellEnd"/>
      <w:r w:rsidRPr="00EB01E9">
        <w:rPr>
          <w:i/>
        </w:rPr>
        <w:t xml:space="preserve"> in women undergoing assisted reproductive technologies.</w:t>
      </w:r>
    </w:p>
    <w:p w14:paraId="54DF0BA9" w14:textId="77777777" w:rsidR="00AB018C" w:rsidRPr="00EB01E9" w:rsidRDefault="00AB018C" w:rsidP="00AB018C">
      <w:pPr>
        <w:ind w:left="720"/>
      </w:pPr>
      <w:r w:rsidRPr="00EB01E9">
        <w:rPr>
          <w:i/>
        </w:rPr>
        <w:t xml:space="preserve">3. </w:t>
      </w:r>
      <w:proofErr w:type="spellStart"/>
      <w:r w:rsidRPr="00EB01E9">
        <w:rPr>
          <w:i/>
        </w:rPr>
        <w:t>Ovaleap</w:t>
      </w:r>
      <w:proofErr w:type="spellEnd"/>
      <w:r w:rsidRPr="00EB01E9">
        <w:rPr>
          <w:i/>
        </w:rPr>
        <w:t xml:space="preserve"> is indicated with concomitant human chorionic gonadotrophin (</w:t>
      </w:r>
      <w:proofErr w:type="spellStart"/>
      <w:r w:rsidRPr="00EB01E9">
        <w:rPr>
          <w:i/>
        </w:rPr>
        <w:t>hCG</w:t>
      </w:r>
      <w:proofErr w:type="spellEnd"/>
      <w:r w:rsidRPr="00EB01E9">
        <w:rPr>
          <w:i/>
        </w:rPr>
        <w:t xml:space="preserve">) therapy for the stimulation of spermatogenesis in gonadotrophin-deficient men in whom </w:t>
      </w:r>
      <w:proofErr w:type="spellStart"/>
      <w:r w:rsidRPr="00EB01E9">
        <w:rPr>
          <w:i/>
        </w:rPr>
        <w:t>hCG</w:t>
      </w:r>
      <w:proofErr w:type="spellEnd"/>
      <w:r w:rsidRPr="00EB01E9">
        <w:rPr>
          <w:i/>
        </w:rPr>
        <w:t xml:space="preserve"> alone is ineffective</w:t>
      </w:r>
    </w:p>
    <w:p w14:paraId="0BCF3ED2" w14:textId="77777777" w:rsidR="00D23139" w:rsidRDefault="00D23139" w:rsidP="00D23139">
      <w:pPr>
        <w:pStyle w:val="Heading4"/>
      </w:pPr>
      <w:r w:rsidRPr="00D23139">
        <w:t>Specific conditions of registration applying to these goods</w:t>
      </w:r>
    </w:p>
    <w:p w14:paraId="28A9AB66" w14:textId="77777777" w:rsidR="00AB018C" w:rsidRPr="004672F9" w:rsidRDefault="00AB018C" w:rsidP="00AB018C">
      <w:pPr>
        <w:pStyle w:val="ListBullet"/>
        <w:rPr>
          <w:lang w:eastAsia="en-AU"/>
        </w:rPr>
      </w:pPr>
      <w:r w:rsidRPr="00EB01E9">
        <w:rPr>
          <w:lang w:eastAsia="en-AU"/>
        </w:rPr>
        <w:t xml:space="preserve">Post marketing reports are to be prepared annually until the period covered by such reports is not less than three years from the date of the approval letter. No fewer than three annual reports are to be prepared. The reports are to at least meet the </w:t>
      </w:r>
      <w:r w:rsidRPr="00C2270A">
        <w:rPr>
          <w:lang w:eastAsia="en-AU"/>
        </w:rPr>
        <w:t xml:space="preserve">requirements for periodic safety update reports (PSURs) as described in the European Medicines Agency’s </w:t>
      </w:r>
      <w:r w:rsidRPr="00C2270A">
        <w:t xml:space="preserve">Guideline on Good Pharmacovigilance Practices (GVP) Module VII Periodic Safety Update Report </w:t>
      </w:r>
      <w:r w:rsidRPr="00C2270A">
        <w:rPr>
          <w:lang w:eastAsia="en-AU"/>
        </w:rPr>
        <w:t xml:space="preserve">(Rev 1), Part VII.B. </w:t>
      </w:r>
      <w:r w:rsidRPr="00C2270A">
        <w:t>Structures and processes</w:t>
      </w:r>
      <w:r w:rsidRPr="00C2270A">
        <w:rPr>
          <w:lang w:eastAsia="en-AU"/>
        </w:rPr>
        <w:t>. Reports are to be submitted to the TGA only when requeste</w:t>
      </w:r>
      <w:r w:rsidRPr="00EB01E9">
        <w:rPr>
          <w:lang w:eastAsia="en-AU"/>
        </w:rPr>
        <w:t>d in writing by the TGA. When requested, reports must be provided to the TGA within ten (10) calendar days. Preparation of the report must be completed within ninety calendar days of the data lock point for that report. An annual repo</w:t>
      </w:r>
      <w:r w:rsidRPr="004672F9">
        <w:rPr>
          <w:lang w:eastAsia="en-AU"/>
        </w:rPr>
        <w:t>rt may be made up of two PSURs each covering six months. Note that submission of a PSUR does not constitute an application to vary the registration.</w:t>
      </w:r>
    </w:p>
    <w:p w14:paraId="102128DF" w14:textId="77777777" w:rsidR="00AB018C" w:rsidRPr="00EB01E9" w:rsidRDefault="00AB018C" w:rsidP="00AB018C">
      <w:pPr>
        <w:pStyle w:val="ListBullet"/>
        <w:rPr>
          <w:lang w:eastAsia="en-AU"/>
        </w:rPr>
      </w:pPr>
      <w:r w:rsidRPr="004672F9">
        <w:rPr>
          <w:lang w:eastAsia="en-AU"/>
        </w:rPr>
        <w:t xml:space="preserve">Laboratory testing </w:t>
      </w:r>
      <w:r w:rsidRPr="00E4683C">
        <w:rPr>
          <w:lang w:eastAsia="en-AU"/>
        </w:rPr>
        <w:t xml:space="preserve">and </w:t>
      </w:r>
      <w:r w:rsidRPr="00903D9D">
        <w:rPr>
          <w:lang w:eastAsia="en-AU"/>
        </w:rPr>
        <w:t>compliance with</w:t>
      </w:r>
      <w:r w:rsidRPr="00EB01E9">
        <w:rPr>
          <w:lang w:eastAsia="en-AU"/>
        </w:rPr>
        <w:t xml:space="preserve"> Certified Product Details</w:t>
      </w:r>
    </w:p>
    <w:p w14:paraId="6329AB0E" w14:textId="77777777" w:rsidR="00AB018C" w:rsidRPr="00EB01E9" w:rsidRDefault="00AB018C" w:rsidP="00AB018C">
      <w:pPr>
        <w:pStyle w:val="ListBullet2"/>
        <w:rPr>
          <w:lang w:eastAsia="en-AU"/>
        </w:rPr>
      </w:pPr>
      <w:r w:rsidRPr="00EB01E9">
        <w:rPr>
          <w:lang w:eastAsia="en-AU"/>
        </w:rPr>
        <w:t>All batches of:</w:t>
      </w:r>
    </w:p>
    <w:p w14:paraId="50943331" w14:textId="77777777" w:rsidR="00AB018C" w:rsidRPr="00EB01E9" w:rsidRDefault="00AB018C" w:rsidP="00AB018C">
      <w:pPr>
        <w:pStyle w:val="ListBullet2"/>
        <w:numPr>
          <w:ilvl w:val="0"/>
          <w:numId w:val="0"/>
        </w:numPr>
        <w:ind w:left="850"/>
        <w:rPr>
          <w:lang w:eastAsia="en-AU"/>
        </w:rPr>
      </w:pPr>
      <w:proofErr w:type="spellStart"/>
      <w:r w:rsidRPr="00EB01E9">
        <w:rPr>
          <w:rFonts w:cs="Cambria"/>
          <w:lang w:eastAsia="en-AU"/>
        </w:rPr>
        <w:t>Ovaleap</w:t>
      </w:r>
      <w:proofErr w:type="spellEnd"/>
      <w:r w:rsidRPr="00EB01E9">
        <w:rPr>
          <w:rFonts w:cs="Cambria"/>
          <w:lang w:eastAsia="en-AU"/>
        </w:rPr>
        <w:t xml:space="preserve"> 450 IU/0.75 mL </w:t>
      </w:r>
      <w:proofErr w:type="spellStart"/>
      <w:r w:rsidRPr="00EB01E9">
        <w:rPr>
          <w:rFonts w:cs="Cambria"/>
          <w:lang w:eastAsia="en-AU"/>
        </w:rPr>
        <w:t>follitropin</w:t>
      </w:r>
      <w:proofErr w:type="spellEnd"/>
      <w:r w:rsidRPr="00EB01E9">
        <w:rPr>
          <w:rFonts w:cs="Cambria"/>
          <w:lang w:eastAsia="en-AU"/>
        </w:rPr>
        <w:t xml:space="preserve"> alfa (rch) solution for injection- cartridge;</w:t>
      </w:r>
    </w:p>
    <w:p w14:paraId="607CC959" w14:textId="77777777" w:rsidR="00AB018C" w:rsidRPr="004672F9" w:rsidRDefault="00AB018C" w:rsidP="00AB018C">
      <w:pPr>
        <w:pStyle w:val="ListBullet2"/>
        <w:numPr>
          <w:ilvl w:val="0"/>
          <w:numId w:val="0"/>
        </w:numPr>
        <w:ind w:left="850"/>
        <w:rPr>
          <w:lang w:eastAsia="en-AU"/>
        </w:rPr>
      </w:pPr>
      <w:proofErr w:type="spellStart"/>
      <w:r w:rsidRPr="00EB01E9">
        <w:rPr>
          <w:rFonts w:cs="Cambria"/>
          <w:lang w:eastAsia="en-AU"/>
        </w:rPr>
        <w:t>O</w:t>
      </w:r>
      <w:r w:rsidRPr="004672F9">
        <w:rPr>
          <w:rFonts w:cs="Cambria"/>
          <w:lang w:eastAsia="en-AU"/>
        </w:rPr>
        <w:t>valeap</w:t>
      </w:r>
      <w:proofErr w:type="spellEnd"/>
      <w:r w:rsidRPr="004672F9">
        <w:rPr>
          <w:rFonts w:cs="Cambria"/>
          <w:lang w:eastAsia="en-AU"/>
        </w:rPr>
        <w:t xml:space="preserve"> 900 IU/1.5 mL </w:t>
      </w:r>
      <w:proofErr w:type="spellStart"/>
      <w:r w:rsidRPr="004672F9">
        <w:rPr>
          <w:rFonts w:cs="Cambria"/>
          <w:lang w:eastAsia="en-AU"/>
        </w:rPr>
        <w:t>follitropin</w:t>
      </w:r>
      <w:proofErr w:type="spellEnd"/>
      <w:r w:rsidRPr="004672F9">
        <w:rPr>
          <w:rFonts w:cs="Cambria"/>
          <w:lang w:eastAsia="en-AU"/>
        </w:rPr>
        <w:t xml:space="preserve"> alfa (rch) solution for injection- cartridge;</w:t>
      </w:r>
    </w:p>
    <w:p w14:paraId="2E454069" w14:textId="77777777" w:rsidR="00AB018C" w:rsidRPr="00EB01E9" w:rsidRDefault="00AB018C" w:rsidP="00AB018C">
      <w:pPr>
        <w:pStyle w:val="ListBullet2"/>
        <w:numPr>
          <w:ilvl w:val="0"/>
          <w:numId w:val="0"/>
        </w:numPr>
        <w:ind w:left="850"/>
        <w:rPr>
          <w:lang w:eastAsia="en-AU"/>
        </w:rPr>
      </w:pPr>
      <w:proofErr w:type="spellStart"/>
      <w:r w:rsidRPr="004672F9">
        <w:rPr>
          <w:rFonts w:cs="Cambria"/>
          <w:lang w:eastAsia="en-AU"/>
        </w:rPr>
        <w:t>O</w:t>
      </w:r>
      <w:r w:rsidRPr="00E4683C">
        <w:rPr>
          <w:rFonts w:cs="Cambria"/>
          <w:lang w:eastAsia="en-AU"/>
        </w:rPr>
        <w:t>valeap</w:t>
      </w:r>
      <w:proofErr w:type="spellEnd"/>
      <w:r w:rsidRPr="00E4683C">
        <w:rPr>
          <w:rFonts w:cs="Cambria"/>
          <w:lang w:eastAsia="en-AU"/>
        </w:rPr>
        <w:t xml:space="preserve"> 300</w:t>
      </w:r>
      <w:r w:rsidRPr="00903D9D">
        <w:rPr>
          <w:rFonts w:cs="Cambria"/>
          <w:lang w:eastAsia="en-AU"/>
        </w:rPr>
        <w:t xml:space="preserve"> </w:t>
      </w:r>
      <w:r w:rsidRPr="00EB01E9">
        <w:rPr>
          <w:rFonts w:cs="Cambria"/>
          <w:lang w:eastAsia="en-AU"/>
        </w:rPr>
        <w:t xml:space="preserve">IU/0.5 mL </w:t>
      </w:r>
      <w:proofErr w:type="spellStart"/>
      <w:r w:rsidRPr="00EB01E9">
        <w:rPr>
          <w:rFonts w:cs="Cambria"/>
          <w:lang w:eastAsia="en-AU"/>
        </w:rPr>
        <w:t>follitropin</w:t>
      </w:r>
      <w:proofErr w:type="spellEnd"/>
      <w:r w:rsidRPr="00EB01E9">
        <w:rPr>
          <w:rFonts w:cs="Cambria"/>
          <w:lang w:eastAsia="en-AU"/>
        </w:rPr>
        <w:t xml:space="preserve"> alfa (rch) solution for injection- cartridge</w:t>
      </w:r>
    </w:p>
    <w:p w14:paraId="31C4D742" w14:textId="77777777" w:rsidR="00AB018C" w:rsidRPr="00EB01E9" w:rsidRDefault="00AB018C" w:rsidP="00AB018C">
      <w:pPr>
        <w:pStyle w:val="ListBullet2"/>
        <w:numPr>
          <w:ilvl w:val="0"/>
          <w:numId w:val="0"/>
        </w:numPr>
        <w:ind w:left="850"/>
        <w:rPr>
          <w:lang w:eastAsia="en-AU"/>
        </w:rPr>
      </w:pPr>
      <w:r w:rsidRPr="00EB01E9">
        <w:rPr>
          <w:rFonts w:cs="Cambria"/>
          <w:lang w:eastAsia="en-AU"/>
        </w:rPr>
        <w:t>supplied in Australia must comply with the product details and specifications approved during evaluation and detailed in the Certified Product Details (CPD).</w:t>
      </w:r>
    </w:p>
    <w:p w14:paraId="6782D405" w14:textId="77777777" w:rsidR="00AB018C" w:rsidRPr="00EB01E9" w:rsidRDefault="00AB018C" w:rsidP="00AB018C">
      <w:pPr>
        <w:pStyle w:val="ListBullet2"/>
        <w:rPr>
          <w:lang w:eastAsia="en-AU"/>
        </w:rPr>
      </w:pPr>
      <w:r w:rsidRPr="00EB01E9">
        <w:rPr>
          <w:lang w:eastAsia="en-AU"/>
        </w:rPr>
        <w:lastRenderedPageBreak/>
        <w:t xml:space="preserve">When requested by the TGA, the sponsor should be prepared to provide product </w:t>
      </w:r>
      <w:r w:rsidRPr="00EB01E9">
        <w:rPr>
          <w:rFonts w:cs="Cambria"/>
          <w:lang w:eastAsia="en-AU"/>
        </w:rPr>
        <w:t>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210CA3E0" w14:textId="77777777" w:rsidR="00AB018C" w:rsidRPr="00EB01E9" w:rsidRDefault="00AB018C" w:rsidP="00AB018C">
      <w:pPr>
        <w:pStyle w:val="ListBullet"/>
        <w:rPr>
          <w:lang w:eastAsia="en-AU"/>
        </w:rPr>
      </w:pPr>
      <w:r w:rsidRPr="00EB01E9">
        <w:rPr>
          <w:lang w:eastAsia="en-AU"/>
        </w:rPr>
        <w:t>Certified Product Details</w:t>
      </w:r>
    </w:p>
    <w:p w14:paraId="7CF79CF7" w14:textId="77777777" w:rsidR="00AB018C" w:rsidRPr="00EB01E9" w:rsidRDefault="00AB018C" w:rsidP="00AB018C">
      <w:pPr>
        <w:pStyle w:val="ListBullet"/>
        <w:numPr>
          <w:ilvl w:val="0"/>
          <w:numId w:val="0"/>
        </w:numPr>
        <w:ind w:left="360"/>
        <w:rPr>
          <w:lang w:eastAsia="en-AU"/>
        </w:rPr>
      </w:pPr>
      <w:r w:rsidRPr="00EB01E9">
        <w:rPr>
          <w:lang w:eastAsia="en-AU"/>
        </w:rPr>
        <w:t>The CPD, as described in Guidance 7: Certified Product Details of the Australian Regulatory Guidelines for Prescription Medicines (ARGPM) (</w:t>
      </w:r>
      <w:r w:rsidRPr="00EB01E9">
        <w:rPr>
          <w:color w:val="0000FF"/>
          <w:lang w:eastAsia="en-AU"/>
        </w:rPr>
        <w:t>http://www.tga.gov.au/industry/pm-argpm-guidance-7.htm</w:t>
      </w:r>
      <w:r w:rsidRPr="00EB01E9">
        <w:rPr>
          <w:lang w:eastAsia="en-AU"/>
        </w:rPr>
        <w:t>),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424DB2B5" w14:textId="49F6A60A" w:rsidR="00AB018C" w:rsidRPr="00AB018C" w:rsidRDefault="00AB018C" w:rsidP="00AB018C">
      <w:pPr>
        <w:pStyle w:val="ListBullet"/>
        <w:numPr>
          <w:ilvl w:val="0"/>
          <w:numId w:val="0"/>
        </w:numPr>
        <w:ind w:left="360" w:hanging="360"/>
        <w:rPr>
          <w:lang w:eastAsia="en-AU"/>
        </w:rPr>
      </w:pPr>
      <w:r w:rsidRPr="00EB01E9">
        <w:rPr>
          <w:lang w:eastAsia="en-AU"/>
        </w:rPr>
        <w:t>•</w:t>
      </w:r>
      <w:r w:rsidRPr="00EB01E9">
        <w:rPr>
          <w:lang w:eastAsia="en-AU"/>
        </w:rPr>
        <w:tab/>
        <w:t xml:space="preserve">For all injectable products the </w:t>
      </w:r>
      <w:r w:rsidR="00C2270A">
        <w:rPr>
          <w:lang w:eastAsia="en-AU"/>
        </w:rPr>
        <w:t>PI</w:t>
      </w:r>
      <w:r w:rsidRPr="00EB01E9">
        <w:rPr>
          <w:lang w:eastAsia="en-AU"/>
        </w:rPr>
        <w:t xml:space="preserve"> must be included with the product as a package insert</w:t>
      </w:r>
    </w:p>
    <w:p w14:paraId="39CD90B6" w14:textId="77777777" w:rsidR="008E7846" w:rsidRDefault="00A80B5B" w:rsidP="00D23139">
      <w:pPr>
        <w:pStyle w:val="Heading2"/>
      </w:pPr>
      <w:bookmarkStart w:id="59" w:name="_Toc72314041"/>
      <w:r>
        <w:t xml:space="preserve">Attachment 1. </w:t>
      </w:r>
      <w:r w:rsidR="008E7846">
        <w:t xml:space="preserve">Product </w:t>
      </w:r>
      <w:r w:rsidR="00AA0ED0">
        <w:t>I</w:t>
      </w:r>
      <w:r w:rsidR="008E7846">
        <w:t>nformation</w:t>
      </w:r>
      <w:bookmarkEnd w:id="57"/>
      <w:bookmarkEnd w:id="58"/>
      <w:bookmarkEnd w:id="59"/>
    </w:p>
    <w:p w14:paraId="1E35707C" w14:textId="402C7B98" w:rsidR="00291957" w:rsidRPr="00AB018C" w:rsidRDefault="006136D7" w:rsidP="00AB018C">
      <w:pPr>
        <w:rPr>
          <w:color w:val="000000"/>
          <w:lang w:eastAsia="en-AU"/>
        </w:rPr>
      </w:pPr>
      <w:r w:rsidRPr="002B3624">
        <w:t xml:space="preserve">The </w:t>
      </w:r>
      <w:r>
        <w:t>PI</w:t>
      </w:r>
      <w:r w:rsidRPr="002B3624">
        <w:t xml:space="preserve"> for </w:t>
      </w:r>
      <w:proofErr w:type="spellStart"/>
      <w:r w:rsidR="00AB018C">
        <w:t>Ovaleap</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1" w:history="1">
        <w:r w:rsidR="007C6B9B" w:rsidRPr="007C6B9B">
          <w:rPr>
            <w:rStyle w:val="Hyperlink"/>
          </w:rPr>
          <w:t>https://www.tga.gov.au/product-information-pi</w:t>
        </w:r>
      </w:hyperlink>
      <w:r w:rsidR="00AB018C">
        <w:t>&gt;.</w:t>
      </w:r>
    </w:p>
    <w:p w14:paraId="0328FAC6" w14:textId="77777777" w:rsidR="00744121" w:rsidRDefault="00744121" w:rsidP="00744121">
      <w:pPr>
        <w:rPr>
          <w:lang w:eastAsia="ja-JP"/>
        </w:rPr>
      </w:pPr>
    </w:p>
    <w:p w14:paraId="56293A79" w14:textId="77777777" w:rsidR="00C80137" w:rsidRPr="001D043B" w:rsidRDefault="00C80137" w:rsidP="003A7F6C">
      <w:pPr>
        <w:pStyle w:val="TableTitle"/>
        <w:sectPr w:rsidR="00C80137" w:rsidRPr="001D043B" w:rsidSect="00B452CE">
          <w:headerReference w:type="even" r:id="rId22"/>
          <w:headerReference w:type="default" r:id="rId23"/>
          <w:headerReference w:type="first" r:id="rId24"/>
          <w:footerReference w:type="first" r:id="rId2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986434D" w14:textId="77777777" w:rsidTr="00A05FA4">
        <w:trPr>
          <w:trHeight w:hRule="exact" w:val="704"/>
        </w:trPr>
        <w:tc>
          <w:tcPr>
            <w:tcW w:w="9175" w:type="dxa"/>
          </w:tcPr>
          <w:p w14:paraId="06B504D0" w14:textId="77777777" w:rsidR="001C32CD" w:rsidRPr="00487162" w:rsidRDefault="001C32CD" w:rsidP="00A05FA4">
            <w:pPr>
              <w:pStyle w:val="TGASignoff"/>
            </w:pPr>
            <w:r w:rsidRPr="00487162">
              <w:lastRenderedPageBreak/>
              <w:t>Therapeutic Goods Administration</w:t>
            </w:r>
          </w:p>
        </w:tc>
      </w:tr>
      <w:tr w:rsidR="001C32CD" w:rsidRPr="004C239D" w14:paraId="38B67460" w14:textId="77777777" w:rsidTr="00A05FA4">
        <w:trPr>
          <w:trHeight w:val="1221"/>
        </w:trPr>
        <w:tc>
          <w:tcPr>
            <w:tcW w:w="9175" w:type="dxa"/>
            <w:tcMar>
              <w:top w:w="28" w:type="dxa"/>
            </w:tcMar>
          </w:tcPr>
          <w:p w14:paraId="5ED0D376" w14:textId="77777777" w:rsidR="001C32CD" w:rsidRPr="00487162" w:rsidRDefault="001C32CD" w:rsidP="00A05FA4">
            <w:pPr>
              <w:pStyle w:val="Address"/>
            </w:pPr>
            <w:r w:rsidRPr="00487162">
              <w:t>PO Box 100 Woden ACT 2606 Australia</w:t>
            </w:r>
          </w:p>
          <w:p w14:paraId="0C4D44B1" w14:textId="058E463F" w:rsidR="001C32CD" w:rsidRPr="00487162" w:rsidRDefault="001C32CD" w:rsidP="00A05FA4">
            <w:pPr>
              <w:pStyle w:val="Address"/>
            </w:pPr>
            <w:r w:rsidRPr="00487162">
              <w:t xml:space="preserve">Email: </w:t>
            </w:r>
            <w:hyperlink r:id="rId26" w:history="1">
              <w:r w:rsidRPr="004C239D">
                <w:rPr>
                  <w:rStyle w:val="Hyperlink"/>
                </w:rPr>
                <w:t>info@tga.gov.au</w:t>
              </w:r>
            </w:hyperlink>
            <w:r w:rsidRPr="00487162">
              <w:t xml:space="preserve">  Phone: 1800 020 653  Fax: 02 6232 8605</w:t>
            </w:r>
          </w:p>
          <w:p w14:paraId="0B50E038" w14:textId="3E299210" w:rsidR="001C32CD" w:rsidRPr="004C239D" w:rsidRDefault="00924A68" w:rsidP="00A05FA4">
            <w:pPr>
              <w:pStyle w:val="Address"/>
              <w:spacing w:line="260" w:lineRule="atLeast"/>
              <w:rPr>
                <w:b/>
                <w:color w:val="0000FF"/>
                <w:u w:val="single"/>
              </w:rPr>
            </w:pPr>
            <w:hyperlink r:id="rId27" w:history="1">
              <w:r w:rsidR="007C6B9B" w:rsidRPr="007C6B9B">
                <w:rPr>
                  <w:rStyle w:val="Hyperlink"/>
                  <w:b/>
                </w:rPr>
                <w:t>https://www.tga.gov.au</w:t>
              </w:r>
            </w:hyperlink>
          </w:p>
        </w:tc>
      </w:tr>
    </w:tbl>
    <w:p w14:paraId="4A9B4AE9" w14:textId="77777777" w:rsidR="00774E1D" w:rsidRPr="008A5E0B" w:rsidRDefault="00774E1D" w:rsidP="004C239D"/>
    <w:sectPr w:rsidR="00774E1D" w:rsidRPr="008A5E0B" w:rsidSect="001C32CD">
      <w:headerReference w:type="even" r:id="rId28"/>
      <w:headerReference w:type="default" r:id="rId29"/>
      <w:footerReference w:type="default" r:id="rId30"/>
      <w:headerReference w:type="first" r:id="rId31"/>
      <w:footerReference w:type="first" r:id="rId3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963EF" w14:textId="77777777" w:rsidR="00924A68" w:rsidRDefault="00924A68" w:rsidP="00C40A36">
      <w:pPr>
        <w:spacing w:after="0"/>
      </w:pPr>
      <w:r>
        <w:separator/>
      </w:r>
    </w:p>
  </w:endnote>
  <w:endnote w:type="continuationSeparator" w:id="0">
    <w:p w14:paraId="581560EE" w14:textId="77777777" w:rsidR="00924A68" w:rsidRDefault="00924A6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EFE78" w14:textId="77777777" w:rsidR="00924A68" w:rsidRDefault="00924A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24A68" w:rsidRPr="00487162" w14:paraId="095F9BF6" w14:textId="77777777" w:rsidTr="00DB750B">
      <w:trPr>
        <w:trHeight w:val="269"/>
      </w:trPr>
      <w:tc>
        <w:tcPr>
          <w:tcW w:w="7371" w:type="dxa"/>
          <w:tcMar>
            <w:top w:w="142" w:type="dxa"/>
            <w:bottom w:w="0" w:type="dxa"/>
          </w:tcMar>
        </w:tcPr>
        <w:p w14:paraId="6BEE9854" w14:textId="331CA6FE" w:rsidR="00924A68" w:rsidRPr="00487162" w:rsidRDefault="00924A68" w:rsidP="00C01F54">
          <w:pPr>
            <w:pStyle w:val="Footer"/>
          </w:pPr>
          <w:r w:rsidRPr="00487162">
            <w:t>AusPA</w:t>
          </w:r>
          <w:r>
            <w:t xml:space="preserve">R - </w:t>
          </w:r>
          <w:proofErr w:type="spellStart"/>
          <w:r>
            <w:t>Ovaleap</w:t>
          </w:r>
          <w:proofErr w:type="spellEnd"/>
          <w:r w:rsidRPr="00AB018C">
            <w:t xml:space="preserve"> - </w:t>
          </w:r>
          <w:proofErr w:type="spellStart"/>
          <w:r w:rsidRPr="00AB018C">
            <w:t>follitropin</w:t>
          </w:r>
          <w:proofErr w:type="spellEnd"/>
          <w:r w:rsidRPr="00AB018C">
            <w:t xml:space="preserve"> alfa - </w:t>
          </w:r>
          <w:proofErr w:type="spellStart"/>
          <w:r w:rsidRPr="00AB018C">
            <w:t>Theramex</w:t>
          </w:r>
          <w:proofErr w:type="spellEnd"/>
          <w:r w:rsidRPr="00AB018C">
            <w:t xml:space="preserve"> Australia Pty Ltd - PM-2019-05982-1-5</w:t>
          </w:r>
          <w:r>
            <w:br/>
            <w:t>FINAL 3 May 2021</w:t>
          </w:r>
        </w:p>
      </w:tc>
      <w:tc>
        <w:tcPr>
          <w:tcW w:w="1490" w:type="dxa"/>
          <w:tcMar>
            <w:top w:w="142" w:type="dxa"/>
            <w:bottom w:w="0" w:type="dxa"/>
          </w:tcMar>
        </w:tcPr>
        <w:p w14:paraId="3B56BB63" w14:textId="0440F5AE" w:rsidR="00924A68" w:rsidRPr="00487162" w:rsidRDefault="00924A68" w:rsidP="00DB750B">
          <w:pPr>
            <w:pStyle w:val="Footer"/>
            <w:jc w:val="right"/>
          </w:pPr>
          <w:r w:rsidRPr="00487162">
            <w:t xml:space="preserve">Page </w:t>
          </w:r>
          <w:r>
            <w:fldChar w:fldCharType="begin"/>
          </w:r>
          <w:r>
            <w:instrText xml:space="preserve"> PAGE  \* Arabic </w:instrText>
          </w:r>
          <w:r>
            <w:fldChar w:fldCharType="separate"/>
          </w:r>
          <w:r w:rsidR="00121618">
            <w:rPr>
              <w:noProof/>
            </w:rPr>
            <w:t>3</w:t>
          </w:r>
          <w:r>
            <w:fldChar w:fldCharType="end"/>
          </w:r>
          <w:r w:rsidRPr="00487162">
            <w:t xml:space="preserve"> of </w:t>
          </w:r>
          <w:fldSimple w:instr=" NUMPAGES  \* Arabic ">
            <w:r w:rsidR="00121618">
              <w:rPr>
                <w:noProof/>
              </w:rPr>
              <w:t>25</w:t>
            </w:r>
          </w:fldSimple>
        </w:p>
      </w:tc>
    </w:tr>
  </w:tbl>
  <w:p w14:paraId="33EEDB6C" w14:textId="77777777" w:rsidR="00924A68" w:rsidRDefault="00924A68"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76F6E" w14:textId="77777777" w:rsidR="00924A68" w:rsidRDefault="00924A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24A68" w:rsidRPr="00487162" w14:paraId="41065376" w14:textId="77777777" w:rsidTr="00E45619">
      <w:trPr>
        <w:trHeight w:val="269"/>
      </w:trPr>
      <w:tc>
        <w:tcPr>
          <w:tcW w:w="4519" w:type="dxa"/>
          <w:tcBorders>
            <w:top w:val="single" w:sz="4" w:space="0" w:color="auto"/>
          </w:tcBorders>
          <w:tcMar>
            <w:top w:w="142" w:type="dxa"/>
            <w:bottom w:w="0" w:type="dxa"/>
          </w:tcMar>
        </w:tcPr>
        <w:p w14:paraId="4B7A0372" w14:textId="77777777" w:rsidR="00924A68" w:rsidRPr="00487162" w:rsidRDefault="00924A68" w:rsidP="00FE1DEE">
          <w:pPr>
            <w:pStyle w:val="Footer"/>
          </w:pPr>
          <w:r w:rsidRPr="00487162">
            <w:t>Document title, Part #, Section # - Section title</w:t>
          </w:r>
        </w:p>
        <w:p w14:paraId="22E30F79" w14:textId="77777777" w:rsidR="00924A68" w:rsidRPr="00487162" w:rsidRDefault="00924A68" w:rsidP="00FE1DEE">
          <w:pPr>
            <w:pStyle w:val="Footer"/>
          </w:pPr>
          <w:r w:rsidRPr="00487162">
            <w:t>V1.0 October 2010</w:t>
          </w:r>
        </w:p>
      </w:tc>
      <w:tc>
        <w:tcPr>
          <w:tcW w:w="4342" w:type="dxa"/>
          <w:tcBorders>
            <w:top w:val="single" w:sz="4" w:space="0" w:color="auto"/>
          </w:tcBorders>
          <w:tcMar>
            <w:top w:w="142" w:type="dxa"/>
            <w:bottom w:w="0" w:type="dxa"/>
          </w:tcMar>
        </w:tcPr>
        <w:p w14:paraId="7BD54D60" w14:textId="77777777" w:rsidR="00924A68" w:rsidRPr="00487162" w:rsidRDefault="00924A6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2ABCABD0" w14:textId="77777777" w:rsidR="00924A68" w:rsidRDefault="00924A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538E4" w14:textId="77777777" w:rsidR="00924A68" w:rsidRPr="001C32CD" w:rsidRDefault="00924A68"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24A68" w14:paraId="1808DBE7" w14:textId="77777777" w:rsidTr="0010601F">
      <w:trPr>
        <w:trHeight w:val="108"/>
      </w:trPr>
      <w:tc>
        <w:tcPr>
          <w:tcW w:w="8875" w:type="dxa"/>
          <w:gridSpan w:val="2"/>
          <w:tcBorders>
            <w:bottom w:val="single" w:sz="4" w:space="0" w:color="auto"/>
          </w:tcBorders>
          <w:tcMar>
            <w:right w:w="284" w:type="dxa"/>
          </w:tcMar>
        </w:tcPr>
        <w:p w14:paraId="4FA7D316" w14:textId="77777777" w:rsidR="00924A68" w:rsidRDefault="00924A68" w:rsidP="006E08B3">
          <w:pPr>
            <w:pStyle w:val="Heading3"/>
          </w:pPr>
          <w:r>
            <w:t>Copyright</w:t>
          </w:r>
        </w:p>
        <w:p w14:paraId="7459DF30" w14:textId="77777777" w:rsidR="00924A68" w:rsidRDefault="00924A68" w:rsidP="006E08B3">
          <w:r>
            <w:rPr>
              <w:rFonts w:cs="Arial"/>
            </w:rPr>
            <w:t>©</w:t>
          </w:r>
          <w:r>
            <w:t xml:space="preserve"> Commonwealth of Australia [add year]</w:t>
          </w:r>
        </w:p>
        <w:p w14:paraId="36D4195E" w14:textId="77777777" w:rsidR="00924A68" w:rsidRDefault="00924A68" w:rsidP="006E08B3"/>
        <w:p w14:paraId="01DDF867" w14:textId="77777777" w:rsidR="00924A68" w:rsidRDefault="00924A6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B8F454F" w14:textId="77777777" w:rsidR="00924A68" w:rsidRDefault="00924A68" w:rsidP="006E08B3"/>
        <w:p w14:paraId="0262C2E5" w14:textId="77777777" w:rsidR="00924A68" w:rsidRDefault="00924A68" w:rsidP="006E08B3">
          <w:pPr>
            <w:pStyle w:val="Heading3"/>
          </w:pPr>
          <w:r>
            <w:t>Confidentiality</w:t>
          </w:r>
        </w:p>
        <w:p w14:paraId="21DB717B" w14:textId="77777777" w:rsidR="00924A68" w:rsidRDefault="00924A6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A9D4E8E" w14:textId="77777777" w:rsidR="00924A68" w:rsidRDefault="00924A68" w:rsidP="006E08B3"/>
        <w:p w14:paraId="7FDB8A61" w14:textId="77777777" w:rsidR="00924A68" w:rsidRDefault="00924A68" w:rsidP="006E08B3">
          <w:r>
            <w:t>For submission made by individuals, all personal details, other than your name, will be removed from your submission before it is published on the TGA’s Internet site.</w:t>
          </w:r>
        </w:p>
        <w:p w14:paraId="2458A18D" w14:textId="77777777" w:rsidR="00924A68" w:rsidRDefault="00924A68" w:rsidP="006E08B3"/>
        <w:p w14:paraId="773A70DE" w14:textId="77777777" w:rsidR="00924A68" w:rsidRDefault="00924A6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24A68" w14:paraId="39C86534" w14:textId="77777777" w:rsidTr="0010601F">
      <w:trPr>
        <w:trHeight w:val="417"/>
      </w:trPr>
      <w:tc>
        <w:tcPr>
          <w:tcW w:w="4519" w:type="dxa"/>
          <w:tcBorders>
            <w:top w:val="single" w:sz="4" w:space="0" w:color="auto"/>
          </w:tcBorders>
          <w:tcMar>
            <w:top w:w="142" w:type="dxa"/>
            <w:bottom w:w="0" w:type="dxa"/>
          </w:tcMar>
        </w:tcPr>
        <w:p w14:paraId="26E8EC16" w14:textId="77777777" w:rsidR="00924A68" w:rsidRDefault="00924A68" w:rsidP="006E08B3">
          <w:r>
            <w:t>Document title, Part #, Section # - Section title</w:t>
          </w:r>
        </w:p>
        <w:p w14:paraId="50B5C030" w14:textId="77777777" w:rsidR="00924A68" w:rsidRDefault="00924A68" w:rsidP="006E08B3">
          <w:r>
            <w:t>V1.0 October 2010</w:t>
          </w:r>
        </w:p>
      </w:tc>
      <w:tc>
        <w:tcPr>
          <w:tcW w:w="4356" w:type="dxa"/>
          <w:tcBorders>
            <w:top w:val="single" w:sz="4" w:space="0" w:color="auto"/>
          </w:tcBorders>
          <w:tcMar>
            <w:top w:w="142" w:type="dxa"/>
            <w:bottom w:w="0" w:type="dxa"/>
          </w:tcMar>
        </w:tcPr>
        <w:p w14:paraId="679AD41E" w14:textId="77777777" w:rsidR="00924A68" w:rsidRDefault="00924A6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57DF61B8" w14:textId="77777777" w:rsidR="00924A68" w:rsidRDefault="00924A6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D3930" w14:textId="77777777" w:rsidR="00924A68" w:rsidRDefault="00924A68" w:rsidP="00C40A36">
      <w:pPr>
        <w:spacing w:after="0"/>
      </w:pPr>
      <w:r>
        <w:separator/>
      </w:r>
    </w:p>
  </w:footnote>
  <w:footnote w:type="continuationSeparator" w:id="0">
    <w:p w14:paraId="5FC3AA8B" w14:textId="77777777" w:rsidR="00924A68" w:rsidRDefault="00924A68" w:rsidP="00C40A36">
      <w:pPr>
        <w:spacing w:after="0"/>
      </w:pPr>
      <w:r>
        <w:continuationSeparator/>
      </w:r>
    </w:p>
  </w:footnote>
  <w:footnote w:id="1">
    <w:p w14:paraId="3508BE2F" w14:textId="77777777" w:rsidR="00924A68" w:rsidRDefault="00924A68" w:rsidP="00AB018C">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6E696218" w14:textId="0A248081" w:rsidR="00924A68" w:rsidRDefault="00924A68">
      <w:pPr>
        <w:pStyle w:val="FootnoteText"/>
      </w:pPr>
      <w:r>
        <w:rPr>
          <w:rStyle w:val="FootnoteReference"/>
        </w:rPr>
        <w:footnoteRef/>
      </w:r>
      <w:r>
        <w:t xml:space="preserve"> </w:t>
      </w:r>
      <w:proofErr w:type="spellStart"/>
      <w:r>
        <w:t>Mikhael</w:t>
      </w:r>
      <w:proofErr w:type="spellEnd"/>
      <w:r>
        <w:t xml:space="preserve">, S, </w:t>
      </w:r>
      <w:proofErr w:type="spellStart"/>
      <w:r>
        <w:t>Punjaal</w:t>
      </w:r>
      <w:proofErr w:type="spellEnd"/>
      <w:r>
        <w:t xml:space="preserve">-Patel, A, Gavrilova-Jordan, L. Hypothalamic-Pituitary-Ovarian Axis Disorders Impacting Female Fertility, </w:t>
      </w:r>
      <w:r w:rsidRPr="00C2270A">
        <w:rPr>
          <w:i/>
        </w:rPr>
        <w:t>Biomedicines</w:t>
      </w:r>
      <w:r>
        <w:t xml:space="preserve"> 2019; 7, 5; doi:10.3390/biomedicines7010005.</w:t>
      </w:r>
    </w:p>
  </w:footnote>
  <w:footnote w:id="3">
    <w:p w14:paraId="2B74EA77" w14:textId="77777777" w:rsidR="00924A68" w:rsidRDefault="00924A68" w:rsidP="006A2159">
      <w:pPr>
        <w:pStyle w:val="FootnoteText"/>
      </w:pPr>
      <w:r>
        <w:rPr>
          <w:rStyle w:val="FootnoteReference"/>
        </w:rPr>
        <w:footnoteRef/>
      </w:r>
      <w:r>
        <w:t xml:space="preserve"> National Institute for Health and Care Excellence (NICE), Fertility problems: assessment and treatment, </w:t>
      </w:r>
    </w:p>
    <w:p w14:paraId="3F53A575" w14:textId="4544D7C2" w:rsidR="00924A68" w:rsidRDefault="00924A68" w:rsidP="006A2159">
      <w:pPr>
        <w:pStyle w:val="FootnoteText"/>
      </w:pPr>
      <w:r>
        <w:t xml:space="preserve">Clinical guideline (CG156), </w:t>
      </w:r>
      <w:r w:rsidRPr="006A2159">
        <w:t xml:space="preserve">Published date: </w:t>
      </w:r>
      <w:r>
        <w:t xml:space="preserve">20 February 2013 Last updated: </w:t>
      </w:r>
      <w:r w:rsidRPr="006A2159">
        <w:t>6 September 2017</w:t>
      </w:r>
      <w:r>
        <w:t>, available from the NICE website.</w:t>
      </w:r>
    </w:p>
  </w:footnote>
  <w:footnote w:id="4">
    <w:p w14:paraId="06FF4543" w14:textId="51BAB7C7" w:rsidR="00924A68" w:rsidRDefault="00924A68">
      <w:pPr>
        <w:pStyle w:val="FootnoteText"/>
      </w:pPr>
      <w:r>
        <w:rPr>
          <w:rStyle w:val="FootnoteReference"/>
        </w:rPr>
        <w:footnoteRef/>
      </w:r>
      <w:r>
        <w:t xml:space="preserve"> </w:t>
      </w:r>
      <w:proofErr w:type="spellStart"/>
      <w:r>
        <w:t>Gonal</w:t>
      </w:r>
      <w:proofErr w:type="spellEnd"/>
      <w:r>
        <w:t>-f (</w:t>
      </w:r>
      <w:proofErr w:type="spellStart"/>
      <w:r>
        <w:t>follitropin</w:t>
      </w:r>
      <w:proofErr w:type="spellEnd"/>
      <w:r>
        <w:t xml:space="preserve"> alfa), presented as a s</w:t>
      </w:r>
      <w:r w:rsidRPr="00A804AE">
        <w:t>olution for injection in a cartridge</w:t>
      </w:r>
      <w:r>
        <w:t>,</w:t>
      </w:r>
      <w:r w:rsidRPr="00A804AE">
        <w:t xml:space="preserve"> pre-assembled in a pen</w:t>
      </w:r>
      <w:r>
        <w:t xml:space="preserve"> (AUST R 96230, 96236, 96237) was registered in Australia on 1 December 2003, and is sponsored by Merck Healthcare Pty Ltd.</w:t>
      </w:r>
    </w:p>
  </w:footnote>
  <w:footnote w:id="5">
    <w:p w14:paraId="0AB658E7" w14:textId="20586D1B" w:rsidR="00924A68" w:rsidRDefault="00924A68">
      <w:pPr>
        <w:pStyle w:val="FootnoteText"/>
      </w:pPr>
      <w:r>
        <w:rPr>
          <w:rStyle w:val="FootnoteReference"/>
        </w:rPr>
        <w:footnoteRef/>
      </w:r>
      <w:r>
        <w:t xml:space="preserve"> </w:t>
      </w:r>
      <w:proofErr w:type="spellStart"/>
      <w:r>
        <w:t>Ovaleap</w:t>
      </w:r>
      <w:proofErr w:type="spellEnd"/>
      <w:r>
        <w:t xml:space="preserve"> Pen, injector, Medical Device Class </w:t>
      </w:r>
      <w:proofErr w:type="spellStart"/>
      <w:r>
        <w:t>IIa</w:t>
      </w:r>
      <w:proofErr w:type="spellEnd"/>
      <w:r>
        <w:t xml:space="preserve">, AUST R 353406, ARTG start date 21 January 2021, sponsored by </w:t>
      </w:r>
      <w:proofErr w:type="spellStart"/>
      <w:r>
        <w:t>Theramex</w:t>
      </w:r>
      <w:proofErr w:type="spellEnd"/>
      <w:r>
        <w:t xml:space="preserve"> Australia Pty Ltd.</w:t>
      </w:r>
    </w:p>
  </w:footnote>
  <w:footnote w:id="6">
    <w:p w14:paraId="0A10C0F5" w14:textId="77777777" w:rsidR="00924A68" w:rsidRDefault="00924A68">
      <w:pPr>
        <w:pStyle w:val="FootnoteText"/>
      </w:pPr>
      <w:r>
        <w:rPr>
          <w:rStyle w:val="FootnoteReference"/>
        </w:rPr>
        <w:footnoteRef/>
      </w:r>
      <w:r>
        <w:t xml:space="preserve"> This required GMP clearance was obtained prior to approval and registration of </w:t>
      </w:r>
      <w:proofErr w:type="spellStart"/>
      <w:r>
        <w:t>Ovaleap</w:t>
      </w:r>
      <w:proofErr w:type="spellEnd"/>
      <w:r>
        <w:t>.</w:t>
      </w:r>
    </w:p>
  </w:footnote>
  <w:footnote w:id="7">
    <w:p w14:paraId="3FC73186" w14:textId="77777777" w:rsidR="00924A68" w:rsidRDefault="00924A68">
      <w:pPr>
        <w:pStyle w:val="FootnoteText"/>
      </w:pPr>
      <w:r>
        <w:rPr>
          <w:rStyle w:val="FootnoteReference"/>
        </w:rPr>
        <w:footnoteRef/>
      </w:r>
      <w:r>
        <w:t xml:space="preserve"> XM17 is the drug development code for </w:t>
      </w:r>
      <w:proofErr w:type="spellStart"/>
      <w:r>
        <w:t>Ovaleap</w:t>
      </w:r>
      <w:proofErr w:type="spellEnd"/>
      <w:r>
        <w:t xml:space="preserve"> (</w:t>
      </w:r>
      <w:proofErr w:type="spellStart"/>
      <w:r>
        <w:t>follitropin</w:t>
      </w:r>
      <w:proofErr w:type="spellEnd"/>
      <w:r>
        <w:t xml:space="preserve"> alfa).</w:t>
      </w:r>
    </w:p>
  </w:footnote>
  <w:footnote w:id="8">
    <w:p w14:paraId="57C3B633" w14:textId="77777777" w:rsidR="00924A68" w:rsidRDefault="00924A68">
      <w:pPr>
        <w:pStyle w:val="FootnoteText"/>
      </w:pPr>
      <w:r>
        <w:rPr>
          <w:rStyle w:val="FootnoteReference"/>
        </w:rPr>
        <w:footnoteRef/>
      </w:r>
      <w:r>
        <w:t xml:space="preserve"> AusPAR for </w:t>
      </w:r>
      <w:proofErr w:type="spellStart"/>
      <w:r>
        <w:t>Bemfolia</w:t>
      </w:r>
      <w:proofErr w:type="spellEnd"/>
      <w:r>
        <w:t>/</w:t>
      </w:r>
      <w:proofErr w:type="spellStart"/>
      <w:r>
        <w:t>Afolia</w:t>
      </w:r>
      <w:proofErr w:type="spellEnd"/>
      <w:r>
        <w:t xml:space="preserve"> (</w:t>
      </w:r>
      <w:proofErr w:type="spellStart"/>
      <w:r>
        <w:t>follitropin</w:t>
      </w:r>
      <w:proofErr w:type="spellEnd"/>
      <w:r>
        <w:t xml:space="preserve"> alfa) solution for injection. Available from the TGA website at </w:t>
      </w:r>
      <w:hyperlink r:id="rId1" w:history="1">
        <w:r w:rsidRPr="002B62D0">
          <w:rPr>
            <w:rStyle w:val="Hyperlink"/>
          </w:rPr>
          <w:t>https://www.tga.gov.au/auspar/auspar-follitropin-alfa-rch-0</w:t>
        </w:r>
      </w:hyperlink>
      <w:r>
        <w:t>.</w:t>
      </w:r>
    </w:p>
  </w:footnote>
  <w:footnote w:id="9">
    <w:p w14:paraId="6A7338EA" w14:textId="6019E099" w:rsidR="00924A68" w:rsidRDefault="00924A68">
      <w:pPr>
        <w:pStyle w:val="FootnoteText"/>
      </w:pPr>
      <w:r>
        <w:rPr>
          <w:rStyle w:val="FootnoteReference"/>
        </w:rPr>
        <w:footnoteRef/>
      </w:r>
      <w:r>
        <w:t xml:space="preserve"> </w:t>
      </w:r>
      <w:r w:rsidRPr="001E1DF0">
        <w:t>European Medicines Agency (EMA), Committee for Medicinal Products for Human Use (CHMP)</w:t>
      </w:r>
      <w:r>
        <w:t>, Guideline on non-clinical and clinical development of similar biological medicinal products containing recombinant human follicle stimulating hormone (r-</w:t>
      </w:r>
      <w:proofErr w:type="spellStart"/>
      <w:r>
        <w:t>hFSH</w:t>
      </w:r>
      <w:proofErr w:type="spellEnd"/>
      <w:r>
        <w:t>), EMA/CHMP/BMWP/671292/2010, 21 February 2013.</w:t>
      </w:r>
    </w:p>
  </w:footnote>
  <w:footnote w:id="10">
    <w:p w14:paraId="0A31982D" w14:textId="77777777" w:rsidR="00924A68" w:rsidRDefault="00924A68">
      <w:pPr>
        <w:pStyle w:val="FootnoteText"/>
      </w:pPr>
      <w:r>
        <w:rPr>
          <w:rStyle w:val="FootnoteReference"/>
        </w:rPr>
        <w:footnoteRef/>
      </w:r>
      <w:r>
        <w:t xml:space="preserve"> </w:t>
      </w:r>
      <w:r w:rsidRPr="007D53B6">
        <w:t>The sponsor must still comply with routine product vigilance and risk minimisation requirements.</w:t>
      </w:r>
    </w:p>
  </w:footnote>
  <w:footnote w:id="11">
    <w:p w14:paraId="2BA79B10" w14:textId="77777777" w:rsidR="00924A68" w:rsidRDefault="00924A68"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57F48ECD" w14:textId="77777777" w:rsidR="00924A68" w:rsidRPr="00456765" w:rsidRDefault="00924A68"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AE37A" w14:textId="77777777" w:rsidR="00924A68" w:rsidRDefault="00924A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35BBB" w14:textId="77777777" w:rsidR="00924A68" w:rsidRDefault="00924A68"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25DEB" w14:textId="77777777" w:rsidR="00924A68" w:rsidRDefault="00924A68">
    <w:pPr>
      <w:rPr>
        <w:noProof/>
        <w:lang w:eastAsia="en-AU"/>
      </w:rPr>
    </w:pPr>
    <w:r w:rsidRPr="00347824">
      <w:rPr>
        <w:noProof/>
        <w:lang w:eastAsia="en-AU"/>
      </w:rPr>
      <w:drawing>
        <wp:anchor distT="0" distB="0" distL="114300" distR="114300" simplePos="0" relativeHeight="251658240" behindDoc="1" locked="0" layoutInCell="1" allowOverlap="1" wp14:anchorId="055720B3" wp14:editId="7A8E2467">
          <wp:simplePos x="0" y="0"/>
          <wp:positionH relativeFrom="column">
            <wp:posOffset>-1089660</wp:posOffset>
          </wp:positionH>
          <wp:positionV relativeFrom="paragraph">
            <wp:posOffset>-585470</wp:posOffset>
          </wp:positionV>
          <wp:extent cx="7572375" cy="10706100"/>
          <wp:effectExtent l="19050" t="0" r="0" b="0"/>
          <wp:wrapNone/>
          <wp:docPr id="1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529DF01" w14:textId="77777777" w:rsidR="00924A68" w:rsidRDefault="00924A68" w:rsidP="00593AD1">
    <w:pPr>
      <w:pStyle w:val="HeaderNoLine"/>
    </w:pPr>
    <w:r>
      <w:rPr>
        <w:noProof/>
        <w:lang w:eastAsia="en-AU"/>
      </w:rPr>
      <w:drawing>
        <wp:inline distT="0" distB="0" distL="0" distR="0" wp14:anchorId="3A177828" wp14:editId="3169705F">
          <wp:extent cx="5400675" cy="7639050"/>
          <wp:effectExtent l="0" t="0" r="9525" b="0"/>
          <wp:docPr id="14" name="Picture 1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F3847" w14:textId="77777777" w:rsidR="00924A68" w:rsidRDefault="00924A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10667" w14:textId="77777777" w:rsidR="00924A68" w:rsidRDefault="00924A68">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34168" w14:textId="77777777" w:rsidR="00924A68" w:rsidRDefault="00924A68">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0A0AC" w14:textId="77777777" w:rsidR="00924A68" w:rsidRDefault="00924A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5D547" w14:textId="77777777" w:rsidR="00924A68" w:rsidRDefault="00924A68"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44FC6" w14:textId="77777777" w:rsidR="00924A68" w:rsidRDefault="00924A68" w:rsidP="006E08B3">
    <w:r>
      <w:t>Therapeutic Goods Administration</w:t>
    </w:r>
  </w:p>
  <w:p w14:paraId="6D750F55" w14:textId="77777777" w:rsidR="00924A68" w:rsidRDefault="00924A68"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3BC7FF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D4622A5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2992490A"/>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7128E9"/>
    <w:multiLevelType w:val="hybridMultilevel"/>
    <w:tmpl w:val="4850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2E1248D"/>
    <w:multiLevelType w:val="hybridMultilevel"/>
    <w:tmpl w:val="8CE6B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3044291"/>
    <w:multiLevelType w:val="hybridMultilevel"/>
    <w:tmpl w:val="4364AE80"/>
    <w:lvl w:ilvl="0" w:tplc="0C09001B">
      <w:start w:val="1"/>
      <w:numFmt w:val="lowerRoman"/>
      <w:lvlText w:val="%1."/>
      <w:lvlJc w:val="righ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75A16C6"/>
    <w:multiLevelType w:val="hybridMultilevel"/>
    <w:tmpl w:val="BBC2AF8E"/>
    <w:lvl w:ilvl="0" w:tplc="04090001">
      <w:start w:val="1"/>
      <w:numFmt w:val="bullet"/>
      <w:lvlText w:val=""/>
      <w:lvlJc w:val="left"/>
      <w:pPr>
        <w:ind w:left="720" w:hanging="360"/>
      </w:pPr>
      <w:rPr>
        <w:rFonts w:ascii="Symbol" w:hAnsi="Symbol" w:hint="default"/>
      </w:rPr>
    </w:lvl>
    <w:lvl w:ilvl="1" w:tplc="8278DA66">
      <w:start w:val="2"/>
      <w:numFmt w:val="bullet"/>
      <w:lvlText w:val="•"/>
      <w:lvlJc w:val="left"/>
      <w:pPr>
        <w:ind w:left="1800" w:hanging="720"/>
      </w:pPr>
      <w:rPr>
        <w:rFonts w:ascii="Cambria" w:eastAsia="Cambria"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6"/>
  </w:num>
  <w:num w:numId="29">
    <w:abstractNumId w:val="6"/>
  </w:num>
  <w:num w:numId="30">
    <w:abstractNumId w:val="8"/>
  </w:num>
  <w:num w:numId="31">
    <w:abstractNumId w:val="4"/>
  </w:num>
  <w:num w:numId="32">
    <w:abstractNumId w:val="12"/>
  </w:num>
  <w:num w:numId="33">
    <w:abstractNumId w:val="9"/>
  </w:num>
  <w:num w:numId="34">
    <w:abstractNumId w:val="15"/>
  </w:num>
  <w:num w:numId="35">
    <w:abstractNumId w:val="14"/>
  </w:num>
  <w:num w:numId="36">
    <w:abstractNumId w:val="10"/>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001"/>
    <w:rsid w:val="00002031"/>
    <w:rsid w:val="00004734"/>
    <w:rsid w:val="00006B22"/>
    <w:rsid w:val="00006FAB"/>
    <w:rsid w:val="0001276A"/>
    <w:rsid w:val="000246AE"/>
    <w:rsid w:val="00025C67"/>
    <w:rsid w:val="00026810"/>
    <w:rsid w:val="00044772"/>
    <w:rsid w:val="0004541C"/>
    <w:rsid w:val="0005559E"/>
    <w:rsid w:val="000604D6"/>
    <w:rsid w:val="000734D8"/>
    <w:rsid w:val="00077775"/>
    <w:rsid w:val="000900C5"/>
    <w:rsid w:val="00090471"/>
    <w:rsid w:val="00096AA7"/>
    <w:rsid w:val="000A3AED"/>
    <w:rsid w:val="000B3532"/>
    <w:rsid w:val="000B3A75"/>
    <w:rsid w:val="000C00C2"/>
    <w:rsid w:val="000C690F"/>
    <w:rsid w:val="000D1295"/>
    <w:rsid w:val="000D1C0D"/>
    <w:rsid w:val="000D391B"/>
    <w:rsid w:val="000D3D6D"/>
    <w:rsid w:val="000D4FC7"/>
    <w:rsid w:val="000E6196"/>
    <w:rsid w:val="000F4869"/>
    <w:rsid w:val="000F5B42"/>
    <w:rsid w:val="000F6E6F"/>
    <w:rsid w:val="0010232F"/>
    <w:rsid w:val="0010601F"/>
    <w:rsid w:val="0010788A"/>
    <w:rsid w:val="00107A31"/>
    <w:rsid w:val="00110EA5"/>
    <w:rsid w:val="00112F56"/>
    <w:rsid w:val="00121618"/>
    <w:rsid w:val="00122C2E"/>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67DEB"/>
    <w:rsid w:val="0017519B"/>
    <w:rsid w:val="0017693F"/>
    <w:rsid w:val="0018110E"/>
    <w:rsid w:val="00181684"/>
    <w:rsid w:val="001843C6"/>
    <w:rsid w:val="001850E0"/>
    <w:rsid w:val="001A03AF"/>
    <w:rsid w:val="001A2158"/>
    <w:rsid w:val="001A525F"/>
    <w:rsid w:val="001A6646"/>
    <w:rsid w:val="001B09F9"/>
    <w:rsid w:val="001B5C90"/>
    <w:rsid w:val="001B6448"/>
    <w:rsid w:val="001C32CD"/>
    <w:rsid w:val="001D2984"/>
    <w:rsid w:val="001E07CF"/>
    <w:rsid w:val="001E1DF0"/>
    <w:rsid w:val="001E59F1"/>
    <w:rsid w:val="001F2CEE"/>
    <w:rsid w:val="001F49EB"/>
    <w:rsid w:val="001F6CBA"/>
    <w:rsid w:val="00201D4E"/>
    <w:rsid w:val="00207272"/>
    <w:rsid w:val="002076C9"/>
    <w:rsid w:val="00213DF1"/>
    <w:rsid w:val="00220B8A"/>
    <w:rsid w:val="002257F3"/>
    <w:rsid w:val="00233456"/>
    <w:rsid w:val="002339A5"/>
    <w:rsid w:val="00250271"/>
    <w:rsid w:val="00254E4C"/>
    <w:rsid w:val="00257848"/>
    <w:rsid w:val="002578E8"/>
    <w:rsid w:val="0027084A"/>
    <w:rsid w:val="00280265"/>
    <w:rsid w:val="00286434"/>
    <w:rsid w:val="00286C59"/>
    <w:rsid w:val="00291957"/>
    <w:rsid w:val="002942D1"/>
    <w:rsid w:val="0029501A"/>
    <w:rsid w:val="002A3721"/>
    <w:rsid w:val="002B0963"/>
    <w:rsid w:val="002B12DB"/>
    <w:rsid w:val="002B1638"/>
    <w:rsid w:val="002B3624"/>
    <w:rsid w:val="002D0952"/>
    <w:rsid w:val="002E1448"/>
    <w:rsid w:val="002E40B3"/>
    <w:rsid w:val="002E4C9A"/>
    <w:rsid w:val="002F11F8"/>
    <w:rsid w:val="002F3F56"/>
    <w:rsid w:val="002F44B5"/>
    <w:rsid w:val="002F5122"/>
    <w:rsid w:val="00311AC0"/>
    <w:rsid w:val="003176FC"/>
    <w:rsid w:val="00324E45"/>
    <w:rsid w:val="0032583B"/>
    <w:rsid w:val="00327883"/>
    <w:rsid w:val="00335504"/>
    <w:rsid w:val="00340C18"/>
    <w:rsid w:val="003442FD"/>
    <w:rsid w:val="00347824"/>
    <w:rsid w:val="00350567"/>
    <w:rsid w:val="00351E57"/>
    <w:rsid w:val="003521E8"/>
    <w:rsid w:val="00370CE3"/>
    <w:rsid w:val="003728F3"/>
    <w:rsid w:val="003735BC"/>
    <w:rsid w:val="0037496E"/>
    <w:rsid w:val="00383221"/>
    <w:rsid w:val="00386150"/>
    <w:rsid w:val="003874CE"/>
    <w:rsid w:val="00390900"/>
    <w:rsid w:val="003A7F6C"/>
    <w:rsid w:val="003B4D60"/>
    <w:rsid w:val="003B7E39"/>
    <w:rsid w:val="003C58DC"/>
    <w:rsid w:val="003D1E62"/>
    <w:rsid w:val="003E0B99"/>
    <w:rsid w:val="003E2486"/>
    <w:rsid w:val="003E3208"/>
    <w:rsid w:val="003F0B04"/>
    <w:rsid w:val="0040134E"/>
    <w:rsid w:val="00402FCC"/>
    <w:rsid w:val="004334C7"/>
    <w:rsid w:val="00440A2D"/>
    <w:rsid w:val="00441C3F"/>
    <w:rsid w:val="00444D1A"/>
    <w:rsid w:val="0045186A"/>
    <w:rsid w:val="004564A7"/>
    <w:rsid w:val="00456765"/>
    <w:rsid w:val="00460036"/>
    <w:rsid w:val="004617BF"/>
    <w:rsid w:val="00463658"/>
    <w:rsid w:val="004637A0"/>
    <w:rsid w:val="00465CE9"/>
    <w:rsid w:val="004674F0"/>
    <w:rsid w:val="004722CC"/>
    <w:rsid w:val="00490483"/>
    <w:rsid w:val="004936E4"/>
    <w:rsid w:val="00494E60"/>
    <w:rsid w:val="00497487"/>
    <w:rsid w:val="004A2771"/>
    <w:rsid w:val="004A6189"/>
    <w:rsid w:val="004A7390"/>
    <w:rsid w:val="004B7B76"/>
    <w:rsid w:val="004C239D"/>
    <w:rsid w:val="004C2DCA"/>
    <w:rsid w:val="004C4FBE"/>
    <w:rsid w:val="004C61D2"/>
    <w:rsid w:val="004D6C0E"/>
    <w:rsid w:val="004F0C4A"/>
    <w:rsid w:val="004F0F38"/>
    <w:rsid w:val="004F47D6"/>
    <w:rsid w:val="00500337"/>
    <w:rsid w:val="00501921"/>
    <w:rsid w:val="00530354"/>
    <w:rsid w:val="00532DFD"/>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68B6"/>
    <w:rsid w:val="005A7CFA"/>
    <w:rsid w:val="005C5570"/>
    <w:rsid w:val="005C5B66"/>
    <w:rsid w:val="005C79A4"/>
    <w:rsid w:val="005D5442"/>
    <w:rsid w:val="00603F32"/>
    <w:rsid w:val="00605AD4"/>
    <w:rsid w:val="006136D7"/>
    <w:rsid w:val="00621746"/>
    <w:rsid w:val="00625A6E"/>
    <w:rsid w:val="00626892"/>
    <w:rsid w:val="00632398"/>
    <w:rsid w:val="00640FC3"/>
    <w:rsid w:val="00642020"/>
    <w:rsid w:val="006430EE"/>
    <w:rsid w:val="0065337B"/>
    <w:rsid w:val="0065419D"/>
    <w:rsid w:val="006603BC"/>
    <w:rsid w:val="006604D8"/>
    <w:rsid w:val="00664A5B"/>
    <w:rsid w:val="0066735C"/>
    <w:rsid w:val="006763D2"/>
    <w:rsid w:val="00680C08"/>
    <w:rsid w:val="006842C2"/>
    <w:rsid w:val="006916A0"/>
    <w:rsid w:val="006931B1"/>
    <w:rsid w:val="006A15C0"/>
    <w:rsid w:val="006A2159"/>
    <w:rsid w:val="006A58A8"/>
    <w:rsid w:val="006C3E2A"/>
    <w:rsid w:val="006C642F"/>
    <w:rsid w:val="006D03E5"/>
    <w:rsid w:val="006D5D3E"/>
    <w:rsid w:val="006E08B3"/>
    <w:rsid w:val="006F17AC"/>
    <w:rsid w:val="006F25B8"/>
    <w:rsid w:val="006F572E"/>
    <w:rsid w:val="007046D6"/>
    <w:rsid w:val="00705DB0"/>
    <w:rsid w:val="00722B57"/>
    <w:rsid w:val="00730F8A"/>
    <w:rsid w:val="00735A8C"/>
    <w:rsid w:val="0074253D"/>
    <w:rsid w:val="00744121"/>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983"/>
    <w:rsid w:val="00793A59"/>
    <w:rsid w:val="007A46F5"/>
    <w:rsid w:val="007A6505"/>
    <w:rsid w:val="007B6132"/>
    <w:rsid w:val="007B6E9F"/>
    <w:rsid w:val="007C1216"/>
    <w:rsid w:val="007C1AF7"/>
    <w:rsid w:val="007C6B9B"/>
    <w:rsid w:val="007D53B6"/>
    <w:rsid w:val="00805D27"/>
    <w:rsid w:val="00806DCB"/>
    <w:rsid w:val="00821776"/>
    <w:rsid w:val="008321F5"/>
    <w:rsid w:val="00832369"/>
    <w:rsid w:val="00834660"/>
    <w:rsid w:val="00836BC2"/>
    <w:rsid w:val="008419D3"/>
    <w:rsid w:val="00847118"/>
    <w:rsid w:val="0085156D"/>
    <w:rsid w:val="00852B28"/>
    <w:rsid w:val="0085641B"/>
    <w:rsid w:val="00857136"/>
    <w:rsid w:val="00875A6B"/>
    <w:rsid w:val="00885B11"/>
    <w:rsid w:val="00886182"/>
    <w:rsid w:val="00886D15"/>
    <w:rsid w:val="00887DD8"/>
    <w:rsid w:val="0089098C"/>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6943"/>
    <w:rsid w:val="00902A21"/>
    <w:rsid w:val="009046B8"/>
    <w:rsid w:val="0091523F"/>
    <w:rsid w:val="00920330"/>
    <w:rsid w:val="009219D7"/>
    <w:rsid w:val="00922D53"/>
    <w:rsid w:val="00923B70"/>
    <w:rsid w:val="00924482"/>
    <w:rsid w:val="00924A68"/>
    <w:rsid w:val="009258E0"/>
    <w:rsid w:val="00930237"/>
    <w:rsid w:val="00937C17"/>
    <w:rsid w:val="00940A89"/>
    <w:rsid w:val="00941F77"/>
    <w:rsid w:val="00946EA5"/>
    <w:rsid w:val="00960520"/>
    <w:rsid w:val="00963C08"/>
    <w:rsid w:val="00974A55"/>
    <w:rsid w:val="009752A5"/>
    <w:rsid w:val="0098585A"/>
    <w:rsid w:val="009A4CED"/>
    <w:rsid w:val="009A690D"/>
    <w:rsid w:val="009B1D12"/>
    <w:rsid w:val="009B416B"/>
    <w:rsid w:val="009C4BD5"/>
    <w:rsid w:val="009D7B77"/>
    <w:rsid w:val="009E0BB0"/>
    <w:rsid w:val="009E3FBB"/>
    <w:rsid w:val="009F7353"/>
    <w:rsid w:val="00A04F85"/>
    <w:rsid w:val="00A05FA4"/>
    <w:rsid w:val="00A102E4"/>
    <w:rsid w:val="00A1219C"/>
    <w:rsid w:val="00A12C42"/>
    <w:rsid w:val="00A14DF7"/>
    <w:rsid w:val="00A22D57"/>
    <w:rsid w:val="00A3246D"/>
    <w:rsid w:val="00A36FA7"/>
    <w:rsid w:val="00A44DDB"/>
    <w:rsid w:val="00A475B7"/>
    <w:rsid w:val="00A47AF7"/>
    <w:rsid w:val="00A47C3E"/>
    <w:rsid w:val="00A50226"/>
    <w:rsid w:val="00A60BAD"/>
    <w:rsid w:val="00A77F87"/>
    <w:rsid w:val="00A80B5B"/>
    <w:rsid w:val="00A84A13"/>
    <w:rsid w:val="00A84E36"/>
    <w:rsid w:val="00A964D1"/>
    <w:rsid w:val="00AA0ED0"/>
    <w:rsid w:val="00AB018C"/>
    <w:rsid w:val="00AC2B40"/>
    <w:rsid w:val="00AC2BB2"/>
    <w:rsid w:val="00AC2C3C"/>
    <w:rsid w:val="00AC512D"/>
    <w:rsid w:val="00AD0083"/>
    <w:rsid w:val="00AD3935"/>
    <w:rsid w:val="00AE65EB"/>
    <w:rsid w:val="00AE67A7"/>
    <w:rsid w:val="00AF1D94"/>
    <w:rsid w:val="00AF60C5"/>
    <w:rsid w:val="00B009C6"/>
    <w:rsid w:val="00B01548"/>
    <w:rsid w:val="00B130C5"/>
    <w:rsid w:val="00B13EBD"/>
    <w:rsid w:val="00B21D29"/>
    <w:rsid w:val="00B25034"/>
    <w:rsid w:val="00B32BE0"/>
    <w:rsid w:val="00B33588"/>
    <w:rsid w:val="00B33863"/>
    <w:rsid w:val="00B37D17"/>
    <w:rsid w:val="00B4175E"/>
    <w:rsid w:val="00B41C85"/>
    <w:rsid w:val="00B452CE"/>
    <w:rsid w:val="00B54C25"/>
    <w:rsid w:val="00B76B91"/>
    <w:rsid w:val="00B77EB1"/>
    <w:rsid w:val="00B811C6"/>
    <w:rsid w:val="00B855B0"/>
    <w:rsid w:val="00B92E08"/>
    <w:rsid w:val="00BC622A"/>
    <w:rsid w:val="00BE0A78"/>
    <w:rsid w:val="00BE79F0"/>
    <w:rsid w:val="00BF046D"/>
    <w:rsid w:val="00BF1190"/>
    <w:rsid w:val="00BF3774"/>
    <w:rsid w:val="00BF5D04"/>
    <w:rsid w:val="00C009AA"/>
    <w:rsid w:val="00C01F54"/>
    <w:rsid w:val="00C1164D"/>
    <w:rsid w:val="00C14C23"/>
    <w:rsid w:val="00C16861"/>
    <w:rsid w:val="00C2270A"/>
    <w:rsid w:val="00C346AB"/>
    <w:rsid w:val="00C404A6"/>
    <w:rsid w:val="00C40A36"/>
    <w:rsid w:val="00C44419"/>
    <w:rsid w:val="00C45E7B"/>
    <w:rsid w:val="00C471B1"/>
    <w:rsid w:val="00C525A2"/>
    <w:rsid w:val="00C52E24"/>
    <w:rsid w:val="00C6316B"/>
    <w:rsid w:val="00C634A9"/>
    <w:rsid w:val="00C64586"/>
    <w:rsid w:val="00C70A36"/>
    <w:rsid w:val="00C70D53"/>
    <w:rsid w:val="00C73D0B"/>
    <w:rsid w:val="00C74F5C"/>
    <w:rsid w:val="00C772FF"/>
    <w:rsid w:val="00C80137"/>
    <w:rsid w:val="00C801AF"/>
    <w:rsid w:val="00C80256"/>
    <w:rsid w:val="00C81051"/>
    <w:rsid w:val="00C85010"/>
    <w:rsid w:val="00C904BD"/>
    <w:rsid w:val="00C94CD4"/>
    <w:rsid w:val="00C96208"/>
    <w:rsid w:val="00C9747E"/>
    <w:rsid w:val="00CA1F46"/>
    <w:rsid w:val="00CB6BC0"/>
    <w:rsid w:val="00CC1B7C"/>
    <w:rsid w:val="00CC727F"/>
    <w:rsid w:val="00CF15C3"/>
    <w:rsid w:val="00CF2B6F"/>
    <w:rsid w:val="00CF2F3E"/>
    <w:rsid w:val="00CF58B6"/>
    <w:rsid w:val="00CF5DAD"/>
    <w:rsid w:val="00D0062D"/>
    <w:rsid w:val="00D017ED"/>
    <w:rsid w:val="00D040D3"/>
    <w:rsid w:val="00D04C65"/>
    <w:rsid w:val="00D153D8"/>
    <w:rsid w:val="00D201D2"/>
    <w:rsid w:val="00D224FE"/>
    <w:rsid w:val="00D23139"/>
    <w:rsid w:val="00D2636B"/>
    <w:rsid w:val="00D425BB"/>
    <w:rsid w:val="00D453FA"/>
    <w:rsid w:val="00D46146"/>
    <w:rsid w:val="00D6493E"/>
    <w:rsid w:val="00D7195D"/>
    <w:rsid w:val="00D7301E"/>
    <w:rsid w:val="00D74C4A"/>
    <w:rsid w:val="00D83AE1"/>
    <w:rsid w:val="00D855D4"/>
    <w:rsid w:val="00D902C9"/>
    <w:rsid w:val="00D93466"/>
    <w:rsid w:val="00DA1124"/>
    <w:rsid w:val="00DA5F28"/>
    <w:rsid w:val="00DA64CB"/>
    <w:rsid w:val="00DB06B8"/>
    <w:rsid w:val="00DB1B1A"/>
    <w:rsid w:val="00DB6124"/>
    <w:rsid w:val="00DB750B"/>
    <w:rsid w:val="00DB75B7"/>
    <w:rsid w:val="00DC0A2F"/>
    <w:rsid w:val="00DC1948"/>
    <w:rsid w:val="00DC6E02"/>
    <w:rsid w:val="00DD28CD"/>
    <w:rsid w:val="00DE02AE"/>
    <w:rsid w:val="00DE39D1"/>
    <w:rsid w:val="00DF1D7F"/>
    <w:rsid w:val="00DF4BE4"/>
    <w:rsid w:val="00E02382"/>
    <w:rsid w:val="00E02FB4"/>
    <w:rsid w:val="00E13FC7"/>
    <w:rsid w:val="00E20571"/>
    <w:rsid w:val="00E235F7"/>
    <w:rsid w:val="00E23659"/>
    <w:rsid w:val="00E239D4"/>
    <w:rsid w:val="00E24001"/>
    <w:rsid w:val="00E26130"/>
    <w:rsid w:val="00E33D42"/>
    <w:rsid w:val="00E40B22"/>
    <w:rsid w:val="00E44ED1"/>
    <w:rsid w:val="00E45619"/>
    <w:rsid w:val="00E4588F"/>
    <w:rsid w:val="00E46DA3"/>
    <w:rsid w:val="00E51BB1"/>
    <w:rsid w:val="00E55CB0"/>
    <w:rsid w:val="00E624A5"/>
    <w:rsid w:val="00E64BA4"/>
    <w:rsid w:val="00E70552"/>
    <w:rsid w:val="00E7344E"/>
    <w:rsid w:val="00E82665"/>
    <w:rsid w:val="00EB0798"/>
    <w:rsid w:val="00EB40AD"/>
    <w:rsid w:val="00EB586E"/>
    <w:rsid w:val="00EB5FC8"/>
    <w:rsid w:val="00EC463D"/>
    <w:rsid w:val="00EC7A85"/>
    <w:rsid w:val="00ED2922"/>
    <w:rsid w:val="00ED3CAD"/>
    <w:rsid w:val="00ED5A41"/>
    <w:rsid w:val="00EE1DE8"/>
    <w:rsid w:val="00EE27C2"/>
    <w:rsid w:val="00EE41E0"/>
    <w:rsid w:val="00EF4BAD"/>
    <w:rsid w:val="00EF59DC"/>
    <w:rsid w:val="00F026AD"/>
    <w:rsid w:val="00F033EC"/>
    <w:rsid w:val="00F04F68"/>
    <w:rsid w:val="00F12670"/>
    <w:rsid w:val="00F14B27"/>
    <w:rsid w:val="00F164A5"/>
    <w:rsid w:val="00F3148D"/>
    <w:rsid w:val="00F325C5"/>
    <w:rsid w:val="00F32FE0"/>
    <w:rsid w:val="00F35298"/>
    <w:rsid w:val="00F40E06"/>
    <w:rsid w:val="00F47333"/>
    <w:rsid w:val="00F47E37"/>
    <w:rsid w:val="00F53C07"/>
    <w:rsid w:val="00F54B65"/>
    <w:rsid w:val="00F63DBF"/>
    <w:rsid w:val="00F640B6"/>
    <w:rsid w:val="00F66DF2"/>
    <w:rsid w:val="00F80E40"/>
    <w:rsid w:val="00F848D9"/>
    <w:rsid w:val="00FA5069"/>
    <w:rsid w:val="00FA5B82"/>
    <w:rsid w:val="00FA639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4A83D5B"/>
  <w15:docId w15:val="{B1F7A589-E3C6-443A-90F4-AD9D58EA4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121618"/>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167DEB"/>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167DEB"/>
    <w:pPr>
      <w:numPr>
        <w:numId w:val="36"/>
      </w:numPr>
      <w:tabs>
        <w:tab w:val="clear" w:pos="369"/>
        <w:tab w:val="left" w:pos="397"/>
        <w:tab w:val="num" w:pos="511"/>
      </w:tabs>
      <w:spacing w:before="0" w:after="180" w:line="252" w:lineRule="auto"/>
      <w:ind w:left="0" w:firstLine="0"/>
    </w:pPr>
    <w:rPr>
      <w:rFonts w:eastAsia="Times New Roman"/>
      <w:snapToGrid w:val="0"/>
      <w:kern w:val="16"/>
      <w:szCs w:val="24"/>
    </w:rPr>
  </w:style>
  <w:style w:type="paragraph" w:customStyle="1" w:styleId="Linebullet">
    <w:name w:val="Line bullet"/>
    <w:basedOn w:val="Normal"/>
    <w:rsid w:val="00167DEB"/>
    <w:pPr>
      <w:spacing w:before="0" w:after="180" w:line="252" w:lineRule="auto"/>
      <w:ind w:left="669" w:right="284" w:hanging="272"/>
    </w:pPr>
    <w:rPr>
      <w:rFonts w:eastAsia="Times New Roman"/>
      <w:snapToGrid w:val="0"/>
      <w:kern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6437">
      <w:bodyDiv w:val="1"/>
      <w:marLeft w:val="0"/>
      <w:marRight w:val="0"/>
      <w:marTop w:val="0"/>
      <w:marBottom w:val="0"/>
      <w:divBdr>
        <w:top w:val="none" w:sz="0" w:space="0" w:color="auto"/>
        <w:left w:val="none" w:sz="0" w:space="0" w:color="auto"/>
        <w:bottom w:val="none" w:sz="0" w:space="0" w:color="auto"/>
        <w:right w:val="none" w:sz="0" w:space="0" w:color="auto"/>
      </w:divBdr>
    </w:div>
    <w:div w:id="50927796">
      <w:bodyDiv w:val="1"/>
      <w:marLeft w:val="0"/>
      <w:marRight w:val="0"/>
      <w:marTop w:val="0"/>
      <w:marBottom w:val="0"/>
      <w:divBdr>
        <w:top w:val="none" w:sz="0" w:space="0" w:color="auto"/>
        <w:left w:val="none" w:sz="0" w:space="0" w:color="auto"/>
        <w:bottom w:val="none" w:sz="0" w:space="0" w:color="auto"/>
        <w:right w:val="none" w:sz="0" w:space="0" w:color="auto"/>
      </w:divBdr>
    </w:div>
    <w:div w:id="529494549">
      <w:bodyDiv w:val="1"/>
      <w:marLeft w:val="0"/>
      <w:marRight w:val="0"/>
      <w:marTop w:val="0"/>
      <w:marBottom w:val="0"/>
      <w:divBdr>
        <w:top w:val="none" w:sz="0" w:space="0" w:color="auto"/>
        <w:left w:val="none" w:sz="0" w:space="0" w:color="auto"/>
        <w:bottom w:val="none" w:sz="0" w:space="0" w:color="auto"/>
        <w:right w:val="none" w:sz="0" w:space="0" w:color="auto"/>
      </w:divBdr>
      <w:divsChild>
        <w:div w:id="538011289">
          <w:marLeft w:val="0"/>
          <w:marRight w:val="0"/>
          <w:marTop w:val="0"/>
          <w:marBottom w:val="0"/>
          <w:divBdr>
            <w:top w:val="none" w:sz="0" w:space="0" w:color="auto"/>
            <w:left w:val="none" w:sz="0" w:space="0" w:color="auto"/>
            <w:bottom w:val="none" w:sz="0" w:space="0" w:color="auto"/>
            <w:right w:val="none" w:sz="0" w:space="0" w:color="auto"/>
          </w:divBdr>
          <w:divsChild>
            <w:div w:id="1262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30233">
      <w:bodyDiv w:val="1"/>
      <w:marLeft w:val="0"/>
      <w:marRight w:val="0"/>
      <w:marTop w:val="0"/>
      <w:marBottom w:val="0"/>
      <w:divBdr>
        <w:top w:val="none" w:sz="0" w:space="0" w:color="auto"/>
        <w:left w:val="none" w:sz="0" w:space="0" w:color="auto"/>
        <w:bottom w:val="none" w:sz="0" w:space="0" w:color="auto"/>
        <w:right w:val="none" w:sz="0" w:space="0" w:color="auto"/>
      </w:divBdr>
    </w:div>
    <w:div w:id="793645557">
      <w:bodyDiv w:val="1"/>
      <w:marLeft w:val="0"/>
      <w:marRight w:val="0"/>
      <w:marTop w:val="0"/>
      <w:marBottom w:val="0"/>
      <w:divBdr>
        <w:top w:val="none" w:sz="0" w:space="0" w:color="auto"/>
        <w:left w:val="none" w:sz="0" w:space="0" w:color="auto"/>
        <w:bottom w:val="none" w:sz="0" w:space="0" w:color="auto"/>
        <w:right w:val="none" w:sz="0" w:space="0" w:color="auto"/>
      </w:divBdr>
    </w:div>
    <w:div w:id="964893895">
      <w:bodyDiv w:val="1"/>
      <w:marLeft w:val="0"/>
      <w:marRight w:val="0"/>
      <w:marTop w:val="0"/>
      <w:marBottom w:val="0"/>
      <w:divBdr>
        <w:top w:val="none" w:sz="0" w:space="0" w:color="auto"/>
        <w:left w:val="none" w:sz="0" w:space="0" w:color="auto"/>
        <w:bottom w:val="none" w:sz="0" w:space="0" w:color="auto"/>
        <w:right w:val="none" w:sz="0" w:space="0" w:color="auto"/>
      </w:divBdr>
    </w:div>
    <w:div w:id="152240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hyperlink" Target="https://www.tga.gov.au/product-information-p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yperlink" Target="https://www.tga.gov.au" TargetMode="Externa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auspar/auspar-follitropin-alfa-rch-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40708\t0QSGW06.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DC222-4D33-416F-A195-6E58C6F63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t0QSGW06.DOTX</Template>
  <TotalTime>8</TotalTime>
  <Pages>25</Pages>
  <Words>7467</Words>
  <Characters>43384</Characters>
  <Application>Microsoft Office Word</Application>
  <DocSecurity>0</DocSecurity>
  <Lines>1141</Lines>
  <Paragraphs>696</Paragraphs>
  <ScaleCrop>false</ScaleCrop>
  <HeadingPairs>
    <vt:vector size="2" baseType="variant">
      <vt:variant>
        <vt:lpstr>Title</vt:lpstr>
      </vt:variant>
      <vt:variant>
        <vt:i4>1</vt:i4>
      </vt:variant>
    </vt:vector>
  </HeadingPairs>
  <TitlesOfParts>
    <vt:vector size="1" baseType="lpstr">
      <vt:lpstr>Australian public assessment report for  Follitropin alfa</vt:lpstr>
    </vt:vector>
  </TitlesOfParts>
  <Company>Department of Health Therapeutic Goods Administration</Company>
  <LinksUpToDate>false</LinksUpToDate>
  <CharactersWithSpaces>50155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Follitropin alfa</dc:title>
  <dc:subject>prescription medicines</dc:subject>
  <dc:creator>Therapeutic Goods Administration</dc:creator>
  <cp:keywords/>
  <cp:lastPrinted>2019-08-14T04:30:00Z</cp:lastPrinted>
  <dcterms:created xsi:type="dcterms:W3CDTF">2021-05-19T00:45:00Z</dcterms:created>
  <dcterms:modified xsi:type="dcterms:W3CDTF">2021-05-19T00:53:00Z</dcterms:modified>
  <cp:category/>
</cp:coreProperties>
</file>