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653DF" w14:textId="49A031FC" w:rsidR="005B6B63" w:rsidRDefault="00204F49">
      <w:pPr>
        <w:spacing w:before="14" w:line="376" w:lineRule="exact"/>
        <w:ind w:right="360"/>
        <w:textAlignment w:val="baseline"/>
        <w:rPr>
          <w:rFonts w:ascii="Cambria" w:eastAsia="Cambria" w:hAnsi="Cambria"/>
          <w:b/>
          <w:color w:val="000000"/>
          <w:sz w:val="28"/>
        </w:rPr>
      </w:pPr>
      <w:bookmarkStart w:id="0" w:name="_GoBack"/>
      <w:bookmarkEnd w:id="0"/>
      <w:r>
        <w:rPr>
          <w:rFonts w:ascii="Cambria" w:eastAsia="Cambria" w:hAnsi="Cambria"/>
          <w:b/>
          <w:color w:val="000000"/>
          <w:sz w:val="28"/>
        </w:rPr>
        <w:t xml:space="preserve">AUSTRALIAN PRODUCT INFORMATION </w:t>
      </w:r>
      <w:r>
        <w:rPr>
          <w:rFonts w:ascii="Cambria" w:eastAsia="Cambria" w:hAnsi="Cambria"/>
          <w:color w:val="000000"/>
          <w:w w:val="55"/>
          <w:sz w:val="34"/>
        </w:rPr>
        <w:t xml:space="preserve">– </w:t>
      </w:r>
      <w:r>
        <w:rPr>
          <w:rFonts w:ascii="Cambria" w:eastAsia="Cambria" w:hAnsi="Cambria"/>
          <w:b/>
          <w:color w:val="000000"/>
          <w:sz w:val="28"/>
        </w:rPr>
        <w:t>OVALEAP</w:t>
      </w:r>
      <w:r w:rsidR="0068062D" w:rsidRPr="0068062D">
        <w:rPr>
          <w:rFonts w:ascii="Cambria" w:eastAsia="Cambria" w:hAnsi="Cambria"/>
          <w:b/>
          <w:color w:val="000000"/>
          <w:sz w:val="28"/>
          <w:vertAlign w:val="superscript"/>
        </w:rPr>
        <w:t>®</w:t>
      </w:r>
      <w:r w:rsidRPr="0068062D">
        <w:rPr>
          <w:rFonts w:ascii="Cambria" w:eastAsia="Cambria" w:hAnsi="Cambria"/>
          <w:b/>
          <w:color w:val="000000"/>
          <w:sz w:val="28"/>
          <w:vertAlign w:val="superscript"/>
        </w:rPr>
        <w:t xml:space="preserve"> </w:t>
      </w:r>
      <w:r>
        <w:rPr>
          <w:rFonts w:ascii="Cambria" w:eastAsia="Cambria" w:hAnsi="Cambria"/>
          <w:b/>
          <w:color w:val="000000"/>
          <w:sz w:val="28"/>
        </w:rPr>
        <w:t>(</w:t>
      </w:r>
      <w:proofErr w:type="spellStart"/>
      <w:r>
        <w:rPr>
          <w:rFonts w:ascii="Cambria" w:eastAsia="Cambria" w:hAnsi="Cambria"/>
          <w:b/>
          <w:color w:val="000000"/>
          <w:sz w:val="28"/>
        </w:rPr>
        <w:t>follitropin</w:t>
      </w:r>
      <w:proofErr w:type="spellEnd"/>
      <w:r>
        <w:rPr>
          <w:rFonts w:ascii="Cambria" w:eastAsia="Cambria" w:hAnsi="Cambria"/>
          <w:b/>
          <w:color w:val="000000"/>
          <w:sz w:val="28"/>
        </w:rPr>
        <w:t xml:space="preserve"> alfa (rch)) solution for injection</w:t>
      </w:r>
    </w:p>
    <w:p w14:paraId="032C6AF5" w14:textId="77777777" w:rsidR="005B6B63" w:rsidRPr="00142775" w:rsidRDefault="00204F49" w:rsidP="00142775">
      <w:pPr>
        <w:pStyle w:val="Heading1"/>
      </w:pPr>
      <w:r w:rsidRPr="00142775">
        <w:t>NAME OF THE MEDICINE</w:t>
      </w:r>
    </w:p>
    <w:p w14:paraId="5A0FDD6B" w14:textId="3A0EC337" w:rsidR="005B6B63" w:rsidRDefault="00204F49" w:rsidP="002310E4">
      <w:pPr>
        <w:spacing w:before="194" w:line="234" w:lineRule="exact"/>
        <w:textAlignment w:val="baseline"/>
        <w:rPr>
          <w:rFonts w:ascii="Cambria" w:eastAsia="Cambria" w:hAnsi="Cambria"/>
          <w:color w:val="000000"/>
        </w:rPr>
      </w:pPr>
      <w:proofErr w:type="spellStart"/>
      <w:r>
        <w:rPr>
          <w:rFonts w:ascii="Cambria" w:eastAsia="Cambria" w:hAnsi="Cambria"/>
          <w:color w:val="000000"/>
        </w:rPr>
        <w:t>Follitropin</w:t>
      </w:r>
      <w:proofErr w:type="spellEnd"/>
      <w:r>
        <w:rPr>
          <w:rFonts w:ascii="Cambria" w:eastAsia="Cambria" w:hAnsi="Cambria"/>
          <w:color w:val="000000"/>
        </w:rPr>
        <w:t xml:space="preserve"> alfa (rch)</w:t>
      </w:r>
    </w:p>
    <w:p w14:paraId="09E515F3" w14:textId="422E57C5" w:rsidR="001B00C2" w:rsidRPr="00247091" w:rsidRDefault="001B00C2" w:rsidP="001B00C2">
      <w:pPr>
        <w:spacing w:before="183" w:line="234" w:lineRule="exact"/>
        <w:textAlignment w:val="baseline"/>
        <w:rPr>
          <w:rFonts w:ascii="Cambria" w:eastAsia="Cambria" w:hAnsi="Cambria"/>
          <w:color w:val="000000"/>
          <w:spacing w:val="-1"/>
        </w:rPr>
      </w:pPr>
      <w:r>
        <w:rPr>
          <w:rFonts w:ascii="Cambria" w:eastAsia="Cambria" w:hAnsi="Cambria"/>
          <w:color w:val="000000"/>
          <w:spacing w:val="-1"/>
        </w:rPr>
        <w:t>OVALEAP is a biosimilar medicine</w:t>
      </w:r>
      <w:bookmarkStart w:id="1" w:name="_Hlk65852222"/>
      <w:r w:rsidR="006B7F1B">
        <w:rPr>
          <w:rFonts w:ascii="Cambria" w:eastAsia="Cambria" w:hAnsi="Cambria"/>
          <w:color w:val="000000"/>
          <w:spacing w:val="-1"/>
        </w:rPr>
        <w:t xml:space="preserve"> to GONAL-f</w:t>
      </w:r>
      <w:r w:rsidR="006B7F1B" w:rsidRPr="006B7F1B">
        <w:rPr>
          <w:rFonts w:ascii="Cambria" w:eastAsia="Cambria" w:hAnsi="Cambria"/>
          <w:color w:val="000000"/>
          <w:spacing w:val="-1"/>
          <w:vertAlign w:val="superscript"/>
        </w:rPr>
        <w:t>®</w:t>
      </w:r>
      <w:r w:rsidR="006B7F1B">
        <w:rPr>
          <w:rFonts w:ascii="Cambria" w:eastAsia="Cambria" w:hAnsi="Cambria"/>
          <w:color w:val="000000"/>
          <w:spacing w:val="-1"/>
        </w:rPr>
        <w:t xml:space="preserve"> solution for injection.  The evidence for comparability supports the use of OVALEAP for the listed indications.</w:t>
      </w:r>
      <w:bookmarkEnd w:id="1"/>
      <w:r>
        <w:rPr>
          <w:rFonts w:ascii="Cambria" w:eastAsia="Cambria" w:hAnsi="Cambria"/>
          <w:color w:val="000000"/>
          <w:spacing w:val="-1"/>
        </w:rPr>
        <w:t xml:space="preserve"> </w:t>
      </w:r>
    </w:p>
    <w:p w14:paraId="6363E214" w14:textId="77777777" w:rsidR="001B00C2" w:rsidRDefault="001B00C2" w:rsidP="001B00C2">
      <w:pPr>
        <w:spacing w:before="120" w:line="234" w:lineRule="exact"/>
        <w:textAlignment w:val="baseline"/>
        <w:rPr>
          <w:rFonts w:ascii="Cambria" w:eastAsia="Cambria" w:hAnsi="Cambria"/>
          <w:color w:val="000000"/>
        </w:rPr>
      </w:pPr>
    </w:p>
    <w:p w14:paraId="2DAE365B" w14:textId="77777777" w:rsidR="005B6B63" w:rsidRPr="002310E4" w:rsidRDefault="00204F49" w:rsidP="001B00C2">
      <w:pPr>
        <w:pStyle w:val="Heading1"/>
        <w:spacing w:before="0"/>
      </w:pPr>
      <w:r w:rsidRPr="002310E4">
        <w:t>QUALITATIVE AND QUANTITATIVE COMPOSITION</w:t>
      </w:r>
    </w:p>
    <w:p w14:paraId="0F67FB6E" w14:textId="51BA4E51" w:rsidR="005B6B63" w:rsidRDefault="00204F49" w:rsidP="002310E4">
      <w:pPr>
        <w:spacing w:before="132" w:line="297" w:lineRule="exact"/>
        <w:ind w:right="144"/>
        <w:textAlignment w:val="baseline"/>
        <w:rPr>
          <w:rFonts w:ascii="Cambria" w:eastAsia="Cambria" w:hAnsi="Cambria"/>
          <w:color w:val="000000"/>
        </w:rPr>
      </w:pPr>
      <w:r>
        <w:rPr>
          <w:rFonts w:ascii="Cambria" w:eastAsia="Cambria" w:hAnsi="Cambria"/>
          <w:color w:val="000000"/>
        </w:rPr>
        <w:t xml:space="preserve">OVALEAP is produced by a Chinese Hamster Ovary cell line transfected with the human FSH subunit genes (i.e. by recombinant DNA technology). Each cartridge contains the active ingredient </w:t>
      </w:r>
      <w:proofErr w:type="spellStart"/>
      <w:r>
        <w:rPr>
          <w:rFonts w:ascii="Cambria" w:eastAsia="Cambria" w:hAnsi="Cambria"/>
          <w:color w:val="000000"/>
        </w:rPr>
        <w:t>follitropin</w:t>
      </w:r>
      <w:proofErr w:type="spellEnd"/>
      <w:r>
        <w:rPr>
          <w:rFonts w:ascii="Cambria" w:eastAsia="Cambria" w:hAnsi="Cambria"/>
          <w:color w:val="000000"/>
        </w:rPr>
        <w:t xml:space="preserve"> alfa (rch) (recombinant human follicle stimulating hormone) 300 IU/0.5 mL, 450 IU/0.75 mL or 900 IU/1.5 </w:t>
      </w:r>
      <w:proofErr w:type="spellStart"/>
      <w:r>
        <w:rPr>
          <w:rFonts w:ascii="Cambria" w:eastAsia="Cambria" w:hAnsi="Cambria"/>
          <w:color w:val="000000"/>
        </w:rPr>
        <w:t>mL.</w:t>
      </w:r>
      <w:proofErr w:type="spellEnd"/>
    </w:p>
    <w:p w14:paraId="2325718C" w14:textId="77777777" w:rsidR="005B6B63" w:rsidRDefault="00204F49" w:rsidP="002310E4">
      <w:pPr>
        <w:spacing w:before="261" w:line="234" w:lineRule="exact"/>
        <w:textAlignment w:val="baseline"/>
        <w:rPr>
          <w:rFonts w:ascii="Cambria" w:eastAsia="Cambria" w:hAnsi="Cambria"/>
          <w:color w:val="000000"/>
        </w:rPr>
      </w:pPr>
      <w:r>
        <w:rPr>
          <w:rFonts w:ascii="Cambria" w:eastAsia="Cambria" w:hAnsi="Cambria"/>
          <w:color w:val="000000"/>
        </w:rPr>
        <w:t>For the full list of excipients, see Section 6.1 LIST OF EXCIPIENTS.</w:t>
      </w:r>
    </w:p>
    <w:p w14:paraId="6E81BF61" w14:textId="77777777" w:rsidR="005B6B63" w:rsidRPr="002310E4" w:rsidRDefault="00204F49" w:rsidP="002310E4">
      <w:pPr>
        <w:pStyle w:val="Heading1"/>
      </w:pPr>
      <w:r w:rsidRPr="002310E4">
        <w:t>PHARMACEUTICAL FORM</w:t>
      </w:r>
    </w:p>
    <w:p w14:paraId="0297DCEF" w14:textId="6735C60B" w:rsidR="005B6B63" w:rsidRPr="00B55452" w:rsidRDefault="00204F49" w:rsidP="002310E4">
      <w:pPr>
        <w:spacing w:before="193" w:line="239" w:lineRule="exact"/>
        <w:textAlignment w:val="baseline"/>
        <w:rPr>
          <w:rFonts w:ascii="Cambria" w:eastAsia="Cambria" w:hAnsi="Cambria"/>
          <w:color w:val="000000"/>
        </w:rPr>
      </w:pPr>
      <w:r>
        <w:rPr>
          <w:rFonts w:ascii="Cambria" w:eastAsia="Cambria" w:hAnsi="Cambria"/>
          <w:color w:val="000000"/>
        </w:rPr>
        <w:t xml:space="preserve">Solution for injection </w:t>
      </w:r>
      <w:r w:rsidR="003044A2">
        <w:rPr>
          <w:rFonts w:ascii="Cambria" w:eastAsia="Cambria" w:hAnsi="Cambria"/>
          <w:color w:val="000000"/>
        </w:rPr>
        <w:t xml:space="preserve">available in packs containing 1 glass cartridge and </w:t>
      </w:r>
      <w:r w:rsidR="00202AE7">
        <w:rPr>
          <w:rFonts w:ascii="Cambria" w:eastAsia="Cambria" w:hAnsi="Cambria"/>
          <w:color w:val="000000"/>
        </w:rPr>
        <w:t>10 or 20</w:t>
      </w:r>
      <w:r w:rsidR="003044A2">
        <w:rPr>
          <w:rFonts w:ascii="Cambria" w:eastAsia="Cambria" w:hAnsi="Cambria"/>
          <w:color w:val="000000"/>
        </w:rPr>
        <w:t xml:space="preserve"> injection needles</w:t>
      </w:r>
      <w:r w:rsidR="00EA145E">
        <w:rPr>
          <w:rFonts w:ascii="Cambria" w:eastAsia="Cambria" w:hAnsi="Cambria"/>
          <w:color w:val="000000"/>
        </w:rPr>
        <w:t xml:space="preserve">. </w:t>
      </w:r>
      <w:r w:rsidR="0079343C" w:rsidRPr="00B55452">
        <w:rPr>
          <w:rFonts w:ascii="Cambria" w:eastAsia="Cambria" w:hAnsi="Cambria"/>
          <w:color w:val="000000"/>
        </w:rPr>
        <w:t xml:space="preserve"> </w:t>
      </w:r>
      <w:r w:rsidR="00EA145E" w:rsidRPr="00B55452">
        <w:rPr>
          <w:rFonts w:ascii="Cambria" w:hAnsi="Cambria"/>
        </w:rPr>
        <w:t xml:space="preserve">The </w:t>
      </w:r>
      <w:proofErr w:type="spellStart"/>
      <w:r w:rsidR="00EA145E" w:rsidRPr="00B55452">
        <w:rPr>
          <w:rFonts w:ascii="Cambria" w:hAnsi="Cambria"/>
        </w:rPr>
        <w:t>Ovaleap</w:t>
      </w:r>
      <w:proofErr w:type="spellEnd"/>
      <w:r w:rsidR="00EA145E" w:rsidRPr="00B55452">
        <w:rPr>
          <w:rFonts w:ascii="Cambria" w:hAnsi="Cambria"/>
        </w:rPr>
        <w:t xml:space="preserve"> cartridge is designed for use in conjunction with the </w:t>
      </w:r>
      <w:proofErr w:type="spellStart"/>
      <w:r w:rsidR="00EA145E" w:rsidRPr="00B55452">
        <w:rPr>
          <w:rFonts w:ascii="Cambria" w:hAnsi="Cambria"/>
        </w:rPr>
        <w:t>Ovaleap</w:t>
      </w:r>
      <w:proofErr w:type="spellEnd"/>
      <w:r w:rsidR="00EA145E" w:rsidRPr="00B55452">
        <w:rPr>
          <w:rFonts w:ascii="Cambria" w:hAnsi="Cambria"/>
        </w:rPr>
        <w:t xml:space="preserve"> Pen only, which is separately available</w:t>
      </w:r>
      <w:r w:rsidR="008C2637" w:rsidRPr="00B55452">
        <w:rPr>
          <w:rFonts w:ascii="Cambria" w:hAnsi="Cambria"/>
        </w:rPr>
        <w:t>.</w:t>
      </w:r>
    </w:p>
    <w:p w14:paraId="1703777F" w14:textId="36D51FFE" w:rsidR="00142775" w:rsidRDefault="00204F49" w:rsidP="002310E4">
      <w:pPr>
        <w:pStyle w:val="Heading1"/>
      </w:pPr>
      <w:r w:rsidRPr="002310E4">
        <w:t>CLINICAL PARTICULARS</w:t>
      </w:r>
    </w:p>
    <w:p w14:paraId="7B0BFF3A" w14:textId="54F3022A" w:rsidR="005B6B63" w:rsidRPr="002310E4" w:rsidRDefault="00CF171D" w:rsidP="00CF171D">
      <w:pPr>
        <w:pStyle w:val="Heading2"/>
        <w:numPr>
          <w:ilvl w:val="0"/>
          <w:numId w:val="0"/>
        </w:numPr>
        <w:ind w:left="720" w:hanging="720"/>
      </w:pPr>
      <w:r>
        <w:t>4.1</w:t>
      </w:r>
      <w:r>
        <w:tab/>
      </w:r>
      <w:r w:rsidR="00204F49" w:rsidRPr="002310E4">
        <w:t>THERAPEUTIC INDICATIONS</w:t>
      </w:r>
    </w:p>
    <w:p w14:paraId="164B5ED7" w14:textId="3A77719A" w:rsidR="005B6B63" w:rsidRPr="001B00C2" w:rsidRDefault="001B00C2" w:rsidP="001B00C2">
      <w:pPr>
        <w:pStyle w:val="ListParagraph"/>
        <w:numPr>
          <w:ilvl w:val="0"/>
          <w:numId w:val="19"/>
        </w:numPr>
        <w:tabs>
          <w:tab w:val="left" w:pos="288"/>
        </w:tabs>
        <w:spacing w:before="124" w:line="298" w:lineRule="exact"/>
        <w:ind w:right="936"/>
        <w:textAlignment w:val="baseline"/>
        <w:rPr>
          <w:rFonts w:ascii="Cambria" w:eastAsia="Cambria" w:hAnsi="Cambria"/>
          <w:color w:val="000000"/>
        </w:rPr>
      </w:pPr>
      <w:r>
        <w:rPr>
          <w:rFonts w:ascii="Cambria" w:eastAsia="Cambria" w:hAnsi="Cambria"/>
          <w:color w:val="000000"/>
        </w:rPr>
        <w:t>T</w:t>
      </w:r>
      <w:r w:rsidR="00204F49" w:rsidRPr="001B00C2">
        <w:rPr>
          <w:rFonts w:ascii="Cambria" w:eastAsia="Cambria" w:hAnsi="Cambria"/>
          <w:color w:val="000000"/>
        </w:rPr>
        <w:t>he treatment of anovulatory infertility in women who have been unresponsive to clomiphene citrate or where clomiphene citrate is contraindicated.</w:t>
      </w:r>
    </w:p>
    <w:p w14:paraId="648220DD" w14:textId="134E049A" w:rsidR="005B6B63" w:rsidRPr="001B00C2" w:rsidRDefault="001B00C2" w:rsidP="001B00C2">
      <w:pPr>
        <w:pStyle w:val="ListParagraph"/>
        <w:numPr>
          <w:ilvl w:val="0"/>
          <w:numId w:val="19"/>
        </w:numPr>
        <w:tabs>
          <w:tab w:val="left" w:pos="288"/>
        </w:tabs>
        <w:spacing w:before="201" w:line="298" w:lineRule="exact"/>
        <w:ind w:right="720"/>
        <w:textAlignment w:val="baseline"/>
        <w:rPr>
          <w:rFonts w:ascii="Cambria" w:eastAsia="Cambria" w:hAnsi="Cambria"/>
          <w:color w:val="000000"/>
        </w:rPr>
      </w:pPr>
      <w:r>
        <w:rPr>
          <w:rFonts w:ascii="Cambria" w:eastAsia="Cambria" w:hAnsi="Cambria"/>
          <w:color w:val="000000"/>
        </w:rPr>
        <w:t>For c</w:t>
      </w:r>
      <w:r w:rsidR="00204F49" w:rsidRPr="001B00C2">
        <w:rPr>
          <w:rFonts w:ascii="Cambria" w:eastAsia="Cambria" w:hAnsi="Cambria"/>
          <w:color w:val="000000"/>
        </w:rPr>
        <w:t>ontrolled ovarian hyperstimulation in women undergoing assisted reproductive technologies.</w:t>
      </w:r>
    </w:p>
    <w:p w14:paraId="6F33B86A" w14:textId="78EEB9FF" w:rsidR="005B6B63" w:rsidRPr="001B00C2" w:rsidRDefault="00204F49" w:rsidP="001B00C2">
      <w:pPr>
        <w:pStyle w:val="ListParagraph"/>
        <w:numPr>
          <w:ilvl w:val="0"/>
          <w:numId w:val="19"/>
        </w:numPr>
        <w:tabs>
          <w:tab w:val="left" w:pos="288"/>
        </w:tabs>
        <w:spacing w:before="191" w:line="298" w:lineRule="exact"/>
        <w:ind w:right="288"/>
        <w:jc w:val="both"/>
        <w:textAlignment w:val="baseline"/>
        <w:rPr>
          <w:rFonts w:ascii="Cambria" w:eastAsia="Cambria" w:hAnsi="Cambria"/>
          <w:color w:val="000000"/>
        </w:rPr>
      </w:pPr>
      <w:r w:rsidRPr="001B00C2">
        <w:rPr>
          <w:rFonts w:ascii="Cambria" w:eastAsia="Cambria" w:hAnsi="Cambria"/>
          <w:color w:val="000000"/>
        </w:rPr>
        <w:t>OVALEAP is indicated with concomitant human chorionic gonadotrophin (</w:t>
      </w:r>
      <w:proofErr w:type="spellStart"/>
      <w:r w:rsidRPr="001B00C2">
        <w:rPr>
          <w:rFonts w:ascii="Cambria" w:eastAsia="Cambria" w:hAnsi="Cambria"/>
          <w:color w:val="000000"/>
        </w:rPr>
        <w:t>hCG</w:t>
      </w:r>
      <w:proofErr w:type="spellEnd"/>
      <w:r w:rsidRPr="001B00C2">
        <w:rPr>
          <w:rFonts w:ascii="Cambria" w:eastAsia="Cambria" w:hAnsi="Cambria"/>
          <w:color w:val="000000"/>
        </w:rPr>
        <w:t xml:space="preserve">) therapy for the stimulation of spermatogenesis in gonadotrophin-deficient men in whom </w:t>
      </w:r>
      <w:proofErr w:type="spellStart"/>
      <w:r w:rsidRPr="001B00C2">
        <w:rPr>
          <w:rFonts w:ascii="Cambria" w:eastAsia="Cambria" w:hAnsi="Cambria"/>
          <w:color w:val="000000"/>
        </w:rPr>
        <w:t>hCG</w:t>
      </w:r>
      <w:proofErr w:type="spellEnd"/>
      <w:r w:rsidRPr="001B00C2">
        <w:rPr>
          <w:rFonts w:ascii="Cambria" w:eastAsia="Cambria" w:hAnsi="Cambria"/>
          <w:color w:val="000000"/>
        </w:rPr>
        <w:t xml:space="preserve"> alone is ineffective.</w:t>
      </w:r>
    </w:p>
    <w:p w14:paraId="2E36BD8F" w14:textId="3AFE58EC" w:rsidR="005B6B63" w:rsidRPr="002310E4" w:rsidRDefault="00204F49" w:rsidP="00CF171D">
      <w:pPr>
        <w:pStyle w:val="Heading2"/>
        <w:numPr>
          <w:ilvl w:val="1"/>
          <w:numId w:val="17"/>
        </w:numPr>
      </w:pPr>
      <w:r w:rsidRPr="002310E4">
        <w:t>DOSE AND METHOD OF ADMINISTRATION</w:t>
      </w:r>
    </w:p>
    <w:p w14:paraId="0512E4F4" w14:textId="184E0169" w:rsidR="005B6B63" w:rsidRDefault="00204F49" w:rsidP="002310E4">
      <w:pPr>
        <w:spacing w:before="124" w:line="298" w:lineRule="exact"/>
        <w:ind w:right="144"/>
        <w:textAlignment w:val="baseline"/>
        <w:rPr>
          <w:rFonts w:ascii="Cambria" w:eastAsia="Cambria" w:hAnsi="Cambria"/>
          <w:color w:val="000000"/>
        </w:rPr>
      </w:pPr>
      <w:r>
        <w:rPr>
          <w:rFonts w:ascii="Cambria" w:eastAsia="Cambria" w:hAnsi="Cambria"/>
          <w:color w:val="000000"/>
        </w:rPr>
        <w:t>Treatment with OVALEAP should be initiated under the supervision of a physician experienced in the treatment of fertility disorders.</w:t>
      </w:r>
    </w:p>
    <w:p w14:paraId="40E61B7D" w14:textId="146F4D42" w:rsidR="005B6B63" w:rsidRDefault="00204F49" w:rsidP="002D108A">
      <w:pPr>
        <w:widowControl w:val="0"/>
        <w:spacing w:before="198" w:line="296" w:lineRule="exact"/>
        <w:textAlignment w:val="baseline"/>
        <w:rPr>
          <w:rFonts w:ascii="Cambria" w:eastAsia="Cambria" w:hAnsi="Cambria"/>
          <w:color w:val="000000"/>
        </w:rPr>
      </w:pPr>
      <w:r>
        <w:rPr>
          <w:rFonts w:ascii="Cambria" w:eastAsia="Cambria" w:hAnsi="Cambria"/>
          <w:color w:val="000000"/>
        </w:rPr>
        <w:t xml:space="preserve">OVALEAP should be administered subcutaneously. The injection site should be alternated daily </w:t>
      </w:r>
      <w:r w:rsidR="005B570B">
        <w:rPr>
          <w:rFonts w:ascii="Cambria" w:eastAsia="Cambria" w:hAnsi="Cambria"/>
          <w:color w:val="000000"/>
        </w:rPr>
        <w:t>t</w:t>
      </w:r>
      <w:r>
        <w:rPr>
          <w:rFonts w:ascii="Cambria" w:eastAsia="Cambria" w:hAnsi="Cambria"/>
          <w:color w:val="000000"/>
        </w:rPr>
        <w:t xml:space="preserve">o prevent lipoatrophy. Self-administration of OVALEAP should only be performed by patients who are well motivated, adequately trained and who have access to expert advice. </w:t>
      </w:r>
      <w:proofErr w:type="spellStart"/>
      <w:r w:rsidR="00B55452">
        <w:rPr>
          <w:rFonts w:ascii="Cambria" w:eastAsia="Cambria" w:hAnsi="Cambria"/>
          <w:color w:val="000000"/>
        </w:rPr>
        <w:t>Ovaleap</w:t>
      </w:r>
      <w:proofErr w:type="spellEnd"/>
      <w:r w:rsidR="00B55452">
        <w:rPr>
          <w:rFonts w:ascii="Cambria" w:eastAsia="Cambria" w:hAnsi="Cambria"/>
          <w:color w:val="000000"/>
        </w:rPr>
        <w:t xml:space="preserve"> cartridge should only be administered using the OVALEAP Pen. The instructions for use of the pen will be provided together with the OVALEAP Pen.  </w:t>
      </w:r>
      <w:r>
        <w:rPr>
          <w:rFonts w:ascii="Cambria" w:eastAsia="Cambria" w:hAnsi="Cambria"/>
          <w:color w:val="000000"/>
        </w:rPr>
        <w:t>Each OVALEAP pen is for individual patient use only.</w:t>
      </w:r>
    </w:p>
    <w:p w14:paraId="56B962C0" w14:textId="6277A4FD" w:rsidR="005B6B63" w:rsidRDefault="00204F49" w:rsidP="002310E4">
      <w:pPr>
        <w:spacing w:before="266" w:line="234" w:lineRule="exact"/>
        <w:textAlignment w:val="baseline"/>
        <w:rPr>
          <w:rFonts w:ascii="Cambria" w:eastAsia="Cambria" w:hAnsi="Cambria"/>
          <w:b/>
          <w:color w:val="000000"/>
        </w:rPr>
      </w:pPr>
      <w:r>
        <w:rPr>
          <w:rFonts w:ascii="Cambria" w:eastAsia="Cambria" w:hAnsi="Cambria"/>
          <w:b/>
          <w:color w:val="000000"/>
        </w:rPr>
        <w:lastRenderedPageBreak/>
        <w:t xml:space="preserve">Women with </w:t>
      </w:r>
      <w:proofErr w:type="spellStart"/>
      <w:r>
        <w:rPr>
          <w:rFonts w:ascii="Cambria" w:eastAsia="Cambria" w:hAnsi="Cambria"/>
          <w:b/>
          <w:color w:val="000000"/>
        </w:rPr>
        <w:t>Anovulatory</w:t>
      </w:r>
      <w:proofErr w:type="spellEnd"/>
      <w:r>
        <w:rPr>
          <w:rFonts w:ascii="Cambria" w:eastAsia="Cambria" w:hAnsi="Cambria"/>
          <w:b/>
          <w:color w:val="000000"/>
        </w:rPr>
        <w:t xml:space="preserve"> Infertility (WHO Group II)</w:t>
      </w:r>
    </w:p>
    <w:p w14:paraId="210E3F83" w14:textId="2AC3D81F" w:rsidR="005B6B63" w:rsidRDefault="00204F49" w:rsidP="002310E4">
      <w:pPr>
        <w:spacing w:before="196" w:line="298" w:lineRule="exact"/>
        <w:ind w:right="72"/>
        <w:textAlignment w:val="baseline"/>
        <w:rPr>
          <w:rFonts w:ascii="Cambria" w:eastAsia="Cambria" w:hAnsi="Cambria"/>
          <w:color w:val="000000"/>
        </w:rPr>
      </w:pPr>
      <w:r>
        <w:rPr>
          <w:rFonts w:ascii="Cambria" w:eastAsia="Cambria" w:hAnsi="Cambria"/>
          <w:color w:val="000000"/>
        </w:rPr>
        <w:t xml:space="preserve">The objective of OVALEAP therapy is to develop a single mature Graafian follicle from which the ovum will be liberated after the administration of </w:t>
      </w:r>
      <w:proofErr w:type="spellStart"/>
      <w:r>
        <w:rPr>
          <w:rFonts w:ascii="Cambria" w:eastAsia="Cambria" w:hAnsi="Cambria"/>
          <w:color w:val="000000"/>
        </w:rPr>
        <w:t>hCG</w:t>
      </w:r>
      <w:proofErr w:type="spellEnd"/>
      <w:r>
        <w:rPr>
          <w:rFonts w:ascii="Cambria" w:eastAsia="Cambria" w:hAnsi="Cambria"/>
          <w:color w:val="000000"/>
        </w:rPr>
        <w:t>.</w:t>
      </w:r>
    </w:p>
    <w:p w14:paraId="3CE7ECCC" w14:textId="3646D65C" w:rsidR="005B6B63" w:rsidRDefault="00204F49" w:rsidP="00A40688">
      <w:pPr>
        <w:spacing w:before="206" w:line="293" w:lineRule="exact"/>
        <w:textAlignment w:val="baseline"/>
        <w:rPr>
          <w:rFonts w:ascii="Cambria" w:eastAsia="Cambria" w:hAnsi="Cambria"/>
          <w:color w:val="000000"/>
        </w:rPr>
      </w:pPr>
      <w:r>
        <w:rPr>
          <w:rFonts w:ascii="Cambria" w:eastAsia="Cambria" w:hAnsi="Cambria"/>
          <w:color w:val="000000"/>
          <w:spacing w:val="-1"/>
        </w:rPr>
        <w:t>OVALEAP may be given as a course of daily injections. In menstruating patients treatment should commence within the first 7 days of the menstrual cycle. Treatment should be tailored to the</w:t>
      </w:r>
      <w:r w:rsidR="00A40688">
        <w:rPr>
          <w:rFonts w:ascii="Cambria" w:eastAsia="Cambria" w:hAnsi="Cambria"/>
          <w:color w:val="000000"/>
          <w:spacing w:val="-1"/>
        </w:rPr>
        <w:t xml:space="preserve"> </w:t>
      </w:r>
      <w:r>
        <w:rPr>
          <w:rFonts w:ascii="Cambria" w:eastAsia="Cambria" w:hAnsi="Cambria"/>
          <w:color w:val="000000"/>
        </w:rPr>
        <w:t xml:space="preserve">individual patient's response as assessed by measuring 1) follicle size by ultrasound and/or 2) </w:t>
      </w:r>
      <w:proofErr w:type="spellStart"/>
      <w:r>
        <w:rPr>
          <w:rFonts w:ascii="Cambria" w:eastAsia="Cambria" w:hAnsi="Cambria"/>
          <w:color w:val="000000"/>
        </w:rPr>
        <w:t>oestrogen</w:t>
      </w:r>
      <w:proofErr w:type="spellEnd"/>
      <w:r>
        <w:rPr>
          <w:rFonts w:ascii="Cambria" w:eastAsia="Cambria" w:hAnsi="Cambria"/>
          <w:color w:val="000000"/>
        </w:rPr>
        <w:t xml:space="preserve"> secretion. A commonly used regimen commences at 75 – 150 IU (5.46 to 10.92 microgram) FSH daily and is increased by 37.5 IU (2.73 microgram) up to 75 IU (5.46 microgram) at 7 or 14 day intervals if necessary, to obtain an adequate, but not excessive response. If a patient fails to respond adequately after 5 weeks of treatment, that cycle should be abandoned.</w:t>
      </w:r>
    </w:p>
    <w:p w14:paraId="28741392" w14:textId="569A4AA2" w:rsidR="005B6B63" w:rsidRDefault="00204F49" w:rsidP="002310E4">
      <w:pPr>
        <w:spacing w:before="204" w:line="297" w:lineRule="exact"/>
        <w:ind w:right="72"/>
        <w:textAlignment w:val="baseline"/>
        <w:rPr>
          <w:rFonts w:ascii="Cambria" w:eastAsia="Cambria" w:hAnsi="Cambria"/>
          <w:color w:val="000000"/>
        </w:rPr>
      </w:pPr>
      <w:r>
        <w:rPr>
          <w:rFonts w:ascii="Cambria" w:eastAsia="Cambria" w:hAnsi="Cambria"/>
          <w:color w:val="000000"/>
        </w:rPr>
        <w:t>When an optimal response is obtained, a single injection of 250 microgram r-</w:t>
      </w:r>
      <w:proofErr w:type="spellStart"/>
      <w:r>
        <w:rPr>
          <w:rFonts w:ascii="Cambria" w:eastAsia="Cambria" w:hAnsi="Cambria"/>
          <w:color w:val="000000"/>
        </w:rPr>
        <w:t>hCG</w:t>
      </w:r>
      <w:proofErr w:type="spellEnd"/>
      <w:r>
        <w:rPr>
          <w:rFonts w:ascii="Cambria" w:eastAsia="Cambria" w:hAnsi="Cambria"/>
          <w:color w:val="000000"/>
        </w:rPr>
        <w:t xml:space="preserve"> or 5000 IU up to 10,000 IU urinary human chorionic gonadotropin (u-</w:t>
      </w:r>
      <w:proofErr w:type="spellStart"/>
      <w:r>
        <w:rPr>
          <w:rFonts w:ascii="Cambria" w:eastAsia="Cambria" w:hAnsi="Cambria"/>
          <w:color w:val="000000"/>
        </w:rPr>
        <w:t>hCG</w:t>
      </w:r>
      <w:proofErr w:type="spellEnd"/>
      <w:r>
        <w:rPr>
          <w:rFonts w:ascii="Cambria" w:eastAsia="Cambria" w:hAnsi="Cambria"/>
          <w:color w:val="000000"/>
        </w:rPr>
        <w:t xml:space="preserve">) should be administered 24 – 48 hours after the last OVALEAP injection. The patient is recommended to have coitus on the day of, and the day following </w:t>
      </w:r>
      <w:proofErr w:type="spellStart"/>
      <w:r>
        <w:rPr>
          <w:rFonts w:ascii="Cambria" w:eastAsia="Cambria" w:hAnsi="Cambria"/>
          <w:color w:val="000000"/>
        </w:rPr>
        <w:t>hCG</w:t>
      </w:r>
      <w:proofErr w:type="spellEnd"/>
      <w:r>
        <w:rPr>
          <w:rFonts w:ascii="Cambria" w:eastAsia="Cambria" w:hAnsi="Cambria"/>
          <w:color w:val="000000"/>
        </w:rPr>
        <w:t xml:space="preserve"> administration.</w:t>
      </w:r>
    </w:p>
    <w:p w14:paraId="081F8A21" w14:textId="77777777" w:rsidR="005B6B63" w:rsidRDefault="00204F49" w:rsidP="002310E4">
      <w:pPr>
        <w:spacing w:before="199" w:line="297" w:lineRule="exact"/>
        <w:ind w:right="72"/>
        <w:textAlignment w:val="baseline"/>
        <w:rPr>
          <w:rFonts w:ascii="Cambria" w:eastAsia="Cambria" w:hAnsi="Cambria"/>
          <w:color w:val="000000"/>
        </w:rPr>
      </w:pPr>
      <w:r>
        <w:rPr>
          <w:rFonts w:ascii="Cambria" w:eastAsia="Cambria" w:hAnsi="Cambria"/>
          <w:color w:val="000000"/>
        </w:rPr>
        <w:t xml:space="preserve">If an excessive response is obtained, treatment should be stopped and </w:t>
      </w:r>
      <w:proofErr w:type="spellStart"/>
      <w:r>
        <w:rPr>
          <w:rFonts w:ascii="Cambria" w:eastAsia="Cambria" w:hAnsi="Cambria"/>
          <w:color w:val="000000"/>
        </w:rPr>
        <w:t>hCG</w:t>
      </w:r>
      <w:proofErr w:type="spellEnd"/>
      <w:r>
        <w:rPr>
          <w:rFonts w:ascii="Cambria" w:eastAsia="Cambria" w:hAnsi="Cambria"/>
          <w:color w:val="000000"/>
        </w:rPr>
        <w:t xml:space="preserve"> withheld (see Section 4.4 SPECIAL WARNINGS AND PRECAUTIONS FOR USE). Treatment should recommence in the next cycle at a dosage lower than that of the previous cycle.</w:t>
      </w:r>
    </w:p>
    <w:p w14:paraId="3D02CF68" w14:textId="77777777" w:rsidR="005B6B63" w:rsidRDefault="00204F49" w:rsidP="002310E4">
      <w:pPr>
        <w:spacing w:before="260" w:line="239" w:lineRule="exact"/>
        <w:ind w:right="72"/>
        <w:textAlignment w:val="baseline"/>
        <w:rPr>
          <w:rFonts w:ascii="Cambria" w:eastAsia="Cambria" w:hAnsi="Cambria"/>
          <w:b/>
          <w:color w:val="000000"/>
        </w:rPr>
      </w:pPr>
      <w:r>
        <w:rPr>
          <w:rFonts w:ascii="Cambria" w:eastAsia="Cambria" w:hAnsi="Cambria"/>
          <w:b/>
          <w:color w:val="000000"/>
        </w:rPr>
        <w:t>Women undergoing Assisted Reproductive Technologies</w:t>
      </w:r>
    </w:p>
    <w:p w14:paraId="2FDBA432" w14:textId="782E0011" w:rsidR="005B6B63" w:rsidRDefault="00204F49" w:rsidP="002310E4">
      <w:pPr>
        <w:spacing w:before="196" w:line="297" w:lineRule="exact"/>
        <w:ind w:right="288"/>
        <w:textAlignment w:val="baseline"/>
        <w:rPr>
          <w:rFonts w:ascii="Cambria" w:eastAsia="Cambria" w:hAnsi="Cambria"/>
          <w:color w:val="000000"/>
        </w:rPr>
      </w:pPr>
      <w:r>
        <w:rPr>
          <w:rFonts w:ascii="Cambria" w:eastAsia="Cambria" w:hAnsi="Cambria"/>
          <w:color w:val="000000"/>
        </w:rPr>
        <w:t xml:space="preserve">A commonly used regimen for superovulation involves the administration of 150 IU (10.92 microgram) to 225 IU (16.5 microgram) of OVALEAP daily, commencing on days 2 or 3 of the cycle. Treatment is continued until adequate follicular development has been achieved (as assessed by monitoring of serum </w:t>
      </w:r>
      <w:proofErr w:type="spellStart"/>
      <w:r>
        <w:rPr>
          <w:rFonts w:ascii="Cambria" w:eastAsia="Cambria" w:hAnsi="Cambria"/>
          <w:color w:val="000000"/>
        </w:rPr>
        <w:t>oestrogen</w:t>
      </w:r>
      <w:proofErr w:type="spellEnd"/>
      <w:r>
        <w:rPr>
          <w:rFonts w:ascii="Cambria" w:eastAsia="Cambria" w:hAnsi="Cambria"/>
          <w:color w:val="000000"/>
        </w:rPr>
        <w:t xml:space="preserve"> concentrations and/or ultrasound examination), with the dose adjusted according to the patient's response, to usually not higher than 450 IU (32.76 microgram) daily.</w:t>
      </w:r>
    </w:p>
    <w:p w14:paraId="1836DCB8" w14:textId="17C57680" w:rsidR="005B6B63" w:rsidRDefault="00204F49" w:rsidP="002310E4">
      <w:pPr>
        <w:spacing w:before="195" w:line="297" w:lineRule="exact"/>
        <w:ind w:right="72"/>
        <w:textAlignment w:val="baseline"/>
        <w:rPr>
          <w:rFonts w:ascii="Cambria" w:eastAsia="Cambria" w:hAnsi="Cambria"/>
          <w:color w:val="000000"/>
        </w:rPr>
      </w:pPr>
      <w:r>
        <w:rPr>
          <w:rFonts w:ascii="Cambria" w:eastAsia="Cambria" w:hAnsi="Cambria"/>
          <w:color w:val="000000"/>
        </w:rPr>
        <w:t>A single injection of 250 microgram r-</w:t>
      </w:r>
      <w:proofErr w:type="spellStart"/>
      <w:r>
        <w:rPr>
          <w:rFonts w:ascii="Cambria" w:eastAsia="Cambria" w:hAnsi="Cambria"/>
          <w:color w:val="000000"/>
        </w:rPr>
        <w:t>hCG</w:t>
      </w:r>
      <w:proofErr w:type="spellEnd"/>
      <w:r>
        <w:rPr>
          <w:rFonts w:ascii="Cambria" w:eastAsia="Cambria" w:hAnsi="Cambria"/>
          <w:color w:val="000000"/>
        </w:rPr>
        <w:t xml:space="preserve"> or 5000 IU up to 10,000 IU u-</w:t>
      </w:r>
      <w:proofErr w:type="spellStart"/>
      <w:r>
        <w:rPr>
          <w:rFonts w:ascii="Cambria" w:eastAsia="Cambria" w:hAnsi="Cambria"/>
          <w:color w:val="000000"/>
        </w:rPr>
        <w:t>hCG</w:t>
      </w:r>
      <w:proofErr w:type="spellEnd"/>
      <w:r>
        <w:rPr>
          <w:rFonts w:ascii="Cambria" w:eastAsia="Cambria" w:hAnsi="Cambria"/>
          <w:color w:val="000000"/>
        </w:rPr>
        <w:t xml:space="preserve"> is administered 24 – 48 hours after the last OVALEAP injection to induce final follicular maturation. In clinical trials, final follicular maturation was judged to be when at least two follicles were ≥ 16 mm mean diameter and when E2 levels were within the physician’s acceptable range for the number of follicles present.</w:t>
      </w:r>
    </w:p>
    <w:p w14:paraId="0BBE4E6C" w14:textId="31A479D5" w:rsidR="005B6B63" w:rsidRDefault="00204F49" w:rsidP="002310E4">
      <w:pPr>
        <w:spacing w:before="201" w:line="297" w:lineRule="exact"/>
        <w:ind w:right="72"/>
        <w:textAlignment w:val="baseline"/>
        <w:rPr>
          <w:rFonts w:ascii="Cambria" w:eastAsia="Cambria" w:hAnsi="Cambria"/>
          <w:color w:val="000000"/>
        </w:rPr>
      </w:pPr>
      <w:r>
        <w:rPr>
          <w:rFonts w:ascii="Cambria" w:eastAsia="Cambria" w:hAnsi="Cambria"/>
          <w:color w:val="000000"/>
        </w:rPr>
        <w:t xml:space="preserve">Down-regulation with either a GnRH agonist or antagonist is now commonly used in order to suppress the endogenous LH surge and to control tonic levels of LH. Dosage regimens should be </w:t>
      </w:r>
      <w:proofErr w:type="spellStart"/>
      <w:r>
        <w:rPr>
          <w:rFonts w:ascii="Cambria" w:eastAsia="Cambria" w:hAnsi="Cambria"/>
          <w:color w:val="000000"/>
        </w:rPr>
        <w:t>customised</w:t>
      </w:r>
      <w:proofErr w:type="spellEnd"/>
      <w:r>
        <w:rPr>
          <w:rFonts w:ascii="Cambria" w:eastAsia="Cambria" w:hAnsi="Cambria"/>
          <w:color w:val="000000"/>
        </w:rPr>
        <w:t xml:space="preserve"> in order to achieve the desired result. In a commonly used protocol OVALEAP is started approximately 2 weeks after the start of agonist treatment, both being continued until adequate follicular development is achieved. For example, following two weeks treatment with an agonist, 225 IU (16.5 microgram) OVALEAP is administered (subcutaneously) for the first 7 days. The dose is then adjusted according to the ovarian response.</w:t>
      </w:r>
    </w:p>
    <w:p w14:paraId="1ED334F7" w14:textId="77777777" w:rsidR="005B6B63" w:rsidRDefault="00204F49" w:rsidP="002D108A">
      <w:pPr>
        <w:widowControl w:val="0"/>
        <w:spacing w:before="255" w:line="239" w:lineRule="exact"/>
        <w:ind w:right="72"/>
        <w:textAlignment w:val="baseline"/>
        <w:rPr>
          <w:rFonts w:ascii="Cambria" w:eastAsia="Cambria" w:hAnsi="Cambria"/>
          <w:b/>
          <w:color w:val="000000"/>
        </w:rPr>
      </w:pPr>
      <w:r>
        <w:rPr>
          <w:rFonts w:ascii="Cambria" w:eastAsia="Cambria" w:hAnsi="Cambria"/>
          <w:b/>
          <w:color w:val="000000"/>
        </w:rPr>
        <w:t xml:space="preserve">Men with </w:t>
      </w:r>
      <w:proofErr w:type="spellStart"/>
      <w:r>
        <w:rPr>
          <w:rFonts w:ascii="Cambria" w:eastAsia="Cambria" w:hAnsi="Cambria"/>
          <w:b/>
          <w:color w:val="000000"/>
        </w:rPr>
        <w:t>Hypogonadotrophic</w:t>
      </w:r>
      <w:proofErr w:type="spellEnd"/>
      <w:r>
        <w:rPr>
          <w:rFonts w:ascii="Cambria" w:eastAsia="Cambria" w:hAnsi="Cambria"/>
          <w:b/>
          <w:color w:val="000000"/>
        </w:rPr>
        <w:t xml:space="preserve"> Hypogonadism</w:t>
      </w:r>
    </w:p>
    <w:p w14:paraId="27A3B642" w14:textId="6F40AD7E" w:rsidR="005B6B63" w:rsidRPr="00C23C1C" w:rsidRDefault="00204F49" w:rsidP="002D108A">
      <w:pPr>
        <w:widowControl w:val="0"/>
        <w:spacing w:before="197" w:after="120" w:line="297" w:lineRule="exact"/>
        <w:ind w:right="74"/>
        <w:textAlignment w:val="baseline"/>
        <w:rPr>
          <w:rFonts w:ascii="Cambria" w:eastAsia="Cambria" w:hAnsi="Cambria"/>
          <w:color w:val="000000"/>
          <w:spacing w:val="-2"/>
        </w:rPr>
      </w:pPr>
      <w:r>
        <w:rPr>
          <w:rFonts w:ascii="Cambria" w:eastAsia="Cambria" w:hAnsi="Cambria"/>
          <w:color w:val="000000"/>
          <w:spacing w:val="-2"/>
        </w:rPr>
        <w:t xml:space="preserve">Prior to combined therapy with OVALEAP and </w:t>
      </w:r>
      <w:proofErr w:type="spellStart"/>
      <w:r>
        <w:rPr>
          <w:rFonts w:ascii="Cambria" w:eastAsia="Cambria" w:hAnsi="Cambria"/>
          <w:color w:val="000000"/>
          <w:spacing w:val="-2"/>
        </w:rPr>
        <w:t>hCG</w:t>
      </w:r>
      <w:proofErr w:type="spellEnd"/>
      <w:r>
        <w:rPr>
          <w:rFonts w:ascii="Cambria" w:eastAsia="Cambria" w:hAnsi="Cambria"/>
          <w:color w:val="000000"/>
          <w:spacing w:val="-2"/>
        </w:rPr>
        <w:t xml:space="preserve">, pre-treatment should begin with </w:t>
      </w:r>
      <w:proofErr w:type="spellStart"/>
      <w:r>
        <w:rPr>
          <w:rFonts w:ascii="Cambria" w:eastAsia="Cambria" w:hAnsi="Cambria"/>
          <w:color w:val="000000"/>
          <w:spacing w:val="-2"/>
        </w:rPr>
        <w:t>hCG</w:t>
      </w:r>
      <w:proofErr w:type="spellEnd"/>
      <w:r>
        <w:rPr>
          <w:rFonts w:ascii="Cambria" w:eastAsia="Cambria" w:hAnsi="Cambria"/>
          <w:color w:val="000000"/>
          <w:spacing w:val="-2"/>
        </w:rPr>
        <w:t xml:space="preserve"> alone at </w:t>
      </w:r>
      <w:r>
        <w:rPr>
          <w:rFonts w:ascii="Cambria" w:eastAsia="Cambria" w:hAnsi="Cambria"/>
          <w:color w:val="000000"/>
          <w:spacing w:val="-2"/>
        </w:rPr>
        <w:lastRenderedPageBreak/>
        <w:t xml:space="preserve">the appropriate dosage to achieve </w:t>
      </w:r>
      <w:proofErr w:type="spellStart"/>
      <w:r>
        <w:rPr>
          <w:rFonts w:ascii="Cambria" w:eastAsia="Cambria" w:hAnsi="Cambria"/>
          <w:color w:val="000000"/>
          <w:spacing w:val="-2"/>
        </w:rPr>
        <w:t>masculinisation</w:t>
      </w:r>
      <w:proofErr w:type="spellEnd"/>
      <w:r>
        <w:rPr>
          <w:rFonts w:ascii="Cambria" w:eastAsia="Cambria" w:hAnsi="Cambria"/>
          <w:color w:val="000000"/>
          <w:spacing w:val="-2"/>
        </w:rPr>
        <w:t xml:space="preserve"> and serum testosterone level within the </w:t>
      </w:r>
      <w:proofErr w:type="spellStart"/>
      <w:r>
        <w:rPr>
          <w:rFonts w:ascii="Cambria" w:eastAsia="Cambria" w:hAnsi="Cambria"/>
          <w:color w:val="000000"/>
          <w:spacing w:val="-2"/>
        </w:rPr>
        <w:t>eugonadal</w:t>
      </w:r>
      <w:proofErr w:type="spellEnd"/>
      <w:r>
        <w:rPr>
          <w:rFonts w:ascii="Cambria" w:eastAsia="Cambria" w:hAnsi="Cambria"/>
          <w:color w:val="000000"/>
          <w:spacing w:val="-2"/>
        </w:rPr>
        <w:t xml:space="preserve"> range (&gt; 9 – 10 nmol/L). This starting dose should be increased to the necessary dosage in order to obtain normal testosterone values. If after an inadequate trial of </w:t>
      </w:r>
      <w:proofErr w:type="spellStart"/>
      <w:r>
        <w:rPr>
          <w:rFonts w:ascii="Cambria" w:eastAsia="Cambria" w:hAnsi="Cambria"/>
          <w:color w:val="000000"/>
          <w:spacing w:val="-2"/>
        </w:rPr>
        <w:t>hCG</w:t>
      </w:r>
      <w:proofErr w:type="spellEnd"/>
      <w:r>
        <w:rPr>
          <w:rFonts w:ascii="Cambria" w:eastAsia="Cambria" w:hAnsi="Cambria"/>
          <w:color w:val="000000"/>
          <w:spacing w:val="-2"/>
        </w:rPr>
        <w:t xml:space="preserve"> alone (usually 6 months) at effective doses, OVALEAP should be given concomitantly at the dosage of 150 IU (10.92 microgram) three times a week. This regimen should be continued for a minimum of 4 months. If after this period, the patient has not responded, the combination treatment (</w:t>
      </w:r>
      <w:proofErr w:type="spellStart"/>
      <w:r>
        <w:rPr>
          <w:rFonts w:ascii="Cambria" w:eastAsia="Cambria" w:hAnsi="Cambria"/>
          <w:color w:val="000000"/>
          <w:spacing w:val="-2"/>
        </w:rPr>
        <w:t>hCG</w:t>
      </w:r>
      <w:proofErr w:type="spellEnd"/>
      <w:r>
        <w:rPr>
          <w:rFonts w:ascii="Cambria" w:eastAsia="Cambria" w:hAnsi="Cambria"/>
          <w:color w:val="000000"/>
          <w:spacing w:val="-2"/>
        </w:rPr>
        <w:t xml:space="preserve"> plus OVALEAP 150 IU (10.92 microgram) 3 times a week) may be continued. Current clinical</w:t>
      </w:r>
      <w:r w:rsidR="00C23C1C">
        <w:rPr>
          <w:rFonts w:ascii="Cambria" w:eastAsia="Cambria" w:hAnsi="Cambria"/>
          <w:color w:val="000000"/>
          <w:spacing w:val="-2"/>
        </w:rPr>
        <w:t xml:space="preserve"> </w:t>
      </w:r>
      <w:r>
        <w:rPr>
          <w:rFonts w:ascii="Cambria" w:eastAsia="Cambria" w:hAnsi="Cambria"/>
          <w:color w:val="000000"/>
        </w:rPr>
        <w:t>experience indicates that prolonged treatment for up to 18 – 24 months may be necessary to achieve spermatogenesis or fertility.</w:t>
      </w:r>
    </w:p>
    <w:p w14:paraId="4E93C33D" w14:textId="79D42AAE" w:rsidR="005B6B63" w:rsidRPr="002310E4" w:rsidRDefault="00204F49" w:rsidP="00CF171D">
      <w:pPr>
        <w:pStyle w:val="Heading2"/>
        <w:numPr>
          <w:ilvl w:val="1"/>
          <w:numId w:val="17"/>
        </w:numPr>
      </w:pPr>
      <w:r w:rsidRPr="002310E4">
        <w:t>CONTRAINDICATIONS</w:t>
      </w:r>
    </w:p>
    <w:p w14:paraId="15B5DD05" w14:textId="1F4CA387" w:rsidR="005B6B63" w:rsidRDefault="00204F49" w:rsidP="002310E4">
      <w:pPr>
        <w:spacing w:before="189" w:line="234" w:lineRule="exact"/>
        <w:textAlignment w:val="baseline"/>
        <w:rPr>
          <w:rFonts w:ascii="Cambria" w:eastAsia="Cambria" w:hAnsi="Cambria"/>
          <w:color w:val="000000"/>
        </w:rPr>
      </w:pPr>
      <w:r>
        <w:rPr>
          <w:rFonts w:ascii="Cambria" w:eastAsia="Cambria" w:hAnsi="Cambria"/>
          <w:color w:val="000000"/>
        </w:rPr>
        <w:t>OVALEAP is contraindicated for safety reasons in:</w:t>
      </w:r>
    </w:p>
    <w:p w14:paraId="7CECC4D5" w14:textId="5A2A231F" w:rsidR="005B6B63" w:rsidRDefault="00204F49" w:rsidP="002310E4">
      <w:pPr>
        <w:numPr>
          <w:ilvl w:val="0"/>
          <w:numId w:val="2"/>
        </w:numPr>
        <w:spacing w:before="262" w:line="246" w:lineRule="exact"/>
        <w:ind w:left="288"/>
        <w:textAlignment w:val="baseline"/>
        <w:rPr>
          <w:rFonts w:ascii="Cambria" w:eastAsia="Cambria" w:hAnsi="Cambria"/>
          <w:color w:val="000000"/>
        </w:rPr>
      </w:pPr>
      <w:r>
        <w:rPr>
          <w:rFonts w:ascii="Cambria" w:eastAsia="Cambria" w:hAnsi="Cambria"/>
          <w:color w:val="000000"/>
        </w:rPr>
        <w:t xml:space="preserve">cases of prior hypersensitivity to </w:t>
      </w:r>
      <w:proofErr w:type="spellStart"/>
      <w:r>
        <w:rPr>
          <w:rFonts w:ascii="Cambria" w:eastAsia="Cambria" w:hAnsi="Cambria"/>
          <w:color w:val="000000"/>
        </w:rPr>
        <w:t>follitropin</w:t>
      </w:r>
      <w:proofErr w:type="spellEnd"/>
      <w:r>
        <w:rPr>
          <w:rFonts w:ascii="Cambria" w:eastAsia="Cambria" w:hAnsi="Cambria"/>
          <w:color w:val="000000"/>
        </w:rPr>
        <w:t xml:space="preserve"> alfa, or to any excipients of OVALEAP</w:t>
      </w:r>
    </w:p>
    <w:p w14:paraId="22480C2D" w14:textId="77777777" w:rsidR="005B6B63" w:rsidRDefault="00204F49" w:rsidP="002310E4">
      <w:pPr>
        <w:numPr>
          <w:ilvl w:val="0"/>
          <w:numId w:val="2"/>
        </w:numPr>
        <w:spacing w:before="62" w:line="250" w:lineRule="exact"/>
        <w:ind w:left="288"/>
        <w:textAlignment w:val="baseline"/>
        <w:rPr>
          <w:rFonts w:ascii="Cambria" w:eastAsia="Cambria" w:hAnsi="Cambria"/>
          <w:color w:val="000000"/>
        </w:rPr>
      </w:pPr>
      <w:r>
        <w:rPr>
          <w:rFonts w:ascii="Cambria" w:eastAsia="Cambria" w:hAnsi="Cambria"/>
          <w:color w:val="000000"/>
        </w:rPr>
        <w:t>tumours of the hypothalamus or pituitary gland</w:t>
      </w:r>
    </w:p>
    <w:p w14:paraId="4107EA4C" w14:textId="77777777" w:rsidR="005B6B63" w:rsidRDefault="00204F49" w:rsidP="002310E4">
      <w:pPr>
        <w:spacing w:before="2" w:line="494" w:lineRule="exact"/>
        <w:ind w:right="1872"/>
        <w:textAlignment w:val="baseline"/>
        <w:rPr>
          <w:rFonts w:ascii="Cambria" w:eastAsia="Cambria" w:hAnsi="Cambria"/>
          <w:color w:val="000000"/>
        </w:rPr>
      </w:pPr>
      <w:r>
        <w:rPr>
          <w:rFonts w:ascii="Cambria" w:eastAsia="Cambria" w:hAnsi="Cambria"/>
          <w:color w:val="000000"/>
        </w:rPr>
        <w:t xml:space="preserve">FSH therapy is contraindicated for safety reasons where the following exist: </w:t>
      </w:r>
      <w:r>
        <w:rPr>
          <w:rFonts w:ascii="Cambria" w:eastAsia="Cambria" w:hAnsi="Cambria"/>
          <w:color w:val="000000"/>
          <w:u w:val="single"/>
        </w:rPr>
        <w:t xml:space="preserve">In women: </w:t>
      </w:r>
    </w:p>
    <w:p w14:paraId="67B4382E" w14:textId="77777777" w:rsidR="005B6B63" w:rsidRDefault="00204F49" w:rsidP="002310E4">
      <w:pPr>
        <w:numPr>
          <w:ilvl w:val="0"/>
          <w:numId w:val="2"/>
        </w:numPr>
        <w:spacing w:before="262" w:line="251" w:lineRule="exact"/>
        <w:ind w:left="288"/>
        <w:textAlignment w:val="baseline"/>
        <w:rPr>
          <w:rFonts w:ascii="Cambria" w:eastAsia="Cambria" w:hAnsi="Cambria"/>
          <w:color w:val="000000"/>
        </w:rPr>
      </w:pPr>
      <w:r>
        <w:rPr>
          <w:rFonts w:ascii="Cambria" w:eastAsia="Cambria" w:hAnsi="Cambria"/>
          <w:color w:val="000000"/>
        </w:rPr>
        <w:t>pregnancy and lactation</w:t>
      </w:r>
    </w:p>
    <w:p w14:paraId="07DC1CFF" w14:textId="77777777" w:rsidR="005B6B63" w:rsidRDefault="00204F49" w:rsidP="002310E4">
      <w:pPr>
        <w:numPr>
          <w:ilvl w:val="0"/>
          <w:numId w:val="2"/>
        </w:numPr>
        <w:spacing w:before="56" w:line="251" w:lineRule="exact"/>
        <w:ind w:left="288"/>
        <w:textAlignment w:val="baseline"/>
        <w:rPr>
          <w:rFonts w:ascii="Cambria" w:eastAsia="Cambria" w:hAnsi="Cambria"/>
          <w:color w:val="000000"/>
        </w:rPr>
      </w:pPr>
      <w:r>
        <w:rPr>
          <w:rFonts w:ascii="Cambria" w:eastAsia="Cambria" w:hAnsi="Cambria"/>
          <w:color w:val="000000"/>
        </w:rPr>
        <w:t xml:space="preserve">ovarian enlargement or ovarian cyst of unknown </w:t>
      </w:r>
      <w:proofErr w:type="spellStart"/>
      <w:r>
        <w:rPr>
          <w:rFonts w:ascii="Cambria" w:eastAsia="Cambria" w:hAnsi="Cambria"/>
          <w:color w:val="000000"/>
        </w:rPr>
        <w:t>aetiology</w:t>
      </w:r>
      <w:proofErr w:type="spellEnd"/>
    </w:p>
    <w:p w14:paraId="225125C6" w14:textId="77777777" w:rsidR="005B6B63" w:rsidRDefault="00204F49" w:rsidP="002310E4">
      <w:pPr>
        <w:numPr>
          <w:ilvl w:val="0"/>
          <w:numId w:val="2"/>
        </w:numPr>
        <w:spacing w:before="61" w:line="251" w:lineRule="exact"/>
        <w:ind w:left="288"/>
        <w:textAlignment w:val="baseline"/>
        <w:rPr>
          <w:rFonts w:ascii="Cambria" w:eastAsia="Cambria" w:hAnsi="Cambria"/>
          <w:color w:val="000000"/>
        </w:rPr>
      </w:pPr>
      <w:proofErr w:type="spellStart"/>
      <w:r>
        <w:rPr>
          <w:rFonts w:ascii="Cambria" w:eastAsia="Cambria" w:hAnsi="Cambria"/>
          <w:color w:val="000000"/>
        </w:rPr>
        <w:t>gynaecological</w:t>
      </w:r>
      <w:proofErr w:type="spellEnd"/>
      <w:r>
        <w:rPr>
          <w:rFonts w:ascii="Cambria" w:eastAsia="Cambria" w:hAnsi="Cambria"/>
          <w:color w:val="000000"/>
        </w:rPr>
        <w:t xml:space="preserve"> </w:t>
      </w:r>
      <w:proofErr w:type="spellStart"/>
      <w:r>
        <w:rPr>
          <w:rFonts w:ascii="Cambria" w:eastAsia="Cambria" w:hAnsi="Cambria"/>
          <w:color w:val="000000"/>
        </w:rPr>
        <w:t>haemorrhages</w:t>
      </w:r>
      <w:proofErr w:type="spellEnd"/>
      <w:r>
        <w:rPr>
          <w:rFonts w:ascii="Cambria" w:eastAsia="Cambria" w:hAnsi="Cambria"/>
          <w:color w:val="000000"/>
        </w:rPr>
        <w:t xml:space="preserve"> of unknown </w:t>
      </w:r>
      <w:proofErr w:type="spellStart"/>
      <w:r>
        <w:rPr>
          <w:rFonts w:ascii="Cambria" w:eastAsia="Cambria" w:hAnsi="Cambria"/>
          <w:color w:val="000000"/>
        </w:rPr>
        <w:t>aetiology</w:t>
      </w:r>
      <w:proofErr w:type="spellEnd"/>
    </w:p>
    <w:p w14:paraId="1E22ED2E" w14:textId="77777777" w:rsidR="005B6B63" w:rsidRDefault="00204F49" w:rsidP="002310E4">
      <w:pPr>
        <w:numPr>
          <w:ilvl w:val="0"/>
          <w:numId w:val="2"/>
        </w:numPr>
        <w:spacing w:before="56" w:line="246" w:lineRule="exact"/>
        <w:ind w:left="288"/>
        <w:textAlignment w:val="baseline"/>
        <w:rPr>
          <w:rFonts w:ascii="Cambria" w:eastAsia="Cambria" w:hAnsi="Cambria"/>
          <w:color w:val="000000"/>
        </w:rPr>
      </w:pPr>
      <w:r>
        <w:rPr>
          <w:rFonts w:ascii="Cambria" w:eastAsia="Cambria" w:hAnsi="Cambria"/>
          <w:color w:val="000000"/>
        </w:rPr>
        <w:t>ovarian, uterine or breast carcinoma</w:t>
      </w:r>
    </w:p>
    <w:p w14:paraId="3CF1C5CB" w14:textId="77777777" w:rsidR="005B6B63" w:rsidRDefault="00204F49" w:rsidP="002310E4">
      <w:pPr>
        <w:spacing w:before="7" w:line="494" w:lineRule="exact"/>
        <w:ind w:right="1584"/>
        <w:textAlignment w:val="baseline"/>
        <w:rPr>
          <w:rFonts w:ascii="Cambria" w:eastAsia="Cambria" w:hAnsi="Cambria"/>
          <w:color w:val="000000"/>
        </w:rPr>
      </w:pPr>
      <w:r>
        <w:rPr>
          <w:rFonts w:ascii="Cambria" w:eastAsia="Cambria" w:hAnsi="Cambria"/>
          <w:color w:val="000000"/>
        </w:rPr>
        <w:t xml:space="preserve">FSH is contraindicated when an effective response cannot be obtained, such as: </w:t>
      </w:r>
      <w:r>
        <w:rPr>
          <w:rFonts w:ascii="Cambria" w:eastAsia="Cambria" w:hAnsi="Cambria"/>
          <w:color w:val="000000"/>
          <w:u w:val="single"/>
        </w:rPr>
        <w:t>In women</w:t>
      </w:r>
    </w:p>
    <w:p w14:paraId="223DCC8C" w14:textId="77777777" w:rsidR="005B6B63" w:rsidRDefault="00204F49" w:rsidP="002310E4">
      <w:pPr>
        <w:numPr>
          <w:ilvl w:val="0"/>
          <w:numId w:val="2"/>
        </w:numPr>
        <w:spacing w:before="211" w:line="297" w:lineRule="exact"/>
        <w:ind w:left="288" w:right="360"/>
        <w:textAlignment w:val="baseline"/>
        <w:rPr>
          <w:rFonts w:ascii="Cambria" w:eastAsia="Cambria" w:hAnsi="Cambria"/>
          <w:color w:val="000000"/>
        </w:rPr>
      </w:pPr>
      <w:r>
        <w:rPr>
          <w:rFonts w:ascii="Cambria" w:eastAsia="Cambria" w:hAnsi="Cambria"/>
          <w:color w:val="000000"/>
        </w:rPr>
        <w:t>primary ovarian failure as indicated by high levels of FSH (ovarian dysgenesis, premature menopause)</w:t>
      </w:r>
    </w:p>
    <w:p w14:paraId="37DCDB7F" w14:textId="77777777" w:rsidR="005B6B63" w:rsidRDefault="00204F49" w:rsidP="002310E4">
      <w:pPr>
        <w:numPr>
          <w:ilvl w:val="0"/>
          <w:numId w:val="2"/>
        </w:numPr>
        <w:spacing w:before="62" w:line="250" w:lineRule="exact"/>
        <w:ind w:left="288"/>
        <w:textAlignment w:val="baseline"/>
        <w:rPr>
          <w:rFonts w:ascii="Cambria" w:eastAsia="Cambria" w:hAnsi="Cambria"/>
          <w:color w:val="000000"/>
        </w:rPr>
      </w:pPr>
      <w:r>
        <w:rPr>
          <w:rFonts w:ascii="Cambria" w:eastAsia="Cambria" w:hAnsi="Cambria"/>
          <w:color w:val="000000"/>
        </w:rPr>
        <w:t>malformations of sexual organs incompatible with pregnancy</w:t>
      </w:r>
    </w:p>
    <w:p w14:paraId="2EDD594D" w14:textId="77777777" w:rsidR="005B6B63" w:rsidRDefault="00204F49" w:rsidP="002310E4">
      <w:pPr>
        <w:numPr>
          <w:ilvl w:val="0"/>
          <w:numId w:val="2"/>
        </w:numPr>
        <w:spacing w:before="57" w:line="251" w:lineRule="exact"/>
        <w:ind w:left="288"/>
        <w:textAlignment w:val="baseline"/>
        <w:rPr>
          <w:rFonts w:ascii="Cambria" w:eastAsia="Cambria" w:hAnsi="Cambria"/>
          <w:color w:val="000000"/>
        </w:rPr>
      </w:pPr>
      <w:r>
        <w:rPr>
          <w:rFonts w:ascii="Cambria" w:eastAsia="Cambria" w:hAnsi="Cambria"/>
          <w:color w:val="000000"/>
        </w:rPr>
        <w:t>fibroid tumours of the uterus incompatible with pregnancy</w:t>
      </w:r>
    </w:p>
    <w:p w14:paraId="7CB7A15B" w14:textId="77777777" w:rsidR="005B6B63" w:rsidRDefault="00204F49" w:rsidP="002310E4">
      <w:pPr>
        <w:spacing w:before="260" w:line="235" w:lineRule="exact"/>
        <w:textAlignment w:val="baseline"/>
        <w:rPr>
          <w:rFonts w:ascii="Cambria" w:eastAsia="Cambria" w:hAnsi="Cambria"/>
          <w:color w:val="000000"/>
          <w:spacing w:val="12"/>
          <w:u w:val="single"/>
        </w:rPr>
      </w:pPr>
      <w:r>
        <w:rPr>
          <w:rFonts w:ascii="Cambria" w:eastAsia="Cambria" w:hAnsi="Cambria"/>
          <w:color w:val="000000"/>
          <w:spacing w:val="12"/>
          <w:u w:val="single"/>
        </w:rPr>
        <w:t>In men</w:t>
      </w:r>
    </w:p>
    <w:p w14:paraId="2BB61DB7" w14:textId="77777777" w:rsidR="005B6B63" w:rsidRDefault="00204F49" w:rsidP="002310E4">
      <w:pPr>
        <w:numPr>
          <w:ilvl w:val="0"/>
          <w:numId w:val="2"/>
        </w:numPr>
        <w:spacing w:before="262" w:line="251" w:lineRule="exact"/>
        <w:ind w:left="288"/>
        <w:textAlignment w:val="baseline"/>
        <w:rPr>
          <w:rFonts w:ascii="Cambria" w:eastAsia="Cambria" w:hAnsi="Cambria"/>
          <w:color w:val="000000"/>
        </w:rPr>
      </w:pPr>
      <w:r>
        <w:rPr>
          <w:rFonts w:ascii="Cambria" w:eastAsia="Cambria" w:hAnsi="Cambria"/>
          <w:color w:val="000000"/>
        </w:rPr>
        <w:t>elevated gonadotrophin levels that indicate primary testicular failure</w:t>
      </w:r>
    </w:p>
    <w:p w14:paraId="049EC07D" w14:textId="77777777" w:rsidR="005B6B63" w:rsidRDefault="00204F49" w:rsidP="002310E4">
      <w:pPr>
        <w:numPr>
          <w:ilvl w:val="0"/>
          <w:numId w:val="2"/>
        </w:numPr>
        <w:spacing w:before="56" w:line="251" w:lineRule="exact"/>
        <w:ind w:left="288"/>
        <w:textAlignment w:val="baseline"/>
        <w:rPr>
          <w:rFonts w:ascii="Cambria" w:eastAsia="Cambria" w:hAnsi="Cambria"/>
          <w:color w:val="000000"/>
        </w:rPr>
      </w:pPr>
      <w:r>
        <w:rPr>
          <w:rFonts w:ascii="Cambria" w:eastAsia="Cambria" w:hAnsi="Cambria"/>
          <w:color w:val="000000"/>
        </w:rPr>
        <w:t xml:space="preserve">infertility disorders other than </w:t>
      </w:r>
      <w:proofErr w:type="spellStart"/>
      <w:r>
        <w:rPr>
          <w:rFonts w:ascii="Cambria" w:eastAsia="Cambria" w:hAnsi="Cambria"/>
          <w:color w:val="000000"/>
        </w:rPr>
        <w:t>hypogonadotrophic</w:t>
      </w:r>
      <w:proofErr w:type="spellEnd"/>
      <w:r>
        <w:rPr>
          <w:rFonts w:ascii="Cambria" w:eastAsia="Cambria" w:hAnsi="Cambria"/>
          <w:color w:val="000000"/>
        </w:rPr>
        <w:t xml:space="preserve"> hypogonadism</w:t>
      </w:r>
    </w:p>
    <w:p w14:paraId="594B2811" w14:textId="77777777" w:rsidR="005B6B63" w:rsidRDefault="00204F49" w:rsidP="002310E4">
      <w:pPr>
        <w:spacing w:before="260" w:line="234" w:lineRule="exact"/>
        <w:textAlignment w:val="baseline"/>
        <w:rPr>
          <w:rFonts w:ascii="Cambria" w:eastAsia="Cambria" w:hAnsi="Cambria"/>
          <w:b/>
          <w:color w:val="000000"/>
        </w:rPr>
      </w:pPr>
      <w:r>
        <w:rPr>
          <w:rFonts w:ascii="Cambria" w:eastAsia="Cambria" w:hAnsi="Cambria"/>
          <w:b/>
          <w:color w:val="000000"/>
        </w:rPr>
        <w:t>Use in Elderly and Children</w:t>
      </w:r>
    </w:p>
    <w:p w14:paraId="334CF7E8" w14:textId="1D923521" w:rsidR="005B6B63" w:rsidRDefault="00204F49" w:rsidP="002310E4">
      <w:pPr>
        <w:spacing w:before="261" w:line="234" w:lineRule="exact"/>
        <w:textAlignment w:val="baseline"/>
        <w:rPr>
          <w:rFonts w:ascii="Cambria" w:eastAsia="Cambria" w:hAnsi="Cambria"/>
          <w:color w:val="000000"/>
        </w:rPr>
      </w:pPr>
      <w:r>
        <w:rPr>
          <w:rFonts w:ascii="Cambria" w:eastAsia="Cambria" w:hAnsi="Cambria"/>
          <w:color w:val="000000"/>
        </w:rPr>
        <w:t>OVALEAP should not be used in the elderly or children.</w:t>
      </w:r>
    </w:p>
    <w:p w14:paraId="2ACF500E" w14:textId="77777777" w:rsidR="005B6B63" w:rsidRPr="002310E4" w:rsidRDefault="00204F49" w:rsidP="00CF171D">
      <w:pPr>
        <w:pStyle w:val="Heading2"/>
        <w:numPr>
          <w:ilvl w:val="1"/>
          <w:numId w:val="17"/>
        </w:numPr>
      </w:pPr>
      <w:r w:rsidRPr="002310E4">
        <w:t>SPECIAL WARNINGS AND PRECAUTIONS FOR USE</w:t>
      </w:r>
    </w:p>
    <w:p w14:paraId="6E3EFB94" w14:textId="0D0CF6CD" w:rsidR="005B6B63" w:rsidRDefault="00204F49" w:rsidP="002D108A">
      <w:pPr>
        <w:widowControl w:val="0"/>
        <w:spacing w:before="128" w:line="298" w:lineRule="exact"/>
        <w:ind w:right="360"/>
        <w:textAlignment w:val="baseline"/>
        <w:rPr>
          <w:rFonts w:ascii="Cambria" w:eastAsia="Cambria" w:hAnsi="Cambria"/>
          <w:color w:val="000000"/>
        </w:rPr>
      </w:pPr>
      <w:r>
        <w:rPr>
          <w:rFonts w:ascii="Cambria" w:eastAsia="Cambria" w:hAnsi="Cambria"/>
          <w:color w:val="000000"/>
        </w:rPr>
        <w:t>OVALEAP is a potent gonadotrophic substance capable of causing mild to severe adverse reactions, and should only be used by physicians who are thoroughly familiar with infertility problems and their management.</w:t>
      </w:r>
    </w:p>
    <w:p w14:paraId="01465C73" w14:textId="4564D8B6" w:rsidR="005B6B63" w:rsidRDefault="00204F49" w:rsidP="002D108A">
      <w:pPr>
        <w:widowControl w:val="0"/>
        <w:spacing w:before="199" w:after="120" w:line="296" w:lineRule="exact"/>
        <w:textAlignment w:val="baseline"/>
        <w:rPr>
          <w:rFonts w:ascii="Cambria" w:eastAsia="Cambria" w:hAnsi="Cambria"/>
          <w:color w:val="000000"/>
        </w:rPr>
      </w:pPr>
      <w:r>
        <w:rPr>
          <w:rFonts w:ascii="Cambria" w:eastAsia="Cambria" w:hAnsi="Cambria"/>
          <w:color w:val="000000"/>
        </w:rPr>
        <w:lastRenderedPageBreak/>
        <w:t xml:space="preserve">Gonadotrophin therapy requires a certain time commitment by physicians and supportive health professionals, as well as the availability of appropriate monitoring facilities. In women, safe and effective use of OVALEAP calls for monitoring of ovarian response with ultrasound, alone or preferably in combination with measurement of serum </w:t>
      </w:r>
      <w:proofErr w:type="spellStart"/>
      <w:r>
        <w:rPr>
          <w:rFonts w:ascii="Cambria" w:eastAsia="Cambria" w:hAnsi="Cambria"/>
          <w:color w:val="000000"/>
        </w:rPr>
        <w:t>oestradiol</w:t>
      </w:r>
      <w:proofErr w:type="spellEnd"/>
      <w:r>
        <w:rPr>
          <w:rFonts w:ascii="Cambria" w:eastAsia="Cambria" w:hAnsi="Cambria"/>
          <w:color w:val="000000"/>
        </w:rPr>
        <w:t xml:space="preserve"> levels, on a regular basis. There may be a degree of inter-patient variability in response to FSH administration, with a poor response to FSH in some patients and exaggerated response in others. The lowest effective dose in relation to the treatment objective should be used in both men and women.</w:t>
      </w:r>
    </w:p>
    <w:p w14:paraId="035548AD" w14:textId="77777777" w:rsidR="005B6B63" w:rsidRDefault="00204F49" w:rsidP="002310E4">
      <w:pPr>
        <w:spacing w:before="9" w:line="297" w:lineRule="exact"/>
        <w:ind w:right="144"/>
        <w:textAlignment w:val="baseline"/>
        <w:rPr>
          <w:rFonts w:ascii="Cambria" w:eastAsia="Cambria" w:hAnsi="Cambria"/>
          <w:color w:val="000000"/>
        </w:rPr>
      </w:pPr>
      <w:r>
        <w:rPr>
          <w:rFonts w:ascii="Cambria" w:eastAsia="Cambria" w:hAnsi="Cambria"/>
          <w:color w:val="000000"/>
        </w:rPr>
        <w:t xml:space="preserve">Before starting treatment, the couple's infertility should be assessed as appropriate and putative contraindications for pregnancy evaluated. In particular, patients should be evaluated for hypothyroidism, adrenocortical deficiency, </w:t>
      </w:r>
      <w:proofErr w:type="spellStart"/>
      <w:r>
        <w:rPr>
          <w:rFonts w:ascii="Cambria" w:eastAsia="Cambria" w:hAnsi="Cambria"/>
          <w:color w:val="000000"/>
        </w:rPr>
        <w:t>hyperprolactinaemia</w:t>
      </w:r>
      <w:proofErr w:type="spellEnd"/>
      <w:r>
        <w:rPr>
          <w:rFonts w:ascii="Cambria" w:eastAsia="Cambria" w:hAnsi="Cambria"/>
          <w:color w:val="000000"/>
        </w:rPr>
        <w:t>, and appropriate specific treatment given.</w:t>
      </w:r>
    </w:p>
    <w:p w14:paraId="79D1BE5B" w14:textId="028C0022" w:rsidR="005B6B63" w:rsidRDefault="00204F49" w:rsidP="002310E4">
      <w:pPr>
        <w:spacing w:before="194" w:line="297" w:lineRule="exact"/>
        <w:textAlignment w:val="baseline"/>
        <w:rPr>
          <w:rFonts w:ascii="Cambria" w:eastAsia="Cambria" w:hAnsi="Cambria"/>
          <w:color w:val="000000"/>
        </w:rPr>
      </w:pPr>
      <w:r>
        <w:rPr>
          <w:rFonts w:ascii="Cambria" w:eastAsia="Cambria" w:hAnsi="Cambria"/>
          <w:color w:val="000000"/>
        </w:rPr>
        <w:t>OVALEAP should be used with caution in patients with known hypersensitivity to gonadotrophin presentations that do not contain FSH, due to the risk of cross-sensitivity. The first injection of OVALEAP in such patients must be performed under direct medical supervision.</w:t>
      </w:r>
    </w:p>
    <w:p w14:paraId="7E80A685" w14:textId="2EEDAD57" w:rsidR="005B6B63" w:rsidRDefault="00204F49" w:rsidP="002310E4">
      <w:pPr>
        <w:spacing w:before="199" w:line="297" w:lineRule="exact"/>
        <w:ind w:right="216"/>
        <w:textAlignment w:val="baseline"/>
        <w:rPr>
          <w:rFonts w:ascii="Cambria" w:eastAsia="Cambria" w:hAnsi="Cambria"/>
          <w:color w:val="000000"/>
        </w:rPr>
      </w:pPr>
      <w:r>
        <w:rPr>
          <w:rFonts w:ascii="Cambria" w:eastAsia="Cambria" w:hAnsi="Cambria"/>
          <w:color w:val="000000"/>
        </w:rPr>
        <w:t>Self-administration of OVALEAP should only be performed by patients who are well motivated, adequately trained and with access to expert advice. During training of the patient for self-administration</w:t>
      </w:r>
      <w:r w:rsidR="00B55452">
        <w:rPr>
          <w:rFonts w:ascii="Cambria" w:eastAsia="Cambria" w:hAnsi="Cambria"/>
          <w:color w:val="000000"/>
        </w:rPr>
        <w:t>, special attention should be given to specific instructions for use of the OVALEAP Pen.  The instructions for use of the pen will be provided together with the OVALEAP Pen</w:t>
      </w:r>
      <w:r w:rsidRPr="00A40688">
        <w:rPr>
          <w:rFonts w:ascii="Cambria" w:eastAsia="Cambria" w:hAnsi="Cambria"/>
          <w:color w:val="000000"/>
        </w:rPr>
        <w:t>.</w:t>
      </w:r>
    </w:p>
    <w:p w14:paraId="28813EC5" w14:textId="77777777" w:rsidR="005B6B63" w:rsidRDefault="00204F49" w:rsidP="002310E4">
      <w:pPr>
        <w:spacing w:before="260" w:line="234" w:lineRule="exact"/>
        <w:textAlignment w:val="baseline"/>
        <w:rPr>
          <w:rFonts w:ascii="Cambria" w:eastAsia="Cambria" w:hAnsi="Cambria"/>
          <w:b/>
          <w:color w:val="000000"/>
        </w:rPr>
      </w:pPr>
      <w:r>
        <w:rPr>
          <w:rFonts w:ascii="Cambria" w:eastAsia="Cambria" w:hAnsi="Cambria"/>
          <w:b/>
          <w:color w:val="000000"/>
        </w:rPr>
        <w:t>Treatment in women</w:t>
      </w:r>
    </w:p>
    <w:p w14:paraId="0151C830" w14:textId="206987DA" w:rsidR="005B6B63" w:rsidRDefault="00204F49" w:rsidP="002310E4">
      <w:pPr>
        <w:spacing w:before="123" w:line="297" w:lineRule="exact"/>
        <w:ind w:right="72"/>
        <w:textAlignment w:val="baseline"/>
        <w:rPr>
          <w:rFonts w:ascii="Cambria" w:eastAsia="Cambria" w:hAnsi="Cambria"/>
          <w:color w:val="000000"/>
        </w:rPr>
      </w:pPr>
      <w:r>
        <w:rPr>
          <w:rFonts w:ascii="Cambria" w:eastAsia="Cambria" w:hAnsi="Cambria"/>
          <w:color w:val="000000"/>
        </w:rPr>
        <w:t xml:space="preserve">Patients should be selected carefully according to the following guidelines: a thorough </w:t>
      </w:r>
      <w:proofErr w:type="spellStart"/>
      <w:r>
        <w:rPr>
          <w:rFonts w:ascii="Cambria" w:eastAsia="Cambria" w:hAnsi="Cambria"/>
          <w:color w:val="000000"/>
        </w:rPr>
        <w:t>gynaecological</w:t>
      </w:r>
      <w:proofErr w:type="spellEnd"/>
      <w:r>
        <w:rPr>
          <w:rFonts w:ascii="Cambria" w:eastAsia="Cambria" w:hAnsi="Cambria"/>
          <w:color w:val="000000"/>
        </w:rPr>
        <w:t xml:space="preserve"> and </w:t>
      </w:r>
      <w:proofErr w:type="spellStart"/>
      <w:r>
        <w:rPr>
          <w:rFonts w:ascii="Cambria" w:eastAsia="Cambria" w:hAnsi="Cambria"/>
          <w:color w:val="000000"/>
        </w:rPr>
        <w:t>endocrinological</w:t>
      </w:r>
      <w:proofErr w:type="spellEnd"/>
      <w:r>
        <w:rPr>
          <w:rFonts w:ascii="Cambria" w:eastAsia="Cambria" w:hAnsi="Cambria"/>
          <w:color w:val="000000"/>
        </w:rPr>
        <w:t xml:space="preserve"> evaluation must be performed; presence of early pregnancy should be ruled out; </w:t>
      </w:r>
      <w:proofErr w:type="spellStart"/>
      <w:r>
        <w:rPr>
          <w:rFonts w:ascii="Cambria" w:eastAsia="Cambria" w:hAnsi="Cambria"/>
          <w:color w:val="000000"/>
        </w:rPr>
        <w:t>aetiology</w:t>
      </w:r>
      <w:proofErr w:type="spellEnd"/>
      <w:r>
        <w:rPr>
          <w:rFonts w:ascii="Cambria" w:eastAsia="Cambria" w:hAnsi="Cambria"/>
          <w:color w:val="000000"/>
        </w:rPr>
        <w:t xml:space="preserve"> of any abnormal vaginal bleeding should be established before starting OVALEAP therapy; evaluation of semen quality of the partner should be performed; or other appropriate investigations should be performed as required.</w:t>
      </w:r>
    </w:p>
    <w:p w14:paraId="39798AE4" w14:textId="77777777" w:rsidR="005B6B63" w:rsidRDefault="00204F49" w:rsidP="002310E4">
      <w:pPr>
        <w:spacing w:before="256" w:line="234" w:lineRule="exact"/>
        <w:textAlignment w:val="baseline"/>
        <w:rPr>
          <w:rFonts w:ascii="Cambria" w:eastAsia="Cambria" w:hAnsi="Cambria"/>
          <w:b/>
          <w:color w:val="000000"/>
        </w:rPr>
      </w:pPr>
      <w:r>
        <w:rPr>
          <w:rFonts w:ascii="Cambria" w:eastAsia="Cambria" w:hAnsi="Cambria"/>
          <w:b/>
          <w:color w:val="000000"/>
        </w:rPr>
        <w:t>Ovarian Hyperstimulation Syndrome (OHSS)</w:t>
      </w:r>
    </w:p>
    <w:p w14:paraId="06D2222D" w14:textId="77777777" w:rsidR="005B6B63" w:rsidRDefault="00204F49" w:rsidP="002310E4">
      <w:pPr>
        <w:spacing w:before="127" w:line="297" w:lineRule="exact"/>
        <w:ind w:right="72"/>
        <w:textAlignment w:val="baseline"/>
        <w:rPr>
          <w:rFonts w:ascii="Cambria" w:eastAsia="Cambria" w:hAnsi="Cambria"/>
          <w:color w:val="000000"/>
        </w:rPr>
      </w:pPr>
      <w:r>
        <w:rPr>
          <w:rFonts w:ascii="Cambria" w:eastAsia="Cambria" w:hAnsi="Cambria"/>
          <w:color w:val="000000"/>
        </w:rPr>
        <w:t xml:space="preserve">Mild to moderate uncomplicated ovarian enlargement, which may be accompanied by abdominal distension and/or abdominal pain, occurs in approximately 20% of those treated with </w:t>
      </w:r>
      <w:proofErr w:type="spellStart"/>
      <w:r>
        <w:rPr>
          <w:rFonts w:ascii="Cambria" w:eastAsia="Cambria" w:hAnsi="Cambria"/>
          <w:color w:val="000000"/>
        </w:rPr>
        <w:t>follitropin</w:t>
      </w:r>
      <w:proofErr w:type="spellEnd"/>
      <w:r>
        <w:rPr>
          <w:rFonts w:ascii="Cambria" w:eastAsia="Cambria" w:hAnsi="Cambria"/>
          <w:color w:val="000000"/>
        </w:rPr>
        <w:t xml:space="preserve"> and </w:t>
      </w:r>
      <w:proofErr w:type="spellStart"/>
      <w:r>
        <w:rPr>
          <w:rFonts w:ascii="Cambria" w:eastAsia="Cambria" w:hAnsi="Cambria"/>
          <w:color w:val="000000"/>
        </w:rPr>
        <w:t>hCG</w:t>
      </w:r>
      <w:proofErr w:type="spellEnd"/>
      <w:r>
        <w:rPr>
          <w:rFonts w:ascii="Cambria" w:eastAsia="Cambria" w:hAnsi="Cambria"/>
          <w:color w:val="000000"/>
        </w:rPr>
        <w:t>, and generally regresses without treatment within two or three weeks. In the presence of marked ovarian enlargement, treatment should be discontinued.</w:t>
      </w:r>
    </w:p>
    <w:p w14:paraId="4675D304" w14:textId="77777777" w:rsidR="005B6B63" w:rsidRDefault="00204F49" w:rsidP="002310E4">
      <w:pPr>
        <w:spacing w:before="191" w:line="297" w:lineRule="exact"/>
        <w:ind w:right="72"/>
        <w:textAlignment w:val="baseline"/>
        <w:rPr>
          <w:rFonts w:ascii="Cambria" w:eastAsia="Cambria" w:hAnsi="Cambria"/>
          <w:color w:val="000000"/>
          <w:spacing w:val="-1"/>
        </w:rPr>
      </w:pPr>
      <w:r>
        <w:rPr>
          <w:rFonts w:ascii="Cambria" w:eastAsia="Cambria" w:hAnsi="Cambria"/>
          <w:color w:val="000000"/>
          <w:spacing w:val="-1"/>
        </w:rPr>
        <w:t xml:space="preserve">Patients undergoing superovulation are at an increased risk of developing Ovarian Hyperstimulation Syndrome (OHSS) in view of the excessive </w:t>
      </w:r>
      <w:proofErr w:type="spellStart"/>
      <w:r>
        <w:rPr>
          <w:rFonts w:ascii="Cambria" w:eastAsia="Cambria" w:hAnsi="Cambria"/>
          <w:color w:val="000000"/>
          <w:spacing w:val="-1"/>
        </w:rPr>
        <w:t>oestrogen</w:t>
      </w:r>
      <w:proofErr w:type="spellEnd"/>
      <w:r>
        <w:rPr>
          <w:rFonts w:ascii="Cambria" w:eastAsia="Cambria" w:hAnsi="Cambria"/>
          <w:color w:val="000000"/>
          <w:spacing w:val="-1"/>
        </w:rPr>
        <w:t xml:space="preserve"> response and multiple follicular development. Distinct from uncomplicated ovarian enlargement, OHSS is a condition that can manifest itself with increasing degrees of severity. It comprises marked ovarian enlargement, high serum sex steroids and an increase in vascular permeability which can result in an accumulation of fluid in the peritoneal, pleural and, rarely, in the pericardial cavities.</w:t>
      </w:r>
    </w:p>
    <w:p w14:paraId="312D22E9" w14:textId="77777777" w:rsidR="005B6B63" w:rsidRDefault="00204F49" w:rsidP="002310E4">
      <w:pPr>
        <w:spacing w:before="198" w:line="297" w:lineRule="exact"/>
        <w:textAlignment w:val="baseline"/>
        <w:rPr>
          <w:rFonts w:ascii="Cambria" w:eastAsia="Cambria" w:hAnsi="Cambria"/>
          <w:color w:val="000000"/>
        </w:rPr>
      </w:pPr>
      <w:r>
        <w:rPr>
          <w:rFonts w:ascii="Cambria" w:eastAsia="Cambria" w:hAnsi="Cambria"/>
          <w:color w:val="000000"/>
        </w:rPr>
        <w:t>OHSS can become a serious complication of human gonadotrophin therapy and sometimes leads to fatal complications if not adequately treated.</w:t>
      </w:r>
    </w:p>
    <w:p w14:paraId="2BA1120C" w14:textId="77777777" w:rsidR="005B6B63" w:rsidRDefault="00204F49" w:rsidP="002310E4">
      <w:pPr>
        <w:spacing w:before="195" w:line="297" w:lineRule="exact"/>
        <w:ind w:right="72"/>
        <w:textAlignment w:val="baseline"/>
        <w:rPr>
          <w:rFonts w:ascii="Cambria" w:eastAsia="Cambria" w:hAnsi="Cambria"/>
          <w:color w:val="000000"/>
        </w:rPr>
      </w:pPr>
      <w:r>
        <w:rPr>
          <w:rFonts w:ascii="Cambria" w:eastAsia="Cambria" w:hAnsi="Cambria"/>
          <w:color w:val="000000"/>
        </w:rPr>
        <w:lastRenderedPageBreak/>
        <w:t xml:space="preserve">Mild manifestations of OHSS include abdominal pain, abdominal discomfort and distension, and enlarged ovaries. Moderate OHSS may additionally present with nausea, vomiting, ultrasound evidence of ascites and marked ovarian enlargement. Severe OHSS further includes symptoms such as severe ovarian enlargement, weight gain, </w:t>
      </w:r>
      <w:proofErr w:type="spellStart"/>
      <w:r>
        <w:rPr>
          <w:rFonts w:ascii="Cambria" w:eastAsia="Cambria" w:hAnsi="Cambria"/>
          <w:color w:val="000000"/>
        </w:rPr>
        <w:t>dyspnoea</w:t>
      </w:r>
      <w:proofErr w:type="spellEnd"/>
      <w:r>
        <w:rPr>
          <w:rFonts w:ascii="Cambria" w:eastAsia="Cambria" w:hAnsi="Cambria"/>
          <w:color w:val="000000"/>
        </w:rPr>
        <w:t xml:space="preserve"> or oliguria. Clinical evaluation may reveal </w:t>
      </w:r>
      <w:proofErr w:type="spellStart"/>
      <w:r>
        <w:rPr>
          <w:rFonts w:ascii="Cambria" w:eastAsia="Cambria" w:hAnsi="Cambria"/>
          <w:color w:val="000000"/>
        </w:rPr>
        <w:t>hypovolaemia</w:t>
      </w:r>
      <w:proofErr w:type="spellEnd"/>
      <w:r>
        <w:rPr>
          <w:rFonts w:ascii="Cambria" w:eastAsia="Cambria" w:hAnsi="Cambria"/>
          <w:color w:val="000000"/>
        </w:rPr>
        <w:t xml:space="preserve">, </w:t>
      </w:r>
      <w:proofErr w:type="spellStart"/>
      <w:r>
        <w:rPr>
          <w:rFonts w:ascii="Cambria" w:eastAsia="Cambria" w:hAnsi="Cambria"/>
          <w:color w:val="000000"/>
        </w:rPr>
        <w:t>haemoconcentration</w:t>
      </w:r>
      <w:proofErr w:type="spellEnd"/>
      <w:r>
        <w:rPr>
          <w:rFonts w:ascii="Cambria" w:eastAsia="Cambria" w:hAnsi="Cambria"/>
          <w:color w:val="000000"/>
        </w:rPr>
        <w:t xml:space="preserve">, electrolyte imbalances, ascites, pleural effusions or acute pulmonary distress. Rarely, severe OHSS may be complicated by ovarian torsion or thromboembolic events, such as pulmonary embolism, </w:t>
      </w:r>
      <w:proofErr w:type="spellStart"/>
      <w:r>
        <w:rPr>
          <w:rFonts w:ascii="Cambria" w:eastAsia="Cambria" w:hAnsi="Cambria"/>
          <w:color w:val="000000"/>
        </w:rPr>
        <w:t>ischaemic</w:t>
      </w:r>
      <w:proofErr w:type="spellEnd"/>
      <w:r>
        <w:rPr>
          <w:rFonts w:ascii="Cambria" w:eastAsia="Cambria" w:hAnsi="Cambria"/>
          <w:color w:val="000000"/>
        </w:rPr>
        <w:t xml:space="preserve"> stroke or myocardial infarction.</w:t>
      </w:r>
    </w:p>
    <w:p w14:paraId="5D3E222F" w14:textId="77777777" w:rsidR="005B6B63" w:rsidRDefault="00204F49" w:rsidP="00C23C1C">
      <w:pPr>
        <w:spacing w:before="193" w:line="297" w:lineRule="exact"/>
        <w:ind w:right="431"/>
        <w:textAlignment w:val="baseline"/>
        <w:rPr>
          <w:rFonts w:ascii="Cambria" w:eastAsia="Cambria" w:hAnsi="Cambria"/>
          <w:color w:val="000000"/>
          <w:spacing w:val="-1"/>
        </w:rPr>
      </w:pPr>
      <w:r w:rsidRPr="00C23C1C">
        <w:rPr>
          <w:rFonts w:ascii="Cambria" w:eastAsia="Cambria" w:hAnsi="Cambria"/>
          <w:color w:val="000000"/>
        </w:rPr>
        <w:t>Independent risk factors for developing OHSS have been reported to include young age, lean</w:t>
      </w:r>
      <w:r>
        <w:rPr>
          <w:rFonts w:ascii="Cambria" w:eastAsia="Cambria" w:hAnsi="Cambria"/>
          <w:color w:val="000000"/>
          <w:spacing w:val="-1"/>
        </w:rPr>
        <w:t xml:space="preserve"> body mass, polycystic ovarian syndrome (PCOS), higher doses of exogenous gonadotrophin high absolute or rapidly rising serum </w:t>
      </w:r>
      <w:proofErr w:type="spellStart"/>
      <w:r>
        <w:rPr>
          <w:rFonts w:ascii="Cambria" w:eastAsia="Cambria" w:hAnsi="Cambria"/>
          <w:color w:val="000000"/>
          <w:spacing w:val="-1"/>
        </w:rPr>
        <w:t>oestradiol</w:t>
      </w:r>
      <w:proofErr w:type="spellEnd"/>
      <w:r>
        <w:rPr>
          <w:rFonts w:ascii="Cambria" w:eastAsia="Cambria" w:hAnsi="Cambria"/>
          <w:color w:val="000000"/>
          <w:spacing w:val="-1"/>
        </w:rPr>
        <w:t xml:space="preserve"> levels and previous episodes of OHSS, large number of developing ovarian follicles and large number of oocytes retrieved in ART cycles.</w:t>
      </w:r>
    </w:p>
    <w:p w14:paraId="33B25E62" w14:textId="77777777" w:rsidR="005B6B63" w:rsidRDefault="00204F49" w:rsidP="002310E4">
      <w:pPr>
        <w:spacing w:before="193" w:line="297" w:lineRule="exact"/>
        <w:textAlignment w:val="baseline"/>
        <w:rPr>
          <w:rFonts w:ascii="Cambria" w:eastAsia="Cambria" w:hAnsi="Cambria"/>
          <w:color w:val="000000"/>
        </w:rPr>
      </w:pPr>
      <w:r>
        <w:rPr>
          <w:rFonts w:ascii="Cambria" w:eastAsia="Cambria" w:hAnsi="Cambria"/>
          <w:color w:val="000000"/>
        </w:rPr>
        <w:t xml:space="preserve">Careful monitoring of ovarian response with ultrasound alone or preferably in combination with measurement of </w:t>
      </w:r>
      <w:proofErr w:type="spellStart"/>
      <w:r>
        <w:rPr>
          <w:rFonts w:ascii="Cambria" w:eastAsia="Cambria" w:hAnsi="Cambria"/>
          <w:color w:val="000000"/>
        </w:rPr>
        <w:t>oestradiol</w:t>
      </w:r>
      <w:proofErr w:type="spellEnd"/>
      <w:r>
        <w:rPr>
          <w:rFonts w:ascii="Cambria" w:eastAsia="Cambria" w:hAnsi="Cambria"/>
          <w:color w:val="000000"/>
        </w:rPr>
        <w:t xml:space="preserve"> levels is recommended prior to and during stimulation therapy, especially in patients with PCOS.</w:t>
      </w:r>
    </w:p>
    <w:p w14:paraId="5CDBB25D" w14:textId="77777777" w:rsidR="005B6B63" w:rsidRDefault="00204F49" w:rsidP="002310E4">
      <w:pPr>
        <w:spacing w:before="200" w:line="297" w:lineRule="exact"/>
        <w:ind w:right="72"/>
        <w:textAlignment w:val="baseline"/>
        <w:rPr>
          <w:rFonts w:ascii="Cambria" w:eastAsia="Cambria" w:hAnsi="Cambria"/>
          <w:color w:val="000000"/>
        </w:rPr>
      </w:pPr>
      <w:r>
        <w:rPr>
          <w:rFonts w:ascii="Cambria" w:eastAsia="Cambria" w:hAnsi="Cambria"/>
          <w:color w:val="000000"/>
        </w:rPr>
        <w:t xml:space="preserve">OHSS may progress rapidly (within 24 hours) or over several days to become a serious medical event. It most often occurs after treatment with </w:t>
      </w:r>
      <w:proofErr w:type="spellStart"/>
      <w:r>
        <w:rPr>
          <w:rFonts w:ascii="Cambria" w:eastAsia="Cambria" w:hAnsi="Cambria"/>
          <w:color w:val="000000"/>
        </w:rPr>
        <w:t>follitropin</w:t>
      </w:r>
      <w:proofErr w:type="spellEnd"/>
      <w:r>
        <w:rPr>
          <w:rFonts w:ascii="Cambria" w:eastAsia="Cambria" w:hAnsi="Cambria"/>
          <w:color w:val="000000"/>
        </w:rPr>
        <w:t xml:space="preserve"> or </w:t>
      </w:r>
      <w:proofErr w:type="spellStart"/>
      <w:r>
        <w:rPr>
          <w:rFonts w:ascii="Cambria" w:eastAsia="Cambria" w:hAnsi="Cambria"/>
          <w:color w:val="000000"/>
        </w:rPr>
        <w:t>hCG</w:t>
      </w:r>
      <w:proofErr w:type="spellEnd"/>
      <w:r>
        <w:rPr>
          <w:rFonts w:ascii="Cambria" w:eastAsia="Cambria" w:hAnsi="Cambria"/>
          <w:color w:val="000000"/>
        </w:rPr>
        <w:t xml:space="preserve"> has been discontinued, reaching its maximum at about seven to ten days following treatment. Therefore, patients should be followed for at least two weeks after </w:t>
      </w:r>
      <w:proofErr w:type="spellStart"/>
      <w:r>
        <w:rPr>
          <w:rFonts w:ascii="Cambria" w:eastAsia="Cambria" w:hAnsi="Cambria"/>
          <w:color w:val="000000"/>
        </w:rPr>
        <w:t>follitropin</w:t>
      </w:r>
      <w:proofErr w:type="spellEnd"/>
      <w:r>
        <w:rPr>
          <w:rFonts w:ascii="Cambria" w:eastAsia="Cambria" w:hAnsi="Cambria"/>
          <w:color w:val="000000"/>
        </w:rPr>
        <w:t xml:space="preserve"> or </w:t>
      </w:r>
      <w:proofErr w:type="spellStart"/>
      <w:r>
        <w:rPr>
          <w:rFonts w:ascii="Cambria" w:eastAsia="Cambria" w:hAnsi="Cambria"/>
          <w:color w:val="000000"/>
        </w:rPr>
        <w:t>hCG</w:t>
      </w:r>
      <w:proofErr w:type="spellEnd"/>
      <w:r>
        <w:rPr>
          <w:rFonts w:ascii="Cambria" w:eastAsia="Cambria" w:hAnsi="Cambria"/>
          <w:color w:val="000000"/>
        </w:rPr>
        <w:t xml:space="preserve"> administration.</w:t>
      </w:r>
    </w:p>
    <w:p w14:paraId="73566EAD" w14:textId="0B8D895F" w:rsidR="005B6B63" w:rsidRDefault="00204F49" w:rsidP="002310E4">
      <w:pPr>
        <w:spacing w:before="199" w:line="297" w:lineRule="exact"/>
        <w:ind w:right="432"/>
        <w:textAlignment w:val="baseline"/>
        <w:rPr>
          <w:rFonts w:ascii="Cambria" w:eastAsia="Cambria" w:hAnsi="Cambria"/>
          <w:color w:val="000000"/>
          <w:spacing w:val="-1"/>
        </w:rPr>
      </w:pPr>
      <w:r>
        <w:rPr>
          <w:rFonts w:ascii="Cambria" w:eastAsia="Cambria" w:hAnsi="Cambria"/>
          <w:color w:val="000000"/>
          <w:spacing w:val="-1"/>
        </w:rPr>
        <w:t xml:space="preserve">If there are any symptoms or signs of OHSS, the patient must be evaluated, investigated, and monitored. Adherence to recommended OVALEAP dosage and regimen of administration can </w:t>
      </w:r>
      <w:proofErr w:type="spellStart"/>
      <w:r>
        <w:rPr>
          <w:rFonts w:ascii="Cambria" w:eastAsia="Cambria" w:hAnsi="Cambria"/>
          <w:color w:val="000000"/>
          <w:spacing w:val="-1"/>
        </w:rPr>
        <w:t>minimise</w:t>
      </w:r>
      <w:proofErr w:type="spellEnd"/>
      <w:r>
        <w:rPr>
          <w:rFonts w:ascii="Cambria" w:eastAsia="Cambria" w:hAnsi="Cambria"/>
          <w:color w:val="000000"/>
          <w:spacing w:val="-1"/>
        </w:rPr>
        <w:t xml:space="preserve"> the risk of OHSS. Monitoring of stimulation cycles by ultrasound scans as well as </w:t>
      </w:r>
      <w:proofErr w:type="spellStart"/>
      <w:r>
        <w:rPr>
          <w:rFonts w:ascii="Cambria" w:eastAsia="Cambria" w:hAnsi="Cambria"/>
          <w:color w:val="000000"/>
          <w:spacing w:val="-1"/>
        </w:rPr>
        <w:t>oestradiol</w:t>
      </w:r>
      <w:proofErr w:type="spellEnd"/>
      <w:r>
        <w:rPr>
          <w:rFonts w:ascii="Cambria" w:eastAsia="Cambria" w:hAnsi="Cambria"/>
          <w:color w:val="000000"/>
          <w:spacing w:val="-1"/>
        </w:rPr>
        <w:t xml:space="preserve"> measurements are recommended to identify risk factors early.</w:t>
      </w:r>
    </w:p>
    <w:p w14:paraId="55E0DB55" w14:textId="77777777" w:rsidR="005B6B63" w:rsidRDefault="00204F49" w:rsidP="002310E4">
      <w:pPr>
        <w:spacing w:before="196" w:line="297" w:lineRule="exact"/>
        <w:textAlignment w:val="baseline"/>
        <w:rPr>
          <w:rFonts w:ascii="Cambria" w:eastAsia="Cambria" w:hAnsi="Cambria"/>
          <w:color w:val="000000"/>
        </w:rPr>
      </w:pPr>
      <w:r>
        <w:rPr>
          <w:rFonts w:ascii="Cambria" w:eastAsia="Cambria" w:hAnsi="Cambria"/>
          <w:color w:val="000000"/>
        </w:rPr>
        <w:t xml:space="preserve">Excessive </w:t>
      </w:r>
      <w:proofErr w:type="spellStart"/>
      <w:r>
        <w:rPr>
          <w:rFonts w:ascii="Cambria" w:eastAsia="Cambria" w:hAnsi="Cambria"/>
          <w:color w:val="000000"/>
        </w:rPr>
        <w:t>oestrogenic</w:t>
      </w:r>
      <w:proofErr w:type="spellEnd"/>
      <w:r>
        <w:rPr>
          <w:rFonts w:ascii="Cambria" w:eastAsia="Cambria" w:hAnsi="Cambria"/>
          <w:color w:val="000000"/>
        </w:rPr>
        <w:t xml:space="preserve"> response seldom gives rise to significant </w:t>
      </w:r>
      <w:proofErr w:type="spellStart"/>
      <w:r>
        <w:rPr>
          <w:rFonts w:ascii="Cambria" w:eastAsia="Cambria" w:hAnsi="Cambria"/>
          <w:color w:val="000000"/>
        </w:rPr>
        <w:t>hyperstimulation</w:t>
      </w:r>
      <w:proofErr w:type="spellEnd"/>
      <w:r>
        <w:rPr>
          <w:rFonts w:ascii="Cambria" w:eastAsia="Cambria" w:hAnsi="Cambria"/>
          <w:color w:val="000000"/>
        </w:rPr>
        <w:t xml:space="preserve"> unless </w:t>
      </w:r>
      <w:proofErr w:type="spellStart"/>
      <w:r>
        <w:rPr>
          <w:rFonts w:ascii="Cambria" w:eastAsia="Cambria" w:hAnsi="Cambria"/>
          <w:color w:val="000000"/>
        </w:rPr>
        <w:t>hCG</w:t>
      </w:r>
      <w:proofErr w:type="spellEnd"/>
      <w:r>
        <w:rPr>
          <w:rFonts w:ascii="Cambria" w:eastAsia="Cambria" w:hAnsi="Cambria"/>
          <w:color w:val="000000"/>
        </w:rPr>
        <w:t xml:space="preserve"> is administered to induce ovulation. Cases of OHSS are more common, more severe and more protracted if pregnancy occurs. Therefore, if signs of OHSS occur, it is recommended that </w:t>
      </w:r>
      <w:proofErr w:type="spellStart"/>
      <w:r>
        <w:rPr>
          <w:rFonts w:ascii="Cambria" w:eastAsia="Cambria" w:hAnsi="Cambria"/>
          <w:color w:val="000000"/>
        </w:rPr>
        <w:t>hCG</w:t>
      </w:r>
      <w:proofErr w:type="spellEnd"/>
      <w:r>
        <w:rPr>
          <w:rFonts w:ascii="Cambria" w:eastAsia="Cambria" w:hAnsi="Cambria"/>
          <w:color w:val="000000"/>
        </w:rPr>
        <w:t xml:space="preserve"> be withheld and the physician should advise the patient to refrain from intercourse for at least 4 days. Intercourse should be prohibited in those patients in whom significant ovarian enlargement occurs after ovulation because of the danger of </w:t>
      </w:r>
      <w:proofErr w:type="spellStart"/>
      <w:r>
        <w:rPr>
          <w:rFonts w:ascii="Cambria" w:eastAsia="Cambria" w:hAnsi="Cambria"/>
          <w:color w:val="000000"/>
        </w:rPr>
        <w:t>haemoperitoneum</w:t>
      </w:r>
      <w:proofErr w:type="spellEnd"/>
      <w:r>
        <w:rPr>
          <w:rFonts w:ascii="Cambria" w:eastAsia="Cambria" w:hAnsi="Cambria"/>
          <w:color w:val="000000"/>
        </w:rPr>
        <w:t xml:space="preserve"> resulting from ruptured ovarian cysts.</w:t>
      </w:r>
    </w:p>
    <w:p w14:paraId="2E4B28B7" w14:textId="77777777" w:rsidR="005B6B63" w:rsidRDefault="00204F49" w:rsidP="002310E4">
      <w:pPr>
        <w:spacing w:before="201" w:line="297" w:lineRule="exact"/>
        <w:textAlignment w:val="baseline"/>
        <w:rPr>
          <w:rFonts w:ascii="Cambria" w:eastAsia="Cambria" w:hAnsi="Cambria"/>
          <w:color w:val="000000"/>
        </w:rPr>
      </w:pPr>
      <w:r>
        <w:rPr>
          <w:rFonts w:ascii="Cambria" w:eastAsia="Cambria" w:hAnsi="Cambria"/>
          <w:color w:val="000000"/>
        </w:rPr>
        <w:t xml:space="preserve">Mild or moderate OHSS requires careful monitoring and may resolve spontaneously. Worsening of symptoms suggests progression of OHSS and requires prompt clinical reassessment. If necessary, the physician should recommend cessation of treatment or withholding </w:t>
      </w:r>
      <w:proofErr w:type="spellStart"/>
      <w:r>
        <w:rPr>
          <w:rFonts w:ascii="Cambria" w:eastAsia="Cambria" w:hAnsi="Cambria"/>
          <w:color w:val="000000"/>
        </w:rPr>
        <w:t>hCG</w:t>
      </w:r>
      <w:proofErr w:type="spellEnd"/>
      <w:r>
        <w:rPr>
          <w:rFonts w:ascii="Cambria" w:eastAsia="Cambria" w:hAnsi="Cambria"/>
          <w:color w:val="000000"/>
        </w:rPr>
        <w:t xml:space="preserve"> injection, and closely monitor the ovarian response. Severe OHSS requires admission to hospital and commencement of appropriate therapy in addition to cessation of gonadotrophins treatment. Treatment of OHSS is primarily symptomatic, consisting of bed rest, fluid and electrolyte management, and analgesics if needed.</w:t>
      </w:r>
    </w:p>
    <w:p w14:paraId="1465D058" w14:textId="77777777" w:rsidR="005B6B63" w:rsidRDefault="00204F49" w:rsidP="002D108A">
      <w:pPr>
        <w:widowControl w:val="0"/>
        <w:spacing w:before="196" w:line="297" w:lineRule="exact"/>
        <w:ind w:right="142"/>
        <w:textAlignment w:val="baseline"/>
        <w:rPr>
          <w:rFonts w:ascii="Cambria" w:eastAsia="Cambria" w:hAnsi="Cambria"/>
          <w:color w:val="000000"/>
        </w:rPr>
      </w:pPr>
      <w:r>
        <w:rPr>
          <w:rFonts w:ascii="Cambria" w:eastAsia="Cambria" w:hAnsi="Cambria"/>
          <w:color w:val="000000"/>
        </w:rPr>
        <w:t xml:space="preserve">The phenomenon of </w:t>
      </w:r>
      <w:proofErr w:type="spellStart"/>
      <w:r>
        <w:rPr>
          <w:rFonts w:ascii="Cambria" w:eastAsia="Cambria" w:hAnsi="Cambria"/>
          <w:color w:val="000000"/>
        </w:rPr>
        <w:t>haemoconcentration</w:t>
      </w:r>
      <w:proofErr w:type="spellEnd"/>
      <w:r>
        <w:rPr>
          <w:rFonts w:ascii="Cambria" w:eastAsia="Cambria" w:hAnsi="Cambria"/>
          <w:color w:val="000000"/>
        </w:rPr>
        <w:t xml:space="preserve"> associated with fluid loss into the peritoneal cavity, pleural cavity and pericardial cavity has been seen to occur and should be thoroughly assessed in the following manner: 1) fluid intake and output, 2) weight, 3) </w:t>
      </w:r>
      <w:proofErr w:type="spellStart"/>
      <w:r>
        <w:rPr>
          <w:rFonts w:ascii="Cambria" w:eastAsia="Cambria" w:hAnsi="Cambria"/>
          <w:color w:val="000000"/>
        </w:rPr>
        <w:t>haematocrit</w:t>
      </w:r>
      <w:proofErr w:type="spellEnd"/>
      <w:r>
        <w:rPr>
          <w:rFonts w:ascii="Cambria" w:eastAsia="Cambria" w:hAnsi="Cambria"/>
          <w:color w:val="000000"/>
        </w:rPr>
        <w:t xml:space="preserve">, 4) serum and </w:t>
      </w:r>
      <w:r>
        <w:rPr>
          <w:rFonts w:ascii="Cambria" w:eastAsia="Cambria" w:hAnsi="Cambria"/>
          <w:color w:val="000000"/>
        </w:rPr>
        <w:lastRenderedPageBreak/>
        <w:t xml:space="preserve">urinary electrolytes, 5) urine specific gravity, 6) BUN and creatinine, and 7) abdominal girth. These determinations are to be performed daily or more often if the need arises. Appropriate imaging examination, especially ultrasound, should also be used for identifying, </w:t>
      </w:r>
      <w:proofErr w:type="spellStart"/>
      <w:r>
        <w:rPr>
          <w:rFonts w:ascii="Cambria" w:eastAsia="Cambria" w:hAnsi="Cambria"/>
          <w:color w:val="000000"/>
        </w:rPr>
        <w:t>localising</w:t>
      </w:r>
      <w:proofErr w:type="spellEnd"/>
      <w:r>
        <w:rPr>
          <w:rFonts w:ascii="Cambria" w:eastAsia="Cambria" w:hAnsi="Cambria"/>
          <w:color w:val="000000"/>
        </w:rPr>
        <w:t xml:space="preserve"> and quantifying fluid loss.</w:t>
      </w:r>
    </w:p>
    <w:p w14:paraId="20F68DF9" w14:textId="77777777" w:rsidR="005B6B63" w:rsidRDefault="00204F49" w:rsidP="00C23C1C">
      <w:pPr>
        <w:spacing w:before="201" w:after="120" w:line="297" w:lineRule="exact"/>
        <w:ind w:right="74"/>
        <w:textAlignment w:val="baseline"/>
        <w:rPr>
          <w:rFonts w:ascii="Cambria" w:eastAsia="Cambria" w:hAnsi="Cambria"/>
          <w:color w:val="000000"/>
        </w:rPr>
      </w:pPr>
      <w:r>
        <w:rPr>
          <w:rFonts w:ascii="Cambria" w:eastAsia="Cambria" w:hAnsi="Cambria"/>
          <w:color w:val="000000"/>
        </w:rPr>
        <w:t xml:space="preserve">There is an increased risk of injury to the ovary with OHSS. The ascitic, pleural and pericardial fluids should not be removed unless absolutely necessary to relieve symptoms such as pulmonary distress or cardiac tamponade. Pelvic examination may cause rupture of an ovarian cyst, which may result in </w:t>
      </w:r>
      <w:proofErr w:type="spellStart"/>
      <w:r>
        <w:rPr>
          <w:rFonts w:ascii="Cambria" w:eastAsia="Cambria" w:hAnsi="Cambria"/>
          <w:color w:val="000000"/>
        </w:rPr>
        <w:t>haemoperitoneum</w:t>
      </w:r>
      <w:proofErr w:type="spellEnd"/>
      <w:r>
        <w:rPr>
          <w:rFonts w:ascii="Cambria" w:eastAsia="Cambria" w:hAnsi="Cambria"/>
          <w:color w:val="000000"/>
        </w:rPr>
        <w:t xml:space="preserve"> and should therefore be avoided. If this does occur, and if bleeding becomes such that surgery is required, the surgical treatment should be designed to control bleeding and to retain as much ovarian tissue as possible.</w:t>
      </w:r>
    </w:p>
    <w:p w14:paraId="2DB1404E" w14:textId="77777777" w:rsidR="005B6B63" w:rsidRDefault="00204F49" w:rsidP="002310E4">
      <w:pPr>
        <w:spacing w:before="25" w:line="236" w:lineRule="exact"/>
        <w:textAlignment w:val="baseline"/>
        <w:rPr>
          <w:rFonts w:ascii="Cambria" w:eastAsia="Cambria" w:hAnsi="Cambria"/>
          <w:b/>
          <w:color w:val="000000"/>
        </w:rPr>
      </w:pPr>
      <w:r>
        <w:rPr>
          <w:rFonts w:ascii="Cambria" w:eastAsia="Cambria" w:hAnsi="Cambria"/>
          <w:b/>
          <w:color w:val="000000"/>
        </w:rPr>
        <w:t>Thromboembolic events</w:t>
      </w:r>
    </w:p>
    <w:p w14:paraId="03FCC8AE" w14:textId="77777777" w:rsidR="005B6B63" w:rsidRDefault="00204F49" w:rsidP="002310E4">
      <w:pPr>
        <w:spacing w:before="125" w:line="297" w:lineRule="exact"/>
        <w:ind w:right="72"/>
        <w:textAlignment w:val="baseline"/>
        <w:rPr>
          <w:rFonts w:ascii="Cambria" w:eastAsia="Cambria" w:hAnsi="Cambria"/>
          <w:color w:val="000000"/>
          <w:spacing w:val="-1"/>
        </w:rPr>
      </w:pPr>
      <w:r>
        <w:rPr>
          <w:rFonts w:ascii="Cambria" w:eastAsia="Cambria" w:hAnsi="Cambria"/>
          <w:color w:val="000000"/>
          <w:spacing w:val="-1"/>
        </w:rPr>
        <w:t>Thromboembolic events, including thrombophlebitis, pulmonary embolism, stroke and arterial occlusion both in association with, and separate from OHSS, have been reported following gonadotrophin therapy. In rare cases, thromboembolic events have resulted in death.</w:t>
      </w:r>
    </w:p>
    <w:p w14:paraId="13AB749C" w14:textId="77777777" w:rsidR="005B6B63" w:rsidRDefault="00204F49" w:rsidP="002310E4">
      <w:pPr>
        <w:spacing w:before="190" w:line="297" w:lineRule="exact"/>
        <w:textAlignment w:val="baseline"/>
        <w:rPr>
          <w:rFonts w:ascii="Cambria" w:eastAsia="Cambria" w:hAnsi="Cambria"/>
          <w:color w:val="000000"/>
        </w:rPr>
      </w:pPr>
      <w:r>
        <w:rPr>
          <w:rFonts w:ascii="Cambria" w:eastAsia="Cambria" w:hAnsi="Cambria"/>
          <w:color w:val="000000"/>
        </w:rPr>
        <w:t xml:space="preserve">In women with recent or ongoing thromboembolic disease or women with generally </w:t>
      </w:r>
      <w:proofErr w:type="spellStart"/>
      <w:r>
        <w:rPr>
          <w:rFonts w:ascii="Cambria" w:eastAsia="Cambria" w:hAnsi="Cambria"/>
          <w:color w:val="000000"/>
        </w:rPr>
        <w:t>recognised</w:t>
      </w:r>
      <w:proofErr w:type="spellEnd"/>
      <w:r>
        <w:rPr>
          <w:rFonts w:ascii="Cambria" w:eastAsia="Cambria" w:hAnsi="Cambria"/>
          <w:color w:val="000000"/>
        </w:rPr>
        <w:t xml:space="preserve"> risk factors for thromboembolic events, such as personal or family history, treatment with gonadotrophins may further increase the risk for aggravation or occurrence of such events. In these women, the benefits of gonadotrophin administration need to be weighed against the risks. It should be noted, however, that pregnancy itself, as well as OHSS, also carries an increased risk of thromboembolic events.</w:t>
      </w:r>
    </w:p>
    <w:p w14:paraId="33A53D65" w14:textId="77777777" w:rsidR="005B6B63" w:rsidRDefault="00204F49" w:rsidP="002310E4">
      <w:pPr>
        <w:spacing w:before="266" w:line="239" w:lineRule="exact"/>
        <w:textAlignment w:val="baseline"/>
        <w:rPr>
          <w:rFonts w:ascii="Cambria" w:eastAsia="Cambria" w:hAnsi="Cambria"/>
          <w:b/>
          <w:color w:val="000000"/>
        </w:rPr>
      </w:pPr>
      <w:r>
        <w:rPr>
          <w:rFonts w:ascii="Cambria" w:eastAsia="Cambria" w:hAnsi="Cambria"/>
          <w:b/>
          <w:color w:val="000000"/>
        </w:rPr>
        <w:t>Multiple pregnancies</w:t>
      </w:r>
    </w:p>
    <w:p w14:paraId="6531126C" w14:textId="77777777" w:rsidR="005B6B63" w:rsidRDefault="00204F49" w:rsidP="002310E4">
      <w:pPr>
        <w:spacing w:before="107" w:line="297" w:lineRule="exact"/>
        <w:ind w:right="72"/>
        <w:textAlignment w:val="baseline"/>
        <w:rPr>
          <w:rFonts w:ascii="Cambria" w:eastAsia="Cambria" w:hAnsi="Cambria"/>
          <w:color w:val="000000"/>
        </w:rPr>
      </w:pPr>
      <w:r>
        <w:rPr>
          <w:rFonts w:ascii="Cambria" w:eastAsia="Cambria" w:hAnsi="Cambria"/>
          <w:color w:val="000000"/>
        </w:rPr>
        <w:t>In patients undergoing induction of ovulation, the incidence of multiple pregnancy is increased compared with natural conception. The majority of multiple conceptions are twins. Multiple pregnancies, especially higher order, carry an increased risk of adverse maternal and perinatal outcomes. The patient should be advised of the potential risk of multiple births before starting treatment.</w:t>
      </w:r>
    </w:p>
    <w:p w14:paraId="269CA50F" w14:textId="77777777" w:rsidR="005B6B63" w:rsidRDefault="00204F49" w:rsidP="002310E4">
      <w:pPr>
        <w:spacing w:before="201" w:line="297" w:lineRule="exact"/>
        <w:textAlignment w:val="baseline"/>
        <w:rPr>
          <w:rFonts w:ascii="Cambria" w:eastAsia="Cambria" w:hAnsi="Cambria"/>
          <w:color w:val="000000"/>
        </w:rPr>
      </w:pPr>
      <w:r>
        <w:rPr>
          <w:rFonts w:ascii="Cambria" w:eastAsia="Cambria" w:hAnsi="Cambria"/>
          <w:color w:val="000000"/>
        </w:rPr>
        <w:t xml:space="preserve">To </w:t>
      </w:r>
      <w:proofErr w:type="spellStart"/>
      <w:r>
        <w:rPr>
          <w:rFonts w:ascii="Cambria" w:eastAsia="Cambria" w:hAnsi="Cambria"/>
          <w:color w:val="000000"/>
        </w:rPr>
        <w:t>minimise</w:t>
      </w:r>
      <w:proofErr w:type="spellEnd"/>
      <w:r>
        <w:rPr>
          <w:rFonts w:ascii="Cambria" w:eastAsia="Cambria" w:hAnsi="Cambria"/>
          <w:color w:val="000000"/>
        </w:rPr>
        <w:t xml:space="preserve"> the risk of twins or higher order multiple pregnancy, careful monitoring of ovarian response is recommended. Appropriate management, such as cycle cancellation, should be considered in line with current clinical practice. The incidence of multiple pregnancy can be </w:t>
      </w:r>
      <w:proofErr w:type="spellStart"/>
      <w:r>
        <w:rPr>
          <w:rFonts w:ascii="Cambria" w:eastAsia="Cambria" w:hAnsi="Cambria"/>
          <w:color w:val="000000"/>
        </w:rPr>
        <w:t>minimised</w:t>
      </w:r>
      <w:proofErr w:type="spellEnd"/>
      <w:r>
        <w:rPr>
          <w:rFonts w:ascii="Cambria" w:eastAsia="Cambria" w:hAnsi="Cambria"/>
          <w:color w:val="000000"/>
        </w:rPr>
        <w:t xml:space="preserve"> by using the recommended dose and schedule of administration (see Section 4.2 DOSE AND METHOD OF ADMINISTRATION).</w:t>
      </w:r>
    </w:p>
    <w:p w14:paraId="6274F289" w14:textId="77777777" w:rsidR="005B6B63" w:rsidRDefault="00204F49" w:rsidP="002310E4">
      <w:pPr>
        <w:spacing w:before="198" w:line="297" w:lineRule="exact"/>
        <w:textAlignment w:val="baseline"/>
        <w:rPr>
          <w:rFonts w:ascii="Cambria" w:eastAsia="Cambria" w:hAnsi="Cambria"/>
          <w:color w:val="000000"/>
        </w:rPr>
      </w:pPr>
      <w:r>
        <w:rPr>
          <w:rFonts w:ascii="Cambria" w:eastAsia="Cambria" w:hAnsi="Cambria"/>
          <w:color w:val="000000"/>
        </w:rPr>
        <w:t>In patients undergoing ART procedures, the risk of multiple pregnancy is related mainly to the number of embryos replaced, their quality and the patient’s age. Single embryo transfer in good prognosis cycles substantially reduces the risk of multiple pregnancy with little effect on live birth rates.</w:t>
      </w:r>
    </w:p>
    <w:p w14:paraId="3B89538D" w14:textId="77777777" w:rsidR="005B6B63" w:rsidRDefault="00204F49" w:rsidP="002310E4">
      <w:pPr>
        <w:spacing w:before="262" w:line="238" w:lineRule="exact"/>
        <w:textAlignment w:val="baseline"/>
        <w:rPr>
          <w:rFonts w:ascii="Cambria" w:eastAsia="Cambria" w:hAnsi="Cambria"/>
          <w:b/>
          <w:color w:val="000000"/>
        </w:rPr>
      </w:pPr>
      <w:r>
        <w:rPr>
          <w:rFonts w:ascii="Cambria" w:eastAsia="Cambria" w:hAnsi="Cambria"/>
          <w:b/>
          <w:color w:val="000000"/>
        </w:rPr>
        <w:t>Pregnancy loss</w:t>
      </w:r>
    </w:p>
    <w:p w14:paraId="1E5723A3" w14:textId="77777777" w:rsidR="005B6B63" w:rsidRDefault="00204F49" w:rsidP="002310E4">
      <w:pPr>
        <w:spacing w:before="117" w:line="297" w:lineRule="exact"/>
        <w:ind w:right="432"/>
        <w:textAlignment w:val="baseline"/>
        <w:rPr>
          <w:rFonts w:ascii="Cambria" w:eastAsia="Cambria" w:hAnsi="Cambria"/>
          <w:color w:val="000000"/>
          <w:spacing w:val="-1"/>
        </w:rPr>
      </w:pPr>
      <w:r>
        <w:rPr>
          <w:rFonts w:ascii="Cambria" w:eastAsia="Cambria" w:hAnsi="Cambria"/>
          <w:color w:val="000000"/>
          <w:spacing w:val="-1"/>
        </w:rPr>
        <w:t>The incidence of pregnancy loss by miscarriage or abortion is higher in patients undergoing stimulation of follicular growth for ovulation induction or ART than following natural conception, but comparable with the rates found in women with other fertility problems.</w:t>
      </w:r>
    </w:p>
    <w:p w14:paraId="4238CB33" w14:textId="77777777" w:rsidR="00A75C56" w:rsidRDefault="00A75C56" w:rsidP="002310E4">
      <w:pPr>
        <w:spacing w:before="261" w:line="239" w:lineRule="exact"/>
        <w:textAlignment w:val="baseline"/>
        <w:rPr>
          <w:rFonts w:ascii="Cambria" w:eastAsia="Cambria" w:hAnsi="Cambria"/>
          <w:b/>
          <w:color w:val="000000"/>
        </w:rPr>
      </w:pPr>
    </w:p>
    <w:p w14:paraId="0FFEEEC6" w14:textId="12181DB8" w:rsidR="005B6B63" w:rsidRDefault="00204F49" w:rsidP="002310E4">
      <w:pPr>
        <w:spacing w:before="261" w:line="239" w:lineRule="exact"/>
        <w:textAlignment w:val="baseline"/>
        <w:rPr>
          <w:rFonts w:ascii="Cambria" w:eastAsia="Cambria" w:hAnsi="Cambria"/>
          <w:b/>
          <w:color w:val="000000"/>
        </w:rPr>
      </w:pPr>
      <w:r>
        <w:rPr>
          <w:rFonts w:ascii="Cambria" w:eastAsia="Cambria" w:hAnsi="Cambria"/>
          <w:b/>
          <w:color w:val="000000"/>
        </w:rPr>
        <w:lastRenderedPageBreak/>
        <w:t>Congenital anomalies</w:t>
      </w:r>
    </w:p>
    <w:p w14:paraId="421ACB24" w14:textId="77777777" w:rsidR="005B6B63" w:rsidRDefault="00204F49" w:rsidP="002310E4">
      <w:pPr>
        <w:spacing w:before="119" w:line="297" w:lineRule="exact"/>
        <w:ind w:right="72"/>
        <w:textAlignment w:val="baseline"/>
        <w:rPr>
          <w:rFonts w:ascii="Cambria" w:eastAsia="Cambria" w:hAnsi="Cambria"/>
          <w:color w:val="000000"/>
        </w:rPr>
      </w:pPr>
      <w:r>
        <w:rPr>
          <w:rFonts w:ascii="Cambria" w:eastAsia="Cambria" w:hAnsi="Cambria"/>
          <w:color w:val="000000"/>
        </w:rPr>
        <w:t>The prevalence of congenital anomalies after the use of ART may be slightly higher than after spontaneous conceptions. Possible contributing factors include aspects inherent in the couple’s infertility, ovulation induction agents, other medicines used in treatment and the ART procedures. While there is no specific evidence from clinical trials or post-marketing data implicating gonadotrophin use in adverse effects on pregnancy, embryonal or fetal development, parturition or postnatal development, ovulation induction agents cannot be excluded as a contributing factor.</w:t>
      </w:r>
    </w:p>
    <w:p w14:paraId="18EFFA2C" w14:textId="77777777" w:rsidR="00142775" w:rsidRDefault="00142775" w:rsidP="002310E4">
      <w:pPr>
        <w:spacing w:before="25" w:line="234" w:lineRule="exact"/>
        <w:textAlignment w:val="baseline"/>
        <w:rPr>
          <w:rFonts w:ascii="Cambria" w:eastAsia="Cambria" w:hAnsi="Cambria"/>
          <w:b/>
          <w:color w:val="000000"/>
        </w:rPr>
      </w:pPr>
    </w:p>
    <w:p w14:paraId="495D3882" w14:textId="77777777" w:rsidR="005B6B63" w:rsidRDefault="00204F49" w:rsidP="002310E4">
      <w:pPr>
        <w:spacing w:before="25" w:line="234" w:lineRule="exact"/>
        <w:textAlignment w:val="baseline"/>
        <w:rPr>
          <w:rFonts w:ascii="Cambria" w:eastAsia="Cambria" w:hAnsi="Cambria"/>
          <w:b/>
          <w:color w:val="000000"/>
        </w:rPr>
      </w:pPr>
      <w:r>
        <w:rPr>
          <w:rFonts w:ascii="Cambria" w:eastAsia="Cambria" w:hAnsi="Cambria"/>
          <w:b/>
          <w:color w:val="000000"/>
        </w:rPr>
        <w:t>Treatment in men</w:t>
      </w:r>
    </w:p>
    <w:p w14:paraId="184DBADB" w14:textId="4FDBA673" w:rsidR="005B6B63" w:rsidRDefault="00204F49" w:rsidP="002310E4">
      <w:pPr>
        <w:spacing w:before="122" w:line="297" w:lineRule="exact"/>
        <w:ind w:right="288"/>
        <w:textAlignment w:val="baseline"/>
        <w:rPr>
          <w:rFonts w:ascii="Cambria" w:eastAsia="Cambria" w:hAnsi="Cambria"/>
          <w:color w:val="000000"/>
        </w:rPr>
      </w:pPr>
      <w:r>
        <w:rPr>
          <w:rFonts w:ascii="Cambria" w:eastAsia="Cambria" w:hAnsi="Cambria"/>
          <w:color w:val="000000"/>
        </w:rPr>
        <w:t>Elevated endogenous FSH levels are indicative of primary testicular failure. Such patients are unresponsive to OVALEAP/</w:t>
      </w:r>
      <w:proofErr w:type="spellStart"/>
      <w:r>
        <w:rPr>
          <w:rFonts w:ascii="Cambria" w:eastAsia="Cambria" w:hAnsi="Cambria"/>
          <w:color w:val="000000"/>
        </w:rPr>
        <w:t>hCG</w:t>
      </w:r>
      <w:proofErr w:type="spellEnd"/>
      <w:r>
        <w:rPr>
          <w:rFonts w:ascii="Cambria" w:eastAsia="Cambria" w:hAnsi="Cambria"/>
          <w:color w:val="000000"/>
        </w:rPr>
        <w:t xml:space="preserve"> therapy. Semen analysis is recommended in assessing the response to treatment.</w:t>
      </w:r>
    </w:p>
    <w:p w14:paraId="79061F0C" w14:textId="77777777" w:rsidR="005B6B63" w:rsidRDefault="00204F49" w:rsidP="002310E4">
      <w:pPr>
        <w:spacing w:before="260" w:line="234" w:lineRule="exact"/>
        <w:textAlignment w:val="baseline"/>
        <w:rPr>
          <w:rFonts w:ascii="Cambria" w:eastAsia="Cambria" w:hAnsi="Cambria"/>
          <w:b/>
          <w:color w:val="000000"/>
          <w:spacing w:val="-1"/>
        </w:rPr>
      </w:pPr>
      <w:r>
        <w:rPr>
          <w:rFonts w:ascii="Cambria" w:eastAsia="Cambria" w:hAnsi="Cambria"/>
          <w:b/>
          <w:color w:val="000000"/>
          <w:spacing w:val="-1"/>
        </w:rPr>
        <w:t>Porphyria</w:t>
      </w:r>
    </w:p>
    <w:p w14:paraId="7AE2181A" w14:textId="388D78AC" w:rsidR="005B6B63" w:rsidRDefault="00204F49" w:rsidP="002310E4">
      <w:pPr>
        <w:spacing w:before="117" w:line="297" w:lineRule="exact"/>
        <w:textAlignment w:val="baseline"/>
        <w:rPr>
          <w:rFonts w:ascii="Cambria" w:eastAsia="Cambria" w:hAnsi="Cambria"/>
          <w:color w:val="000000"/>
        </w:rPr>
      </w:pPr>
      <w:r>
        <w:rPr>
          <w:rFonts w:ascii="Cambria" w:eastAsia="Cambria" w:hAnsi="Cambria"/>
          <w:color w:val="000000"/>
        </w:rPr>
        <w:t xml:space="preserve">In patients with porphyria or a family history of porphyria, </w:t>
      </w:r>
      <w:proofErr w:type="spellStart"/>
      <w:r w:rsidR="00605728">
        <w:rPr>
          <w:rFonts w:ascii="Cambria" w:eastAsia="Cambria" w:hAnsi="Cambria"/>
          <w:color w:val="000000"/>
        </w:rPr>
        <w:t>follitropin</w:t>
      </w:r>
      <w:proofErr w:type="spellEnd"/>
      <w:r w:rsidR="00605728">
        <w:rPr>
          <w:rFonts w:ascii="Cambria" w:eastAsia="Cambria" w:hAnsi="Cambria"/>
          <w:color w:val="000000"/>
        </w:rPr>
        <w:t xml:space="preserve"> alfa</w:t>
      </w:r>
      <w:r>
        <w:rPr>
          <w:rFonts w:ascii="Cambria" w:eastAsia="Cambria" w:hAnsi="Cambria"/>
          <w:color w:val="000000"/>
        </w:rPr>
        <w:t xml:space="preserve"> may increase the risk of an acute attack. Deterioration or a first appearance of this condition may require cessation of treatment.</w:t>
      </w:r>
    </w:p>
    <w:p w14:paraId="4EC38A51" w14:textId="77777777" w:rsidR="005B6B63" w:rsidRDefault="00204F49" w:rsidP="002310E4">
      <w:pPr>
        <w:spacing w:before="266" w:line="234" w:lineRule="exact"/>
        <w:textAlignment w:val="baseline"/>
        <w:rPr>
          <w:rFonts w:ascii="Cambria" w:eastAsia="Cambria" w:hAnsi="Cambria"/>
          <w:b/>
          <w:color w:val="000000"/>
        </w:rPr>
      </w:pPr>
      <w:r>
        <w:rPr>
          <w:rFonts w:ascii="Cambria" w:eastAsia="Cambria" w:hAnsi="Cambria"/>
          <w:b/>
          <w:color w:val="000000"/>
        </w:rPr>
        <w:t>Use in the elderly</w:t>
      </w:r>
    </w:p>
    <w:p w14:paraId="081DCFAA" w14:textId="265B31BB" w:rsidR="00992733" w:rsidRDefault="00204F49" w:rsidP="002310E4">
      <w:pPr>
        <w:spacing w:line="456" w:lineRule="exact"/>
        <w:ind w:right="98"/>
        <w:textAlignment w:val="baseline"/>
        <w:rPr>
          <w:rFonts w:ascii="Cambria" w:eastAsia="Cambria" w:hAnsi="Cambria"/>
          <w:color w:val="000000"/>
        </w:rPr>
      </w:pPr>
      <w:r>
        <w:rPr>
          <w:rFonts w:ascii="Cambria" w:eastAsia="Cambria" w:hAnsi="Cambria"/>
          <w:color w:val="000000"/>
        </w:rPr>
        <w:t xml:space="preserve">OVALEAP should not be used in the elderly population (see Section 4.3 CONTRAINDICATIONS). </w:t>
      </w:r>
    </w:p>
    <w:p w14:paraId="3E9E1C6B" w14:textId="7AB45F2E" w:rsidR="005B6B63" w:rsidRDefault="00204F49" w:rsidP="002310E4">
      <w:pPr>
        <w:spacing w:line="456" w:lineRule="exact"/>
        <w:ind w:right="98"/>
        <w:textAlignment w:val="baseline"/>
        <w:rPr>
          <w:rFonts w:ascii="Cambria" w:eastAsia="Cambria" w:hAnsi="Cambria"/>
          <w:color w:val="000000"/>
        </w:rPr>
      </w:pPr>
      <w:r>
        <w:rPr>
          <w:rFonts w:ascii="Cambria" w:eastAsia="Cambria" w:hAnsi="Cambria"/>
          <w:b/>
          <w:color w:val="000000"/>
        </w:rPr>
        <w:t>Paediatric use</w:t>
      </w:r>
    </w:p>
    <w:p w14:paraId="52B50A4A" w14:textId="138FA535" w:rsidR="005B6B63" w:rsidRDefault="00204F49" w:rsidP="00A57C8A">
      <w:pPr>
        <w:spacing w:before="121" w:line="297" w:lineRule="exact"/>
        <w:ind w:right="-185"/>
        <w:textAlignment w:val="baseline"/>
        <w:rPr>
          <w:rFonts w:ascii="Cambria" w:eastAsia="Cambria" w:hAnsi="Cambria"/>
          <w:color w:val="000000"/>
        </w:rPr>
      </w:pPr>
      <w:r>
        <w:rPr>
          <w:rFonts w:ascii="Cambria" w:eastAsia="Cambria" w:hAnsi="Cambria"/>
          <w:color w:val="000000"/>
        </w:rPr>
        <w:t xml:space="preserve">OVALEAP should not be used in the </w:t>
      </w:r>
      <w:proofErr w:type="spellStart"/>
      <w:r>
        <w:rPr>
          <w:rFonts w:ascii="Cambria" w:eastAsia="Cambria" w:hAnsi="Cambria"/>
          <w:color w:val="000000"/>
        </w:rPr>
        <w:t>paediatric</w:t>
      </w:r>
      <w:proofErr w:type="spellEnd"/>
      <w:r>
        <w:rPr>
          <w:rFonts w:ascii="Cambria" w:eastAsia="Cambria" w:hAnsi="Cambria"/>
          <w:color w:val="000000"/>
        </w:rPr>
        <w:t xml:space="preserve"> population (see Section 4.3 CONTRAINDICATIONS).</w:t>
      </w:r>
    </w:p>
    <w:p w14:paraId="0658956C" w14:textId="77777777" w:rsidR="005B6B63" w:rsidRDefault="00204F49" w:rsidP="002310E4">
      <w:pPr>
        <w:spacing w:before="76" w:line="418" w:lineRule="exact"/>
        <w:textAlignment w:val="baseline"/>
        <w:rPr>
          <w:rFonts w:ascii="Cambria" w:eastAsia="Cambria" w:hAnsi="Cambria"/>
          <w:b/>
          <w:color w:val="000000"/>
        </w:rPr>
      </w:pPr>
      <w:r>
        <w:rPr>
          <w:rFonts w:ascii="Cambria" w:eastAsia="Cambria" w:hAnsi="Cambria"/>
          <w:b/>
          <w:color w:val="000000"/>
        </w:rPr>
        <w:t xml:space="preserve">Effects on laboratory tests </w:t>
      </w:r>
      <w:r>
        <w:rPr>
          <w:rFonts w:ascii="Cambria" w:eastAsia="Cambria" w:hAnsi="Cambria"/>
          <w:b/>
          <w:color w:val="000000"/>
        </w:rPr>
        <w:br/>
      </w:r>
      <w:r>
        <w:rPr>
          <w:rFonts w:ascii="Cambria" w:eastAsia="Cambria" w:hAnsi="Cambria"/>
          <w:color w:val="000000"/>
        </w:rPr>
        <w:t>No data available.</w:t>
      </w:r>
    </w:p>
    <w:p w14:paraId="0F69103A" w14:textId="77777777" w:rsidR="005B6B63" w:rsidRPr="002310E4" w:rsidRDefault="00204F49" w:rsidP="00CF171D">
      <w:pPr>
        <w:pStyle w:val="Heading2"/>
        <w:numPr>
          <w:ilvl w:val="1"/>
          <w:numId w:val="17"/>
        </w:numPr>
      </w:pPr>
      <w:r w:rsidRPr="002310E4">
        <w:t>INTERACTIONS WITH OTHER MEDICINES AND OTHER FORMS OF INTERACTIONS</w:t>
      </w:r>
    </w:p>
    <w:p w14:paraId="4CA03931" w14:textId="55B5D3AF" w:rsidR="005B6B63" w:rsidRDefault="00204F49" w:rsidP="002310E4">
      <w:pPr>
        <w:spacing w:before="134" w:line="297" w:lineRule="exact"/>
        <w:textAlignment w:val="baseline"/>
        <w:rPr>
          <w:rFonts w:ascii="Cambria" w:eastAsia="Cambria" w:hAnsi="Cambria"/>
          <w:color w:val="000000"/>
        </w:rPr>
      </w:pPr>
      <w:r>
        <w:rPr>
          <w:rFonts w:ascii="Cambria" w:eastAsia="Cambria" w:hAnsi="Cambria"/>
          <w:color w:val="000000"/>
        </w:rPr>
        <w:t xml:space="preserve">No clinically significant drug interactions have been reported during </w:t>
      </w:r>
      <w:r w:rsidR="00992733">
        <w:rPr>
          <w:rFonts w:ascii="Cambria" w:eastAsia="Cambria" w:hAnsi="Cambria"/>
          <w:color w:val="000000"/>
        </w:rPr>
        <w:t>OVALEAP</w:t>
      </w:r>
      <w:r>
        <w:rPr>
          <w:rFonts w:ascii="Cambria" w:eastAsia="Cambria" w:hAnsi="Cambria"/>
          <w:color w:val="000000"/>
        </w:rPr>
        <w:t xml:space="preserve"> therapy. Concomitant use of</w:t>
      </w:r>
      <w:r w:rsidR="00202AE7" w:rsidRPr="00202AE7">
        <w:rPr>
          <w:rFonts w:ascii="Cambria" w:eastAsia="Cambria" w:hAnsi="Cambria"/>
          <w:color w:val="000000"/>
        </w:rPr>
        <w:t xml:space="preserve"> </w:t>
      </w:r>
      <w:r w:rsidR="00992733">
        <w:rPr>
          <w:rFonts w:ascii="Cambria" w:eastAsia="Cambria" w:hAnsi="Cambria"/>
          <w:color w:val="000000"/>
        </w:rPr>
        <w:t xml:space="preserve">OVALEAP  </w:t>
      </w:r>
      <w:r>
        <w:rPr>
          <w:rFonts w:ascii="Cambria" w:eastAsia="Cambria" w:hAnsi="Cambria"/>
          <w:color w:val="000000"/>
        </w:rPr>
        <w:t xml:space="preserve"> with other agents used to stimulate ovulation may potentiate the follicular response, whereas concurrent use of a GnRH) agonist or antagonist to induce pituitary </w:t>
      </w:r>
      <w:proofErr w:type="spellStart"/>
      <w:r>
        <w:rPr>
          <w:rFonts w:ascii="Cambria" w:eastAsia="Cambria" w:hAnsi="Cambria"/>
          <w:color w:val="000000"/>
        </w:rPr>
        <w:t>desensitisation</w:t>
      </w:r>
      <w:proofErr w:type="spellEnd"/>
      <w:r>
        <w:rPr>
          <w:rFonts w:ascii="Cambria" w:eastAsia="Cambria" w:hAnsi="Cambria"/>
          <w:color w:val="000000"/>
        </w:rPr>
        <w:t xml:space="preserve"> may increase the dosage of O</w:t>
      </w:r>
      <w:r w:rsidR="00202AE7">
        <w:rPr>
          <w:rFonts w:ascii="Cambria" w:eastAsia="Cambria" w:hAnsi="Cambria"/>
          <w:color w:val="000000"/>
        </w:rPr>
        <w:t>VALEAP</w:t>
      </w:r>
      <w:r>
        <w:rPr>
          <w:rFonts w:ascii="Cambria" w:eastAsia="Cambria" w:hAnsi="Cambria"/>
          <w:color w:val="000000"/>
        </w:rPr>
        <w:t xml:space="preserve"> needed to elicit an adequate ovarian response.</w:t>
      </w:r>
    </w:p>
    <w:p w14:paraId="39BEE884" w14:textId="77777777" w:rsidR="005B6B63" w:rsidRPr="002310E4" w:rsidRDefault="00204F49" w:rsidP="00CF171D">
      <w:pPr>
        <w:pStyle w:val="Heading2"/>
        <w:numPr>
          <w:ilvl w:val="1"/>
          <w:numId w:val="17"/>
        </w:numPr>
      </w:pPr>
      <w:r w:rsidRPr="002310E4">
        <w:t>FERTILITY, PREGNANCY AND LACTATION</w:t>
      </w:r>
    </w:p>
    <w:p w14:paraId="6BEAD004" w14:textId="77777777" w:rsidR="005B6B63" w:rsidRDefault="00204F49" w:rsidP="002310E4">
      <w:pPr>
        <w:spacing w:before="199" w:line="234" w:lineRule="exact"/>
        <w:textAlignment w:val="baseline"/>
        <w:rPr>
          <w:rFonts w:ascii="Cambria" w:eastAsia="Cambria" w:hAnsi="Cambria"/>
          <w:b/>
          <w:color w:val="000000"/>
        </w:rPr>
      </w:pPr>
      <w:r>
        <w:rPr>
          <w:rFonts w:ascii="Cambria" w:eastAsia="Cambria" w:hAnsi="Cambria"/>
          <w:b/>
          <w:color w:val="000000"/>
        </w:rPr>
        <w:t>Effects on fertility</w:t>
      </w:r>
    </w:p>
    <w:p w14:paraId="2A3B0EE8" w14:textId="486441D4" w:rsidR="00142775" w:rsidRDefault="00B55452" w:rsidP="002310E4">
      <w:pPr>
        <w:spacing w:line="458" w:lineRule="exact"/>
        <w:textAlignment w:val="baseline"/>
        <w:rPr>
          <w:rFonts w:ascii="Cambria" w:eastAsia="Cambria" w:hAnsi="Cambria"/>
          <w:color w:val="000000"/>
        </w:rPr>
      </w:pPr>
      <w:r>
        <w:rPr>
          <w:rFonts w:ascii="Cambria" w:eastAsia="Cambria" w:hAnsi="Cambria"/>
          <w:color w:val="000000"/>
        </w:rPr>
        <w:t>S</w:t>
      </w:r>
      <w:r w:rsidR="00204F49">
        <w:rPr>
          <w:rFonts w:ascii="Cambria" w:eastAsia="Cambria" w:hAnsi="Cambria"/>
          <w:color w:val="000000"/>
        </w:rPr>
        <w:t xml:space="preserve">ee Section 4.1 THERAPEUTIC INDICATIONS. </w:t>
      </w:r>
    </w:p>
    <w:p w14:paraId="36B7B206" w14:textId="77777777" w:rsidR="005B6B63" w:rsidRDefault="00204F49" w:rsidP="002310E4">
      <w:pPr>
        <w:spacing w:line="458" w:lineRule="exact"/>
        <w:textAlignment w:val="baseline"/>
        <w:rPr>
          <w:rFonts w:ascii="Cambria" w:eastAsia="Cambria" w:hAnsi="Cambria"/>
          <w:color w:val="000000"/>
        </w:rPr>
      </w:pPr>
      <w:r>
        <w:rPr>
          <w:rFonts w:ascii="Cambria" w:eastAsia="Cambria" w:hAnsi="Cambria"/>
          <w:b/>
          <w:color w:val="000000"/>
        </w:rPr>
        <w:t xml:space="preserve">Use in pregnancy </w:t>
      </w:r>
      <w:r>
        <w:rPr>
          <w:rFonts w:ascii="Cambria" w:eastAsia="Cambria" w:hAnsi="Cambria"/>
          <w:b/>
          <w:color w:val="000000"/>
          <w:sz w:val="25"/>
        </w:rPr>
        <w:t xml:space="preserve">– </w:t>
      </w:r>
      <w:r>
        <w:rPr>
          <w:rFonts w:ascii="Cambria" w:eastAsia="Cambria" w:hAnsi="Cambria"/>
          <w:b/>
          <w:color w:val="000000"/>
        </w:rPr>
        <w:t>Pregnancy Category D</w:t>
      </w:r>
    </w:p>
    <w:p w14:paraId="40355E8E" w14:textId="77777777" w:rsidR="005B6B63" w:rsidRDefault="00204F49" w:rsidP="002310E4">
      <w:pPr>
        <w:spacing w:before="118" w:line="297" w:lineRule="exact"/>
        <w:textAlignment w:val="baseline"/>
        <w:rPr>
          <w:rFonts w:ascii="Cambria" w:eastAsia="Cambria" w:hAnsi="Cambria"/>
          <w:color w:val="000000"/>
        </w:rPr>
      </w:pPr>
      <w:proofErr w:type="spellStart"/>
      <w:r>
        <w:rPr>
          <w:rFonts w:ascii="Cambria" w:eastAsia="Cambria" w:hAnsi="Cambria"/>
          <w:color w:val="000000"/>
        </w:rPr>
        <w:t>Follitropin</w:t>
      </w:r>
      <w:proofErr w:type="spellEnd"/>
      <w:r>
        <w:rPr>
          <w:rFonts w:ascii="Cambria" w:eastAsia="Cambria" w:hAnsi="Cambria"/>
          <w:color w:val="000000"/>
        </w:rPr>
        <w:t xml:space="preserve"> alfa is not intended for use during pregnancy (see Section 4.3 CONTRAINDICATIONS). In rats and rabbits, </w:t>
      </w:r>
      <w:proofErr w:type="spellStart"/>
      <w:r>
        <w:rPr>
          <w:rFonts w:ascii="Cambria" w:eastAsia="Cambria" w:hAnsi="Cambria"/>
          <w:color w:val="000000"/>
        </w:rPr>
        <w:t>follitropin</w:t>
      </w:r>
      <w:proofErr w:type="spellEnd"/>
      <w:r>
        <w:rPr>
          <w:rFonts w:ascii="Cambria" w:eastAsia="Cambria" w:hAnsi="Cambria"/>
          <w:color w:val="000000"/>
        </w:rPr>
        <w:t xml:space="preserve"> alfa caused dystocia and marked </w:t>
      </w:r>
      <w:proofErr w:type="spellStart"/>
      <w:r>
        <w:rPr>
          <w:rFonts w:ascii="Cambria" w:eastAsia="Cambria" w:hAnsi="Cambria"/>
          <w:color w:val="000000"/>
        </w:rPr>
        <w:t>postimplantation</w:t>
      </w:r>
      <w:proofErr w:type="spellEnd"/>
      <w:r>
        <w:rPr>
          <w:rFonts w:ascii="Cambria" w:eastAsia="Cambria" w:hAnsi="Cambria"/>
          <w:color w:val="000000"/>
        </w:rPr>
        <w:t xml:space="preserve"> loss at subcutaneous doses of greater than 5 IU/kg/day, indicating that it is </w:t>
      </w:r>
      <w:r>
        <w:rPr>
          <w:rFonts w:ascii="Cambria" w:eastAsia="Cambria" w:hAnsi="Cambria"/>
          <w:color w:val="000000"/>
        </w:rPr>
        <w:lastRenderedPageBreak/>
        <w:t xml:space="preserve">embryotoxic and fetotoxic. </w:t>
      </w:r>
      <w:proofErr w:type="spellStart"/>
      <w:r>
        <w:rPr>
          <w:rFonts w:ascii="Cambria" w:eastAsia="Cambria" w:hAnsi="Cambria"/>
          <w:color w:val="000000"/>
        </w:rPr>
        <w:t>Follitropin</w:t>
      </w:r>
      <w:proofErr w:type="spellEnd"/>
      <w:r>
        <w:rPr>
          <w:rFonts w:ascii="Cambria" w:eastAsia="Cambria" w:hAnsi="Cambria"/>
          <w:color w:val="000000"/>
        </w:rPr>
        <w:t xml:space="preserve"> alfa was not teratogenic at subcutaneous doses up to 320 IU/kg/day in rats or 5 IU/kg/day in rabbits.</w:t>
      </w:r>
    </w:p>
    <w:p w14:paraId="5A794746" w14:textId="77777777" w:rsidR="005B6B63" w:rsidRDefault="00204F49" w:rsidP="002310E4">
      <w:pPr>
        <w:spacing w:before="260" w:line="234" w:lineRule="exact"/>
        <w:textAlignment w:val="baseline"/>
        <w:rPr>
          <w:rFonts w:ascii="Cambria" w:eastAsia="Cambria" w:hAnsi="Cambria"/>
          <w:b/>
          <w:color w:val="000000"/>
        </w:rPr>
      </w:pPr>
      <w:r>
        <w:rPr>
          <w:rFonts w:ascii="Cambria" w:eastAsia="Cambria" w:hAnsi="Cambria"/>
          <w:b/>
          <w:color w:val="000000"/>
        </w:rPr>
        <w:t>Use in lactation.</w:t>
      </w:r>
    </w:p>
    <w:p w14:paraId="79B03286" w14:textId="77777777" w:rsidR="005B6B63" w:rsidRDefault="00204F49" w:rsidP="002310E4">
      <w:pPr>
        <w:spacing w:before="118" w:line="297" w:lineRule="exact"/>
        <w:ind w:right="288"/>
        <w:textAlignment w:val="baseline"/>
        <w:rPr>
          <w:rFonts w:ascii="Cambria" w:eastAsia="Cambria" w:hAnsi="Cambria"/>
          <w:color w:val="000000"/>
        </w:rPr>
      </w:pPr>
      <w:r>
        <w:rPr>
          <w:rFonts w:ascii="Cambria" w:eastAsia="Cambria" w:hAnsi="Cambria"/>
          <w:color w:val="000000"/>
        </w:rPr>
        <w:t xml:space="preserve">It is not known whether </w:t>
      </w:r>
      <w:proofErr w:type="spellStart"/>
      <w:r>
        <w:rPr>
          <w:rFonts w:ascii="Cambria" w:eastAsia="Cambria" w:hAnsi="Cambria"/>
          <w:color w:val="000000"/>
        </w:rPr>
        <w:t>follitropin</w:t>
      </w:r>
      <w:proofErr w:type="spellEnd"/>
      <w:r>
        <w:rPr>
          <w:rFonts w:ascii="Cambria" w:eastAsia="Cambria" w:hAnsi="Cambria"/>
          <w:color w:val="000000"/>
        </w:rPr>
        <w:t xml:space="preserve"> alfa is excreted in human milk. In lactating rats, </w:t>
      </w:r>
      <w:proofErr w:type="spellStart"/>
      <w:r>
        <w:rPr>
          <w:rFonts w:ascii="Cambria" w:eastAsia="Cambria" w:hAnsi="Cambria"/>
          <w:color w:val="000000"/>
        </w:rPr>
        <w:t>follitropin</w:t>
      </w:r>
      <w:proofErr w:type="spellEnd"/>
      <w:r>
        <w:rPr>
          <w:rFonts w:ascii="Cambria" w:eastAsia="Cambria" w:hAnsi="Cambria"/>
          <w:color w:val="000000"/>
        </w:rPr>
        <w:t xml:space="preserve"> alfa at doses up to 40 IU/kg did not influence lactation or have any effects on the postnatal growth and development of the offspring. </w:t>
      </w:r>
      <w:proofErr w:type="spellStart"/>
      <w:r>
        <w:rPr>
          <w:rFonts w:ascii="Cambria" w:eastAsia="Cambria" w:hAnsi="Cambria"/>
          <w:color w:val="000000"/>
        </w:rPr>
        <w:t>Follitropin</w:t>
      </w:r>
      <w:proofErr w:type="spellEnd"/>
      <w:r>
        <w:rPr>
          <w:rFonts w:ascii="Cambria" w:eastAsia="Cambria" w:hAnsi="Cambria"/>
          <w:color w:val="000000"/>
        </w:rPr>
        <w:t xml:space="preserve"> alfa was measured in the milk in early lactation.</w:t>
      </w:r>
    </w:p>
    <w:p w14:paraId="778F46AC" w14:textId="77777777" w:rsidR="00142775" w:rsidRDefault="00142775" w:rsidP="002310E4">
      <w:pPr>
        <w:spacing w:line="289" w:lineRule="exact"/>
        <w:ind w:right="72"/>
        <w:textAlignment w:val="baseline"/>
        <w:rPr>
          <w:rFonts w:ascii="Cambria" w:eastAsia="Cambria" w:hAnsi="Cambria"/>
          <w:color w:val="000000"/>
        </w:rPr>
      </w:pPr>
    </w:p>
    <w:p w14:paraId="4E972866" w14:textId="3C2E54B9" w:rsidR="005B6B63" w:rsidRDefault="00204F49" w:rsidP="002310E4">
      <w:pPr>
        <w:spacing w:line="289" w:lineRule="exact"/>
        <w:ind w:right="72"/>
        <w:textAlignment w:val="baseline"/>
        <w:rPr>
          <w:rFonts w:ascii="Cambria" w:eastAsia="Cambria" w:hAnsi="Cambria"/>
          <w:color w:val="000000"/>
        </w:rPr>
      </w:pPr>
      <w:r>
        <w:rPr>
          <w:rFonts w:ascii="Cambria" w:eastAsia="Cambria" w:hAnsi="Cambria"/>
          <w:color w:val="000000"/>
        </w:rPr>
        <w:t>Because many drugs are excreted in human milk and because of the potential for serious adverse reactions in the nursing infant from OVALEAP, a decision should be made whether to discontinue breastfeeding or to discontinue the drug, taking into account the importance of the drug to the mother.</w:t>
      </w:r>
    </w:p>
    <w:p w14:paraId="17F5AAE5" w14:textId="77777777" w:rsidR="005B6B63" w:rsidRPr="002310E4" w:rsidRDefault="00204F49" w:rsidP="00CF171D">
      <w:pPr>
        <w:pStyle w:val="Heading2"/>
        <w:numPr>
          <w:ilvl w:val="1"/>
          <w:numId w:val="17"/>
        </w:numPr>
        <w:spacing w:before="240"/>
      </w:pPr>
      <w:r w:rsidRPr="002310E4">
        <w:t>EFFECTS ON ABILITY TO DRIVE AND USE MACHINES</w:t>
      </w:r>
    </w:p>
    <w:p w14:paraId="46A9E4DD" w14:textId="77777777" w:rsidR="005B6B63" w:rsidRDefault="00204F49" w:rsidP="002310E4">
      <w:pPr>
        <w:spacing w:before="127" w:line="295" w:lineRule="exact"/>
        <w:ind w:right="144"/>
        <w:textAlignment w:val="baseline"/>
        <w:rPr>
          <w:rFonts w:ascii="Cambria" w:eastAsia="Cambria" w:hAnsi="Cambria"/>
          <w:color w:val="000000"/>
        </w:rPr>
      </w:pPr>
      <w:r>
        <w:rPr>
          <w:rFonts w:ascii="Cambria" w:eastAsia="Cambria" w:hAnsi="Cambria"/>
          <w:color w:val="000000"/>
        </w:rPr>
        <w:t>No studies on the effects on the ability to drive and use machines have been performed. However, adverse events of these medicines include dizziness which could affect the ability to drive or use machines (see Section 4.8 ADVERSE EFFECTS (UNDESIRABLE EFFECTS)).</w:t>
      </w:r>
    </w:p>
    <w:p w14:paraId="7EBDCBAC" w14:textId="77777777" w:rsidR="005B6B63" w:rsidRPr="002310E4" w:rsidRDefault="00204F49" w:rsidP="00CF171D">
      <w:pPr>
        <w:pStyle w:val="Heading2"/>
        <w:numPr>
          <w:ilvl w:val="1"/>
          <w:numId w:val="17"/>
        </w:numPr>
      </w:pPr>
      <w:r w:rsidRPr="002310E4">
        <w:t>ADVERSE EFFECTS (UNDESIRABLE EFFECTS)</w:t>
      </w:r>
    </w:p>
    <w:p w14:paraId="523B7A12" w14:textId="576CFEBB" w:rsidR="005B6B63" w:rsidRDefault="00204F49" w:rsidP="002310E4">
      <w:pPr>
        <w:spacing w:before="188" w:after="215" w:line="239" w:lineRule="exact"/>
        <w:textAlignment w:val="baseline"/>
        <w:rPr>
          <w:rFonts w:ascii="Cambria" w:eastAsia="Cambria" w:hAnsi="Cambria"/>
          <w:color w:val="000000"/>
        </w:rPr>
      </w:pPr>
      <w:r>
        <w:rPr>
          <w:rFonts w:ascii="Cambria" w:eastAsia="Cambria" w:hAnsi="Cambria"/>
          <w:color w:val="000000"/>
        </w:rPr>
        <w:t>The reactions reported below are classified according to frequency of occurrence as follows:</w:t>
      </w:r>
    </w:p>
    <w:tbl>
      <w:tblPr>
        <w:tblStyle w:val="TableGrid"/>
        <w:tblW w:w="0" w:type="auto"/>
        <w:tblLook w:val="04A0" w:firstRow="1" w:lastRow="0" w:firstColumn="1" w:lastColumn="0" w:noHBand="0" w:noVBand="1"/>
      </w:tblPr>
      <w:tblGrid>
        <w:gridCol w:w="1838"/>
        <w:gridCol w:w="2552"/>
      </w:tblGrid>
      <w:tr w:rsidR="00A75C56" w14:paraId="19BD02E3" w14:textId="77777777" w:rsidTr="00A75C56">
        <w:tc>
          <w:tcPr>
            <w:tcW w:w="1838" w:type="dxa"/>
          </w:tcPr>
          <w:p w14:paraId="0F246E99" w14:textId="53B2F48E" w:rsidR="00A75C56" w:rsidRDefault="00A75C56" w:rsidP="00A75C56">
            <w:pPr>
              <w:spacing w:before="188" w:after="215" w:line="239" w:lineRule="exact"/>
              <w:textAlignment w:val="baseline"/>
              <w:rPr>
                <w:rFonts w:ascii="Cambria" w:eastAsia="Cambria" w:hAnsi="Cambria"/>
                <w:color w:val="000000"/>
              </w:rPr>
            </w:pPr>
            <w:r>
              <w:rPr>
                <w:rFonts w:ascii="Cambria" w:eastAsia="Cambria" w:hAnsi="Cambria"/>
                <w:color w:val="000000"/>
              </w:rPr>
              <w:t>Very Common</w:t>
            </w:r>
          </w:p>
        </w:tc>
        <w:tc>
          <w:tcPr>
            <w:tcW w:w="2552" w:type="dxa"/>
            <w:vAlign w:val="center"/>
          </w:tcPr>
          <w:p w14:paraId="03B389E0" w14:textId="7D3D5269" w:rsidR="00A75C56" w:rsidRDefault="00A75C56" w:rsidP="00A75C56">
            <w:pPr>
              <w:spacing w:before="188" w:after="215" w:line="239" w:lineRule="exact"/>
              <w:textAlignment w:val="baseline"/>
              <w:rPr>
                <w:rFonts w:ascii="Cambria" w:eastAsia="Cambria" w:hAnsi="Cambria"/>
                <w:color w:val="000000"/>
              </w:rPr>
            </w:pPr>
            <w:r>
              <w:rPr>
                <w:rFonts w:ascii="Cambria" w:eastAsia="Cambria" w:hAnsi="Cambria"/>
                <w:color w:val="000000"/>
              </w:rPr>
              <w:t>≥1/10</w:t>
            </w:r>
          </w:p>
        </w:tc>
      </w:tr>
      <w:tr w:rsidR="00A75C56" w14:paraId="2A859A01" w14:textId="77777777" w:rsidTr="00A75C56">
        <w:tc>
          <w:tcPr>
            <w:tcW w:w="1838" w:type="dxa"/>
          </w:tcPr>
          <w:p w14:paraId="03246DE6" w14:textId="704D0E9D" w:rsidR="00A75C56" w:rsidRDefault="00A75C56" w:rsidP="00A75C56">
            <w:pPr>
              <w:spacing w:before="188" w:after="215" w:line="239" w:lineRule="exact"/>
              <w:textAlignment w:val="baseline"/>
              <w:rPr>
                <w:rFonts w:ascii="Cambria" w:eastAsia="Cambria" w:hAnsi="Cambria"/>
                <w:color w:val="000000"/>
              </w:rPr>
            </w:pPr>
            <w:r>
              <w:rPr>
                <w:rFonts w:ascii="Cambria" w:eastAsia="Cambria" w:hAnsi="Cambria"/>
                <w:color w:val="000000"/>
              </w:rPr>
              <w:t>Common</w:t>
            </w:r>
          </w:p>
        </w:tc>
        <w:tc>
          <w:tcPr>
            <w:tcW w:w="2552" w:type="dxa"/>
          </w:tcPr>
          <w:p w14:paraId="2798C335" w14:textId="5C7AADBA" w:rsidR="00A75C56" w:rsidRDefault="00A75C56" w:rsidP="00A75C56">
            <w:pPr>
              <w:spacing w:before="188" w:after="215" w:line="239" w:lineRule="exact"/>
              <w:textAlignment w:val="baseline"/>
              <w:rPr>
                <w:rFonts w:ascii="Cambria" w:eastAsia="Cambria" w:hAnsi="Cambria"/>
                <w:color w:val="000000"/>
              </w:rPr>
            </w:pPr>
            <w:r w:rsidRPr="00A75C56">
              <w:rPr>
                <w:rFonts w:ascii="Cambria" w:eastAsia="Cambria" w:hAnsi="Cambria"/>
                <w:color w:val="000000"/>
              </w:rPr>
              <w:t>≥1/100 to &lt; 1/10</w:t>
            </w:r>
          </w:p>
        </w:tc>
      </w:tr>
      <w:tr w:rsidR="00A75C56" w14:paraId="25734C9B" w14:textId="77777777" w:rsidTr="00A75C56">
        <w:tc>
          <w:tcPr>
            <w:tcW w:w="1838" w:type="dxa"/>
          </w:tcPr>
          <w:p w14:paraId="6271E95C" w14:textId="2595AC3C" w:rsidR="00A75C56" w:rsidRDefault="00A75C56" w:rsidP="00A75C56">
            <w:pPr>
              <w:spacing w:before="188" w:after="215" w:line="239" w:lineRule="exact"/>
              <w:textAlignment w:val="baseline"/>
              <w:rPr>
                <w:rFonts w:ascii="Cambria" w:eastAsia="Cambria" w:hAnsi="Cambria"/>
                <w:color w:val="000000"/>
              </w:rPr>
            </w:pPr>
            <w:r>
              <w:rPr>
                <w:rFonts w:ascii="Cambria" w:eastAsia="Cambria" w:hAnsi="Cambria"/>
                <w:color w:val="000000"/>
              </w:rPr>
              <w:t>Uncommon</w:t>
            </w:r>
          </w:p>
        </w:tc>
        <w:tc>
          <w:tcPr>
            <w:tcW w:w="2552" w:type="dxa"/>
          </w:tcPr>
          <w:p w14:paraId="471255D3" w14:textId="3673D34E" w:rsidR="00A75C56" w:rsidRDefault="00A75C56" w:rsidP="00A75C56">
            <w:pPr>
              <w:spacing w:before="188" w:after="215" w:line="239" w:lineRule="exact"/>
              <w:textAlignment w:val="baseline"/>
              <w:rPr>
                <w:rFonts w:ascii="Cambria" w:eastAsia="Cambria" w:hAnsi="Cambria"/>
                <w:color w:val="000000"/>
              </w:rPr>
            </w:pPr>
            <w:r w:rsidRPr="00A75C56">
              <w:rPr>
                <w:rFonts w:ascii="Cambria" w:eastAsia="Cambria" w:hAnsi="Cambria"/>
                <w:color w:val="000000"/>
              </w:rPr>
              <w:t>≥1/1,000 to &lt;1/100</w:t>
            </w:r>
          </w:p>
        </w:tc>
      </w:tr>
      <w:tr w:rsidR="00A75C56" w14:paraId="22EC8830" w14:textId="77777777" w:rsidTr="00A75C56">
        <w:tc>
          <w:tcPr>
            <w:tcW w:w="1838" w:type="dxa"/>
          </w:tcPr>
          <w:p w14:paraId="534E9EB0" w14:textId="4440F6C7" w:rsidR="00A75C56" w:rsidRDefault="00A75C56" w:rsidP="00A75C56">
            <w:pPr>
              <w:spacing w:before="188" w:after="215" w:line="239" w:lineRule="exact"/>
              <w:textAlignment w:val="baseline"/>
              <w:rPr>
                <w:rFonts w:ascii="Cambria" w:eastAsia="Cambria" w:hAnsi="Cambria"/>
                <w:color w:val="000000"/>
              </w:rPr>
            </w:pPr>
            <w:r>
              <w:rPr>
                <w:rFonts w:ascii="Cambria" w:eastAsia="Cambria" w:hAnsi="Cambria"/>
                <w:color w:val="000000"/>
              </w:rPr>
              <w:t>Rare</w:t>
            </w:r>
          </w:p>
        </w:tc>
        <w:tc>
          <w:tcPr>
            <w:tcW w:w="2552" w:type="dxa"/>
          </w:tcPr>
          <w:p w14:paraId="0A2AB19D" w14:textId="361B1F45" w:rsidR="00A75C56" w:rsidRDefault="00A75C56" w:rsidP="00A75C56">
            <w:pPr>
              <w:spacing w:before="188" w:after="215" w:line="239" w:lineRule="exact"/>
              <w:textAlignment w:val="baseline"/>
              <w:rPr>
                <w:rFonts w:ascii="Cambria" w:eastAsia="Cambria" w:hAnsi="Cambria"/>
                <w:color w:val="000000"/>
              </w:rPr>
            </w:pPr>
            <w:r w:rsidRPr="00A75C56">
              <w:rPr>
                <w:rFonts w:ascii="Cambria" w:eastAsia="Cambria" w:hAnsi="Cambria"/>
                <w:color w:val="000000"/>
              </w:rPr>
              <w:t>≥1/10,000 to&lt; 1/ 1,000</w:t>
            </w:r>
          </w:p>
        </w:tc>
      </w:tr>
      <w:tr w:rsidR="00A75C56" w14:paraId="41520AFC" w14:textId="77777777" w:rsidTr="00A75C56">
        <w:tc>
          <w:tcPr>
            <w:tcW w:w="1838" w:type="dxa"/>
          </w:tcPr>
          <w:p w14:paraId="67315D18" w14:textId="6D220427" w:rsidR="00A75C56" w:rsidRDefault="00A75C56" w:rsidP="00A75C56">
            <w:pPr>
              <w:spacing w:before="188" w:after="215" w:line="239" w:lineRule="exact"/>
              <w:textAlignment w:val="baseline"/>
              <w:rPr>
                <w:rFonts w:ascii="Cambria" w:eastAsia="Cambria" w:hAnsi="Cambria"/>
                <w:color w:val="000000"/>
              </w:rPr>
            </w:pPr>
            <w:r>
              <w:rPr>
                <w:rFonts w:ascii="Cambria" w:eastAsia="Cambria" w:hAnsi="Cambria"/>
                <w:color w:val="000000"/>
              </w:rPr>
              <w:t>Very Rare</w:t>
            </w:r>
          </w:p>
        </w:tc>
        <w:tc>
          <w:tcPr>
            <w:tcW w:w="2552" w:type="dxa"/>
          </w:tcPr>
          <w:p w14:paraId="6BCD62BE" w14:textId="7BF49FD4" w:rsidR="00A75C56" w:rsidRDefault="00A75C56" w:rsidP="00A75C56">
            <w:pPr>
              <w:spacing w:before="188" w:after="215" w:line="239" w:lineRule="exact"/>
              <w:textAlignment w:val="baseline"/>
              <w:rPr>
                <w:rFonts w:ascii="Cambria" w:eastAsia="Cambria" w:hAnsi="Cambria"/>
                <w:color w:val="000000"/>
              </w:rPr>
            </w:pPr>
            <w:r w:rsidRPr="00A75C56">
              <w:rPr>
                <w:rFonts w:ascii="Cambria" w:eastAsia="Cambria" w:hAnsi="Cambria"/>
                <w:color w:val="000000"/>
              </w:rPr>
              <w:t>&lt;1/10,000</w:t>
            </w:r>
          </w:p>
        </w:tc>
      </w:tr>
    </w:tbl>
    <w:p w14:paraId="044B6DEF" w14:textId="77777777" w:rsidR="005B6B63" w:rsidRDefault="00204F49" w:rsidP="002D108A">
      <w:pPr>
        <w:spacing w:before="120" w:line="378" w:lineRule="exact"/>
        <w:textAlignment w:val="baseline"/>
        <w:rPr>
          <w:rFonts w:ascii="Cambria" w:eastAsia="Cambria" w:hAnsi="Cambria"/>
          <w:b/>
          <w:color w:val="000000"/>
        </w:rPr>
      </w:pPr>
      <w:r>
        <w:rPr>
          <w:rFonts w:ascii="Cambria" w:eastAsia="Cambria" w:hAnsi="Cambria"/>
          <w:b/>
          <w:color w:val="000000"/>
        </w:rPr>
        <w:t xml:space="preserve">Treatment in general </w:t>
      </w:r>
      <w:r>
        <w:rPr>
          <w:rFonts w:ascii="Cambria" w:eastAsia="Cambria" w:hAnsi="Cambria"/>
          <w:b/>
          <w:color w:val="000000"/>
        </w:rPr>
        <w:br/>
      </w:r>
      <w:r>
        <w:rPr>
          <w:rFonts w:ascii="Cambria" w:eastAsia="Cambria" w:hAnsi="Cambria"/>
          <w:b/>
          <w:i/>
          <w:color w:val="000000"/>
        </w:rPr>
        <w:t>Immune system disorders</w:t>
      </w:r>
    </w:p>
    <w:p w14:paraId="5CC52E9B" w14:textId="77777777" w:rsidR="005B6B63" w:rsidRDefault="00204F49" w:rsidP="00C23C1C">
      <w:pPr>
        <w:tabs>
          <w:tab w:val="left" w:pos="1440"/>
        </w:tabs>
        <w:spacing w:before="195" w:line="298" w:lineRule="exact"/>
        <w:ind w:left="1440" w:right="216" w:hanging="1440"/>
        <w:jc w:val="both"/>
        <w:textAlignment w:val="baseline"/>
        <w:rPr>
          <w:rFonts w:ascii="Cambria" w:eastAsia="Cambria" w:hAnsi="Cambria"/>
          <w:color w:val="000000"/>
        </w:rPr>
      </w:pPr>
      <w:r>
        <w:rPr>
          <w:rFonts w:ascii="Cambria" w:eastAsia="Cambria" w:hAnsi="Cambria"/>
          <w:color w:val="000000"/>
        </w:rPr>
        <w:t>Very rare:</w:t>
      </w:r>
      <w:r>
        <w:rPr>
          <w:rFonts w:ascii="Cambria" w:eastAsia="Cambria" w:hAnsi="Cambria"/>
          <w:color w:val="000000"/>
        </w:rPr>
        <w:tab/>
        <w:t>Mild to severe hypersensitivity reactions including anaphylactic reactions and shock</w:t>
      </w:r>
    </w:p>
    <w:p w14:paraId="1399E6C6" w14:textId="77777777" w:rsidR="005B6B63" w:rsidRDefault="00204F49" w:rsidP="002310E4">
      <w:pPr>
        <w:spacing w:before="261" w:line="234" w:lineRule="exact"/>
        <w:textAlignment w:val="baseline"/>
        <w:rPr>
          <w:rFonts w:ascii="Cambria" w:eastAsia="Cambria" w:hAnsi="Cambria"/>
          <w:b/>
          <w:i/>
          <w:color w:val="000000"/>
        </w:rPr>
      </w:pPr>
      <w:r>
        <w:rPr>
          <w:rFonts w:ascii="Cambria" w:eastAsia="Cambria" w:hAnsi="Cambria"/>
          <w:b/>
          <w:i/>
          <w:color w:val="000000"/>
        </w:rPr>
        <w:t>Respiratory, thoracic and mediastinal disorders</w:t>
      </w:r>
    </w:p>
    <w:p w14:paraId="1BAA002C" w14:textId="77777777" w:rsidR="00A75C56" w:rsidRDefault="00204F49" w:rsidP="00A75C56">
      <w:pPr>
        <w:tabs>
          <w:tab w:val="left" w:pos="1440"/>
        </w:tabs>
        <w:spacing w:before="2" w:line="495" w:lineRule="exact"/>
        <w:textAlignment w:val="baseline"/>
        <w:rPr>
          <w:rFonts w:ascii="Cambria" w:eastAsia="Cambria" w:hAnsi="Cambria"/>
          <w:color w:val="000000"/>
        </w:rPr>
      </w:pPr>
      <w:r>
        <w:rPr>
          <w:rFonts w:ascii="Cambria" w:eastAsia="Cambria" w:hAnsi="Cambria"/>
          <w:color w:val="000000"/>
        </w:rPr>
        <w:t>Very rare:</w:t>
      </w:r>
      <w:r>
        <w:rPr>
          <w:rFonts w:ascii="Cambria" w:eastAsia="Cambria" w:hAnsi="Cambria"/>
          <w:color w:val="000000"/>
        </w:rPr>
        <w:tab/>
        <w:t xml:space="preserve">Exacerbation or aggravation of asthma </w:t>
      </w:r>
    </w:p>
    <w:p w14:paraId="1236F414" w14:textId="5D658B9D" w:rsidR="005B6B63" w:rsidRDefault="00204F49" w:rsidP="00A75C56">
      <w:pPr>
        <w:pageBreakBefore/>
        <w:tabs>
          <w:tab w:val="left" w:pos="1440"/>
        </w:tabs>
        <w:spacing w:before="2" w:line="495" w:lineRule="exact"/>
        <w:textAlignment w:val="baseline"/>
        <w:rPr>
          <w:rFonts w:ascii="Cambria" w:eastAsia="Cambria" w:hAnsi="Cambria"/>
          <w:color w:val="000000"/>
        </w:rPr>
      </w:pPr>
      <w:r>
        <w:rPr>
          <w:rFonts w:ascii="Cambria" w:eastAsia="Cambria" w:hAnsi="Cambria"/>
          <w:b/>
          <w:i/>
          <w:color w:val="000000"/>
        </w:rPr>
        <w:lastRenderedPageBreak/>
        <w:t>General disorders and administration site conditions</w:t>
      </w:r>
    </w:p>
    <w:p w14:paraId="613E54F1" w14:textId="77777777" w:rsidR="005B6B63" w:rsidRDefault="00204F49" w:rsidP="00C23C1C">
      <w:pPr>
        <w:spacing w:before="208" w:line="293" w:lineRule="exact"/>
        <w:ind w:left="1440" w:right="648" w:hanging="1440"/>
        <w:textAlignment w:val="baseline"/>
        <w:rPr>
          <w:rFonts w:ascii="Cambria" w:eastAsia="Cambria" w:hAnsi="Cambria"/>
          <w:color w:val="000000"/>
        </w:rPr>
      </w:pPr>
      <w:r>
        <w:rPr>
          <w:rFonts w:ascii="Cambria" w:eastAsia="Cambria" w:hAnsi="Cambria"/>
          <w:color w:val="000000"/>
        </w:rPr>
        <w:t xml:space="preserve">Very common: </w:t>
      </w:r>
      <w:r>
        <w:rPr>
          <w:rFonts w:ascii="Cambria" w:eastAsia="Cambria" w:hAnsi="Cambria"/>
          <w:color w:val="000000"/>
        </w:rPr>
        <w:tab/>
        <w:t xml:space="preserve">Injection site reactions (e.g. pain, erythema, </w:t>
      </w:r>
      <w:proofErr w:type="spellStart"/>
      <w:r>
        <w:rPr>
          <w:rFonts w:ascii="Cambria" w:eastAsia="Cambria" w:hAnsi="Cambria"/>
          <w:color w:val="000000"/>
        </w:rPr>
        <w:t>haematoma</w:t>
      </w:r>
      <w:proofErr w:type="spellEnd"/>
      <w:r>
        <w:rPr>
          <w:rFonts w:ascii="Cambria" w:eastAsia="Cambria" w:hAnsi="Cambria"/>
          <w:color w:val="000000"/>
        </w:rPr>
        <w:t>, swelling and/or irritation at the site of injection)</w:t>
      </w:r>
    </w:p>
    <w:p w14:paraId="2F4D8BCD" w14:textId="77777777" w:rsidR="005B6B63" w:rsidRDefault="00204F49" w:rsidP="002D108A">
      <w:pPr>
        <w:spacing w:before="240" w:line="239" w:lineRule="exact"/>
        <w:textAlignment w:val="baseline"/>
        <w:rPr>
          <w:rFonts w:ascii="Cambria" w:eastAsia="Cambria" w:hAnsi="Cambria"/>
          <w:b/>
          <w:color w:val="000000"/>
        </w:rPr>
      </w:pPr>
      <w:r>
        <w:rPr>
          <w:rFonts w:ascii="Cambria" w:eastAsia="Cambria" w:hAnsi="Cambria"/>
          <w:b/>
          <w:color w:val="000000"/>
        </w:rPr>
        <w:t>Treatment in women</w:t>
      </w:r>
    </w:p>
    <w:p w14:paraId="4CF900AD" w14:textId="77777777" w:rsidR="005B6B63" w:rsidRDefault="00204F49" w:rsidP="002310E4">
      <w:pPr>
        <w:spacing w:before="255" w:line="239" w:lineRule="exact"/>
        <w:textAlignment w:val="baseline"/>
        <w:rPr>
          <w:rFonts w:ascii="Cambria" w:eastAsia="Cambria" w:hAnsi="Cambria"/>
          <w:color w:val="000000"/>
        </w:rPr>
      </w:pPr>
      <w:r>
        <w:rPr>
          <w:rFonts w:ascii="Cambria" w:eastAsia="Cambria" w:hAnsi="Cambria"/>
          <w:color w:val="000000"/>
        </w:rPr>
        <w:t>The following adverse events have been reported during gonadotrophin therapy:</w:t>
      </w:r>
    </w:p>
    <w:p w14:paraId="079BD873" w14:textId="77777777" w:rsidR="005B6B63" w:rsidRDefault="00204F49" w:rsidP="002310E4">
      <w:pPr>
        <w:spacing w:before="260" w:line="234" w:lineRule="exact"/>
        <w:textAlignment w:val="baseline"/>
        <w:rPr>
          <w:rFonts w:ascii="Cambria" w:eastAsia="Cambria" w:hAnsi="Cambria"/>
          <w:b/>
          <w:i/>
          <w:color w:val="000000"/>
        </w:rPr>
      </w:pPr>
      <w:r>
        <w:rPr>
          <w:rFonts w:ascii="Cambria" w:eastAsia="Cambria" w:hAnsi="Cambria"/>
          <w:b/>
          <w:i/>
          <w:color w:val="000000"/>
        </w:rPr>
        <w:t>Reproductive system and breast disorders</w:t>
      </w:r>
    </w:p>
    <w:p w14:paraId="00CB60F7" w14:textId="77777777" w:rsidR="005B6B63" w:rsidRDefault="00204F49" w:rsidP="002D108A">
      <w:pPr>
        <w:widowControl w:val="0"/>
        <w:spacing w:before="261" w:line="239" w:lineRule="exact"/>
        <w:textAlignment w:val="baseline"/>
        <w:rPr>
          <w:rFonts w:ascii="Cambria" w:eastAsia="Cambria" w:hAnsi="Cambria"/>
          <w:color w:val="000000"/>
        </w:rPr>
      </w:pPr>
      <w:r>
        <w:rPr>
          <w:rFonts w:ascii="Cambria" w:eastAsia="Cambria" w:hAnsi="Cambria"/>
          <w:color w:val="000000"/>
        </w:rPr>
        <w:t>Very common: Ovarian cyst, mild to moderate ovarian enlargement</w:t>
      </w:r>
    </w:p>
    <w:p w14:paraId="15538527" w14:textId="77777777" w:rsidR="005B6B63" w:rsidRDefault="00204F49" w:rsidP="002D108A">
      <w:pPr>
        <w:widowControl w:val="0"/>
        <w:tabs>
          <w:tab w:val="left" w:pos="1440"/>
        </w:tabs>
        <w:spacing w:before="5" w:line="494" w:lineRule="exact"/>
        <w:ind w:right="216"/>
        <w:jc w:val="both"/>
        <w:textAlignment w:val="baseline"/>
        <w:rPr>
          <w:rFonts w:ascii="Cambria" w:eastAsia="Cambria" w:hAnsi="Cambria"/>
          <w:color w:val="000000"/>
        </w:rPr>
      </w:pPr>
      <w:r>
        <w:rPr>
          <w:rFonts w:ascii="Cambria" w:eastAsia="Cambria" w:hAnsi="Cambria"/>
          <w:color w:val="000000"/>
        </w:rPr>
        <w:t>Common:</w:t>
      </w:r>
      <w:r>
        <w:rPr>
          <w:rFonts w:ascii="Cambria" w:eastAsia="Cambria" w:hAnsi="Cambria"/>
          <w:color w:val="000000"/>
        </w:rPr>
        <w:tab/>
        <w:t xml:space="preserve">Mild or moderate OHSS (including symptomatology), intermenstrual bleeding Uncommon: </w:t>
      </w:r>
      <w:r>
        <w:rPr>
          <w:rFonts w:ascii="Cambria" w:eastAsia="Cambria" w:hAnsi="Cambria"/>
          <w:color w:val="000000"/>
        </w:rPr>
        <w:tab/>
        <w:t>Severe OHSS (including symptomatology)</w:t>
      </w:r>
    </w:p>
    <w:p w14:paraId="4027DD18" w14:textId="77777777" w:rsidR="005B6B63" w:rsidRDefault="00204F49" w:rsidP="002D108A">
      <w:pPr>
        <w:widowControl w:val="0"/>
        <w:tabs>
          <w:tab w:val="left" w:pos="1440"/>
        </w:tabs>
        <w:spacing w:before="208" w:after="120" w:line="292" w:lineRule="exact"/>
        <w:ind w:left="1440" w:right="289" w:hanging="1440"/>
        <w:textAlignment w:val="baseline"/>
        <w:rPr>
          <w:rFonts w:ascii="Cambria" w:eastAsia="Cambria" w:hAnsi="Cambria"/>
          <w:color w:val="000000"/>
        </w:rPr>
      </w:pPr>
      <w:r>
        <w:rPr>
          <w:rFonts w:ascii="Cambria" w:eastAsia="Cambria" w:hAnsi="Cambria"/>
          <w:color w:val="000000"/>
        </w:rPr>
        <w:t>Rare:</w:t>
      </w:r>
      <w:r>
        <w:rPr>
          <w:rFonts w:ascii="Cambria" w:eastAsia="Cambria" w:hAnsi="Cambria"/>
          <w:color w:val="000000"/>
        </w:rPr>
        <w:tab/>
        <w:t>Complications of severe OHSS, ectopic pregnancy, adnexal torsion associated with ovarian enlargement</w:t>
      </w:r>
    </w:p>
    <w:p w14:paraId="209FD618" w14:textId="77777777" w:rsidR="00A57C8A" w:rsidRDefault="00A57C8A" w:rsidP="0068062D">
      <w:pPr>
        <w:widowControl w:val="0"/>
        <w:spacing w:line="235" w:lineRule="exact"/>
        <w:textAlignment w:val="baseline"/>
        <w:rPr>
          <w:rFonts w:ascii="Cambria" w:eastAsia="Cambria" w:hAnsi="Cambria"/>
          <w:b/>
          <w:i/>
          <w:color w:val="000000"/>
        </w:rPr>
      </w:pPr>
    </w:p>
    <w:p w14:paraId="5459C256" w14:textId="21ED1DE0" w:rsidR="005B6B63" w:rsidRDefault="00204F49" w:rsidP="0068062D">
      <w:pPr>
        <w:widowControl w:val="0"/>
        <w:spacing w:line="235" w:lineRule="exact"/>
        <w:textAlignment w:val="baseline"/>
        <w:rPr>
          <w:rFonts w:ascii="Cambria" w:eastAsia="Cambria" w:hAnsi="Cambria"/>
          <w:b/>
          <w:i/>
          <w:color w:val="000000"/>
        </w:rPr>
      </w:pPr>
      <w:r>
        <w:rPr>
          <w:rFonts w:ascii="Cambria" w:eastAsia="Cambria" w:hAnsi="Cambria"/>
          <w:b/>
          <w:i/>
          <w:color w:val="000000"/>
        </w:rPr>
        <w:t>Gastrointestinal disorders</w:t>
      </w:r>
    </w:p>
    <w:p w14:paraId="128152E2" w14:textId="77777777" w:rsidR="005B6B63" w:rsidRDefault="00204F49" w:rsidP="0068062D">
      <w:pPr>
        <w:widowControl w:val="0"/>
        <w:tabs>
          <w:tab w:val="left" w:pos="1368"/>
        </w:tabs>
        <w:spacing w:before="207" w:line="297" w:lineRule="exact"/>
        <w:ind w:left="1368" w:hanging="1368"/>
        <w:textAlignment w:val="baseline"/>
        <w:rPr>
          <w:rFonts w:ascii="Cambria" w:eastAsia="Cambria" w:hAnsi="Cambria"/>
          <w:color w:val="000000"/>
        </w:rPr>
      </w:pPr>
      <w:r>
        <w:rPr>
          <w:rFonts w:ascii="Cambria" w:eastAsia="Cambria" w:hAnsi="Cambria"/>
          <w:color w:val="000000"/>
        </w:rPr>
        <w:t>Common:</w:t>
      </w:r>
      <w:r>
        <w:rPr>
          <w:rFonts w:ascii="Cambria" w:eastAsia="Cambria" w:hAnsi="Cambria"/>
          <w:color w:val="000000"/>
        </w:rPr>
        <w:tab/>
        <w:t xml:space="preserve">Abdominal pain, abdominal distension, abdominal discomfort, </w:t>
      </w:r>
      <w:proofErr w:type="spellStart"/>
      <w:r>
        <w:rPr>
          <w:rFonts w:ascii="Cambria" w:eastAsia="Cambria" w:hAnsi="Cambria"/>
          <w:color w:val="000000"/>
        </w:rPr>
        <w:t>diarrhoea</w:t>
      </w:r>
      <w:proofErr w:type="spellEnd"/>
      <w:r>
        <w:rPr>
          <w:rFonts w:ascii="Cambria" w:eastAsia="Cambria" w:hAnsi="Cambria"/>
          <w:color w:val="000000"/>
        </w:rPr>
        <w:t>, nausea, vomiting</w:t>
      </w:r>
    </w:p>
    <w:p w14:paraId="06556253" w14:textId="77777777" w:rsidR="005B6B63" w:rsidRDefault="00204F49" w:rsidP="002D108A">
      <w:pPr>
        <w:spacing w:before="240" w:line="235" w:lineRule="exact"/>
        <w:textAlignment w:val="baseline"/>
        <w:rPr>
          <w:rFonts w:ascii="Cambria" w:eastAsia="Cambria" w:hAnsi="Cambria"/>
          <w:b/>
          <w:i/>
          <w:color w:val="000000"/>
        </w:rPr>
      </w:pPr>
      <w:r>
        <w:rPr>
          <w:rFonts w:ascii="Cambria" w:eastAsia="Cambria" w:hAnsi="Cambria"/>
          <w:b/>
          <w:i/>
          <w:color w:val="000000"/>
        </w:rPr>
        <w:t>Nervous system disorders</w:t>
      </w:r>
    </w:p>
    <w:p w14:paraId="14A9C2CD" w14:textId="77777777" w:rsidR="005B6B63" w:rsidRDefault="00204F49" w:rsidP="002310E4">
      <w:pPr>
        <w:spacing w:before="260" w:line="234" w:lineRule="exact"/>
        <w:textAlignment w:val="baseline"/>
        <w:rPr>
          <w:rFonts w:ascii="Cambria" w:eastAsia="Cambria" w:hAnsi="Cambria"/>
          <w:color w:val="000000"/>
        </w:rPr>
      </w:pPr>
      <w:r>
        <w:rPr>
          <w:rFonts w:ascii="Cambria" w:eastAsia="Cambria" w:hAnsi="Cambria"/>
          <w:color w:val="000000"/>
        </w:rPr>
        <w:t>Very common: Headache, dizziness</w:t>
      </w:r>
    </w:p>
    <w:p w14:paraId="4FA2F23C" w14:textId="77777777" w:rsidR="005B6B63" w:rsidRDefault="00204F49" w:rsidP="002D108A">
      <w:pPr>
        <w:spacing w:before="240" w:line="235" w:lineRule="exact"/>
        <w:textAlignment w:val="baseline"/>
        <w:rPr>
          <w:rFonts w:ascii="Cambria" w:eastAsia="Cambria" w:hAnsi="Cambria"/>
          <w:b/>
          <w:i/>
          <w:color w:val="000000"/>
        </w:rPr>
      </w:pPr>
      <w:r>
        <w:rPr>
          <w:rFonts w:ascii="Cambria" w:eastAsia="Cambria" w:hAnsi="Cambria"/>
          <w:b/>
          <w:i/>
          <w:color w:val="000000"/>
        </w:rPr>
        <w:t>Vascular disorders</w:t>
      </w:r>
    </w:p>
    <w:p w14:paraId="3933D7BE" w14:textId="77777777" w:rsidR="005B6B63" w:rsidRDefault="00204F49" w:rsidP="002310E4">
      <w:pPr>
        <w:tabs>
          <w:tab w:val="left" w:pos="1368"/>
        </w:tabs>
        <w:spacing w:before="259" w:line="233" w:lineRule="exact"/>
        <w:textAlignment w:val="baseline"/>
        <w:rPr>
          <w:rFonts w:ascii="Cambria" w:eastAsia="Cambria" w:hAnsi="Cambria"/>
          <w:color w:val="000000"/>
        </w:rPr>
      </w:pPr>
      <w:r>
        <w:rPr>
          <w:rFonts w:ascii="Cambria" w:eastAsia="Cambria" w:hAnsi="Cambria"/>
          <w:color w:val="000000"/>
        </w:rPr>
        <w:t>Rare:</w:t>
      </w:r>
      <w:r>
        <w:rPr>
          <w:rFonts w:ascii="Cambria" w:eastAsia="Cambria" w:hAnsi="Cambria"/>
          <w:color w:val="000000"/>
        </w:rPr>
        <w:tab/>
        <w:t>Thromboembolism</w:t>
      </w:r>
    </w:p>
    <w:p w14:paraId="14E855BD" w14:textId="77777777" w:rsidR="005B6B63" w:rsidRDefault="00204F49" w:rsidP="002310E4">
      <w:pPr>
        <w:spacing w:before="267" w:line="238" w:lineRule="exact"/>
        <w:textAlignment w:val="baseline"/>
        <w:rPr>
          <w:rFonts w:ascii="Cambria" w:eastAsia="Cambria" w:hAnsi="Cambria"/>
          <w:color w:val="000000"/>
        </w:rPr>
      </w:pPr>
      <w:r>
        <w:rPr>
          <w:rFonts w:ascii="Cambria" w:eastAsia="Cambria" w:hAnsi="Cambria"/>
          <w:color w:val="000000"/>
        </w:rPr>
        <w:t>Refer to PRECAUTIONS for information on symptoms and management of OHSS.</w:t>
      </w:r>
    </w:p>
    <w:p w14:paraId="302DF29A" w14:textId="77777777" w:rsidR="005B6B63" w:rsidRDefault="00204F49" w:rsidP="002310E4">
      <w:pPr>
        <w:spacing w:before="256" w:line="236" w:lineRule="exact"/>
        <w:textAlignment w:val="baseline"/>
        <w:rPr>
          <w:rFonts w:ascii="Cambria" w:eastAsia="Cambria" w:hAnsi="Cambria"/>
          <w:b/>
          <w:color w:val="000000"/>
        </w:rPr>
      </w:pPr>
      <w:r>
        <w:rPr>
          <w:rFonts w:ascii="Cambria" w:eastAsia="Cambria" w:hAnsi="Cambria"/>
          <w:b/>
          <w:color w:val="000000"/>
        </w:rPr>
        <w:t>Treatment in men</w:t>
      </w:r>
    </w:p>
    <w:p w14:paraId="6DC0C799" w14:textId="77777777" w:rsidR="005B6B63" w:rsidRDefault="00204F49" w:rsidP="002310E4">
      <w:pPr>
        <w:spacing w:before="263" w:line="235" w:lineRule="exact"/>
        <w:textAlignment w:val="baseline"/>
        <w:rPr>
          <w:rFonts w:ascii="Cambria" w:eastAsia="Cambria" w:hAnsi="Cambria"/>
          <w:b/>
          <w:i/>
          <w:color w:val="000000"/>
        </w:rPr>
      </w:pPr>
      <w:r>
        <w:rPr>
          <w:rFonts w:ascii="Cambria" w:eastAsia="Cambria" w:hAnsi="Cambria"/>
          <w:b/>
          <w:i/>
          <w:color w:val="000000"/>
        </w:rPr>
        <w:t>Reproductive system and breast disorders</w:t>
      </w:r>
    </w:p>
    <w:p w14:paraId="17B627A1" w14:textId="77777777" w:rsidR="005B6B63" w:rsidRDefault="00204F49" w:rsidP="002310E4">
      <w:pPr>
        <w:tabs>
          <w:tab w:val="left" w:pos="1368"/>
        </w:tabs>
        <w:spacing w:before="260" w:line="234" w:lineRule="exact"/>
        <w:textAlignment w:val="baseline"/>
        <w:rPr>
          <w:rFonts w:ascii="Cambria" w:eastAsia="Cambria" w:hAnsi="Cambria"/>
          <w:color w:val="000000"/>
          <w:spacing w:val="1"/>
        </w:rPr>
      </w:pPr>
      <w:r>
        <w:rPr>
          <w:rFonts w:ascii="Cambria" w:eastAsia="Cambria" w:hAnsi="Cambria"/>
          <w:color w:val="000000"/>
          <w:spacing w:val="1"/>
        </w:rPr>
        <w:t>Common:</w:t>
      </w:r>
      <w:r>
        <w:rPr>
          <w:rFonts w:ascii="Cambria" w:eastAsia="Cambria" w:hAnsi="Cambria"/>
          <w:color w:val="000000"/>
          <w:spacing w:val="1"/>
        </w:rPr>
        <w:tab/>
      </w:r>
      <w:proofErr w:type="spellStart"/>
      <w:r>
        <w:rPr>
          <w:rFonts w:ascii="Cambria" w:eastAsia="Cambria" w:hAnsi="Cambria"/>
          <w:color w:val="000000"/>
          <w:spacing w:val="1"/>
        </w:rPr>
        <w:t>Gynaecomastia</w:t>
      </w:r>
      <w:proofErr w:type="spellEnd"/>
    </w:p>
    <w:p w14:paraId="421B0675" w14:textId="77777777" w:rsidR="005B6B63" w:rsidRDefault="00204F49" w:rsidP="002310E4">
      <w:pPr>
        <w:spacing w:before="265" w:line="235" w:lineRule="exact"/>
        <w:textAlignment w:val="baseline"/>
        <w:rPr>
          <w:rFonts w:ascii="Cambria" w:eastAsia="Cambria" w:hAnsi="Cambria"/>
          <w:b/>
          <w:i/>
          <w:color w:val="000000"/>
        </w:rPr>
      </w:pPr>
      <w:r>
        <w:rPr>
          <w:rFonts w:ascii="Cambria" w:eastAsia="Cambria" w:hAnsi="Cambria"/>
          <w:b/>
          <w:i/>
          <w:color w:val="000000"/>
        </w:rPr>
        <w:t>Skin and subcutaneous tissue disorders</w:t>
      </w:r>
    </w:p>
    <w:p w14:paraId="21D38E79" w14:textId="77777777" w:rsidR="005B6B63" w:rsidRDefault="00204F49" w:rsidP="002310E4">
      <w:pPr>
        <w:tabs>
          <w:tab w:val="left" w:pos="1368"/>
        </w:tabs>
        <w:spacing w:line="498" w:lineRule="exact"/>
        <w:textAlignment w:val="baseline"/>
        <w:rPr>
          <w:rFonts w:ascii="Cambria" w:eastAsia="Cambria" w:hAnsi="Cambria"/>
          <w:color w:val="000000"/>
        </w:rPr>
      </w:pPr>
      <w:r>
        <w:rPr>
          <w:rFonts w:ascii="Cambria" w:eastAsia="Cambria" w:hAnsi="Cambria"/>
          <w:color w:val="000000"/>
        </w:rPr>
        <w:t>Common:</w:t>
      </w:r>
      <w:r>
        <w:rPr>
          <w:rFonts w:ascii="Cambria" w:eastAsia="Cambria" w:hAnsi="Cambria"/>
          <w:color w:val="000000"/>
        </w:rPr>
        <w:tab/>
        <w:t xml:space="preserve">Acne </w:t>
      </w:r>
      <w:r>
        <w:rPr>
          <w:rFonts w:ascii="Cambria" w:eastAsia="Cambria" w:hAnsi="Cambria"/>
          <w:color w:val="000000"/>
        </w:rPr>
        <w:br/>
      </w:r>
      <w:r>
        <w:rPr>
          <w:rFonts w:ascii="Cambria" w:eastAsia="Cambria" w:hAnsi="Cambria"/>
          <w:b/>
          <w:i/>
          <w:color w:val="000000"/>
        </w:rPr>
        <w:t>Investigations</w:t>
      </w:r>
    </w:p>
    <w:p w14:paraId="4C0D74E0" w14:textId="77777777" w:rsidR="005B6B63" w:rsidRDefault="00204F49" w:rsidP="002310E4">
      <w:pPr>
        <w:tabs>
          <w:tab w:val="left" w:pos="1368"/>
        </w:tabs>
        <w:spacing w:before="256" w:line="239" w:lineRule="exact"/>
        <w:textAlignment w:val="baseline"/>
        <w:rPr>
          <w:rFonts w:ascii="Cambria" w:eastAsia="Cambria" w:hAnsi="Cambria"/>
          <w:color w:val="000000"/>
          <w:spacing w:val="1"/>
        </w:rPr>
      </w:pPr>
      <w:r>
        <w:rPr>
          <w:rFonts w:ascii="Cambria" w:eastAsia="Cambria" w:hAnsi="Cambria"/>
          <w:color w:val="000000"/>
          <w:spacing w:val="1"/>
        </w:rPr>
        <w:t>Common:</w:t>
      </w:r>
      <w:r>
        <w:rPr>
          <w:rFonts w:ascii="Cambria" w:eastAsia="Cambria" w:hAnsi="Cambria"/>
          <w:color w:val="000000"/>
          <w:spacing w:val="1"/>
        </w:rPr>
        <w:tab/>
        <w:t>Weight gain</w:t>
      </w:r>
    </w:p>
    <w:p w14:paraId="3B4982B4" w14:textId="77777777" w:rsidR="005B6B63" w:rsidRDefault="00204F49" w:rsidP="00A75C56">
      <w:pPr>
        <w:pageBreakBefore/>
        <w:spacing w:before="255" w:line="239" w:lineRule="exact"/>
        <w:textAlignment w:val="baseline"/>
        <w:rPr>
          <w:rFonts w:ascii="Cambria" w:eastAsia="Cambria" w:hAnsi="Cambria"/>
          <w:b/>
          <w:color w:val="000000"/>
        </w:rPr>
      </w:pPr>
      <w:r>
        <w:rPr>
          <w:rFonts w:ascii="Cambria" w:eastAsia="Cambria" w:hAnsi="Cambria"/>
          <w:b/>
          <w:color w:val="000000"/>
        </w:rPr>
        <w:lastRenderedPageBreak/>
        <w:t>Reporting suspected adverse reactions</w:t>
      </w:r>
    </w:p>
    <w:p w14:paraId="0E27F841" w14:textId="35F5A982" w:rsidR="005B6B63" w:rsidRDefault="00204F49" w:rsidP="002310E4">
      <w:pPr>
        <w:spacing w:line="295" w:lineRule="exact"/>
        <w:textAlignment w:val="baseline"/>
        <w:rPr>
          <w:rFonts w:ascii="Cambria" w:eastAsia="Cambria" w:hAnsi="Cambria"/>
          <w:color w:val="000000"/>
        </w:rPr>
      </w:pPr>
      <w:r>
        <w:rPr>
          <w:rFonts w:ascii="Cambria" w:eastAsia="Cambria" w:hAnsi="Cambria"/>
          <w:color w:val="000000"/>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r>
        <w:rPr>
          <w:rFonts w:ascii="Cambria" w:eastAsia="Cambria" w:hAnsi="Cambria"/>
          <w:color w:val="0000FF"/>
          <w:u w:val="single"/>
        </w:rPr>
        <w:t xml:space="preserve">www.tga.gov.au/reporting-problems </w:t>
      </w:r>
    </w:p>
    <w:p w14:paraId="2E6B8651" w14:textId="77777777" w:rsidR="005B6B63" w:rsidRPr="002310E4" w:rsidRDefault="00204F49" w:rsidP="00CF171D">
      <w:pPr>
        <w:pStyle w:val="Heading2"/>
        <w:numPr>
          <w:ilvl w:val="1"/>
          <w:numId w:val="17"/>
        </w:numPr>
      </w:pPr>
      <w:r w:rsidRPr="002310E4">
        <w:t>OVERDOSE</w:t>
      </w:r>
    </w:p>
    <w:p w14:paraId="6E0CADCF" w14:textId="2C74B173" w:rsidR="005B6B63" w:rsidRDefault="00204F49" w:rsidP="002310E4">
      <w:pPr>
        <w:spacing w:before="126" w:line="297" w:lineRule="exact"/>
        <w:textAlignment w:val="baseline"/>
        <w:rPr>
          <w:rFonts w:ascii="Cambria" w:eastAsia="Cambria" w:hAnsi="Cambria"/>
          <w:color w:val="000000"/>
        </w:rPr>
      </w:pPr>
      <w:r>
        <w:rPr>
          <w:rFonts w:ascii="Cambria" w:eastAsia="Cambria" w:hAnsi="Cambria"/>
          <w:color w:val="000000"/>
        </w:rPr>
        <w:t xml:space="preserve">The effects of an overdose of </w:t>
      </w:r>
      <w:proofErr w:type="spellStart"/>
      <w:r w:rsidR="00951624">
        <w:rPr>
          <w:rFonts w:ascii="Cambria" w:eastAsia="Cambria" w:hAnsi="Cambria"/>
          <w:color w:val="000000"/>
        </w:rPr>
        <w:t>follitropin</w:t>
      </w:r>
      <w:proofErr w:type="spellEnd"/>
      <w:r w:rsidR="00951624">
        <w:rPr>
          <w:rFonts w:ascii="Cambria" w:eastAsia="Cambria" w:hAnsi="Cambria"/>
          <w:color w:val="000000"/>
        </w:rPr>
        <w:t xml:space="preserve"> alfa</w:t>
      </w:r>
      <w:r>
        <w:rPr>
          <w:rFonts w:ascii="Cambria" w:eastAsia="Cambria" w:hAnsi="Cambria"/>
          <w:color w:val="000000"/>
        </w:rPr>
        <w:t xml:space="preserve"> are unknown, nevertheless, there is the possibility that OHSS may occur (see Section 4.4 SPECIAL WARNINGS AND PRECAUTIONS FOR USE).</w:t>
      </w:r>
    </w:p>
    <w:p w14:paraId="7774DCFA" w14:textId="13C85EB9" w:rsidR="005B6B63" w:rsidRDefault="00204F49" w:rsidP="002310E4">
      <w:pPr>
        <w:spacing w:before="198" w:line="297" w:lineRule="exact"/>
        <w:textAlignment w:val="baseline"/>
        <w:rPr>
          <w:rFonts w:ascii="Cambria" w:eastAsia="Cambria" w:hAnsi="Cambria"/>
          <w:color w:val="000000"/>
        </w:rPr>
      </w:pPr>
      <w:r>
        <w:rPr>
          <w:rFonts w:ascii="Cambria" w:eastAsia="Cambria" w:hAnsi="Cambria"/>
          <w:color w:val="000000"/>
        </w:rPr>
        <w:t>For information on the management of overdose, contact the Poisons Information Centre on 13 11 26 (Australia).</w:t>
      </w:r>
    </w:p>
    <w:p w14:paraId="594E498C" w14:textId="77777777" w:rsidR="00142775" w:rsidRPr="002310E4" w:rsidRDefault="00204F49" w:rsidP="002310E4">
      <w:pPr>
        <w:pStyle w:val="Heading1"/>
      </w:pPr>
      <w:r w:rsidRPr="002310E4">
        <w:t>PHARMACOLOGICAL PROPERTIES</w:t>
      </w:r>
    </w:p>
    <w:p w14:paraId="5D73F7A1" w14:textId="3F7B1763" w:rsidR="00142775" w:rsidRDefault="00EC3A89" w:rsidP="00EC3A89">
      <w:pPr>
        <w:pStyle w:val="Heading2"/>
        <w:numPr>
          <w:ilvl w:val="0"/>
          <w:numId w:val="0"/>
        </w:numPr>
        <w:rPr>
          <w:rStyle w:val="Heading2Char"/>
          <w:b/>
        </w:rPr>
      </w:pPr>
      <w:r>
        <w:rPr>
          <w:rStyle w:val="Heading2Char"/>
          <w:b/>
        </w:rPr>
        <w:t>5.1</w:t>
      </w:r>
      <w:r>
        <w:rPr>
          <w:rStyle w:val="Heading2Char"/>
          <w:b/>
        </w:rPr>
        <w:tab/>
      </w:r>
      <w:r w:rsidR="00204F49" w:rsidRPr="002310E4">
        <w:rPr>
          <w:rStyle w:val="Heading2Char"/>
          <w:b/>
        </w:rPr>
        <w:t xml:space="preserve">PHARMACODYNAMIC PROPERTIES </w:t>
      </w:r>
    </w:p>
    <w:p w14:paraId="703D0C3A" w14:textId="77777777" w:rsidR="00A75C56" w:rsidRPr="00A75C56" w:rsidRDefault="00A75C56" w:rsidP="00A75C56"/>
    <w:p w14:paraId="44EFBFAB" w14:textId="77777777" w:rsidR="005B6B63" w:rsidRPr="00142775" w:rsidRDefault="00204F49" w:rsidP="002310E4">
      <w:pPr>
        <w:rPr>
          <w:b/>
          <w:sz w:val="24"/>
          <w:szCs w:val="24"/>
        </w:rPr>
      </w:pPr>
      <w:r w:rsidRPr="00142775">
        <w:rPr>
          <w:b/>
          <w:sz w:val="24"/>
          <w:szCs w:val="24"/>
        </w:rPr>
        <w:t>Mechanism of action</w:t>
      </w:r>
    </w:p>
    <w:p w14:paraId="3C98D757" w14:textId="77777777" w:rsidR="005B6B63" w:rsidRDefault="00204F49" w:rsidP="002310E4">
      <w:pPr>
        <w:spacing w:before="120" w:line="297" w:lineRule="exact"/>
        <w:textAlignment w:val="baseline"/>
        <w:rPr>
          <w:rFonts w:ascii="Cambria" w:eastAsia="Cambria" w:hAnsi="Cambria"/>
          <w:color w:val="000000"/>
          <w:spacing w:val="-1"/>
        </w:rPr>
      </w:pPr>
      <w:r>
        <w:rPr>
          <w:rFonts w:ascii="Cambria" w:eastAsia="Cambria" w:hAnsi="Cambria"/>
          <w:color w:val="000000"/>
          <w:spacing w:val="-1"/>
        </w:rPr>
        <w:t xml:space="preserve">In females, the most important effect resulting from parenteral administration of FSH is the development of mature Graafian follicles. To complete follicular maturation and to stimulate ovulation in the absence of an endogenous </w:t>
      </w:r>
      <w:proofErr w:type="spellStart"/>
      <w:r>
        <w:rPr>
          <w:rFonts w:ascii="Cambria" w:eastAsia="Cambria" w:hAnsi="Cambria"/>
          <w:color w:val="000000"/>
          <w:spacing w:val="-1"/>
        </w:rPr>
        <w:t>luteinising</w:t>
      </w:r>
      <w:proofErr w:type="spellEnd"/>
      <w:r>
        <w:rPr>
          <w:rFonts w:ascii="Cambria" w:eastAsia="Cambria" w:hAnsi="Cambria"/>
          <w:color w:val="000000"/>
          <w:spacing w:val="-1"/>
        </w:rPr>
        <w:t xml:space="preserve"> hormone (LH) surge, human chorionic gonadotrophin (</w:t>
      </w:r>
      <w:proofErr w:type="spellStart"/>
      <w:r>
        <w:rPr>
          <w:rFonts w:ascii="Cambria" w:eastAsia="Cambria" w:hAnsi="Cambria"/>
          <w:color w:val="000000"/>
          <w:spacing w:val="-1"/>
        </w:rPr>
        <w:t>hCG</w:t>
      </w:r>
      <w:proofErr w:type="spellEnd"/>
      <w:r>
        <w:rPr>
          <w:rFonts w:ascii="Cambria" w:eastAsia="Cambria" w:hAnsi="Cambria"/>
          <w:color w:val="000000"/>
          <w:spacing w:val="-1"/>
        </w:rPr>
        <w:t>) is given once monitoring of the patient indicates that sufficient follicular</w:t>
      </w:r>
    </w:p>
    <w:p w14:paraId="4E8A04BD" w14:textId="77777777" w:rsidR="005B6B63" w:rsidRDefault="00204F49" w:rsidP="002310E4">
      <w:pPr>
        <w:spacing w:before="8" w:line="297" w:lineRule="exact"/>
        <w:textAlignment w:val="baseline"/>
        <w:rPr>
          <w:rFonts w:ascii="Cambria" w:eastAsia="Cambria" w:hAnsi="Cambria"/>
          <w:color w:val="000000"/>
        </w:rPr>
      </w:pPr>
      <w:r>
        <w:rPr>
          <w:rFonts w:ascii="Cambria" w:eastAsia="Cambria" w:hAnsi="Cambria"/>
          <w:color w:val="000000"/>
        </w:rPr>
        <w:t>development has occurred. There may be a degree of inter-patient variability in response to FSH administration, with lack of response to FSH in some patients. In males, FSH stimulates spermatogenesis without significant effect on the androgen secreting interstitial cells.</w:t>
      </w:r>
    </w:p>
    <w:p w14:paraId="1FE4A23A" w14:textId="77777777" w:rsidR="005B6B63" w:rsidRDefault="00204F49" w:rsidP="002310E4">
      <w:pPr>
        <w:spacing w:before="256" w:line="234" w:lineRule="exact"/>
        <w:textAlignment w:val="baseline"/>
        <w:rPr>
          <w:rFonts w:ascii="Cambria" w:eastAsia="Cambria" w:hAnsi="Cambria"/>
          <w:b/>
          <w:color w:val="000000"/>
        </w:rPr>
      </w:pPr>
      <w:r>
        <w:rPr>
          <w:rFonts w:ascii="Cambria" w:eastAsia="Cambria" w:hAnsi="Cambria"/>
          <w:b/>
          <w:color w:val="000000"/>
        </w:rPr>
        <w:t>Clinical trials</w:t>
      </w:r>
    </w:p>
    <w:p w14:paraId="4FE1E6B1" w14:textId="77777777" w:rsidR="00B55452" w:rsidRDefault="00B55452" w:rsidP="00B55452">
      <w:pPr>
        <w:spacing w:before="183" w:line="234" w:lineRule="exact"/>
        <w:textAlignment w:val="baseline"/>
        <w:rPr>
          <w:rFonts w:ascii="Cambria" w:eastAsia="Cambria" w:hAnsi="Cambria"/>
          <w:b/>
          <w:color w:val="000000"/>
        </w:rPr>
      </w:pPr>
      <w:r>
        <w:rPr>
          <w:rFonts w:ascii="Cambria" w:eastAsia="Cambria" w:hAnsi="Cambria"/>
          <w:b/>
          <w:color w:val="000000"/>
        </w:rPr>
        <w:t>Clinical Trials with GONAL-f</w:t>
      </w:r>
    </w:p>
    <w:p w14:paraId="515C7A22" w14:textId="77777777" w:rsidR="00D44090" w:rsidRPr="00DE1FF4" w:rsidRDefault="00D44090" w:rsidP="00DE1FF4">
      <w:pPr>
        <w:spacing w:before="8" w:line="297" w:lineRule="exact"/>
        <w:textAlignment w:val="baseline"/>
        <w:rPr>
          <w:rFonts w:ascii="Cambria" w:eastAsia="Cambria" w:hAnsi="Cambria"/>
          <w:color w:val="000000"/>
        </w:rPr>
      </w:pPr>
    </w:p>
    <w:p w14:paraId="286392C4" w14:textId="77777777" w:rsidR="005B6B63" w:rsidRDefault="00204F49" w:rsidP="002D108A">
      <w:pPr>
        <w:spacing w:line="234" w:lineRule="exact"/>
        <w:textAlignment w:val="baseline"/>
        <w:rPr>
          <w:rFonts w:ascii="Cambria" w:eastAsia="Cambria" w:hAnsi="Cambria"/>
          <w:b/>
          <w:color w:val="000000"/>
        </w:rPr>
      </w:pPr>
      <w:r>
        <w:rPr>
          <w:rFonts w:ascii="Cambria" w:eastAsia="Cambria" w:hAnsi="Cambria"/>
          <w:b/>
          <w:color w:val="000000"/>
        </w:rPr>
        <w:t>WHO Group II anovulatory infertile women</w:t>
      </w:r>
    </w:p>
    <w:p w14:paraId="0F0230B0" w14:textId="08E69FCD" w:rsidR="005B6B63" w:rsidRDefault="00204F49" w:rsidP="002310E4">
      <w:pPr>
        <w:spacing w:before="200" w:line="297" w:lineRule="exact"/>
        <w:textAlignment w:val="baseline"/>
        <w:rPr>
          <w:rFonts w:ascii="Cambria" w:eastAsia="Cambria" w:hAnsi="Cambria"/>
          <w:color w:val="000000"/>
        </w:rPr>
      </w:pPr>
      <w:r>
        <w:rPr>
          <w:rFonts w:ascii="Cambria" w:eastAsia="Cambria" w:hAnsi="Cambria"/>
          <w:color w:val="000000"/>
        </w:rPr>
        <w:t xml:space="preserve">In a controlled study involving 222 </w:t>
      </w:r>
      <w:proofErr w:type="spellStart"/>
      <w:r>
        <w:rPr>
          <w:rFonts w:ascii="Cambria" w:eastAsia="Cambria" w:hAnsi="Cambria"/>
          <w:color w:val="000000"/>
        </w:rPr>
        <w:t>randomised</w:t>
      </w:r>
      <w:proofErr w:type="spellEnd"/>
      <w:r>
        <w:rPr>
          <w:rFonts w:ascii="Cambria" w:eastAsia="Cambria" w:hAnsi="Cambria"/>
          <w:color w:val="000000"/>
        </w:rPr>
        <w:t xml:space="preserve"> patients, cumulative ovulation rate was not significantly different between  </w:t>
      </w:r>
      <w:r w:rsidR="00961632">
        <w:rPr>
          <w:rFonts w:ascii="Cambria" w:eastAsia="Cambria" w:hAnsi="Cambria"/>
          <w:color w:val="000000"/>
        </w:rPr>
        <w:t xml:space="preserve"> </w:t>
      </w:r>
      <w:proofErr w:type="spellStart"/>
      <w:r w:rsidR="00961632">
        <w:rPr>
          <w:rFonts w:ascii="Cambria" w:eastAsia="Cambria" w:hAnsi="Cambria"/>
          <w:color w:val="000000"/>
        </w:rPr>
        <w:t>follitropin</w:t>
      </w:r>
      <w:proofErr w:type="spellEnd"/>
      <w:r w:rsidR="00961632">
        <w:rPr>
          <w:rFonts w:ascii="Cambria" w:eastAsia="Cambria" w:hAnsi="Cambria"/>
          <w:color w:val="000000"/>
        </w:rPr>
        <w:t xml:space="preserve"> alfa </w:t>
      </w:r>
      <w:r>
        <w:rPr>
          <w:rFonts w:ascii="Cambria" w:eastAsia="Cambria" w:hAnsi="Cambria"/>
          <w:color w:val="000000"/>
        </w:rPr>
        <w:t xml:space="preserve">and </w:t>
      </w:r>
      <w:proofErr w:type="spellStart"/>
      <w:r>
        <w:rPr>
          <w:rFonts w:ascii="Cambria" w:eastAsia="Cambria" w:hAnsi="Cambria"/>
          <w:color w:val="000000"/>
        </w:rPr>
        <w:t>urofollitropin</w:t>
      </w:r>
      <w:proofErr w:type="spellEnd"/>
      <w:r>
        <w:rPr>
          <w:rFonts w:ascii="Cambria" w:eastAsia="Cambria" w:hAnsi="Cambria"/>
          <w:color w:val="000000"/>
        </w:rPr>
        <w:t xml:space="preserve"> or urinary-derived </w:t>
      </w:r>
      <w:proofErr w:type="spellStart"/>
      <w:r>
        <w:rPr>
          <w:rFonts w:ascii="Cambria" w:eastAsia="Cambria" w:hAnsi="Cambria"/>
          <w:color w:val="000000"/>
        </w:rPr>
        <w:t>hFSH</w:t>
      </w:r>
      <w:proofErr w:type="spellEnd"/>
      <w:r>
        <w:rPr>
          <w:rFonts w:ascii="Cambria" w:eastAsia="Cambria" w:hAnsi="Cambria"/>
          <w:color w:val="000000"/>
        </w:rPr>
        <w:t xml:space="preserve"> (u-</w:t>
      </w:r>
      <w:proofErr w:type="spellStart"/>
      <w:r>
        <w:rPr>
          <w:rFonts w:ascii="Cambria" w:eastAsia="Cambria" w:hAnsi="Cambria"/>
          <w:color w:val="000000"/>
        </w:rPr>
        <w:t>hFSH</w:t>
      </w:r>
      <w:proofErr w:type="spellEnd"/>
      <w:r>
        <w:rPr>
          <w:rFonts w:ascii="Cambria" w:eastAsia="Cambria" w:hAnsi="Cambria"/>
          <w:color w:val="000000"/>
        </w:rPr>
        <w:t xml:space="preserve">) groups whether </w:t>
      </w:r>
      <w:proofErr w:type="spellStart"/>
      <w:r>
        <w:rPr>
          <w:rFonts w:ascii="Cambria" w:eastAsia="Cambria" w:hAnsi="Cambria"/>
          <w:color w:val="000000"/>
        </w:rPr>
        <w:t>analysed</w:t>
      </w:r>
      <w:proofErr w:type="spellEnd"/>
      <w:r>
        <w:rPr>
          <w:rFonts w:ascii="Cambria" w:eastAsia="Cambria" w:hAnsi="Cambria"/>
          <w:color w:val="000000"/>
        </w:rPr>
        <w:t xml:space="preserve"> on an intention-to-treat or evaluable patient basis. The ovulation rate in each cycle was also not different between the two medicines.</w:t>
      </w:r>
    </w:p>
    <w:p w14:paraId="62128E5A" w14:textId="77777777" w:rsidR="005B6B63" w:rsidRDefault="00204F49" w:rsidP="002310E4">
      <w:pPr>
        <w:spacing w:before="260" w:line="234" w:lineRule="exact"/>
        <w:textAlignment w:val="baseline"/>
        <w:rPr>
          <w:rFonts w:ascii="Cambria" w:eastAsia="Cambria" w:hAnsi="Cambria"/>
          <w:b/>
          <w:color w:val="000000"/>
        </w:rPr>
      </w:pPr>
      <w:r>
        <w:rPr>
          <w:rFonts w:ascii="Cambria" w:eastAsia="Cambria" w:hAnsi="Cambria"/>
          <w:b/>
          <w:color w:val="000000"/>
        </w:rPr>
        <w:t>Superovulation in Assisted Reproduction Techniques (ART)</w:t>
      </w:r>
    </w:p>
    <w:p w14:paraId="7CEBF84B" w14:textId="0853529D" w:rsidR="005B6B63" w:rsidRPr="00C72DE4" w:rsidRDefault="00204F49" w:rsidP="002310E4">
      <w:pPr>
        <w:spacing w:before="216" w:line="297" w:lineRule="exact"/>
        <w:textAlignment w:val="baseline"/>
        <w:rPr>
          <w:rFonts w:ascii="Cambria" w:eastAsia="Cambria" w:hAnsi="Cambria"/>
          <w:i/>
          <w:color w:val="000000"/>
        </w:rPr>
      </w:pPr>
      <w:r w:rsidRPr="00C72DE4">
        <w:rPr>
          <w:rFonts w:ascii="Cambria" w:eastAsia="Cambria" w:hAnsi="Cambria"/>
          <w:i/>
          <w:color w:val="000000"/>
        </w:rPr>
        <w:t xml:space="preserve">Study 21884: </w:t>
      </w:r>
      <w:r w:rsidRPr="00C72DE4">
        <w:rPr>
          <w:rFonts w:ascii="Cambria" w:eastAsia="Cambria" w:hAnsi="Cambria"/>
          <w:color w:val="000000"/>
        </w:rPr>
        <w:t xml:space="preserve">The safety and efficacy of </w:t>
      </w:r>
      <w:r w:rsidR="003F3536" w:rsidRPr="00C72DE4">
        <w:rPr>
          <w:rFonts w:ascii="Cambria" w:eastAsia="Cambria" w:hAnsi="Cambria"/>
          <w:color w:val="000000"/>
        </w:rPr>
        <w:t xml:space="preserve"> </w:t>
      </w:r>
      <w:proofErr w:type="spellStart"/>
      <w:r w:rsidR="003F3536" w:rsidRPr="00C72DE4">
        <w:rPr>
          <w:rFonts w:ascii="Cambria" w:eastAsia="Cambria" w:hAnsi="Cambria"/>
          <w:color w:val="000000"/>
        </w:rPr>
        <w:t>follitropin</w:t>
      </w:r>
      <w:proofErr w:type="spellEnd"/>
      <w:r w:rsidR="003F3536" w:rsidRPr="00C72DE4">
        <w:rPr>
          <w:rFonts w:ascii="Cambria" w:eastAsia="Cambria" w:hAnsi="Cambria"/>
          <w:color w:val="000000"/>
        </w:rPr>
        <w:t xml:space="preserve"> alfa  </w:t>
      </w:r>
      <w:r w:rsidRPr="00C72DE4">
        <w:rPr>
          <w:rFonts w:ascii="Cambria" w:eastAsia="Cambria" w:hAnsi="Cambria"/>
          <w:color w:val="000000"/>
        </w:rPr>
        <w:t>(r-</w:t>
      </w:r>
      <w:proofErr w:type="spellStart"/>
      <w:r w:rsidRPr="00C72DE4">
        <w:rPr>
          <w:rFonts w:ascii="Cambria" w:eastAsia="Cambria" w:hAnsi="Cambria"/>
          <w:color w:val="000000"/>
        </w:rPr>
        <w:t>hFSH</w:t>
      </w:r>
      <w:proofErr w:type="spellEnd"/>
      <w:r w:rsidRPr="00C72DE4">
        <w:rPr>
          <w:rFonts w:ascii="Cambria" w:eastAsia="Cambria" w:hAnsi="Cambria"/>
          <w:color w:val="000000"/>
        </w:rPr>
        <w:t>; filled-by-mass) versus u-</w:t>
      </w:r>
      <w:proofErr w:type="spellStart"/>
      <w:r w:rsidRPr="00C72DE4">
        <w:rPr>
          <w:rFonts w:ascii="Cambria" w:eastAsia="Cambria" w:hAnsi="Cambria"/>
          <w:color w:val="000000"/>
        </w:rPr>
        <w:t>hFSH</w:t>
      </w:r>
      <w:proofErr w:type="spellEnd"/>
      <w:r w:rsidRPr="00C72DE4">
        <w:rPr>
          <w:rFonts w:ascii="Cambria" w:eastAsia="Cambria" w:hAnsi="Cambria"/>
          <w:color w:val="000000"/>
        </w:rPr>
        <w:t xml:space="preserve"> and its equivalence as compared to </w:t>
      </w:r>
      <w:r w:rsidR="003F3536" w:rsidRPr="00247091">
        <w:rPr>
          <w:rFonts w:ascii="Cambria" w:eastAsia="Cambria" w:hAnsi="Cambria"/>
          <w:color w:val="000000"/>
        </w:rPr>
        <w:t xml:space="preserve"> </w:t>
      </w:r>
      <w:proofErr w:type="spellStart"/>
      <w:r w:rsidR="003F3536" w:rsidRPr="00247091">
        <w:rPr>
          <w:rFonts w:ascii="Cambria" w:eastAsia="Cambria" w:hAnsi="Cambria"/>
          <w:color w:val="000000"/>
        </w:rPr>
        <w:t>follitropin</w:t>
      </w:r>
      <w:proofErr w:type="spellEnd"/>
      <w:r w:rsidR="003F3536" w:rsidRPr="00247091">
        <w:rPr>
          <w:rFonts w:ascii="Cambria" w:eastAsia="Cambria" w:hAnsi="Cambria"/>
          <w:color w:val="000000"/>
        </w:rPr>
        <w:t xml:space="preserve"> alfa </w:t>
      </w:r>
      <w:r w:rsidRPr="00E02643">
        <w:rPr>
          <w:rFonts w:ascii="Cambria" w:eastAsia="Cambria" w:hAnsi="Cambria"/>
          <w:color w:val="000000"/>
        </w:rPr>
        <w:t xml:space="preserve">old formulation (filled by bioactivity), all administered subcutaneously, were assessed in a </w:t>
      </w:r>
      <w:proofErr w:type="spellStart"/>
      <w:r w:rsidRPr="00E02643">
        <w:rPr>
          <w:rFonts w:ascii="Cambria" w:eastAsia="Cambria" w:hAnsi="Cambria"/>
          <w:color w:val="000000"/>
        </w:rPr>
        <w:t>multicentre</w:t>
      </w:r>
      <w:proofErr w:type="spellEnd"/>
      <w:r w:rsidRPr="00E02643">
        <w:rPr>
          <w:rFonts w:ascii="Cambria" w:eastAsia="Cambria" w:hAnsi="Cambria"/>
          <w:color w:val="000000"/>
        </w:rPr>
        <w:t xml:space="preserve">, </w:t>
      </w:r>
      <w:proofErr w:type="spellStart"/>
      <w:r w:rsidRPr="00E02643">
        <w:rPr>
          <w:rFonts w:ascii="Cambria" w:eastAsia="Cambria" w:hAnsi="Cambria"/>
          <w:color w:val="000000"/>
        </w:rPr>
        <w:t>randomised</w:t>
      </w:r>
      <w:proofErr w:type="spellEnd"/>
      <w:r w:rsidRPr="00E02643">
        <w:rPr>
          <w:rFonts w:ascii="Cambria" w:eastAsia="Cambria" w:hAnsi="Cambria"/>
          <w:color w:val="000000"/>
        </w:rPr>
        <w:t>, single blind, phase II</w:t>
      </w:r>
      <w:r w:rsidRPr="00C72DE4">
        <w:rPr>
          <w:rFonts w:ascii="Cambria" w:eastAsia="Cambria" w:hAnsi="Cambria"/>
          <w:color w:val="000000"/>
        </w:rPr>
        <w:t xml:space="preserve">I study in infertile women undergoing </w:t>
      </w:r>
      <w:r w:rsidRPr="00C72DE4">
        <w:rPr>
          <w:rFonts w:ascii="Cambria" w:eastAsia="Cambria" w:hAnsi="Cambria"/>
          <w:i/>
          <w:color w:val="000000"/>
        </w:rPr>
        <w:t xml:space="preserve">in vitro </w:t>
      </w:r>
      <w:proofErr w:type="spellStart"/>
      <w:r w:rsidRPr="00C72DE4">
        <w:rPr>
          <w:rFonts w:ascii="Cambria" w:eastAsia="Cambria" w:hAnsi="Cambria"/>
          <w:color w:val="000000"/>
        </w:rPr>
        <w:t>fertilisation</w:t>
      </w:r>
      <w:proofErr w:type="spellEnd"/>
      <w:r w:rsidRPr="00C72DE4">
        <w:rPr>
          <w:rFonts w:ascii="Cambria" w:eastAsia="Cambria" w:hAnsi="Cambria"/>
          <w:color w:val="000000"/>
        </w:rPr>
        <w:t xml:space="preserve"> (IVF) and embryo transfer. All patients underwent pituitary </w:t>
      </w:r>
      <w:proofErr w:type="spellStart"/>
      <w:r w:rsidRPr="00C72DE4">
        <w:rPr>
          <w:rFonts w:ascii="Cambria" w:eastAsia="Cambria" w:hAnsi="Cambria"/>
          <w:color w:val="000000"/>
        </w:rPr>
        <w:t>desensitisation</w:t>
      </w:r>
      <w:proofErr w:type="spellEnd"/>
      <w:r w:rsidRPr="00C72DE4">
        <w:rPr>
          <w:rFonts w:ascii="Cambria" w:eastAsia="Cambria" w:hAnsi="Cambria"/>
          <w:color w:val="000000"/>
        </w:rPr>
        <w:t xml:space="preserve"> (down-regulation) with a gonadotrophin-releasing hormone (GnRH) agonist prior to and during stimulation of multiple follicular development with one of the three study treatments. </w:t>
      </w:r>
      <w:proofErr w:type="spellStart"/>
      <w:r w:rsidRPr="00C72DE4">
        <w:rPr>
          <w:rFonts w:ascii="Cambria" w:eastAsia="Cambria" w:hAnsi="Cambria"/>
          <w:color w:val="000000"/>
        </w:rPr>
        <w:t>Randomisation</w:t>
      </w:r>
      <w:proofErr w:type="spellEnd"/>
      <w:r w:rsidRPr="00C72DE4">
        <w:rPr>
          <w:rFonts w:ascii="Cambria" w:eastAsia="Cambria" w:hAnsi="Cambria"/>
          <w:color w:val="000000"/>
        </w:rPr>
        <w:t xml:space="preserve"> occurred when pituitary down-regulation was confirmed by an E</w:t>
      </w:r>
      <w:r w:rsidRPr="00C72DE4">
        <w:rPr>
          <w:rFonts w:ascii="Cambria" w:eastAsia="Cambria" w:hAnsi="Cambria"/>
          <w:color w:val="000000"/>
          <w:sz w:val="15"/>
        </w:rPr>
        <w:t xml:space="preserve">2 </w:t>
      </w:r>
      <w:r w:rsidRPr="00C72DE4">
        <w:rPr>
          <w:rFonts w:ascii="Cambria" w:eastAsia="Cambria" w:hAnsi="Cambria"/>
          <w:color w:val="000000"/>
        </w:rPr>
        <w:t xml:space="preserve">level of </w:t>
      </w:r>
      <w:r w:rsidR="001B00C2">
        <w:rPr>
          <w:rFonts w:ascii="Cambria" w:eastAsia="Cambria" w:hAnsi="Cambria"/>
          <w:color w:val="000000"/>
        </w:rPr>
        <w:t>&lt;</w:t>
      </w:r>
      <w:r w:rsidRPr="00C72DE4">
        <w:rPr>
          <w:rFonts w:ascii="Cambria" w:eastAsia="Cambria" w:hAnsi="Cambria"/>
          <w:color w:val="000000"/>
        </w:rPr>
        <w:t xml:space="preserve"> 50 </w:t>
      </w:r>
      <w:proofErr w:type="spellStart"/>
      <w:r w:rsidRPr="00C72DE4">
        <w:rPr>
          <w:rFonts w:ascii="Cambria" w:eastAsia="Cambria" w:hAnsi="Cambria"/>
          <w:color w:val="000000"/>
        </w:rPr>
        <w:t>pg</w:t>
      </w:r>
      <w:proofErr w:type="spellEnd"/>
      <w:r w:rsidRPr="00C72DE4">
        <w:rPr>
          <w:rFonts w:ascii="Cambria" w:eastAsia="Cambria" w:hAnsi="Cambria"/>
          <w:color w:val="000000"/>
        </w:rPr>
        <w:t>/</w:t>
      </w:r>
      <w:proofErr w:type="spellStart"/>
      <w:r w:rsidRPr="00C72DE4">
        <w:rPr>
          <w:rFonts w:ascii="Cambria" w:eastAsia="Cambria" w:hAnsi="Cambria"/>
          <w:color w:val="000000"/>
        </w:rPr>
        <w:t>mL.</w:t>
      </w:r>
      <w:proofErr w:type="spellEnd"/>
    </w:p>
    <w:p w14:paraId="03A16124" w14:textId="00D8F21C" w:rsidR="005B6B63" w:rsidRDefault="00204F49" w:rsidP="002310E4">
      <w:pPr>
        <w:spacing w:before="191" w:line="297" w:lineRule="exact"/>
        <w:textAlignment w:val="baseline"/>
        <w:rPr>
          <w:rFonts w:ascii="Cambria" w:eastAsia="Cambria" w:hAnsi="Cambria"/>
          <w:color w:val="000000"/>
        </w:rPr>
      </w:pPr>
      <w:r w:rsidRPr="00C72DE4">
        <w:rPr>
          <w:rFonts w:ascii="Cambria" w:eastAsia="Cambria" w:hAnsi="Cambria"/>
          <w:color w:val="000000"/>
        </w:rPr>
        <w:lastRenderedPageBreak/>
        <w:t xml:space="preserve">The primary efficacy parameter in this study was the number of </w:t>
      </w:r>
      <w:proofErr w:type="spellStart"/>
      <w:r w:rsidRPr="00C72DE4">
        <w:rPr>
          <w:rFonts w:ascii="Cambria" w:eastAsia="Cambria" w:hAnsi="Cambria"/>
          <w:color w:val="000000"/>
        </w:rPr>
        <w:t>fertilised</w:t>
      </w:r>
      <w:proofErr w:type="spellEnd"/>
      <w:r w:rsidRPr="00C72DE4">
        <w:rPr>
          <w:rFonts w:ascii="Cambria" w:eastAsia="Cambria" w:hAnsi="Cambria"/>
          <w:color w:val="000000"/>
        </w:rPr>
        <w:t xml:space="preserve"> oocytes retrieved per patient. 837 patients entered the study, of whom 713 were </w:t>
      </w:r>
      <w:proofErr w:type="spellStart"/>
      <w:r w:rsidRPr="00C72DE4">
        <w:rPr>
          <w:rFonts w:ascii="Cambria" w:eastAsia="Cambria" w:hAnsi="Cambria"/>
          <w:color w:val="000000"/>
        </w:rPr>
        <w:t>randomised</w:t>
      </w:r>
      <w:proofErr w:type="spellEnd"/>
      <w:r w:rsidRPr="00C72DE4">
        <w:rPr>
          <w:rFonts w:ascii="Cambria" w:eastAsia="Cambria" w:hAnsi="Cambria"/>
          <w:color w:val="000000"/>
        </w:rPr>
        <w:t xml:space="preserve">. Of these, 711 received at least one dose of FSH: 237 patients received </w:t>
      </w:r>
      <w:proofErr w:type="spellStart"/>
      <w:r w:rsidR="003F3536" w:rsidRPr="00C72DE4">
        <w:rPr>
          <w:rFonts w:ascii="Cambria" w:eastAsia="Cambria" w:hAnsi="Cambria"/>
          <w:color w:val="000000"/>
        </w:rPr>
        <w:t>follitropin</w:t>
      </w:r>
      <w:proofErr w:type="spellEnd"/>
      <w:r w:rsidR="003F3536" w:rsidRPr="00C72DE4">
        <w:rPr>
          <w:rFonts w:ascii="Cambria" w:eastAsia="Cambria" w:hAnsi="Cambria"/>
          <w:color w:val="000000"/>
        </w:rPr>
        <w:t xml:space="preserve"> alfa </w:t>
      </w:r>
      <w:r w:rsidRPr="00C72DE4">
        <w:rPr>
          <w:rFonts w:ascii="Cambria" w:eastAsia="Cambria" w:hAnsi="Cambria"/>
          <w:color w:val="000000"/>
        </w:rPr>
        <w:t>(r-</w:t>
      </w:r>
      <w:proofErr w:type="spellStart"/>
      <w:r w:rsidRPr="00C72DE4">
        <w:rPr>
          <w:rFonts w:ascii="Cambria" w:eastAsia="Cambria" w:hAnsi="Cambria"/>
          <w:color w:val="000000"/>
        </w:rPr>
        <w:t>hFSH</w:t>
      </w:r>
      <w:proofErr w:type="spellEnd"/>
      <w:r w:rsidRPr="00C72DE4">
        <w:rPr>
          <w:rFonts w:ascii="Cambria" w:eastAsia="Cambria" w:hAnsi="Cambria"/>
          <w:color w:val="000000"/>
        </w:rPr>
        <w:t>; filled-by-mass), 237 patients received u-</w:t>
      </w:r>
      <w:proofErr w:type="spellStart"/>
      <w:r w:rsidRPr="00C72DE4">
        <w:rPr>
          <w:rFonts w:ascii="Cambria" w:eastAsia="Cambria" w:hAnsi="Cambria"/>
          <w:color w:val="000000"/>
        </w:rPr>
        <w:t>hFSH</w:t>
      </w:r>
      <w:proofErr w:type="spellEnd"/>
      <w:r w:rsidRPr="00C72DE4">
        <w:rPr>
          <w:rFonts w:ascii="Cambria" w:eastAsia="Cambria" w:hAnsi="Cambria"/>
          <w:color w:val="000000"/>
          <w:sz w:val="15"/>
        </w:rPr>
        <w:t xml:space="preserve">, </w:t>
      </w:r>
      <w:r w:rsidRPr="00C72DE4">
        <w:rPr>
          <w:rFonts w:ascii="Cambria" w:eastAsia="Cambria" w:hAnsi="Cambria"/>
          <w:color w:val="000000"/>
        </w:rPr>
        <w:t xml:space="preserve">and 237 patients received </w:t>
      </w:r>
      <w:proofErr w:type="spellStart"/>
      <w:r w:rsidR="003F3536" w:rsidRPr="00C72DE4">
        <w:rPr>
          <w:rFonts w:ascii="Cambria" w:eastAsia="Cambria" w:hAnsi="Cambria"/>
          <w:color w:val="000000"/>
        </w:rPr>
        <w:t>follitropin</w:t>
      </w:r>
      <w:proofErr w:type="spellEnd"/>
      <w:r w:rsidR="003F3536" w:rsidRPr="00C72DE4">
        <w:rPr>
          <w:rFonts w:ascii="Cambria" w:eastAsia="Cambria" w:hAnsi="Cambria"/>
          <w:color w:val="000000"/>
        </w:rPr>
        <w:t xml:space="preserve"> alfa </w:t>
      </w:r>
      <w:r w:rsidRPr="00C72DE4">
        <w:rPr>
          <w:rFonts w:ascii="Cambria" w:eastAsia="Cambria" w:hAnsi="Cambria"/>
          <w:color w:val="000000"/>
        </w:rPr>
        <w:t xml:space="preserve">old formulation (filled by bioactivity). The number of oocytes retrieved was similar in all treatment groups. The efficacy of </w:t>
      </w:r>
      <w:r w:rsidR="003F3536" w:rsidRPr="00C72DE4">
        <w:rPr>
          <w:rFonts w:ascii="Cambria" w:eastAsia="Cambria" w:hAnsi="Cambria"/>
          <w:color w:val="000000"/>
        </w:rPr>
        <w:t xml:space="preserve"> </w:t>
      </w:r>
      <w:proofErr w:type="spellStart"/>
      <w:r w:rsidR="003F3536" w:rsidRPr="00C72DE4">
        <w:rPr>
          <w:rFonts w:ascii="Cambria" w:eastAsia="Cambria" w:hAnsi="Cambria"/>
          <w:color w:val="000000"/>
        </w:rPr>
        <w:t>follitropin</w:t>
      </w:r>
      <w:proofErr w:type="spellEnd"/>
      <w:r w:rsidR="003F3536" w:rsidRPr="00C72DE4">
        <w:rPr>
          <w:rFonts w:ascii="Cambria" w:eastAsia="Cambria" w:hAnsi="Cambria"/>
          <w:color w:val="000000"/>
        </w:rPr>
        <w:t xml:space="preserve"> alfa  </w:t>
      </w:r>
      <w:r w:rsidRPr="00C72DE4">
        <w:rPr>
          <w:rFonts w:ascii="Cambria" w:eastAsia="Cambria" w:hAnsi="Cambria"/>
          <w:color w:val="000000"/>
        </w:rPr>
        <w:t xml:space="preserve"> (r-</w:t>
      </w:r>
      <w:proofErr w:type="spellStart"/>
      <w:r w:rsidRPr="00C72DE4">
        <w:rPr>
          <w:rFonts w:ascii="Cambria" w:eastAsia="Cambria" w:hAnsi="Cambria"/>
          <w:color w:val="000000"/>
        </w:rPr>
        <w:t>hFSH</w:t>
      </w:r>
      <w:proofErr w:type="spellEnd"/>
      <w:r w:rsidRPr="00C72DE4">
        <w:rPr>
          <w:rFonts w:ascii="Cambria" w:eastAsia="Cambria" w:hAnsi="Cambria"/>
          <w:color w:val="000000"/>
        </w:rPr>
        <w:t xml:space="preserve">; filled-by-mass) although not superior, led to statistically higher response rates in the number of </w:t>
      </w:r>
      <w:proofErr w:type="spellStart"/>
      <w:r w:rsidRPr="00C72DE4">
        <w:rPr>
          <w:rFonts w:ascii="Cambria" w:eastAsia="Cambria" w:hAnsi="Cambria"/>
          <w:color w:val="000000"/>
        </w:rPr>
        <w:t>fertilised</w:t>
      </w:r>
      <w:proofErr w:type="spellEnd"/>
      <w:r w:rsidRPr="00C72DE4">
        <w:rPr>
          <w:rFonts w:ascii="Cambria" w:eastAsia="Cambria" w:hAnsi="Cambria"/>
          <w:color w:val="000000"/>
        </w:rPr>
        <w:t xml:space="preserve"> oocytes as compared to u-</w:t>
      </w:r>
      <w:proofErr w:type="spellStart"/>
      <w:r w:rsidRPr="00C72DE4">
        <w:rPr>
          <w:rFonts w:ascii="Cambria" w:eastAsia="Cambria" w:hAnsi="Cambria"/>
          <w:color w:val="000000"/>
        </w:rPr>
        <w:t>hFSH</w:t>
      </w:r>
      <w:proofErr w:type="spellEnd"/>
      <w:r w:rsidRPr="00C72DE4">
        <w:rPr>
          <w:rFonts w:ascii="Cambria" w:eastAsia="Cambria" w:hAnsi="Cambria"/>
          <w:color w:val="000000"/>
        </w:rPr>
        <w:t xml:space="preserve">. The efficacy results are </w:t>
      </w:r>
      <w:proofErr w:type="spellStart"/>
      <w:r w:rsidRPr="00C72DE4">
        <w:rPr>
          <w:rFonts w:ascii="Cambria" w:eastAsia="Cambria" w:hAnsi="Cambria"/>
          <w:color w:val="000000"/>
        </w:rPr>
        <w:t>summarised</w:t>
      </w:r>
      <w:proofErr w:type="spellEnd"/>
      <w:r w:rsidRPr="00C72DE4">
        <w:rPr>
          <w:rFonts w:ascii="Cambria" w:eastAsia="Cambria" w:hAnsi="Cambria"/>
          <w:color w:val="000000"/>
        </w:rPr>
        <w:t xml:space="preserve"> below in Tables 1 and 2:</w:t>
      </w:r>
    </w:p>
    <w:p w14:paraId="61185A59" w14:textId="0B6A0578" w:rsidR="005B6B63" w:rsidRDefault="00204F49" w:rsidP="00A75C56">
      <w:pPr>
        <w:spacing w:before="240" w:after="240"/>
        <w:rPr>
          <w:b/>
        </w:rPr>
      </w:pPr>
      <w:r w:rsidRPr="00A75C56">
        <w:rPr>
          <w:b/>
        </w:rPr>
        <w:t xml:space="preserve">Table 1. Number of Oocytes </w:t>
      </w:r>
      <w:proofErr w:type="spellStart"/>
      <w:r w:rsidRPr="00A75C56">
        <w:rPr>
          <w:b/>
        </w:rPr>
        <w:t>Fertilised</w:t>
      </w:r>
      <w:proofErr w:type="spellEnd"/>
      <w:r w:rsidRPr="00A75C56">
        <w:rPr>
          <w:b/>
        </w:rPr>
        <w:t>: Summary Statistics (mean (</w:t>
      </w:r>
      <w:proofErr w:type="spellStart"/>
      <w:r w:rsidRPr="00A75C56">
        <w:rPr>
          <w:b/>
        </w:rPr>
        <w:t>sd</w:t>
      </w:r>
      <w:proofErr w:type="spellEnd"/>
      <w:r w:rsidRPr="00A75C56">
        <w:rPr>
          <w:b/>
        </w:rPr>
        <w:t>)) by Treatment (Study 21884)</w:t>
      </w:r>
    </w:p>
    <w:tbl>
      <w:tblPr>
        <w:tblStyle w:val="TableGridLight"/>
        <w:tblW w:w="9586" w:type="dxa"/>
        <w:tblLayout w:type="fixed"/>
        <w:tblLook w:val="04A0" w:firstRow="1" w:lastRow="0" w:firstColumn="1" w:lastColumn="0" w:noHBand="0" w:noVBand="1"/>
      </w:tblPr>
      <w:tblGrid>
        <w:gridCol w:w="1546"/>
        <w:gridCol w:w="1536"/>
        <w:gridCol w:w="1718"/>
        <w:gridCol w:w="1541"/>
        <w:gridCol w:w="1699"/>
        <w:gridCol w:w="1546"/>
      </w:tblGrid>
      <w:tr w:rsidR="005B6B63" w14:paraId="22E21681" w14:textId="77777777" w:rsidTr="00A75C56">
        <w:trPr>
          <w:trHeight w:hRule="exact" w:val="1215"/>
        </w:trPr>
        <w:tc>
          <w:tcPr>
            <w:tcW w:w="1546" w:type="dxa"/>
          </w:tcPr>
          <w:p w14:paraId="7E4EF1FA" w14:textId="77777777" w:rsidR="005B6B63" w:rsidRDefault="00204F49" w:rsidP="00E02643">
            <w:pPr>
              <w:keepNext/>
              <w:spacing w:after="538" w:line="283" w:lineRule="exact"/>
              <w:ind w:left="108"/>
              <w:jc w:val="center"/>
              <w:textAlignment w:val="baseline"/>
              <w:rPr>
                <w:rFonts w:ascii="Cambria" w:eastAsia="Cambria" w:hAnsi="Cambria"/>
                <w:b/>
                <w:color w:val="000000"/>
              </w:rPr>
            </w:pPr>
            <w:r>
              <w:rPr>
                <w:rFonts w:ascii="Cambria" w:eastAsia="Cambria" w:hAnsi="Cambria"/>
                <w:b/>
                <w:color w:val="000000"/>
              </w:rPr>
              <w:t>Number of patients</w:t>
            </w:r>
          </w:p>
        </w:tc>
        <w:tc>
          <w:tcPr>
            <w:tcW w:w="1536" w:type="dxa"/>
          </w:tcPr>
          <w:p w14:paraId="35A6085F" w14:textId="77777777" w:rsidR="005B6B63" w:rsidRDefault="00204F49" w:rsidP="00E02643">
            <w:pPr>
              <w:keepNext/>
              <w:spacing w:before="35" w:after="830" w:line="239" w:lineRule="exact"/>
              <w:ind w:left="120"/>
              <w:jc w:val="center"/>
              <w:textAlignment w:val="baseline"/>
              <w:rPr>
                <w:rFonts w:ascii="Cambria" w:eastAsia="Cambria" w:hAnsi="Cambria"/>
                <w:b/>
                <w:color w:val="000000"/>
              </w:rPr>
            </w:pPr>
            <w:r>
              <w:rPr>
                <w:rFonts w:ascii="Cambria" w:eastAsia="Cambria" w:hAnsi="Cambria"/>
                <w:b/>
                <w:color w:val="000000"/>
              </w:rPr>
              <w:t>Missing</w:t>
            </w:r>
          </w:p>
        </w:tc>
        <w:tc>
          <w:tcPr>
            <w:tcW w:w="1718" w:type="dxa"/>
          </w:tcPr>
          <w:p w14:paraId="3D9BE46D" w14:textId="43697B61" w:rsidR="005B6B63" w:rsidRDefault="00D95820" w:rsidP="00E02643">
            <w:pPr>
              <w:keepNext/>
              <w:spacing w:after="240" w:line="288" w:lineRule="exact"/>
              <w:ind w:left="108"/>
              <w:jc w:val="center"/>
              <w:textAlignment w:val="baseline"/>
              <w:rPr>
                <w:rFonts w:ascii="Cambria" w:eastAsia="Cambria" w:hAnsi="Cambria"/>
                <w:b/>
                <w:color w:val="000000"/>
              </w:rPr>
            </w:pPr>
            <w:r>
              <w:rPr>
                <w:rFonts w:ascii="Cambria" w:eastAsia="Cambria" w:hAnsi="Cambria"/>
                <w:b/>
                <w:color w:val="000000"/>
              </w:rPr>
              <w:t>r-</w:t>
            </w:r>
            <w:proofErr w:type="spellStart"/>
            <w:r>
              <w:rPr>
                <w:rFonts w:ascii="Cambria" w:eastAsia="Cambria" w:hAnsi="Cambria"/>
                <w:b/>
                <w:color w:val="000000"/>
              </w:rPr>
              <w:t>hFSH</w:t>
            </w:r>
            <w:proofErr w:type="spellEnd"/>
            <w:r w:rsidR="003F3536">
              <w:rPr>
                <w:rFonts w:ascii="Cambria" w:eastAsia="Cambria" w:hAnsi="Cambria"/>
                <w:b/>
                <w:color w:val="000000"/>
              </w:rPr>
              <w:t xml:space="preserve"> </w:t>
            </w:r>
            <w:r w:rsidR="00204F49">
              <w:rPr>
                <w:rFonts w:ascii="Cambria" w:eastAsia="Cambria" w:hAnsi="Cambria"/>
                <w:b/>
                <w:color w:val="000000"/>
              </w:rPr>
              <w:t xml:space="preserve">(filled-by- </w:t>
            </w:r>
            <w:r w:rsidR="00204F49">
              <w:rPr>
                <w:rFonts w:ascii="Cambria" w:eastAsia="Cambria" w:hAnsi="Cambria"/>
                <w:b/>
                <w:color w:val="000000"/>
              </w:rPr>
              <w:br/>
              <w:t>mass)</w:t>
            </w:r>
          </w:p>
        </w:tc>
        <w:tc>
          <w:tcPr>
            <w:tcW w:w="1541" w:type="dxa"/>
          </w:tcPr>
          <w:p w14:paraId="2097011E" w14:textId="77777777" w:rsidR="005B6B63" w:rsidRDefault="00204F49" w:rsidP="00E02643">
            <w:pPr>
              <w:keepNext/>
              <w:spacing w:before="35" w:after="835" w:line="234" w:lineRule="exact"/>
              <w:jc w:val="center"/>
              <w:textAlignment w:val="baseline"/>
              <w:rPr>
                <w:rFonts w:ascii="Cambria" w:eastAsia="Cambria" w:hAnsi="Cambria"/>
                <w:b/>
                <w:color w:val="000000"/>
              </w:rPr>
            </w:pPr>
            <w:r>
              <w:rPr>
                <w:rFonts w:ascii="Cambria" w:eastAsia="Cambria" w:hAnsi="Cambria"/>
                <w:b/>
                <w:color w:val="000000"/>
              </w:rPr>
              <w:t>u-</w:t>
            </w:r>
            <w:proofErr w:type="spellStart"/>
            <w:r>
              <w:rPr>
                <w:rFonts w:ascii="Cambria" w:eastAsia="Cambria" w:hAnsi="Cambria"/>
                <w:b/>
                <w:color w:val="000000"/>
              </w:rPr>
              <w:t>hFSH</w:t>
            </w:r>
            <w:proofErr w:type="spellEnd"/>
          </w:p>
        </w:tc>
        <w:tc>
          <w:tcPr>
            <w:tcW w:w="1699" w:type="dxa"/>
          </w:tcPr>
          <w:p w14:paraId="5C12955E" w14:textId="282AB317" w:rsidR="005B6B63" w:rsidRDefault="00D95820" w:rsidP="00E02643">
            <w:pPr>
              <w:keepNext/>
              <w:spacing w:after="240" w:line="288" w:lineRule="exact"/>
              <w:ind w:left="108"/>
              <w:jc w:val="center"/>
              <w:textAlignment w:val="baseline"/>
              <w:rPr>
                <w:rFonts w:ascii="Cambria" w:eastAsia="Cambria" w:hAnsi="Cambria"/>
                <w:b/>
                <w:color w:val="000000"/>
              </w:rPr>
            </w:pPr>
            <w:r>
              <w:rPr>
                <w:rFonts w:ascii="Cambria" w:eastAsia="Cambria" w:hAnsi="Cambria"/>
                <w:b/>
                <w:color w:val="000000"/>
              </w:rPr>
              <w:t>-</w:t>
            </w:r>
            <w:proofErr w:type="spellStart"/>
            <w:r>
              <w:rPr>
                <w:rFonts w:ascii="Cambria" w:eastAsia="Cambria" w:hAnsi="Cambria"/>
                <w:b/>
                <w:color w:val="000000"/>
              </w:rPr>
              <w:t>hFSH</w:t>
            </w:r>
            <w:proofErr w:type="spellEnd"/>
            <w:r w:rsidR="00204F49">
              <w:rPr>
                <w:rFonts w:ascii="Cambria" w:eastAsia="Cambria" w:hAnsi="Cambria"/>
                <w:b/>
                <w:color w:val="000000"/>
              </w:rPr>
              <w:t>(filled by bioactivity)</w:t>
            </w:r>
          </w:p>
        </w:tc>
        <w:tc>
          <w:tcPr>
            <w:tcW w:w="1546" w:type="dxa"/>
          </w:tcPr>
          <w:p w14:paraId="4FF91D33" w14:textId="77777777" w:rsidR="005B6B63" w:rsidRDefault="00204F49" w:rsidP="00E02643">
            <w:pPr>
              <w:keepNext/>
              <w:spacing w:before="35" w:after="835" w:line="234" w:lineRule="exact"/>
              <w:jc w:val="center"/>
              <w:textAlignment w:val="baseline"/>
              <w:rPr>
                <w:rFonts w:ascii="Cambria" w:eastAsia="Cambria" w:hAnsi="Cambria"/>
                <w:b/>
                <w:color w:val="000000"/>
              </w:rPr>
            </w:pPr>
            <w:r>
              <w:rPr>
                <w:rFonts w:ascii="Cambria" w:eastAsia="Cambria" w:hAnsi="Cambria"/>
                <w:b/>
                <w:color w:val="000000"/>
              </w:rPr>
              <w:t>Overall</w:t>
            </w:r>
          </w:p>
        </w:tc>
      </w:tr>
      <w:tr w:rsidR="005B6B63" w14:paraId="74B7DCFC" w14:textId="77777777" w:rsidTr="00A75C56">
        <w:trPr>
          <w:trHeight w:hRule="exact" w:val="509"/>
        </w:trPr>
        <w:tc>
          <w:tcPr>
            <w:tcW w:w="1546" w:type="dxa"/>
          </w:tcPr>
          <w:p w14:paraId="568618B2" w14:textId="77777777" w:rsidR="005B6B63" w:rsidRDefault="00204F49" w:rsidP="00A75C56">
            <w:pPr>
              <w:spacing w:after="241" w:line="233" w:lineRule="exact"/>
              <w:ind w:left="119"/>
              <w:jc w:val="center"/>
              <w:textAlignment w:val="baseline"/>
              <w:rPr>
                <w:rFonts w:ascii="Cambria" w:eastAsia="Cambria" w:hAnsi="Cambria"/>
                <w:color w:val="000000"/>
              </w:rPr>
            </w:pPr>
            <w:r>
              <w:rPr>
                <w:rFonts w:ascii="Cambria" w:eastAsia="Cambria" w:hAnsi="Cambria"/>
                <w:color w:val="000000"/>
              </w:rPr>
              <w:t>653</w:t>
            </w:r>
          </w:p>
        </w:tc>
        <w:tc>
          <w:tcPr>
            <w:tcW w:w="1536" w:type="dxa"/>
          </w:tcPr>
          <w:p w14:paraId="716E4997" w14:textId="77777777" w:rsidR="005B6B63" w:rsidRDefault="00204F49" w:rsidP="00E02643">
            <w:pPr>
              <w:keepNext/>
              <w:spacing w:after="241" w:line="233" w:lineRule="exact"/>
              <w:ind w:left="120"/>
              <w:jc w:val="center"/>
              <w:textAlignment w:val="baseline"/>
              <w:rPr>
                <w:rFonts w:ascii="Cambria" w:eastAsia="Cambria" w:hAnsi="Cambria"/>
                <w:color w:val="000000"/>
              </w:rPr>
            </w:pPr>
            <w:r>
              <w:rPr>
                <w:rFonts w:ascii="Cambria" w:eastAsia="Cambria" w:hAnsi="Cambria"/>
                <w:color w:val="000000"/>
              </w:rPr>
              <w:t>29</w:t>
            </w:r>
          </w:p>
        </w:tc>
        <w:tc>
          <w:tcPr>
            <w:tcW w:w="1718" w:type="dxa"/>
          </w:tcPr>
          <w:p w14:paraId="2F0A1965" w14:textId="77777777" w:rsidR="005B6B63" w:rsidRDefault="00204F49" w:rsidP="00E02643">
            <w:pPr>
              <w:keepNext/>
              <w:spacing w:after="240" w:line="234" w:lineRule="exact"/>
              <w:ind w:left="115"/>
              <w:jc w:val="center"/>
              <w:textAlignment w:val="baseline"/>
              <w:rPr>
                <w:rFonts w:ascii="Cambria" w:eastAsia="Cambria" w:hAnsi="Cambria"/>
                <w:color w:val="000000"/>
              </w:rPr>
            </w:pPr>
            <w:r>
              <w:rPr>
                <w:rFonts w:ascii="Cambria" w:eastAsia="Cambria" w:hAnsi="Cambria"/>
                <w:color w:val="000000"/>
              </w:rPr>
              <w:t>6.7 (4.1)</w:t>
            </w:r>
          </w:p>
        </w:tc>
        <w:tc>
          <w:tcPr>
            <w:tcW w:w="1541" w:type="dxa"/>
          </w:tcPr>
          <w:p w14:paraId="317D1521" w14:textId="77777777" w:rsidR="005B6B63" w:rsidRDefault="00204F49" w:rsidP="00E02643">
            <w:pPr>
              <w:keepNext/>
              <w:spacing w:after="240" w:line="234" w:lineRule="exact"/>
              <w:jc w:val="center"/>
              <w:textAlignment w:val="baseline"/>
              <w:rPr>
                <w:rFonts w:ascii="Cambria" w:eastAsia="Cambria" w:hAnsi="Cambria"/>
                <w:color w:val="000000"/>
              </w:rPr>
            </w:pPr>
            <w:r>
              <w:rPr>
                <w:rFonts w:ascii="Cambria" w:eastAsia="Cambria" w:hAnsi="Cambria"/>
                <w:color w:val="000000"/>
              </w:rPr>
              <w:t>6.0 (3.7)</w:t>
            </w:r>
          </w:p>
        </w:tc>
        <w:tc>
          <w:tcPr>
            <w:tcW w:w="1699" w:type="dxa"/>
          </w:tcPr>
          <w:p w14:paraId="26A059DF" w14:textId="77777777" w:rsidR="005B6B63" w:rsidRDefault="00204F49" w:rsidP="00E02643">
            <w:pPr>
              <w:keepNext/>
              <w:spacing w:after="240" w:line="234" w:lineRule="exact"/>
              <w:ind w:left="115"/>
              <w:jc w:val="center"/>
              <w:textAlignment w:val="baseline"/>
              <w:rPr>
                <w:rFonts w:ascii="Cambria" w:eastAsia="Cambria" w:hAnsi="Cambria"/>
                <w:color w:val="000000"/>
              </w:rPr>
            </w:pPr>
            <w:r>
              <w:rPr>
                <w:rFonts w:ascii="Cambria" w:eastAsia="Cambria" w:hAnsi="Cambria"/>
                <w:color w:val="000000"/>
              </w:rPr>
              <w:t>6.1 (4.3)</w:t>
            </w:r>
          </w:p>
        </w:tc>
        <w:tc>
          <w:tcPr>
            <w:tcW w:w="1546" w:type="dxa"/>
          </w:tcPr>
          <w:p w14:paraId="70A49367" w14:textId="77777777" w:rsidR="005B6B63" w:rsidRDefault="00204F49" w:rsidP="00E02643">
            <w:pPr>
              <w:keepNext/>
              <w:spacing w:after="240" w:line="234" w:lineRule="exact"/>
              <w:jc w:val="center"/>
              <w:textAlignment w:val="baseline"/>
              <w:rPr>
                <w:rFonts w:ascii="Cambria" w:eastAsia="Cambria" w:hAnsi="Cambria"/>
                <w:color w:val="000000"/>
              </w:rPr>
            </w:pPr>
            <w:r>
              <w:rPr>
                <w:rFonts w:ascii="Cambria" w:eastAsia="Cambria" w:hAnsi="Cambria"/>
                <w:color w:val="000000"/>
              </w:rPr>
              <w:t>6.3 (4.0)</w:t>
            </w:r>
          </w:p>
        </w:tc>
      </w:tr>
    </w:tbl>
    <w:p w14:paraId="381F1946" w14:textId="77777777" w:rsidR="00D9498D" w:rsidRDefault="00D9498D" w:rsidP="002D108A">
      <w:pPr>
        <w:spacing w:line="281" w:lineRule="exact"/>
        <w:textAlignment w:val="baseline"/>
        <w:rPr>
          <w:rFonts w:ascii="Cambria" w:eastAsia="Cambria" w:hAnsi="Cambria"/>
          <w:b/>
          <w:color w:val="000000"/>
        </w:rPr>
      </w:pPr>
    </w:p>
    <w:p w14:paraId="0CA19B80" w14:textId="71293DA0" w:rsidR="005B6B63" w:rsidRPr="00A75C56" w:rsidRDefault="00204F49" w:rsidP="00A75C56">
      <w:pPr>
        <w:spacing w:before="240" w:after="240"/>
        <w:rPr>
          <w:b/>
        </w:rPr>
      </w:pPr>
      <w:r w:rsidRPr="00A75C56">
        <w:rPr>
          <w:b/>
        </w:rPr>
        <w:t xml:space="preserve">Table 2. Number of Oocytes </w:t>
      </w:r>
      <w:proofErr w:type="spellStart"/>
      <w:r w:rsidRPr="00A75C56">
        <w:rPr>
          <w:b/>
        </w:rPr>
        <w:t>Fertilised</w:t>
      </w:r>
      <w:proofErr w:type="spellEnd"/>
      <w:r w:rsidRPr="00A75C56">
        <w:rPr>
          <w:b/>
        </w:rPr>
        <w:t>: Statistical Comparisons between the Treatment Groups by Age and Type of Insemination</w:t>
      </w:r>
    </w:p>
    <w:tbl>
      <w:tblPr>
        <w:tblStyle w:val="TableGridLight"/>
        <w:tblW w:w="0" w:type="auto"/>
        <w:tblLayout w:type="fixed"/>
        <w:tblLook w:val="04A0" w:firstRow="1" w:lastRow="0" w:firstColumn="1" w:lastColumn="0" w:noHBand="0" w:noVBand="1"/>
      </w:tblPr>
      <w:tblGrid>
        <w:gridCol w:w="706"/>
        <w:gridCol w:w="993"/>
        <w:gridCol w:w="1133"/>
        <w:gridCol w:w="1277"/>
        <w:gridCol w:w="1277"/>
        <w:gridCol w:w="1416"/>
        <w:gridCol w:w="1276"/>
        <w:gridCol w:w="1392"/>
      </w:tblGrid>
      <w:tr w:rsidR="005B6B63" w14:paraId="138BC1C7" w14:textId="77777777" w:rsidTr="00A83015">
        <w:trPr>
          <w:trHeight w:hRule="exact" w:val="2501"/>
          <w:tblHeader/>
        </w:trPr>
        <w:tc>
          <w:tcPr>
            <w:tcW w:w="706" w:type="dxa"/>
          </w:tcPr>
          <w:p w14:paraId="2ED725D0" w14:textId="77777777" w:rsidR="005B6B63" w:rsidRPr="00A75C56" w:rsidRDefault="00204F49" w:rsidP="00A75C56">
            <w:pPr>
              <w:rPr>
                <w:b/>
              </w:rPr>
            </w:pPr>
            <w:r w:rsidRPr="00A75C56">
              <w:rPr>
                <w:b/>
              </w:rPr>
              <w:t>Age</w:t>
            </w:r>
          </w:p>
        </w:tc>
        <w:tc>
          <w:tcPr>
            <w:tcW w:w="993" w:type="dxa"/>
          </w:tcPr>
          <w:p w14:paraId="0ED26BC4" w14:textId="77777777" w:rsidR="005B6B63" w:rsidRPr="00A75C56" w:rsidRDefault="00204F49" w:rsidP="00A75C56">
            <w:pPr>
              <w:rPr>
                <w:b/>
              </w:rPr>
            </w:pPr>
            <w:proofErr w:type="spellStart"/>
            <w:r w:rsidRPr="00A75C56">
              <w:rPr>
                <w:b/>
              </w:rPr>
              <w:t>Insemi</w:t>
            </w:r>
            <w:proofErr w:type="spellEnd"/>
            <w:r w:rsidRPr="00A75C56">
              <w:rPr>
                <w:b/>
              </w:rPr>
              <w:t>- nation</w:t>
            </w:r>
          </w:p>
        </w:tc>
        <w:tc>
          <w:tcPr>
            <w:tcW w:w="1133" w:type="dxa"/>
          </w:tcPr>
          <w:p w14:paraId="397CF174" w14:textId="056885AA" w:rsidR="005B6B63" w:rsidRPr="00A75C56" w:rsidRDefault="00D95820" w:rsidP="00A75C56">
            <w:pPr>
              <w:rPr>
                <w:b/>
                <w:spacing w:val="3"/>
              </w:rPr>
            </w:pPr>
            <w:r w:rsidRPr="00A75C56">
              <w:rPr>
                <w:b/>
              </w:rPr>
              <w:t>r-</w:t>
            </w:r>
            <w:proofErr w:type="spellStart"/>
            <w:r w:rsidRPr="00A75C56">
              <w:rPr>
                <w:b/>
              </w:rPr>
              <w:t>hFSH</w:t>
            </w:r>
            <w:proofErr w:type="spellEnd"/>
            <w:r w:rsidR="003F3536" w:rsidRPr="00A75C56">
              <w:rPr>
                <w:b/>
              </w:rPr>
              <w:t xml:space="preserve"> </w:t>
            </w:r>
            <w:r w:rsidR="00204F49" w:rsidRPr="00A75C56">
              <w:rPr>
                <w:b/>
                <w:spacing w:val="3"/>
              </w:rPr>
              <w:t>(</w:t>
            </w:r>
            <w:proofErr w:type="spellStart"/>
            <w:r w:rsidR="00204F49" w:rsidRPr="00A75C56">
              <w:rPr>
                <w:b/>
                <w:spacing w:val="3"/>
              </w:rPr>
              <w:t>fbm</w:t>
            </w:r>
            <w:proofErr w:type="spellEnd"/>
            <w:r w:rsidR="00204F49" w:rsidRPr="00A75C56">
              <w:rPr>
                <w:b/>
                <w:spacing w:val="3"/>
              </w:rPr>
              <w:t>) vs u-</w:t>
            </w:r>
            <w:proofErr w:type="spellStart"/>
            <w:r w:rsidR="00204F49" w:rsidRPr="00A75C56">
              <w:rPr>
                <w:b/>
                <w:spacing w:val="3"/>
              </w:rPr>
              <w:t>hFSH</w:t>
            </w:r>
            <w:proofErr w:type="spellEnd"/>
          </w:p>
        </w:tc>
        <w:tc>
          <w:tcPr>
            <w:tcW w:w="1277" w:type="dxa"/>
          </w:tcPr>
          <w:p w14:paraId="0947D246" w14:textId="77777777" w:rsidR="005B6B63" w:rsidRPr="00A75C56" w:rsidRDefault="00204F49" w:rsidP="00A75C56">
            <w:pPr>
              <w:rPr>
                <w:b/>
              </w:rPr>
            </w:pPr>
            <w:r w:rsidRPr="00A75C56">
              <w:rPr>
                <w:b/>
              </w:rPr>
              <w:t>Estimated difference</w:t>
            </w:r>
          </w:p>
        </w:tc>
        <w:tc>
          <w:tcPr>
            <w:tcW w:w="1277" w:type="dxa"/>
          </w:tcPr>
          <w:p w14:paraId="235A86D2" w14:textId="77777777" w:rsidR="005B6B63" w:rsidRPr="00A75C56" w:rsidRDefault="00204F49" w:rsidP="00A75C56">
            <w:pPr>
              <w:rPr>
                <w:b/>
              </w:rPr>
            </w:pPr>
            <w:r w:rsidRPr="00A75C56">
              <w:rPr>
                <w:b/>
              </w:rPr>
              <w:t>90% CI</w:t>
            </w:r>
          </w:p>
        </w:tc>
        <w:tc>
          <w:tcPr>
            <w:tcW w:w="1416" w:type="dxa"/>
          </w:tcPr>
          <w:p w14:paraId="62F2F363" w14:textId="033085A0" w:rsidR="005B6B63" w:rsidRPr="00A75C56" w:rsidRDefault="00D95820" w:rsidP="00A75C56">
            <w:pPr>
              <w:rPr>
                <w:b/>
              </w:rPr>
            </w:pPr>
            <w:r w:rsidRPr="00A75C56">
              <w:rPr>
                <w:b/>
              </w:rPr>
              <w:t>r-</w:t>
            </w:r>
            <w:proofErr w:type="spellStart"/>
            <w:r w:rsidRPr="00A75C56">
              <w:rPr>
                <w:b/>
              </w:rPr>
              <w:t>hFSH</w:t>
            </w:r>
            <w:proofErr w:type="spellEnd"/>
            <w:r w:rsidR="00204F49" w:rsidRPr="00A75C56">
              <w:rPr>
                <w:b/>
              </w:rPr>
              <w:t>(</w:t>
            </w:r>
            <w:proofErr w:type="spellStart"/>
            <w:r w:rsidR="00204F49" w:rsidRPr="00A75C56">
              <w:rPr>
                <w:b/>
              </w:rPr>
              <w:t>fbm</w:t>
            </w:r>
            <w:proofErr w:type="spellEnd"/>
            <w:r w:rsidR="00204F49" w:rsidRPr="00A75C56">
              <w:rPr>
                <w:b/>
              </w:rPr>
              <w:t xml:space="preserve">) vs old </w:t>
            </w:r>
            <w:r w:rsidRPr="00A75C56">
              <w:rPr>
                <w:b/>
              </w:rPr>
              <w:t>r-</w:t>
            </w:r>
            <w:proofErr w:type="spellStart"/>
            <w:r w:rsidRPr="00A75C56">
              <w:rPr>
                <w:b/>
              </w:rPr>
              <w:t>hFSH</w:t>
            </w:r>
            <w:proofErr w:type="spellEnd"/>
            <w:r w:rsidR="00204F49" w:rsidRPr="00A75C56">
              <w:rPr>
                <w:b/>
              </w:rPr>
              <w:t xml:space="preserve"> (filled by bioactivity)</w:t>
            </w:r>
          </w:p>
        </w:tc>
        <w:tc>
          <w:tcPr>
            <w:tcW w:w="1276" w:type="dxa"/>
          </w:tcPr>
          <w:p w14:paraId="1D7019A6" w14:textId="77777777" w:rsidR="005B6B63" w:rsidRPr="00A75C56" w:rsidRDefault="00204F49" w:rsidP="00A75C56">
            <w:pPr>
              <w:rPr>
                <w:b/>
              </w:rPr>
            </w:pPr>
            <w:r w:rsidRPr="00A75C56">
              <w:rPr>
                <w:b/>
              </w:rPr>
              <w:t>Estimated difference</w:t>
            </w:r>
          </w:p>
        </w:tc>
        <w:tc>
          <w:tcPr>
            <w:tcW w:w="1392" w:type="dxa"/>
          </w:tcPr>
          <w:p w14:paraId="7094B25E" w14:textId="77777777" w:rsidR="005B6B63" w:rsidRPr="00A75C56" w:rsidRDefault="00204F49" w:rsidP="00A75C56">
            <w:pPr>
              <w:rPr>
                <w:b/>
              </w:rPr>
            </w:pPr>
            <w:r w:rsidRPr="00A75C56">
              <w:rPr>
                <w:b/>
              </w:rPr>
              <w:t>95% CI</w:t>
            </w:r>
          </w:p>
        </w:tc>
      </w:tr>
      <w:tr w:rsidR="005B6B63" w14:paraId="06B4EF1F" w14:textId="77777777" w:rsidTr="00A75C56">
        <w:trPr>
          <w:trHeight w:hRule="exact" w:val="480"/>
        </w:trPr>
        <w:tc>
          <w:tcPr>
            <w:tcW w:w="706" w:type="dxa"/>
            <w:vMerge w:val="restart"/>
          </w:tcPr>
          <w:p w14:paraId="7395AC0F" w14:textId="77777777" w:rsidR="005B6B63" w:rsidRDefault="00204F49" w:rsidP="00A75C56">
            <w:r>
              <w:t>&lt; 35</w:t>
            </w:r>
          </w:p>
        </w:tc>
        <w:tc>
          <w:tcPr>
            <w:tcW w:w="993" w:type="dxa"/>
          </w:tcPr>
          <w:p w14:paraId="4FF6A134" w14:textId="77777777" w:rsidR="005B6B63" w:rsidRDefault="00204F49" w:rsidP="00A75C56">
            <w:r>
              <w:t>IVF</w:t>
            </w:r>
          </w:p>
        </w:tc>
        <w:tc>
          <w:tcPr>
            <w:tcW w:w="1133" w:type="dxa"/>
          </w:tcPr>
          <w:p w14:paraId="43931524" w14:textId="77777777" w:rsidR="005B6B63" w:rsidRDefault="00204F49" w:rsidP="00A75C56">
            <w:r>
              <w:t>0.257</w:t>
            </w:r>
          </w:p>
        </w:tc>
        <w:tc>
          <w:tcPr>
            <w:tcW w:w="1277" w:type="dxa"/>
          </w:tcPr>
          <w:p w14:paraId="7C9EEA54" w14:textId="77777777" w:rsidR="005B6B63" w:rsidRDefault="00204F49" w:rsidP="00A75C56">
            <w:r>
              <w:t>0.96</w:t>
            </w:r>
          </w:p>
        </w:tc>
        <w:tc>
          <w:tcPr>
            <w:tcW w:w="1277" w:type="dxa"/>
          </w:tcPr>
          <w:p w14:paraId="77909A10" w14:textId="77777777" w:rsidR="005B6B63" w:rsidRDefault="00204F49" w:rsidP="00A75C56">
            <w:r>
              <w:t>[-0.44, 2.36]</w:t>
            </w:r>
          </w:p>
        </w:tc>
        <w:tc>
          <w:tcPr>
            <w:tcW w:w="1416" w:type="dxa"/>
          </w:tcPr>
          <w:p w14:paraId="01735A44" w14:textId="77777777" w:rsidR="005B6B63" w:rsidRDefault="00204F49" w:rsidP="00A75C56">
            <w:r>
              <w:t>0.471</w:t>
            </w:r>
          </w:p>
        </w:tc>
        <w:tc>
          <w:tcPr>
            <w:tcW w:w="1276" w:type="dxa"/>
          </w:tcPr>
          <w:p w14:paraId="415A9F52" w14:textId="77777777" w:rsidR="005B6B63" w:rsidRDefault="00204F49" w:rsidP="00A75C56">
            <w:r>
              <w:t>0.62</w:t>
            </w:r>
          </w:p>
        </w:tc>
        <w:tc>
          <w:tcPr>
            <w:tcW w:w="1392" w:type="dxa"/>
          </w:tcPr>
          <w:p w14:paraId="4C9EE49B" w14:textId="77777777" w:rsidR="005B6B63" w:rsidRDefault="00204F49" w:rsidP="00A75C56">
            <w:r>
              <w:t>[-1.07, 2.30]</w:t>
            </w:r>
          </w:p>
        </w:tc>
      </w:tr>
      <w:tr w:rsidR="005B6B63" w14:paraId="7491D7A5" w14:textId="77777777" w:rsidTr="00A75C56">
        <w:trPr>
          <w:trHeight w:hRule="exact" w:val="475"/>
        </w:trPr>
        <w:tc>
          <w:tcPr>
            <w:tcW w:w="706" w:type="dxa"/>
            <w:vMerge/>
          </w:tcPr>
          <w:p w14:paraId="66461F72" w14:textId="77777777" w:rsidR="005B6B63" w:rsidRDefault="005B6B63" w:rsidP="00A75C56"/>
        </w:tc>
        <w:tc>
          <w:tcPr>
            <w:tcW w:w="993" w:type="dxa"/>
          </w:tcPr>
          <w:p w14:paraId="2B31588B" w14:textId="77777777" w:rsidR="005B6B63" w:rsidRDefault="00204F49" w:rsidP="00A75C56">
            <w:r>
              <w:t>ICSI</w:t>
            </w:r>
          </w:p>
        </w:tc>
        <w:tc>
          <w:tcPr>
            <w:tcW w:w="1133" w:type="dxa"/>
          </w:tcPr>
          <w:p w14:paraId="1F1E9734" w14:textId="77777777" w:rsidR="005B6B63" w:rsidRDefault="00204F49" w:rsidP="00A75C56">
            <w:r>
              <w:t>0.009</w:t>
            </w:r>
          </w:p>
        </w:tc>
        <w:tc>
          <w:tcPr>
            <w:tcW w:w="1277" w:type="dxa"/>
          </w:tcPr>
          <w:p w14:paraId="739B5D09" w14:textId="77777777" w:rsidR="005B6B63" w:rsidRDefault="00204F49" w:rsidP="00A75C56">
            <w:r>
              <w:t>1.45</w:t>
            </w:r>
          </w:p>
        </w:tc>
        <w:tc>
          <w:tcPr>
            <w:tcW w:w="1277" w:type="dxa"/>
          </w:tcPr>
          <w:p w14:paraId="2A4D167C" w14:textId="77777777" w:rsidR="005B6B63" w:rsidRDefault="00204F49" w:rsidP="00A75C56">
            <w:r>
              <w:t>[0.54, 2.36]</w:t>
            </w:r>
          </w:p>
        </w:tc>
        <w:tc>
          <w:tcPr>
            <w:tcW w:w="1416" w:type="dxa"/>
          </w:tcPr>
          <w:p w14:paraId="6A646265" w14:textId="77777777" w:rsidR="005B6B63" w:rsidRDefault="00204F49" w:rsidP="00A75C56">
            <w:r>
              <w:t>0.004</w:t>
            </w:r>
          </w:p>
        </w:tc>
        <w:tc>
          <w:tcPr>
            <w:tcW w:w="1276" w:type="dxa"/>
          </w:tcPr>
          <w:p w14:paraId="281FA43E" w14:textId="77777777" w:rsidR="005B6B63" w:rsidRDefault="00204F49" w:rsidP="00A75C56">
            <w:r>
              <w:t>1.64</w:t>
            </w:r>
          </w:p>
        </w:tc>
        <w:tc>
          <w:tcPr>
            <w:tcW w:w="1392" w:type="dxa"/>
          </w:tcPr>
          <w:p w14:paraId="60ECB969" w14:textId="77777777" w:rsidR="005B6B63" w:rsidRDefault="00204F49" w:rsidP="00A75C56">
            <w:r>
              <w:t>[0.54, 2.73]</w:t>
            </w:r>
          </w:p>
        </w:tc>
      </w:tr>
      <w:tr w:rsidR="005B6B63" w14:paraId="32D1BAFE" w14:textId="77777777" w:rsidTr="00A75C56">
        <w:trPr>
          <w:trHeight w:hRule="exact" w:val="480"/>
        </w:trPr>
        <w:tc>
          <w:tcPr>
            <w:tcW w:w="706" w:type="dxa"/>
            <w:vMerge/>
          </w:tcPr>
          <w:p w14:paraId="1A0AC15E" w14:textId="77777777" w:rsidR="005B6B63" w:rsidRDefault="005B6B63" w:rsidP="00A75C56"/>
        </w:tc>
        <w:tc>
          <w:tcPr>
            <w:tcW w:w="993" w:type="dxa"/>
          </w:tcPr>
          <w:p w14:paraId="29A8E055" w14:textId="77777777" w:rsidR="005B6B63" w:rsidRDefault="00204F49" w:rsidP="00A75C56">
            <w:r>
              <w:t>All</w:t>
            </w:r>
          </w:p>
        </w:tc>
        <w:tc>
          <w:tcPr>
            <w:tcW w:w="1133" w:type="dxa"/>
          </w:tcPr>
          <w:p w14:paraId="4EB2E4A9" w14:textId="77777777" w:rsidR="005B6B63" w:rsidRDefault="00204F49" w:rsidP="00A75C56">
            <w:r>
              <w:t>0.002</w:t>
            </w:r>
          </w:p>
        </w:tc>
        <w:tc>
          <w:tcPr>
            <w:tcW w:w="1277" w:type="dxa"/>
          </w:tcPr>
          <w:p w14:paraId="3FFB01AF" w14:textId="77777777" w:rsidR="005B6B63" w:rsidRDefault="00204F49" w:rsidP="00A75C56">
            <w:r>
              <w:t>1.41</w:t>
            </w:r>
          </w:p>
        </w:tc>
        <w:tc>
          <w:tcPr>
            <w:tcW w:w="1277" w:type="dxa"/>
          </w:tcPr>
          <w:p w14:paraId="1B7C6BB2" w14:textId="77777777" w:rsidR="005B6B63" w:rsidRDefault="00204F49" w:rsidP="00A75C56">
            <w:r>
              <w:t>[0.66, 2.16]</w:t>
            </w:r>
          </w:p>
        </w:tc>
        <w:tc>
          <w:tcPr>
            <w:tcW w:w="1416" w:type="dxa"/>
          </w:tcPr>
          <w:p w14:paraId="0F3C4C55" w14:textId="77777777" w:rsidR="005B6B63" w:rsidRDefault="00204F49" w:rsidP="00A75C56">
            <w:r>
              <w:t>0.001</w:t>
            </w:r>
          </w:p>
        </w:tc>
        <w:tc>
          <w:tcPr>
            <w:tcW w:w="1276" w:type="dxa"/>
          </w:tcPr>
          <w:p w14:paraId="174902FE" w14:textId="77777777" w:rsidR="005B6B63" w:rsidRDefault="00204F49" w:rsidP="00A75C56">
            <w:r>
              <w:t>1.52</w:t>
            </w:r>
          </w:p>
        </w:tc>
        <w:tc>
          <w:tcPr>
            <w:tcW w:w="1392" w:type="dxa"/>
          </w:tcPr>
          <w:p w14:paraId="670480E5" w14:textId="77777777" w:rsidR="005B6B63" w:rsidRDefault="00204F49" w:rsidP="00A75C56">
            <w:r>
              <w:t>[0.62, 2.41]</w:t>
            </w:r>
          </w:p>
        </w:tc>
      </w:tr>
      <w:tr w:rsidR="005B6B63" w14:paraId="3944B8D8" w14:textId="77777777" w:rsidTr="00A75C56">
        <w:trPr>
          <w:trHeight w:hRule="exact" w:val="480"/>
        </w:trPr>
        <w:tc>
          <w:tcPr>
            <w:tcW w:w="706" w:type="dxa"/>
            <w:vMerge w:val="restart"/>
          </w:tcPr>
          <w:p w14:paraId="32FF6808" w14:textId="77777777" w:rsidR="005B6B63" w:rsidRDefault="00204F49" w:rsidP="00A75C56">
            <w:r>
              <w:t>&gt;=35</w:t>
            </w:r>
          </w:p>
        </w:tc>
        <w:tc>
          <w:tcPr>
            <w:tcW w:w="993" w:type="dxa"/>
          </w:tcPr>
          <w:p w14:paraId="0B46D8DF" w14:textId="77777777" w:rsidR="005B6B63" w:rsidRDefault="00204F49" w:rsidP="00A75C56">
            <w:r>
              <w:t>IVF</w:t>
            </w:r>
          </w:p>
        </w:tc>
        <w:tc>
          <w:tcPr>
            <w:tcW w:w="1133" w:type="dxa"/>
          </w:tcPr>
          <w:p w14:paraId="37FA8DF2" w14:textId="77777777" w:rsidR="005B6B63" w:rsidRDefault="00204F49" w:rsidP="00A75C56">
            <w:r>
              <w:t>0.865</w:t>
            </w:r>
          </w:p>
        </w:tc>
        <w:tc>
          <w:tcPr>
            <w:tcW w:w="1277" w:type="dxa"/>
          </w:tcPr>
          <w:p w14:paraId="222459D4" w14:textId="77777777" w:rsidR="005B6B63" w:rsidRDefault="00204F49" w:rsidP="00A75C56">
            <w:r>
              <w:t>-0.20</w:t>
            </w:r>
          </w:p>
        </w:tc>
        <w:tc>
          <w:tcPr>
            <w:tcW w:w="1277" w:type="dxa"/>
          </w:tcPr>
          <w:p w14:paraId="6796D67B" w14:textId="77777777" w:rsidR="005B6B63" w:rsidRDefault="00204F49" w:rsidP="00A75C56">
            <w:r>
              <w:t>[-2.18, 1.77]</w:t>
            </w:r>
          </w:p>
        </w:tc>
        <w:tc>
          <w:tcPr>
            <w:tcW w:w="1416" w:type="dxa"/>
          </w:tcPr>
          <w:p w14:paraId="20AF1CEE" w14:textId="77777777" w:rsidR="005B6B63" w:rsidRDefault="00204F49" w:rsidP="00A75C56">
            <w:r>
              <w:t>0.963</w:t>
            </w:r>
          </w:p>
        </w:tc>
        <w:tc>
          <w:tcPr>
            <w:tcW w:w="1276" w:type="dxa"/>
          </w:tcPr>
          <w:p w14:paraId="78F58DAE" w14:textId="77777777" w:rsidR="005B6B63" w:rsidRDefault="00204F49" w:rsidP="00A75C56">
            <w:r>
              <w:t>-0.06</w:t>
            </w:r>
          </w:p>
        </w:tc>
        <w:tc>
          <w:tcPr>
            <w:tcW w:w="1392" w:type="dxa"/>
          </w:tcPr>
          <w:p w14:paraId="7F494764" w14:textId="77777777" w:rsidR="005B6B63" w:rsidRDefault="00204F49" w:rsidP="00A75C56">
            <w:r>
              <w:t>[-2.61, 2.49]</w:t>
            </w:r>
          </w:p>
        </w:tc>
      </w:tr>
      <w:tr w:rsidR="005B6B63" w14:paraId="23652AE7" w14:textId="77777777" w:rsidTr="00A75C56">
        <w:trPr>
          <w:trHeight w:hRule="exact" w:val="480"/>
        </w:trPr>
        <w:tc>
          <w:tcPr>
            <w:tcW w:w="706" w:type="dxa"/>
            <w:vMerge/>
          </w:tcPr>
          <w:p w14:paraId="1C741781" w14:textId="77777777" w:rsidR="005B6B63" w:rsidRDefault="005B6B63" w:rsidP="00A75C56"/>
        </w:tc>
        <w:tc>
          <w:tcPr>
            <w:tcW w:w="993" w:type="dxa"/>
          </w:tcPr>
          <w:p w14:paraId="2CB66BF5" w14:textId="77777777" w:rsidR="005B6B63" w:rsidRDefault="00204F49" w:rsidP="00A75C56">
            <w:r>
              <w:t>ICSI</w:t>
            </w:r>
          </w:p>
        </w:tc>
        <w:tc>
          <w:tcPr>
            <w:tcW w:w="1133" w:type="dxa"/>
          </w:tcPr>
          <w:p w14:paraId="6D586367" w14:textId="77777777" w:rsidR="005B6B63" w:rsidRDefault="00204F49" w:rsidP="00A75C56">
            <w:r>
              <w:t>0.112</w:t>
            </w:r>
          </w:p>
        </w:tc>
        <w:tc>
          <w:tcPr>
            <w:tcW w:w="1277" w:type="dxa"/>
          </w:tcPr>
          <w:p w14:paraId="72EA589B" w14:textId="77777777" w:rsidR="005B6B63" w:rsidRDefault="00204F49" w:rsidP="00A75C56">
            <w:r>
              <w:t>-1.58</w:t>
            </w:r>
          </w:p>
        </w:tc>
        <w:tc>
          <w:tcPr>
            <w:tcW w:w="1277" w:type="dxa"/>
          </w:tcPr>
          <w:p w14:paraId="23562B9F" w14:textId="77777777" w:rsidR="005B6B63" w:rsidRDefault="00204F49" w:rsidP="00A75C56">
            <w:r>
              <w:t>[-3.21, 0.06]</w:t>
            </w:r>
          </w:p>
        </w:tc>
        <w:tc>
          <w:tcPr>
            <w:tcW w:w="1416" w:type="dxa"/>
          </w:tcPr>
          <w:p w14:paraId="3BD4293C" w14:textId="77777777" w:rsidR="005B6B63" w:rsidRDefault="00204F49" w:rsidP="00A75C56">
            <w:r>
              <w:t>0.119</w:t>
            </w:r>
          </w:p>
        </w:tc>
        <w:tc>
          <w:tcPr>
            <w:tcW w:w="1276" w:type="dxa"/>
          </w:tcPr>
          <w:p w14:paraId="553EBEA8" w14:textId="77777777" w:rsidR="005B6B63" w:rsidRDefault="00204F49" w:rsidP="00A75C56">
            <w:r>
              <w:t>-1.56</w:t>
            </w:r>
          </w:p>
        </w:tc>
        <w:tc>
          <w:tcPr>
            <w:tcW w:w="1392" w:type="dxa"/>
          </w:tcPr>
          <w:p w14:paraId="63252765" w14:textId="77777777" w:rsidR="005B6B63" w:rsidRDefault="00204F49" w:rsidP="00A75C56">
            <w:r>
              <w:t>[-3.53, 0.41]</w:t>
            </w:r>
          </w:p>
        </w:tc>
      </w:tr>
      <w:tr w:rsidR="005B6B63" w14:paraId="6A9FD3C8" w14:textId="77777777" w:rsidTr="00A75C56">
        <w:trPr>
          <w:trHeight w:hRule="exact" w:val="480"/>
        </w:trPr>
        <w:tc>
          <w:tcPr>
            <w:tcW w:w="706" w:type="dxa"/>
            <w:vMerge/>
          </w:tcPr>
          <w:p w14:paraId="7B2BB841" w14:textId="77777777" w:rsidR="005B6B63" w:rsidRDefault="005B6B63" w:rsidP="00A75C56"/>
        </w:tc>
        <w:tc>
          <w:tcPr>
            <w:tcW w:w="993" w:type="dxa"/>
          </w:tcPr>
          <w:p w14:paraId="57489BBC" w14:textId="77777777" w:rsidR="005B6B63" w:rsidRDefault="00204F49" w:rsidP="00A75C56">
            <w:r>
              <w:t>All</w:t>
            </w:r>
          </w:p>
        </w:tc>
        <w:tc>
          <w:tcPr>
            <w:tcW w:w="1133" w:type="dxa"/>
          </w:tcPr>
          <w:p w14:paraId="178B5A89" w14:textId="77777777" w:rsidR="005B6B63" w:rsidRDefault="00204F49" w:rsidP="00A75C56">
            <w:r>
              <w:t>0.141</w:t>
            </w:r>
          </w:p>
        </w:tc>
        <w:tc>
          <w:tcPr>
            <w:tcW w:w="1277" w:type="dxa"/>
          </w:tcPr>
          <w:p w14:paraId="581CE813" w14:textId="77777777" w:rsidR="005B6B63" w:rsidRDefault="00204F49" w:rsidP="00A75C56">
            <w:r>
              <w:t>-1.04</w:t>
            </w:r>
          </w:p>
        </w:tc>
        <w:tc>
          <w:tcPr>
            <w:tcW w:w="1277" w:type="dxa"/>
          </w:tcPr>
          <w:p w14:paraId="6800047B" w14:textId="77777777" w:rsidR="005B6B63" w:rsidRDefault="00204F49" w:rsidP="00A75C56">
            <w:r>
              <w:t>[-2.20, 0.12]</w:t>
            </w:r>
          </w:p>
        </w:tc>
        <w:tc>
          <w:tcPr>
            <w:tcW w:w="1416" w:type="dxa"/>
          </w:tcPr>
          <w:p w14:paraId="63B8CBE2" w14:textId="77777777" w:rsidR="005B6B63" w:rsidRDefault="00204F49" w:rsidP="00A75C56">
            <w:r>
              <w:t>0.059</w:t>
            </w:r>
          </w:p>
        </w:tc>
        <w:tc>
          <w:tcPr>
            <w:tcW w:w="1276" w:type="dxa"/>
          </w:tcPr>
          <w:p w14:paraId="437277D7" w14:textId="77777777" w:rsidR="005B6B63" w:rsidRDefault="00204F49" w:rsidP="00A75C56">
            <w:r>
              <w:t>-1.35</w:t>
            </w:r>
          </w:p>
        </w:tc>
        <w:tc>
          <w:tcPr>
            <w:tcW w:w="1392" w:type="dxa"/>
          </w:tcPr>
          <w:p w14:paraId="196C4BAC" w14:textId="77777777" w:rsidR="005B6B63" w:rsidRDefault="00204F49" w:rsidP="00A75C56">
            <w:r>
              <w:t>[-2.76, 0.05]</w:t>
            </w:r>
          </w:p>
        </w:tc>
      </w:tr>
      <w:tr w:rsidR="005B6B63" w14:paraId="3B2C2CCE" w14:textId="77777777" w:rsidTr="00A75C56">
        <w:trPr>
          <w:trHeight w:hRule="exact" w:val="480"/>
        </w:trPr>
        <w:tc>
          <w:tcPr>
            <w:tcW w:w="706" w:type="dxa"/>
            <w:vMerge w:val="restart"/>
          </w:tcPr>
          <w:p w14:paraId="108C98BE" w14:textId="77777777" w:rsidR="005B6B63" w:rsidRDefault="00204F49" w:rsidP="00A75C56">
            <w:r>
              <w:t>All</w:t>
            </w:r>
          </w:p>
        </w:tc>
        <w:tc>
          <w:tcPr>
            <w:tcW w:w="993" w:type="dxa"/>
          </w:tcPr>
          <w:p w14:paraId="7CCC78E0" w14:textId="77777777" w:rsidR="005B6B63" w:rsidRDefault="00204F49" w:rsidP="00A75C56">
            <w:r>
              <w:t>IVF</w:t>
            </w:r>
          </w:p>
        </w:tc>
        <w:tc>
          <w:tcPr>
            <w:tcW w:w="1133" w:type="dxa"/>
          </w:tcPr>
          <w:p w14:paraId="4B4630FF" w14:textId="77777777" w:rsidR="005B6B63" w:rsidRDefault="00204F49" w:rsidP="00A75C56">
            <w:r>
              <w:t>0.510</w:t>
            </w:r>
          </w:p>
        </w:tc>
        <w:tc>
          <w:tcPr>
            <w:tcW w:w="1277" w:type="dxa"/>
          </w:tcPr>
          <w:p w14:paraId="5ED277C8" w14:textId="77777777" w:rsidR="005B6B63" w:rsidRDefault="00204F49" w:rsidP="00A75C56">
            <w:r>
              <w:t>0.43</w:t>
            </w:r>
          </w:p>
        </w:tc>
        <w:tc>
          <w:tcPr>
            <w:tcW w:w="1277" w:type="dxa"/>
          </w:tcPr>
          <w:p w14:paraId="4B4A28FE" w14:textId="77777777" w:rsidR="005B6B63" w:rsidRDefault="00204F49" w:rsidP="00A75C56">
            <w:r>
              <w:t>[-0.65, 1.51]</w:t>
            </w:r>
          </w:p>
        </w:tc>
        <w:tc>
          <w:tcPr>
            <w:tcW w:w="1416" w:type="dxa"/>
          </w:tcPr>
          <w:p w14:paraId="77138358" w14:textId="77777777" w:rsidR="005B6B63" w:rsidRDefault="00204F49" w:rsidP="00A75C56">
            <w:r>
              <w:t>0.826</w:t>
            </w:r>
          </w:p>
        </w:tc>
        <w:tc>
          <w:tcPr>
            <w:tcW w:w="1276" w:type="dxa"/>
          </w:tcPr>
          <w:p w14:paraId="42A2B676" w14:textId="77777777" w:rsidR="005B6B63" w:rsidRDefault="00204F49" w:rsidP="00A75C56">
            <w:r>
              <w:t>0.15</w:t>
            </w:r>
          </w:p>
        </w:tc>
        <w:tc>
          <w:tcPr>
            <w:tcW w:w="1392" w:type="dxa"/>
          </w:tcPr>
          <w:p w14:paraId="773EB17E" w14:textId="77777777" w:rsidR="005B6B63" w:rsidRDefault="00204F49" w:rsidP="00A75C56">
            <w:r>
              <w:t>[-1.15, 1.44]</w:t>
            </w:r>
          </w:p>
        </w:tc>
      </w:tr>
      <w:tr w:rsidR="005B6B63" w14:paraId="59A7568E" w14:textId="77777777" w:rsidTr="00A75C56">
        <w:trPr>
          <w:trHeight w:hRule="exact" w:val="480"/>
        </w:trPr>
        <w:tc>
          <w:tcPr>
            <w:tcW w:w="706" w:type="dxa"/>
            <w:vMerge/>
          </w:tcPr>
          <w:p w14:paraId="28BFA265" w14:textId="77777777" w:rsidR="005B6B63" w:rsidRDefault="005B6B63" w:rsidP="00A75C56"/>
        </w:tc>
        <w:tc>
          <w:tcPr>
            <w:tcW w:w="993" w:type="dxa"/>
          </w:tcPr>
          <w:p w14:paraId="5AC5C213" w14:textId="77777777" w:rsidR="005B6B63" w:rsidRDefault="00204F49" w:rsidP="00A75C56">
            <w:r>
              <w:t>ICSI</w:t>
            </w:r>
          </w:p>
        </w:tc>
        <w:tc>
          <w:tcPr>
            <w:tcW w:w="1133" w:type="dxa"/>
          </w:tcPr>
          <w:p w14:paraId="6FB33462" w14:textId="77777777" w:rsidR="005B6B63" w:rsidRDefault="00204F49" w:rsidP="00A75C56">
            <w:r>
              <w:t>0.098</w:t>
            </w:r>
          </w:p>
        </w:tc>
        <w:tc>
          <w:tcPr>
            <w:tcW w:w="1277" w:type="dxa"/>
          </w:tcPr>
          <w:p w14:paraId="48ED7981" w14:textId="77777777" w:rsidR="005B6B63" w:rsidRDefault="00204F49" w:rsidP="00A75C56">
            <w:r>
              <w:t>0.78</w:t>
            </w:r>
          </w:p>
        </w:tc>
        <w:tc>
          <w:tcPr>
            <w:tcW w:w="1277" w:type="dxa"/>
          </w:tcPr>
          <w:p w14:paraId="595B24E6" w14:textId="77777777" w:rsidR="005B6B63" w:rsidRDefault="00204F49" w:rsidP="00A75C56">
            <w:r>
              <w:t>[0.00, 1.55]</w:t>
            </w:r>
          </w:p>
        </w:tc>
        <w:tc>
          <w:tcPr>
            <w:tcW w:w="1416" w:type="dxa"/>
          </w:tcPr>
          <w:p w14:paraId="18A37FFF" w14:textId="77777777" w:rsidR="005B6B63" w:rsidRDefault="00204F49" w:rsidP="00A75C56">
            <w:r>
              <w:t>0.083</w:t>
            </w:r>
          </w:p>
        </w:tc>
        <w:tc>
          <w:tcPr>
            <w:tcW w:w="1276" w:type="dxa"/>
          </w:tcPr>
          <w:p w14:paraId="53721774" w14:textId="77777777" w:rsidR="005B6B63" w:rsidRDefault="00204F49" w:rsidP="00A75C56">
            <w:r>
              <w:t>0.81</w:t>
            </w:r>
          </w:p>
        </w:tc>
        <w:tc>
          <w:tcPr>
            <w:tcW w:w="1392" w:type="dxa"/>
          </w:tcPr>
          <w:p w14:paraId="5AFA915C" w14:textId="77777777" w:rsidR="005B6B63" w:rsidRDefault="00204F49" w:rsidP="00A75C56">
            <w:r>
              <w:t>[-0.11, 1.73]</w:t>
            </w:r>
          </w:p>
        </w:tc>
      </w:tr>
      <w:tr w:rsidR="005B6B63" w14:paraId="20B86554" w14:textId="77777777" w:rsidTr="00A75C56">
        <w:trPr>
          <w:trHeight w:hRule="exact" w:val="485"/>
        </w:trPr>
        <w:tc>
          <w:tcPr>
            <w:tcW w:w="706" w:type="dxa"/>
            <w:vMerge/>
          </w:tcPr>
          <w:p w14:paraId="03B06127" w14:textId="77777777" w:rsidR="005B6B63" w:rsidRDefault="005B6B63" w:rsidP="00A75C56"/>
        </w:tc>
        <w:tc>
          <w:tcPr>
            <w:tcW w:w="993" w:type="dxa"/>
          </w:tcPr>
          <w:p w14:paraId="208BC74C" w14:textId="77777777" w:rsidR="005B6B63" w:rsidRDefault="00204F49" w:rsidP="00A75C56">
            <w:r>
              <w:t>All</w:t>
            </w:r>
          </w:p>
        </w:tc>
        <w:tc>
          <w:tcPr>
            <w:tcW w:w="1133" w:type="dxa"/>
          </w:tcPr>
          <w:p w14:paraId="2D6975F1" w14:textId="77777777" w:rsidR="005B6B63" w:rsidRDefault="00204F49" w:rsidP="00A75C56">
            <w:r>
              <w:t>0.052</w:t>
            </w:r>
          </w:p>
        </w:tc>
        <w:tc>
          <w:tcPr>
            <w:tcW w:w="1277" w:type="dxa"/>
          </w:tcPr>
          <w:p w14:paraId="41DE7565" w14:textId="77777777" w:rsidR="005B6B63" w:rsidRDefault="00204F49" w:rsidP="00A75C56">
            <w:r>
              <w:t>0.74</w:t>
            </w:r>
          </w:p>
        </w:tc>
        <w:tc>
          <w:tcPr>
            <w:tcW w:w="1277" w:type="dxa"/>
          </w:tcPr>
          <w:p w14:paraId="0E4A6B2D" w14:textId="77777777" w:rsidR="005B6B63" w:rsidRDefault="00204F49" w:rsidP="00A75C56">
            <w:r>
              <w:t>[0.11, 1.36]</w:t>
            </w:r>
          </w:p>
        </w:tc>
        <w:tc>
          <w:tcPr>
            <w:tcW w:w="1416" w:type="dxa"/>
          </w:tcPr>
          <w:p w14:paraId="57FE5BC3" w14:textId="77777777" w:rsidR="005B6B63" w:rsidRDefault="00204F49" w:rsidP="00A75C56">
            <w:r>
              <w:t>0.082</w:t>
            </w:r>
          </w:p>
        </w:tc>
        <w:tc>
          <w:tcPr>
            <w:tcW w:w="1276" w:type="dxa"/>
          </w:tcPr>
          <w:p w14:paraId="54132D71" w14:textId="77777777" w:rsidR="005B6B63" w:rsidRDefault="00204F49" w:rsidP="00A75C56">
            <w:r>
              <w:t>0.66</w:t>
            </w:r>
          </w:p>
        </w:tc>
        <w:tc>
          <w:tcPr>
            <w:tcW w:w="1392" w:type="dxa"/>
          </w:tcPr>
          <w:p w14:paraId="7EC32D93" w14:textId="77777777" w:rsidR="005B6B63" w:rsidRDefault="00204F49" w:rsidP="00A75C56">
            <w:r>
              <w:t>[-0.08, 1.40]</w:t>
            </w:r>
          </w:p>
        </w:tc>
      </w:tr>
    </w:tbl>
    <w:p w14:paraId="5D1403FB" w14:textId="77777777" w:rsidR="005B6B63" w:rsidRDefault="00204F49" w:rsidP="002310E4">
      <w:pPr>
        <w:spacing w:before="9" w:line="212" w:lineRule="exact"/>
        <w:ind w:left="72"/>
        <w:textAlignment w:val="baseline"/>
        <w:rPr>
          <w:rFonts w:ascii="Cambria" w:eastAsia="Cambria" w:hAnsi="Cambria"/>
          <w:color w:val="000000"/>
          <w:sz w:val="20"/>
        </w:rPr>
      </w:pPr>
      <w:r>
        <w:rPr>
          <w:rFonts w:ascii="Cambria" w:eastAsia="Cambria" w:hAnsi="Cambria"/>
          <w:color w:val="000000"/>
          <w:sz w:val="20"/>
        </w:rPr>
        <w:t>fbm: filled-by-mass</w:t>
      </w:r>
    </w:p>
    <w:p w14:paraId="63E9A46D" w14:textId="46D9A0A3" w:rsidR="005B6B63" w:rsidRDefault="00204F49" w:rsidP="002310E4">
      <w:pPr>
        <w:spacing w:before="196" w:line="297" w:lineRule="exact"/>
        <w:textAlignment w:val="baseline"/>
        <w:rPr>
          <w:rFonts w:ascii="Cambria" w:eastAsia="Cambria" w:hAnsi="Cambria"/>
          <w:color w:val="000000"/>
        </w:rPr>
      </w:pPr>
      <w:r>
        <w:rPr>
          <w:rFonts w:ascii="Cambria" w:eastAsia="Cambria" w:hAnsi="Cambria"/>
          <w:color w:val="000000"/>
        </w:rPr>
        <w:lastRenderedPageBreak/>
        <w:t>441 of 713 patients experienced 1474 adverse events: 145 patients in the</w:t>
      </w:r>
      <w:r w:rsidR="003F3536" w:rsidRPr="003F3536">
        <w:rPr>
          <w:rFonts w:ascii="Cambria" w:eastAsia="Cambria" w:hAnsi="Cambria"/>
          <w:color w:val="000000"/>
        </w:rPr>
        <w:t xml:space="preserve"> </w:t>
      </w:r>
      <w:proofErr w:type="spellStart"/>
      <w:r w:rsidR="003F3536">
        <w:rPr>
          <w:rFonts w:ascii="Cambria" w:eastAsia="Cambria" w:hAnsi="Cambria"/>
          <w:color w:val="000000"/>
        </w:rPr>
        <w:t>follitropin</w:t>
      </w:r>
      <w:proofErr w:type="spellEnd"/>
      <w:r w:rsidR="003F3536">
        <w:rPr>
          <w:rFonts w:ascii="Cambria" w:eastAsia="Cambria" w:hAnsi="Cambria"/>
          <w:color w:val="000000"/>
        </w:rPr>
        <w:t xml:space="preserve"> alfa </w:t>
      </w:r>
      <w:r>
        <w:rPr>
          <w:rFonts w:ascii="Cambria" w:eastAsia="Cambria" w:hAnsi="Cambria"/>
          <w:color w:val="000000"/>
        </w:rPr>
        <w:t>(r-</w:t>
      </w:r>
      <w:proofErr w:type="spellStart"/>
      <w:r>
        <w:rPr>
          <w:rFonts w:ascii="Cambria" w:eastAsia="Cambria" w:hAnsi="Cambria"/>
          <w:color w:val="000000"/>
        </w:rPr>
        <w:t>hFSH</w:t>
      </w:r>
      <w:proofErr w:type="spellEnd"/>
      <w:r>
        <w:rPr>
          <w:rFonts w:ascii="Cambria" w:eastAsia="Cambria" w:hAnsi="Cambria"/>
          <w:color w:val="000000"/>
        </w:rPr>
        <w:t>; filled-by-mass) group, 143 patients in the u-</w:t>
      </w:r>
      <w:proofErr w:type="spellStart"/>
      <w:r>
        <w:rPr>
          <w:rFonts w:ascii="Cambria" w:eastAsia="Cambria" w:hAnsi="Cambria"/>
          <w:color w:val="000000"/>
        </w:rPr>
        <w:t>hFSH</w:t>
      </w:r>
      <w:proofErr w:type="spellEnd"/>
      <w:r>
        <w:rPr>
          <w:rFonts w:ascii="Cambria" w:eastAsia="Cambria" w:hAnsi="Cambria"/>
          <w:color w:val="000000"/>
        </w:rPr>
        <w:t xml:space="preserve"> group and 153 patients in the old</w:t>
      </w:r>
      <w:r w:rsidR="003F3536" w:rsidRPr="003F3536">
        <w:rPr>
          <w:rFonts w:ascii="Cambria" w:eastAsia="Cambria" w:hAnsi="Cambria"/>
          <w:color w:val="000000"/>
        </w:rPr>
        <w:t xml:space="preserve"> </w:t>
      </w:r>
      <w:proofErr w:type="spellStart"/>
      <w:r w:rsidR="003F3536">
        <w:rPr>
          <w:rFonts w:ascii="Cambria" w:eastAsia="Cambria" w:hAnsi="Cambria"/>
          <w:color w:val="000000"/>
        </w:rPr>
        <w:t>follitropin</w:t>
      </w:r>
      <w:proofErr w:type="spellEnd"/>
      <w:r w:rsidR="003F3536">
        <w:rPr>
          <w:rFonts w:ascii="Cambria" w:eastAsia="Cambria" w:hAnsi="Cambria"/>
          <w:color w:val="000000"/>
        </w:rPr>
        <w:t xml:space="preserve"> alfa </w:t>
      </w:r>
      <w:r>
        <w:rPr>
          <w:rFonts w:ascii="Cambria" w:eastAsia="Cambria" w:hAnsi="Cambria"/>
          <w:color w:val="000000"/>
        </w:rPr>
        <w:t xml:space="preserve">(filled by bioactivity) group. Most of the reported events were less in the </w:t>
      </w:r>
      <w:proofErr w:type="spellStart"/>
      <w:r w:rsidR="003F3536">
        <w:rPr>
          <w:rFonts w:ascii="Cambria" w:eastAsia="Cambria" w:hAnsi="Cambria"/>
          <w:color w:val="000000"/>
        </w:rPr>
        <w:t>follitropin</w:t>
      </w:r>
      <w:proofErr w:type="spellEnd"/>
      <w:r w:rsidR="003F3536">
        <w:rPr>
          <w:rFonts w:ascii="Cambria" w:eastAsia="Cambria" w:hAnsi="Cambria"/>
          <w:color w:val="000000"/>
        </w:rPr>
        <w:t xml:space="preserve"> alfa </w:t>
      </w:r>
      <w:r>
        <w:rPr>
          <w:rFonts w:ascii="Cambria" w:eastAsia="Cambria" w:hAnsi="Cambria"/>
          <w:color w:val="000000"/>
        </w:rPr>
        <w:t>(r-</w:t>
      </w:r>
      <w:proofErr w:type="spellStart"/>
      <w:r>
        <w:rPr>
          <w:rFonts w:ascii="Cambria" w:eastAsia="Cambria" w:hAnsi="Cambria"/>
          <w:color w:val="000000"/>
        </w:rPr>
        <w:t>hFSH</w:t>
      </w:r>
      <w:proofErr w:type="spellEnd"/>
      <w:r>
        <w:rPr>
          <w:rFonts w:ascii="Cambria" w:eastAsia="Cambria" w:hAnsi="Cambria"/>
          <w:color w:val="000000"/>
        </w:rPr>
        <w:t>; filled-by-mass) group when compared to the old</w:t>
      </w:r>
      <w:r w:rsidR="003F3536" w:rsidRPr="003F3536">
        <w:rPr>
          <w:rFonts w:ascii="Cambria" w:eastAsia="Cambria" w:hAnsi="Cambria"/>
          <w:color w:val="000000"/>
        </w:rPr>
        <w:t xml:space="preserve"> </w:t>
      </w:r>
      <w:proofErr w:type="spellStart"/>
      <w:r w:rsidR="003F3536">
        <w:rPr>
          <w:rFonts w:ascii="Cambria" w:eastAsia="Cambria" w:hAnsi="Cambria"/>
          <w:color w:val="000000"/>
        </w:rPr>
        <w:t>follitropin</w:t>
      </w:r>
      <w:proofErr w:type="spellEnd"/>
      <w:r w:rsidR="003F3536">
        <w:rPr>
          <w:rFonts w:ascii="Cambria" w:eastAsia="Cambria" w:hAnsi="Cambria"/>
          <w:color w:val="000000"/>
        </w:rPr>
        <w:t xml:space="preserve"> alfa </w:t>
      </w:r>
      <w:r>
        <w:rPr>
          <w:rFonts w:ascii="Cambria" w:eastAsia="Cambria" w:hAnsi="Cambria"/>
          <w:color w:val="000000"/>
        </w:rPr>
        <w:t>(filled by bioactivity) group. Overall, the pattern of adverse events was similar between treatment groups and was consistent with the profile of events reported in this indication.</w:t>
      </w:r>
    </w:p>
    <w:p w14:paraId="1555C730" w14:textId="3BAA5F47" w:rsidR="005B6B63" w:rsidRDefault="00204F49" w:rsidP="002310E4">
      <w:pPr>
        <w:spacing w:before="265" w:line="239" w:lineRule="exact"/>
        <w:textAlignment w:val="baseline"/>
        <w:rPr>
          <w:rFonts w:ascii="Cambria" w:eastAsia="Cambria" w:hAnsi="Cambria"/>
          <w:b/>
          <w:color w:val="000000"/>
        </w:rPr>
      </w:pPr>
      <w:r>
        <w:rPr>
          <w:rFonts w:ascii="Cambria" w:eastAsia="Cambria" w:hAnsi="Cambria"/>
          <w:b/>
          <w:color w:val="000000"/>
        </w:rPr>
        <w:t xml:space="preserve">Men with </w:t>
      </w:r>
      <w:proofErr w:type="spellStart"/>
      <w:r>
        <w:rPr>
          <w:rFonts w:ascii="Cambria" w:eastAsia="Cambria" w:hAnsi="Cambria"/>
          <w:b/>
          <w:color w:val="000000"/>
        </w:rPr>
        <w:t>Hypogonadotrophic</w:t>
      </w:r>
      <w:proofErr w:type="spellEnd"/>
      <w:r>
        <w:rPr>
          <w:rFonts w:ascii="Cambria" w:eastAsia="Cambria" w:hAnsi="Cambria"/>
          <w:b/>
          <w:color w:val="000000"/>
        </w:rPr>
        <w:t xml:space="preserve"> Hypogonadism</w:t>
      </w:r>
    </w:p>
    <w:p w14:paraId="16C72AE5" w14:textId="61CDC3E3" w:rsidR="005B6B63" w:rsidRDefault="00204F49" w:rsidP="002310E4">
      <w:pPr>
        <w:spacing w:before="190" w:line="297" w:lineRule="exact"/>
        <w:textAlignment w:val="baseline"/>
        <w:rPr>
          <w:rFonts w:ascii="Cambria" w:eastAsia="Cambria" w:hAnsi="Cambria"/>
          <w:color w:val="000000"/>
        </w:rPr>
      </w:pPr>
      <w:r>
        <w:rPr>
          <w:rFonts w:ascii="Cambria" w:eastAsia="Cambria" w:hAnsi="Cambria"/>
          <w:color w:val="000000"/>
        </w:rPr>
        <w:t xml:space="preserve">Male </w:t>
      </w:r>
      <w:proofErr w:type="spellStart"/>
      <w:r>
        <w:rPr>
          <w:rFonts w:ascii="Cambria" w:eastAsia="Cambria" w:hAnsi="Cambria"/>
          <w:color w:val="000000"/>
        </w:rPr>
        <w:t>hypogonadotrophic</w:t>
      </w:r>
      <w:proofErr w:type="spellEnd"/>
      <w:r>
        <w:rPr>
          <w:rFonts w:ascii="Cambria" w:eastAsia="Cambria" w:hAnsi="Cambria"/>
          <w:color w:val="000000"/>
        </w:rPr>
        <w:t xml:space="preserve"> hypogonadism (HH) is a rare condition therefore study sizes are limited. Two phase III (open and non-comparative) studies were conducted to assess the efficacy and safety of </w:t>
      </w:r>
      <w:proofErr w:type="spellStart"/>
      <w:r w:rsidR="00202AE7">
        <w:rPr>
          <w:rFonts w:ascii="Cambria" w:eastAsia="Cambria" w:hAnsi="Cambria"/>
          <w:color w:val="000000"/>
        </w:rPr>
        <w:t>follitropin</w:t>
      </w:r>
      <w:proofErr w:type="spellEnd"/>
      <w:r w:rsidR="00202AE7">
        <w:rPr>
          <w:rFonts w:ascii="Cambria" w:eastAsia="Cambria" w:hAnsi="Cambria"/>
          <w:color w:val="000000"/>
        </w:rPr>
        <w:t xml:space="preserve"> alfa </w:t>
      </w:r>
      <w:r>
        <w:rPr>
          <w:rFonts w:ascii="Cambria" w:eastAsia="Cambria" w:hAnsi="Cambria"/>
          <w:color w:val="000000"/>
        </w:rPr>
        <w:t xml:space="preserve">in combination with </w:t>
      </w:r>
      <w:proofErr w:type="spellStart"/>
      <w:r>
        <w:rPr>
          <w:rFonts w:ascii="Cambria" w:eastAsia="Cambria" w:hAnsi="Cambria"/>
          <w:color w:val="000000"/>
        </w:rPr>
        <w:t>hCG</w:t>
      </w:r>
      <w:proofErr w:type="spellEnd"/>
      <w:r>
        <w:rPr>
          <w:rFonts w:ascii="Cambria" w:eastAsia="Cambria" w:hAnsi="Cambria"/>
          <w:color w:val="000000"/>
        </w:rPr>
        <w:t xml:space="preserve"> in inducing spermatogenesis in men with HH. The primary efficacy endpoint was the achievement of a mature sperm density of &gt; 1.5 x 10</w:t>
      </w:r>
      <w:r>
        <w:rPr>
          <w:rFonts w:ascii="Cambria" w:eastAsia="Cambria" w:hAnsi="Cambria"/>
          <w:color w:val="000000"/>
          <w:vertAlign w:val="superscript"/>
        </w:rPr>
        <w:t>6</w:t>
      </w:r>
      <w:r>
        <w:rPr>
          <w:rFonts w:ascii="Cambria" w:eastAsia="Cambria" w:hAnsi="Cambria"/>
          <w:color w:val="000000"/>
        </w:rPr>
        <w:t>/</w:t>
      </w:r>
      <w:proofErr w:type="spellStart"/>
      <w:r>
        <w:rPr>
          <w:rFonts w:ascii="Cambria" w:eastAsia="Cambria" w:hAnsi="Cambria"/>
          <w:color w:val="000000"/>
        </w:rPr>
        <w:t>mL.</w:t>
      </w:r>
      <w:proofErr w:type="spellEnd"/>
      <w:r>
        <w:rPr>
          <w:rFonts w:ascii="Cambria" w:eastAsia="Cambria" w:hAnsi="Cambria"/>
          <w:color w:val="000000"/>
        </w:rPr>
        <w:t xml:space="preserve"> </w:t>
      </w:r>
      <w:r w:rsidR="00202AE7" w:rsidRPr="00202AE7">
        <w:rPr>
          <w:rFonts w:ascii="Cambria" w:eastAsia="Cambria" w:hAnsi="Cambria"/>
          <w:color w:val="000000"/>
        </w:rPr>
        <w:t xml:space="preserve"> </w:t>
      </w:r>
      <w:proofErr w:type="spellStart"/>
      <w:r w:rsidR="00202AE7">
        <w:rPr>
          <w:rFonts w:ascii="Cambria" w:eastAsia="Cambria" w:hAnsi="Cambria"/>
          <w:color w:val="000000"/>
        </w:rPr>
        <w:t>Follitropin</w:t>
      </w:r>
      <w:proofErr w:type="spellEnd"/>
      <w:r w:rsidR="00202AE7">
        <w:rPr>
          <w:rFonts w:ascii="Cambria" w:eastAsia="Cambria" w:hAnsi="Cambria"/>
          <w:color w:val="000000"/>
        </w:rPr>
        <w:t xml:space="preserve"> alfa </w:t>
      </w:r>
      <w:r>
        <w:rPr>
          <w:rFonts w:ascii="Cambria" w:eastAsia="Cambria" w:hAnsi="Cambria"/>
          <w:color w:val="000000"/>
        </w:rPr>
        <w:t xml:space="preserve">was administered subcutaneously at a dosage of 150 IU three times a week in combination with </w:t>
      </w:r>
      <w:proofErr w:type="spellStart"/>
      <w:r>
        <w:rPr>
          <w:rFonts w:ascii="Cambria" w:eastAsia="Cambria" w:hAnsi="Cambria"/>
          <w:color w:val="000000"/>
        </w:rPr>
        <w:t>hCG</w:t>
      </w:r>
      <w:proofErr w:type="spellEnd"/>
      <w:r>
        <w:rPr>
          <w:rFonts w:ascii="Cambria" w:eastAsia="Cambria" w:hAnsi="Cambria"/>
          <w:color w:val="000000"/>
        </w:rPr>
        <w:t xml:space="preserve"> (&gt; 2000 IU twice weekly) for up to 18 months.</w:t>
      </w:r>
    </w:p>
    <w:p w14:paraId="71C55E57" w14:textId="5CA31716" w:rsidR="005B6B63" w:rsidRDefault="00204F49" w:rsidP="00C23C1C">
      <w:pPr>
        <w:spacing w:before="201" w:after="120" w:line="297" w:lineRule="exact"/>
        <w:textAlignment w:val="baseline"/>
        <w:rPr>
          <w:rFonts w:ascii="Cambria" w:eastAsia="Cambria" w:hAnsi="Cambria"/>
          <w:color w:val="000000"/>
        </w:rPr>
      </w:pPr>
      <w:r>
        <w:rPr>
          <w:rFonts w:ascii="Cambria" w:eastAsia="Cambria" w:hAnsi="Cambria"/>
          <w:color w:val="000000"/>
        </w:rPr>
        <w:t xml:space="preserve">The first study was conducted in university clinical </w:t>
      </w:r>
      <w:proofErr w:type="spellStart"/>
      <w:r>
        <w:rPr>
          <w:rFonts w:ascii="Cambria" w:eastAsia="Cambria" w:hAnsi="Cambria"/>
          <w:color w:val="000000"/>
        </w:rPr>
        <w:t>centres</w:t>
      </w:r>
      <w:proofErr w:type="spellEnd"/>
      <w:r>
        <w:rPr>
          <w:rFonts w:ascii="Cambria" w:eastAsia="Cambria" w:hAnsi="Cambria"/>
          <w:color w:val="000000"/>
        </w:rPr>
        <w:t xml:space="preserve"> in France, Germany and UK. A total of 32 patients with complete, primary isolated HH were recruited into this study. They were </w:t>
      </w:r>
      <w:proofErr w:type="spellStart"/>
      <w:r>
        <w:rPr>
          <w:rFonts w:ascii="Cambria" w:eastAsia="Cambria" w:hAnsi="Cambria"/>
          <w:color w:val="000000"/>
        </w:rPr>
        <w:t>azoospermic</w:t>
      </w:r>
      <w:proofErr w:type="spellEnd"/>
      <w:r>
        <w:rPr>
          <w:rFonts w:ascii="Cambria" w:eastAsia="Cambria" w:hAnsi="Cambria"/>
          <w:color w:val="000000"/>
        </w:rPr>
        <w:t xml:space="preserve"> before entering the study, remained so after the pre-treatment phase and none had prior treatment with FSH or GnRH. In the pre-treatment phase, the patients were treated with </w:t>
      </w:r>
      <w:proofErr w:type="spellStart"/>
      <w:r>
        <w:rPr>
          <w:rFonts w:ascii="Cambria" w:eastAsia="Cambria" w:hAnsi="Cambria"/>
          <w:color w:val="000000"/>
        </w:rPr>
        <w:t>hCG</w:t>
      </w:r>
      <w:proofErr w:type="spellEnd"/>
      <w:r>
        <w:rPr>
          <w:rFonts w:ascii="Cambria" w:eastAsia="Cambria" w:hAnsi="Cambria"/>
          <w:color w:val="000000"/>
        </w:rPr>
        <w:t xml:space="preserve"> alone (2000 IU twice weekly for 3 – 6 months) to first </w:t>
      </w:r>
      <w:proofErr w:type="spellStart"/>
      <w:r>
        <w:rPr>
          <w:rFonts w:ascii="Cambria" w:eastAsia="Cambria" w:hAnsi="Cambria"/>
          <w:color w:val="000000"/>
        </w:rPr>
        <w:t>normalise</w:t>
      </w:r>
      <w:proofErr w:type="spellEnd"/>
      <w:r>
        <w:rPr>
          <w:rFonts w:ascii="Cambria" w:eastAsia="Cambria" w:hAnsi="Cambria"/>
          <w:color w:val="000000"/>
        </w:rPr>
        <w:t xml:space="preserve"> serum testosterone levels before initiating the treatment with </w:t>
      </w:r>
      <w:proofErr w:type="spellStart"/>
      <w:r w:rsidR="00202AE7">
        <w:rPr>
          <w:rFonts w:ascii="Cambria" w:eastAsia="Cambria" w:hAnsi="Cambria"/>
          <w:color w:val="000000"/>
        </w:rPr>
        <w:t>follitropin</w:t>
      </w:r>
      <w:proofErr w:type="spellEnd"/>
      <w:r w:rsidR="00202AE7">
        <w:rPr>
          <w:rFonts w:ascii="Cambria" w:eastAsia="Cambria" w:hAnsi="Cambria"/>
          <w:color w:val="000000"/>
        </w:rPr>
        <w:t xml:space="preserve"> alfa</w:t>
      </w:r>
      <w:r>
        <w:rPr>
          <w:rFonts w:ascii="Cambria" w:eastAsia="Cambria" w:hAnsi="Cambria"/>
          <w:color w:val="000000"/>
        </w:rPr>
        <w:t>. Of 26 patients who received</w:t>
      </w:r>
      <w:r w:rsidR="00202AE7" w:rsidRPr="00202AE7">
        <w:rPr>
          <w:rFonts w:ascii="Cambria" w:eastAsia="Cambria" w:hAnsi="Cambria"/>
          <w:color w:val="000000"/>
        </w:rPr>
        <w:t xml:space="preserve"> </w:t>
      </w:r>
      <w:proofErr w:type="spellStart"/>
      <w:r w:rsidR="00202AE7">
        <w:rPr>
          <w:rFonts w:ascii="Cambria" w:eastAsia="Cambria" w:hAnsi="Cambria"/>
          <w:color w:val="000000"/>
        </w:rPr>
        <w:t>follitropin</w:t>
      </w:r>
      <w:proofErr w:type="spellEnd"/>
      <w:r w:rsidR="00202AE7">
        <w:rPr>
          <w:rFonts w:ascii="Cambria" w:eastAsia="Cambria" w:hAnsi="Cambria"/>
          <w:color w:val="000000"/>
        </w:rPr>
        <w:t xml:space="preserve"> alfa</w:t>
      </w:r>
      <w:r>
        <w:rPr>
          <w:rFonts w:ascii="Cambria" w:eastAsia="Cambria" w:hAnsi="Cambria"/>
          <w:color w:val="000000"/>
        </w:rPr>
        <w:t>, 19 patients were found to be eligible for efficacy evaluation.</w:t>
      </w:r>
    </w:p>
    <w:p w14:paraId="3BC136ED" w14:textId="77777777" w:rsidR="005B6B63" w:rsidRDefault="00204F49" w:rsidP="002310E4">
      <w:pPr>
        <w:spacing w:before="5" w:line="298" w:lineRule="exact"/>
        <w:textAlignment w:val="baseline"/>
        <w:rPr>
          <w:rFonts w:ascii="Cambria" w:eastAsia="Cambria" w:hAnsi="Cambria"/>
          <w:color w:val="000000"/>
        </w:rPr>
      </w:pPr>
      <w:r>
        <w:rPr>
          <w:rFonts w:ascii="Cambria" w:eastAsia="Cambria" w:hAnsi="Cambria"/>
          <w:color w:val="000000"/>
        </w:rPr>
        <w:t>The primary endpoint of a sperm density of &gt; 1.5 x 10</w:t>
      </w:r>
      <w:r>
        <w:rPr>
          <w:rFonts w:ascii="Cambria" w:eastAsia="Cambria" w:hAnsi="Cambria"/>
          <w:color w:val="000000"/>
          <w:vertAlign w:val="superscript"/>
        </w:rPr>
        <w:t>6</w:t>
      </w:r>
      <w:r>
        <w:rPr>
          <w:rFonts w:ascii="Cambria" w:eastAsia="Cambria" w:hAnsi="Cambria"/>
          <w:color w:val="000000"/>
        </w:rPr>
        <w:t>/mL was achieved in 12/19 (63%) patients. Overall 15/19 (79%) patients achieved some spermatogenesis. The median time to initiate spermatogenesis was 9 months.</w:t>
      </w:r>
    </w:p>
    <w:p w14:paraId="7E64FDBB" w14:textId="1B88F528" w:rsidR="005B6B63" w:rsidRDefault="00204F49" w:rsidP="002310E4">
      <w:pPr>
        <w:spacing w:before="191" w:line="298" w:lineRule="exact"/>
        <w:textAlignment w:val="baseline"/>
        <w:rPr>
          <w:rFonts w:ascii="Cambria" w:eastAsia="Cambria" w:hAnsi="Cambria"/>
          <w:color w:val="000000"/>
        </w:rPr>
      </w:pPr>
      <w:r>
        <w:rPr>
          <w:rFonts w:ascii="Cambria" w:eastAsia="Cambria" w:hAnsi="Cambria"/>
          <w:color w:val="000000"/>
        </w:rPr>
        <w:t xml:space="preserve">The second study was conducted in 2 university clinical </w:t>
      </w:r>
      <w:proofErr w:type="spellStart"/>
      <w:r>
        <w:rPr>
          <w:rFonts w:ascii="Cambria" w:eastAsia="Cambria" w:hAnsi="Cambria"/>
          <w:color w:val="000000"/>
        </w:rPr>
        <w:t>centres</w:t>
      </w:r>
      <w:proofErr w:type="spellEnd"/>
      <w:r>
        <w:rPr>
          <w:rFonts w:ascii="Cambria" w:eastAsia="Cambria" w:hAnsi="Cambria"/>
          <w:color w:val="000000"/>
        </w:rPr>
        <w:t xml:space="preserve"> in Australia. A total of 10 patients with severe HH entered the study, but only 8 patients completed the </w:t>
      </w:r>
      <w:proofErr w:type="spellStart"/>
      <w:r w:rsidR="00202AE7">
        <w:rPr>
          <w:rFonts w:ascii="Cambria" w:eastAsia="Cambria" w:hAnsi="Cambria"/>
          <w:color w:val="000000"/>
        </w:rPr>
        <w:t>follitropin</w:t>
      </w:r>
      <w:proofErr w:type="spellEnd"/>
      <w:r w:rsidR="00202AE7">
        <w:rPr>
          <w:rFonts w:ascii="Cambria" w:eastAsia="Cambria" w:hAnsi="Cambria"/>
          <w:color w:val="000000"/>
        </w:rPr>
        <w:t xml:space="preserve"> alfa</w:t>
      </w:r>
      <w:r>
        <w:rPr>
          <w:rFonts w:ascii="Cambria" w:eastAsia="Cambria" w:hAnsi="Cambria"/>
          <w:color w:val="000000"/>
        </w:rPr>
        <w:t xml:space="preserve"> treatment phase. Similar results to the first study were obtained.</w:t>
      </w:r>
    </w:p>
    <w:p w14:paraId="0366F4C2" w14:textId="2EE45DD2" w:rsidR="005B6B63" w:rsidRDefault="00204F49" w:rsidP="002310E4">
      <w:pPr>
        <w:spacing w:before="195" w:line="298" w:lineRule="exact"/>
        <w:textAlignment w:val="baseline"/>
        <w:rPr>
          <w:rFonts w:ascii="Cambria" w:eastAsia="Cambria" w:hAnsi="Cambria"/>
          <w:color w:val="000000"/>
        </w:rPr>
      </w:pPr>
      <w:r>
        <w:rPr>
          <w:rFonts w:ascii="Cambria" w:eastAsia="Cambria" w:hAnsi="Cambria"/>
          <w:color w:val="000000"/>
        </w:rPr>
        <w:t>The primary endpoint of a sperm density of &gt; 1.5 x 10</w:t>
      </w:r>
      <w:r>
        <w:rPr>
          <w:rFonts w:ascii="Cambria" w:eastAsia="Cambria" w:hAnsi="Cambria"/>
          <w:color w:val="000000"/>
          <w:vertAlign w:val="superscript"/>
        </w:rPr>
        <w:t>6</w:t>
      </w:r>
      <w:r>
        <w:rPr>
          <w:rFonts w:ascii="Cambria" w:eastAsia="Cambria" w:hAnsi="Cambria"/>
          <w:color w:val="000000"/>
        </w:rPr>
        <w:t>/mL were achieved in 5/8 (63%) patients. Overall 7/8 (88%) patients achieved some spermatogenesis. The median time to initiate spermatogenesis was 6 months. The studies also demonstrated that</w:t>
      </w:r>
      <w:r w:rsidR="00202AE7" w:rsidRPr="00202AE7">
        <w:rPr>
          <w:rFonts w:ascii="Cambria" w:eastAsia="Cambria" w:hAnsi="Cambria"/>
          <w:color w:val="000000"/>
        </w:rPr>
        <w:t xml:space="preserve"> </w:t>
      </w:r>
      <w:proofErr w:type="spellStart"/>
      <w:r w:rsidR="00202AE7">
        <w:rPr>
          <w:rFonts w:ascii="Cambria" w:eastAsia="Cambria" w:hAnsi="Cambria"/>
          <w:color w:val="000000"/>
        </w:rPr>
        <w:t>follitropin</w:t>
      </w:r>
      <w:proofErr w:type="spellEnd"/>
      <w:r w:rsidR="00202AE7">
        <w:rPr>
          <w:rFonts w:ascii="Cambria" w:eastAsia="Cambria" w:hAnsi="Cambria"/>
          <w:color w:val="000000"/>
        </w:rPr>
        <w:t xml:space="preserve"> alfa </w:t>
      </w:r>
      <w:r>
        <w:rPr>
          <w:rFonts w:ascii="Cambria" w:eastAsia="Cambria" w:hAnsi="Cambria"/>
          <w:color w:val="000000"/>
        </w:rPr>
        <w:t>has a good safety profile and is well tolerated over the treatment period of up to 18 months.</w:t>
      </w:r>
    </w:p>
    <w:p w14:paraId="77315F24" w14:textId="77777777" w:rsidR="00D9498D" w:rsidRDefault="00D9498D" w:rsidP="00B55452">
      <w:pPr>
        <w:spacing w:before="183" w:line="234" w:lineRule="exact"/>
        <w:textAlignment w:val="baseline"/>
        <w:rPr>
          <w:rFonts w:ascii="Cambria" w:eastAsia="Cambria" w:hAnsi="Cambria"/>
          <w:b/>
          <w:color w:val="000000"/>
        </w:rPr>
      </w:pPr>
    </w:p>
    <w:p w14:paraId="6D1722AC" w14:textId="45E1817C" w:rsidR="00B55452" w:rsidRDefault="00B55452" w:rsidP="00D9498D">
      <w:pPr>
        <w:spacing w:line="234" w:lineRule="exact"/>
        <w:textAlignment w:val="baseline"/>
        <w:rPr>
          <w:rFonts w:ascii="Cambria" w:eastAsia="Cambria" w:hAnsi="Cambria"/>
          <w:b/>
          <w:color w:val="000000"/>
        </w:rPr>
      </w:pPr>
      <w:r w:rsidRPr="00DE1FF4">
        <w:rPr>
          <w:rFonts w:ascii="Cambria" w:eastAsia="Cambria" w:hAnsi="Cambria"/>
          <w:b/>
          <w:color w:val="000000"/>
        </w:rPr>
        <w:t xml:space="preserve">Comparability of OVALEAP with </w:t>
      </w:r>
      <w:proofErr w:type="spellStart"/>
      <w:r w:rsidRPr="00DE1FF4">
        <w:rPr>
          <w:rFonts w:ascii="Cambria" w:eastAsia="Cambria" w:hAnsi="Cambria"/>
          <w:b/>
          <w:color w:val="000000"/>
        </w:rPr>
        <w:t>Gonal</w:t>
      </w:r>
      <w:proofErr w:type="spellEnd"/>
      <w:r w:rsidRPr="00DE1FF4">
        <w:rPr>
          <w:rFonts w:ascii="Cambria" w:eastAsia="Cambria" w:hAnsi="Cambria"/>
          <w:b/>
          <w:color w:val="000000"/>
        </w:rPr>
        <w:t>-f</w:t>
      </w:r>
    </w:p>
    <w:p w14:paraId="2B9A03B1" w14:textId="77777777" w:rsidR="00B55452" w:rsidRDefault="00B55452" w:rsidP="00B55452">
      <w:pPr>
        <w:spacing w:before="8" w:line="297" w:lineRule="exact"/>
        <w:textAlignment w:val="baseline"/>
        <w:rPr>
          <w:rFonts w:ascii="Cambria" w:eastAsia="Cambria" w:hAnsi="Cambria"/>
          <w:color w:val="000000"/>
        </w:rPr>
      </w:pPr>
      <w:r w:rsidRPr="00DE1FF4">
        <w:rPr>
          <w:rFonts w:ascii="Cambria" w:eastAsia="Cambria" w:hAnsi="Cambria"/>
          <w:color w:val="000000"/>
        </w:rPr>
        <w:t xml:space="preserve">Therapeutic equivalence of OVALEAP and </w:t>
      </w:r>
      <w:proofErr w:type="spellStart"/>
      <w:r w:rsidRPr="00DE1FF4">
        <w:rPr>
          <w:rFonts w:ascii="Cambria" w:eastAsia="Cambria" w:hAnsi="Cambria"/>
          <w:color w:val="000000"/>
        </w:rPr>
        <w:t>Gonal</w:t>
      </w:r>
      <w:proofErr w:type="spellEnd"/>
      <w:r w:rsidRPr="00DE1FF4">
        <w:rPr>
          <w:rFonts w:ascii="Cambria" w:eastAsia="Cambria" w:hAnsi="Cambria"/>
          <w:color w:val="000000"/>
        </w:rPr>
        <w:t>-f was demonstrated in a multi-national, mult</w:t>
      </w:r>
      <w:r>
        <w:rPr>
          <w:rFonts w:ascii="Cambria" w:eastAsia="Cambria" w:hAnsi="Cambria"/>
          <w:color w:val="000000"/>
        </w:rPr>
        <w:t>i</w:t>
      </w:r>
      <w:r w:rsidRPr="00DE1FF4">
        <w:rPr>
          <w:rFonts w:ascii="Cambria" w:eastAsia="Cambria" w:hAnsi="Cambria"/>
          <w:color w:val="000000"/>
        </w:rPr>
        <w:t>-</w:t>
      </w:r>
      <w:proofErr w:type="spellStart"/>
      <w:r w:rsidRPr="00DE1FF4">
        <w:rPr>
          <w:rFonts w:ascii="Cambria" w:eastAsia="Cambria" w:hAnsi="Cambria"/>
          <w:color w:val="000000"/>
        </w:rPr>
        <w:t>centre</w:t>
      </w:r>
      <w:proofErr w:type="spellEnd"/>
      <w:r w:rsidRPr="00DE1FF4">
        <w:rPr>
          <w:rFonts w:ascii="Cambria" w:eastAsia="Cambria" w:hAnsi="Cambria"/>
          <w:color w:val="000000"/>
        </w:rPr>
        <w:t xml:space="preserve">, </w:t>
      </w:r>
      <w:proofErr w:type="spellStart"/>
      <w:r w:rsidRPr="00DE1FF4">
        <w:rPr>
          <w:rFonts w:ascii="Cambria" w:eastAsia="Cambria" w:hAnsi="Cambria"/>
          <w:color w:val="000000"/>
        </w:rPr>
        <w:t>randomised</w:t>
      </w:r>
      <w:proofErr w:type="spellEnd"/>
      <w:r w:rsidRPr="00DE1FF4">
        <w:rPr>
          <w:rFonts w:ascii="Cambria" w:eastAsia="Cambria" w:hAnsi="Cambria"/>
          <w:color w:val="000000"/>
        </w:rPr>
        <w:t>, controlled, assessor-blind, parallel-group study in women undergoing controlled ovarian hyperstimulation for ART.</w:t>
      </w:r>
    </w:p>
    <w:p w14:paraId="4E8C63A8" w14:textId="77777777" w:rsidR="00B55452" w:rsidRDefault="00B55452" w:rsidP="00B55452">
      <w:pPr>
        <w:spacing w:before="8" w:line="297" w:lineRule="exact"/>
        <w:textAlignment w:val="baseline"/>
        <w:rPr>
          <w:rFonts w:ascii="Cambria" w:eastAsia="Cambria" w:hAnsi="Cambria"/>
          <w:color w:val="000000"/>
        </w:rPr>
      </w:pPr>
    </w:p>
    <w:p w14:paraId="7AD8135F" w14:textId="77777777" w:rsidR="00B55452" w:rsidRDefault="00B55452" w:rsidP="00B55452">
      <w:pPr>
        <w:spacing w:before="8" w:line="297" w:lineRule="exact"/>
        <w:textAlignment w:val="baseline"/>
        <w:rPr>
          <w:rFonts w:ascii="Cambria" w:eastAsia="Cambria" w:hAnsi="Cambria"/>
          <w:color w:val="000000"/>
        </w:rPr>
      </w:pPr>
      <w:r>
        <w:rPr>
          <w:rFonts w:ascii="Cambria" w:eastAsia="Cambria" w:hAnsi="Cambria"/>
          <w:color w:val="000000"/>
        </w:rPr>
        <w:t xml:space="preserve">The primary efficacy endpoint was the number of oocytes retrieved.  Equivalence of OVALEAP and </w:t>
      </w:r>
      <w:proofErr w:type="spellStart"/>
      <w:r>
        <w:rPr>
          <w:rFonts w:ascii="Cambria" w:eastAsia="Cambria" w:hAnsi="Cambria"/>
          <w:color w:val="000000"/>
        </w:rPr>
        <w:t>Gonal</w:t>
      </w:r>
      <w:proofErr w:type="spellEnd"/>
      <w:r>
        <w:rPr>
          <w:rFonts w:ascii="Cambria" w:eastAsia="Cambria" w:hAnsi="Cambria"/>
          <w:color w:val="000000"/>
        </w:rPr>
        <w:t>-f was considered to be shown if the two-sided 0.95 CI for the differences in the number of oocytes retrieved lied entirely within the equivalence range of [-3 oocytes, + 3 oocytes].</w:t>
      </w:r>
    </w:p>
    <w:p w14:paraId="4E6C2091" w14:textId="77777777" w:rsidR="00B55452" w:rsidRDefault="00B55452" w:rsidP="00B55452">
      <w:pPr>
        <w:spacing w:before="8" w:line="297" w:lineRule="exact"/>
        <w:textAlignment w:val="baseline"/>
        <w:rPr>
          <w:rFonts w:ascii="Cambria" w:eastAsia="Cambria" w:hAnsi="Cambria"/>
          <w:color w:val="000000"/>
        </w:rPr>
      </w:pPr>
    </w:p>
    <w:p w14:paraId="252A3AA9" w14:textId="5075014A" w:rsidR="00B55452" w:rsidRDefault="00B55452" w:rsidP="00B55452">
      <w:pPr>
        <w:spacing w:before="8" w:line="297" w:lineRule="exact"/>
        <w:textAlignment w:val="baseline"/>
        <w:rPr>
          <w:rFonts w:ascii="Cambria" w:eastAsia="Cambria" w:hAnsi="Cambria"/>
          <w:color w:val="000000"/>
        </w:rPr>
      </w:pPr>
      <w:r>
        <w:rPr>
          <w:rFonts w:ascii="Cambria" w:eastAsia="Cambria" w:hAnsi="Cambria"/>
          <w:color w:val="000000"/>
        </w:rPr>
        <w:lastRenderedPageBreak/>
        <w:t>Secondary endpoints included total r-</w:t>
      </w:r>
      <w:proofErr w:type="spellStart"/>
      <w:r>
        <w:rPr>
          <w:rFonts w:ascii="Cambria" w:eastAsia="Cambria" w:hAnsi="Cambria"/>
          <w:color w:val="000000"/>
        </w:rPr>
        <w:t>hFSH</w:t>
      </w:r>
      <w:proofErr w:type="spellEnd"/>
      <w:r>
        <w:rPr>
          <w:rFonts w:ascii="Cambria" w:eastAsia="Cambria" w:hAnsi="Cambria"/>
          <w:color w:val="000000"/>
        </w:rPr>
        <w:t xml:space="preserve"> dose and dose adaptation</w:t>
      </w:r>
      <w:r w:rsidR="00324195">
        <w:rPr>
          <w:rFonts w:ascii="Cambria" w:eastAsia="Cambria" w:hAnsi="Cambria"/>
          <w:color w:val="000000"/>
        </w:rPr>
        <w:t xml:space="preserve">; </w:t>
      </w:r>
      <w:r>
        <w:rPr>
          <w:rFonts w:ascii="Cambria" w:eastAsia="Cambria" w:hAnsi="Cambria"/>
          <w:color w:val="000000"/>
        </w:rPr>
        <w:t>duration of r-</w:t>
      </w:r>
      <w:proofErr w:type="spellStart"/>
      <w:r>
        <w:rPr>
          <w:rFonts w:ascii="Cambria" w:eastAsia="Cambria" w:hAnsi="Cambria"/>
          <w:color w:val="000000"/>
        </w:rPr>
        <w:t>hFSH</w:t>
      </w:r>
      <w:proofErr w:type="spellEnd"/>
      <w:r>
        <w:rPr>
          <w:rFonts w:ascii="Cambria" w:eastAsia="Cambria" w:hAnsi="Cambria"/>
          <w:color w:val="000000"/>
        </w:rPr>
        <w:t xml:space="preserve"> stimulation</w:t>
      </w:r>
      <w:r w:rsidR="00324195">
        <w:rPr>
          <w:rFonts w:ascii="Cambria" w:eastAsia="Cambria" w:hAnsi="Cambria"/>
          <w:color w:val="000000"/>
        </w:rPr>
        <w:t xml:space="preserve">; </w:t>
      </w:r>
      <w:r>
        <w:rPr>
          <w:rFonts w:ascii="Cambria" w:eastAsia="Cambria" w:hAnsi="Cambria"/>
          <w:color w:val="000000"/>
        </w:rPr>
        <w:t xml:space="preserve">follicle size distribution, serum </w:t>
      </w:r>
      <w:proofErr w:type="spellStart"/>
      <w:r>
        <w:rPr>
          <w:rFonts w:ascii="Cambria" w:eastAsia="Cambria" w:hAnsi="Cambria"/>
          <w:color w:val="000000"/>
        </w:rPr>
        <w:t>oestradiol</w:t>
      </w:r>
      <w:proofErr w:type="spellEnd"/>
      <w:r>
        <w:rPr>
          <w:rFonts w:ascii="Cambria" w:eastAsia="Cambria" w:hAnsi="Cambria"/>
          <w:color w:val="000000"/>
        </w:rPr>
        <w:t xml:space="preserve"> and endometrial thickness on Stimulation Day 6 and on the day of </w:t>
      </w:r>
      <w:proofErr w:type="spellStart"/>
      <w:r>
        <w:rPr>
          <w:rFonts w:ascii="Cambria" w:eastAsia="Cambria" w:hAnsi="Cambria"/>
          <w:color w:val="000000"/>
        </w:rPr>
        <w:t>hCG</w:t>
      </w:r>
      <w:proofErr w:type="spellEnd"/>
      <w:r>
        <w:rPr>
          <w:rFonts w:ascii="Cambria" w:eastAsia="Cambria" w:hAnsi="Cambria"/>
          <w:color w:val="000000"/>
        </w:rPr>
        <w:t xml:space="preserve"> administration</w:t>
      </w:r>
      <w:r w:rsidR="00324195">
        <w:rPr>
          <w:rFonts w:ascii="Cambria" w:eastAsia="Cambria" w:hAnsi="Cambria"/>
          <w:color w:val="000000"/>
        </w:rPr>
        <w:t>;</w:t>
      </w:r>
      <w:r>
        <w:rPr>
          <w:rFonts w:ascii="Cambria" w:eastAsia="Cambria" w:hAnsi="Cambria"/>
          <w:color w:val="000000"/>
        </w:rPr>
        <w:t xml:space="preserve"> cancellation rate prior to oocyte retrieval</w:t>
      </w:r>
      <w:r w:rsidR="00324195">
        <w:rPr>
          <w:rFonts w:ascii="Cambria" w:eastAsia="Cambria" w:hAnsi="Cambria"/>
          <w:color w:val="000000"/>
        </w:rPr>
        <w:t>;</w:t>
      </w:r>
      <w:r>
        <w:rPr>
          <w:rFonts w:ascii="Cambria" w:eastAsia="Cambria" w:hAnsi="Cambria"/>
          <w:color w:val="000000"/>
        </w:rPr>
        <w:t xml:space="preserve"> oocyte maturity (ICSI)</w:t>
      </w:r>
      <w:r w:rsidR="00324195">
        <w:rPr>
          <w:rFonts w:ascii="Cambria" w:eastAsia="Cambria" w:hAnsi="Cambria"/>
          <w:color w:val="000000"/>
        </w:rPr>
        <w:t>;</w:t>
      </w:r>
      <w:r>
        <w:rPr>
          <w:rFonts w:ascii="Cambria" w:eastAsia="Cambria" w:hAnsi="Cambria"/>
          <w:color w:val="000000"/>
        </w:rPr>
        <w:t xml:space="preserve"> oocyte quality</w:t>
      </w:r>
      <w:r w:rsidR="00324195">
        <w:rPr>
          <w:rFonts w:ascii="Cambria" w:eastAsia="Cambria" w:hAnsi="Cambria"/>
          <w:color w:val="000000"/>
        </w:rPr>
        <w:t>;</w:t>
      </w:r>
      <w:r>
        <w:rPr>
          <w:rFonts w:ascii="Cambria" w:eastAsia="Cambria" w:hAnsi="Cambria"/>
          <w:color w:val="000000"/>
        </w:rPr>
        <w:t xml:space="preserve"> </w:t>
      </w:r>
      <w:proofErr w:type="spellStart"/>
      <w:r>
        <w:rPr>
          <w:rFonts w:ascii="Cambria" w:eastAsia="Cambria" w:hAnsi="Cambria"/>
          <w:color w:val="000000"/>
        </w:rPr>
        <w:t>fertilisation</w:t>
      </w:r>
      <w:proofErr w:type="spellEnd"/>
      <w:r>
        <w:rPr>
          <w:rFonts w:ascii="Cambria" w:eastAsia="Cambria" w:hAnsi="Cambria"/>
          <w:color w:val="000000"/>
        </w:rPr>
        <w:t xml:space="preserve"> rate</w:t>
      </w:r>
      <w:r w:rsidR="00324195">
        <w:rPr>
          <w:rFonts w:ascii="Cambria" w:eastAsia="Cambria" w:hAnsi="Cambria"/>
          <w:color w:val="000000"/>
        </w:rPr>
        <w:t>;</w:t>
      </w:r>
      <w:r>
        <w:rPr>
          <w:rFonts w:ascii="Cambria" w:eastAsia="Cambria" w:hAnsi="Cambria"/>
          <w:color w:val="000000"/>
        </w:rPr>
        <w:t xml:space="preserve"> and clinical pregnancy rate</w:t>
      </w:r>
      <w:r w:rsidR="00324195">
        <w:rPr>
          <w:rFonts w:ascii="Cambria" w:eastAsia="Cambria" w:hAnsi="Cambria"/>
          <w:color w:val="000000"/>
        </w:rPr>
        <w:t>;</w:t>
      </w:r>
      <w:r>
        <w:rPr>
          <w:rFonts w:ascii="Cambria" w:eastAsia="Cambria" w:hAnsi="Cambria"/>
          <w:color w:val="000000"/>
        </w:rPr>
        <w:t xml:space="preserve"> and confirmed no clinically meaningful differences between OVALEAP and </w:t>
      </w:r>
      <w:proofErr w:type="spellStart"/>
      <w:r>
        <w:rPr>
          <w:rFonts w:ascii="Cambria" w:eastAsia="Cambria" w:hAnsi="Cambria"/>
          <w:color w:val="000000"/>
        </w:rPr>
        <w:t>Gonal</w:t>
      </w:r>
      <w:proofErr w:type="spellEnd"/>
      <w:r>
        <w:rPr>
          <w:rFonts w:ascii="Cambria" w:eastAsia="Cambria" w:hAnsi="Cambria"/>
          <w:color w:val="000000"/>
        </w:rPr>
        <w:t>-f.</w:t>
      </w:r>
    </w:p>
    <w:p w14:paraId="1FC879D7" w14:textId="3E32D7DC" w:rsidR="005B6B63" w:rsidRPr="002310E4" w:rsidRDefault="00EC3A89" w:rsidP="00EC3A89">
      <w:pPr>
        <w:pStyle w:val="Heading2"/>
        <w:numPr>
          <w:ilvl w:val="0"/>
          <w:numId w:val="0"/>
        </w:numPr>
      </w:pPr>
      <w:r>
        <w:t>5.2</w:t>
      </w:r>
      <w:r>
        <w:tab/>
      </w:r>
      <w:r w:rsidR="00204F49" w:rsidRPr="002310E4">
        <w:t>PHARMACOKINETIC PROPERTIES</w:t>
      </w:r>
    </w:p>
    <w:p w14:paraId="68F6EBE5" w14:textId="2631EBFD" w:rsidR="005B6B63" w:rsidRDefault="00204F49" w:rsidP="002310E4">
      <w:pPr>
        <w:spacing w:before="123" w:line="298" w:lineRule="exact"/>
        <w:textAlignment w:val="baseline"/>
        <w:rPr>
          <w:rFonts w:ascii="Cambria" w:eastAsia="Cambria" w:hAnsi="Cambria"/>
          <w:color w:val="000000"/>
          <w:spacing w:val="-1"/>
        </w:rPr>
      </w:pPr>
      <w:r>
        <w:rPr>
          <w:rFonts w:ascii="Cambria" w:eastAsia="Cambria" w:hAnsi="Cambria"/>
          <w:color w:val="000000"/>
          <w:spacing w:val="-1"/>
        </w:rPr>
        <w:t>Following intravenous administration,</w:t>
      </w:r>
      <w:r w:rsidRPr="00204F49">
        <w:rPr>
          <w:rFonts w:ascii="Cambria" w:eastAsia="Cambria" w:hAnsi="Cambria"/>
          <w:color w:val="000000"/>
        </w:rPr>
        <w:t xml:space="preserve"> </w:t>
      </w:r>
      <w:proofErr w:type="spellStart"/>
      <w:r>
        <w:rPr>
          <w:rFonts w:ascii="Cambria" w:eastAsia="Cambria" w:hAnsi="Cambria"/>
          <w:color w:val="000000"/>
        </w:rPr>
        <w:t>follitropin</w:t>
      </w:r>
      <w:proofErr w:type="spellEnd"/>
      <w:r>
        <w:rPr>
          <w:rFonts w:ascii="Cambria" w:eastAsia="Cambria" w:hAnsi="Cambria"/>
          <w:color w:val="000000"/>
        </w:rPr>
        <w:t xml:space="preserve"> alfa </w:t>
      </w:r>
      <w:r>
        <w:rPr>
          <w:rFonts w:ascii="Cambria" w:eastAsia="Cambria" w:hAnsi="Cambria"/>
          <w:color w:val="000000"/>
          <w:spacing w:val="-1"/>
        </w:rPr>
        <w:t xml:space="preserve">is distributed to the extracellular fluid space with an initial half-life of around 2 hours and eliminated from the body with a terminal half-life of about 1 day. The steady state volume of distribution and total clearance are 10 L (0.17 L/kg) and 0.6 L/h (0.01 L/h/kg), respectively. One-eighth of the </w:t>
      </w:r>
      <w:proofErr w:type="spellStart"/>
      <w:r>
        <w:rPr>
          <w:rFonts w:ascii="Cambria" w:eastAsia="Cambria" w:hAnsi="Cambria"/>
          <w:color w:val="000000"/>
        </w:rPr>
        <w:t>follitropin</w:t>
      </w:r>
      <w:proofErr w:type="spellEnd"/>
      <w:r>
        <w:rPr>
          <w:rFonts w:ascii="Cambria" w:eastAsia="Cambria" w:hAnsi="Cambria"/>
          <w:color w:val="000000"/>
        </w:rPr>
        <w:t xml:space="preserve"> alfa </w:t>
      </w:r>
      <w:r>
        <w:rPr>
          <w:rFonts w:ascii="Cambria" w:eastAsia="Cambria" w:hAnsi="Cambria"/>
          <w:color w:val="000000"/>
          <w:spacing w:val="-1"/>
        </w:rPr>
        <w:t>dose is excreted in the urine.</w:t>
      </w:r>
    </w:p>
    <w:p w14:paraId="63C49245" w14:textId="656B8DB7" w:rsidR="005B6B63" w:rsidRDefault="00204F49" w:rsidP="002310E4">
      <w:pPr>
        <w:spacing w:before="189" w:line="298" w:lineRule="exact"/>
        <w:textAlignment w:val="baseline"/>
        <w:rPr>
          <w:rFonts w:ascii="Cambria" w:eastAsia="Cambria" w:hAnsi="Cambria"/>
          <w:color w:val="000000"/>
        </w:rPr>
      </w:pPr>
      <w:r>
        <w:rPr>
          <w:rFonts w:ascii="Cambria" w:eastAsia="Cambria" w:hAnsi="Cambria"/>
          <w:color w:val="000000"/>
        </w:rPr>
        <w:t xml:space="preserve">Following subcutaneous administration, the absolute bioavailability is about 70%. Following repeated administration, </w:t>
      </w:r>
      <w:proofErr w:type="spellStart"/>
      <w:r>
        <w:rPr>
          <w:rFonts w:ascii="Cambria" w:eastAsia="Cambria" w:hAnsi="Cambria"/>
          <w:color w:val="000000"/>
        </w:rPr>
        <w:t>follitropin</w:t>
      </w:r>
      <w:proofErr w:type="spellEnd"/>
      <w:r>
        <w:rPr>
          <w:rFonts w:ascii="Cambria" w:eastAsia="Cambria" w:hAnsi="Cambria"/>
          <w:color w:val="000000"/>
        </w:rPr>
        <w:t xml:space="preserve"> alfa accumulates 3-fold at steady state within 3 – 4 days. In women whose endogenous gonadotrophin secretion is suppressed, </w:t>
      </w:r>
      <w:proofErr w:type="spellStart"/>
      <w:r>
        <w:rPr>
          <w:rFonts w:ascii="Cambria" w:eastAsia="Cambria" w:hAnsi="Cambria"/>
          <w:color w:val="000000"/>
        </w:rPr>
        <w:t>follitropin</w:t>
      </w:r>
      <w:proofErr w:type="spellEnd"/>
      <w:r>
        <w:rPr>
          <w:rFonts w:ascii="Cambria" w:eastAsia="Cambria" w:hAnsi="Cambria"/>
          <w:color w:val="000000"/>
        </w:rPr>
        <w:t xml:space="preserve"> alfa has nevertheless been shown to effectively stimulate follicular development and steroidogenesis, despite unmeasurable LH levels.</w:t>
      </w:r>
    </w:p>
    <w:p w14:paraId="072C585B" w14:textId="6A289FC3" w:rsidR="005B6B63" w:rsidRDefault="00204F49" w:rsidP="002D108A">
      <w:pPr>
        <w:widowControl w:val="0"/>
        <w:spacing w:before="191" w:line="298" w:lineRule="exact"/>
        <w:textAlignment w:val="baseline"/>
        <w:rPr>
          <w:rFonts w:ascii="Cambria" w:eastAsia="Cambria" w:hAnsi="Cambria"/>
          <w:color w:val="000000"/>
        </w:rPr>
      </w:pPr>
      <w:r>
        <w:rPr>
          <w:rFonts w:ascii="Cambria" w:eastAsia="Cambria" w:hAnsi="Cambria"/>
          <w:color w:val="000000"/>
        </w:rPr>
        <w:t xml:space="preserve">A phase I (study IMP 23572), open, </w:t>
      </w:r>
      <w:proofErr w:type="spellStart"/>
      <w:r>
        <w:rPr>
          <w:rFonts w:ascii="Cambria" w:eastAsia="Cambria" w:hAnsi="Cambria"/>
          <w:color w:val="000000"/>
        </w:rPr>
        <w:t>randomised</w:t>
      </w:r>
      <w:proofErr w:type="spellEnd"/>
      <w:r>
        <w:rPr>
          <w:rFonts w:ascii="Cambria" w:eastAsia="Cambria" w:hAnsi="Cambria"/>
          <w:color w:val="000000"/>
        </w:rPr>
        <w:t>, 2-way crossover study to assess the relative bioavailability and the tolerability of r-</w:t>
      </w:r>
      <w:proofErr w:type="spellStart"/>
      <w:r>
        <w:rPr>
          <w:rFonts w:ascii="Cambria" w:eastAsia="Cambria" w:hAnsi="Cambria"/>
          <w:color w:val="000000"/>
        </w:rPr>
        <w:t>hFSH</w:t>
      </w:r>
      <w:proofErr w:type="spellEnd"/>
      <w:r>
        <w:rPr>
          <w:rFonts w:ascii="Cambria" w:eastAsia="Cambria" w:hAnsi="Cambria"/>
          <w:color w:val="000000"/>
        </w:rPr>
        <w:t xml:space="preserve"> of a reference </w:t>
      </w:r>
      <w:proofErr w:type="spellStart"/>
      <w:r>
        <w:rPr>
          <w:rFonts w:ascii="Cambria" w:eastAsia="Cambria" w:hAnsi="Cambria"/>
          <w:color w:val="000000"/>
        </w:rPr>
        <w:t>follitropin</w:t>
      </w:r>
      <w:proofErr w:type="spellEnd"/>
      <w:r>
        <w:rPr>
          <w:rFonts w:ascii="Cambria" w:eastAsia="Cambria" w:hAnsi="Cambria"/>
          <w:color w:val="000000"/>
        </w:rPr>
        <w:t xml:space="preserve"> alfa  as a </w:t>
      </w:r>
      <w:proofErr w:type="spellStart"/>
      <w:r>
        <w:rPr>
          <w:rFonts w:ascii="Cambria" w:eastAsia="Cambria" w:hAnsi="Cambria"/>
          <w:color w:val="000000"/>
        </w:rPr>
        <w:t>monodose</w:t>
      </w:r>
      <w:proofErr w:type="spellEnd"/>
      <w:r>
        <w:rPr>
          <w:rFonts w:ascii="Cambria" w:eastAsia="Cambria" w:hAnsi="Cambria"/>
          <w:color w:val="000000"/>
        </w:rPr>
        <w:t xml:space="preserve"> freeze-dried formulation and a new multidose liquid formulation, administered subcutaneously in male and pre-menopausal female volunteers with pituitary </w:t>
      </w:r>
      <w:proofErr w:type="spellStart"/>
      <w:r>
        <w:rPr>
          <w:rFonts w:ascii="Cambria" w:eastAsia="Cambria" w:hAnsi="Cambria"/>
          <w:color w:val="000000"/>
        </w:rPr>
        <w:t>gonadotrope</w:t>
      </w:r>
      <w:proofErr w:type="spellEnd"/>
      <w:r>
        <w:rPr>
          <w:rFonts w:ascii="Cambria" w:eastAsia="Cambria" w:hAnsi="Cambria"/>
          <w:color w:val="000000"/>
        </w:rPr>
        <w:t xml:space="preserve"> cell down regulation was conducted. The pharmacokinetic parameters from this study can be seen in Table 3 below.</w:t>
      </w:r>
    </w:p>
    <w:p w14:paraId="4B465521" w14:textId="77777777" w:rsidR="005B6B63" w:rsidRPr="00A83015" w:rsidRDefault="00204F49" w:rsidP="00A83015">
      <w:pPr>
        <w:spacing w:before="240" w:after="240"/>
        <w:rPr>
          <w:b/>
        </w:rPr>
      </w:pPr>
      <w:r w:rsidRPr="00A83015">
        <w:rPr>
          <w:b/>
        </w:rPr>
        <w:t>Table 3. Summary of the statistics (means, point estimate, confidence interval) on pharmacokinetic parameters of r-</w:t>
      </w:r>
      <w:proofErr w:type="spellStart"/>
      <w:r w:rsidRPr="00A83015">
        <w:rPr>
          <w:b/>
        </w:rPr>
        <w:t>hFSH</w:t>
      </w:r>
      <w:proofErr w:type="spellEnd"/>
      <w:r w:rsidRPr="00A83015">
        <w:rPr>
          <w:b/>
        </w:rPr>
        <w:t xml:space="preserve"> by treatment (liquid/test and </w:t>
      </w:r>
      <w:proofErr w:type="spellStart"/>
      <w:r w:rsidRPr="00A83015">
        <w:rPr>
          <w:b/>
        </w:rPr>
        <w:t>lyophilised</w:t>
      </w:r>
      <w:proofErr w:type="spellEnd"/>
      <w:r w:rsidRPr="00A83015">
        <w:rPr>
          <w:b/>
        </w:rPr>
        <w:t xml:space="preserve">/reference formulation) </w:t>
      </w:r>
      <w:r w:rsidRPr="00A83015">
        <w:rPr>
          <w:b/>
          <w:sz w:val="24"/>
        </w:rPr>
        <w:t xml:space="preserve">– </w:t>
      </w:r>
      <w:r w:rsidRPr="00A83015">
        <w:rPr>
          <w:b/>
        </w:rPr>
        <w:t>Study IMP 23572</w:t>
      </w:r>
    </w:p>
    <w:p w14:paraId="643CA40F" w14:textId="77777777" w:rsidR="005B6B63" w:rsidRDefault="005B6B63" w:rsidP="00C23C1C">
      <w:pPr>
        <w:keepNext/>
        <w:spacing w:before="160" w:line="20" w:lineRule="exact"/>
      </w:pPr>
    </w:p>
    <w:tbl>
      <w:tblPr>
        <w:tblStyle w:val="TableGridLight"/>
        <w:tblW w:w="0" w:type="auto"/>
        <w:tblLayout w:type="fixed"/>
        <w:tblLook w:val="04A0" w:firstRow="1" w:lastRow="0" w:firstColumn="1" w:lastColumn="0" w:noHBand="0" w:noVBand="1"/>
      </w:tblPr>
      <w:tblGrid>
        <w:gridCol w:w="1955"/>
        <w:gridCol w:w="1757"/>
        <w:gridCol w:w="1723"/>
        <w:gridCol w:w="1877"/>
        <w:gridCol w:w="2128"/>
      </w:tblGrid>
      <w:tr w:rsidR="005B6B63" w14:paraId="3BD456E1" w14:textId="77777777" w:rsidTr="00A83015">
        <w:trPr>
          <w:trHeight w:hRule="exact" w:val="438"/>
          <w:tblHeader/>
        </w:trPr>
        <w:tc>
          <w:tcPr>
            <w:tcW w:w="1955" w:type="dxa"/>
          </w:tcPr>
          <w:p w14:paraId="056EC1D3" w14:textId="77777777" w:rsidR="005B6B63" w:rsidRDefault="00204F49" w:rsidP="00A83015">
            <w:r>
              <w:t>Parameter</w:t>
            </w:r>
          </w:p>
        </w:tc>
        <w:tc>
          <w:tcPr>
            <w:tcW w:w="1757" w:type="dxa"/>
          </w:tcPr>
          <w:p w14:paraId="050E5E20" w14:textId="77777777" w:rsidR="005B6B63" w:rsidRDefault="00204F49" w:rsidP="00A83015">
            <w:r>
              <w:t>Test</w:t>
            </w:r>
          </w:p>
        </w:tc>
        <w:tc>
          <w:tcPr>
            <w:tcW w:w="1723" w:type="dxa"/>
          </w:tcPr>
          <w:p w14:paraId="133D9405" w14:textId="77777777" w:rsidR="005B6B63" w:rsidRDefault="00204F49" w:rsidP="00A83015">
            <w:r>
              <w:t>Reference</w:t>
            </w:r>
          </w:p>
        </w:tc>
        <w:tc>
          <w:tcPr>
            <w:tcW w:w="1877" w:type="dxa"/>
          </w:tcPr>
          <w:p w14:paraId="3C64459B" w14:textId="77777777" w:rsidR="005B6B63" w:rsidRDefault="00204F49" w:rsidP="00A83015">
            <w:r>
              <w:t>Point estimate</w:t>
            </w:r>
          </w:p>
        </w:tc>
        <w:tc>
          <w:tcPr>
            <w:tcW w:w="2128" w:type="dxa"/>
          </w:tcPr>
          <w:p w14:paraId="6DCF1137" w14:textId="77777777" w:rsidR="005B6B63" w:rsidRDefault="00204F49" w:rsidP="00A83015">
            <w:r>
              <w:t>90% CI range</w:t>
            </w:r>
          </w:p>
        </w:tc>
      </w:tr>
      <w:tr w:rsidR="005B6B63" w14:paraId="7BCAE365" w14:textId="77777777" w:rsidTr="00A83015">
        <w:trPr>
          <w:trHeight w:hRule="exact" w:val="590"/>
        </w:trPr>
        <w:tc>
          <w:tcPr>
            <w:tcW w:w="1955" w:type="dxa"/>
          </w:tcPr>
          <w:p w14:paraId="5C15BECB" w14:textId="77777777" w:rsidR="005B6B63" w:rsidRDefault="00204F49" w:rsidP="00A83015">
            <w:pPr>
              <w:rPr>
                <w:sz w:val="24"/>
              </w:rPr>
            </w:pPr>
            <w:r>
              <w:rPr>
                <w:sz w:val="24"/>
              </w:rPr>
              <w:t xml:space="preserve"> </w:t>
            </w:r>
          </w:p>
        </w:tc>
        <w:tc>
          <w:tcPr>
            <w:tcW w:w="1757" w:type="dxa"/>
          </w:tcPr>
          <w:p w14:paraId="49454F68" w14:textId="77777777" w:rsidR="005B6B63" w:rsidRDefault="00204F49" w:rsidP="00A83015">
            <w:r>
              <w:t>(N = 41)</w:t>
            </w:r>
          </w:p>
        </w:tc>
        <w:tc>
          <w:tcPr>
            <w:tcW w:w="1723" w:type="dxa"/>
          </w:tcPr>
          <w:p w14:paraId="03042493" w14:textId="77777777" w:rsidR="005B6B63" w:rsidRDefault="00204F49" w:rsidP="00A83015">
            <w:r>
              <w:t>(N = 40)</w:t>
            </w:r>
          </w:p>
        </w:tc>
        <w:tc>
          <w:tcPr>
            <w:tcW w:w="1877" w:type="dxa"/>
          </w:tcPr>
          <w:p w14:paraId="646ADFDF" w14:textId="4959C826" w:rsidR="005B6B63" w:rsidRDefault="00204F49" w:rsidP="00A83015">
            <w:r>
              <w:t>Ratio</w:t>
            </w:r>
            <w:r w:rsidR="00A83015">
              <w:t xml:space="preserve"> </w:t>
            </w:r>
            <w:r>
              <w:t>test/reference</w:t>
            </w:r>
          </w:p>
        </w:tc>
        <w:tc>
          <w:tcPr>
            <w:tcW w:w="2128" w:type="dxa"/>
          </w:tcPr>
          <w:p w14:paraId="731B5CFA" w14:textId="77777777" w:rsidR="005B6B63" w:rsidRDefault="00204F49" w:rsidP="00A83015">
            <w:r>
              <w:t xml:space="preserve">(0.8 </w:t>
            </w:r>
            <w:r>
              <w:rPr>
                <w:sz w:val="24"/>
              </w:rPr>
              <w:t xml:space="preserve">– </w:t>
            </w:r>
            <w:r>
              <w:t>1.25)</w:t>
            </w:r>
          </w:p>
        </w:tc>
      </w:tr>
      <w:tr w:rsidR="005B6B63" w14:paraId="1FCB7FC2" w14:textId="77777777" w:rsidTr="00A83015">
        <w:trPr>
          <w:trHeight w:hRule="exact" w:val="317"/>
        </w:trPr>
        <w:tc>
          <w:tcPr>
            <w:tcW w:w="1955" w:type="dxa"/>
          </w:tcPr>
          <w:p w14:paraId="31828E35" w14:textId="77777777" w:rsidR="005B6B63" w:rsidRDefault="00204F49" w:rsidP="00A83015">
            <w:pPr>
              <w:rPr>
                <w:sz w:val="24"/>
              </w:rPr>
            </w:pPr>
            <w:r>
              <w:rPr>
                <w:sz w:val="24"/>
              </w:rPr>
              <w:t xml:space="preserve"> </w:t>
            </w:r>
          </w:p>
        </w:tc>
        <w:tc>
          <w:tcPr>
            <w:tcW w:w="1757" w:type="dxa"/>
          </w:tcPr>
          <w:p w14:paraId="78964C1C" w14:textId="77777777" w:rsidR="005B6B63" w:rsidRDefault="00204F49" w:rsidP="00A83015">
            <w:pPr>
              <w:rPr>
                <w:sz w:val="24"/>
              </w:rPr>
            </w:pPr>
            <w:r>
              <w:rPr>
                <w:sz w:val="24"/>
              </w:rPr>
              <w:t xml:space="preserve"> </w:t>
            </w:r>
          </w:p>
        </w:tc>
        <w:tc>
          <w:tcPr>
            <w:tcW w:w="1723" w:type="dxa"/>
          </w:tcPr>
          <w:p w14:paraId="38F2CB9A" w14:textId="77777777" w:rsidR="005B6B63" w:rsidRDefault="00204F49" w:rsidP="00A83015">
            <w:pPr>
              <w:rPr>
                <w:sz w:val="24"/>
              </w:rPr>
            </w:pPr>
            <w:r>
              <w:rPr>
                <w:sz w:val="24"/>
              </w:rPr>
              <w:t xml:space="preserve"> </w:t>
            </w:r>
          </w:p>
        </w:tc>
        <w:tc>
          <w:tcPr>
            <w:tcW w:w="1877" w:type="dxa"/>
          </w:tcPr>
          <w:p w14:paraId="5579AF7B" w14:textId="77777777" w:rsidR="005B6B63" w:rsidRDefault="00204F49" w:rsidP="00A83015">
            <w:r>
              <w:t>(N = 39)</w:t>
            </w:r>
          </w:p>
        </w:tc>
        <w:tc>
          <w:tcPr>
            <w:tcW w:w="2128" w:type="dxa"/>
          </w:tcPr>
          <w:p w14:paraId="384DE809" w14:textId="77777777" w:rsidR="005B6B63" w:rsidRDefault="00204F49" w:rsidP="00A83015">
            <w:pPr>
              <w:rPr>
                <w:sz w:val="24"/>
              </w:rPr>
            </w:pPr>
            <w:r>
              <w:rPr>
                <w:sz w:val="24"/>
              </w:rPr>
              <w:t xml:space="preserve"> </w:t>
            </w:r>
          </w:p>
        </w:tc>
      </w:tr>
      <w:tr w:rsidR="005B6B63" w14:paraId="2F4B6E90" w14:textId="77777777" w:rsidTr="00A83015">
        <w:trPr>
          <w:trHeight w:hRule="exact" w:val="312"/>
        </w:trPr>
        <w:tc>
          <w:tcPr>
            <w:tcW w:w="1955" w:type="dxa"/>
          </w:tcPr>
          <w:p w14:paraId="5CF0EAD3" w14:textId="77777777" w:rsidR="005B6B63" w:rsidRDefault="00204F49" w:rsidP="00A83015">
            <w:proofErr w:type="spellStart"/>
            <w:r>
              <w:t>C</w:t>
            </w:r>
            <w:r>
              <w:rPr>
                <w:sz w:val="14"/>
              </w:rPr>
              <w:t>max</w:t>
            </w:r>
            <w:proofErr w:type="spellEnd"/>
            <w:r>
              <w:rPr>
                <w:sz w:val="14"/>
              </w:rPr>
              <w:t xml:space="preserve"> </w:t>
            </w:r>
            <w:r>
              <w:t>(IU/L)</w:t>
            </w:r>
          </w:p>
        </w:tc>
        <w:tc>
          <w:tcPr>
            <w:tcW w:w="1757" w:type="dxa"/>
          </w:tcPr>
          <w:p w14:paraId="216D8715" w14:textId="77777777" w:rsidR="005B6B63" w:rsidRDefault="00204F49" w:rsidP="00A83015">
            <w:r>
              <w:t>8.99</w:t>
            </w:r>
          </w:p>
        </w:tc>
        <w:tc>
          <w:tcPr>
            <w:tcW w:w="1723" w:type="dxa"/>
          </w:tcPr>
          <w:p w14:paraId="01E3EFB9" w14:textId="77777777" w:rsidR="005B6B63" w:rsidRDefault="00204F49" w:rsidP="00A83015">
            <w:r>
              <w:t>9.51</w:t>
            </w:r>
          </w:p>
        </w:tc>
        <w:tc>
          <w:tcPr>
            <w:tcW w:w="1877" w:type="dxa"/>
          </w:tcPr>
          <w:p w14:paraId="20703D70" w14:textId="77777777" w:rsidR="005B6B63" w:rsidRDefault="00204F49" w:rsidP="00A83015">
            <w:r>
              <w:t>0.9175</w:t>
            </w:r>
          </w:p>
        </w:tc>
        <w:tc>
          <w:tcPr>
            <w:tcW w:w="2128" w:type="dxa"/>
          </w:tcPr>
          <w:p w14:paraId="0CF1B222" w14:textId="77777777" w:rsidR="005B6B63" w:rsidRDefault="00204F49" w:rsidP="00A83015">
            <w:r>
              <w:t>(0.8855, 0.9505)</w:t>
            </w:r>
          </w:p>
        </w:tc>
      </w:tr>
      <w:tr w:rsidR="005B6B63" w14:paraId="0C7B64DC" w14:textId="77777777" w:rsidTr="00A83015">
        <w:trPr>
          <w:trHeight w:hRule="exact" w:val="293"/>
        </w:trPr>
        <w:tc>
          <w:tcPr>
            <w:tcW w:w="1955" w:type="dxa"/>
          </w:tcPr>
          <w:p w14:paraId="7BDD443B" w14:textId="77777777" w:rsidR="005B6B63" w:rsidRDefault="00204F49" w:rsidP="00A83015">
            <w:r>
              <w:t>(Min – max)</w:t>
            </w:r>
          </w:p>
        </w:tc>
        <w:tc>
          <w:tcPr>
            <w:tcW w:w="1757" w:type="dxa"/>
          </w:tcPr>
          <w:p w14:paraId="728F74EE" w14:textId="77777777" w:rsidR="005B6B63" w:rsidRDefault="00204F49" w:rsidP="00A83015">
            <w:r>
              <w:t>(4.70 – 16.7)</w:t>
            </w:r>
          </w:p>
        </w:tc>
        <w:tc>
          <w:tcPr>
            <w:tcW w:w="1723" w:type="dxa"/>
          </w:tcPr>
          <w:p w14:paraId="0485C514" w14:textId="77777777" w:rsidR="005B6B63" w:rsidRDefault="00204F49" w:rsidP="00A83015">
            <w:r>
              <w:t>(4.00 – 15.1)</w:t>
            </w:r>
          </w:p>
        </w:tc>
        <w:tc>
          <w:tcPr>
            <w:tcW w:w="1877" w:type="dxa"/>
          </w:tcPr>
          <w:p w14:paraId="1AE63210" w14:textId="77777777" w:rsidR="005B6B63" w:rsidRDefault="00204F49" w:rsidP="00A83015">
            <w:pPr>
              <w:rPr>
                <w:sz w:val="24"/>
              </w:rPr>
            </w:pPr>
            <w:r>
              <w:rPr>
                <w:sz w:val="24"/>
              </w:rPr>
              <w:t xml:space="preserve"> </w:t>
            </w:r>
          </w:p>
        </w:tc>
        <w:tc>
          <w:tcPr>
            <w:tcW w:w="2128" w:type="dxa"/>
          </w:tcPr>
          <w:p w14:paraId="0C1B4038" w14:textId="77777777" w:rsidR="005B6B63" w:rsidRDefault="00204F49" w:rsidP="00A83015">
            <w:pPr>
              <w:rPr>
                <w:sz w:val="24"/>
              </w:rPr>
            </w:pPr>
            <w:r>
              <w:rPr>
                <w:sz w:val="24"/>
              </w:rPr>
              <w:t xml:space="preserve"> </w:t>
            </w:r>
          </w:p>
        </w:tc>
      </w:tr>
      <w:tr w:rsidR="005B6B63" w14:paraId="3EBA26D5" w14:textId="77777777" w:rsidTr="00A83015">
        <w:trPr>
          <w:trHeight w:hRule="exact" w:val="312"/>
        </w:trPr>
        <w:tc>
          <w:tcPr>
            <w:tcW w:w="1955" w:type="dxa"/>
          </w:tcPr>
          <w:p w14:paraId="74D90E75" w14:textId="77777777" w:rsidR="005B6B63" w:rsidRDefault="00204F49" w:rsidP="00A83015">
            <w:proofErr w:type="spellStart"/>
            <w:r>
              <w:t>AUC</w:t>
            </w:r>
            <w:r>
              <w:rPr>
                <w:sz w:val="14"/>
              </w:rPr>
              <w:t>last</w:t>
            </w:r>
            <w:proofErr w:type="spellEnd"/>
            <w:r>
              <w:rPr>
                <w:sz w:val="14"/>
              </w:rPr>
              <w:t xml:space="preserve"> </w:t>
            </w:r>
            <w:r>
              <w:t>(</w:t>
            </w:r>
            <w:proofErr w:type="spellStart"/>
            <w:r>
              <w:t>IU.h</w:t>
            </w:r>
            <w:proofErr w:type="spellEnd"/>
            <w:r>
              <w:t>/L)</w:t>
            </w:r>
          </w:p>
        </w:tc>
        <w:tc>
          <w:tcPr>
            <w:tcW w:w="1757" w:type="dxa"/>
          </w:tcPr>
          <w:p w14:paraId="460C83BB" w14:textId="77777777" w:rsidR="005B6B63" w:rsidRDefault="00204F49" w:rsidP="00A83015">
            <w:r>
              <w:t>841</w:t>
            </w:r>
          </w:p>
        </w:tc>
        <w:tc>
          <w:tcPr>
            <w:tcW w:w="1723" w:type="dxa"/>
          </w:tcPr>
          <w:p w14:paraId="6926860E" w14:textId="77777777" w:rsidR="005B6B63" w:rsidRDefault="00204F49" w:rsidP="00A83015">
            <w:r>
              <w:t>844</w:t>
            </w:r>
          </w:p>
        </w:tc>
        <w:tc>
          <w:tcPr>
            <w:tcW w:w="1877" w:type="dxa"/>
          </w:tcPr>
          <w:p w14:paraId="05F1C139" w14:textId="77777777" w:rsidR="005B6B63" w:rsidRDefault="00204F49" w:rsidP="00A83015">
            <w:r>
              <w:t>0.9512</w:t>
            </w:r>
          </w:p>
        </w:tc>
        <w:tc>
          <w:tcPr>
            <w:tcW w:w="2128" w:type="dxa"/>
          </w:tcPr>
          <w:p w14:paraId="268E5E08" w14:textId="77777777" w:rsidR="005B6B63" w:rsidRDefault="00204F49" w:rsidP="00A83015">
            <w:r>
              <w:t>(0.9222, 0.9810)</w:t>
            </w:r>
          </w:p>
        </w:tc>
      </w:tr>
      <w:tr w:rsidR="005B6B63" w14:paraId="3494D457" w14:textId="77777777" w:rsidTr="00A83015">
        <w:trPr>
          <w:trHeight w:hRule="exact" w:val="292"/>
        </w:trPr>
        <w:tc>
          <w:tcPr>
            <w:tcW w:w="1955" w:type="dxa"/>
          </w:tcPr>
          <w:p w14:paraId="06708FA0" w14:textId="77777777" w:rsidR="005B6B63" w:rsidRDefault="00204F49" w:rsidP="00A83015">
            <w:r>
              <w:t>(Min – max)</w:t>
            </w:r>
          </w:p>
        </w:tc>
        <w:tc>
          <w:tcPr>
            <w:tcW w:w="1757" w:type="dxa"/>
          </w:tcPr>
          <w:p w14:paraId="2742A33A" w14:textId="77777777" w:rsidR="005B6B63" w:rsidRDefault="00204F49" w:rsidP="00A83015">
            <w:r>
              <w:t>(557 – 2280)</w:t>
            </w:r>
          </w:p>
        </w:tc>
        <w:tc>
          <w:tcPr>
            <w:tcW w:w="1723" w:type="dxa"/>
          </w:tcPr>
          <w:p w14:paraId="427CA117" w14:textId="77777777" w:rsidR="005B6B63" w:rsidRDefault="00204F49" w:rsidP="00A83015">
            <w:r>
              <w:t>(462 – 1170)</w:t>
            </w:r>
          </w:p>
        </w:tc>
        <w:tc>
          <w:tcPr>
            <w:tcW w:w="1877" w:type="dxa"/>
          </w:tcPr>
          <w:p w14:paraId="423CD1F6" w14:textId="77777777" w:rsidR="005B6B63" w:rsidRDefault="00204F49" w:rsidP="00A83015">
            <w:pPr>
              <w:rPr>
                <w:sz w:val="24"/>
              </w:rPr>
            </w:pPr>
            <w:r>
              <w:rPr>
                <w:sz w:val="24"/>
              </w:rPr>
              <w:t xml:space="preserve"> </w:t>
            </w:r>
          </w:p>
        </w:tc>
        <w:tc>
          <w:tcPr>
            <w:tcW w:w="2128" w:type="dxa"/>
          </w:tcPr>
          <w:p w14:paraId="324FA5B5" w14:textId="77777777" w:rsidR="005B6B63" w:rsidRDefault="00204F49" w:rsidP="00A83015">
            <w:pPr>
              <w:rPr>
                <w:sz w:val="24"/>
              </w:rPr>
            </w:pPr>
            <w:r>
              <w:rPr>
                <w:sz w:val="24"/>
              </w:rPr>
              <w:t xml:space="preserve"> </w:t>
            </w:r>
          </w:p>
        </w:tc>
      </w:tr>
      <w:tr w:rsidR="005B6B63" w14:paraId="02DE8338" w14:textId="77777777" w:rsidTr="00A83015">
        <w:trPr>
          <w:trHeight w:hRule="exact" w:val="293"/>
        </w:trPr>
        <w:tc>
          <w:tcPr>
            <w:tcW w:w="1955" w:type="dxa"/>
          </w:tcPr>
          <w:p w14:paraId="4CA2E14D" w14:textId="77777777" w:rsidR="005B6B63" w:rsidRDefault="00204F49" w:rsidP="00A83015">
            <w:proofErr w:type="spellStart"/>
            <w:r>
              <w:t>t</w:t>
            </w:r>
            <w:r>
              <w:rPr>
                <w:sz w:val="14"/>
              </w:rPr>
              <w:t>max</w:t>
            </w:r>
            <w:proofErr w:type="spellEnd"/>
            <w:r>
              <w:rPr>
                <w:sz w:val="14"/>
              </w:rPr>
              <w:t xml:space="preserve"> </w:t>
            </w:r>
            <w:r>
              <w:t>(h)*</w:t>
            </w:r>
          </w:p>
        </w:tc>
        <w:tc>
          <w:tcPr>
            <w:tcW w:w="1757" w:type="dxa"/>
          </w:tcPr>
          <w:p w14:paraId="1FAA1CB1" w14:textId="77777777" w:rsidR="005B6B63" w:rsidRDefault="00204F49" w:rsidP="00A83015">
            <w:r>
              <w:t>15.0</w:t>
            </w:r>
          </w:p>
        </w:tc>
        <w:tc>
          <w:tcPr>
            <w:tcW w:w="1723" w:type="dxa"/>
          </w:tcPr>
          <w:p w14:paraId="5C1B8459" w14:textId="77777777" w:rsidR="005B6B63" w:rsidRDefault="00204F49" w:rsidP="00A83015">
            <w:r>
              <w:t>12.0</w:t>
            </w:r>
          </w:p>
        </w:tc>
        <w:tc>
          <w:tcPr>
            <w:tcW w:w="1877" w:type="dxa"/>
          </w:tcPr>
          <w:p w14:paraId="26B12034" w14:textId="77777777" w:rsidR="005B6B63" w:rsidRDefault="00204F49" w:rsidP="00A83015">
            <w:r>
              <w:t>NA</w:t>
            </w:r>
          </w:p>
        </w:tc>
        <w:tc>
          <w:tcPr>
            <w:tcW w:w="2128" w:type="dxa"/>
          </w:tcPr>
          <w:p w14:paraId="742D2482" w14:textId="77777777" w:rsidR="005B6B63" w:rsidRDefault="00204F49" w:rsidP="00A83015">
            <w:r>
              <w:t>NA</w:t>
            </w:r>
          </w:p>
        </w:tc>
      </w:tr>
      <w:tr w:rsidR="005B6B63" w14:paraId="0A8C3F10" w14:textId="77777777" w:rsidTr="00A83015">
        <w:trPr>
          <w:trHeight w:hRule="exact" w:val="313"/>
        </w:trPr>
        <w:tc>
          <w:tcPr>
            <w:tcW w:w="1955" w:type="dxa"/>
          </w:tcPr>
          <w:p w14:paraId="2D5CB5B7" w14:textId="77777777" w:rsidR="005B6B63" w:rsidRDefault="00204F49" w:rsidP="00A83015">
            <w:r>
              <w:t>(Min – max)</w:t>
            </w:r>
          </w:p>
        </w:tc>
        <w:tc>
          <w:tcPr>
            <w:tcW w:w="1757" w:type="dxa"/>
          </w:tcPr>
          <w:p w14:paraId="58B3F410" w14:textId="77777777" w:rsidR="005B6B63" w:rsidRDefault="00204F49" w:rsidP="00A83015">
            <w:r>
              <w:t>(6.00 – 48.0)</w:t>
            </w:r>
          </w:p>
        </w:tc>
        <w:tc>
          <w:tcPr>
            <w:tcW w:w="1723" w:type="dxa"/>
          </w:tcPr>
          <w:p w14:paraId="0AA6FEB4" w14:textId="77777777" w:rsidR="005B6B63" w:rsidRDefault="00204F49" w:rsidP="00A83015">
            <w:r>
              <w:t>(4.00 – 48.0)</w:t>
            </w:r>
          </w:p>
        </w:tc>
        <w:tc>
          <w:tcPr>
            <w:tcW w:w="1877" w:type="dxa"/>
          </w:tcPr>
          <w:p w14:paraId="438600A7" w14:textId="77777777" w:rsidR="005B6B63" w:rsidRDefault="00204F49" w:rsidP="00A83015">
            <w:pPr>
              <w:rPr>
                <w:sz w:val="24"/>
              </w:rPr>
            </w:pPr>
            <w:r>
              <w:rPr>
                <w:sz w:val="24"/>
              </w:rPr>
              <w:t xml:space="preserve"> </w:t>
            </w:r>
          </w:p>
        </w:tc>
        <w:tc>
          <w:tcPr>
            <w:tcW w:w="2128" w:type="dxa"/>
          </w:tcPr>
          <w:p w14:paraId="06D3E887" w14:textId="77777777" w:rsidR="005B6B63" w:rsidRDefault="00204F49" w:rsidP="00A83015">
            <w:pPr>
              <w:rPr>
                <w:sz w:val="24"/>
              </w:rPr>
            </w:pPr>
            <w:r>
              <w:rPr>
                <w:sz w:val="24"/>
              </w:rPr>
              <w:t xml:space="preserve"> </w:t>
            </w:r>
          </w:p>
        </w:tc>
      </w:tr>
    </w:tbl>
    <w:p w14:paraId="415C0F3F" w14:textId="77777777" w:rsidR="005B6B63" w:rsidRDefault="00204F49" w:rsidP="00C23C1C">
      <w:pPr>
        <w:spacing w:before="18" w:after="120" w:line="233" w:lineRule="exact"/>
        <w:ind w:left="357"/>
        <w:textAlignment w:val="baseline"/>
        <w:rPr>
          <w:rFonts w:ascii="Cambria" w:eastAsia="Cambria" w:hAnsi="Cambria"/>
          <w:color w:val="000000"/>
          <w:spacing w:val="-1"/>
        </w:rPr>
      </w:pPr>
      <w:r>
        <w:rPr>
          <w:rFonts w:ascii="Cambria" w:eastAsia="Cambria" w:hAnsi="Cambria"/>
          <w:color w:val="000000"/>
          <w:spacing w:val="-1"/>
        </w:rPr>
        <w:t xml:space="preserve">(*median values for </w:t>
      </w:r>
      <w:proofErr w:type="spellStart"/>
      <w:r>
        <w:rPr>
          <w:rFonts w:ascii="Cambria" w:eastAsia="Cambria" w:hAnsi="Cambria"/>
          <w:color w:val="000000"/>
          <w:spacing w:val="-1"/>
        </w:rPr>
        <w:t>t</w:t>
      </w:r>
      <w:r>
        <w:rPr>
          <w:rFonts w:ascii="Cambria" w:eastAsia="Cambria" w:hAnsi="Cambria"/>
          <w:color w:val="000000"/>
          <w:spacing w:val="-1"/>
          <w:sz w:val="14"/>
        </w:rPr>
        <w:t>max</w:t>
      </w:r>
      <w:proofErr w:type="spellEnd"/>
      <w:r>
        <w:rPr>
          <w:rFonts w:ascii="Cambria" w:eastAsia="Cambria" w:hAnsi="Cambria"/>
          <w:color w:val="000000"/>
          <w:spacing w:val="-1"/>
        </w:rPr>
        <w:t>)</w:t>
      </w:r>
    </w:p>
    <w:p w14:paraId="03C1B3D7" w14:textId="77777777" w:rsidR="00C23C1C" w:rsidRPr="00C23C1C" w:rsidRDefault="00C23C1C" w:rsidP="00C23C1C"/>
    <w:p w14:paraId="391CEB50" w14:textId="77777777" w:rsidR="005B6B63" w:rsidRDefault="00204F49" w:rsidP="002310E4">
      <w:pPr>
        <w:spacing w:before="1" w:line="297" w:lineRule="exact"/>
        <w:textAlignment w:val="baseline"/>
        <w:rPr>
          <w:rFonts w:ascii="Cambria" w:eastAsia="Cambria" w:hAnsi="Cambria"/>
          <w:color w:val="000000"/>
        </w:rPr>
      </w:pPr>
      <w:r>
        <w:rPr>
          <w:rFonts w:ascii="Cambria" w:eastAsia="Cambria" w:hAnsi="Cambria"/>
          <w:color w:val="000000"/>
        </w:rPr>
        <w:t xml:space="preserve">Following the subcutaneous administration of both formulations, the 90% confidence intervals of the mean ratios for the bioavailability metrics, </w:t>
      </w:r>
      <w:proofErr w:type="spellStart"/>
      <w:r>
        <w:rPr>
          <w:rFonts w:ascii="Cambria" w:eastAsia="Cambria" w:hAnsi="Cambria"/>
          <w:color w:val="000000"/>
        </w:rPr>
        <w:t>C</w:t>
      </w:r>
      <w:r>
        <w:rPr>
          <w:rFonts w:ascii="Cambria" w:eastAsia="Cambria" w:hAnsi="Cambria"/>
          <w:color w:val="000000"/>
          <w:sz w:val="14"/>
        </w:rPr>
        <w:t>max</w:t>
      </w:r>
      <w:proofErr w:type="spellEnd"/>
      <w:r>
        <w:rPr>
          <w:rFonts w:ascii="Cambria" w:eastAsia="Cambria" w:hAnsi="Cambria"/>
          <w:color w:val="000000"/>
          <w:sz w:val="14"/>
        </w:rPr>
        <w:t xml:space="preserve"> </w:t>
      </w:r>
      <w:r>
        <w:rPr>
          <w:rFonts w:ascii="Cambria" w:eastAsia="Cambria" w:hAnsi="Cambria"/>
          <w:color w:val="000000"/>
        </w:rPr>
        <w:t xml:space="preserve">and </w:t>
      </w:r>
      <w:proofErr w:type="spellStart"/>
      <w:r>
        <w:rPr>
          <w:rFonts w:ascii="Cambria" w:eastAsia="Cambria" w:hAnsi="Cambria"/>
          <w:color w:val="000000"/>
        </w:rPr>
        <w:t>AUC</w:t>
      </w:r>
      <w:r>
        <w:rPr>
          <w:rFonts w:ascii="Cambria" w:eastAsia="Cambria" w:hAnsi="Cambria"/>
          <w:color w:val="000000"/>
          <w:sz w:val="14"/>
        </w:rPr>
        <w:t>last</w:t>
      </w:r>
      <w:proofErr w:type="spellEnd"/>
      <w:r>
        <w:rPr>
          <w:rFonts w:ascii="Cambria" w:eastAsia="Cambria" w:hAnsi="Cambria"/>
          <w:color w:val="000000"/>
          <w:sz w:val="14"/>
        </w:rPr>
        <w:t xml:space="preserve"> </w:t>
      </w:r>
      <w:r>
        <w:rPr>
          <w:rFonts w:ascii="Cambria" w:eastAsia="Cambria" w:hAnsi="Cambria"/>
          <w:color w:val="000000"/>
        </w:rPr>
        <w:t xml:space="preserve">lie within the pre-defined limits of 0.8 – 1.25 showing bioequivalence of liquid (test) and freeze dried (reference) formulations. Because the observed variability (&lt;10%) was much lower than expected </w:t>
      </w:r>
      <w:r>
        <w:rPr>
          <w:rFonts w:ascii="Cambria" w:eastAsia="Cambria" w:hAnsi="Cambria"/>
          <w:i/>
          <w:color w:val="000000"/>
        </w:rPr>
        <w:t>a priori</w:t>
      </w:r>
      <w:r>
        <w:rPr>
          <w:rFonts w:ascii="Cambria" w:eastAsia="Cambria" w:hAnsi="Cambria"/>
          <w:color w:val="000000"/>
        </w:rPr>
        <w:t xml:space="preserve">, </w:t>
      </w:r>
      <w:r>
        <w:rPr>
          <w:rFonts w:ascii="Cambria" w:eastAsia="Cambria" w:hAnsi="Cambria"/>
          <w:color w:val="000000"/>
        </w:rPr>
        <w:lastRenderedPageBreak/>
        <w:t xml:space="preserve">the study allowed the detection of a small difference between the two formulations in rate (about 8%) and extent (about 5%). Suppression of endogenous FSH production was incomplete, probably more so in period 2 compared to period 1 and this probably explains the significant period effect observed. The significant difference seen on </w:t>
      </w:r>
      <w:proofErr w:type="spellStart"/>
      <w:r>
        <w:rPr>
          <w:rFonts w:ascii="Cambria" w:eastAsia="Cambria" w:hAnsi="Cambria"/>
          <w:color w:val="000000"/>
        </w:rPr>
        <w:t>t</w:t>
      </w:r>
      <w:r>
        <w:rPr>
          <w:rFonts w:ascii="Cambria" w:eastAsia="Cambria" w:hAnsi="Cambria"/>
          <w:color w:val="000000"/>
          <w:sz w:val="14"/>
        </w:rPr>
        <w:t>max</w:t>
      </w:r>
      <w:proofErr w:type="spellEnd"/>
      <w:r>
        <w:rPr>
          <w:rFonts w:ascii="Cambria" w:eastAsia="Cambria" w:hAnsi="Cambria"/>
          <w:color w:val="000000"/>
          <w:sz w:val="14"/>
        </w:rPr>
        <w:t xml:space="preserve"> </w:t>
      </w:r>
      <w:r>
        <w:rPr>
          <w:rFonts w:ascii="Cambria" w:eastAsia="Cambria" w:hAnsi="Cambria"/>
          <w:color w:val="000000"/>
        </w:rPr>
        <w:t xml:space="preserve">is probably a function of the diverse mechanisms by which the drug enters the systemic circulation. In subjects where the diffusion processes from the subcutis to the adjacent small blood vessels dominate, earlier </w:t>
      </w:r>
      <w:proofErr w:type="spellStart"/>
      <w:r>
        <w:rPr>
          <w:rFonts w:ascii="Cambria" w:eastAsia="Cambria" w:hAnsi="Cambria"/>
          <w:color w:val="000000"/>
        </w:rPr>
        <w:t>t</w:t>
      </w:r>
      <w:r>
        <w:rPr>
          <w:rFonts w:ascii="Cambria" w:eastAsia="Cambria" w:hAnsi="Cambria"/>
          <w:color w:val="000000"/>
          <w:sz w:val="14"/>
        </w:rPr>
        <w:t>max</w:t>
      </w:r>
      <w:proofErr w:type="spellEnd"/>
      <w:r>
        <w:rPr>
          <w:rFonts w:ascii="Cambria" w:eastAsia="Cambria" w:hAnsi="Cambria"/>
          <w:color w:val="000000"/>
          <w:sz w:val="14"/>
        </w:rPr>
        <w:t xml:space="preserve"> </w:t>
      </w:r>
      <w:r>
        <w:rPr>
          <w:rFonts w:ascii="Cambria" w:eastAsia="Cambria" w:hAnsi="Cambria"/>
          <w:color w:val="000000"/>
        </w:rPr>
        <w:t xml:space="preserve">is observed, whereas, in subjects where flow of FSH through the lymph to the systemic circulation is dominant, a later </w:t>
      </w:r>
      <w:proofErr w:type="spellStart"/>
      <w:r>
        <w:rPr>
          <w:rFonts w:ascii="Cambria" w:eastAsia="Cambria" w:hAnsi="Cambria"/>
          <w:color w:val="000000"/>
        </w:rPr>
        <w:t>t</w:t>
      </w:r>
      <w:r>
        <w:rPr>
          <w:rFonts w:ascii="Cambria" w:eastAsia="Cambria" w:hAnsi="Cambria"/>
          <w:color w:val="000000"/>
          <w:sz w:val="14"/>
        </w:rPr>
        <w:t>max</w:t>
      </w:r>
      <w:proofErr w:type="spellEnd"/>
      <w:r>
        <w:rPr>
          <w:rFonts w:ascii="Cambria" w:eastAsia="Cambria" w:hAnsi="Cambria"/>
          <w:color w:val="000000"/>
          <w:sz w:val="14"/>
        </w:rPr>
        <w:t xml:space="preserve"> </w:t>
      </w:r>
      <w:r>
        <w:rPr>
          <w:rFonts w:ascii="Cambria" w:eastAsia="Cambria" w:hAnsi="Cambria"/>
          <w:color w:val="000000"/>
        </w:rPr>
        <w:t xml:space="preserve">probably occurs. This latter process may be non-linear generating an apparent zero order input over sustained periods in some subjects. The mixture of these processes in the population leads to very high variability in </w:t>
      </w:r>
      <w:proofErr w:type="spellStart"/>
      <w:r>
        <w:rPr>
          <w:rFonts w:ascii="Cambria" w:eastAsia="Cambria" w:hAnsi="Cambria"/>
          <w:color w:val="000000"/>
        </w:rPr>
        <w:t>t</w:t>
      </w:r>
      <w:r>
        <w:rPr>
          <w:rFonts w:ascii="Cambria" w:eastAsia="Cambria" w:hAnsi="Cambria"/>
          <w:color w:val="000000"/>
          <w:sz w:val="14"/>
        </w:rPr>
        <w:t>max</w:t>
      </w:r>
      <w:proofErr w:type="spellEnd"/>
      <w:r>
        <w:rPr>
          <w:rFonts w:ascii="Cambria" w:eastAsia="Cambria" w:hAnsi="Cambria"/>
          <w:color w:val="000000"/>
          <w:sz w:val="14"/>
        </w:rPr>
        <w:t xml:space="preserve"> </w:t>
      </w:r>
      <w:r>
        <w:rPr>
          <w:rFonts w:ascii="Cambria" w:eastAsia="Cambria" w:hAnsi="Cambria"/>
          <w:color w:val="000000"/>
        </w:rPr>
        <w:t>so a larger study would be necessary to truly assess the relative magnitude of this parameter for the two formulations.</w:t>
      </w:r>
    </w:p>
    <w:p w14:paraId="3B1213A5" w14:textId="77777777" w:rsidR="00EF76A4" w:rsidRDefault="00EF76A4" w:rsidP="002310E4">
      <w:pPr>
        <w:spacing w:before="1" w:line="297" w:lineRule="exact"/>
        <w:textAlignment w:val="baseline"/>
        <w:rPr>
          <w:rFonts w:ascii="Cambria" w:eastAsia="Cambria" w:hAnsi="Cambria"/>
          <w:color w:val="000000"/>
        </w:rPr>
      </w:pPr>
    </w:p>
    <w:p w14:paraId="72879491" w14:textId="77777777" w:rsidR="00EF76A4" w:rsidRDefault="00EF76A4" w:rsidP="0068062D">
      <w:pPr>
        <w:spacing w:line="234" w:lineRule="exact"/>
        <w:textAlignment w:val="baseline"/>
        <w:rPr>
          <w:rFonts w:ascii="Cambria" w:eastAsia="Cambria" w:hAnsi="Cambria"/>
          <w:b/>
          <w:color w:val="000000"/>
        </w:rPr>
      </w:pPr>
      <w:r w:rsidRPr="004111E1">
        <w:rPr>
          <w:rFonts w:ascii="Cambria" w:eastAsia="Cambria" w:hAnsi="Cambria"/>
          <w:b/>
          <w:color w:val="000000"/>
        </w:rPr>
        <w:t xml:space="preserve">Comparability of OVALEAP with </w:t>
      </w:r>
      <w:proofErr w:type="spellStart"/>
      <w:r w:rsidRPr="004111E1">
        <w:rPr>
          <w:rFonts w:ascii="Cambria" w:eastAsia="Cambria" w:hAnsi="Cambria"/>
          <w:b/>
          <w:color w:val="000000"/>
        </w:rPr>
        <w:t>Gonal</w:t>
      </w:r>
      <w:proofErr w:type="spellEnd"/>
      <w:r w:rsidRPr="004111E1">
        <w:rPr>
          <w:rFonts w:ascii="Cambria" w:eastAsia="Cambria" w:hAnsi="Cambria"/>
          <w:b/>
          <w:color w:val="000000"/>
        </w:rPr>
        <w:t>-f</w:t>
      </w:r>
    </w:p>
    <w:p w14:paraId="3F887F47" w14:textId="7701FC42" w:rsidR="00EF76A4" w:rsidRDefault="002E7B5E" w:rsidP="002310E4">
      <w:pPr>
        <w:spacing w:before="1" w:line="297" w:lineRule="exact"/>
        <w:textAlignment w:val="baseline"/>
        <w:rPr>
          <w:rFonts w:ascii="Cambria" w:eastAsia="Cambria" w:hAnsi="Cambria"/>
          <w:color w:val="000000"/>
        </w:rPr>
      </w:pPr>
      <w:r>
        <w:rPr>
          <w:rFonts w:ascii="Cambria" w:eastAsia="Cambria" w:hAnsi="Cambria"/>
          <w:color w:val="000000"/>
        </w:rPr>
        <w:t xml:space="preserve">Equivalent pharmacokinetic (PK) profiles of OVALEAP and </w:t>
      </w:r>
      <w:proofErr w:type="spellStart"/>
      <w:r>
        <w:rPr>
          <w:rFonts w:ascii="Cambria" w:eastAsia="Cambria" w:hAnsi="Cambria"/>
          <w:color w:val="000000"/>
        </w:rPr>
        <w:t>Gonal</w:t>
      </w:r>
      <w:proofErr w:type="spellEnd"/>
      <w:r>
        <w:rPr>
          <w:rFonts w:ascii="Cambria" w:eastAsia="Cambria" w:hAnsi="Cambria"/>
          <w:color w:val="000000"/>
        </w:rPr>
        <w:t xml:space="preserve">-f have been demonstrated in a </w:t>
      </w:r>
      <w:proofErr w:type="spellStart"/>
      <w:r>
        <w:rPr>
          <w:rFonts w:ascii="Cambria" w:eastAsia="Cambria" w:hAnsi="Cambria"/>
          <w:color w:val="000000"/>
        </w:rPr>
        <w:t>randomised</w:t>
      </w:r>
      <w:proofErr w:type="spellEnd"/>
      <w:r>
        <w:rPr>
          <w:rFonts w:ascii="Cambria" w:eastAsia="Cambria" w:hAnsi="Cambria"/>
          <w:color w:val="000000"/>
        </w:rPr>
        <w:t>, open label, two-way cross-ove</w:t>
      </w:r>
      <w:r w:rsidR="00F43A0A">
        <w:rPr>
          <w:rFonts w:ascii="Cambria" w:eastAsia="Cambria" w:hAnsi="Cambria"/>
          <w:color w:val="000000"/>
        </w:rPr>
        <w:t>r</w:t>
      </w:r>
      <w:r>
        <w:rPr>
          <w:rFonts w:ascii="Cambria" w:eastAsia="Cambria" w:hAnsi="Cambria"/>
          <w:color w:val="000000"/>
        </w:rPr>
        <w:t xml:space="preserve"> phase I study</w:t>
      </w:r>
      <w:r w:rsidR="00F43A0A">
        <w:rPr>
          <w:rFonts w:ascii="Cambria" w:eastAsia="Cambria" w:hAnsi="Cambria"/>
          <w:color w:val="000000"/>
        </w:rPr>
        <w:t xml:space="preserve"> in 36 healthy, down-regulated </w:t>
      </w:r>
      <w:r w:rsidR="00B55452">
        <w:rPr>
          <w:rFonts w:ascii="Cambria" w:eastAsia="Cambria" w:hAnsi="Cambria"/>
          <w:color w:val="000000"/>
        </w:rPr>
        <w:t xml:space="preserve">(suppression of endogenous pituitary gonadotrophin release with a gonadotrophin-releasing hormone (GnRH) agonist prior to stimulation with either </w:t>
      </w:r>
      <w:proofErr w:type="spellStart"/>
      <w:r w:rsidR="00B55452">
        <w:rPr>
          <w:rFonts w:ascii="Cambria" w:eastAsia="Cambria" w:hAnsi="Cambria"/>
          <w:color w:val="000000"/>
        </w:rPr>
        <w:t>Gonal</w:t>
      </w:r>
      <w:proofErr w:type="spellEnd"/>
      <w:r w:rsidR="00B55452">
        <w:rPr>
          <w:rFonts w:ascii="Cambria" w:eastAsia="Cambria" w:hAnsi="Cambria"/>
          <w:color w:val="000000"/>
        </w:rPr>
        <w:t xml:space="preserve">-f or OVALEAP) </w:t>
      </w:r>
      <w:r w:rsidR="00F43A0A">
        <w:rPr>
          <w:rFonts w:ascii="Cambria" w:eastAsia="Cambria" w:hAnsi="Cambria"/>
          <w:color w:val="000000"/>
        </w:rPr>
        <w:t xml:space="preserve">women.  The </w:t>
      </w:r>
      <w:r w:rsidR="0085475A">
        <w:rPr>
          <w:rFonts w:ascii="Cambria" w:eastAsia="Cambria" w:hAnsi="Cambria"/>
          <w:color w:val="000000"/>
        </w:rPr>
        <w:t xml:space="preserve">results of comparative statistical evaluation of the </w:t>
      </w:r>
      <w:r w:rsidR="00F43A0A">
        <w:rPr>
          <w:rFonts w:ascii="Cambria" w:eastAsia="Cambria" w:hAnsi="Cambria"/>
          <w:color w:val="000000"/>
        </w:rPr>
        <w:t>pharmacokinetic parameters are summarized in Table 4.</w:t>
      </w:r>
    </w:p>
    <w:p w14:paraId="1651421E" w14:textId="77777777" w:rsidR="00FD3552" w:rsidRDefault="00FD3552" w:rsidP="002310E4">
      <w:pPr>
        <w:spacing w:before="1" w:line="297" w:lineRule="exact"/>
        <w:textAlignment w:val="baseline"/>
        <w:rPr>
          <w:rFonts w:ascii="Cambria" w:eastAsia="Cambria" w:hAnsi="Cambria"/>
          <w:color w:val="000000"/>
        </w:rPr>
      </w:pPr>
    </w:p>
    <w:p w14:paraId="5368CE96" w14:textId="6A38CA70" w:rsidR="0085475A" w:rsidRPr="00A83015" w:rsidRDefault="00F43A0A" w:rsidP="00A83015">
      <w:pPr>
        <w:spacing w:before="240" w:after="240"/>
        <w:rPr>
          <w:b/>
        </w:rPr>
      </w:pPr>
      <w:bookmarkStart w:id="2" w:name="_Hlk65843574"/>
      <w:r w:rsidRPr="00A83015">
        <w:rPr>
          <w:b/>
        </w:rPr>
        <w:t xml:space="preserve">Table 4 </w:t>
      </w:r>
      <w:r w:rsidR="0085475A" w:rsidRPr="00A83015">
        <w:rPr>
          <w:b/>
        </w:rPr>
        <w:t>Comparative statistical evaluation:</w:t>
      </w:r>
      <w:r w:rsidR="00740B5C" w:rsidRPr="00A83015">
        <w:rPr>
          <w:b/>
        </w:rPr>
        <w:t xml:space="preserve"> Pharmacokinetic parameters of FSH (pk population and</w:t>
      </w:r>
      <w:r w:rsidR="0085475A" w:rsidRPr="00A83015">
        <w:rPr>
          <w:b/>
        </w:rPr>
        <w:t xml:space="preserve"> ratios with 90% confidence intervals</w:t>
      </w:r>
    </w:p>
    <w:tbl>
      <w:tblPr>
        <w:tblStyle w:val="TableGridLight"/>
        <w:tblW w:w="0" w:type="auto"/>
        <w:tblLook w:val="04A0" w:firstRow="1" w:lastRow="0" w:firstColumn="1" w:lastColumn="0" w:noHBand="0" w:noVBand="1"/>
      </w:tblPr>
      <w:tblGrid>
        <w:gridCol w:w="1300"/>
        <w:gridCol w:w="1247"/>
        <w:gridCol w:w="1984"/>
        <w:gridCol w:w="1843"/>
        <w:gridCol w:w="2268"/>
      </w:tblGrid>
      <w:tr w:rsidR="00740B5C" w14:paraId="27DC26F1" w14:textId="77777777" w:rsidTr="00A83015">
        <w:trPr>
          <w:tblHeader/>
        </w:trPr>
        <w:tc>
          <w:tcPr>
            <w:tcW w:w="1300" w:type="dxa"/>
          </w:tcPr>
          <w:p w14:paraId="52C4C36B" w14:textId="77777777" w:rsidR="00740B5C" w:rsidRPr="00A83015" w:rsidRDefault="00740B5C" w:rsidP="00A83015">
            <w:pPr>
              <w:rPr>
                <w:b/>
              </w:rPr>
            </w:pPr>
            <w:r w:rsidRPr="00A83015">
              <w:rPr>
                <w:b/>
              </w:rPr>
              <w:t>Parameter</w:t>
            </w:r>
          </w:p>
        </w:tc>
        <w:tc>
          <w:tcPr>
            <w:tcW w:w="1247" w:type="dxa"/>
          </w:tcPr>
          <w:p w14:paraId="6189C985" w14:textId="391722AF" w:rsidR="00740B5C" w:rsidRPr="00A83015" w:rsidRDefault="00740B5C" w:rsidP="00A83015">
            <w:pPr>
              <w:rPr>
                <w:b/>
              </w:rPr>
            </w:pPr>
            <w:r w:rsidRPr="00A83015">
              <w:rPr>
                <w:b/>
              </w:rPr>
              <w:t>Units</w:t>
            </w:r>
          </w:p>
        </w:tc>
        <w:tc>
          <w:tcPr>
            <w:tcW w:w="1984" w:type="dxa"/>
          </w:tcPr>
          <w:p w14:paraId="037C54BB" w14:textId="33BEAA71" w:rsidR="00740B5C" w:rsidRPr="00A83015" w:rsidRDefault="00740B5C" w:rsidP="00A83015">
            <w:pPr>
              <w:rPr>
                <w:b/>
              </w:rPr>
            </w:pPr>
            <w:proofErr w:type="spellStart"/>
            <w:r w:rsidRPr="00A83015">
              <w:rPr>
                <w:b/>
              </w:rPr>
              <w:t>Ovaleap</w:t>
            </w:r>
            <w:proofErr w:type="spellEnd"/>
          </w:p>
        </w:tc>
        <w:tc>
          <w:tcPr>
            <w:tcW w:w="1843" w:type="dxa"/>
          </w:tcPr>
          <w:p w14:paraId="071D5D8A" w14:textId="7DA8877C" w:rsidR="00740B5C" w:rsidRPr="00A83015" w:rsidRDefault="00740B5C" w:rsidP="00A83015">
            <w:pPr>
              <w:rPr>
                <w:b/>
              </w:rPr>
            </w:pPr>
            <w:proofErr w:type="spellStart"/>
            <w:r w:rsidRPr="00A83015">
              <w:rPr>
                <w:b/>
                <w:bCs/>
              </w:rPr>
              <w:t>Gonal</w:t>
            </w:r>
            <w:proofErr w:type="spellEnd"/>
            <w:r w:rsidRPr="00A83015">
              <w:rPr>
                <w:b/>
                <w:bCs/>
              </w:rPr>
              <w:t>-f</w:t>
            </w:r>
            <w:r w:rsidR="00D764D9" w:rsidRPr="00A83015">
              <w:rPr>
                <w:b/>
                <w:bCs/>
                <w:vertAlign w:val="superscript"/>
              </w:rPr>
              <w:t xml:space="preserve">® </w:t>
            </w:r>
          </w:p>
        </w:tc>
        <w:tc>
          <w:tcPr>
            <w:tcW w:w="2268" w:type="dxa"/>
          </w:tcPr>
          <w:p w14:paraId="19E601B4" w14:textId="75FBF757" w:rsidR="00740B5C" w:rsidRPr="00A83015" w:rsidRDefault="00740B5C" w:rsidP="00A83015">
            <w:pPr>
              <w:rPr>
                <w:b/>
              </w:rPr>
            </w:pPr>
            <w:r w:rsidRPr="00A83015">
              <w:rPr>
                <w:b/>
              </w:rPr>
              <w:t>Ratio with 90% confidence intervals OVALEAP/</w:t>
            </w:r>
            <w:proofErr w:type="spellStart"/>
            <w:r w:rsidRPr="00A83015">
              <w:rPr>
                <w:b/>
              </w:rPr>
              <w:t>Gonal</w:t>
            </w:r>
            <w:proofErr w:type="spellEnd"/>
            <w:r w:rsidRPr="00A83015">
              <w:rPr>
                <w:b/>
              </w:rPr>
              <w:t>-f</w:t>
            </w:r>
            <w:r w:rsidRPr="00A83015">
              <w:rPr>
                <w:b/>
                <w:vertAlign w:val="superscript"/>
              </w:rPr>
              <w:t>®</w:t>
            </w:r>
            <w:r w:rsidRPr="00A83015" w:rsidDel="00324195">
              <w:rPr>
                <w:b/>
              </w:rPr>
              <w:t xml:space="preserve"> </w:t>
            </w:r>
          </w:p>
        </w:tc>
      </w:tr>
      <w:tr w:rsidR="00740B5C" w14:paraId="6C1D9ADA" w14:textId="77777777" w:rsidTr="00A83015">
        <w:tc>
          <w:tcPr>
            <w:tcW w:w="1300" w:type="dxa"/>
          </w:tcPr>
          <w:p w14:paraId="43CEA924" w14:textId="77777777" w:rsidR="00740B5C" w:rsidRDefault="00740B5C" w:rsidP="00A83015">
            <w:proofErr w:type="spellStart"/>
            <w:r>
              <w:t>C</w:t>
            </w:r>
            <w:r w:rsidRPr="00DE1FF4">
              <w:rPr>
                <w:vertAlign w:val="subscript"/>
              </w:rPr>
              <w:t>max</w:t>
            </w:r>
            <w:proofErr w:type="spellEnd"/>
          </w:p>
        </w:tc>
        <w:tc>
          <w:tcPr>
            <w:tcW w:w="1247" w:type="dxa"/>
          </w:tcPr>
          <w:p w14:paraId="6A3BAFC1" w14:textId="29CFC454" w:rsidR="00FE721D" w:rsidRDefault="00740B5C" w:rsidP="00A83015">
            <w:r>
              <w:t>IU/L</w:t>
            </w:r>
          </w:p>
        </w:tc>
        <w:tc>
          <w:tcPr>
            <w:tcW w:w="1984" w:type="dxa"/>
          </w:tcPr>
          <w:p w14:paraId="69EE6909" w14:textId="77777777" w:rsidR="005F0C9D" w:rsidRDefault="00740B5C" w:rsidP="00A83015">
            <w:r w:rsidRPr="00740B5C">
              <w:t>9.18 (2.42)</w:t>
            </w:r>
            <w:r w:rsidR="00FE721D">
              <w:t xml:space="preserve"> </w:t>
            </w:r>
          </w:p>
          <w:p w14:paraId="10BBCF28" w14:textId="61EA05D3" w:rsidR="00FE721D" w:rsidRDefault="00FE721D" w:rsidP="00A83015">
            <w:r>
              <w:t>(mean SD)</w:t>
            </w:r>
          </w:p>
          <w:p w14:paraId="27DE6206" w14:textId="6F8E74B9" w:rsidR="00740B5C" w:rsidRPr="00740B5C" w:rsidRDefault="00740B5C" w:rsidP="00A83015">
            <w:r w:rsidRPr="00740B5C">
              <w:t>min – max</w:t>
            </w:r>
          </w:p>
          <w:p w14:paraId="39771A1C" w14:textId="4A22F271" w:rsidR="00740B5C" w:rsidRPr="00740B5C" w:rsidRDefault="00740B5C" w:rsidP="00A83015">
            <w:r w:rsidRPr="00740B5C">
              <w:t>3.42 – 13.99</w:t>
            </w:r>
          </w:p>
        </w:tc>
        <w:tc>
          <w:tcPr>
            <w:tcW w:w="1843" w:type="dxa"/>
          </w:tcPr>
          <w:p w14:paraId="727CE749" w14:textId="325C5DD1" w:rsidR="00740B5C" w:rsidRDefault="00740B5C" w:rsidP="00A83015">
            <w:r w:rsidRPr="00740B5C">
              <w:t>9.04 (2.</w:t>
            </w:r>
            <w:r w:rsidR="00FE721D" w:rsidRPr="00740B5C">
              <w:t>4</w:t>
            </w:r>
            <w:r w:rsidR="00FE721D">
              <w:t>9</w:t>
            </w:r>
            <w:r w:rsidRPr="00740B5C">
              <w:t>)</w:t>
            </w:r>
          </w:p>
          <w:p w14:paraId="6EA47096" w14:textId="77777777" w:rsidR="005F0C9D" w:rsidRPr="00740B5C" w:rsidRDefault="005F0C9D" w:rsidP="00A83015">
            <w:pPr>
              <w:rPr>
                <w:lang w:val="en-AU"/>
              </w:rPr>
            </w:pPr>
            <w:r>
              <w:t>(mean SD)</w:t>
            </w:r>
          </w:p>
          <w:p w14:paraId="7EBFA966" w14:textId="2BA3636A" w:rsidR="00740B5C" w:rsidRPr="002F5BCA" w:rsidRDefault="00740B5C" w:rsidP="00A83015">
            <w:r w:rsidRPr="002F5BCA">
              <w:t>min-max</w:t>
            </w:r>
          </w:p>
          <w:p w14:paraId="57A447F7" w14:textId="3D1984AE" w:rsidR="00740B5C" w:rsidRPr="00D764D9" w:rsidRDefault="00740B5C" w:rsidP="00A83015">
            <w:r w:rsidRPr="00D764D9">
              <w:t>4.42-14.44</w:t>
            </w:r>
          </w:p>
        </w:tc>
        <w:tc>
          <w:tcPr>
            <w:tcW w:w="2268" w:type="dxa"/>
          </w:tcPr>
          <w:p w14:paraId="74492C9D" w14:textId="77777777" w:rsidR="00D764D9" w:rsidRDefault="00740B5C" w:rsidP="00A83015">
            <w:r>
              <w:t xml:space="preserve">1.017 </w:t>
            </w:r>
          </w:p>
          <w:p w14:paraId="2931873B" w14:textId="03873000" w:rsidR="00740B5C" w:rsidRDefault="00740B5C" w:rsidP="00A83015">
            <w:r>
              <w:t>(0.958,1.080)</w:t>
            </w:r>
          </w:p>
        </w:tc>
      </w:tr>
      <w:tr w:rsidR="00740B5C" w14:paraId="792AF571" w14:textId="77777777" w:rsidTr="00A83015">
        <w:tc>
          <w:tcPr>
            <w:tcW w:w="1300" w:type="dxa"/>
          </w:tcPr>
          <w:p w14:paraId="64BA9299" w14:textId="619B6884" w:rsidR="00740B5C" w:rsidRDefault="00740B5C" w:rsidP="00A83015">
            <w:r>
              <w:t xml:space="preserve">AUC </w:t>
            </w:r>
            <w:r w:rsidRPr="00DE1FF4">
              <w:rPr>
                <w:vertAlign w:val="subscript"/>
              </w:rPr>
              <w:t>0-</w:t>
            </w:r>
            <w:r>
              <w:rPr>
                <w:vertAlign w:val="subscript"/>
              </w:rPr>
              <w:t>t</w:t>
            </w:r>
          </w:p>
        </w:tc>
        <w:tc>
          <w:tcPr>
            <w:tcW w:w="1247" w:type="dxa"/>
          </w:tcPr>
          <w:p w14:paraId="6496DE88" w14:textId="31D0EA04" w:rsidR="00FE721D" w:rsidRDefault="00740B5C" w:rsidP="00A83015">
            <w:r>
              <w:t>IU*h/L</w:t>
            </w:r>
          </w:p>
        </w:tc>
        <w:tc>
          <w:tcPr>
            <w:tcW w:w="1984" w:type="dxa"/>
          </w:tcPr>
          <w:p w14:paraId="0EA0F6FE" w14:textId="104FD218" w:rsidR="00740B5C" w:rsidRDefault="00740B5C" w:rsidP="00A83015">
            <w:r w:rsidRPr="00740B5C">
              <w:rPr>
                <w:sz w:val="20"/>
                <w:szCs w:val="20"/>
                <w:lang w:val="en-AU"/>
              </w:rPr>
              <w:t xml:space="preserve"> </w:t>
            </w:r>
            <w:r w:rsidRPr="00740B5C">
              <w:rPr>
                <w:lang w:val="en-AU"/>
              </w:rPr>
              <w:t>632.0 (167.1)</w:t>
            </w:r>
            <w:r w:rsidR="00FE721D">
              <w:t xml:space="preserve"> (mean SD)</w:t>
            </w:r>
          </w:p>
          <w:p w14:paraId="39BFB8AB" w14:textId="04460F3A" w:rsidR="00740B5C" w:rsidRPr="00740B5C" w:rsidRDefault="00740B5C" w:rsidP="00A83015">
            <w:pPr>
              <w:rPr>
                <w:lang w:val="en-AU"/>
              </w:rPr>
            </w:pPr>
            <w:r w:rsidRPr="00740B5C">
              <w:rPr>
                <w:lang w:val="en-AU"/>
              </w:rPr>
              <w:t>min – max</w:t>
            </w:r>
          </w:p>
          <w:p w14:paraId="66921989" w14:textId="5FA47586" w:rsidR="00740B5C" w:rsidRPr="00740B5C" w:rsidRDefault="00740B5C" w:rsidP="00A83015">
            <w:r w:rsidRPr="00740B5C">
              <w:t>175-902</w:t>
            </w:r>
          </w:p>
        </w:tc>
        <w:tc>
          <w:tcPr>
            <w:tcW w:w="1843" w:type="dxa"/>
          </w:tcPr>
          <w:p w14:paraId="58AFF15C" w14:textId="7AED03F1" w:rsidR="00740B5C" w:rsidRDefault="00740B5C" w:rsidP="00A83015">
            <w:pPr>
              <w:rPr>
                <w:lang w:val="en-AU"/>
              </w:rPr>
            </w:pPr>
            <w:r w:rsidRPr="00740B5C">
              <w:rPr>
                <w:lang w:val="en-AU"/>
              </w:rPr>
              <w:t>619.2 (191.1)</w:t>
            </w:r>
          </w:p>
          <w:p w14:paraId="040D914F" w14:textId="77777777" w:rsidR="005F0C9D" w:rsidRPr="00740B5C" w:rsidRDefault="005F0C9D" w:rsidP="00A83015">
            <w:pPr>
              <w:rPr>
                <w:lang w:val="en-AU"/>
              </w:rPr>
            </w:pPr>
            <w:r>
              <w:t>(mean SD)</w:t>
            </w:r>
          </w:p>
          <w:p w14:paraId="64BC385B" w14:textId="61BE32CE" w:rsidR="00740B5C" w:rsidRPr="00740B5C" w:rsidRDefault="00740B5C" w:rsidP="00A83015">
            <w:pPr>
              <w:rPr>
                <w:lang w:val="en-AU"/>
              </w:rPr>
            </w:pPr>
            <w:r w:rsidRPr="00740B5C">
              <w:rPr>
                <w:lang w:val="en-AU"/>
              </w:rPr>
              <w:t>min – max</w:t>
            </w:r>
          </w:p>
          <w:p w14:paraId="1E5407F8" w14:textId="47A7AD11" w:rsidR="00740B5C" w:rsidRPr="00740B5C" w:rsidRDefault="00740B5C" w:rsidP="00A83015">
            <w:r w:rsidRPr="00740B5C">
              <w:t>261 -1131</w:t>
            </w:r>
          </w:p>
        </w:tc>
        <w:tc>
          <w:tcPr>
            <w:tcW w:w="2268" w:type="dxa"/>
          </w:tcPr>
          <w:p w14:paraId="057563ED" w14:textId="77777777" w:rsidR="00D764D9" w:rsidRDefault="00740B5C" w:rsidP="00A83015">
            <w:r>
              <w:t xml:space="preserve">1.028 </w:t>
            </w:r>
          </w:p>
          <w:p w14:paraId="0DEA8632" w14:textId="55ADBE96" w:rsidR="00740B5C" w:rsidRDefault="00740B5C" w:rsidP="00A83015">
            <w:r>
              <w:t>(0.931,1.134)</w:t>
            </w:r>
          </w:p>
        </w:tc>
      </w:tr>
      <w:tr w:rsidR="00740B5C" w14:paraId="27C94DED" w14:textId="77777777" w:rsidTr="00A83015">
        <w:tc>
          <w:tcPr>
            <w:tcW w:w="1300" w:type="dxa"/>
          </w:tcPr>
          <w:p w14:paraId="0016E29F" w14:textId="77777777" w:rsidR="00740B5C" w:rsidRDefault="00740B5C" w:rsidP="00A83015">
            <w:r>
              <w:t xml:space="preserve">t </w:t>
            </w:r>
            <w:r w:rsidRPr="00DE1FF4">
              <w:rPr>
                <w:vertAlign w:val="subscript"/>
              </w:rPr>
              <w:t>1/2</w:t>
            </w:r>
          </w:p>
        </w:tc>
        <w:tc>
          <w:tcPr>
            <w:tcW w:w="1247" w:type="dxa"/>
          </w:tcPr>
          <w:p w14:paraId="090096E7" w14:textId="77777777" w:rsidR="00740B5C" w:rsidRDefault="00740B5C" w:rsidP="00A83015">
            <w:r>
              <w:t>h</w:t>
            </w:r>
          </w:p>
        </w:tc>
        <w:tc>
          <w:tcPr>
            <w:tcW w:w="1984" w:type="dxa"/>
          </w:tcPr>
          <w:p w14:paraId="211F987C" w14:textId="23000055" w:rsidR="00740B5C" w:rsidRDefault="00740B5C" w:rsidP="00A83015">
            <w:pPr>
              <w:rPr>
                <w:lang w:val="en-AU"/>
              </w:rPr>
            </w:pPr>
            <w:r w:rsidRPr="00740B5C">
              <w:rPr>
                <w:lang w:val="en-AU"/>
              </w:rPr>
              <w:t>32.</w:t>
            </w:r>
            <w:r w:rsidR="00FE721D">
              <w:rPr>
                <w:lang w:val="en-AU"/>
              </w:rPr>
              <w:t>8</w:t>
            </w:r>
            <w:r w:rsidR="00FE721D" w:rsidRPr="00740B5C">
              <w:rPr>
                <w:lang w:val="en-AU"/>
              </w:rPr>
              <w:t xml:space="preserve"> </w:t>
            </w:r>
            <w:r w:rsidRPr="00740B5C">
              <w:rPr>
                <w:lang w:val="en-AU"/>
              </w:rPr>
              <w:t>(11.1)</w:t>
            </w:r>
          </w:p>
          <w:p w14:paraId="306F2732" w14:textId="77777777" w:rsidR="005F0C9D" w:rsidRPr="00740B5C" w:rsidRDefault="005F0C9D" w:rsidP="00A83015">
            <w:pPr>
              <w:rPr>
                <w:lang w:val="en-AU"/>
              </w:rPr>
            </w:pPr>
            <w:r>
              <w:t>(mean SD)</w:t>
            </w:r>
          </w:p>
          <w:p w14:paraId="3EA1D9EF" w14:textId="3328B975" w:rsidR="00740B5C" w:rsidRPr="00740B5C" w:rsidRDefault="00740B5C" w:rsidP="00A83015">
            <w:pPr>
              <w:rPr>
                <w:lang w:val="en-AU"/>
              </w:rPr>
            </w:pPr>
            <w:r w:rsidRPr="00740B5C">
              <w:rPr>
                <w:lang w:val="en-AU"/>
              </w:rPr>
              <w:t>min-max</w:t>
            </w:r>
          </w:p>
          <w:p w14:paraId="69EB2783" w14:textId="3570DF4D" w:rsidR="00740B5C" w:rsidRPr="00740B5C" w:rsidRDefault="00740B5C" w:rsidP="00A83015">
            <w:r w:rsidRPr="00740B5C">
              <w:rPr>
                <w:lang w:val="en-AU"/>
              </w:rPr>
              <w:t>9.4 - 51.5</w:t>
            </w:r>
          </w:p>
        </w:tc>
        <w:tc>
          <w:tcPr>
            <w:tcW w:w="1843" w:type="dxa"/>
          </w:tcPr>
          <w:p w14:paraId="26B97618" w14:textId="39F9ADE5" w:rsidR="00740B5C" w:rsidRDefault="00740B5C" w:rsidP="00A83015">
            <w:pPr>
              <w:rPr>
                <w:lang w:val="en-AU"/>
              </w:rPr>
            </w:pPr>
            <w:r w:rsidRPr="00740B5C">
              <w:rPr>
                <w:lang w:val="en-AU"/>
              </w:rPr>
              <w:t>33.7 (10.2)</w:t>
            </w:r>
          </w:p>
          <w:p w14:paraId="333F65EF" w14:textId="77777777" w:rsidR="005F0C9D" w:rsidRPr="00740B5C" w:rsidRDefault="005F0C9D" w:rsidP="00A83015">
            <w:pPr>
              <w:rPr>
                <w:lang w:val="en-AU"/>
              </w:rPr>
            </w:pPr>
            <w:r>
              <w:t>(mean SD)</w:t>
            </w:r>
          </w:p>
          <w:p w14:paraId="2D89F244" w14:textId="3886106E" w:rsidR="00740B5C" w:rsidRPr="00740B5C" w:rsidRDefault="00740B5C" w:rsidP="00A83015">
            <w:pPr>
              <w:rPr>
                <w:lang w:val="en-AU"/>
              </w:rPr>
            </w:pPr>
            <w:r w:rsidRPr="00740B5C">
              <w:rPr>
                <w:lang w:val="en-AU"/>
              </w:rPr>
              <w:t>min-max</w:t>
            </w:r>
          </w:p>
          <w:p w14:paraId="53663B7D" w14:textId="670CC752" w:rsidR="00740B5C" w:rsidRPr="00740B5C" w:rsidRDefault="00740B5C" w:rsidP="00A83015">
            <w:r w:rsidRPr="00740B5C">
              <w:rPr>
                <w:lang w:val="en-AU"/>
              </w:rPr>
              <w:t>10.5 - 48.</w:t>
            </w:r>
            <w:r w:rsidR="00FE721D">
              <w:rPr>
                <w:lang w:val="en-AU"/>
              </w:rPr>
              <w:t>4</w:t>
            </w:r>
          </w:p>
        </w:tc>
        <w:tc>
          <w:tcPr>
            <w:tcW w:w="2268" w:type="dxa"/>
          </w:tcPr>
          <w:p w14:paraId="7D57AE5E" w14:textId="00C4D8A5" w:rsidR="00740B5C" w:rsidRDefault="00740B5C" w:rsidP="00A83015"/>
        </w:tc>
      </w:tr>
      <w:tr w:rsidR="00740B5C" w14:paraId="0CD96A94" w14:textId="77777777" w:rsidTr="00A83015">
        <w:tc>
          <w:tcPr>
            <w:tcW w:w="1300" w:type="dxa"/>
          </w:tcPr>
          <w:p w14:paraId="70BF47A6" w14:textId="77777777" w:rsidR="00740B5C" w:rsidRDefault="00740B5C" w:rsidP="00A83015">
            <w:r>
              <w:t xml:space="preserve">t </w:t>
            </w:r>
            <w:r w:rsidRPr="00DE1FF4">
              <w:rPr>
                <w:vertAlign w:val="subscript"/>
              </w:rPr>
              <w:t>max*</w:t>
            </w:r>
          </w:p>
        </w:tc>
        <w:tc>
          <w:tcPr>
            <w:tcW w:w="1247" w:type="dxa"/>
          </w:tcPr>
          <w:p w14:paraId="752CA13D" w14:textId="77777777" w:rsidR="00740B5C" w:rsidRDefault="00740B5C" w:rsidP="00A83015">
            <w:r>
              <w:t>h</w:t>
            </w:r>
          </w:p>
        </w:tc>
        <w:tc>
          <w:tcPr>
            <w:tcW w:w="1984" w:type="dxa"/>
          </w:tcPr>
          <w:p w14:paraId="0E02BF04" w14:textId="1C7E84D2" w:rsidR="00740B5C" w:rsidRDefault="00740B5C" w:rsidP="00A83015">
            <w:pPr>
              <w:rPr>
                <w:lang w:val="en-AU"/>
              </w:rPr>
            </w:pPr>
            <w:r w:rsidRPr="00740B5C">
              <w:rPr>
                <w:lang w:val="en-AU"/>
              </w:rPr>
              <w:t>19.8 (8.</w:t>
            </w:r>
            <w:r w:rsidR="00FE721D">
              <w:rPr>
                <w:lang w:val="en-AU"/>
              </w:rPr>
              <w:t>4</w:t>
            </w:r>
            <w:r w:rsidRPr="00740B5C">
              <w:rPr>
                <w:lang w:val="en-AU"/>
              </w:rPr>
              <w:t>)</w:t>
            </w:r>
          </w:p>
          <w:p w14:paraId="56E90895" w14:textId="44FB2F72" w:rsidR="00FE721D" w:rsidRPr="00740B5C" w:rsidRDefault="00FE721D" w:rsidP="00A83015">
            <w:pPr>
              <w:rPr>
                <w:lang w:val="en-AU"/>
              </w:rPr>
            </w:pPr>
            <w:r>
              <w:t>(mean SD)</w:t>
            </w:r>
          </w:p>
          <w:p w14:paraId="4572FCB3" w14:textId="77777777" w:rsidR="00740B5C" w:rsidRDefault="00740B5C" w:rsidP="00A83015">
            <w:pPr>
              <w:rPr>
                <w:lang w:val="en-AU"/>
              </w:rPr>
            </w:pPr>
            <w:r w:rsidRPr="00740B5C">
              <w:rPr>
                <w:lang w:val="en-AU"/>
              </w:rPr>
              <w:t>min-max</w:t>
            </w:r>
          </w:p>
          <w:p w14:paraId="4CDB44BD" w14:textId="67552AA1" w:rsidR="002F5BCA" w:rsidRPr="00740B5C" w:rsidRDefault="002F5BCA" w:rsidP="00A83015">
            <w:r w:rsidRPr="002F5BCA">
              <w:rPr>
                <w:lang w:val="en-AU"/>
              </w:rPr>
              <w:t>10.0 - 48.0</w:t>
            </w:r>
          </w:p>
        </w:tc>
        <w:tc>
          <w:tcPr>
            <w:tcW w:w="1843" w:type="dxa"/>
          </w:tcPr>
          <w:p w14:paraId="334DD040" w14:textId="4F6AD562" w:rsidR="00740B5C" w:rsidRDefault="00740B5C" w:rsidP="00A83015">
            <w:pPr>
              <w:rPr>
                <w:lang w:val="en-AU"/>
              </w:rPr>
            </w:pPr>
            <w:r w:rsidRPr="00740B5C">
              <w:rPr>
                <w:lang w:val="en-AU"/>
              </w:rPr>
              <w:t>19.7 (7.9)</w:t>
            </w:r>
          </w:p>
          <w:p w14:paraId="0FBD876C" w14:textId="7500EE75" w:rsidR="00FE721D" w:rsidRPr="00740B5C" w:rsidRDefault="00FE721D" w:rsidP="00A83015">
            <w:pPr>
              <w:rPr>
                <w:lang w:val="en-AU"/>
              </w:rPr>
            </w:pPr>
            <w:r>
              <w:t>(mean SD)</w:t>
            </w:r>
          </w:p>
          <w:p w14:paraId="43A58189" w14:textId="5088E56B" w:rsidR="00740B5C" w:rsidRPr="00740B5C" w:rsidRDefault="00FE721D" w:rsidP="00A83015">
            <w:pPr>
              <w:rPr>
                <w:lang w:val="en-AU"/>
              </w:rPr>
            </w:pPr>
            <w:r>
              <w:rPr>
                <w:lang w:val="en-AU"/>
              </w:rPr>
              <w:t>m</w:t>
            </w:r>
            <w:r w:rsidRPr="00740B5C">
              <w:rPr>
                <w:lang w:val="en-AU"/>
              </w:rPr>
              <w:t>in</w:t>
            </w:r>
            <w:r w:rsidR="00740B5C" w:rsidRPr="00740B5C">
              <w:rPr>
                <w:lang w:val="en-AU"/>
              </w:rPr>
              <w:t>-max</w:t>
            </w:r>
          </w:p>
          <w:p w14:paraId="3CCFAC94" w14:textId="7777D13A" w:rsidR="00740B5C" w:rsidRPr="00740B5C" w:rsidRDefault="00740B5C" w:rsidP="00A83015">
            <w:r w:rsidRPr="00740B5C">
              <w:rPr>
                <w:lang w:val="en-AU"/>
              </w:rPr>
              <w:t>10.0 - 36.0</w:t>
            </w:r>
          </w:p>
        </w:tc>
        <w:tc>
          <w:tcPr>
            <w:tcW w:w="2268" w:type="dxa"/>
          </w:tcPr>
          <w:p w14:paraId="12E8ED04" w14:textId="694B55EB" w:rsidR="00740B5C" w:rsidRDefault="00740B5C" w:rsidP="00A83015"/>
        </w:tc>
      </w:tr>
      <w:tr w:rsidR="00CB71E9" w14:paraId="1ED62AD4" w14:textId="77777777" w:rsidTr="00A83015">
        <w:tc>
          <w:tcPr>
            <w:tcW w:w="8642" w:type="dxa"/>
            <w:gridSpan w:val="5"/>
          </w:tcPr>
          <w:p w14:paraId="29853ED0" w14:textId="77777777" w:rsidR="00CB71E9" w:rsidRPr="00DE1FF4" w:rsidRDefault="00CB71E9" w:rsidP="00A83015">
            <w:pPr>
              <w:rPr>
                <w:sz w:val="18"/>
                <w:lang w:val="en-AU"/>
              </w:rPr>
            </w:pPr>
            <w:proofErr w:type="spellStart"/>
            <w:r w:rsidRPr="00DE1FF4">
              <w:rPr>
                <w:sz w:val="18"/>
                <w:lang w:val="en-AU"/>
              </w:rPr>
              <w:t>C</w:t>
            </w:r>
            <w:r w:rsidRPr="00DE1FF4">
              <w:rPr>
                <w:sz w:val="18"/>
                <w:vertAlign w:val="subscript"/>
                <w:lang w:val="en-AU"/>
              </w:rPr>
              <w:t>max</w:t>
            </w:r>
            <w:proofErr w:type="spellEnd"/>
            <w:r w:rsidRPr="00DE1FF4">
              <w:rPr>
                <w:sz w:val="18"/>
                <w:lang w:val="en-AU"/>
              </w:rPr>
              <w:t xml:space="preserve"> = maximum concentration</w:t>
            </w:r>
          </w:p>
          <w:p w14:paraId="77C76D5A" w14:textId="77777777" w:rsidR="00CB71E9" w:rsidRPr="00DE1FF4" w:rsidRDefault="00CB71E9" w:rsidP="00A83015">
            <w:pPr>
              <w:rPr>
                <w:sz w:val="18"/>
                <w:lang w:val="en-AU"/>
              </w:rPr>
            </w:pPr>
            <w:r w:rsidRPr="00DE1FF4">
              <w:rPr>
                <w:sz w:val="18"/>
                <w:lang w:val="en-AU"/>
              </w:rPr>
              <w:t>AUC</w:t>
            </w:r>
            <w:r w:rsidRPr="00DE1FF4">
              <w:rPr>
                <w:sz w:val="18"/>
                <w:vertAlign w:val="subscript"/>
                <w:lang w:val="en-AU"/>
              </w:rPr>
              <w:t xml:space="preserve">0-t </w:t>
            </w:r>
            <w:r w:rsidRPr="00DE1FF4">
              <w:rPr>
                <w:sz w:val="18"/>
                <w:lang w:val="en-AU"/>
              </w:rPr>
              <w:t>= area under the concentration-time curve from time zero to the time of last observed concentration</w:t>
            </w:r>
          </w:p>
          <w:p w14:paraId="38BB13F3" w14:textId="77777777" w:rsidR="00CB71E9" w:rsidRDefault="00CB71E9" w:rsidP="00A83015">
            <w:pPr>
              <w:rPr>
                <w:sz w:val="18"/>
                <w:lang w:val="en-AU"/>
              </w:rPr>
            </w:pPr>
            <w:r w:rsidRPr="00DE1FF4">
              <w:rPr>
                <w:sz w:val="18"/>
                <w:lang w:val="en-AU"/>
              </w:rPr>
              <w:t>t</w:t>
            </w:r>
            <w:r w:rsidRPr="00DE1FF4">
              <w:rPr>
                <w:sz w:val="18"/>
                <w:vertAlign w:val="subscript"/>
                <w:lang w:val="en-AU"/>
              </w:rPr>
              <w:t xml:space="preserve">1/2 </w:t>
            </w:r>
            <w:r w:rsidRPr="00DE1FF4">
              <w:rPr>
                <w:sz w:val="18"/>
                <w:lang w:val="en-AU"/>
              </w:rPr>
              <w:t xml:space="preserve">= apparent half-life of terminal elimination </w:t>
            </w:r>
          </w:p>
          <w:p w14:paraId="7BF92DA9" w14:textId="77777777" w:rsidR="00CB71E9" w:rsidRPr="00DE1FF4" w:rsidRDefault="00CB71E9" w:rsidP="00A83015">
            <w:pPr>
              <w:rPr>
                <w:sz w:val="18"/>
                <w:lang w:val="en-AU"/>
              </w:rPr>
            </w:pPr>
            <w:proofErr w:type="spellStart"/>
            <w:r w:rsidRPr="00DE1FF4">
              <w:rPr>
                <w:sz w:val="18"/>
                <w:lang w:val="en-AU"/>
              </w:rPr>
              <w:t>t</w:t>
            </w:r>
            <w:r w:rsidRPr="00DE1FF4">
              <w:rPr>
                <w:sz w:val="18"/>
                <w:vertAlign w:val="subscript"/>
                <w:lang w:val="en-AU"/>
              </w:rPr>
              <w:t>max</w:t>
            </w:r>
            <w:proofErr w:type="spellEnd"/>
            <w:r w:rsidRPr="00DE1FF4">
              <w:rPr>
                <w:sz w:val="18"/>
                <w:lang w:val="en-AU"/>
              </w:rPr>
              <w:t xml:space="preserve"> = time at which </w:t>
            </w:r>
            <w:proofErr w:type="spellStart"/>
            <w:r w:rsidRPr="00DE1FF4">
              <w:rPr>
                <w:sz w:val="18"/>
                <w:lang w:val="en-AU"/>
              </w:rPr>
              <w:t>Cmax</w:t>
            </w:r>
            <w:proofErr w:type="spellEnd"/>
            <w:r w:rsidRPr="00DE1FF4">
              <w:rPr>
                <w:sz w:val="18"/>
                <w:lang w:val="en-AU"/>
              </w:rPr>
              <w:t xml:space="preserve"> occurred</w:t>
            </w:r>
          </w:p>
          <w:p w14:paraId="08089DB7" w14:textId="77777777" w:rsidR="00CB71E9" w:rsidRPr="00DE1FF4" w:rsidRDefault="00CB71E9" w:rsidP="00A83015">
            <w:pPr>
              <w:rPr>
                <w:sz w:val="18"/>
                <w:lang w:val="en-AU"/>
              </w:rPr>
            </w:pPr>
            <w:r w:rsidRPr="00DE1FF4">
              <w:rPr>
                <w:sz w:val="18"/>
                <w:lang w:val="en-AU"/>
              </w:rPr>
              <w:t xml:space="preserve">Log-transformed evaluation (except for </w:t>
            </w:r>
            <w:proofErr w:type="spellStart"/>
            <w:r w:rsidRPr="00DE1FF4">
              <w:rPr>
                <w:sz w:val="18"/>
                <w:lang w:val="en-AU"/>
              </w:rPr>
              <w:t>tmax</w:t>
            </w:r>
            <w:proofErr w:type="spellEnd"/>
            <w:r w:rsidRPr="00DE1FF4">
              <w:rPr>
                <w:sz w:val="18"/>
                <w:lang w:val="en-AU"/>
              </w:rPr>
              <w:t>), results presented after back-transformation.</w:t>
            </w:r>
          </w:p>
          <w:p w14:paraId="4D972A14" w14:textId="77777777" w:rsidR="00CB71E9" w:rsidRPr="00DE1FF4" w:rsidRDefault="00CB71E9" w:rsidP="00A83015">
            <w:pPr>
              <w:rPr>
                <w:sz w:val="18"/>
                <w:lang w:val="en-AU"/>
              </w:rPr>
            </w:pPr>
            <w:r w:rsidRPr="00DE1FF4">
              <w:rPr>
                <w:sz w:val="18"/>
                <w:lang w:val="en-AU"/>
              </w:rPr>
              <w:t xml:space="preserve">Ratios derived from least squares geometric means, for </w:t>
            </w:r>
            <w:proofErr w:type="spellStart"/>
            <w:r w:rsidRPr="00DE1FF4">
              <w:rPr>
                <w:sz w:val="18"/>
                <w:lang w:val="en-AU"/>
              </w:rPr>
              <w:t>tmax</w:t>
            </w:r>
            <w:proofErr w:type="spellEnd"/>
            <w:r w:rsidRPr="00DE1FF4">
              <w:rPr>
                <w:sz w:val="18"/>
                <w:lang w:val="en-AU"/>
              </w:rPr>
              <w:t xml:space="preserve"> nonparametric estimate of difference. </w:t>
            </w:r>
          </w:p>
          <w:p w14:paraId="7FDB659D" w14:textId="3B362EBD" w:rsidR="00CB71E9" w:rsidRPr="00DE1FF4" w:rsidRDefault="00CB71E9" w:rsidP="00A83015">
            <w:pPr>
              <w:rPr>
                <w:sz w:val="18"/>
                <w:lang w:val="en-AU"/>
              </w:rPr>
            </w:pPr>
            <w:r w:rsidRPr="00DE1FF4">
              <w:rPr>
                <w:sz w:val="18"/>
                <w:lang w:val="en-AU"/>
              </w:rPr>
              <w:t>Individual parameter estimates of insufficient reliability were excluded from the analyses.</w:t>
            </w:r>
          </w:p>
        </w:tc>
      </w:tr>
    </w:tbl>
    <w:bookmarkEnd w:id="2"/>
    <w:p w14:paraId="257C3C59" w14:textId="485602D2" w:rsidR="002310E4" w:rsidRPr="002310E4" w:rsidRDefault="00EC3A89" w:rsidP="00EC3A89">
      <w:pPr>
        <w:pStyle w:val="Heading2"/>
        <w:numPr>
          <w:ilvl w:val="0"/>
          <w:numId w:val="0"/>
        </w:numPr>
        <w:ind w:left="720" w:hanging="720"/>
        <w:rPr>
          <w:rStyle w:val="Heading2Char"/>
          <w:b/>
        </w:rPr>
      </w:pPr>
      <w:r>
        <w:rPr>
          <w:rStyle w:val="Heading2Char"/>
          <w:b/>
        </w:rPr>
        <w:lastRenderedPageBreak/>
        <w:t>5.3</w:t>
      </w:r>
      <w:r>
        <w:rPr>
          <w:rStyle w:val="Heading2Char"/>
          <w:b/>
        </w:rPr>
        <w:tab/>
      </w:r>
      <w:r w:rsidR="00204F49" w:rsidRPr="002310E4">
        <w:rPr>
          <w:rStyle w:val="Heading2Char"/>
          <w:b/>
        </w:rPr>
        <w:t xml:space="preserve">PRECLINICAL SAFETY DATA </w:t>
      </w:r>
    </w:p>
    <w:p w14:paraId="2A23E578" w14:textId="77777777" w:rsidR="005B6B63" w:rsidRPr="002310E4" w:rsidRDefault="00204F49" w:rsidP="002310E4">
      <w:pPr>
        <w:tabs>
          <w:tab w:val="left" w:pos="576"/>
        </w:tabs>
        <w:spacing w:before="82" w:line="427" w:lineRule="exact"/>
        <w:ind w:left="216" w:hanging="216"/>
        <w:textAlignment w:val="baseline"/>
        <w:rPr>
          <w:rFonts w:ascii="Cambria" w:eastAsia="Cambria" w:hAnsi="Cambria"/>
          <w:b/>
          <w:color w:val="000000"/>
          <w:sz w:val="28"/>
        </w:rPr>
      </w:pPr>
      <w:r w:rsidRPr="002310E4">
        <w:rPr>
          <w:rFonts w:ascii="Cambria" w:eastAsia="Cambria" w:hAnsi="Cambria"/>
          <w:b/>
          <w:color w:val="000000"/>
        </w:rPr>
        <w:t>Genotoxicity</w:t>
      </w:r>
    </w:p>
    <w:p w14:paraId="3E26FCD8" w14:textId="77777777" w:rsidR="005B6B63" w:rsidRDefault="00204F49" w:rsidP="002310E4">
      <w:pPr>
        <w:spacing w:before="118" w:line="297" w:lineRule="exact"/>
        <w:textAlignment w:val="baseline"/>
        <w:rPr>
          <w:rFonts w:ascii="Cambria" w:eastAsia="Cambria" w:hAnsi="Cambria"/>
          <w:color w:val="000000"/>
        </w:rPr>
      </w:pPr>
      <w:proofErr w:type="spellStart"/>
      <w:r>
        <w:rPr>
          <w:rFonts w:ascii="Cambria" w:eastAsia="Cambria" w:hAnsi="Cambria"/>
          <w:color w:val="000000"/>
        </w:rPr>
        <w:t>Follitropin</w:t>
      </w:r>
      <w:proofErr w:type="spellEnd"/>
      <w:r>
        <w:rPr>
          <w:rFonts w:ascii="Cambria" w:eastAsia="Cambria" w:hAnsi="Cambria"/>
          <w:color w:val="000000"/>
        </w:rPr>
        <w:t xml:space="preserve"> alfa showed no genotoxic activity in a series of assays performed to evaluate its potential to cause gene mutations (</w:t>
      </w:r>
      <w:r>
        <w:rPr>
          <w:rFonts w:ascii="Cambria" w:eastAsia="Cambria" w:hAnsi="Cambria"/>
          <w:i/>
          <w:color w:val="000000"/>
        </w:rPr>
        <w:t>Salmonella typhimurium</w:t>
      </w:r>
      <w:r>
        <w:rPr>
          <w:rFonts w:ascii="Cambria" w:eastAsia="Cambria" w:hAnsi="Cambria"/>
          <w:color w:val="000000"/>
        </w:rPr>
        <w:t xml:space="preserve">, </w:t>
      </w:r>
      <w:r>
        <w:rPr>
          <w:rFonts w:ascii="Cambria" w:eastAsia="Cambria" w:hAnsi="Cambria"/>
          <w:i/>
          <w:color w:val="000000"/>
        </w:rPr>
        <w:t xml:space="preserve">Escherichia coli </w:t>
      </w:r>
      <w:r>
        <w:rPr>
          <w:rFonts w:ascii="Cambria" w:eastAsia="Cambria" w:hAnsi="Cambria"/>
          <w:color w:val="000000"/>
        </w:rPr>
        <w:t>and Chinese hamster lung cells) and chromosomal damage (human lymphocytes and mouse micronucleus test).</w:t>
      </w:r>
    </w:p>
    <w:p w14:paraId="78BEB28C" w14:textId="77777777" w:rsidR="005B6B63" w:rsidRPr="002310E4" w:rsidRDefault="00204F49" w:rsidP="002310E4">
      <w:pPr>
        <w:spacing w:before="265" w:line="239" w:lineRule="exact"/>
        <w:textAlignment w:val="baseline"/>
        <w:rPr>
          <w:rFonts w:ascii="Cambria" w:eastAsia="Cambria" w:hAnsi="Cambria"/>
          <w:b/>
          <w:color w:val="000000"/>
          <w:spacing w:val="7"/>
        </w:rPr>
      </w:pPr>
      <w:r w:rsidRPr="002310E4">
        <w:rPr>
          <w:rFonts w:ascii="Cambria" w:eastAsia="Cambria" w:hAnsi="Cambria"/>
          <w:b/>
          <w:color w:val="000000"/>
          <w:spacing w:val="7"/>
        </w:rPr>
        <w:t>Carcinogenicity</w:t>
      </w:r>
    </w:p>
    <w:p w14:paraId="2EBE68F6" w14:textId="00C7726E" w:rsidR="005B6B63" w:rsidRDefault="00204F49" w:rsidP="008C2637">
      <w:pPr>
        <w:spacing w:before="111" w:line="297" w:lineRule="exact"/>
        <w:textAlignment w:val="baseline"/>
      </w:pPr>
      <w:r>
        <w:rPr>
          <w:rFonts w:ascii="Cambria" w:eastAsia="Cambria" w:hAnsi="Cambria"/>
          <w:color w:val="000000"/>
        </w:rPr>
        <w:t xml:space="preserve">Long-term studies in animals have not been performed to evaluate the carcinogenic potential of </w:t>
      </w:r>
      <w:proofErr w:type="spellStart"/>
      <w:r>
        <w:rPr>
          <w:rFonts w:ascii="Cambria" w:eastAsia="Cambria" w:hAnsi="Cambria"/>
          <w:color w:val="000000"/>
        </w:rPr>
        <w:t>follitropin</w:t>
      </w:r>
      <w:proofErr w:type="spellEnd"/>
      <w:r>
        <w:rPr>
          <w:rFonts w:ascii="Cambria" w:eastAsia="Cambria" w:hAnsi="Cambria"/>
          <w:color w:val="000000"/>
        </w:rPr>
        <w:t xml:space="preserve"> alfa.</w:t>
      </w:r>
    </w:p>
    <w:p w14:paraId="59CD63A2" w14:textId="1AE49E1E" w:rsidR="002310E4" w:rsidRPr="002310E4" w:rsidRDefault="008C2637" w:rsidP="00CF171D">
      <w:pPr>
        <w:pStyle w:val="Heading1"/>
      </w:pPr>
      <w:r>
        <w:t>PHARMACEUTICAL PARTICULARS</w:t>
      </w:r>
    </w:p>
    <w:p w14:paraId="37741585" w14:textId="241C9922" w:rsidR="005B6B63" w:rsidRPr="002310E4" w:rsidRDefault="00204F49" w:rsidP="006B7F1B">
      <w:pPr>
        <w:pStyle w:val="Heading2"/>
        <w:widowControl w:val="0"/>
        <w:numPr>
          <w:ilvl w:val="1"/>
          <w:numId w:val="18"/>
        </w:numPr>
        <w:spacing w:before="120"/>
      </w:pPr>
      <w:r w:rsidRPr="002310E4">
        <w:t>LIST OF EXCIPIENTS</w:t>
      </w:r>
    </w:p>
    <w:p w14:paraId="7B6A56B8" w14:textId="7CA3726D" w:rsidR="00224D18" w:rsidRPr="00224D18" w:rsidRDefault="00EC3A89" w:rsidP="006B7F1B">
      <w:pPr>
        <w:widowControl w:val="0"/>
        <w:spacing w:before="117" w:line="297" w:lineRule="exact"/>
        <w:textAlignment w:val="baseline"/>
        <w:rPr>
          <w:rFonts w:ascii="Cambria" w:eastAsia="Cambria" w:hAnsi="Cambria"/>
          <w:color w:val="000000"/>
        </w:rPr>
      </w:pPr>
      <w:r>
        <w:rPr>
          <w:rFonts w:ascii="Cambria" w:eastAsia="Cambria" w:hAnsi="Cambria"/>
          <w:color w:val="000000"/>
        </w:rPr>
        <w:t>Monobasic sodium phosphate dihydrate,</w:t>
      </w:r>
      <w:r w:rsidR="00224D18">
        <w:rPr>
          <w:rFonts w:ascii="Cambria" w:eastAsia="Cambria" w:hAnsi="Cambria"/>
          <w:color w:val="000000"/>
        </w:rPr>
        <w:t xml:space="preserve"> s</w:t>
      </w:r>
      <w:r w:rsidR="00224D18" w:rsidRPr="00E02643">
        <w:rPr>
          <w:rFonts w:ascii="Cambria" w:eastAsia="Cambria" w:hAnsi="Cambria"/>
          <w:color w:val="000000"/>
        </w:rPr>
        <w:t>odium hydroxide (2 M) (for pH adjustment)</w:t>
      </w:r>
      <w:r w:rsidR="00224D18">
        <w:rPr>
          <w:rFonts w:ascii="Cambria" w:eastAsia="Cambria" w:hAnsi="Cambria"/>
          <w:color w:val="000000"/>
        </w:rPr>
        <w:t>, m</w:t>
      </w:r>
      <w:r w:rsidR="00224D18" w:rsidRPr="00E02643">
        <w:rPr>
          <w:rFonts w:ascii="Cambria" w:eastAsia="Cambria" w:hAnsi="Cambria"/>
          <w:color w:val="000000"/>
        </w:rPr>
        <w:t>annitol</w:t>
      </w:r>
      <w:r w:rsidR="00224D18">
        <w:rPr>
          <w:rFonts w:ascii="Cambria" w:eastAsia="Cambria" w:hAnsi="Cambria"/>
          <w:color w:val="000000"/>
        </w:rPr>
        <w:t xml:space="preserve">, </w:t>
      </w:r>
      <w:r>
        <w:rPr>
          <w:rFonts w:ascii="Cambria" w:eastAsia="Cambria" w:hAnsi="Cambria"/>
          <w:color w:val="000000"/>
        </w:rPr>
        <w:t>M</w:t>
      </w:r>
      <w:r w:rsidR="00224D18" w:rsidRPr="00E02643">
        <w:rPr>
          <w:rFonts w:ascii="Cambria" w:eastAsia="Cambria" w:hAnsi="Cambria"/>
          <w:color w:val="000000"/>
        </w:rPr>
        <w:t>ethionine</w:t>
      </w:r>
      <w:r w:rsidR="00224D18">
        <w:rPr>
          <w:rFonts w:ascii="Cambria" w:eastAsia="Cambria" w:hAnsi="Cambria"/>
          <w:color w:val="000000"/>
        </w:rPr>
        <w:t>, p</w:t>
      </w:r>
      <w:r w:rsidR="00224D18" w:rsidRPr="00E02643">
        <w:rPr>
          <w:rFonts w:ascii="Cambria" w:eastAsia="Cambria" w:hAnsi="Cambria"/>
          <w:color w:val="000000"/>
        </w:rPr>
        <w:t>olysorbate 20</w:t>
      </w:r>
      <w:r w:rsidR="00224D18">
        <w:rPr>
          <w:rFonts w:ascii="Cambria" w:eastAsia="Cambria" w:hAnsi="Cambria"/>
          <w:color w:val="000000"/>
        </w:rPr>
        <w:t>, b</w:t>
      </w:r>
      <w:r w:rsidR="00224D18" w:rsidRPr="00E02643">
        <w:rPr>
          <w:rFonts w:ascii="Cambria" w:eastAsia="Cambria" w:hAnsi="Cambria"/>
          <w:color w:val="000000"/>
        </w:rPr>
        <w:t>enzyl alcohol</w:t>
      </w:r>
      <w:r w:rsidR="00224D18">
        <w:rPr>
          <w:rFonts w:ascii="Cambria" w:eastAsia="Cambria" w:hAnsi="Cambria"/>
          <w:color w:val="000000"/>
        </w:rPr>
        <w:t>, b</w:t>
      </w:r>
      <w:r w:rsidR="00224D18" w:rsidRPr="00E02643">
        <w:rPr>
          <w:rFonts w:ascii="Cambria" w:eastAsia="Cambria" w:hAnsi="Cambria"/>
          <w:color w:val="000000"/>
        </w:rPr>
        <w:t>enzalkonium chloride</w:t>
      </w:r>
      <w:r w:rsidR="00224D18">
        <w:rPr>
          <w:rFonts w:ascii="Cambria" w:eastAsia="Cambria" w:hAnsi="Cambria"/>
          <w:color w:val="000000"/>
        </w:rPr>
        <w:t xml:space="preserve"> and w</w:t>
      </w:r>
      <w:r w:rsidR="00224D18" w:rsidRPr="00E02643">
        <w:rPr>
          <w:rFonts w:ascii="Cambria" w:eastAsia="Cambria" w:hAnsi="Cambria"/>
          <w:color w:val="000000"/>
        </w:rPr>
        <w:t>ater for injections</w:t>
      </w:r>
    </w:p>
    <w:p w14:paraId="398DD505" w14:textId="06FD0B12" w:rsidR="005B6B63" w:rsidRPr="00E02643" w:rsidRDefault="00204F49" w:rsidP="00CF171D">
      <w:pPr>
        <w:pStyle w:val="Heading2"/>
        <w:numPr>
          <w:ilvl w:val="1"/>
          <w:numId w:val="18"/>
        </w:numPr>
      </w:pPr>
      <w:r w:rsidRPr="00E02643">
        <w:t>I</w:t>
      </w:r>
      <w:r>
        <w:t>NCOMPATIBILITIES</w:t>
      </w:r>
    </w:p>
    <w:p w14:paraId="1131E42E" w14:textId="77777777" w:rsidR="005B6B63" w:rsidRDefault="00204F49" w:rsidP="002310E4">
      <w:pPr>
        <w:spacing w:before="111" w:line="297" w:lineRule="exact"/>
        <w:textAlignment w:val="baseline"/>
        <w:rPr>
          <w:rFonts w:ascii="Cambria" w:eastAsia="Cambria" w:hAnsi="Cambria"/>
          <w:color w:val="000000"/>
        </w:rPr>
      </w:pPr>
      <w:r>
        <w:rPr>
          <w:rFonts w:ascii="Cambria" w:eastAsia="Cambria" w:hAnsi="Cambria"/>
          <w:color w:val="000000"/>
        </w:rPr>
        <w:t>Incompatibilities were either not assessed or not identified as part of the registration of this medicine.</w:t>
      </w:r>
    </w:p>
    <w:p w14:paraId="420B7780" w14:textId="77777777" w:rsidR="005B6B63" w:rsidRPr="00E02643" w:rsidRDefault="00204F49" w:rsidP="00CF171D">
      <w:pPr>
        <w:pStyle w:val="Heading2"/>
        <w:numPr>
          <w:ilvl w:val="1"/>
          <w:numId w:val="18"/>
        </w:numPr>
      </w:pPr>
      <w:r w:rsidRPr="00E02643">
        <w:t>S</w:t>
      </w:r>
      <w:r>
        <w:t>HELF LIFE</w:t>
      </w:r>
    </w:p>
    <w:p w14:paraId="4CF44B95" w14:textId="5EF1920D" w:rsidR="005B6B63" w:rsidRDefault="00204F49" w:rsidP="002310E4">
      <w:pPr>
        <w:spacing w:before="122" w:line="297" w:lineRule="exact"/>
        <w:textAlignment w:val="baseline"/>
        <w:rPr>
          <w:rFonts w:ascii="Cambria" w:eastAsia="Cambria" w:hAnsi="Cambria"/>
          <w:color w:val="000000"/>
        </w:rPr>
      </w:pPr>
      <w:r>
        <w:rPr>
          <w:rFonts w:ascii="Cambria" w:eastAsia="Cambria" w:hAnsi="Cambria"/>
          <w:color w:val="000000"/>
        </w:rPr>
        <w:t>Information on the shelf life can be found on the public summary of the Australian Register of Therapeutic Goods (ARTG) in Australia. The expiry date can be found on the packaging.</w:t>
      </w:r>
    </w:p>
    <w:p w14:paraId="5304640D" w14:textId="31C45B65" w:rsidR="005B6B63" w:rsidRPr="00E02643" w:rsidRDefault="00204F49" w:rsidP="00CF171D">
      <w:pPr>
        <w:pStyle w:val="Heading2"/>
        <w:numPr>
          <w:ilvl w:val="1"/>
          <w:numId w:val="18"/>
        </w:numPr>
      </w:pPr>
      <w:r w:rsidRPr="00E02643">
        <w:t>S</w:t>
      </w:r>
      <w:r>
        <w:t>PECIAL PRECAUTIONS FOR STORAGE</w:t>
      </w:r>
    </w:p>
    <w:p w14:paraId="3CE53744" w14:textId="77777777" w:rsidR="00324195" w:rsidRDefault="00204F49" w:rsidP="002310E4">
      <w:pPr>
        <w:spacing w:before="112" w:line="297" w:lineRule="exact"/>
        <w:textAlignment w:val="baseline"/>
        <w:rPr>
          <w:rFonts w:ascii="Cambria" w:eastAsia="Cambria" w:hAnsi="Cambria"/>
          <w:color w:val="000000"/>
        </w:rPr>
      </w:pPr>
      <w:bookmarkStart w:id="3" w:name="_Hlk49955034"/>
      <w:r>
        <w:rPr>
          <w:rFonts w:ascii="Cambria" w:eastAsia="Cambria" w:hAnsi="Cambria"/>
          <w:color w:val="000000"/>
        </w:rPr>
        <w:t xml:space="preserve">Store at 2°C to 8°C (Refrigerate. Do not freeze). Protect from light. </w:t>
      </w:r>
    </w:p>
    <w:p w14:paraId="6A7F2727" w14:textId="0F9E09A8" w:rsidR="005B6B63" w:rsidRDefault="00204F49" w:rsidP="002310E4">
      <w:pPr>
        <w:spacing w:before="112" w:line="297" w:lineRule="exact"/>
        <w:textAlignment w:val="baseline"/>
        <w:rPr>
          <w:rFonts w:ascii="Cambria" w:eastAsia="Cambria" w:hAnsi="Cambria"/>
          <w:color w:val="000000"/>
        </w:rPr>
      </w:pPr>
      <w:r>
        <w:rPr>
          <w:rFonts w:ascii="Cambria" w:eastAsia="Cambria" w:hAnsi="Cambria"/>
          <w:color w:val="000000"/>
        </w:rPr>
        <w:t xml:space="preserve">Should refrigeration be unavailable, OVALEAP </w:t>
      </w:r>
      <w:r w:rsidR="00EC3A89">
        <w:rPr>
          <w:rFonts w:ascii="Cambria" w:eastAsia="Cambria" w:hAnsi="Cambria"/>
          <w:color w:val="000000"/>
        </w:rPr>
        <w:t xml:space="preserve">cartridge </w:t>
      </w:r>
      <w:r>
        <w:rPr>
          <w:rFonts w:ascii="Cambria" w:eastAsia="Cambria" w:hAnsi="Cambria"/>
          <w:color w:val="000000"/>
        </w:rPr>
        <w:t>can be stored below 25°C for up to 3 months.</w:t>
      </w:r>
      <w:r w:rsidR="0075235C">
        <w:rPr>
          <w:rFonts w:ascii="Cambria" w:eastAsia="Cambria" w:hAnsi="Cambria"/>
          <w:color w:val="000000"/>
        </w:rPr>
        <w:t xml:space="preserve">  OVALEAP must be discarded if it has not been used </w:t>
      </w:r>
      <w:r w:rsidR="00BA20D9">
        <w:rPr>
          <w:rFonts w:ascii="Cambria" w:eastAsia="Cambria" w:hAnsi="Cambria"/>
          <w:color w:val="000000"/>
        </w:rPr>
        <w:t xml:space="preserve">after </w:t>
      </w:r>
      <w:r w:rsidR="0075235C">
        <w:rPr>
          <w:rFonts w:ascii="Cambria" w:eastAsia="Cambria" w:hAnsi="Cambria"/>
          <w:color w:val="000000"/>
        </w:rPr>
        <w:t>3 months.</w:t>
      </w:r>
    </w:p>
    <w:p w14:paraId="2B0DFA9B" w14:textId="77777777" w:rsidR="002310E4" w:rsidRDefault="002310E4" w:rsidP="002310E4">
      <w:pPr>
        <w:spacing w:line="281" w:lineRule="exact"/>
        <w:textAlignment w:val="baseline"/>
        <w:rPr>
          <w:rFonts w:ascii="Cambria" w:eastAsia="Cambria" w:hAnsi="Cambria"/>
          <w:color w:val="000000"/>
          <w:sz w:val="20"/>
        </w:rPr>
      </w:pPr>
    </w:p>
    <w:p w14:paraId="5253D450" w14:textId="031E9157" w:rsidR="005B6B63" w:rsidRDefault="00204F49" w:rsidP="002310E4">
      <w:pPr>
        <w:spacing w:line="281" w:lineRule="exact"/>
        <w:textAlignment w:val="baseline"/>
        <w:rPr>
          <w:rFonts w:ascii="Cambria" w:eastAsia="Cambria" w:hAnsi="Cambria"/>
          <w:color w:val="000000"/>
        </w:rPr>
      </w:pPr>
      <w:bookmarkStart w:id="4" w:name="_Hlk49955456"/>
      <w:r w:rsidRPr="00224D18">
        <w:rPr>
          <w:rFonts w:ascii="Cambria" w:eastAsia="Cambria" w:hAnsi="Cambria"/>
          <w:color w:val="000000"/>
        </w:rPr>
        <w:t xml:space="preserve">After first </w:t>
      </w:r>
      <w:r w:rsidR="00A9708A">
        <w:rPr>
          <w:rFonts w:ascii="Cambria" w:eastAsia="Cambria" w:hAnsi="Cambria"/>
          <w:color w:val="000000"/>
        </w:rPr>
        <w:t>using the</w:t>
      </w:r>
      <w:r w:rsidRPr="00224D18">
        <w:rPr>
          <w:rFonts w:ascii="Cambria" w:eastAsia="Cambria" w:hAnsi="Cambria"/>
          <w:color w:val="000000"/>
        </w:rPr>
        <w:t xml:space="preserve"> OVALEAP </w:t>
      </w:r>
      <w:r w:rsidR="00224D18">
        <w:rPr>
          <w:rFonts w:ascii="Cambria" w:eastAsia="Cambria" w:hAnsi="Cambria"/>
          <w:color w:val="000000"/>
        </w:rPr>
        <w:t>cartridge</w:t>
      </w:r>
      <w:r w:rsidRPr="00224D18">
        <w:rPr>
          <w:rFonts w:ascii="Cambria" w:eastAsia="Cambria" w:hAnsi="Cambria"/>
          <w:color w:val="000000"/>
        </w:rPr>
        <w:t xml:space="preserve"> with </w:t>
      </w:r>
      <w:r w:rsidR="00A9708A">
        <w:rPr>
          <w:rFonts w:ascii="Cambria" w:eastAsia="Cambria" w:hAnsi="Cambria"/>
          <w:color w:val="000000"/>
        </w:rPr>
        <w:t>the supplied pen</w:t>
      </w:r>
      <w:r w:rsidRPr="00224D18">
        <w:rPr>
          <w:rFonts w:ascii="Cambria" w:eastAsia="Cambria" w:hAnsi="Cambria"/>
          <w:color w:val="000000"/>
        </w:rPr>
        <w:t>, OVALEAP may be stored below 25°C for a maximum of 2</w:t>
      </w:r>
      <w:r w:rsidR="00224D18" w:rsidRPr="00E02643">
        <w:rPr>
          <w:rFonts w:ascii="Cambria" w:eastAsia="Cambria" w:hAnsi="Cambria"/>
          <w:color w:val="000000"/>
        </w:rPr>
        <w:t>8</w:t>
      </w:r>
      <w:r w:rsidRPr="00224D18">
        <w:rPr>
          <w:rFonts w:ascii="Cambria" w:eastAsia="Cambria" w:hAnsi="Cambria"/>
          <w:color w:val="000000"/>
        </w:rPr>
        <w:t xml:space="preserve"> days. Store the pen with the cap on, in order to protect the product from light.</w:t>
      </w:r>
    </w:p>
    <w:bookmarkEnd w:id="3"/>
    <w:bookmarkEnd w:id="4"/>
    <w:p w14:paraId="7504F041" w14:textId="77777777" w:rsidR="005B6B63" w:rsidRDefault="00204F49" w:rsidP="00CF171D">
      <w:pPr>
        <w:pStyle w:val="Heading2"/>
        <w:numPr>
          <w:ilvl w:val="1"/>
          <w:numId w:val="18"/>
        </w:numPr>
      </w:pPr>
      <w:r>
        <w:t>NATURE AND CONTENTS OF CONTAINER</w:t>
      </w:r>
    </w:p>
    <w:p w14:paraId="65FDDA28" w14:textId="0E2C663A" w:rsidR="005B6B63" w:rsidRDefault="00204F49" w:rsidP="002310E4">
      <w:pPr>
        <w:spacing w:before="261" w:line="238" w:lineRule="exact"/>
        <w:textAlignment w:val="baseline"/>
        <w:rPr>
          <w:rFonts w:ascii="Cambria" w:eastAsia="Cambria" w:hAnsi="Cambria"/>
          <w:color w:val="000000"/>
        </w:rPr>
      </w:pPr>
      <w:r>
        <w:rPr>
          <w:rFonts w:ascii="Cambria" w:eastAsia="Cambria" w:hAnsi="Cambria"/>
          <w:color w:val="000000"/>
        </w:rPr>
        <w:t>OVALEAP is available in the following strengths and pack sizes:</w:t>
      </w:r>
    </w:p>
    <w:p w14:paraId="65142457" w14:textId="77777777" w:rsidR="00224D18" w:rsidRPr="00E02643" w:rsidRDefault="003044A2" w:rsidP="003044A2">
      <w:pPr>
        <w:spacing w:before="126" w:line="297" w:lineRule="exact"/>
        <w:textAlignment w:val="baseline"/>
        <w:rPr>
          <w:rFonts w:ascii="Cambria" w:eastAsia="Cambria" w:hAnsi="Cambria"/>
          <w:b/>
          <w:color w:val="000000"/>
        </w:rPr>
      </w:pPr>
      <w:proofErr w:type="spellStart"/>
      <w:r w:rsidRPr="00E02643">
        <w:rPr>
          <w:rFonts w:ascii="Cambria" w:eastAsia="Cambria" w:hAnsi="Cambria"/>
          <w:b/>
          <w:color w:val="000000"/>
          <w:u w:val="single"/>
        </w:rPr>
        <w:t>Ovaleap</w:t>
      </w:r>
      <w:proofErr w:type="spellEnd"/>
      <w:r w:rsidRPr="00E02643">
        <w:rPr>
          <w:rFonts w:ascii="Cambria" w:eastAsia="Cambria" w:hAnsi="Cambria"/>
          <w:b/>
          <w:color w:val="000000"/>
          <w:u w:val="single"/>
        </w:rPr>
        <w:t xml:space="preserve"> 300 IU/0.5 mL solution for injection</w:t>
      </w:r>
      <w:r w:rsidRPr="00E02643">
        <w:rPr>
          <w:rFonts w:ascii="Cambria" w:eastAsia="Cambria" w:hAnsi="Cambria"/>
          <w:b/>
          <w:color w:val="000000"/>
        </w:rPr>
        <w:t xml:space="preserve"> </w:t>
      </w:r>
    </w:p>
    <w:p w14:paraId="50C30D66" w14:textId="77777777" w:rsidR="003044A2" w:rsidRDefault="003044A2" w:rsidP="003044A2">
      <w:pPr>
        <w:spacing w:before="126" w:line="297" w:lineRule="exact"/>
        <w:textAlignment w:val="baseline"/>
        <w:rPr>
          <w:rFonts w:ascii="Cambria" w:eastAsia="Cambria" w:hAnsi="Cambria"/>
          <w:color w:val="000000"/>
        </w:rPr>
      </w:pPr>
      <w:r w:rsidRPr="00E02643">
        <w:rPr>
          <w:rFonts w:ascii="Cambria" w:eastAsia="Cambria" w:hAnsi="Cambria"/>
          <w:color w:val="000000"/>
        </w:rPr>
        <w:t>Cartridge (type I glass) with a rubber piston (</w:t>
      </w:r>
      <w:proofErr w:type="spellStart"/>
      <w:r w:rsidRPr="00E02643">
        <w:rPr>
          <w:rFonts w:ascii="Cambria" w:eastAsia="Cambria" w:hAnsi="Cambria"/>
          <w:color w:val="000000"/>
        </w:rPr>
        <w:t>bromobutyl</w:t>
      </w:r>
      <w:proofErr w:type="spellEnd"/>
      <w:r w:rsidRPr="00E02643">
        <w:rPr>
          <w:rFonts w:ascii="Cambria" w:eastAsia="Cambria" w:hAnsi="Cambria"/>
          <w:color w:val="000000"/>
        </w:rPr>
        <w:t xml:space="preserve"> rubber) and a crimp-cap (</w:t>
      </w:r>
      <w:proofErr w:type="spellStart"/>
      <w:r w:rsidRPr="00E02643">
        <w:rPr>
          <w:rFonts w:ascii="Cambria" w:eastAsia="Cambria" w:hAnsi="Cambria"/>
          <w:color w:val="000000"/>
        </w:rPr>
        <w:t>aluminium</w:t>
      </w:r>
      <w:proofErr w:type="spellEnd"/>
      <w:r w:rsidRPr="00E02643">
        <w:rPr>
          <w:rFonts w:ascii="Cambria" w:eastAsia="Cambria" w:hAnsi="Cambria"/>
          <w:color w:val="000000"/>
        </w:rPr>
        <w:t>) with a septum (</w:t>
      </w:r>
      <w:proofErr w:type="spellStart"/>
      <w:r w:rsidRPr="00E02643">
        <w:rPr>
          <w:rFonts w:ascii="Cambria" w:eastAsia="Cambria" w:hAnsi="Cambria"/>
          <w:color w:val="000000"/>
        </w:rPr>
        <w:t>bromobutyl</w:t>
      </w:r>
      <w:proofErr w:type="spellEnd"/>
      <w:r w:rsidRPr="00E02643">
        <w:rPr>
          <w:rFonts w:ascii="Cambria" w:eastAsia="Cambria" w:hAnsi="Cambria"/>
          <w:color w:val="000000"/>
        </w:rPr>
        <w:t xml:space="preserve"> rubber), containing 0.5 mL of solution. </w:t>
      </w:r>
    </w:p>
    <w:p w14:paraId="65E5DC31" w14:textId="77777777" w:rsidR="003044A2" w:rsidRDefault="003044A2" w:rsidP="003044A2">
      <w:pPr>
        <w:spacing w:before="126" w:line="297" w:lineRule="exact"/>
        <w:textAlignment w:val="baseline"/>
        <w:rPr>
          <w:rFonts w:ascii="Cambria" w:eastAsia="Cambria" w:hAnsi="Cambria"/>
          <w:color w:val="000000"/>
        </w:rPr>
      </w:pPr>
      <w:r w:rsidRPr="00E02643">
        <w:rPr>
          <w:rFonts w:ascii="Cambria" w:eastAsia="Cambria" w:hAnsi="Cambria"/>
          <w:color w:val="000000"/>
        </w:rPr>
        <w:t xml:space="preserve">Injection needles (stainless steel; 0.33 mm x 12 mm, 29 G x ½") </w:t>
      </w:r>
    </w:p>
    <w:p w14:paraId="3E3D3159" w14:textId="77777777" w:rsidR="003044A2" w:rsidRDefault="003044A2" w:rsidP="003044A2">
      <w:pPr>
        <w:spacing w:before="126" w:line="297" w:lineRule="exact"/>
        <w:textAlignment w:val="baseline"/>
        <w:rPr>
          <w:rFonts w:ascii="Cambria" w:eastAsia="Cambria" w:hAnsi="Cambria"/>
          <w:color w:val="000000"/>
        </w:rPr>
      </w:pPr>
      <w:r w:rsidRPr="00E02643">
        <w:rPr>
          <w:rFonts w:ascii="Cambria" w:eastAsia="Cambria" w:hAnsi="Cambria"/>
          <w:color w:val="000000"/>
        </w:rPr>
        <w:lastRenderedPageBreak/>
        <w:t xml:space="preserve">Pack size of 1 cartridge and 10 injection needles. </w:t>
      </w:r>
    </w:p>
    <w:p w14:paraId="6E65AFE2" w14:textId="77777777" w:rsidR="00224D18" w:rsidRPr="00E02643" w:rsidRDefault="003044A2" w:rsidP="003044A2">
      <w:pPr>
        <w:spacing w:before="126" w:line="297" w:lineRule="exact"/>
        <w:textAlignment w:val="baseline"/>
        <w:rPr>
          <w:rFonts w:ascii="Cambria" w:eastAsia="Cambria" w:hAnsi="Cambria"/>
          <w:b/>
          <w:color w:val="000000"/>
          <w:u w:val="single"/>
        </w:rPr>
      </w:pPr>
      <w:proofErr w:type="spellStart"/>
      <w:r w:rsidRPr="00E02643">
        <w:rPr>
          <w:rFonts w:ascii="Cambria" w:eastAsia="Cambria" w:hAnsi="Cambria"/>
          <w:b/>
          <w:color w:val="000000"/>
          <w:u w:val="single"/>
        </w:rPr>
        <w:t>Ovaleap</w:t>
      </w:r>
      <w:proofErr w:type="spellEnd"/>
      <w:r w:rsidRPr="00E02643">
        <w:rPr>
          <w:rFonts w:ascii="Cambria" w:eastAsia="Cambria" w:hAnsi="Cambria"/>
          <w:b/>
          <w:color w:val="000000"/>
          <w:u w:val="single"/>
        </w:rPr>
        <w:t xml:space="preserve"> 450 IU/0.75 mL solution for injection </w:t>
      </w:r>
    </w:p>
    <w:p w14:paraId="4E195521" w14:textId="77777777" w:rsidR="003044A2" w:rsidRDefault="003044A2" w:rsidP="003044A2">
      <w:pPr>
        <w:spacing w:before="126" w:line="297" w:lineRule="exact"/>
        <w:textAlignment w:val="baseline"/>
        <w:rPr>
          <w:rFonts w:ascii="Cambria" w:eastAsia="Cambria" w:hAnsi="Cambria"/>
          <w:color w:val="000000"/>
        </w:rPr>
      </w:pPr>
      <w:r w:rsidRPr="00E02643">
        <w:rPr>
          <w:rFonts w:ascii="Cambria" w:eastAsia="Cambria" w:hAnsi="Cambria"/>
          <w:color w:val="000000"/>
        </w:rPr>
        <w:t>Cartridge (type I glass) with a rubber piston (</w:t>
      </w:r>
      <w:proofErr w:type="spellStart"/>
      <w:r w:rsidRPr="00E02643">
        <w:rPr>
          <w:rFonts w:ascii="Cambria" w:eastAsia="Cambria" w:hAnsi="Cambria"/>
          <w:color w:val="000000"/>
        </w:rPr>
        <w:t>bromobutyl</w:t>
      </w:r>
      <w:proofErr w:type="spellEnd"/>
      <w:r w:rsidRPr="00E02643">
        <w:rPr>
          <w:rFonts w:ascii="Cambria" w:eastAsia="Cambria" w:hAnsi="Cambria"/>
          <w:color w:val="000000"/>
        </w:rPr>
        <w:t xml:space="preserve"> rubber) and a crimp-cap (</w:t>
      </w:r>
      <w:proofErr w:type="spellStart"/>
      <w:r w:rsidRPr="00E02643">
        <w:rPr>
          <w:rFonts w:ascii="Cambria" w:eastAsia="Cambria" w:hAnsi="Cambria"/>
          <w:color w:val="000000"/>
        </w:rPr>
        <w:t>aluminium</w:t>
      </w:r>
      <w:proofErr w:type="spellEnd"/>
      <w:r w:rsidRPr="00E02643">
        <w:rPr>
          <w:rFonts w:ascii="Cambria" w:eastAsia="Cambria" w:hAnsi="Cambria"/>
          <w:color w:val="000000"/>
        </w:rPr>
        <w:t>) with a septum (</w:t>
      </w:r>
      <w:proofErr w:type="spellStart"/>
      <w:r w:rsidRPr="00E02643">
        <w:rPr>
          <w:rFonts w:ascii="Cambria" w:eastAsia="Cambria" w:hAnsi="Cambria"/>
          <w:color w:val="000000"/>
        </w:rPr>
        <w:t>bromobutyl</w:t>
      </w:r>
      <w:proofErr w:type="spellEnd"/>
      <w:r w:rsidRPr="00E02643">
        <w:rPr>
          <w:rFonts w:ascii="Cambria" w:eastAsia="Cambria" w:hAnsi="Cambria"/>
          <w:color w:val="000000"/>
        </w:rPr>
        <w:t xml:space="preserve"> rubber), containing 0.75 mL of solution.</w:t>
      </w:r>
    </w:p>
    <w:p w14:paraId="3CE3BFB6" w14:textId="77777777" w:rsidR="003044A2" w:rsidRDefault="003044A2" w:rsidP="003044A2">
      <w:pPr>
        <w:spacing w:before="126" w:line="297" w:lineRule="exact"/>
        <w:textAlignment w:val="baseline"/>
        <w:rPr>
          <w:rFonts w:ascii="Cambria" w:eastAsia="Cambria" w:hAnsi="Cambria"/>
          <w:color w:val="000000"/>
        </w:rPr>
      </w:pPr>
      <w:r w:rsidRPr="00E02643">
        <w:rPr>
          <w:rFonts w:ascii="Cambria" w:eastAsia="Cambria" w:hAnsi="Cambria"/>
          <w:color w:val="000000"/>
        </w:rPr>
        <w:t xml:space="preserve">Injection needles (stainless steel; 0.33 mm x 12 mm, 29 G x ½") </w:t>
      </w:r>
    </w:p>
    <w:p w14:paraId="083E721A" w14:textId="77777777" w:rsidR="003044A2" w:rsidRDefault="003044A2" w:rsidP="003044A2">
      <w:pPr>
        <w:spacing w:before="126" w:line="297" w:lineRule="exact"/>
        <w:textAlignment w:val="baseline"/>
        <w:rPr>
          <w:rFonts w:ascii="Cambria" w:eastAsia="Cambria" w:hAnsi="Cambria"/>
          <w:color w:val="000000"/>
        </w:rPr>
      </w:pPr>
      <w:r w:rsidRPr="00E02643">
        <w:rPr>
          <w:rFonts w:ascii="Cambria" w:eastAsia="Cambria" w:hAnsi="Cambria"/>
          <w:color w:val="000000"/>
        </w:rPr>
        <w:t xml:space="preserve">Pack size of 1 cartridge and 10 injection needles. </w:t>
      </w:r>
    </w:p>
    <w:p w14:paraId="07802ED7" w14:textId="77777777" w:rsidR="00224D18" w:rsidRPr="00E02643" w:rsidRDefault="003044A2" w:rsidP="003044A2">
      <w:pPr>
        <w:spacing w:before="126" w:line="297" w:lineRule="exact"/>
        <w:textAlignment w:val="baseline"/>
        <w:rPr>
          <w:rFonts w:ascii="Cambria" w:eastAsia="Cambria" w:hAnsi="Cambria"/>
          <w:b/>
          <w:color w:val="000000"/>
          <w:u w:val="single"/>
        </w:rPr>
      </w:pPr>
      <w:proofErr w:type="spellStart"/>
      <w:r w:rsidRPr="00E02643">
        <w:rPr>
          <w:rFonts w:ascii="Cambria" w:eastAsia="Cambria" w:hAnsi="Cambria"/>
          <w:b/>
          <w:color w:val="000000"/>
          <w:u w:val="single"/>
        </w:rPr>
        <w:t>Ovaleap</w:t>
      </w:r>
      <w:proofErr w:type="spellEnd"/>
      <w:r w:rsidRPr="00E02643">
        <w:rPr>
          <w:rFonts w:ascii="Cambria" w:eastAsia="Cambria" w:hAnsi="Cambria"/>
          <w:b/>
          <w:color w:val="000000"/>
          <w:u w:val="single"/>
        </w:rPr>
        <w:t xml:space="preserve"> 900 IU/1.5 mL solution for injection</w:t>
      </w:r>
    </w:p>
    <w:p w14:paraId="5B91B4C3" w14:textId="77777777" w:rsidR="003044A2" w:rsidRDefault="003044A2" w:rsidP="003044A2">
      <w:pPr>
        <w:spacing w:before="126" w:line="297" w:lineRule="exact"/>
        <w:textAlignment w:val="baseline"/>
        <w:rPr>
          <w:rFonts w:ascii="Cambria" w:eastAsia="Cambria" w:hAnsi="Cambria"/>
          <w:color w:val="000000"/>
        </w:rPr>
      </w:pPr>
      <w:r w:rsidRPr="00E02643">
        <w:rPr>
          <w:rFonts w:ascii="Cambria" w:eastAsia="Cambria" w:hAnsi="Cambria"/>
          <w:color w:val="000000"/>
        </w:rPr>
        <w:t>Cartridge (type I glass) with a rubber piston (</w:t>
      </w:r>
      <w:proofErr w:type="spellStart"/>
      <w:r w:rsidRPr="00E02643">
        <w:rPr>
          <w:rFonts w:ascii="Cambria" w:eastAsia="Cambria" w:hAnsi="Cambria"/>
          <w:color w:val="000000"/>
        </w:rPr>
        <w:t>bromobutyl</w:t>
      </w:r>
      <w:proofErr w:type="spellEnd"/>
      <w:r w:rsidRPr="00E02643">
        <w:rPr>
          <w:rFonts w:ascii="Cambria" w:eastAsia="Cambria" w:hAnsi="Cambria"/>
          <w:color w:val="000000"/>
        </w:rPr>
        <w:t xml:space="preserve"> rubber) and a crimp-cap (</w:t>
      </w:r>
      <w:proofErr w:type="spellStart"/>
      <w:r w:rsidRPr="00E02643">
        <w:rPr>
          <w:rFonts w:ascii="Cambria" w:eastAsia="Cambria" w:hAnsi="Cambria"/>
          <w:color w:val="000000"/>
        </w:rPr>
        <w:t>aluminium</w:t>
      </w:r>
      <w:proofErr w:type="spellEnd"/>
      <w:r w:rsidRPr="00E02643">
        <w:rPr>
          <w:rFonts w:ascii="Cambria" w:eastAsia="Cambria" w:hAnsi="Cambria"/>
          <w:color w:val="000000"/>
        </w:rPr>
        <w:t>) with a septum (</w:t>
      </w:r>
      <w:proofErr w:type="spellStart"/>
      <w:r w:rsidRPr="00E02643">
        <w:rPr>
          <w:rFonts w:ascii="Cambria" w:eastAsia="Cambria" w:hAnsi="Cambria"/>
          <w:color w:val="000000"/>
        </w:rPr>
        <w:t>bromobutyl</w:t>
      </w:r>
      <w:proofErr w:type="spellEnd"/>
      <w:r w:rsidRPr="00E02643">
        <w:rPr>
          <w:rFonts w:ascii="Cambria" w:eastAsia="Cambria" w:hAnsi="Cambria"/>
          <w:color w:val="000000"/>
        </w:rPr>
        <w:t xml:space="preserve"> rubber), containing 1.5 mL of solution.</w:t>
      </w:r>
    </w:p>
    <w:p w14:paraId="7FD081B1" w14:textId="77777777" w:rsidR="003044A2" w:rsidRDefault="003044A2" w:rsidP="003044A2">
      <w:pPr>
        <w:spacing w:before="126" w:line="297" w:lineRule="exact"/>
        <w:textAlignment w:val="baseline"/>
        <w:rPr>
          <w:rFonts w:ascii="Cambria" w:eastAsia="Cambria" w:hAnsi="Cambria"/>
          <w:color w:val="000000"/>
        </w:rPr>
      </w:pPr>
      <w:r w:rsidRPr="00E02643">
        <w:rPr>
          <w:rFonts w:ascii="Cambria" w:eastAsia="Cambria" w:hAnsi="Cambria"/>
          <w:color w:val="000000"/>
        </w:rPr>
        <w:t xml:space="preserve">Injection needles (stainless steel; 0.33 mm x 12 mm, 29 G x ½") </w:t>
      </w:r>
    </w:p>
    <w:p w14:paraId="7D0C4FDE" w14:textId="77777777" w:rsidR="003044A2" w:rsidRDefault="003044A2" w:rsidP="003044A2">
      <w:pPr>
        <w:spacing w:before="126" w:line="297" w:lineRule="exact"/>
        <w:textAlignment w:val="baseline"/>
        <w:rPr>
          <w:rFonts w:ascii="Cambria" w:eastAsia="Cambria" w:hAnsi="Cambria"/>
          <w:color w:val="000000"/>
        </w:rPr>
      </w:pPr>
      <w:r w:rsidRPr="00E02643">
        <w:rPr>
          <w:rFonts w:ascii="Cambria" w:eastAsia="Cambria" w:hAnsi="Cambria"/>
          <w:color w:val="000000"/>
        </w:rPr>
        <w:t xml:space="preserve">Pack size of 1 cartridge and 20 injection needles. </w:t>
      </w:r>
    </w:p>
    <w:p w14:paraId="48B101A7" w14:textId="77777777" w:rsidR="005B6B63" w:rsidRPr="003044A2" w:rsidRDefault="00204F49" w:rsidP="006B7F1B">
      <w:pPr>
        <w:pStyle w:val="Heading2"/>
        <w:widowControl w:val="0"/>
        <w:numPr>
          <w:ilvl w:val="1"/>
          <w:numId w:val="18"/>
        </w:numPr>
      </w:pPr>
      <w:r w:rsidRPr="003044A2">
        <w:t>SPECIAL PRECAUTIONS FOR DISPOSAL</w:t>
      </w:r>
    </w:p>
    <w:p w14:paraId="49992F32" w14:textId="77777777" w:rsidR="005B6B63" w:rsidRDefault="00204F49" w:rsidP="006B7F1B">
      <w:pPr>
        <w:widowControl w:val="0"/>
        <w:spacing w:before="124" w:line="298" w:lineRule="exact"/>
        <w:textAlignment w:val="baseline"/>
        <w:rPr>
          <w:rFonts w:ascii="Cambria" w:eastAsia="Cambria" w:hAnsi="Cambria"/>
          <w:color w:val="000000"/>
        </w:rPr>
      </w:pPr>
      <w:r>
        <w:rPr>
          <w:rFonts w:ascii="Cambria" w:eastAsia="Cambria" w:hAnsi="Cambria"/>
          <w:color w:val="000000"/>
        </w:rPr>
        <w:t>In Australia, any unused medicine or waste material should be disposed of in accordance with local requirements.</w:t>
      </w:r>
    </w:p>
    <w:p w14:paraId="14B46E9A" w14:textId="77777777" w:rsidR="002310E4" w:rsidRPr="002310E4" w:rsidRDefault="00204F49" w:rsidP="00CF171D">
      <w:pPr>
        <w:pStyle w:val="Heading2"/>
        <w:numPr>
          <w:ilvl w:val="1"/>
          <w:numId w:val="18"/>
        </w:numPr>
        <w:rPr>
          <w:rStyle w:val="Heading2Char"/>
          <w:b/>
        </w:rPr>
      </w:pPr>
      <w:r w:rsidRPr="002310E4">
        <w:rPr>
          <w:rStyle w:val="Heading2Char"/>
          <w:b/>
        </w:rPr>
        <w:t xml:space="preserve">PHYSICOCHEMICAL PROPERTIES </w:t>
      </w:r>
    </w:p>
    <w:p w14:paraId="6903D0D3" w14:textId="77777777" w:rsidR="005B6B63" w:rsidRDefault="00204F49" w:rsidP="00FD3552">
      <w:pPr>
        <w:widowControl w:val="0"/>
        <w:tabs>
          <w:tab w:val="left" w:pos="648"/>
        </w:tabs>
        <w:spacing w:before="87" w:line="427" w:lineRule="exact"/>
        <w:ind w:left="288" w:hanging="288"/>
        <w:textAlignment w:val="baseline"/>
        <w:rPr>
          <w:rFonts w:ascii="Cambria" w:eastAsia="Cambria" w:hAnsi="Cambria"/>
          <w:b/>
          <w:color w:val="000000"/>
          <w:sz w:val="24"/>
        </w:rPr>
      </w:pPr>
      <w:r>
        <w:rPr>
          <w:rFonts w:ascii="Cambria" w:eastAsia="Cambria" w:hAnsi="Cambria"/>
          <w:b/>
          <w:color w:val="000000"/>
        </w:rPr>
        <w:t>Chemical structure</w:t>
      </w:r>
    </w:p>
    <w:p w14:paraId="526F2869" w14:textId="77777777" w:rsidR="005B6B63" w:rsidRDefault="00204F49" w:rsidP="00FD3552">
      <w:pPr>
        <w:widowControl w:val="0"/>
        <w:spacing w:before="121" w:line="296" w:lineRule="exact"/>
        <w:textAlignment w:val="baseline"/>
        <w:rPr>
          <w:rFonts w:ascii="Cambria" w:eastAsia="Cambria" w:hAnsi="Cambria"/>
          <w:color w:val="000000"/>
        </w:rPr>
      </w:pPr>
      <w:r>
        <w:rPr>
          <w:rFonts w:ascii="Cambria" w:eastAsia="Cambria" w:hAnsi="Cambria"/>
          <w:color w:val="000000"/>
        </w:rPr>
        <w:t xml:space="preserve">Human follicle stimulating hormone (FSH) is a glycoprotein (Molecular Weight is about 30,000 Da) and is </w:t>
      </w:r>
      <w:proofErr w:type="spellStart"/>
      <w:r>
        <w:rPr>
          <w:rFonts w:ascii="Cambria" w:eastAsia="Cambria" w:hAnsi="Cambria"/>
          <w:color w:val="000000"/>
        </w:rPr>
        <w:t>characterised</w:t>
      </w:r>
      <w:proofErr w:type="spellEnd"/>
      <w:r>
        <w:rPr>
          <w:rFonts w:ascii="Cambria" w:eastAsia="Cambria" w:hAnsi="Cambria"/>
          <w:color w:val="000000"/>
        </w:rPr>
        <w:t xml:space="preserve"> by two amino acid chains known as α and β. The β-chain confers biological activity. The α-chain is common to all gonadotrophins with specificity residing in the β-chain.</w:t>
      </w:r>
    </w:p>
    <w:p w14:paraId="0D6E245B" w14:textId="794DA9C9" w:rsidR="005B6B63" w:rsidRDefault="00204F49" w:rsidP="002310E4">
      <w:pPr>
        <w:spacing w:before="261" w:line="234" w:lineRule="exact"/>
        <w:textAlignment w:val="baseline"/>
        <w:rPr>
          <w:rFonts w:ascii="Cambria" w:eastAsia="Cambria" w:hAnsi="Cambria"/>
          <w:b/>
          <w:color w:val="000000"/>
        </w:rPr>
      </w:pPr>
      <w:r>
        <w:rPr>
          <w:rFonts w:ascii="Cambria" w:eastAsia="Cambria" w:hAnsi="Cambria"/>
          <w:b/>
          <w:color w:val="000000"/>
        </w:rPr>
        <w:t>CAS number</w:t>
      </w:r>
    </w:p>
    <w:p w14:paraId="5575733A" w14:textId="77777777" w:rsidR="005B6B63" w:rsidRDefault="00204F49" w:rsidP="002310E4">
      <w:pPr>
        <w:spacing w:before="183" w:line="234" w:lineRule="exact"/>
        <w:textAlignment w:val="baseline"/>
        <w:rPr>
          <w:rFonts w:ascii="Cambria" w:eastAsia="Cambria" w:hAnsi="Cambria"/>
          <w:color w:val="000000"/>
          <w:spacing w:val="-1"/>
        </w:rPr>
      </w:pPr>
      <w:r>
        <w:rPr>
          <w:rFonts w:ascii="Cambria" w:eastAsia="Cambria" w:hAnsi="Cambria"/>
          <w:color w:val="000000"/>
          <w:spacing w:val="-1"/>
        </w:rPr>
        <w:t>146479-72-3</w:t>
      </w:r>
    </w:p>
    <w:p w14:paraId="3FCB52C2" w14:textId="77777777" w:rsidR="005B6B63" w:rsidRPr="00C47CDF" w:rsidRDefault="00204F49" w:rsidP="00CF171D">
      <w:pPr>
        <w:pStyle w:val="Heading1"/>
      </w:pPr>
      <w:r w:rsidRPr="00C47CDF">
        <w:t>MEDICINE SCHEDULE (POISONS STANDARD)</w:t>
      </w:r>
    </w:p>
    <w:p w14:paraId="7632AFCB" w14:textId="6C8608A1" w:rsidR="005B6B63" w:rsidRDefault="00821019" w:rsidP="002310E4">
      <w:pPr>
        <w:spacing w:before="193" w:line="234" w:lineRule="exact"/>
        <w:textAlignment w:val="baseline"/>
        <w:rPr>
          <w:rFonts w:ascii="Cambria" w:eastAsia="Cambria" w:hAnsi="Cambria"/>
          <w:color w:val="000000"/>
        </w:rPr>
      </w:pPr>
      <w:r>
        <w:rPr>
          <w:rFonts w:ascii="Cambria" w:eastAsia="Cambria" w:hAnsi="Cambria"/>
          <w:color w:val="000000"/>
        </w:rPr>
        <w:t xml:space="preserve">Prescription Only Medicine - </w:t>
      </w:r>
      <w:r w:rsidR="00204F49">
        <w:rPr>
          <w:rFonts w:ascii="Cambria" w:eastAsia="Cambria" w:hAnsi="Cambria"/>
          <w:color w:val="000000"/>
        </w:rPr>
        <w:t>Schedule 4</w:t>
      </w:r>
    </w:p>
    <w:p w14:paraId="35C0830F" w14:textId="77777777" w:rsidR="005B6B63" w:rsidRPr="00C47CDF" w:rsidRDefault="00204F49" w:rsidP="00CF171D">
      <w:pPr>
        <w:pStyle w:val="Heading1"/>
      </w:pPr>
      <w:r w:rsidRPr="00C47CDF">
        <w:t>SPONSOR</w:t>
      </w:r>
    </w:p>
    <w:p w14:paraId="6CCBCD55" w14:textId="77777777" w:rsidR="00A9708A" w:rsidRDefault="00A9708A" w:rsidP="00E02643">
      <w:pPr>
        <w:spacing w:before="193" w:line="234" w:lineRule="exact"/>
        <w:textAlignment w:val="baseline"/>
        <w:rPr>
          <w:rFonts w:ascii="Cambria" w:eastAsia="Cambria" w:hAnsi="Cambria"/>
          <w:color w:val="000000"/>
        </w:rPr>
      </w:pPr>
      <w:proofErr w:type="spellStart"/>
      <w:r w:rsidRPr="00A9708A">
        <w:rPr>
          <w:rFonts w:ascii="Cambria" w:eastAsia="Cambria" w:hAnsi="Cambria"/>
          <w:color w:val="000000"/>
        </w:rPr>
        <w:t>Theramex</w:t>
      </w:r>
      <w:proofErr w:type="spellEnd"/>
      <w:r w:rsidRPr="00A9708A">
        <w:rPr>
          <w:rFonts w:ascii="Cambria" w:eastAsia="Cambria" w:hAnsi="Cambria"/>
          <w:color w:val="000000"/>
        </w:rPr>
        <w:t xml:space="preserve"> Australia Pty Ltd </w:t>
      </w:r>
    </w:p>
    <w:p w14:paraId="61913016" w14:textId="0326E8E5" w:rsidR="00A9708A" w:rsidRDefault="00A9708A" w:rsidP="00E02643">
      <w:pPr>
        <w:spacing w:before="193" w:line="234" w:lineRule="exact"/>
        <w:textAlignment w:val="baseline"/>
        <w:rPr>
          <w:rFonts w:ascii="Cambria" w:eastAsia="Cambria" w:hAnsi="Cambria"/>
          <w:color w:val="000000"/>
        </w:rPr>
      </w:pPr>
      <w:r w:rsidRPr="00A9708A">
        <w:rPr>
          <w:rFonts w:ascii="Cambria" w:eastAsia="Cambria" w:hAnsi="Cambria"/>
          <w:color w:val="000000"/>
        </w:rPr>
        <w:t xml:space="preserve">60 Margaret Street, </w:t>
      </w:r>
    </w:p>
    <w:p w14:paraId="19EE9FB9" w14:textId="77777777" w:rsidR="00A9708A" w:rsidRDefault="00A9708A" w:rsidP="00E02643">
      <w:pPr>
        <w:spacing w:before="193" w:line="234" w:lineRule="exact"/>
        <w:textAlignment w:val="baseline"/>
        <w:rPr>
          <w:rFonts w:ascii="Cambria" w:eastAsia="Cambria" w:hAnsi="Cambria"/>
          <w:color w:val="000000"/>
        </w:rPr>
      </w:pPr>
      <w:r w:rsidRPr="00A9708A">
        <w:rPr>
          <w:rFonts w:ascii="Cambria" w:eastAsia="Cambria" w:hAnsi="Cambria"/>
          <w:color w:val="000000"/>
        </w:rPr>
        <w:t xml:space="preserve">Sydney, NSW 2000 </w:t>
      </w:r>
    </w:p>
    <w:p w14:paraId="26000BAE" w14:textId="7AC83443" w:rsidR="00A9708A" w:rsidRDefault="00A9708A" w:rsidP="00E02643">
      <w:pPr>
        <w:spacing w:before="193" w:line="234" w:lineRule="exact"/>
        <w:textAlignment w:val="baseline"/>
        <w:rPr>
          <w:rFonts w:ascii="Cambria" w:eastAsia="Cambria" w:hAnsi="Cambria"/>
          <w:color w:val="000000"/>
        </w:rPr>
      </w:pPr>
      <w:r>
        <w:rPr>
          <w:rFonts w:ascii="Cambria" w:eastAsia="Cambria" w:hAnsi="Cambria"/>
          <w:color w:val="000000"/>
        </w:rPr>
        <w:t xml:space="preserve">Phone: </w:t>
      </w:r>
      <w:r w:rsidRPr="00A9708A">
        <w:rPr>
          <w:rFonts w:ascii="Cambria" w:eastAsia="Cambria" w:hAnsi="Cambria"/>
          <w:color w:val="000000"/>
        </w:rPr>
        <w:t xml:space="preserve">1800 THERAMEX or 1800 843 726 </w:t>
      </w:r>
    </w:p>
    <w:p w14:paraId="77B5B053" w14:textId="77777777" w:rsidR="005B6B63" w:rsidRPr="00C47CDF" w:rsidRDefault="00204F49" w:rsidP="00CF171D">
      <w:pPr>
        <w:pStyle w:val="Heading1"/>
      </w:pPr>
      <w:r w:rsidRPr="00C47CDF">
        <w:t>DATE OF FIRST APPROVAL</w:t>
      </w:r>
    </w:p>
    <w:p w14:paraId="103A4B3A" w14:textId="782FEC1C" w:rsidR="005B6B63" w:rsidRDefault="003B5A02" w:rsidP="002310E4">
      <w:pPr>
        <w:spacing w:before="194" w:line="234" w:lineRule="exact"/>
        <w:jc w:val="both"/>
        <w:textAlignment w:val="baseline"/>
        <w:rPr>
          <w:rFonts w:ascii="Cambria" w:eastAsia="Cambria" w:hAnsi="Cambria"/>
          <w:color w:val="000000"/>
          <w:spacing w:val="-1"/>
        </w:rPr>
      </w:pPr>
      <w:r>
        <w:rPr>
          <w:rFonts w:ascii="Cambria" w:eastAsia="Cambria" w:hAnsi="Cambria"/>
          <w:color w:val="000000"/>
          <w:spacing w:val="-1"/>
        </w:rPr>
        <w:t>10 March 2021</w:t>
      </w:r>
    </w:p>
    <w:p w14:paraId="53C0A823" w14:textId="77777777" w:rsidR="005B6B63" w:rsidRDefault="00204F49" w:rsidP="002310E4">
      <w:pPr>
        <w:spacing w:before="266" w:after="136" w:line="250" w:lineRule="exact"/>
        <w:jc w:val="both"/>
        <w:textAlignment w:val="baseline"/>
        <w:rPr>
          <w:rFonts w:ascii="Cambria" w:eastAsia="Cambria" w:hAnsi="Cambria"/>
          <w:b/>
          <w:color w:val="000000"/>
          <w:sz w:val="23"/>
        </w:rPr>
      </w:pPr>
      <w:r>
        <w:rPr>
          <w:rFonts w:ascii="Cambria" w:eastAsia="Cambria" w:hAnsi="Cambria"/>
          <w:b/>
          <w:color w:val="000000"/>
          <w:sz w:val="23"/>
        </w:rPr>
        <w:lastRenderedPageBreak/>
        <w:t>S</w:t>
      </w:r>
      <w:r>
        <w:rPr>
          <w:rFonts w:ascii="Cambria" w:eastAsia="Cambria" w:hAnsi="Cambria"/>
          <w:b/>
          <w:color w:val="000000"/>
          <w:sz w:val="19"/>
        </w:rPr>
        <w:t>UMMARY TABLE OF CHANGES</w:t>
      </w:r>
    </w:p>
    <w:p w14:paraId="20FF2101" w14:textId="77777777" w:rsidR="005B6B63" w:rsidRDefault="005B6B63" w:rsidP="002310E4">
      <w:pPr>
        <w:spacing w:before="4" w:line="20" w:lineRule="exact"/>
      </w:pPr>
    </w:p>
    <w:tbl>
      <w:tblPr>
        <w:tblW w:w="0" w:type="auto"/>
        <w:tblInd w:w="3" w:type="dxa"/>
        <w:tblLayout w:type="fixed"/>
        <w:tblCellMar>
          <w:left w:w="0" w:type="dxa"/>
          <w:right w:w="0" w:type="dxa"/>
        </w:tblCellMar>
        <w:tblLook w:val="04A0" w:firstRow="1" w:lastRow="0" w:firstColumn="1" w:lastColumn="0" w:noHBand="0" w:noVBand="1"/>
      </w:tblPr>
      <w:tblGrid>
        <w:gridCol w:w="1378"/>
        <w:gridCol w:w="7646"/>
      </w:tblGrid>
      <w:tr w:rsidR="005B6B63" w14:paraId="5D6BAFAA" w14:textId="77777777">
        <w:trPr>
          <w:trHeight w:hRule="exact" w:val="629"/>
        </w:trPr>
        <w:tc>
          <w:tcPr>
            <w:tcW w:w="1378" w:type="dxa"/>
            <w:tcBorders>
              <w:top w:val="single" w:sz="9" w:space="0" w:color="000000"/>
              <w:left w:val="single" w:sz="9" w:space="0" w:color="000000"/>
              <w:bottom w:val="single" w:sz="19" w:space="0" w:color="000000"/>
              <w:right w:val="single" w:sz="9" w:space="0" w:color="000000"/>
            </w:tcBorders>
            <w:shd w:val="clear" w:color="F1F1F1" w:fill="F1F1F1"/>
          </w:tcPr>
          <w:p w14:paraId="76A1F87B" w14:textId="77777777" w:rsidR="005B6B63" w:rsidRDefault="00204F49" w:rsidP="002310E4">
            <w:pPr>
              <w:spacing w:before="80" w:after="71" w:line="236" w:lineRule="exact"/>
              <w:ind w:left="108"/>
              <w:textAlignment w:val="baseline"/>
              <w:rPr>
                <w:rFonts w:ascii="Cambria" w:eastAsia="Cambria" w:hAnsi="Cambria"/>
                <w:b/>
                <w:color w:val="000000"/>
                <w:sz w:val="20"/>
              </w:rPr>
            </w:pPr>
            <w:r>
              <w:rPr>
                <w:rFonts w:ascii="Cambria" w:eastAsia="Cambria" w:hAnsi="Cambria"/>
                <w:b/>
                <w:color w:val="000000"/>
                <w:sz w:val="20"/>
              </w:rPr>
              <w:t>Section Changed</w:t>
            </w:r>
          </w:p>
        </w:tc>
        <w:tc>
          <w:tcPr>
            <w:tcW w:w="7646" w:type="dxa"/>
            <w:tcBorders>
              <w:top w:val="single" w:sz="9" w:space="0" w:color="000000"/>
              <w:left w:val="single" w:sz="9" w:space="0" w:color="000000"/>
              <w:bottom w:val="single" w:sz="19" w:space="0" w:color="000000"/>
              <w:right w:val="single" w:sz="9" w:space="0" w:color="000000"/>
            </w:tcBorders>
            <w:shd w:val="clear" w:color="F1F1F1" w:fill="F1F1F1"/>
            <w:vAlign w:val="center"/>
          </w:tcPr>
          <w:p w14:paraId="3EC66DB6" w14:textId="77777777" w:rsidR="005B6B63" w:rsidRDefault="00204F49" w:rsidP="002310E4">
            <w:pPr>
              <w:spacing w:before="215" w:after="194" w:line="214" w:lineRule="exact"/>
              <w:ind w:left="115"/>
              <w:textAlignment w:val="baseline"/>
              <w:rPr>
                <w:rFonts w:ascii="Cambria" w:eastAsia="Cambria" w:hAnsi="Cambria"/>
                <w:b/>
                <w:color w:val="000000"/>
                <w:sz w:val="20"/>
              </w:rPr>
            </w:pPr>
            <w:r>
              <w:rPr>
                <w:rFonts w:ascii="Cambria" w:eastAsia="Cambria" w:hAnsi="Cambria"/>
                <w:b/>
                <w:color w:val="000000"/>
                <w:sz w:val="20"/>
              </w:rPr>
              <w:t>Summary of new information</w:t>
            </w:r>
          </w:p>
        </w:tc>
      </w:tr>
      <w:tr w:rsidR="005B6B63" w14:paraId="26BF673E" w14:textId="77777777">
        <w:trPr>
          <w:trHeight w:hRule="exact" w:val="374"/>
        </w:trPr>
        <w:tc>
          <w:tcPr>
            <w:tcW w:w="1378" w:type="dxa"/>
            <w:tcBorders>
              <w:top w:val="single" w:sz="19" w:space="0" w:color="000000"/>
              <w:left w:val="single" w:sz="9" w:space="0" w:color="000000"/>
              <w:bottom w:val="single" w:sz="9" w:space="0" w:color="000000"/>
              <w:right w:val="single" w:sz="9" w:space="0" w:color="000000"/>
            </w:tcBorders>
            <w:vAlign w:val="center"/>
          </w:tcPr>
          <w:p w14:paraId="073EF0B7" w14:textId="77777777" w:rsidR="005B6B63" w:rsidRDefault="005B6B63" w:rsidP="002310E4">
            <w:pPr>
              <w:spacing w:before="77" w:after="58" w:line="234" w:lineRule="exact"/>
              <w:ind w:left="115"/>
              <w:textAlignment w:val="baseline"/>
              <w:rPr>
                <w:rFonts w:ascii="Cambria" w:eastAsia="Cambria" w:hAnsi="Cambria"/>
                <w:b/>
                <w:color w:val="000000"/>
              </w:rPr>
            </w:pPr>
          </w:p>
        </w:tc>
        <w:tc>
          <w:tcPr>
            <w:tcW w:w="7646" w:type="dxa"/>
            <w:tcBorders>
              <w:top w:val="single" w:sz="19" w:space="0" w:color="000000"/>
              <w:left w:val="single" w:sz="9" w:space="0" w:color="000000"/>
              <w:bottom w:val="single" w:sz="9" w:space="0" w:color="000000"/>
              <w:right w:val="single" w:sz="9" w:space="0" w:color="000000"/>
            </w:tcBorders>
            <w:vAlign w:val="center"/>
          </w:tcPr>
          <w:p w14:paraId="14A55BCC" w14:textId="77777777" w:rsidR="005B6B63" w:rsidRDefault="005B6B63" w:rsidP="002310E4">
            <w:pPr>
              <w:spacing w:before="77" w:after="58" w:line="234" w:lineRule="exact"/>
              <w:ind w:left="115"/>
              <w:textAlignment w:val="baseline"/>
              <w:rPr>
                <w:rFonts w:ascii="Cambria" w:eastAsia="Cambria" w:hAnsi="Cambria"/>
                <w:color w:val="000000"/>
              </w:rPr>
            </w:pPr>
          </w:p>
        </w:tc>
      </w:tr>
      <w:tr w:rsidR="005B6B63" w14:paraId="06DB1506" w14:textId="77777777">
        <w:trPr>
          <w:trHeight w:hRule="exact" w:val="403"/>
        </w:trPr>
        <w:tc>
          <w:tcPr>
            <w:tcW w:w="1378" w:type="dxa"/>
            <w:tcBorders>
              <w:top w:val="single" w:sz="9" w:space="0" w:color="000000"/>
              <w:left w:val="single" w:sz="9" w:space="0" w:color="000000"/>
              <w:bottom w:val="single" w:sz="9" w:space="0" w:color="000000"/>
              <w:right w:val="single" w:sz="9" w:space="0" w:color="000000"/>
            </w:tcBorders>
            <w:vAlign w:val="center"/>
          </w:tcPr>
          <w:p w14:paraId="17E88FF7" w14:textId="77777777" w:rsidR="005B6B63" w:rsidRDefault="005B6B63" w:rsidP="002310E4">
            <w:pPr>
              <w:spacing w:before="92" w:after="72" w:line="234" w:lineRule="exact"/>
              <w:ind w:left="115"/>
              <w:textAlignment w:val="baseline"/>
              <w:rPr>
                <w:rFonts w:ascii="Cambria" w:eastAsia="Cambria" w:hAnsi="Cambria"/>
                <w:b/>
                <w:color w:val="000000"/>
              </w:rPr>
            </w:pPr>
          </w:p>
        </w:tc>
        <w:tc>
          <w:tcPr>
            <w:tcW w:w="7646" w:type="dxa"/>
            <w:tcBorders>
              <w:top w:val="single" w:sz="9" w:space="0" w:color="000000"/>
              <w:left w:val="single" w:sz="9" w:space="0" w:color="000000"/>
              <w:bottom w:val="single" w:sz="9" w:space="0" w:color="000000"/>
              <w:right w:val="single" w:sz="9" w:space="0" w:color="000000"/>
            </w:tcBorders>
            <w:vAlign w:val="center"/>
          </w:tcPr>
          <w:p w14:paraId="4FE7B36C" w14:textId="77777777" w:rsidR="005B6B63" w:rsidRDefault="005B6B63" w:rsidP="002310E4">
            <w:pPr>
              <w:spacing w:before="92" w:after="72" w:line="234" w:lineRule="exact"/>
              <w:ind w:left="115"/>
              <w:textAlignment w:val="baseline"/>
              <w:rPr>
                <w:rFonts w:ascii="Cambria" w:eastAsia="Cambria" w:hAnsi="Cambria"/>
                <w:color w:val="000000"/>
              </w:rPr>
            </w:pPr>
          </w:p>
        </w:tc>
      </w:tr>
    </w:tbl>
    <w:p w14:paraId="3E067F93" w14:textId="77777777" w:rsidR="005B6B63" w:rsidRDefault="005B6B63" w:rsidP="00DE1FF4">
      <w:pPr>
        <w:tabs>
          <w:tab w:val="left" w:pos="4248"/>
          <w:tab w:val="right" w:pos="9000"/>
        </w:tabs>
        <w:spacing w:before="21" w:line="212" w:lineRule="exact"/>
        <w:textAlignment w:val="baseline"/>
        <w:rPr>
          <w:rFonts w:ascii="Cambria" w:eastAsia="Cambria" w:hAnsi="Cambria"/>
          <w:color w:val="000000"/>
          <w:sz w:val="20"/>
        </w:rPr>
      </w:pPr>
    </w:p>
    <w:sectPr w:rsidR="005B6B63" w:rsidSect="002D108A">
      <w:headerReference w:type="even" r:id="rId8"/>
      <w:headerReference w:type="default" r:id="rId9"/>
      <w:footerReference w:type="even" r:id="rId10"/>
      <w:footerReference w:type="default" r:id="rId11"/>
      <w:headerReference w:type="first" r:id="rId12"/>
      <w:footerReference w:type="first" r:id="rId13"/>
      <w:type w:val="continuous"/>
      <w:pgSz w:w="11909" w:h="16838"/>
      <w:pgMar w:top="1440" w:right="1440" w:bottom="12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452A1" w14:textId="77777777" w:rsidR="00FE721D" w:rsidRDefault="00FE721D" w:rsidP="005A369B">
      <w:r>
        <w:separator/>
      </w:r>
    </w:p>
  </w:endnote>
  <w:endnote w:type="continuationSeparator" w:id="0">
    <w:p w14:paraId="0BD63481" w14:textId="77777777" w:rsidR="00FE721D" w:rsidRDefault="00FE721D" w:rsidP="005A3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A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mbria">
    <w:charset w:val="00"/>
    <w:pitch w:val="variable"/>
    <w:family w:val="roman"/>
    <w:panose1 w:val="02020603050405020304"/>
  </w:font>
  <w:font w:name="Segoe UI Symbo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BB50B" w14:textId="77777777" w:rsidR="00A75C56" w:rsidRDefault="00A75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666106"/>
      <w:docPartObj>
        <w:docPartGallery w:val="Page Numbers (Bottom of Page)"/>
        <w:docPartUnique/>
      </w:docPartObj>
    </w:sdtPr>
    <w:sdtEndPr>
      <w:rPr>
        <w:noProof/>
      </w:rPr>
    </w:sdtEndPr>
    <w:sdtContent>
      <w:p w14:paraId="0E3DB0AA" w14:textId="6617DC74" w:rsidR="00FE721D" w:rsidRDefault="00FE721D" w:rsidP="00E02643">
        <w:pPr>
          <w:pStyle w:val="Footer"/>
          <w:pBdr>
            <w:top w:val="single" w:sz="4" w:space="1" w:color="auto"/>
          </w:pBdr>
        </w:pPr>
        <w:r>
          <w:t>PI V5-0321</w:t>
        </w:r>
        <w:r>
          <w:tab/>
        </w:r>
        <w:r>
          <w:tab/>
        </w:r>
        <w:r>
          <w:fldChar w:fldCharType="begin"/>
        </w:r>
        <w:r>
          <w:instrText xml:space="preserve"> PAGE   \* MERGEFORMAT </w:instrText>
        </w:r>
        <w:r>
          <w:fldChar w:fldCharType="separate"/>
        </w:r>
        <w:r w:rsidR="00AE0055">
          <w:rPr>
            <w:noProof/>
          </w:rPr>
          <w:t>1</w:t>
        </w:r>
        <w:r>
          <w:rPr>
            <w:noProof/>
          </w:rPr>
          <w:fldChar w:fldCharType="end"/>
        </w:r>
      </w:p>
    </w:sdtContent>
  </w:sdt>
  <w:p w14:paraId="6FAF1CDB" w14:textId="77777777" w:rsidR="00FE721D" w:rsidRDefault="00FE72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39DE6" w14:textId="77777777" w:rsidR="00A75C56" w:rsidRDefault="00A75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5E245" w14:textId="77777777" w:rsidR="00FE721D" w:rsidRDefault="00FE721D" w:rsidP="005A369B">
      <w:r>
        <w:separator/>
      </w:r>
    </w:p>
  </w:footnote>
  <w:footnote w:type="continuationSeparator" w:id="0">
    <w:p w14:paraId="67F62927" w14:textId="77777777" w:rsidR="00FE721D" w:rsidRDefault="00FE721D" w:rsidP="005A3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4574C" w14:textId="77777777" w:rsidR="00A75C56" w:rsidRDefault="00A75C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472"/>
    </w:tblGrid>
    <w:tr w:rsidR="00A75C56" w:rsidRPr="000B2145" w14:paraId="04488B3A" w14:textId="77777777" w:rsidTr="00DE3BE5">
      <w:trPr>
        <w:trHeight w:val="590"/>
      </w:trPr>
      <w:tc>
        <w:tcPr>
          <w:tcW w:w="8472" w:type="dxa"/>
          <w:shd w:val="clear" w:color="auto" w:fill="E4F2E0"/>
        </w:tcPr>
        <w:p w14:paraId="2C1D8A1F" w14:textId="77777777" w:rsidR="00A75C56" w:rsidRPr="000B2145" w:rsidRDefault="00A75C56" w:rsidP="00A75C56">
          <w:pPr>
            <w:pStyle w:val="Footer"/>
            <w:rPr>
              <w:b/>
              <w:sz w:val="18"/>
              <w:szCs w:val="18"/>
            </w:rPr>
          </w:pPr>
          <w:r w:rsidRPr="000E7E13">
            <w:rPr>
              <w:b/>
              <w:sz w:val="18"/>
              <w:szCs w:val="18"/>
            </w:rPr>
            <w:t>Attachment 1:</w:t>
          </w:r>
          <w:r>
            <w:t xml:space="preserve"> </w:t>
          </w:r>
          <w:r w:rsidRPr="009111E0">
            <w:rPr>
              <w:b/>
              <w:sz w:val="18"/>
              <w:szCs w:val="18"/>
            </w:rPr>
            <w:t xml:space="preserve">AusPAR - </w:t>
          </w:r>
          <w:proofErr w:type="spellStart"/>
          <w:r w:rsidRPr="009111E0">
            <w:rPr>
              <w:b/>
              <w:sz w:val="18"/>
              <w:szCs w:val="18"/>
            </w:rPr>
            <w:t>Ovaleap</w:t>
          </w:r>
          <w:proofErr w:type="spellEnd"/>
          <w:r w:rsidRPr="009111E0">
            <w:rPr>
              <w:b/>
              <w:sz w:val="18"/>
              <w:szCs w:val="18"/>
            </w:rPr>
            <w:t xml:space="preserve"> - </w:t>
          </w:r>
          <w:proofErr w:type="spellStart"/>
          <w:r w:rsidRPr="009111E0">
            <w:rPr>
              <w:b/>
              <w:sz w:val="18"/>
              <w:szCs w:val="18"/>
            </w:rPr>
            <w:t>follitropin</w:t>
          </w:r>
          <w:proofErr w:type="spellEnd"/>
          <w:r w:rsidRPr="009111E0">
            <w:rPr>
              <w:b/>
              <w:sz w:val="18"/>
              <w:szCs w:val="18"/>
            </w:rPr>
            <w:t xml:space="preserve"> alfa - </w:t>
          </w:r>
          <w:proofErr w:type="spellStart"/>
          <w:r w:rsidRPr="009111E0">
            <w:rPr>
              <w:b/>
              <w:sz w:val="18"/>
              <w:szCs w:val="18"/>
            </w:rPr>
            <w:t>Theramex</w:t>
          </w:r>
          <w:proofErr w:type="spellEnd"/>
          <w:r w:rsidRPr="009111E0">
            <w:rPr>
              <w:b/>
              <w:sz w:val="18"/>
              <w:szCs w:val="18"/>
            </w:rPr>
            <w:t xml:space="preserve"> Australia Pty Ltd - PM-2019-05982-1-5</w:t>
          </w:r>
          <w:r>
            <w:rPr>
              <w:b/>
              <w:sz w:val="18"/>
              <w:szCs w:val="18"/>
            </w:rPr>
            <w:t xml:space="preserve"> </w:t>
          </w:r>
          <w:r w:rsidRPr="009111E0">
            <w:rPr>
              <w:b/>
              <w:sz w:val="18"/>
              <w:szCs w:val="18"/>
            </w:rPr>
            <w:t>FINAL 3 May 2021</w:t>
          </w:r>
          <w:r w:rsidRPr="00B51131">
            <w:rPr>
              <w:b/>
              <w:sz w:val="18"/>
              <w:szCs w:val="18"/>
            </w:rPr>
            <w:t>.</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14:paraId="030B747F" w14:textId="4498EB1F" w:rsidR="00FE721D" w:rsidRPr="00A75C56" w:rsidRDefault="00FE721D" w:rsidP="00A75C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A033B" w14:textId="77777777" w:rsidR="00A75C56" w:rsidRDefault="00A75C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43A5"/>
    <w:multiLevelType w:val="hybridMultilevel"/>
    <w:tmpl w:val="11CC0772"/>
    <w:lvl w:ilvl="0" w:tplc="176CEAE2">
      <w:start w:val="1"/>
      <w:numFmt w:val="decimal"/>
      <w:pStyle w:val="Heading1"/>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B65E46"/>
    <w:multiLevelType w:val="hybridMultilevel"/>
    <w:tmpl w:val="2A7412AC"/>
    <w:lvl w:ilvl="0" w:tplc="2B4C4AA0">
      <w:start w:val="1"/>
      <w:numFmt w:val="decimal"/>
      <w:lvlText w:val="%1."/>
      <w:lvlJc w:val="left"/>
      <w:pPr>
        <w:ind w:left="648" w:hanging="360"/>
      </w:pPr>
      <w:rPr>
        <w:rFonts w:hint="default"/>
      </w:rPr>
    </w:lvl>
    <w:lvl w:ilvl="1" w:tplc="0C090019" w:tentative="1">
      <w:start w:val="1"/>
      <w:numFmt w:val="lowerLetter"/>
      <w:lvlText w:val="%2."/>
      <w:lvlJc w:val="left"/>
      <w:pPr>
        <w:ind w:left="1368" w:hanging="360"/>
      </w:pPr>
    </w:lvl>
    <w:lvl w:ilvl="2" w:tplc="0C09001B" w:tentative="1">
      <w:start w:val="1"/>
      <w:numFmt w:val="lowerRoman"/>
      <w:lvlText w:val="%3."/>
      <w:lvlJc w:val="right"/>
      <w:pPr>
        <w:ind w:left="2088" w:hanging="180"/>
      </w:pPr>
    </w:lvl>
    <w:lvl w:ilvl="3" w:tplc="0C09000F" w:tentative="1">
      <w:start w:val="1"/>
      <w:numFmt w:val="decimal"/>
      <w:lvlText w:val="%4."/>
      <w:lvlJc w:val="left"/>
      <w:pPr>
        <w:ind w:left="2808" w:hanging="360"/>
      </w:pPr>
    </w:lvl>
    <w:lvl w:ilvl="4" w:tplc="0C090019" w:tentative="1">
      <w:start w:val="1"/>
      <w:numFmt w:val="lowerLetter"/>
      <w:lvlText w:val="%5."/>
      <w:lvlJc w:val="left"/>
      <w:pPr>
        <w:ind w:left="3528" w:hanging="360"/>
      </w:pPr>
    </w:lvl>
    <w:lvl w:ilvl="5" w:tplc="0C09001B" w:tentative="1">
      <w:start w:val="1"/>
      <w:numFmt w:val="lowerRoman"/>
      <w:lvlText w:val="%6."/>
      <w:lvlJc w:val="right"/>
      <w:pPr>
        <w:ind w:left="4248" w:hanging="180"/>
      </w:pPr>
    </w:lvl>
    <w:lvl w:ilvl="6" w:tplc="0C09000F" w:tentative="1">
      <w:start w:val="1"/>
      <w:numFmt w:val="decimal"/>
      <w:lvlText w:val="%7."/>
      <w:lvlJc w:val="left"/>
      <w:pPr>
        <w:ind w:left="4968" w:hanging="360"/>
      </w:pPr>
    </w:lvl>
    <w:lvl w:ilvl="7" w:tplc="0C090019" w:tentative="1">
      <w:start w:val="1"/>
      <w:numFmt w:val="lowerLetter"/>
      <w:lvlText w:val="%8."/>
      <w:lvlJc w:val="left"/>
      <w:pPr>
        <w:ind w:left="5688" w:hanging="360"/>
      </w:pPr>
    </w:lvl>
    <w:lvl w:ilvl="8" w:tplc="0C09001B" w:tentative="1">
      <w:start w:val="1"/>
      <w:numFmt w:val="lowerRoman"/>
      <w:lvlText w:val="%9."/>
      <w:lvlJc w:val="right"/>
      <w:pPr>
        <w:ind w:left="6408" w:hanging="180"/>
      </w:pPr>
    </w:lvl>
  </w:abstractNum>
  <w:abstractNum w:abstractNumId="2" w15:restartNumberingAfterBreak="0">
    <w:nsid w:val="096237E4"/>
    <w:multiLevelType w:val="multilevel"/>
    <w:tmpl w:val="E744A650"/>
    <w:lvl w:ilvl="0">
      <w:start w:val="1"/>
      <w:numFmt w:val="decimal"/>
      <w:lvlText w:val="%1."/>
      <w:lvlJc w:val="left"/>
      <w:pPr>
        <w:tabs>
          <w:tab w:val="left" w:pos="288"/>
        </w:tabs>
      </w:pPr>
      <w:rPr>
        <w:rFonts w:ascii="Cambria" w:eastAsia="Cambria" w:hAnsi="Cambria"/>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E73D7D"/>
    <w:multiLevelType w:val="multilevel"/>
    <w:tmpl w:val="2BF4B21E"/>
    <w:lvl w:ilvl="0">
      <w:start w:val="4"/>
      <w:numFmt w:val="decimal"/>
      <w:lvlText w:val="%1"/>
      <w:lvlJc w:val="left"/>
      <w:pPr>
        <w:ind w:left="365" w:hanging="3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AA560E3"/>
    <w:multiLevelType w:val="multilevel"/>
    <w:tmpl w:val="522E36B6"/>
    <w:lvl w:ilvl="0">
      <w:start w:val="4"/>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15B6501"/>
    <w:multiLevelType w:val="multilevel"/>
    <w:tmpl w:val="5346FE32"/>
    <w:lvl w:ilvl="0">
      <w:start w:val="6"/>
      <w:numFmt w:val="decimal"/>
      <w:lvlText w:val="%1"/>
      <w:lvlJc w:val="left"/>
      <w:pPr>
        <w:ind w:left="365" w:hanging="365"/>
      </w:pPr>
      <w:rPr>
        <w:rFonts w:hint="default"/>
      </w:rPr>
    </w:lvl>
    <w:lvl w:ilvl="1">
      <w:start w:val="4"/>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2B47CEB"/>
    <w:multiLevelType w:val="multilevel"/>
    <w:tmpl w:val="3A1E19CC"/>
    <w:lvl w:ilvl="0">
      <w:numFmt w:val="bullet"/>
      <w:lvlText w:val="·"/>
      <w:lvlJc w:val="left"/>
      <w:pPr>
        <w:tabs>
          <w:tab w:val="left" w:pos="360"/>
        </w:tabs>
      </w:pPr>
      <w:rPr>
        <w:rFonts w:ascii="Symbol" w:eastAsia="Symbol" w:hAnsi="Symbo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917229"/>
    <w:multiLevelType w:val="multilevel"/>
    <w:tmpl w:val="992E27BC"/>
    <w:lvl w:ilvl="0">
      <w:numFmt w:val="bullet"/>
      <w:lvlText w:val="·"/>
      <w:lvlJc w:val="left"/>
      <w:pPr>
        <w:tabs>
          <w:tab w:val="left" w:pos="288"/>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E53AFD"/>
    <w:multiLevelType w:val="hybridMultilevel"/>
    <w:tmpl w:val="75D6F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2A3450"/>
    <w:multiLevelType w:val="multilevel"/>
    <w:tmpl w:val="34A63D0C"/>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7"/>
  </w:num>
  <w:num w:numId="3">
    <w:abstractNumId w:val="6"/>
  </w:num>
  <w:num w:numId="4">
    <w:abstractNumId w:val="0"/>
  </w:num>
  <w:num w:numId="5">
    <w:abstractNumId w:val="3"/>
  </w:num>
  <w:num w:numId="6">
    <w:abstractNumId w:val="5"/>
  </w:num>
  <w:num w:numId="7">
    <w:abstractNumId w:val="5"/>
    <w:lvlOverride w:ilvl="0">
      <w:startOverride w:val="5"/>
    </w:lvlOverride>
    <w:lvlOverride w:ilvl="1">
      <w:startOverride w:val="1"/>
    </w:lvlOverride>
  </w:num>
  <w:num w:numId="8">
    <w:abstractNumId w:val="5"/>
    <w:lvlOverride w:ilvl="0">
      <w:startOverride w:val="5"/>
    </w:lvlOverride>
    <w:lvlOverride w:ilvl="1">
      <w:startOverride w:val="1"/>
    </w:lvlOverride>
  </w:num>
  <w:num w:numId="9">
    <w:abstractNumId w:val="5"/>
    <w:lvlOverride w:ilvl="0">
      <w:startOverride w:val="5"/>
    </w:lvlOverride>
    <w:lvlOverride w:ilvl="1">
      <w:startOverride w:val="1"/>
    </w:lvlOverride>
  </w:num>
  <w:num w:numId="10">
    <w:abstractNumId w:val="5"/>
    <w:lvlOverride w:ilvl="0">
      <w:startOverride w:val="5"/>
    </w:lvlOverride>
    <w:lvlOverride w:ilvl="1">
      <w:startOverride w:val="1"/>
    </w:lvlOverride>
  </w:num>
  <w:num w:numId="11">
    <w:abstractNumId w:val="5"/>
    <w:lvlOverride w:ilvl="0">
      <w:startOverride w:val="6"/>
    </w:lvlOverride>
    <w:lvlOverride w:ilvl="1">
      <w:startOverride w:val="1"/>
    </w:lvlOverride>
  </w:num>
  <w:num w:numId="12">
    <w:abstractNumId w:val="8"/>
  </w:num>
  <w:num w:numId="13">
    <w:abstractNumId w:val="5"/>
  </w:num>
  <w:num w:numId="14">
    <w:abstractNumId w:val="5"/>
  </w:num>
  <w:num w:numId="15">
    <w:abstractNumId w:val="5"/>
  </w:num>
  <w:num w:numId="16">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9"/>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hdrShapeDefaults>
    <o:shapedefaults v:ext="edit" spidmax="38913"/>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B63"/>
    <w:rsid w:val="0005515D"/>
    <w:rsid w:val="00127F84"/>
    <w:rsid w:val="00142775"/>
    <w:rsid w:val="00194B56"/>
    <w:rsid w:val="001A679A"/>
    <w:rsid w:val="001B00C2"/>
    <w:rsid w:val="00202AE7"/>
    <w:rsid w:val="00204F49"/>
    <w:rsid w:val="00206F14"/>
    <w:rsid w:val="00212CF6"/>
    <w:rsid w:val="00224D18"/>
    <w:rsid w:val="002310E4"/>
    <w:rsid w:val="00247091"/>
    <w:rsid w:val="00270DAF"/>
    <w:rsid w:val="00273EFB"/>
    <w:rsid w:val="002B5D48"/>
    <w:rsid w:val="002D108A"/>
    <w:rsid w:val="002E7B5E"/>
    <w:rsid w:val="002F5BCA"/>
    <w:rsid w:val="003044A2"/>
    <w:rsid w:val="00324195"/>
    <w:rsid w:val="003B5A02"/>
    <w:rsid w:val="003F3536"/>
    <w:rsid w:val="003F7A7A"/>
    <w:rsid w:val="00465784"/>
    <w:rsid w:val="004B7B53"/>
    <w:rsid w:val="004D1CBE"/>
    <w:rsid w:val="004D492D"/>
    <w:rsid w:val="004F6290"/>
    <w:rsid w:val="00501858"/>
    <w:rsid w:val="0051744F"/>
    <w:rsid w:val="005457BD"/>
    <w:rsid w:val="005705A4"/>
    <w:rsid w:val="00575B94"/>
    <w:rsid w:val="00586D80"/>
    <w:rsid w:val="005A0C8A"/>
    <w:rsid w:val="005A369B"/>
    <w:rsid w:val="005B2766"/>
    <w:rsid w:val="005B570B"/>
    <w:rsid w:val="005B6B63"/>
    <w:rsid w:val="005D5A8D"/>
    <w:rsid w:val="005F0C9D"/>
    <w:rsid w:val="00605728"/>
    <w:rsid w:val="006506EB"/>
    <w:rsid w:val="0068062D"/>
    <w:rsid w:val="006908D3"/>
    <w:rsid w:val="006A09B1"/>
    <w:rsid w:val="006B7F1B"/>
    <w:rsid w:val="00740B5C"/>
    <w:rsid w:val="0075235C"/>
    <w:rsid w:val="0079343C"/>
    <w:rsid w:val="00821019"/>
    <w:rsid w:val="008524DA"/>
    <w:rsid w:val="0085475A"/>
    <w:rsid w:val="008A087F"/>
    <w:rsid w:val="008C2637"/>
    <w:rsid w:val="008E386A"/>
    <w:rsid w:val="00930426"/>
    <w:rsid w:val="00951624"/>
    <w:rsid w:val="00961632"/>
    <w:rsid w:val="00973078"/>
    <w:rsid w:val="00992733"/>
    <w:rsid w:val="00A40688"/>
    <w:rsid w:val="00A57610"/>
    <w:rsid w:val="00A57C8A"/>
    <w:rsid w:val="00A75C56"/>
    <w:rsid w:val="00A83015"/>
    <w:rsid w:val="00A9708A"/>
    <w:rsid w:val="00AE0055"/>
    <w:rsid w:val="00B04708"/>
    <w:rsid w:val="00B55452"/>
    <w:rsid w:val="00B565CA"/>
    <w:rsid w:val="00BA20D9"/>
    <w:rsid w:val="00C23C1C"/>
    <w:rsid w:val="00C47CDF"/>
    <w:rsid w:val="00C72DE4"/>
    <w:rsid w:val="00CB71E9"/>
    <w:rsid w:val="00CC723E"/>
    <w:rsid w:val="00CE17C1"/>
    <w:rsid w:val="00CF171D"/>
    <w:rsid w:val="00D44090"/>
    <w:rsid w:val="00D7649D"/>
    <w:rsid w:val="00D764D9"/>
    <w:rsid w:val="00D9498D"/>
    <w:rsid w:val="00D95820"/>
    <w:rsid w:val="00DE1FF4"/>
    <w:rsid w:val="00E01931"/>
    <w:rsid w:val="00E02643"/>
    <w:rsid w:val="00E253EA"/>
    <w:rsid w:val="00EA145E"/>
    <w:rsid w:val="00EC3A89"/>
    <w:rsid w:val="00ED5F38"/>
    <w:rsid w:val="00EE607A"/>
    <w:rsid w:val="00EF76A4"/>
    <w:rsid w:val="00F43A0A"/>
    <w:rsid w:val="00F538E5"/>
    <w:rsid w:val="00F63376"/>
    <w:rsid w:val="00FD275C"/>
    <w:rsid w:val="00FD3552"/>
    <w:rsid w:val="00FE72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870B95D"/>
  <w15:docId w15:val="{B28FC5C1-DC4E-4CBF-AA72-BCB27C8C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42775"/>
    <w:pPr>
      <w:numPr>
        <w:numId w:val="4"/>
      </w:numPr>
      <w:spacing w:before="320" w:line="298" w:lineRule="exact"/>
      <w:ind w:left="567" w:hanging="567"/>
      <w:textAlignment w:val="baseline"/>
      <w:outlineLvl w:val="0"/>
    </w:pPr>
    <w:rPr>
      <w:rFonts w:ascii="Cambria" w:eastAsia="Cambria" w:hAnsi="Cambria"/>
      <w:b/>
      <w:color w:val="000000"/>
      <w:spacing w:val="8"/>
      <w:sz w:val="24"/>
    </w:rPr>
  </w:style>
  <w:style w:type="paragraph" w:styleId="Heading2">
    <w:name w:val="heading 2"/>
    <w:basedOn w:val="Heading1"/>
    <w:next w:val="Normal"/>
    <w:link w:val="Heading2Char"/>
    <w:uiPriority w:val="9"/>
    <w:unhideWhenUsed/>
    <w:qFormat/>
    <w:rsid w:val="00142775"/>
    <w:pPr>
      <w:numPr>
        <w:ilvl w:val="1"/>
        <w:numId w:val="6"/>
      </w:num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775"/>
    <w:rPr>
      <w:rFonts w:ascii="Cambria" w:eastAsia="Cambria" w:hAnsi="Cambria"/>
      <w:b/>
      <w:color w:val="000000"/>
      <w:spacing w:val="8"/>
      <w:sz w:val="24"/>
    </w:rPr>
  </w:style>
  <w:style w:type="character" w:customStyle="1" w:styleId="Heading2Char">
    <w:name w:val="Heading 2 Char"/>
    <w:basedOn w:val="DefaultParagraphFont"/>
    <w:link w:val="Heading2"/>
    <w:uiPriority w:val="9"/>
    <w:rsid w:val="00142775"/>
    <w:rPr>
      <w:rFonts w:ascii="Cambria" w:eastAsia="Cambria" w:hAnsi="Cambria"/>
      <w:b/>
      <w:color w:val="000000"/>
      <w:spacing w:val="8"/>
      <w:sz w:val="24"/>
    </w:rPr>
  </w:style>
  <w:style w:type="paragraph" w:styleId="ListParagraph">
    <w:name w:val="List Paragraph"/>
    <w:basedOn w:val="Normal"/>
    <w:uiPriority w:val="34"/>
    <w:qFormat/>
    <w:rsid w:val="00142775"/>
    <w:pPr>
      <w:ind w:left="720"/>
      <w:contextualSpacing/>
    </w:pPr>
  </w:style>
  <w:style w:type="paragraph" w:styleId="Header">
    <w:name w:val="header"/>
    <w:basedOn w:val="Normal"/>
    <w:link w:val="HeaderChar"/>
    <w:uiPriority w:val="99"/>
    <w:unhideWhenUsed/>
    <w:rsid w:val="005A369B"/>
    <w:pPr>
      <w:tabs>
        <w:tab w:val="center" w:pos="4513"/>
        <w:tab w:val="right" w:pos="9026"/>
      </w:tabs>
    </w:pPr>
  </w:style>
  <w:style w:type="character" w:customStyle="1" w:styleId="HeaderChar">
    <w:name w:val="Header Char"/>
    <w:basedOn w:val="DefaultParagraphFont"/>
    <w:link w:val="Header"/>
    <w:uiPriority w:val="99"/>
    <w:rsid w:val="005A369B"/>
  </w:style>
  <w:style w:type="paragraph" w:styleId="Footer">
    <w:name w:val="footer"/>
    <w:basedOn w:val="Normal"/>
    <w:link w:val="FooterChar"/>
    <w:unhideWhenUsed/>
    <w:rsid w:val="005A369B"/>
    <w:pPr>
      <w:tabs>
        <w:tab w:val="center" w:pos="4513"/>
        <w:tab w:val="right" w:pos="9026"/>
      </w:tabs>
    </w:pPr>
  </w:style>
  <w:style w:type="character" w:customStyle="1" w:styleId="FooterChar">
    <w:name w:val="Footer Char"/>
    <w:basedOn w:val="DefaultParagraphFont"/>
    <w:link w:val="Footer"/>
    <w:rsid w:val="005A369B"/>
  </w:style>
  <w:style w:type="paragraph" w:styleId="BalloonText">
    <w:name w:val="Balloon Text"/>
    <w:basedOn w:val="Normal"/>
    <w:link w:val="BalloonTextChar"/>
    <w:uiPriority w:val="99"/>
    <w:semiHidden/>
    <w:unhideWhenUsed/>
    <w:rsid w:val="009616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632"/>
    <w:rPr>
      <w:rFonts w:ascii="Segoe UI" w:hAnsi="Segoe UI" w:cs="Segoe UI"/>
      <w:sz w:val="18"/>
      <w:szCs w:val="18"/>
    </w:rPr>
  </w:style>
  <w:style w:type="character" w:styleId="CommentReference">
    <w:name w:val="annotation reference"/>
    <w:basedOn w:val="DefaultParagraphFont"/>
    <w:uiPriority w:val="99"/>
    <w:semiHidden/>
    <w:unhideWhenUsed/>
    <w:rsid w:val="00C72DE4"/>
    <w:rPr>
      <w:sz w:val="16"/>
      <w:szCs w:val="16"/>
    </w:rPr>
  </w:style>
  <w:style w:type="paragraph" w:styleId="CommentText">
    <w:name w:val="annotation text"/>
    <w:basedOn w:val="Normal"/>
    <w:link w:val="CommentTextChar"/>
    <w:uiPriority w:val="99"/>
    <w:semiHidden/>
    <w:unhideWhenUsed/>
    <w:rsid w:val="00C72DE4"/>
    <w:rPr>
      <w:sz w:val="20"/>
      <w:szCs w:val="20"/>
    </w:rPr>
  </w:style>
  <w:style w:type="character" w:customStyle="1" w:styleId="CommentTextChar">
    <w:name w:val="Comment Text Char"/>
    <w:basedOn w:val="DefaultParagraphFont"/>
    <w:link w:val="CommentText"/>
    <w:uiPriority w:val="99"/>
    <w:semiHidden/>
    <w:rsid w:val="00C72DE4"/>
    <w:rPr>
      <w:sz w:val="20"/>
      <w:szCs w:val="20"/>
    </w:rPr>
  </w:style>
  <w:style w:type="paragraph" w:styleId="CommentSubject">
    <w:name w:val="annotation subject"/>
    <w:basedOn w:val="CommentText"/>
    <w:next w:val="CommentText"/>
    <w:link w:val="CommentSubjectChar"/>
    <w:uiPriority w:val="99"/>
    <w:semiHidden/>
    <w:unhideWhenUsed/>
    <w:rsid w:val="00C72DE4"/>
    <w:rPr>
      <w:b/>
      <w:bCs/>
    </w:rPr>
  </w:style>
  <w:style w:type="character" w:customStyle="1" w:styleId="CommentSubjectChar">
    <w:name w:val="Comment Subject Char"/>
    <w:basedOn w:val="CommentTextChar"/>
    <w:link w:val="CommentSubject"/>
    <w:uiPriority w:val="99"/>
    <w:semiHidden/>
    <w:rsid w:val="00C72DE4"/>
    <w:rPr>
      <w:b/>
      <w:bCs/>
      <w:sz w:val="20"/>
      <w:szCs w:val="20"/>
    </w:rPr>
  </w:style>
  <w:style w:type="table" w:styleId="TableGrid">
    <w:name w:val="Table Grid"/>
    <w:basedOn w:val="TableNormal"/>
    <w:uiPriority w:val="59"/>
    <w:rsid w:val="00854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0426"/>
    <w:pPr>
      <w:autoSpaceDE w:val="0"/>
      <w:autoSpaceDN w:val="0"/>
      <w:adjustRightInd w:val="0"/>
    </w:pPr>
    <w:rPr>
      <w:rFonts w:ascii="Arial" w:hAnsi="Arial" w:cs="Arial"/>
      <w:color w:val="000000"/>
      <w:sz w:val="24"/>
      <w:szCs w:val="24"/>
      <w:lang w:val="en-AU"/>
    </w:rPr>
  </w:style>
  <w:style w:type="paragraph" w:styleId="Revision">
    <w:name w:val="Revision"/>
    <w:hidden/>
    <w:uiPriority w:val="99"/>
    <w:semiHidden/>
    <w:rsid w:val="008C2637"/>
  </w:style>
  <w:style w:type="character" w:styleId="Hyperlink">
    <w:name w:val="Hyperlink"/>
    <w:basedOn w:val="DefaultParagraphFont"/>
    <w:uiPriority w:val="99"/>
    <w:unhideWhenUsed/>
    <w:rsid w:val="00A75C56"/>
    <w:rPr>
      <w:color w:val="0000FF"/>
      <w:u w:val="single"/>
    </w:rPr>
  </w:style>
  <w:style w:type="table" w:styleId="TableGridLight">
    <w:name w:val="Grid Table Light"/>
    <w:basedOn w:val="TableNormal"/>
    <w:uiPriority w:val="40"/>
    <w:rsid w:val="00A75C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680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EA448-B16C-4409-9A3E-F1CEFDC62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17</Pages>
  <Words>5546</Words>
  <Characters>32113</Characters>
  <Application>Microsoft Office Word</Application>
  <DocSecurity>0</DocSecurity>
  <Lines>783</Lines>
  <Paragraphs>470</Paragraphs>
  <ScaleCrop>false</ScaleCrop>
  <HeadingPairs>
    <vt:vector size="2" baseType="variant">
      <vt:variant>
        <vt:lpstr>Title</vt:lpstr>
      </vt:variant>
      <vt:variant>
        <vt:i4>1</vt:i4>
      </vt:variant>
    </vt:vector>
  </HeadingPairs>
  <TitlesOfParts>
    <vt:vector size="1" baseType="lpstr">
      <vt:lpstr>Attachment: Product Information for Follitropin alfa</vt:lpstr>
    </vt:vector>
  </TitlesOfParts>
  <Company>Theramex Australia Pty Ltd</Company>
  <LinksUpToDate>false</LinksUpToDate>
  <CharactersWithSpaces>37189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Follitropin alfa</dc:title>
  <dc:creator>Theramex Australia Pty Ltd</dc:creator>
  <cp:lastPrinted>2021-02-20T22:19:00Z</cp:lastPrinted>
  <dcterms:created xsi:type="dcterms:W3CDTF">2021-05-19T01:03:00Z</dcterms:created>
  <dcterms:modified xsi:type="dcterms:W3CDTF">2021-05-19T01:51:00Z</dcterms:modified>
</cp:coreProperties>
</file>