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EC244B" w:rsidRDefault="00744D30" w:rsidP="00EC244B">
            <w:pPr>
              <w:pStyle w:val="Date"/>
              <w:framePr w:hSpace="0" w:wrap="auto" w:vAnchor="margin" w:hAnchor="text" w:yAlign="inline"/>
              <w:suppressOverlap w:val="0"/>
            </w:pPr>
            <w:r w:rsidRPr="00EC244B">
              <w:t>Ju</w:t>
            </w:r>
            <w:r w:rsidR="00D13063" w:rsidRPr="00EC244B">
              <w:t>ly</w:t>
            </w:r>
            <w:r w:rsidR="00591928" w:rsidRPr="00EC244B">
              <w:t xml:space="preserve">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591928">
            <w:pPr>
              <w:pStyle w:val="Title"/>
              <w:rPr>
                <w:color w:val="FFFFFF" w:themeColor="background1"/>
              </w:rPr>
            </w:pPr>
            <w:r w:rsidRPr="00A964D1">
              <w:rPr>
                <w:color w:val="FFFFFF" w:themeColor="background1"/>
              </w:rPr>
              <w:t xml:space="preserve">Australian Public Assessment Report for </w:t>
            </w:r>
            <w:r w:rsidR="00591928">
              <w:rPr>
                <w:color w:val="FFFFFF" w:themeColor="background1"/>
              </w:rPr>
              <w:t xml:space="preserve">fluticasone propionate and </w:t>
            </w:r>
            <w:proofErr w:type="spellStart"/>
            <w:r w:rsidR="00591928">
              <w:rPr>
                <w:color w:val="FFFFFF" w:themeColor="background1"/>
              </w:rPr>
              <w:t>azelastine</w:t>
            </w:r>
            <w:proofErr w:type="spellEnd"/>
            <w:r w:rsidR="00591928">
              <w:rPr>
                <w:color w:val="FFFFFF" w:themeColor="background1"/>
              </w:rPr>
              <w:t xml:space="preserve"> hydrochloride</w:t>
            </w:r>
          </w:p>
        </w:tc>
      </w:tr>
      <w:tr w:rsidR="0032583B" w:rsidRPr="00B64760" w:rsidTr="0032583B">
        <w:tc>
          <w:tcPr>
            <w:tcW w:w="9079" w:type="dxa"/>
          </w:tcPr>
          <w:p w:rsidR="0032583B" w:rsidRPr="008E7846" w:rsidRDefault="0032583B" w:rsidP="00591928">
            <w:pPr>
              <w:pStyle w:val="Subtitle"/>
              <w:rPr>
                <w:color w:val="FFFFFF" w:themeColor="background1"/>
              </w:rPr>
            </w:pPr>
            <w:r w:rsidRPr="008E7846">
              <w:rPr>
                <w:color w:val="FFFFFF" w:themeColor="background1"/>
              </w:rPr>
              <w:t xml:space="preserve">Proprietary Product Name: </w:t>
            </w:r>
            <w:proofErr w:type="spellStart"/>
            <w:r w:rsidR="00591928">
              <w:rPr>
                <w:color w:val="FFFFFF" w:themeColor="background1"/>
              </w:rPr>
              <w:t>Dymista</w:t>
            </w:r>
            <w:proofErr w:type="spellEnd"/>
            <w:r w:rsidR="00591928">
              <w:rPr>
                <w:color w:val="FFFFFF" w:themeColor="background1"/>
              </w:rPr>
              <w:t>/</w:t>
            </w:r>
            <w:proofErr w:type="spellStart"/>
            <w:r w:rsidR="00591928">
              <w:rPr>
                <w:color w:val="FFFFFF" w:themeColor="background1"/>
              </w:rPr>
              <w:t>Dylastine</w:t>
            </w:r>
            <w:proofErr w:type="spellEnd"/>
          </w:p>
        </w:tc>
      </w:tr>
      <w:tr w:rsidR="0032583B" w:rsidRPr="00B64760" w:rsidTr="0032583B">
        <w:trPr>
          <w:trHeight w:val="486"/>
        </w:trPr>
        <w:tc>
          <w:tcPr>
            <w:tcW w:w="9079" w:type="dxa"/>
          </w:tcPr>
          <w:p w:rsidR="0032583B" w:rsidRPr="008E7846" w:rsidRDefault="00591928" w:rsidP="0032583B">
            <w:pPr>
              <w:pStyle w:val="Subtitle"/>
              <w:rPr>
                <w:color w:val="FFFFFF" w:themeColor="background1"/>
              </w:rPr>
            </w:pPr>
            <w:r>
              <w:rPr>
                <w:color w:val="FFFFFF" w:themeColor="background1"/>
              </w:rPr>
              <w:t xml:space="preserve">Sponsor: </w:t>
            </w:r>
            <w:proofErr w:type="spellStart"/>
            <w:r>
              <w:rPr>
                <w:color w:val="FFFFFF" w:themeColor="background1"/>
              </w:rPr>
              <w:t>Meda</w:t>
            </w:r>
            <w:proofErr w:type="spellEnd"/>
            <w:r>
              <w:rPr>
                <w:color w:val="FFFFFF" w:themeColor="background1"/>
              </w:rPr>
              <w:t xml:space="preserve"> Pharmaceuticals</w:t>
            </w:r>
            <w:r w:rsidR="00471CB5">
              <w:rPr>
                <w:color w:val="FFFFFF" w:themeColor="background1"/>
              </w:rPr>
              <w:t xml:space="preserv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FF370E"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6826937" w:history="1">
            <w:r w:rsidR="00FF370E" w:rsidRPr="000239E3">
              <w:rPr>
                <w:rStyle w:val="Hyperlink"/>
                <w:noProof/>
              </w:rPr>
              <w:t>List of the most common abbreviations used in this AusPAR</w:t>
            </w:r>
            <w:r w:rsidR="00FF370E">
              <w:rPr>
                <w:noProof/>
                <w:webHidden/>
              </w:rPr>
              <w:tab/>
            </w:r>
            <w:r w:rsidR="00FF370E">
              <w:rPr>
                <w:noProof/>
                <w:webHidden/>
              </w:rPr>
              <w:fldChar w:fldCharType="begin"/>
            </w:r>
            <w:r w:rsidR="00FF370E">
              <w:rPr>
                <w:noProof/>
                <w:webHidden/>
              </w:rPr>
              <w:instrText xml:space="preserve"> PAGEREF _Toc396826937 \h </w:instrText>
            </w:r>
            <w:r w:rsidR="00FF370E">
              <w:rPr>
                <w:noProof/>
                <w:webHidden/>
              </w:rPr>
            </w:r>
            <w:r w:rsidR="00FF370E">
              <w:rPr>
                <w:noProof/>
                <w:webHidden/>
              </w:rPr>
              <w:fldChar w:fldCharType="separate"/>
            </w:r>
            <w:r w:rsidR="00FF370E">
              <w:rPr>
                <w:noProof/>
                <w:webHidden/>
              </w:rPr>
              <w:t>5</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38" w:history="1">
            <w:r w:rsidR="00FF370E" w:rsidRPr="000239E3">
              <w:rPr>
                <w:rStyle w:val="Hyperlink"/>
                <w:noProof/>
              </w:rPr>
              <w:t>I. Introduction to product submission</w:t>
            </w:r>
            <w:r w:rsidR="00FF370E">
              <w:rPr>
                <w:noProof/>
                <w:webHidden/>
              </w:rPr>
              <w:tab/>
            </w:r>
            <w:r w:rsidR="00FF370E">
              <w:rPr>
                <w:noProof/>
                <w:webHidden/>
              </w:rPr>
              <w:fldChar w:fldCharType="begin"/>
            </w:r>
            <w:r w:rsidR="00FF370E">
              <w:rPr>
                <w:noProof/>
                <w:webHidden/>
              </w:rPr>
              <w:instrText xml:space="preserve"> PAGEREF _Toc396826938 \h </w:instrText>
            </w:r>
            <w:r w:rsidR="00FF370E">
              <w:rPr>
                <w:noProof/>
                <w:webHidden/>
              </w:rPr>
            </w:r>
            <w:r w:rsidR="00FF370E">
              <w:rPr>
                <w:noProof/>
                <w:webHidden/>
              </w:rPr>
              <w:fldChar w:fldCharType="separate"/>
            </w:r>
            <w:r w:rsidR="00FF370E">
              <w:rPr>
                <w:noProof/>
                <w:webHidden/>
              </w:rPr>
              <w:t>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39" w:history="1">
            <w:r w:rsidR="00FF370E" w:rsidRPr="000239E3">
              <w:rPr>
                <w:rStyle w:val="Hyperlink"/>
                <w:noProof/>
                <w:lang w:eastAsia="en-AU"/>
              </w:rPr>
              <w:t>Submission details</w:t>
            </w:r>
            <w:r w:rsidR="00FF370E">
              <w:rPr>
                <w:noProof/>
                <w:webHidden/>
              </w:rPr>
              <w:tab/>
            </w:r>
            <w:r w:rsidR="00FF370E">
              <w:rPr>
                <w:noProof/>
                <w:webHidden/>
              </w:rPr>
              <w:fldChar w:fldCharType="begin"/>
            </w:r>
            <w:r w:rsidR="00FF370E">
              <w:rPr>
                <w:noProof/>
                <w:webHidden/>
              </w:rPr>
              <w:instrText xml:space="preserve"> PAGEREF _Toc396826939 \h </w:instrText>
            </w:r>
            <w:r w:rsidR="00FF370E">
              <w:rPr>
                <w:noProof/>
                <w:webHidden/>
              </w:rPr>
            </w:r>
            <w:r w:rsidR="00FF370E">
              <w:rPr>
                <w:noProof/>
                <w:webHidden/>
              </w:rPr>
              <w:fldChar w:fldCharType="separate"/>
            </w:r>
            <w:r w:rsidR="00FF370E">
              <w:rPr>
                <w:noProof/>
                <w:webHidden/>
              </w:rPr>
              <w:t>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0" w:history="1">
            <w:r w:rsidR="00FF370E" w:rsidRPr="000239E3">
              <w:rPr>
                <w:rStyle w:val="Hyperlink"/>
                <w:noProof/>
              </w:rPr>
              <w:t>Product background</w:t>
            </w:r>
            <w:r w:rsidR="00FF370E">
              <w:rPr>
                <w:noProof/>
                <w:webHidden/>
              </w:rPr>
              <w:tab/>
            </w:r>
            <w:r w:rsidR="00FF370E">
              <w:rPr>
                <w:noProof/>
                <w:webHidden/>
              </w:rPr>
              <w:fldChar w:fldCharType="begin"/>
            </w:r>
            <w:r w:rsidR="00FF370E">
              <w:rPr>
                <w:noProof/>
                <w:webHidden/>
              </w:rPr>
              <w:instrText xml:space="preserve"> PAGEREF _Toc396826940 \h </w:instrText>
            </w:r>
            <w:r w:rsidR="00FF370E">
              <w:rPr>
                <w:noProof/>
                <w:webHidden/>
              </w:rPr>
            </w:r>
            <w:r w:rsidR="00FF370E">
              <w:rPr>
                <w:noProof/>
                <w:webHidden/>
              </w:rPr>
              <w:fldChar w:fldCharType="separate"/>
            </w:r>
            <w:r w:rsidR="00FF370E">
              <w:rPr>
                <w:noProof/>
                <w:webHidden/>
              </w:rPr>
              <w:t>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1" w:history="1">
            <w:r w:rsidR="00FF370E" w:rsidRPr="000239E3">
              <w:rPr>
                <w:rStyle w:val="Hyperlink"/>
                <w:noProof/>
              </w:rPr>
              <w:t>Regulatory status</w:t>
            </w:r>
            <w:r w:rsidR="00FF370E">
              <w:rPr>
                <w:noProof/>
                <w:webHidden/>
              </w:rPr>
              <w:tab/>
            </w:r>
            <w:r w:rsidR="00FF370E">
              <w:rPr>
                <w:noProof/>
                <w:webHidden/>
              </w:rPr>
              <w:fldChar w:fldCharType="begin"/>
            </w:r>
            <w:r w:rsidR="00FF370E">
              <w:rPr>
                <w:noProof/>
                <w:webHidden/>
              </w:rPr>
              <w:instrText xml:space="preserve"> PAGEREF _Toc396826941 \h </w:instrText>
            </w:r>
            <w:r w:rsidR="00FF370E">
              <w:rPr>
                <w:noProof/>
                <w:webHidden/>
              </w:rPr>
            </w:r>
            <w:r w:rsidR="00FF370E">
              <w:rPr>
                <w:noProof/>
                <w:webHidden/>
              </w:rPr>
              <w:fldChar w:fldCharType="separate"/>
            </w:r>
            <w:r w:rsidR="00FF370E">
              <w:rPr>
                <w:noProof/>
                <w:webHidden/>
              </w:rPr>
              <w:t>9</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2" w:history="1">
            <w:r w:rsidR="00FF370E" w:rsidRPr="000239E3">
              <w:rPr>
                <w:rStyle w:val="Hyperlink"/>
                <w:noProof/>
              </w:rPr>
              <w:t>Product information</w:t>
            </w:r>
            <w:r w:rsidR="00FF370E">
              <w:rPr>
                <w:noProof/>
                <w:webHidden/>
              </w:rPr>
              <w:tab/>
            </w:r>
            <w:r w:rsidR="00FF370E">
              <w:rPr>
                <w:noProof/>
                <w:webHidden/>
              </w:rPr>
              <w:fldChar w:fldCharType="begin"/>
            </w:r>
            <w:r w:rsidR="00FF370E">
              <w:rPr>
                <w:noProof/>
                <w:webHidden/>
              </w:rPr>
              <w:instrText xml:space="preserve"> PAGEREF _Toc396826942 \h </w:instrText>
            </w:r>
            <w:r w:rsidR="00FF370E">
              <w:rPr>
                <w:noProof/>
                <w:webHidden/>
              </w:rPr>
            </w:r>
            <w:r w:rsidR="00FF370E">
              <w:rPr>
                <w:noProof/>
                <w:webHidden/>
              </w:rPr>
              <w:fldChar w:fldCharType="separate"/>
            </w:r>
            <w:r w:rsidR="00FF370E">
              <w:rPr>
                <w:noProof/>
                <w:webHidden/>
              </w:rPr>
              <w:t>9</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43" w:history="1">
            <w:r w:rsidR="00FF370E" w:rsidRPr="000239E3">
              <w:rPr>
                <w:rStyle w:val="Hyperlink"/>
                <w:noProof/>
              </w:rPr>
              <w:t>II. Quality findings</w:t>
            </w:r>
            <w:r w:rsidR="00FF370E">
              <w:rPr>
                <w:noProof/>
                <w:webHidden/>
              </w:rPr>
              <w:tab/>
            </w:r>
            <w:r w:rsidR="00FF370E">
              <w:rPr>
                <w:noProof/>
                <w:webHidden/>
              </w:rPr>
              <w:fldChar w:fldCharType="begin"/>
            </w:r>
            <w:r w:rsidR="00FF370E">
              <w:rPr>
                <w:noProof/>
                <w:webHidden/>
              </w:rPr>
              <w:instrText xml:space="preserve"> PAGEREF _Toc396826943 \h </w:instrText>
            </w:r>
            <w:r w:rsidR="00FF370E">
              <w:rPr>
                <w:noProof/>
                <w:webHidden/>
              </w:rPr>
            </w:r>
            <w:r w:rsidR="00FF370E">
              <w:rPr>
                <w:noProof/>
                <w:webHidden/>
              </w:rPr>
              <w:fldChar w:fldCharType="separate"/>
            </w:r>
            <w:r w:rsidR="00FF370E">
              <w:rPr>
                <w:noProof/>
                <w:webHidden/>
              </w:rPr>
              <w:t>9</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4" w:history="1">
            <w:r w:rsidR="00FF370E" w:rsidRPr="000239E3">
              <w:rPr>
                <w:rStyle w:val="Hyperlink"/>
                <w:noProof/>
              </w:rPr>
              <w:t>Introduction</w:t>
            </w:r>
            <w:r w:rsidR="00FF370E">
              <w:rPr>
                <w:noProof/>
                <w:webHidden/>
              </w:rPr>
              <w:tab/>
            </w:r>
            <w:r w:rsidR="00FF370E">
              <w:rPr>
                <w:noProof/>
                <w:webHidden/>
              </w:rPr>
              <w:fldChar w:fldCharType="begin"/>
            </w:r>
            <w:r w:rsidR="00FF370E">
              <w:rPr>
                <w:noProof/>
                <w:webHidden/>
              </w:rPr>
              <w:instrText xml:space="preserve"> PAGEREF _Toc396826944 \h </w:instrText>
            </w:r>
            <w:r w:rsidR="00FF370E">
              <w:rPr>
                <w:noProof/>
                <w:webHidden/>
              </w:rPr>
            </w:r>
            <w:r w:rsidR="00FF370E">
              <w:rPr>
                <w:noProof/>
                <w:webHidden/>
              </w:rPr>
              <w:fldChar w:fldCharType="separate"/>
            </w:r>
            <w:r w:rsidR="00FF370E">
              <w:rPr>
                <w:noProof/>
                <w:webHidden/>
              </w:rPr>
              <w:t>9</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5" w:history="1">
            <w:r w:rsidR="00FF370E" w:rsidRPr="000239E3">
              <w:rPr>
                <w:rStyle w:val="Hyperlink"/>
                <w:noProof/>
              </w:rPr>
              <w:t>Drug substance (active ingredient)</w:t>
            </w:r>
            <w:r w:rsidR="00FF370E">
              <w:rPr>
                <w:noProof/>
                <w:webHidden/>
              </w:rPr>
              <w:tab/>
            </w:r>
            <w:r w:rsidR="00FF370E">
              <w:rPr>
                <w:noProof/>
                <w:webHidden/>
              </w:rPr>
              <w:fldChar w:fldCharType="begin"/>
            </w:r>
            <w:r w:rsidR="00FF370E">
              <w:rPr>
                <w:noProof/>
                <w:webHidden/>
              </w:rPr>
              <w:instrText xml:space="preserve"> PAGEREF _Toc396826945 \h </w:instrText>
            </w:r>
            <w:r w:rsidR="00FF370E">
              <w:rPr>
                <w:noProof/>
                <w:webHidden/>
              </w:rPr>
            </w:r>
            <w:r w:rsidR="00FF370E">
              <w:rPr>
                <w:noProof/>
                <w:webHidden/>
              </w:rPr>
              <w:fldChar w:fldCharType="separate"/>
            </w:r>
            <w:r w:rsidR="00FF370E">
              <w:rPr>
                <w:noProof/>
                <w:webHidden/>
              </w:rPr>
              <w:t>9</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6" w:history="1">
            <w:r w:rsidR="00FF370E" w:rsidRPr="000239E3">
              <w:rPr>
                <w:rStyle w:val="Hyperlink"/>
                <w:noProof/>
              </w:rPr>
              <w:t>Drug product</w:t>
            </w:r>
            <w:r w:rsidR="00FF370E">
              <w:rPr>
                <w:noProof/>
                <w:webHidden/>
              </w:rPr>
              <w:tab/>
            </w:r>
            <w:r w:rsidR="00FF370E">
              <w:rPr>
                <w:noProof/>
                <w:webHidden/>
              </w:rPr>
              <w:fldChar w:fldCharType="begin"/>
            </w:r>
            <w:r w:rsidR="00FF370E">
              <w:rPr>
                <w:noProof/>
                <w:webHidden/>
              </w:rPr>
              <w:instrText xml:space="preserve"> PAGEREF _Toc396826946 \h </w:instrText>
            </w:r>
            <w:r w:rsidR="00FF370E">
              <w:rPr>
                <w:noProof/>
                <w:webHidden/>
              </w:rPr>
            </w:r>
            <w:r w:rsidR="00FF370E">
              <w:rPr>
                <w:noProof/>
                <w:webHidden/>
              </w:rPr>
              <w:fldChar w:fldCharType="separate"/>
            </w:r>
            <w:r w:rsidR="00FF370E">
              <w:rPr>
                <w:noProof/>
                <w:webHidden/>
              </w:rPr>
              <w:t>10</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7" w:history="1">
            <w:r w:rsidR="00FF370E" w:rsidRPr="000239E3">
              <w:rPr>
                <w:rStyle w:val="Hyperlink"/>
                <w:noProof/>
              </w:rPr>
              <w:t>Biopharmaceutics</w:t>
            </w:r>
            <w:r w:rsidR="00FF370E">
              <w:rPr>
                <w:noProof/>
                <w:webHidden/>
              </w:rPr>
              <w:tab/>
            </w:r>
            <w:r w:rsidR="00FF370E">
              <w:rPr>
                <w:noProof/>
                <w:webHidden/>
              </w:rPr>
              <w:fldChar w:fldCharType="begin"/>
            </w:r>
            <w:r w:rsidR="00FF370E">
              <w:rPr>
                <w:noProof/>
                <w:webHidden/>
              </w:rPr>
              <w:instrText xml:space="preserve"> PAGEREF _Toc396826947 \h </w:instrText>
            </w:r>
            <w:r w:rsidR="00FF370E">
              <w:rPr>
                <w:noProof/>
                <w:webHidden/>
              </w:rPr>
            </w:r>
            <w:r w:rsidR="00FF370E">
              <w:rPr>
                <w:noProof/>
                <w:webHidden/>
              </w:rPr>
              <w:fldChar w:fldCharType="separate"/>
            </w:r>
            <w:r w:rsidR="00FF370E">
              <w:rPr>
                <w:noProof/>
                <w:webHidden/>
              </w:rPr>
              <w:t>11</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48" w:history="1">
            <w:r w:rsidR="00FF370E" w:rsidRPr="000239E3">
              <w:rPr>
                <w:rStyle w:val="Hyperlink"/>
                <w:noProof/>
              </w:rPr>
              <w:t>Quality summary and conclusions</w:t>
            </w:r>
            <w:r w:rsidR="00FF370E">
              <w:rPr>
                <w:noProof/>
                <w:webHidden/>
              </w:rPr>
              <w:tab/>
            </w:r>
            <w:r w:rsidR="00FF370E">
              <w:rPr>
                <w:noProof/>
                <w:webHidden/>
              </w:rPr>
              <w:fldChar w:fldCharType="begin"/>
            </w:r>
            <w:r w:rsidR="00FF370E">
              <w:rPr>
                <w:noProof/>
                <w:webHidden/>
              </w:rPr>
              <w:instrText xml:space="preserve"> PAGEREF _Toc396826948 \h </w:instrText>
            </w:r>
            <w:r w:rsidR="00FF370E">
              <w:rPr>
                <w:noProof/>
                <w:webHidden/>
              </w:rPr>
            </w:r>
            <w:r w:rsidR="00FF370E">
              <w:rPr>
                <w:noProof/>
                <w:webHidden/>
              </w:rPr>
              <w:fldChar w:fldCharType="separate"/>
            </w:r>
            <w:r w:rsidR="00FF370E">
              <w:rPr>
                <w:noProof/>
                <w:webHidden/>
              </w:rPr>
              <w:t>12</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49" w:history="1">
            <w:r w:rsidR="00FF370E" w:rsidRPr="000239E3">
              <w:rPr>
                <w:rStyle w:val="Hyperlink"/>
                <w:noProof/>
              </w:rPr>
              <w:t>III. Nonclinical findings</w:t>
            </w:r>
            <w:r w:rsidR="00FF370E">
              <w:rPr>
                <w:noProof/>
                <w:webHidden/>
              </w:rPr>
              <w:tab/>
            </w:r>
            <w:r w:rsidR="00FF370E">
              <w:rPr>
                <w:noProof/>
                <w:webHidden/>
              </w:rPr>
              <w:fldChar w:fldCharType="begin"/>
            </w:r>
            <w:r w:rsidR="00FF370E">
              <w:rPr>
                <w:noProof/>
                <w:webHidden/>
              </w:rPr>
              <w:instrText xml:space="preserve"> PAGEREF _Toc396826949 \h </w:instrText>
            </w:r>
            <w:r w:rsidR="00FF370E">
              <w:rPr>
                <w:noProof/>
                <w:webHidden/>
              </w:rPr>
            </w:r>
            <w:r w:rsidR="00FF370E">
              <w:rPr>
                <w:noProof/>
                <w:webHidden/>
              </w:rPr>
              <w:fldChar w:fldCharType="separate"/>
            </w:r>
            <w:r w:rsidR="00FF370E">
              <w:rPr>
                <w:noProof/>
                <w:webHidden/>
              </w:rPr>
              <w:t>12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0" w:history="1">
            <w:r w:rsidR="00FF370E" w:rsidRPr="000239E3">
              <w:rPr>
                <w:rStyle w:val="Hyperlink"/>
                <w:noProof/>
              </w:rPr>
              <w:t>Introduction</w:t>
            </w:r>
            <w:r w:rsidR="00FF370E">
              <w:rPr>
                <w:noProof/>
                <w:webHidden/>
              </w:rPr>
              <w:tab/>
            </w:r>
            <w:r w:rsidR="00FF370E">
              <w:rPr>
                <w:noProof/>
                <w:webHidden/>
              </w:rPr>
              <w:fldChar w:fldCharType="begin"/>
            </w:r>
            <w:r w:rsidR="00FF370E">
              <w:rPr>
                <w:noProof/>
                <w:webHidden/>
              </w:rPr>
              <w:instrText xml:space="preserve"> PAGEREF _Toc396826950 \h </w:instrText>
            </w:r>
            <w:r w:rsidR="00FF370E">
              <w:rPr>
                <w:noProof/>
                <w:webHidden/>
              </w:rPr>
            </w:r>
            <w:r w:rsidR="00FF370E">
              <w:rPr>
                <w:noProof/>
                <w:webHidden/>
              </w:rPr>
              <w:fldChar w:fldCharType="separate"/>
            </w:r>
            <w:r w:rsidR="00FF370E">
              <w:rPr>
                <w:noProof/>
                <w:webHidden/>
              </w:rPr>
              <w:t>12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1" w:history="1">
            <w:r w:rsidR="00FF370E" w:rsidRPr="000239E3">
              <w:rPr>
                <w:rStyle w:val="Hyperlink"/>
                <w:noProof/>
              </w:rPr>
              <w:t>Pharmacology</w:t>
            </w:r>
            <w:r w:rsidR="00FF370E">
              <w:rPr>
                <w:noProof/>
                <w:webHidden/>
              </w:rPr>
              <w:tab/>
            </w:r>
            <w:r w:rsidR="00FF370E">
              <w:rPr>
                <w:noProof/>
                <w:webHidden/>
              </w:rPr>
              <w:fldChar w:fldCharType="begin"/>
            </w:r>
            <w:r w:rsidR="00FF370E">
              <w:rPr>
                <w:noProof/>
                <w:webHidden/>
              </w:rPr>
              <w:instrText xml:space="preserve"> PAGEREF _Toc396826951 \h </w:instrText>
            </w:r>
            <w:r w:rsidR="00FF370E">
              <w:rPr>
                <w:noProof/>
                <w:webHidden/>
              </w:rPr>
            </w:r>
            <w:r w:rsidR="00FF370E">
              <w:rPr>
                <w:noProof/>
                <w:webHidden/>
              </w:rPr>
              <w:fldChar w:fldCharType="separate"/>
            </w:r>
            <w:r w:rsidR="00FF370E">
              <w:rPr>
                <w:noProof/>
                <w:webHidden/>
              </w:rPr>
              <w:t>12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2" w:history="1">
            <w:r w:rsidR="00FF370E" w:rsidRPr="000239E3">
              <w:rPr>
                <w:rStyle w:val="Hyperlink"/>
                <w:noProof/>
              </w:rPr>
              <w:t>Pharmacokinetics</w:t>
            </w:r>
            <w:r w:rsidR="00FF370E">
              <w:rPr>
                <w:noProof/>
                <w:webHidden/>
              </w:rPr>
              <w:tab/>
            </w:r>
            <w:r w:rsidR="00FF370E">
              <w:rPr>
                <w:noProof/>
                <w:webHidden/>
              </w:rPr>
              <w:fldChar w:fldCharType="begin"/>
            </w:r>
            <w:r w:rsidR="00FF370E">
              <w:rPr>
                <w:noProof/>
                <w:webHidden/>
              </w:rPr>
              <w:instrText xml:space="preserve"> PAGEREF _Toc396826952 \h </w:instrText>
            </w:r>
            <w:r w:rsidR="00FF370E">
              <w:rPr>
                <w:noProof/>
                <w:webHidden/>
              </w:rPr>
            </w:r>
            <w:r w:rsidR="00FF370E">
              <w:rPr>
                <w:noProof/>
                <w:webHidden/>
              </w:rPr>
              <w:fldChar w:fldCharType="separate"/>
            </w:r>
            <w:r w:rsidR="00FF370E">
              <w:rPr>
                <w:noProof/>
                <w:webHidden/>
              </w:rPr>
              <w:t>12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3" w:history="1">
            <w:r w:rsidR="00FF370E" w:rsidRPr="000239E3">
              <w:rPr>
                <w:rStyle w:val="Hyperlink"/>
                <w:noProof/>
              </w:rPr>
              <w:t>Toxicology</w:t>
            </w:r>
            <w:r w:rsidR="00FF370E">
              <w:rPr>
                <w:noProof/>
                <w:webHidden/>
              </w:rPr>
              <w:tab/>
            </w:r>
            <w:r w:rsidR="00FF370E">
              <w:rPr>
                <w:noProof/>
                <w:webHidden/>
              </w:rPr>
              <w:fldChar w:fldCharType="begin"/>
            </w:r>
            <w:r w:rsidR="00FF370E">
              <w:rPr>
                <w:noProof/>
                <w:webHidden/>
              </w:rPr>
              <w:instrText xml:space="preserve"> PAGEREF _Toc396826953 \h </w:instrText>
            </w:r>
            <w:r w:rsidR="00FF370E">
              <w:rPr>
                <w:noProof/>
                <w:webHidden/>
              </w:rPr>
            </w:r>
            <w:r w:rsidR="00FF370E">
              <w:rPr>
                <w:noProof/>
                <w:webHidden/>
              </w:rPr>
              <w:fldChar w:fldCharType="separate"/>
            </w:r>
            <w:r w:rsidR="00FF370E">
              <w:rPr>
                <w:noProof/>
                <w:webHidden/>
              </w:rPr>
              <w:t>13</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4" w:history="1">
            <w:r w:rsidR="00FF370E" w:rsidRPr="000239E3">
              <w:rPr>
                <w:rStyle w:val="Hyperlink"/>
                <w:noProof/>
              </w:rPr>
              <w:t>Nonclinical summary and conclusions</w:t>
            </w:r>
            <w:r w:rsidR="00FF370E">
              <w:rPr>
                <w:noProof/>
                <w:webHidden/>
              </w:rPr>
              <w:tab/>
            </w:r>
            <w:r w:rsidR="00FF370E">
              <w:rPr>
                <w:noProof/>
                <w:webHidden/>
              </w:rPr>
              <w:fldChar w:fldCharType="begin"/>
            </w:r>
            <w:r w:rsidR="00FF370E">
              <w:rPr>
                <w:noProof/>
                <w:webHidden/>
              </w:rPr>
              <w:instrText xml:space="preserve"> PAGEREF _Toc396826954 \h </w:instrText>
            </w:r>
            <w:r w:rsidR="00FF370E">
              <w:rPr>
                <w:noProof/>
                <w:webHidden/>
              </w:rPr>
            </w:r>
            <w:r w:rsidR="00FF370E">
              <w:rPr>
                <w:noProof/>
                <w:webHidden/>
              </w:rPr>
              <w:fldChar w:fldCharType="separate"/>
            </w:r>
            <w:r w:rsidR="00FF370E">
              <w:rPr>
                <w:noProof/>
                <w:webHidden/>
              </w:rPr>
              <w:t>17</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55" w:history="1">
            <w:r w:rsidR="00FF370E" w:rsidRPr="000239E3">
              <w:rPr>
                <w:rStyle w:val="Hyperlink"/>
                <w:noProof/>
              </w:rPr>
              <w:t>IV. Clinical findings</w:t>
            </w:r>
            <w:r w:rsidR="00FF370E">
              <w:rPr>
                <w:noProof/>
                <w:webHidden/>
              </w:rPr>
              <w:tab/>
            </w:r>
            <w:r w:rsidR="00FF370E">
              <w:rPr>
                <w:noProof/>
                <w:webHidden/>
              </w:rPr>
              <w:fldChar w:fldCharType="begin"/>
            </w:r>
            <w:r w:rsidR="00FF370E">
              <w:rPr>
                <w:noProof/>
                <w:webHidden/>
              </w:rPr>
              <w:instrText xml:space="preserve"> PAGEREF _Toc396826955 \h </w:instrText>
            </w:r>
            <w:r w:rsidR="00FF370E">
              <w:rPr>
                <w:noProof/>
                <w:webHidden/>
              </w:rPr>
            </w:r>
            <w:r w:rsidR="00FF370E">
              <w:rPr>
                <w:noProof/>
                <w:webHidden/>
              </w:rPr>
              <w:fldChar w:fldCharType="separate"/>
            </w:r>
            <w:r w:rsidR="00FF370E">
              <w:rPr>
                <w:noProof/>
                <w:webHidden/>
              </w:rPr>
              <w:t>18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6" w:history="1">
            <w:r w:rsidR="00FF370E" w:rsidRPr="000239E3">
              <w:rPr>
                <w:rStyle w:val="Hyperlink"/>
                <w:noProof/>
              </w:rPr>
              <w:t>Introduction</w:t>
            </w:r>
            <w:r w:rsidR="00FF370E">
              <w:rPr>
                <w:noProof/>
                <w:webHidden/>
              </w:rPr>
              <w:tab/>
            </w:r>
            <w:r w:rsidR="00FF370E">
              <w:rPr>
                <w:noProof/>
                <w:webHidden/>
              </w:rPr>
              <w:fldChar w:fldCharType="begin"/>
            </w:r>
            <w:r w:rsidR="00FF370E">
              <w:rPr>
                <w:noProof/>
                <w:webHidden/>
              </w:rPr>
              <w:instrText xml:space="preserve"> PAGEREF _Toc396826956 \h </w:instrText>
            </w:r>
            <w:r w:rsidR="00FF370E">
              <w:rPr>
                <w:noProof/>
                <w:webHidden/>
              </w:rPr>
            </w:r>
            <w:r w:rsidR="00FF370E">
              <w:rPr>
                <w:noProof/>
                <w:webHidden/>
              </w:rPr>
              <w:fldChar w:fldCharType="separate"/>
            </w:r>
            <w:r w:rsidR="00FF370E">
              <w:rPr>
                <w:noProof/>
                <w:webHidden/>
              </w:rPr>
              <w:t>18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7" w:history="1">
            <w:r w:rsidR="00FF370E" w:rsidRPr="000239E3">
              <w:rPr>
                <w:rStyle w:val="Hyperlink"/>
                <w:noProof/>
              </w:rPr>
              <w:t>Pharmacokinetics</w:t>
            </w:r>
            <w:r w:rsidR="00FF370E">
              <w:rPr>
                <w:noProof/>
                <w:webHidden/>
              </w:rPr>
              <w:tab/>
            </w:r>
            <w:r w:rsidR="00FF370E">
              <w:rPr>
                <w:noProof/>
                <w:webHidden/>
              </w:rPr>
              <w:fldChar w:fldCharType="begin"/>
            </w:r>
            <w:r w:rsidR="00FF370E">
              <w:rPr>
                <w:noProof/>
                <w:webHidden/>
              </w:rPr>
              <w:instrText xml:space="preserve"> PAGEREF _Toc396826957 \h </w:instrText>
            </w:r>
            <w:r w:rsidR="00FF370E">
              <w:rPr>
                <w:noProof/>
                <w:webHidden/>
              </w:rPr>
            </w:r>
            <w:r w:rsidR="00FF370E">
              <w:rPr>
                <w:noProof/>
                <w:webHidden/>
              </w:rPr>
              <w:fldChar w:fldCharType="separate"/>
            </w:r>
            <w:r w:rsidR="00FF370E">
              <w:rPr>
                <w:noProof/>
                <w:webHidden/>
              </w:rPr>
              <w:t>21</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8" w:history="1">
            <w:r w:rsidR="00FF370E" w:rsidRPr="000239E3">
              <w:rPr>
                <w:rStyle w:val="Hyperlink"/>
                <w:noProof/>
              </w:rPr>
              <w:t>Pharmacodynamics</w:t>
            </w:r>
            <w:r w:rsidR="00FF370E">
              <w:rPr>
                <w:noProof/>
                <w:webHidden/>
              </w:rPr>
              <w:tab/>
            </w:r>
            <w:r w:rsidR="00FF370E">
              <w:rPr>
                <w:noProof/>
                <w:webHidden/>
              </w:rPr>
              <w:fldChar w:fldCharType="begin"/>
            </w:r>
            <w:r w:rsidR="00FF370E">
              <w:rPr>
                <w:noProof/>
                <w:webHidden/>
              </w:rPr>
              <w:instrText xml:space="preserve"> PAGEREF _Toc396826958 \h </w:instrText>
            </w:r>
            <w:r w:rsidR="00FF370E">
              <w:rPr>
                <w:noProof/>
                <w:webHidden/>
              </w:rPr>
            </w:r>
            <w:r w:rsidR="00FF370E">
              <w:rPr>
                <w:noProof/>
                <w:webHidden/>
              </w:rPr>
              <w:fldChar w:fldCharType="separate"/>
            </w:r>
            <w:r w:rsidR="00FF370E">
              <w:rPr>
                <w:noProof/>
                <w:webHidden/>
              </w:rPr>
              <w:t>22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59" w:history="1">
            <w:r w:rsidR="00FF370E" w:rsidRPr="000239E3">
              <w:rPr>
                <w:rStyle w:val="Hyperlink"/>
                <w:noProof/>
              </w:rPr>
              <w:t>Dosage selection for the pivotal studies</w:t>
            </w:r>
            <w:r w:rsidR="00FF370E">
              <w:rPr>
                <w:noProof/>
                <w:webHidden/>
              </w:rPr>
              <w:tab/>
            </w:r>
            <w:r w:rsidR="00FF370E">
              <w:rPr>
                <w:noProof/>
                <w:webHidden/>
              </w:rPr>
              <w:fldChar w:fldCharType="begin"/>
            </w:r>
            <w:r w:rsidR="00FF370E">
              <w:rPr>
                <w:noProof/>
                <w:webHidden/>
              </w:rPr>
              <w:instrText xml:space="preserve"> PAGEREF _Toc396826959 \h </w:instrText>
            </w:r>
            <w:r w:rsidR="00FF370E">
              <w:rPr>
                <w:noProof/>
                <w:webHidden/>
              </w:rPr>
            </w:r>
            <w:r w:rsidR="00FF370E">
              <w:rPr>
                <w:noProof/>
                <w:webHidden/>
              </w:rPr>
              <w:fldChar w:fldCharType="separate"/>
            </w:r>
            <w:r w:rsidR="00FF370E">
              <w:rPr>
                <w:noProof/>
                <w:webHidden/>
              </w:rPr>
              <w:t>22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0" w:history="1">
            <w:r w:rsidR="00FF370E" w:rsidRPr="000239E3">
              <w:rPr>
                <w:rStyle w:val="Hyperlink"/>
                <w:noProof/>
              </w:rPr>
              <w:t>Efficacy</w:t>
            </w:r>
            <w:r w:rsidR="00FF370E">
              <w:rPr>
                <w:noProof/>
                <w:webHidden/>
              </w:rPr>
              <w:tab/>
            </w:r>
            <w:r w:rsidR="00FF370E">
              <w:rPr>
                <w:noProof/>
                <w:webHidden/>
              </w:rPr>
              <w:fldChar w:fldCharType="begin"/>
            </w:r>
            <w:r w:rsidR="00FF370E">
              <w:rPr>
                <w:noProof/>
                <w:webHidden/>
              </w:rPr>
              <w:instrText xml:space="preserve"> PAGEREF _Toc396826960 \h </w:instrText>
            </w:r>
            <w:r w:rsidR="00FF370E">
              <w:rPr>
                <w:noProof/>
                <w:webHidden/>
              </w:rPr>
            </w:r>
            <w:r w:rsidR="00FF370E">
              <w:rPr>
                <w:noProof/>
                <w:webHidden/>
              </w:rPr>
              <w:fldChar w:fldCharType="separate"/>
            </w:r>
            <w:r w:rsidR="00FF370E">
              <w:rPr>
                <w:noProof/>
                <w:webHidden/>
              </w:rPr>
              <w:t>22</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1" w:history="1">
            <w:r w:rsidR="00FF370E" w:rsidRPr="000239E3">
              <w:rPr>
                <w:rStyle w:val="Hyperlink"/>
                <w:noProof/>
              </w:rPr>
              <w:t>Safety</w:t>
            </w:r>
            <w:r w:rsidR="00FF370E">
              <w:rPr>
                <w:noProof/>
                <w:webHidden/>
              </w:rPr>
              <w:tab/>
            </w:r>
            <w:r w:rsidR="00FF370E">
              <w:rPr>
                <w:noProof/>
                <w:webHidden/>
              </w:rPr>
              <w:fldChar w:fldCharType="begin"/>
            </w:r>
            <w:r w:rsidR="00FF370E">
              <w:rPr>
                <w:noProof/>
                <w:webHidden/>
              </w:rPr>
              <w:instrText xml:space="preserve"> PAGEREF _Toc396826961 \h </w:instrText>
            </w:r>
            <w:r w:rsidR="00FF370E">
              <w:rPr>
                <w:noProof/>
                <w:webHidden/>
              </w:rPr>
            </w:r>
            <w:r w:rsidR="00FF370E">
              <w:rPr>
                <w:noProof/>
                <w:webHidden/>
              </w:rPr>
              <w:fldChar w:fldCharType="separate"/>
            </w:r>
            <w:r w:rsidR="00FF370E">
              <w:rPr>
                <w:noProof/>
                <w:webHidden/>
              </w:rPr>
              <w:t>24</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2" w:history="1">
            <w:r w:rsidR="00FF370E" w:rsidRPr="000239E3">
              <w:rPr>
                <w:rStyle w:val="Hyperlink"/>
                <w:noProof/>
              </w:rPr>
              <w:t>First round benefit-risk assessment</w:t>
            </w:r>
            <w:r w:rsidR="00FF370E">
              <w:rPr>
                <w:noProof/>
                <w:webHidden/>
              </w:rPr>
              <w:tab/>
            </w:r>
            <w:r w:rsidR="00FF370E">
              <w:rPr>
                <w:noProof/>
                <w:webHidden/>
              </w:rPr>
              <w:fldChar w:fldCharType="begin"/>
            </w:r>
            <w:r w:rsidR="00FF370E">
              <w:rPr>
                <w:noProof/>
                <w:webHidden/>
              </w:rPr>
              <w:instrText xml:space="preserve"> PAGEREF _Toc396826962 \h </w:instrText>
            </w:r>
            <w:r w:rsidR="00FF370E">
              <w:rPr>
                <w:noProof/>
                <w:webHidden/>
              </w:rPr>
            </w:r>
            <w:r w:rsidR="00FF370E">
              <w:rPr>
                <w:noProof/>
                <w:webHidden/>
              </w:rPr>
              <w:fldChar w:fldCharType="separate"/>
            </w:r>
            <w:r w:rsidR="00FF370E">
              <w:rPr>
                <w:noProof/>
                <w:webHidden/>
              </w:rPr>
              <w:t>26</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3" w:history="1">
            <w:r w:rsidR="00FF370E" w:rsidRPr="000239E3">
              <w:rPr>
                <w:rStyle w:val="Hyperlink"/>
                <w:noProof/>
              </w:rPr>
              <w:t>First round recommendation regarding authorisation</w:t>
            </w:r>
            <w:r w:rsidR="00FF370E">
              <w:rPr>
                <w:noProof/>
                <w:webHidden/>
              </w:rPr>
              <w:tab/>
            </w:r>
            <w:r w:rsidR="00FF370E">
              <w:rPr>
                <w:noProof/>
                <w:webHidden/>
              </w:rPr>
              <w:fldChar w:fldCharType="begin"/>
            </w:r>
            <w:r w:rsidR="00FF370E">
              <w:rPr>
                <w:noProof/>
                <w:webHidden/>
              </w:rPr>
              <w:instrText xml:space="preserve"> PAGEREF _Toc396826963 \h </w:instrText>
            </w:r>
            <w:r w:rsidR="00FF370E">
              <w:rPr>
                <w:noProof/>
                <w:webHidden/>
              </w:rPr>
            </w:r>
            <w:r w:rsidR="00FF370E">
              <w:rPr>
                <w:noProof/>
                <w:webHidden/>
              </w:rPr>
              <w:fldChar w:fldCharType="separate"/>
            </w:r>
            <w:r w:rsidR="00FF370E">
              <w:rPr>
                <w:noProof/>
                <w:webHidden/>
              </w:rPr>
              <w:t>26</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4" w:history="1">
            <w:r w:rsidR="00FF370E" w:rsidRPr="000239E3">
              <w:rPr>
                <w:rStyle w:val="Hyperlink"/>
                <w:noProof/>
              </w:rPr>
              <w:t>Clinical questions</w:t>
            </w:r>
            <w:r w:rsidR="00FF370E">
              <w:rPr>
                <w:noProof/>
                <w:webHidden/>
              </w:rPr>
              <w:tab/>
            </w:r>
            <w:r w:rsidR="00FF370E">
              <w:rPr>
                <w:noProof/>
                <w:webHidden/>
              </w:rPr>
              <w:fldChar w:fldCharType="begin"/>
            </w:r>
            <w:r w:rsidR="00FF370E">
              <w:rPr>
                <w:noProof/>
                <w:webHidden/>
              </w:rPr>
              <w:instrText xml:space="preserve"> PAGEREF _Toc396826964 \h </w:instrText>
            </w:r>
            <w:r w:rsidR="00FF370E">
              <w:rPr>
                <w:noProof/>
                <w:webHidden/>
              </w:rPr>
            </w:r>
            <w:r w:rsidR="00FF370E">
              <w:rPr>
                <w:noProof/>
                <w:webHidden/>
              </w:rPr>
              <w:fldChar w:fldCharType="separate"/>
            </w:r>
            <w:r w:rsidR="00FF370E">
              <w:rPr>
                <w:noProof/>
                <w:webHidden/>
              </w:rPr>
              <w:t>27</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65" w:history="1">
            <w:r w:rsidR="00FF370E" w:rsidRPr="000239E3">
              <w:rPr>
                <w:rStyle w:val="Hyperlink"/>
                <w:noProof/>
              </w:rPr>
              <w:t>V. Pharmacovigilance findings</w:t>
            </w:r>
            <w:r w:rsidR="00FF370E">
              <w:rPr>
                <w:noProof/>
                <w:webHidden/>
              </w:rPr>
              <w:tab/>
            </w:r>
            <w:r w:rsidR="00FF370E">
              <w:rPr>
                <w:noProof/>
                <w:webHidden/>
              </w:rPr>
              <w:fldChar w:fldCharType="begin"/>
            </w:r>
            <w:r w:rsidR="00FF370E">
              <w:rPr>
                <w:noProof/>
                <w:webHidden/>
              </w:rPr>
              <w:instrText xml:space="preserve"> PAGEREF _Toc396826965 \h </w:instrText>
            </w:r>
            <w:r w:rsidR="00FF370E">
              <w:rPr>
                <w:noProof/>
                <w:webHidden/>
              </w:rPr>
            </w:r>
            <w:r w:rsidR="00FF370E">
              <w:rPr>
                <w:noProof/>
                <w:webHidden/>
              </w:rPr>
              <w:fldChar w:fldCharType="separate"/>
            </w:r>
            <w:r w:rsidR="00FF370E">
              <w:rPr>
                <w:noProof/>
                <w:webHidden/>
              </w:rPr>
              <w:t>27</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66" w:history="1">
            <w:r w:rsidR="00FF370E" w:rsidRPr="000239E3">
              <w:rPr>
                <w:rStyle w:val="Hyperlink"/>
                <w:noProof/>
              </w:rPr>
              <w:t>VI. Overall conclusion and risk/benefit assessment</w:t>
            </w:r>
            <w:r w:rsidR="00FF370E">
              <w:rPr>
                <w:noProof/>
                <w:webHidden/>
              </w:rPr>
              <w:tab/>
            </w:r>
            <w:r w:rsidR="00FF370E">
              <w:rPr>
                <w:noProof/>
                <w:webHidden/>
              </w:rPr>
              <w:fldChar w:fldCharType="begin"/>
            </w:r>
            <w:r w:rsidR="00FF370E">
              <w:rPr>
                <w:noProof/>
                <w:webHidden/>
              </w:rPr>
              <w:instrText xml:space="preserve"> PAGEREF _Toc396826966 \h </w:instrText>
            </w:r>
            <w:r w:rsidR="00FF370E">
              <w:rPr>
                <w:noProof/>
                <w:webHidden/>
              </w:rPr>
            </w:r>
            <w:r w:rsidR="00FF370E">
              <w:rPr>
                <w:noProof/>
                <w:webHidden/>
              </w:rPr>
              <w:fldChar w:fldCharType="separate"/>
            </w:r>
            <w:r w:rsidR="00FF370E">
              <w:rPr>
                <w:noProof/>
                <w:webHidden/>
              </w:rPr>
              <w:t>27</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7" w:history="1">
            <w:r w:rsidR="00FF370E" w:rsidRPr="000239E3">
              <w:rPr>
                <w:rStyle w:val="Hyperlink"/>
                <w:noProof/>
              </w:rPr>
              <w:t>Quality</w:t>
            </w:r>
            <w:r w:rsidR="00FF370E">
              <w:rPr>
                <w:noProof/>
                <w:webHidden/>
              </w:rPr>
              <w:tab/>
            </w:r>
            <w:r w:rsidR="00FF370E">
              <w:rPr>
                <w:noProof/>
                <w:webHidden/>
              </w:rPr>
              <w:fldChar w:fldCharType="begin"/>
            </w:r>
            <w:r w:rsidR="00FF370E">
              <w:rPr>
                <w:noProof/>
                <w:webHidden/>
              </w:rPr>
              <w:instrText xml:space="preserve"> PAGEREF _Toc396826967 \h </w:instrText>
            </w:r>
            <w:r w:rsidR="00FF370E">
              <w:rPr>
                <w:noProof/>
                <w:webHidden/>
              </w:rPr>
            </w:r>
            <w:r w:rsidR="00FF370E">
              <w:rPr>
                <w:noProof/>
                <w:webHidden/>
              </w:rPr>
              <w:fldChar w:fldCharType="separate"/>
            </w:r>
            <w:r w:rsidR="00FF370E">
              <w:rPr>
                <w:noProof/>
                <w:webHidden/>
              </w:rPr>
              <w:t>27</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8" w:history="1">
            <w:r w:rsidR="00FF370E" w:rsidRPr="000239E3">
              <w:rPr>
                <w:rStyle w:val="Hyperlink"/>
                <w:noProof/>
              </w:rPr>
              <w:t>Nonclinical</w:t>
            </w:r>
            <w:r w:rsidR="00FF370E">
              <w:rPr>
                <w:noProof/>
                <w:webHidden/>
              </w:rPr>
              <w:tab/>
            </w:r>
            <w:r w:rsidR="00FF370E">
              <w:rPr>
                <w:noProof/>
                <w:webHidden/>
              </w:rPr>
              <w:fldChar w:fldCharType="begin"/>
            </w:r>
            <w:r w:rsidR="00FF370E">
              <w:rPr>
                <w:noProof/>
                <w:webHidden/>
              </w:rPr>
              <w:instrText xml:space="preserve"> PAGEREF _Toc396826968 \h </w:instrText>
            </w:r>
            <w:r w:rsidR="00FF370E">
              <w:rPr>
                <w:noProof/>
                <w:webHidden/>
              </w:rPr>
            </w:r>
            <w:r w:rsidR="00FF370E">
              <w:rPr>
                <w:noProof/>
                <w:webHidden/>
              </w:rPr>
              <w:fldChar w:fldCharType="separate"/>
            </w:r>
            <w:r w:rsidR="00FF370E">
              <w:rPr>
                <w:noProof/>
                <w:webHidden/>
              </w:rPr>
              <w:t>28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69" w:history="1">
            <w:r w:rsidR="00FF370E" w:rsidRPr="000239E3">
              <w:rPr>
                <w:rStyle w:val="Hyperlink"/>
                <w:noProof/>
              </w:rPr>
              <w:t>Clinical</w:t>
            </w:r>
            <w:r w:rsidR="00FF370E">
              <w:rPr>
                <w:noProof/>
                <w:webHidden/>
              </w:rPr>
              <w:tab/>
            </w:r>
            <w:r w:rsidR="00FF370E">
              <w:rPr>
                <w:noProof/>
                <w:webHidden/>
              </w:rPr>
              <w:fldChar w:fldCharType="begin"/>
            </w:r>
            <w:r w:rsidR="00FF370E">
              <w:rPr>
                <w:noProof/>
                <w:webHidden/>
              </w:rPr>
              <w:instrText xml:space="preserve"> PAGEREF _Toc396826969 \h </w:instrText>
            </w:r>
            <w:r w:rsidR="00FF370E">
              <w:rPr>
                <w:noProof/>
                <w:webHidden/>
              </w:rPr>
            </w:r>
            <w:r w:rsidR="00FF370E">
              <w:rPr>
                <w:noProof/>
                <w:webHidden/>
              </w:rPr>
              <w:fldChar w:fldCharType="separate"/>
            </w:r>
            <w:r w:rsidR="00FF370E">
              <w:rPr>
                <w:noProof/>
                <w:webHidden/>
              </w:rPr>
              <w:t>28</w:t>
            </w:r>
            <w:r w:rsidR="00FF370E">
              <w:rPr>
                <w:noProof/>
                <w:webHidden/>
              </w:rPr>
              <w:fldChar w:fldCharType="end"/>
            </w:r>
          </w:hyperlink>
        </w:p>
        <w:p w:rsidR="00FF370E" w:rsidRDefault="00EC244B">
          <w:pPr>
            <w:pStyle w:val="TOC3"/>
            <w:rPr>
              <w:rFonts w:asciiTheme="minorHAnsi" w:eastAsiaTheme="minorEastAsia" w:hAnsiTheme="minorHAnsi" w:cstheme="minorBidi"/>
              <w:noProof/>
              <w:lang w:eastAsia="en-AU"/>
            </w:rPr>
          </w:pPr>
          <w:hyperlink w:anchor="_Toc396826970" w:history="1">
            <w:r w:rsidR="00FF370E" w:rsidRPr="000239E3">
              <w:rPr>
                <w:rStyle w:val="Hyperlink"/>
                <w:noProof/>
              </w:rPr>
              <w:t>Outcome</w:t>
            </w:r>
            <w:r w:rsidR="00FF370E">
              <w:rPr>
                <w:noProof/>
                <w:webHidden/>
              </w:rPr>
              <w:tab/>
            </w:r>
            <w:r w:rsidR="00FF370E">
              <w:rPr>
                <w:noProof/>
                <w:webHidden/>
              </w:rPr>
              <w:fldChar w:fldCharType="begin"/>
            </w:r>
            <w:r w:rsidR="00FF370E">
              <w:rPr>
                <w:noProof/>
                <w:webHidden/>
              </w:rPr>
              <w:instrText xml:space="preserve"> PAGEREF _Toc396826970 \h </w:instrText>
            </w:r>
            <w:r w:rsidR="00FF370E">
              <w:rPr>
                <w:noProof/>
                <w:webHidden/>
              </w:rPr>
            </w:r>
            <w:r w:rsidR="00FF370E">
              <w:rPr>
                <w:noProof/>
                <w:webHidden/>
              </w:rPr>
              <w:fldChar w:fldCharType="separate"/>
            </w:r>
            <w:r w:rsidR="00FF370E">
              <w:rPr>
                <w:noProof/>
                <w:webHidden/>
              </w:rPr>
              <w:t>41</w:t>
            </w:r>
            <w:r w:rsidR="00FF370E">
              <w:rPr>
                <w:noProof/>
                <w:webHidden/>
              </w:rPr>
              <w:fldChar w:fldCharType="end"/>
            </w:r>
          </w:hyperlink>
        </w:p>
        <w:p w:rsidR="00FF370E" w:rsidRDefault="00EC244B">
          <w:pPr>
            <w:pStyle w:val="TOC2"/>
            <w:tabs>
              <w:tab w:val="left" w:pos="2448"/>
            </w:tabs>
            <w:rPr>
              <w:rFonts w:asciiTheme="minorHAnsi" w:eastAsiaTheme="minorEastAsia" w:hAnsiTheme="minorHAnsi" w:cstheme="minorBidi"/>
              <w:b w:val="0"/>
              <w:noProof/>
              <w:sz w:val="22"/>
              <w:lang w:eastAsia="en-AU"/>
            </w:rPr>
          </w:pPr>
          <w:hyperlink w:anchor="_Toc396826971" w:history="1">
            <w:r w:rsidR="00FF370E" w:rsidRPr="000239E3">
              <w:rPr>
                <w:rStyle w:val="Hyperlink"/>
                <w:noProof/>
              </w:rPr>
              <w:t>Attachment 1.</w:t>
            </w:r>
            <w:r w:rsidR="00FF370E">
              <w:rPr>
                <w:rFonts w:asciiTheme="minorHAnsi" w:eastAsiaTheme="minorEastAsia" w:hAnsiTheme="minorHAnsi" w:cstheme="minorBidi"/>
                <w:b w:val="0"/>
                <w:noProof/>
                <w:sz w:val="22"/>
                <w:lang w:eastAsia="en-AU"/>
              </w:rPr>
              <w:tab/>
            </w:r>
            <w:r w:rsidR="00FF370E" w:rsidRPr="000239E3">
              <w:rPr>
                <w:rStyle w:val="Hyperlink"/>
                <w:noProof/>
              </w:rPr>
              <w:t>Product Information</w:t>
            </w:r>
            <w:r w:rsidR="00FF370E">
              <w:rPr>
                <w:noProof/>
                <w:webHidden/>
              </w:rPr>
              <w:tab/>
            </w:r>
            <w:r w:rsidR="00FF370E">
              <w:rPr>
                <w:noProof/>
                <w:webHidden/>
              </w:rPr>
              <w:fldChar w:fldCharType="begin"/>
            </w:r>
            <w:r w:rsidR="00FF370E">
              <w:rPr>
                <w:noProof/>
                <w:webHidden/>
              </w:rPr>
              <w:instrText xml:space="preserve"> PAGEREF _Toc396826971 \h </w:instrText>
            </w:r>
            <w:r w:rsidR="00FF370E">
              <w:rPr>
                <w:noProof/>
                <w:webHidden/>
              </w:rPr>
            </w:r>
            <w:r w:rsidR="00FF370E">
              <w:rPr>
                <w:noProof/>
                <w:webHidden/>
              </w:rPr>
              <w:fldChar w:fldCharType="separate"/>
            </w:r>
            <w:r w:rsidR="00FF370E">
              <w:rPr>
                <w:noProof/>
                <w:webHidden/>
              </w:rPr>
              <w:t>42</w:t>
            </w:r>
            <w:r w:rsidR="00FF370E">
              <w:rPr>
                <w:noProof/>
                <w:webHidden/>
              </w:rPr>
              <w:fldChar w:fldCharType="end"/>
            </w:r>
          </w:hyperlink>
        </w:p>
        <w:p w:rsidR="00FF370E" w:rsidRDefault="00EC244B">
          <w:pPr>
            <w:pStyle w:val="TOC2"/>
            <w:rPr>
              <w:rFonts w:asciiTheme="minorHAnsi" w:eastAsiaTheme="minorEastAsia" w:hAnsiTheme="minorHAnsi" w:cstheme="minorBidi"/>
              <w:b w:val="0"/>
              <w:noProof/>
              <w:sz w:val="22"/>
              <w:lang w:eastAsia="en-AU"/>
            </w:rPr>
          </w:pPr>
          <w:hyperlink w:anchor="_Toc396826972" w:history="1">
            <w:r w:rsidR="00FF370E" w:rsidRPr="000239E3">
              <w:rPr>
                <w:rStyle w:val="Hyperlink"/>
                <w:noProof/>
                <w:lang w:eastAsia="en-AU"/>
              </w:rPr>
              <w:t>Attachment 2. Extract from the Clinical Evaluation Report</w:t>
            </w:r>
            <w:r w:rsidR="00FF370E">
              <w:rPr>
                <w:noProof/>
                <w:webHidden/>
              </w:rPr>
              <w:tab/>
            </w:r>
            <w:r w:rsidR="00FF370E">
              <w:rPr>
                <w:noProof/>
                <w:webHidden/>
              </w:rPr>
              <w:fldChar w:fldCharType="begin"/>
            </w:r>
            <w:r w:rsidR="00FF370E">
              <w:rPr>
                <w:noProof/>
                <w:webHidden/>
              </w:rPr>
              <w:instrText xml:space="preserve"> PAGEREF _Toc396826972 \h </w:instrText>
            </w:r>
            <w:r w:rsidR="00FF370E">
              <w:rPr>
                <w:noProof/>
                <w:webHidden/>
              </w:rPr>
            </w:r>
            <w:r w:rsidR="00FF370E">
              <w:rPr>
                <w:noProof/>
                <w:webHidden/>
              </w:rPr>
              <w:fldChar w:fldCharType="separate"/>
            </w:r>
            <w:r w:rsidR="00FF370E">
              <w:rPr>
                <w:noProof/>
                <w:webHidden/>
              </w:rPr>
              <w:t>42</w:t>
            </w:r>
            <w:r w:rsidR="00FF370E">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FD119B" w:rsidRDefault="00FD119B">
      <w:pPr>
        <w:spacing w:before="0" w:after="200" w:line="0" w:lineRule="auto"/>
      </w:pPr>
      <w:r>
        <w:br w:type="page"/>
      </w:r>
    </w:p>
    <w:p w:rsidR="00FD119B" w:rsidRDefault="00FD119B" w:rsidP="004F0C4A">
      <w:pPr>
        <w:pStyle w:val="Heading2"/>
      </w:pPr>
      <w:bookmarkStart w:id="3" w:name="_Toc351716269"/>
      <w:bookmarkStart w:id="4" w:name="_Toc351718881"/>
      <w:bookmarkStart w:id="5" w:name="_Toc355338616"/>
      <w:bookmarkStart w:id="6" w:name="_Toc356306144"/>
      <w:bookmarkStart w:id="7" w:name="_Toc396826937"/>
      <w:r w:rsidRPr="00FD119B">
        <w:lastRenderedPageBreak/>
        <w:t>List of the most common abbreviations</w:t>
      </w:r>
      <w:bookmarkEnd w:id="3"/>
      <w:bookmarkEnd w:id="4"/>
      <w:bookmarkEnd w:id="5"/>
      <w:bookmarkEnd w:id="6"/>
      <w:r w:rsidRPr="00FD119B">
        <w:t xml:space="preserve"> used in this </w:t>
      </w:r>
      <w:r w:rsidRPr="004F0C4A">
        <w:t>AusPAR</w:t>
      </w:r>
      <w:bookmarkEnd w:id="7"/>
    </w:p>
    <w:tbl>
      <w:tblPr>
        <w:tblStyle w:val="TableTGAblue1"/>
        <w:tblW w:w="9322" w:type="dxa"/>
        <w:tblLook w:val="04A0" w:firstRow="1" w:lastRow="0" w:firstColumn="1" w:lastColumn="0" w:noHBand="0" w:noVBand="1"/>
      </w:tblPr>
      <w:tblGrid>
        <w:gridCol w:w="1890"/>
        <w:gridCol w:w="7432"/>
      </w:tblGrid>
      <w:tr w:rsidR="00312523" w:rsidTr="00EC24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Pr>
              <w:rPr>
                <w:lang w:eastAsia="ja-JP"/>
              </w:rPr>
            </w:pPr>
            <w:r w:rsidRPr="00585877">
              <w:rPr>
                <w:lang w:eastAsia="ja-JP"/>
              </w:rPr>
              <w:t>Abbreviation</w:t>
            </w:r>
          </w:p>
        </w:tc>
        <w:tc>
          <w:tcPr>
            <w:tcW w:w="7513" w:type="dxa"/>
          </w:tcPr>
          <w:p w:rsidR="00312523" w:rsidRPr="00585877" w:rsidRDefault="00312523" w:rsidP="00EC244B">
            <w:pPr>
              <w:cnfStyle w:val="100000000000" w:firstRow="1" w:lastRow="0" w:firstColumn="0" w:lastColumn="0" w:oddVBand="0" w:evenVBand="0" w:oddHBand="0" w:evenHBand="0" w:firstRowFirstColumn="0" w:firstRowLastColumn="0" w:lastRowFirstColumn="0" w:lastRowLastColumn="0"/>
              <w:rPr>
                <w:lang w:eastAsia="ja-JP"/>
              </w:rPr>
            </w:pPr>
            <w:r w:rsidRPr="00585877">
              <w:rPr>
                <w:lang w:eastAsia="ja-JP"/>
              </w:rPr>
              <w:t>Meaning</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ACPM</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Advisory Comm</w:t>
            </w:r>
            <w:r w:rsidR="00267916">
              <w:rPr>
                <w:lang w:eastAsia="ja-JP"/>
              </w:rPr>
              <w:t>ittee on Prescription Medicines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AE</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Adverse </w:t>
            </w:r>
            <w:r w:rsidR="00267916">
              <w:rPr>
                <w:lang w:eastAsia="ja-JP"/>
              </w:rPr>
              <w:t>e</w:t>
            </w:r>
            <w:r w:rsidRPr="00585877">
              <w:rPr>
                <w:lang w:eastAsia="ja-JP"/>
              </w:rPr>
              <w:t>vent</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ALT</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Alanine transaminase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ANCOVA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Analysis of co-variance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ARIA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Allergic Rhinitis and its Impact on Asthma (Guidelines)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ARTG</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Australian Register of Therapeutic Goods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AST</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Aspartate transaminase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AUC</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Area under the curve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AZE</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proofErr w:type="spellStart"/>
            <w:r w:rsidRPr="00585877">
              <w:rPr>
                <w:lang w:eastAsia="ja-JP"/>
              </w:rPr>
              <w:t>Azelastine</w:t>
            </w:r>
            <w:proofErr w:type="spellEnd"/>
            <w:r w:rsidRPr="00585877">
              <w:rPr>
                <w:lang w:eastAsia="ja-JP"/>
              </w:rPr>
              <w:t xml:space="preserve"> </w:t>
            </w:r>
            <w:proofErr w:type="spellStart"/>
            <w:r w:rsidRPr="00585877">
              <w:rPr>
                <w:lang w:eastAsia="ja-JP"/>
              </w:rPr>
              <w:t>HCl</w:t>
            </w:r>
            <w:proofErr w:type="spellEnd"/>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BAC</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proofErr w:type="spellStart"/>
            <w:r w:rsidRPr="00585877">
              <w:rPr>
                <w:lang w:eastAsia="ja-JP"/>
              </w:rPr>
              <w:t>Benzalkonium</w:t>
            </w:r>
            <w:proofErr w:type="spellEnd"/>
            <w:r w:rsidRPr="00585877">
              <w:rPr>
                <w:lang w:eastAsia="ja-JP"/>
              </w:rPr>
              <w:t xml:space="preserve"> chloride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BID</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Twice daily</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BLQ</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Below quantification limit</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BSA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Body surface area</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CER</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Clinical evaluation report</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CI</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Confidence </w:t>
            </w:r>
            <w:r w:rsidR="00267916">
              <w:rPr>
                <w:lang w:eastAsia="ja-JP"/>
              </w:rPr>
              <w:t>i</w:t>
            </w:r>
            <w:r w:rsidRPr="00585877">
              <w:rPr>
                <w:lang w:eastAsia="ja-JP"/>
              </w:rPr>
              <w:t>nterval</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C</w:t>
            </w:r>
            <w:r w:rsidRPr="00585877">
              <w:rPr>
                <w:vertAlign w:val="subscript"/>
              </w:rPr>
              <w:t>max</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Maximum concentration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CYP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Cytochrome P450</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EMA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European Medicines Agency</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EU</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European Union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FDA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Food and Drug Administration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FDC</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Fixed dose combination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FLU</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Fluticasone propionate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FP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Fluticasone </w:t>
            </w:r>
            <w:proofErr w:type="spellStart"/>
            <w:r w:rsidR="00267916">
              <w:rPr>
                <w:lang w:eastAsia="ja-JP"/>
              </w:rPr>
              <w:t>proprionate</w:t>
            </w:r>
            <w:proofErr w:type="spellEnd"/>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GCP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Good </w:t>
            </w:r>
            <w:r w:rsidR="00267916">
              <w:rPr>
                <w:lang w:eastAsia="ja-JP"/>
              </w:rPr>
              <w:t>c</w:t>
            </w:r>
            <w:r w:rsidRPr="00585877">
              <w:rPr>
                <w:lang w:eastAsia="ja-JP"/>
              </w:rPr>
              <w:t>linical practice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lastRenderedPageBreak/>
              <w:t>GIT</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Gastrointestinal tract</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GLP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Good laboratory practice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GMP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Good manufacturing practice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GVP</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Good </w:t>
            </w:r>
            <w:proofErr w:type="spellStart"/>
            <w:r w:rsidRPr="00585877">
              <w:rPr>
                <w:lang w:eastAsia="ja-JP"/>
              </w:rPr>
              <w:t>pharmacovigilance</w:t>
            </w:r>
            <w:proofErr w:type="spellEnd"/>
            <w:r w:rsidRPr="00585877">
              <w:rPr>
                <w:lang w:eastAsia="ja-JP"/>
              </w:rPr>
              <w:t xml:space="preserve"> practices </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ICH</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International Conference on Harmonisation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roofErr w:type="spellStart"/>
            <w:r w:rsidRPr="00585877">
              <w:t>iTNSS</w:t>
            </w:r>
            <w:proofErr w:type="spellEnd"/>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Instantaneous Total Nasal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roofErr w:type="spellStart"/>
            <w:r w:rsidRPr="00585877">
              <w:t>iTOSS</w:t>
            </w:r>
            <w:proofErr w:type="spellEnd"/>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Instantaneous Total Ocular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roofErr w:type="spellStart"/>
            <w:r w:rsidRPr="00585877">
              <w:t>LLoQ</w:t>
            </w:r>
            <w:proofErr w:type="spellEnd"/>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Lower level of quantification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LOCF</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Last </w:t>
            </w:r>
            <w:r w:rsidR="00267916">
              <w:rPr>
                <w:lang w:eastAsia="ja-JP"/>
              </w:rPr>
              <w:t>o</w:t>
            </w:r>
            <w:r w:rsidRPr="00585877">
              <w:rPr>
                <w:lang w:eastAsia="ja-JP"/>
              </w:rPr>
              <w:t xml:space="preserve">bservation </w:t>
            </w:r>
            <w:r w:rsidR="00267916">
              <w:rPr>
                <w:lang w:eastAsia="ja-JP"/>
              </w:rPr>
              <w:t>c</w:t>
            </w:r>
            <w:r w:rsidRPr="00585877">
              <w:rPr>
                <w:lang w:eastAsia="ja-JP"/>
              </w:rPr>
              <w:t xml:space="preserve">arried </w:t>
            </w:r>
            <w:r w:rsidR="00267916">
              <w:rPr>
                <w:lang w:eastAsia="ja-JP"/>
              </w:rPr>
              <w:t>f</w:t>
            </w:r>
            <w:r w:rsidRPr="00585877">
              <w:rPr>
                <w:lang w:eastAsia="ja-JP"/>
              </w:rPr>
              <w:t>orward</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LOEL</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Lowest observed effect level</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LS</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Least Squares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 xml:space="preserve"> mcg</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Micrograms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MP29-02</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Fluticasone propionate and </w:t>
            </w:r>
            <w:proofErr w:type="spellStart"/>
            <w:r w:rsidRPr="00585877">
              <w:rPr>
                <w:lang w:eastAsia="ja-JP"/>
              </w:rPr>
              <w:t>azelastine</w:t>
            </w:r>
            <w:proofErr w:type="spellEnd"/>
            <w:r w:rsidRPr="00585877">
              <w:rPr>
                <w:lang w:eastAsia="ja-JP"/>
              </w:rPr>
              <w:t xml:space="preserve"> hydrochloride nasal spray</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OTC</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Over the counter</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PAR</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Perennial allergic rhinitis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PD</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proofErr w:type="spellStart"/>
            <w:r w:rsidRPr="00585877">
              <w:rPr>
                <w:lang w:eastAsia="ja-JP"/>
              </w:rPr>
              <w:t>Pharmacodynamic</w:t>
            </w:r>
            <w:proofErr w:type="spellEnd"/>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PI</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Product information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PK</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Pharmacokinetics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PSC</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 xml:space="preserve">Pharmaceutical </w:t>
            </w:r>
            <w:r w:rsidR="00267916">
              <w:rPr>
                <w:lang w:eastAsia="ja-JP"/>
              </w:rPr>
              <w:t>s</w:t>
            </w:r>
            <w:r w:rsidRPr="00585877">
              <w:rPr>
                <w:lang w:eastAsia="ja-JP"/>
              </w:rPr>
              <w:t>ubcommittee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RQLQ</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proofErr w:type="spellStart"/>
            <w:r w:rsidRPr="00585877">
              <w:rPr>
                <w:lang w:eastAsia="ja-JP"/>
              </w:rPr>
              <w:t>Rhinoconjunctivitis</w:t>
            </w:r>
            <w:proofErr w:type="spellEnd"/>
            <w:r w:rsidRPr="00585877">
              <w:rPr>
                <w:lang w:eastAsia="ja-JP"/>
              </w:rPr>
              <w:t xml:space="preserve"> </w:t>
            </w:r>
            <w:r w:rsidR="00267916">
              <w:rPr>
                <w:lang w:eastAsia="ja-JP"/>
              </w:rPr>
              <w:t>q</w:t>
            </w:r>
            <w:r w:rsidRPr="00585877">
              <w:rPr>
                <w:lang w:eastAsia="ja-JP"/>
              </w:rPr>
              <w:t xml:space="preserve">uality of </w:t>
            </w:r>
            <w:r w:rsidR="00267916">
              <w:rPr>
                <w:lang w:eastAsia="ja-JP"/>
              </w:rPr>
              <w:t>l</w:t>
            </w:r>
            <w:r w:rsidRPr="00585877">
              <w:rPr>
                <w:lang w:eastAsia="ja-JP"/>
              </w:rPr>
              <w:t xml:space="preserve">ife </w:t>
            </w:r>
            <w:r w:rsidR="00267916">
              <w:rPr>
                <w:lang w:eastAsia="ja-JP"/>
              </w:rPr>
              <w:t>q</w:t>
            </w:r>
            <w:r w:rsidRPr="00585877">
              <w:rPr>
                <w:lang w:eastAsia="ja-JP"/>
              </w:rPr>
              <w:t>uestionnaire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roofErr w:type="spellStart"/>
            <w:r w:rsidRPr="00585877">
              <w:t>rTNSS</w:t>
            </w:r>
            <w:proofErr w:type="spellEnd"/>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Reflective Total Nasal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proofErr w:type="spellStart"/>
            <w:r w:rsidRPr="00585877">
              <w:t>rTOSS</w:t>
            </w:r>
            <w:proofErr w:type="spellEnd"/>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Reflective Total Ocular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S2</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Schedule 2 of the Standard for the Uniform Scheduling of Medicines and Poisons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S2</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Schedule 2 medicine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S4</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Schedule 4 of the Standard for the Uniform Scheduling of Medicines and Poisons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lastRenderedPageBreak/>
              <w:t>SAE</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Serious adverse event</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SAR</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Seasonal allergic rhinitis</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TGA</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Therapeutic Goods Administration</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T</w:t>
            </w:r>
            <w:r w:rsidRPr="00585877">
              <w:rPr>
                <w:vertAlign w:val="subscript"/>
              </w:rPr>
              <w:t>max</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Time of maximum concentration</w:t>
            </w:r>
          </w:p>
        </w:tc>
      </w:tr>
      <w:tr w:rsidR="00312523" w:rsidRPr="007A39D6"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TNSS</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pPr>
            <w:r w:rsidRPr="00585877">
              <w:t>Total Nasal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TOSS</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pPr>
            <w:r w:rsidRPr="00585877">
              <w:t>Total Ocular Symptom Score</w:t>
            </w:r>
          </w:p>
        </w:tc>
      </w:tr>
      <w:tr w:rsidR="00312523" w:rsidTr="00585877">
        <w:tc>
          <w:tcPr>
            <w:cnfStyle w:val="001000000000" w:firstRow="0" w:lastRow="0" w:firstColumn="1" w:lastColumn="0" w:oddVBand="0" w:evenVBand="0" w:oddHBand="0" w:evenHBand="0" w:firstRowFirstColumn="0" w:firstRowLastColumn="0" w:lastRowFirstColumn="0" w:lastRowLastColumn="0"/>
            <w:tcW w:w="1809" w:type="dxa"/>
          </w:tcPr>
          <w:p w:rsidR="00312523" w:rsidRPr="00585877" w:rsidRDefault="00312523" w:rsidP="00EC244B">
            <w:r w:rsidRPr="00585877">
              <w:t>US</w:t>
            </w:r>
          </w:p>
        </w:tc>
        <w:tc>
          <w:tcPr>
            <w:tcW w:w="7513" w:type="dxa"/>
          </w:tcPr>
          <w:p w:rsidR="00312523" w:rsidRPr="00585877" w:rsidRDefault="00312523" w:rsidP="00EC244B">
            <w:pPr>
              <w:cnfStyle w:val="000000000000" w:firstRow="0" w:lastRow="0" w:firstColumn="0" w:lastColumn="0" w:oddVBand="0" w:evenVBand="0" w:oddHBand="0" w:evenHBand="0" w:firstRowFirstColumn="0" w:firstRowLastColumn="0" w:lastRowFirstColumn="0" w:lastRowLastColumn="0"/>
              <w:rPr>
                <w:lang w:eastAsia="ja-JP"/>
              </w:rPr>
            </w:pPr>
            <w:r w:rsidRPr="00585877">
              <w:rPr>
                <w:lang w:eastAsia="ja-JP"/>
              </w:rPr>
              <w:t>United States</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8" w:name="_Toc396826938"/>
      <w:r>
        <w:lastRenderedPageBreak/>
        <w:t>I.</w:t>
      </w:r>
      <w:r w:rsidR="008E7846">
        <w:t xml:space="preserve"> Introduction to product submission</w:t>
      </w:r>
      <w:bookmarkEnd w:id="8"/>
      <w:bookmarkEnd w:id="0"/>
      <w:bookmarkEnd w:id="2"/>
    </w:p>
    <w:p w:rsidR="008E7846" w:rsidRDefault="008E7846" w:rsidP="00EC244B">
      <w:pPr>
        <w:pStyle w:val="Heading3"/>
        <w:rPr>
          <w:lang w:eastAsia="en-AU"/>
        </w:rPr>
      </w:pPr>
      <w:bookmarkStart w:id="9" w:name="_Toc247691502"/>
      <w:bookmarkStart w:id="10" w:name="_Toc314842483"/>
      <w:bookmarkStart w:id="11" w:name="_Toc396826939"/>
      <w:r w:rsidRPr="00EC244B">
        <w:t>Submission</w:t>
      </w:r>
      <w:r>
        <w:rPr>
          <w:lang w:eastAsia="en-AU"/>
        </w:rPr>
        <w:t xml:space="preserve">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rsidTr="0026791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591928" w:rsidP="00591928">
            <w:r>
              <w:t>New combination of active ingredients</w:t>
            </w:r>
          </w:p>
        </w:tc>
      </w:tr>
      <w:tr w:rsidR="008E7846" w:rsidRPr="003D1E62" w:rsidTr="00267916">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267916" w:rsidP="00A5799B">
            <w:r>
              <w:t>Approved</w:t>
            </w:r>
          </w:p>
        </w:tc>
      </w:tr>
      <w:tr w:rsidR="008E7846" w:rsidRPr="003D1E62" w:rsidTr="0026791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A5799B" w:rsidP="001B5C90">
            <w:r>
              <w:t>16 December 2013</w:t>
            </w:r>
          </w:p>
        </w:tc>
      </w:tr>
      <w:tr w:rsidR="008E7846" w:rsidRPr="00487162" w:rsidTr="00267916">
        <w:trPr>
          <w:gridAfter w:val="1"/>
          <w:wAfter w:w="283" w:type="dxa"/>
        </w:trPr>
        <w:tc>
          <w:tcPr>
            <w:tcW w:w="2907" w:type="dxa"/>
          </w:tcPr>
          <w:p w:rsidR="008E7846" w:rsidRPr="00487162" w:rsidRDefault="001B5C90" w:rsidP="00EC244B">
            <w:pPr>
              <w:rPr>
                <w:i/>
              </w:rPr>
            </w:pPr>
            <w:r>
              <w:rPr>
                <w:i/>
              </w:rPr>
              <w:t>Active ingredients:</w:t>
            </w:r>
          </w:p>
        </w:tc>
        <w:tc>
          <w:tcPr>
            <w:tcW w:w="6307" w:type="dxa"/>
          </w:tcPr>
          <w:p w:rsidR="008E7846" w:rsidRPr="00487162" w:rsidRDefault="00A5799B" w:rsidP="001B56CE">
            <w:proofErr w:type="spellStart"/>
            <w:r>
              <w:t>Azelastine</w:t>
            </w:r>
            <w:proofErr w:type="spellEnd"/>
            <w:r>
              <w:t xml:space="preserve"> (as hydrochloride) and fluticasone </w:t>
            </w:r>
            <w:proofErr w:type="gramStart"/>
            <w:r>
              <w:t>propionate  nasal</w:t>
            </w:r>
            <w:proofErr w:type="gramEnd"/>
            <w:r>
              <w:t xml:space="preserve"> spray bottle.</w:t>
            </w:r>
          </w:p>
        </w:tc>
      </w:tr>
      <w:tr w:rsidR="008E7846" w:rsidRPr="00487162" w:rsidTr="00267916">
        <w:trPr>
          <w:gridAfter w:val="1"/>
          <w:wAfter w:w="283" w:type="dxa"/>
        </w:trPr>
        <w:tc>
          <w:tcPr>
            <w:tcW w:w="2907" w:type="dxa"/>
          </w:tcPr>
          <w:p w:rsidR="008E7846" w:rsidRPr="00487162" w:rsidRDefault="008E7846" w:rsidP="00EC244B">
            <w:pPr>
              <w:rPr>
                <w:i/>
              </w:rPr>
            </w:pPr>
            <w:r w:rsidRPr="00487162">
              <w:rPr>
                <w:i/>
              </w:rPr>
              <w:t>Product</w:t>
            </w:r>
            <w:r w:rsidR="00EC244B">
              <w:rPr>
                <w:i/>
              </w:rPr>
              <w:t xml:space="preserve"> name</w:t>
            </w:r>
            <w:r w:rsidR="001B5C90">
              <w:rPr>
                <w:i/>
              </w:rPr>
              <w:t>s:</w:t>
            </w:r>
          </w:p>
        </w:tc>
        <w:tc>
          <w:tcPr>
            <w:tcW w:w="6307" w:type="dxa"/>
          </w:tcPr>
          <w:p w:rsidR="008E7846" w:rsidRPr="00487162" w:rsidRDefault="00A5799B" w:rsidP="00E45619">
            <w:proofErr w:type="spellStart"/>
            <w:r>
              <w:t>Dymista</w:t>
            </w:r>
            <w:proofErr w:type="spellEnd"/>
            <w:r>
              <w:t xml:space="preserve">, </w:t>
            </w:r>
            <w:proofErr w:type="spellStart"/>
            <w:r>
              <w:t>Dylastine</w:t>
            </w:r>
            <w:proofErr w:type="spellEnd"/>
          </w:p>
        </w:tc>
      </w:tr>
      <w:tr w:rsidR="008E7846" w:rsidRPr="00487162" w:rsidTr="00267916">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A5799B" w:rsidRPr="00487162" w:rsidRDefault="00A5799B" w:rsidP="00267916">
            <w:proofErr w:type="spellStart"/>
            <w:r>
              <w:t>Meda</w:t>
            </w:r>
            <w:proofErr w:type="spellEnd"/>
            <w:r>
              <w:t xml:space="preserve"> Pharmaceuticals Pty Ltd</w:t>
            </w:r>
            <w:r w:rsidR="00267916">
              <w:br/>
            </w:r>
            <w:r w:rsidR="00CD4EB4">
              <w:t xml:space="preserve">Suite 1, </w:t>
            </w:r>
            <w:r>
              <w:t xml:space="preserve">Level </w:t>
            </w:r>
            <w:r w:rsidR="00CD4EB4">
              <w:t>3</w:t>
            </w:r>
            <w:r w:rsidR="00267916">
              <w:br/>
            </w:r>
            <w:r>
              <w:t>1</w:t>
            </w:r>
            <w:r w:rsidR="00CD4EB4">
              <w:t>10</w:t>
            </w:r>
            <w:r>
              <w:t xml:space="preserve"> Pacific Highway</w:t>
            </w:r>
            <w:r w:rsidR="00267916">
              <w:br/>
            </w:r>
            <w:r w:rsidR="00CD4EB4">
              <w:t xml:space="preserve">St Leonards </w:t>
            </w:r>
            <w:r>
              <w:t>NSW 206</w:t>
            </w:r>
            <w:r w:rsidR="00873DED">
              <w:t>5</w:t>
            </w:r>
          </w:p>
        </w:tc>
      </w:tr>
      <w:tr w:rsidR="008E7846" w:rsidRPr="00487162" w:rsidTr="00267916">
        <w:trPr>
          <w:gridAfter w:val="1"/>
          <w:wAfter w:w="283" w:type="dxa"/>
        </w:trPr>
        <w:tc>
          <w:tcPr>
            <w:tcW w:w="2907" w:type="dxa"/>
          </w:tcPr>
          <w:p w:rsidR="008E7846" w:rsidRPr="00487162" w:rsidRDefault="00A5799B" w:rsidP="00A5799B">
            <w:pPr>
              <w:rPr>
                <w:i/>
              </w:rPr>
            </w:pPr>
            <w:r>
              <w:rPr>
                <w:i/>
              </w:rPr>
              <w:t>Dose form</w:t>
            </w:r>
            <w:r w:rsidR="001B5C90">
              <w:rPr>
                <w:i/>
              </w:rPr>
              <w:t>:</w:t>
            </w:r>
          </w:p>
        </w:tc>
        <w:tc>
          <w:tcPr>
            <w:tcW w:w="6307" w:type="dxa"/>
          </w:tcPr>
          <w:p w:rsidR="008E7846" w:rsidRPr="00487162" w:rsidRDefault="00A5799B" w:rsidP="00E45619">
            <w:r>
              <w:t>Nasal spray</w:t>
            </w:r>
          </w:p>
        </w:tc>
      </w:tr>
      <w:tr w:rsidR="008E7846" w:rsidRPr="00487162" w:rsidTr="00267916">
        <w:trPr>
          <w:gridAfter w:val="1"/>
          <w:wAfter w:w="283" w:type="dxa"/>
        </w:trPr>
        <w:tc>
          <w:tcPr>
            <w:tcW w:w="2907" w:type="dxa"/>
          </w:tcPr>
          <w:p w:rsidR="008E7846" w:rsidRPr="00487162" w:rsidRDefault="00267916" w:rsidP="00E45619">
            <w:pPr>
              <w:rPr>
                <w:i/>
              </w:rPr>
            </w:pPr>
            <w:r>
              <w:rPr>
                <w:i/>
              </w:rPr>
              <w:t>Strength</w:t>
            </w:r>
            <w:r w:rsidR="008E7846" w:rsidRPr="00487162">
              <w:rPr>
                <w:i/>
              </w:rPr>
              <w:t xml:space="preserve">: </w:t>
            </w:r>
          </w:p>
        </w:tc>
        <w:tc>
          <w:tcPr>
            <w:tcW w:w="6307" w:type="dxa"/>
          </w:tcPr>
          <w:p w:rsidR="008E7846" w:rsidRPr="00487162" w:rsidRDefault="00C35101" w:rsidP="00C35101">
            <w:r>
              <w:t xml:space="preserve">125/50 </w:t>
            </w:r>
            <w:r w:rsidR="00143173">
              <w:t>per spray</w:t>
            </w:r>
          </w:p>
        </w:tc>
      </w:tr>
      <w:tr w:rsidR="008E7846" w:rsidRPr="00487162" w:rsidTr="00267916">
        <w:trPr>
          <w:gridAfter w:val="1"/>
          <w:wAfter w:w="283" w:type="dxa"/>
        </w:trPr>
        <w:tc>
          <w:tcPr>
            <w:tcW w:w="2907" w:type="dxa"/>
          </w:tcPr>
          <w:p w:rsidR="008E7846" w:rsidRPr="00487162" w:rsidRDefault="00A5799B" w:rsidP="00A5799B">
            <w:pPr>
              <w:rPr>
                <w:i/>
              </w:rPr>
            </w:pPr>
            <w:r>
              <w:rPr>
                <w:i/>
              </w:rPr>
              <w:t>Container</w:t>
            </w:r>
            <w:r w:rsidR="008E7846" w:rsidRPr="00487162">
              <w:rPr>
                <w:i/>
              </w:rPr>
              <w:t>:</w:t>
            </w:r>
          </w:p>
        </w:tc>
        <w:tc>
          <w:tcPr>
            <w:tcW w:w="6307" w:type="dxa"/>
          </w:tcPr>
          <w:p w:rsidR="008E7846" w:rsidRPr="00487162" w:rsidRDefault="00A5799B" w:rsidP="00E45619">
            <w:r>
              <w:t>Bottle</w:t>
            </w:r>
          </w:p>
        </w:tc>
      </w:tr>
      <w:tr w:rsidR="008E7846" w:rsidRPr="00487162" w:rsidTr="00267916">
        <w:trPr>
          <w:gridAfter w:val="1"/>
          <w:wAfter w:w="283" w:type="dxa"/>
        </w:trPr>
        <w:tc>
          <w:tcPr>
            <w:tcW w:w="2907" w:type="dxa"/>
          </w:tcPr>
          <w:p w:rsidR="008E7846" w:rsidRPr="00487162" w:rsidRDefault="008E7846" w:rsidP="00EC244B">
            <w:pPr>
              <w:rPr>
                <w:i/>
              </w:rPr>
            </w:pPr>
            <w:r w:rsidRPr="00487162">
              <w:rPr>
                <w:i/>
              </w:rPr>
              <w:t>Pack sizes:</w:t>
            </w:r>
          </w:p>
        </w:tc>
        <w:tc>
          <w:tcPr>
            <w:tcW w:w="6307" w:type="dxa"/>
          </w:tcPr>
          <w:p w:rsidR="008E7846" w:rsidRPr="00487162" w:rsidRDefault="00A5799B" w:rsidP="00E45619">
            <w:r>
              <w:t xml:space="preserve">4 mL (starter pack) and 17 </w:t>
            </w:r>
            <w:proofErr w:type="spellStart"/>
            <w:r>
              <w:t>mL.</w:t>
            </w:r>
            <w:proofErr w:type="spellEnd"/>
          </w:p>
        </w:tc>
      </w:tr>
      <w:tr w:rsidR="008E7846" w:rsidRPr="00487162" w:rsidTr="00267916">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A5799B" w:rsidP="00E45619">
            <w:pPr>
              <w:rPr>
                <w:rFonts w:eastAsia="MS Mincho"/>
                <w:lang w:eastAsia="ja-JP"/>
              </w:rPr>
            </w:pPr>
            <w:r>
              <w:t>Symptomatic treatment of moderate to severe allergic rhinitis and rhino-conjunctivitis in adults and children 12 years and older where use of a combination (intranasal antihistamine and glucocorticoid</w:t>
            </w:r>
            <w:r w:rsidR="00FD39CC">
              <w:t>)</w:t>
            </w:r>
            <w:r>
              <w:t xml:space="preserve"> is appropriate.</w:t>
            </w:r>
          </w:p>
        </w:tc>
      </w:tr>
      <w:tr w:rsidR="008E7846" w:rsidRPr="00487162" w:rsidTr="00267916">
        <w:trPr>
          <w:gridAfter w:val="1"/>
          <w:wAfter w:w="283" w:type="dxa"/>
        </w:trPr>
        <w:tc>
          <w:tcPr>
            <w:tcW w:w="2907" w:type="dxa"/>
          </w:tcPr>
          <w:p w:rsidR="008E7846" w:rsidRPr="00487162" w:rsidRDefault="008E7846" w:rsidP="00A5799B">
            <w:pPr>
              <w:rPr>
                <w:i/>
              </w:rPr>
            </w:pPr>
            <w:r w:rsidRPr="00487162">
              <w:rPr>
                <w:i/>
              </w:rPr>
              <w:t>Route of administration:</w:t>
            </w:r>
          </w:p>
        </w:tc>
        <w:tc>
          <w:tcPr>
            <w:tcW w:w="6307" w:type="dxa"/>
          </w:tcPr>
          <w:p w:rsidR="008E7846" w:rsidRPr="00487162" w:rsidRDefault="00A5799B" w:rsidP="00A5799B">
            <w:r>
              <w:t>Intranasal</w:t>
            </w:r>
          </w:p>
        </w:tc>
      </w:tr>
      <w:tr w:rsidR="008E7846" w:rsidRPr="00487162" w:rsidTr="00267916">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A5799B" w:rsidP="00E45619">
            <w:r>
              <w:t>One spray in each nostril twice daily (morning and evening).</w:t>
            </w:r>
          </w:p>
        </w:tc>
      </w:tr>
      <w:tr w:rsidR="008E7846" w:rsidRPr="00487162" w:rsidTr="00267916">
        <w:trPr>
          <w:gridAfter w:val="1"/>
          <w:wAfter w:w="283" w:type="dxa"/>
        </w:trPr>
        <w:tc>
          <w:tcPr>
            <w:tcW w:w="2907" w:type="dxa"/>
          </w:tcPr>
          <w:p w:rsidR="008E7846" w:rsidRPr="00487162" w:rsidRDefault="008E7846" w:rsidP="00A5799B">
            <w:pPr>
              <w:rPr>
                <w:i/>
              </w:rPr>
            </w:pPr>
            <w:r w:rsidRPr="00487162">
              <w:rPr>
                <w:i/>
              </w:rPr>
              <w:t xml:space="preserve">ARTG </w:t>
            </w:r>
            <w:r w:rsidR="001B5C90">
              <w:rPr>
                <w:i/>
              </w:rPr>
              <w:t>n</w:t>
            </w:r>
            <w:r w:rsidR="00A5799B">
              <w:rPr>
                <w:i/>
              </w:rPr>
              <w:t>umber</w:t>
            </w:r>
            <w:r w:rsidR="00267916">
              <w:rPr>
                <w:i/>
              </w:rPr>
              <w:t>s</w:t>
            </w:r>
            <w:r w:rsidR="001B5C90">
              <w:rPr>
                <w:i/>
              </w:rPr>
              <w:t>:</w:t>
            </w:r>
          </w:p>
        </w:tc>
        <w:tc>
          <w:tcPr>
            <w:tcW w:w="6307" w:type="dxa"/>
          </w:tcPr>
          <w:p w:rsidR="008E7846" w:rsidRPr="00487162" w:rsidRDefault="00A5799B" w:rsidP="00E45619">
            <w:r>
              <w:t>203131</w:t>
            </w:r>
            <w:r w:rsidR="00471CB5">
              <w:t>, 203132</w:t>
            </w:r>
          </w:p>
        </w:tc>
      </w:tr>
    </w:tbl>
    <w:p w:rsidR="008E7846" w:rsidRDefault="008E7846" w:rsidP="00EC244B">
      <w:pPr>
        <w:pStyle w:val="Heading3"/>
      </w:pPr>
      <w:bookmarkStart w:id="12" w:name="_Toc247691503"/>
      <w:bookmarkStart w:id="13" w:name="_Toc314842484"/>
      <w:bookmarkStart w:id="14" w:name="_Toc396826940"/>
      <w:r>
        <w:t>Product background</w:t>
      </w:r>
      <w:bookmarkEnd w:id="12"/>
      <w:bookmarkEnd w:id="13"/>
      <w:bookmarkEnd w:id="14"/>
    </w:p>
    <w:p w:rsidR="008E7846" w:rsidRDefault="00940A89" w:rsidP="00EC244B">
      <w:r w:rsidRPr="00940A89">
        <w:t>This AusPAR describes the applicat</w:t>
      </w:r>
      <w:r w:rsidR="0086735E">
        <w:t xml:space="preserve">ion by the sponsor to register </w:t>
      </w:r>
      <w:proofErr w:type="spellStart"/>
      <w:r w:rsidR="0086735E">
        <w:t>Dymista</w:t>
      </w:r>
      <w:proofErr w:type="spellEnd"/>
      <w:r w:rsidR="0086735E">
        <w:t>/</w:t>
      </w:r>
      <w:proofErr w:type="spellStart"/>
      <w:r w:rsidR="0086735E">
        <w:t>Dylastine</w:t>
      </w:r>
      <w:proofErr w:type="spellEnd"/>
      <w:r w:rsidR="0086735E">
        <w:t xml:space="preserve"> for the following indication;</w:t>
      </w:r>
    </w:p>
    <w:p w:rsidR="0086735E" w:rsidRPr="00267916" w:rsidRDefault="0086735E" w:rsidP="00267916">
      <w:pPr>
        <w:ind w:left="720"/>
        <w:rPr>
          <w:i/>
        </w:rPr>
      </w:pPr>
      <w:proofErr w:type="gramStart"/>
      <w:r w:rsidRPr="00267916">
        <w:rPr>
          <w:i/>
        </w:rPr>
        <w:t>Symptomatic treatment of moderate to severe allergic rhinitis and rhino-conjunctivitis in adults and children 12 years and older where use of a combination (intranasal antihistamine and glucocorticoid) is appropriate.</w:t>
      </w:r>
      <w:proofErr w:type="gramEnd"/>
    </w:p>
    <w:p w:rsidR="0086735E" w:rsidRPr="00267916" w:rsidRDefault="0086735E" w:rsidP="00267916">
      <w:proofErr w:type="spellStart"/>
      <w:r w:rsidRPr="00476438">
        <w:t>Azelastine</w:t>
      </w:r>
      <w:proofErr w:type="spellEnd"/>
      <w:r w:rsidRPr="00476438">
        <w:t xml:space="preserve"> hydrochloride (0.1%) is currently approved for seasonal or perennial allergic rhinitis</w:t>
      </w:r>
      <w:r w:rsidR="008F1BBA" w:rsidRPr="00476438">
        <w:t xml:space="preserve">. </w:t>
      </w:r>
      <w:r w:rsidR="00476438" w:rsidRPr="00476438">
        <w:t>Presentations in</w:t>
      </w:r>
      <w:r w:rsidR="00476438" w:rsidRPr="00EC244B">
        <w:t xml:space="preserve"> </w:t>
      </w:r>
      <w:r w:rsidR="00476438" w:rsidRPr="00476438">
        <w:t xml:space="preserve">the form of nasal spray, 0.05% strength, for treatment of seasonal perennial allergic rhinitis and a 0.05% presentation in the form of eye drops for conjunctivitis sponsored by </w:t>
      </w:r>
      <w:proofErr w:type="spellStart"/>
      <w:r w:rsidR="00476438" w:rsidRPr="00476438">
        <w:t>Meda</w:t>
      </w:r>
      <w:proofErr w:type="spellEnd"/>
      <w:r w:rsidR="00476438" w:rsidRPr="00476438">
        <w:t xml:space="preserve"> </w:t>
      </w:r>
      <w:proofErr w:type="spellStart"/>
      <w:r w:rsidR="00476438" w:rsidRPr="00476438">
        <w:t>Pharmacetuica</w:t>
      </w:r>
      <w:r w:rsidR="00476438">
        <w:t>ls</w:t>
      </w:r>
      <w:proofErr w:type="spellEnd"/>
      <w:r w:rsidR="00476438">
        <w:t xml:space="preserve"> are also currently approved.</w:t>
      </w:r>
    </w:p>
    <w:p w:rsidR="0086735E" w:rsidRPr="00267916" w:rsidRDefault="0086735E" w:rsidP="00267916">
      <w:r w:rsidRPr="0086735E">
        <w:t>Fluticasone propionate (0.05%) nasal spray is currently approved for prophylaxis or</w:t>
      </w:r>
      <w:r>
        <w:t xml:space="preserve"> treatment of allergic rhinitis</w:t>
      </w:r>
      <w:r w:rsidR="00267916">
        <w:t>.</w:t>
      </w:r>
    </w:p>
    <w:p w:rsidR="0086735E" w:rsidRPr="00267916" w:rsidRDefault="0086735E" w:rsidP="00267916">
      <w:r w:rsidRPr="0086735E">
        <w:lastRenderedPageBreak/>
        <w:t>Prior to submission of this application, the sponsor submitted a justification for the fixed combination and this was accepted by the TGA.</w:t>
      </w:r>
    </w:p>
    <w:p w:rsidR="0086735E" w:rsidRPr="00267916" w:rsidRDefault="0086735E" w:rsidP="00267916">
      <w:r w:rsidRPr="0086735E">
        <w:t>There are currently no other registered fixed combination nasal sprays for allergic rhinitis. There are many registered OTC products for oral administration that combine an antihistamine with a decongestant.</w:t>
      </w:r>
    </w:p>
    <w:p w:rsidR="008E7846" w:rsidRPr="003F31A2" w:rsidRDefault="00386150" w:rsidP="00EC244B">
      <w:pPr>
        <w:pStyle w:val="Heading3"/>
      </w:pPr>
      <w:bookmarkStart w:id="15" w:name="_Toc314842485"/>
      <w:bookmarkStart w:id="16" w:name="_Toc247691504"/>
      <w:bookmarkStart w:id="17" w:name="_Toc396826941"/>
      <w:r w:rsidRPr="00EC244B">
        <w:t>Regulatory</w:t>
      </w:r>
      <w:r>
        <w:t xml:space="preserve"> s</w:t>
      </w:r>
      <w:r w:rsidR="008E7846">
        <w:t>tatus</w:t>
      </w:r>
      <w:bookmarkEnd w:id="15"/>
      <w:bookmarkEnd w:id="16"/>
      <w:bookmarkEnd w:id="17"/>
    </w:p>
    <w:p w:rsidR="00940A89" w:rsidRDefault="00940A89" w:rsidP="00267916">
      <w:bookmarkStart w:id="18" w:name="_Toc247691505"/>
      <w:bookmarkStart w:id="19" w:name="_Toc314842486"/>
      <w:r w:rsidRPr="00940A89">
        <w:t>The product received initial registration on the Australian Register</w:t>
      </w:r>
      <w:r w:rsidR="0086735E">
        <w:t xml:space="preserve"> of Therapeutic Goods (ARTG) on 14 January 2014.</w:t>
      </w:r>
    </w:p>
    <w:p w:rsidR="0086735E" w:rsidRDefault="0086735E" w:rsidP="00267916">
      <w:r>
        <w:t xml:space="preserve">At the time TGA considered this application, the product was </w:t>
      </w:r>
      <w:r w:rsidRPr="0086735E">
        <w:t xml:space="preserve">approved in the </w:t>
      </w:r>
      <w:r>
        <w:t>United States (</w:t>
      </w:r>
      <w:r w:rsidRPr="0086735E">
        <w:t>US</w:t>
      </w:r>
      <w:r>
        <w:t>)</w:t>
      </w:r>
      <w:r w:rsidR="00267916">
        <w:t xml:space="preserve"> for</w:t>
      </w:r>
    </w:p>
    <w:p w:rsidR="0086735E" w:rsidRPr="00267916" w:rsidRDefault="0086735E" w:rsidP="00267916">
      <w:pPr>
        <w:ind w:left="720"/>
        <w:rPr>
          <w:i/>
        </w:rPr>
      </w:pPr>
      <w:r w:rsidRPr="00267916">
        <w:rPr>
          <w:i/>
        </w:rPr>
        <w:t>‘</w:t>
      </w:r>
      <w:proofErr w:type="gramStart"/>
      <w:r w:rsidRPr="00267916">
        <w:rPr>
          <w:i/>
        </w:rPr>
        <w:t>the</w:t>
      </w:r>
      <w:proofErr w:type="gramEnd"/>
      <w:r w:rsidRPr="00267916">
        <w:rPr>
          <w:i/>
        </w:rPr>
        <w:t xml:space="preserve"> relief of symptoms of seasonal allergic rhinitis in patients 12 years of age and older who require treatment with both </w:t>
      </w:r>
      <w:proofErr w:type="spellStart"/>
      <w:r w:rsidRPr="00267916">
        <w:rPr>
          <w:i/>
        </w:rPr>
        <w:t>azelastine</w:t>
      </w:r>
      <w:proofErr w:type="spellEnd"/>
      <w:r w:rsidRPr="00267916">
        <w:rPr>
          <w:i/>
        </w:rPr>
        <w:t xml:space="preserve"> hydrochloride and fluticasone propionate for symptomatic relief.</w:t>
      </w:r>
      <w:r w:rsidR="00267916">
        <w:rPr>
          <w:i/>
        </w:rPr>
        <w:t>’</w:t>
      </w:r>
    </w:p>
    <w:p w:rsidR="0086735E" w:rsidRDefault="0086735E" w:rsidP="00267916">
      <w:r w:rsidRPr="0086735E">
        <w:t>It is noteworthy that it is not registered for</w:t>
      </w:r>
      <w:r w:rsidR="007B3DAC">
        <w:t xml:space="preserve"> perennial allergic rhinitis (</w:t>
      </w:r>
      <w:r w:rsidRPr="0086735E">
        <w:t>PAR</w:t>
      </w:r>
      <w:r w:rsidR="007B3DAC">
        <w:t>)</w:t>
      </w:r>
      <w:r w:rsidR="00267916">
        <w:t>.</w:t>
      </w:r>
    </w:p>
    <w:p w:rsidR="0086735E" w:rsidRPr="00940A89" w:rsidRDefault="0086735E" w:rsidP="00EC244B">
      <w:r>
        <w:t xml:space="preserve">The product is </w:t>
      </w:r>
      <w:r w:rsidRPr="0086735E">
        <w:t xml:space="preserve">also registered in the </w:t>
      </w:r>
      <w:r>
        <w:t>European Union (</w:t>
      </w:r>
      <w:r w:rsidRPr="0086735E">
        <w:t>EU</w:t>
      </w:r>
      <w:r>
        <w:t>)</w:t>
      </w:r>
      <w:r w:rsidRPr="0086735E">
        <w:t xml:space="preserve"> (via </w:t>
      </w:r>
      <w:r w:rsidR="008C47FD">
        <w:t>de</w:t>
      </w:r>
      <w:r w:rsidRPr="0086735E">
        <w:t>centrali</w:t>
      </w:r>
      <w:r>
        <w:t>sed proce</w:t>
      </w:r>
      <w:r w:rsidR="008C47FD">
        <w:t>dure</w:t>
      </w:r>
      <w:r>
        <w:t xml:space="preserve"> from</w:t>
      </w:r>
      <w:r w:rsidRPr="0086735E">
        <w:t xml:space="preserve"> January 2013.</w:t>
      </w:r>
    </w:p>
    <w:p w:rsidR="008E7846" w:rsidRDefault="008E7846" w:rsidP="00EC244B">
      <w:pPr>
        <w:pStyle w:val="Heading3"/>
      </w:pPr>
      <w:bookmarkStart w:id="20" w:name="_Toc396826942"/>
      <w:r>
        <w:t xml:space="preserve">Product </w:t>
      </w:r>
      <w:r w:rsidR="00267916" w:rsidRPr="00EC244B">
        <w:t>i</w:t>
      </w:r>
      <w:r w:rsidRPr="00EC244B">
        <w:t>nformation</w:t>
      </w:r>
      <w:bookmarkEnd w:id="18"/>
      <w:bookmarkEnd w:id="19"/>
      <w:bookmarkEnd w:id="20"/>
    </w:p>
    <w:p w:rsidR="00940A89" w:rsidRDefault="00940A89" w:rsidP="00940A89">
      <w:pPr>
        <w:rPr>
          <w:b/>
          <w:bCs/>
        </w:rPr>
      </w:pPr>
      <w:bookmarkStart w:id="21" w:name="_Toc247691506"/>
      <w:bookmarkStart w:id="22"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8E7846" w:rsidRPr="003602A9" w:rsidRDefault="008E7846" w:rsidP="00EC244B">
      <w:pPr>
        <w:pStyle w:val="Heading2"/>
      </w:pPr>
      <w:bookmarkStart w:id="23" w:name="_Toc396826943"/>
      <w:r>
        <w:t xml:space="preserve">II. </w:t>
      </w:r>
      <w:r w:rsidRPr="00EC244B">
        <w:t>Quality</w:t>
      </w:r>
      <w:bookmarkEnd w:id="1"/>
      <w:r>
        <w:t xml:space="preserve"> findings</w:t>
      </w:r>
      <w:bookmarkEnd w:id="21"/>
      <w:bookmarkEnd w:id="22"/>
      <w:bookmarkEnd w:id="23"/>
    </w:p>
    <w:p w:rsidR="00940A89" w:rsidRDefault="00940A89" w:rsidP="00267916">
      <w:pPr>
        <w:pStyle w:val="Heading3"/>
      </w:pPr>
      <w:bookmarkStart w:id="24" w:name="_Toc396826944"/>
      <w:bookmarkStart w:id="25" w:name="_Toc247691507"/>
      <w:bookmarkStart w:id="26" w:name="_Toc314842488"/>
      <w:r w:rsidRPr="00940A89">
        <w:t>Introduction</w:t>
      </w:r>
      <w:bookmarkEnd w:id="24"/>
    </w:p>
    <w:p w:rsidR="00807805" w:rsidRPr="00807805" w:rsidRDefault="00807805" w:rsidP="00267916">
      <w:r w:rsidRPr="00807805">
        <w:t xml:space="preserve">The proposed product is to be available in two presentations: 4 mL (in 10 mL amber glass bottle) and 17 mL fill (in 25 mL amber glass bottle), which are connected with a nasal pump and a nasal applicator (actuator with translucent cap). The pump delivers a nasal spray with a spray volume of 137 µL, containing 125 µg </w:t>
      </w:r>
      <w:proofErr w:type="spellStart"/>
      <w:r w:rsidRPr="00807805">
        <w:t>azelastine</w:t>
      </w:r>
      <w:proofErr w:type="spellEnd"/>
      <w:r w:rsidRPr="00807805">
        <w:t xml:space="preserve"> (as hydrochloride) an</w:t>
      </w:r>
      <w:r w:rsidR="00267916">
        <w:t>d 50 µg fluticasone propionate.</w:t>
      </w:r>
    </w:p>
    <w:p w:rsidR="00807805" w:rsidRPr="00807805" w:rsidRDefault="00807805" w:rsidP="00267916">
      <w:r w:rsidRPr="00807805">
        <w:t xml:space="preserve">There are </w:t>
      </w:r>
      <w:proofErr w:type="spellStart"/>
      <w:r w:rsidRPr="00807805">
        <w:t>pharmacopeial</w:t>
      </w:r>
      <w:proofErr w:type="spellEnd"/>
      <w:r w:rsidRPr="00807805">
        <w:t xml:space="preserve"> monographs for the drug substances </w:t>
      </w:r>
      <w:proofErr w:type="spellStart"/>
      <w:r w:rsidRPr="00807805">
        <w:t>azelastine</w:t>
      </w:r>
      <w:proofErr w:type="spellEnd"/>
      <w:r w:rsidRPr="00807805">
        <w:t xml:space="preserve"> hydrochloride (</w:t>
      </w:r>
      <w:r w:rsidR="00C35101">
        <w:t>British and</w:t>
      </w:r>
      <w:r w:rsidR="007B3DAC">
        <w:t xml:space="preserve"> European</w:t>
      </w:r>
      <w:r w:rsidRPr="00807805">
        <w:t>) and fluticasone propionate (</w:t>
      </w:r>
      <w:r w:rsidR="007B3DAC">
        <w:t>British</w:t>
      </w:r>
      <w:r w:rsidR="00C35101">
        <w:t>, European</w:t>
      </w:r>
      <w:r w:rsidR="007B3DAC">
        <w:t xml:space="preserve"> and United States</w:t>
      </w:r>
      <w:r w:rsidRPr="00807805">
        <w:t xml:space="preserve">). There are no </w:t>
      </w:r>
      <w:proofErr w:type="spellStart"/>
      <w:r w:rsidRPr="00807805">
        <w:t>pharmacopeial</w:t>
      </w:r>
      <w:proofErr w:type="spellEnd"/>
      <w:r w:rsidRPr="00807805">
        <w:t xml:space="preserve"> monographs for the proposed combination drug product.</w:t>
      </w:r>
    </w:p>
    <w:p w:rsidR="008E7846" w:rsidRDefault="008E7846" w:rsidP="00EC244B">
      <w:pPr>
        <w:pStyle w:val="Heading3"/>
      </w:pPr>
      <w:bookmarkStart w:id="27" w:name="_Toc396826945"/>
      <w:r w:rsidRPr="008751DC">
        <w:t xml:space="preserve">Drug </w:t>
      </w:r>
      <w:r w:rsidRPr="00EC244B">
        <w:t>substance</w:t>
      </w:r>
      <w:r>
        <w:t xml:space="preserve"> (active ingredient)</w:t>
      </w:r>
      <w:bookmarkEnd w:id="25"/>
      <w:bookmarkEnd w:id="26"/>
      <w:bookmarkEnd w:id="27"/>
    </w:p>
    <w:p w:rsidR="00807805" w:rsidRPr="00807805" w:rsidRDefault="00807805" w:rsidP="00EC244B">
      <w:pPr>
        <w:pStyle w:val="Heading4"/>
      </w:pPr>
      <w:proofErr w:type="spellStart"/>
      <w:r w:rsidRPr="00807805">
        <w:t>Azelastine</w:t>
      </w:r>
      <w:proofErr w:type="spellEnd"/>
      <w:r w:rsidRPr="00807805">
        <w:t xml:space="preserve"> </w:t>
      </w:r>
      <w:r w:rsidRPr="00EC244B">
        <w:t>hydrochloride</w:t>
      </w:r>
    </w:p>
    <w:p w:rsidR="00807805" w:rsidRPr="00807805" w:rsidRDefault="00807805" w:rsidP="00267916">
      <w:proofErr w:type="spellStart"/>
      <w:r w:rsidRPr="00807805">
        <w:t>Azelastine</w:t>
      </w:r>
      <w:proofErr w:type="spellEnd"/>
      <w:r w:rsidRPr="00807805">
        <w:t xml:space="preserve"> hydrochloride (C</w:t>
      </w:r>
      <w:r w:rsidRPr="00807805">
        <w:rPr>
          <w:vertAlign w:val="subscript"/>
        </w:rPr>
        <w:t>22</w:t>
      </w:r>
      <w:r w:rsidRPr="00807805">
        <w:t>H</w:t>
      </w:r>
      <w:r w:rsidRPr="00807805">
        <w:rPr>
          <w:vertAlign w:val="subscript"/>
        </w:rPr>
        <w:t>24</w:t>
      </w:r>
      <w:r w:rsidRPr="00807805">
        <w:t>ClN</w:t>
      </w:r>
      <w:r w:rsidRPr="00807805">
        <w:rPr>
          <w:vertAlign w:val="subscript"/>
        </w:rPr>
        <w:t>3</w:t>
      </w:r>
      <w:r w:rsidRPr="00807805">
        <w:t>O.HCl,</w:t>
      </w:r>
      <w:r>
        <w:t xml:space="preserve"> 418.37 g/mol</w:t>
      </w:r>
      <w:r w:rsidRPr="00807805">
        <w:t>) is a potent long acting anti-allergenic compound with particularly strong histamine H1 antagonist properties. It is manufactured by chemical synthesis</w:t>
      </w:r>
      <w:r w:rsidR="00267916">
        <w:t xml:space="preserve"> and is supplied as a </w:t>
      </w:r>
      <w:proofErr w:type="spellStart"/>
      <w:r w:rsidR="00267916">
        <w:t>racemate</w:t>
      </w:r>
      <w:proofErr w:type="spellEnd"/>
      <w:r w:rsidR="00267916">
        <w:t>.</w:t>
      </w:r>
    </w:p>
    <w:p w:rsidR="00807805" w:rsidRPr="00807805" w:rsidRDefault="00807805" w:rsidP="00267916">
      <w:r w:rsidRPr="00807805">
        <w:t xml:space="preserve">It appears as a white to off-white crystalline powder. The pH of the solution is 5.5 to 7.5 and </w:t>
      </w:r>
      <w:proofErr w:type="spellStart"/>
      <w:r w:rsidRPr="00807805">
        <w:t>pKa</w:t>
      </w:r>
      <w:proofErr w:type="spellEnd"/>
      <w:r w:rsidRPr="00807805">
        <w:t xml:space="preserve"> is 7.2 </w:t>
      </w:r>
      <w:r>
        <w:t>plus/minus</w:t>
      </w:r>
      <w:r w:rsidRPr="00807805">
        <w:t xml:space="preserve"> 0.13. It is sparingly soluble in </w:t>
      </w:r>
      <w:proofErr w:type="gramStart"/>
      <w:r w:rsidRPr="00807805">
        <w:t>water,</w:t>
      </w:r>
      <w:proofErr w:type="gramEnd"/>
      <w:r w:rsidRPr="00807805">
        <w:t xml:space="preserve"> soluble in ethanol and methylene chloride, and its aqueous solubility at different pH is shown below:</w:t>
      </w:r>
    </w:p>
    <w:p w:rsidR="00807805" w:rsidRPr="00807805" w:rsidRDefault="00807805" w:rsidP="00267916">
      <w:proofErr w:type="spellStart"/>
      <w:r w:rsidRPr="00807805">
        <w:lastRenderedPageBreak/>
        <w:t>Azelastine</w:t>
      </w:r>
      <w:proofErr w:type="spellEnd"/>
      <w:r w:rsidRPr="00807805">
        <w:t xml:space="preserve"> hydrochloride</w:t>
      </w:r>
      <w:r w:rsidRPr="00807805">
        <w:rPr>
          <w:vertAlign w:val="superscript"/>
        </w:rPr>
        <w:footnoteReference w:id="2"/>
      </w:r>
      <w:r w:rsidRPr="00807805">
        <w:t xml:space="preserve"> completely dissolves in the proposed product during the manufacturing process; therefore, polymorphism and particle size of this active are not considered cri</w:t>
      </w:r>
      <w:r w:rsidR="00267916">
        <w:t>tical for the proposed product.</w:t>
      </w:r>
    </w:p>
    <w:p w:rsidR="00807805" w:rsidRPr="00807805" w:rsidRDefault="00807805" w:rsidP="00EC244B">
      <w:pPr>
        <w:pStyle w:val="Heading4"/>
      </w:pPr>
      <w:r w:rsidRPr="00807805">
        <w:t xml:space="preserve">Fluticasone </w:t>
      </w:r>
      <w:r w:rsidRPr="00EC244B">
        <w:t>propionate</w:t>
      </w:r>
    </w:p>
    <w:p w:rsidR="00807805" w:rsidRPr="00807805" w:rsidRDefault="00807805" w:rsidP="00267916">
      <w:r w:rsidRPr="00807805">
        <w:t>Fluticasone propionate (C</w:t>
      </w:r>
      <w:r w:rsidRPr="00807805">
        <w:rPr>
          <w:vertAlign w:val="subscript"/>
        </w:rPr>
        <w:t>25</w:t>
      </w:r>
      <w:r w:rsidRPr="00807805">
        <w:t>H</w:t>
      </w:r>
      <w:r w:rsidRPr="00807805">
        <w:rPr>
          <w:vertAlign w:val="subscript"/>
        </w:rPr>
        <w:t>31</w:t>
      </w:r>
      <w:r w:rsidRPr="00807805">
        <w:t>F</w:t>
      </w:r>
      <w:r w:rsidRPr="00807805">
        <w:rPr>
          <w:vertAlign w:val="subscript"/>
        </w:rPr>
        <w:t>3</w:t>
      </w:r>
      <w:r w:rsidRPr="00807805">
        <w:t>O</w:t>
      </w:r>
      <w:r w:rsidRPr="00807805">
        <w:rPr>
          <w:vertAlign w:val="subscript"/>
        </w:rPr>
        <w:t>5</w:t>
      </w:r>
      <w:r w:rsidRPr="00807805">
        <w:t>S, 500.6 g/mo</w:t>
      </w:r>
      <w:r w:rsidR="00A017E4">
        <w:t>l</w:t>
      </w:r>
      <w:r w:rsidRPr="00807805">
        <w:t>) is a synthetic tri</w:t>
      </w:r>
      <w:r w:rsidRPr="00807805">
        <w:noBreakHyphen/>
        <w:t xml:space="preserve">fluorinated </w:t>
      </w:r>
      <w:proofErr w:type="spellStart"/>
      <w:r w:rsidRPr="00807805">
        <w:t>glucocortico</w:t>
      </w:r>
      <w:proofErr w:type="spellEnd"/>
      <w:r w:rsidRPr="00807805">
        <w:t xml:space="preserve">-steroid with potent anti-inflammatory activity by acting at the glucocorticoid receptor. It is </w:t>
      </w:r>
      <w:r w:rsidR="00267916">
        <w:t>a white to almost white powder.</w:t>
      </w:r>
    </w:p>
    <w:p w:rsidR="00807805" w:rsidRPr="00807805" w:rsidRDefault="00807805" w:rsidP="00267916">
      <w:r w:rsidRPr="00807805">
        <w:t xml:space="preserve">It is practically insoluble in water, sparingly soluble in methylene chloride, slightly soluble in </w:t>
      </w:r>
      <w:r w:rsidR="00A017E4">
        <w:t>ethan</w:t>
      </w:r>
      <w:r w:rsidRPr="00807805">
        <w:t xml:space="preserve">ol. </w:t>
      </w:r>
      <w:r w:rsidR="002A3F5A">
        <w:t>Studies on p</w:t>
      </w:r>
      <w:r w:rsidRPr="00807805">
        <w:t>olymorphi</w:t>
      </w:r>
      <w:r w:rsidR="002A3F5A">
        <w:t>sm were performed, and the polymorph f</w:t>
      </w:r>
      <w:r w:rsidRPr="00807805">
        <w:t xml:space="preserve">orm of fluticasone propionate </w:t>
      </w:r>
      <w:r w:rsidR="002A3F5A">
        <w:t xml:space="preserve">obtained by the manufacturer and </w:t>
      </w:r>
      <w:r w:rsidRPr="00807805">
        <w:t>used in the manufacture of the proposed nasal spray</w:t>
      </w:r>
      <w:r w:rsidR="002A3F5A" w:rsidRPr="002A3F5A">
        <w:t xml:space="preserve"> </w:t>
      </w:r>
      <w:r w:rsidR="002A3F5A" w:rsidRPr="00807805">
        <w:t>is</w:t>
      </w:r>
      <w:r w:rsidR="002A3F5A">
        <w:t xml:space="preserve"> documented</w:t>
      </w:r>
      <w:r w:rsidRPr="00807805">
        <w:t>. The particle size of the drug substance has been appropriately controlled in the drug substance specification to ensure its even distribution in the drug product.</w:t>
      </w:r>
    </w:p>
    <w:p w:rsidR="008E7846" w:rsidRDefault="008E7846" w:rsidP="00EC244B">
      <w:pPr>
        <w:pStyle w:val="Heading3"/>
      </w:pPr>
      <w:bookmarkStart w:id="28" w:name="_Toc247691508"/>
      <w:bookmarkStart w:id="29" w:name="_Toc314842490"/>
      <w:bookmarkStart w:id="30" w:name="_Toc396826946"/>
      <w:r w:rsidRPr="008751DC">
        <w:t xml:space="preserve">Drug </w:t>
      </w:r>
      <w:r w:rsidRPr="00EC244B">
        <w:t>product</w:t>
      </w:r>
      <w:bookmarkEnd w:id="28"/>
      <w:bookmarkEnd w:id="29"/>
      <w:bookmarkEnd w:id="30"/>
    </w:p>
    <w:p w:rsidR="00807805" w:rsidRPr="00807805" w:rsidRDefault="00807805" w:rsidP="00267916">
      <w:r w:rsidRPr="00807805">
        <w:t xml:space="preserve">The proposed product is formulated as a white, non-sterile nasal spray suspension containing </w:t>
      </w:r>
      <w:proofErr w:type="spellStart"/>
      <w:r w:rsidRPr="00807805">
        <w:t>azelastine</w:t>
      </w:r>
      <w:proofErr w:type="spellEnd"/>
      <w:r w:rsidRPr="00807805">
        <w:t xml:space="preserve"> (as hydrochloride) and fluticasone propionate as the actives, and “</w:t>
      </w:r>
      <w:proofErr w:type="spellStart"/>
      <w:r w:rsidRPr="00807805">
        <w:t>benzalkonium</w:t>
      </w:r>
      <w:proofErr w:type="spellEnd"/>
      <w:r w:rsidRPr="00807805">
        <w:t xml:space="preserve"> chloride” and “</w:t>
      </w:r>
      <w:proofErr w:type="spellStart"/>
      <w:r w:rsidRPr="00807805">
        <w:t>phenylethyl</w:t>
      </w:r>
      <w:proofErr w:type="spellEnd"/>
      <w:r w:rsidRPr="00807805">
        <w:t xml:space="preserve"> alcohol” as the preservatives. The proposed product contains typical excipients for this type of product.</w:t>
      </w:r>
    </w:p>
    <w:p w:rsidR="00807805" w:rsidRPr="00807805" w:rsidRDefault="00807805" w:rsidP="00267916">
      <w:r w:rsidRPr="00807805">
        <w:t xml:space="preserve">The key performance attribute of the proposed product is the insolubility of fluticasone propionate in water. A portion of </w:t>
      </w:r>
      <w:proofErr w:type="spellStart"/>
      <w:r w:rsidRPr="00807805">
        <w:t>azelastine</w:t>
      </w:r>
      <w:proofErr w:type="spellEnd"/>
      <w:r w:rsidRPr="00807805">
        <w:t xml:space="preserve"> hydrochloride precipitates</w:t>
      </w:r>
      <w:r w:rsidR="009E5CB7">
        <w:t xml:space="preserve"> and</w:t>
      </w:r>
      <w:r w:rsidR="00BF04FD">
        <w:t xml:space="preserve"> t</w:t>
      </w:r>
      <w:r w:rsidRPr="00807805">
        <w:t>herefore the product is a suspension of both drug substances. Investigation on the particle size distribution of the suspended particles for both actives was performed and showed that the particle size</w:t>
      </w:r>
      <w:r w:rsidR="00267916">
        <w:t xml:space="preserve"> does not change upon storage.</w:t>
      </w:r>
    </w:p>
    <w:p w:rsidR="00807805" w:rsidRPr="00807805" w:rsidRDefault="00807805" w:rsidP="00267916">
      <w:r w:rsidRPr="00807805">
        <w:t>The proposed finished product specification includes acceptable controls for a nasal spray suspension, in particular Delivered Dose Uniformity, Particle Size Distribution and Droplet Size Distribution for effective dose delivery to the nasal cavity.</w:t>
      </w:r>
    </w:p>
    <w:p w:rsidR="00807805" w:rsidRPr="00807805" w:rsidRDefault="00807805" w:rsidP="00267916">
      <w:r w:rsidRPr="00807805">
        <w:t xml:space="preserve">Acceptable data were also provided to support the initial priming (6 </w:t>
      </w:r>
      <w:r w:rsidR="002A3F5A">
        <w:t>actuations</w:t>
      </w:r>
      <w:r w:rsidRPr="00807805">
        <w:t xml:space="preserve">) and repriming (at least one </w:t>
      </w:r>
      <w:r w:rsidR="002A3F5A">
        <w:t>actuation</w:t>
      </w:r>
      <w:r w:rsidRPr="00807805">
        <w:t xml:space="preserve">) as stated in the labels and </w:t>
      </w:r>
      <w:r w:rsidR="007B3DAC">
        <w:t>Product Information (</w:t>
      </w:r>
      <w:r w:rsidRPr="00807805">
        <w:t>PI</w:t>
      </w:r>
      <w:r w:rsidR="007B3DAC">
        <w:t>)</w:t>
      </w:r>
      <w:r w:rsidRPr="00807805">
        <w:t>.</w:t>
      </w:r>
    </w:p>
    <w:p w:rsidR="00807805" w:rsidRPr="00EC244B" w:rsidRDefault="00EC244B" w:rsidP="00EC244B">
      <w:pPr>
        <w:pStyle w:val="Heading4"/>
      </w:pPr>
      <w:r>
        <w:t>Stability</w:t>
      </w:r>
    </w:p>
    <w:p w:rsidR="00807805" w:rsidRPr="00807805" w:rsidRDefault="00267916" w:rsidP="00EC244B">
      <w:pPr>
        <w:pStyle w:val="Heading5"/>
      </w:pPr>
      <w:r>
        <w:t xml:space="preserve">Unopened </w:t>
      </w:r>
      <w:r w:rsidRPr="00EC244B">
        <w:t>product</w:t>
      </w:r>
    </w:p>
    <w:p w:rsidR="00807805" w:rsidRPr="00807805" w:rsidRDefault="00807805" w:rsidP="00267916">
      <w:r w:rsidRPr="00807805">
        <w:t xml:space="preserve">The stability data were generated under accelerated (40°C/75% RH) and long-term (25°C/60% RH) conditions, in batches packaged in the proposed container closure system, and stored under upright and horizontal positions.  </w:t>
      </w:r>
      <w:proofErr w:type="spellStart"/>
      <w:r w:rsidRPr="00807805">
        <w:t>Photostability</w:t>
      </w:r>
      <w:proofErr w:type="spellEnd"/>
      <w:r w:rsidRPr="00807805">
        <w:t xml:space="preserve"> study indicates that “protection from light” is not required.</w:t>
      </w:r>
    </w:p>
    <w:p w:rsidR="00807805" w:rsidRPr="00807805" w:rsidRDefault="00807805" w:rsidP="00267916">
      <w:pPr>
        <w:pStyle w:val="ListBullet"/>
      </w:pPr>
      <w:r w:rsidRPr="00807805">
        <w:t>The results indicate that there was no appreciable difference between the samples stored in up</w:t>
      </w:r>
      <w:r w:rsidR="00267916">
        <w:t>right and horizontal positions.</w:t>
      </w:r>
    </w:p>
    <w:p w:rsidR="00807805" w:rsidRPr="00807805" w:rsidRDefault="00807805" w:rsidP="00267916">
      <w:pPr>
        <w:pStyle w:val="ListBullet"/>
      </w:pPr>
      <w:r w:rsidRPr="00807805">
        <w:t xml:space="preserve">From both </w:t>
      </w:r>
      <w:r>
        <w:t>quality</w:t>
      </w:r>
      <w:r w:rsidRPr="00807805">
        <w:t xml:space="preserve"> and sterility perspective, the stability data support the proposed shelf-life of 36 months, stored below 25°C, do not refrigerate and do not f</w:t>
      </w:r>
      <w:r w:rsidR="00267916">
        <w:t>reeze for the unopened product.</w:t>
      </w:r>
    </w:p>
    <w:p w:rsidR="00807805" w:rsidRPr="00807805" w:rsidRDefault="00807805" w:rsidP="0081747D">
      <w:pPr>
        <w:pStyle w:val="Heading5"/>
        <w:rPr>
          <w:u w:val="single"/>
        </w:rPr>
      </w:pPr>
      <w:r w:rsidRPr="00807805">
        <w:lastRenderedPageBreak/>
        <w:t>In-</w:t>
      </w:r>
      <w:r w:rsidR="0081747D">
        <w:t>use stability of opened product</w:t>
      </w:r>
    </w:p>
    <w:p w:rsidR="00807805" w:rsidRPr="00807805" w:rsidRDefault="00807805" w:rsidP="0081747D">
      <w:r>
        <w:t>From a quality</w:t>
      </w:r>
      <w:r w:rsidRPr="00807805">
        <w:t xml:space="preserve"> and sterility perspective, the in-use stability data support the proposed in-use period of 6 months after first opening of the bottle, when stored at 25°C/60% RH.</w:t>
      </w:r>
    </w:p>
    <w:p w:rsidR="00807805" w:rsidRPr="00807805" w:rsidRDefault="00807805" w:rsidP="0081747D">
      <w:r w:rsidRPr="00807805">
        <w:t>The proposed carton and bottle lab</w:t>
      </w:r>
      <w:r w:rsidR="007B3DAC">
        <w:t xml:space="preserve">els and PIs are acceptable from a quality </w:t>
      </w:r>
      <w:r w:rsidRPr="00807805">
        <w:t>perspective.</w:t>
      </w:r>
    </w:p>
    <w:p w:rsidR="008E7846" w:rsidRDefault="008E7846" w:rsidP="00EC244B">
      <w:pPr>
        <w:pStyle w:val="Heading3"/>
      </w:pPr>
      <w:bookmarkStart w:id="31" w:name="_Toc314842491"/>
      <w:bookmarkStart w:id="32" w:name="_Toc396826947"/>
      <w:proofErr w:type="spellStart"/>
      <w:r w:rsidRPr="00EC244B">
        <w:t>Biopharmaceutics</w:t>
      </w:r>
      <w:bookmarkEnd w:id="31"/>
      <w:bookmarkEnd w:id="32"/>
      <w:proofErr w:type="spellEnd"/>
    </w:p>
    <w:p w:rsidR="00807805" w:rsidRPr="00807805" w:rsidRDefault="00807805" w:rsidP="0081747D">
      <w:r w:rsidRPr="00807805">
        <w:t>The company provided two pharmacokinetic</w:t>
      </w:r>
      <w:r w:rsidR="007B3DAC">
        <w:t xml:space="preserve"> (PK)</w:t>
      </w:r>
      <w:r w:rsidRPr="00807805">
        <w:t xml:space="preserve"> studies comparing the proposed combination product to the monotherapy products from the US.</w:t>
      </w:r>
    </w:p>
    <w:p w:rsidR="00807805" w:rsidRPr="00807805" w:rsidRDefault="00807805" w:rsidP="0081747D">
      <w:r w:rsidRPr="00807805">
        <w:t xml:space="preserve">As the proposed combination product is locally acting, these studies were not evaluated </w:t>
      </w:r>
      <w:r>
        <w:t>quality</w:t>
      </w:r>
      <w:r w:rsidRPr="00807805">
        <w:t>. The details of these studies were summarised for pharmacokinetic purposes for comparison of the systemic exposures of the actives in the combination product with those of the respective monotherapy products.</w:t>
      </w:r>
    </w:p>
    <w:p w:rsidR="00807805" w:rsidRPr="00807805" w:rsidRDefault="00807805" w:rsidP="0081747D">
      <w:r w:rsidRPr="00807805">
        <w:t>The pharmacokinetic studies provided are shown below:</w:t>
      </w:r>
    </w:p>
    <w:p w:rsidR="00807805" w:rsidRDefault="00807805" w:rsidP="00EC244B">
      <w:pPr>
        <w:pStyle w:val="Heading4"/>
      </w:pPr>
      <w:r w:rsidRPr="00807805">
        <w:t>PK study 3283</w:t>
      </w:r>
    </w:p>
    <w:p w:rsidR="00807805" w:rsidRDefault="00807805" w:rsidP="0081747D">
      <w:r w:rsidRPr="00807805">
        <w:t xml:space="preserve">This study compared the PK parameters of the proposed combination product to the US marketed </w:t>
      </w:r>
      <w:proofErr w:type="spellStart"/>
      <w:r w:rsidRPr="00807805">
        <w:t>azelastine</w:t>
      </w:r>
      <w:proofErr w:type="spellEnd"/>
      <w:r w:rsidRPr="00807805">
        <w:t xml:space="preserve"> monotherapy product. The results of </w:t>
      </w:r>
      <w:r w:rsidR="007B3DAC">
        <w:t>the maximum concentration (</w:t>
      </w:r>
      <w:r w:rsidR="00902285" w:rsidRPr="00807805">
        <w:t>C</w:t>
      </w:r>
      <w:r w:rsidR="00902285" w:rsidRPr="00807805">
        <w:rPr>
          <w:vertAlign w:val="subscript"/>
        </w:rPr>
        <w:t>max</w:t>
      </w:r>
      <w:r w:rsidR="007B3DAC">
        <w:t>) an</w:t>
      </w:r>
      <w:r w:rsidRPr="00807805">
        <w:t xml:space="preserve">d </w:t>
      </w:r>
      <w:r w:rsidR="007B3DAC">
        <w:t>area under the curve, both time dependent and total (</w:t>
      </w:r>
      <w:r w:rsidRPr="00807805">
        <w:t>AUC</w:t>
      </w:r>
      <w:r w:rsidRPr="00807805">
        <w:rPr>
          <w:vertAlign w:val="subscript"/>
        </w:rPr>
        <w:t xml:space="preserve">0-t </w:t>
      </w:r>
      <w:r w:rsidRPr="00807805">
        <w:t>and AUC</w:t>
      </w:r>
      <w:r w:rsidRPr="00807805">
        <w:rPr>
          <w:vertAlign w:val="subscript"/>
        </w:rPr>
        <w:t>0-inf</w:t>
      </w:r>
      <w:r w:rsidR="007B3DAC">
        <w:t>) f</w:t>
      </w:r>
      <w:r w:rsidRPr="00807805">
        <w:t xml:space="preserve">or </w:t>
      </w:r>
      <w:proofErr w:type="spellStart"/>
      <w:r w:rsidRPr="00807805">
        <w:t>azelastine</w:t>
      </w:r>
      <w:proofErr w:type="spellEnd"/>
      <w:r w:rsidRPr="00807805">
        <w:t xml:space="preserve"> are within the 90% </w:t>
      </w:r>
      <w:r w:rsidR="007B3DAC">
        <w:t>Confidence Interval (</w:t>
      </w:r>
      <w:r w:rsidRPr="00807805">
        <w:t>CI</w:t>
      </w:r>
      <w:r w:rsidR="007B3DAC">
        <w:t>)</w:t>
      </w:r>
      <w:r w:rsidRPr="00807805">
        <w:t xml:space="preserve"> interval to conclude bioequivalence and span unity.</w:t>
      </w:r>
    </w:p>
    <w:p w:rsidR="00807805" w:rsidRPr="007B3DAC" w:rsidRDefault="00807805" w:rsidP="0081747D">
      <w:r w:rsidRPr="007B3DAC">
        <w:t xml:space="preserve">Therefore, it can be concluded that the systemic exposure of </w:t>
      </w:r>
      <w:proofErr w:type="spellStart"/>
      <w:r w:rsidRPr="007B3DAC">
        <w:t>azelastine</w:t>
      </w:r>
      <w:proofErr w:type="spellEnd"/>
      <w:r w:rsidRPr="007B3DAC">
        <w:t xml:space="preserve"> in the proposed fixed dose combination is comparable to the US marketed monotherapy </w:t>
      </w:r>
      <w:proofErr w:type="spellStart"/>
      <w:r w:rsidRPr="007B3DAC">
        <w:t>azelastine</w:t>
      </w:r>
      <w:proofErr w:type="spellEnd"/>
      <w:r w:rsidRPr="007B3DAC">
        <w:t xml:space="preserve"> nasal spray.</w:t>
      </w:r>
    </w:p>
    <w:p w:rsidR="00807805" w:rsidRDefault="00807805" w:rsidP="00EC244B">
      <w:pPr>
        <w:pStyle w:val="Heading4"/>
      </w:pPr>
      <w:r w:rsidRPr="00807805">
        <w:t>PK study 3282</w:t>
      </w:r>
    </w:p>
    <w:p w:rsidR="00807805" w:rsidRPr="00807805" w:rsidRDefault="00807805" w:rsidP="0081747D">
      <w:r w:rsidRPr="00807805">
        <w:t>This study</w:t>
      </w:r>
      <w:r w:rsidRPr="00807805">
        <w:rPr>
          <w:b/>
        </w:rPr>
        <w:t xml:space="preserve"> </w:t>
      </w:r>
      <w:r w:rsidRPr="00807805">
        <w:t>compared the</w:t>
      </w:r>
      <w:r w:rsidRPr="00807805">
        <w:rPr>
          <w:b/>
        </w:rPr>
        <w:t xml:space="preserve"> </w:t>
      </w:r>
      <w:r w:rsidRPr="00807805">
        <w:t xml:space="preserve">PK parameters of proposed combination product to the US marketed fluticasone monotherapy product. The results </w:t>
      </w:r>
      <w:r w:rsidR="002C20C3">
        <w:t xml:space="preserve">of </w:t>
      </w:r>
      <w:r w:rsidR="00902285" w:rsidRPr="00807805">
        <w:t>C</w:t>
      </w:r>
      <w:r w:rsidR="00902285" w:rsidRPr="00807805">
        <w:rPr>
          <w:vertAlign w:val="subscript"/>
        </w:rPr>
        <w:t>max</w:t>
      </w:r>
      <w:r w:rsidRPr="00807805">
        <w:rPr>
          <w:vertAlign w:val="subscript"/>
        </w:rPr>
        <w:t xml:space="preserve"> </w:t>
      </w:r>
      <w:r w:rsidRPr="00807805">
        <w:t>and AUC</w:t>
      </w:r>
      <w:r w:rsidRPr="00807805">
        <w:rPr>
          <w:vertAlign w:val="subscript"/>
        </w:rPr>
        <w:t xml:space="preserve">0-t </w:t>
      </w:r>
      <w:r w:rsidRPr="00807805">
        <w:t>and AUC</w:t>
      </w:r>
      <w:r w:rsidRPr="00807805">
        <w:rPr>
          <w:vertAlign w:val="subscript"/>
        </w:rPr>
        <w:t>0-inf</w:t>
      </w:r>
      <w:r w:rsidRPr="00807805">
        <w:t xml:space="preserve"> for fluticasone </w:t>
      </w:r>
      <w:r w:rsidRPr="002C20C3">
        <w:t>are outside the</w:t>
      </w:r>
      <w:r w:rsidRPr="00807805">
        <w:t xml:space="preserve"> 90% CI interval to conclude bioequivalence.</w:t>
      </w:r>
    </w:p>
    <w:p w:rsidR="00807805" w:rsidRPr="00807805" w:rsidRDefault="00807805" w:rsidP="0081747D">
      <w:r w:rsidRPr="00807805">
        <w:t xml:space="preserve">The point estimates for all </w:t>
      </w:r>
      <w:r w:rsidR="00902285" w:rsidRPr="00807805">
        <w:t>C</w:t>
      </w:r>
      <w:r w:rsidR="00902285" w:rsidRPr="00807805">
        <w:rPr>
          <w:vertAlign w:val="subscript"/>
        </w:rPr>
        <w:t>max</w:t>
      </w:r>
      <w:r w:rsidRPr="00807805">
        <w:rPr>
          <w:vertAlign w:val="subscript"/>
        </w:rPr>
        <w:t xml:space="preserve"> </w:t>
      </w:r>
      <w:r w:rsidRPr="00807805">
        <w:t>and AUC indicates that the systemic exposure to fluticasone propionate is about 1.6 times greater after treatment with the proposed fixed dose combination product as compared with the corresponding monotherapy product.</w:t>
      </w:r>
    </w:p>
    <w:p w:rsidR="00807805" w:rsidRPr="00807805" w:rsidRDefault="00807805" w:rsidP="0081747D">
      <w:r w:rsidRPr="00807805">
        <w:t xml:space="preserve">Given that the pharmacokinetic studies above were performed using the monotherapy </w:t>
      </w:r>
      <w:proofErr w:type="spellStart"/>
      <w:r w:rsidRPr="00807805">
        <w:t>azelastine</w:t>
      </w:r>
      <w:proofErr w:type="spellEnd"/>
      <w:r w:rsidRPr="00807805">
        <w:t xml:space="preserve"> product and the monotherapy fluticasone product from the US, the clinical </w:t>
      </w:r>
      <w:r w:rsidR="009E5CB7">
        <w:t>D</w:t>
      </w:r>
      <w:r w:rsidRPr="00807805">
        <w:t>elegate should note that:</w:t>
      </w:r>
    </w:p>
    <w:p w:rsidR="00807805" w:rsidRPr="0081747D" w:rsidRDefault="00807805" w:rsidP="0081747D">
      <w:pPr>
        <w:pStyle w:val="ListBullet"/>
      </w:pPr>
      <w:r w:rsidRPr="0081747D">
        <w:t>The Australian and US marketed fluticasone propionate sprays are similar, but not identical, particularly in relation to the content of the some excipients, where quantitative information were not available for comparison.</w:t>
      </w:r>
    </w:p>
    <w:p w:rsidR="00807805" w:rsidRPr="0081747D" w:rsidRDefault="00807805" w:rsidP="0081747D">
      <w:pPr>
        <w:pStyle w:val="ListBullet"/>
      </w:pPr>
      <w:r w:rsidRPr="0081747D">
        <w:t xml:space="preserve">The company stated that the </w:t>
      </w:r>
      <w:proofErr w:type="spellStart"/>
      <w:r w:rsidRPr="0081747D">
        <w:t>azelastine</w:t>
      </w:r>
      <w:proofErr w:type="spellEnd"/>
      <w:r w:rsidRPr="0081747D">
        <w:t xml:space="preserve"> nasal sprays from EU and AUS are identical; therefore, the comparison of US to EU product is considered representative of the comparison of </w:t>
      </w:r>
      <w:proofErr w:type="spellStart"/>
      <w:r w:rsidRPr="0081747D">
        <w:t>azelastine</w:t>
      </w:r>
      <w:proofErr w:type="spellEnd"/>
      <w:r w:rsidRPr="0081747D">
        <w:t xml:space="preserve"> nasal sprays from US to AUS product.</w:t>
      </w:r>
    </w:p>
    <w:p w:rsidR="00807805" w:rsidRPr="00807805" w:rsidRDefault="00807805" w:rsidP="0081747D">
      <w:pPr>
        <w:pStyle w:val="ListBullet2"/>
      </w:pPr>
      <w:r w:rsidRPr="00807805">
        <w:t xml:space="preserve">The EU/Australian and US marketed </w:t>
      </w:r>
      <w:proofErr w:type="spellStart"/>
      <w:r w:rsidRPr="00807805">
        <w:t>azelastine</w:t>
      </w:r>
      <w:proofErr w:type="spellEnd"/>
      <w:r w:rsidRPr="00807805">
        <w:t xml:space="preserve"> sprays are similar, but not identical; in particular, the AUS/EU product is preservative-free, whereas the US product contains </w:t>
      </w:r>
      <w:proofErr w:type="spellStart"/>
      <w:r w:rsidRPr="00807805">
        <w:t>benzalkon</w:t>
      </w:r>
      <w:r>
        <w:t>ium</w:t>
      </w:r>
      <w:proofErr w:type="spellEnd"/>
      <w:r>
        <w:t xml:space="preserve"> chloride as a preservative.</w:t>
      </w:r>
    </w:p>
    <w:p w:rsidR="00807805" w:rsidRPr="00807805" w:rsidRDefault="00807805" w:rsidP="0081747D">
      <w:r w:rsidRPr="00807805">
        <w:t>It is a clinical decision as to whether these differences are significant with regards to the current applic</w:t>
      </w:r>
      <w:r w:rsidR="0081747D">
        <w:t>ation.</w:t>
      </w:r>
    </w:p>
    <w:p w:rsidR="008E7846" w:rsidRPr="008751DC" w:rsidRDefault="008E7846" w:rsidP="0081747D">
      <w:pPr>
        <w:pStyle w:val="Heading3"/>
      </w:pPr>
      <w:bookmarkStart w:id="33" w:name="_Toc247691509"/>
      <w:bookmarkStart w:id="34" w:name="_Toc314842493"/>
      <w:bookmarkStart w:id="35" w:name="_Toc396826948"/>
      <w:r>
        <w:lastRenderedPageBreak/>
        <w:t>Quality s</w:t>
      </w:r>
      <w:r w:rsidRPr="008751DC">
        <w:t>ummary</w:t>
      </w:r>
      <w:r>
        <w:t xml:space="preserve"> and conclusions</w:t>
      </w:r>
      <w:bookmarkEnd w:id="33"/>
      <w:bookmarkEnd w:id="34"/>
      <w:bookmarkEnd w:id="35"/>
    </w:p>
    <w:p w:rsidR="00807805" w:rsidRPr="00807805" w:rsidRDefault="00807805" w:rsidP="0081747D">
      <w:r w:rsidRPr="00807805">
        <w:t>There are no outstanding issues from</w:t>
      </w:r>
      <w:r>
        <w:t xml:space="preserve"> a quality</w:t>
      </w:r>
      <w:r w:rsidRPr="00807805">
        <w:t xml:space="preserve"> or </w:t>
      </w:r>
      <w:r w:rsidR="009E5CB7">
        <w:t>s</w:t>
      </w:r>
      <w:r w:rsidRPr="00807805">
        <w:t>terility perspective; hence approval can be recommended from chemistry and quality control aspects.</w:t>
      </w:r>
    </w:p>
    <w:p w:rsidR="00807805" w:rsidRPr="00807805" w:rsidRDefault="00807805" w:rsidP="0081747D">
      <w:r w:rsidRPr="00807805">
        <w:t xml:space="preserve">This is a new fixed combination product of previously approved actives, and there were no significant issues with chemistry and quality control aspect of the proposed product. Therefore, these details were not presented for consideration by the Pharmaceutical Subcommittee of </w:t>
      </w:r>
      <w:r w:rsidR="009E5CB7">
        <w:t xml:space="preserve">the </w:t>
      </w:r>
      <w:r w:rsidR="007B3DAC">
        <w:t>Advisory Committee on Prescription Medicines (</w:t>
      </w:r>
      <w:r w:rsidRPr="00807805">
        <w:t>ACPM</w:t>
      </w:r>
      <w:r w:rsidR="007B3DAC">
        <w:t xml:space="preserve">, </w:t>
      </w:r>
      <w:r w:rsidRPr="00807805">
        <w:t>PSC).</w:t>
      </w:r>
    </w:p>
    <w:p w:rsidR="008E7846" w:rsidRPr="00807805" w:rsidRDefault="00807805" w:rsidP="0081747D">
      <w:r w:rsidRPr="00807805">
        <w:t>The systemic exposure to fluticasone propionate is about 1.6 times greater after treatment with the proposed fixed dose combination product as compared with the corresponding monotherapy product.</w:t>
      </w:r>
    </w:p>
    <w:p w:rsidR="008E7846" w:rsidRDefault="008E7846" w:rsidP="0081747D">
      <w:pPr>
        <w:pStyle w:val="Heading2"/>
      </w:pPr>
      <w:bookmarkStart w:id="36" w:name="_Toc196046439"/>
      <w:bookmarkStart w:id="37" w:name="_Toc247691510"/>
      <w:bookmarkStart w:id="38" w:name="_Toc314842494"/>
      <w:bookmarkStart w:id="39" w:name="_Toc396826949"/>
      <w:r>
        <w:t>III. Nonclinical</w:t>
      </w:r>
      <w:bookmarkEnd w:id="36"/>
      <w:r>
        <w:t xml:space="preserve"> findings</w:t>
      </w:r>
      <w:bookmarkEnd w:id="37"/>
      <w:bookmarkEnd w:id="38"/>
      <w:bookmarkEnd w:id="39"/>
    </w:p>
    <w:p w:rsidR="008E7846" w:rsidRPr="00EC244B" w:rsidRDefault="008E7846" w:rsidP="00EC244B">
      <w:pPr>
        <w:pStyle w:val="Heading3"/>
      </w:pPr>
      <w:bookmarkStart w:id="40" w:name="_Toc247691511"/>
      <w:bookmarkStart w:id="41" w:name="_Toc314842495"/>
      <w:bookmarkStart w:id="42" w:name="_Toc396826950"/>
      <w:r>
        <w:t>Introduction</w:t>
      </w:r>
      <w:bookmarkEnd w:id="40"/>
      <w:bookmarkEnd w:id="41"/>
      <w:bookmarkEnd w:id="42"/>
    </w:p>
    <w:p w:rsidR="00AA10FA" w:rsidRDefault="00AA10FA" w:rsidP="0081747D">
      <w:r>
        <w:t>Included in the submission were</w:t>
      </w:r>
      <w:r w:rsidRPr="00AA10FA">
        <w:t xml:space="preserve"> studies investigating the repeat dose toxicity of the combination compared to the individual </w:t>
      </w:r>
      <w:proofErr w:type="gramStart"/>
      <w:r w:rsidRPr="00AA10FA">
        <w:t>compounds.</w:t>
      </w:r>
      <w:proofErr w:type="gramEnd"/>
    </w:p>
    <w:p w:rsidR="000C47A2" w:rsidRDefault="00AA10FA" w:rsidP="0081747D">
      <w:r w:rsidRPr="00AA10FA">
        <w:t xml:space="preserve">The pivotal study contained supportive </w:t>
      </w:r>
      <w:proofErr w:type="spellStart"/>
      <w:r w:rsidRPr="00AA10FA">
        <w:t>toxicokinetic</w:t>
      </w:r>
      <w:proofErr w:type="spellEnd"/>
      <w:r w:rsidRPr="00AA10FA">
        <w:t xml:space="preserve"> data. Studies were conducted under G</w:t>
      </w:r>
      <w:r>
        <w:t>ood Laboratory Practice (GLP)</w:t>
      </w:r>
      <w:r w:rsidR="00CD4EB4">
        <w:t xml:space="preserve"> </w:t>
      </w:r>
      <w:r w:rsidRPr="00AA10FA">
        <w:t>conditions.</w:t>
      </w:r>
    </w:p>
    <w:p w:rsidR="000C47A2" w:rsidRDefault="00AA10FA" w:rsidP="0081747D">
      <w:r w:rsidRPr="00AA10FA">
        <w:t>The potential for drug interaction was not specifically addressed in nonclinical studies.</w:t>
      </w:r>
    </w:p>
    <w:p w:rsidR="004334C7" w:rsidRPr="004334C7" w:rsidRDefault="00AA10FA" w:rsidP="004334C7">
      <w:r w:rsidRPr="00AA10FA">
        <w:t xml:space="preserve">The species </w:t>
      </w:r>
      <w:proofErr w:type="gramStart"/>
      <w:r w:rsidRPr="00AA10FA">
        <w:t>selected,</w:t>
      </w:r>
      <w:proofErr w:type="gramEnd"/>
      <w:r w:rsidRPr="00AA10FA">
        <w:t xml:space="preserve"> number of observations and dose administered were considered acceptable, though only one dose was administered in the pivotal studies and the target organs of toxicity were not established in this study.</w:t>
      </w:r>
    </w:p>
    <w:p w:rsidR="008E7846" w:rsidRDefault="008E7846" w:rsidP="0081747D">
      <w:pPr>
        <w:pStyle w:val="Heading3"/>
      </w:pPr>
      <w:bookmarkStart w:id="43" w:name="_Toc247691512"/>
      <w:bookmarkStart w:id="44" w:name="_Toc314842496"/>
      <w:bookmarkStart w:id="45" w:name="_Toc396826951"/>
      <w:r w:rsidRPr="00020030">
        <w:t>Pharmacology</w:t>
      </w:r>
      <w:bookmarkEnd w:id="43"/>
      <w:bookmarkEnd w:id="44"/>
      <w:bookmarkEnd w:id="45"/>
    </w:p>
    <w:p w:rsidR="004334C7" w:rsidRPr="000C47A2" w:rsidRDefault="000C47A2" w:rsidP="00EC244B">
      <w:proofErr w:type="spellStart"/>
      <w:r w:rsidRPr="000C47A2">
        <w:t>Azelastine</w:t>
      </w:r>
      <w:proofErr w:type="spellEnd"/>
      <w:r w:rsidRPr="000C47A2">
        <w:t xml:space="preserve"> has a triple mode of action: it is a long acting H1-receptor antagonist, possesses mast cell stabilizing properties and is </w:t>
      </w:r>
      <w:proofErr w:type="spellStart"/>
      <w:r w:rsidRPr="000C47A2">
        <w:t>antiphlogistic</w:t>
      </w:r>
      <w:proofErr w:type="spellEnd"/>
      <w:r w:rsidRPr="000C47A2">
        <w:t xml:space="preserve">. </w:t>
      </w:r>
      <w:proofErr w:type="spellStart"/>
      <w:r w:rsidRPr="000C47A2">
        <w:t>Azelastine</w:t>
      </w:r>
      <w:proofErr w:type="spellEnd"/>
      <w:r w:rsidRPr="000C47A2">
        <w:t xml:space="preserve"> is a racemic mixture, the R-and S- enantiomers were equally effective at inhibiting histamine induced eyelid oedema, but the R-enantiomer was 2-fold less active at inhibiting </w:t>
      </w:r>
      <w:r>
        <w:t>eyeball oedema (</w:t>
      </w:r>
      <w:proofErr w:type="spellStart"/>
      <w:r>
        <w:t>Azep</w:t>
      </w:r>
      <w:proofErr w:type="spellEnd"/>
      <w:r w:rsidRPr="000C47A2">
        <w:t xml:space="preserve"> Product Information document). Fluticasone is a synthetic </w:t>
      </w:r>
      <w:proofErr w:type="spellStart"/>
      <w:r w:rsidRPr="000C47A2">
        <w:t>trifluorinated</w:t>
      </w:r>
      <w:proofErr w:type="spellEnd"/>
      <w:r w:rsidRPr="000C47A2">
        <w:t xml:space="preserve"> anti-inflammatory corticosteroid without significant mineralocorticoid action (</w:t>
      </w:r>
      <w:proofErr w:type="spellStart"/>
      <w:r w:rsidRPr="000C47A2">
        <w:t>Flonase</w:t>
      </w:r>
      <w:proofErr w:type="spellEnd"/>
      <w:r w:rsidRPr="000C47A2">
        <w:t xml:space="preserve"> monograph)</w:t>
      </w:r>
      <w:proofErr w:type="gramStart"/>
      <w:r w:rsidRPr="000C47A2">
        <w:t>,</w:t>
      </w:r>
      <w:proofErr w:type="gramEnd"/>
      <w:r w:rsidRPr="000C47A2">
        <w:t xml:space="preserve"> its glucocorticoid action was shown to be 5</w:t>
      </w:r>
      <w:r w:rsidR="009E5CB7">
        <w:t xml:space="preserve"> </w:t>
      </w:r>
      <w:r w:rsidRPr="000C47A2">
        <w:t>fold more potent than dexamethasone in a cloned human glucocorticoid system in vitro (</w:t>
      </w:r>
      <w:proofErr w:type="spellStart"/>
      <w:r w:rsidRPr="000C47A2">
        <w:t>Flonase</w:t>
      </w:r>
      <w:proofErr w:type="spellEnd"/>
      <w:r w:rsidRPr="000C47A2">
        <w:t xml:space="preserve"> Physician’s desk reference). The rational for the proposed combination is to simultaneously target symptoms of allergic rhinitis mediated by histamine and also target allergic effects mediated by recruitment of inflammatory cells such lymphocytes and </w:t>
      </w:r>
      <w:proofErr w:type="spellStart"/>
      <w:r w:rsidRPr="000C47A2">
        <w:t>eosinophils</w:t>
      </w:r>
      <w:proofErr w:type="spellEnd"/>
      <w:r w:rsidRPr="000C47A2">
        <w:t xml:space="preserve">, </w:t>
      </w:r>
      <w:proofErr w:type="spellStart"/>
      <w:r w:rsidRPr="000C47A2">
        <w:t>leukotriens</w:t>
      </w:r>
      <w:proofErr w:type="spellEnd"/>
      <w:r w:rsidRPr="000C47A2">
        <w:t xml:space="preserve"> and other cytokines or </w:t>
      </w:r>
      <w:proofErr w:type="spellStart"/>
      <w:r w:rsidRPr="000C47A2">
        <w:t>chemokines</w:t>
      </w:r>
      <w:proofErr w:type="spellEnd"/>
      <w:r w:rsidRPr="000C47A2">
        <w:t>. No nonclinical efficacy studies were conducted with the proposed combination.</w:t>
      </w:r>
    </w:p>
    <w:p w:rsidR="008E7846" w:rsidRDefault="008E7846" w:rsidP="00EC244B">
      <w:pPr>
        <w:pStyle w:val="Heading3"/>
      </w:pPr>
      <w:bookmarkStart w:id="46" w:name="_Toc247691513"/>
      <w:bookmarkStart w:id="47" w:name="_Toc314842497"/>
      <w:bookmarkStart w:id="48" w:name="_Toc396826952"/>
      <w:r w:rsidRPr="00EC244B">
        <w:t>Pharmacokinetics</w:t>
      </w:r>
      <w:bookmarkEnd w:id="46"/>
      <w:bookmarkEnd w:id="47"/>
      <w:bookmarkEnd w:id="48"/>
    </w:p>
    <w:p w:rsidR="000C47A2" w:rsidRDefault="000C47A2" w:rsidP="0081747D">
      <w:bookmarkStart w:id="49" w:name="_Toc247691514"/>
      <w:bookmarkStart w:id="50" w:name="_Toc314842498"/>
      <w:proofErr w:type="spellStart"/>
      <w:r w:rsidRPr="000C47A2">
        <w:t>Toxicokinetics</w:t>
      </w:r>
      <w:proofErr w:type="spellEnd"/>
      <w:r w:rsidRPr="000C47A2">
        <w:t xml:space="preserve"> of </w:t>
      </w:r>
      <w:proofErr w:type="spellStart"/>
      <w:r w:rsidRPr="000C47A2">
        <w:t>azelastine</w:t>
      </w:r>
      <w:proofErr w:type="spellEnd"/>
      <w:r w:rsidRPr="000C47A2">
        <w:t xml:space="preserve"> were assessed as part of the pivotal repeat dose study in rats. Fluticasone plasma concentrations were below the low</w:t>
      </w:r>
      <w:r>
        <w:t xml:space="preserve">er limit of quantification </w:t>
      </w:r>
      <w:proofErr w:type="gramStart"/>
      <w:r>
        <w:t>(0.5 </w:t>
      </w:r>
      <w:r w:rsidRPr="000C47A2">
        <w:t>ng/mL)</w:t>
      </w:r>
      <w:proofErr w:type="gramEnd"/>
      <w:r w:rsidRPr="000C47A2">
        <w:t xml:space="preserve"> at all </w:t>
      </w:r>
      <w:r w:rsidR="00585877">
        <w:t xml:space="preserve">the </w:t>
      </w:r>
      <w:r w:rsidRPr="000C47A2">
        <w:t xml:space="preserve">time points, therefore no </w:t>
      </w:r>
      <w:proofErr w:type="spellStart"/>
      <w:r w:rsidRPr="000C47A2">
        <w:t>toxicokinetic</w:t>
      </w:r>
      <w:proofErr w:type="spellEnd"/>
      <w:r w:rsidRPr="000C47A2">
        <w:t xml:space="preserve"> data are available. The combination product was administered in the clinically proposed formulation. </w:t>
      </w:r>
      <w:proofErr w:type="spellStart"/>
      <w:r w:rsidRPr="000C47A2">
        <w:t>Azelastine</w:t>
      </w:r>
      <w:proofErr w:type="spellEnd"/>
      <w:r w:rsidRPr="000C47A2">
        <w:t xml:space="preserve"> was absorbed rapidly in rats admini</w:t>
      </w:r>
      <w:r>
        <w:t xml:space="preserve">stered the </w:t>
      </w:r>
      <w:proofErr w:type="spellStart"/>
      <w:r>
        <w:t>monoproduct</w:t>
      </w:r>
      <w:proofErr w:type="spellEnd"/>
      <w:r>
        <w:t xml:space="preserve"> (</w:t>
      </w:r>
      <w:proofErr w:type="spellStart"/>
      <w:r>
        <w:t>Astelin</w:t>
      </w:r>
      <w:proofErr w:type="spellEnd"/>
      <w:r w:rsidRPr="000C47A2">
        <w:t xml:space="preserve">) or the combination product, no accumulation was observed with repeated dosing over a 3 month period. </w:t>
      </w:r>
      <w:r w:rsidR="00902285" w:rsidRPr="00807805">
        <w:t>C</w:t>
      </w:r>
      <w:r w:rsidR="00902285" w:rsidRPr="00807805">
        <w:rPr>
          <w:vertAlign w:val="subscript"/>
        </w:rPr>
        <w:t>max</w:t>
      </w:r>
      <w:r w:rsidRPr="000C47A2">
        <w:t xml:space="preserve"> and plasma AUC values were generally lower in male than in female rats. AUC</w:t>
      </w:r>
      <w:r w:rsidRPr="000C47A2">
        <w:rPr>
          <w:vertAlign w:val="subscript"/>
        </w:rPr>
        <w:t>0–∞</w:t>
      </w:r>
      <w:r w:rsidRPr="000C47A2">
        <w:t xml:space="preserve"> plasma </w:t>
      </w:r>
      <w:r w:rsidRPr="000C47A2">
        <w:lastRenderedPageBreak/>
        <w:t xml:space="preserve">exposure and </w:t>
      </w:r>
      <w:r w:rsidR="00902285" w:rsidRPr="00807805">
        <w:t>C</w:t>
      </w:r>
      <w:r w:rsidR="00902285" w:rsidRPr="00807805">
        <w:rPr>
          <w:vertAlign w:val="subscript"/>
        </w:rPr>
        <w:t>max</w:t>
      </w:r>
      <w:r w:rsidRPr="000C47A2">
        <w:t xml:space="preserve"> in rats was lower compared to </w:t>
      </w:r>
      <w:proofErr w:type="spellStart"/>
      <w:r w:rsidRPr="000C47A2">
        <w:t>azelastine</w:t>
      </w:r>
      <w:proofErr w:type="spellEnd"/>
      <w:r w:rsidRPr="000C47A2">
        <w:t xml:space="preserve"> alone, this effect was less pronounced on </w:t>
      </w:r>
      <w:r>
        <w:t>D</w:t>
      </w:r>
      <w:r w:rsidRPr="000C47A2">
        <w:t>ay 91 compared to the beginning of the study (-20% and -40 %; AUC</w:t>
      </w:r>
      <w:r w:rsidRPr="000C47A2">
        <w:rPr>
          <w:vertAlign w:val="subscript"/>
        </w:rPr>
        <w:t>0–∞</w:t>
      </w:r>
      <w:r w:rsidRPr="000C47A2">
        <w:t xml:space="preserve"> and </w:t>
      </w:r>
      <w:proofErr w:type="spellStart"/>
      <w:r w:rsidR="00902285" w:rsidRPr="00807805">
        <w:t>C</w:t>
      </w:r>
      <w:r w:rsidR="00902285" w:rsidRPr="00807805">
        <w:rPr>
          <w:vertAlign w:val="subscript"/>
        </w:rPr>
        <w:t>max</w:t>
      </w:r>
      <w:proofErr w:type="spellEnd"/>
      <w:r w:rsidR="0081747D">
        <w:t>, respectively).</w:t>
      </w:r>
    </w:p>
    <w:p w:rsidR="000C47A2" w:rsidRPr="000C47A2" w:rsidRDefault="000C47A2" w:rsidP="0081747D">
      <w:r w:rsidRPr="000C47A2">
        <w:t xml:space="preserve">In contrast, the clinical overview reports that clinical studies did not indicate pharmacokinetic interaction between </w:t>
      </w:r>
      <w:proofErr w:type="spellStart"/>
      <w:r w:rsidRPr="000C47A2">
        <w:t>azelastine</w:t>
      </w:r>
      <w:proofErr w:type="spellEnd"/>
      <w:r w:rsidRPr="000C47A2">
        <w:t xml:space="preserve"> </w:t>
      </w:r>
      <w:r w:rsidR="009E5CB7">
        <w:t>and fluticasone in humans. Half-</w:t>
      </w:r>
      <w:r w:rsidRPr="000C47A2">
        <w:t xml:space="preserve">life was comparable between sexes and the </w:t>
      </w:r>
      <w:proofErr w:type="spellStart"/>
      <w:r w:rsidRPr="000C47A2">
        <w:t>azelastine</w:t>
      </w:r>
      <w:proofErr w:type="spellEnd"/>
      <w:r w:rsidRPr="000C47A2">
        <w:t xml:space="preserve"> and </w:t>
      </w:r>
      <w:proofErr w:type="spellStart"/>
      <w:r w:rsidRPr="000C47A2">
        <w:t>azelastine</w:t>
      </w:r>
      <w:proofErr w:type="spellEnd"/>
      <w:r w:rsidRPr="000C47A2">
        <w:t>/flut</w:t>
      </w:r>
      <w:r>
        <w:t>icasone combination groups and approximately</w:t>
      </w:r>
      <w:r w:rsidRPr="000C47A2">
        <w:t xml:space="preserve"> 5-times the </w:t>
      </w:r>
      <w:proofErr w:type="spellStart"/>
      <w:r w:rsidRPr="000C47A2">
        <w:t>azelastine</w:t>
      </w:r>
      <w:proofErr w:type="spellEnd"/>
      <w:r w:rsidRPr="000C47A2">
        <w:t xml:space="preserve"> half</w:t>
      </w:r>
      <w:r w:rsidR="009E5CB7">
        <w:t>-</w:t>
      </w:r>
      <w:r w:rsidRPr="000C47A2">
        <w:t xml:space="preserve">life reported in humans. These data suggest that the rat is an inferior model for pharmacokinetic studies of </w:t>
      </w:r>
      <w:proofErr w:type="spellStart"/>
      <w:r w:rsidRPr="000C47A2">
        <w:t>azelastine</w:t>
      </w:r>
      <w:proofErr w:type="spellEnd"/>
      <w:r w:rsidRPr="000C47A2">
        <w:t xml:space="preserve">. Nevertheless, adequate systemic exposure to </w:t>
      </w:r>
      <w:proofErr w:type="spellStart"/>
      <w:r w:rsidRPr="000C47A2">
        <w:t>azelastine</w:t>
      </w:r>
      <w:proofErr w:type="spellEnd"/>
      <w:r w:rsidRPr="000C47A2">
        <w:t xml:space="preserve"> (but not fluticasone) was demonstrated. The lack of demonstrated fluticasone exposure is mitigated by the observation that fluticasone dominated the toxicity profile in repeat dose studies and is attributed to the insensitive analytical method rather than inadequate exposure to fluticasone. Administration of </w:t>
      </w:r>
      <w:proofErr w:type="spellStart"/>
      <w:r w:rsidRPr="000C47A2">
        <w:t>azelastine</w:t>
      </w:r>
      <w:proofErr w:type="spellEnd"/>
      <w:r w:rsidRPr="000C47A2">
        <w:t xml:space="preserve"> doses (on a mg/m</w:t>
      </w:r>
      <w:r w:rsidRPr="009E5CB7">
        <w:rPr>
          <w:vertAlign w:val="superscript"/>
        </w:rPr>
        <w:t>2</w:t>
      </w:r>
      <w:r w:rsidRPr="000C47A2">
        <w:t xml:space="preserve"> basis) far exceeding the clinically intended doses (see relative exposure table) in the pivotal repeat dose toxicity study allowed adequate assessment of toxicity induced by the combination.</w:t>
      </w:r>
    </w:p>
    <w:p w:rsidR="000C47A2" w:rsidRPr="000C47A2" w:rsidRDefault="000C47A2" w:rsidP="0081747D">
      <w:proofErr w:type="spellStart"/>
      <w:r w:rsidRPr="000C47A2">
        <w:t>Azelastine</w:t>
      </w:r>
      <w:proofErr w:type="spellEnd"/>
      <w:r w:rsidRPr="000C47A2">
        <w:t xml:space="preserve"> is extensively metabolised to the main metabolite </w:t>
      </w:r>
      <w:proofErr w:type="spellStart"/>
      <w:r w:rsidRPr="000C47A2">
        <w:t>desmethyl</w:t>
      </w:r>
      <w:proofErr w:type="spellEnd"/>
      <w:r w:rsidRPr="000C47A2">
        <w:t xml:space="preserve"> </w:t>
      </w:r>
      <w:proofErr w:type="spellStart"/>
      <w:r w:rsidRPr="000C47A2">
        <w:t>azelastine</w:t>
      </w:r>
      <w:proofErr w:type="spellEnd"/>
      <w:r w:rsidRPr="000C47A2">
        <w:t>, which also exhibits H1-receptor antagonist activity (</w:t>
      </w:r>
      <w:proofErr w:type="spellStart"/>
      <w:r>
        <w:t>Azep</w:t>
      </w:r>
      <w:proofErr w:type="spellEnd"/>
      <w:r w:rsidRPr="000C47A2">
        <w:t xml:space="preserve"> Product Information document). The N-</w:t>
      </w:r>
      <w:proofErr w:type="spellStart"/>
      <w:r w:rsidRPr="000C47A2">
        <w:t>demethylation</w:t>
      </w:r>
      <w:proofErr w:type="spellEnd"/>
      <w:r w:rsidRPr="000C47A2">
        <w:t xml:space="preserve"> occurs mainly by </w:t>
      </w:r>
      <w:r w:rsidR="007B3DAC">
        <w:t>Cytochrome P450 (</w:t>
      </w:r>
      <w:r w:rsidRPr="000C47A2">
        <w:t>CYP</w:t>
      </w:r>
      <w:r w:rsidR="007B3DAC">
        <w:t>)</w:t>
      </w:r>
      <w:r w:rsidR="009E5CB7">
        <w:t xml:space="preserve"> </w:t>
      </w:r>
      <w:proofErr w:type="gramStart"/>
      <w:r w:rsidR="009E5CB7">
        <w:t xml:space="preserve">enzymes </w:t>
      </w:r>
      <w:r w:rsidRPr="000C47A2">
        <w:t xml:space="preserve"> but</w:t>
      </w:r>
      <w:proofErr w:type="gramEnd"/>
      <w:r w:rsidRPr="000C47A2">
        <w:t xml:space="preserve"> no single isoform was shown to be specific for </w:t>
      </w:r>
      <w:proofErr w:type="spellStart"/>
      <w:r w:rsidRPr="000C47A2">
        <w:t>azelastine</w:t>
      </w:r>
      <w:proofErr w:type="spellEnd"/>
      <w:r w:rsidRPr="000C47A2">
        <w:t xml:space="preserve"> metabolism at low concentrations (6</w:t>
      </w:r>
      <w:r w:rsidR="009E5CB7">
        <w:t xml:space="preserve"> to </w:t>
      </w:r>
      <w:r w:rsidRPr="000C47A2">
        <w:t>30 ng/mL) (</w:t>
      </w:r>
      <w:proofErr w:type="spellStart"/>
      <w:r>
        <w:t>Azep</w:t>
      </w:r>
      <w:proofErr w:type="spellEnd"/>
      <w:r>
        <w:t xml:space="preserve"> </w:t>
      </w:r>
      <w:r w:rsidRPr="000C47A2">
        <w:t>Product Information), even lower concentrations have been reported after administration of the maximum recommended daily dose to healthy subjects.</w:t>
      </w:r>
    </w:p>
    <w:p w:rsidR="004334C7" w:rsidRPr="000C47A2" w:rsidRDefault="000C47A2" w:rsidP="0081747D">
      <w:r w:rsidRPr="000C47A2">
        <w:t>Direct absorption of fluticasone from the nose is minor due to low aqueous solubility and the majority of the dose is eventually swallowed (</w:t>
      </w:r>
      <w:proofErr w:type="spellStart"/>
      <w:r>
        <w:t>Flixonase</w:t>
      </w:r>
      <w:proofErr w:type="spellEnd"/>
      <w:r w:rsidRPr="000C47A2">
        <w:t xml:space="preserve"> allergy &amp; </w:t>
      </w:r>
      <w:proofErr w:type="spellStart"/>
      <w:r w:rsidRPr="000C47A2">
        <w:t>hayfever</w:t>
      </w:r>
      <w:proofErr w:type="spellEnd"/>
      <w:r w:rsidRPr="000C47A2">
        <w:t xml:space="preserve"> 24 hour nasal spray Product information). When administered orally, the systemic exposure to fluticasone is &lt;</w:t>
      </w:r>
      <w:r>
        <w:t xml:space="preserve"> </w:t>
      </w:r>
      <w:r w:rsidRPr="000C47A2">
        <w:t xml:space="preserve">1% due to poor absorption and </w:t>
      </w:r>
      <w:proofErr w:type="spellStart"/>
      <w:r w:rsidRPr="000C47A2">
        <w:t>presystemic</w:t>
      </w:r>
      <w:proofErr w:type="spellEnd"/>
      <w:r w:rsidRPr="000C47A2">
        <w:t xml:space="preserve"> metabolism. The amount of fluticasone that reaches the systemic circulation is rapidly cleared, principally by hepatic metabolism by CYP3A4. Drug </w:t>
      </w:r>
      <w:proofErr w:type="gramStart"/>
      <w:r w:rsidRPr="000C47A2">
        <w:t xml:space="preserve">interaction with </w:t>
      </w:r>
      <w:proofErr w:type="spellStart"/>
      <w:r w:rsidRPr="000C47A2">
        <w:t>azelastine</w:t>
      </w:r>
      <w:proofErr w:type="spellEnd"/>
      <w:r w:rsidRPr="000C47A2">
        <w:t xml:space="preserve"> via CYP3A4 are</w:t>
      </w:r>
      <w:proofErr w:type="gramEnd"/>
      <w:r w:rsidRPr="000C47A2">
        <w:t xml:space="preserve"> considered unlikely since no single CYP enzyme is responsible for </w:t>
      </w:r>
      <w:proofErr w:type="spellStart"/>
      <w:r w:rsidRPr="000C47A2">
        <w:t>azelastine</w:t>
      </w:r>
      <w:proofErr w:type="spellEnd"/>
      <w:r w:rsidRPr="000C47A2">
        <w:t xml:space="preserve"> metabolism, and fluticasone plasma levels are low (</w:t>
      </w:r>
      <w:r w:rsidR="00902285" w:rsidRPr="00807805">
        <w:t>C</w:t>
      </w:r>
      <w:r w:rsidR="00902285" w:rsidRPr="00807805">
        <w:rPr>
          <w:vertAlign w:val="subscript"/>
        </w:rPr>
        <w:t>max</w:t>
      </w:r>
      <w:r w:rsidRPr="000C47A2">
        <w:t xml:space="preserve"> 0.01ng/mL).</w:t>
      </w:r>
    </w:p>
    <w:p w:rsidR="001B5C90" w:rsidRDefault="008E7846" w:rsidP="0081747D">
      <w:pPr>
        <w:pStyle w:val="Heading3"/>
      </w:pPr>
      <w:bookmarkStart w:id="51" w:name="_Toc396826953"/>
      <w:r>
        <w:t>Toxicology</w:t>
      </w:r>
      <w:bookmarkEnd w:id="49"/>
      <w:bookmarkEnd w:id="50"/>
      <w:bookmarkEnd w:id="51"/>
    </w:p>
    <w:p w:rsidR="000C47A2" w:rsidRDefault="000C47A2" w:rsidP="0081747D">
      <w:r w:rsidRPr="000C47A2">
        <w:t>Toxicity studies were conducted using the clinically pro</w:t>
      </w:r>
      <w:r w:rsidR="0081747D">
        <w:t>posed strength and formulation.</w:t>
      </w:r>
    </w:p>
    <w:p w:rsidR="00557A9F" w:rsidRDefault="000C47A2" w:rsidP="0081747D">
      <w:r w:rsidRPr="000C47A2">
        <w:t>A three month repeat dose study with the combination was conducted in rats (GLP, no recovery period), a 2</w:t>
      </w:r>
      <w:r w:rsidR="009E5CB7">
        <w:t xml:space="preserve"> </w:t>
      </w:r>
      <w:r w:rsidRPr="000C47A2">
        <w:t>week pilot study was also conducted in rats and another 2</w:t>
      </w:r>
      <w:r w:rsidR="009E5CB7">
        <w:t xml:space="preserve"> </w:t>
      </w:r>
      <w:r w:rsidRPr="000C47A2">
        <w:t xml:space="preserve">week study was conducted in dogs. Parallel single agent control groups were included in the </w:t>
      </w:r>
      <w:proofErr w:type="gramStart"/>
      <w:r w:rsidRPr="000C47A2">
        <w:t>studies,</w:t>
      </w:r>
      <w:proofErr w:type="gramEnd"/>
      <w:r w:rsidRPr="000C47A2">
        <w:t xml:space="preserve"> there were some minor differences in excipients between the single agent and combination formulations. The </w:t>
      </w:r>
      <w:proofErr w:type="spellStart"/>
      <w:r w:rsidRPr="000C47A2">
        <w:t>azelastine</w:t>
      </w:r>
      <w:proofErr w:type="spellEnd"/>
      <w:r w:rsidRPr="000C47A2">
        <w:t>/fluticasone dose ratio used in these studies was the clinically proposed dose ratio (2.8). Only one dose level was tested in both species. Evaluation of reversibility is only recommended when there is severe toxicity in a nonclinical study with potential adverse clinical impact and was thus not required.</w:t>
      </w:r>
      <w:r>
        <w:rPr>
          <w:rStyle w:val="FootnoteReference"/>
        </w:rPr>
        <w:footnoteReference w:id="3"/>
      </w:r>
      <w:r w:rsidRPr="000C47A2">
        <w:t xml:space="preserve"> The duration of the pivotal study is consistent with the EU guideline on the Non-Clinical Development of Fixed Combinations in Medicinal Products.</w:t>
      </w:r>
      <w:r w:rsidR="00FD39CC">
        <w:rPr>
          <w:vertAlign w:val="superscript"/>
        </w:rPr>
        <w:t>2</w:t>
      </w:r>
      <w:r w:rsidRPr="000C47A2">
        <w:t xml:space="preserve"> </w:t>
      </w:r>
      <w:proofErr w:type="gramStart"/>
      <w:r w:rsidRPr="000C47A2">
        <w:t>The</w:t>
      </w:r>
      <w:proofErr w:type="gramEnd"/>
      <w:r w:rsidRPr="000C47A2">
        <w:t xml:space="preserve"> rat has been successfully used in studies investigating the repeat dose toxicity of the individual compounds. The studies were carried out by the clinically intended route in the clinically intended formulation with the clinically intended concentration at doses (on </w:t>
      </w:r>
      <w:proofErr w:type="gramStart"/>
      <w:r w:rsidRPr="000C47A2">
        <w:t>a</w:t>
      </w:r>
      <w:proofErr w:type="gramEnd"/>
      <w:r w:rsidRPr="000C47A2">
        <w:t xml:space="preserve"> mg/m</w:t>
      </w:r>
      <w:r w:rsidRPr="009E5CB7">
        <w:rPr>
          <w:vertAlign w:val="superscript"/>
        </w:rPr>
        <w:t>2</w:t>
      </w:r>
      <w:r w:rsidRPr="000C47A2">
        <w:t xml:space="preserve"> basis) that exceeded the clinically proposed dose. However, only the two week dog study used the clinical spray appl</w:t>
      </w:r>
      <w:r w:rsidR="0081747D">
        <w:t>icator to administer the doses.</w:t>
      </w:r>
    </w:p>
    <w:p w:rsidR="000C47A2" w:rsidRDefault="000C47A2" w:rsidP="0081747D">
      <w:r w:rsidRPr="000C47A2">
        <w:lastRenderedPageBreak/>
        <w:t>The other studies, including the pivotal repeat dose toxicity study, used a pipette for dose administration. A difference in systemic exposure after administration of drops versus nasal spray has previously been reported.</w:t>
      </w:r>
      <w:r>
        <w:t xml:space="preserve"> After application of 800 µg fluticasone propionate as nasal drops or nasal spray to healthy volunteers, both formulations exhibited low systemic exposure. However, bioavailability was 8</w:t>
      </w:r>
      <w:r w:rsidR="009E5CB7">
        <w:t xml:space="preserve"> </w:t>
      </w:r>
      <w:r>
        <w:t>fold lower when the drops were administered.</w:t>
      </w:r>
      <w:r>
        <w:rPr>
          <w:rStyle w:val="FootnoteReference"/>
        </w:rPr>
        <w:footnoteReference w:id="4"/>
      </w:r>
      <w:r>
        <w:t xml:space="preserve"> This suggests that the systemic exposure caused by the combination may have been underestimated in the pivotal repeat dose study. However, given the high multiples of the clinically intended dose on </w:t>
      </w:r>
      <w:proofErr w:type="gramStart"/>
      <w:r>
        <w:t>a</w:t>
      </w:r>
      <w:proofErr w:type="gramEnd"/>
      <w:r>
        <w:t xml:space="preserve"> mg/m</w:t>
      </w:r>
      <w:r w:rsidRPr="000C47A2">
        <w:rPr>
          <w:vertAlign w:val="superscript"/>
        </w:rPr>
        <w:t>2</w:t>
      </w:r>
      <w:r>
        <w:t xml:space="preserve"> basis (up to 32 times the dose proposed for human use in a 50 kg patient) this is not expected to compromise the safety assessment. Females, on average, received higher doses than males on </w:t>
      </w:r>
      <w:proofErr w:type="gramStart"/>
      <w:r>
        <w:t>a</w:t>
      </w:r>
      <w:proofErr w:type="gramEnd"/>
      <w:r>
        <w:t xml:space="preserve"> mg/kg (or mg/m</w:t>
      </w:r>
      <w:r w:rsidRPr="00D21A1D">
        <w:rPr>
          <w:vertAlign w:val="superscript"/>
        </w:rPr>
        <w:t>2</w:t>
      </w:r>
      <w:r>
        <w:t>) basis in the repeat dose studies since dose was not adjusted for individual body weight.</w:t>
      </w:r>
    </w:p>
    <w:p w:rsidR="000C47A2" w:rsidRDefault="000C47A2" w:rsidP="0081747D">
      <w:pPr>
        <w:pStyle w:val="Heading4"/>
      </w:pPr>
      <w:r>
        <w:t>Relative systemic exposure</w:t>
      </w:r>
    </w:p>
    <w:p w:rsidR="000C47A2" w:rsidRDefault="000C47A2" w:rsidP="0081747D">
      <w:r>
        <w:t xml:space="preserve">Exposure and dose ratios for </w:t>
      </w:r>
      <w:proofErr w:type="spellStart"/>
      <w:r>
        <w:t>azelastine</w:t>
      </w:r>
      <w:proofErr w:type="spellEnd"/>
      <w:r>
        <w:t xml:space="preserve"> </w:t>
      </w:r>
      <w:proofErr w:type="spellStart"/>
      <w:r>
        <w:t>HCl</w:t>
      </w:r>
      <w:proofErr w:type="spellEnd"/>
      <w:r>
        <w:t xml:space="preserve"> and fluticasone propionate achieved in the toxicity studies are tabulated below. Dose ratios were calculated on </w:t>
      </w:r>
      <w:proofErr w:type="gramStart"/>
      <w:r>
        <w:t>a</w:t>
      </w:r>
      <w:proofErr w:type="gramEnd"/>
      <w:r>
        <w:t xml:space="preserve"> mg/m</w:t>
      </w:r>
      <w:r w:rsidRPr="00D21A1D">
        <w:rPr>
          <w:vertAlign w:val="superscript"/>
        </w:rPr>
        <w:t>2</w:t>
      </w:r>
      <w:r w:rsidR="00D21A1D">
        <w:t xml:space="preserve"> basis. A 0.1 </w:t>
      </w:r>
      <w:r>
        <w:t>m</w:t>
      </w:r>
      <w:r w:rsidR="009E5CB7">
        <w:t>L</w:t>
      </w:r>
      <w:r>
        <w:t xml:space="preserve"> dose per nostril was given </w:t>
      </w:r>
      <w:r w:rsidR="007B3DAC">
        <w:t>twice daily (</w:t>
      </w:r>
      <w:r>
        <w:t>BID</w:t>
      </w:r>
      <w:r w:rsidR="007B3DAC">
        <w:t>)</w:t>
      </w:r>
      <w:r>
        <w:t xml:space="preserve"> to both rats and dogs, equal to 400/146 </w:t>
      </w:r>
      <w:proofErr w:type="spellStart"/>
      <w:r>
        <w:t>μg</w:t>
      </w:r>
      <w:proofErr w:type="spellEnd"/>
      <w:r>
        <w:t xml:space="preserve"> </w:t>
      </w:r>
      <w:proofErr w:type="spellStart"/>
      <w:r>
        <w:t>azelastine</w:t>
      </w:r>
      <w:proofErr w:type="spellEnd"/>
      <w:r>
        <w:t xml:space="preserve"> </w:t>
      </w:r>
      <w:proofErr w:type="spellStart"/>
      <w:r>
        <w:t>HCl</w:t>
      </w:r>
      <w:proofErr w:type="spellEnd"/>
      <w:r>
        <w:t xml:space="preserve">/fluticasone propionate. The maximum daily human dose is 500 </w:t>
      </w:r>
      <w:proofErr w:type="spellStart"/>
      <w:r>
        <w:t>μg</w:t>
      </w:r>
      <w:proofErr w:type="spellEnd"/>
      <w:r>
        <w:t xml:space="preserve"> </w:t>
      </w:r>
      <w:proofErr w:type="spellStart"/>
      <w:r>
        <w:t>azelastine</w:t>
      </w:r>
      <w:proofErr w:type="spellEnd"/>
      <w:r>
        <w:t xml:space="preserve"> (548 </w:t>
      </w:r>
      <w:proofErr w:type="spellStart"/>
      <w:r>
        <w:t>μg</w:t>
      </w:r>
      <w:proofErr w:type="spellEnd"/>
      <w:r>
        <w:t xml:space="preserve"> </w:t>
      </w:r>
      <w:proofErr w:type="spellStart"/>
      <w:r>
        <w:t>azelastine</w:t>
      </w:r>
      <w:proofErr w:type="spellEnd"/>
      <w:r>
        <w:t xml:space="preserve"> </w:t>
      </w:r>
      <w:proofErr w:type="spellStart"/>
      <w:r>
        <w:t>HCl</w:t>
      </w:r>
      <w:proofErr w:type="spellEnd"/>
      <w:r>
        <w:t xml:space="preserve">) and 200 </w:t>
      </w:r>
      <w:proofErr w:type="spellStart"/>
      <w:r>
        <w:t>μg</w:t>
      </w:r>
      <w:proofErr w:type="spellEnd"/>
      <w:r>
        <w:t xml:space="preserve"> fluticasone propionate.</w:t>
      </w:r>
    </w:p>
    <w:p w:rsidR="00C9747E" w:rsidRDefault="000C47A2" w:rsidP="000C47A2">
      <w:r>
        <w:t xml:space="preserve">Only the pivotal 3 month rat repeat dose toxicity study included </w:t>
      </w:r>
      <w:proofErr w:type="spellStart"/>
      <w:r>
        <w:t>toxicokinetic</w:t>
      </w:r>
      <w:proofErr w:type="spellEnd"/>
      <w:r>
        <w:t xml:space="preserve"> analysis. Fluticasone plasma levels were below the limit of quantification, presumably due to insensitivity of the analytical method used in the nonclinical study, the </w:t>
      </w:r>
      <w:r w:rsidR="007B3DAC">
        <w:t xml:space="preserve">lower limit of </w:t>
      </w:r>
      <w:proofErr w:type="spellStart"/>
      <w:r w:rsidR="007B3DAC">
        <w:t>quanitification</w:t>
      </w:r>
      <w:proofErr w:type="spellEnd"/>
      <w:r w:rsidR="007B3DAC">
        <w:t xml:space="preserve"> (</w:t>
      </w:r>
      <w:proofErr w:type="spellStart"/>
      <w:r>
        <w:t>LLoQ</w:t>
      </w:r>
      <w:proofErr w:type="spellEnd"/>
      <w:r w:rsidR="007B3DAC">
        <w:t>)</w:t>
      </w:r>
      <w:r>
        <w:t xml:space="preserve"> of 0.5ng/mL was above the </w:t>
      </w:r>
      <w:r w:rsidR="00902285" w:rsidRPr="00807805">
        <w:t>C</w:t>
      </w:r>
      <w:r w:rsidR="00902285" w:rsidRPr="00807805">
        <w:rPr>
          <w:vertAlign w:val="subscript"/>
        </w:rPr>
        <w:t>max</w:t>
      </w:r>
      <w:r>
        <w:t xml:space="preserve"> observed in clinical</w:t>
      </w:r>
      <w:r w:rsidR="00D21A1D">
        <w:t xml:space="preserve"> studies (less than or equal to </w:t>
      </w:r>
      <w:r>
        <w:t xml:space="preserve">0.012 ng/mL, </w:t>
      </w:r>
      <w:proofErr w:type="spellStart"/>
      <w:r>
        <w:t>LLoQ</w:t>
      </w:r>
      <w:proofErr w:type="spellEnd"/>
      <w:r>
        <w:t xml:space="preserve"> of 0.25pg/mL).</w:t>
      </w:r>
    </w:p>
    <w:p w:rsidR="000C47A2" w:rsidRDefault="00D21A1D" w:rsidP="0081747D">
      <w:pPr>
        <w:pStyle w:val="TableTitle"/>
      </w:pPr>
      <w:proofErr w:type="gramStart"/>
      <w:r>
        <w:t>Table 1.</w:t>
      </w:r>
      <w:proofErr w:type="gramEnd"/>
      <w:r>
        <w:t xml:space="preserve"> </w:t>
      </w:r>
      <w:r w:rsidR="000C47A2" w:rsidRPr="000C47A2">
        <w:t>Relative systemic exposure in repeat-dose toxicity studies</w:t>
      </w:r>
    </w:p>
    <w:tbl>
      <w:tblPr>
        <w:tblStyle w:val="TableTGAblue"/>
        <w:tblW w:w="8475" w:type="dxa"/>
        <w:tblLayout w:type="fixed"/>
        <w:tblLook w:val="01E0" w:firstRow="1" w:lastRow="1" w:firstColumn="1" w:lastColumn="1" w:noHBand="0" w:noVBand="0"/>
      </w:tblPr>
      <w:tblGrid>
        <w:gridCol w:w="898"/>
        <w:gridCol w:w="1111"/>
        <w:gridCol w:w="370"/>
        <w:gridCol w:w="851"/>
        <w:gridCol w:w="877"/>
        <w:gridCol w:w="617"/>
        <w:gridCol w:w="617"/>
        <w:gridCol w:w="1007"/>
        <w:gridCol w:w="993"/>
        <w:gridCol w:w="567"/>
        <w:gridCol w:w="567"/>
      </w:tblGrid>
      <w:tr w:rsidR="00EC244B" w:rsidTr="00EC244B">
        <w:trPr>
          <w:cnfStyle w:val="100000000000" w:firstRow="1" w:lastRow="0" w:firstColumn="0" w:lastColumn="0" w:oddVBand="0" w:evenVBand="0" w:oddHBand="0" w:evenHBand="0" w:firstRowFirstColumn="0" w:firstRowLastColumn="0" w:lastRowFirstColumn="0" w:lastRowLastColumn="0"/>
          <w:trHeight w:val="385"/>
        </w:trPr>
        <w:tc>
          <w:tcPr>
            <w:tcW w:w="897" w:type="dxa"/>
            <w:vMerge w:val="restart"/>
            <w:tcBorders>
              <w:right w:val="nil"/>
            </w:tcBorders>
            <w:hideMark/>
          </w:tcPr>
          <w:p w:rsidR="00EC244B" w:rsidRDefault="00EC244B" w:rsidP="00EC244B">
            <w:pPr>
              <w:keepLines/>
              <w:widowControl w:val="0"/>
              <w:spacing w:before="0" w:after="0" w:line="240" w:lineRule="auto"/>
              <w:ind w:left="0" w:right="0"/>
              <w:rPr>
                <w:rFonts w:eastAsia="MS Mincho"/>
                <w:kern w:val="2"/>
                <w:sz w:val="18"/>
                <w:szCs w:val="18"/>
              </w:rPr>
            </w:pPr>
            <w:r>
              <w:rPr>
                <w:rFonts w:eastAsia="MS Mincho"/>
                <w:kern w:val="2"/>
                <w:sz w:val="18"/>
                <w:szCs w:val="18"/>
              </w:rPr>
              <w:t>Species</w:t>
            </w:r>
          </w:p>
        </w:tc>
        <w:tc>
          <w:tcPr>
            <w:tcW w:w="1110" w:type="dxa"/>
            <w:vMerge w:val="restart"/>
            <w:tcBorders>
              <w:left w:val="nil"/>
              <w:right w:val="nil"/>
            </w:tcBorders>
            <w:hideMark/>
          </w:tcPr>
          <w:p w:rsidR="00EC244B" w:rsidRDefault="00EC244B" w:rsidP="00EC244B">
            <w:pPr>
              <w:keepLines/>
              <w:widowControl w:val="0"/>
              <w:spacing w:before="0" w:after="0" w:line="240" w:lineRule="auto"/>
              <w:ind w:left="0" w:right="0"/>
              <w:rPr>
                <w:rFonts w:eastAsia="MS Mincho"/>
                <w:kern w:val="2"/>
                <w:sz w:val="18"/>
                <w:szCs w:val="18"/>
              </w:rPr>
            </w:pPr>
            <w:r>
              <w:rPr>
                <w:rFonts w:eastAsia="MS Mincho"/>
                <w:kern w:val="2"/>
                <w:sz w:val="18"/>
                <w:szCs w:val="18"/>
              </w:rPr>
              <w:t>Study No. and duration</w:t>
            </w:r>
          </w:p>
        </w:tc>
        <w:tc>
          <w:tcPr>
            <w:tcW w:w="2097" w:type="dxa"/>
            <w:gridSpan w:val="3"/>
            <w:tcBorders>
              <w:left w:val="nil"/>
              <w:right w:val="nil"/>
            </w:tcBorders>
            <w:hideMark/>
          </w:tcPr>
          <w:p w:rsidR="00EC244B" w:rsidRDefault="00EC244B" w:rsidP="00EC244B">
            <w:pPr>
              <w:keepLines/>
              <w:widowControl w:val="0"/>
              <w:spacing w:before="0" w:after="0" w:line="240" w:lineRule="auto"/>
              <w:ind w:left="0" w:right="0"/>
              <w:rPr>
                <w:rFonts w:eastAsia="MS Mincho"/>
                <w:kern w:val="2"/>
                <w:sz w:val="18"/>
                <w:szCs w:val="18"/>
              </w:rPr>
            </w:pPr>
            <w:r>
              <w:rPr>
                <w:rFonts w:eastAsia="MS Mincho"/>
                <w:kern w:val="2"/>
                <w:sz w:val="18"/>
                <w:szCs w:val="18"/>
              </w:rPr>
              <w:t xml:space="preserve">Dose mg/kg/day </w:t>
            </w:r>
            <w:r>
              <w:rPr>
                <w:rFonts w:eastAsia="MS Mincho"/>
                <w:kern w:val="2"/>
                <w:sz w:val="18"/>
                <w:szCs w:val="18"/>
              </w:rPr>
              <w:br/>
              <w:t>[mg/m</w:t>
            </w:r>
            <w:r>
              <w:rPr>
                <w:rFonts w:eastAsia="MS Mincho"/>
                <w:kern w:val="2"/>
                <w:sz w:val="18"/>
                <w:szCs w:val="18"/>
                <w:vertAlign w:val="superscript"/>
              </w:rPr>
              <w:t>2</w:t>
            </w:r>
            <w:r>
              <w:rPr>
                <w:rFonts w:eastAsia="MS Mincho"/>
                <w:kern w:val="2"/>
                <w:sz w:val="18"/>
                <w:szCs w:val="18"/>
              </w:rPr>
              <w:t xml:space="preserve"> BSA]</w:t>
            </w:r>
          </w:p>
        </w:tc>
        <w:tc>
          <w:tcPr>
            <w:tcW w:w="1234" w:type="dxa"/>
            <w:gridSpan w:val="2"/>
            <w:tcBorders>
              <w:left w:val="nil"/>
              <w:right w:val="nil"/>
            </w:tcBorders>
            <w:hideMark/>
          </w:tcPr>
          <w:p w:rsidR="00EC244B" w:rsidRDefault="00EC244B" w:rsidP="00EC244B">
            <w:pPr>
              <w:keepLines/>
              <w:widowControl w:val="0"/>
              <w:spacing w:before="0" w:after="0" w:line="240" w:lineRule="auto"/>
              <w:ind w:left="0" w:right="0"/>
              <w:rPr>
                <w:rFonts w:eastAsia="MS Mincho"/>
                <w:kern w:val="2"/>
                <w:sz w:val="18"/>
                <w:szCs w:val="18"/>
              </w:rPr>
            </w:pPr>
            <w:r>
              <w:rPr>
                <w:rFonts w:eastAsia="MS Mincho"/>
                <w:kern w:val="2"/>
                <w:sz w:val="18"/>
                <w:szCs w:val="18"/>
              </w:rPr>
              <w:t xml:space="preserve">Dose </w:t>
            </w:r>
            <w:proofErr w:type="spellStart"/>
            <w:r>
              <w:rPr>
                <w:rFonts w:eastAsia="MS Mincho"/>
                <w:kern w:val="2"/>
                <w:sz w:val="18"/>
                <w:szCs w:val="18"/>
              </w:rPr>
              <w:t>ratio</w:t>
            </w:r>
            <w:r>
              <w:rPr>
                <w:rFonts w:eastAsia="MS Mincho"/>
                <w:kern w:val="2"/>
                <w:sz w:val="18"/>
                <w:szCs w:val="18"/>
                <w:vertAlign w:val="superscript"/>
              </w:rPr>
              <w:t>c</w:t>
            </w:r>
            <w:proofErr w:type="spellEnd"/>
          </w:p>
        </w:tc>
        <w:tc>
          <w:tcPr>
            <w:tcW w:w="2000" w:type="dxa"/>
            <w:gridSpan w:val="2"/>
            <w:tcBorders>
              <w:left w:val="nil"/>
              <w:right w:val="nil"/>
            </w:tcBorders>
            <w:hideMark/>
          </w:tcPr>
          <w:p w:rsidR="00EC244B" w:rsidRDefault="00EC244B" w:rsidP="00EC244B">
            <w:pPr>
              <w:keepLines/>
              <w:widowControl w:val="0"/>
              <w:spacing w:before="0" w:after="0" w:line="240" w:lineRule="auto"/>
              <w:ind w:left="0" w:right="0"/>
              <w:rPr>
                <w:rFonts w:eastAsia="MS Mincho"/>
                <w:i/>
                <w:kern w:val="2"/>
                <w:sz w:val="18"/>
                <w:szCs w:val="18"/>
                <w:vertAlign w:val="subscript"/>
              </w:rPr>
            </w:pPr>
            <w:r>
              <w:rPr>
                <w:rFonts w:eastAsia="MS Mincho"/>
                <w:kern w:val="2"/>
                <w:sz w:val="18"/>
                <w:szCs w:val="18"/>
              </w:rPr>
              <w:t>AUC</w:t>
            </w:r>
            <w:r>
              <w:rPr>
                <w:rFonts w:eastAsia="MS Mincho"/>
                <w:kern w:val="2"/>
                <w:sz w:val="18"/>
                <w:szCs w:val="18"/>
                <w:vertAlign w:val="subscript"/>
              </w:rPr>
              <w:t>0–∞</w:t>
            </w:r>
          </w:p>
        </w:tc>
        <w:tc>
          <w:tcPr>
            <w:tcW w:w="1134" w:type="dxa"/>
            <w:gridSpan w:val="2"/>
            <w:tcBorders>
              <w:left w:val="nil"/>
            </w:tcBorders>
            <w:hideMark/>
          </w:tcPr>
          <w:p w:rsidR="00EC244B" w:rsidRDefault="00EC244B" w:rsidP="00EC244B">
            <w:pPr>
              <w:keepLines/>
              <w:widowControl w:val="0"/>
              <w:spacing w:before="0" w:after="0" w:line="240" w:lineRule="auto"/>
              <w:ind w:left="0" w:right="0"/>
              <w:rPr>
                <w:rFonts w:eastAsia="MS Mincho"/>
                <w:kern w:val="2"/>
                <w:sz w:val="18"/>
                <w:szCs w:val="18"/>
              </w:rPr>
            </w:pPr>
            <w:r>
              <w:rPr>
                <w:rFonts w:eastAsia="MS Mincho"/>
                <w:kern w:val="2"/>
                <w:sz w:val="18"/>
                <w:szCs w:val="18"/>
              </w:rPr>
              <w:t>Exposure ratio</w:t>
            </w:r>
          </w:p>
        </w:tc>
      </w:tr>
      <w:tr w:rsidR="00EC244B" w:rsidTr="00EC244B">
        <w:trPr>
          <w:trHeight w:val="439"/>
        </w:trPr>
        <w:tc>
          <w:tcPr>
            <w:tcW w:w="2007" w:type="dxa"/>
            <w:vMerge/>
            <w:tcBorders>
              <w:top w:val="single" w:sz="8" w:space="0" w:color="000000" w:themeColor="text1"/>
              <w:left w:val="single" w:sz="8" w:space="0" w:color="000000" w:themeColor="text1"/>
              <w:bottom w:val="single" w:sz="8" w:space="0" w:color="000000" w:themeColor="text1"/>
              <w:right w:val="nil"/>
            </w:tcBorders>
            <w:vAlign w:val="center"/>
            <w:hideMark/>
          </w:tcPr>
          <w:p w:rsidR="00EC244B" w:rsidRDefault="00EC244B" w:rsidP="00EC244B">
            <w:pPr>
              <w:spacing w:before="0" w:after="0" w:line="240" w:lineRule="auto"/>
              <w:rPr>
                <w:rFonts w:eastAsia="MS Mincho"/>
                <w:b/>
                <w:color w:val="FFFFFF" w:themeColor="background1"/>
                <w:kern w:val="2"/>
                <w:sz w:val="18"/>
                <w:szCs w:val="18"/>
              </w:rPr>
            </w:pPr>
          </w:p>
        </w:tc>
        <w:tc>
          <w:tcPr>
            <w:tcW w:w="1110" w:type="dxa"/>
            <w:vMerge/>
            <w:tcBorders>
              <w:top w:val="single" w:sz="8" w:space="0" w:color="000000" w:themeColor="text1"/>
              <w:left w:val="nil"/>
              <w:bottom w:val="single" w:sz="8" w:space="0" w:color="000000" w:themeColor="text1"/>
              <w:right w:val="nil"/>
            </w:tcBorders>
            <w:vAlign w:val="center"/>
            <w:hideMark/>
          </w:tcPr>
          <w:p w:rsidR="00EC244B" w:rsidRDefault="00EC244B" w:rsidP="00EC244B">
            <w:pPr>
              <w:spacing w:before="0" w:after="0" w:line="240" w:lineRule="auto"/>
              <w:rPr>
                <w:rFonts w:eastAsia="MS Mincho"/>
                <w:b/>
                <w:color w:val="FFFFFF" w:themeColor="background1"/>
                <w:kern w:val="2"/>
                <w:sz w:val="18"/>
                <w:szCs w:val="18"/>
              </w:rPr>
            </w:pP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C244B" w:rsidRDefault="00EC244B" w:rsidP="00EC244B">
            <w:pPr>
              <w:keepNext/>
              <w:keepLines/>
              <w:widowControl w:val="0"/>
              <w:spacing w:before="0" w:after="0" w:line="240" w:lineRule="auto"/>
              <w:ind w:left="0" w:right="0"/>
              <w:rPr>
                <w:rFonts w:eastAsia="MS Mincho"/>
                <w:b/>
                <w:kern w:val="2"/>
                <w:sz w:val="18"/>
                <w:szCs w:val="18"/>
              </w:rPr>
            </w:pP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AZE</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FLU</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AZE</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FLU</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AZE</w:t>
            </w:r>
            <w:r>
              <w:rPr>
                <w:rFonts w:eastAsia="MS Mincho"/>
                <w:b/>
                <w:kern w:val="2"/>
                <w:sz w:val="18"/>
                <w:szCs w:val="18"/>
              </w:rPr>
              <w:br/>
            </w:r>
            <w:proofErr w:type="spellStart"/>
            <w:r>
              <w:rPr>
                <w:rFonts w:eastAsia="MS Mincho"/>
                <w:b/>
                <w:kern w:val="2"/>
                <w:sz w:val="18"/>
                <w:szCs w:val="18"/>
              </w:rPr>
              <w:t>ng·h</w:t>
            </w:r>
            <w:proofErr w:type="spellEnd"/>
            <w:r>
              <w:rPr>
                <w:rFonts w:eastAsia="MS Mincho"/>
                <w:b/>
                <w:kern w:val="2"/>
                <w:sz w:val="18"/>
                <w:szCs w:val="18"/>
              </w:rPr>
              <w:t>/mL</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FLU</w:t>
            </w:r>
            <w:r>
              <w:rPr>
                <w:rFonts w:eastAsia="MS Mincho"/>
                <w:b/>
                <w:kern w:val="2"/>
                <w:sz w:val="18"/>
                <w:szCs w:val="18"/>
              </w:rPr>
              <w:br/>
            </w:r>
            <w:proofErr w:type="spellStart"/>
            <w:r>
              <w:rPr>
                <w:rFonts w:eastAsia="MS Mincho"/>
                <w:b/>
                <w:kern w:val="2"/>
                <w:sz w:val="18"/>
                <w:szCs w:val="18"/>
              </w:rPr>
              <w:t>ng·h</w:t>
            </w:r>
            <w:proofErr w:type="spellEnd"/>
            <w:r>
              <w:rPr>
                <w:rFonts w:eastAsia="MS Mincho"/>
                <w:b/>
                <w:kern w:val="2"/>
                <w:sz w:val="18"/>
                <w:szCs w:val="18"/>
              </w:rPr>
              <w:t>/mL</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AZE</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widowControl w:val="0"/>
              <w:spacing w:before="0" w:after="0" w:line="240" w:lineRule="auto"/>
              <w:ind w:left="0" w:right="0"/>
              <w:rPr>
                <w:rFonts w:eastAsia="MS Mincho"/>
                <w:b/>
                <w:kern w:val="2"/>
                <w:sz w:val="18"/>
                <w:szCs w:val="18"/>
              </w:rPr>
            </w:pPr>
            <w:r>
              <w:rPr>
                <w:rFonts w:eastAsia="MS Mincho"/>
                <w:b/>
                <w:kern w:val="2"/>
                <w:sz w:val="18"/>
                <w:szCs w:val="18"/>
              </w:rPr>
              <w:t>FLU</w:t>
            </w:r>
          </w:p>
        </w:tc>
      </w:tr>
      <w:tr w:rsidR="00EC244B" w:rsidTr="00EC244B">
        <w:trPr>
          <w:trHeight w:val="274"/>
        </w:trPr>
        <w:tc>
          <w:tcPr>
            <w:tcW w:w="89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b/>
                <w:snapToGrid w:val="0"/>
                <w:kern w:val="16"/>
                <w:sz w:val="18"/>
                <w:szCs w:val="19"/>
              </w:rPr>
              <w:t>Rat</w:t>
            </w:r>
            <w:r>
              <w:rPr>
                <w:rFonts w:eastAsia="Times New Roman"/>
                <w:snapToGrid w:val="0"/>
                <w:kern w:val="16"/>
                <w:sz w:val="18"/>
                <w:szCs w:val="19"/>
              </w:rPr>
              <w:t xml:space="preserve"> </w:t>
            </w:r>
            <w:r>
              <w:rPr>
                <w:rFonts w:eastAsia="Times New Roman"/>
                <w:snapToGrid w:val="0"/>
                <w:kern w:val="16"/>
                <w:sz w:val="18"/>
                <w:szCs w:val="19"/>
              </w:rPr>
              <w:br/>
              <w:t>(SD)</w:t>
            </w:r>
          </w:p>
        </w:tc>
        <w:tc>
          <w:tcPr>
            <w:tcW w:w="11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spacing w:before="0" w:after="0" w:line="240" w:lineRule="auto"/>
              <w:ind w:left="0" w:right="0"/>
              <w:rPr>
                <w:rFonts w:eastAsia="Times New Roman"/>
                <w:snapToGrid w:val="0"/>
                <w:kern w:val="16"/>
                <w:sz w:val="18"/>
                <w:szCs w:val="19"/>
              </w:rPr>
            </w:pPr>
            <w:r>
              <w:rPr>
                <w:rFonts w:eastAsia="Times New Roman"/>
                <w:snapToGrid w:val="0"/>
                <w:kern w:val="2"/>
                <w:sz w:val="18"/>
                <w:szCs w:val="19"/>
              </w:rPr>
              <w:t>2 weeks</w:t>
            </w:r>
            <w:r>
              <w:rPr>
                <w:rFonts w:eastAsia="Times New Roman"/>
                <w:snapToGrid w:val="0"/>
                <w:kern w:val="2"/>
                <w:sz w:val="18"/>
                <w:szCs w:val="19"/>
              </w:rPr>
              <w:br/>
              <w:t>(</w:t>
            </w:r>
            <w:r>
              <w:rPr>
                <w:rFonts w:eastAsia="Times New Roman"/>
                <w:snapToGrid w:val="0"/>
                <w:kern w:val="16"/>
                <w:sz w:val="18"/>
                <w:szCs w:val="19"/>
              </w:rPr>
              <w:t>0437RM57.006)</w:t>
            </w:r>
          </w:p>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snapToGrid w:val="0"/>
                <w:kern w:val="16"/>
                <w:sz w:val="18"/>
                <w:szCs w:val="19"/>
              </w:rPr>
              <w:t>[pilot]</w:t>
            </w: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1.4 [8.4]</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0.5 [3.0]</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23</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23</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274"/>
        </w:trPr>
        <w:tc>
          <w:tcPr>
            <w:tcW w:w="200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111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1.9 [11.4]</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0.7 [4.2]</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31</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32</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274"/>
        </w:trPr>
        <w:tc>
          <w:tcPr>
            <w:tcW w:w="200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11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spacing w:before="0" w:after="0" w:line="240" w:lineRule="auto"/>
              <w:ind w:left="0" w:right="0"/>
              <w:rPr>
                <w:rFonts w:eastAsia="Times New Roman"/>
                <w:snapToGrid w:val="0"/>
                <w:kern w:val="16"/>
                <w:sz w:val="18"/>
                <w:szCs w:val="19"/>
              </w:rPr>
            </w:pPr>
            <w:r>
              <w:rPr>
                <w:rFonts w:eastAsia="Times New Roman"/>
                <w:snapToGrid w:val="0"/>
                <w:kern w:val="2"/>
                <w:sz w:val="18"/>
                <w:szCs w:val="19"/>
              </w:rPr>
              <w:t>13 weeks</w:t>
            </w:r>
            <w:r>
              <w:rPr>
                <w:rFonts w:eastAsia="Times New Roman"/>
                <w:snapToGrid w:val="0"/>
                <w:kern w:val="2"/>
                <w:sz w:val="18"/>
                <w:szCs w:val="19"/>
              </w:rPr>
              <w:br/>
              <w:t>(0470RM57.001)</w:t>
            </w:r>
          </w:p>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snapToGrid w:val="0"/>
                <w:kern w:val="2"/>
                <w:sz w:val="18"/>
                <w:szCs w:val="19"/>
              </w:rPr>
              <w:t>[pivotal]</w:t>
            </w: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0.98 [5.9]</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0.36 [2.2]</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16</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17</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16"/>
                <w:sz w:val="18"/>
                <w:szCs w:val="19"/>
              </w:rPr>
              <w:t>28.340</w:t>
            </w:r>
            <w:r>
              <w:rPr>
                <w:rFonts w:eastAsia="Times New Roman"/>
                <w:snapToGrid w:val="0"/>
                <w:kern w:val="16"/>
                <w:sz w:val="18"/>
                <w:szCs w:val="19"/>
                <w:vertAlign w:val="superscript"/>
              </w:rPr>
              <w:t>b</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BLQ</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cs="Calibri"/>
                <w:color w:val="000000"/>
                <w:sz w:val="18"/>
                <w:szCs w:val="18"/>
              </w:rPr>
              <w:t>7</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274"/>
        </w:trPr>
        <w:tc>
          <w:tcPr>
            <w:tcW w:w="200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111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1.6 [9.6]</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0.58 [3.5]</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26</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27</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Times New Roman" w:eastAsia="Times New Roman" w:hAnsi="Times New Roman"/>
                <w:snapToGrid w:val="0"/>
                <w:kern w:val="16"/>
                <w:sz w:val="19"/>
                <w:szCs w:val="19"/>
              </w:rPr>
              <w:t>41.240</w:t>
            </w:r>
            <w:r>
              <w:rPr>
                <w:rFonts w:eastAsia="Times New Roman"/>
                <w:snapToGrid w:val="0"/>
                <w:kern w:val="16"/>
                <w:sz w:val="18"/>
                <w:szCs w:val="19"/>
                <w:vertAlign w:val="superscript"/>
              </w:rPr>
              <w:t xml:space="preserve"> b</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BLQ</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cs="Calibri"/>
                <w:color w:val="000000"/>
                <w:sz w:val="18"/>
                <w:szCs w:val="18"/>
              </w:rPr>
              <w:t>10</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274"/>
        </w:trPr>
        <w:tc>
          <w:tcPr>
            <w:tcW w:w="89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b/>
                <w:snapToGrid w:val="0"/>
                <w:kern w:val="2"/>
                <w:sz w:val="18"/>
                <w:szCs w:val="19"/>
              </w:rPr>
              <w:t>Dog</w:t>
            </w:r>
            <w:r>
              <w:rPr>
                <w:rFonts w:eastAsia="Times New Roman"/>
                <w:b/>
                <w:snapToGrid w:val="0"/>
                <w:kern w:val="2"/>
                <w:sz w:val="18"/>
                <w:szCs w:val="19"/>
              </w:rPr>
              <w:br/>
            </w:r>
            <w:r>
              <w:rPr>
                <w:rFonts w:eastAsia="Times New Roman"/>
                <w:snapToGrid w:val="0"/>
                <w:kern w:val="2"/>
                <w:sz w:val="18"/>
                <w:szCs w:val="19"/>
              </w:rPr>
              <w:t>(beagle)</w:t>
            </w:r>
          </w:p>
        </w:tc>
        <w:tc>
          <w:tcPr>
            <w:tcW w:w="111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snapToGrid w:val="0"/>
                <w:kern w:val="2"/>
                <w:sz w:val="18"/>
                <w:szCs w:val="19"/>
              </w:rPr>
              <w:t xml:space="preserve">2 weeks </w:t>
            </w:r>
          </w:p>
          <w:p w:rsidR="00EC244B" w:rsidRDefault="00EC244B" w:rsidP="00EC244B">
            <w:pPr>
              <w:keepNext/>
              <w:keepLines/>
              <w:spacing w:before="0" w:after="0" w:line="240" w:lineRule="auto"/>
              <w:ind w:left="0" w:right="0"/>
              <w:rPr>
                <w:rFonts w:eastAsia="Times New Roman"/>
                <w:snapToGrid w:val="0"/>
                <w:kern w:val="2"/>
                <w:sz w:val="18"/>
                <w:szCs w:val="19"/>
              </w:rPr>
            </w:pPr>
            <w:r>
              <w:rPr>
                <w:rFonts w:eastAsia="Times New Roman"/>
                <w:snapToGrid w:val="0"/>
                <w:kern w:val="2"/>
                <w:sz w:val="18"/>
                <w:szCs w:val="19"/>
              </w:rPr>
              <w:t>(0437DM57.007)</w:t>
            </w: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0.050 [1]</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0.018 [0.36]</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274"/>
        </w:trPr>
        <w:tc>
          <w:tcPr>
            <w:tcW w:w="200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111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EC244B" w:rsidRDefault="00EC244B" w:rsidP="00EC244B">
            <w:pPr>
              <w:spacing w:before="0" w:after="0" w:line="240" w:lineRule="auto"/>
              <w:rPr>
                <w:rFonts w:eastAsia="Times New Roman"/>
                <w:snapToGrid w:val="0"/>
                <w:kern w:val="2"/>
                <w:sz w:val="18"/>
                <w:szCs w:val="19"/>
              </w:rPr>
            </w:pP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0.061 [1.2]</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0.022 [0.44]</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3</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r>
      <w:tr w:rsidR="00EC244B" w:rsidTr="00EC244B">
        <w:trPr>
          <w:trHeight w:val="301"/>
        </w:trPr>
        <w:tc>
          <w:tcPr>
            <w:tcW w:w="20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rsidP="00EC244B">
            <w:pPr>
              <w:keepNext/>
              <w:spacing w:before="0" w:after="0" w:line="240" w:lineRule="auto"/>
              <w:ind w:left="0" w:right="0"/>
              <w:rPr>
                <w:rFonts w:eastAsia="Times New Roman"/>
                <w:b/>
                <w:snapToGrid w:val="0"/>
                <w:kern w:val="2"/>
                <w:sz w:val="18"/>
                <w:szCs w:val="19"/>
              </w:rPr>
            </w:pPr>
            <w:r>
              <w:rPr>
                <w:rFonts w:eastAsia="Times New Roman"/>
                <w:b/>
                <w:snapToGrid w:val="0"/>
                <w:kern w:val="2"/>
                <w:sz w:val="18"/>
                <w:szCs w:val="19"/>
              </w:rPr>
              <w:t>Human</w:t>
            </w:r>
          </w:p>
          <w:p w:rsidR="00EC244B" w:rsidRDefault="00EC244B" w:rsidP="00EC244B">
            <w:pPr>
              <w:keepNext/>
              <w:spacing w:before="0" w:after="0" w:line="240" w:lineRule="auto"/>
              <w:ind w:left="0" w:right="0"/>
              <w:rPr>
                <w:rFonts w:eastAsia="Times New Roman"/>
                <w:snapToGrid w:val="0"/>
                <w:color w:val="00B050"/>
                <w:kern w:val="2"/>
                <w:sz w:val="18"/>
                <w:szCs w:val="19"/>
                <w:highlight w:val="yellow"/>
              </w:rPr>
            </w:pPr>
            <w:r>
              <w:rPr>
                <w:rFonts w:eastAsia="Times New Roman"/>
                <w:i/>
                <w:snapToGrid w:val="0"/>
                <w:kern w:val="2"/>
                <w:sz w:val="18"/>
                <w:szCs w:val="19"/>
              </w:rPr>
              <w:t>Single dose, healthy subject</w:t>
            </w:r>
            <w:r>
              <w:rPr>
                <w:rFonts w:eastAsia="Times New Roman"/>
                <w:b/>
                <w:snapToGrid w:val="0"/>
                <w:kern w:val="2"/>
                <w:sz w:val="18"/>
                <w:szCs w:val="19"/>
              </w:rPr>
              <w:t xml:space="preserve"> </w:t>
            </w:r>
            <w:r>
              <w:rPr>
                <w:rFonts w:eastAsia="Times New Roman"/>
                <w:snapToGrid w:val="0"/>
                <w:kern w:val="2"/>
                <w:sz w:val="18"/>
                <w:szCs w:val="19"/>
              </w:rPr>
              <w:t>(3282, 3283)</w:t>
            </w:r>
          </w:p>
        </w:tc>
        <w:tc>
          <w:tcPr>
            <w:tcW w:w="3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highlight w:val="yellow"/>
              </w:rPr>
            </w:pPr>
            <w:r>
              <w:rPr>
                <w:rFonts w:ascii="Arial" w:eastAsia="Times New Roman" w:hAnsi="Arial" w:cs="Arial"/>
                <w:snapToGrid w:val="0"/>
                <w:kern w:val="2"/>
                <w:sz w:val="18"/>
                <w:szCs w:val="19"/>
              </w:rPr>
              <w: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0.011</w:t>
            </w:r>
            <w:r>
              <w:rPr>
                <w:rFonts w:eastAsia="Times New Roman"/>
                <w:snapToGrid w:val="0"/>
                <w:kern w:val="2"/>
                <w:sz w:val="18"/>
                <w:szCs w:val="19"/>
                <w:vertAlign w:val="superscript"/>
              </w:rPr>
              <w:t xml:space="preserve">d </w:t>
            </w:r>
            <w:r>
              <w:rPr>
                <w:rFonts w:eastAsia="Times New Roman"/>
                <w:snapToGrid w:val="0"/>
                <w:kern w:val="2"/>
                <w:sz w:val="18"/>
                <w:szCs w:val="19"/>
              </w:rPr>
              <w:t>[0.363]</w:t>
            </w:r>
          </w:p>
        </w:tc>
        <w:tc>
          <w:tcPr>
            <w:tcW w:w="87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0.004</w:t>
            </w:r>
            <w:r>
              <w:rPr>
                <w:rFonts w:eastAsia="Times New Roman"/>
                <w:snapToGrid w:val="0"/>
                <w:kern w:val="2"/>
                <w:sz w:val="18"/>
                <w:szCs w:val="19"/>
                <w:vertAlign w:val="superscript"/>
              </w:rPr>
              <w:t xml:space="preserve">d </w:t>
            </w:r>
            <w:r>
              <w:rPr>
                <w:rFonts w:eastAsia="Times New Roman"/>
                <w:snapToGrid w:val="0"/>
                <w:kern w:val="2"/>
                <w:sz w:val="18"/>
                <w:szCs w:val="19"/>
              </w:rPr>
              <w:t>[0.132]</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keepLines/>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w:t>
            </w:r>
          </w:p>
        </w:tc>
        <w:tc>
          <w:tcPr>
            <w:tcW w:w="6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MS Mincho" w:cs="Calibri"/>
                <w:color w:val="000000"/>
                <w:sz w:val="18"/>
                <w:szCs w:val="18"/>
              </w:rPr>
            </w:pPr>
            <w:r>
              <w:rPr>
                <w:rFonts w:eastAsia="MS Mincho"/>
                <w:kern w:val="2"/>
                <w:sz w:val="23"/>
              </w:rPr>
              <w:t>–</w:t>
            </w:r>
          </w:p>
        </w:tc>
        <w:tc>
          <w:tcPr>
            <w:tcW w:w="100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4.217</w:t>
            </w:r>
          </w:p>
        </w:tc>
        <w:tc>
          <w:tcPr>
            <w:tcW w:w="99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0.098</w:t>
            </w:r>
            <w:r>
              <w:rPr>
                <w:rFonts w:eastAsia="Times New Roman"/>
                <w:snapToGrid w:val="0"/>
                <w:kern w:val="2"/>
                <w:sz w:val="18"/>
                <w:szCs w:val="19"/>
                <w:vertAlign w:val="superscript"/>
              </w:rPr>
              <w:t>a</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keepNext/>
              <w:spacing w:before="0" w:after="0" w:line="240" w:lineRule="auto"/>
              <w:ind w:left="0" w:right="0"/>
              <w:jc w:val="center"/>
              <w:rPr>
                <w:rFonts w:eastAsia="Times New Roman"/>
                <w:snapToGrid w:val="0"/>
                <w:kern w:val="2"/>
                <w:sz w:val="18"/>
                <w:szCs w:val="19"/>
              </w:rPr>
            </w:pPr>
            <w:r>
              <w:rPr>
                <w:rFonts w:eastAsia="Times New Roman"/>
                <w:snapToGrid w:val="0"/>
                <w:kern w:val="2"/>
                <w:sz w:val="18"/>
                <w:szCs w:val="19"/>
              </w:rPr>
              <w:t>–</w:t>
            </w:r>
          </w:p>
        </w:tc>
      </w:tr>
    </w:tbl>
    <w:p w:rsidR="000C47A2" w:rsidRPr="002A624A" w:rsidRDefault="000C47A2" w:rsidP="002A624A">
      <w:pPr>
        <w:pStyle w:val="TableDescription"/>
      </w:pPr>
      <w:r w:rsidRPr="002A624A">
        <w:t xml:space="preserve"># = </w:t>
      </w:r>
      <w:proofErr w:type="spellStart"/>
      <w:r w:rsidRPr="002A624A">
        <w:t>animal</w:t>
      </w:r>
      <w:proofErr w:type="gramStart"/>
      <w:r w:rsidRPr="002A624A">
        <w:t>:human</w:t>
      </w:r>
      <w:proofErr w:type="spellEnd"/>
      <w:proofErr w:type="gramEnd"/>
      <w:r w:rsidRPr="002A624A">
        <w:t xml:space="preserve"> plasma AUC0–24 h FLU: fluticasone propionate; AZE: </w:t>
      </w:r>
      <w:proofErr w:type="spellStart"/>
      <w:r w:rsidRPr="002A624A">
        <w:t>azelastine</w:t>
      </w:r>
      <w:proofErr w:type="spellEnd"/>
      <w:r w:rsidRPr="002A624A">
        <w:t xml:space="preserve"> </w:t>
      </w:r>
      <w:proofErr w:type="spellStart"/>
      <w:r w:rsidRPr="002A624A">
        <w:t>HCl</w:t>
      </w:r>
      <w:proofErr w:type="spellEnd"/>
      <w:r w:rsidRPr="002A624A">
        <w:t>; BLQ: below quantification limit (</w:t>
      </w:r>
      <w:proofErr w:type="spellStart"/>
      <w:r w:rsidRPr="002A624A">
        <w:t>LLoQ</w:t>
      </w:r>
      <w:proofErr w:type="spellEnd"/>
      <w:r w:rsidRPr="002A624A">
        <w:t>: 0.5 ng/mL); a more sensitive assay was used in the clinical studies (</w:t>
      </w:r>
      <w:proofErr w:type="spellStart"/>
      <w:r w:rsidRPr="002A624A">
        <w:t>LLoQ</w:t>
      </w:r>
      <w:proofErr w:type="spellEnd"/>
      <w:r w:rsidRPr="002A624A">
        <w:t xml:space="preserve">: 0.25 </w:t>
      </w:r>
      <w:proofErr w:type="spellStart"/>
      <w:r w:rsidRPr="002A624A">
        <w:t>pg</w:t>
      </w:r>
      <w:proofErr w:type="spellEnd"/>
      <w:r w:rsidRPr="002A624A">
        <w:t xml:space="preserve">/ml). </w:t>
      </w:r>
      <w:proofErr w:type="gramStart"/>
      <w:r w:rsidRPr="002A624A">
        <w:t>b</w:t>
      </w:r>
      <w:proofErr w:type="gramEnd"/>
      <w:r w:rsidRPr="002A624A">
        <w:t xml:space="preserve"> values determined on day 91. </w:t>
      </w:r>
      <w:proofErr w:type="gramStart"/>
      <w:r w:rsidRPr="002A624A">
        <w:t>c</w:t>
      </w:r>
      <w:proofErr w:type="gramEnd"/>
      <w:r w:rsidRPr="002A624A">
        <w:t xml:space="preserve"> conversion from mg/kg to mg/m2 body surface area (BSA) was achieved using conversion factors of 6 for rat, 20 for dog, and 33 for human. </w:t>
      </w:r>
      <w:proofErr w:type="spellStart"/>
      <w:proofErr w:type="gramStart"/>
      <w:r w:rsidRPr="002A624A">
        <w:t>destimated</w:t>
      </w:r>
      <w:proofErr w:type="spellEnd"/>
      <w:proofErr w:type="gramEnd"/>
      <w:r w:rsidRPr="002A624A">
        <w:t xml:space="preserve"> for a 50 kg person.</w:t>
      </w:r>
    </w:p>
    <w:p w:rsidR="00D21A1D" w:rsidRDefault="000C47A2" w:rsidP="00EC244B">
      <w:pPr>
        <w:pStyle w:val="Heading5"/>
        <w:rPr>
          <w:snapToGrid w:val="0"/>
          <w:kern w:val="2"/>
        </w:rPr>
      </w:pPr>
      <w:r w:rsidRPr="000C47A2">
        <w:rPr>
          <w:snapToGrid w:val="0"/>
        </w:rPr>
        <w:lastRenderedPageBreak/>
        <w:t>Systemic toxicity</w:t>
      </w:r>
    </w:p>
    <w:p w:rsidR="000C47A2" w:rsidRPr="000C47A2" w:rsidRDefault="00D21A1D" w:rsidP="00EC244B">
      <w:pPr>
        <w:rPr>
          <w:snapToGrid w:val="0"/>
        </w:rPr>
      </w:pPr>
      <w:r>
        <w:rPr>
          <w:snapToGrid w:val="0"/>
        </w:rPr>
        <w:t>T</w:t>
      </w:r>
      <w:r w:rsidR="000C47A2" w:rsidRPr="000C47A2">
        <w:rPr>
          <w:snapToGrid w:val="0"/>
        </w:rPr>
        <w:t>oxicity of the combination in rats was moderate and dominated by fluticasone propionate induced effects that have been described in previous submissions</w:t>
      </w:r>
      <w:r>
        <w:rPr>
          <w:snapToGrid w:val="0"/>
        </w:rPr>
        <w:t xml:space="preserve"> [information redacted]</w:t>
      </w:r>
      <w:r w:rsidR="000C47A2" w:rsidRPr="000C47A2">
        <w:rPr>
          <w:snapToGrid w:val="0"/>
        </w:rPr>
        <w:t xml:space="preserve"> and </w:t>
      </w:r>
      <w:r w:rsidR="00855377">
        <w:rPr>
          <w:snapToGrid w:val="0"/>
        </w:rPr>
        <w:t>was</w:t>
      </w:r>
      <w:r w:rsidR="00855377" w:rsidRPr="000C47A2">
        <w:rPr>
          <w:snapToGrid w:val="0"/>
        </w:rPr>
        <w:t xml:space="preserve"> </w:t>
      </w:r>
      <w:r w:rsidR="000C47A2" w:rsidRPr="000C47A2">
        <w:rPr>
          <w:snapToGrid w:val="0"/>
        </w:rPr>
        <w:t xml:space="preserve">generally consistent with systemic glucocorticoid action of the drug. Decreased body weight gain was observed in males and females receiving the combination that reached statistical significance in females only at </w:t>
      </w:r>
      <w:proofErr w:type="gramStart"/>
      <w:r w:rsidR="000C47A2" w:rsidRPr="000C47A2">
        <w:rPr>
          <w:snapToGrid w:val="0"/>
        </w:rPr>
        <w:t>doses</w:t>
      </w:r>
      <w:proofErr w:type="gramEnd"/>
      <w:r w:rsidR="000C47A2" w:rsidRPr="000C47A2">
        <w:rPr>
          <w:snapToGrid w:val="0"/>
        </w:rPr>
        <w:t xml:space="preserve"> </w:t>
      </w:r>
      <w:r>
        <w:rPr>
          <w:snapToGrid w:val="0"/>
        </w:rPr>
        <w:t>approximately</w:t>
      </w:r>
      <w:r w:rsidR="00FD39CC">
        <w:rPr>
          <w:snapToGrid w:val="0"/>
        </w:rPr>
        <w:t xml:space="preserve"> </w:t>
      </w:r>
      <w:r w:rsidR="000C47A2" w:rsidRPr="000C47A2">
        <w:rPr>
          <w:snapToGrid w:val="0"/>
        </w:rPr>
        <w:t>16</w:t>
      </w:r>
      <w:r w:rsidR="0040769B">
        <w:rPr>
          <w:snapToGrid w:val="0"/>
        </w:rPr>
        <w:t xml:space="preserve"> to </w:t>
      </w:r>
      <w:r w:rsidR="000C47A2" w:rsidRPr="000C47A2">
        <w:rPr>
          <w:snapToGrid w:val="0"/>
        </w:rPr>
        <w:t>26-times the intended clinical dose (</w:t>
      </w:r>
      <w:r>
        <w:rPr>
          <w:rFonts w:ascii="Arial" w:hAnsi="Arial" w:cs="Arial"/>
          <w:snapToGrid w:val="0"/>
        </w:rPr>
        <w:t>♂</w:t>
      </w:r>
      <w:r w:rsidR="000C47A2" w:rsidRPr="000C47A2">
        <w:rPr>
          <w:snapToGrid w:val="0"/>
        </w:rPr>
        <w:t xml:space="preserve"> and </w:t>
      </w:r>
      <w:r w:rsidR="000C47A2" w:rsidRPr="000C47A2">
        <w:rPr>
          <w:rFonts w:ascii="Arial" w:hAnsi="Arial" w:cs="Arial"/>
          <w:snapToGrid w:val="0"/>
        </w:rPr>
        <w:t>♀</w:t>
      </w:r>
      <w:r w:rsidR="000C47A2" w:rsidRPr="000C47A2">
        <w:rPr>
          <w:snapToGrid w:val="0"/>
        </w:rPr>
        <w:t>, respectively). Comparable decreases in body weight gain were observed with the individual compounds alone. Decreases in lymphocytes are a typical steroid effect</w:t>
      </w:r>
      <w:r>
        <w:rPr>
          <w:rStyle w:val="FootnoteReference"/>
          <w:rFonts w:eastAsia="Times New Roman"/>
          <w:snapToGrid w:val="0"/>
          <w:kern w:val="2"/>
          <w:szCs w:val="24"/>
        </w:rPr>
        <w:footnoteReference w:id="5"/>
      </w:r>
      <w:r w:rsidR="000C47A2" w:rsidRPr="000C47A2">
        <w:rPr>
          <w:snapToGrid w:val="0"/>
          <w:kern w:val="16"/>
        </w:rPr>
        <w:t xml:space="preserve"> and </w:t>
      </w:r>
      <w:r w:rsidR="000C47A2" w:rsidRPr="000C47A2">
        <w:rPr>
          <w:snapToGrid w:val="0"/>
        </w:rPr>
        <w:t xml:space="preserve">were observed in females administered 0.82 mg/kg fluticasone. </w:t>
      </w:r>
      <w:proofErr w:type="spellStart"/>
      <w:r w:rsidR="000C47A2" w:rsidRPr="000C47A2">
        <w:rPr>
          <w:snapToGrid w:val="0"/>
        </w:rPr>
        <w:t>Lymphocytopenia</w:t>
      </w:r>
      <w:proofErr w:type="spellEnd"/>
      <w:r w:rsidR="000C47A2" w:rsidRPr="000C47A2">
        <w:rPr>
          <w:snapToGrid w:val="0"/>
        </w:rPr>
        <w:t xml:space="preserve"> was not observed in animals receiving lower fluticasone doses such as males (0.49 mg/kg) or animals receiving the </w:t>
      </w:r>
      <w:proofErr w:type="spellStart"/>
      <w:r w:rsidR="000C47A2" w:rsidRPr="000C47A2">
        <w:rPr>
          <w:snapToGrid w:val="0"/>
        </w:rPr>
        <w:t>azelastine</w:t>
      </w:r>
      <w:proofErr w:type="spellEnd"/>
      <w:r w:rsidR="000C47A2" w:rsidRPr="000C47A2">
        <w:rPr>
          <w:snapToGrid w:val="0"/>
        </w:rPr>
        <w:t>/fluticasone combination (0.36</w:t>
      </w:r>
      <w:r w:rsidR="0040769B">
        <w:rPr>
          <w:snapToGrid w:val="0"/>
        </w:rPr>
        <w:t xml:space="preserve"> to </w:t>
      </w:r>
      <w:r w:rsidR="000C47A2" w:rsidRPr="000C47A2">
        <w:rPr>
          <w:snapToGrid w:val="0"/>
        </w:rPr>
        <w:t>0.58 mg/kg). Increases in liver enzymes (</w:t>
      </w:r>
      <w:r w:rsidR="007B3DAC">
        <w:rPr>
          <w:snapToGrid w:val="0"/>
        </w:rPr>
        <w:t>aspartate transaminase (</w:t>
      </w:r>
      <w:r w:rsidR="000C47A2" w:rsidRPr="000C47A2">
        <w:rPr>
          <w:snapToGrid w:val="0"/>
        </w:rPr>
        <w:t>AST</w:t>
      </w:r>
      <w:r w:rsidR="007B3DAC">
        <w:rPr>
          <w:snapToGrid w:val="0"/>
        </w:rPr>
        <w:t>)</w:t>
      </w:r>
      <w:r w:rsidR="000C47A2" w:rsidRPr="000C47A2">
        <w:rPr>
          <w:snapToGrid w:val="0"/>
        </w:rPr>
        <w:t xml:space="preserve"> and </w:t>
      </w:r>
      <w:r w:rsidR="007B3DAC">
        <w:rPr>
          <w:snapToGrid w:val="0"/>
        </w:rPr>
        <w:t>alanine transaminase (</w:t>
      </w:r>
      <w:r w:rsidR="000C47A2" w:rsidRPr="000C47A2">
        <w:rPr>
          <w:snapToGrid w:val="0"/>
        </w:rPr>
        <w:t>ALT</w:t>
      </w:r>
      <w:r w:rsidR="007B3DAC">
        <w:rPr>
          <w:snapToGrid w:val="0"/>
        </w:rPr>
        <w:t>)</w:t>
      </w:r>
      <w:r w:rsidR="000C47A2" w:rsidRPr="000C47A2">
        <w:rPr>
          <w:snapToGrid w:val="0"/>
        </w:rPr>
        <w:t xml:space="preserve">) and serum bilirubin were observed in females treated with the combination or fluticasone alone but were not accompanied by </w:t>
      </w:r>
      <w:proofErr w:type="spellStart"/>
      <w:r w:rsidR="000C47A2" w:rsidRPr="000C47A2">
        <w:rPr>
          <w:snapToGrid w:val="0"/>
        </w:rPr>
        <w:t>histopathological</w:t>
      </w:r>
      <w:proofErr w:type="spellEnd"/>
      <w:r w:rsidR="000C47A2" w:rsidRPr="000C47A2">
        <w:rPr>
          <w:snapToGrid w:val="0"/>
        </w:rPr>
        <w:t xml:space="preserve"> signs of hepatotoxicity.</w:t>
      </w:r>
      <w:r w:rsidRPr="00D21A1D">
        <w:rPr>
          <w:snapToGrid w:val="0"/>
        </w:rPr>
        <w:t xml:space="preserve"> </w:t>
      </w:r>
      <w:r w:rsidR="000C47A2" w:rsidRPr="000C47A2">
        <w:rPr>
          <w:snapToGrid w:val="0"/>
        </w:rPr>
        <w:t>Elevation of serum triglycerides is associated with corticosteroid treatment</w:t>
      </w:r>
      <w:r>
        <w:rPr>
          <w:rStyle w:val="FootnoteReference"/>
          <w:rFonts w:eastAsia="Times New Roman"/>
          <w:snapToGrid w:val="0"/>
          <w:kern w:val="2"/>
          <w:szCs w:val="24"/>
        </w:rPr>
        <w:footnoteReference w:id="6"/>
      </w:r>
      <w:r w:rsidR="000C47A2" w:rsidRPr="000C47A2">
        <w:rPr>
          <w:snapToGrid w:val="0"/>
        </w:rPr>
        <w:t xml:space="preserve"> and was observed in females treated with fluticasone alone or the combination. A statistically significant reduction in absolute</w:t>
      </w:r>
      <w:r w:rsidR="000C47A2" w:rsidRPr="000C47A2">
        <w:rPr>
          <w:snapToGrid w:val="0"/>
          <w:color w:val="FF0000"/>
        </w:rPr>
        <w:t xml:space="preserve"> </w:t>
      </w:r>
      <w:r w:rsidR="000C47A2" w:rsidRPr="000C47A2">
        <w:rPr>
          <w:snapToGrid w:val="0"/>
        </w:rPr>
        <w:t>spleen weight was observed in females treated with the combination or fluticasone alone. The increased toxicity observed in females compared to males is attributed to the higher relative doses administered to females.</w:t>
      </w:r>
    </w:p>
    <w:p w:rsidR="00D21A1D" w:rsidRDefault="000C47A2" w:rsidP="002A624A">
      <w:pPr>
        <w:pStyle w:val="Heading5"/>
        <w:rPr>
          <w:snapToGrid w:val="0"/>
        </w:rPr>
      </w:pPr>
      <w:r w:rsidRPr="000C47A2">
        <w:rPr>
          <w:snapToGrid w:val="0"/>
        </w:rPr>
        <w:t>Local toxicity</w:t>
      </w:r>
    </w:p>
    <w:p w:rsidR="000C47A2" w:rsidRPr="000C47A2" w:rsidRDefault="000C47A2" w:rsidP="002A624A">
      <w:pPr>
        <w:rPr>
          <w:snapToGrid w:val="0"/>
        </w:rPr>
      </w:pPr>
      <w:r w:rsidRPr="000C47A2">
        <w:rPr>
          <w:snapToGrid w:val="0"/>
        </w:rPr>
        <w:t xml:space="preserve">Neither the combination of </w:t>
      </w:r>
      <w:proofErr w:type="spellStart"/>
      <w:r w:rsidRPr="000C47A2">
        <w:rPr>
          <w:snapToGrid w:val="0"/>
        </w:rPr>
        <w:t>azelastine</w:t>
      </w:r>
      <w:proofErr w:type="spellEnd"/>
      <w:r w:rsidRPr="000C47A2">
        <w:rPr>
          <w:snapToGrid w:val="0"/>
        </w:rPr>
        <w:t xml:space="preserve"> hydrochloride </w:t>
      </w:r>
      <w:r w:rsidRPr="000C47A2">
        <w:rPr>
          <w:snapToGrid w:val="0"/>
          <w:kern w:val="2"/>
        </w:rPr>
        <w:t xml:space="preserve">0.1% </w:t>
      </w:r>
      <w:r w:rsidRPr="000C47A2">
        <w:rPr>
          <w:snapToGrid w:val="0"/>
        </w:rPr>
        <w:t>and fluticasone propionate</w:t>
      </w:r>
      <w:r w:rsidRPr="000C47A2">
        <w:rPr>
          <w:snapToGrid w:val="0"/>
          <w:kern w:val="2"/>
        </w:rPr>
        <w:t xml:space="preserve"> 0.0365% nor the individual components alone induced signs of local toxicity in the nasal cavity or </w:t>
      </w:r>
      <w:r w:rsidRPr="000C47A2">
        <w:rPr>
          <w:rFonts w:eastAsia="Calibri"/>
          <w:snapToGrid w:val="0"/>
        </w:rPr>
        <w:t xml:space="preserve">the respiratory system (larynx, </w:t>
      </w:r>
      <w:proofErr w:type="spellStart"/>
      <w:r w:rsidRPr="000C47A2">
        <w:rPr>
          <w:rFonts w:eastAsia="Calibri"/>
          <w:snapToGrid w:val="0"/>
        </w:rPr>
        <w:t>nasopharynx</w:t>
      </w:r>
      <w:proofErr w:type="spellEnd"/>
      <w:r w:rsidRPr="000C47A2">
        <w:rPr>
          <w:rFonts w:eastAsia="Calibri"/>
          <w:snapToGrid w:val="0"/>
        </w:rPr>
        <w:t>, lungs, and trachea) of rats treated up to 3 months. Local dose ratios based on mg/m</w:t>
      </w:r>
      <w:r w:rsidRPr="000C47A2">
        <w:rPr>
          <w:rFonts w:eastAsia="Calibri"/>
          <w:snapToGrid w:val="0"/>
          <w:vertAlign w:val="superscript"/>
        </w:rPr>
        <w:t>2</w:t>
      </w:r>
      <w:r w:rsidRPr="000C47A2">
        <w:rPr>
          <w:rFonts w:eastAsia="Calibri"/>
          <w:snapToGrid w:val="0"/>
        </w:rPr>
        <w:t xml:space="preserve"> nasal cavity surface area were estimated (see table below), the amount of dose swallowed was not taken into account. In dogs administration of </w:t>
      </w:r>
      <w:proofErr w:type="spellStart"/>
      <w:r w:rsidRPr="000C47A2">
        <w:rPr>
          <w:snapToGrid w:val="0"/>
        </w:rPr>
        <w:t>azelastine</w:t>
      </w:r>
      <w:proofErr w:type="spellEnd"/>
      <w:r w:rsidRPr="000C47A2">
        <w:rPr>
          <w:snapToGrid w:val="0"/>
        </w:rPr>
        <w:t xml:space="preserve"> hydrochloride </w:t>
      </w:r>
      <w:r w:rsidRPr="000C47A2">
        <w:rPr>
          <w:snapToGrid w:val="0"/>
          <w:kern w:val="2"/>
        </w:rPr>
        <w:t xml:space="preserve">0.1% </w:t>
      </w:r>
      <w:r w:rsidRPr="000C47A2">
        <w:rPr>
          <w:snapToGrid w:val="0"/>
        </w:rPr>
        <w:t>and fluticasone propionate</w:t>
      </w:r>
      <w:r w:rsidRPr="000C47A2">
        <w:rPr>
          <w:snapToGrid w:val="0"/>
          <w:kern w:val="2"/>
        </w:rPr>
        <w:t xml:space="preserve"> 0.0365% was generally well tolerated. Minimal to mild acute inflammation was observed in 1/3 females receiving the combination only. It is not clear whether this finding was related to treatment, but due to the mildness of the incident and in the absence of findings in other animals it was not considered to</w:t>
      </w:r>
      <w:r w:rsidR="002A624A">
        <w:rPr>
          <w:snapToGrid w:val="0"/>
          <w:kern w:val="2"/>
        </w:rPr>
        <w:t xml:space="preserve"> have major clinical relevance.</w:t>
      </w:r>
    </w:p>
    <w:p w:rsidR="00D21A1D" w:rsidRDefault="000C47A2" w:rsidP="002A624A">
      <w:pPr>
        <w:rPr>
          <w:snapToGrid w:val="0"/>
        </w:rPr>
      </w:pPr>
      <w:r w:rsidRPr="000C47A2">
        <w:rPr>
          <w:snapToGrid w:val="0"/>
        </w:rPr>
        <w:t>Significant increases in mast cells were observed in the mesenteric lymph nodes of rats receiving the combination or fluticasone alone for 3 months. Since after intranasal application the majority of the fluticasone dose is eventually swallowed</w:t>
      </w:r>
      <w:r w:rsidR="00D21A1D">
        <w:rPr>
          <w:snapToGrid w:val="0"/>
          <w:kern w:val="16"/>
        </w:rPr>
        <w:t xml:space="preserve"> (</w:t>
      </w:r>
      <w:proofErr w:type="spellStart"/>
      <w:r w:rsidR="00D21A1D">
        <w:rPr>
          <w:snapToGrid w:val="0"/>
          <w:kern w:val="16"/>
        </w:rPr>
        <w:t>Flioxonase</w:t>
      </w:r>
      <w:proofErr w:type="spellEnd"/>
      <w:r w:rsidR="00D21A1D">
        <w:rPr>
          <w:snapToGrid w:val="0"/>
          <w:kern w:val="16"/>
        </w:rPr>
        <w:t xml:space="preserve"> allergy and </w:t>
      </w:r>
      <w:proofErr w:type="spellStart"/>
      <w:r w:rsidR="00D21A1D">
        <w:rPr>
          <w:snapToGrid w:val="0"/>
          <w:kern w:val="16"/>
        </w:rPr>
        <w:t>hayfever</w:t>
      </w:r>
      <w:proofErr w:type="spellEnd"/>
      <w:r w:rsidR="00D21A1D">
        <w:rPr>
          <w:snapToGrid w:val="0"/>
          <w:kern w:val="16"/>
        </w:rPr>
        <w:t xml:space="preserve"> 24 hour</w:t>
      </w:r>
      <w:r w:rsidRPr="000C47A2">
        <w:rPr>
          <w:snapToGrid w:val="0"/>
          <w:kern w:val="16"/>
        </w:rPr>
        <w:t xml:space="preserve"> nasal spray Product information document),</w:t>
      </w:r>
      <w:r w:rsidRPr="000C47A2">
        <w:rPr>
          <w:snapToGrid w:val="0"/>
        </w:rPr>
        <w:t xml:space="preserve"> this is possibly a result of local fluticasone action in the </w:t>
      </w:r>
      <w:r w:rsidR="007B3DAC">
        <w:rPr>
          <w:snapToGrid w:val="0"/>
        </w:rPr>
        <w:t>gastrointestinal tract (</w:t>
      </w:r>
      <w:r w:rsidRPr="000C47A2">
        <w:rPr>
          <w:snapToGrid w:val="0"/>
        </w:rPr>
        <w:t>GIT.</w:t>
      </w:r>
      <w:r w:rsidR="007B3DAC">
        <w:rPr>
          <w:snapToGrid w:val="0"/>
        </w:rPr>
        <w:t>)</w:t>
      </w:r>
      <w:r w:rsidR="002A624A">
        <w:rPr>
          <w:snapToGrid w:val="0"/>
        </w:rPr>
        <w:t>.</w:t>
      </w:r>
    </w:p>
    <w:p w:rsidR="00623691" w:rsidRDefault="00623691">
      <w:pPr>
        <w:spacing w:before="0" w:after="200" w:line="0" w:lineRule="auto"/>
        <w:rPr>
          <w:b/>
          <w:snapToGrid w:val="0"/>
          <w:sz w:val="20"/>
        </w:rPr>
      </w:pPr>
      <w:r>
        <w:rPr>
          <w:snapToGrid w:val="0"/>
        </w:rPr>
        <w:br w:type="page"/>
      </w:r>
    </w:p>
    <w:p w:rsidR="000C47A2" w:rsidRDefault="00D21A1D" w:rsidP="002A624A">
      <w:pPr>
        <w:pStyle w:val="TableTitle"/>
        <w:rPr>
          <w:snapToGrid w:val="0"/>
        </w:rPr>
      </w:pPr>
      <w:proofErr w:type="gramStart"/>
      <w:r>
        <w:rPr>
          <w:snapToGrid w:val="0"/>
        </w:rPr>
        <w:lastRenderedPageBreak/>
        <w:t>Table 2.</w:t>
      </w:r>
      <w:proofErr w:type="gramEnd"/>
      <w:r>
        <w:rPr>
          <w:snapToGrid w:val="0"/>
        </w:rPr>
        <w:t xml:space="preserve"> </w:t>
      </w:r>
      <w:r w:rsidR="000C47A2" w:rsidRPr="000C47A2">
        <w:rPr>
          <w:snapToGrid w:val="0"/>
        </w:rPr>
        <w:t xml:space="preserve">Local dose ratios for toxicity of the </w:t>
      </w:r>
      <w:r w:rsidR="000C47A2" w:rsidRPr="00585877">
        <w:t>nasal</w:t>
      </w:r>
      <w:r w:rsidR="000C47A2" w:rsidRPr="000C47A2">
        <w:rPr>
          <w:snapToGrid w:val="0"/>
        </w:rPr>
        <w:t xml:space="preserve"> cavity for </w:t>
      </w:r>
      <w:proofErr w:type="spellStart"/>
      <w:r w:rsidR="000C47A2" w:rsidRPr="000C47A2">
        <w:rPr>
          <w:snapToGrid w:val="0"/>
        </w:rPr>
        <w:t>azelastine</w:t>
      </w:r>
      <w:proofErr w:type="spellEnd"/>
      <w:r w:rsidR="000C47A2" w:rsidRPr="000C47A2">
        <w:rPr>
          <w:snapToGrid w:val="0"/>
        </w:rPr>
        <w:t xml:space="preserve"> </w:t>
      </w:r>
      <w:proofErr w:type="spellStart"/>
      <w:r w:rsidR="000C47A2" w:rsidRPr="000C47A2">
        <w:rPr>
          <w:snapToGrid w:val="0"/>
        </w:rPr>
        <w:t>HCl</w:t>
      </w:r>
      <w:proofErr w:type="spellEnd"/>
      <w:r w:rsidR="000C47A2" w:rsidRPr="000C47A2">
        <w:rPr>
          <w:snapToGrid w:val="0"/>
        </w:rPr>
        <w:t xml:space="preserve"> (A) and fluticasone (F) at the </w:t>
      </w:r>
      <w:r w:rsidR="007B3DAC">
        <w:rPr>
          <w:snapToGrid w:val="0"/>
        </w:rPr>
        <w:t>lowest observed effect level (</w:t>
      </w:r>
      <w:r w:rsidR="000C47A2" w:rsidRPr="000C47A2">
        <w:rPr>
          <w:snapToGrid w:val="0"/>
        </w:rPr>
        <w:t>LOEL</w:t>
      </w:r>
      <w:r w:rsidR="007B3DAC">
        <w:rPr>
          <w:snapToGrid w:val="0"/>
        </w:rPr>
        <w:t>)</w:t>
      </w:r>
    </w:p>
    <w:tbl>
      <w:tblPr>
        <w:tblStyle w:val="TableTGAblue4"/>
        <w:tblW w:w="8719" w:type="dxa"/>
        <w:tblInd w:w="108" w:type="dxa"/>
        <w:tblLook w:val="04A0" w:firstRow="1" w:lastRow="0" w:firstColumn="1" w:lastColumn="0" w:noHBand="0" w:noVBand="1"/>
      </w:tblPr>
      <w:tblGrid>
        <w:gridCol w:w="1749"/>
        <w:gridCol w:w="1034"/>
        <w:gridCol w:w="1041"/>
        <w:gridCol w:w="1465"/>
        <w:gridCol w:w="1558"/>
        <w:gridCol w:w="969"/>
        <w:gridCol w:w="903"/>
      </w:tblGrid>
      <w:tr w:rsidR="00EC244B" w:rsidTr="00EC244B">
        <w:trPr>
          <w:cnfStyle w:val="100000000000" w:firstRow="1" w:lastRow="0" w:firstColumn="0" w:lastColumn="0" w:oddVBand="0" w:evenVBand="0" w:oddHBand="0" w:evenHBand="0" w:firstRowFirstColumn="0" w:firstRowLastColumn="0" w:lastRowFirstColumn="0" w:lastRowLastColumn="0"/>
          <w:trHeight w:val="173"/>
          <w:tblHeader/>
        </w:trPr>
        <w:tc>
          <w:tcPr>
            <w:tcW w:w="1749" w:type="dxa"/>
            <w:vMerge w:val="restart"/>
            <w:tcBorders>
              <w:right w:val="nil"/>
            </w:tcBorders>
            <w:hideMark/>
          </w:tcPr>
          <w:p w:rsidR="00EC244B" w:rsidRPr="00EC244B" w:rsidRDefault="00EC244B" w:rsidP="00EC244B">
            <w:pPr>
              <w:ind w:left="0" w:right="0"/>
              <w:rPr>
                <w:snapToGrid w:val="0"/>
                <w:sz w:val="18"/>
                <w:szCs w:val="18"/>
                <w:lang w:eastAsia="en-AU"/>
              </w:rPr>
            </w:pPr>
            <w:r w:rsidRPr="00EC244B">
              <w:rPr>
                <w:snapToGrid w:val="0"/>
                <w:sz w:val="18"/>
                <w:szCs w:val="18"/>
                <w:lang w:eastAsia="en-AU"/>
              </w:rPr>
              <w:t>Study</w:t>
            </w:r>
          </w:p>
        </w:tc>
        <w:tc>
          <w:tcPr>
            <w:tcW w:w="2075" w:type="dxa"/>
            <w:gridSpan w:val="2"/>
            <w:tcBorders>
              <w:left w:val="nil"/>
              <w:right w:val="nil"/>
            </w:tcBorders>
            <w:hideMark/>
          </w:tcPr>
          <w:p w:rsidR="00EC244B" w:rsidRPr="00EC244B" w:rsidRDefault="00EC244B" w:rsidP="00EC244B">
            <w:pPr>
              <w:ind w:left="0" w:right="0"/>
              <w:rPr>
                <w:snapToGrid w:val="0"/>
                <w:sz w:val="18"/>
                <w:szCs w:val="18"/>
                <w:lang w:eastAsia="en-AU"/>
              </w:rPr>
            </w:pPr>
            <w:r w:rsidRPr="00EC244B">
              <w:rPr>
                <w:snapToGrid w:val="0"/>
                <w:sz w:val="18"/>
                <w:szCs w:val="18"/>
                <w:lang w:eastAsia="en-AU"/>
              </w:rPr>
              <w:t>Total daily dose (</w:t>
            </w:r>
            <w:proofErr w:type="spellStart"/>
            <w:r w:rsidRPr="00EC244B">
              <w:rPr>
                <w:snapToGrid w:val="0"/>
                <w:sz w:val="18"/>
                <w:szCs w:val="18"/>
                <w:lang w:eastAsia="en-AU"/>
              </w:rPr>
              <w:t>μg</w:t>
            </w:r>
            <w:proofErr w:type="spellEnd"/>
            <w:r w:rsidRPr="00EC244B">
              <w:rPr>
                <w:snapToGrid w:val="0"/>
                <w:sz w:val="18"/>
                <w:szCs w:val="18"/>
                <w:lang w:eastAsia="en-AU"/>
              </w:rPr>
              <w:t>)</w:t>
            </w:r>
          </w:p>
        </w:tc>
        <w:tc>
          <w:tcPr>
            <w:tcW w:w="3023" w:type="dxa"/>
            <w:gridSpan w:val="2"/>
            <w:tcBorders>
              <w:left w:val="nil"/>
              <w:right w:val="nil"/>
            </w:tcBorders>
            <w:hideMark/>
          </w:tcPr>
          <w:p w:rsidR="00EC244B" w:rsidRPr="00EC244B" w:rsidRDefault="00EC244B" w:rsidP="00EC244B">
            <w:pPr>
              <w:ind w:left="0" w:right="0"/>
              <w:rPr>
                <w:snapToGrid w:val="0"/>
                <w:sz w:val="18"/>
                <w:szCs w:val="18"/>
                <w:lang w:eastAsia="en-AU"/>
              </w:rPr>
            </w:pPr>
            <w:r w:rsidRPr="00EC244B">
              <w:rPr>
                <w:snapToGrid w:val="0"/>
                <w:sz w:val="18"/>
                <w:szCs w:val="18"/>
                <w:lang w:eastAsia="en-AU"/>
              </w:rPr>
              <w:t>Dose/nasal cavity surface area (</w:t>
            </w:r>
            <w:proofErr w:type="spellStart"/>
            <w:r w:rsidRPr="00EC244B">
              <w:rPr>
                <w:snapToGrid w:val="0"/>
                <w:sz w:val="18"/>
                <w:szCs w:val="18"/>
                <w:lang w:eastAsia="en-AU"/>
              </w:rPr>
              <w:t>μg</w:t>
            </w:r>
            <w:proofErr w:type="spellEnd"/>
            <w:r w:rsidRPr="00EC244B">
              <w:rPr>
                <w:snapToGrid w:val="0"/>
                <w:sz w:val="18"/>
                <w:szCs w:val="18"/>
                <w:lang w:eastAsia="en-AU"/>
              </w:rPr>
              <w:t>/cm</w:t>
            </w:r>
            <w:r w:rsidRPr="00EC244B">
              <w:rPr>
                <w:snapToGrid w:val="0"/>
                <w:sz w:val="18"/>
                <w:szCs w:val="18"/>
                <w:vertAlign w:val="superscript"/>
                <w:lang w:eastAsia="en-AU"/>
              </w:rPr>
              <w:t>2</w:t>
            </w:r>
            <w:r w:rsidRPr="00EC244B">
              <w:rPr>
                <w:snapToGrid w:val="0"/>
                <w:sz w:val="18"/>
                <w:szCs w:val="18"/>
                <w:lang w:eastAsia="en-AU"/>
              </w:rPr>
              <w:t>)</w:t>
            </w:r>
          </w:p>
        </w:tc>
        <w:tc>
          <w:tcPr>
            <w:tcW w:w="1872" w:type="dxa"/>
            <w:gridSpan w:val="2"/>
            <w:tcBorders>
              <w:left w:val="nil"/>
            </w:tcBorders>
            <w:hideMark/>
          </w:tcPr>
          <w:p w:rsidR="00EC244B" w:rsidRPr="00EC244B" w:rsidRDefault="00EC244B" w:rsidP="00EC244B">
            <w:pPr>
              <w:ind w:left="0" w:right="0"/>
              <w:rPr>
                <w:snapToGrid w:val="0"/>
                <w:sz w:val="18"/>
                <w:szCs w:val="18"/>
                <w:lang w:eastAsia="en-AU"/>
              </w:rPr>
            </w:pPr>
            <w:proofErr w:type="spellStart"/>
            <w:r w:rsidRPr="00EC244B">
              <w:rPr>
                <w:snapToGrid w:val="0"/>
                <w:sz w:val="18"/>
                <w:szCs w:val="18"/>
                <w:lang w:eastAsia="en-AU"/>
              </w:rPr>
              <w:t>Animal:human</w:t>
            </w:r>
            <w:proofErr w:type="spellEnd"/>
            <w:r w:rsidRPr="00EC244B">
              <w:rPr>
                <w:snapToGrid w:val="0"/>
                <w:sz w:val="18"/>
                <w:szCs w:val="18"/>
                <w:lang w:eastAsia="en-AU"/>
              </w:rPr>
              <w:br/>
              <w:t>Dose Ratio</w:t>
            </w:r>
          </w:p>
        </w:tc>
      </w:tr>
      <w:tr w:rsidR="00EC244B" w:rsidTr="00EC244B">
        <w:trPr>
          <w:trHeight w:val="69"/>
        </w:trPr>
        <w:tc>
          <w:tcPr>
            <w:tcW w:w="0" w:type="auto"/>
            <w:vMerge/>
            <w:tcBorders>
              <w:top w:val="single" w:sz="8" w:space="0" w:color="000000" w:themeColor="text1"/>
              <w:left w:val="single" w:sz="8" w:space="0" w:color="000000" w:themeColor="text1"/>
              <w:bottom w:val="single" w:sz="8" w:space="0" w:color="000000" w:themeColor="text1"/>
              <w:right w:val="nil"/>
            </w:tcBorders>
            <w:vAlign w:val="center"/>
            <w:hideMark/>
          </w:tcPr>
          <w:p w:rsidR="00EC244B" w:rsidRDefault="00EC244B">
            <w:pPr>
              <w:spacing w:before="0" w:after="0" w:line="240" w:lineRule="auto"/>
              <w:rPr>
                <w:rFonts w:eastAsia="Times New Roman"/>
                <w:b/>
                <w:snapToGrid w:val="0"/>
                <w:color w:val="FFFFFF" w:themeColor="background1"/>
                <w:kern w:val="16"/>
                <w:sz w:val="18"/>
                <w:szCs w:val="19"/>
                <w:lang w:eastAsia="en-AU"/>
              </w:rPr>
            </w:pP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A</w:t>
            </w:r>
          </w:p>
        </w:tc>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F</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A</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F</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A</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Default="00EC244B">
            <w:pPr>
              <w:spacing w:before="20" w:after="20" w:line="200" w:lineRule="exact"/>
              <w:jc w:val="center"/>
              <w:rPr>
                <w:rFonts w:eastAsia="Times New Roman"/>
                <w:b/>
                <w:snapToGrid w:val="0"/>
                <w:kern w:val="16"/>
                <w:sz w:val="18"/>
                <w:szCs w:val="19"/>
                <w:lang w:eastAsia="en-AU"/>
              </w:rPr>
            </w:pPr>
            <w:r>
              <w:rPr>
                <w:rFonts w:eastAsia="Times New Roman"/>
                <w:b/>
                <w:snapToGrid w:val="0"/>
                <w:kern w:val="16"/>
                <w:sz w:val="18"/>
                <w:szCs w:val="19"/>
                <w:lang w:eastAsia="en-AU"/>
              </w:rPr>
              <w:t>F</w:t>
            </w:r>
          </w:p>
        </w:tc>
      </w:tr>
      <w:tr w:rsidR="00EC244B" w:rsidTr="00EC244B">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b/>
                <w:snapToGrid w:val="0"/>
                <w:sz w:val="18"/>
                <w:szCs w:val="18"/>
                <w:lang w:eastAsia="en-AU"/>
              </w:rPr>
              <w:t>Rat</w:t>
            </w:r>
            <w:r w:rsidRPr="00623691">
              <w:rPr>
                <w:snapToGrid w:val="0"/>
                <w:sz w:val="18"/>
                <w:szCs w:val="18"/>
                <w:lang w:eastAsia="en-AU"/>
              </w:rPr>
              <w:t xml:space="preserve"> 13 </w:t>
            </w:r>
            <w:proofErr w:type="spellStart"/>
            <w:r w:rsidRPr="00623691">
              <w:rPr>
                <w:snapToGrid w:val="0"/>
                <w:sz w:val="18"/>
                <w:szCs w:val="18"/>
                <w:lang w:eastAsia="en-AU"/>
              </w:rPr>
              <w:t>wk</w:t>
            </w:r>
            <w:proofErr w:type="spellEnd"/>
            <w:r w:rsidR="00623691">
              <w:rPr>
                <w:snapToGrid w:val="0"/>
                <w:sz w:val="18"/>
                <w:szCs w:val="18"/>
                <w:lang w:eastAsia="en-AU"/>
              </w:rPr>
              <w:br/>
            </w:r>
            <w:r w:rsidRPr="00623691">
              <w:rPr>
                <w:snapToGrid w:val="0"/>
                <w:sz w:val="18"/>
                <w:szCs w:val="18"/>
                <w:lang w:eastAsia="en-AU"/>
              </w:rPr>
              <w:t>0470RM57.001</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400</w:t>
            </w:r>
          </w:p>
        </w:tc>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146</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38</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14</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13</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14</w:t>
            </w:r>
          </w:p>
        </w:tc>
      </w:tr>
      <w:tr w:rsidR="00EC244B" w:rsidTr="00EC244B">
        <w:tc>
          <w:tcPr>
            <w:tcW w:w="174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b/>
                <w:snapToGrid w:val="0"/>
                <w:sz w:val="18"/>
                <w:szCs w:val="18"/>
                <w:lang w:eastAsia="en-AU"/>
              </w:rPr>
              <w:t>Human</w:t>
            </w:r>
            <w:r w:rsidR="00623691">
              <w:rPr>
                <w:b/>
                <w:snapToGrid w:val="0"/>
                <w:sz w:val="18"/>
                <w:szCs w:val="18"/>
                <w:lang w:eastAsia="en-AU"/>
              </w:rPr>
              <w:br/>
            </w:r>
            <w:r w:rsidRPr="00623691">
              <w:rPr>
                <w:i/>
                <w:snapToGrid w:val="0"/>
                <w:sz w:val="18"/>
                <w:szCs w:val="18"/>
                <w:lang w:eastAsia="en-AU"/>
              </w:rPr>
              <w:t>Single dose, healthy subject</w:t>
            </w:r>
            <w:r w:rsidRPr="00623691">
              <w:rPr>
                <w:b/>
                <w:snapToGrid w:val="0"/>
                <w:sz w:val="18"/>
                <w:szCs w:val="18"/>
                <w:lang w:eastAsia="en-AU"/>
              </w:rPr>
              <w:t xml:space="preserve"> </w:t>
            </w:r>
            <w:r w:rsidRPr="00623691">
              <w:rPr>
                <w:snapToGrid w:val="0"/>
                <w:sz w:val="18"/>
                <w:szCs w:val="18"/>
                <w:lang w:eastAsia="en-AU"/>
              </w:rPr>
              <w:t>(3282, 3283)</w:t>
            </w:r>
          </w:p>
        </w:tc>
        <w:tc>
          <w:tcPr>
            <w:tcW w:w="10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548</w:t>
            </w:r>
          </w:p>
        </w:tc>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200</w:t>
            </w:r>
          </w:p>
        </w:tc>
        <w:tc>
          <w:tcPr>
            <w:tcW w:w="146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3</w:t>
            </w:r>
          </w:p>
        </w:tc>
        <w:tc>
          <w:tcPr>
            <w:tcW w:w="155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1</w:t>
            </w:r>
          </w:p>
        </w:tc>
        <w:tc>
          <w:tcPr>
            <w:tcW w:w="96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EC244B" w:rsidRPr="00623691" w:rsidRDefault="00EC244B" w:rsidP="00623691">
            <w:pPr>
              <w:rPr>
                <w:snapToGrid w:val="0"/>
                <w:sz w:val="18"/>
                <w:szCs w:val="18"/>
                <w:lang w:eastAsia="en-AU"/>
              </w:rPr>
            </w:pPr>
            <w:r w:rsidRPr="00623691">
              <w:rPr>
                <w:snapToGrid w:val="0"/>
                <w:sz w:val="18"/>
                <w:szCs w:val="18"/>
                <w:lang w:eastAsia="en-AU"/>
              </w:rPr>
              <w:t>-</w:t>
            </w:r>
          </w:p>
        </w:tc>
      </w:tr>
    </w:tbl>
    <w:p w:rsidR="000C47A2" w:rsidRPr="000C47A2" w:rsidRDefault="000C47A2" w:rsidP="00623691">
      <w:pPr>
        <w:pStyle w:val="TableDescription"/>
        <w:rPr>
          <w:snapToGrid w:val="0"/>
        </w:rPr>
      </w:pPr>
      <w:r w:rsidRPr="000C47A2">
        <w:rPr>
          <w:snapToGrid w:val="0"/>
        </w:rPr>
        <w:t xml:space="preserve">Nasal </w:t>
      </w:r>
      <w:r w:rsidRPr="00623691">
        <w:t>surface</w:t>
      </w:r>
      <w:r w:rsidRPr="000C47A2">
        <w:rPr>
          <w:snapToGrid w:val="0"/>
        </w:rPr>
        <w:t xml:space="preserve"> areas (both sides of the nasal cavity) of 10.4 cm</w:t>
      </w:r>
      <w:r w:rsidRPr="000C47A2">
        <w:rPr>
          <w:snapToGrid w:val="0"/>
          <w:vertAlign w:val="superscript"/>
        </w:rPr>
        <w:t>2</w:t>
      </w:r>
      <w:r w:rsidRPr="000C47A2">
        <w:rPr>
          <w:snapToGrid w:val="0"/>
        </w:rPr>
        <w:t xml:space="preserve"> for rats and 181cm</w:t>
      </w:r>
      <w:r w:rsidRPr="000C47A2">
        <w:rPr>
          <w:snapToGrid w:val="0"/>
          <w:vertAlign w:val="superscript"/>
        </w:rPr>
        <w:t>2</w:t>
      </w:r>
      <w:r w:rsidRPr="000C47A2">
        <w:rPr>
          <w:snapToGrid w:val="0"/>
        </w:rPr>
        <w:t xml:space="preserve"> for humans were used</w:t>
      </w:r>
      <w:r w:rsidR="00D21A1D">
        <w:rPr>
          <w:snapToGrid w:val="0"/>
        </w:rPr>
        <w:t>.</w:t>
      </w:r>
      <w:r w:rsidR="00D21A1D">
        <w:rPr>
          <w:rStyle w:val="FootnoteReference"/>
          <w:rFonts w:eastAsia="Times New Roman"/>
          <w:snapToGrid w:val="0"/>
          <w:kern w:val="16"/>
          <w:sz w:val="18"/>
        </w:rPr>
        <w:footnoteReference w:id="7"/>
      </w:r>
    </w:p>
    <w:p w:rsidR="00D21A1D" w:rsidRDefault="00D21A1D" w:rsidP="002A624A">
      <w:pPr>
        <w:pStyle w:val="Heading5"/>
        <w:rPr>
          <w:snapToGrid w:val="0"/>
        </w:rPr>
      </w:pPr>
      <w:r>
        <w:rPr>
          <w:snapToGrid w:val="0"/>
        </w:rPr>
        <w:t>Repeat dose toxicity conclusion</w:t>
      </w:r>
    </w:p>
    <w:p w:rsidR="000C47A2" w:rsidRPr="00D21A1D" w:rsidRDefault="000C47A2" w:rsidP="002A624A">
      <w:r w:rsidRPr="00D21A1D">
        <w:t xml:space="preserve">In summary intranasal application of </w:t>
      </w:r>
      <w:proofErr w:type="spellStart"/>
      <w:r w:rsidRPr="00D21A1D">
        <w:t>azelastine</w:t>
      </w:r>
      <w:proofErr w:type="spellEnd"/>
      <w:r w:rsidRPr="00D21A1D">
        <w:t xml:space="preserve"> hydrochloride 0.1% and fluticasone propionate 0.0365% was well tolerated locally as well as systemically. The toxicity was dominated by fluticasone induced findings. No additional new toxicity was observed with the combination compared to t</w:t>
      </w:r>
      <w:r w:rsidR="002A624A">
        <w:t>he individual components alone.</w:t>
      </w:r>
    </w:p>
    <w:p w:rsidR="000C47A2" w:rsidRPr="000C47A2" w:rsidRDefault="000C47A2" w:rsidP="002A624A">
      <w:pPr>
        <w:pStyle w:val="Heading5"/>
        <w:rPr>
          <w:snapToGrid w:val="0"/>
        </w:rPr>
      </w:pPr>
      <w:r w:rsidRPr="000C47A2">
        <w:rPr>
          <w:snapToGrid w:val="0"/>
        </w:rPr>
        <w:t>Pregnancy classification</w:t>
      </w:r>
    </w:p>
    <w:p w:rsidR="000C47A2" w:rsidRPr="00D21A1D" w:rsidRDefault="000C47A2" w:rsidP="002A624A">
      <w:r w:rsidRPr="00D21A1D">
        <w:t>The sponsor has proposed Pregnancy Category B3</w:t>
      </w:r>
      <w:r w:rsidR="00D21A1D">
        <w:rPr>
          <w:rStyle w:val="FootnoteReference"/>
        </w:rPr>
        <w:footnoteReference w:id="8"/>
      </w:r>
      <w:r w:rsidR="0039401F">
        <w:t>,</w:t>
      </w:r>
      <w:r w:rsidRPr="00D21A1D">
        <w:t xml:space="preserve"> this is consistent with the pregnancy category of the individual compone</w:t>
      </w:r>
      <w:r w:rsidR="002A624A">
        <w:t>nts and considered appropriate.</w:t>
      </w:r>
    </w:p>
    <w:p w:rsidR="008E7846" w:rsidRDefault="008E7846" w:rsidP="002A624A">
      <w:pPr>
        <w:pStyle w:val="Heading3"/>
      </w:pPr>
      <w:bookmarkStart w:id="52" w:name="_Toc247691515"/>
      <w:bookmarkStart w:id="53" w:name="_Toc314842499"/>
      <w:bookmarkStart w:id="54" w:name="_Toc396826954"/>
      <w:r>
        <w:t>Nonclinical summary and conclusions</w:t>
      </w:r>
      <w:bookmarkEnd w:id="52"/>
      <w:bookmarkEnd w:id="53"/>
      <w:bookmarkEnd w:id="54"/>
    </w:p>
    <w:p w:rsidR="00807805" w:rsidRPr="002A624A" w:rsidRDefault="00807805" w:rsidP="002A624A">
      <w:pPr>
        <w:pStyle w:val="ListBullet"/>
      </w:pPr>
      <w:bookmarkStart w:id="55" w:name="_Toc196046462"/>
      <w:bookmarkStart w:id="56" w:name="_Toc247691516"/>
      <w:bookmarkStart w:id="57" w:name="_Toc314842500"/>
      <w:bookmarkStart w:id="58" w:name="_Toc163441353"/>
      <w:bookmarkStart w:id="59" w:name="_Toc163441348"/>
      <w:proofErr w:type="spellStart"/>
      <w:r w:rsidRPr="002A624A">
        <w:t>Azelastine</w:t>
      </w:r>
      <w:proofErr w:type="spellEnd"/>
      <w:r w:rsidRPr="002A624A">
        <w:t xml:space="preserve"> </w:t>
      </w:r>
      <w:proofErr w:type="spellStart"/>
      <w:r w:rsidRPr="002A624A">
        <w:t>HCl</w:t>
      </w:r>
      <w:proofErr w:type="spellEnd"/>
      <w:r w:rsidRPr="002A624A">
        <w:t xml:space="preserve"> (0.1%) alone is currently approved for seasonal or perennial allergic rhinitis in the form of nasal spray, and (0.05%) for treatment of seasonal or perennial allergic conjunctivitis in the form of eye drops. Fluticasone propionate (0.05%) nasal spray is currently approved for prophylaxis or treatment of allergic rhinitis and has not been approved for the treatment of allergic conjunctivitis</w:t>
      </w:r>
      <w:r w:rsidR="002A624A">
        <w:t xml:space="preserve"> in Australia.</w:t>
      </w:r>
    </w:p>
    <w:p w:rsidR="00807805" w:rsidRPr="002A624A" w:rsidRDefault="00807805" w:rsidP="002A624A">
      <w:pPr>
        <w:pStyle w:val="ListBullet"/>
      </w:pPr>
      <w:r w:rsidRPr="002A624A">
        <w:t xml:space="preserve">The nonclinical package comprised three studies investigating the repeat dose toxicity of the </w:t>
      </w:r>
      <w:proofErr w:type="spellStart"/>
      <w:r w:rsidRPr="002A624A">
        <w:t>azelastine</w:t>
      </w:r>
      <w:proofErr w:type="spellEnd"/>
      <w:r w:rsidRPr="002A624A">
        <w:t xml:space="preserve"> </w:t>
      </w:r>
      <w:proofErr w:type="spellStart"/>
      <w:r w:rsidRPr="002A624A">
        <w:t>HCl</w:t>
      </w:r>
      <w:proofErr w:type="spellEnd"/>
      <w:r w:rsidRPr="002A624A">
        <w:t xml:space="preserve">/fluticasone propionate combination in the clinically proposed strength and formulation for 2 weeks (rats, dogs) or 13 weeks (rats) and contained parallel single agent groups. The efficacy of the individual actives as well as their low systemic toxicity after intranasal application has been previously characterised in animal studies. The individual agents did not exhibit </w:t>
      </w:r>
      <w:proofErr w:type="spellStart"/>
      <w:r w:rsidRPr="002A624A">
        <w:t>genotoxic</w:t>
      </w:r>
      <w:proofErr w:type="spellEnd"/>
      <w:r w:rsidRPr="002A624A">
        <w:t xml:space="preserve"> activity in nonclinical studies provided with previous submissions. The drugs have not been approved for loose combination, but the sponsor reports loose combination in clinical practice. Taking this into account the provided data package is considered adequat</w:t>
      </w:r>
      <w:r w:rsidR="002A624A">
        <w:t>e.</w:t>
      </w:r>
    </w:p>
    <w:p w:rsidR="00807805" w:rsidRPr="002A624A" w:rsidRDefault="00807805" w:rsidP="002A624A">
      <w:pPr>
        <w:pStyle w:val="ListBullet"/>
      </w:pPr>
      <w:r w:rsidRPr="002A624A">
        <w:t>No studies were submitted that investigated the pharmacological action of the combination. The action of the individual compounds has been previously characteri</w:t>
      </w:r>
      <w:r w:rsidR="0039401F" w:rsidRPr="002A624A">
        <w:t>s</w:t>
      </w:r>
      <w:r w:rsidRPr="002A624A">
        <w:t xml:space="preserve">ed. </w:t>
      </w:r>
      <w:proofErr w:type="spellStart"/>
      <w:r w:rsidRPr="002A624A">
        <w:t>Azelastine</w:t>
      </w:r>
      <w:proofErr w:type="spellEnd"/>
      <w:r w:rsidRPr="002A624A">
        <w:t xml:space="preserve"> has a triple mode of action: it is a long acting H1-receptor antagonist, possesses mast cell stabilizing properties and is </w:t>
      </w:r>
      <w:proofErr w:type="spellStart"/>
      <w:r w:rsidRPr="002A624A">
        <w:t>antiphlogistic</w:t>
      </w:r>
      <w:proofErr w:type="spellEnd"/>
      <w:r w:rsidRPr="002A624A">
        <w:t xml:space="preserve">. Fluticasone </w:t>
      </w:r>
      <w:r w:rsidRPr="002A624A">
        <w:lastRenderedPageBreak/>
        <w:t xml:space="preserve">is a synthetic </w:t>
      </w:r>
      <w:proofErr w:type="spellStart"/>
      <w:r w:rsidRPr="002A624A">
        <w:t>trifluorinated</w:t>
      </w:r>
      <w:proofErr w:type="spellEnd"/>
      <w:r w:rsidRPr="002A624A">
        <w:t xml:space="preserve"> anti-inflammatory corticosteroid without significant mineralocorticoid activity.</w:t>
      </w:r>
    </w:p>
    <w:p w:rsidR="00807805" w:rsidRPr="002A624A" w:rsidRDefault="00807805" w:rsidP="002A624A">
      <w:pPr>
        <w:pStyle w:val="ListBullet"/>
      </w:pPr>
      <w:r w:rsidRPr="002A624A">
        <w:t xml:space="preserve">Pharmacokinetic interaction of </w:t>
      </w:r>
      <w:proofErr w:type="spellStart"/>
      <w:r w:rsidRPr="002A624A">
        <w:t>azelastine</w:t>
      </w:r>
      <w:proofErr w:type="spellEnd"/>
      <w:r w:rsidRPr="002A624A">
        <w:t xml:space="preserve"> and fluticasone is not expected based on the metabolism of the individual compounds. Fluticasone plasma levels were below the level of quantification with the less sensitive analytical method used in the only </w:t>
      </w:r>
      <w:proofErr w:type="spellStart"/>
      <w:r w:rsidRPr="002A624A">
        <w:t>toxicokinetic</w:t>
      </w:r>
      <w:proofErr w:type="spellEnd"/>
      <w:r w:rsidRPr="002A624A">
        <w:t xml:space="preserve"> study (</w:t>
      </w:r>
      <w:proofErr w:type="spellStart"/>
      <w:r w:rsidRPr="002A624A">
        <w:t>LLoQ</w:t>
      </w:r>
      <w:proofErr w:type="spellEnd"/>
      <w:r w:rsidRPr="002A624A">
        <w:t xml:space="preserve"> above the </w:t>
      </w:r>
      <w:proofErr w:type="spellStart"/>
      <w:r w:rsidR="00902285" w:rsidRPr="002A624A">
        <w:t>Cmax</w:t>
      </w:r>
      <w:proofErr w:type="spellEnd"/>
      <w:r w:rsidRPr="002A624A">
        <w:t xml:space="preserve"> observed in clinical studies). A decrease in </w:t>
      </w:r>
      <w:proofErr w:type="spellStart"/>
      <w:r w:rsidRPr="002A624A">
        <w:t>azelastine</w:t>
      </w:r>
      <w:proofErr w:type="spellEnd"/>
      <w:r w:rsidRPr="002A624A">
        <w:t xml:space="preserve"> plasma levels was observed in rats when </w:t>
      </w:r>
      <w:proofErr w:type="spellStart"/>
      <w:r w:rsidRPr="002A624A">
        <w:t>azelastine</w:t>
      </w:r>
      <w:proofErr w:type="spellEnd"/>
      <w:r w:rsidRPr="002A624A">
        <w:t xml:space="preserve"> was administered in combination with fluticasone. This is addressed by clinical studies which investigated the potential pharmacokinetic interaction of </w:t>
      </w:r>
      <w:proofErr w:type="spellStart"/>
      <w:r w:rsidRPr="002A624A">
        <w:t>azelastine</w:t>
      </w:r>
      <w:proofErr w:type="spellEnd"/>
      <w:r w:rsidRPr="002A624A">
        <w:t xml:space="preserve"> and fluticasone with mor</w:t>
      </w:r>
      <w:r w:rsidR="002A624A">
        <w:t>e sensitive analytical methods.</w:t>
      </w:r>
    </w:p>
    <w:p w:rsidR="00807805" w:rsidRPr="002A624A" w:rsidRDefault="00807805" w:rsidP="002A624A">
      <w:pPr>
        <w:pStyle w:val="ListBullet"/>
      </w:pPr>
      <w:r w:rsidRPr="002A624A">
        <w:t xml:space="preserve">Intranasal application of </w:t>
      </w:r>
      <w:proofErr w:type="spellStart"/>
      <w:r w:rsidRPr="002A624A">
        <w:t>azelastine</w:t>
      </w:r>
      <w:proofErr w:type="spellEnd"/>
      <w:r w:rsidRPr="002A624A">
        <w:t xml:space="preserve"> hydrochloride 0.1% and fluticasone propionate 0.0365% as the clinical formulation at a daily dose of 400/146 </w:t>
      </w:r>
      <w:proofErr w:type="spellStart"/>
      <w:r w:rsidRPr="002A624A">
        <w:t>μg</w:t>
      </w:r>
      <w:proofErr w:type="spellEnd"/>
      <w:r w:rsidRPr="002A624A">
        <w:t xml:space="preserve"> for 3 months was well tolerated locally (up to 14 times the clinical dose based on nasal cavity surface area) as well as systemically (at doses up to 32-times the clinical dose on a mg/m2 basis in rats, and up to 3-times in dogs. The moderate toxicity that was observed was dominated by fluticasone induced findings that were explained by systemic glucocorticoid action. No additional new toxicity was observed with the combination compared to the individual components alone. Previously, toxicology studies of longer duration than 3 months were conducted with the individual drugs alone. A similar product, fluticasone nasal drops (</w:t>
      </w:r>
      <w:proofErr w:type="spellStart"/>
      <w:r w:rsidRPr="002A624A">
        <w:t>Flixonase</w:t>
      </w:r>
      <w:proofErr w:type="spellEnd"/>
      <w:r w:rsidRPr="002A624A">
        <w:t xml:space="preserve"> </w:t>
      </w:r>
      <w:proofErr w:type="spellStart"/>
      <w:r w:rsidRPr="002A624A">
        <w:t>Nasule</w:t>
      </w:r>
      <w:proofErr w:type="spellEnd"/>
      <w:r w:rsidR="000C47A2" w:rsidRPr="002A624A">
        <w:t xml:space="preserve"> </w:t>
      </w:r>
      <w:r w:rsidRPr="002A624A">
        <w:t xml:space="preserve"> drops, 800 µg/day, 0.1% fluticasone propionate) is currently approved without restriction on duration of treatment at 4-times the proposed maximum daily fluticasone dose (200 µg/day) and </w:t>
      </w:r>
      <w:r w:rsidR="00D21A1D" w:rsidRPr="002A624A">
        <w:t>approximately</w:t>
      </w:r>
      <w:r w:rsidR="00FD39CC" w:rsidRPr="002A624A">
        <w:t xml:space="preserve"> </w:t>
      </w:r>
      <w:r w:rsidRPr="002A624A">
        <w:t>3-times th</w:t>
      </w:r>
      <w:r w:rsidR="002A624A">
        <w:t>e proposed strength of 0.0365%.</w:t>
      </w:r>
    </w:p>
    <w:p w:rsidR="00807805" w:rsidRPr="002A624A" w:rsidRDefault="00807805" w:rsidP="002A624A">
      <w:pPr>
        <w:pStyle w:val="ListBullet"/>
      </w:pPr>
      <w:r w:rsidRPr="002A624A">
        <w:t xml:space="preserve">There are no nonclinical objections to registration of the new fixed combination for allergic rhinitis. The efficacy of the </w:t>
      </w:r>
      <w:proofErr w:type="spellStart"/>
      <w:r w:rsidRPr="002A624A">
        <w:t>azelastine</w:t>
      </w:r>
      <w:proofErr w:type="spellEnd"/>
      <w:r w:rsidRPr="002A624A">
        <w:t xml:space="preserve"> </w:t>
      </w:r>
      <w:proofErr w:type="spellStart"/>
      <w:r w:rsidRPr="002A624A">
        <w:t>HCl</w:t>
      </w:r>
      <w:proofErr w:type="spellEnd"/>
      <w:r w:rsidRPr="002A624A">
        <w:t>/fluticasone propionate nasal spray for the treatment of allergic rhino</w:t>
      </w:r>
      <w:r w:rsidR="00FD39CC" w:rsidRPr="002A624A">
        <w:t>-</w:t>
      </w:r>
      <w:r w:rsidRPr="002A624A">
        <w:t>conjunctivitis was not assessed in animal models of allergic rhinitis or allergic conjunctivitis. Neither of the currently registered individual nasal spray drug products (</w:t>
      </w:r>
      <w:proofErr w:type="spellStart"/>
      <w:r w:rsidRPr="002A624A">
        <w:t>azelastine</w:t>
      </w:r>
      <w:proofErr w:type="spellEnd"/>
      <w:r w:rsidRPr="002A624A">
        <w:t xml:space="preserve"> 0.1% nasal spray and fluticasone propionate 0.05% nasal spray) is approved for treatment of rhino-conjunctivitis, though </w:t>
      </w:r>
      <w:proofErr w:type="spellStart"/>
      <w:r w:rsidRPr="002A624A">
        <w:t>azelastine</w:t>
      </w:r>
      <w:proofErr w:type="spellEnd"/>
      <w:r w:rsidRPr="002A624A">
        <w:t xml:space="preserve"> eye drops are approved for conjunctivitis treatment. Evaluation of this new indication will rel</w:t>
      </w:r>
      <w:r w:rsidR="002A624A">
        <w:t>y on the clinical data.</w:t>
      </w:r>
    </w:p>
    <w:p w:rsidR="008E7846" w:rsidRPr="00254787" w:rsidRDefault="008E7846" w:rsidP="00623691">
      <w:pPr>
        <w:pStyle w:val="Heading2"/>
      </w:pPr>
      <w:bookmarkStart w:id="60" w:name="_Toc396826955"/>
      <w:r>
        <w:t xml:space="preserve">IV. </w:t>
      </w:r>
      <w:r w:rsidRPr="00254787">
        <w:t>Clinical</w:t>
      </w:r>
      <w:bookmarkEnd w:id="55"/>
      <w:r>
        <w:t xml:space="preserve"> </w:t>
      </w:r>
      <w:r w:rsidR="003A7F6C" w:rsidRPr="00623691">
        <w:t>f</w:t>
      </w:r>
      <w:r w:rsidRPr="00623691">
        <w:t>indings</w:t>
      </w:r>
      <w:bookmarkEnd w:id="56"/>
      <w:bookmarkEnd w:id="57"/>
      <w:bookmarkEnd w:id="60"/>
    </w:p>
    <w:p w:rsidR="00C80137" w:rsidRDefault="00C80137" w:rsidP="002A624A">
      <w:bookmarkStart w:id="6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2A624A">
      <w:pPr>
        <w:pStyle w:val="Heading3"/>
      </w:pPr>
      <w:bookmarkStart w:id="62" w:name="_Toc247691517"/>
      <w:bookmarkStart w:id="63" w:name="_Toc314842501"/>
      <w:bookmarkStart w:id="64" w:name="_Toc396826956"/>
      <w:r w:rsidRPr="00254787">
        <w:t>Introduction</w:t>
      </w:r>
      <w:bookmarkEnd w:id="61"/>
      <w:bookmarkEnd w:id="62"/>
      <w:bookmarkEnd w:id="63"/>
      <w:bookmarkEnd w:id="64"/>
    </w:p>
    <w:p w:rsidR="00365339" w:rsidRDefault="00365339" w:rsidP="002A624A">
      <w:r>
        <w:t xml:space="preserve">This is an abbreviated submission to register a new fixed dose combination of fluticasone propionate and </w:t>
      </w:r>
      <w:proofErr w:type="spellStart"/>
      <w:r>
        <w:t>azelastine</w:t>
      </w:r>
      <w:proofErr w:type="spellEnd"/>
      <w:r>
        <w:t xml:space="preserve"> hydrochloride, presented as a nasal spray, for the treatment of </w:t>
      </w:r>
      <w:r w:rsidR="00FD39CC">
        <w:t xml:space="preserve">moderate to severe </w:t>
      </w:r>
      <w:r>
        <w:t>allergic rhinitis</w:t>
      </w:r>
      <w:r w:rsidR="00FD39CC">
        <w:t xml:space="preserve"> and rhino-conjunctivitis</w:t>
      </w:r>
      <w:r>
        <w:t>.</w:t>
      </w:r>
    </w:p>
    <w:p w:rsidR="00365339" w:rsidRDefault="00365339" w:rsidP="002A624A">
      <w:r>
        <w:t>Throughout the sponsor’s submission, and in many of the tables included in this report, the product is referred to by the codename MP29-02.</w:t>
      </w:r>
    </w:p>
    <w:p w:rsidR="00365339" w:rsidRPr="00365339" w:rsidRDefault="00365339" w:rsidP="002A624A">
      <w:r>
        <w:t xml:space="preserve">Fluticasone propionate is a glucocorticoid. </w:t>
      </w:r>
      <w:proofErr w:type="spellStart"/>
      <w:r>
        <w:t>Azelastine</w:t>
      </w:r>
      <w:proofErr w:type="spellEnd"/>
      <w:r>
        <w:t xml:space="preserve"> hydrochloride is a </w:t>
      </w:r>
      <w:r w:rsidR="00D13063">
        <w:t>seco</w:t>
      </w:r>
      <w:r>
        <w:t xml:space="preserve">nd generation (non-sedating) antihistamine, belonging to the </w:t>
      </w:r>
      <w:proofErr w:type="spellStart"/>
      <w:r>
        <w:t>phthalazinone</w:t>
      </w:r>
      <w:proofErr w:type="spellEnd"/>
      <w:r>
        <w:t xml:space="preserve"> class.</w:t>
      </w:r>
    </w:p>
    <w:p w:rsidR="00605AD4" w:rsidRDefault="00605AD4" w:rsidP="002A624A">
      <w:pPr>
        <w:pStyle w:val="Heading4"/>
      </w:pPr>
      <w:bookmarkStart w:id="65" w:name="_Toc196046464"/>
      <w:bookmarkStart w:id="66" w:name="_Toc247691518"/>
      <w:bookmarkStart w:id="67" w:name="_Toc314842502"/>
      <w:r w:rsidRPr="00605AD4">
        <w:lastRenderedPageBreak/>
        <w:t xml:space="preserve">Clinical </w:t>
      </w:r>
      <w:r w:rsidR="002A624A">
        <w:t>r</w:t>
      </w:r>
      <w:r w:rsidRPr="00605AD4">
        <w:t>ationale</w:t>
      </w:r>
    </w:p>
    <w:p w:rsidR="00365339" w:rsidRPr="00365339" w:rsidRDefault="00365339" w:rsidP="002A624A">
      <w:r w:rsidRPr="00365339">
        <w:t>Allergic rhinitis/</w:t>
      </w:r>
      <w:proofErr w:type="spellStart"/>
      <w:r w:rsidRPr="00365339">
        <w:t>rhinoconjunctivitis</w:t>
      </w:r>
      <w:proofErr w:type="spellEnd"/>
      <w:r w:rsidRPr="00365339">
        <w:t xml:space="preserve"> is a very common disorder that affects approximately 20% of the Australian population.</w:t>
      </w:r>
      <w:r w:rsidRPr="00365339">
        <w:rPr>
          <w:vertAlign w:val="superscript"/>
        </w:rPr>
        <w:footnoteReference w:id="9"/>
      </w:r>
      <w:r w:rsidRPr="00365339">
        <w:t xml:space="preserve"> It is a disorder that occurs in individuals who have developed a type I hypersensitivity reaction to inhaled antigens. It has traditionally been classified into two forms – seasonal allergic rhinitis (SAR) and perennial allergic rhinitis (PAR) – depending on the timing of exposure to the precipitating allergen(s). </w:t>
      </w:r>
      <w:r w:rsidR="007B3DAC">
        <w:t>Seasonal allergic rhinitis (</w:t>
      </w:r>
      <w:r w:rsidRPr="00365339">
        <w:t>SAR</w:t>
      </w:r>
      <w:r w:rsidR="007B3DAC">
        <w:t>)</w:t>
      </w:r>
      <w:r w:rsidRPr="00365339">
        <w:t xml:space="preserve"> develops in response to allergens that only occur in certain seasons (for example pollens) whereas </w:t>
      </w:r>
      <w:r w:rsidR="007B3DAC">
        <w:t>perennial allergic rhinitis (</w:t>
      </w:r>
      <w:r w:rsidRPr="00365339">
        <w:t>PAR</w:t>
      </w:r>
      <w:r w:rsidR="007B3DAC">
        <w:t>)</w:t>
      </w:r>
      <w:r w:rsidRPr="00365339">
        <w:t xml:space="preserve"> develops in response to allergens that are present year-round (for exam</w:t>
      </w:r>
      <w:r w:rsidR="002A624A">
        <w:t>ple dust mites, animal dander).</w:t>
      </w:r>
    </w:p>
    <w:p w:rsidR="00365339" w:rsidRPr="00365339" w:rsidRDefault="00365339" w:rsidP="002A624A">
      <w:r w:rsidRPr="00365339">
        <w:t>The ARIA (Allergic Rhinitis and its Impact on Asthma) guidelines</w:t>
      </w:r>
      <w:r w:rsidRPr="00365339">
        <w:rPr>
          <w:vertAlign w:val="superscript"/>
        </w:rPr>
        <w:footnoteReference w:id="10"/>
      </w:r>
      <w:r w:rsidRPr="00365339">
        <w:t xml:space="preserve"> are a contemporary set of evidence-based clinical guidelines for the treatment of allergic rhinitis, developed by international consensus. They no longer recommend use of the terms SAR and PAR, and instead classify the disease as either intermittent (occurring less than 4 days per week, or for less than 4 weeks at a time) or persistent (occurring more than 4 days per week, or for more than 4 weeks at a time).</w:t>
      </w:r>
    </w:p>
    <w:p w:rsidR="00365339" w:rsidRPr="00365339" w:rsidRDefault="00365339" w:rsidP="002A624A">
      <w:r w:rsidRPr="00365339">
        <w:t>Currently registered therapies for allergic rhinitis in Australia include the following:</w:t>
      </w:r>
    </w:p>
    <w:p w:rsidR="00365339" w:rsidRPr="002A624A" w:rsidRDefault="00365339" w:rsidP="002A624A">
      <w:pPr>
        <w:pStyle w:val="ListBullet"/>
      </w:pPr>
      <w:r w:rsidRPr="002A624A">
        <w:t xml:space="preserve">Topical decongestants such as </w:t>
      </w:r>
      <w:proofErr w:type="spellStart"/>
      <w:r w:rsidRPr="002A624A">
        <w:t>oxymetazoline</w:t>
      </w:r>
      <w:proofErr w:type="spellEnd"/>
      <w:r w:rsidRPr="002A624A">
        <w:t xml:space="preserve">, </w:t>
      </w:r>
      <w:proofErr w:type="spellStart"/>
      <w:r w:rsidRPr="002A624A">
        <w:t>xylometazoline</w:t>
      </w:r>
      <w:proofErr w:type="spellEnd"/>
      <w:r w:rsidRPr="002A624A">
        <w:t xml:space="preserve"> and phenylephrine nasal sprays, which are generally only recommende</w:t>
      </w:r>
      <w:r w:rsidR="002A624A">
        <w:t>d for short term use (&lt; 1 week)</w:t>
      </w:r>
    </w:p>
    <w:p w:rsidR="00365339" w:rsidRPr="002A624A" w:rsidRDefault="00365339" w:rsidP="002A624A">
      <w:pPr>
        <w:pStyle w:val="ListBullet"/>
      </w:pPr>
      <w:r w:rsidRPr="002A624A">
        <w:t>Oral decongestants such as ps</w:t>
      </w:r>
      <w:r w:rsidR="002A624A">
        <w:t>eudoephedrine and phenylephrine</w:t>
      </w:r>
    </w:p>
    <w:p w:rsidR="00365339" w:rsidRPr="002A624A" w:rsidRDefault="00365339" w:rsidP="002A624A">
      <w:pPr>
        <w:pStyle w:val="ListBullet"/>
      </w:pPr>
      <w:r w:rsidRPr="002A624A">
        <w:t xml:space="preserve">Topical antihistamines such as </w:t>
      </w:r>
      <w:proofErr w:type="spellStart"/>
      <w:r w:rsidRPr="002A624A">
        <w:t>azelastine</w:t>
      </w:r>
      <w:proofErr w:type="spellEnd"/>
      <w:r w:rsidRPr="002A624A">
        <w:t xml:space="preserve"> </w:t>
      </w:r>
      <w:r w:rsidR="002A624A">
        <w:t xml:space="preserve">and </w:t>
      </w:r>
      <w:proofErr w:type="spellStart"/>
      <w:r w:rsidR="002A624A">
        <w:t>levocabastine</w:t>
      </w:r>
      <w:proofErr w:type="spellEnd"/>
      <w:r w:rsidR="002A624A">
        <w:t xml:space="preserve"> nasal sprays</w:t>
      </w:r>
    </w:p>
    <w:p w:rsidR="00365339" w:rsidRPr="002A624A" w:rsidRDefault="00365339" w:rsidP="002A624A">
      <w:pPr>
        <w:pStyle w:val="ListBullet"/>
      </w:pPr>
      <w:r w:rsidRPr="002A624A">
        <w:t>Oral antihistamines, of which there are multiple formulations available in Australia, including first generation (sedating) and second g</w:t>
      </w:r>
      <w:r w:rsidR="002A624A">
        <w:t>eneration (non-sedating) agents</w:t>
      </w:r>
    </w:p>
    <w:p w:rsidR="00365339" w:rsidRPr="002A624A" w:rsidRDefault="00365339" w:rsidP="002A624A">
      <w:pPr>
        <w:pStyle w:val="ListBullet"/>
      </w:pPr>
      <w:r w:rsidRPr="002A624A">
        <w:t xml:space="preserve">Topical glucocorticoids including budesonide, fluticasone propionate, fluticasone </w:t>
      </w:r>
      <w:proofErr w:type="spellStart"/>
      <w:r w:rsidRPr="002A624A">
        <w:t>furoate</w:t>
      </w:r>
      <w:proofErr w:type="spellEnd"/>
      <w:r w:rsidRPr="002A624A">
        <w:t xml:space="preserve">, triamcinolone, </w:t>
      </w:r>
      <w:proofErr w:type="spellStart"/>
      <w:r w:rsidRPr="002A624A">
        <w:t>beclomethasone</w:t>
      </w:r>
      <w:proofErr w:type="spellEnd"/>
      <w:r w:rsidRPr="002A624A">
        <w:t xml:space="preserve">, </w:t>
      </w:r>
      <w:proofErr w:type="spellStart"/>
      <w:r w:rsidRPr="002A624A">
        <w:t>mometaso</w:t>
      </w:r>
      <w:r w:rsidR="002A624A">
        <w:t>ne</w:t>
      </w:r>
      <w:proofErr w:type="spellEnd"/>
      <w:r w:rsidR="002A624A">
        <w:t xml:space="preserve"> and </w:t>
      </w:r>
      <w:proofErr w:type="spellStart"/>
      <w:r w:rsidR="002A624A">
        <w:t>ciclesonide</w:t>
      </w:r>
      <w:proofErr w:type="spellEnd"/>
      <w:r w:rsidR="002A624A">
        <w:t xml:space="preserve"> nasal sprays</w:t>
      </w:r>
    </w:p>
    <w:p w:rsidR="00365339" w:rsidRPr="002A624A" w:rsidRDefault="00365339" w:rsidP="002A624A">
      <w:pPr>
        <w:pStyle w:val="ListBullet"/>
      </w:pPr>
      <w:r w:rsidRPr="002A624A">
        <w:t xml:space="preserve">Sodium </w:t>
      </w:r>
      <w:proofErr w:type="spellStart"/>
      <w:r w:rsidRPr="002A624A">
        <w:t>cromoglycate</w:t>
      </w:r>
      <w:proofErr w:type="spellEnd"/>
      <w:r w:rsidRPr="002A624A">
        <w:t xml:space="preserve"> nasal spray, which is indicated for the p</w:t>
      </w:r>
      <w:r w:rsidR="002A624A">
        <w:t>rophylaxis of allergic rhinitis</w:t>
      </w:r>
    </w:p>
    <w:p w:rsidR="00365339" w:rsidRPr="002A624A" w:rsidRDefault="00365339" w:rsidP="002A624A">
      <w:pPr>
        <w:pStyle w:val="ListBullet"/>
      </w:pPr>
      <w:r w:rsidRPr="002A624A">
        <w:t>Ipratropium nasal spray, which is indicated for the treatment of rhinorrhoea as</w:t>
      </w:r>
      <w:r w:rsidR="002A624A">
        <w:t>sociated with allergic rhinitis</w:t>
      </w:r>
    </w:p>
    <w:p w:rsidR="00365339" w:rsidRPr="002A624A" w:rsidRDefault="00365339" w:rsidP="002A624A">
      <w:pPr>
        <w:pStyle w:val="ListBullet"/>
      </w:pPr>
      <w:r w:rsidRPr="002A624A">
        <w:t>Immunotherapy, with repeated administration of specific allergen extracts, is generally reserved for subjects whose symptoms are not controlled with drug therapy.</w:t>
      </w:r>
    </w:p>
    <w:p w:rsidR="00365339" w:rsidRPr="00365339" w:rsidRDefault="00365339" w:rsidP="002A624A">
      <w:r w:rsidRPr="00365339">
        <w:t>The two active ingredients of the proposed combination product are available as individual nasal sprays in Australia.</w:t>
      </w:r>
    </w:p>
    <w:p w:rsidR="00365339" w:rsidRPr="00365339" w:rsidRDefault="00365339" w:rsidP="002A624A">
      <w:r w:rsidRPr="00365339">
        <w:t>The sponsor is seeking approval for use of the product in moderate to severe allergic rhinitis</w:t>
      </w:r>
      <w:r w:rsidR="0010482E">
        <w:t xml:space="preserve"> and rhino-conjunctivitis</w:t>
      </w:r>
      <w:r w:rsidRPr="00365339">
        <w:t xml:space="preserve">. The ARIA guidelines recommend the use of intranasal glucocorticoids for the first line treatment of moderate to severe disease. Where control is not achieved, additional treatment (for example with an antihistamine) is recommended. The use of an antihistamine alone is only recommended for the treatment of mild, intermittent allergic rhinitis. It is likely that some of these patients would progress to moderate or severe disease and hence require the addition of an intranasal glucocorticoid. Hence the concomitant use of fluticasone and </w:t>
      </w:r>
      <w:proofErr w:type="spellStart"/>
      <w:r w:rsidRPr="00365339">
        <w:t>azelastine</w:t>
      </w:r>
      <w:proofErr w:type="spellEnd"/>
      <w:r w:rsidRPr="00365339">
        <w:t xml:space="preserve"> would be appropriate in a proportion of patients with allergic rhinitis.</w:t>
      </w:r>
    </w:p>
    <w:p w:rsidR="00365339" w:rsidRPr="00365339" w:rsidRDefault="00365339" w:rsidP="002A624A">
      <w:r w:rsidRPr="00365339">
        <w:lastRenderedPageBreak/>
        <w:t>Prior to submission of this application the sponsor submitted a justification for the fixed combination and this was accepted by the TGA.</w:t>
      </w:r>
    </w:p>
    <w:p w:rsidR="00365339" w:rsidRPr="00365339" w:rsidRDefault="00365339" w:rsidP="002A624A">
      <w:r w:rsidRPr="00365339">
        <w:t>There are currently no other registered fixed combination nasal sprays for allergic rhinitis. There are many registered</w:t>
      </w:r>
      <w:r w:rsidR="007B3DAC">
        <w:t xml:space="preserve"> over the counter (</w:t>
      </w:r>
      <w:r w:rsidRPr="00365339">
        <w:t>OTC</w:t>
      </w:r>
      <w:r w:rsidR="007B3DAC">
        <w:t>)</w:t>
      </w:r>
      <w:r w:rsidRPr="00365339">
        <w:t xml:space="preserve"> products for oral administration that combine an ant</w:t>
      </w:r>
      <w:r w:rsidR="002A624A">
        <w:t>ihistamine with a decongestant.</w:t>
      </w:r>
    </w:p>
    <w:p w:rsidR="00365339" w:rsidRPr="00365339" w:rsidRDefault="00365339" w:rsidP="002A624A">
      <w:r w:rsidRPr="00365339">
        <w:t xml:space="preserve">In Australia, any </w:t>
      </w:r>
      <w:proofErr w:type="spellStart"/>
      <w:r w:rsidRPr="00365339">
        <w:t>azelastine</w:t>
      </w:r>
      <w:proofErr w:type="spellEnd"/>
      <w:r w:rsidRPr="00365339">
        <w:t xml:space="preserve"> preparation for nasal use is available as an OTC (S</w:t>
      </w:r>
      <w:r w:rsidR="007B3DAC">
        <w:t xml:space="preserve">chedule </w:t>
      </w:r>
      <w:r w:rsidRPr="00365339">
        <w:t>2</w:t>
      </w:r>
      <w:r w:rsidR="007B3DAC">
        <w:t xml:space="preserve"> (S2)</w:t>
      </w:r>
      <w:r w:rsidRPr="00365339">
        <w:t>) product. A fluticasone nasal spray can also be an OTC (S2) product provided that it fulfils all of the following criteria:</w:t>
      </w:r>
    </w:p>
    <w:p w:rsidR="00365339" w:rsidRPr="002A624A" w:rsidRDefault="00365339" w:rsidP="002A624A">
      <w:pPr>
        <w:pStyle w:val="ListBullet"/>
      </w:pPr>
      <w:r w:rsidRPr="002A624A">
        <w:t>Each actuation deliver</w:t>
      </w:r>
      <w:r w:rsidR="002A624A">
        <w:t>s 50 mcg or less of fluticasone</w:t>
      </w:r>
    </w:p>
    <w:p w:rsidR="00365339" w:rsidRPr="002A624A" w:rsidRDefault="00365339" w:rsidP="002A624A">
      <w:pPr>
        <w:pStyle w:val="ListBullet"/>
      </w:pPr>
      <w:r w:rsidRPr="002A624A">
        <w:t xml:space="preserve">The maximum recommended daily </w:t>
      </w:r>
      <w:r w:rsidR="002A624A">
        <w:t>dose is no greater than 400 mcg</w:t>
      </w:r>
    </w:p>
    <w:p w:rsidR="00365339" w:rsidRPr="002A624A" w:rsidRDefault="00365339" w:rsidP="002A624A">
      <w:pPr>
        <w:pStyle w:val="ListBullet"/>
      </w:pPr>
      <w:r w:rsidRPr="002A624A">
        <w:t xml:space="preserve">The pack </w:t>
      </w:r>
      <w:r w:rsidR="002A624A">
        <w:t>contains 200 actuations or less</w:t>
      </w:r>
    </w:p>
    <w:p w:rsidR="00365339" w:rsidRPr="002A624A" w:rsidRDefault="00365339" w:rsidP="002A624A">
      <w:pPr>
        <w:pStyle w:val="ListBullet"/>
      </w:pPr>
      <w:r w:rsidRPr="002A624A">
        <w:t>The indication is for the prophylaxis or</w:t>
      </w:r>
      <w:r w:rsidR="002A624A">
        <w:t xml:space="preserve"> treatment of allergic rhinitis</w:t>
      </w:r>
    </w:p>
    <w:p w:rsidR="00365339" w:rsidRPr="002A624A" w:rsidRDefault="00365339" w:rsidP="002A624A">
      <w:pPr>
        <w:pStyle w:val="ListBullet"/>
      </w:pPr>
      <w:r w:rsidRPr="002A624A">
        <w:t xml:space="preserve">The proposed population is adults and </w:t>
      </w:r>
      <w:r w:rsidR="002A624A">
        <w:t>children aged 12 years and over</w:t>
      </w:r>
    </w:p>
    <w:p w:rsidR="00365339" w:rsidRPr="002A624A" w:rsidRDefault="00365339" w:rsidP="002A624A">
      <w:pPr>
        <w:pStyle w:val="ListBullet"/>
      </w:pPr>
      <w:r w:rsidRPr="002A624A">
        <w:t>The proposed duration of use is no more than 6 months.</w:t>
      </w:r>
    </w:p>
    <w:p w:rsidR="00365339" w:rsidRPr="00365339" w:rsidRDefault="00365339" w:rsidP="002A624A">
      <w:r w:rsidRPr="00365339">
        <w:t>The product that is the subject of this application fulfils all these criteria except the last. The sponsor seeks to have no limit applied to the duration of use and hence the product will be prescription only if approved.</w:t>
      </w:r>
    </w:p>
    <w:p w:rsidR="00365339" w:rsidRDefault="00365339" w:rsidP="002A624A">
      <w:pPr>
        <w:pStyle w:val="Heading4"/>
      </w:pPr>
      <w:r>
        <w:t>Formulation</w:t>
      </w:r>
    </w:p>
    <w:p w:rsidR="00365339" w:rsidRDefault="002C20C3" w:rsidP="002A624A">
      <w:r>
        <w:t>At the time of the evaluation by the Clinical Evaluator, i</w:t>
      </w:r>
      <w:r w:rsidR="00365339" w:rsidRPr="00365339">
        <w:t>t was not clear from the submission whether the formulation proposed for registration in Australia is the same as that used in the submitted clinical trials. The sponsor should be asked to comment on this point.</w:t>
      </w:r>
    </w:p>
    <w:p w:rsidR="00605AD4" w:rsidRDefault="00605AD4" w:rsidP="002A624A">
      <w:pPr>
        <w:pStyle w:val="Heading4"/>
      </w:pPr>
      <w:r w:rsidRPr="00605AD4">
        <w:t>Guidance</w:t>
      </w:r>
    </w:p>
    <w:p w:rsidR="00365339" w:rsidRPr="00365339" w:rsidRDefault="00365339" w:rsidP="002A624A">
      <w:r w:rsidRPr="00365339">
        <w:t>The following regulatory guidelines, published by the European Medicines Agency (EMA) and adopted by the TGA, are relevant to the current submission:</w:t>
      </w:r>
    </w:p>
    <w:p w:rsidR="00365339" w:rsidRPr="00365339" w:rsidRDefault="00365339" w:rsidP="00365339">
      <w:pPr>
        <w:pStyle w:val="ListBullet"/>
      </w:pPr>
      <w:r w:rsidRPr="00365339">
        <w:t xml:space="preserve">Guideline On The Clinical Development Of Medicinal Products For The Treatment Of Allergic </w:t>
      </w:r>
      <w:proofErr w:type="spellStart"/>
      <w:r w:rsidRPr="00365339">
        <w:t>Rhinoconjunctivitis</w:t>
      </w:r>
      <w:proofErr w:type="spellEnd"/>
      <w:r w:rsidRPr="00365339">
        <w:t>;</w:t>
      </w:r>
      <w:r w:rsidRPr="00365339">
        <w:rPr>
          <w:vertAlign w:val="superscript"/>
        </w:rPr>
        <w:footnoteReference w:id="11"/>
      </w:r>
    </w:p>
    <w:p w:rsidR="00365339" w:rsidRPr="00365339" w:rsidRDefault="00365339" w:rsidP="00365339">
      <w:pPr>
        <w:pStyle w:val="ListBullet"/>
      </w:pPr>
      <w:r w:rsidRPr="00365339">
        <w:t>Guideline On Clinical Development Of Fixed Combination Medicinal Products;</w:t>
      </w:r>
      <w:r w:rsidRPr="00365339">
        <w:rPr>
          <w:vertAlign w:val="superscript"/>
        </w:rPr>
        <w:footnoteReference w:id="12"/>
      </w:r>
    </w:p>
    <w:p w:rsidR="00365339" w:rsidRPr="00365339" w:rsidRDefault="00365339" w:rsidP="00365339">
      <w:pPr>
        <w:pStyle w:val="ListBullet"/>
      </w:pPr>
      <w:r w:rsidRPr="00365339">
        <w:t>Clinical Requirements For Locally Applied, Locally Acting Products, Containing Known Constituents.</w:t>
      </w:r>
      <w:r w:rsidRPr="00365339">
        <w:rPr>
          <w:vertAlign w:val="superscript"/>
        </w:rPr>
        <w:footnoteReference w:id="13"/>
      </w:r>
    </w:p>
    <w:p w:rsidR="00365339" w:rsidRPr="00365339" w:rsidRDefault="00365339" w:rsidP="002A624A">
      <w:r w:rsidRPr="00365339">
        <w:t>Compliance with these guidelines will be discussed in this report where appropriate.</w:t>
      </w:r>
    </w:p>
    <w:p w:rsidR="00605AD4" w:rsidRDefault="00605AD4" w:rsidP="002A624A">
      <w:pPr>
        <w:pStyle w:val="Heading4"/>
      </w:pPr>
      <w:r w:rsidRPr="00605AD4">
        <w:t>Contents of the clinical dossier</w:t>
      </w:r>
    </w:p>
    <w:p w:rsidR="00365339" w:rsidRPr="00365339" w:rsidRDefault="00365339" w:rsidP="002A624A">
      <w:r w:rsidRPr="00365339">
        <w:t>The clinical dossier documented a development program that included pharmacokinetic studies and efficacy and safety studies.</w:t>
      </w:r>
    </w:p>
    <w:p w:rsidR="00623691" w:rsidRDefault="00623691">
      <w:pPr>
        <w:spacing w:before="0" w:after="200" w:line="0" w:lineRule="auto"/>
      </w:pPr>
      <w:r>
        <w:br w:type="page"/>
      </w:r>
    </w:p>
    <w:p w:rsidR="00365339" w:rsidRPr="00365339" w:rsidRDefault="00365339" w:rsidP="002A624A">
      <w:r w:rsidRPr="00365339">
        <w:lastRenderedPageBreak/>
        <w:t>The submission contained the following clinical information:</w:t>
      </w:r>
    </w:p>
    <w:p w:rsidR="00365339" w:rsidRPr="00365339" w:rsidRDefault="00365339" w:rsidP="00365339">
      <w:pPr>
        <w:pStyle w:val="ListBullet"/>
      </w:pPr>
      <w:r w:rsidRPr="00365339">
        <w:t>2 clinical pharmacology studies that provided pharmacokinetic data.</w:t>
      </w:r>
    </w:p>
    <w:p w:rsidR="00365339" w:rsidRPr="00365339" w:rsidRDefault="00365339" w:rsidP="00365339">
      <w:pPr>
        <w:pStyle w:val="ListBullet"/>
      </w:pPr>
      <w:r w:rsidRPr="00365339">
        <w:t>1 pivotal efficacy/safety study.</w:t>
      </w:r>
    </w:p>
    <w:p w:rsidR="00365339" w:rsidRPr="00365339" w:rsidRDefault="00365339" w:rsidP="00365339">
      <w:pPr>
        <w:pStyle w:val="ListBullet"/>
      </w:pPr>
      <w:r w:rsidRPr="00365339">
        <w:t>3 other supportive efficacy/safety studies.</w:t>
      </w:r>
    </w:p>
    <w:p w:rsidR="00365339" w:rsidRPr="00365339" w:rsidRDefault="00365339" w:rsidP="00365339">
      <w:pPr>
        <w:pStyle w:val="ListBullet"/>
      </w:pPr>
      <w:r w:rsidRPr="00365339">
        <w:t>1 study that specific</w:t>
      </w:r>
      <w:r w:rsidR="002A624A">
        <w:t>ally examined long-term safety.</w:t>
      </w:r>
    </w:p>
    <w:p w:rsidR="00365339" w:rsidRPr="00365339" w:rsidRDefault="00365339" w:rsidP="00365339">
      <w:pPr>
        <w:pStyle w:val="ListBullet"/>
      </w:pPr>
      <w:r w:rsidRPr="00365339">
        <w:t>Pooled analyses of efficacy, and an Integrated Summary of Safety.</w:t>
      </w:r>
    </w:p>
    <w:p w:rsidR="00365339" w:rsidRPr="00365339" w:rsidRDefault="00365339" w:rsidP="00365339">
      <w:pPr>
        <w:pStyle w:val="ListBullet"/>
      </w:pPr>
      <w:r w:rsidRPr="00365339">
        <w:t xml:space="preserve">The sponsors Clinical Overview, </w:t>
      </w:r>
      <w:r w:rsidR="00143C2B">
        <w:t xml:space="preserve">Summary of </w:t>
      </w:r>
      <w:proofErr w:type="spellStart"/>
      <w:r w:rsidR="00143C2B">
        <w:t>Biopharmaceutics</w:t>
      </w:r>
      <w:proofErr w:type="spellEnd"/>
      <w:r w:rsidRPr="00365339">
        <w:t>, Summary of Clinical Pharmacology, Summary of Clinical Efficacy, Summary of Clinical Safety and literature references.</w:t>
      </w:r>
    </w:p>
    <w:p w:rsidR="00605AD4" w:rsidRDefault="00605AD4" w:rsidP="002A624A">
      <w:pPr>
        <w:pStyle w:val="Heading4"/>
      </w:pPr>
      <w:r w:rsidRPr="00605AD4">
        <w:t>Paediatric data</w:t>
      </w:r>
    </w:p>
    <w:p w:rsidR="00365339" w:rsidRPr="00365339" w:rsidRDefault="00365339" w:rsidP="002A624A">
      <w:r w:rsidRPr="00365339">
        <w:t xml:space="preserve">Allergic rhinitis occurs commonly in children. Fluticasone propionate nasal spray (the S4 version of </w:t>
      </w:r>
      <w:proofErr w:type="spellStart"/>
      <w:r w:rsidRPr="00365339">
        <w:t>Flixonase</w:t>
      </w:r>
      <w:proofErr w:type="spellEnd"/>
      <w:r w:rsidRPr="00365339">
        <w:t xml:space="preserve">) is approved in Australia for use in children aged 4 years and over. </w:t>
      </w:r>
      <w:proofErr w:type="spellStart"/>
      <w:r w:rsidRPr="00365339">
        <w:t>Azelastine</w:t>
      </w:r>
      <w:proofErr w:type="spellEnd"/>
      <w:r w:rsidRPr="00365339">
        <w:t xml:space="preserve"> hydrochloride nasal spray (</w:t>
      </w:r>
      <w:proofErr w:type="spellStart"/>
      <w:r w:rsidRPr="00365339">
        <w:t>Azep</w:t>
      </w:r>
      <w:proofErr w:type="spellEnd"/>
      <w:r w:rsidRPr="00365339">
        <w:t xml:space="preserve">) is approved in Australia for use in </w:t>
      </w:r>
      <w:r w:rsidR="002A624A">
        <w:t>children aged 5 years and over.</w:t>
      </w:r>
    </w:p>
    <w:p w:rsidR="00365339" w:rsidRPr="00365339" w:rsidRDefault="00365339" w:rsidP="002A624A">
      <w:r w:rsidRPr="00365339">
        <w:t>The sponsor has not provided any clinical data on the use of the proposed fixed combination product in children under the age of 12 years and the proposed indication restricts use of the product to patients aged 12 years and over. No justification was provided for omitting children under the age of 12 from the dev</w:t>
      </w:r>
      <w:r w:rsidR="002A624A">
        <w:t>elopment program.</w:t>
      </w:r>
    </w:p>
    <w:p w:rsidR="00365339" w:rsidRPr="00365339" w:rsidRDefault="00365339" w:rsidP="002A624A">
      <w:r w:rsidRPr="00365339">
        <w:t xml:space="preserve">The </w:t>
      </w:r>
      <w:r w:rsidR="007B3DAC">
        <w:t>European Medicines Agency (</w:t>
      </w:r>
      <w:r w:rsidRPr="00365339">
        <w:t>EMA</w:t>
      </w:r>
      <w:r w:rsidR="007B3DAC">
        <w:t>)</w:t>
      </w:r>
      <w:r w:rsidRPr="00365339">
        <w:t xml:space="preserve"> granted a waiver for the development of the product in children aged between 2 and 11 years on the grounds that the product does not represent a significant therapeutic benefit over existing treatments</w:t>
      </w:r>
      <w:r w:rsidR="00FB1564">
        <w:t xml:space="preserve"> in this patient group</w:t>
      </w:r>
      <w:r w:rsidRPr="00365339">
        <w:t>.</w:t>
      </w:r>
      <w:r w:rsidRPr="00365339">
        <w:rPr>
          <w:vertAlign w:val="superscript"/>
        </w:rPr>
        <w:footnoteReference w:id="14"/>
      </w:r>
    </w:p>
    <w:p w:rsidR="00365339" w:rsidRPr="00365339" w:rsidRDefault="00365339" w:rsidP="00623691">
      <w:pPr>
        <w:ind w:left="709"/>
      </w:pPr>
      <w:r w:rsidRPr="002A624A">
        <w:rPr>
          <w:b/>
        </w:rPr>
        <w:t>Comment</w:t>
      </w:r>
      <w:r w:rsidRPr="00365339">
        <w:t>: This reviewer agrees with EMA’s assessment that this product does not represent a significant advance over available therapies (that is the two single agents administered separately). The lack of clinical data in subjects aged less than 12 years is not</w:t>
      </w:r>
      <w:r w:rsidR="002A624A">
        <w:t xml:space="preserve"> considered a major deficiency.</w:t>
      </w:r>
    </w:p>
    <w:p w:rsidR="00605AD4" w:rsidRDefault="00605AD4" w:rsidP="002A624A">
      <w:pPr>
        <w:pStyle w:val="Heading4"/>
      </w:pPr>
      <w:r w:rsidRPr="00605AD4">
        <w:t>Good clinical practice</w:t>
      </w:r>
    </w:p>
    <w:p w:rsidR="00365339" w:rsidRPr="00365339" w:rsidRDefault="00365339" w:rsidP="002A624A">
      <w:r w:rsidRPr="00365339">
        <w:t>For each clinical study included in the dossier the sponsor gave assurances that the study was conducted in accordance with the International Conference of Harmonisation (ICH) Harmonised Tripartite Guideline for Good Clinical Practice (GCP) and in accordance with the Declaration of Helsinki.</w:t>
      </w:r>
    </w:p>
    <w:p w:rsidR="008E7846" w:rsidRPr="00254787" w:rsidRDefault="008E7846" w:rsidP="002A624A">
      <w:pPr>
        <w:pStyle w:val="Heading3"/>
      </w:pPr>
      <w:bookmarkStart w:id="68" w:name="_Toc396826957"/>
      <w:r w:rsidRPr="00254787">
        <w:t>Pharmacokinetics</w:t>
      </w:r>
      <w:bookmarkEnd w:id="58"/>
      <w:bookmarkEnd w:id="65"/>
      <w:bookmarkEnd w:id="66"/>
      <w:bookmarkEnd w:id="67"/>
      <w:bookmarkEnd w:id="68"/>
    </w:p>
    <w:p w:rsidR="00605AD4" w:rsidRDefault="00605AD4" w:rsidP="002A624A">
      <w:pPr>
        <w:pStyle w:val="Heading4"/>
      </w:pPr>
      <w:r>
        <w:t>Studies</w:t>
      </w:r>
      <w:r w:rsidR="002A624A">
        <w:t xml:space="preserve"> providing pharmacokinetic data</w:t>
      </w:r>
    </w:p>
    <w:p w:rsidR="00365339" w:rsidRPr="00365339" w:rsidRDefault="00365339" w:rsidP="002A624A">
      <w:r w:rsidRPr="00365339">
        <w:t xml:space="preserve">The submission included two studies that examined the effect of the fixed combination nasal spray on the systemic PK of fluticasone and </w:t>
      </w:r>
      <w:proofErr w:type="spellStart"/>
      <w:r w:rsidRPr="00365339">
        <w:t>azelastine</w:t>
      </w:r>
      <w:proofErr w:type="spellEnd"/>
      <w:r w:rsidRPr="00365339">
        <w:t xml:space="preserve"> respectively. Table </w:t>
      </w:r>
      <w:r w:rsidR="0039401F">
        <w:t>3</w:t>
      </w:r>
      <w:r w:rsidRPr="00365339">
        <w:t xml:space="preserve"> shows the studies relating to each pharmacokinetic topic and the location of each study summary.</w:t>
      </w:r>
    </w:p>
    <w:p w:rsidR="00365339" w:rsidRPr="00365339" w:rsidRDefault="00365339" w:rsidP="002A624A">
      <w:pPr>
        <w:pStyle w:val="TableTitle"/>
      </w:pPr>
      <w:proofErr w:type="gramStart"/>
      <w:r w:rsidRPr="00365339">
        <w:lastRenderedPageBreak/>
        <w:t xml:space="preserve">Table </w:t>
      </w:r>
      <w:r w:rsidR="0039401F">
        <w:t>3</w:t>
      </w:r>
      <w:r w:rsidRPr="00365339">
        <w:t>.</w:t>
      </w:r>
      <w:proofErr w:type="gramEnd"/>
      <w:r w:rsidRPr="00365339">
        <w:t xml:space="preserve"> </w:t>
      </w:r>
      <w:proofErr w:type="gramStart"/>
      <w:r w:rsidRPr="00365339">
        <w:t>Submitted pharmacokinetic studies.</w:t>
      </w:r>
      <w:proofErr w:type="gramEnd"/>
    </w:p>
    <w:tbl>
      <w:tblPr>
        <w:tblStyle w:val="TableTGAblue"/>
        <w:tblW w:w="8222" w:type="dxa"/>
        <w:tblLayout w:type="fixed"/>
        <w:tblLook w:val="04A0" w:firstRow="1" w:lastRow="0" w:firstColumn="1" w:lastColumn="0" w:noHBand="0" w:noVBand="1"/>
      </w:tblPr>
      <w:tblGrid>
        <w:gridCol w:w="1701"/>
        <w:gridCol w:w="3544"/>
        <w:gridCol w:w="2126"/>
        <w:gridCol w:w="851"/>
      </w:tblGrid>
      <w:tr w:rsidR="00365339" w:rsidRPr="00365339" w:rsidTr="00C12CE5">
        <w:trPr>
          <w:cnfStyle w:val="100000000000" w:firstRow="1" w:lastRow="0" w:firstColumn="0" w:lastColumn="0" w:oddVBand="0" w:evenVBand="0" w:oddHBand="0" w:evenHBand="0" w:firstRowFirstColumn="0" w:firstRowLastColumn="0" w:lastRowFirstColumn="0" w:lastRowLastColumn="0"/>
        </w:trPr>
        <w:tc>
          <w:tcPr>
            <w:tcW w:w="1701" w:type="dxa"/>
          </w:tcPr>
          <w:p w:rsidR="00365339" w:rsidRPr="00365339" w:rsidRDefault="00365339" w:rsidP="00623691">
            <w:pPr>
              <w:jc w:val="both"/>
            </w:pPr>
            <w:r w:rsidRPr="00365339">
              <w:t>PK topic</w:t>
            </w:r>
          </w:p>
        </w:tc>
        <w:tc>
          <w:tcPr>
            <w:tcW w:w="3544" w:type="dxa"/>
          </w:tcPr>
          <w:p w:rsidR="00365339" w:rsidRPr="00365339" w:rsidRDefault="00365339" w:rsidP="00623691">
            <w:pPr>
              <w:jc w:val="both"/>
            </w:pPr>
            <w:r w:rsidRPr="00365339">
              <w:t>Subtopic</w:t>
            </w:r>
          </w:p>
        </w:tc>
        <w:tc>
          <w:tcPr>
            <w:tcW w:w="2126" w:type="dxa"/>
          </w:tcPr>
          <w:p w:rsidR="00365339" w:rsidRPr="00365339" w:rsidRDefault="00365339" w:rsidP="00623691">
            <w:pPr>
              <w:jc w:val="both"/>
            </w:pPr>
            <w:r w:rsidRPr="00365339">
              <w:t>Study ID</w:t>
            </w:r>
          </w:p>
        </w:tc>
        <w:tc>
          <w:tcPr>
            <w:tcW w:w="851" w:type="dxa"/>
          </w:tcPr>
          <w:p w:rsidR="00365339" w:rsidRPr="00365339" w:rsidRDefault="00365339" w:rsidP="00623691">
            <w:pPr>
              <w:jc w:val="both"/>
            </w:pPr>
            <w:r w:rsidRPr="00365339">
              <w:t>*</w:t>
            </w:r>
          </w:p>
        </w:tc>
      </w:tr>
      <w:tr w:rsidR="00365339" w:rsidRPr="00365339" w:rsidTr="00C12CE5">
        <w:trPr>
          <w:trHeight w:val="444"/>
        </w:trPr>
        <w:tc>
          <w:tcPr>
            <w:tcW w:w="1701" w:type="dxa"/>
            <w:vMerge w:val="restart"/>
          </w:tcPr>
          <w:p w:rsidR="00365339" w:rsidRPr="00365339" w:rsidRDefault="00365339" w:rsidP="00C12CE5">
            <w:r w:rsidRPr="00365339">
              <w:t>PK interactions</w:t>
            </w:r>
          </w:p>
        </w:tc>
        <w:tc>
          <w:tcPr>
            <w:tcW w:w="3544" w:type="dxa"/>
          </w:tcPr>
          <w:p w:rsidR="00365339" w:rsidRPr="00365339" w:rsidRDefault="00365339" w:rsidP="00C12CE5">
            <w:r w:rsidRPr="00365339">
              <w:t xml:space="preserve">Effects of </w:t>
            </w:r>
            <w:proofErr w:type="spellStart"/>
            <w:r w:rsidRPr="00365339">
              <w:t>azelastine</w:t>
            </w:r>
            <w:proofErr w:type="spellEnd"/>
            <w:r w:rsidRPr="00365339">
              <w:t xml:space="preserve"> on systemic fluticasone PK</w:t>
            </w:r>
          </w:p>
        </w:tc>
        <w:tc>
          <w:tcPr>
            <w:tcW w:w="2126" w:type="dxa"/>
          </w:tcPr>
          <w:p w:rsidR="00365339" w:rsidRPr="00365339" w:rsidRDefault="00365339" w:rsidP="00C12CE5">
            <w:r w:rsidRPr="00365339">
              <w:t>3282</w:t>
            </w:r>
          </w:p>
        </w:tc>
        <w:tc>
          <w:tcPr>
            <w:tcW w:w="851" w:type="dxa"/>
          </w:tcPr>
          <w:p w:rsidR="00365339" w:rsidRPr="00365339" w:rsidRDefault="00365339" w:rsidP="00C12CE5">
            <w:r w:rsidRPr="00365339">
              <w:t>*</w:t>
            </w:r>
          </w:p>
        </w:tc>
      </w:tr>
      <w:tr w:rsidR="00365339" w:rsidRPr="00365339" w:rsidTr="00C12CE5">
        <w:tc>
          <w:tcPr>
            <w:tcW w:w="1701" w:type="dxa"/>
            <w:vMerge/>
          </w:tcPr>
          <w:p w:rsidR="00365339" w:rsidRPr="00365339" w:rsidRDefault="00365339" w:rsidP="00C12CE5"/>
        </w:tc>
        <w:tc>
          <w:tcPr>
            <w:tcW w:w="3544" w:type="dxa"/>
          </w:tcPr>
          <w:p w:rsidR="00365339" w:rsidRPr="00365339" w:rsidRDefault="00365339" w:rsidP="00C12CE5">
            <w:r w:rsidRPr="00365339">
              <w:t xml:space="preserve">Effects of fluticasone on systemic </w:t>
            </w:r>
            <w:proofErr w:type="spellStart"/>
            <w:r w:rsidRPr="00365339">
              <w:t>azelastine</w:t>
            </w:r>
            <w:proofErr w:type="spellEnd"/>
            <w:r w:rsidRPr="00365339">
              <w:t xml:space="preserve"> PK</w:t>
            </w:r>
          </w:p>
        </w:tc>
        <w:tc>
          <w:tcPr>
            <w:tcW w:w="2126" w:type="dxa"/>
          </w:tcPr>
          <w:p w:rsidR="00365339" w:rsidRPr="00365339" w:rsidRDefault="00365339" w:rsidP="00C12CE5">
            <w:r w:rsidRPr="00365339">
              <w:t>3283</w:t>
            </w:r>
          </w:p>
        </w:tc>
        <w:tc>
          <w:tcPr>
            <w:tcW w:w="851" w:type="dxa"/>
          </w:tcPr>
          <w:p w:rsidR="00365339" w:rsidRPr="00365339" w:rsidRDefault="00365339" w:rsidP="00C12CE5">
            <w:r w:rsidRPr="00365339">
              <w:t>*</w:t>
            </w:r>
          </w:p>
        </w:tc>
      </w:tr>
    </w:tbl>
    <w:p w:rsidR="00365339" w:rsidRPr="00365339" w:rsidRDefault="00365339" w:rsidP="00C12CE5">
      <w:pPr>
        <w:pStyle w:val="TableDescription"/>
      </w:pPr>
      <w:r w:rsidRPr="00365339">
        <w:t>* Indicates the primary aim of the study.</w:t>
      </w:r>
    </w:p>
    <w:p w:rsidR="00365339" w:rsidRPr="00365339" w:rsidRDefault="00365339" w:rsidP="00C12CE5">
      <w:r w:rsidRPr="00365339">
        <w:t>None of the pharmacokinetic studies had deficiencies that excluded their results from consideration.</w:t>
      </w:r>
    </w:p>
    <w:p w:rsidR="00605AD4" w:rsidRDefault="00605AD4" w:rsidP="00C12CE5">
      <w:pPr>
        <w:pStyle w:val="Heading4"/>
      </w:pPr>
      <w:r>
        <w:t>Evaluator’s conclusions on pharmacokinetics</w:t>
      </w:r>
    </w:p>
    <w:p w:rsidR="00365339" w:rsidRDefault="00365339" w:rsidP="00C12CE5">
      <w:r w:rsidRPr="00365339">
        <w:t xml:space="preserve">The monotherapy product used in this study </w:t>
      </w:r>
      <w:r>
        <w:t xml:space="preserve">(3282) </w:t>
      </w:r>
      <w:r w:rsidRPr="00365339">
        <w:t xml:space="preserve">that is commercially available in the USA is not registered in Australia. It is therefore not clear how the systemic absorption of fluticasone produced by the fixed combination compares to that produced by the </w:t>
      </w:r>
      <w:proofErr w:type="spellStart"/>
      <w:r w:rsidRPr="00365339">
        <w:t>Flixonase</w:t>
      </w:r>
      <w:proofErr w:type="spellEnd"/>
      <w:r w:rsidRPr="00365339">
        <w:t xml:space="preserve"> formulations registered in Australia. The sponsor has conducted an in vitro comparison of physicochemical characteristics of the </w:t>
      </w:r>
      <w:proofErr w:type="spellStart"/>
      <w:r w:rsidRPr="00365339">
        <w:t>Roxane</w:t>
      </w:r>
      <w:proofErr w:type="spellEnd"/>
      <w:r w:rsidRPr="00365339">
        <w:t xml:space="preserve"> and </w:t>
      </w:r>
      <w:proofErr w:type="spellStart"/>
      <w:r w:rsidRPr="00365339">
        <w:t>Flixonase</w:t>
      </w:r>
      <w:proofErr w:type="spellEnd"/>
      <w:r w:rsidRPr="00365339">
        <w:t xml:space="preserve"> products. This study found that the two products were very comparable. The validity of this conclusion would need to be assessed by a pharmaceutical chemistry evaluator.</w:t>
      </w:r>
    </w:p>
    <w:p w:rsidR="00365339" w:rsidRDefault="00365339" w:rsidP="00C12CE5">
      <w:r>
        <w:t xml:space="preserve">The </w:t>
      </w:r>
      <w:proofErr w:type="spellStart"/>
      <w:r>
        <w:t>azelastine</w:t>
      </w:r>
      <w:proofErr w:type="spellEnd"/>
      <w:r>
        <w:t xml:space="preserve"> monotherapy product used in Study 3283 (“</w:t>
      </w:r>
      <w:proofErr w:type="spellStart"/>
      <w:r>
        <w:t>Astelin</w:t>
      </w:r>
      <w:proofErr w:type="spellEnd"/>
      <w:r>
        <w:t xml:space="preserve">”) is not identical to the </w:t>
      </w:r>
      <w:proofErr w:type="spellStart"/>
      <w:r>
        <w:t>azelastine</w:t>
      </w:r>
      <w:proofErr w:type="spellEnd"/>
      <w:r>
        <w:t xml:space="preserve"> monotherapy product marketed in Australia (“</w:t>
      </w:r>
      <w:proofErr w:type="spellStart"/>
      <w:r>
        <w:t>Azep</w:t>
      </w:r>
      <w:proofErr w:type="spellEnd"/>
      <w:r>
        <w:t xml:space="preserve">”). The main difference is that the USA product contains </w:t>
      </w:r>
      <w:proofErr w:type="spellStart"/>
      <w:r>
        <w:t>benzalkonium</w:t>
      </w:r>
      <w:proofErr w:type="spellEnd"/>
      <w:r>
        <w:t xml:space="preserve"> chloride (BAC). The Australian product is identical to the product in Europe which is marketed und</w:t>
      </w:r>
      <w:r w:rsidR="00C12CE5">
        <w:t>er the trade name “</w:t>
      </w:r>
      <w:proofErr w:type="spellStart"/>
      <w:r w:rsidR="00C12CE5">
        <w:t>Allergodil</w:t>
      </w:r>
      <w:proofErr w:type="spellEnd"/>
      <w:r w:rsidR="00C12CE5">
        <w:t>”.</w:t>
      </w:r>
    </w:p>
    <w:p w:rsidR="00365339" w:rsidRDefault="00365339" w:rsidP="00C12CE5">
      <w:r>
        <w:t>The sponsor has conducted an in vitro comparison of physicochemical characteristics of the USA and European/Australian products. This study found that the two products were very comparable. The validity of this conclusion would need to be assessed by a pharmaceutical ch</w:t>
      </w:r>
      <w:r w:rsidR="00C12CE5">
        <w:t>emistry evaluator.</w:t>
      </w:r>
    </w:p>
    <w:p w:rsidR="00365339" w:rsidRPr="00365339" w:rsidRDefault="00365339" w:rsidP="00C12CE5">
      <w:r>
        <w:t>The sponsor states that the BAC-containing formulation was marketed in Europe until the late 1990’s, when it was changed to the BAC-free formulation. It is noted that on the ARTG, the Australian product (</w:t>
      </w:r>
      <w:proofErr w:type="spellStart"/>
      <w:r>
        <w:t>Aust</w:t>
      </w:r>
      <w:proofErr w:type="spellEnd"/>
      <w:r>
        <w:t xml:space="preserve"> R 104853) is described as a ‘reformulation’. If the BAC-containing formulation was also the original formulation approved in Australia, then the TGA would have concluded that it has an acceptable systemic safety profile, and hence its use as a comparator in Study 3283 is acceptable. The sponsor should be asked to comment on this issue.</w:t>
      </w:r>
    </w:p>
    <w:p w:rsidR="008E7846" w:rsidRDefault="008E7846" w:rsidP="00C12CE5">
      <w:pPr>
        <w:pStyle w:val="Heading3"/>
      </w:pPr>
      <w:bookmarkStart w:id="69" w:name="_Toc196046481"/>
      <w:bookmarkStart w:id="70" w:name="_Toc247691520"/>
      <w:bookmarkStart w:id="71" w:name="_Toc314842503"/>
      <w:bookmarkStart w:id="72" w:name="_Toc396826958"/>
      <w:r w:rsidRPr="00254787">
        <w:t>Pharmacodynamics</w:t>
      </w:r>
      <w:bookmarkEnd w:id="59"/>
      <w:bookmarkEnd w:id="69"/>
      <w:bookmarkEnd w:id="70"/>
      <w:bookmarkEnd w:id="71"/>
      <w:bookmarkEnd w:id="72"/>
    </w:p>
    <w:p w:rsidR="00365339" w:rsidRPr="00365339" w:rsidRDefault="00365339" w:rsidP="00C12CE5">
      <w:r w:rsidRPr="00365339">
        <w:t xml:space="preserve">No new clinical </w:t>
      </w:r>
      <w:proofErr w:type="spellStart"/>
      <w:r w:rsidRPr="00365339">
        <w:t>pharmacodynamic</w:t>
      </w:r>
      <w:proofErr w:type="spellEnd"/>
      <w:r w:rsidRPr="00365339">
        <w:t xml:space="preserve"> data were included in the submission.</w:t>
      </w:r>
    </w:p>
    <w:p w:rsidR="008E7846" w:rsidRDefault="00605AD4" w:rsidP="00C12CE5">
      <w:pPr>
        <w:pStyle w:val="Heading3"/>
      </w:pPr>
      <w:bookmarkStart w:id="73" w:name="_Toc396826959"/>
      <w:r>
        <w:t>Dosage selection for the pivotal studies</w:t>
      </w:r>
      <w:bookmarkEnd w:id="73"/>
    </w:p>
    <w:p w:rsidR="00365339" w:rsidRDefault="00365339" w:rsidP="00C12CE5">
      <w:r>
        <w:t>No dose-ranging studies were conducted for the product. The dosage of the fixed combination product used in the submitted studies, and proposed for registration, is consistent with the recommended dosages of the approved monotherapy products.</w:t>
      </w:r>
    </w:p>
    <w:p w:rsidR="00365339" w:rsidRPr="00365339" w:rsidRDefault="00365339" w:rsidP="00C12CE5">
      <w:pPr>
        <w:ind w:left="720"/>
      </w:pPr>
      <w:r w:rsidRPr="00C12CE5">
        <w:rPr>
          <w:b/>
        </w:rPr>
        <w:t>Comment</w:t>
      </w:r>
      <w:r>
        <w:t xml:space="preserve">: The fluticasone dosage regimen proposed for the fixed combination product is 100 mcg twice daily. The recommended dosage for the </w:t>
      </w:r>
      <w:proofErr w:type="spellStart"/>
      <w:r>
        <w:t>Flixonase</w:t>
      </w:r>
      <w:proofErr w:type="spellEnd"/>
      <w:r>
        <w:t xml:space="preserve"> </w:t>
      </w:r>
      <w:r>
        <w:lastRenderedPageBreak/>
        <w:t>products registered in Australia is 200 mcg once daily. The sponsor has provided two review articles</w:t>
      </w:r>
      <w:r>
        <w:rPr>
          <w:rStyle w:val="FootnoteReference"/>
        </w:rPr>
        <w:footnoteReference w:id="15"/>
      </w:r>
      <w:r>
        <w:t xml:space="preserve"> which included summaries of the published literature on 200 mcg once daily versus 100 mcg twice daily dosing of fluticasone propionate nasal spray. All studies found comparable efficacy between the two regimens. The product information for the S4 version of </w:t>
      </w:r>
      <w:proofErr w:type="spellStart"/>
      <w:r>
        <w:t>Flixonase</w:t>
      </w:r>
      <w:proofErr w:type="spellEnd"/>
      <w:r>
        <w:t xml:space="preserve"> also allows twice daily dosing if the daily dose needs to be increased to 400 mcg per day. The twice-daily dosing regimen for fluticasone propionate is therefore considered acceptable.</w:t>
      </w:r>
    </w:p>
    <w:p w:rsidR="008E7846" w:rsidRPr="00254787" w:rsidRDefault="008E7846" w:rsidP="00C12CE5">
      <w:pPr>
        <w:pStyle w:val="Heading3"/>
      </w:pPr>
      <w:bookmarkStart w:id="74" w:name="_Toc163441372"/>
      <w:bookmarkStart w:id="75" w:name="_Toc196046485"/>
      <w:bookmarkStart w:id="76" w:name="_Toc247691521"/>
      <w:bookmarkStart w:id="77" w:name="_Toc314842504"/>
      <w:bookmarkStart w:id="78" w:name="_Toc396826960"/>
      <w:r w:rsidRPr="00254787">
        <w:t>Efficacy</w:t>
      </w:r>
      <w:bookmarkEnd w:id="74"/>
      <w:bookmarkEnd w:id="75"/>
      <w:bookmarkEnd w:id="76"/>
      <w:bookmarkEnd w:id="77"/>
      <w:bookmarkEnd w:id="78"/>
    </w:p>
    <w:p w:rsidR="00605AD4" w:rsidRDefault="00605AD4" w:rsidP="00C12CE5">
      <w:pPr>
        <w:pStyle w:val="Heading4"/>
      </w:pPr>
      <w:bookmarkStart w:id="79" w:name="_Toc184439992"/>
      <w:bookmarkStart w:id="80" w:name="_Toc184440279"/>
      <w:bookmarkStart w:id="81" w:name="_Toc184444657"/>
      <w:bookmarkStart w:id="82" w:name="_Toc196046487"/>
      <w:r>
        <w:t>Studies providing efficacy data</w:t>
      </w:r>
    </w:p>
    <w:p w:rsidR="00365339" w:rsidRDefault="00365339" w:rsidP="00C12CE5">
      <w:pPr>
        <w:pStyle w:val="Heading5"/>
      </w:pPr>
      <w:r>
        <w:t>Pivotal efficacy studies</w:t>
      </w:r>
    </w:p>
    <w:p w:rsidR="00365339" w:rsidRDefault="00365339" w:rsidP="00C12CE5">
      <w:r>
        <w:t xml:space="preserve">Study MP4001 </w:t>
      </w:r>
      <w:r w:rsidRPr="00365339">
        <w:t>was a randomised, double blind, placebo-controlled trial with four parallel groups, conducted in patients with seasonal allergic rhinitis (SAR). All subjects received placebo during a 1 week run-in period (Day -7 to Day 1). On Day 1 they were randomised to one of the four treatments, and these were continued for a 14-day treatment period.</w:t>
      </w:r>
    </w:p>
    <w:p w:rsidR="00365339" w:rsidRPr="00365339" w:rsidRDefault="00365339" w:rsidP="00C12CE5">
      <w:r w:rsidRPr="00365339">
        <w:t>The submission included three other Phase III randomised controlled trials (MP4002, MP4004 and MP4006) which were very similar in design and conduct to the pivotal study. Each was a randomised, double blind, placebo-controlled study with four parallel groups. The four treatment groups in each study were:</w:t>
      </w:r>
    </w:p>
    <w:p w:rsidR="00365339" w:rsidRPr="00365339" w:rsidRDefault="00365339" w:rsidP="00365339">
      <w:pPr>
        <w:pStyle w:val="ListBullet"/>
      </w:pPr>
      <w:r w:rsidRPr="00365339">
        <w:t xml:space="preserve">The proposed fixed combination of fluticasone propionate (50 mcg per actuation) and </w:t>
      </w:r>
      <w:proofErr w:type="spellStart"/>
      <w:r w:rsidRPr="00365339">
        <w:t>azelastine</w:t>
      </w:r>
      <w:proofErr w:type="spellEnd"/>
      <w:r w:rsidRPr="00365339">
        <w:t xml:space="preserve"> hydrochloride (137</w:t>
      </w:r>
      <w:r w:rsidR="00C35101">
        <w:rPr>
          <w:rStyle w:val="FootnoteReference"/>
        </w:rPr>
        <w:footnoteReference w:id="16"/>
      </w:r>
      <w:r w:rsidRPr="00365339">
        <w:t xml:space="preserve"> mcg per actuation) nasal spray – one sp</w:t>
      </w:r>
      <w:r w:rsidR="00C12CE5">
        <w:t>ray in each nostril twice daily</w:t>
      </w:r>
    </w:p>
    <w:p w:rsidR="00365339" w:rsidRPr="00365339" w:rsidRDefault="00365339" w:rsidP="00365339">
      <w:pPr>
        <w:pStyle w:val="ListBullet"/>
      </w:pPr>
      <w:r w:rsidRPr="00365339">
        <w:t>Fluticasone propionate (50 mcg per actuation) nasal spray (formulated in the same vehicle as the combination product) - one sp</w:t>
      </w:r>
      <w:r w:rsidR="00C12CE5">
        <w:t>ray in each nostril twice daily</w:t>
      </w:r>
    </w:p>
    <w:p w:rsidR="00365339" w:rsidRPr="00365339" w:rsidRDefault="00365339" w:rsidP="00365339">
      <w:pPr>
        <w:pStyle w:val="ListBullet"/>
      </w:pPr>
      <w:proofErr w:type="spellStart"/>
      <w:r w:rsidRPr="00365339">
        <w:t>Azelastine</w:t>
      </w:r>
      <w:proofErr w:type="spellEnd"/>
      <w:r w:rsidRPr="00365339">
        <w:t xml:space="preserve"> hydrochloride (137 mcg</w:t>
      </w:r>
      <w:r w:rsidR="00C35101" w:rsidRPr="00C35101">
        <w:rPr>
          <w:vertAlign w:val="superscript"/>
        </w:rPr>
        <w:t>15</w:t>
      </w:r>
      <w:r w:rsidRPr="00365339">
        <w:t xml:space="preserve"> per actuation) nasal spray (formulated in the same vehicle as the combination product) – one sp</w:t>
      </w:r>
      <w:r w:rsidR="00C12CE5">
        <w:t>ray in each nostril twice daily</w:t>
      </w:r>
    </w:p>
    <w:p w:rsidR="00365339" w:rsidRPr="00365339" w:rsidRDefault="00365339" w:rsidP="00365339">
      <w:pPr>
        <w:pStyle w:val="ListBullet"/>
      </w:pPr>
      <w:r w:rsidRPr="00365339">
        <w:t>Placebo spray - one spray in each nostril twice daily.</w:t>
      </w:r>
    </w:p>
    <w:p w:rsidR="00365339" w:rsidRDefault="00365339" w:rsidP="00C12CE5">
      <w:r w:rsidRPr="00365339">
        <w:t>The placebo spray was the vehicle used for the fixed combination but without the active ingredients.</w:t>
      </w:r>
    </w:p>
    <w:p w:rsidR="00365339" w:rsidRDefault="00365339" w:rsidP="00C12CE5">
      <w:r w:rsidRPr="00365339">
        <w:t xml:space="preserve">The submission included a pooled analysis of the above four trials, as well as a pooled analysis of the three trials (MP4002, MP4004 and MP4006) that used the ‘in-house” versions of </w:t>
      </w:r>
      <w:proofErr w:type="spellStart"/>
      <w:r w:rsidRPr="00365339">
        <w:t>azelastine</w:t>
      </w:r>
      <w:proofErr w:type="spellEnd"/>
      <w:r w:rsidRPr="00365339">
        <w:t xml:space="preserve"> and fluticasone sprays.</w:t>
      </w:r>
    </w:p>
    <w:p w:rsidR="00365339" w:rsidRPr="00365339" w:rsidRDefault="00365339" w:rsidP="00C12CE5">
      <w:r>
        <w:t>These studies are discussed in the Clinical Evaluation Report (CER) extract (Attachment 2)</w:t>
      </w:r>
    </w:p>
    <w:p w:rsidR="008E7846" w:rsidRDefault="00605AD4" w:rsidP="00C12CE5">
      <w:pPr>
        <w:pStyle w:val="Heading4"/>
      </w:pPr>
      <w:r>
        <w:t>Evaluator’s conclusions on efficacy</w:t>
      </w:r>
    </w:p>
    <w:p w:rsidR="00365339" w:rsidRPr="00365339" w:rsidRDefault="00365339" w:rsidP="00C12CE5">
      <w:pPr>
        <w:pStyle w:val="Heading5"/>
      </w:pPr>
      <w:r w:rsidRPr="00365339">
        <w:t>Nasal symptoms</w:t>
      </w:r>
    </w:p>
    <w:p w:rsidR="00365339" w:rsidRPr="00365339" w:rsidRDefault="00365339" w:rsidP="00C12CE5">
      <w:r w:rsidRPr="00365339">
        <w:t xml:space="preserve">The pivotal study demonstrated that the combination product is significantly superior to both </w:t>
      </w:r>
      <w:proofErr w:type="spellStart"/>
      <w:r w:rsidRPr="00365339">
        <w:t>azelastineand</w:t>
      </w:r>
      <w:proofErr w:type="spellEnd"/>
      <w:r w:rsidRPr="00365339">
        <w:t xml:space="preserve"> fluticasone (200 mcg per day) nasal sprays, as assessed by nasal </w:t>
      </w:r>
      <w:r w:rsidRPr="00365339">
        <w:lastRenderedPageBreak/>
        <w:t>symptom scores. The improvement in symptoms with the combination, compared to that seen with the monotherapi</w:t>
      </w:r>
      <w:r w:rsidR="00C12CE5">
        <w:t>es, was clinically significant.</w:t>
      </w:r>
    </w:p>
    <w:p w:rsidR="00365339" w:rsidRPr="00365339" w:rsidRDefault="00365339" w:rsidP="00C12CE5">
      <w:r w:rsidRPr="00365339">
        <w:t>The 3 supportive studies also demonstrated superior efficacy for the combination over the active comparators on the primary endpoint of r</w:t>
      </w:r>
      <w:r w:rsidR="007B3DAC">
        <w:t>eflective total nasal symptom score (</w:t>
      </w:r>
      <w:proofErr w:type="spellStart"/>
      <w:r w:rsidR="007B3DAC">
        <w:t>r</w:t>
      </w:r>
      <w:r w:rsidRPr="00365339">
        <w:t>TNSS</w:t>
      </w:r>
      <w:proofErr w:type="spellEnd"/>
      <w:r w:rsidR="007B3DAC">
        <w:t>)</w:t>
      </w:r>
      <w:r w:rsidRPr="00365339">
        <w:t>. However, on many of the secondary endpoints, the combination was not superior to fluticasone alone.</w:t>
      </w:r>
    </w:p>
    <w:p w:rsidR="00365339" w:rsidRPr="00365339" w:rsidRDefault="00365339" w:rsidP="00C12CE5">
      <w:r w:rsidRPr="00365339">
        <w:t>A pooled analysis demonstrated superiority of the combination over all three comparators on all endpoints.</w:t>
      </w:r>
    </w:p>
    <w:p w:rsidR="00365339" w:rsidRPr="00365339" w:rsidRDefault="00365339" w:rsidP="00C12CE5">
      <w:r w:rsidRPr="00365339">
        <w:t>Onset of action occurred 30 to 4</w:t>
      </w:r>
      <w:r w:rsidR="00C12CE5">
        <w:t>5 minutes after initial dosing.</w:t>
      </w:r>
    </w:p>
    <w:p w:rsidR="00365339" w:rsidRPr="00365339" w:rsidRDefault="00365339" w:rsidP="00C12CE5">
      <w:r w:rsidRPr="00365339">
        <w:t>The submitted studies did not address the question of whether use of a higher dose (400 mcg per day) of fluticasone alone would be more effective than the combination.</w:t>
      </w:r>
    </w:p>
    <w:p w:rsidR="00365339" w:rsidRPr="00365339" w:rsidRDefault="00365339" w:rsidP="00C12CE5">
      <w:pPr>
        <w:pStyle w:val="Heading5"/>
      </w:pPr>
      <w:r w:rsidRPr="00365339">
        <w:t>Ocular symptoms</w:t>
      </w:r>
    </w:p>
    <w:p w:rsidR="00365339" w:rsidRPr="00365339" w:rsidRDefault="00365339" w:rsidP="00C12CE5">
      <w:r w:rsidRPr="00365339">
        <w:t xml:space="preserve">In the pivotal study, the combination product was consistently superior to placebo. On most of the ocular endpoints, the combination was also superior to fluticasone. However the overall data suggest that the combination is no better than </w:t>
      </w:r>
      <w:proofErr w:type="spellStart"/>
      <w:r w:rsidRPr="00365339">
        <w:t>azelastine</w:t>
      </w:r>
      <w:proofErr w:type="spellEnd"/>
      <w:r w:rsidRPr="00365339">
        <w:t xml:space="preserve"> nasal spray in terms of </w:t>
      </w:r>
      <w:r w:rsidR="00C12CE5">
        <w:t>improvement in ocular symptoms.</w:t>
      </w:r>
    </w:p>
    <w:p w:rsidR="00365339" w:rsidRPr="00365339" w:rsidRDefault="00365339" w:rsidP="00C12CE5">
      <w:r w:rsidRPr="00365339">
        <w:t>A similar pattern of results was observed in the 3 supportive studies and the pooled analysis.</w:t>
      </w:r>
    </w:p>
    <w:p w:rsidR="00365339" w:rsidRPr="00365339" w:rsidRDefault="00365339" w:rsidP="00C12CE5">
      <w:pPr>
        <w:pStyle w:val="Heading5"/>
      </w:pPr>
      <w:r w:rsidRPr="00365339">
        <w:t>Postnasal drip</w:t>
      </w:r>
    </w:p>
    <w:p w:rsidR="00365339" w:rsidRPr="00365339" w:rsidRDefault="00365339" w:rsidP="00C12CE5">
      <w:r w:rsidRPr="00365339">
        <w:t>The pivotal study demonstrated that the combination is no better than fluticasone nasal spray in relieving postnasal drip in subjects with allergic rhinitis. Similar results were obtained in the 3 supportive studies. In the pooled analysis the combination was superior to all three comparators.</w:t>
      </w:r>
    </w:p>
    <w:p w:rsidR="00365339" w:rsidRPr="00365339" w:rsidRDefault="00365339" w:rsidP="00C12CE5">
      <w:pPr>
        <w:pStyle w:val="Heading5"/>
      </w:pPr>
      <w:r w:rsidRPr="00365339">
        <w:t xml:space="preserve">Quality of </w:t>
      </w:r>
      <w:r w:rsidR="00C12CE5">
        <w:t>l</w:t>
      </w:r>
      <w:r w:rsidRPr="00365339">
        <w:t>ife</w:t>
      </w:r>
    </w:p>
    <w:p w:rsidR="00365339" w:rsidRPr="00365339" w:rsidRDefault="00365339" w:rsidP="00C12CE5">
      <w:r w:rsidRPr="00365339">
        <w:t>The pivotal and supportive studies and the pooled analysis demonstrated that the combination provides no clinically meaningful benefit over the individual components in terms of improvement in quality of life.</w:t>
      </w:r>
    </w:p>
    <w:p w:rsidR="00365339" w:rsidRPr="00365339" w:rsidRDefault="00365339" w:rsidP="00C12CE5">
      <w:pPr>
        <w:ind w:left="720"/>
      </w:pPr>
      <w:r w:rsidRPr="00C12CE5">
        <w:rPr>
          <w:b/>
        </w:rPr>
        <w:t>Comment</w:t>
      </w:r>
      <w:r w:rsidRPr="00365339">
        <w:t xml:space="preserve">: The submitted studies have complied with the requirements of the EMA Guidelines on allergic </w:t>
      </w:r>
      <w:proofErr w:type="spellStart"/>
      <w:r w:rsidRPr="00365339">
        <w:t>rhinoconjunctivitis</w:t>
      </w:r>
      <w:proofErr w:type="spellEnd"/>
      <w:r w:rsidRPr="00365339">
        <w:t xml:space="preserve"> and those on fixed combination products. The studies were adequately designed and executed. More robust evidence of efficacy would have been obtained if all the studies had used marketed m</w:t>
      </w:r>
      <w:r w:rsidR="00C12CE5">
        <w:t>onotherapy comparator products.</w:t>
      </w:r>
    </w:p>
    <w:p w:rsidR="00365339" w:rsidRPr="00365339" w:rsidRDefault="00365339" w:rsidP="00C12CE5">
      <w:r w:rsidRPr="00365339">
        <w:t xml:space="preserve">The EMA guidelines on fixed combination products require that each substance in </w:t>
      </w:r>
      <w:r w:rsidR="00143C2B">
        <w:t xml:space="preserve">the </w:t>
      </w:r>
      <w:r w:rsidRPr="00365339">
        <w:t xml:space="preserve">fixed combination must have a “documented therapeutic contribution” to the combination. This has been adequately demonstrated for nasal symptom scores, where the combination was consistently superior to the monotherapy products. However, for ocular symptoms the combination was not superior to </w:t>
      </w:r>
      <w:proofErr w:type="spellStart"/>
      <w:r w:rsidRPr="00365339">
        <w:t>azelastine</w:t>
      </w:r>
      <w:proofErr w:type="spellEnd"/>
      <w:r w:rsidRPr="00365339">
        <w:t xml:space="preserve"> alone. The sponsor is seeking approval for an indication that includes “allergic rhino-conjunctivitis” and it could be argued that the indication should be restricted to allergic rhinitis. However, the </w:t>
      </w:r>
      <w:proofErr w:type="spellStart"/>
      <w:r w:rsidRPr="00365339">
        <w:t>azelastine</w:t>
      </w:r>
      <w:proofErr w:type="spellEnd"/>
      <w:r w:rsidRPr="00365339">
        <w:t xml:space="preserve"> and fluticasone products in Australia are not approved for the treatment of conjunctival symptoms. It would therefore not be reasonable to insist that the combination demonstrate superiority over them. As the combination was consistently superior to placebo for ocular symptoms, an indication using the term “allergic </w:t>
      </w:r>
      <w:proofErr w:type="spellStart"/>
      <w:r w:rsidRPr="00365339">
        <w:t>rhinoconjunctiv</w:t>
      </w:r>
      <w:r w:rsidR="00C12CE5">
        <w:t>itis</w:t>
      </w:r>
      <w:proofErr w:type="spellEnd"/>
      <w:r w:rsidR="00C12CE5">
        <w:t>” is considered acceptable.</w:t>
      </w:r>
    </w:p>
    <w:p w:rsidR="00365339" w:rsidRPr="00365339" w:rsidRDefault="00365339" w:rsidP="00C12CE5">
      <w:r w:rsidRPr="00365339">
        <w:t xml:space="preserve">All four efficacy studies were conducted in patients with SAR and were only two weeks in duration. It is noted that the indication approved by the </w:t>
      </w:r>
      <w:r w:rsidR="007B3DAC">
        <w:t>Food and Drug Administration (</w:t>
      </w:r>
      <w:r w:rsidRPr="00365339">
        <w:t>FDA</w:t>
      </w:r>
      <w:r w:rsidR="007B3DAC">
        <w:t>)</w:t>
      </w:r>
      <w:r w:rsidRPr="00365339">
        <w:t xml:space="preserve"> is restricted to SAR. The indication proposed by the sponsor for Australia is not restricted to SAR and no limit on duration of use is proposed. The EMA guideline on allergic rhinitis products state</w:t>
      </w:r>
      <w:r w:rsidR="00855377">
        <w:t>s</w:t>
      </w:r>
      <w:r w:rsidR="00C12CE5">
        <w:t xml:space="preserve"> the following:</w:t>
      </w:r>
    </w:p>
    <w:p w:rsidR="00365339" w:rsidRPr="00C12CE5" w:rsidRDefault="00365339" w:rsidP="00C12CE5">
      <w:pPr>
        <w:ind w:left="720"/>
        <w:rPr>
          <w:i/>
        </w:rPr>
      </w:pPr>
      <w:r w:rsidRPr="00C12CE5">
        <w:rPr>
          <w:i/>
        </w:rPr>
        <w:lastRenderedPageBreak/>
        <w:t>‘</w:t>
      </w:r>
      <w:proofErr w:type="spellStart"/>
      <w:r w:rsidRPr="00C12CE5">
        <w:rPr>
          <w:i/>
        </w:rPr>
        <w:t>Pharmacodynamically</w:t>
      </w:r>
      <w:proofErr w:type="spellEnd"/>
      <w:r w:rsidRPr="00C12CE5">
        <w:rPr>
          <w:i/>
        </w:rPr>
        <w:t xml:space="preserve"> SAR and PAR are considered comparable. For approval of the SAR/PAR indication for a new product at least two adequate and well controlled phase 3 clinical trials preferably one each in SAR and PAR, are recommended. For drugs of established classes (that is where mode of action is known) this might be two SAR or two PAR studies or one study in each condition. If however, only 2 SAR studies are conducted, additional safety data for 12 months will be required to establish safety of chronic use of the product in patients with PAR.</w:t>
      </w:r>
      <w:r w:rsidR="00C12CE5">
        <w:rPr>
          <w:i/>
        </w:rPr>
        <w:t>’</w:t>
      </w:r>
    </w:p>
    <w:p w:rsidR="00365339" w:rsidRPr="00365339" w:rsidRDefault="00365339" w:rsidP="00C12CE5">
      <w:r w:rsidRPr="00365339">
        <w:t>The sponsor has not conducted any studies in PAR but has conducted a 12</w:t>
      </w:r>
      <w:r w:rsidR="0039401F">
        <w:t xml:space="preserve"> </w:t>
      </w:r>
      <w:r w:rsidRPr="00365339">
        <w:t>month safety study (MP4000). Hence approval for PAR/long-term use is considered approvable based on the submitted efficacy data.</w:t>
      </w:r>
    </w:p>
    <w:p w:rsidR="008E7846" w:rsidRPr="002E238E" w:rsidRDefault="008E7846" w:rsidP="00C12CE5">
      <w:pPr>
        <w:pStyle w:val="Heading3"/>
      </w:pPr>
      <w:bookmarkStart w:id="83" w:name="_Toc163441378"/>
      <w:bookmarkStart w:id="84" w:name="_Toc196046495"/>
      <w:bookmarkStart w:id="85" w:name="_Toc247691522"/>
      <w:bookmarkStart w:id="86" w:name="_Toc314842505"/>
      <w:bookmarkStart w:id="87" w:name="_Toc396826961"/>
      <w:bookmarkEnd w:id="79"/>
      <w:bookmarkEnd w:id="80"/>
      <w:bookmarkEnd w:id="81"/>
      <w:bookmarkEnd w:id="82"/>
      <w:r w:rsidRPr="002E238E">
        <w:t>Safety</w:t>
      </w:r>
      <w:bookmarkEnd w:id="83"/>
      <w:bookmarkEnd w:id="84"/>
      <w:bookmarkEnd w:id="85"/>
      <w:bookmarkEnd w:id="86"/>
      <w:bookmarkEnd w:id="87"/>
    </w:p>
    <w:p w:rsidR="00365339" w:rsidRDefault="00605AD4" w:rsidP="00C12CE5">
      <w:pPr>
        <w:pStyle w:val="Heading4"/>
      </w:pPr>
      <w:bookmarkStart w:id="88" w:name="_Toc247691524"/>
      <w:bookmarkStart w:id="89" w:name="_Toc314842508"/>
      <w:bookmarkStart w:id="90" w:name="_Toc196046504"/>
      <w:bookmarkStart w:id="91" w:name="_Toc163441390"/>
      <w:r w:rsidRPr="00605AD4">
        <w:t>Studies providing safety data</w:t>
      </w:r>
    </w:p>
    <w:p w:rsidR="00365339" w:rsidRDefault="00365339" w:rsidP="00C12CE5">
      <w:r>
        <w:t>The following studies provided evaluable safety data and are discussed further in the CER extract</w:t>
      </w:r>
      <w:r w:rsidR="0039401F">
        <w:t xml:space="preserve"> (Attachment 2)</w:t>
      </w:r>
      <w:r>
        <w:t>.</w:t>
      </w:r>
    </w:p>
    <w:p w:rsidR="00365339" w:rsidRDefault="00365339" w:rsidP="00C12CE5">
      <w:pPr>
        <w:pStyle w:val="Heading5"/>
      </w:pPr>
      <w:r>
        <w:t>Pivotal and supportive efficacy studies</w:t>
      </w:r>
    </w:p>
    <w:p w:rsidR="00365339" w:rsidRDefault="00365339" w:rsidP="00C12CE5">
      <w:r>
        <w:t>In the 4 pivotal and supportive efficacy studies (MP4001, MP4002, MP4004 and MP4006), the following safety data were collected:</w:t>
      </w:r>
    </w:p>
    <w:p w:rsidR="00365339" w:rsidRPr="00C12CE5" w:rsidRDefault="00365339" w:rsidP="00C12CE5">
      <w:pPr>
        <w:pStyle w:val="ListBullet"/>
      </w:pPr>
      <w:r w:rsidRPr="00C12CE5">
        <w:t>General adverse events (AEs) were assessed by open-ended questioning.</w:t>
      </w:r>
    </w:p>
    <w:p w:rsidR="00365339" w:rsidRPr="00C12CE5" w:rsidRDefault="00365339" w:rsidP="00C12CE5">
      <w:pPr>
        <w:pStyle w:val="ListBullet"/>
      </w:pPr>
      <w:r w:rsidRPr="00C12CE5">
        <w:t>A focused nasal examination was conducted at each study visit.</w:t>
      </w:r>
    </w:p>
    <w:p w:rsidR="00365339" w:rsidRPr="00C12CE5" w:rsidRDefault="00365339" w:rsidP="00C12CE5">
      <w:pPr>
        <w:pStyle w:val="ListBullet"/>
      </w:pPr>
      <w:r w:rsidRPr="00C12CE5">
        <w:t>Vital signs we</w:t>
      </w:r>
      <w:r w:rsidR="00C12CE5">
        <w:t>re measured at each study visit.</w:t>
      </w:r>
    </w:p>
    <w:p w:rsidR="00365339" w:rsidRPr="00C12CE5" w:rsidRDefault="00365339" w:rsidP="00C12CE5">
      <w:pPr>
        <w:pStyle w:val="ListBullet"/>
      </w:pPr>
      <w:r w:rsidRPr="00C12CE5">
        <w:t>No laboratory testing (apart from baseline pregnancy testing) was undertaken in these studies.</w:t>
      </w:r>
    </w:p>
    <w:p w:rsidR="00365339" w:rsidRDefault="00365339" w:rsidP="00C12CE5">
      <w:pPr>
        <w:pStyle w:val="Heading5"/>
      </w:pPr>
      <w:r>
        <w:t>Pivotal studies that assessed safety as a primary outcome</w:t>
      </w:r>
    </w:p>
    <w:p w:rsidR="00365339" w:rsidRDefault="00365339" w:rsidP="00C12CE5">
      <w:r>
        <w:t xml:space="preserve">Study MP4000 was a pivotal study that assessed safety as a primary outcome. This study is described in greater detail </w:t>
      </w:r>
      <w:r w:rsidR="00725C1D">
        <w:t>in the CER extract</w:t>
      </w:r>
      <w:r w:rsidR="00585877">
        <w:t xml:space="preserve"> (Attachment 2)</w:t>
      </w:r>
      <w:r w:rsidR="00725C1D">
        <w:t>.</w:t>
      </w:r>
    </w:p>
    <w:p w:rsidR="00365339" w:rsidRDefault="00365339" w:rsidP="00C12CE5">
      <w:pPr>
        <w:pStyle w:val="Heading5"/>
      </w:pPr>
      <w:r>
        <w:t>Oth</w:t>
      </w:r>
      <w:r w:rsidR="00C12CE5">
        <w:t>er studies evaluable for safety</w:t>
      </w:r>
    </w:p>
    <w:p w:rsidR="00365339" w:rsidRPr="00365339" w:rsidRDefault="00365339" w:rsidP="00C12CE5">
      <w:r>
        <w:t>Studies 3282 and 3283 were single dose studies conducted in healthy volunteers and therefore only provided very limited data.</w:t>
      </w:r>
    </w:p>
    <w:p w:rsidR="00605AD4" w:rsidRDefault="00605AD4" w:rsidP="00FE2AB1">
      <w:pPr>
        <w:pStyle w:val="Heading4"/>
      </w:pPr>
      <w:r w:rsidRPr="00605AD4">
        <w:t>Patient exposure</w:t>
      </w:r>
    </w:p>
    <w:p w:rsidR="00365339" w:rsidRPr="00365339" w:rsidRDefault="00365339" w:rsidP="00FE2AB1">
      <w:pPr>
        <w:rPr>
          <w:lang w:eastAsia="en-AU"/>
        </w:rPr>
      </w:pPr>
      <w:r w:rsidRPr="00365339">
        <w:rPr>
          <w:lang w:eastAsia="en-AU"/>
        </w:rPr>
        <w:t>As shown in the table below, in the submitted studies 1,469 subjects were treated w</w:t>
      </w:r>
      <w:r w:rsidR="00FE2AB1">
        <w:rPr>
          <w:lang w:eastAsia="en-AU"/>
        </w:rPr>
        <w:t>ith proposed fixed combination.</w:t>
      </w:r>
    </w:p>
    <w:p w:rsidR="00365339" w:rsidRDefault="00365339" w:rsidP="00FE2AB1">
      <w:pPr>
        <w:pStyle w:val="TableTitle"/>
        <w:rPr>
          <w:lang w:eastAsia="en-AU"/>
        </w:rPr>
      </w:pPr>
      <w:proofErr w:type="gramStart"/>
      <w:r w:rsidRPr="00365339">
        <w:rPr>
          <w:lang w:eastAsia="en-AU"/>
        </w:rPr>
        <w:lastRenderedPageBreak/>
        <w:t xml:space="preserve">Table </w:t>
      </w:r>
      <w:r w:rsidR="0039401F">
        <w:rPr>
          <w:lang w:eastAsia="en-AU"/>
        </w:rPr>
        <w:t>4.</w:t>
      </w:r>
      <w:proofErr w:type="gramEnd"/>
      <w:r w:rsidRPr="00365339">
        <w:rPr>
          <w:lang w:eastAsia="en-AU"/>
        </w:rPr>
        <w:t xml:space="preserve"> </w:t>
      </w:r>
      <w:proofErr w:type="gramStart"/>
      <w:r w:rsidRPr="00365339">
        <w:rPr>
          <w:lang w:eastAsia="en-AU"/>
        </w:rPr>
        <w:t>Exposure to fixed combination and comparators in clinical studies.</w:t>
      </w:r>
      <w:proofErr w:type="gramEnd"/>
    </w:p>
    <w:tbl>
      <w:tblPr>
        <w:tblStyle w:val="TableTGAblue2"/>
        <w:tblW w:w="8700" w:type="dxa"/>
        <w:tblLayout w:type="fixed"/>
        <w:tblLook w:val="04A0" w:firstRow="1" w:lastRow="0" w:firstColumn="1" w:lastColumn="0" w:noHBand="0" w:noVBand="1"/>
      </w:tblPr>
      <w:tblGrid>
        <w:gridCol w:w="2219"/>
        <w:gridCol w:w="1574"/>
        <w:gridCol w:w="1204"/>
        <w:gridCol w:w="1323"/>
        <w:gridCol w:w="1190"/>
        <w:gridCol w:w="1190"/>
      </w:tblGrid>
      <w:tr w:rsidR="00623691" w:rsidTr="00623691">
        <w:trPr>
          <w:cnfStyle w:val="100000000000" w:firstRow="1" w:lastRow="0" w:firstColumn="0" w:lastColumn="0" w:oddVBand="0" w:evenVBand="0" w:oddHBand="0" w:evenHBand="0" w:firstRowFirstColumn="0" w:firstRowLastColumn="0" w:lastRowFirstColumn="0" w:lastRowLastColumn="0"/>
          <w:trHeight w:val="460"/>
          <w:tblHeader/>
        </w:trPr>
        <w:tc>
          <w:tcPr>
            <w:cnfStyle w:val="001000000000" w:firstRow="0" w:lastRow="0" w:firstColumn="1" w:lastColumn="0" w:oddVBand="0" w:evenVBand="0" w:oddHBand="0" w:evenHBand="0" w:firstRowFirstColumn="0" w:firstRowLastColumn="0" w:lastRowFirstColumn="0" w:lastRowLastColumn="0"/>
            <w:tcW w:w="2219" w:type="dxa"/>
            <w:tcBorders>
              <w:right w:val="nil"/>
            </w:tcBorders>
          </w:tcPr>
          <w:p w:rsidR="00623691" w:rsidRDefault="00623691">
            <w:pPr>
              <w:keepNext/>
              <w:spacing w:before="0" w:after="0" w:line="240" w:lineRule="auto"/>
              <w:ind w:left="0" w:right="0"/>
              <w:rPr>
                <w:sz w:val="20"/>
                <w:szCs w:val="20"/>
              </w:rPr>
            </w:pPr>
          </w:p>
        </w:tc>
        <w:tc>
          <w:tcPr>
            <w:tcW w:w="1575" w:type="dxa"/>
            <w:tcBorders>
              <w:left w:val="nil"/>
              <w:right w:val="nil"/>
            </w:tcBorders>
            <w:hideMark/>
          </w:tcPr>
          <w:p w:rsidR="00623691" w:rsidRDefault="00623691" w:rsidP="00623691">
            <w:pPr>
              <w:keepNext/>
              <w:spacing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Fixed </w:t>
            </w:r>
          </w:p>
          <w:p w:rsidR="00623691" w:rsidRDefault="00623691" w:rsidP="00623691">
            <w:pPr>
              <w:keepNext/>
              <w:spacing w:before="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Combination</w:t>
            </w:r>
          </w:p>
        </w:tc>
        <w:tc>
          <w:tcPr>
            <w:tcW w:w="1205" w:type="dxa"/>
            <w:tcBorders>
              <w:left w:val="nil"/>
              <w:right w:val="nil"/>
            </w:tcBorders>
            <w:hideMark/>
          </w:tcPr>
          <w:p w:rsidR="00623691" w:rsidRDefault="00623691">
            <w:pPr>
              <w:keepNext/>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proofErr w:type="spellStart"/>
            <w:r>
              <w:rPr>
                <w:sz w:val="20"/>
                <w:szCs w:val="20"/>
              </w:rPr>
              <w:t>Azelastine</w:t>
            </w:r>
            <w:proofErr w:type="spellEnd"/>
          </w:p>
          <w:p w:rsidR="00623691" w:rsidRDefault="00623691">
            <w:pPr>
              <w:keepNext/>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alone</w:t>
            </w:r>
          </w:p>
        </w:tc>
        <w:tc>
          <w:tcPr>
            <w:tcW w:w="1324" w:type="dxa"/>
            <w:tcBorders>
              <w:left w:val="nil"/>
              <w:right w:val="nil"/>
            </w:tcBorders>
            <w:hideMark/>
          </w:tcPr>
          <w:p w:rsidR="00623691" w:rsidRDefault="00623691">
            <w:pPr>
              <w:keepNext/>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Fluticasone alone</w:t>
            </w:r>
          </w:p>
        </w:tc>
        <w:tc>
          <w:tcPr>
            <w:tcW w:w="1191" w:type="dxa"/>
            <w:tcBorders>
              <w:left w:val="nil"/>
              <w:right w:val="nil"/>
            </w:tcBorders>
            <w:hideMark/>
          </w:tcPr>
          <w:p w:rsidR="00623691" w:rsidRDefault="00623691">
            <w:pPr>
              <w:keepNext/>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Placebo</w:t>
            </w:r>
          </w:p>
        </w:tc>
        <w:tc>
          <w:tcPr>
            <w:tcW w:w="1191" w:type="dxa"/>
            <w:tcBorders>
              <w:left w:val="nil"/>
            </w:tcBorders>
            <w:hideMark/>
          </w:tcPr>
          <w:p w:rsidR="00623691" w:rsidRDefault="00623691">
            <w:pPr>
              <w:keepNext/>
              <w:spacing w:before="0" w:after="0" w:line="240" w:lineRule="auto"/>
              <w:ind w:left="0" w:right="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TOTALS</w:t>
            </w:r>
          </w:p>
        </w:tc>
      </w:tr>
      <w:tr w:rsidR="00623691" w:rsidTr="00623691">
        <w:trPr>
          <w:trHeight w:val="460"/>
        </w:trPr>
        <w:tc>
          <w:tcPr>
            <w:cnfStyle w:val="001000000000" w:firstRow="0" w:lastRow="0" w:firstColumn="1" w:lastColumn="0" w:oddVBand="0" w:evenVBand="0" w:oddHBand="0" w:evenHBand="0" w:firstRowFirstColumn="0" w:firstRowLastColumn="0" w:lastRowFirstColumn="0" w:lastRowLastColumn="0"/>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623691">
            <w:pPr>
              <w:keepNext/>
              <w:spacing w:after="0" w:line="240" w:lineRule="auto"/>
              <w:ind w:left="0" w:right="0"/>
              <w:rPr>
                <w:sz w:val="20"/>
                <w:szCs w:val="20"/>
              </w:rPr>
            </w:pPr>
            <w:r>
              <w:rPr>
                <w:sz w:val="20"/>
                <w:szCs w:val="20"/>
              </w:rPr>
              <w:t>Clinical pharmacology</w:t>
            </w:r>
          </w:p>
          <w:p w:rsidR="00623691" w:rsidRDefault="00623691">
            <w:pPr>
              <w:keepNext/>
              <w:spacing w:before="0" w:after="0" w:line="240" w:lineRule="auto"/>
              <w:ind w:left="0" w:right="0"/>
              <w:rPr>
                <w:sz w:val="20"/>
                <w:szCs w:val="20"/>
              </w:rPr>
            </w:pPr>
            <w:r>
              <w:rPr>
                <w:sz w:val="20"/>
                <w:szCs w:val="20"/>
              </w:rPr>
              <w:t>Study 3283</w:t>
            </w:r>
          </w:p>
          <w:p w:rsidR="00623691" w:rsidRDefault="00623691">
            <w:pPr>
              <w:keepNext/>
              <w:spacing w:before="0" w:after="0" w:line="240" w:lineRule="auto"/>
              <w:ind w:left="0" w:right="0"/>
              <w:rPr>
                <w:sz w:val="20"/>
                <w:szCs w:val="20"/>
              </w:rPr>
            </w:pPr>
            <w:r>
              <w:rPr>
                <w:sz w:val="20"/>
                <w:szCs w:val="20"/>
              </w:rPr>
              <w:t>Study 3282</w:t>
            </w:r>
          </w:p>
          <w:p w:rsidR="00623691" w:rsidRDefault="00623691" w:rsidP="00623691">
            <w:pPr>
              <w:keepNext/>
              <w:spacing w:before="0" w:line="240" w:lineRule="auto"/>
              <w:ind w:left="0" w:right="0"/>
              <w:rPr>
                <w:sz w:val="20"/>
                <w:szCs w:val="20"/>
              </w:rPr>
            </w:pPr>
            <w:r>
              <w:rPr>
                <w:sz w:val="20"/>
                <w:szCs w:val="20"/>
              </w:rPr>
              <w:t>SUBTOTAL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623691">
            <w:pPr>
              <w:keepNext/>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29</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rPr>
              <w:t>59</w:t>
            </w:r>
          </w:p>
        </w:tc>
        <w:tc>
          <w:tcPr>
            <w:tcW w:w="1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623691">
            <w:pPr>
              <w:keepNext/>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w:t>
            </w:r>
          </w:p>
          <w:p w:rsidR="00623691" w:rsidRDefault="00623691" w:rsidP="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rPr>
              <w:t>30</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623691">
            <w:pPr>
              <w:keepNext/>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30</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623691">
            <w:pPr>
              <w:keepNext/>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623691">
            <w:pPr>
              <w:keepNext/>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30</w:t>
            </w:r>
          </w:p>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623691" w:rsidTr="00623691">
        <w:trPr>
          <w:trHeight w:val="460"/>
        </w:trPr>
        <w:tc>
          <w:tcPr>
            <w:cnfStyle w:val="001000000000" w:firstRow="0" w:lastRow="0" w:firstColumn="1" w:lastColumn="0" w:oddVBand="0" w:evenVBand="0" w:oddHBand="0" w:evenHBand="0" w:firstRowFirstColumn="0" w:firstRowLastColumn="0" w:lastRowFirstColumn="0" w:lastRowLastColumn="0"/>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623691">
            <w:pPr>
              <w:keepNext/>
              <w:spacing w:line="240" w:lineRule="auto"/>
              <w:ind w:left="0" w:right="0"/>
              <w:rPr>
                <w:sz w:val="20"/>
                <w:szCs w:val="20"/>
              </w:rPr>
            </w:pPr>
            <w:r>
              <w:rPr>
                <w:sz w:val="20"/>
                <w:szCs w:val="20"/>
              </w:rPr>
              <w:t>Efficacy Studies</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keepNext/>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tc>
      </w:tr>
      <w:tr w:rsidR="00623691" w:rsidTr="00623691">
        <w:trPr>
          <w:trHeight w:val="460"/>
        </w:trPr>
        <w:tc>
          <w:tcPr>
            <w:cnfStyle w:val="001000000000" w:firstRow="0" w:lastRow="0" w:firstColumn="1" w:lastColumn="0" w:oddVBand="0" w:evenVBand="0" w:oddHBand="0" w:evenHBand="0" w:firstRowFirstColumn="0" w:firstRowLastColumn="0" w:lastRowFirstColumn="0" w:lastRowLastColumn="0"/>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rPr>
                <w:sz w:val="20"/>
                <w:szCs w:val="20"/>
              </w:rPr>
            </w:pPr>
            <w:r>
              <w:rPr>
                <w:sz w:val="20"/>
                <w:szCs w:val="20"/>
              </w:rPr>
              <w:t>MP4001</w:t>
            </w:r>
          </w:p>
          <w:p w:rsidR="00623691" w:rsidRDefault="00623691">
            <w:pPr>
              <w:spacing w:before="0" w:after="0" w:line="240" w:lineRule="auto"/>
              <w:ind w:left="0" w:right="0"/>
              <w:rPr>
                <w:sz w:val="20"/>
                <w:szCs w:val="20"/>
              </w:rPr>
            </w:pPr>
            <w:r>
              <w:rPr>
                <w:sz w:val="20"/>
                <w:szCs w:val="20"/>
              </w:rPr>
              <w:t>MP4002</w:t>
            </w:r>
          </w:p>
          <w:p w:rsidR="00623691" w:rsidRDefault="00623691">
            <w:pPr>
              <w:spacing w:before="0" w:after="0" w:line="240" w:lineRule="auto"/>
              <w:ind w:left="0" w:right="0"/>
              <w:rPr>
                <w:sz w:val="20"/>
                <w:szCs w:val="20"/>
              </w:rPr>
            </w:pPr>
            <w:r>
              <w:rPr>
                <w:sz w:val="20"/>
                <w:szCs w:val="20"/>
              </w:rPr>
              <w:t>MP4004</w:t>
            </w:r>
          </w:p>
          <w:p w:rsidR="00623691" w:rsidRDefault="00623691">
            <w:pPr>
              <w:spacing w:before="0" w:after="0" w:line="240" w:lineRule="auto"/>
              <w:ind w:left="0" w:right="0"/>
              <w:rPr>
                <w:sz w:val="20"/>
                <w:szCs w:val="20"/>
              </w:rPr>
            </w:pPr>
            <w:r>
              <w:rPr>
                <w:sz w:val="20"/>
                <w:szCs w:val="20"/>
              </w:rPr>
              <w:t>MP4006</w:t>
            </w:r>
          </w:p>
          <w:p w:rsidR="00623691" w:rsidRDefault="00623691" w:rsidP="0034481B">
            <w:pPr>
              <w:spacing w:before="0" w:line="240" w:lineRule="auto"/>
              <w:ind w:left="0" w:right="0"/>
              <w:rPr>
                <w:sz w:val="20"/>
                <w:szCs w:val="20"/>
              </w:rPr>
            </w:pPr>
            <w:r>
              <w:rPr>
                <w:sz w:val="20"/>
                <w:szCs w:val="20"/>
              </w:rPr>
              <w:t>SUBTOTAL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153</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195</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451</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1006</w:t>
            </w:r>
          </w:p>
        </w:tc>
        <w:tc>
          <w:tcPr>
            <w:tcW w:w="12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152</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208</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194</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449</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1003</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153</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189</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450</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999</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210</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u w:val="single"/>
              </w:rPr>
            </w:pPr>
            <w:r>
              <w:rPr>
                <w:sz w:val="20"/>
                <w:szCs w:val="20"/>
                <w:u w:val="single"/>
              </w:rPr>
              <w:t>451</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1012</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609</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832</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778</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u w:val="single"/>
              </w:rPr>
              <w:t>1801</w:t>
            </w:r>
          </w:p>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4020</w:t>
            </w:r>
          </w:p>
        </w:tc>
      </w:tr>
      <w:tr w:rsidR="00623691" w:rsidTr="00623691">
        <w:trPr>
          <w:trHeight w:val="460"/>
        </w:trPr>
        <w:tc>
          <w:tcPr>
            <w:cnfStyle w:val="001000000000" w:firstRow="0" w:lastRow="0" w:firstColumn="1" w:lastColumn="0" w:oddVBand="0" w:evenVBand="0" w:oddHBand="0" w:evenHBand="0" w:firstRowFirstColumn="0" w:firstRowLastColumn="0" w:lastRowFirstColumn="0" w:lastRowLastColumn="0"/>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rPr>
                <w:sz w:val="20"/>
                <w:szCs w:val="20"/>
              </w:rPr>
            </w:pPr>
            <w:r>
              <w:rPr>
                <w:sz w:val="20"/>
                <w:szCs w:val="20"/>
              </w:rPr>
              <w:t>Safety Study</w:t>
            </w:r>
          </w:p>
          <w:p w:rsidR="00623691" w:rsidRDefault="00623691" w:rsidP="0034481B">
            <w:pPr>
              <w:spacing w:before="0" w:line="240" w:lineRule="auto"/>
              <w:ind w:left="0" w:right="0"/>
              <w:rPr>
                <w:sz w:val="20"/>
                <w:szCs w:val="20"/>
              </w:rPr>
            </w:pPr>
            <w:r>
              <w:rPr>
                <w:sz w:val="20"/>
                <w:szCs w:val="20"/>
              </w:rPr>
              <w:t>MP4000</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404</w:t>
            </w:r>
          </w:p>
        </w:tc>
        <w:tc>
          <w:tcPr>
            <w:tcW w:w="1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pPr>
              <w:spacing w:before="0"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p>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611</w:t>
            </w:r>
          </w:p>
        </w:tc>
      </w:tr>
      <w:tr w:rsidR="00623691" w:rsidTr="00623691">
        <w:trPr>
          <w:trHeight w:val="460"/>
        </w:trPr>
        <w:tc>
          <w:tcPr>
            <w:cnfStyle w:val="001000000000" w:firstRow="0" w:lastRow="0" w:firstColumn="1" w:lastColumn="0" w:oddVBand="0" w:evenVBand="0" w:oddHBand="0" w:evenHBand="0" w:firstRowFirstColumn="0" w:firstRowLastColumn="0" w:lastRowFirstColumn="0" w:lastRowLastColumn="0"/>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line="240" w:lineRule="auto"/>
              <w:ind w:left="0" w:right="0"/>
              <w:rPr>
                <w:sz w:val="20"/>
                <w:szCs w:val="20"/>
              </w:rPr>
            </w:pPr>
            <w:r>
              <w:rPr>
                <w:sz w:val="20"/>
                <w:szCs w:val="20"/>
              </w:rPr>
              <w:t>TOTALS</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1469</w:t>
            </w:r>
          </w:p>
        </w:tc>
        <w:tc>
          <w:tcPr>
            <w:tcW w:w="12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1033</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1236</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1012</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23691" w:rsidRDefault="00623691" w:rsidP="0034481B">
            <w:pPr>
              <w:spacing w:after="0" w:line="240" w:lineRule="auto"/>
              <w:ind w:left="0" w:righ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4691*</w:t>
            </w:r>
          </w:p>
        </w:tc>
      </w:tr>
    </w:tbl>
    <w:p w:rsidR="00365339" w:rsidRPr="00365339" w:rsidRDefault="00365339" w:rsidP="0046362C">
      <w:pPr>
        <w:pStyle w:val="TableDescription"/>
        <w:rPr>
          <w:lang w:eastAsia="en-AU"/>
        </w:rPr>
      </w:pPr>
      <w:r w:rsidRPr="00365339">
        <w:rPr>
          <w:lang w:eastAsia="en-AU"/>
        </w:rPr>
        <w:t>* = total number of unique individuals</w:t>
      </w:r>
    </w:p>
    <w:p w:rsidR="00365339" w:rsidRPr="00365339" w:rsidRDefault="00365339" w:rsidP="0046362C">
      <w:r w:rsidRPr="00365339">
        <w:t>In the five efficacy/safety studies the dosage regimen used was identical to that proposed for registration (1 spray in each nostril B</w:t>
      </w:r>
      <w:r w:rsidR="007B3DAC">
        <w:t>I</w:t>
      </w:r>
      <w:r w:rsidRPr="00365339">
        <w:t xml:space="preserve">D, for a total dose of 4 sprays per day delivering a total of 200 mcg of fluticasone and 548 mcg of </w:t>
      </w:r>
      <w:proofErr w:type="spellStart"/>
      <w:r w:rsidRPr="00365339">
        <w:t>azelastine</w:t>
      </w:r>
      <w:proofErr w:type="spellEnd"/>
      <w:r w:rsidRPr="00365339">
        <w:t>). In the two clinical pharmacology studies, a single dose of 4 sprays was applied.</w:t>
      </w:r>
    </w:p>
    <w:p w:rsidR="00365339" w:rsidRPr="00365339" w:rsidRDefault="00365339" w:rsidP="0046362C">
      <w:r w:rsidRPr="00365339">
        <w:t>In the four efficacy studies, the duration of treatment was 14 days. In the safety Study MP4000 the duration of treatment was 12 months. Of the 405 subjects randomised to the combination in MP4000, 354 (87.4%) completed 6 months of treatment and 312 (77.0%) completed 12 months.</w:t>
      </w:r>
    </w:p>
    <w:p w:rsidR="00365339" w:rsidRPr="00365339" w:rsidRDefault="00365339" w:rsidP="0046362C">
      <w:r w:rsidRPr="00365339">
        <w:t xml:space="preserve">The safety findings from MP4000 have been reviewed </w:t>
      </w:r>
      <w:r w:rsidR="00725C1D">
        <w:t>in the CER extract</w:t>
      </w:r>
      <w:r w:rsidR="00585877">
        <w:t xml:space="preserve"> (Attachment 2)</w:t>
      </w:r>
      <w:r w:rsidRPr="00365339">
        <w:t>. The</w:t>
      </w:r>
      <w:r w:rsidR="0039401F">
        <w:t xml:space="preserve"> </w:t>
      </w:r>
      <w:r w:rsidRPr="00365339">
        <w:t xml:space="preserve">following information is from a pooled analysis of the four efficacy studies, which was included in the sponsor’s summary of clinical safety and the integrated summary of safety. In these studies there were 1,006 subjects treated with the combination and 1,012 treated with placebo. For the pooled analysis, the sponsor separated the fluticasone group into subjects treated with the marketed product (n = 153) and those treated with the sponsor’s own “in-house” version (n = 846). Similarly, subjects treated with </w:t>
      </w:r>
      <w:proofErr w:type="spellStart"/>
      <w:r w:rsidRPr="00365339">
        <w:t>azelastine</w:t>
      </w:r>
      <w:proofErr w:type="spellEnd"/>
      <w:r w:rsidRPr="00365339">
        <w:t xml:space="preserve"> were separated into those treated with the marketed product (n = 152) and those treated with the sponsor’s own “in-house” version (n = 851).</w:t>
      </w:r>
    </w:p>
    <w:p w:rsidR="00605AD4" w:rsidRDefault="00605AD4" w:rsidP="0046362C">
      <w:pPr>
        <w:pStyle w:val="Heading4"/>
      </w:pPr>
      <w:r w:rsidRPr="00605AD4">
        <w:t>Safety issues with the potential for major regulatory impact</w:t>
      </w:r>
    </w:p>
    <w:p w:rsidR="00365339" w:rsidRPr="00365339" w:rsidRDefault="00365339" w:rsidP="0046362C">
      <w:r w:rsidRPr="00365339">
        <w:t xml:space="preserve">The proposed product delivers small doses of fluticasone propionate and </w:t>
      </w:r>
      <w:proofErr w:type="spellStart"/>
      <w:r w:rsidRPr="00365339">
        <w:t>azelastine</w:t>
      </w:r>
      <w:proofErr w:type="spellEnd"/>
      <w:r w:rsidRPr="00365339">
        <w:t xml:space="preserve"> hydrochloride directly to the nasal mucosa and systemic exposure is therefore limited. Both agents have an established safety record. It is therefore very unlikely that the product would be associated with safety issues with the potential for major regulatory impact (that is liver or haematological toxicity, severe skin reactions, cardiovascular toxicity or severe immunological effects). No evidence for such effects was seen in the submitted study reports.</w:t>
      </w:r>
    </w:p>
    <w:p w:rsidR="00605AD4" w:rsidRPr="00605AD4" w:rsidRDefault="00605AD4" w:rsidP="0046362C">
      <w:pPr>
        <w:pStyle w:val="Heading4"/>
      </w:pPr>
      <w:r w:rsidRPr="00605AD4">
        <w:lastRenderedPageBreak/>
        <w:t>Evaluator’s conclusions on safety</w:t>
      </w:r>
    </w:p>
    <w:p w:rsidR="00365339" w:rsidRDefault="00365339" w:rsidP="0046362C">
      <w:r>
        <w:t>The overall safety profile of the combination product is acceptable. Use of the combination is associated with a small increase in the incidence of adverse events (principally altered taste) compared to use of either of the monotherapy products alone. There was no increase in the incidence of serious adverse events or discontinuations due to adverse events.</w:t>
      </w:r>
    </w:p>
    <w:p w:rsidR="00605AD4" w:rsidRPr="00605AD4" w:rsidRDefault="00365339" w:rsidP="0046362C">
      <w:r>
        <w:t>The combination product appears to produce increased systemic exposure to fluticasone, at least compared to a US</w:t>
      </w:r>
      <w:r w:rsidR="0039401F">
        <w:t xml:space="preserve"> </w:t>
      </w:r>
      <w:r>
        <w:t>marketed fluticasone propionate monotherapy product. However, this is offset by the sponsor’s proposal to use a maximum daily dose of only 200 mcg fluticasone propionate per day, which is half the maximum daily dose approved for fluticasone propionate nasal spray in Australia.</w:t>
      </w:r>
    </w:p>
    <w:p w:rsidR="00605AD4" w:rsidRPr="00605AD4" w:rsidRDefault="00605AD4" w:rsidP="0046362C">
      <w:pPr>
        <w:pStyle w:val="Heading3"/>
        <w:rPr>
          <w:rFonts w:eastAsia="Cambria"/>
        </w:rPr>
      </w:pPr>
      <w:bookmarkStart w:id="92" w:name="_Toc396826962"/>
      <w:r w:rsidRPr="00605AD4">
        <w:rPr>
          <w:rFonts w:eastAsia="Cambria"/>
        </w:rPr>
        <w:t xml:space="preserve">First </w:t>
      </w:r>
      <w:r w:rsidR="0046362C">
        <w:rPr>
          <w:rFonts w:eastAsia="Cambria"/>
        </w:rPr>
        <w:t>r</w:t>
      </w:r>
      <w:r w:rsidRPr="00605AD4">
        <w:rPr>
          <w:rFonts w:eastAsia="Cambria"/>
        </w:rPr>
        <w:t xml:space="preserve">ound </w:t>
      </w:r>
      <w:r w:rsidR="0046362C">
        <w:rPr>
          <w:rFonts w:eastAsia="Cambria"/>
        </w:rPr>
        <w:t>b</w:t>
      </w:r>
      <w:r w:rsidRPr="00605AD4">
        <w:rPr>
          <w:rFonts w:eastAsia="Cambria"/>
        </w:rPr>
        <w:t>enefit-</w:t>
      </w:r>
      <w:r w:rsidR="0046362C">
        <w:rPr>
          <w:rFonts w:eastAsia="Cambria"/>
        </w:rPr>
        <w:t>r</w:t>
      </w:r>
      <w:r w:rsidRPr="00605AD4">
        <w:rPr>
          <w:rFonts w:eastAsia="Cambria"/>
        </w:rPr>
        <w:t xml:space="preserve">isk </w:t>
      </w:r>
      <w:r w:rsidR="0046362C">
        <w:rPr>
          <w:rFonts w:eastAsia="Cambria"/>
        </w:rPr>
        <w:t>a</w:t>
      </w:r>
      <w:r w:rsidRPr="00605AD4">
        <w:rPr>
          <w:rFonts w:eastAsia="Cambria"/>
        </w:rPr>
        <w:t>ssessment</w:t>
      </w:r>
      <w:bookmarkEnd w:id="92"/>
    </w:p>
    <w:p w:rsidR="00605AD4" w:rsidRDefault="00605AD4" w:rsidP="0046362C">
      <w:pPr>
        <w:pStyle w:val="Heading4"/>
      </w:pPr>
      <w:r w:rsidRPr="00605AD4">
        <w:t>First round assessment of benefits</w:t>
      </w:r>
    </w:p>
    <w:p w:rsidR="00365339" w:rsidRPr="00365339" w:rsidRDefault="00365339" w:rsidP="0046362C">
      <w:r w:rsidRPr="00365339">
        <w:t xml:space="preserve">The benefits of the combination product in allergic </w:t>
      </w:r>
      <w:proofErr w:type="spellStart"/>
      <w:r w:rsidRPr="00365339">
        <w:t>rhinoconjunctivitis</w:t>
      </w:r>
      <w:proofErr w:type="spellEnd"/>
      <w:r w:rsidRPr="00365339">
        <w:t xml:space="preserve"> are:</w:t>
      </w:r>
    </w:p>
    <w:p w:rsidR="00365339" w:rsidRPr="00365339" w:rsidRDefault="00365339" w:rsidP="0046362C">
      <w:pPr>
        <w:pStyle w:val="ListBullet"/>
      </w:pPr>
      <w:r w:rsidRPr="00365339">
        <w:t>A reduction in the severity of nasal symptoms over and above that achieved by use of either of the monotherapy products and</w:t>
      </w:r>
    </w:p>
    <w:p w:rsidR="00365339" w:rsidRPr="00365339" w:rsidRDefault="00365339" w:rsidP="0046362C">
      <w:pPr>
        <w:pStyle w:val="ListBullet"/>
      </w:pPr>
      <w:r w:rsidRPr="00365339">
        <w:t>A reduction in the severity of ocular symptoms when compared to placebo.</w:t>
      </w:r>
    </w:p>
    <w:p w:rsidR="00605AD4" w:rsidRDefault="00605AD4" w:rsidP="0046362C">
      <w:pPr>
        <w:pStyle w:val="Heading4"/>
      </w:pPr>
      <w:r w:rsidRPr="00605AD4">
        <w:t>First round assessment of risks</w:t>
      </w:r>
    </w:p>
    <w:p w:rsidR="00365339" w:rsidRPr="00365339" w:rsidRDefault="00365339" w:rsidP="0046362C">
      <w:r w:rsidRPr="00365339">
        <w:t>The risks of the combination in allergic rhinitis are:</w:t>
      </w:r>
    </w:p>
    <w:p w:rsidR="00365339" w:rsidRPr="00365339" w:rsidRDefault="00365339" w:rsidP="0046362C">
      <w:pPr>
        <w:pStyle w:val="ListBullet"/>
      </w:pPr>
      <w:r w:rsidRPr="00365339">
        <w:t>A modest increase in the incidence of adverse effects (principally altered taste) compared to use of either of the monotherapy products.</w:t>
      </w:r>
    </w:p>
    <w:p w:rsidR="00605AD4" w:rsidRPr="00605AD4" w:rsidRDefault="00605AD4" w:rsidP="0046362C">
      <w:pPr>
        <w:pStyle w:val="Heading4"/>
      </w:pPr>
      <w:r w:rsidRPr="00605AD4">
        <w:t>First round assessment of benefit-risk balance</w:t>
      </w:r>
    </w:p>
    <w:p w:rsidR="00605AD4" w:rsidRPr="00605AD4" w:rsidRDefault="00365339" w:rsidP="0046362C">
      <w:r w:rsidRPr="00365339">
        <w:t>The benefit-risk balance of the combination product, given the proposed usage, is favourable.</w:t>
      </w:r>
    </w:p>
    <w:p w:rsidR="00605AD4" w:rsidRPr="00605AD4" w:rsidRDefault="00605AD4" w:rsidP="0046362C">
      <w:pPr>
        <w:pStyle w:val="Heading3"/>
        <w:rPr>
          <w:rFonts w:eastAsia="Cambria"/>
        </w:rPr>
      </w:pPr>
      <w:bookmarkStart w:id="93" w:name="_Toc396826963"/>
      <w:r w:rsidRPr="00605AD4">
        <w:rPr>
          <w:rFonts w:eastAsia="Cambria"/>
        </w:rPr>
        <w:t xml:space="preserve">First </w:t>
      </w:r>
      <w:r w:rsidR="0046362C">
        <w:rPr>
          <w:rFonts w:eastAsia="Cambria"/>
        </w:rPr>
        <w:t>r</w:t>
      </w:r>
      <w:r w:rsidRPr="00605AD4">
        <w:rPr>
          <w:rFonts w:eastAsia="Cambria"/>
        </w:rPr>
        <w:t xml:space="preserve">ound </w:t>
      </w:r>
      <w:r w:rsidR="0046362C">
        <w:rPr>
          <w:rFonts w:eastAsia="Cambria"/>
        </w:rPr>
        <w:t>r</w:t>
      </w:r>
      <w:r w:rsidRPr="00605AD4">
        <w:rPr>
          <w:rFonts w:eastAsia="Cambria"/>
        </w:rPr>
        <w:t xml:space="preserve">ecommendation </w:t>
      </w:r>
      <w:r w:rsidR="0046362C">
        <w:rPr>
          <w:rFonts w:eastAsia="Cambria"/>
        </w:rPr>
        <w:t>r</w:t>
      </w:r>
      <w:r w:rsidRPr="00605AD4">
        <w:rPr>
          <w:rFonts w:eastAsia="Cambria"/>
        </w:rPr>
        <w:t xml:space="preserve">egarding </w:t>
      </w:r>
      <w:r w:rsidR="0046362C">
        <w:rPr>
          <w:rFonts w:eastAsia="Cambria"/>
        </w:rPr>
        <w:t>a</w:t>
      </w:r>
      <w:r w:rsidRPr="00605AD4">
        <w:rPr>
          <w:rFonts w:eastAsia="Cambria"/>
        </w:rPr>
        <w:t>uthorisation</w:t>
      </w:r>
      <w:bookmarkEnd w:id="93"/>
    </w:p>
    <w:p w:rsidR="00605AD4" w:rsidRPr="00605AD4" w:rsidRDefault="00365339" w:rsidP="0046362C">
      <w:r w:rsidRPr="00365339">
        <w:t>It is recommended that the application for registration be approved.</w:t>
      </w:r>
    </w:p>
    <w:p w:rsidR="00605AD4" w:rsidRDefault="00605AD4" w:rsidP="0046362C">
      <w:pPr>
        <w:pStyle w:val="Heading3"/>
        <w:rPr>
          <w:rFonts w:eastAsia="Cambria"/>
        </w:rPr>
      </w:pPr>
      <w:bookmarkStart w:id="94" w:name="_Toc396826964"/>
      <w:r w:rsidRPr="00605AD4">
        <w:rPr>
          <w:rFonts w:eastAsia="Cambria"/>
        </w:rPr>
        <w:t xml:space="preserve">Clinical </w:t>
      </w:r>
      <w:r w:rsidR="0046362C">
        <w:rPr>
          <w:rFonts w:eastAsia="Cambria"/>
        </w:rPr>
        <w:t>q</w:t>
      </w:r>
      <w:r w:rsidRPr="00605AD4">
        <w:rPr>
          <w:rFonts w:eastAsia="Cambria"/>
        </w:rPr>
        <w:t>uestions</w:t>
      </w:r>
      <w:bookmarkEnd w:id="94"/>
    </w:p>
    <w:p w:rsidR="00365339" w:rsidRPr="00365339" w:rsidRDefault="00365339" w:rsidP="0046362C">
      <w:pPr>
        <w:pStyle w:val="Heading4"/>
      </w:pPr>
      <w:bookmarkStart w:id="95" w:name="_Toc385341662"/>
      <w:r w:rsidRPr="00365339">
        <w:t>General</w:t>
      </w:r>
      <w:bookmarkEnd w:id="95"/>
    </w:p>
    <w:p w:rsidR="00365339" w:rsidRPr="00365339" w:rsidRDefault="00365339" w:rsidP="0046362C">
      <w:r w:rsidRPr="00365339">
        <w:t>Please confirm that the formulation of the product proposed for registration in Australia is identical to that used in the submitted clinical trials.</w:t>
      </w:r>
      <w:r w:rsidR="00BB0EC9">
        <w:rPr>
          <w:rStyle w:val="FootnoteReference"/>
        </w:rPr>
        <w:footnoteReference w:id="17"/>
      </w:r>
    </w:p>
    <w:p w:rsidR="00365339" w:rsidRPr="00365339" w:rsidRDefault="00365339" w:rsidP="0046362C">
      <w:pPr>
        <w:pStyle w:val="Heading4"/>
      </w:pPr>
      <w:bookmarkStart w:id="96" w:name="_Toc385341663"/>
      <w:r w:rsidRPr="00365339">
        <w:t>Pharmacokinetics</w:t>
      </w:r>
      <w:bookmarkEnd w:id="96"/>
    </w:p>
    <w:p w:rsidR="00365339" w:rsidRPr="00365339" w:rsidRDefault="00365339" w:rsidP="0046362C">
      <w:r w:rsidRPr="00365339">
        <w:t xml:space="preserve">It is stated in the submission that the </w:t>
      </w:r>
      <w:proofErr w:type="spellStart"/>
      <w:r w:rsidRPr="00365339">
        <w:t>benzalkonium</w:t>
      </w:r>
      <w:proofErr w:type="spellEnd"/>
      <w:r w:rsidRPr="00365339">
        <w:t xml:space="preserve"> chloride (BAC)-containing formulation of </w:t>
      </w:r>
      <w:proofErr w:type="spellStart"/>
      <w:r w:rsidRPr="00365339">
        <w:t>azelastine</w:t>
      </w:r>
      <w:proofErr w:type="spellEnd"/>
      <w:r w:rsidRPr="00365339">
        <w:t xml:space="preserve"> nasal spray was marketed in Europe until the late 1990’s, when </w:t>
      </w:r>
      <w:r w:rsidRPr="00365339">
        <w:lastRenderedPageBreak/>
        <w:t>it was changed to the BAC-free formulation. It is also noted that on the ARTG, the Australian product (</w:t>
      </w:r>
      <w:proofErr w:type="spellStart"/>
      <w:r w:rsidRPr="00365339">
        <w:t>Azep</w:t>
      </w:r>
      <w:proofErr w:type="spellEnd"/>
      <w:r w:rsidRPr="00365339">
        <w:t xml:space="preserve">; </w:t>
      </w:r>
      <w:proofErr w:type="spellStart"/>
      <w:r w:rsidRPr="00365339">
        <w:t>Aust</w:t>
      </w:r>
      <w:proofErr w:type="spellEnd"/>
      <w:r w:rsidRPr="00365339">
        <w:t xml:space="preserve"> R 104853) is </w:t>
      </w:r>
      <w:r w:rsidR="0046362C">
        <w:t>described as a ‘reformulation’.</w:t>
      </w:r>
    </w:p>
    <w:p w:rsidR="00365339" w:rsidRPr="00365339" w:rsidRDefault="00365339" w:rsidP="0046362C">
      <w:r w:rsidRPr="00365339">
        <w:t>Please advise whether the BAC-containing formulation was also the original formulation approved in Australia.</w:t>
      </w:r>
    </w:p>
    <w:p w:rsidR="00365339" w:rsidRPr="00365339" w:rsidRDefault="00365339" w:rsidP="0046362C">
      <w:pPr>
        <w:pStyle w:val="Heading4"/>
      </w:pPr>
      <w:bookmarkStart w:id="97" w:name="_Toc385341664"/>
      <w:r w:rsidRPr="00365339">
        <w:t>Pharmacodynamics</w:t>
      </w:r>
      <w:bookmarkEnd w:id="97"/>
    </w:p>
    <w:p w:rsidR="00365339" w:rsidRPr="00365339" w:rsidRDefault="00365339" w:rsidP="0046362C">
      <w:r w:rsidRPr="00365339">
        <w:t>Not applicable.</w:t>
      </w:r>
    </w:p>
    <w:p w:rsidR="00365339" w:rsidRPr="00365339" w:rsidRDefault="00365339" w:rsidP="0046362C">
      <w:pPr>
        <w:pStyle w:val="Heading4"/>
      </w:pPr>
      <w:bookmarkStart w:id="98" w:name="_Toc385341665"/>
      <w:r w:rsidRPr="00365339">
        <w:t>Efficacy</w:t>
      </w:r>
      <w:bookmarkEnd w:id="98"/>
    </w:p>
    <w:p w:rsidR="00365339" w:rsidRPr="00365339" w:rsidRDefault="00365339" w:rsidP="0046362C">
      <w:r w:rsidRPr="00365339">
        <w:t xml:space="preserve">The </w:t>
      </w:r>
      <w:proofErr w:type="spellStart"/>
      <w:r w:rsidRPr="00365339">
        <w:t>azelastine</w:t>
      </w:r>
      <w:proofErr w:type="spellEnd"/>
      <w:r w:rsidRPr="00365339">
        <w:t xml:space="preserve"> and fluticasone monotherapy products used in Studies MP4002, MP4004 and MP4006 appear to be “in-house” formulations developed by the sponsor. Their efficacy compared to commercially available </w:t>
      </w:r>
      <w:proofErr w:type="spellStart"/>
      <w:r w:rsidRPr="00365339">
        <w:t>azelastine</w:t>
      </w:r>
      <w:proofErr w:type="spellEnd"/>
      <w:r w:rsidRPr="00365339">
        <w:t xml:space="preserve"> hydrochloride and fluticasone propionate monotherapy products has not been established. Can the sponsor provide a rationale for the use of these formulations in the studies rather than commercially available monotherapy products?</w:t>
      </w:r>
    </w:p>
    <w:p w:rsidR="00365339" w:rsidRPr="00365339" w:rsidRDefault="00365339" w:rsidP="0046362C">
      <w:pPr>
        <w:pStyle w:val="Heading4"/>
      </w:pPr>
      <w:bookmarkStart w:id="99" w:name="_Toc385341666"/>
      <w:r w:rsidRPr="00365339">
        <w:t>Safety</w:t>
      </w:r>
      <w:bookmarkEnd w:id="99"/>
    </w:p>
    <w:p w:rsidR="00365339" w:rsidRPr="00365339" w:rsidRDefault="00365339" w:rsidP="0046362C">
      <w:r w:rsidRPr="00365339">
        <w:t>Not applicable.</w:t>
      </w:r>
    </w:p>
    <w:p w:rsidR="008E7846" w:rsidRPr="00E41208" w:rsidRDefault="008E7846" w:rsidP="0046362C">
      <w:pPr>
        <w:pStyle w:val="Heading2"/>
      </w:pPr>
      <w:bookmarkStart w:id="100" w:name="_Toc396826965"/>
      <w:r w:rsidRPr="00E41208">
        <w:t xml:space="preserve">V. Pharmacovigilance </w:t>
      </w:r>
      <w:r>
        <w:t>f</w:t>
      </w:r>
      <w:r w:rsidRPr="00E41208">
        <w:t>indings</w:t>
      </w:r>
      <w:bookmarkEnd w:id="88"/>
      <w:bookmarkEnd w:id="89"/>
      <w:bookmarkEnd w:id="100"/>
    </w:p>
    <w:p w:rsidR="00546154" w:rsidRDefault="00546154" w:rsidP="0046362C">
      <w:bookmarkStart w:id="101" w:name="_Toc247691526"/>
      <w:bookmarkStart w:id="102" w:name="_Toc314842509"/>
      <w:r w:rsidRPr="00443686">
        <w:t>The TGA granted a waiver</w:t>
      </w:r>
      <w:r w:rsidRPr="00215262">
        <w:t xml:space="preserve"> from the </w:t>
      </w:r>
      <w:r w:rsidRPr="00443686">
        <w:t>requirement for a Risk Management Plan for this application.</w:t>
      </w:r>
    </w:p>
    <w:p w:rsidR="008E7846" w:rsidRPr="00792A32" w:rsidRDefault="008E7846" w:rsidP="0046362C">
      <w:pPr>
        <w:pStyle w:val="Heading2"/>
      </w:pPr>
      <w:bookmarkStart w:id="103" w:name="_Toc247691527"/>
      <w:bookmarkStart w:id="104" w:name="_Toc314842510"/>
      <w:bookmarkStart w:id="105" w:name="_Toc396826966"/>
      <w:bookmarkEnd w:id="101"/>
      <w:bookmarkEnd w:id="10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0"/>
      <w:bookmarkEnd w:id="103"/>
      <w:bookmarkEnd w:id="104"/>
      <w:bookmarkEnd w:id="105"/>
    </w:p>
    <w:p w:rsidR="008E7846" w:rsidRDefault="008E7846" w:rsidP="0046362C">
      <w:bookmarkStart w:id="106"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46362C">
      <w:pPr>
        <w:pStyle w:val="Heading3"/>
      </w:pPr>
      <w:bookmarkStart w:id="107" w:name="_Toc314842511"/>
      <w:bookmarkStart w:id="108" w:name="_Toc396826967"/>
      <w:r>
        <w:t>Quality</w:t>
      </w:r>
      <w:bookmarkEnd w:id="106"/>
      <w:bookmarkEnd w:id="107"/>
      <w:bookmarkEnd w:id="108"/>
    </w:p>
    <w:p w:rsidR="00AC762B" w:rsidRDefault="00AC762B" w:rsidP="0046362C">
      <w:r>
        <w:t xml:space="preserve">The evaluator states that this submission relates to a new fixed combination product containing </w:t>
      </w:r>
      <w:proofErr w:type="spellStart"/>
      <w:r>
        <w:t>azelastine</w:t>
      </w:r>
      <w:proofErr w:type="spellEnd"/>
      <w:r>
        <w:t xml:space="preserve"> (as hydrochloride) 125 µg per actuation and fluticasone propionate 50 µg per actuation as a nasa</w:t>
      </w:r>
      <w:r w:rsidR="0046362C">
        <w:t>l spray suspension.</w:t>
      </w:r>
    </w:p>
    <w:p w:rsidR="00AC762B" w:rsidRDefault="00AC762B" w:rsidP="0046362C">
      <w:r>
        <w:t xml:space="preserve">The proposed product is to be made available in two presentations: 4 mL (in 10 mL amber glass bottle) and 17 mL fill (in 25 mL amber glass bottle), which are connected with a nasal pump and a nasal applicator (actuator with translucent cap). The pump delivers a nasal spray with a spray volume of 137 µL, containing 125 µg </w:t>
      </w:r>
      <w:proofErr w:type="spellStart"/>
      <w:r>
        <w:t>azelastine</w:t>
      </w:r>
      <w:proofErr w:type="spellEnd"/>
      <w:r>
        <w:t xml:space="preserve"> (as hydrochloride) an</w:t>
      </w:r>
      <w:r w:rsidR="0046362C">
        <w:t>d 50 µg fluticasone propionate.</w:t>
      </w:r>
    </w:p>
    <w:p w:rsidR="00AC762B" w:rsidRDefault="00AC762B" w:rsidP="0046362C">
      <w:r>
        <w:t xml:space="preserve">The evaluator also states that, </w:t>
      </w:r>
      <w:r w:rsidRPr="0046362C">
        <w:rPr>
          <w:i/>
        </w:rPr>
        <w:t>‘the systemic exposure to fluticasone propionate is about 1.6 times greater after treatment with the proposed fixed dose combination product as compared with the corresponding monotherapy product.’</w:t>
      </w:r>
    </w:p>
    <w:p w:rsidR="008E7846" w:rsidRDefault="008E7846" w:rsidP="0046362C">
      <w:pPr>
        <w:pStyle w:val="Heading3"/>
      </w:pPr>
      <w:bookmarkStart w:id="109" w:name="_Toc314842512"/>
      <w:bookmarkStart w:id="110" w:name="_Toc396826968"/>
      <w:r>
        <w:t>Nonclinical</w:t>
      </w:r>
      <w:bookmarkEnd w:id="109"/>
      <w:bookmarkEnd w:id="110"/>
    </w:p>
    <w:p w:rsidR="00AC762B" w:rsidRPr="00AC762B" w:rsidRDefault="00AC762B" w:rsidP="0046362C">
      <w:pPr>
        <w:rPr>
          <w:lang w:eastAsia="ja-JP"/>
        </w:rPr>
      </w:pPr>
      <w:bookmarkStart w:id="111" w:name="_Toc247691530"/>
      <w:bookmarkStart w:id="112" w:name="_Toc314842513"/>
      <w:r>
        <w:rPr>
          <w:lang w:eastAsia="ja-JP"/>
        </w:rPr>
        <w:t xml:space="preserve">The evaluator states that, </w:t>
      </w:r>
      <w:r w:rsidRPr="0046362C">
        <w:rPr>
          <w:i/>
          <w:lang w:eastAsia="ja-JP"/>
        </w:rPr>
        <w:t xml:space="preserve">‘the nonclinical package comprised three studies investigating the repeat dose toxicity of the </w:t>
      </w:r>
      <w:proofErr w:type="spellStart"/>
      <w:r w:rsidRPr="0046362C">
        <w:rPr>
          <w:i/>
          <w:lang w:eastAsia="ja-JP"/>
        </w:rPr>
        <w:t>azelastine</w:t>
      </w:r>
      <w:proofErr w:type="spellEnd"/>
      <w:r w:rsidRPr="0046362C">
        <w:rPr>
          <w:i/>
          <w:lang w:eastAsia="ja-JP"/>
        </w:rPr>
        <w:t xml:space="preserve"> </w:t>
      </w:r>
      <w:proofErr w:type="spellStart"/>
      <w:r w:rsidRPr="0046362C">
        <w:rPr>
          <w:i/>
          <w:lang w:eastAsia="ja-JP"/>
        </w:rPr>
        <w:t>HCl</w:t>
      </w:r>
      <w:proofErr w:type="spellEnd"/>
      <w:r w:rsidRPr="0046362C">
        <w:rPr>
          <w:i/>
          <w:lang w:eastAsia="ja-JP"/>
        </w:rPr>
        <w:t xml:space="preserve">/fluticasone propionate combination in the </w:t>
      </w:r>
      <w:r w:rsidRPr="0046362C">
        <w:rPr>
          <w:i/>
          <w:lang w:eastAsia="ja-JP"/>
        </w:rPr>
        <w:lastRenderedPageBreak/>
        <w:t>clinically proposed strength and formulation for 2 weeks (rats, dogs) or 13 weeks (rats) and contained parallel single agent groups.’</w:t>
      </w:r>
    </w:p>
    <w:p w:rsidR="00AC762B" w:rsidRPr="00AC762B" w:rsidRDefault="00AC762B" w:rsidP="0046362C">
      <w:pPr>
        <w:rPr>
          <w:lang w:eastAsia="ja-JP"/>
        </w:rPr>
      </w:pPr>
      <w:r w:rsidRPr="00AC762B">
        <w:rPr>
          <w:lang w:eastAsia="ja-JP"/>
        </w:rPr>
        <w:t xml:space="preserve">The efficacy and safety of the individual actives have been previously characterised. No </w:t>
      </w:r>
      <w:proofErr w:type="spellStart"/>
      <w:r w:rsidRPr="00AC762B">
        <w:rPr>
          <w:lang w:eastAsia="ja-JP"/>
        </w:rPr>
        <w:t>genotoxicity</w:t>
      </w:r>
      <w:proofErr w:type="spellEnd"/>
      <w:r w:rsidRPr="00AC762B">
        <w:rPr>
          <w:lang w:eastAsia="ja-JP"/>
        </w:rPr>
        <w:t xml:space="preserve"> has been exhibited by the individual actives.</w:t>
      </w:r>
    </w:p>
    <w:p w:rsidR="00AC762B" w:rsidRPr="00AC762B" w:rsidRDefault="00AC762B" w:rsidP="0046362C">
      <w:pPr>
        <w:rPr>
          <w:lang w:eastAsia="ja-JP"/>
        </w:rPr>
      </w:pPr>
      <w:r w:rsidRPr="00AC762B">
        <w:rPr>
          <w:lang w:eastAsia="ja-JP"/>
        </w:rPr>
        <w:t xml:space="preserve">Though no studies have been submitted that examined the pharmacological action of the combination, the evaluator states that this is well characterised in relation to </w:t>
      </w:r>
      <w:r w:rsidR="0046362C">
        <w:rPr>
          <w:lang w:eastAsia="ja-JP"/>
        </w:rPr>
        <w:t>the individual actives.</w:t>
      </w:r>
    </w:p>
    <w:p w:rsidR="00AC762B" w:rsidRPr="00AC762B" w:rsidRDefault="00AC762B" w:rsidP="0046362C">
      <w:pPr>
        <w:rPr>
          <w:lang w:eastAsia="ja-JP"/>
        </w:rPr>
      </w:pPr>
      <w:r w:rsidRPr="00AC762B">
        <w:rPr>
          <w:lang w:eastAsia="ja-JP"/>
        </w:rPr>
        <w:t xml:space="preserve">The evaluator mentions that, </w:t>
      </w:r>
      <w:r w:rsidRPr="0046362C">
        <w:rPr>
          <w:i/>
          <w:lang w:eastAsia="ja-JP"/>
        </w:rPr>
        <w:t xml:space="preserve">‘pharmacokinetic interaction of </w:t>
      </w:r>
      <w:proofErr w:type="spellStart"/>
      <w:r w:rsidRPr="0046362C">
        <w:rPr>
          <w:i/>
          <w:lang w:eastAsia="ja-JP"/>
        </w:rPr>
        <w:t>azelastine</w:t>
      </w:r>
      <w:proofErr w:type="spellEnd"/>
      <w:r w:rsidRPr="0046362C">
        <w:rPr>
          <w:i/>
          <w:lang w:eastAsia="ja-JP"/>
        </w:rPr>
        <w:t xml:space="preserve"> and fluticasone is not expected based on the metabolism of the individual compounds.’</w:t>
      </w:r>
    </w:p>
    <w:p w:rsidR="00AC762B" w:rsidRPr="00AC762B" w:rsidRDefault="00AC762B" w:rsidP="0046362C">
      <w:r w:rsidRPr="00AC762B">
        <w:t xml:space="preserve">Intranasal application of </w:t>
      </w:r>
      <w:proofErr w:type="spellStart"/>
      <w:r w:rsidRPr="00AC762B">
        <w:t>azelastine</w:t>
      </w:r>
      <w:proofErr w:type="spellEnd"/>
      <w:r w:rsidRPr="00AC762B">
        <w:t xml:space="preserve"> hydrochloride 0.1% and fluticasone propionate 0.0365% as the clinical formulation at a daily dose of 400/146 </w:t>
      </w:r>
      <w:r w:rsidR="0039401F">
        <w:t>µ</w:t>
      </w:r>
      <w:r w:rsidRPr="00AC762B">
        <w:t>g for 3 months was well tolerated locally (up to 14 times the clinical dose based on nasal cavity surface area) as well as systemically (at doses up to 32</w:t>
      </w:r>
      <w:r w:rsidR="0039401F">
        <w:t xml:space="preserve"> </w:t>
      </w:r>
      <w:r w:rsidRPr="00AC762B">
        <w:t>times the clinical dose on a mg/m</w:t>
      </w:r>
      <w:r w:rsidRPr="00AC762B">
        <w:rPr>
          <w:vertAlign w:val="superscript"/>
        </w:rPr>
        <w:t>2</w:t>
      </w:r>
      <w:r w:rsidRPr="00AC762B">
        <w:t xml:space="preserve"> basis in rats, and up to 3</w:t>
      </w:r>
      <w:r w:rsidR="0039401F">
        <w:t xml:space="preserve"> </w:t>
      </w:r>
      <w:r w:rsidR="0046362C">
        <w:t>times in dogs).</w:t>
      </w:r>
    </w:p>
    <w:p w:rsidR="00AC762B" w:rsidRPr="00AC762B" w:rsidRDefault="00AC762B" w:rsidP="0046362C">
      <w:pPr>
        <w:rPr>
          <w:lang w:eastAsia="ja-JP"/>
        </w:rPr>
      </w:pPr>
      <w:r w:rsidRPr="00AC762B">
        <w:t>No additional new toxicity was observed with the combination compared to the</w:t>
      </w:r>
      <w:r w:rsidR="0046362C">
        <w:rPr>
          <w:lang w:eastAsia="ja-JP"/>
        </w:rPr>
        <w:t xml:space="preserve"> individual components alone.</w:t>
      </w:r>
    </w:p>
    <w:p w:rsidR="00AC762B" w:rsidRPr="00BB0EC9" w:rsidRDefault="00AC762B" w:rsidP="0046362C">
      <w:r w:rsidRPr="00BB0EC9">
        <w:t>Some PI amendments are recommended. The evaluator recommends approval.</w:t>
      </w:r>
    </w:p>
    <w:p w:rsidR="008E7846" w:rsidRDefault="008E7846" w:rsidP="0046362C">
      <w:pPr>
        <w:pStyle w:val="Heading3"/>
      </w:pPr>
      <w:bookmarkStart w:id="113" w:name="_Toc396826969"/>
      <w:r>
        <w:t>Clinical</w:t>
      </w:r>
      <w:bookmarkEnd w:id="111"/>
      <w:bookmarkEnd w:id="112"/>
      <w:bookmarkEnd w:id="113"/>
    </w:p>
    <w:p w:rsidR="00AC762B" w:rsidRPr="00AC762B" w:rsidRDefault="00AC762B" w:rsidP="0046362C">
      <w:pPr>
        <w:pStyle w:val="Heading4"/>
        <w:rPr>
          <w:lang w:eastAsia="ja-JP"/>
        </w:rPr>
      </w:pPr>
      <w:r w:rsidRPr="00AC762B">
        <w:rPr>
          <w:lang w:eastAsia="ja-JP"/>
        </w:rPr>
        <w:t>Pharmacokinetics</w:t>
      </w:r>
    </w:p>
    <w:p w:rsidR="00AC762B" w:rsidRPr="00827EB6" w:rsidRDefault="00AC762B" w:rsidP="0046362C">
      <w:r w:rsidRPr="00827EB6">
        <w:t>Two studies are submitted. These studies examined the effect of the fixed combination nasal spray on the systemic pharmacokinetics of fluticaso</w:t>
      </w:r>
      <w:r w:rsidR="0046362C">
        <w:t xml:space="preserve">ne and </w:t>
      </w:r>
      <w:proofErr w:type="spellStart"/>
      <w:r w:rsidR="0046362C">
        <w:t>azelastine</w:t>
      </w:r>
      <w:proofErr w:type="spellEnd"/>
      <w:r w:rsidR="0046362C">
        <w:t xml:space="preserve"> respectively.</w:t>
      </w:r>
    </w:p>
    <w:p w:rsidR="00827EB6" w:rsidRDefault="0046362C" w:rsidP="0046362C">
      <w:pPr>
        <w:pStyle w:val="Heading5"/>
        <w:rPr>
          <w:rFonts w:eastAsia="MS Mincho"/>
          <w:lang w:eastAsia="ja-JP"/>
        </w:rPr>
      </w:pPr>
      <w:r>
        <w:rPr>
          <w:rFonts w:eastAsia="MS Mincho"/>
          <w:lang w:eastAsia="ja-JP"/>
        </w:rPr>
        <w:t>Study 3282</w:t>
      </w:r>
    </w:p>
    <w:p w:rsidR="00AC762B" w:rsidRPr="00827EB6" w:rsidRDefault="00827EB6" w:rsidP="0046362C">
      <w:pPr>
        <w:rPr>
          <w:i/>
        </w:rPr>
      </w:pPr>
      <w:r w:rsidRPr="00827EB6">
        <w:t xml:space="preserve">Study 3282 </w:t>
      </w:r>
      <w:r w:rsidR="00AC762B" w:rsidRPr="00827EB6">
        <w:t xml:space="preserve">showed that co-administration of </w:t>
      </w:r>
      <w:proofErr w:type="spellStart"/>
      <w:r w:rsidR="00AC762B" w:rsidRPr="00827EB6">
        <w:t>azelastine</w:t>
      </w:r>
      <w:proofErr w:type="spellEnd"/>
      <w:r w:rsidR="00AC762B" w:rsidRPr="00827EB6">
        <w:t xml:space="preserve"> hydrochloride with fluticasone propionate (via the proposed fixed combination product) did not result in any change in the systemic fluticasone exposure, compared to that seen with a fluticasone propionate monotherapy product formulated in the same vehicle. The evaluator states that, </w:t>
      </w:r>
      <w:r w:rsidRPr="00827EB6">
        <w:t>‘</w:t>
      </w:r>
      <w:r w:rsidR="00AC762B" w:rsidRPr="00827EB6">
        <w:rPr>
          <w:i/>
        </w:rPr>
        <w:t xml:space="preserve">it could therefore be reasonably concluded that co-administration of </w:t>
      </w:r>
      <w:proofErr w:type="spellStart"/>
      <w:r w:rsidR="00AC762B" w:rsidRPr="00827EB6">
        <w:rPr>
          <w:i/>
        </w:rPr>
        <w:t>azelastine</w:t>
      </w:r>
      <w:proofErr w:type="spellEnd"/>
      <w:r w:rsidR="00AC762B" w:rsidRPr="00827EB6">
        <w:rPr>
          <w:i/>
        </w:rPr>
        <w:t xml:space="preserve"> does not affe</w:t>
      </w:r>
      <w:r w:rsidRPr="00827EB6">
        <w:rPr>
          <w:i/>
        </w:rPr>
        <w:t>ct systemic PK of fluticasone.’</w:t>
      </w:r>
    </w:p>
    <w:p w:rsidR="00AC762B" w:rsidRPr="00AC762B" w:rsidRDefault="00827EB6" w:rsidP="0046362C">
      <w:pPr>
        <w:pStyle w:val="Heading5"/>
        <w:rPr>
          <w:rFonts w:eastAsia="MS Mincho"/>
          <w:lang w:eastAsia="ja-JP"/>
        </w:rPr>
      </w:pPr>
      <w:r>
        <w:rPr>
          <w:rFonts w:eastAsia="MS Mincho"/>
          <w:lang w:eastAsia="ja-JP"/>
        </w:rPr>
        <w:t>Study 3283</w:t>
      </w:r>
    </w:p>
    <w:p w:rsidR="00AC762B" w:rsidRPr="00827EB6" w:rsidRDefault="00AC762B" w:rsidP="0046362C">
      <w:r w:rsidRPr="00827EB6">
        <w:t xml:space="preserve">In </w:t>
      </w:r>
      <w:r w:rsidR="00CE0FD4">
        <w:t>S</w:t>
      </w:r>
      <w:r w:rsidRPr="00827EB6">
        <w:t xml:space="preserve">tudy 3283, the co-administration of fluticasone propionate with </w:t>
      </w:r>
      <w:proofErr w:type="spellStart"/>
      <w:r w:rsidRPr="00827EB6">
        <w:t>azelastine</w:t>
      </w:r>
      <w:proofErr w:type="spellEnd"/>
      <w:r w:rsidRPr="00827EB6">
        <w:t xml:space="preserve"> hydrochloride (through the proposed fixed combination product) did not result in any increase in the systemic </w:t>
      </w:r>
      <w:proofErr w:type="spellStart"/>
      <w:r w:rsidRPr="00827EB6">
        <w:t>azelastine</w:t>
      </w:r>
      <w:proofErr w:type="spellEnd"/>
      <w:r w:rsidRPr="00827EB6">
        <w:t xml:space="preserve"> exposure, compared to that seen with an </w:t>
      </w:r>
      <w:proofErr w:type="spellStart"/>
      <w:r w:rsidRPr="00827EB6">
        <w:t>azelastine</w:t>
      </w:r>
      <w:proofErr w:type="spellEnd"/>
      <w:r w:rsidRPr="00827EB6">
        <w:t xml:space="preserve"> hydrochloride monotherapy product formulated in the same vehicle. It could therefore be reasonably concluded that co-administration of fluticasone does not affect systemic pharmacokinetics of </w:t>
      </w:r>
      <w:proofErr w:type="spellStart"/>
      <w:r w:rsidRPr="00827EB6">
        <w:t>azelastine</w:t>
      </w:r>
      <w:proofErr w:type="spellEnd"/>
      <w:r w:rsidRPr="00827EB6">
        <w:t>.</w:t>
      </w:r>
    </w:p>
    <w:p w:rsidR="00AC762B" w:rsidRPr="00827EB6" w:rsidRDefault="00AC762B" w:rsidP="0046362C">
      <w:r w:rsidRPr="00827EB6">
        <w:t xml:space="preserve">The monotherapy </w:t>
      </w:r>
      <w:proofErr w:type="spellStart"/>
      <w:r w:rsidRPr="00827EB6">
        <w:t>azelastine</w:t>
      </w:r>
      <w:proofErr w:type="spellEnd"/>
      <w:r w:rsidRPr="00827EB6">
        <w:t xml:space="preserve"> product used in this study is not identical to the Australian registered product, </w:t>
      </w:r>
      <w:proofErr w:type="spellStart"/>
      <w:r w:rsidRPr="00827EB6">
        <w:t>Azep</w:t>
      </w:r>
      <w:proofErr w:type="spellEnd"/>
      <w:r w:rsidRPr="00827EB6">
        <w:t xml:space="preserve"> and is the US registered product (</w:t>
      </w:r>
      <w:proofErr w:type="spellStart"/>
      <w:r w:rsidRPr="00827EB6">
        <w:t>Astelin</w:t>
      </w:r>
      <w:proofErr w:type="spellEnd"/>
      <w:r w:rsidRPr="00827EB6">
        <w:t xml:space="preserve">). The main difference is that the latter formulation contains </w:t>
      </w:r>
      <w:proofErr w:type="spellStart"/>
      <w:r w:rsidRPr="00827EB6">
        <w:t>benzalkonium</w:t>
      </w:r>
      <w:proofErr w:type="spellEnd"/>
      <w:r w:rsidRPr="00827EB6">
        <w:t xml:space="preserve"> chloride. The evaluator requests the sponsor to comment on the relationship of these formulations and their impact on safety. </w:t>
      </w:r>
      <w:r w:rsidR="00827EB6">
        <w:t>That is,</w:t>
      </w:r>
      <w:r w:rsidRPr="00827EB6">
        <w:t xml:space="preserve"> how does the US formulation relate to the Australian formulation so that similar safety profile is implied? This needs to be addre</w:t>
      </w:r>
      <w:r w:rsidR="0046362C">
        <w:t>ssed in the pre-ACPM response.</w:t>
      </w:r>
    </w:p>
    <w:p w:rsidR="00AC762B" w:rsidRPr="00AC762B" w:rsidRDefault="0034481B" w:rsidP="0046362C">
      <w:pPr>
        <w:pStyle w:val="Heading4"/>
        <w:rPr>
          <w:lang w:val="en-US" w:eastAsia="ja-JP"/>
        </w:rPr>
      </w:pPr>
      <w:r>
        <w:rPr>
          <w:lang w:val="en-US" w:eastAsia="ja-JP"/>
        </w:rPr>
        <w:t>Pharmacodynamics</w:t>
      </w:r>
    </w:p>
    <w:p w:rsidR="00AC762B" w:rsidRPr="00827EB6" w:rsidRDefault="00AC762B" w:rsidP="0046362C">
      <w:r w:rsidRPr="00827EB6">
        <w:t>No data are submitted.</w:t>
      </w:r>
    </w:p>
    <w:p w:rsidR="00AC762B" w:rsidRPr="00AC762B" w:rsidRDefault="0034481B" w:rsidP="0046362C">
      <w:pPr>
        <w:pStyle w:val="Heading4"/>
        <w:rPr>
          <w:lang w:eastAsia="ja-JP"/>
        </w:rPr>
      </w:pPr>
      <w:r>
        <w:rPr>
          <w:lang w:eastAsia="ja-JP"/>
        </w:rPr>
        <w:lastRenderedPageBreak/>
        <w:t>Dose ranging studies</w:t>
      </w:r>
    </w:p>
    <w:p w:rsidR="00AC762B" w:rsidRPr="00827EB6" w:rsidRDefault="00AC762B" w:rsidP="0046362C">
      <w:r w:rsidRPr="00827EB6">
        <w:t>No studies are submitted. However</w:t>
      </w:r>
      <w:r w:rsidR="00827EB6">
        <w:t xml:space="preserve">, the evaluator mentions that, </w:t>
      </w:r>
      <w:r w:rsidR="00827EB6" w:rsidRPr="0046362C">
        <w:rPr>
          <w:i/>
        </w:rPr>
        <w:t>‘</w:t>
      </w:r>
      <w:r w:rsidRPr="0046362C">
        <w:rPr>
          <w:i/>
        </w:rPr>
        <w:t>dosage of the fixed combination product used in the submitted studies, and proposed for registration, is consistent with the recommended dosages of the approved monotherapy products.</w:t>
      </w:r>
      <w:r w:rsidR="00827EB6" w:rsidRPr="0046362C">
        <w:rPr>
          <w:i/>
        </w:rPr>
        <w:t>’</w:t>
      </w:r>
    </w:p>
    <w:p w:rsidR="00AC762B" w:rsidRPr="00AC762B" w:rsidRDefault="0034481B" w:rsidP="0046362C">
      <w:pPr>
        <w:pStyle w:val="Heading4"/>
        <w:rPr>
          <w:lang w:eastAsia="ja-JP"/>
        </w:rPr>
      </w:pPr>
      <w:r>
        <w:rPr>
          <w:lang w:eastAsia="ja-JP"/>
        </w:rPr>
        <w:t>Efficacy studies</w:t>
      </w:r>
    </w:p>
    <w:p w:rsidR="00AC762B" w:rsidRPr="00827EB6" w:rsidRDefault="00827EB6" w:rsidP="0046362C">
      <w:r>
        <w:t>Four</w:t>
      </w:r>
      <w:r w:rsidR="00AC762B" w:rsidRPr="00827EB6">
        <w:t xml:space="preserve"> studies (MP4001, MP4002, MP4004 and MP4006) are discussed.</w:t>
      </w:r>
    </w:p>
    <w:p w:rsidR="00AC762B" w:rsidRPr="00AC762B" w:rsidRDefault="00827EB6" w:rsidP="0046362C">
      <w:pPr>
        <w:pStyle w:val="Heading5"/>
        <w:rPr>
          <w:rFonts w:eastAsia="MS Mincho"/>
          <w:lang w:eastAsia="ja-JP"/>
        </w:rPr>
      </w:pPr>
      <w:r>
        <w:rPr>
          <w:rFonts w:eastAsia="MS Mincho"/>
          <w:lang w:eastAsia="ja-JP"/>
        </w:rPr>
        <w:t>Pivotal study (MP 4001)</w:t>
      </w:r>
    </w:p>
    <w:p w:rsidR="00AC762B" w:rsidRPr="00827EB6" w:rsidRDefault="00AC762B" w:rsidP="0046362C">
      <w:r w:rsidRPr="00827EB6">
        <w:t xml:space="preserve">The evaluator states that MP4001 is the pivotal study which compared the proposed formulation with commercial </w:t>
      </w:r>
      <w:proofErr w:type="spellStart"/>
      <w:r w:rsidRPr="00827EB6">
        <w:t>azelastine</w:t>
      </w:r>
      <w:proofErr w:type="spellEnd"/>
      <w:r w:rsidRPr="00827EB6">
        <w:t xml:space="preserve"> (</w:t>
      </w:r>
      <w:proofErr w:type="spellStart"/>
      <w:r w:rsidRPr="00827EB6">
        <w:t>Astelin</w:t>
      </w:r>
      <w:proofErr w:type="spellEnd"/>
      <w:r w:rsidRPr="00827EB6">
        <w:t xml:space="preserve">) and fluticasone propionate nasal spray. This was a randomised double blind placebo controlled study </w:t>
      </w:r>
      <w:r w:rsidR="0046362C">
        <w:t>in patients with SAR.</w:t>
      </w:r>
    </w:p>
    <w:p w:rsidR="00AC762B" w:rsidRPr="00827EB6" w:rsidRDefault="00AC762B" w:rsidP="0046362C">
      <w:r w:rsidRPr="00827EB6">
        <w:t>Those 12 years and over with a 2 year history of SAR during the Texas Mountain Cedar pollen season as well as a positive skin prick test to this antigen were eligible to enrol. Exclusion criteria were comprehensive and complied with the EMA G</w:t>
      </w:r>
      <w:r w:rsidR="0046362C">
        <w:t>uidelines on allergic rhinitis.</w:t>
      </w:r>
    </w:p>
    <w:p w:rsidR="00AC762B" w:rsidRPr="00827EB6" w:rsidRDefault="00AC762B" w:rsidP="00E706BF">
      <w:r w:rsidRPr="00827EB6">
        <w:t>Subjects were randomised to receive one of the following four treatments for the 14 days of the randomised treatment period:</w:t>
      </w:r>
    </w:p>
    <w:p w:rsidR="00827EB6" w:rsidRDefault="00AC762B" w:rsidP="00E706BF">
      <w:pPr>
        <w:pStyle w:val="ListBullet"/>
      </w:pPr>
      <w:r w:rsidRPr="00827EB6">
        <w:t xml:space="preserve">the proposed fixed combination of fluticasone propionate (50 µg per actuation) and </w:t>
      </w:r>
      <w:proofErr w:type="spellStart"/>
      <w:r w:rsidRPr="00827EB6">
        <w:t>azelastine</w:t>
      </w:r>
      <w:proofErr w:type="spellEnd"/>
      <w:r w:rsidRPr="00827EB6">
        <w:t xml:space="preserve"> hydrochloride (137 µg per actuation) nasal spray – one spr</w:t>
      </w:r>
      <w:r w:rsidR="00E706BF">
        <w:t>ay in each nostril twice daily</w:t>
      </w:r>
    </w:p>
    <w:p w:rsidR="00827EB6" w:rsidRDefault="00AC762B" w:rsidP="00E706BF">
      <w:pPr>
        <w:pStyle w:val="ListBullet"/>
      </w:pPr>
      <w:r w:rsidRPr="00827EB6">
        <w:t>fluticasone propionate (50 µg per actuation) nasal spray (using a formulation marketed in the USA) - one spr</w:t>
      </w:r>
      <w:r w:rsidR="00E706BF">
        <w:t>ay in each nostril twice daily</w:t>
      </w:r>
    </w:p>
    <w:p w:rsidR="00827EB6" w:rsidRDefault="00AC762B" w:rsidP="00E706BF">
      <w:pPr>
        <w:pStyle w:val="ListBullet"/>
      </w:pPr>
      <w:proofErr w:type="spellStart"/>
      <w:r w:rsidRPr="00827EB6">
        <w:t>azelastine</w:t>
      </w:r>
      <w:proofErr w:type="spellEnd"/>
      <w:r w:rsidRPr="00827EB6">
        <w:t xml:space="preserve"> hydrochloride (137 µg per actuation) nasal spray (using the </w:t>
      </w:r>
      <w:proofErr w:type="spellStart"/>
      <w:r w:rsidRPr="00827EB6">
        <w:t>Astelin</w:t>
      </w:r>
      <w:proofErr w:type="spellEnd"/>
      <w:r w:rsidRPr="00827EB6">
        <w:t xml:space="preserve"> formulation marketed in the USA)– one spr</w:t>
      </w:r>
      <w:r w:rsidR="00E706BF">
        <w:t>ay in each nostril twice daily</w:t>
      </w:r>
    </w:p>
    <w:p w:rsidR="00AC762B" w:rsidRPr="00827EB6" w:rsidRDefault="00AC762B" w:rsidP="00E706BF">
      <w:pPr>
        <w:pStyle w:val="ListBullet"/>
      </w:pPr>
      <w:proofErr w:type="gramStart"/>
      <w:r w:rsidRPr="00827EB6">
        <w:t>placebo</w:t>
      </w:r>
      <w:proofErr w:type="gramEnd"/>
      <w:r w:rsidRPr="00827EB6">
        <w:t xml:space="preserve"> spray - one spray in each nostril twice daily.</w:t>
      </w:r>
    </w:p>
    <w:p w:rsidR="00AC762B" w:rsidRPr="00827EB6" w:rsidRDefault="00AC762B" w:rsidP="00E706BF">
      <w:r w:rsidRPr="00827EB6">
        <w:t>The evaluator considers the comparator products acceptable as they are registered in the USA where there is a similar regulatory process (</w:t>
      </w:r>
      <w:r w:rsidR="0034481B">
        <w:t>for registration) to Australia.</w:t>
      </w:r>
    </w:p>
    <w:p w:rsidR="00AC762B" w:rsidRPr="00827EB6" w:rsidRDefault="00AC762B" w:rsidP="00E706BF">
      <w:r w:rsidRPr="00827EB6">
        <w:t>The primary efficacy outcome was the change from baseline to Day 14 in the 12</w:t>
      </w:r>
      <w:r w:rsidR="00CE0FD4">
        <w:t xml:space="preserve"> </w:t>
      </w:r>
      <w:r w:rsidRPr="00827EB6">
        <w:t xml:space="preserve">hour reflective </w:t>
      </w:r>
      <w:r w:rsidR="007B3DAC">
        <w:t>total nasal symptom score (</w:t>
      </w:r>
      <w:r w:rsidRPr="00827EB6">
        <w:t>TNSS</w:t>
      </w:r>
      <w:r w:rsidR="007B3DAC">
        <w:t>)</w:t>
      </w:r>
      <w:r w:rsidRPr="00827EB6">
        <w:t xml:space="preserve"> for the entire double blind period compared to placebo.</w:t>
      </w:r>
    </w:p>
    <w:p w:rsidR="00AC762B" w:rsidRPr="00827EB6" w:rsidRDefault="00AC762B" w:rsidP="00E706BF">
      <w:r w:rsidRPr="00827EB6">
        <w:t>Secondary efficacy outcomes included:</w:t>
      </w:r>
    </w:p>
    <w:p w:rsidR="00AC762B" w:rsidRPr="00E706BF" w:rsidRDefault="00CE0FD4" w:rsidP="00E706BF">
      <w:pPr>
        <w:pStyle w:val="ListBullet"/>
      </w:pPr>
      <w:r w:rsidRPr="00E706BF">
        <w:t>c</w:t>
      </w:r>
      <w:r w:rsidR="00AC762B" w:rsidRPr="00E706BF">
        <w:t>hange from baseline in instantaneous TNSS for the entire 14</w:t>
      </w:r>
      <w:r w:rsidRPr="00E706BF">
        <w:t xml:space="preserve"> </w:t>
      </w:r>
      <w:r w:rsidR="00AC762B" w:rsidRPr="00E706BF">
        <w:t>day s</w:t>
      </w:r>
      <w:r w:rsidR="00E706BF">
        <w:t>tudy period compared to placebo</w:t>
      </w:r>
    </w:p>
    <w:p w:rsidR="00AC762B" w:rsidRPr="00E706BF" w:rsidRDefault="00AC762B" w:rsidP="00E706BF">
      <w:pPr>
        <w:pStyle w:val="ListBullet"/>
      </w:pPr>
      <w:r w:rsidRPr="00E706BF">
        <w:t>change from baseline in 12</w:t>
      </w:r>
      <w:r w:rsidR="00CE0FD4" w:rsidRPr="00E706BF">
        <w:t xml:space="preserve"> </w:t>
      </w:r>
      <w:r w:rsidRPr="00E706BF">
        <w:t>hour reflective individual symptom scores (including postnasal drip) for the entire 14-day s</w:t>
      </w:r>
      <w:r w:rsidR="00E706BF">
        <w:t>tudy period compared to placebo</w:t>
      </w:r>
    </w:p>
    <w:p w:rsidR="00AC762B" w:rsidRPr="00E706BF" w:rsidRDefault="00AC762B" w:rsidP="00E706BF">
      <w:pPr>
        <w:pStyle w:val="ListBullet"/>
      </w:pPr>
      <w:r w:rsidRPr="00E706BF">
        <w:t>daily change from baseline in 12</w:t>
      </w:r>
      <w:r w:rsidR="00CE0FD4" w:rsidRPr="00E706BF">
        <w:t xml:space="preserve"> </w:t>
      </w:r>
      <w:r w:rsidRPr="00E706BF">
        <w:t>hour reflective and instant</w:t>
      </w:r>
      <w:r w:rsidR="00E706BF">
        <w:t>aneous TNSS compared to placebo</w:t>
      </w:r>
    </w:p>
    <w:p w:rsidR="00AC762B" w:rsidRPr="00E706BF" w:rsidRDefault="00AC762B" w:rsidP="00E706BF">
      <w:pPr>
        <w:pStyle w:val="ListBullet"/>
      </w:pPr>
      <w:r w:rsidRPr="00E706BF">
        <w:t>change from baseline in 12</w:t>
      </w:r>
      <w:r w:rsidR="00CE0FD4" w:rsidRPr="00E706BF">
        <w:t xml:space="preserve"> </w:t>
      </w:r>
      <w:r w:rsidRPr="00E706BF">
        <w:t xml:space="preserve">hour reflective </w:t>
      </w:r>
      <w:r w:rsidR="007B3DAC" w:rsidRPr="00E706BF">
        <w:t>total ocular symptom score (</w:t>
      </w:r>
      <w:r w:rsidRPr="00E706BF">
        <w:t>TOSS</w:t>
      </w:r>
      <w:r w:rsidR="007B3DAC" w:rsidRPr="00E706BF">
        <w:t>)</w:t>
      </w:r>
      <w:r w:rsidRPr="00E706BF">
        <w:t xml:space="preserve"> for the entire 14</w:t>
      </w:r>
      <w:r w:rsidR="00CE0FD4" w:rsidRPr="00E706BF">
        <w:t xml:space="preserve"> </w:t>
      </w:r>
      <w:r w:rsidRPr="00E706BF">
        <w:t>day</w:t>
      </w:r>
      <w:r w:rsidR="00E706BF">
        <w:t xml:space="preserve"> study period</w:t>
      </w:r>
    </w:p>
    <w:p w:rsidR="00471CB5" w:rsidRPr="00E706BF" w:rsidRDefault="00AC762B" w:rsidP="00E706BF">
      <w:pPr>
        <w:pStyle w:val="ListBullet"/>
      </w:pPr>
      <w:proofErr w:type="gramStart"/>
      <w:r w:rsidRPr="00E706BF">
        <w:t>change</w:t>
      </w:r>
      <w:proofErr w:type="gramEnd"/>
      <w:r w:rsidRPr="00E706BF">
        <w:t xml:space="preserve"> from baseline in 12</w:t>
      </w:r>
      <w:r w:rsidR="00CE0FD4" w:rsidRPr="00E706BF">
        <w:t xml:space="preserve"> </w:t>
      </w:r>
      <w:r w:rsidRPr="00E706BF">
        <w:t>hour reflective and instantaneous individual ocular symptom scores for the entire 14</w:t>
      </w:r>
      <w:r w:rsidR="00CE0FD4" w:rsidRPr="00E706BF">
        <w:t xml:space="preserve"> </w:t>
      </w:r>
      <w:r w:rsidRPr="00E706BF">
        <w:t>day study period.</w:t>
      </w:r>
    </w:p>
    <w:p w:rsidR="00AC762B" w:rsidRPr="00827EB6" w:rsidRDefault="00AC762B" w:rsidP="00E706BF">
      <w:r w:rsidRPr="00827EB6">
        <w:t xml:space="preserve">The sample size calculations are discussed </w:t>
      </w:r>
      <w:r w:rsidR="00827EB6">
        <w:t xml:space="preserve">in the </w:t>
      </w:r>
      <w:r w:rsidRPr="00827EB6">
        <w:t xml:space="preserve">CER. The evaluator mentions that the numbers were adequate for the stated comparisons. </w:t>
      </w:r>
      <w:r w:rsidR="00827EB6">
        <w:t xml:space="preserve">Of note: </w:t>
      </w:r>
      <w:r w:rsidRPr="00827EB6">
        <w:t>two-sided confidence intervals for the differ</w:t>
      </w:r>
      <w:r w:rsidR="00827EB6">
        <w:t>ences in overall mean changes, that is</w:t>
      </w:r>
      <w:r w:rsidRPr="00827EB6">
        <w:t xml:space="preserve">, the combination compared to </w:t>
      </w:r>
      <w:r w:rsidRPr="00827EB6">
        <w:lastRenderedPageBreak/>
        <w:t xml:space="preserve">placebo, the combination compared to </w:t>
      </w:r>
      <w:proofErr w:type="spellStart"/>
      <w:r w:rsidRPr="00827EB6">
        <w:t>azelastine</w:t>
      </w:r>
      <w:proofErr w:type="spellEnd"/>
      <w:r w:rsidRPr="00827EB6">
        <w:t>, and the combination compared to fluticasone, were also calc</w:t>
      </w:r>
      <w:r w:rsidR="00E706BF">
        <w:t>ulated.</w:t>
      </w:r>
    </w:p>
    <w:p w:rsidR="00AC762B" w:rsidRPr="00827EB6" w:rsidRDefault="00AC762B" w:rsidP="00E706BF">
      <w:r w:rsidRPr="00827EB6">
        <w:t xml:space="preserve">In order to adjust for multiplicity, a gatekeeping strategy </w:t>
      </w:r>
      <w:r w:rsidR="00827EB6">
        <w:t>was employed. The combination versus</w:t>
      </w:r>
      <w:r w:rsidRPr="00827EB6">
        <w:t xml:space="preserve"> placebo comparison was first tested at the 0.05 significance level. If this was significant, then the combination v</w:t>
      </w:r>
      <w:r w:rsidR="00827EB6">
        <w:t>ersus</w:t>
      </w:r>
      <w:r w:rsidRPr="00827EB6">
        <w:t xml:space="preserve"> </w:t>
      </w:r>
      <w:proofErr w:type="spellStart"/>
      <w:r w:rsidRPr="00827EB6">
        <w:t>azelastine</w:t>
      </w:r>
      <w:proofErr w:type="spellEnd"/>
      <w:r w:rsidRPr="00827EB6">
        <w:t xml:space="preserve"> comparison was also done at the 0.05 level. If the combination v</w:t>
      </w:r>
      <w:r w:rsidR="00827EB6">
        <w:t>ersus</w:t>
      </w:r>
      <w:r w:rsidRPr="00827EB6">
        <w:t xml:space="preserve"> </w:t>
      </w:r>
      <w:proofErr w:type="spellStart"/>
      <w:r w:rsidRPr="00827EB6">
        <w:t>azelastine</w:t>
      </w:r>
      <w:proofErr w:type="spellEnd"/>
      <w:r w:rsidRPr="00827EB6">
        <w:t xml:space="preserve"> comparison was not significant at the 0.05 level, no comparison of the combination v</w:t>
      </w:r>
      <w:r w:rsidR="00827EB6">
        <w:t>ersus</w:t>
      </w:r>
      <w:r w:rsidRPr="00827EB6">
        <w:t xml:space="preserve"> fluticasone was made. Otherwise the comparison was made at the 0.05 level.</w:t>
      </w:r>
    </w:p>
    <w:p w:rsidR="00AC762B" w:rsidRPr="00827EB6" w:rsidRDefault="00AC762B" w:rsidP="00E706BF">
      <w:r w:rsidRPr="00827EB6">
        <w:t xml:space="preserve">153 subjects were randomised to the proposed fixed dose combination (FDC), 152 to </w:t>
      </w:r>
      <w:proofErr w:type="spellStart"/>
      <w:r w:rsidRPr="00827EB6">
        <w:t>azelastine</w:t>
      </w:r>
      <w:proofErr w:type="spellEnd"/>
      <w:r w:rsidRPr="00827EB6">
        <w:t>, 151 to fluticasone and 153 to the placebo group. 5.9 to 8.</w:t>
      </w:r>
      <w:r w:rsidR="00CE448B">
        <w:t>6% were in the age group 12 to less than</w:t>
      </w:r>
      <w:r w:rsidRPr="00827EB6">
        <w:t xml:space="preserve"> 18 years. The mean daily reflective TNSS ranged from 18.1 to 18.</w:t>
      </w:r>
      <w:r w:rsidR="00E34171">
        <w:t>8</w:t>
      </w:r>
      <w:r w:rsidRPr="00827EB6">
        <w:t xml:space="preserve"> between groups. The mean duration of the history</w:t>
      </w:r>
      <w:r w:rsidR="00E706BF">
        <w:t xml:space="preserve"> of SAR was 18.1 to 19.0 years.</w:t>
      </w:r>
    </w:p>
    <w:p w:rsidR="00AC762B" w:rsidRPr="00827EB6" w:rsidRDefault="00CE448B" w:rsidP="00E706BF">
      <w:r>
        <w:t xml:space="preserve">In reference to efficacy results </w:t>
      </w:r>
      <w:r w:rsidR="00855377">
        <w:t xml:space="preserve">the </w:t>
      </w:r>
      <w:r>
        <w:t xml:space="preserve">evaluator mentions that, </w:t>
      </w:r>
      <w:r w:rsidRPr="00E706BF">
        <w:rPr>
          <w:i/>
        </w:rPr>
        <w:t>‘</w:t>
      </w:r>
      <w:r w:rsidR="00AC762B" w:rsidRPr="00E706BF">
        <w:rPr>
          <w:i/>
        </w:rPr>
        <w:t xml:space="preserve">there was significant improvement in </w:t>
      </w:r>
      <w:proofErr w:type="spellStart"/>
      <w:r w:rsidR="00AC762B" w:rsidRPr="00E706BF">
        <w:rPr>
          <w:i/>
        </w:rPr>
        <w:t>rTNSS</w:t>
      </w:r>
      <w:proofErr w:type="spellEnd"/>
      <w:r w:rsidR="00AC762B" w:rsidRPr="00E706BF">
        <w:rPr>
          <w:i/>
        </w:rPr>
        <w:t xml:space="preserve"> from baseline in all treatment groups, including placebo. The improvement seen with the fixed combination (LS Mean -5.31) was significantly greater than that seen with fluticasone alone (-3.84; p = 0.003), </w:t>
      </w:r>
      <w:proofErr w:type="spellStart"/>
      <w:r w:rsidR="00AC762B" w:rsidRPr="00E706BF">
        <w:rPr>
          <w:i/>
        </w:rPr>
        <w:t>azelastine</w:t>
      </w:r>
      <w:proofErr w:type="spellEnd"/>
      <w:r w:rsidR="00AC762B" w:rsidRPr="00E706BF">
        <w:rPr>
          <w:i/>
        </w:rPr>
        <w:t xml:space="preserve"> alone (-3.25; p</w:t>
      </w:r>
      <w:r w:rsidRPr="00E706BF">
        <w:rPr>
          <w:i/>
        </w:rPr>
        <w:t xml:space="preserve"> </w:t>
      </w:r>
      <w:r w:rsidR="00AC762B" w:rsidRPr="00E706BF">
        <w:rPr>
          <w:i/>
        </w:rPr>
        <w:t>&lt;</w:t>
      </w:r>
      <w:r w:rsidRPr="00E706BF">
        <w:rPr>
          <w:i/>
        </w:rPr>
        <w:t xml:space="preserve"> </w:t>
      </w:r>
      <w:r w:rsidR="00AC762B" w:rsidRPr="00E706BF">
        <w:rPr>
          <w:i/>
        </w:rPr>
        <w:t>0.001) and placebo (-2.20; p</w:t>
      </w:r>
      <w:r w:rsidRPr="00E706BF">
        <w:rPr>
          <w:i/>
        </w:rPr>
        <w:t xml:space="preserve"> </w:t>
      </w:r>
      <w:r w:rsidR="00AC762B" w:rsidRPr="00E706BF">
        <w:rPr>
          <w:i/>
        </w:rPr>
        <w:t>&lt;</w:t>
      </w:r>
      <w:r w:rsidRPr="00E706BF">
        <w:rPr>
          <w:i/>
        </w:rPr>
        <w:t xml:space="preserve"> </w:t>
      </w:r>
      <w:r w:rsidR="00AC762B" w:rsidRPr="00E706BF">
        <w:rPr>
          <w:i/>
        </w:rPr>
        <w:t>0.001)</w:t>
      </w:r>
      <w:r w:rsidRPr="00E706BF">
        <w:rPr>
          <w:i/>
        </w:rPr>
        <w:t>’</w:t>
      </w:r>
      <w:r w:rsidR="0088602A" w:rsidRPr="0088602A">
        <w:t>.</w:t>
      </w:r>
    </w:p>
    <w:p w:rsidR="00AC762B" w:rsidRPr="00827EB6" w:rsidRDefault="00AC762B" w:rsidP="00E706BF">
      <w:r w:rsidRPr="00827EB6">
        <w:t>The following results are reported:</w:t>
      </w:r>
    </w:p>
    <w:p w:rsidR="00AC762B" w:rsidRDefault="00CE448B" w:rsidP="00E706BF">
      <w:pPr>
        <w:pStyle w:val="TableTitle"/>
      </w:pPr>
      <w:proofErr w:type="gramStart"/>
      <w:r>
        <w:t xml:space="preserve">Table </w:t>
      </w:r>
      <w:r w:rsidR="00CE0FD4">
        <w:t>5</w:t>
      </w:r>
      <w:r>
        <w:t>.</w:t>
      </w:r>
      <w:proofErr w:type="gramEnd"/>
      <w:r>
        <w:t xml:space="preserve"> </w:t>
      </w:r>
      <w:r w:rsidR="00AC762B" w:rsidRPr="00827EB6">
        <w:t xml:space="preserve">Change from baseline in AM </w:t>
      </w:r>
      <w:r>
        <w:t>and PM combined reflective TNSS</w:t>
      </w:r>
    </w:p>
    <w:tbl>
      <w:tblPr>
        <w:tblStyle w:val="TableTGAblue"/>
        <w:tblW w:w="5150" w:type="pct"/>
        <w:tblInd w:w="108" w:type="dxa"/>
        <w:tblLook w:val="04A0" w:firstRow="1" w:lastRow="0" w:firstColumn="1" w:lastColumn="0" w:noHBand="0" w:noVBand="1"/>
      </w:tblPr>
      <w:tblGrid>
        <w:gridCol w:w="1266"/>
        <w:gridCol w:w="639"/>
        <w:gridCol w:w="1090"/>
        <w:gridCol w:w="1090"/>
        <w:gridCol w:w="952"/>
        <w:gridCol w:w="1225"/>
        <w:gridCol w:w="952"/>
        <w:gridCol w:w="1089"/>
        <w:gridCol w:w="679"/>
      </w:tblGrid>
      <w:tr w:rsidR="0034481B" w:rsidTr="0034481B">
        <w:trPr>
          <w:cnfStyle w:val="100000000000" w:firstRow="1" w:lastRow="0" w:firstColumn="0" w:lastColumn="0" w:oddVBand="0" w:evenVBand="0" w:oddHBand="0" w:evenHBand="0" w:firstRowFirstColumn="0" w:firstRowLastColumn="0" w:lastRowFirstColumn="0" w:lastRowLastColumn="0"/>
          <w:trHeight w:val="437"/>
        </w:trPr>
        <w:tc>
          <w:tcPr>
            <w:tcW w:w="704" w:type="pct"/>
            <w:tcBorders>
              <w:right w:val="nil"/>
            </w:tcBorders>
          </w:tcPr>
          <w:p w:rsidR="0034481B" w:rsidRDefault="0034481B" w:rsidP="0034481B">
            <w:pPr>
              <w:adjustRightInd w:val="0"/>
              <w:snapToGrid w:val="0"/>
              <w:spacing w:after="0" w:line="240" w:lineRule="auto"/>
              <w:ind w:left="0" w:right="0"/>
              <w:rPr>
                <w:rFonts w:eastAsia="MS Mincho"/>
                <w:sz w:val="19"/>
                <w:szCs w:val="19"/>
                <w:lang w:eastAsia="ja-JP"/>
              </w:rPr>
            </w:pPr>
          </w:p>
        </w:tc>
        <w:tc>
          <w:tcPr>
            <w:tcW w:w="355"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n</w:t>
            </w:r>
          </w:p>
        </w:tc>
        <w:tc>
          <w:tcPr>
            <w:tcW w:w="607"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vertAlign w:val="superscript"/>
                <w:lang w:eastAsia="ja-JP"/>
              </w:rPr>
            </w:pPr>
            <w:proofErr w:type="spellStart"/>
            <w:r>
              <w:rPr>
                <w:rFonts w:eastAsia="MS Mincho"/>
                <w:sz w:val="19"/>
                <w:szCs w:val="19"/>
                <w:lang w:eastAsia="ja-JP"/>
              </w:rPr>
              <w:t>Mean</w:t>
            </w:r>
            <w:r>
              <w:rPr>
                <w:rFonts w:eastAsia="MS Mincho"/>
                <w:sz w:val="19"/>
                <w:szCs w:val="19"/>
                <w:vertAlign w:val="superscript"/>
                <w:lang w:eastAsia="ja-JP"/>
              </w:rPr>
              <w:t>a</w:t>
            </w:r>
            <w:proofErr w:type="spellEnd"/>
          </w:p>
        </w:tc>
        <w:tc>
          <w:tcPr>
            <w:tcW w:w="607"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vertAlign w:val="superscript"/>
                <w:lang w:eastAsia="ja-JP"/>
              </w:rPr>
            </w:pPr>
            <w:r>
              <w:rPr>
                <w:rFonts w:eastAsia="MS Mincho"/>
                <w:sz w:val="19"/>
                <w:szCs w:val="19"/>
                <w:lang w:eastAsia="ja-JP"/>
              </w:rPr>
              <w:t xml:space="preserve">LS </w:t>
            </w:r>
            <w:proofErr w:type="spellStart"/>
            <w:r>
              <w:rPr>
                <w:rFonts w:eastAsia="MS Mincho"/>
                <w:sz w:val="19"/>
                <w:szCs w:val="19"/>
                <w:lang w:eastAsia="ja-JP"/>
              </w:rPr>
              <w:t>Mean</w:t>
            </w:r>
            <w:r>
              <w:rPr>
                <w:rFonts w:eastAsia="MS Mincho"/>
                <w:sz w:val="19"/>
                <w:szCs w:val="19"/>
                <w:vertAlign w:val="superscript"/>
                <w:lang w:eastAsia="ja-JP"/>
              </w:rPr>
              <w:t>b</w:t>
            </w:r>
            <w:proofErr w:type="spellEnd"/>
          </w:p>
        </w:tc>
        <w:tc>
          <w:tcPr>
            <w:tcW w:w="530"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STD</w:t>
            </w:r>
          </w:p>
        </w:tc>
        <w:tc>
          <w:tcPr>
            <w:tcW w:w="682"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Paired t test</w:t>
            </w:r>
          </w:p>
          <w:p w:rsidR="0034481B" w:rsidRDefault="0034481B" w:rsidP="0034481B">
            <w:pPr>
              <w:adjustRightInd w:val="0"/>
              <w:snapToGrid w:val="0"/>
              <w:spacing w:after="0" w:line="240" w:lineRule="auto"/>
              <w:ind w:left="0" w:right="0"/>
              <w:rPr>
                <w:rFonts w:eastAsia="MS Mincho"/>
                <w:sz w:val="19"/>
                <w:szCs w:val="19"/>
                <w:vertAlign w:val="superscript"/>
                <w:lang w:eastAsia="ja-JP"/>
              </w:rPr>
            </w:pPr>
            <w:r>
              <w:rPr>
                <w:rFonts w:eastAsia="MS Mincho"/>
                <w:sz w:val="19"/>
                <w:szCs w:val="19"/>
                <w:lang w:eastAsia="ja-JP"/>
              </w:rPr>
              <w:t xml:space="preserve">p </w:t>
            </w:r>
            <w:proofErr w:type="spellStart"/>
            <w:r>
              <w:rPr>
                <w:rFonts w:eastAsia="MS Mincho"/>
                <w:sz w:val="19"/>
                <w:szCs w:val="19"/>
                <w:lang w:eastAsia="ja-JP"/>
              </w:rPr>
              <w:t>value</w:t>
            </w:r>
            <w:r>
              <w:rPr>
                <w:rFonts w:eastAsia="MS Mincho"/>
                <w:sz w:val="19"/>
                <w:szCs w:val="19"/>
                <w:vertAlign w:val="superscript"/>
                <w:lang w:eastAsia="ja-JP"/>
              </w:rPr>
              <w:t>c</w:t>
            </w:r>
            <w:proofErr w:type="spellEnd"/>
          </w:p>
        </w:tc>
        <w:tc>
          <w:tcPr>
            <w:tcW w:w="530"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source</w:t>
            </w:r>
          </w:p>
        </w:tc>
        <w:tc>
          <w:tcPr>
            <w:tcW w:w="606" w:type="pct"/>
            <w:tcBorders>
              <w:left w:val="nil"/>
              <w:righ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ANOVA</w:t>
            </w:r>
          </w:p>
          <w:p w:rsidR="0034481B" w:rsidRDefault="0034481B" w:rsidP="0034481B">
            <w:pPr>
              <w:adjustRightInd w:val="0"/>
              <w:snapToGrid w:val="0"/>
              <w:spacing w:after="0" w:line="240" w:lineRule="auto"/>
              <w:ind w:left="0" w:right="0"/>
              <w:rPr>
                <w:rFonts w:eastAsia="MS Mincho"/>
                <w:sz w:val="19"/>
                <w:szCs w:val="19"/>
                <w:vertAlign w:val="superscript"/>
                <w:lang w:eastAsia="ja-JP"/>
              </w:rPr>
            </w:pPr>
            <w:r>
              <w:rPr>
                <w:rFonts w:eastAsia="MS Mincho"/>
                <w:sz w:val="19"/>
                <w:szCs w:val="19"/>
                <w:lang w:eastAsia="ja-JP"/>
              </w:rPr>
              <w:t>P value</w:t>
            </w:r>
            <w:r>
              <w:rPr>
                <w:rFonts w:eastAsia="MS Mincho"/>
                <w:sz w:val="19"/>
                <w:szCs w:val="19"/>
                <w:vertAlign w:val="superscript"/>
                <w:lang w:eastAsia="ja-JP"/>
              </w:rPr>
              <w:t>d</w:t>
            </w:r>
          </w:p>
        </w:tc>
        <w:tc>
          <w:tcPr>
            <w:tcW w:w="378" w:type="pct"/>
            <w:tcBorders>
              <w:left w:val="nil"/>
            </w:tcBorders>
            <w:hideMark/>
          </w:tcPr>
          <w:p w:rsidR="0034481B" w:rsidRDefault="0034481B" w:rsidP="0034481B">
            <w:pPr>
              <w:adjustRightInd w:val="0"/>
              <w:snapToGrid w:val="0"/>
              <w:spacing w:after="0" w:line="240" w:lineRule="auto"/>
              <w:ind w:left="0" w:right="0"/>
              <w:rPr>
                <w:rFonts w:eastAsia="MS Mincho"/>
                <w:sz w:val="19"/>
                <w:szCs w:val="19"/>
                <w:lang w:eastAsia="ja-JP"/>
              </w:rPr>
            </w:pPr>
            <w:r>
              <w:rPr>
                <w:rFonts w:eastAsia="MS Mincho"/>
                <w:sz w:val="19"/>
                <w:szCs w:val="19"/>
                <w:lang w:eastAsia="ja-JP"/>
              </w:rPr>
              <w:t>95% CI</w:t>
            </w:r>
          </w:p>
        </w:tc>
      </w:tr>
      <w:tr w:rsidR="0034481B" w:rsidTr="0034481B">
        <w:trPr>
          <w:trHeight w:val="437"/>
        </w:trPr>
        <w:tc>
          <w:tcPr>
            <w:tcW w:w="70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rPr>
                <w:rFonts w:eastAsia="MS Mincho"/>
                <w:sz w:val="19"/>
                <w:szCs w:val="19"/>
                <w:lang w:eastAsia="ja-JP"/>
              </w:rPr>
            </w:pPr>
            <w:r>
              <w:rPr>
                <w:rFonts w:eastAsia="MS Mincho"/>
                <w:sz w:val="19"/>
                <w:szCs w:val="19"/>
                <w:lang w:eastAsia="ja-JP"/>
              </w:rPr>
              <w:t>FDC</w:t>
            </w:r>
          </w:p>
        </w:tc>
        <w:tc>
          <w:tcPr>
            <w:tcW w:w="35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153</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-5.46</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-5.31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5.084</w:t>
            </w:r>
          </w:p>
        </w:tc>
        <w:tc>
          <w:tcPr>
            <w:tcW w:w="68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FDC versus P</w:t>
            </w:r>
          </w:p>
        </w:tc>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37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-4.03, -2.19</w:t>
            </w:r>
          </w:p>
        </w:tc>
      </w:tr>
      <w:tr w:rsidR="0034481B" w:rsidTr="0034481B">
        <w:trPr>
          <w:trHeight w:val="437"/>
        </w:trPr>
        <w:tc>
          <w:tcPr>
            <w:tcW w:w="70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rPr>
                <w:rFonts w:eastAsia="MS Mincho"/>
                <w:sz w:val="19"/>
                <w:szCs w:val="19"/>
                <w:lang w:eastAsia="ja-JP"/>
              </w:rPr>
            </w:pPr>
            <w:proofErr w:type="spellStart"/>
            <w:r>
              <w:rPr>
                <w:rFonts w:eastAsia="MS Mincho"/>
                <w:sz w:val="19"/>
                <w:szCs w:val="19"/>
                <w:lang w:eastAsia="ja-JP"/>
              </w:rPr>
              <w:t>Astelin</w:t>
            </w:r>
            <w:proofErr w:type="spellEnd"/>
          </w:p>
        </w:tc>
        <w:tc>
          <w:tcPr>
            <w:tcW w:w="35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152</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-3.00</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-3.25</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4.155</w:t>
            </w:r>
          </w:p>
        </w:tc>
        <w:tc>
          <w:tcPr>
            <w:tcW w:w="68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FDC versus</w:t>
            </w:r>
            <w:r>
              <w:rPr>
                <w:rFonts w:eastAsia="MS Mincho"/>
                <w:sz w:val="19"/>
                <w:szCs w:val="19"/>
                <w:lang w:eastAsia="ja-JP"/>
              </w:rPr>
              <w:t xml:space="preserve"> </w:t>
            </w:r>
            <w:r>
              <w:rPr>
                <w:rFonts w:eastAsia="MS Mincho"/>
                <w:sz w:val="19"/>
                <w:szCs w:val="19"/>
                <w:lang w:eastAsia="ja-JP"/>
              </w:rPr>
              <w:t>A</w:t>
            </w:r>
          </w:p>
        </w:tc>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37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-2.98, -1.14</w:t>
            </w:r>
          </w:p>
        </w:tc>
      </w:tr>
      <w:tr w:rsidR="0034481B" w:rsidTr="0034481B">
        <w:trPr>
          <w:trHeight w:val="437"/>
        </w:trPr>
        <w:tc>
          <w:tcPr>
            <w:tcW w:w="70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rPr>
                <w:rFonts w:eastAsia="MS Mincho"/>
                <w:sz w:val="19"/>
                <w:szCs w:val="19"/>
                <w:lang w:eastAsia="ja-JP"/>
              </w:rPr>
            </w:pPr>
            <w:r>
              <w:rPr>
                <w:rFonts w:eastAsia="MS Mincho"/>
                <w:sz w:val="19"/>
                <w:szCs w:val="19"/>
                <w:lang w:eastAsia="ja-JP"/>
              </w:rPr>
              <w:t>Fluticasone</w:t>
            </w:r>
          </w:p>
        </w:tc>
        <w:tc>
          <w:tcPr>
            <w:tcW w:w="35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151</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-3.81</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-3.84</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4.762</w:t>
            </w:r>
          </w:p>
        </w:tc>
        <w:tc>
          <w:tcPr>
            <w:tcW w:w="68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 xml:space="preserve">FDC </w:t>
            </w:r>
            <w:r>
              <w:rPr>
                <w:rFonts w:eastAsia="MS Mincho"/>
                <w:sz w:val="19"/>
                <w:szCs w:val="19"/>
                <w:lang w:eastAsia="ja-JP"/>
              </w:rPr>
              <w:t>versus F</w:t>
            </w:r>
          </w:p>
        </w:tc>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0.003</w:t>
            </w:r>
          </w:p>
        </w:tc>
        <w:tc>
          <w:tcPr>
            <w:tcW w:w="378"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-2.44, -0.50</w:t>
            </w:r>
          </w:p>
        </w:tc>
      </w:tr>
      <w:tr w:rsidR="0034481B" w:rsidTr="0034481B">
        <w:trPr>
          <w:trHeight w:val="219"/>
        </w:trPr>
        <w:tc>
          <w:tcPr>
            <w:tcW w:w="70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rPr>
                <w:rFonts w:eastAsia="MS Mincho"/>
                <w:sz w:val="19"/>
                <w:szCs w:val="19"/>
                <w:lang w:eastAsia="ja-JP"/>
              </w:rPr>
            </w:pPr>
            <w:r>
              <w:rPr>
                <w:rFonts w:eastAsia="MS Mincho"/>
                <w:sz w:val="19"/>
                <w:szCs w:val="19"/>
                <w:lang w:eastAsia="ja-JP"/>
              </w:rPr>
              <w:t>Placebo</w:t>
            </w:r>
          </w:p>
        </w:tc>
        <w:tc>
          <w:tcPr>
            <w:tcW w:w="355"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150</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-1.91</w:t>
            </w:r>
          </w:p>
        </w:tc>
        <w:tc>
          <w:tcPr>
            <w:tcW w:w="607"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-2.20</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4.163</w:t>
            </w:r>
          </w:p>
        </w:tc>
        <w:tc>
          <w:tcPr>
            <w:tcW w:w="682"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adjustRightInd w:val="0"/>
              <w:snapToGrid w:val="0"/>
              <w:spacing w:line="240" w:lineRule="auto"/>
              <w:ind w:left="0" w:right="0"/>
              <w:jc w:val="center"/>
              <w:rPr>
                <w:rFonts w:eastAsia="MS Mincho"/>
                <w:sz w:val="19"/>
                <w:szCs w:val="19"/>
                <w:lang w:eastAsia="ja-JP"/>
              </w:rPr>
            </w:pPr>
            <w:r>
              <w:rPr>
                <w:rFonts w:eastAsia="MS Mincho"/>
                <w:sz w:val="19"/>
                <w:szCs w:val="19"/>
                <w:lang w:eastAsia="ja-JP"/>
              </w:rPr>
              <w:t>&lt;0.001</w:t>
            </w:r>
          </w:p>
        </w:tc>
        <w:tc>
          <w:tcPr>
            <w:tcW w:w="53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4481B" w:rsidRDefault="0034481B" w:rsidP="0034481B">
            <w:pPr>
              <w:adjustRightInd w:val="0"/>
              <w:snapToGrid w:val="0"/>
              <w:spacing w:line="240" w:lineRule="auto"/>
              <w:ind w:left="0" w:right="0"/>
              <w:jc w:val="center"/>
              <w:rPr>
                <w:rFonts w:eastAsia="MS Mincho"/>
                <w:sz w:val="19"/>
                <w:szCs w:val="19"/>
                <w:lang w:eastAsia="ja-JP"/>
              </w:rPr>
            </w:pPr>
          </w:p>
        </w:tc>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4481B" w:rsidRDefault="0034481B" w:rsidP="0034481B">
            <w:pPr>
              <w:adjustRightInd w:val="0"/>
              <w:snapToGrid w:val="0"/>
              <w:spacing w:line="240" w:lineRule="auto"/>
              <w:ind w:left="0" w:right="0"/>
              <w:jc w:val="center"/>
              <w:rPr>
                <w:rFonts w:eastAsia="MS Mincho"/>
                <w:sz w:val="19"/>
                <w:szCs w:val="19"/>
                <w:lang w:eastAsia="ja-JP"/>
              </w:rPr>
            </w:pPr>
          </w:p>
        </w:tc>
        <w:tc>
          <w:tcPr>
            <w:tcW w:w="37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4481B" w:rsidRDefault="0034481B" w:rsidP="0034481B">
            <w:pPr>
              <w:adjustRightInd w:val="0"/>
              <w:snapToGrid w:val="0"/>
              <w:spacing w:line="240" w:lineRule="auto"/>
              <w:ind w:left="0" w:right="0"/>
              <w:jc w:val="center"/>
              <w:rPr>
                <w:rFonts w:eastAsia="MS Mincho"/>
                <w:sz w:val="19"/>
                <w:szCs w:val="19"/>
                <w:lang w:eastAsia="ja-JP"/>
              </w:rPr>
            </w:pPr>
          </w:p>
        </w:tc>
      </w:tr>
    </w:tbl>
    <w:p w:rsidR="0034481B" w:rsidRDefault="00AC762B" w:rsidP="0088602A">
      <w:pPr>
        <w:pStyle w:val="TableDescription"/>
        <w:rPr>
          <w:lang w:eastAsia="ja-JP"/>
        </w:rPr>
      </w:pPr>
      <w:proofErr w:type="gramStart"/>
      <w:r w:rsidRPr="00CE448B">
        <w:rPr>
          <w:vertAlign w:val="superscript"/>
          <w:lang w:eastAsia="ja-JP"/>
        </w:rPr>
        <w:t>a</w:t>
      </w:r>
      <w:proofErr w:type="gramEnd"/>
      <w:r w:rsidR="007B3DAC">
        <w:rPr>
          <w:lang w:eastAsia="ja-JP"/>
        </w:rPr>
        <w:t xml:space="preserve"> Total number intent to treat (ITT)</w:t>
      </w:r>
      <w:r w:rsidR="0034481B">
        <w:rPr>
          <w:lang w:eastAsia="ja-JP"/>
        </w:rPr>
        <w:t xml:space="preserve"> available data;</w:t>
      </w:r>
    </w:p>
    <w:p w:rsidR="0034481B" w:rsidRDefault="00AC762B" w:rsidP="0088602A">
      <w:pPr>
        <w:pStyle w:val="TableDescription"/>
        <w:rPr>
          <w:lang w:eastAsia="ja-JP"/>
        </w:rPr>
      </w:pPr>
      <w:proofErr w:type="gramStart"/>
      <w:r w:rsidRPr="00CE448B">
        <w:rPr>
          <w:vertAlign w:val="superscript"/>
          <w:lang w:eastAsia="ja-JP"/>
        </w:rPr>
        <w:t>b</w:t>
      </w:r>
      <w:proofErr w:type="gramEnd"/>
      <w:r w:rsidRPr="00CE448B">
        <w:rPr>
          <w:lang w:eastAsia="ja-JP"/>
        </w:rPr>
        <w:t xml:space="preserve"> Least square mean obtained from analysis of variance model for baseline or analysis of covariance </w:t>
      </w:r>
      <w:r w:rsidR="0034481B">
        <w:rPr>
          <w:lang w:eastAsia="ja-JP"/>
        </w:rPr>
        <w:t>model for overall.</w:t>
      </w:r>
    </w:p>
    <w:p w:rsidR="00AC762B" w:rsidRPr="00CE448B" w:rsidRDefault="00AC762B" w:rsidP="0088602A">
      <w:pPr>
        <w:pStyle w:val="TableDescription"/>
        <w:rPr>
          <w:lang w:eastAsia="ja-JP"/>
        </w:rPr>
      </w:pPr>
      <w:proofErr w:type="gramStart"/>
      <w:r w:rsidRPr="00CE448B">
        <w:rPr>
          <w:vertAlign w:val="superscript"/>
          <w:lang w:eastAsia="ja-JP"/>
        </w:rPr>
        <w:t xml:space="preserve">c </w:t>
      </w:r>
      <w:r w:rsidR="0034481B">
        <w:rPr>
          <w:vertAlign w:val="superscript"/>
          <w:lang w:eastAsia="ja-JP"/>
        </w:rPr>
        <w:t xml:space="preserve"> </w:t>
      </w:r>
      <w:r w:rsidRPr="00CE448B">
        <w:rPr>
          <w:lang w:eastAsia="ja-JP"/>
        </w:rPr>
        <w:t>p</w:t>
      </w:r>
      <w:proofErr w:type="gramEnd"/>
      <w:r w:rsidRPr="00CE448B">
        <w:rPr>
          <w:lang w:eastAsia="ja-JP"/>
        </w:rPr>
        <w:t>-value for within subject change was based on paired t test.</w:t>
      </w:r>
    </w:p>
    <w:p w:rsidR="0034481B" w:rsidRDefault="00AC762B" w:rsidP="0088602A">
      <w:pPr>
        <w:pStyle w:val="TableDescription"/>
        <w:rPr>
          <w:lang w:eastAsia="ja-JP"/>
        </w:rPr>
      </w:pPr>
      <w:proofErr w:type="gramStart"/>
      <w:r w:rsidRPr="00CE448B">
        <w:rPr>
          <w:vertAlign w:val="superscript"/>
          <w:lang w:eastAsia="ja-JP"/>
        </w:rPr>
        <w:t>d</w:t>
      </w:r>
      <w:proofErr w:type="gramEnd"/>
      <w:r w:rsidRPr="00CE448B">
        <w:rPr>
          <w:lang w:eastAsia="ja-JP"/>
        </w:rPr>
        <w:t xml:space="preserve"> p-valu</w:t>
      </w:r>
      <w:r w:rsidR="0034481B">
        <w:rPr>
          <w:lang w:eastAsia="ja-JP"/>
        </w:rPr>
        <w:t>e for between group comparison;</w:t>
      </w:r>
    </w:p>
    <w:p w:rsidR="00AC762B" w:rsidRPr="00CE448B" w:rsidRDefault="00AC762B" w:rsidP="0088602A">
      <w:pPr>
        <w:pStyle w:val="TableDescription"/>
        <w:rPr>
          <w:lang w:eastAsia="ja-JP"/>
        </w:rPr>
      </w:pPr>
      <w:proofErr w:type="gramStart"/>
      <w:r w:rsidRPr="00CE448B">
        <w:rPr>
          <w:vertAlign w:val="superscript"/>
          <w:lang w:eastAsia="ja-JP"/>
        </w:rPr>
        <w:t>e</w:t>
      </w:r>
      <w:proofErr w:type="gramEnd"/>
      <w:r w:rsidRPr="00CE448B">
        <w:rPr>
          <w:lang w:eastAsia="ja-JP"/>
        </w:rPr>
        <w:t xml:space="preserve"> Baseline includes TNSS scores over the 7 day lead in period including Day 1 AM. Overall includes scores from Day 1 to Day 14 AM. FDC-Proposed fixed dose combination.</w:t>
      </w:r>
    </w:p>
    <w:p w:rsidR="00AC762B" w:rsidRPr="00CE448B" w:rsidRDefault="00AC762B" w:rsidP="0088602A">
      <w:r w:rsidRPr="00CE448B">
        <w:t xml:space="preserve">The evaluator states that though there was a significant placebo effect, the magnitude observed with the </w:t>
      </w:r>
      <w:r w:rsidR="0088602A">
        <w:t>FDC was clinically significant.</w:t>
      </w:r>
    </w:p>
    <w:p w:rsidR="00AC762B" w:rsidRPr="00CE448B" w:rsidRDefault="00AC762B" w:rsidP="0088602A">
      <w:r w:rsidRPr="00CE448B">
        <w:t xml:space="preserve">The secondary efficacy endpoints relating to nasal, ocular symptoms, </w:t>
      </w:r>
      <w:r w:rsidR="007B3DAC">
        <w:t>rhino</w:t>
      </w:r>
      <w:r w:rsidR="009373C9">
        <w:t>-</w:t>
      </w:r>
      <w:r w:rsidR="007B3DAC">
        <w:t>conjunctivitis quality of life questionnaire (</w:t>
      </w:r>
      <w:r w:rsidRPr="00CE448B">
        <w:t>RQLQ</w:t>
      </w:r>
      <w:r w:rsidR="007B3DAC">
        <w:t>)</w:t>
      </w:r>
      <w:r w:rsidRPr="00CE448B">
        <w:t xml:space="preserve"> scores showed similar results to the primary efficacy endpoints; however, some of these endpoints did not show statistically s</w:t>
      </w:r>
      <w:r w:rsidR="00CE448B">
        <w:t>ignificant superiority of FDC versus</w:t>
      </w:r>
      <w:r w:rsidR="0088602A">
        <w:t xml:space="preserve"> fluticasone.</w:t>
      </w:r>
    </w:p>
    <w:p w:rsidR="00AC762B" w:rsidRPr="00AC762B" w:rsidRDefault="00AC762B" w:rsidP="0088602A">
      <w:pPr>
        <w:pStyle w:val="Heading5"/>
        <w:rPr>
          <w:rFonts w:ascii="Times New Roman" w:eastAsia="MS Mincho" w:hAnsi="Times New Roman"/>
          <w:sz w:val="24"/>
          <w:szCs w:val="24"/>
          <w:lang w:eastAsia="ja-JP"/>
        </w:rPr>
      </w:pPr>
      <w:r w:rsidRPr="00AC762B">
        <w:rPr>
          <w:rFonts w:eastAsia="MS Mincho"/>
          <w:lang w:eastAsia="ja-JP"/>
        </w:rPr>
        <w:t>Other efficacy studies</w:t>
      </w:r>
    </w:p>
    <w:p w:rsidR="00AC762B" w:rsidRPr="00CE448B" w:rsidRDefault="00AC762B" w:rsidP="0088602A">
      <w:r w:rsidRPr="00CE448B">
        <w:t xml:space="preserve">There were 3 other efficacy studies (MP4002, MMP4004 and MP4006) which were similar in design to the pivotal study, MP4001. The </w:t>
      </w:r>
      <w:proofErr w:type="spellStart"/>
      <w:r w:rsidRPr="00CE448B">
        <w:t>azelastine</w:t>
      </w:r>
      <w:proofErr w:type="spellEnd"/>
      <w:r w:rsidRPr="00CE448B">
        <w:t xml:space="preserve"> and fluticasone monotherapy products used were “in house” formulations with no evidence of comparable efficacy to marketed formulation. Thus, the evaluator did not</w:t>
      </w:r>
      <w:r w:rsidR="0088602A">
        <w:t xml:space="preserve"> consider them pivotal studies.</w:t>
      </w:r>
    </w:p>
    <w:p w:rsidR="00AC762B" w:rsidRPr="00CE448B" w:rsidRDefault="00AC762B" w:rsidP="0088602A">
      <w:r w:rsidRPr="00CE448B">
        <w:lastRenderedPageBreak/>
        <w:t>All studies included 4 treatment groups as shown below</w:t>
      </w:r>
      <w:r w:rsidR="0088602A">
        <w:t>:</w:t>
      </w:r>
    </w:p>
    <w:p w:rsidR="00AC762B" w:rsidRPr="00CE448B" w:rsidRDefault="00AC762B" w:rsidP="0088602A">
      <w:pPr>
        <w:pStyle w:val="ListBullet"/>
      </w:pPr>
      <w:r w:rsidRPr="00CE448B">
        <w:t xml:space="preserve">The proposed fixed combination of fluticasone propionate (50 µg per actuation) and </w:t>
      </w:r>
      <w:proofErr w:type="spellStart"/>
      <w:r w:rsidRPr="00CE448B">
        <w:t>azelastine</w:t>
      </w:r>
      <w:proofErr w:type="spellEnd"/>
      <w:r w:rsidRPr="00CE448B">
        <w:t xml:space="preserve"> hydrochloride (137 µg per actuation) nasal spray – one sp</w:t>
      </w:r>
      <w:r w:rsidR="0088602A">
        <w:t>ray in each nostril twice daily</w:t>
      </w:r>
    </w:p>
    <w:p w:rsidR="00AC762B" w:rsidRPr="00CE448B" w:rsidRDefault="00AC762B" w:rsidP="0088602A">
      <w:pPr>
        <w:pStyle w:val="ListBullet"/>
      </w:pPr>
      <w:r w:rsidRPr="00CE448B">
        <w:t>Fluticasone propionate (50 µg per actuation) nasal spray (formulated in the same vehicle as the combination product) - one sp</w:t>
      </w:r>
      <w:r w:rsidR="0088602A">
        <w:t>ray in each nostril twice daily</w:t>
      </w:r>
    </w:p>
    <w:p w:rsidR="00AC762B" w:rsidRPr="00CE448B" w:rsidRDefault="00AC762B" w:rsidP="0088602A">
      <w:pPr>
        <w:pStyle w:val="ListBullet"/>
      </w:pPr>
      <w:proofErr w:type="spellStart"/>
      <w:r w:rsidRPr="00CE448B">
        <w:t>Azelastine</w:t>
      </w:r>
      <w:proofErr w:type="spellEnd"/>
      <w:r w:rsidRPr="00CE448B">
        <w:t xml:space="preserve"> hydrochloride (137 µg per actuation) nasal spray (formulated in the same vehicle as the combination product) – one sp</w:t>
      </w:r>
      <w:r w:rsidR="0088602A">
        <w:t>ray in each nostril twice daily</w:t>
      </w:r>
    </w:p>
    <w:p w:rsidR="00AC762B" w:rsidRPr="00CE448B" w:rsidRDefault="00AC762B" w:rsidP="0088602A">
      <w:pPr>
        <w:pStyle w:val="ListBullet"/>
      </w:pPr>
      <w:r w:rsidRPr="00CE448B">
        <w:t>Placebo spray - one spray in each nostril twice daily.</w:t>
      </w:r>
    </w:p>
    <w:p w:rsidR="00AC762B" w:rsidRPr="00AC762B" w:rsidRDefault="00AC762B" w:rsidP="0088602A">
      <w:pPr>
        <w:pStyle w:val="Heading6"/>
        <w:rPr>
          <w:rFonts w:eastAsia="MS Mincho"/>
          <w:lang w:eastAsia="ja-JP"/>
        </w:rPr>
      </w:pPr>
      <w:r w:rsidRPr="00AC762B">
        <w:rPr>
          <w:rFonts w:eastAsia="MS Mincho"/>
          <w:lang w:eastAsia="ja-JP"/>
        </w:rPr>
        <w:t>Study MP 4002</w:t>
      </w:r>
    </w:p>
    <w:p w:rsidR="00AC762B" w:rsidRPr="00CE448B" w:rsidRDefault="00AC762B" w:rsidP="0088602A">
      <w:r w:rsidRPr="00CE448B">
        <w:t xml:space="preserve">The design and objectives were similar to MP4001. The study was conducted in those with SAR and those with documented sensitivity to </w:t>
      </w:r>
      <w:proofErr w:type="gramStart"/>
      <w:r w:rsidRPr="00CE448B">
        <w:t>a local</w:t>
      </w:r>
      <w:proofErr w:type="gramEnd"/>
      <w:r w:rsidRPr="00CE448B">
        <w:t xml:space="preserve"> spring pollen. The subjects were also to have moderate to severe rhinitis.</w:t>
      </w:r>
    </w:p>
    <w:p w:rsidR="00AC762B" w:rsidRPr="00CE448B" w:rsidRDefault="00CE448B" w:rsidP="0088602A">
      <w:r>
        <w:t xml:space="preserve">The evaluator mentions that, </w:t>
      </w:r>
      <w:r w:rsidRPr="0088602A">
        <w:rPr>
          <w:i/>
        </w:rPr>
        <w:t>‘</w:t>
      </w:r>
      <w:r w:rsidR="00AC762B" w:rsidRPr="0088602A">
        <w:rPr>
          <w:i/>
        </w:rPr>
        <w:t xml:space="preserve">the primary efficacy outcome was </w:t>
      </w:r>
      <w:proofErr w:type="spellStart"/>
      <w:r w:rsidR="00AC762B" w:rsidRPr="0088602A">
        <w:rPr>
          <w:i/>
        </w:rPr>
        <w:t>rTNSS</w:t>
      </w:r>
      <w:proofErr w:type="spellEnd"/>
      <w:r w:rsidR="00AC762B" w:rsidRPr="0088602A">
        <w:rPr>
          <w:i/>
        </w:rPr>
        <w:t xml:space="preserve"> over the entire 14-day treatment period and the secondary efficacy outcomes were essentially the same as those used in the pivotal study. In addition, the study assessed onset of action by recording </w:t>
      </w:r>
      <w:proofErr w:type="spellStart"/>
      <w:r w:rsidR="00AC762B" w:rsidRPr="0088602A">
        <w:rPr>
          <w:i/>
        </w:rPr>
        <w:t>iTNSS</w:t>
      </w:r>
      <w:proofErr w:type="spellEnd"/>
      <w:r w:rsidR="00AC762B" w:rsidRPr="0088602A">
        <w:rPr>
          <w:i/>
        </w:rPr>
        <w:t xml:space="preserve"> at the following time points after the initial use of study medication on Day 1: 0, 15, 30, 45, 60, 90, 120, 150, 180, 210 and 240 minutes</w:t>
      </w:r>
      <w:r w:rsidR="0088602A">
        <w:rPr>
          <w:i/>
        </w:rPr>
        <w:t>’</w:t>
      </w:r>
      <w:r w:rsidR="00AC762B" w:rsidRPr="0088602A">
        <w:rPr>
          <w:i/>
        </w:rPr>
        <w:t>.</w:t>
      </w:r>
    </w:p>
    <w:p w:rsidR="00AC762B" w:rsidRPr="00CE448B" w:rsidRDefault="00AC762B" w:rsidP="0088602A">
      <w:r w:rsidRPr="00CE448B">
        <w:t>A total of 832 subjects were randomised: 207 to the p</w:t>
      </w:r>
      <w:r w:rsidR="00BB0EC9">
        <w:t>roposed FDC, 207 to fluticasone and</w:t>
      </w:r>
      <w:r w:rsidRPr="00CE448B">
        <w:t xml:space="preserve"> 208 to </w:t>
      </w:r>
      <w:proofErr w:type="spellStart"/>
      <w:r w:rsidRPr="00CE448B">
        <w:t>azelastine</w:t>
      </w:r>
      <w:proofErr w:type="spellEnd"/>
      <w:r w:rsidRPr="00CE448B">
        <w:t>. The baseline characteristics</w:t>
      </w:r>
      <w:r w:rsidR="00CE448B">
        <w:t xml:space="preserve"> </w:t>
      </w:r>
      <w:r w:rsidRPr="00CE448B">
        <w:t>were similar between groups. The mean duration of SAR was approximately 21 years.</w:t>
      </w:r>
    </w:p>
    <w:p w:rsidR="00AC762B" w:rsidRPr="00CE448B" w:rsidRDefault="00CE448B" w:rsidP="0088602A">
      <w:r>
        <w:t xml:space="preserve">The evaluator mentions that, </w:t>
      </w:r>
      <w:r w:rsidRPr="0088602A">
        <w:rPr>
          <w:i/>
        </w:rPr>
        <w:t>‘</w:t>
      </w:r>
      <w:r w:rsidR="00AC762B" w:rsidRPr="0088602A">
        <w:rPr>
          <w:i/>
        </w:rPr>
        <w:t xml:space="preserve">all four treatments were associated with significant improvement in </w:t>
      </w:r>
      <w:proofErr w:type="spellStart"/>
      <w:r w:rsidR="00AC762B" w:rsidRPr="0088602A">
        <w:rPr>
          <w:i/>
        </w:rPr>
        <w:t>rTNSS</w:t>
      </w:r>
      <w:proofErr w:type="spellEnd"/>
      <w:r w:rsidR="00AC762B" w:rsidRPr="0088602A">
        <w:rPr>
          <w:i/>
        </w:rPr>
        <w:t xml:space="preserve"> from baseline. The three active treatments were all superior to placebo and the combination was significantly more effective than the two monotherapies</w:t>
      </w:r>
      <w:r w:rsidRPr="0088602A">
        <w:rPr>
          <w:i/>
        </w:rPr>
        <w:t>’</w:t>
      </w:r>
      <w:r w:rsidR="0088602A">
        <w:rPr>
          <w:i/>
        </w:rPr>
        <w:t>.</w:t>
      </w:r>
    </w:p>
    <w:p w:rsidR="00AC762B" w:rsidRPr="0088602A" w:rsidRDefault="00AC762B" w:rsidP="0088602A">
      <w:r w:rsidRPr="00CE448B">
        <w:t xml:space="preserve">Secondary efficacy endpoints: The evaluator also mentions that, </w:t>
      </w:r>
      <w:r w:rsidR="00CE448B" w:rsidRPr="0088602A">
        <w:rPr>
          <w:i/>
        </w:rPr>
        <w:t>‘</w:t>
      </w:r>
      <w:r w:rsidRPr="0088602A">
        <w:rPr>
          <w:i/>
        </w:rPr>
        <w:t xml:space="preserve">there were multiple secondary endpoints based on nasal symptom scores including individual symptoms and </w:t>
      </w:r>
      <w:proofErr w:type="spellStart"/>
      <w:r w:rsidRPr="0088602A">
        <w:rPr>
          <w:i/>
        </w:rPr>
        <w:t>iTNSS</w:t>
      </w:r>
      <w:proofErr w:type="spellEnd"/>
      <w:r w:rsidRPr="0088602A">
        <w:rPr>
          <w:i/>
        </w:rPr>
        <w:t xml:space="preserve">. On these endpoints, the combination was consistently superior to placebo and </w:t>
      </w:r>
      <w:proofErr w:type="spellStart"/>
      <w:r w:rsidRPr="0088602A">
        <w:rPr>
          <w:i/>
        </w:rPr>
        <w:t>azelastine</w:t>
      </w:r>
      <w:proofErr w:type="spellEnd"/>
      <w:r w:rsidRPr="0088602A">
        <w:rPr>
          <w:i/>
        </w:rPr>
        <w:t>. However, for the majority of the secondary endpoints there was no significant difference between the combination and fluticasone</w:t>
      </w:r>
      <w:r w:rsidR="00CE448B" w:rsidRPr="0088602A">
        <w:rPr>
          <w:i/>
        </w:rPr>
        <w:t>’</w:t>
      </w:r>
      <w:r w:rsidR="0088602A" w:rsidRPr="0088602A">
        <w:t>.</w:t>
      </w:r>
    </w:p>
    <w:p w:rsidR="00AC762B" w:rsidRPr="00CE448B" w:rsidRDefault="00CE448B" w:rsidP="0088602A">
      <w:pPr>
        <w:pStyle w:val="Heading6"/>
        <w:rPr>
          <w:rFonts w:eastAsia="MS Mincho"/>
        </w:rPr>
      </w:pPr>
      <w:r w:rsidRPr="00CE448B">
        <w:rPr>
          <w:rFonts w:eastAsia="MS Mincho"/>
        </w:rPr>
        <w:t>MP4004</w:t>
      </w:r>
    </w:p>
    <w:p w:rsidR="00AC762B" w:rsidRPr="00CE448B" w:rsidRDefault="00AC762B" w:rsidP="0088602A">
      <w:r w:rsidRPr="00CE448B">
        <w:t>The design and methods were similar to MP4002 except that the subjects had a documented hypersensitivity to a local autumn antigen and the study was conducted during the</w:t>
      </w:r>
      <w:r w:rsidR="0088602A">
        <w:t xml:space="preserve"> North American autumn season.</w:t>
      </w:r>
    </w:p>
    <w:p w:rsidR="00AC762B" w:rsidRPr="00CE448B" w:rsidRDefault="00CE448B" w:rsidP="0088602A">
      <w:r>
        <w:t>The evaluator mentions that, ‘</w:t>
      </w:r>
      <w:r w:rsidR="00AC762B" w:rsidRPr="0088602A">
        <w:rPr>
          <w:i/>
        </w:rPr>
        <w:t xml:space="preserve">the statistical analysis plan differed from MP4002 in that </w:t>
      </w:r>
      <w:r w:rsidR="007B3DAC" w:rsidRPr="0088602A">
        <w:rPr>
          <w:i/>
        </w:rPr>
        <w:t>reflective total ocular symptom score (</w:t>
      </w:r>
      <w:proofErr w:type="spellStart"/>
      <w:r w:rsidR="00AC762B" w:rsidRPr="0088602A">
        <w:rPr>
          <w:i/>
        </w:rPr>
        <w:t>rTOSS</w:t>
      </w:r>
      <w:proofErr w:type="spellEnd"/>
      <w:r w:rsidR="007B3DAC" w:rsidRPr="0088602A">
        <w:rPr>
          <w:i/>
        </w:rPr>
        <w:t>)</w:t>
      </w:r>
      <w:r w:rsidR="00AC762B" w:rsidRPr="0088602A">
        <w:rPr>
          <w:i/>
        </w:rPr>
        <w:t xml:space="preserve"> was made a key secondary endpoint, with additional control introduced for multiplicity testing. Once the 3 test comparisons of </w:t>
      </w:r>
      <w:proofErr w:type="spellStart"/>
      <w:r w:rsidR="00AC762B" w:rsidRPr="0088602A">
        <w:rPr>
          <w:i/>
        </w:rPr>
        <w:t>rTNSS</w:t>
      </w:r>
      <w:proofErr w:type="spellEnd"/>
      <w:r w:rsidR="00AC762B" w:rsidRPr="0088602A">
        <w:rPr>
          <w:i/>
        </w:rPr>
        <w:t xml:space="preserve"> (the combination v</w:t>
      </w:r>
      <w:r w:rsidRPr="0088602A">
        <w:rPr>
          <w:i/>
        </w:rPr>
        <w:t>ersus</w:t>
      </w:r>
      <w:r w:rsidR="00AC762B" w:rsidRPr="0088602A">
        <w:rPr>
          <w:i/>
        </w:rPr>
        <w:t xml:space="preserve"> placebo, </w:t>
      </w:r>
      <w:proofErr w:type="spellStart"/>
      <w:r w:rsidR="00AC762B" w:rsidRPr="0088602A">
        <w:rPr>
          <w:i/>
        </w:rPr>
        <w:t>azelastine</w:t>
      </w:r>
      <w:proofErr w:type="spellEnd"/>
      <w:r w:rsidR="00AC762B" w:rsidRPr="0088602A">
        <w:rPr>
          <w:i/>
        </w:rPr>
        <w:t xml:space="preserve"> and fluticasone) were shown to be significantly different in favour of the combination, the </w:t>
      </w:r>
      <w:proofErr w:type="spellStart"/>
      <w:r w:rsidR="00AC762B" w:rsidRPr="0088602A">
        <w:rPr>
          <w:i/>
        </w:rPr>
        <w:t>rTOSS</w:t>
      </w:r>
      <w:proofErr w:type="spellEnd"/>
      <w:r w:rsidR="00AC762B" w:rsidRPr="0088602A">
        <w:rPr>
          <w:i/>
        </w:rPr>
        <w:t xml:space="preserve"> was examined in the same order specified for </w:t>
      </w:r>
      <w:proofErr w:type="spellStart"/>
      <w:r w:rsidR="00AC762B" w:rsidRPr="0088602A">
        <w:rPr>
          <w:i/>
        </w:rPr>
        <w:t>rTNSS</w:t>
      </w:r>
      <w:proofErr w:type="spellEnd"/>
      <w:r w:rsidRPr="0088602A">
        <w:rPr>
          <w:i/>
        </w:rPr>
        <w:t>’</w:t>
      </w:r>
      <w:r w:rsidR="0088602A">
        <w:t>.</w:t>
      </w:r>
    </w:p>
    <w:p w:rsidR="00AC762B" w:rsidRPr="00CE448B" w:rsidRDefault="00AC762B" w:rsidP="0088602A">
      <w:r w:rsidRPr="00CE448B">
        <w:t>A total of 779 subjects were randomised; 195 subjects to the proposed F</w:t>
      </w:r>
      <w:r w:rsidR="00BB0EC9">
        <w:t xml:space="preserve">DC, 194 subjects to </w:t>
      </w:r>
      <w:proofErr w:type="spellStart"/>
      <w:r w:rsidR="00BB0EC9">
        <w:t>azelastine</w:t>
      </w:r>
      <w:proofErr w:type="spellEnd"/>
      <w:r w:rsidR="00BB0EC9">
        <w:t xml:space="preserve"> and </w:t>
      </w:r>
      <w:r w:rsidRPr="00CE448B">
        <w:t>189 subjects to fluticasone. The baseline characteristi</w:t>
      </w:r>
      <w:r w:rsidR="00CE448B">
        <w:t>cs were similar between groups</w:t>
      </w:r>
      <w:r w:rsidR="0088602A">
        <w:t>.</w:t>
      </w:r>
    </w:p>
    <w:p w:rsidR="00AC762B" w:rsidRPr="00CE448B" w:rsidRDefault="00CE448B" w:rsidP="0088602A">
      <w:r>
        <w:t>Regarding t</w:t>
      </w:r>
      <w:r w:rsidR="00AC762B" w:rsidRPr="00CE448B">
        <w:t xml:space="preserve">he results of the primary efficacy endpoint </w:t>
      </w:r>
      <w:r>
        <w:t>t</w:t>
      </w:r>
      <w:r w:rsidR="00AC762B" w:rsidRPr="00CE448B">
        <w:t>he evaluator mentions that,</w:t>
      </w:r>
      <w:r>
        <w:t xml:space="preserve"> </w:t>
      </w:r>
      <w:r w:rsidRPr="0088602A">
        <w:rPr>
          <w:i/>
        </w:rPr>
        <w:t>‘</w:t>
      </w:r>
      <w:r w:rsidR="00AC762B" w:rsidRPr="0088602A">
        <w:rPr>
          <w:i/>
        </w:rPr>
        <w:t xml:space="preserve">all four treatments were associated with significant improvement in </w:t>
      </w:r>
      <w:proofErr w:type="spellStart"/>
      <w:r w:rsidR="00AC762B" w:rsidRPr="0088602A">
        <w:rPr>
          <w:i/>
        </w:rPr>
        <w:t>rTNSS</w:t>
      </w:r>
      <w:proofErr w:type="spellEnd"/>
      <w:r w:rsidR="00AC762B" w:rsidRPr="0088602A">
        <w:rPr>
          <w:i/>
        </w:rPr>
        <w:t xml:space="preserve"> from baseline. The three active treatments were all superior to placebo and the combination was significantly more effective than the two monotherapies</w:t>
      </w:r>
      <w:r w:rsidRPr="0088602A">
        <w:rPr>
          <w:i/>
        </w:rPr>
        <w:t>’</w:t>
      </w:r>
      <w:r w:rsidR="0088602A" w:rsidRPr="0088602A">
        <w:t>.</w:t>
      </w:r>
    </w:p>
    <w:p w:rsidR="00AC762B" w:rsidRPr="00CE448B" w:rsidRDefault="00AC762B" w:rsidP="0088602A">
      <w:r w:rsidRPr="00CE448B">
        <w:lastRenderedPageBreak/>
        <w:t xml:space="preserve">In relation to the multiple secondary endpoints based on nasal symptom scores (individual symptoms and </w:t>
      </w:r>
      <w:proofErr w:type="spellStart"/>
      <w:r w:rsidRPr="00CE448B">
        <w:t>iTNSS</w:t>
      </w:r>
      <w:proofErr w:type="spellEnd"/>
      <w:r w:rsidRPr="00CE448B">
        <w:t xml:space="preserve">), the proposed FDC was consistently superior to placebo and </w:t>
      </w:r>
      <w:proofErr w:type="spellStart"/>
      <w:r w:rsidRPr="00CE448B">
        <w:t>azelastine</w:t>
      </w:r>
      <w:proofErr w:type="spellEnd"/>
      <w:r w:rsidRPr="00CE448B">
        <w:t>. However, for majority of these endpoints, there was no statistically significant difference b</w:t>
      </w:r>
      <w:r w:rsidR="0088602A">
        <w:t>etween the FDC and fluticasone.</w:t>
      </w:r>
    </w:p>
    <w:p w:rsidR="00AC762B" w:rsidRPr="00CE448B" w:rsidRDefault="00AC762B" w:rsidP="0088602A">
      <w:r w:rsidRPr="00CE448B">
        <w:t xml:space="preserve">The results of the change in </w:t>
      </w:r>
      <w:proofErr w:type="spellStart"/>
      <w:r w:rsidRPr="00CE448B">
        <w:t>iTNSS</w:t>
      </w:r>
      <w:proofErr w:type="spellEnd"/>
      <w:r w:rsidRPr="00CE448B">
        <w:t xml:space="preserve"> over the first 4 hours (</w:t>
      </w:r>
      <w:r w:rsidR="00CE448B">
        <w:t>D</w:t>
      </w:r>
      <w:r w:rsidRPr="00CE448B">
        <w:t>ay 1) showed statistically significant difference favouring the FDC over placebo, supporting the claim of rap</w:t>
      </w:r>
      <w:r w:rsidR="0088602A">
        <w:t xml:space="preserve">id onset of action of the FDC. </w:t>
      </w:r>
      <w:r w:rsidRPr="00CE448B">
        <w:t>However, this was not evident in the comparison of the FDC</w:t>
      </w:r>
      <w:r w:rsidR="00CE448B">
        <w:t xml:space="preserve"> versus</w:t>
      </w:r>
      <w:r w:rsidR="0088602A">
        <w:t xml:space="preserve"> fluticasone.</w:t>
      </w:r>
    </w:p>
    <w:p w:rsidR="00AC762B" w:rsidRPr="00CE448B" w:rsidRDefault="00AC762B" w:rsidP="0088602A">
      <w:r w:rsidRPr="00CE448B">
        <w:t>Ocular symptom endpoints, RQLQ scores showed that the FDC was superior to placebo.  There was no clinically significant difference between the FDC</w:t>
      </w:r>
      <w:r w:rsidR="0088602A">
        <w:t xml:space="preserve"> and </w:t>
      </w:r>
      <w:proofErr w:type="spellStart"/>
      <w:r w:rsidR="0088602A">
        <w:t>azelastine</w:t>
      </w:r>
      <w:proofErr w:type="spellEnd"/>
      <w:r w:rsidR="0088602A">
        <w:t xml:space="preserve"> or fluticasone.</w:t>
      </w:r>
    </w:p>
    <w:p w:rsidR="00AC762B" w:rsidRPr="00CE448B" w:rsidRDefault="00AC762B" w:rsidP="0088602A">
      <w:pPr>
        <w:pStyle w:val="Heading6"/>
        <w:rPr>
          <w:rFonts w:eastAsia="MS Mincho"/>
        </w:rPr>
      </w:pPr>
      <w:r w:rsidRPr="00CE448B">
        <w:rPr>
          <w:rFonts w:eastAsia="MS Mincho"/>
        </w:rPr>
        <w:t>Study M</w:t>
      </w:r>
      <w:r w:rsidR="00E34171">
        <w:rPr>
          <w:rFonts w:eastAsia="MS Mincho"/>
        </w:rPr>
        <w:t>P</w:t>
      </w:r>
      <w:r w:rsidRPr="00CE448B">
        <w:rPr>
          <w:rFonts w:eastAsia="MS Mincho"/>
        </w:rPr>
        <w:t>4006</w:t>
      </w:r>
    </w:p>
    <w:p w:rsidR="00AC762B" w:rsidRPr="00CE448B" w:rsidRDefault="00AC762B" w:rsidP="0088602A">
      <w:r w:rsidRPr="00CE448B">
        <w:t xml:space="preserve">This study was also similar in design to the previous studies. In addition, the subjects were also to have hypersensitivity to </w:t>
      </w:r>
      <w:proofErr w:type="gramStart"/>
      <w:r w:rsidRPr="00CE448B">
        <w:t>a prevailing</w:t>
      </w:r>
      <w:proofErr w:type="gramEnd"/>
      <w:r w:rsidRPr="00CE448B">
        <w:t xml:space="preserve"> individual seasonal pollen documented by positive skin prick testing within the last year.</w:t>
      </w:r>
    </w:p>
    <w:p w:rsidR="00AC762B" w:rsidRPr="00CE448B" w:rsidRDefault="00AC762B" w:rsidP="0088602A">
      <w:r w:rsidRPr="00CE448B">
        <w:t>This study included larger numbers than the previous studies in order to i</w:t>
      </w:r>
      <w:r w:rsidR="0088602A">
        <w:t>ncrease the power of the study.</w:t>
      </w:r>
    </w:p>
    <w:p w:rsidR="00AC762B" w:rsidRPr="00CE448B" w:rsidRDefault="00AC762B" w:rsidP="0088602A">
      <w:r w:rsidRPr="00CE448B">
        <w:t xml:space="preserve">A total of 1801 subjects were randomised, 451 to </w:t>
      </w:r>
      <w:proofErr w:type="spellStart"/>
      <w:r w:rsidRPr="00CE448B">
        <w:t>Dymista</w:t>
      </w:r>
      <w:proofErr w:type="spellEnd"/>
      <w:r w:rsidRPr="00CE448B">
        <w:t xml:space="preserve">, 449 to </w:t>
      </w:r>
      <w:proofErr w:type="spellStart"/>
      <w:r w:rsidRPr="00CE448B">
        <w:t>azelastine</w:t>
      </w:r>
      <w:proofErr w:type="spellEnd"/>
      <w:r w:rsidRPr="00CE448B">
        <w:t xml:space="preserve">, 450 to fluticasone and 451 to placebo. The </w:t>
      </w:r>
      <w:r w:rsidR="00CE448B">
        <w:t xml:space="preserve">relevant characteristics </w:t>
      </w:r>
      <w:r w:rsidR="0088602A">
        <w:t>were similar between groups.</w:t>
      </w:r>
    </w:p>
    <w:p w:rsidR="00AC762B" w:rsidRPr="00CE448B" w:rsidRDefault="00AC762B" w:rsidP="0088602A">
      <w:r w:rsidRPr="00CE448B">
        <w:t>In relation to the primary efficacy endpoint, the three active treatments were all superior to placebo and the combination was significantly more effective than the two monotherapies.</w:t>
      </w:r>
    </w:p>
    <w:p w:rsidR="00AC762B" w:rsidRPr="00CE448B" w:rsidRDefault="00AC762B" w:rsidP="0088602A">
      <w:r w:rsidRPr="00CE448B">
        <w:t>The secondary efficacy endpoints reflected the fi</w:t>
      </w:r>
      <w:r w:rsidR="0088602A">
        <w:t>ndings of the previous studies.</w:t>
      </w:r>
    </w:p>
    <w:p w:rsidR="00AC762B" w:rsidRPr="00AC762B" w:rsidRDefault="00AC762B" w:rsidP="0088602A">
      <w:pPr>
        <w:rPr>
          <w:lang w:eastAsia="ja-JP"/>
        </w:rPr>
      </w:pPr>
      <w:r w:rsidRPr="00CE448B">
        <w:t>In relation to the onset of action</w:t>
      </w:r>
      <w:r w:rsidR="00CE448B">
        <w:t xml:space="preserve">, the evaluator mentions that, </w:t>
      </w:r>
      <w:r w:rsidR="00CE448B" w:rsidRPr="0088602A">
        <w:rPr>
          <w:i/>
        </w:rPr>
        <w:t>‘</w:t>
      </w:r>
      <w:r w:rsidRPr="0088602A">
        <w:rPr>
          <w:i/>
        </w:rPr>
        <w:t>unlike the two previous</w:t>
      </w:r>
      <w:r w:rsidRPr="0088602A">
        <w:rPr>
          <w:i/>
          <w:lang w:eastAsia="ja-JP"/>
        </w:rPr>
        <w:t xml:space="preserve"> studies, the combination was shown to have a more rapid onset of action than fluticasone alone. This presumably is the result of the larger sample size and greater power of the study</w:t>
      </w:r>
      <w:r w:rsidR="00CE448B" w:rsidRPr="0088602A">
        <w:rPr>
          <w:i/>
          <w:lang w:eastAsia="ja-JP"/>
        </w:rPr>
        <w:t>’</w:t>
      </w:r>
      <w:r w:rsidR="00562C5B" w:rsidRPr="00562C5B">
        <w:rPr>
          <w:lang w:eastAsia="ja-JP"/>
        </w:rPr>
        <w:t>.</w:t>
      </w:r>
    </w:p>
    <w:p w:rsidR="00CE448B" w:rsidRDefault="00CE448B" w:rsidP="00562C5B">
      <w:pPr>
        <w:pStyle w:val="Heading6"/>
        <w:rPr>
          <w:rFonts w:eastAsia="MS Mincho"/>
          <w:lang w:eastAsia="ja-JP"/>
        </w:rPr>
      </w:pPr>
      <w:r>
        <w:rPr>
          <w:rFonts w:eastAsia="MS Mincho"/>
          <w:lang w:eastAsia="ja-JP"/>
        </w:rPr>
        <w:t>Pooled analysis</w:t>
      </w:r>
    </w:p>
    <w:p w:rsidR="00AC762B" w:rsidRPr="00CE448B" w:rsidRDefault="00AC762B" w:rsidP="00562C5B">
      <w:r w:rsidRPr="00CE448B">
        <w:t>The evaluator discusse</w:t>
      </w:r>
      <w:r w:rsidR="00CE448B">
        <w:t>d</w:t>
      </w:r>
      <w:r w:rsidRPr="00CE448B">
        <w:t xml:space="preserve"> the po</w:t>
      </w:r>
      <w:r w:rsidR="00CE448B">
        <w:t xml:space="preserve">oled analysis of the 4 studies and </w:t>
      </w:r>
      <w:r w:rsidRPr="00CE448B">
        <w:t xml:space="preserve">states that, </w:t>
      </w:r>
      <w:r w:rsidR="00CE448B" w:rsidRPr="00562C5B">
        <w:rPr>
          <w:i/>
        </w:rPr>
        <w:t>‘</w:t>
      </w:r>
      <w:r w:rsidRPr="00562C5B">
        <w:rPr>
          <w:i/>
        </w:rPr>
        <w:t xml:space="preserve">for the primary endpoint of change in </w:t>
      </w:r>
      <w:proofErr w:type="spellStart"/>
      <w:r w:rsidRPr="00562C5B">
        <w:rPr>
          <w:i/>
        </w:rPr>
        <w:t>rTNSS</w:t>
      </w:r>
      <w:proofErr w:type="spellEnd"/>
      <w:r w:rsidRPr="00562C5B">
        <w:rPr>
          <w:i/>
        </w:rPr>
        <w:t xml:space="preserve"> (AM+PM scores combined) over the entire 14-day treatment period, the combination product was superior to all three comparators, and the two monotherapy products were both superior to placebo</w:t>
      </w:r>
      <w:r w:rsidR="00CE448B" w:rsidRPr="00562C5B">
        <w:rPr>
          <w:i/>
        </w:rPr>
        <w:t>’</w:t>
      </w:r>
      <w:r w:rsidR="00562C5B">
        <w:t>.</w:t>
      </w:r>
    </w:p>
    <w:p w:rsidR="00AC762B" w:rsidRPr="00CE448B" w:rsidRDefault="00AC762B" w:rsidP="00562C5B">
      <w:r w:rsidRPr="00CE448B">
        <w:t>Ocular symptoms showed statistical superiority of the proposed FDC over individual actives. The difference, however</w:t>
      </w:r>
      <w:r w:rsidR="00855377">
        <w:t>,</w:t>
      </w:r>
      <w:r w:rsidRPr="00CE448B">
        <w:t xml:space="preserve"> was not clinically significant in relation to the comparison of FDC </w:t>
      </w:r>
      <w:r w:rsidR="00CE448B">
        <w:t>versus</w:t>
      </w:r>
      <w:r w:rsidRPr="00CE448B">
        <w:t xml:space="preserve"> </w:t>
      </w:r>
      <w:proofErr w:type="spellStart"/>
      <w:r w:rsidRPr="00CE448B">
        <w:t>azelastine</w:t>
      </w:r>
      <w:proofErr w:type="spellEnd"/>
      <w:r w:rsidRPr="00CE448B">
        <w:t xml:space="preserve"> (</w:t>
      </w:r>
      <w:proofErr w:type="spellStart"/>
      <w:r w:rsidRPr="00CE448B">
        <w:t>rTOSS</w:t>
      </w:r>
      <w:proofErr w:type="spellEnd"/>
      <w:r w:rsidRPr="00CE448B">
        <w:t xml:space="preserve"> showed an absolute difference of -0.30).</w:t>
      </w:r>
    </w:p>
    <w:p w:rsidR="00AC762B" w:rsidRPr="00CE448B" w:rsidRDefault="00AC762B" w:rsidP="00562C5B">
      <w:r w:rsidRPr="00CE448B">
        <w:t>For RQLQ overall score, the pooled analysis failed to demonstrate a significant benefit for th</w:t>
      </w:r>
      <w:r w:rsidR="00562C5B">
        <w:t>e combination over fluticasone.</w:t>
      </w:r>
    </w:p>
    <w:p w:rsidR="00AC762B" w:rsidRPr="00AC762B" w:rsidRDefault="00AC762B" w:rsidP="00562C5B">
      <w:pPr>
        <w:pStyle w:val="Heading5"/>
        <w:rPr>
          <w:rFonts w:eastAsia="MS Mincho"/>
          <w:lang w:eastAsia="ja-JP"/>
        </w:rPr>
      </w:pPr>
      <w:r w:rsidRPr="00AC762B">
        <w:rPr>
          <w:rFonts w:eastAsia="MS Mincho"/>
          <w:lang w:eastAsia="ja-JP"/>
        </w:rPr>
        <w:t>O</w:t>
      </w:r>
      <w:r w:rsidR="0094059E">
        <w:rPr>
          <w:rFonts w:eastAsia="MS Mincho"/>
          <w:lang w:eastAsia="ja-JP"/>
        </w:rPr>
        <w:t>verall conclusions on efficacy</w:t>
      </w:r>
    </w:p>
    <w:p w:rsidR="00AC762B" w:rsidRPr="0094059E" w:rsidRDefault="00AC762B" w:rsidP="00562C5B">
      <w:r w:rsidRPr="0094059E">
        <w:t xml:space="preserve">The pivotal study (MP4001) demonstrated superior efficacy of the FDC </w:t>
      </w:r>
      <w:r w:rsidR="00CE448B" w:rsidRPr="0094059E">
        <w:t>versus</w:t>
      </w:r>
      <w:r w:rsidRPr="0094059E">
        <w:t xml:space="preserve"> </w:t>
      </w:r>
      <w:proofErr w:type="spellStart"/>
      <w:r w:rsidRPr="0094059E">
        <w:t>azelastine</w:t>
      </w:r>
      <w:proofErr w:type="spellEnd"/>
      <w:r w:rsidRPr="0094059E">
        <w:t xml:space="preserve"> and fluticasone in relation to nasal symptom scores. The pooled analysis of all studies supported this result. In relation to ocular symptoms the FDC was consistently superior to placebo. Most ocular endpoints also showed statistical superiority </w:t>
      </w:r>
      <w:r w:rsidR="00CE448B" w:rsidRPr="0094059E">
        <w:t>versus</w:t>
      </w:r>
      <w:r w:rsidRPr="0094059E">
        <w:t xml:space="preserve"> fluticaso</w:t>
      </w:r>
      <w:r w:rsidR="0094059E">
        <w:t>ne. The evaluator states that, ‘</w:t>
      </w:r>
      <w:r w:rsidRPr="0094059E">
        <w:rPr>
          <w:i/>
        </w:rPr>
        <w:t xml:space="preserve">the overall data suggest that the combination is no better than </w:t>
      </w:r>
      <w:proofErr w:type="spellStart"/>
      <w:r w:rsidRPr="0094059E">
        <w:rPr>
          <w:i/>
        </w:rPr>
        <w:t>azelastine</w:t>
      </w:r>
      <w:proofErr w:type="spellEnd"/>
      <w:r w:rsidRPr="0094059E">
        <w:rPr>
          <w:i/>
        </w:rPr>
        <w:t xml:space="preserve"> nasal spray in terms of improvement in ocular symptoms.</w:t>
      </w:r>
      <w:r w:rsidR="0094059E" w:rsidRPr="0094059E">
        <w:rPr>
          <w:i/>
        </w:rPr>
        <w:t>’</w:t>
      </w:r>
      <w:r w:rsidRPr="0094059E">
        <w:t xml:space="preserve"> Pooled analysis reflected th</w:t>
      </w:r>
      <w:r w:rsidR="00562C5B">
        <w:t>e finding of the pivotal study.</w:t>
      </w:r>
    </w:p>
    <w:p w:rsidR="00AC762B" w:rsidRPr="0094059E" w:rsidRDefault="00AC762B" w:rsidP="00562C5B">
      <w:r w:rsidRPr="0094059E">
        <w:t xml:space="preserve">In relation to quality of life endpoints, the evaluator mentions that the pivotal study and the pooled analysis did not show a clinically meaningful difference favouring the FDC </w:t>
      </w:r>
      <w:r w:rsidR="00562C5B">
        <w:t>over the individual components.</w:t>
      </w:r>
    </w:p>
    <w:p w:rsidR="00AC762B" w:rsidRPr="0094059E" w:rsidRDefault="00AC762B" w:rsidP="00562C5B">
      <w:r w:rsidRPr="0094059E">
        <w:lastRenderedPageBreak/>
        <w:t xml:space="preserve">The evaluator also discussed the EMA Guidelines on allergic </w:t>
      </w:r>
      <w:proofErr w:type="spellStart"/>
      <w:r w:rsidRPr="0094059E">
        <w:t>rhinoconjunctivitis</w:t>
      </w:r>
      <w:proofErr w:type="spellEnd"/>
      <w:r w:rsidRPr="0094059E">
        <w:t xml:space="preserve"> and the guidelines on fixed combination products. The submitted studies have complied with these EMA Guidelines. Howev</w:t>
      </w:r>
      <w:r w:rsidR="0094059E">
        <w:t>er, the evaluator states that, ‘</w:t>
      </w:r>
      <w:r w:rsidRPr="0094059E">
        <w:rPr>
          <w:i/>
        </w:rPr>
        <w:t>more robust evidence of efficacy would have been obtained if all the studies had used marketed monotherapy comparator products</w:t>
      </w:r>
      <w:r w:rsidR="0094059E" w:rsidRPr="0094059E">
        <w:rPr>
          <w:i/>
        </w:rPr>
        <w:t>’</w:t>
      </w:r>
      <w:r w:rsidRPr="0094059E">
        <w:t>; (this was not the case in the supporting studies).</w:t>
      </w:r>
    </w:p>
    <w:p w:rsidR="00AC762B" w:rsidRPr="00AC762B" w:rsidRDefault="00AC762B" w:rsidP="00562C5B">
      <w:pPr>
        <w:rPr>
          <w:lang w:val="en-US" w:eastAsia="ja-JP"/>
        </w:rPr>
      </w:pPr>
      <w:r w:rsidRPr="0094059E">
        <w:t>Whilst the submission requests the registration of the proposed FDC for PAR, no studies on PAR are submitted. The evaluator quotes the EU Guideline in relation to this:</w:t>
      </w:r>
      <w:r w:rsidRPr="00AC762B">
        <w:rPr>
          <w:lang w:eastAsia="ja-JP"/>
        </w:rPr>
        <w:t xml:space="preserve"> </w:t>
      </w:r>
      <w:r w:rsidR="0094059E">
        <w:rPr>
          <w:lang w:eastAsia="ja-JP"/>
        </w:rPr>
        <w:t>‘</w:t>
      </w:r>
      <w:r w:rsidRPr="0094059E">
        <w:rPr>
          <w:i/>
          <w:lang w:val="en-US" w:eastAsia="ja-JP"/>
        </w:rPr>
        <w:t>If however, only 2 SAR studies are conducted, additional safety data for 12 months will be required to establish safety of chronic use of the product in patients with PAR</w:t>
      </w:r>
      <w:r w:rsidRPr="00AC762B">
        <w:rPr>
          <w:lang w:val="en-US" w:eastAsia="ja-JP"/>
        </w:rPr>
        <w:t>.</w:t>
      </w:r>
    </w:p>
    <w:p w:rsidR="00AC762B" w:rsidRPr="0094059E" w:rsidRDefault="00AC762B" w:rsidP="00562C5B">
      <w:r w:rsidRPr="0094059E">
        <w:t>The evaluator considers that the proposed FDC for PAR is approvable as the sponsor has provided a</w:t>
      </w:r>
      <w:r w:rsidR="00562C5B">
        <w:t xml:space="preserve"> 12 month safety study, MP4000.</w:t>
      </w:r>
    </w:p>
    <w:p w:rsidR="00AC762B" w:rsidRPr="00AC762B" w:rsidRDefault="0094059E" w:rsidP="00562C5B">
      <w:pPr>
        <w:pStyle w:val="Heading4"/>
        <w:rPr>
          <w:lang w:eastAsia="ja-JP"/>
        </w:rPr>
      </w:pPr>
      <w:r>
        <w:rPr>
          <w:lang w:eastAsia="ja-JP"/>
        </w:rPr>
        <w:t>Safety</w:t>
      </w:r>
    </w:p>
    <w:p w:rsidR="00AC762B" w:rsidRPr="0094059E" w:rsidRDefault="00AC762B" w:rsidP="00562C5B">
      <w:r w:rsidRPr="0094059E">
        <w:t xml:space="preserve">The evaluator discusses the long term safety study </w:t>
      </w:r>
      <w:r w:rsidR="0094059E">
        <w:t xml:space="preserve">MP4000, </w:t>
      </w:r>
      <w:r w:rsidRPr="0094059E">
        <w:t>a randomised open label study where subjects were randomised (2:1) to receive the FDC or fluticasone for 12 months. Those of the ages of 12 to 80 years with an established history (</w:t>
      </w:r>
      <w:r w:rsidR="0094059E">
        <w:t>greater than or equal to</w:t>
      </w:r>
      <w:r w:rsidRPr="0094059E">
        <w:t xml:space="preserve"> 1 year) of rhinitis du</w:t>
      </w:r>
      <w:r w:rsidR="0034481B">
        <w:t>e to perennial allergies or non-</w:t>
      </w:r>
      <w:r w:rsidRPr="0094059E">
        <w:t>allergic rhinitis were eligible to enrol. Exclusion criteria were essentially similar to those used in the efficacy studies.</w:t>
      </w:r>
    </w:p>
    <w:p w:rsidR="00AC762B" w:rsidRPr="0094059E" w:rsidRDefault="00AC762B" w:rsidP="00562C5B">
      <w:r w:rsidRPr="0094059E">
        <w:t xml:space="preserve">The study treatments (2:1 </w:t>
      </w:r>
      <w:r w:rsidR="00562C5B">
        <w:t>randomisation) were as follows:</w:t>
      </w:r>
    </w:p>
    <w:p w:rsidR="0094059E" w:rsidRPr="00562C5B" w:rsidRDefault="00AC762B" w:rsidP="00562C5B">
      <w:pPr>
        <w:pStyle w:val="ListBullet"/>
      </w:pPr>
      <w:r w:rsidRPr="00562C5B">
        <w:t xml:space="preserve">The proposed fixed combination of fluticasone propionate (50 µg per actuation) and </w:t>
      </w:r>
      <w:proofErr w:type="spellStart"/>
      <w:r w:rsidRPr="00562C5B">
        <w:t>azelastine</w:t>
      </w:r>
      <w:proofErr w:type="spellEnd"/>
      <w:r w:rsidRPr="00562C5B">
        <w:t xml:space="preserve"> hydrochloride (137 µg per actuation) nasal spray – one spray in each nostril twice daily (</w:t>
      </w:r>
      <w:r w:rsidR="0094059E" w:rsidRPr="00562C5B">
        <w:t xml:space="preserve">that is </w:t>
      </w:r>
      <w:r w:rsidR="00562C5B">
        <w:t xml:space="preserve"> 200 µg / 548 µg daily)</w:t>
      </w:r>
    </w:p>
    <w:p w:rsidR="00AC762B" w:rsidRPr="00562C5B" w:rsidRDefault="00AC762B" w:rsidP="00562C5B">
      <w:pPr>
        <w:pStyle w:val="ListBullet"/>
      </w:pPr>
      <w:proofErr w:type="gramStart"/>
      <w:r w:rsidRPr="00562C5B">
        <w:t>or</w:t>
      </w:r>
      <w:proofErr w:type="gramEnd"/>
      <w:r w:rsidRPr="00562C5B">
        <w:t xml:space="preserve"> fluticasone propionate (50 µg per actuation) nasal spray (using the formulation marketed in the USA by </w:t>
      </w:r>
      <w:proofErr w:type="spellStart"/>
      <w:r w:rsidRPr="00562C5B">
        <w:t>Roxane</w:t>
      </w:r>
      <w:proofErr w:type="spellEnd"/>
      <w:r w:rsidRPr="00562C5B">
        <w:t xml:space="preserve"> Laboratories) - two sprays in each nostril once daily (</w:t>
      </w:r>
      <w:r w:rsidR="0094059E" w:rsidRPr="00562C5B">
        <w:t xml:space="preserve">that is </w:t>
      </w:r>
      <w:r w:rsidRPr="00562C5B">
        <w:t>200µg daily).</w:t>
      </w:r>
    </w:p>
    <w:p w:rsidR="00AC762B" w:rsidRPr="0094059E" w:rsidRDefault="00AC762B" w:rsidP="00562C5B">
      <w:r w:rsidRPr="0094059E">
        <w:t>Descriptive statistics were used to describe the safety findings of the study.</w:t>
      </w:r>
    </w:p>
    <w:p w:rsidR="00AC762B" w:rsidRPr="0094059E" w:rsidRDefault="00AC762B" w:rsidP="00562C5B">
      <w:r w:rsidRPr="0094059E">
        <w:t>A total of 611 subjects were included, 404 subjects in the FDC group and 207 subjects in the fluticasone propionate group. The mean TNSS total score was 3.84; t</w:t>
      </w:r>
      <w:r w:rsidR="0094059E">
        <w:t xml:space="preserve">he evaluator states that </w:t>
      </w:r>
      <w:proofErr w:type="gramStart"/>
      <w:r w:rsidR="0094059E">
        <w:t>this,</w:t>
      </w:r>
      <w:proofErr w:type="gramEnd"/>
      <w:r w:rsidR="0094059E">
        <w:t xml:space="preserve"> ‘</w:t>
      </w:r>
      <w:r w:rsidRPr="0094059E">
        <w:rPr>
          <w:i/>
        </w:rPr>
        <w:t>reflects the fact that subjects were not required to h</w:t>
      </w:r>
      <w:r w:rsidR="0094059E" w:rsidRPr="0094059E">
        <w:rPr>
          <w:i/>
        </w:rPr>
        <w:t>ave moderate to severe disease’</w:t>
      </w:r>
      <w:r w:rsidR="00562C5B" w:rsidRPr="00562C5B">
        <w:t>.</w:t>
      </w:r>
    </w:p>
    <w:p w:rsidR="00AC762B" w:rsidRPr="0094059E" w:rsidRDefault="00AC762B" w:rsidP="00562C5B">
      <w:r w:rsidRPr="0094059E">
        <w:t xml:space="preserve">The evaluator mentions that, </w:t>
      </w:r>
      <w:r w:rsidR="0094059E" w:rsidRPr="00562C5B">
        <w:rPr>
          <w:i/>
        </w:rPr>
        <w:t>‘</w:t>
      </w:r>
      <w:r w:rsidRPr="00562C5B">
        <w:rPr>
          <w:i/>
        </w:rPr>
        <w:t xml:space="preserve">overall incidence of AEs was only slightly increased in the combination arm (46.5% </w:t>
      </w:r>
      <w:r w:rsidR="00CE448B" w:rsidRPr="00562C5B">
        <w:rPr>
          <w:i/>
        </w:rPr>
        <w:t>versus</w:t>
      </w:r>
      <w:r w:rsidRPr="00562C5B">
        <w:rPr>
          <w:i/>
        </w:rPr>
        <w:t xml:space="preserve"> 44.4%). Treatment with the combination product was associated with an increased incidence of cough (5.0% </w:t>
      </w:r>
      <w:r w:rsidR="00CE448B" w:rsidRPr="00562C5B">
        <w:rPr>
          <w:i/>
        </w:rPr>
        <w:t>versus</w:t>
      </w:r>
      <w:r w:rsidRPr="00562C5B">
        <w:rPr>
          <w:i/>
        </w:rPr>
        <w:t>. 2.4%), altered taste (</w:t>
      </w:r>
      <w:proofErr w:type="spellStart"/>
      <w:r w:rsidRPr="00562C5B">
        <w:rPr>
          <w:i/>
        </w:rPr>
        <w:t>dysguesia</w:t>
      </w:r>
      <w:proofErr w:type="spellEnd"/>
      <w:r w:rsidRPr="00562C5B">
        <w:rPr>
          <w:i/>
        </w:rPr>
        <w:t xml:space="preserve"> – 2.7% </w:t>
      </w:r>
      <w:r w:rsidR="00CE448B" w:rsidRPr="00562C5B">
        <w:rPr>
          <w:i/>
        </w:rPr>
        <w:t>versus</w:t>
      </w:r>
      <w:r w:rsidRPr="00562C5B">
        <w:rPr>
          <w:i/>
        </w:rPr>
        <w:t xml:space="preserve">. 0.5%) and epistaxis (2.0% </w:t>
      </w:r>
      <w:r w:rsidR="00CE448B" w:rsidRPr="00562C5B">
        <w:rPr>
          <w:i/>
        </w:rPr>
        <w:t>versus</w:t>
      </w:r>
      <w:r w:rsidRPr="00562C5B">
        <w:rPr>
          <w:i/>
        </w:rPr>
        <w:t xml:space="preserve">. 0.5%). Taste perversion is listed as a common adverse reaction in the </w:t>
      </w:r>
      <w:proofErr w:type="spellStart"/>
      <w:r w:rsidRPr="00562C5B">
        <w:rPr>
          <w:i/>
        </w:rPr>
        <w:t>azelastine</w:t>
      </w:r>
      <w:proofErr w:type="spellEnd"/>
      <w:r w:rsidRPr="00562C5B">
        <w:rPr>
          <w:i/>
        </w:rPr>
        <w:t xml:space="preserve"> (</w:t>
      </w:r>
      <w:proofErr w:type="spellStart"/>
      <w:r w:rsidRPr="00562C5B">
        <w:rPr>
          <w:i/>
        </w:rPr>
        <w:t>Azep</w:t>
      </w:r>
      <w:proofErr w:type="spellEnd"/>
      <w:r w:rsidRPr="00562C5B">
        <w:rPr>
          <w:i/>
        </w:rPr>
        <w:t>) PI</w:t>
      </w:r>
      <w:r w:rsidR="0094059E" w:rsidRPr="00562C5B">
        <w:rPr>
          <w:i/>
        </w:rPr>
        <w:t>’</w:t>
      </w:r>
      <w:r w:rsidR="00562C5B" w:rsidRPr="00562C5B">
        <w:t>.</w:t>
      </w:r>
    </w:p>
    <w:p w:rsidR="00AC762B" w:rsidRPr="0094059E" w:rsidRDefault="00AC762B" w:rsidP="00562C5B">
      <w:r w:rsidRPr="0094059E">
        <w:t>There were no deaths in the treatment groups; SAEs were similar between groups; the events appeared not to be related to study treatment.</w:t>
      </w:r>
    </w:p>
    <w:p w:rsidR="00AC762B" w:rsidRPr="0094059E" w:rsidRDefault="00AC762B" w:rsidP="00562C5B">
      <w:r w:rsidRPr="0094059E">
        <w:t xml:space="preserve">Discontinuations due to AEs: The evaluator mentions that the incidence was similar between groups. However, there were 2 subjects with cataract and 3 subjects with reduced cortisol levels who discontinued in the FDC group. The evaluator states that these events may be related to increased absorption of fluticasone from FDC than </w:t>
      </w:r>
      <w:r w:rsidR="00562C5B">
        <w:t xml:space="preserve">from the </w:t>
      </w:r>
      <w:proofErr w:type="spellStart"/>
      <w:r w:rsidR="00562C5B">
        <w:t>monocomponent</w:t>
      </w:r>
      <w:proofErr w:type="spellEnd"/>
      <w:r w:rsidR="00562C5B">
        <w:t xml:space="preserve"> product.</w:t>
      </w:r>
    </w:p>
    <w:p w:rsidR="00AC762B" w:rsidRPr="0094059E" w:rsidRDefault="00AC762B" w:rsidP="00562C5B">
      <w:r w:rsidRPr="0094059E">
        <w:t>Laboratory investigat</w:t>
      </w:r>
      <w:r w:rsidR="00562C5B">
        <w:t>ions did not reveal any trends.</w:t>
      </w:r>
    </w:p>
    <w:p w:rsidR="00AC762B" w:rsidRPr="0094059E" w:rsidRDefault="00AC762B" w:rsidP="00562C5B">
      <w:r w:rsidRPr="0094059E">
        <w:t>The incidence of glaucoma and posterior capsular cataract at 6 and 12 mont</w:t>
      </w:r>
      <w:r w:rsidR="00562C5B">
        <w:t>hs were similar between groups.</w:t>
      </w:r>
    </w:p>
    <w:p w:rsidR="00AC762B" w:rsidRPr="0094059E" w:rsidRDefault="00AC762B" w:rsidP="00562C5B">
      <w:r w:rsidRPr="0094059E">
        <w:t>Fasting serum cortisol levels were measured in a subgroup of subjects (n</w:t>
      </w:r>
      <w:r w:rsidR="0094059E">
        <w:t xml:space="preserve"> </w:t>
      </w:r>
      <w:r w:rsidRPr="0094059E">
        <w:t>=</w:t>
      </w:r>
      <w:r w:rsidR="0094059E">
        <w:t xml:space="preserve"> </w:t>
      </w:r>
      <w:r w:rsidRPr="0094059E">
        <w:t xml:space="preserve">232). The mean change from baseline was similar in both treatment groups at both 6 and 12 months. </w:t>
      </w:r>
      <w:r w:rsidRPr="0094059E">
        <w:lastRenderedPageBreak/>
        <w:t xml:space="preserve">The results suggest that the combination product was not associated with a greater incidence of significant reduction in serum cortisol. The evaluator states, however, that this is an insensitive measure of </w:t>
      </w:r>
      <w:r w:rsidR="00902285">
        <w:t>hypothalamic pituitary adrenal</w:t>
      </w:r>
      <w:r w:rsidR="00562C5B">
        <w:t xml:space="preserve"> function.</w:t>
      </w:r>
    </w:p>
    <w:p w:rsidR="00AC762B" w:rsidRPr="0094059E" w:rsidRDefault="00E34171" w:rsidP="00562C5B">
      <w:r>
        <w:t>In the submitted studies</w:t>
      </w:r>
      <w:r w:rsidR="00B2137C">
        <w:t xml:space="preserve"> </w:t>
      </w:r>
      <w:r w:rsidR="00AC762B" w:rsidRPr="0094059E">
        <w:t>1469 subjects were exposed to the FDC. In the 4 efficacy studies 1006 subje</w:t>
      </w:r>
      <w:r w:rsidR="00562C5B">
        <w:t>cts were exposed for 14 days.</w:t>
      </w:r>
    </w:p>
    <w:p w:rsidR="00AC762B" w:rsidRPr="0094059E" w:rsidRDefault="00AC762B" w:rsidP="00562C5B">
      <w:r w:rsidRPr="0094059E">
        <w:t>The incidence of all AEs were higher (16.4%</w:t>
      </w:r>
      <w:r w:rsidR="00E34171">
        <w:t>)</w:t>
      </w:r>
      <w:r w:rsidRPr="0094059E">
        <w:t xml:space="preserve"> than the monotherapy comparator groups (13.1 -15.1%). Altered taste, epistaxis and headache were the most commonly reported AEs.</w:t>
      </w:r>
    </w:p>
    <w:p w:rsidR="00AC762B" w:rsidRPr="0094059E" w:rsidRDefault="00AC762B" w:rsidP="00562C5B">
      <w:r w:rsidRPr="0094059E">
        <w:t>There were no deaths; SAEs were not related to stud</w:t>
      </w:r>
      <w:r w:rsidR="00562C5B">
        <w:t>y treatments.</w:t>
      </w:r>
    </w:p>
    <w:p w:rsidR="00AC762B" w:rsidRPr="0094059E" w:rsidRDefault="00AC762B" w:rsidP="00562C5B">
      <w:r w:rsidRPr="0094059E">
        <w:t>Percentage discontinuations were similar between groups. The evaluator states that these events did not sugges</w:t>
      </w:r>
      <w:r w:rsidR="00562C5B">
        <w:t>t any safety concerns with FDC.</w:t>
      </w:r>
    </w:p>
    <w:p w:rsidR="00AC762B" w:rsidRPr="0094059E" w:rsidRDefault="00AC762B" w:rsidP="00562C5B">
      <w:r w:rsidRPr="0094059E">
        <w:t xml:space="preserve">Overall the evaluator states that the safety profile of the FDC is acceptable. </w:t>
      </w:r>
      <w:r w:rsidR="00CE0FD4">
        <w:t>The evaluator</w:t>
      </w:r>
      <w:r w:rsidRPr="0094059E">
        <w:t xml:space="preserve"> state</w:t>
      </w:r>
      <w:r w:rsidR="00CE0FD4">
        <w:t>d</w:t>
      </w:r>
      <w:r w:rsidRPr="0094059E">
        <w:t xml:space="preserve"> that, </w:t>
      </w:r>
      <w:r w:rsidR="0094059E">
        <w:t>‘</w:t>
      </w:r>
      <w:r w:rsidRPr="00562C5B">
        <w:rPr>
          <w:i/>
        </w:rPr>
        <w:t>the combination product appears to produce increased systemic exposure to fluticasone, at least compared to a US-marketed fluticasone propionate monotherapy product. However, this is offset by the sponsor’s proposal to use a maximum daily dose of only 200 mcg fluticasone propionate per day, which is half the maximum daily dose approved for fluticasone propionate nasal spray in Australia</w:t>
      </w:r>
      <w:r w:rsidR="0094059E" w:rsidRPr="00562C5B">
        <w:rPr>
          <w:i/>
        </w:rPr>
        <w:t>’</w:t>
      </w:r>
      <w:r w:rsidR="00562C5B" w:rsidRPr="00562C5B">
        <w:t>.</w:t>
      </w:r>
    </w:p>
    <w:p w:rsidR="007B6132" w:rsidRDefault="007B6132" w:rsidP="00562C5B">
      <w:pPr>
        <w:pStyle w:val="Heading4"/>
      </w:pPr>
      <w:bookmarkStart w:id="114" w:name="_Toc314842514"/>
      <w:r w:rsidRPr="007B6132">
        <w:t>Clin</w:t>
      </w:r>
      <w:r w:rsidR="0034481B">
        <w:t>ical evaluator’s recommendation</w:t>
      </w:r>
    </w:p>
    <w:p w:rsidR="00AC762B" w:rsidRDefault="00AC762B" w:rsidP="00562C5B">
      <w:r>
        <w:t>Overall, the risk benefit pro</w:t>
      </w:r>
      <w:r w:rsidR="0094059E">
        <w:t>file was found to be favourable.</w:t>
      </w:r>
    </w:p>
    <w:p w:rsidR="0094059E" w:rsidRDefault="00AC762B" w:rsidP="00562C5B">
      <w:r>
        <w:t xml:space="preserve">Regarding the PI some amendments are recommended. Of note: there is modification of the indications-The evaluator recommends </w:t>
      </w:r>
      <w:r w:rsidR="0034481B">
        <w:t>that the indication should be,</w:t>
      </w:r>
    </w:p>
    <w:p w:rsidR="0094059E" w:rsidRPr="00562C5B" w:rsidRDefault="00AC762B" w:rsidP="00562C5B">
      <w:pPr>
        <w:ind w:left="720"/>
        <w:rPr>
          <w:i/>
        </w:rPr>
      </w:pPr>
      <w:proofErr w:type="gramStart"/>
      <w:r w:rsidRPr="00562C5B">
        <w:rPr>
          <w:i/>
        </w:rPr>
        <w:t>Symptomatic treatment of moderate to severe allergic rhinitis and rhino-conjunctivitis in adults and children 12 years and older, where treatment with an intranasal st</w:t>
      </w:r>
      <w:r w:rsidR="0094059E" w:rsidRPr="00562C5B">
        <w:rPr>
          <w:i/>
        </w:rPr>
        <w:t>eroid alone has been inadequate.</w:t>
      </w:r>
      <w:proofErr w:type="gramEnd"/>
    </w:p>
    <w:p w:rsidR="00AC762B" w:rsidRDefault="0094059E" w:rsidP="00562C5B">
      <w:r>
        <w:t>T</w:t>
      </w:r>
      <w:r w:rsidR="00AC762B">
        <w:t>his is mainly because the ARIA guidelines recommend that for patients with moderate to severe persistent disease intranasal steroids should be the preferred treatment. The addition of an antihistamine in subjects who are not c</w:t>
      </w:r>
      <w:r w:rsidR="00562C5B">
        <w:t>ontrolled would be appropriate.</w:t>
      </w:r>
    </w:p>
    <w:p w:rsidR="00AC762B" w:rsidRDefault="00AC762B" w:rsidP="00562C5B">
      <w:r>
        <w:t>The evaluator also has request</w:t>
      </w:r>
      <w:r w:rsidR="00CE0FD4">
        <w:t>ed clarification of some issues</w:t>
      </w:r>
      <w:r>
        <w:t>. The sponsor has confirmed that the formulation used in the trials i</w:t>
      </w:r>
      <w:r w:rsidR="00562C5B">
        <w:t>s that which is to be marketed.</w:t>
      </w:r>
    </w:p>
    <w:p w:rsidR="00AC762B" w:rsidRPr="00AC762B" w:rsidRDefault="00AC762B" w:rsidP="00562C5B">
      <w:r>
        <w:t xml:space="preserve">The use of unregistered </w:t>
      </w:r>
      <w:proofErr w:type="spellStart"/>
      <w:r>
        <w:t>monocomponent</w:t>
      </w:r>
      <w:proofErr w:type="spellEnd"/>
      <w:r>
        <w:t xml:space="preserve"> comparators (in the supporting studies) was as per FDA recommendation, to minimise pharmacological differences between the products.</w:t>
      </w:r>
    </w:p>
    <w:p w:rsidR="00D23139" w:rsidRDefault="0034481B" w:rsidP="00562C5B">
      <w:pPr>
        <w:pStyle w:val="Heading4"/>
      </w:pPr>
      <w:bookmarkStart w:id="115" w:name="_Toc196046505"/>
      <w:bookmarkStart w:id="116" w:name="_Toc196046949"/>
      <w:bookmarkEnd w:id="114"/>
      <w:r>
        <w:t>Delegate’s considerations</w:t>
      </w:r>
    </w:p>
    <w:p w:rsidR="00AC762B" w:rsidRPr="0094059E" w:rsidRDefault="00AC762B" w:rsidP="00562C5B">
      <w:r w:rsidRPr="0094059E">
        <w:t>In essence, the sponsor has responded to the modified indication proposed</w:t>
      </w:r>
      <w:r w:rsidR="0094059E">
        <w:t xml:space="preserve"> by the evaluator stating that ‘</w:t>
      </w:r>
      <w:r w:rsidRPr="00562C5B">
        <w:rPr>
          <w:i/>
        </w:rPr>
        <w:t xml:space="preserve">the Australian </w:t>
      </w:r>
      <w:proofErr w:type="spellStart"/>
      <w:r w:rsidRPr="00562C5B">
        <w:rPr>
          <w:i/>
        </w:rPr>
        <w:t>eTherapeutic</w:t>
      </w:r>
      <w:proofErr w:type="spellEnd"/>
      <w:r w:rsidRPr="00562C5B">
        <w:rPr>
          <w:i/>
        </w:rPr>
        <w:t xml:space="preserve"> Guidelines that recommend use of a combination of an antihistamine and an intranasal glucocorticoid for the first line treatment of moderate to severe allergic rhinitis</w:t>
      </w:r>
      <w:r w:rsidR="0094059E" w:rsidRPr="00562C5B">
        <w:rPr>
          <w:i/>
        </w:rPr>
        <w:t>’</w:t>
      </w:r>
      <w:r w:rsidR="00562C5B" w:rsidRPr="00562C5B">
        <w:t>.</w:t>
      </w:r>
    </w:p>
    <w:p w:rsidR="00AC762B" w:rsidRPr="0094059E" w:rsidRDefault="00CE0FD4" w:rsidP="00562C5B">
      <w:pPr>
        <w:pStyle w:val="ListBullet"/>
      </w:pPr>
      <w:r>
        <w:t>The Delegate</w:t>
      </w:r>
      <w:r w:rsidR="00AC762B" w:rsidRPr="0094059E">
        <w:t xml:space="preserve"> agree</w:t>
      </w:r>
      <w:r>
        <w:t>s</w:t>
      </w:r>
      <w:r w:rsidR="00AC762B" w:rsidRPr="0094059E">
        <w:t xml:space="preserve"> with the clinical evaluator that the risk benefit profile is acceptable to approve </w:t>
      </w:r>
      <w:proofErr w:type="spellStart"/>
      <w:r w:rsidR="00AC762B" w:rsidRPr="0094059E">
        <w:t>Dymista</w:t>
      </w:r>
      <w:proofErr w:type="spellEnd"/>
      <w:r w:rsidR="00AC762B" w:rsidRPr="0094059E">
        <w:t xml:space="preserve"> for the treatment of allergic </w:t>
      </w:r>
      <w:proofErr w:type="spellStart"/>
      <w:r w:rsidR="00AC762B" w:rsidRPr="0094059E">
        <w:t>rhinoconjunctivitis</w:t>
      </w:r>
      <w:proofErr w:type="spellEnd"/>
      <w:r w:rsidR="00AC762B" w:rsidRPr="0094059E">
        <w:t xml:space="preserve"> whether it is seasonal or perennial. The long term safety study addresses the safety issues relating to the use long term.</w:t>
      </w:r>
    </w:p>
    <w:p w:rsidR="00AC762B" w:rsidRPr="0094059E" w:rsidRDefault="00AC762B" w:rsidP="00562C5B">
      <w:pPr>
        <w:pStyle w:val="ListBullet"/>
      </w:pPr>
      <w:r w:rsidRPr="0094059E">
        <w:t xml:space="preserve">The indication proposed by the sponsor, </w:t>
      </w:r>
      <w:r w:rsidR="0094059E" w:rsidRPr="00562C5B">
        <w:rPr>
          <w:i/>
        </w:rPr>
        <w:t>‘</w:t>
      </w:r>
      <w:r w:rsidRPr="00562C5B">
        <w:rPr>
          <w:i/>
        </w:rPr>
        <w:t>symptomatic treatment of moderate to severe allergic rhinitis and rhino-conjunctivitis in adults and children 12 years and older where use of a combination (intranasal antihistamine and glucocorticoid</w:t>
      </w:r>
      <w:proofErr w:type="gramStart"/>
      <w:r w:rsidRPr="00562C5B">
        <w:rPr>
          <w:i/>
        </w:rPr>
        <w:t>)  is</w:t>
      </w:r>
      <w:proofErr w:type="gramEnd"/>
      <w:r w:rsidRPr="00562C5B">
        <w:rPr>
          <w:i/>
        </w:rPr>
        <w:t xml:space="preserve"> appropriate</w:t>
      </w:r>
      <w:r w:rsidR="0094059E" w:rsidRPr="00562C5B">
        <w:rPr>
          <w:i/>
        </w:rPr>
        <w:t>’</w:t>
      </w:r>
      <w:r w:rsidRPr="0094059E">
        <w:t xml:space="preserve"> is acceptable as it addresses the Australian </w:t>
      </w:r>
      <w:proofErr w:type="spellStart"/>
      <w:r w:rsidRPr="0094059E">
        <w:t>eTherapeutic</w:t>
      </w:r>
      <w:proofErr w:type="spellEnd"/>
      <w:r w:rsidRPr="0094059E">
        <w:t xml:space="preserve"> Guidelines.</w:t>
      </w:r>
      <w:r w:rsidR="00CE0FD4">
        <w:t xml:space="preserve"> </w:t>
      </w:r>
      <w:r w:rsidRPr="0094059E">
        <w:t xml:space="preserve">Whilst it is </w:t>
      </w:r>
      <w:r w:rsidRPr="0094059E">
        <w:lastRenderedPageBreak/>
        <w:t>acknowledged that these Guidelines quoted by the sponsor and the evaluator are not adopted, the data set submitted supports the requested indication.</w:t>
      </w:r>
    </w:p>
    <w:p w:rsidR="00D23139" w:rsidRDefault="00D23139" w:rsidP="00562C5B">
      <w:pPr>
        <w:pStyle w:val="Heading4"/>
      </w:pPr>
      <w:r w:rsidRPr="00D23139">
        <w:t>Proposed action</w:t>
      </w:r>
    </w:p>
    <w:p w:rsidR="00AC762B" w:rsidRPr="00AC762B" w:rsidRDefault="00D13063" w:rsidP="00562C5B">
      <w:r>
        <w:t xml:space="preserve">The Delegate </w:t>
      </w:r>
      <w:r w:rsidR="00AC762B" w:rsidRPr="00AC762B">
        <w:t>ha</w:t>
      </w:r>
      <w:r>
        <w:t>d</w:t>
      </w:r>
      <w:r w:rsidR="00AC762B" w:rsidRPr="00AC762B">
        <w:t xml:space="preserve"> no reason to say, at this time, that the application for (the product) should not be approved for registration.</w:t>
      </w:r>
    </w:p>
    <w:p w:rsidR="00D23139" w:rsidRDefault="00D23139" w:rsidP="00562C5B">
      <w:pPr>
        <w:pStyle w:val="Heading4"/>
      </w:pPr>
      <w:r w:rsidRPr="00D23139">
        <w:t>Request for ACPM advice</w:t>
      </w:r>
    </w:p>
    <w:p w:rsidR="00AC762B" w:rsidRPr="0094059E" w:rsidRDefault="00AC762B" w:rsidP="00562C5B">
      <w:pPr>
        <w:pStyle w:val="ListBullet"/>
      </w:pPr>
      <w:r w:rsidRPr="0094059E">
        <w:t xml:space="preserve">Does the </w:t>
      </w:r>
      <w:r w:rsidR="0094059E">
        <w:t>C</w:t>
      </w:r>
      <w:r w:rsidRPr="0094059E">
        <w:t>ommittee agree that there are adequate data to register for SAR?</w:t>
      </w:r>
    </w:p>
    <w:p w:rsidR="00AC762B" w:rsidRPr="0094059E" w:rsidRDefault="0094059E" w:rsidP="00562C5B">
      <w:pPr>
        <w:pStyle w:val="ListBullet"/>
      </w:pPr>
      <w:r>
        <w:t>Does the C</w:t>
      </w:r>
      <w:r w:rsidR="00AC762B" w:rsidRPr="0094059E">
        <w:t>ommittee agree that PAR could be registered based on the data on SAR and the 12 month safety study?</w:t>
      </w:r>
    </w:p>
    <w:p w:rsidR="00AC762B" w:rsidRDefault="00AC762B" w:rsidP="00562C5B">
      <w:pPr>
        <w:pStyle w:val="ListBullet"/>
      </w:pPr>
      <w:r w:rsidRPr="0094059E">
        <w:t>Does the Committee agree with the proposed indication or should it be confined to a second line indication as recommended by the evaluator or approved for first line treatment?</w:t>
      </w:r>
    </w:p>
    <w:p w:rsidR="0094059E" w:rsidRPr="0094059E" w:rsidRDefault="0094059E" w:rsidP="00562C5B">
      <w:pPr>
        <w:pStyle w:val="ListBullet"/>
      </w:pPr>
      <w:r>
        <w:t>Does the Committee have any further advice regarding this submission?</w:t>
      </w:r>
    </w:p>
    <w:p w:rsidR="00D23139" w:rsidRDefault="00D23139" w:rsidP="00562C5B">
      <w:pPr>
        <w:pStyle w:val="Heading4"/>
      </w:pPr>
      <w:r w:rsidRPr="00D23139">
        <w:t xml:space="preserve">Response from </w:t>
      </w:r>
      <w:r w:rsidR="00562C5B">
        <w:t>s</w:t>
      </w:r>
      <w:r w:rsidR="0034481B">
        <w:t>ponsor</w:t>
      </w:r>
    </w:p>
    <w:p w:rsidR="0094059E" w:rsidRPr="0094059E" w:rsidRDefault="00855377" w:rsidP="00562C5B">
      <w:r>
        <w:t>The sponsor noted</w:t>
      </w:r>
      <w:r w:rsidR="0094059E" w:rsidRPr="0094059E">
        <w:t xml:space="preserve"> that the Delegate’s preliminary assessment is to approve for registration </w:t>
      </w:r>
      <w:proofErr w:type="spellStart"/>
      <w:r w:rsidR="0094059E" w:rsidRPr="0094059E">
        <w:t>Dymista</w:t>
      </w:r>
      <w:proofErr w:type="spellEnd"/>
      <w:r w:rsidR="0094059E" w:rsidRPr="0094059E">
        <w:t xml:space="preserve"> and </w:t>
      </w:r>
      <w:proofErr w:type="spellStart"/>
      <w:r w:rsidR="0094059E" w:rsidRPr="0094059E">
        <w:t>Dylastine</w:t>
      </w:r>
      <w:proofErr w:type="spellEnd"/>
      <w:r w:rsidR="0094059E" w:rsidRPr="0094059E">
        <w:t xml:space="preserve"> (as additional trade name).</w:t>
      </w:r>
    </w:p>
    <w:p w:rsidR="0094059E" w:rsidRPr="0094059E" w:rsidRDefault="00855377" w:rsidP="00562C5B">
      <w:r>
        <w:t>The sponsor</w:t>
      </w:r>
      <w:r w:rsidR="0094059E" w:rsidRPr="0094059E">
        <w:t xml:space="preserve"> support</w:t>
      </w:r>
      <w:r>
        <w:t>ed</w:t>
      </w:r>
      <w:r w:rsidR="0094059E" w:rsidRPr="0094059E">
        <w:t xml:space="preserve"> the Delegate’s final comment and agree</w:t>
      </w:r>
      <w:r>
        <w:t>d</w:t>
      </w:r>
      <w:r w:rsidR="0094059E" w:rsidRPr="0094059E">
        <w:t xml:space="preserve"> that the indication proposed by the sponsor </w:t>
      </w:r>
      <w:r w:rsidR="0094059E" w:rsidRPr="00562C5B">
        <w:rPr>
          <w:i/>
        </w:rPr>
        <w:t xml:space="preserve">‘Symptomatic treatment of moderate to severe allergic rhinitis and </w:t>
      </w:r>
      <w:proofErr w:type="spellStart"/>
      <w:r w:rsidR="0094059E" w:rsidRPr="00562C5B">
        <w:rPr>
          <w:i/>
        </w:rPr>
        <w:t>rhinoconjunctivitis</w:t>
      </w:r>
      <w:proofErr w:type="spellEnd"/>
      <w:r w:rsidR="0094059E" w:rsidRPr="00562C5B">
        <w:rPr>
          <w:i/>
        </w:rPr>
        <w:t xml:space="preserve"> in adults and children 12 years and older where use of a combination (intranasal antihistamine and glucocorticoid) is appropriate’</w:t>
      </w:r>
      <w:r>
        <w:t xml:space="preserve"> and</w:t>
      </w:r>
      <w:r w:rsidR="0094059E" w:rsidRPr="0094059E">
        <w:t xml:space="preserve"> is</w:t>
      </w:r>
      <w:r w:rsidR="0094059E">
        <w:t xml:space="preserve"> in the sponsors opinion</w:t>
      </w:r>
      <w:r w:rsidR="0094059E" w:rsidRPr="0094059E">
        <w:t xml:space="preserve"> acceptable as the data set submitted supports the requested indication and it addresses the Australian </w:t>
      </w:r>
      <w:proofErr w:type="spellStart"/>
      <w:r w:rsidR="0094059E" w:rsidRPr="0094059E">
        <w:t>eTherapeutic</w:t>
      </w:r>
      <w:proofErr w:type="spellEnd"/>
      <w:r w:rsidR="0094059E" w:rsidRPr="0094059E">
        <w:t xml:space="preserve"> G</w:t>
      </w:r>
      <w:r w:rsidR="00562C5B">
        <w:t>uidelines on Allergic Rhinitis.</w:t>
      </w:r>
    </w:p>
    <w:p w:rsidR="0094059E" w:rsidRPr="0094059E" w:rsidRDefault="0094059E" w:rsidP="00562C5B">
      <w:pPr>
        <w:pStyle w:val="Heading5"/>
        <w:rPr>
          <w:lang w:val="en-US" w:eastAsia="de-DE"/>
        </w:rPr>
      </w:pPr>
      <w:r w:rsidRPr="0094059E">
        <w:rPr>
          <w:lang w:val="en-US" w:eastAsia="de-DE"/>
        </w:rPr>
        <w:t>SAR and PAR</w:t>
      </w:r>
    </w:p>
    <w:p w:rsidR="0094059E" w:rsidRPr="0094059E" w:rsidRDefault="00D13063" w:rsidP="00562C5B">
      <w:r>
        <w:t>The sponsor</w:t>
      </w:r>
      <w:r w:rsidR="0094059E" w:rsidRPr="0094059E">
        <w:t xml:space="preserve"> agree</w:t>
      </w:r>
      <w:r>
        <w:t>s</w:t>
      </w:r>
      <w:r w:rsidR="00CE0FD4">
        <w:t xml:space="preserve"> with both</w:t>
      </w:r>
      <w:r w:rsidR="0094059E" w:rsidRPr="0094059E">
        <w:t xml:space="preserve"> the Delegate and </w:t>
      </w:r>
      <w:r w:rsidR="0094059E">
        <w:t>clinical evaluator</w:t>
      </w:r>
      <w:r w:rsidR="0094059E" w:rsidRPr="0094059E">
        <w:t xml:space="preserve"> that the risk benefit profile is acceptable to approve </w:t>
      </w:r>
      <w:proofErr w:type="spellStart"/>
      <w:r w:rsidR="0094059E" w:rsidRPr="0094059E">
        <w:t>Dymista</w:t>
      </w:r>
      <w:proofErr w:type="spellEnd"/>
      <w:r w:rsidR="0094059E" w:rsidRPr="0094059E">
        <w:t xml:space="preserve"> for treatment of allergic rhinitis and </w:t>
      </w:r>
      <w:proofErr w:type="spellStart"/>
      <w:r w:rsidR="0094059E" w:rsidRPr="0094059E">
        <w:t>rhinoconjunctivitis</w:t>
      </w:r>
      <w:proofErr w:type="spellEnd"/>
      <w:r w:rsidR="0094059E" w:rsidRPr="0094059E">
        <w:t xml:space="preserve"> whether it is seasonal or perennial. </w:t>
      </w:r>
      <w:r w:rsidR="00CE0FD4">
        <w:t>The sponsor</w:t>
      </w:r>
      <w:r w:rsidR="0094059E" w:rsidRPr="0094059E">
        <w:t xml:space="preserve"> note</w:t>
      </w:r>
      <w:r w:rsidR="00CE0FD4">
        <w:t>d that</w:t>
      </w:r>
      <w:r w:rsidR="0094059E" w:rsidRPr="0094059E">
        <w:t xml:space="preserve"> their decision was supported by the fact that the dossier met the requirements of EMA guidelines on the clinical development of medicinal products for the treatment of allergic </w:t>
      </w:r>
      <w:proofErr w:type="spellStart"/>
      <w:r w:rsidR="0094059E" w:rsidRPr="0094059E">
        <w:t>rhinoconjunctivitis</w:t>
      </w:r>
      <w:proofErr w:type="spellEnd"/>
      <w:r w:rsidR="0094059E" w:rsidRPr="0094059E">
        <w:t xml:space="preserve"> (CHMP/EWP/2455/02, London, </w:t>
      </w:r>
      <w:proofErr w:type="gramStart"/>
      <w:r w:rsidR="0094059E" w:rsidRPr="0094059E">
        <w:t>21</w:t>
      </w:r>
      <w:proofErr w:type="gramEnd"/>
      <w:r w:rsidR="0094059E" w:rsidRPr="0094059E">
        <w:t xml:space="preserve"> October 2004). This guidance document was adopted by the TGA effective 28 July 2005 and states that </w:t>
      </w:r>
      <w:proofErr w:type="spellStart"/>
      <w:r w:rsidR="0094059E" w:rsidRPr="0094059E">
        <w:t>pharmacodynamically</w:t>
      </w:r>
      <w:proofErr w:type="spellEnd"/>
      <w:r w:rsidR="0094059E" w:rsidRPr="0094059E">
        <w:t xml:space="preserve"> SAR and PAR are considered comparable; and if only 2 SAR studies are conducted, additional safety data for 12 months are sufficient to establish safety of chronic use of the product in patients with PAR.</w:t>
      </w:r>
    </w:p>
    <w:p w:rsidR="0094059E" w:rsidRPr="0094059E" w:rsidRDefault="0094059E" w:rsidP="00562C5B">
      <w:pPr>
        <w:rPr>
          <w:lang w:val="en-US" w:eastAsia="de-DE"/>
        </w:rPr>
      </w:pPr>
      <w:r w:rsidRPr="0094059E">
        <w:t xml:space="preserve">MEDA performed 4 SAR studies and a long-term 12-month study (MP4000). The 4 SAR studies consistently showed superiority of the combination over both </w:t>
      </w:r>
      <w:proofErr w:type="spellStart"/>
      <w:r w:rsidRPr="0094059E">
        <w:t>monoproducts</w:t>
      </w:r>
      <w:proofErr w:type="spellEnd"/>
      <w:r w:rsidRPr="0094059E">
        <w:t>. The long-term study provided 12-month safety as well as supportive efficacy data for PAR. In the study patients were asked to take fluticasone propionate, two sprays in each nostril once daily; or to take the combination, one spray in each nostril twice daily, as recommended in the Product Information. The efficacy endpoint in MP4000 was the evening symptom score which was in the middle of the dosing interval of fluticasone nasal spray and at the end of the morning dose for the combination. The study results showed long-term statistical and clinical superiority of the combination over fluticasone nasal spray</w:t>
      </w:r>
      <w:r>
        <w:t xml:space="preserve"> (p&lt;0.05 at least until Week 28</w:t>
      </w:r>
      <w:r w:rsidRPr="0094059E">
        <w:t>). It is expected that clinical superiority would be more pronounced, in favour of the combination, if the morning symptom score (defined as 24</w:t>
      </w:r>
      <w:r w:rsidR="00CE0FD4">
        <w:t xml:space="preserve"> </w:t>
      </w:r>
      <w:r w:rsidRPr="0094059E">
        <w:t xml:space="preserve">h post fluticasone dose and 12 h post combination evening dose) was measured. In </w:t>
      </w:r>
      <w:r w:rsidRPr="0094059E">
        <w:lastRenderedPageBreak/>
        <w:t xml:space="preserve">addition, both monotherapy products have been approved and recommended for SAR and PAR. Therefore the simplified indication </w:t>
      </w:r>
      <w:r w:rsidRPr="0094059E">
        <w:rPr>
          <w:i/>
        </w:rPr>
        <w:t xml:space="preserve">allergic rhinitis and </w:t>
      </w:r>
      <w:proofErr w:type="spellStart"/>
      <w:r w:rsidRPr="0094059E">
        <w:rPr>
          <w:i/>
        </w:rPr>
        <w:t>rhinoconjunctivitis</w:t>
      </w:r>
      <w:proofErr w:type="spellEnd"/>
      <w:r>
        <w:rPr>
          <w:i/>
        </w:rPr>
        <w:t>’</w:t>
      </w:r>
      <w:r w:rsidRPr="0094059E">
        <w:t xml:space="preserve"> (without specifying SAR and</w:t>
      </w:r>
      <w:r w:rsidRPr="0094059E">
        <w:rPr>
          <w:lang w:val="en-US" w:eastAsia="de-DE"/>
        </w:rPr>
        <w:t xml:space="preserve"> P</w:t>
      </w:r>
      <w:r>
        <w:rPr>
          <w:lang w:val="en-US" w:eastAsia="de-DE"/>
        </w:rPr>
        <w:t>AR) is justified in the sponsor</w:t>
      </w:r>
      <w:r w:rsidR="00FF2551">
        <w:rPr>
          <w:lang w:val="en-US" w:eastAsia="de-DE"/>
        </w:rPr>
        <w:t>’</w:t>
      </w:r>
      <w:r>
        <w:rPr>
          <w:lang w:val="en-US" w:eastAsia="de-DE"/>
        </w:rPr>
        <w:t>s opinion.</w:t>
      </w:r>
    </w:p>
    <w:p w:rsidR="0094059E" w:rsidRPr="0094059E" w:rsidRDefault="0094059E" w:rsidP="00562C5B">
      <w:pPr>
        <w:pStyle w:val="Heading5"/>
        <w:rPr>
          <w:lang w:val="en-US" w:eastAsia="de-DE"/>
        </w:rPr>
      </w:pPr>
      <w:r w:rsidRPr="0094059E">
        <w:rPr>
          <w:lang w:val="en-US" w:eastAsia="de-DE"/>
        </w:rPr>
        <w:t xml:space="preserve">First </w:t>
      </w:r>
      <w:r w:rsidR="00562C5B">
        <w:rPr>
          <w:lang w:val="en-US" w:eastAsia="de-DE"/>
        </w:rPr>
        <w:t>l</w:t>
      </w:r>
      <w:r w:rsidRPr="0094059E">
        <w:rPr>
          <w:lang w:val="en-US" w:eastAsia="de-DE"/>
        </w:rPr>
        <w:t xml:space="preserve">ine </w:t>
      </w:r>
      <w:r w:rsidR="00562C5B">
        <w:rPr>
          <w:lang w:val="en-US" w:eastAsia="de-DE"/>
        </w:rPr>
        <w:t>i</w:t>
      </w:r>
      <w:r w:rsidRPr="0094059E">
        <w:rPr>
          <w:lang w:val="en-US" w:eastAsia="de-DE"/>
        </w:rPr>
        <w:t>ndication</w:t>
      </w:r>
    </w:p>
    <w:p w:rsidR="0094059E" w:rsidRPr="0094059E" w:rsidRDefault="0094059E" w:rsidP="00562C5B">
      <w:r w:rsidRPr="0094059E">
        <w:t xml:space="preserve">The dossier also met the requirements of EMA guideline on clinical development of fixed combination medicinal products (CHMP/EWP/240/95/Rev.1, London 19 February 2009) for first line indication, as the studies included patients receiving previously neither of the </w:t>
      </w:r>
      <w:proofErr w:type="spellStart"/>
      <w:r w:rsidRPr="0094059E">
        <w:t>monosubstances</w:t>
      </w:r>
      <w:proofErr w:type="spellEnd"/>
      <w:r w:rsidRPr="0094059E">
        <w:t xml:space="preserve"> (</w:t>
      </w:r>
      <w:r>
        <w:t xml:space="preserve">greater than </w:t>
      </w:r>
      <w:r w:rsidRPr="0094059E">
        <w:t xml:space="preserve">97% of patients per study did not previously receive either of the </w:t>
      </w:r>
      <w:proofErr w:type="spellStart"/>
      <w:r w:rsidRPr="0094059E">
        <w:t>monosubstances</w:t>
      </w:r>
      <w:proofErr w:type="spellEnd"/>
      <w:r w:rsidRPr="0094059E">
        <w:t xml:space="preserve">). Furthermore, the Australian </w:t>
      </w:r>
      <w:proofErr w:type="spellStart"/>
      <w:r w:rsidRPr="0094059E">
        <w:t>eTherapeutic</w:t>
      </w:r>
      <w:proofErr w:type="spellEnd"/>
      <w:r w:rsidRPr="0094059E">
        <w:t xml:space="preserve"> guidelines on Allergic Rhinitis recommends the first line use of a combination of intranasal corticosteroid </w:t>
      </w:r>
      <w:r w:rsidR="007B3DAC">
        <w:t>and either</w:t>
      </w:r>
      <w:r w:rsidRPr="0094059E">
        <w:t xml:space="preserve"> oral or intranasal antihistamine for patients with persistent moderate to severe symptoms. For patients with intermittent moderate to severe symptoms it recommends intranasal corticosteroid </w:t>
      </w:r>
      <w:r w:rsidR="00C071B7">
        <w:t>and/or</w:t>
      </w:r>
      <w:r w:rsidRPr="0094059E">
        <w:t xml:space="preserve"> oral or intranasal antihistamine. Therefore it is important </w:t>
      </w:r>
      <w:proofErr w:type="spellStart"/>
      <w:r w:rsidRPr="0094059E">
        <w:t>Dymista</w:t>
      </w:r>
      <w:proofErr w:type="spellEnd"/>
      <w:r w:rsidRPr="0094059E">
        <w:t xml:space="preserve"> is not confined to a second line indication as this could be misleading for Australian health care professionals (HCPs) when referring to local guidelines for allergic rhiniti</w:t>
      </w:r>
      <w:r w:rsidR="00562C5B">
        <w:t>s management.</w:t>
      </w:r>
    </w:p>
    <w:p w:rsidR="0094059E" w:rsidRPr="00C071B7" w:rsidRDefault="0094059E" w:rsidP="00562C5B">
      <w:r w:rsidRPr="00C071B7">
        <w:t xml:space="preserve">In addition to the overall enhanced efficacy, the combination provides an earlier response to therapy and patients achieve more rapid symptom relief than treatment with intranasal corticosteroid alone. Today, most patients self-medicate with OTC medicines prior to visiting a physician. The proposed indication and availability of </w:t>
      </w:r>
      <w:proofErr w:type="spellStart"/>
      <w:r w:rsidRPr="00C071B7">
        <w:t>Dymista</w:t>
      </w:r>
      <w:proofErr w:type="spellEnd"/>
      <w:r w:rsidRPr="00C071B7">
        <w:t xml:space="preserve"> by prescription empowers the treating physician to assess symptoms and prior treatment history and apply their expertise in recommending the right treatment f</w:t>
      </w:r>
      <w:r w:rsidR="00562C5B">
        <w:t>or that patient.</w:t>
      </w:r>
    </w:p>
    <w:p w:rsidR="0094059E" w:rsidRPr="0094059E" w:rsidRDefault="0094059E" w:rsidP="00562C5B">
      <w:pPr>
        <w:pStyle w:val="Heading5"/>
        <w:rPr>
          <w:sz w:val="20"/>
          <w:lang w:val="en-US" w:eastAsia="de-DE"/>
        </w:rPr>
      </w:pPr>
      <w:r w:rsidRPr="0094059E">
        <w:rPr>
          <w:lang w:val="en-US" w:eastAsia="de-DE"/>
        </w:rPr>
        <w:t xml:space="preserve">Overseas </w:t>
      </w:r>
      <w:r w:rsidR="00562C5B">
        <w:rPr>
          <w:lang w:val="en-US" w:eastAsia="de-DE"/>
        </w:rPr>
        <w:t>r</w:t>
      </w:r>
      <w:r w:rsidRPr="0094059E">
        <w:rPr>
          <w:lang w:val="en-US" w:eastAsia="de-DE"/>
        </w:rPr>
        <w:t xml:space="preserve">egistration </w:t>
      </w:r>
      <w:r w:rsidR="00562C5B">
        <w:rPr>
          <w:lang w:val="en-US" w:eastAsia="de-DE"/>
        </w:rPr>
        <w:t>s</w:t>
      </w:r>
      <w:r w:rsidRPr="0094059E">
        <w:rPr>
          <w:lang w:val="en-US" w:eastAsia="de-DE"/>
        </w:rPr>
        <w:t>tatus</w:t>
      </w:r>
    </w:p>
    <w:p w:rsidR="0094059E" w:rsidRPr="00C071B7" w:rsidRDefault="0094059E" w:rsidP="00562C5B">
      <w:r w:rsidRPr="00C071B7">
        <w:t xml:space="preserve">Amongst countries with comparable regulatory requirements and processes, the approval for </w:t>
      </w:r>
      <w:proofErr w:type="spellStart"/>
      <w:r w:rsidRPr="00C071B7">
        <w:t>Dymista</w:t>
      </w:r>
      <w:proofErr w:type="spellEnd"/>
      <w:r w:rsidRPr="00C071B7">
        <w:t xml:space="preserve"> was granted first in the US (in 2012) followed by ‘European approval’ with 28 countries involved in the European Decentralised procedure (ended January 2013). On the basis of this European approval each country involved was issued a national product li</w:t>
      </w:r>
      <w:r w:rsidR="00562C5B">
        <w:t>cense, including UK and Sweden.</w:t>
      </w:r>
    </w:p>
    <w:p w:rsidR="0094059E" w:rsidRDefault="0094059E" w:rsidP="0034481B">
      <w:pPr>
        <w:pStyle w:val="TableTitle"/>
      </w:pPr>
      <w:proofErr w:type="gramStart"/>
      <w:r w:rsidRPr="00C071B7">
        <w:t xml:space="preserve">Table </w:t>
      </w:r>
      <w:r w:rsidR="00CE0FD4">
        <w:t>6</w:t>
      </w:r>
      <w:r w:rsidR="00C071B7">
        <w:t>.</w:t>
      </w:r>
      <w:proofErr w:type="gramEnd"/>
      <w:r w:rsidRPr="00C071B7">
        <w:t xml:space="preserve"> Australian </w:t>
      </w:r>
      <w:r w:rsidRPr="0034481B">
        <w:t>proposed</w:t>
      </w:r>
      <w:r w:rsidRPr="00C071B7">
        <w:t xml:space="preserve"> indication relative to indications approved in the UK &amp; Sweden (representing Europe) and in the US.</w:t>
      </w:r>
    </w:p>
    <w:tbl>
      <w:tblPr>
        <w:tblStyle w:val="TableTGAblue"/>
        <w:tblW w:w="8426" w:type="dxa"/>
        <w:tblInd w:w="108" w:type="dxa"/>
        <w:tblLook w:val="04A0" w:firstRow="1" w:lastRow="0" w:firstColumn="1" w:lastColumn="0" w:noHBand="0" w:noVBand="1"/>
      </w:tblPr>
      <w:tblGrid>
        <w:gridCol w:w="2705"/>
        <w:gridCol w:w="2783"/>
        <w:gridCol w:w="2938"/>
      </w:tblGrid>
      <w:tr w:rsidR="0034481B" w:rsidTr="0034481B">
        <w:trPr>
          <w:cnfStyle w:val="100000000000" w:firstRow="1" w:lastRow="0" w:firstColumn="0" w:lastColumn="0" w:oddVBand="0" w:evenVBand="0" w:oddHBand="0" w:evenHBand="0" w:firstRowFirstColumn="0" w:firstRowLastColumn="0" w:lastRowFirstColumn="0" w:lastRowLastColumn="0"/>
          <w:trHeight w:val="323"/>
        </w:trPr>
        <w:tc>
          <w:tcPr>
            <w:tcW w:w="2705" w:type="dxa"/>
            <w:tcBorders>
              <w:right w:val="nil"/>
            </w:tcBorders>
            <w:hideMark/>
          </w:tcPr>
          <w:p w:rsidR="0034481B" w:rsidRPr="0034481B" w:rsidRDefault="0034481B" w:rsidP="0034481B">
            <w:pPr>
              <w:pStyle w:val="Numberbullet0"/>
              <w:widowControl w:val="0"/>
              <w:numPr>
                <w:ilvl w:val="0"/>
                <w:numId w:val="39"/>
              </w:numPr>
              <w:spacing w:before="0" w:after="0" w:line="240" w:lineRule="auto"/>
              <w:rPr>
                <w:rFonts w:eastAsia="Times New Roman"/>
                <w:sz w:val="18"/>
                <w:szCs w:val="18"/>
                <w:lang w:val="en-US" w:eastAsia="de-DE"/>
              </w:rPr>
            </w:pPr>
            <w:r w:rsidRPr="0034481B">
              <w:rPr>
                <w:rFonts w:eastAsia="Times New Roman"/>
                <w:sz w:val="18"/>
                <w:szCs w:val="18"/>
                <w:lang w:val="en-US" w:eastAsia="de-DE"/>
              </w:rPr>
              <w:t>Australian Proposed Indication</w:t>
            </w:r>
          </w:p>
        </w:tc>
        <w:tc>
          <w:tcPr>
            <w:tcW w:w="2783" w:type="dxa"/>
            <w:tcBorders>
              <w:left w:val="nil"/>
              <w:right w:val="nil"/>
            </w:tcBorders>
            <w:hideMark/>
          </w:tcPr>
          <w:p w:rsidR="0034481B" w:rsidRPr="0034481B" w:rsidRDefault="0034481B" w:rsidP="0034481B">
            <w:pPr>
              <w:pStyle w:val="Numberbullet0"/>
              <w:widowControl w:val="0"/>
              <w:numPr>
                <w:ilvl w:val="0"/>
                <w:numId w:val="39"/>
              </w:numPr>
              <w:spacing w:before="0" w:after="0" w:line="240" w:lineRule="auto"/>
              <w:rPr>
                <w:rFonts w:eastAsia="Times New Roman"/>
                <w:sz w:val="18"/>
                <w:szCs w:val="18"/>
                <w:lang w:val="en-US" w:eastAsia="de-DE"/>
              </w:rPr>
            </w:pPr>
            <w:r w:rsidRPr="0034481B">
              <w:rPr>
                <w:rFonts w:eastAsia="Times New Roman"/>
                <w:sz w:val="18"/>
                <w:szCs w:val="18"/>
                <w:lang w:val="en-US" w:eastAsia="de-DE"/>
              </w:rPr>
              <w:t>UK and Sweden Approved Indication</w:t>
            </w:r>
          </w:p>
        </w:tc>
        <w:tc>
          <w:tcPr>
            <w:tcW w:w="2938" w:type="dxa"/>
            <w:tcBorders>
              <w:left w:val="nil"/>
            </w:tcBorders>
            <w:hideMark/>
          </w:tcPr>
          <w:p w:rsidR="0034481B" w:rsidRPr="0034481B" w:rsidRDefault="0034481B" w:rsidP="0034481B">
            <w:pPr>
              <w:pStyle w:val="Numberbullet0"/>
              <w:widowControl w:val="0"/>
              <w:numPr>
                <w:ilvl w:val="0"/>
                <w:numId w:val="39"/>
              </w:numPr>
              <w:spacing w:before="0" w:after="0" w:line="240" w:lineRule="auto"/>
              <w:rPr>
                <w:rFonts w:eastAsia="Times New Roman"/>
                <w:sz w:val="18"/>
                <w:szCs w:val="18"/>
                <w:lang w:val="en-US" w:eastAsia="de-DE"/>
              </w:rPr>
            </w:pPr>
            <w:r w:rsidRPr="0034481B">
              <w:rPr>
                <w:rFonts w:eastAsia="Times New Roman"/>
                <w:sz w:val="18"/>
                <w:szCs w:val="18"/>
                <w:lang w:val="en-US" w:eastAsia="de-DE"/>
              </w:rPr>
              <w:t>US Approved Indication</w:t>
            </w:r>
          </w:p>
        </w:tc>
      </w:tr>
      <w:tr w:rsidR="0034481B" w:rsidTr="0034481B">
        <w:trPr>
          <w:trHeight w:val="1103"/>
        </w:trPr>
        <w:tc>
          <w:tcPr>
            <w:tcW w:w="270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widowControl w:val="0"/>
              <w:spacing w:line="240" w:lineRule="auto"/>
              <w:ind w:left="0"/>
              <w:rPr>
                <w:rFonts w:eastAsia="Times New Roman"/>
                <w:b/>
                <w:sz w:val="18"/>
                <w:szCs w:val="18"/>
                <w:lang w:val="en-US" w:eastAsia="de-DE"/>
              </w:rPr>
            </w:pPr>
            <w:r>
              <w:rPr>
                <w:rFonts w:eastAsia="Times New Roman"/>
                <w:sz w:val="18"/>
                <w:szCs w:val="18"/>
                <w:lang w:val="en-US" w:eastAsia="de-DE"/>
              </w:rPr>
              <w:t>Symptomatic treatment of moderate to severe allergic rhinitis and rhino-conjunctivitis in adults and children 12 years and older where use of a combination (intranasal antihistamine and glucocorticoid) is appropriate.</w:t>
            </w:r>
          </w:p>
        </w:tc>
        <w:tc>
          <w:tcPr>
            <w:tcW w:w="278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widowControl w:val="0"/>
              <w:spacing w:line="240" w:lineRule="auto"/>
              <w:ind w:left="0"/>
              <w:rPr>
                <w:rFonts w:eastAsia="Times New Roman"/>
                <w:b/>
                <w:sz w:val="18"/>
                <w:szCs w:val="18"/>
                <w:lang w:val="en-US" w:eastAsia="de-DE"/>
              </w:rPr>
            </w:pPr>
            <w:r>
              <w:rPr>
                <w:rFonts w:eastAsia="Times New Roman"/>
                <w:sz w:val="18"/>
                <w:szCs w:val="18"/>
                <w:lang w:val="en-US" w:eastAsia="de-DE"/>
              </w:rPr>
              <w:t>Relief of symptoms of moderate to severe seasonal and perennial allergic rhinitis if monotherapy with either intranasal antihistamine or glucocorticoid is not considered sufficient.</w:t>
            </w:r>
          </w:p>
        </w:tc>
        <w:tc>
          <w:tcPr>
            <w:tcW w:w="293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rsidP="0034481B">
            <w:pPr>
              <w:widowControl w:val="0"/>
              <w:spacing w:line="240" w:lineRule="auto"/>
              <w:ind w:left="0"/>
              <w:rPr>
                <w:rFonts w:eastAsia="Times New Roman"/>
                <w:b/>
                <w:sz w:val="18"/>
                <w:szCs w:val="18"/>
                <w:lang w:val="en-US" w:eastAsia="de-DE"/>
              </w:rPr>
            </w:pPr>
            <w:proofErr w:type="spellStart"/>
            <w:r>
              <w:rPr>
                <w:rFonts w:eastAsia="Times New Roman"/>
                <w:sz w:val="18"/>
                <w:szCs w:val="18"/>
                <w:lang w:val="en-US" w:eastAsia="de-DE"/>
              </w:rPr>
              <w:t>Dymista</w:t>
            </w:r>
            <w:proofErr w:type="spellEnd"/>
            <w:r>
              <w:rPr>
                <w:rFonts w:eastAsia="Times New Roman"/>
                <w:sz w:val="18"/>
                <w:szCs w:val="18"/>
                <w:lang w:val="en-US" w:eastAsia="de-DE"/>
              </w:rPr>
              <w:t xml:space="preserve"> Nasal Spray is indicated for the relief of symptoms of seasonal allergic rhinitis in patients 12 years of age and older who require treatment with both </w:t>
            </w:r>
            <w:proofErr w:type="spellStart"/>
            <w:r>
              <w:rPr>
                <w:rFonts w:eastAsia="Times New Roman"/>
                <w:sz w:val="18"/>
                <w:szCs w:val="18"/>
                <w:lang w:val="en-US" w:eastAsia="de-DE"/>
              </w:rPr>
              <w:t>azelastine</w:t>
            </w:r>
            <w:proofErr w:type="spellEnd"/>
            <w:r>
              <w:rPr>
                <w:rFonts w:eastAsia="Times New Roman"/>
                <w:sz w:val="18"/>
                <w:szCs w:val="18"/>
                <w:lang w:val="en-US" w:eastAsia="de-DE"/>
              </w:rPr>
              <w:t xml:space="preserve"> hydrochloride and fluticasone propionate for symptomatic relief.</w:t>
            </w:r>
          </w:p>
        </w:tc>
      </w:tr>
    </w:tbl>
    <w:p w:rsidR="0094059E" w:rsidRPr="00C071B7" w:rsidRDefault="0094059E" w:rsidP="00562C5B">
      <w:r w:rsidRPr="00C071B7">
        <w:t xml:space="preserve">As noted by the Delegate, </w:t>
      </w:r>
      <w:proofErr w:type="spellStart"/>
      <w:r w:rsidRPr="00C071B7">
        <w:t>azelastine</w:t>
      </w:r>
      <w:proofErr w:type="spellEnd"/>
      <w:r w:rsidRPr="00C071B7">
        <w:t xml:space="preserve"> </w:t>
      </w:r>
      <w:proofErr w:type="spellStart"/>
      <w:r w:rsidRPr="00C071B7">
        <w:t>monoproduct</w:t>
      </w:r>
      <w:proofErr w:type="spellEnd"/>
      <w:r w:rsidRPr="00C071B7">
        <w:t xml:space="preserve"> (</w:t>
      </w:r>
      <w:proofErr w:type="spellStart"/>
      <w:r w:rsidRPr="00C071B7">
        <w:t>Astelin</w:t>
      </w:r>
      <w:proofErr w:type="spellEnd"/>
      <w:r w:rsidRPr="00C071B7">
        <w:t xml:space="preserve">) has not been approved for perennial allergic rhinitis in the US. Unlike the TGA, the FDA has not adopted EMA guidelines on </w:t>
      </w:r>
      <w:proofErr w:type="spellStart"/>
      <w:r w:rsidRPr="00C071B7">
        <w:t>rhinoconjunctivitis</w:t>
      </w:r>
      <w:proofErr w:type="spellEnd"/>
      <w:r w:rsidRPr="00C071B7">
        <w:t xml:space="preserve">. As a result, </w:t>
      </w:r>
      <w:proofErr w:type="spellStart"/>
      <w:r w:rsidRPr="00C071B7">
        <w:t>Dymista</w:t>
      </w:r>
      <w:proofErr w:type="spellEnd"/>
      <w:r w:rsidRPr="00C071B7">
        <w:t xml:space="preserve"> nasal spray is indicated in the US for the relief of symptoms of seasonal allergic rhinitis. Although </w:t>
      </w:r>
      <w:proofErr w:type="spellStart"/>
      <w:r w:rsidRPr="00C071B7">
        <w:t>rhinoconjunctivitis</w:t>
      </w:r>
      <w:proofErr w:type="spellEnd"/>
      <w:r w:rsidRPr="00C071B7">
        <w:t xml:space="preserve"> is not explicitly stated in the European indication, the summary of product characteristics mentions efficacy of the combination in treatment of both nasal and ocular symptoms. In addition, the Australian </w:t>
      </w:r>
      <w:proofErr w:type="spellStart"/>
      <w:r w:rsidRPr="00C071B7">
        <w:t>eTherapeutic</w:t>
      </w:r>
      <w:proofErr w:type="spellEnd"/>
      <w:r w:rsidRPr="00C071B7">
        <w:t xml:space="preserve"> guidelines for allergic rhinitis recommend intranasal corticosteroids for treatment of allergic conjunctivitis if it is an associated feature.</w:t>
      </w:r>
    </w:p>
    <w:p w:rsidR="0094059E" w:rsidRPr="0094059E" w:rsidRDefault="0094059E" w:rsidP="00562C5B">
      <w:pPr>
        <w:pStyle w:val="Heading5"/>
        <w:rPr>
          <w:sz w:val="28"/>
          <w:lang w:val="en-US" w:eastAsia="de-DE"/>
        </w:rPr>
      </w:pPr>
      <w:proofErr w:type="spellStart"/>
      <w:r w:rsidRPr="0094059E">
        <w:rPr>
          <w:lang w:val="en-US" w:eastAsia="de-DE"/>
        </w:rPr>
        <w:lastRenderedPageBreak/>
        <w:t>Astelin</w:t>
      </w:r>
      <w:proofErr w:type="spellEnd"/>
      <w:r w:rsidRPr="0094059E">
        <w:rPr>
          <w:lang w:val="en-US" w:eastAsia="de-DE"/>
        </w:rPr>
        <w:t xml:space="preserve"> v</w:t>
      </w:r>
      <w:r w:rsidR="00C071B7">
        <w:rPr>
          <w:lang w:val="en-US" w:eastAsia="de-DE"/>
        </w:rPr>
        <w:t>ersus</w:t>
      </w:r>
      <w:r w:rsidRPr="0094059E">
        <w:rPr>
          <w:lang w:val="en-US" w:eastAsia="de-DE"/>
        </w:rPr>
        <w:t xml:space="preserve"> </w:t>
      </w:r>
      <w:proofErr w:type="spellStart"/>
      <w:r w:rsidRPr="0094059E">
        <w:rPr>
          <w:lang w:val="en-US" w:eastAsia="de-DE"/>
        </w:rPr>
        <w:t>Azep</w:t>
      </w:r>
      <w:proofErr w:type="spellEnd"/>
      <w:r w:rsidRPr="0094059E">
        <w:rPr>
          <w:lang w:val="en-US" w:eastAsia="de-DE"/>
        </w:rPr>
        <w:t xml:space="preserve"> </w:t>
      </w:r>
      <w:r w:rsidR="00562C5B">
        <w:rPr>
          <w:lang w:val="en-US" w:eastAsia="de-DE"/>
        </w:rPr>
        <w:t>f</w:t>
      </w:r>
      <w:r w:rsidRPr="0094059E">
        <w:rPr>
          <w:lang w:val="en-US" w:eastAsia="de-DE"/>
        </w:rPr>
        <w:t>ormulation</w:t>
      </w:r>
    </w:p>
    <w:p w:rsidR="0094059E" w:rsidRPr="00C071B7" w:rsidRDefault="00D13063" w:rsidP="00562C5B">
      <w:r>
        <w:t>The sponsor</w:t>
      </w:r>
      <w:r w:rsidR="0094059E" w:rsidRPr="00C071B7">
        <w:t xml:space="preserve"> comment</w:t>
      </w:r>
      <w:r>
        <w:t>ed</w:t>
      </w:r>
      <w:r w:rsidR="0094059E" w:rsidRPr="00C071B7">
        <w:t xml:space="preserve"> on the relationship between the US formulation </w:t>
      </w:r>
      <w:proofErr w:type="spellStart"/>
      <w:r w:rsidR="0094059E" w:rsidRPr="00C071B7">
        <w:t>Astelin</w:t>
      </w:r>
      <w:proofErr w:type="spellEnd"/>
      <w:r w:rsidR="0094059E" w:rsidRPr="00C071B7">
        <w:t xml:space="preserve"> (used in clinical trials as the comparison monotherapy product containing </w:t>
      </w:r>
      <w:proofErr w:type="spellStart"/>
      <w:r w:rsidR="0094059E" w:rsidRPr="00C071B7">
        <w:t>azelastine</w:t>
      </w:r>
      <w:proofErr w:type="spellEnd"/>
      <w:r w:rsidR="0094059E" w:rsidRPr="00C071B7">
        <w:t xml:space="preserve">) and the Australian formulation </w:t>
      </w:r>
      <w:proofErr w:type="spellStart"/>
      <w:r w:rsidR="0094059E" w:rsidRPr="00C071B7">
        <w:t>Azep</w:t>
      </w:r>
      <w:proofErr w:type="spellEnd"/>
      <w:r w:rsidR="0094059E" w:rsidRPr="00C071B7">
        <w:t xml:space="preserve"> (original and “reformulated”), as requested by the Delegate. </w:t>
      </w:r>
      <w:proofErr w:type="spellStart"/>
      <w:r w:rsidR="0094059E" w:rsidRPr="00C071B7">
        <w:t>Astelin</w:t>
      </w:r>
      <w:proofErr w:type="spellEnd"/>
      <w:r w:rsidR="0094059E" w:rsidRPr="00C071B7">
        <w:t xml:space="preserve"> and </w:t>
      </w:r>
      <w:proofErr w:type="spellStart"/>
      <w:r w:rsidR="0094059E" w:rsidRPr="00C071B7">
        <w:t>Azep</w:t>
      </w:r>
      <w:proofErr w:type="spellEnd"/>
      <w:r w:rsidR="0094059E" w:rsidRPr="00C071B7">
        <w:t xml:space="preserve"> (original formulation) are basically the same except for a few differences. The difference in the amount of ingredient Disodium phosphate (buffering agent) is associated with the used hydrate in manufacture. When calculated on the </w:t>
      </w:r>
      <w:proofErr w:type="spellStart"/>
      <w:r w:rsidR="0094059E" w:rsidRPr="00C071B7">
        <w:t>anhydrate</w:t>
      </w:r>
      <w:proofErr w:type="spellEnd"/>
      <w:r w:rsidR="0094059E" w:rsidRPr="00C071B7">
        <w:t>, identical amounts yield. Furthermore, there is a slight difference in the amount of Citric acid anhydrous used; this difference is considered negligible.</w:t>
      </w:r>
    </w:p>
    <w:p w:rsidR="0094059E" w:rsidRPr="00C071B7" w:rsidRDefault="0094059E" w:rsidP="00562C5B">
      <w:r w:rsidRPr="00C071B7">
        <w:t xml:space="preserve">Both </w:t>
      </w:r>
      <w:proofErr w:type="spellStart"/>
      <w:r w:rsidRPr="00C071B7">
        <w:t>Astelin</w:t>
      </w:r>
      <w:proofErr w:type="spellEnd"/>
      <w:r w:rsidRPr="00C071B7">
        <w:t xml:space="preserve"> and </w:t>
      </w:r>
      <w:proofErr w:type="spellStart"/>
      <w:r w:rsidRPr="00C071B7">
        <w:t>Azep</w:t>
      </w:r>
      <w:proofErr w:type="spellEnd"/>
      <w:r w:rsidRPr="00C071B7">
        <w:t xml:space="preserve"> (original formulation) contain the preservative </w:t>
      </w:r>
      <w:proofErr w:type="spellStart"/>
      <w:r w:rsidRPr="00C071B7">
        <w:t>Benzalkonium</w:t>
      </w:r>
      <w:proofErr w:type="spellEnd"/>
      <w:r w:rsidRPr="00C071B7">
        <w:t xml:space="preserve"> chloride (BAC). </w:t>
      </w:r>
      <w:proofErr w:type="spellStart"/>
      <w:r w:rsidRPr="00C071B7">
        <w:t>Azep</w:t>
      </w:r>
      <w:proofErr w:type="spellEnd"/>
      <w:r w:rsidRPr="00C071B7">
        <w:t xml:space="preserve"> (original formulation) was approved for registration in Australia in 2000 (under the name </w:t>
      </w:r>
      <w:proofErr w:type="spellStart"/>
      <w:r w:rsidRPr="00C071B7">
        <w:t>Rhinolast</w:t>
      </w:r>
      <w:proofErr w:type="spellEnd"/>
      <w:r w:rsidRPr="00C071B7">
        <w:t xml:space="preserve">). In 2004 approval was received for the “reformulated” and renamed product </w:t>
      </w:r>
      <w:proofErr w:type="spellStart"/>
      <w:r w:rsidRPr="00C071B7">
        <w:t>Azep</w:t>
      </w:r>
      <w:proofErr w:type="spellEnd"/>
      <w:r w:rsidRPr="00C071B7">
        <w:t xml:space="preserve">, which has been on the market since. The “reformulated” </w:t>
      </w:r>
      <w:proofErr w:type="spellStart"/>
      <w:r w:rsidRPr="00C071B7">
        <w:t>Azep</w:t>
      </w:r>
      <w:proofErr w:type="spellEnd"/>
      <w:r w:rsidRPr="00C071B7">
        <w:t xml:space="preserve"> differs from the original </w:t>
      </w:r>
      <w:proofErr w:type="spellStart"/>
      <w:r w:rsidRPr="00C071B7">
        <w:t>Azep</w:t>
      </w:r>
      <w:proofErr w:type="spellEnd"/>
      <w:r w:rsidRPr="00C071B7">
        <w:t xml:space="preserve"> only in respect to the preservative BAC as indicated in Table </w:t>
      </w:r>
      <w:r w:rsidR="00EC5BBA">
        <w:t>7</w:t>
      </w:r>
      <w:r w:rsidRPr="00C071B7">
        <w:t xml:space="preserve">. The reformulation was sought because the preservative BAC did not add value to </w:t>
      </w:r>
      <w:proofErr w:type="spellStart"/>
      <w:r w:rsidRPr="00C071B7">
        <w:t>Azep</w:t>
      </w:r>
      <w:proofErr w:type="spellEnd"/>
      <w:r w:rsidRPr="00C071B7">
        <w:t xml:space="preserve"> since </w:t>
      </w:r>
      <w:proofErr w:type="spellStart"/>
      <w:r w:rsidRPr="00C071B7">
        <w:t>azelastine</w:t>
      </w:r>
      <w:proofErr w:type="spellEnd"/>
      <w:r w:rsidRPr="00C071B7">
        <w:t xml:space="preserve"> has antimicrobial activity by itself and removal of BAC was welcomed by patients in Europe as well as Australia who were conscientious about preservatives in general. Investigations of spray patterns demonstrated that the absence of BAC had no influence on the particle size distribution produced by the affixed pump. Therefore, the approval for the “reformulated” </w:t>
      </w:r>
      <w:proofErr w:type="spellStart"/>
      <w:r w:rsidRPr="00C071B7">
        <w:t>azelastine</w:t>
      </w:r>
      <w:proofErr w:type="spellEnd"/>
      <w:r w:rsidRPr="00C071B7">
        <w:t xml:space="preserve"> nasal spray in Europe and Australia was mainly based on efficacy and safety data of clinical studies with the original BAC-containing formulation. In the US, the original BAC-containing </w:t>
      </w:r>
      <w:proofErr w:type="spellStart"/>
      <w:r w:rsidRPr="00C071B7">
        <w:t>azelastine</w:t>
      </w:r>
      <w:proofErr w:type="spellEnd"/>
      <w:r w:rsidRPr="00C071B7">
        <w:t xml:space="preserve"> nasal spray (</w:t>
      </w:r>
      <w:proofErr w:type="spellStart"/>
      <w:r w:rsidRPr="00C071B7">
        <w:t>Astelin</w:t>
      </w:r>
      <w:proofErr w:type="spellEnd"/>
      <w:r w:rsidRPr="00C071B7">
        <w:t>) is still marketed. The BAC-free formulation was never pursued in the US.</w:t>
      </w:r>
    </w:p>
    <w:p w:rsidR="0094059E" w:rsidRPr="00C071B7" w:rsidRDefault="0094059E" w:rsidP="00562C5B">
      <w:r w:rsidRPr="00C071B7">
        <w:t xml:space="preserve">The use of BAC as a conserving excipient in nasal sprays has been established since decades and still very common. The safety of BAC in intranasal solutions was discussed in the literature in the 90’s and consensus was reached based on a systematic review published in 2004. The review considered 18 studies and concluded that intranasal products containing the preservative BAC appear to be safe and well tolerated for both short and long-term clinical use. Accordingly, no relevance in clinical safety is expected between BAC-containing and BAC-free formulations. Therefore the robustness of the efficacy and safety studies for </w:t>
      </w:r>
      <w:proofErr w:type="spellStart"/>
      <w:r w:rsidRPr="00C071B7">
        <w:t>Dymista</w:t>
      </w:r>
      <w:proofErr w:type="spellEnd"/>
      <w:r w:rsidRPr="00C071B7">
        <w:t xml:space="preserve"> is not impacted by the use of </w:t>
      </w:r>
      <w:proofErr w:type="spellStart"/>
      <w:r w:rsidRPr="00C071B7">
        <w:t>Astelin</w:t>
      </w:r>
      <w:proofErr w:type="spellEnd"/>
      <w:r w:rsidRPr="00C071B7">
        <w:t xml:space="preserve"> </w:t>
      </w:r>
      <w:r w:rsidR="00C071B7">
        <w:t>versus</w:t>
      </w:r>
      <w:r w:rsidRPr="00C071B7">
        <w:t xml:space="preserve"> marketed </w:t>
      </w:r>
      <w:proofErr w:type="spellStart"/>
      <w:r w:rsidRPr="00C071B7">
        <w:t>Azep</w:t>
      </w:r>
      <w:proofErr w:type="spellEnd"/>
      <w:r w:rsidRPr="00C071B7">
        <w:t xml:space="preserve">. Other examples of intranasal corticosteroids containing BAC that are marketed in Australia are </w:t>
      </w:r>
      <w:proofErr w:type="spellStart"/>
      <w:r w:rsidRPr="00C071B7">
        <w:t>Flixonase</w:t>
      </w:r>
      <w:proofErr w:type="spellEnd"/>
      <w:r w:rsidRPr="00C071B7">
        <w:t xml:space="preserve"> Allergy &amp; </w:t>
      </w:r>
      <w:proofErr w:type="spellStart"/>
      <w:r w:rsidRPr="00C071B7">
        <w:t>Hayfever</w:t>
      </w:r>
      <w:proofErr w:type="spellEnd"/>
      <w:r w:rsidRPr="00C071B7">
        <w:t xml:space="preserve"> 24 Hour, </w:t>
      </w:r>
      <w:proofErr w:type="spellStart"/>
      <w:r w:rsidRPr="00C071B7">
        <w:t>Avamys</w:t>
      </w:r>
      <w:proofErr w:type="spellEnd"/>
      <w:r w:rsidRPr="00C071B7">
        <w:t xml:space="preserve"> and </w:t>
      </w:r>
      <w:proofErr w:type="spellStart"/>
      <w:r w:rsidRPr="00C071B7">
        <w:t>Nasonex</w:t>
      </w:r>
      <w:proofErr w:type="spellEnd"/>
      <w:r w:rsidRPr="00C071B7">
        <w:t>.</w:t>
      </w:r>
    </w:p>
    <w:p w:rsidR="0034481B" w:rsidRDefault="0034481B">
      <w:pPr>
        <w:spacing w:before="0" w:after="200" w:line="0" w:lineRule="auto"/>
        <w:rPr>
          <w:b/>
          <w:sz w:val="20"/>
        </w:rPr>
      </w:pPr>
      <w:r>
        <w:br w:type="page"/>
      </w:r>
    </w:p>
    <w:p w:rsidR="0094059E" w:rsidRDefault="00C071B7" w:rsidP="00562C5B">
      <w:pPr>
        <w:pStyle w:val="TableTitle"/>
      </w:pPr>
      <w:proofErr w:type="gramStart"/>
      <w:r w:rsidRPr="00C071B7">
        <w:lastRenderedPageBreak/>
        <w:t xml:space="preserve">Table </w:t>
      </w:r>
      <w:r w:rsidR="00EC5BBA">
        <w:t>7</w:t>
      </w:r>
      <w:r w:rsidRPr="00C071B7">
        <w:t>.</w:t>
      </w:r>
      <w:proofErr w:type="gramEnd"/>
      <w:r w:rsidR="0094059E" w:rsidRPr="00C071B7">
        <w:t xml:space="preserve"> </w:t>
      </w:r>
      <w:proofErr w:type="spellStart"/>
      <w:r w:rsidR="0094059E" w:rsidRPr="00C071B7">
        <w:t>Astelin</w:t>
      </w:r>
      <w:proofErr w:type="spellEnd"/>
      <w:r w:rsidR="0094059E" w:rsidRPr="00C071B7">
        <w:t xml:space="preserve">, </w:t>
      </w:r>
      <w:proofErr w:type="spellStart"/>
      <w:r w:rsidR="0094059E" w:rsidRPr="00C071B7">
        <w:t>Azep</w:t>
      </w:r>
      <w:proofErr w:type="spellEnd"/>
      <w:r w:rsidR="0094059E" w:rsidRPr="00C071B7">
        <w:t xml:space="preserve"> original and </w:t>
      </w:r>
      <w:proofErr w:type="spellStart"/>
      <w:r w:rsidR="0094059E" w:rsidRPr="00C071B7">
        <w:t>Azep</w:t>
      </w:r>
      <w:proofErr w:type="spellEnd"/>
      <w:r w:rsidR="0094059E" w:rsidRPr="00C071B7">
        <w:t xml:space="preserve"> “reformulated” formulations</w:t>
      </w:r>
    </w:p>
    <w:tbl>
      <w:tblPr>
        <w:tblStyle w:val="TableTGAblue"/>
        <w:tblW w:w="8505" w:type="dxa"/>
        <w:tblInd w:w="108" w:type="dxa"/>
        <w:tblLayout w:type="fixed"/>
        <w:tblLook w:val="04A0" w:firstRow="1" w:lastRow="0" w:firstColumn="1" w:lastColumn="0" w:noHBand="0" w:noVBand="1"/>
      </w:tblPr>
      <w:tblGrid>
        <w:gridCol w:w="2121"/>
        <w:gridCol w:w="2230"/>
        <w:gridCol w:w="2230"/>
        <w:gridCol w:w="1924"/>
      </w:tblGrid>
      <w:tr w:rsidR="0034481B" w:rsidTr="0034481B">
        <w:trPr>
          <w:cnfStyle w:val="100000000000" w:firstRow="1" w:lastRow="0" w:firstColumn="0" w:lastColumn="0" w:oddVBand="0" w:evenVBand="0" w:oddHBand="0" w:evenHBand="0" w:firstRowFirstColumn="0" w:firstRowLastColumn="0" w:lastRowFirstColumn="0" w:lastRowLastColumn="0"/>
          <w:trHeight w:val="1152"/>
        </w:trPr>
        <w:tc>
          <w:tcPr>
            <w:tcW w:w="2121" w:type="dxa"/>
            <w:tcBorders>
              <w:right w:val="nil"/>
            </w:tcBorders>
            <w:hideMark/>
          </w:tcPr>
          <w:p w:rsidR="0034481B" w:rsidRDefault="0034481B">
            <w:pPr>
              <w:ind w:left="0"/>
              <w:rPr>
                <w:sz w:val="19"/>
                <w:szCs w:val="19"/>
              </w:rPr>
            </w:pPr>
            <w:r>
              <w:rPr>
                <w:sz w:val="19"/>
                <w:szCs w:val="19"/>
              </w:rPr>
              <w:t>Ingredients</w:t>
            </w:r>
          </w:p>
        </w:tc>
        <w:tc>
          <w:tcPr>
            <w:tcW w:w="2230" w:type="dxa"/>
            <w:tcBorders>
              <w:left w:val="nil"/>
              <w:right w:val="nil"/>
            </w:tcBorders>
            <w:hideMark/>
          </w:tcPr>
          <w:p w:rsidR="0034481B" w:rsidRDefault="0034481B">
            <w:pPr>
              <w:ind w:left="0"/>
              <w:rPr>
                <w:sz w:val="19"/>
                <w:szCs w:val="19"/>
              </w:rPr>
            </w:pPr>
            <w:proofErr w:type="spellStart"/>
            <w:r>
              <w:rPr>
                <w:sz w:val="19"/>
                <w:szCs w:val="19"/>
              </w:rPr>
              <w:t>Astelin</w:t>
            </w:r>
            <w:proofErr w:type="spellEnd"/>
            <w:r>
              <w:rPr>
                <w:sz w:val="19"/>
                <w:szCs w:val="19"/>
              </w:rPr>
              <w:t xml:space="preserve"> Formulation used in clinical studies (mg/actuation)</w:t>
            </w:r>
          </w:p>
        </w:tc>
        <w:tc>
          <w:tcPr>
            <w:tcW w:w="2230" w:type="dxa"/>
            <w:tcBorders>
              <w:left w:val="nil"/>
              <w:right w:val="nil"/>
            </w:tcBorders>
            <w:hideMark/>
          </w:tcPr>
          <w:p w:rsidR="0034481B" w:rsidRDefault="0034481B">
            <w:pPr>
              <w:ind w:left="0"/>
              <w:rPr>
                <w:sz w:val="19"/>
                <w:szCs w:val="19"/>
              </w:rPr>
            </w:pPr>
            <w:proofErr w:type="spellStart"/>
            <w:r>
              <w:rPr>
                <w:sz w:val="19"/>
                <w:szCs w:val="19"/>
              </w:rPr>
              <w:t>Azep</w:t>
            </w:r>
            <w:proofErr w:type="spellEnd"/>
            <w:r>
              <w:rPr>
                <w:sz w:val="19"/>
                <w:szCs w:val="19"/>
              </w:rPr>
              <w:t xml:space="preserve"> original formulation (mg/actuation)</w:t>
            </w:r>
          </w:p>
        </w:tc>
        <w:tc>
          <w:tcPr>
            <w:tcW w:w="1924" w:type="dxa"/>
            <w:tcBorders>
              <w:left w:val="nil"/>
            </w:tcBorders>
            <w:hideMark/>
          </w:tcPr>
          <w:p w:rsidR="0034481B" w:rsidRDefault="0034481B">
            <w:pPr>
              <w:ind w:left="0"/>
              <w:rPr>
                <w:sz w:val="19"/>
                <w:szCs w:val="19"/>
              </w:rPr>
            </w:pPr>
            <w:proofErr w:type="spellStart"/>
            <w:r>
              <w:rPr>
                <w:sz w:val="19"/>
                <w:szCs w:val="19"/>
              </w:rPr>
              <w:t>Azep</w:t>
            </w:r>
            <w:proofErr w:type="spellEnd"/>
            <w:r>
              <w:rPr>
                <w:sz w:val="19"/>
                <w:szCs w:val="19"/>
              </w:rPr>
              <w:t xml:space="preserve"> current “reformulated” formulation (mg/actuation)</w:t>
            </w:r>
          </w:p>
        </w:tc>
      </w:tr>
      <w:tr w:rsidR="0034481B" w:rsidTr="0034481B">
        <w:trPr>
          <w:trHeight w:val="691"/>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proofErr w:type="spellStart"/>
            <w:r>
              <w:rPr>
                <w:sz w:val="19"/>
                <w:szCs w:val="19"/>
              </w:rPr>
              <w:t>Azelastine</w:t>
            </w:r>
            <w:proofErr w:type="spellEnd"/>
            <w:r>
              <w:rPr>
                <w:sz w:val="19"/>
                <w:szCs w:val="19"/>
              </w:rPr>
              <w:t xml:space="preserve"> hydrochloride</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r>
      <w:tr w:rsidR="0034481B" w:rsidTr="0034481B">
        <w:trPr>
          <w:trHeight w:val="475"/>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Citric acid - anhydrous</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0.0616</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0.0613</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0.0613</w:t>
            </w:r>
          </w:p>
        </w:tc>
      </w:tr>
      <w:tr w:rsidR="0034481B" w:rsidTr="0034481B">
        <w:trPr>
          <w:trHeight w:val="461"/>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 xml:space="preserve">Disodium </w:t>
            </w:r>
            <w:proofErr w:type="spellStart"/>
            <w:r>
              <w:rPr>
                <w:sz w:val="19"/>
                <w:szCs w:val="19"/>
              </w:rPr>
              <w:t>edetate</w:t>
            </w:r>
            <w:proofErr w:type="spellEnd"/>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0.07</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0.07</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0.07</w:t>
            </w:r>
          </w:p>
        </w:tc>
      </w:tr>
      <w:tr w:rsidR="0034481B" w:rsidTr="0034481B">
        <w:trPr>
          <w:trHeight w:val="461"/>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proofErr w:type="spellStart"/>
            <w:r>
              <w:rPr>
                <w:sz w:val="19"/>
                <w:szCs w:val="19"/>
              </w:rPr>
              <w:t>Hypromellose</w:t>
            </w:r>
            <w:proofErr w:type="spellEnd"/>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0.14</w:t>
            </w:r>
          </w:p>
        </w:tc>
      </w:tr>
      <w:tr w:rsidR="0034481B" w:rsidTr="0034481B">
        <w:trPr>
          <w:trHeight w:val="475"/>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Sodium chloride</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0.9618</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0.9618</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0.9618</w:t>
            </w:r>
          </w:p>
        </w:tc>
      </w:tr>
      <w:tr w:rsidR="0034481B" w:rsidTr="0034481B">
        <w:trPr>
          <w:trHeight w:val="1037"/>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Dibasic Sodium Phosphate calculated as water-free</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0.3598</w:t>
            </w:r>
          </w:p>
          <w:p w:rsidR="0034481B" w:rsidRDefault="0034481B">
            <w:pPr>
              <w:ind w:left="0"/>
              <w:rPr>
                <w:sz w:val="19"/>
                <w:szCs w:val="19"/>
              </w:rPr>
            </w:pPr>
            <w:r>
              <w:rPr>
                <w:sz w:val="19"/>
                <w:szCs w:val="19"/>
              </w:rPr>
              <w:t xml:space="preserve">from 0.6804 mg USP </w:t>
            </w:r>
            <w:proofErr w:type="spellStart"/>
            <w:r>
              <w:rPr>
                <w:sz w:val="19"/>
                <w:szCs w:val="19"/>
              </w:rPr>
              <w:t>heptahydrate</w:t>
            </w:r>
            <w:proofErr w:type="spellEnd"/>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0.3598</w:t>
            </w:r>
          </w:p>
          <w:p w:rsidR="0034481B" w:rsidRDefault="0034481B">
            <w:pPr>
              <w:ind w:left="0"/>
              <w:rPr>
                <w:sz w:val="19"/>
                <w:szCs w:val="19"/>
              </w:rPr>
            </w:pPr>
            <w:r>
              <w:rPr>
                <w:sz w:val="19"/>
                <w:szCs w:val="19"/>
              </w:rPr>
              <w:t xml:space="preserve">from 0.9072 mg </w:t>
            </w:r>
            <w:proofErr w:type="spellStart"/>
            <w:r>
              <w:rPr>
                <w:sz w:val="19"/>
                <w:szCs w:val="19"/>
              </w:rPr>
              <w:t>dodecahydrate</w:t>
            </w:r>
            <w:proofErr w:type="spellEnd"/>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0.3598</w:t>
            </w:r>
          </w:p>
          <w:p w:rsidR="0034481B" w:rsidRDefault="0034481B">
            <w:pPr>
              <w:ind w:left="0"/>
              <w:rPr>
                <w:sz w:val="19"/>
                <w:szCs w:val="19"/>
              </w:rPr>
            </w:pPr>
            <w:r>
              <w:rPr>
                <w:sz w:val="19"/>
                <w:szCs w:val="19"/>
              </w:rPr>
              <w:t xml:space="preserve">from 0.9072 mg </w:t>
            </w:r>
            <w:proofErr w:type="spellStart"/>
            <w:r>
              <w:rPr>
                <w:sz w:val="19"/>
                <w:szCs w:val="19"/>
              </w:rPr>
              <w:t>dodecahydrate</w:t>
            </w:r>
            <w:proofErr w:type="spellEnd"/>
          </w:p>
        </w:tc>
      </w:tr>
      <w:tr w:rsidR="0034481B" w:rsidTr="0034481B">
        <w:trPr>
          <w:trHeight w:val="461"/>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Water - purified</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138.62898</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138.40218</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138.4196</w:t>
            </w:r>
          </w:p>
        </w:tc>
      </w:tr>
      <w:tr w:rsidR="0034481B" w:rsidTr="0034481B">
        <w:trPr>
          <w:trHeight w:val="475"/>
        </w:trPr>
        <w:tc>
          <w:tcPr>
            <w:tcW w:w="212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proofErr w:type="spellStart"/>
            <w:r>
              <w:rPr>
                <w:sz w:val="19"/>
                <w:szCs w:val="19"/>
              </w:rPr>
              <w:t>Benzalkonium</w:t>
            </w:r>
            <w:proofErr w:type="spellEnd"/>
            <w:r>
              <w:rPr>
                <w:sz w:val="19"/>
                <w:szCs w:val="19"/>
              </w:rPr>
              <w:t xml:space="preserve"> chloride</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0.0175</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0.0175</w:t>
            </w:r>
          </w:p>
        </w:tc>
        <w:tc>
          <w:tcPr>
            <w:tcW w:w="192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34481B" w:rsidRDefault="0034481B">
            <w:pPr>
              <w:ind w:left="0"/>
              <w:rPr>
                <w:sz w:val="19"/>
                <w:szCs w:val="19"/>
              </w:rPr>
            </w:pPr>
            <w:r>
              <w:rPr>
                <w:sz w:val="19"/>
                <w:szCs w:val="19"/>
              </w:rPr>
              <w:t>-</w:t>
            </w:r>
          </w:p>
        </w:tc>
      </w:tr>
    </w:tbl>
    <w:p w:rsidR="0094059E" w:rsidRPr="0094059E" w:rsidRDefault="0094059E" w:rsidP="0034481B">
      <w:pPr>
        <w:pStyle w:val="Heading5"/>
        <w:rPr>
          <w:lang w:val="en-US" w:eastAsia="de-DE"/>
        </w:rPr>
      </w:pPr>
      <w:r w:rsidRPr="0034481B">
        <w:t>Safety</w:t>
      </w:r>
    </w:p>
    <w:p w:rsidR="0094059E" w:rsidRPr="00C071B7" w:rsidRDefault="0094059E" w:rsidP="00FF370E">
      <w:r w:rsidRPr="00C071B7">
        <w:t xml:space="preserve">The </w:t>
      </w:r>
      <w:r w:rsidR="00C071B7">
        <w:t>clinical evaluator</w:t>
      </w:r>
      <w:r w:rsidRPr="00C071B7">
        <w:t xml:space="preserve"> noted that treatment with the combination was associated with an increased incidence of epistaxis in the long-term study compared to the US marketed fluticasone</w:t>
      </w:r>
      <w:r w:rsidR="00C071B7">
        <w:t xml:space="preserve"> propionate nasal spray (2.0% versus</w:t>
      </w:r>
      <w:r w:rsidRPr="00C071B7">
        <w:t xml:space="preserve"> 0.5%). However, the pooled data of all 4 placebo-controlled studies including data of 4,020 patients yielded almost no difference in incidence of epistaxis between the combination and placebo, (2.2% </w:t>
      </w:r>
      <w:r w:rsidR="00C071B7">
        <w:t>versus</w:t>
      </w:r>
      <w:r w:rsidRPr="00C071B7">
        <w:t xml:space="preserve"> 2.0%) but a higher incidence in the US marketed fluticasone prop</w:t>
      </w:r>
      <w:r w:rsidR="00C071B7">
        <w:t>ionate nasal spray group (3.9%</w:t>
      </w:r>
      <w:r w:rsidRPr="00C071B7">
        <w:t xml:space="preserve">). Thus, epistaxis often occurs in patients with allergic rhinitis and </w:t>
      </w:r>
      <w:proofErr w:type="spellStart"/>
      <w:r w:rsidRPr="00C071B7">
        <w:t>rhinoconjunctivitis</w:t>
      </w:r>
      <w:proofErr w:type="spellEnd"/>
      <w:r w:rsidRPr="00C071B7">
        <w:t>, even if left untreated and the difference in incidence between treatments in the long-term study is rather a finding by chance.</w:t>
      </w:r>
    </w:p>
    <w:p w:rsidR="0094059E" w:rsidRPr="00C071B7" w:rsidRDefault="00D13063" w:rsidP="00FF370E">
      <w:r>
        <w:t>The sponsor</w:t>
      </w:r>
      <w:r w:rsidR="0094059E" w:rsidRPr="00C071B7">
        <w:t xml:space="preserve"> agree</w:t>
      </w:r>
      <w:r>
        <w:t>d</w:t>
      </w:r>
      <w:r w:rsidR="0094059E" w:rsidRPr="00C071B7">
        <w:t xml:space="preserve"> with the </w:t>
      </w:r>
      <w:r w:rsidR="00C071B7">
        <w:t>clinical evaluator</w:t>
      </w:r>
      <w:r w:rsidR="0094059E" w:rsidRPr="00C071B7">
        <w:t xml:space="preserve"> that the combination appears to produce increased systemic exposure to fluticasone (about 1.6 times greater), when compared to a US</w:t>
      </w:r>
      <w:r w:rsidR="00EC5BBA">
        <w:t xml:space="preserve"> </w:t>
      </w:r>
      <w:r w:rsidR="0094059E" w:rsidRPr="00C071B7">
        <w:t xml:space="preserve">marketed fluticasone propionate monotherapy product. However, the absolute systemic bioavailability of fluticasone is still very low (with mean peak concentration </w:t>
      </w:r>
      <w:proofErr w:type="gramStart"/>
      <w:r w:rsidR="0094059E" w:rsidRPr="00C071B7">
        <w:t xml:space="preserve">of </w:t>
      </w:r>
      <w:r w:rsidR="00EC5BBA">
        <w:t>a</w:t>
      </w:r>
      <w:r w:rsidR="0094059E" w:rsidRPr="00C071B7">
        <w:t xml:space="preserve">pproximately 10 </w:t>
      </w:r>
      <w:proofErr w:type="spellStart"/>
      <w:r w:rsidR="0094059E" w:rsidRPr="00C071B7">
        <w:t>pg</w:t>
      </w:r>
      <w:proofErr w:type="spellEnd"/>
      <w:r w:rsidR="0094059E" w:rsidRPr="00C071B7">
        <w:t>/mL</w:t>
      </w:r>
      <w:proofErr w:type="gramEnd"/>
      <w:r w:rsidR="0094059E" w:rsidRPr="00C071B7">
        <w:t>) and unlikely to cause any clinically relevant systemic effects. Moreover, we proposed the maximum daily dose of 200 mcg fluticasone propionate per day that is half the maximum daily dose approved for fluticasone propionate nasal spray in Australia.</w:t>
      </w:r>
    </w:p>
    <w:p w:rsidR="0094059E" w:rsidRPr="0094059E" w:rsidRDefault="0094059E" w:rsidP="00FF370E">
      <w:pPr>
        <w:pStyle w:val="Heading5"/>
        <w:rPr>
          <w:sz w:val="28"/>
          <w:lang w:eastAsia="de-DE"/>
        </w:rPr>
      </w:pPr>
      <w:r w:rsidRPr="0094059E">
        <w:rPr>
          <w:lang w:eastAsia="de-DE"/>
        </w:rPr>
        <w:t>Evaluator’s comments on draft PI</w:t>
      </w:r>
    </w:p>
    <w:p w:rsidR="0094059E" w:rsidRPr="00C071B7" w:rsidRDefault="0094059E" w:rsidP="00FF370E">
      <w:r w:rsidRPr="00C071B7">
        <w:rPr>
          <w:lang w:eastAsia="de-DE"/>
        </w:rPr>
        <w:t>All comments from pharmaceutical chemistry and nonclinical evaluators have been incorporated.</w:t>
      </w:r>
      <w:r w:rsidRPr="0094059E">
        <w:rPr>
          <w:lang w:eastAsia="de-DE"/>
        </w:rPr>
        <w:t xml:space="preserve"> </w:t>
      </w:r>
      <w:r w:rsidRPr="00C071B7">
        <w:t xml:space="preserve">Comments on the clinical aspects have also been incorporated except a few points as shown in the proposed PI and explained below. Our main concern was deleting/amending some information as requested by the </w:t>
      </w:r>
      <w:r w:rsidR="00EC5BBA" w:rsidRPr="00C071B7">
        <w:t>clinical evaluator</w:t>
      </w:r>
      <w:r w:rsidRPr="00C071B7">
        <w:t xml:space="preserve">, which in </w:t>
      </w:r>
      <w:r w:rsidR="00EC5BBA">
        <w:t>the sponsor’s</w:t>
      </w:r>
      <w:r w:rsidRPr="00C071B7">
        <w:t xml:space="preserve"> view is </w:t>
      </w:r>
      <w:r w:rsidR="00C071B7">
        <w:t>important for Austr</w:t>
      </w:r>
      <w:r w:rsidRPr="00C071B7">
        <w:t xml:space="preserve">alian </w:t>
      </w:r>
      <w:proofErr w:type="gramStart"/>
      <w:r w:rsidRPr="00C071B7">
        <w:t>HCPs,</w:t>
      </w:r>
      <w:proofErr w:type="gramEnd"/>
      <w:r w:rsidRPr="00C071B7">
        <w:t xml:space="preserve"> therefore we propose retaining it in the PI.</w:t>
      </w:r>
    </w:p>
    <w:p w:rsidR="00C071B7" w:rsidRDefault="00C071B7" w:rsidP="0034481B">
      <w:pPr>
        <w:pStyle w:val="Heading6"/>
      </w:pPr>
      <w:r w:rsidRPr="0034481B">
        <w:lastRenderedPageBreak/>
        <w:t>Comment</w:t>
      </w:r>
      <w:r>
        <w:t xml:space="preserve"> 1</w:t>
      </w:r>
    </w:p>
    <w:p w:rsidR="0094059E" w:rsidRPr="00C071B7" w:rsidRDefault="0094059E" w:rsidP="00FF370E">
      <w:r w:rsidRPr="00C071B7">
        <w:t xml:space="preserve">The evaluator recommended amending the sentence </w:t>
      </w:r>
      <w:r w:rsidR="00C071B7">
        <w:t>‘</w:t>
      </w:r>
      <w:r w:rsidRPr="00C071B7">
        <w:rPr>
          <w:i/>
        </w:rPr>
        <w:t>A relief of nasal allergic symptoms is observed within 15 minutes after administration</w:t>
      </w:r>
      <w:r w:rsidR="00C071B7">
        <w:t>’</w:t>
      </w:r>
      <w:r w:rsidRPr="00C071B7">
        <w:t xml:space="preserve"> in the fourth paragraph in Section “Pharmacology – Pharmacodynamics” that describes the pharmacodynamics of </w:t>
      </w:r>
      <w:proofErr w:type="spellStart"/>
      <w:r w:rsidRPr="00C071B7">
        <w:t>azelastine</w:t>
      </w:r>
      <w:proofErr w:type="spellEnd"/>
      <w:r w:rsidRPr="00C071B7">
        <w:t xml:space="preserve">. This information is correct and taken from the </w:t>
      </w:r>
      <w:proofErr w:type="spellStart"/>
      <w:r w:rsidRPr="00C071B7">
        <w:t>Azep</w:t>
      </w:r>
      <w:proofErr w:type="spellEnd"/>
      <w:r w:rsidRPr="00C071B7">
        <w:t xml:space="preserve"> PI. It is clearly written that the </w:t>
      </w:r>
      <w:r w:rsidR="00EC5BBA">
        <w:t>third</w:t>
      </w:r>
      <w:r w:rsidRPr="00C071B7">
        <w:t xml:space="preserve"> and </w:t>
      </w:r>
      <w:r w:rsidR="00EC5BBA">
        <w:t>fourth</w:t>
      </w:r>
      <w:r w:rsidRPr="00C071B7">
        <w:t xml:space="preserve"> paragraphs in this </w:t>
      </w:r>
      <w:r w:rsidR="00EC5BBA">
        <w:t>s</w:t>
      </w:r>
      <w:r w:rsidRPr="00C071B7">
        <w:t xml:space="preserve">ection describe the individual component - </w:t>
      </w:r>
      <w:proofErr w:type="spellStart"/>
      <w:r w:rsidRPr="00C071B7">
        <w:t>azelastine</w:t>
      </w:r>
      <w:proofErr w:type="spellEnd"/>
      <w:r w:rsidRPr="00C071B7">
        <w:t xml:space="preserve">. The statement on onset of action for the combination product is given in Section “Clinical Trials”. In addition, a similar statement is also included in the European SPCs for </w:t>
      </w:r>
      <w:proofErr w:type="spellStart"/>
      <w:r w:rsidRPr="00C071B7">
        <w:t>Dymista</w:t>
      </w:r>
      <w:proofErr w:type="spellEnd"/>
      <w:r w:rsidRPr="00C071B7">
        <w:t xml:space="preserve"> in “</w:t>
      </w:r>
      <w:proofErr w:type="spellStart"/>
      <w:r w:rsidRPr="00C071B7">
        <w:t>Pharmacodynamic</w:t>
      </w:r>
      <w:proofErr w:type="spellEnd"/>
      <w:r w:rsidRPr="00C071B7">
        <w:t xml:space="preserve"> properties”. Therefore, </w:t>
      </w:r>
      <w:r w:rsidR="00EC5BBA">
        <w:t>the sponsor</w:t>
      </w:r>
      <w:r w:rsidRPr="00C071B7">
        <w:t xml:space="preserve"> suggest</w:t>
      </w:r>
      <w:r w:rsidR="00EC5BBA">
        <w:t>ed</w:t>
      </w:r>
      <w:r w:rsidRPr="00C071B7">
        <w:t xml:space="preserve"> not amending this statement.</w:t>
      </w:r>
    </w:p>
    <w:p w:rsidR="00C071B7" w:rsidRDefault="00C071B7" w:rsidP="00FF370E">
      <w:pPr>
        <w:pStyle w:val="Heading6"/>
      </w:pPr>
      <w:r>
        <w:t>Comment 6</w:t>
      </w:r>
    </w:p>
    <w:p w:rsidR="0094059E" w:rsidRPr="00C071B7" w:rsidRDefault="0094059E" w:rsidP="00FF370E">
      <w:r w:rsidRPr="00C071B7">
        <w:t xml:space="preserve">The </w:t>
      </w:r>
      <w:r w:rsidR="00D13063">
        <w:t>e</w:t>
      </w:r>
      <w:r w:rsidRPr="00C071B7">
        <w:t xml:space="preserve">valuator recommended that all references to the </w:t>
      </w:r>
      <w:proofErr w:type="spellStart"/>
      <w:r w:rsidRPr="00C071B7">
        <w:t>Rhinoconjunctivitis</w:t>
      </w:r>
      <w:proofErr w:type="spellEnd"/>
      <w:r w:rsidRPr="00C071B7">
        <w:t xml:space="preserve"> Quality of Life Questionnaire (RQLQ) should be deleted, as the combination product had no clinically significant benefit compared to the monotherapy products. RQLQ is an important secondary endpoint that is recommended by the EMA guidelines on the clinical development of medicinal products for the treatment of allergic </w:t>
      </w:r>
      <w:proofErr w:type="spellStart"/>
      <w:r w:rsidRPr="00C071B7">
        <w:t>rhinoconjunctivitis</w:t>
      </w:r>
      <w:proofErr w:type="spellEnd"/>
      <w:r w:rsidRPr="00C071B7">
        <w:t>. It is also addressed in the ARIA guideline</w:t>
      </w:r>
      <w:r w:rsidR="00C071B7">
        <w:t xml:space="preserve"> as ‘</w:t>
      </w:r>
      <w:r w:rsidRPr="00C071B7">
        <w:rPr>
          <w:i/>
        </w:rPr>
        <w:t>the RQLQ scores significantly impaired in patients with moderate/severe symptoms by comparison to patients with mild symptoms</w:t>
      </w:r>
      <w:r w:rsidRPr="00C071B7">
        <w:t>.</w:t>
      </w:r>
      <w:r w:rsidR="00C071B7">
        <w:t>’</w:t>
      </w:r>
      <w:r w:rsidRPr="00C071B7">
        <w:t xml:space="preserve"> Information about RQLQ is important for HCPs, therefore a reference to RQLQ is included in the US prescribing information and European SPCs for </w:t>
      </w:r>
      <w:proofErr w:type="spellStart"/>
      <w:r w:rsidRPr="00C071B7">
        <w:t>Dymista</w:t>
      </w:r>
      <w:proofErr w:type="spellEnd"/>
      <w:r w:rsidRPr="00C071B7">
        <w:t xml:space="preserve">. Please note that we do not claim for improved quality of life compared to </w:t>
      </w:r>
      <w:proofErr w:type="spellStart"/>
      <w:r w:rsidRPr="00C071B7">
        <w:t>monoproducts</w:t>
      </w:r>
      <w:proofErr w:type="spellEnd"/>
      <w:r w:rsidRPr="00C071B7">
        <w:t>, although the combination had a clinically significant benefit compared not only to placebo but als</w:t>
      </w:r>
      <w:r w:rsidR="00C071B7">
        <w:t xml:space="preserve">o to </w:t>
      </w:r>
      <w:proofErr w:type="spellStart"/>
      <w:r w:rsidR="00C071B7">
        <w:t>azelastine</w:t>
      </w:r>
      <w:proofErr w:type="spellEnd"/>
      <w:r w:rsidR="00C071B7">
        <w:t>. The statement ‘</w:t>
      </w:r>
      <w:r w:rsidRPr="00C071B7">
        <w:rPr>
          <w:i/>
        </w:rPr>
        <w:t xml:space="preserve">The RQLQ score for </w:t>
      </w:r>
      <w:proofErr w:type="spellStart"/>
      <w:r w:rsidR="007B3DAC">
        <w:rPr>
          <w:i/>
        </w:rPr>
        <w:t>Dymista</w:t>
      </w:r>
      <w:proofErr w:type="spellEnd"/>
      <w:r w:rsidRPr="00C071B7">
        <w:rPr>
          <w:i/>
        </w:rPr>
        <w:t xml:space="preserve"> 125/50 was significantly improved over placebo</w:t>
      </w:r>
      <w:r w:rsidRPr="00C071B7">
        <w:t>…</w:t>
      </w:r>
      <w:r w:rsidR="00C071B7">
        <w:t>’</w:t>
      </w:r>
      <w:r w:rsidRPr="00C071B7">
        <w:t xml:space="preserve"> clearly and correctly addresses the comparison to placebo. </w:t>
      </w:r>
      <w:r w:rsidR="00EC5BBA">
        <w:t>The sponsor</w:t>
      </w:r>
      <w:r w:rsidRPr="00C071B7">
        <w:t xml:space="preserve"> </w:t>
      </w:r>
      <w:r w:rsidR="00EC5BBA">
        <w:t>proposed to</w:t>
      </w:r>
      <w:r w:rsidRPr="00C071B7">
        <w:t xml:space="preserve"> retain this information in the PI.</w:t>
      </w:r>
    </w:p>
    <w:p w:rsidR="00C071B7" w:rsidRDefault="0094059E" w:rsidP="00FF370E">
      <w:pPr>
        <w:pStyle w:val="Heading6"/>
        <w:rPr>
          <w:lang w:eastAsia="de-DE"/>
        </w:rPr>
      </w:pPr>
      <w:r w:rsidRPr="0094059E">
        <w:rPr>
          <w:lang w:eastAsia="de-DE"/>
        </w:rPr>
        <w:t>Comment 8</w:t>
      </w:r>
    </w:p>
    <w:p w:rsidR="0094059E" w:rsidRPr="00C071B7" w:rsidRDefault="0094059E" w:rsidP="00FF370E">
      <w:r w:rsidRPr="00C071B7">
        <w:t xml:space="preserve">The </w:t>
      </w:r>
      <w:r w:rsidR="00D13063">
        <w:t>e</w:t>
      </w:r>
      <w:r w:rsidRPr="00C071B7">
        <w:t xml:space="preserve">valuator recommended deleting the responder rate analysis as it was a post-hoc analysis. This analysis was performed to evaluate clinical relevance of the change in symptom score as exactly recommended by the EMA guidelines on the clinical development of medicinal products for the treatment of allergic </w:t>
      </w:r>
      <w:proofErr w:type="spellStart"/>
      <w:r w:rsidRPr="00C071B7">
        <w:t>rhinoconjunctivitis</w:t>
      </w:r>
      <w:proofErr w:type="spellEnd"/>
      <w:r w:rsidRPr="00C071B7">
        <w:t xml:space="preserve">: </w:t>
      </w:r>
      <w:r w:rsidR="00C071B7">
        <w:t>‘</w:t>
      </w:r>
      <w:r w:rsidRPr="00C071B7">
        <w:rPr>
          <w:i/>
        </w:rPr>
        <w:t>A merely statistical significant difference of xx points on a scale might not be sufficient. An a</w:t>
      </w:r>
      <w:r w:rsidR="00C071B7">
        <w:rPr>
          <w:i/>
        </w:rPr>
        <w:t>nalysis in terms of responder (for example</w:t>
      </w:r>
      <w:r w:rsidRPr="00C071B7">
        <w:rPr>
          <w:i/>
        </w:rPr>
        <w:t xml:space="preserve"> patients with a 50% reduction in symptom score) might be helpful</w:t>
      </w:r>
      <w:r w:rsidRPr="00C071B7">
        <w:t xml:space="preserve">”. Thus, although this was a post hoc analysis the criterion for responder and the analysis are pre-defined in the guideline. This analysis is also requested by the European authorities. Furthermore, the information about statistical significant difference of xx points on a scale of symptom scores may be less comprehensive for HCPs than the information about the responder rate. Therefore, </w:t>
      </w:r>
      <w:r w:rsidR="00EC5BBA">
        <w:t>the sponsor</w:t>
      </w:r>
      <w:r w:rsidRPr="00C071B7">
        <w:t xml:space="preserve"> suggest</w:t>
      </w:r>
      <w:r w:rsidR="00EC5BBA">
        <w:t>ed</w:t>
      </w:r>
      <w:r w:rsidRPr="00C071B7">
        <w:t xml:space="preserve"> retaining this information in the </w:t>
      </w:r>
      <w:proofErr w:type="gramStart"/>
      <w:r w:rsidRPr="00C071B7">
        <w:t>PI,</w:t>
      </w:r>
      <w:proofErr w:type="gramEnd"/>
      <w:r w:rsidRPr="00C071B7">
        <w:t xml:space="preserve"> however the sentence has been amended to reflect the data of the pivotal study as well as the pooled analysis. This is in line with the European SPCs for </w:t>
      </w:r>
      <w:proofErr w:type="spellStart"/>
      <w:r w:rsidRPr="00C071B7">
        <w:t>Dymista</w:t>
      </w:r>
      <w:proofErr w:type="spellEnd"/>
      <w:r w:rsidRPr="00C071B7">
        <w:t>.</w:t>
      </w:r>
    </w:p>
    <w:p w:rsidR="008E7846" w:rsidRDefault="008E7846" w:rsidP="00FF370E">
      <w:pPr>
        <w:pStyle w:val="Heading4"/>
      </w:pPr>
      <w:r>
        <w:t xml:space="preserve">Advisory </w:t>
      </w:r>
      <w:r w:rsidR="005534AA">
        <w:t>c</w:t>
      </w:r>
      <w:r>
        <w:t xml:space="preserve">ommittee </w:t>
      </w:r>
      <w:r w:rsidR="005534AA">
        <w:t>c</w:t>
      </w:r>
      <w:r>
        <w:t>onsiderations</w:t>
      </w:r>
    </w:p>
    <w:p w:rsidR="008E7846" w:rsidRDefault="00D23139" w:rsidP="00FF370E">
      <w:r w:rsidRPr="00D23139">
        <w:t>The Advisory Committee on Prescription Medicines (ACPM), having considered the evaluations and the Delegate’s overview, as well as the sponsor’s response to these documents, advised the following:</w:t>
      </w:r>
    </w:p>
    <w:p w:rsidR="0067693D" w:rsidRPr="00C071B7" w:rsidRDefault="0067693D" w:rsidP="00FF370E">
      <w:r w:rsidRPr="00C071B7">
        <w:t>The submission seeks to register a new combination of active ingredients.</w:t>
      </w:r>
    </w:p>
    <w:p w:rsidR="0067693D" w:rsidRPr="00C071B7" w:rsidRDefault="0067693D" w:rsidP="00FF370E">
      <w:r w:rsidRPr="00C071B7">
        <w:t xml:space="preserve">The ACPM, taking into account the submitted evidence of efficacy, safety and quality, agreed with the </w:t>
      </w:r>
      <w:r w:rsidR="00EC5BBA">
        <w:t>D</w:t>
      </w:r>
      <w:r w:rsidRPr="00C071B7">
        <w:t xml:space="preserve">elegate and considered </w:t>
      </w:r>
      <w:proofErr w:type="spellStart"/>
      <w:r w:rsidR="007B3DAC">
        <w:t>Dymista</w:t>
      </w:r>
      <w:proofErr w:type="spellEnd"/>
      <w:r w:rsidRPr="00C071B7">
        <w:t xml:space="preserve"> nasal spray containing </w:t>
      </w:r>
      <w:proofErr w:type="spellStart"/>
      <w:r w:rsidRPr="00C071B7">
        <w:t>azelastine</w:t>
      </w:r>
      <w:proofErr w:type="spellEnd"/>
      <w:r w:rsidRPr="00C071B7">
        <w:t xml:space="preserve"> hydrochloride 0.1%w/w and fluticasone </w:t>
      </w:r>
      <w:proofErr w:type="spellStart"/>
      <w:r w:rsidRPr="00C071B7">
        <w:t>proprionate</w:t>
      </w:r>
      <w:proofErr w:type="spellEnd"/>
      <w:r w:rsidRPr="00C071B7">
        <w:t xml:space="preserve"> 0.0365% w/w to have an overall positive benefit–r</w:t>
      </w:r>
      <w:r w:rsidR="00FF370E">
        <w:t>isk profile for the indication;</w:t>
      </w:r>
    </w:p>
    <w:p w:rsidR="0067693D" w:rsidRPr="00FF370E" w:rsidRDefault="0067693D" w:rsidP="00FF370E">
      <w:pPr>
        <w:ind w:left="720"/>
        <w:rPr>
          <w:i/>
        </w:rPr>
      </w:pPr>
      <w:proofErr w:type="gramStart"/>
      <w:r w:rsidRPr="00FF370E">
        <w:rPr>
          <w:i/>
        </w:rPr>
        <w:lastRenderedPageBreak/>
        <w:t>Symptomatic treatment of moderate to severe allergic rhinitis and rhino-conjunctivitis in adults and children 12 years and older where use of a combination (intranasal antihistamine and glucocorticoid) is appropriate</w:t>
      </w:r>
      <w:r w:rsidR="00C071B7" w:rsidRPr="00FF370E">
        <w:rPr>
          <w:i/>
        </w:rPr>
        <w:t>.</w:t>
      </w:r>
      <w:proofErr w:type="gramEnd"/>
    </w:p>
    <w:p w:rsidR="0067693D" w:rsidRPr="00C071B7" w:rsidRDefault="0067693D" w:rsidP="00FF370E">
      <w:r w:rsidRPr="00C071B7">
        <w:t>In maki</w:t>
      </w:r>
      <w:r w:rsidR="00FF370E">
        <w:t>ng this recommendation the ACPM</w:t>
      </w:r>
    </w:p>
    <w:p w:rsidR="0067693D" w:rsidRPr="00FF370E" w:rsidRDefault="0067693D" w:rsidP="00FF370E">
      <w:pPr>
        <w:pStyle w:val="ListBullet"/>
      </w:pPr>
      <w:proofErr w:type="gramStart"/>
      <w:r w:rsidRPr="00FF370E">
        <w:t>noted</w:t>
      </w:r>
      <w:proofErr w:type="gramEnd"/>
      <w:r w:rsidRPr="00FF370E">
        <w:t xml:space="preserve"> that there were no dose-ranging studies done with the combination product. The doses for each active were taken from the monotherapy studies with no attempt to show possible dose reduction.</w:t>
      </w:r>
    </w:p>
    <w:p w:rsidR="0067693D" w:rsidRPr="00FF370E" w:rsidRDefault="0067693D" w:rsidP="00FF370E">
      <w:pPr>
        <w:pStyle w:val="ListBullet"/>
      </w:pPr>
      <w:proofErr w:type="gramStart"/>
      <w:r w:rsidRPr="00FF370E">
        <w:t>expressed</w:t>
      </w:r>
      <w:proofErr w:type="gramEnd"/>
      <w:r w:rsidRPr="00FF370E">
        <w:t xml:space="preserve"> some concern that the combination required a two times daily regimen due to the antihistamine which then provides 1.6 times the dose of fluticasone </w:t>
      </w:r>
      <w:proofErr w:type="spellStart"/>
      <w:r w:rsidRPr="00FF370E">
        <w:t>proprionate</w:t>
      </w:r>
      <w:proofErr w:type="spellEnd"/>
      <w:r w:rsidRPr="00FF370E">
        <w:t xml:space="preserve"> (FP).</w:t>
      </w:r>
    </w:p>
    <w:p w:rsidR="0067693D" w:rsidRPr="0067693D" w:rsidRDefault="0067693D" w:rsidP="00FF370E">
      <w:pPr>
        <w:pStyle w:val="Heading5"/>
        <w:rPr>
          <w:rFonts w:eastAsia="MS Mincho"/>
          <w:lang w:val="en-GB" w:eastAsia="ja-JP"/>
        </w:rPr>
      </w:pPr>
      <w:r w:rsidRPr="0067693D">
        <w:rPr>
          <w:rFonts w:eastAsia="MS Mincho"/>
          <w:lang w:val="en-GB" w:eastAsia="ja-JP"/>
        </w:rPr>
        <w:t>Specific adv</w:t>
      </w:r>
      <w:r w:rsidR="00C071B7">
        <w:rPr>
          <w:rFonts w:eastAsia="MS Mincho"/>
          <w:lang w:val="en-GB" w:eastAsia="ja-JP"/>
        </w:rPr>
        <w:t>ice</w:t>
      </w:r>
    </w:p>
    <w:p w:rsidR="0067693D" w:rsidRPr="00C071B7" w:rsidRDefault="0067693D" w:rsidP="00FF370E">
      <w:r w:rsidRPr="00C071B7">
        <w:t>The ACPM provided the following specifically requested advice:</w:t>
      </w:r>
    </w:p>
    <w:p w:rsidR="0067693D" w:rsidRPr="00C071B7" w:rsidRDefault="0067693D" w:rsidP="00FF370E">
      <w:pPr>
        <w:pStyle w:val="ListBullet"/>
      </w:pPr>
      <w:r w:rsidRPr="00C071B7">
        <w:t>Does the committee agree that there are adequate data to register for seasonal allergic rhinitis (SAR)?</w:t>
      </w:r>
    </w:p>
    <w:p w:rsidR="0067693D" w:rsidRPr="00C071B7" w:rsidRDefault="0067693D" w:rsidP="00FF370E">
      <w:r w:rsidRPr="00C071B7">
        <w:t>The ACPM advised that evidence of efficacy with nasal symptoms (over individual products) was adequate. The evidence submitted of improvement in eye symptoms over placebo was also adequate. While efficacy was clinically significant and the secondary outcomes (nasal congestion, sneezing et</w:t>
      </w:r>
      <w:r w:rsidR="00C071B7">
        <w:t xml:space="preserve"> cetera</w:t>
      </w:r>
      <w:r w:rsidRPr="00C071B7">
        <w:t>) showed similar results not all secondary endpoints were superior to FP alone. There are no added safety risks apparent with the combination.</w:t>
      </w:r>
    </w:p>
    <w:p w:rsidR="0067693D" w:rsidRPr="00C071B7" w:rsidRDefault="0067693D" w:rsidP="00FF370E">
      <w:pPr>
        <w:pStyle w:val="ListBullet"/>
      </w:pPr>
      <w:r w:rsidRPr="00C071B7">
        <w:t>Does the committee agree that perennial allergic rhinitis (PAR) could be registered based on the data on SAR and the 12 month safety study?</w:t>
      </w:r>
    </w:p>
    <w:p w:rsidR="0067693D" w:rsidRPr="00C071B7" w:rsidRDefault="0067693D" w:rsidP="00FF370E">
      <w:r w:rsidRPr="00C071B7">
        <w:t xml:space="preserve">The ACPM advised that the 12 month study in PAR was adequate when combined with the SAR studies to show efficacy. The three active treatment arms were all superior to placebo, the combination was more effective than the two monotherapies and the secondary outcomes for the combination were better than placebo and </w:t>
      </w:r>
      <w:proofErr w:type="spellStart"/>
      <w:r w:rsidRPr="00C071B7">
        <w:t>azelastine</w:t>
      </w:r>
      <w:proofErr w:type="spellEnd"/>
      <w:r w:rsidRPr="00C071B7">
        <w:t xml:space="preserve"> but not to FP. The onset of action appears to be rapid. There are no added safety risks apparent with the combination. The studies complied with EMA guideline requirements and the individual products are registered for SAR and PAR.</w:t>
      </w:r>
    </w:p>
    <w:p w:rsidR="0067693D" w:rsidRPr="0067693D" w:rsidRDefault="0067693D" w:rsidP="00FF370E">
      <w:pPr>
        <w:pStyle w:val="ListBullet"/>
        <w:rPr>
          <w:lang w:val="en-GB" w:eastAsia="ja-JP"/>
        </w:rPr>
      </w:pPr>
      <w:r w:rsidRPr="0067693D">
        <w:rPr>
          <w:lang w:val="en-GB" w:eastAsia="ja-JP"/>
        </w:rPr>
        <w:t>Does the Committee agree with the proposed indication or should it be confined to a second line indication as recommended by the evaluator or approved for first line treatment?</w:t>
      </w:r>
    </w:p>
    <w:p w:rsidR="0067693D" w:rsidRPr="00C071B7" w:rsidRDefault="0067693D" w:rsidP="00FF370E">
      <w:r w:rsidRPr="00C071B7">
        <w:t xml:space="preserve">The ACPM advised that the lowest effective dose should always be a starting point for therapy and in general, monotherapies at the lowest dose should be trialled first. Combination products should be used only in more severe cases (as stated in the proposed indication) where added treatment becomes necessary. The therapeutic guidelines </w:t>
      </w:r>
      <w:r w:rsidR="00FF370E">
        <w:t>make this clear to prescribers.</w:t>
      </w:r>
    </w:p>
    <w:p w:rsidR="0067693D" w:rsidRPr="0067693D" w:rsidRDefault="0067693D" w:rsidP="00FF370E">
      <w:pPr>
        <w:pStyle w:val="Heading5"/>
        <w:rPr>
          <w:rFonts w:eastAsia="MS Mincho"/>
          <w:lang w:val="en-GB" w:eastAsia="ja-JP"/>
        </w:rPr>
      </w:pPr>
      <w:r w:rsidRPr="0067693D">
        <w:rPr>
          <w:rFonts w:eastAsia="MS Mincho"/>
          <w:lang w:val="en-GB" w:eastAsia="ja-JP"/>
        </w:rPr>
        <w:t>Prop</w:t>
      </w:r>
      <w:r w:rsidR="005534AA">
        <w:rPr>
          <w:rFonts w:eastAsia="MS Mincho"/>
          <w:lang w:val="en-GB" w:eastAsia="ja-JP"/>
        </w:rPr>
        <w:t>osed conditions of registration</w:t>
      </w:r>
    </w:p>
    <w:p w:rsidR="0067693D" w:rsidRPr="00C071B7" w:rsidRDefault="0067693D" w:rsidP="00FF370E">
      <w:pPr>
        <w:rPr>
          <w:highlight w:val="yellow"/>
        </w:rPr>
      </w:pPr>
      <w:r w:rsidRPr="00C071B7">
        <w:t xml:space="preserve">The ACPM specifically advised on </w:t>
      </w:r>
      <w:r w:rsidR="00FF370E">
        <w:t>the inclusion of the following:</w:t>
      </w:r>
    </w:p>
    <w:p w:rsidR="0067693D" w:rsidRPr="00C071B7" w:rsidRDefault="0067693D" w:rsidP="00FF370E">
      <w:pPr>
        <w:pStyle w:val="ListBullet"/>
      </w:pPr>
      <w:r w:rsidRPr="00C071B7">
        <w:t>Subject to satisfactory implementation of the Risk Management Plan most recently negotiated by the TGA</w:t>
      </w:r>
    </w:p>
    <w:p w:rsidR="0067693D" w:rsidRPr="00C071B7" w:rsidRDefault="0067693D" w:rsidP="00FF370E">
      <w:pPr>
        <w:pStyle w:val="ListBullet"/>
      </w:pPr>
      <w:r w:rsidRPr="00C071B7">
        <w:t>Negotiation of Product Information and Consumer Medicines Information to the satisfaction of the TGA.</w:t>
      </w:r>
    </w:p>
    <w:p w:rsidR="0067693D" w:rsidRPr="0067693D" w:rsidRDefault="0067693D" w:rsidP="00FF370E">
      <w:pPr>
        <w:pStyle w:val="Heading5"/>
        <w:rPr>
          <w:rFonts w:eastAsia="MS Mincho"/>
          <w:u w:val="single"/>
          <w:lang w:val="en-GB" w:eastAsia="ja-JP"/>
        </w:rPr>
      </w:pPr>
      <w:r w:rsidRPr="0067693D">
        <w:rPr>
          <w:rFonts w:eastAsia="MS Mincho"/>
          <w:lang w:val="en-GB" w:eastAsia="ja-JP"/>
        </w:rPr>
        <w:lastRenderedPageBreak/>
        <w:t>Proposed Product Information (PI)/Consumer Medici</w:t>
      </w:r>
      <w:r w:rsidR="005534AA">
        <w:rPr>
          <w:rFonts w:eastAsia="MS Mincho"/>
          <w:lang w:val="en-GB" w:eastAsia="ja-JP"/>
        </w:rPr>
        <w:t>ne Information (CMI) amendments</w:t>
      </w:r>
    </w:p>
    <w:p w:rsidR="0067693D" w:rsidRPr="00C071B7" w:rsidRDefault="0067693D" w:rsidP="00FF370E">
      <w:r w:rsidRPr="00C071B7">
        <w:t xml:space="preserve">The ACPM agreed with the </w:t>
      </w:r>
      <w:r w:rsidR="00D13063">
        <w:t>D</w:t>
      </w:r>
      <w:r w:rsidRPr="00C071B7">
        <w:t xml:space="preserve">elegate to the proposed amendments to the Product Information (PI) and Consumer Medicine Information (CMI) and specifically advised on </w:t>
      </w:r>
      <w:r w:rsidR="00FF370E">
        <w:t>the inclusion of the following:</w:t>
      </w:r>
    </w:p>
    <w:p w:rsidR="0067693D" w:rsidRPr="00C071B7" w:rsidRDefault="0067693D" w:rsidP="00FF370E">
      <w:pPr>
        <w:pStyle w:val="ListBullet"/>
      </w:pPr>
      <w:r w:rsidRPr="00C071B7">
        <w:t>The sponsor wished to keep the quality of life comments (compared to placebo) and the ACPM thought this reasonable.</w:t>
      </w:r>
    </w:p>
    <w:p w:rsidR="0067693D" w:rsidRPr="00C071B7" w:rsidRDefault="0067693D" w:rsidP="00FF370E">
      <w:r w:rsidRPr="00C071B7">
        <w:t>The ACPM advised that the implementation by the sponsor of the recommendations outlined above to the satisfaction of the TGA, in addition to the evidence of efficacy and safety provided would support the safe and e</w:t>
      </w:r>
      <w:r w:rsidR="00FF370E">
        <w:t>ffective use of these products.</w:t>
      </w:r>
    </w:p>
    <w:p w:rsidR="008E7846" w:rsidRPr="002E238E" w:rsidRDefault="008E7846" w:rsidP="00FF370E">
      <w:pPr>
        <w:pStyle w:val="Heading3"/>
      </w:pPr>
      <w:bookmarkStart w:id="117" w:name="_Toc247691532"/>
      <w:bookmarkStart w:id="118" w:name="_Toc314842516"/>
      <w:bookmarkStart w:id="119" w:name="_Toc396826970"/>
      <w:bookmarkEnd w:id="91"/>
      <w:bookmarkEnd w:id="115"/>
      <w:bookmarkEnd w:id="116"/>
      <w:r>
        <w:t>Outcome</w:t>
      </w:r>
      <w:bookmarkEnd w:id="117"/>
      <w:bookmarkEnd w:id="118"/>
      <w:bookmarkEnd w:id="119"/>
    </w:p>
    <w:p w:rsidR="00D23139" w:rsidRPr="00C071B7" w:rsidRDefault="00D23139" w:rsidP="00FF370E">
      <w:bookmarkStart w:id="120" w:name="_Toc247691533"/>
      <w:bookmarkStart w:id="121" w:name="_Toc314842517"/>
      <w:r w:rsidRPr="00C071B7">
        <w:t xml:space="preserve">Based on a review of quality, safety and efficacy, TGA approved the registration of </w:t>
      </w:r>
      <w:proofErr w:type="spellStart"/>
      <w:r w:rsidR="0067693D" w:rsidRPr="00C071B7">
        <w:t>Dymista</w:t>
      </w:r>
      <w:proofErr w:type="spellEnd"/>
      <w:r w:rsidR="0067693D" w:rsidRPr="00C071B7">
        <w:t>/</w:t>
      </w:r>
      <w:proofErr w:type="spellStart"/>
      <w:r w:rsidR="0067693D" w:rsidRPr="00C071B7">
        <w:t>Dylastine</w:t>
      </w:r>
      <w:proofErr w:type="spellEnd"/>
      <w:r w:rsidR="0067693D" w:rsidRPr="00C071B7">
        <w:t xml:space="preserve"> 125/50 </w:t>
      </w:r>
      <w:proofErr w:type="spellStart"/>
      <w:r w:rsidR="0067693D" w:rsidRPr="00C071B7">
        <w:t>azelastine</w:t>
      </w:r>
      <w:proofErr w:type="spellEnd"/>
      <w:r w:rsidR="0067693D" w:rsidRPr="00C071B7">
        <w:t xml:space="preserve"> (as hydrochloride) 125 microgram and fluticasone propionate 50 </w:t>
      </w:r>
      <w:r w:rsidR="007B3DAC">
        <w:t xml:space="preserve">microgram nasal spray bottle </w:t>
      </w:r>
      <w:r w:rsidRPr="00C071B7">
        <w:t>indicated for:</w:t>
      </w:r>
    </w:p>
    <w:p w:rsidR="0067693D" w:rsidRPr="00FF370E" w:rsidRDefault="0067693D" w:rsidP="00FF370E">
      <w:pPr>
        <w:ind w:left="720"/>
        <w:rPr>
          <w:i/>
        </w:rPr>
      </w:pPr>
      <w:proofErr w:type="gramStart"/>
      <w:r w:rsidRPr="00FF370E">
        <w:rPr>
          <w:i/>
        </w:rPr>
        <w:t>symptomatic</w:t>
      </w:r>
      <w:proofErr w:type="gramEnd"/>
      <w:r w:rsidRPr="00FF370E">
        <w:rPr>
          <w:i/>
        </w:rPr>
        <w:t xml:space="preserve"> treatment of moderate to severe allergic rhinitis and rhino-conjunctivitis in adults and children 12 years and older where use of a combination (intranasal antihistamine and glucocorticoid) is appropriate.</w:t>
      </w:r>
    </w:p>
    <w:p w:rsidR="00D23139" w:rsidRPr="00D23139" w:rsidRDefault="00D23139" w:rsidP="00FF370E">
      <w:pPr>
        <w:pStyle w:val="Heading4"/>
      </w:pPr>
      <w:r w:rsidRPr="00D23139">
        <w:t>Specific conditions of registration applying to these goods</w:t>
      </w:r>
    </w:p>
    <w:p w:rsidR="006819D7" w:rsidRPr="006819D7" w:rsidRDefault="006819D7" w:rsidP="00FF370E">
      <w:r w:rsidRPr="006819D7">
        <w:t>Periodic Safety Update Reports (PSURs) are to be provided annually until the period covered by such reports is not less than three years from the date of this approval letter. No fewer than three annual reports are required. The reports are to at least meet the requirements for Periodic Safety Update Reports (PSURs) as described in the European Medicines Agency's Guideline on Good Pharmacovigilance Practices (GVP) Module Vl</w:t>
      </w:r>
      <w:r>
        <w:t xml:space="preserve">l-Periodic Safety Update Report, </w:t>
      </w:r>
      <w:r w:rsidRPr="006819D7">
        <w:t>Part Vll. B. "Structures and processes". Note</w:t>
      </w:r>
      <w:r>
        <w:t xml:space="preserve"> </w:t>
      </w:r>
      <w:r w:rsidRPr="006819D7">
        <w:t>that submission of a PSUR does not constitute an application to vary the registration.</w:t>
      </w:r>
    </w:p>
    <w:p w:rsidR="006819D7" w:rsidRDefault="006819D7" w:rsidP="00FF370E">
      <w:r w:rsidRPr="006819D7">
        <w:t>Each report must have been prepared within ninety calendar days of the data lock</w:t>
      </w:r>
      <w:r>
        <w:t xml:space="preserve"> </w:t>
      </w:r>
      <w:r w:rsidRPr="006819D7">
        <w:t>point for that report</w:t>
      </w:r>
      <w:r>
        <w:t>.</w:t>
      </w:r>
    </w:p>
    <w:p w:rsidR="008E7846" w:rsidRDefault="005534AA" w:rsidP="005534AA">
      <w:pPr>
        <w:pStyle w:val="Heading2"/>
      </w:pPr>
      <w:bookmarkStart w:id="122" w:name="_Toc396826971"/>
      <w:proofErr w:type="gramStart"/>
      <w:r w:rsidRPr="005534AA">
        <w:t>Attachment</w:t>
      </w:r>
      <w:r>
        <w:t xml:space="preserve"> 1.</w:t>
      </w:r>
      <w:proofErr w:type="gramEnd"/>
      <w:r>
        <w:t xml:space="preserve"> </w:t>
      </w:r>
      <w:r w:rsidR="008E7846">
        <w:t xml:space="preserve">Product </w:t>
      </w:r>
      <w:r w:rsidR="00AA0ED0">
        <w:t>I</w:t>
      </w:r>
      <w:r w:rsidR="008E7846">
        <w:t>nformation</w:t>
      </w:r>
      <w:bookmarkEnd w:id="120"/>
      <w:bookmarkEnd w:id="121"/>
      <w:bookmarkEnd w:id="122"/>
    </w:p>
    <w:p w:rsidR="00C80137" w:rsidRDefault="002B3624" w:rsidP="005534AA">
      <w:pPr>
        <w:rPr>
          <w:color w:val="000000"/>
          <w:lang w:eastAsia="en-AU"/>
        </w:rPr>
      </w:pPr>
      <w:r w:rsidRPr="002B3624">
        <w:t>The Produc</w:t>
      </w:r>
      <w:r w:rsidR="006819D7">
        <w:t xml:space="preserve">t Information approved for </w:t>
      </w:r>
      <w:proofErr w:type="spellStart"/>
      <w:r w:rsidR="006819D7">
        <w:t>Dymista</w:t>
      </w:r>
      <w:proofErr w:type="spellEnd"/>
      <w:r w:rsidR="006819D7">
        <w:t xml:space="preserve"> </w:t>
      </w:r>
      <w:r w:rsidRPr="002B3624">
        <w:t>at the time this AusPAR was published is at Attachment 1. For the most recent Product Information please refer to the TGA website at &lt;</w:t>
      </w:r>
      <w:hyperlink r:id="rId15" w:history="1">
        <w:r w:rsidRPr="000734D8">
          <w:rPr>
            <w:rStyle w:val="Hyperlink"/>
          </w:rPr>
          <w:t>http://www.tga.gov.au/hp/information-medicines-pi.htm</w:t>
        </w:r>
      </w:hyperlink>
      <w:r w:rsidRPr="002B3624">
        <w:t xml:space="preserve">&gt;. </w:t>
      </w:r>
      <w:r w:rsidRPr="006819D7">
        <w:t>The PI for</w:t>
      </w:r>
      <w:bookmarkStart w:id="123" w:name="_GoBack"/>
      <w:bookmarkEnd w:id="123"/>
      <w:r w:rsidRPr="006819D7">
        <w:t xml:space="preserve"> </w:t>
      </w:r>
      <w:proofErr w:type="spellStart"/>
      <w:r w:rsidR="006819D7" w:rsidRPr="006819D7">
        <w:t>Dylastine</w:t>
      </w:r>
      <w:proofErr w:type="spellEnd"/>
      <w:r w:rsidRPr="006819D7">
        <w:t xml:space="preserve"> is identical except for the product name.</w:t>
      </w:r>
    </w:p>
    <w:p w:rsidR="001C32CD" w:rsidRDefault="00C80137" w:rsidP="005534AA">
      <w:pPr>
        <w:pStyle w:val="Heading2"/>
        <w:rPr>
          <w:lang w:eastAsia="en-AU"/>
        </w:rPr>
      </w:pPr>
      <w:bookmarkStart w:id="124" w:name="_Toc396826972"/>
      <w:proofErr w:type="gramStart"/>
      <w:r>
        <w:rPr>
          <w:lang w:eastAsia="en-AU"/>
        </w:rPr>
        <w:t>Attachment 2.</w:t>
      </w:r>
      <w:proofErr w:type="gramEnd"/>
      <w:r>
        <w:rPr>
          <w:lang w:eastAsia="en-AU"/>
        </w:rPr>
        <w:t xml:space="preserve"> Extract </w:t>
      </w:r>
      <w:r w:rsidRPr="005534AA">
        <w:t>from</w:t>
      </w:r>
      <w:r>
        <w:rPr>
          <w:lang w:eastAsia="en-AU"/>
        </w:rPr>
        <w:t xml:space="preserve"> the Clinical Evaluation Report</w:t>
      </w:r>
      <w:bookmarkEnd w:id="124"/>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6"/>
          <w:headerReference w:type="default" r:id="rId17"/>
          <w:headerReference w:type="first" r:id="rId18"/>
          <w:footerReference w:type="first" r:id="rId1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807805">
        <w:trPr>
          <w:trHeight w:hRule="exact" w:val="704"/>
        </w:trPr>
        <w:tc>
          <w:tcPr>
            <w:tcW w:w="9175" w:type="dxa"/>
          </w:tcPr>
          <w:p w:rsidR="001C32CD" w:rsidRPr="00487162" w:rsidRDefault="001C32CD" w:rsidP="00807805">
            <w:pPr>
              <w:pStyle w:val="TGASignoff"/>
            </w:pPr>
            <w:r w:rsidRPr="00487162">
              <w:lastRenderedPageBreak/>
              <w:t>Therapeutic Goods Administration</w:t>
            </w:r>
          </w:p>
        </w:tc>
      </w:tr>
      <w:tr w:rsidR="001C32CD" w:rsidRPr="004C239D" w:rsidTr="00807805">
        <w:trPr>
          <w:trHeight w:val="1221"/>
        </w:trPr>
        <w:tc>
          <w:tcPr>
            <w:tcW w:w="9175" w:type="dxa"/>
            <w:tcMar>
              <w:top w:w="28" w:type="dxa"/>
            </w:tcMar>
          </w:tcPr>
          <w:p w:rsidR="001C32CD" w:rsidRPr="00487162" w:rsidRDefault="001C32CD" w:rsidP="00807805">
            <w:pPr>
              <w:pStyle w:val="Address"/>
            </w:pPr>
            <w:r w:rsidRPr="00487162">
              <w:t>PO Box 100 Woden ACT 2606 Australia</w:t>
            </w:r>
          </w:p>
          <w:p w:rsidR="001C32CD" w:rsidRPr="00487162" w:rsidRDefault="001C32CD" w:rsidP="00807805">
            <w:pPr>
              <w:pStyle w:val="Address"/>
            </w:pPr>
            <w:r w:rsidRPr="00487162">
              <w:t xml:space="preserve">Email: </w:t>
            </w:r>
            <w:hyperlink r:id="rId20" w:history="1">
              <w:r w:rsidRPr="004C239D">
                <w:rPr>
                  <w:rStyle w:val="Hyperlink"/>
                </w:rPr>
                <w:t>info@tga.gov.au</w:t>
              </w:r>
            </w:hyperlink>
            <w:r w:rsidRPr="00487162">
              <w:t xml:space="preserve">  Phone: 1800 020 653  Fax: 02 6232 8605</w:t>
            </w:r>
          </w:p>
          <w:p w:rsidR="001C32CD" w:rsidRPr="004C239D" w:rsidRDefault="00EC244B" w:rsidP="00807805">
            <w:pPr>
              <w:pStyle w:val="Address"/>
              <w:spacing w:line="260" w:lineRule="atLeast"/>
              <w:rPr>
                <w:b/>
                <w:color w:val="0000FF"/>
                <w:u w:val="single"/>
              </w:rPr>
            </w:pPr>
            <w:hyperlink r:id="rId21"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2"/>
      <w:headerReference w:type="default" r:id="rId23"/>
      <w:footerReference w:type="default" r:id="rId24"/>
      <w:headerReference w:type="first" r:id="rId25"/>
      <w:footerReference w:type="first" r:id="rId2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4B" w:rsidRDefault="00EC244B" w:rsidP="00C40A36">
      <w:pPr>
        <w:spacing w:after="0"/>
      </w:pPr>
      <w:r>
        <w:separator/>
      </w:r>
    </w:p>
  </w:endnote>
  <w:endnote w:type="continuationSeparator" w:id="0">
    <w:p w:rsidR="00EC244B" w:rsidRDefault="00EC244B" w:rsidP="00C40A36">
      <w:pPr>
        <w:spacing w:after="0"/>
      </w:pPr>
      <w:r>
        <w:continuationSeparator/>
      </w:r>
    </w:p>
  </w:endnote>
  <w:endnote w:type="continuationNotice" w:id="1">
    <w:p w:rsidR="00EC244B" w:rsidRDefault="00EC24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C244B" w:rsidRPr="00487162" w:rsidTr="00DB750B">
      <w:trPr>
        <w:trHeight w:val="269"/>
      </w:trPr>
      <w:tc>
        <w:tcPr>
          <w:tcW w:w="7371" w:type="dxa"/>
          <w:tcMar>
            <w:top w:w="142" w:type="dxa"/>
            <w:bottom w:w="0" w:type="dxa"/>
          </w:tcMar>
        </w:tcPr>
        <w:p w:rsidR="00EC244B" w:rsidRPr="00487162" w:rsidRDefault="00EC244B" w:rsidP="00591928">
          <w:pPr>
            <w:pStyle w:val="Footer"/>
          </w:pPr>
          <w:r w:rsidRPr="00487162">
            <w:t xml:space="preserve">AusPAR </w:t>
          </w:r>
          <w:r>
            <w:t xml:space="preserve">fluticasone propionate and </w:t>
          </w:r>
          <w:proofErr w:type="spellStart"/>
          <w:r>
            <w:t>azelastine</w:t>
          </w:r>
          <w:proofErr w:type="spellEnd"/>
          <w:r>
            <w:t xml:space="preserve"> hydrochloride </w:t>
          </w:r>
          <w:proofErr w:type="spellStart"/>
          <w:r>
            <w:t>Dymista</w:t>
          </w:r>
          <w:proofErr w:type="spellEnd"/>
          <w:r>
            <w:t>/</w:t>
          </w:r>
          <w:proofErr w:type="spellStart"/>
          <w:r>
            <w:t>Dylastine</w:t>
          </w:r>
          <w:proofErr w:type="spellEnd"/>
          <w:r>
            <w:t xml:space="preserve"> </w:t>
          </w:r>
          <w:proofErr w:type="spellStart"/>
          <w:r>
            <w:t>Meda</w:t>
          </w:r>
          <w:proofErr w:type="spellEnd"/>
          <w:r>
            <w:t xml:space="preserve"> Pharmaceuticals PM-2012-03466-1-5 Final 24 July 2014</w:t>
          </w:r>
        </w:p>
      </w:tc>
      <w:tc>
        <w:tcPr>
          <w:tcW w:w="1490" w:type="dxa"/>
          <w:tcMar>
            <w:top w:w="142" w:type="dxa"/>
            <w:bottom w:w="0" w:type="dxa"/>
          </w:tcMar>
        </w:tcPr>
        <w:p w:rsidR="00EC244B" w:rsidRPr="00487162" w:rsidRDefault="00EC244B" w:rsidP="00DB750B">
          <w:pPr>
            <w:pStyle w:val="Footer"/>
            <w:jc w:val="right"/>
          </w:pPr>
          <w:r w:rsidRPr="00487162">
            <w:t xml:space="preserve">Page </w:t>
          </w:r>
          <w:r>
            <w:fldChar w:fldCharType="begin"/>
          </w:r>
          <w:r>
            <w:instrText xml:space="preserve"> PAGE  \* Arabic </w:instrText>
          </w:r>
          <w:r>
            <w:fldChar w:fldCharType="separate"/>
          </w:r>
          <w:r w:rsidR="00EA4E73">
            <w:rPr>
              <w:noProof/>
            </w:rPr>
            <w:t>37</w:t>
          </w:r>
          <w:r>
            <w:fldChar w:fldCharType="end"/>
          </w:r>
          <w:r w:rsidRPr="00487162">
            <w:t xml:space="preserve"> of </w:t>
          </w:r>
          <w:r>
            <w:fldChar w:fldCharType="begin"/>
          </w:r>
          <w:r>
            <w:instrText xml:space="preserve"> NUMPAGES  \* Arabic </w:instrText>
          </w:r>
          <w:r>
            <w:fldChar w:fldCharType="separate"/>
          </w:r>
          <w:r w:rsidR="00EA4E73">
            <w:rPr>
              <w:noProof/>
            </w:rPr>
            <w:t>42</w:t>
          </w:r>
          <w:r>
            <w:rPr>
              <w:noProof/>
            </w:rPr>
            <w:fldChar w:fldCharType="end"/>
          </w:r>
        </w:p>
      </w:tc>
    </w:tr>
  </w:tbl>
  <w:p w:rsidR="00EC244B" w:rsidRDefault="00EC244B"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C244B" w:rsidRPr="00487162" w:rsidTr="00E45619">
      <w:trPr>
        <w:trHeight w:val="269"/>
      </w:trPr>
      <w:tc>
        <w:tcPr>
          <w:tcW w:w="4519" w:type="dxa"/>
          <w:tcBorders>
            <w:top w:val="single" w:sz="4" w:space="0" w:color="auto"/>
          </w:tcBorders>
          <w:tcMar>
            <w:top w:w="142" w:type="dxa"/>
            <w:bottom w:w="0" w:type="dxa"/>
          </w:tcMar>
        </w:tcPr>
        <w:p w:rsidR="00EC244B" w:rsidRPr="00487162" w:rsidRDefault="00EC244B" w:rsidP="00FE1DEE">
          <w:pPr>
            <w:pStyle w:val="Footer"/>
          </w:pPr>
          <w:r w:rsidRPr="00487162">
            <w:t>Document title, Part #, Section # - Section title</w:t>
          </w:r>
        </w:p>
        <w:p w:rsidR="00EC244B" w:rsidRPr="00487162" w:rsidRDefault="00EC244B" w:rsidP="00FE1DEE">
          <w:pPr>
            <w:pStyle w:val="Footer"/>
          </w:pPr>
          <w:r w:rsidRPr="00487162">
            <w:t>V1.0 October 2010</w:t>
          </w:r>
        </w:p>
      </w:tc>
      <w:tc>
        <w:tcPr>
          <w:tcW w:w="4342" w:type="dxa"/>
          <w:tcBorders>
            <w:top w:val="single" w:sz="4" w:space="0" w:color="auto"/>
          </w:tcBorders>
          <w:tcMar>
            <w:top w:w="142" w:type="dxa"/>
            <w:bottom w:w="0" w:type="dxa"/>
          </w:tcMar>
        </w:tcPr>
        <w:p w:rsidR="00EC244B" w:rsidRPr="00487162" w:rsidRDefault="00EC244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42</w:t>
          </w:r>
          <w:r>
            <w:rPr>
              <w:noProof/>
            </w:rPr>
            <w:fldChar w:fldCharType="end"/>
          </w:r>
        </w:p>
      </w:tc>
    </w:tr>
  </w:tbl>
  <w:p w:rsidR="00EC244B" w:rsidRDefault="00EC2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Pr="001C32CD" w:rsidRDefault="00EC244B"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C244B" w:rsidTr="0010601F">
      <w:trPr>
        <w:trHeight w:val="108"/>
      </w:trPr>
      <w:tc>
        <w:tcPr>
          <w:tcW w:w="8875" w:type="dxa"/>
          <w:gridSpan w:val="2"/>
          <w:tcBorders>
            <w:bottom w:val="single" w:sz="4" w:space="0" w:color="auto"/>
          </w:tcBorders>
          <w:tcMar>
            <w:right w:w="284" w:type="dxa"/>
          </w:tcMar>
        </w:tcPr>
        <w:p w:rsidR="00EC244B" w:rsidRDefault="00EC244B" w:rsidP="006E08B3">
          <w:pPr>
            <w:pStyle w:val="Heading3"/>
          </w:pPr>
          <w:r>
            <w:t>Copyright</w:t>
          </w:r>
        </w:p>
        <w:p w:rsidR="00EC244B" w:rsidRDefault="00EC244B" w:rsidP="006E08B3">
          <w:r>
            <w:rPr>
              <w:rFonts w:cs="Arial"/>
            </w:rPr>
            <w:t>©</w:t>
          </w:r>
          <w:r>
            <w:t xml:space="preserve"> Commonwealth of Australia [add year]</w:t>
          </w:r>
        </w:p>
        <w:p w:rsidR="00EC244B" w:rsidRDefault="00EC244B" w:rsidP="006E08B3"/>
        <w:p w:rsidR="00EC244B" w:rsidRDefault="00EC244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EC244B" w:rsidRDefault="00EC244B" w:rsidP="006E08B3"/>
        <w:p w:rsidR="00EC244B" w:rsidRDefault="00EC244B" w:rsidP="006E08B3">
          <w:pPr>
            <w:pStyle w:val="Heading3"/>
          </w:pPr>
          <w:r>
            <w:t>Confidentiality</w:t>
          </w:r>
        </w:p>
        <w:p w:rsidR="00EC244B" w:rsidRDefault="00EC244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C244B" w:rsidRDefault="00EC244B" w:rsidP="006E08B3"/>
        <w:p w:rsidR="00EC244B" w:rsidRDefault="00EC244B" w:rsidP="006E08B3">
          <w:r>
            <w:t>For submission made by individuals, all personal details, other than your name, will be removed from your submission before it is published on the TGA’s Internet site.</w:t>
          </w:r>
        </w:p>
        <w:p w:rsidR="00EC244B" w:rsidRDefault="00EC244B" w:rsidP="006E08B3"/>
        <w:p w:rsidR="00EC244B" w:rsidRDefault="00EC244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EC244B" w:rsidTr="0010601F">
      <w:trPr>
        <w:trHeight w:val="417"/>
      </w:trPr>
      <w:tc>
        <w:tcPr>
          <w:tcW w:w="4519" w:type="dxa"/>
          <w:tcBorders>
            <w:top w:val="single" w:sz="4" w:space="0" w:color="auto"/>
          </w:tcBorders>
          <w:tcMar>
            <w:top w:w="142" w:type="dxa"/>
            <w:bottom w:w="0" w:type="dxa"/>
          </w:tcMar>
        </w:tcPr>
        <w:p w:rsidR="00EC244B" w:rsidRDefault="00EC244B" w:rsidP="006E08B3">
          <w:r>
            <w:t>Document title, Part #, Section # - Section title</w:t>
          </w:r>
        </w:p>
        <w:p w:rsidR="00EC244B" w:rsidRDefault="00EC244B" w:rsidP="006E08B3">
          <w:r>
            <w:t>V1.0 October 2010</w:t>
          </w:r>
        </w:p>
      </w:tc>
      <w:tc>
        <w:tcPr>
          <w:tcW w:w="4356" w:type="dxa"/>
          <w:tcBorders>
            <w:top w:val="single" w:sz="4" w:space="0" w:color="auto"/>
          </w:tcBorders>
          <w:tcMar>
            <w:top w:w="142" w:type="dxa"/>
            <w:bottom w:w="0" w:type="dxa"/>
          </w:tcMar>
        </w:tcPr>
        <w:p w:rsidR="00EC244B" w:rsidRDefault="00EC244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42</w:t>
          </w:r>
          <w:r>
            <w:rPr>
              <w:noProof/>
            </w:rPr>
            <w:fldChar w:fldCharType="end"/>
          </w:r>
          <w:r>
            <w:t xml:space="preserve">  </w:t>
          </w:r>
        </w:p>
      </w:tc>
    </w:tr>
  </w:tbl>
  <w:p w:rsidR="00EC244B" w:rsidRDefault="00EC24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4B" w:rsidRDefault="00EC244B" w:rsidP="00C40A36">
      <w:pPr>
        <w:spacing w:after="0"/>
      </w:pPr>
      <w:r>
        <w:separator/>
      </w:r>
    </w:p>
  </w:footnote>
  <w:footnote w:type="continuationSeparator" w:id="0">
    <w:p w:rsidR="00EC244B" w:rsidRDefault="00EC244B" w:rsidP="00C40A36">
      <w:pPr>
        <w:spacing w:after="0"/>
      </w:pPr>
      <w:r>
        <w:continuationSeparator/>
      </w:r>
    </w:p>
  </w:footnote>
  <w:footnote w:type="continuationNotice" w:id="1">
    <w:p w:rsidR="00EC244B" w:rsidRDefault="00EC244B">
      <w:pPr>
        <w:spacing w:before="0" w:after="0" w:line="240" w:lineRule="auto"/>
      </w:pPr>
    </w:p>
  </w:footnote>
  <w:footnote w:id="2">
    <w:p w:rsidR="00EC244B" w:rsidRPr="009E5CB7" w:rsidRDefault="00EC244B" w:rsidP="00EC244B">
      <w:pPr>
        <w:pStyle w:val="FootnoteText"/>
      </w:pPr>
      <w:r w:rsidRPr="009E5CB7">
        <w:rPr>
          <w:rStyle w:val="FootnoteReference"/>
          <w:rFonts w:asciiTheme="minorHAnsi" w:hAnsiTheme="minorHAnsi"/>
          <w:sz w:val="20"/>
        </w:rPr>
        <w:footnoteRef/>
      </w:r>
      <w:r w:rsidRPr="009E5CB7">
        <w:t xml:space="preserve"> At the pH of proposed nasal spray (5.5-6.5), the aqueous solubility of this active is approximately 0.4-1.5% w/w, which would completely dissolve the active which is formulated in only 0.1% w/w in the proposed product.</w:t>
      </w:r>
    </w:p>
  </w:footnote>
  <w:footnote w:id="3">
    <w:p w:rsidR="00EC244B" w:rsidRPr="0081747D" w:rsidRDefault="00EC244B" w:rsidP="0081747D">
      <w:pPr>
        <w:pStyle w:val="FootnoteText"/>
      </w:pPr>
      <w:r w:rsidRPr="00EC244B">
        <w:rPr>
          <w:rStyle w:val="FootnoteReference"/>
        </w:rPr>
        <w:footnoteRef/>
      </w:r>
      <w:r w:rsidRPr="0081747D">
        <w:t xml:space="preserve"> </w:t>
      </w:r>
      <w:proofErr w:type="gramStart"/>
      <w:r w:rsidRPr="0081747D">
        <w:t>EMEA/CHMP/SWP/258498/2005.</w:t>
      </w:r>
      <w:proofErr w:type="gramEnd"/>
    </w:p>
  </w:footnote>
  <w:footnote w:id="4">
    <w:p w:rsidR="00EC244B" w:rsidRPr="0081747D" w:rsidRDefault="00EC244B" w:rsidP="0081747D">
      <w:pPr>
        <w:pStyle w:val="FootnoteText"/>
      </w:pPr>
      <w:r w:rsidRPr="0081747D">
        <w:rPr>
          <w:rStyle w:val="FootnoteReference"/>
          <w:vertAlign w:val="baseline"/>
        </w:rPr>
        <w:footnoteRef/>
      </w:r>
      <w:r w:rsidRPr="0081747D">
        <w:t xml:space="preserve"> Daley-Yates PT, Baker </w:t>
      </w:r>
      <w:proofErr w:type="spellStart"/>
      <w:r w:rsidRPr="0081747D">
        <w:t>RC.Systemic</w:t>
      </w:r>
      <w:proofErr w:type="spellEnd"/>
      <w:r w:rsidRPr="0081747D">
        <w:t xml:space="preserve"> bioavailability of fluticasone propionate administered as nasal drops and aqueous nasal spray formulations. </w:t>
      </w:r>
      <w:proofErr w:type="gramStart"/>
      <w:r w:rsidRPr="0081747D">
        <w:t xml:space="preserve">Br J </w:t>
      </w:r>
      <w:proofErr w:type="spellStart"/>
      <w:r w:rsidRPr="0081747D">
        <w:t>Clin</w:t>
      </w:r>
      <w:proofErr w:type="spellEnd"/>
      <w:r w:rsidRPr="0081747D">
        <w:t xml:space="preserve"> </w:t>
      </w:r>
      <w:proofErr w:type="spellStart"/>
      <w:r w:rsidRPr="0081747D">
        <w:t>Pharmacol</w:t>
      </w:r>
      <w:proofErr w:type="spellEnd"/>
      <w:r w:rsidRPr="0081747D">
        <w:t>.</w:t>
      </w:r>
      <w:proofErr w:type="gramEnd"/>
      <w:r w:rsidRPr="0081747D">
        <w:t xml:space="preserve"> 2001</w:t>
      </w:r>
      <w:proofErr w:type="gramStart"/>
      <w:r w:rsidRPr="0081747D">
        <w:t>;51</w:t>
      </w:r>
      <w:proofErr w:type="gramEnd"/>
      <w:r w:rsidRPr="0081747D">
        <w:t>(1):103-5.</w:t>
      </w:r>
    </w:p>
  </w:footnote>
  <w:footnote w:id="5">
    <w:p w:rsidR="00EC244B" w:rsidRPr="00623691" w:rsidRDefault="00EC244B" w:rsidP="00623691">
      <w:pPr>
        <w:pStyle w:val="FootnoteText"/>
      </w:pPr>
      <w:r w:rsidRPr="00EC244B">
        <w:rPr>
          <w:rStyle w:val="FootnoteReference"/>
        </w:rPr>
        <w:footnoteRef/>
      </w:r>
      <w:r w:rsidRPr="0081747D">
        <w:t xml:space="preserve"> </w:t>
      </w:r>
      <w:proofErr w:type="gramStart"/>
      <w:r w:rsidRPr="00623691">
        <w:t>Hayes W.A. (2008) Principles and Methods of Toxicology.</w:t>
      </w:r>
      <w:proofErr w:type="gramEnd"/>
      <w:r w:rsidRPr="00623691">
        <w:t xml:space="preserve"> Boca Raton, FL USA: CRC Press / Taylor &amp; Francis Group.</w:t>
      </w:r>
    </w:p>
  </w:footnote>
  <w:footnote w:id="6">
    <w:p w:rsidR="00EC244B" w:rsidRPr="00623691" w:rsidRDefault="00EC244B" w:rsidP="00623691">
      <w:pPr>
        <w:pStyle w:val="FootnoteText"/>
      </w:pPr>
      <w:r w:rsidRPr="00623691">
        <w:rPr>
          <w:rStyle w:val="FootnoteReference"/>
        </w:rPr>
        <w:footnoteRef/>
      </w:r>
      <w:r w:rsidRPr="00623691">
        <w:t xml:space="preserve"> Breuer H.W. Hypertriglyceridemia: A Review of Clinical Relevance and Treatment Options: Focus on </w:t>
      </w:r>
      <w:proofErr w:type="spellStart"/>
      <w:r w:rsidRPr="00623691">
        <w:t>Cerivastatin</w:t>
      </w:r>
      <w:proofErr w:type="spellEnd"/>
      <w:r w:rsidRPr="00623691">
        <w:t xml:space="preserve">. </w:t>
      </w:r>
      <w:proofErr w:type="spellStart"/>
      <w:proofErr w:type="gramStart"/>
      <w:r w:rsidRPr="00623691">
        <w:t>Curr</w:t>
      </w:r>
      <w:proofErr w:type="spellEnd"/>
      <w:r w:rsidRPr="00623691">
        <w:t xml:space="preserve"> Med Res </w:t>
      </w:r>
      <w:proofErr w:type="spellStart"/>
      <w:r w:rsidRPr="00623691">
        <w:t>Opin</w:t>
      </w:r>
      <w:proofErr w:type="spellEnd"/>
      <w:r w:rsidRPr="00623691">
        <w:t>.</w:t>
      </w:r>
      <w:proofErr w:type="gramEnd"/>
      <w:r w:rsidRPr="00623691">
        <w:t xml:space="preserve"> 2001</w:t>
      </w:r>
      <w:proofErr w:type="gramStart"/>
      <w:r w:rsidRPr="00623691">
        <w:t>;17</w:t>
      </w:r>
      <w:proofErr w:type="gramEnd"/>
      <w:r w:rsidRPr="00623691">
        <w:t>(1):60-73.</w:t>
      </w:r>
    </w:p>
  </w:footnote>
  <w:footnote w:id="7">
    <w:p w:rsidR="00EC244B" w:rsidRPr="0081747D" w:rsidRDefault="00EC244B" w:rsidP="0081747D">
      <w:pPr>
        <w:pStyle w:val="FootnoteText"/>
      </w:pPr>
      <w:r w:rsidRPr="00623691">
        <w:rPr>
          <w:rStyle w:val="FootnoteReference"/>
        </w:rPr>
        <w:footnoteRef/>
      </w:r>
      <w:r w:rsidRPr="0081747D">
        <w:t xml:space="preserve"> </w:t>
      </w:r>
      <w:proofErr w:type="spellStart"/>
      <w:r w:rsidRPr="0081747D">
        <w:t>Derelanko</w:t>
      </w:r>
      <w:proofErr w:type="spellEnd"/>
      <w:r w:rsidRPr="0081747D">
        <w:t xml:space="preserve"> M J and </w:t>
      </w:r>
      <w:proofErr w:type="spellStart"/>
      <w:r w:rsidRPr="0081747D">
        <w:t>HollingerM</w:t>
      </w:r>
      <w:proofErr w:type="spellEnd"/>
      <w:r w:rsidRPr="0081747D">
        <w:t xml:space="preserve"> A</w:t>
      </w:r>
      <w:proofErr w:type="gramStart"/>
      <w:r w:rsidRPr="0081747D">
        <w:t>.(</w:t>
      </w:r>
      <w:proofErr w:type="gramEnd"/>
      <w:r w:rsidRPr="0081747D">
        <w:t>Eds.) (1995) CRC Handbook of Toxicology, Boca Raton, FL: CRC Press.</w:t>
      </w:r>
    </w:p>
  </w:footnote>
  <w:footnote w:id="8">
    <w:p w:rsidR="00EC244B" w:rsidRPr="0081747D" w:rsidRDefault="00EC244B" w:rsidP="0081747D">
      <w:pPr>
        <w:pStyle w:val="FootnoteText"/>
      </w:pPr>
      <w:r w:rsidRPr="00623691">
        <w:rPr>
          <w:rStyle w:val="FootnoteReference"/>
        </w:rPr>
        <w:footnoteRef/>
      </w:r>
      <w:r w:rsidRPr="0081747D">
        <w:t xml:space="preserve"> Drugs which have been taken by only a limited number of pregnant women and women of childbearing age, without an increase in the frequency of malformation or other direct or indirect harmful effects on the human </w:t>
      </w:r>
      <w:proofErr w:type="spellStart"/>
      <w:r w:rsidRPr="0081747D">
        <w:t>fetus</w:t>
      </w:r>
      <w:proofErr w:type="spellEnd"/>
      <w:r w:rsidRPr="0081747D">
        <w:t xml:space="preserve"> having been observed. Studies in animals have shown evidence of an increased occurrence of </w:t>
      </w:r>
      <w:proofErr w:type="spellStart"/>
      <w:r w:rsidRPr="0081747D">
        <w:t>fetal</w:t>
      </w:r>
      <w:proofErr w:type="spellEnd"/>
      <w:r w:rsidRPr="0081747D">
        <w:t xml:space="preserve"> damage, the significance of which is considered uncertain in humans.</w:t>
      </w:r>
    </w:p>
  </w:footnote>
  <w:footnote w:id="9">
    <w:p w:rsidR="00EC244B" w:rsidRPr="0081747D" w:rsidRDefault="00EC244B" w:rsidP="0081747D">
      <w:pPr>
        <w:pStyle w:val="FootnoteText"/>
      </w:pPr>
      <w:r w:rsidRPr="00623691">
        <w:rPr>
          <w:rStyle w:val="FootnoteReference"/>
        </w:rPr>
        <w:footnoteRef/>
      </w:r>
      <w:r w:rsidRPr="0081747D">
        <w:t xml:space="preserve"> Walls RS, Heddle RJ, Tang MLK, et al. </w:t>
      </w:r>
      <w:proofErr w:type="gramStart"/>
      <w:r w:rsidRPr="0081747D">
        <w:t>Optimising</w:t>
      </w:r>
      <w:proofErr w:type="gramEnd"/>
      <w:r w:rsidRPr="0081747D">
        <w:t xml:space="preserve"> the management of allergic rhinitis: an Australian perspective. Med J </w:t>
      </w:r>
      <w:proofErr w:type="spellStart"/>
      <w:r w:rsidRPr="0081747D">
        <w:t>Aust</w:t>
      </w:r>
      <w:proofErr w:type="spellEnd"/>
      <w:r w:rsidRPr="0081747D">
        <w:t xml:space="preserve"> 2005; 182:28-33.</w:t>
      </w:r>
    </w:p>
  </w:footnote>
  <w:footnote w:id="10">
    <w:p w:rsidR="00EC244B" w:rsidRPr="0081747D" w:rsidRDefault="00EC244B" w:rsidP="0081747D">
      <w:pPr>
        <w:pStyle w:val="FootnoteText"/>
      </w:pPr>
      <w:r w:rsidRPr="00623691">
        <w:rPr>
          <w:rStyle w:val="FootnoteReference"/>
        </w:rPr>
        <w:footnoteRef/>
      </w:r>
      <w:r w:rsidRPr="0081747D">
        <w:t xml:space="preserve"> ARIA (Allergic Rhinitis </w:t>
      </w:r>
      <w:proofErr w:type="gramStart"/>
      <w:r w:rsidRPr="0081747D">
        <w:t>And</w:t>
      </w:r>
      <w:proofErr w:type="gramEnd"/>
      <w:r w:rsidRPr="0081747D">
        <w:t xml:space="preserve"> Its Impact On Asthma) Guidelines; 2008 Update. Available from: </w:t>
      </w:r>
      <w:hyperlink r:id="rId1" w:history="1">
        <w:r w:rsidRPr="0081747D">
          <w:rPr>
            <w:rStyle w:val="Hyperlink"/>
            <w:color w:val="auto"/>
            <w:u w:val="none"/>
          </w:rPr>
          <w:t>http://www.whiar.org</w:t>
        </w:r>
      </w:hyperlink>
      <w:r w:rsidRPr="0081747D">
        <w:t xml:space="preserve">); ARIA (Allergic Rhinitis </w:t>
      </w:r>
      <w:proofErr w:type="gramStart"/>
      <w:r w:rsidRPr="0081747D">
        <w:t>And Its Impact On</w:t>
      </w:r>
      <w:proofErr w:type="gramEnd"/>
      <w:r w:rsidRPr="0081747D">
        <w:t xml:space="preserve"> Asthma) Guidelines; 2010 Revision. Available from: http://www.whiar.org).</w:t>
      </w:r>
    </w:p>
  </w:footnote>
  <w:footnote w:id="11">
    <w:p w:rsidR="00EC244B" w:rsidRPr="00EC23F4" w:rsidRDefault="00EC244B" w:rsidP="00365339">
      <w:pPr>
        <w:pStyle w:val="FootnoteText"/>
        <w:rPr>
          <w:szCs w:val="18"/>
        </w:rPr>
      </w:pPr>
      <w:r>
        <w:rPr>
          <w:rStyle w:val="FootnoteReference"/>
        </w:rPr>
        <w:footnoteRef/>
      </w:r>
      <w:r>
        <w:t xml:space="preserve"> </w:t>
      </w:r>
      <w:proofErr w:type="gramStart"/>
      <w:r w:rsidRPr="00EC23F4">
        <w:rPr>
          <w:szCs w:val="18"/>
        </w:rPr>
        <w:t>European Medicines Agency.</w:t>
      </w:r>
      <w:proofErr w:type="gramEnd"/>
      <w:r w:rsidRPr="00EC23F4">
        <w:rPr>
          <w:szCs w:val="18"/>
        </w:rPr>
        <w:t xml:space="preserve"> Guideline </w:t>
      </w:r>
      <w:proofErr w:type="gramStart"/>
      <w:r w:rsidRPr="00EC23F4">
        <w:rPr>
          <w:szCs w:val="18"/>
        </w:rPr>
        <w:t>On</w:t>
      </w:r>
      <w:proofErr w:type="gramEnd"/>
      <w:r w:rsidRPr="00EC23F4">
        <w:rPr>
          <w:szCs w:val="18"/>
        </w:rPr>
        <w:t xml:space="preserve"> The Clinical Development Of Medicinal Products For The Treatment Of Allergic </w:t>
      </w:r>
      <w:proofErr w:type="spellStart"/>
      <w:r w:rsidRPr="00EC23F4">
        <w:rPr>
          <w:szCs w:val="18"/>
        </w:rPr>
        <w:t>Rhinoconjunctivitis</w:t>
      </w:r>
      <w:proofErr w:type="spellEnd"/>
      <w:r w:rsidRPr="00EC23F4">
        <w:rPr>
          <w:szCs w:val="18"/>
        </w:rPr>
        <w:t xml:space="preserve"> (CHMP/EWP/2455/02); 2005.</w:t>
      </w:r>
    </w:p>
  </w:footnote>
  <w:footnote w:id="12">
    <w:p w:rsidR="00EC244B" w:rsidRDefault="00EC244B" w:rsidP="00365339">
      <w:pPr>
        <w:pStyle w:val="FootnoteText"/>
      </w:pPr>
      <w:r w:rsidRPr="00EC23F4">
        <w:rPr>
          <w:rStyle w:val="FootnoteReference"/>
          <w:szCs w:val="18"/>
        </w:rPr>
        <w:footnoteRef/>
      </w:r>
      <w:r w:rsidRPr="00EC23F4">
        <w:rPr>
          <w:szCs w:val="18"/>
        </w:rPr>
        <w:t xml:space="preserve"> </w:t>
      </w:r>
      <w:proofErr w:type="gramStart"/>
      <w:r w:rsidRPr="00EC23F4">
        <w:rPr>
          <w:szCs w:val="18"/>
        </w:rPr>
        <w:t>European Medicines Agency.</w:t>
      </w:r>
      <w:proofErr w:type="gramEnd"/>
      <w:r w:rsidRPr="00EC23F4">
        <w:rPr>
          <w:szCs w:val="18"/>
        </w:rPr>
        <w:t xml:space="preserve"> Guideline </w:t>
      </w:r>
      <w:proofErr w:type="gramStart"/>
      <w:r w:rsidRPr="00EC23F4">
        <w:rPr>
          <w:szCs w:val="18"/>
        </w:rPr>
        <w:t>On</w:t>
      </w:r>
      <w:proofErr w:type="gramEnd"/>
      <w:r w:rsidRPr="00EC23F4">
        <w:rPr>
          <w:szCs w:val="18"/>
        </w:rPr>
        <w:t xml:space="preserve"> Clinical Development Of Fixed Combination Medicinal Products (CPMP/EWP/240/95/Rev. 1); 2009.</w:t>
      </w:r>
    </w:p>
  </w:footnote>
  <w:footnote w:id="13">
    <w:p w:rsidR="00EC244B" w:rsidRPr="0081747D" w:rsidRDefault="00EC244B" w:rsidP="0081747D">
      <w:pPr>
        <w:pStyle w:val="FootnoteText"/>
      </w:pPr>
      <w:r w:rsidRPr="00623691">
        <w:rPr>
          <w:rStyle w:val="FootnoteReference"/>
        </w:rPr>
        <w:footnoteRef/>
      </w:r>
      <w:r w:rsidRPr="0081747D">
        <w:t xml:space="preserve"> </w:t>
      </w:r>
      <w:proofErr w:type="gramStart"/>
      <w:r w:rsidRPr="0081747D">
        <w:t>European Medicines Agency.</w:t>
      </w:r>
      <w:proofErr w:type="gramEnd"/>
      <w:r w:rsidRPr="0081747D">
        <w:t xml:space="preserve"> Clinical Requirements For Locally Applied, Locally Acting Products, Containing Known Constituents (pp 381 – 391 of Rules 1998 (3C) – 3CC29a); 1996.</w:t>
      </w:r>
    </w:p>
  </w:footnote>
  <w:footnote w:id="14">
    <w:p w:rsidR="00EC244B" w:rsidRPr="0081747D" w:rsidRDefault="00EC244B" w:rsidP="0081747D">
      <w:pPr>
        <w:pStyle w:val="FootnoteText"/>
      </w:pPr>
      <w:r w:rsidRPr="00623691">
        <w:rPr>
          <w:rStyle w:val="FootnoteReference"/>
        </w:rPr>
        <w:footnoteRef/>
      </w:r>
      <w:r w:rsidRPr="0081747D">
        <w:t xml:space="preserve"> </w:t>
      </w:r>
      <w:proofErr w:type="gramStart"/>
      <w:r w:rsidRPr="0081747D">
        <w:t>European Medicines Agency.</w:t>
      </w:r>
      <w:proofErr w:type="gramEnd"/>
      <w:r w:rsidRPr="0081747D">
        <w:t xml:space="preserve"> </w:t>
      </w:r>
      <w:proofErr w:type="gramStart"/>
      <w:r w:rsidRPr="0081747D">
        <w:t>Decision P/82/2011.</w:t>
      </w:r>
      <w:proofErr w:type="gramEnd"/>
      <w:r w:rsidRPr="0081747D">
        <w:t xml:space="preserve">  Studies in children under 12 years of age were not conducted.</w:t>
      </w:r>
    </w:p>
  </w:footnote>
  <w:footnote w:id="15">
    <w:p w:rsidR="00EC244B" w:rsidRPr="0081747D" w:rsidRDefault="00EC244B" w:rsidP="0081747D">
      <w:pPr>
        <w:pStyle w:val="FootnoteText"/>
      </w:pPr>
      <w:r w:rsidRPr="00623691">
        <w:rPr>
          <w:rStyle w:val="FootnoteReference"/>
        </w:rPr>
        <w:footnoteRef/>
      </w:r>
      <w:r w:rsidRPr="0081747D">
        <w:t xml:space="preserve"> </w:t>
      </w:r>
      <w:proofErr w:type="gramStart"/>
      <w:r w:rsidRPr="0081747D">
        <w:t xml:space="preserve">Bryson HM, </w:t>
      </w:r>
      <w:proofErr w:type="spellStart"/>
      <w:r w:rsidRPr="0081747D">
        <w:t>Faulds</w:t>
      </w:r>
      <w:proofErr w:type="spellEnd"/>
      <w:r w:rsidRPr="0081747D">
        <w:t xml:space="preserve"> D; Intranasal fluticasone propionate.</w:t>
      </w:r>
      <w:proofErr w:type="gramEnd"/>
      <w:r w:rsidRPr="0081747D">
        <w:t xml:space="preserve"> </w:t>
      </w:r>
      <w:proofErr w:type="gramStart"/>
      <w:r w:rsidRPr="0081747D">
        <w:t xml:space="preserve">A review of its </w:t>
      </w:r>
      <w:proofErr w:type="spellStart"/>
      <w:r w:rsidRPr="0081747D">
        <w:t>pharmacodynamic</w:t>
      </w:r>
      <w:proofErr w:type="spellEnd"/>
      <w:r w:rsidRPr="0081747D">
        <w:t xml:space="preserve"> and pharmacokinetic properties and therapeutic potential in allergic rhinitis.</w:t>
      </w:r>
      <w:proofErr w:type="gramEnd"/>
      <w:r w:rsidRPr="0081747D">
        <w:t xml:space="preserve"> </w:t>
      </w:r>
      <w:proofErr w:type="gramStart"/>
      <w:r w:rsidRPr="0081747D">
        <w:t>Drugs.</w:t>
      </w:r>
      <w:proofErr w:type="gramEnd"/>
      <w:r w:rsidRPr="0081747D">
        <w:t xml:space="preserve"> 1992 May; 43(5): 760-75; Wiseman LR, Benfield P. Intranasal fluticasone propionate. </w:t>
      </w:r>
      <w:proofErr w:type="gramStart"/>
      <w:r w:rsidRPr="0081747D">
        <w:t>A reappraisal of its pharmacology and clinical efficacy in the treatment of rhinitis.</w:t>
      </w:r>
      <w:proofErr w:type="gramEnd"/>
      <w:r w:rsidRPr="0081747D">
        <w:t xml:space="preserve"> </w:t>
      </w:r>
      <w:proofErr w:type="gramStart"/>
      <w:r w:rsidRPr="0081747D">
        <w:t>Drugs.</w:t>
      </w:r>
      <w:proofErr w:type="gramEnd"/>
      <w:r w:rsidRPr="0081747D">
        <w:t xml:space="preserve"> 1997 May; 53(5): 885-907.</w:t>
      </w:r>
    </w:p>
  </w:footnote>
  <w:footnote w:id="16">
    <w:p w:rsidR="00EC244B" w:rsidRPr="0081747D" w:rsidRDefault="00EC244B" w:rsidP="0081747D">
      <w:pPr>
        <w:pStyle w:val="FootnoteText"/>
      </w:pPr>
      <w:r w:rsidRPr="00623691">
        <w:rPr>
          <w:rStyle w:val="FootnoteReference"/>
        </w:rPr>
        <w:footnoteRef/>
      </w:r>
      <w:r w:rsidRPr="0081747D">
        <w:t xml:space="preserve"> 137mcg of </w:t>
      </w:r>
      <w:proofErr w:type="spellStart"/>
      <w:r w:rsidRPr="0081747D">
        <w:t>azelastine</w:t>
      </w:r>
      <w:proofErr w:type="spellEnd"/>
      <w:r w:rsidRPr="0081747D">
        <w:t xml:space="preserve"> </w:t>
      </w:r>
      <w:proofErr w:type="spellStart"/>
      <w:r w:rsidRPr="0081747D">
        <w:t>HCl</w:t>
      </w:r>
      <w:proofErr w:type="spellEnd"/>
      <w:r w:rsidRPr="0081747D">
        <w:t xml:space="preserve"> completely dissolved in solution providing 125mcg of </w:t>
      </w:r>
      <w:proofErr w:type="spellStart"/>
      <w:r w:rsidRPr="0081747D">
        <w:t>azelastine</w:t>
      </w:r>
      <w:proofErr w:type="spellEnd"/>
      <w:r w:rsidRPr="0081747D">
        <w:t>.</w:t>
      </w:r>
    </w:p>
  </w:footnote>
  <w:footnote w:id="17">
    <w:p w:rsidR="00EC244B" w:rsidRPr="0081747D" w:rsidRDefault="00EC244B" w:rsidP="0081747D">
      <w:pPr>
        <w:pStyle w:val="FootnoteText"/>
      </w:pPr>
      <w:r w:rsidRPr="0034481B">
        <w:rPr>
          <w:rStyle w:val="FootnoteReference"/>
        </w:rPr>
        <w:footnoteRef/>
      </w:r>
      <w:r w:rsidRPr="0081747D">
        <w:t xml:space="preserve"> A response to this question is included in the “Sponsor’s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pPr>
      <w:rPr>
        <w:noProof/>
        <w:lang w:eastAsia="en-AU"/>
      </w:rPr>
    </w:pPr>
    <w:r w:rsidRPr="00347824">
      <w:rPr>
        <w:noProof/>
        <w:lang w:eastAsia="en-AU"/>
      </w:rPr>
      <w:drawing>
        <wp:anchor distT="0" distB="0" distL="114300" distR="114300" simplePos="0" relativeHeight="251659264" behindDoc="1" locked="0" layoutInCell="1" allowOverlap="1" wp14:anchorId="615F7E92" wp14:editId="278789CC">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EC244B" w:rsidRDefault="00EC244B" w:rsidP="00593AD1">
    <w:pPr>
      <w:pStyle w:val="HeaderNoLine"/>
    </w:pPr>
    <w:r>
      <w:rPr>
        <w:noProof/>
        <w:lang w:eastAsia="en-AU"/>
      </w:rPr>
      <w:drawing>
        <wp:inline distT="0" distB="0" distL="0" distR="0" wp14:anchorId="15BE1A06" wp14:editId="38F91386">
          <wp:extent cx="5398770" cy="7631430"/>
          <wp:effectExtent l="0" t="0" r="0" b="7620"/>
          <wp:docPr id="2" name="Bild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770" cy="76314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4B" w:rsidRDefault="00EC244B" w:rsidP="006E08B3">
    <w:r>
      <w:t>Therapeutic Goods Administration</w:t>
    </w:r>
  </w:p>
  <w:p w:rsidR="00EC244B" w:rsidRDefault="00EC244B"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AA86ECA"/>
    <w:multiLevelType w:val="hybridMultilevel"/>
    <w:tmpl w:val="18CCA574"/>
    <w:lvl w:ilvl="0" w:tplc="1BCCCB8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F368BF"/>
    <w:multiLevelType w:val="hybridMultilevel"/>
    <w:tmpl w:val="63EA9F48"/>
    <w:lvl w:ilvl="0" w:tplc="1BCCCB8A">
      <w:start w:val="1"/>
      <w:numFmt w:val="bullet"/>
      <w:lvlText w:val="-"/>
      <w:lvlJc w:val="left"/>
      <w:pPr>
        <w:ind w:left="720" w:hanging="360"/>
      </w:pPr>
      <w:rPr>
        <w:rFonts w:ascii="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0C1278"/>
    <w:multiLevelType w:val="hybridMultilevel"/>
    <w:tmpl w:val="968E46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053F11"/>
    <w:multiLevelType w:val="multilevel"/>
    <w:tmpl w:val="6D024EBC"/>
    <w:styleLink w:val="NumberBullet"/>
    <w:lvl w:ilvl="0">
      <w:start w:val="1"/>
      <w:numFmt w:val="decimal"/>
      <w:pStyle w:val="Numberbullet0"/>
      <w:lvlText w:val="%1."/>
      <w:lvlJc w:val="left"/>
      <w:pPr>
        <w:ind w:left="425" w:hanging="425"/>
      </w:pPr>
      <w:rPr>
        <w:rFonts w:ascii="Cambria" w:eastAsia="Times New Roman" w:hAnsi="Cambria" w:cs="Times New Roman"/>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51706F0A"/>
    <w:multiLevelType w:val="hybridMultilevel"/>
    <w:tmpl w:val="43269D74"/>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821C13"/>
    <w:multiLevelType w:val="hybridMultilevel"/>
    <w:tmpl w:val="99EA5326"/>
    <w:lvl w:ilvl="0" w:tplc="1BCCCB8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43B6F1B"/>
    <w:multiLevelType w:val="hybridMultilevel"/>
    <w:tmpl w:val="175A516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013D4C"/>
    <w:multiLevelType w:val="hybridMultilevel"/>
    <w:tmpl w:val="A8EA8CAC"/>
    <w:lvl w:ilvl="0" w:tplc="1BCCCB8A">
      <w:start w:val="1"/>
      <w:numFmt w:val="bullet"/>
      <w:lvlText w:val="-"/>
      <w:lvlJc w:val="left"/>
      <w:pPr>
        <w:ind w:left="720" w:hanging="360"/>
      </w:pPr>
      <w:rPr>
        <w:rFonts w:ascii="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E311665"/>
    <w:multiLevelType w:val="hybridMultilevel"/>
    <w:tmpl w:val="B40CBC7A"/>
    <w:lvl w:ilvl="0" w:tplc="A788A310">
      <w:numFmt w:val="bullet"/>
      <w:lvlText w:val="•"/>
      <w:lvlJc w:val="left"/>
      <w:pPr>
        <w:ind w:left="1287" w:hanging="360"/>
      </w:pPr>
      <w:rPr>
        <w:rFonts w:ascii="Cambria" w:eastAsia="MS Mincho" w:hAnsi="Cambria"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78954714"/>
    <w:multiLevelType w:val="hybridMultilevel"/>
    <w:tmpl w:val="4320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C22689D"/>
    <w:multiLevelType w:val="hybridMultilevel"/>
    <w:tmpl w:val="4D4E0730"/>
    <w:lvl w:ilvl="0" w:tplc="1BCCCB8A">
      <w:start w:val="1"/>
      <w:numFmt w:val="bullet"/>
      <w:lvlText w:val="-"/>
      <w:lvlJc w:val="left"/>
      <w:pPr>
        <w:ind w:left="720" w:hanging="360"/>
      </w:pPr>
      <w:rPr>
        <w:rFonts w:ascii="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6"/>
  </w:num>
  <w:num w:numId="28">
    <w:abstractNumId w:val="13"/>
  </w:num>
  <w:num w:numId="29">
    <w:abstractNumId w:val="11"/>
  </w:num>
  <w:num w:numId="30">
    <w:abstractNumId w:val="5"/>
  </w:num>
  <w:num w:numId="31">
    <w:abstractNumId w:val="4"/>
  </w:num>
  <w:num w:numId="32">
    <w:abstractNumId w:val="15"/>
  </w:num>
  <w:num w:numId="33">
    <w:abstractNumId w:val="12"/>
  </w:num>
  <w:num w:numId="34">
    <w:abstractNumId w:val="8"/>
  </w:num>
  <w:num w:numId="35">
    <w:abstractNumId w:val="10"/>
  </w:num>
  <w:num w:numId="36">
    <w:abstractNumId w:val="14"/>
  </w:num>
  <w:num w:numId="37">
    <w:abstractNumId w:val="6"/>
  </w:num>
  <w:num w:numId="38">
    <w:abstractNumId w:val="9"/>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78"/>
    <w:rsid w:val="00002031"/>
    <w:rsid w:val="00004734"/>
    <w:rsid w:val="000048E8"/>
    <w:rsid w:val="00006B22"/>
    <w:rsid w:val="0001276A"/>
    <w:rsid w:val="0002236D"/>
    <w:rsid w:val="000246AE"/>
    <w:rsid w:val="00025C67"/>
    <w:rsid w:val="0003081E"/>
    <w:rsid w:val="00044772"/>
    <w:rsid w:val="0005559E"/>
    <w:rsid w:val="000604D6"/>
    <w:rsid w:val="00061730"/>
    <w:rsid w:val="000734D8"/>
    <w:rsid w:val="00077775"/>
    <w:rsid w:val="00085B6D"/>
    <w:rsid w:val="00090471"/>
    <w:rsid w:val="00096AA7"/>
    <w:rsid w:val="000A3AED"/>
    <w:rsid w:val="000B3532"/>
    <w:rsid w:val="000B3A75"/>
    <w:rsid w:val="000C47A2"/>
    <w:rsid w:val="000C690F"/>
    <w:rsid w:val="000D1295"/>
    <w:rsid w:val="000D391B"/>
    <w:rsid w:val="000D3D6D"/>
    <w:rsid w:val="000D4FC7"/>
    <w:rsid w:val="000E3962"/>
    <w:rsid w:val="000F4869"/>
    <w:rsid w:val="000F5B42"/>
    <w:rsid w:val="000F6E6F"/>
    <w:rsid w:val="0010482E"/>
    <w:rsid w:val="0010601F"/>
    <w:rsid w:val="0010788A"/>
    <w:rsid w:val="00107A31"/>
    <w:rsid w:val="00110EA5"/>
    <w:rsid w:val="00112F56"/>
    <w:rsid w:val="00125318"/>
    <w:rsid w:val="001305A2"/>
    <w:rsid w:val="00133238"/>
    <w:rsid w:val="0014197B"/>
    <w:rsid w:val="00143173"/>
    <w:rsid w:val="00143C2B"/>
    <w:rsid w:val="001447CD"/>
    <w:rsid w:val="001516B1"/>
    <w:rsid w:val="00154EBB"/>
    <w:rsid w:val="00156316"/>
    <w:rsid w:val="00162D14"/>
    <w:rsid w:val="00165389"/>
    <w:rsid w:val="00170311"/>
    <w:rsid w:val="0017693F"/>
    <w:rsid w:val="0018110E"/>
    <w:rsid w:val="00181684"/>
    <w:rsid w:val="001843C6"/>
    <w:rsid w:val="001850E0"/>
    <w:rsid w:val="001A2158"/>
    <w:rsid w:val="001A525F"/>
    <w:rsid w:val="001B09F9"/>
    <w:rsid w:val="001B56CE"/>
    <w:rsid w:val="001B5C90"/>
    <w:rsid w:val="001B6448"/>
    <w:rsid w:val="001C32CD"/>
    <w:rsid w:val="001D2984"/>
    <w:rsid w:val="001E07CF"/>
    <w:rsid w:val="001E59F1"/>
    <w:rsid w:val="001F49EB"/>
    <w:rsid w:val="001F5A8F"/>
    <w:rsid w:val="001F6CBA"/>
    <w:rsid w:val="00201D4E"/>
    <w:rsid w:val="002076C9"/>
    <w:rsid w:val="00220B8A"/>
    <w:rsid w:val="002257F3"/>
    <w:rsid w:val="00233456"/>
    <w:rsid w:val="002336D4"/>
    <w:rsid w:val="002339A5"/>
    <w:rsid w:val="002443C5"/>
    <w:rsid w:val="00257848"/>
    <w:rsid w:val="00267916"/>
    <w:rsid w:val="0027084A"/>
    <w:rsid w:val="00286434"/>
    <w:rsid w:val="00286C59"/>
    <w:rsid w:val="00291957"/>
    <w:rsid w:val="002942D1"/>
    <w:rsid w:val="0029501A"/>
    <w:rsid w:val="002A3F5A"/>
    <w:rsid w:val="002A624A"/>
    <w:rsid w:val="002B1638"/>
    <w:rsid w:val="002B3624"/>
    <w:rsid w:val="002C20C3"/>
    <w:rsid w:val="002E4C9A"/>
    <w:rsid w:val="002F11F8"/>
    <w:rsid w:val="002F3F56"/>
    <w:rsid w:val="002F44B5"/>
    <w:rsid w:val="002F5F5B"/>
    <w:rsid w:val="00311AC0"/>
    <w:rsid w:val="00312523"/>
    <w:rsid w:val="0032583B"/>
    <w:rsid w:val="00327883"/>
    <w:rsid w:val="00332640"/>
    <w:rsid w:val="00335504"/>
    <w:rsid w:val="0034481B"/>
    <w:rsid w:val="00347824"/>
    <w:rsid w:val="00350567"/>
    <w:rsid w:val="003521E8"/>
    <w:rsid w:val="00365339"/>
    <w:rsid w:val="003728F3"/>
    <w:rsid w:val="0037496E"/>
    <w:rsid w:val="003759B5"/>
    <w:rsid w:val="00386150"/>
    <w:rsid w:val="003874CE"/>
    <w:rsid w:val="00390900"/>
    <w:rsid w:val="0039401F"/>
    <w:rsid w:val="003A7F6C"/>
    <w:rsid w:val="003B4D60"/>
    <w:rsid w:val="003B7E39"/>
    <w:rsid w:val="003C0A2E"/>
    <w:rsid w:val="003C58DC"/>
    <w:rsid w:val="003D1E62"/>
    <w:rsid w:val="003D251F"/>
    <w:rsid w:val="003E2486"/>
    <w:rsid w:val="003E3208"/>
    <w:rsid w:val="003F0B04"/>
    <w:rsid w:val="0040134E"/>
    <w:rsid w:val="0040769B"/>
    <w:rsid w:val="004334C7"/>
    <w:rsid w:val="00440A2D"/>
    <w:rsid w:val="004564A7"/>
    <w:rsid w:val="004617BF"/>
    <w:rsid w:val="0046362C"/>
    <w:rsid w:val="00463658"/>
    <w:rsid w:val="00471CB5"/>
    <w:rsid w:val="004722CC"/>
    <w:rsid w:val="00476438"/>
    <w:rsid w:val="004936E4"/>
    <w:rsid w:val="00494E60"/>
    <w:rsid w:val="00497487"/>
    <w:rsid w:val="004B7B76"/>
    <w:rsid w:val="004C239D"/>
    <w:rsid w:val="004C2DCA"/>
    <w:rsid w:val="004D322D"/>
    <w:rsid w:val="004F0C4A"/>
    <w:rsid w:val="004F0F38"/>
    <w:rsid w:val="00501921"/>
    <w:rsid w:val="00530354"/>
    <w:rsid w:val="0053247E"/>
    <w:rsid w:val="0053625B"/>
    <w:rsid w:val="005434C6"/>
    <w:rsid w:val="00543B39"/>
    <w:rsid w:val="00546154"/>
    <w:rsid w:val="00550096"/>
    <w:rsid w:val="005534AA"/>
    <w:rsid w:val="00555280"/>
    <w:rsid w:val="00557A9F"/>
    <w:rsid w:val="00557FF9"/>
    <w:rsid w:val="00562C5B"/>
    <w:rsid w:val="00576378"/>
    <w:rsid w:val="00577130"/>
    <w:rsid w:val="00577945"/>
    <w:rsid w:val="00577E38"/>
    <w:rsid w:val="00585322"/>
    <w:rsid w:val="005857C6"/>
    <w:rsid w:val="00585877"/>
    <w:rsid w:val="00591928"/>
    <w:rsid w:val="00592F6E"/>
    <w:rsid w:val="00593AD1"/>
    <w:rsid w:val="005A68B6"/>
    <w:rsid w:val="005C5570"/>
    <w:rsid w:val="005C79A4"/>
    <w:rsid w:val="005D5442"/>
    <w:rsid w:val="00603F32"/>
    <w:rsid w:val="00605AD4"/>
    <w:rsid w:val="00606785"/>
    <w:rsid w:val="00615DDF"/>
    <w:rsid w:val="00623691"/>
    <w:rsid w:val="00625A6E"/>
    <w:rsid w:val="00632398"/>
    <w:rsid w:val="00640FC3"/>
    <w:rsid w:val="00642020"/>
    <w:rsid w:val="0065337B"/>
    <w:rsid w:val="006535A0"/>
    <w:rsid w:val="0065419D"/>
    <w:rsid w:val="006604D8"/>
    <w:rsid w:val="00664A5B"/>
    <w:rsid w:val="006763D2"/>
    <w:rsid w:val="0067693D"/>
    <w:rsid w:val="00680C08"/>
    <w:rsid w:val="006819D7"/>
    <w:rsid w:val="006931B1"/>
    <w:rsid w:val="006A15C0"/>
    <w:rsid w:val="006C3E2A"/>
    <w:rsid w:val="006C642F"/>
    <w:rsid w:val="006D03E5"/>
    <w:rsid w:val="006D5D3E"/>
    <w:rsid w:val="006E08B3"/>
    <w:rsid w:val="006F17AC"/>
    <w:rsid w:val="006F25B8"/>
    <w:rsid w:val="006F572E"/>
    <w:rsid w:val="007046D6"/>
    <w:rsid w:val="00705DB0"/>
    <w:rsid w:val="00722B57"/>
    <w:rsid w:val="00725C1D"/>
    <w:rsid w:val="00730F8A"/>
    <w:rsid w:val="0074253D"/>
    <w:rsid w:val="0074429B"/>
    <w:rsid w:val="00744D30"/>
    <w:rsid w:val="007615BC"/>
    <w:rsid w:val="00762F05"/>
    <w:rsid w:val="007652FF"/>
    <w:rsid w:val="00770EF1"/>
    <w:rsid w:val="00773EF7"/>
    <w:rsid w:val="00774E1D"/>
    <w:rsid w:val="0077675A"/>
    <w:rsid w:val="00780355"/>
    <w:rsid w:val="007819FD"/>
    <w:rsid w:val="00785721"/>
    <w:rsid w:val="00793A59"/>
    <w:rsid w:val="007A79A8"/>
    <w:rsid w:val="007B3DAC"/>
    <w:rsid w:val="007B6132"/>
    <w:rsid w:val="007B6E9F"/>
    <w:rsid w:val="007C1216"/>
    <w:rsid w:val="007C1AF7"/>
    <w:rsid w:val="007E65EF"/>
    <w:rsid w:val="00805D27"/>
    <w:rsid w:val="00807805"/>
    <w:rsid w:val="0081747D"/>
    <w:rsid w:val="00821776"/>
    <w:rsid w:val="00827EB6"/>
    <w:rsid w:val="008321F5"/>
    <w:rsid w:val="00832369"/>
    <w:rsid w:val="00834660"/>
    <w:rsid w:val="00836BC2"/>
    <w:rsid w:val="00855377"/>
    <w:rsid w:val="0085641B"/>
    <w:rsid w:val="00857136"/>
    <w:rsid w:val="0086735E"/>
    <w:rsid w:val="00873DED"/>
    <w:rsid w:val="00885B11"/>
    <w:rsid w:val="0088602A"/>
    <w:rsid w:val="00886D15"/>
    <w:rsid w:val="00887DD8"/>
    <w:rsid w:val="00896018"/>
    <w:rsid w:val="008960DD"/>
    <w:rsid w:val="0089635C"/>
    <w:rsid w:val="008A2B9D"/>
    <w:rsid w:val="008A3D9F"/>
    <w:rsid w:val="008A5E0B"/>
    <w:rsid w:val="008A6D59"/>
    <w:rsid w:val="008B4B03"/>
    <w:rsid w:val="008B596F"/>
    <w:rsid w:val="008C159F"/>
    <w:rsid w:val="008C1623"/>
    <w:rsid w:val="008C1850"/>
    <w:rsid w:val="008C47FD"/>
    <w:rsid w:val="008C51A9"/>
    <w:rsid w:val="008E7846"/>
    <w:rsid w:val="008F1BBA"/>
    <w:rsid w:val="008F1CCC"/>
    <w:rsid w:val="008F2967"/>
    <w:rsid w:val="008F6943"/>
    <w:rsid w:val="00902285"/>
    <w:rsid w:val="00902A21"/>
    <w:rsid w:val="00920330"/>
    <w:rsid w:val="009219D7"/>
    <w:rsid w:val="00922D53"/>
    <w:rsid w:val="00923B70"/>
    <w:rsid w:val="00924482"/>
    <w:rsid w:val="00930237"/>
    <w:rsid w:val="009373C9"/>
    <w:rsid w:val="0094059E"/>
    <w:rsid w:val="00940A89"/>
    <w:rsid w:val="00944CE7"/>
    <w:rsid w:val="00946EA5"/>
    <w:rsid w:val="00963C08"/>
    <w:rsid w:val="0098585A"/>
    <w:rsid w:val="009A4CED"/>
    <w:rsid w:val="009A690D"/>
    <w:rsid w:val="009B1D12"/>
    <w:rsid w:val="009B416B"/>
    <w:rsid w:val="009C4BD5"/>
    <w:rsid w:val="009D7B77"/>
    <w:rsid w:val="009E0BB0"/>
    <w:rsid w:val="009E3FBB"/>
    <w:rsid w:val="009E5CB7"/>
    <w:rsid w:val="00A017E4"/>
    <w:rsid w:val="00A102E4"/>
    <w:rsid w:val="00A12C42"/>
    <w:rsid w:val="00A14DF7"/>
    <w:rsid w:val="00A269AD"/>
    <w:rsid w:val="00A3246D"/>
    <w:rsid w:val="00A36FA7"/>
    <w:rsid w:val="00A44DDB"/>
    <w:rsid w:val="00A475B7"/>
    <w:rsid w:val="00A47AF7"/>
    <w:rsid w:val="00A47C3E"/>
    <w:rsid w:val="00A50226"/>
    <w:rsid w:val="00A5799B"/>
    <w:rsid w:val="00A60BAD"/>
    <w:rsid w:val="00A62C82"/>
    <w:rsid w:val="00A837DC"/>
    <w:rsid w:val="00A84E36"/>
    <w:rsid w:val="00A868B1"/>
    <w:rsid w:val="00A964D1"/>
    <w:rsid w:val="00AA0ED0"/>
    <w:rsid w:val="00AA10FA"/>
    <w:rsid w:val="00AC2B40"/>
    <w:rsid w:val="00AC2BB2"/>
    <w:rsid w:val="00AC2C3C"/>
    <w:rsid w:val="00AC512D"/>
    <w:rsid w:val="00AC762B"/>
    <w:rsid w:val="00AD0083"/>
    <w:rsid w:val="00AD3935"/>
    <w:rsid w:val="00AE65EB"/>
    <w:rsid w:val="00AE67A7"/>
    <w:rsid w:val="00AE7761"/>
    <w:rsid w:val="00AF1D94"/>
    <w:rsid w:val="00AF60C5"/>
    <w:rsid w:val="00B009C6"/>
    <w:rsid w:val="00B01548"/>
    <w:rsid w:val="00B04FD4"/>
    <w:rsid w:val="00B2137C"/>
    <w:rsid w:val="00B21D29"/>
    <w:rsid w:val="00B21EEC"/>
    <w:rsid w:val="00B25034"/>
    <w:rsid w:val="00B33588"/>
    <w:rsid w:val="00B33863"/>
    <w:rsid w:val="00B37D17"/>
    <w:rsid w:val="00B4175E"/>
    <w:rsid w:val="00B452CE"/>
    <w:rsid w:val="00B54C25"/>
    <w:rsid w:val="00B66A10"/>
    <w:rsid w:val="00B76B91"/>
    <w:rsid w:val="00B77EB1"/>
    <w:rsid w:val="00B811C6"/>
    <w:rsid w:val="00B855B0"/>
    <w:rsid w:val="00B8758C"/>
    <w:rsid w:val="00B92E08"/>
    <w:rsid w:val="00BB0EC9"/>
    <w:rsid w:val="00BC622A"/>
    <w:rsid w:val="00BC7947"/>
    <w:rsid w:val="00BE0A78"/>
    <w:rsid w:val="00BE79F0"/>
    <w:rsid w:val="00BF046D"/>
    <w:rsid w:val="00BF04FD"/>
    <w:rsid w:val="00BF1190"/>
    <w:rsid w:val="00BF5B50"/>
    <w:rsid w:val="00BF5D04"/>
    <w:rsid w:val="00C071B7"/>
    <w:rsid w:val="00C1164D"/>
    <w:rsid w:val="00C12CE5"/>
    <w:rsid w:val="00C16861"/>
    <w:rsid w:val="00C35101"/>
    <w:rsid w:val="00C404A6"/>
    <w:rsid w:val="00C40A36"/>
    <w:rsid w:val="00C44419"/>
    <w:rsid w:val="00C45E7B"/>
    <w:rsid w:val="00C471B1"/>
    <w:rsid w:val="00C6065C"/>
    <w:rsid w:val="00C6316B"/>
    <w:rsid w:val="00C634A9"/>
    <w:rsid w:val="00C64586"/>
    <w:rsid w:val="00C70D53"/>
    <w:rsid w:val="00C73D0B"/>
    <w:rsid w:val="00C772FF"/>
    <w:rsid w:val="00C80137"/>
    <w:rsid w:val="00C801AF"/>
    <w:rsid w:val="00C80256"/>
    <w:rsid w:val="00C9747E"/>
    <w:rsid w:val="00CB0D61"/>
    <w:rsid w:val="00CB6BC0"/>
    <w:rsid w:val="00CC1B7C"/>
    <w:rsid w:val="00CC727F"/>
    <w:rsid w:val="00CD25C1"/>
    <w:rsid w:val="00CD4EB4"/>
    <w:rsid w:val="00CE0FD4"/>
    <w:rsid w:val="00CE448B"/>
    <w:rsid w:val="00CF15C3"/>
    <w:rsid w:val="00CF2B6F"/>
    <w:rsid w:val="00CF58B6"/>
    <w:rsid w:val="00D017ED"/>
    <w:rsid w:val="00D040D3"/>
    <w:rsid w:val="00D04C65"/>
    <w:rsid w:val="00D13063"/>
    <w:rsid w:val="00D16B71"/>
    <w:rsid w:val="00D201D2"/>
    <w:rsid w:val="00D21A1D"/>
    <w:rsid w:val="00D224FE"/>
    <w:rsid w:val="00D23139"/>
    <w:rsid w:val="00D24E71"/>
    <w:rsid w:val="00D425BB"/>
    <w:rsid w:val="00D6493E"/>
    <w:rsid w:val="00D7195D"/>
    <w:rsid w:val="00D7301E"/>
    <w:rsid w:val="00D83AE1"/>
    <w:rsid w:val="00D855D4"/>
    <w:rsid w:val="00D93466"/>
    <w:rsid w:val="00DA1124"/>
    <w:rsid w:val="00DB6124"/>
    <w:rsid w:val="00DB750B"/>
    <w:rsid w:val="00DB75B7"/>
    <w:rsid w:val="00DC6E02"/>
    <w:rsid w:val="00DE02AE"/>
    <w:rsid w:val="00DF1D7F"/>
    <w:rsid w:val="00DF4BE4"/>
    <w:rsid w:val="00DF5F29"/>
    <w:rsid w:val="00E02FB4"/>
    <w:rsid w:val="00E20571"/>
    <w:rsid w:val="00E235F7"/>
    <w:rsid w:val="00E23659"/>
    <w:rsid w:val="00E239D4"/>
    <w:rsid w:val="00E26130"/>
    <w:rsid w:val="00E34171"/>
    <w:rsid w:val="00E34C23"/>
    <w:rsid w:val="00E40B22"/>
    <w:rsid w:val="00E45619"/>
    <w:rsid w:val="00E4588F"/>
    <w:rsid w:val="00E46DA3"/>
    <w:rsid w:val="00E51BB1"/>
    <w:rsid w:val="00E624A5"/>
    <w:rsid w:val="00E6642B"/>
    <w:rsid w:val="00E706BF"/>
    <w:rsid w:val="00E7344E"/>
    <w:rsid w:val="00E77839"/>
    <w:rsid w:val="00EA4678"/>
    <w:rsid w:val="00EA4E73"/>
    <w:rsid w:val="00EB0798"/>
    <w:rsid w:val="00EB40AD"/>
    <w:rsid w:val="00EB586E"/>
    <w:rsid w:val="00EB5FC8"/>
    <w:rsid w:val="00EC244B"/>
    <w:rsid w:val="00EC5BBA"/>
    <w:rsid w:val="00EC7A85"/>
    <w:rsid w:val="00ED3CAD"/>
    <w:rsid w:val="00ED5A41"/>
    <w:rsid w:val="00EE1DE8"/>
    <w:rsid w:val="00EF401F"/>
    <w:rsid w:val="00F033EC"/>
    <w:rsid w:val="00F04F68"/>
    <w:rsid w:val="00F12670"/>
    <w:rsid w:val="00F14B27"/>
    <w:rsid w:val="00F3148D"/>
    <w:rsid w:val="00F325C5"/>
    <w:rsid w:val="00F32FE0"/>
    <w:rsid w:val="00F35298"/>
    <w:rsid w:val="00F42864"/>
    <w:rsid w:val="00F47333"/>
    <w:rsid w:val="00F47E37"/>
    <w:rsid w:val="00F53C07"/>
    <w:rsid w:val="00F54B65"/>
    <w:rsid w:val="00F640B6"/>
    <w:rsid w:val="00F80E40"/>
    <w:rsid w:val="00F848D9"/>
    <w:rsid w:val="00FA5B82"/>
    <w:rsid w:val="00FA639E"/>
    <w:rsid w:val="00FB1564"/>
    <w:rsid w:val="00FC25E4"/>
    <w:rsid w:val="00FC4EF7"/>
    <w:rsid w:val="00FD0824"/>
    <w:rsid w:val="00FD119B"/>
    <w:rsid w:val="00FD39CC"/>
    <w:rsid w:val="00FE1DEE"/>
    <w:rsid w:val="00FE2AB1"/>
    <w:rsid w:val="00FF2126"/>
    <w:rsid w:val="00FF2551"/>
    <w:rsid w:val="00FF370E"/>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1747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C244B"/>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C244B"/>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Heading1">
    <w:name w:val="Table Heading 1"/>
    <w:basedOn w:val="Normal"/>
    <w:rsid w:val="00F3148D"/>
    <w:rPr>
      <w:b/>
      <w:color w:val="FFFFFF"/>
      <w:sz w:val="19"/>
    </w:rPr>
  </w:style>
  <w:style w:type="paragraph" w:customStyle="1" w:styleId="TableHeading2">
    <w:name w:val="Table Heading 2"/>
    <w:basedOn w:val="Normal"/>
    <w:rsid w:val="00F3148D"/>
    <w:rPr>
      <w:b/>
      <w:sz w:val="19"/>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EC244B"/>
    <w:pPr>
      <w:spacing w:before="0" w:after="0" w:line="240" w:lineRule="auto"/>
    </w:pPr>
    <w:rPr>
      <w:sz w:val="18"/>
      <w:szCs w:val="20"/>
    </w:rPr>
  </w:style>
  <w:style w:type="character" w:customStyle="1" w:styleId="FootnoteTextChar">
    <w:name w:val="Footnote Text Char"/>
    <w:basedOn w:val="DefaultParagraphFont"/>
    <w:link w:val="FootnoteText"/>
    <w:uiPriority w:val="99"/>
    <w:rsid w:val="00EC244B"/>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table" w:customStyle="1" w:styleId="TableGrid1">
    <w:name w:val="Table Grid1"/>
    <w:basedOn w:val="TableNormal"/>
    <w:next w:val="TableGrid"/>
    <w:rsid w:val="000C47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GAblue1">
    <w:name w:val="Table TGA blue1"/>
    <w:basedOn w:val="TableNormal"/>
    <w:uiPriority w:val="99"/>
    <w:qFormat/>
    <w:rsid w:val="00365339"/>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365339"/>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ue3">
    <w:name w:val="Table TGA blue3"/>
    <w:basedOn w:val="TableNormal"/>
    <w:uiPriority w:val="99"/>
    <w:qFormat/>
    <w:rsid w:val="00312523"/>
    <w:rPr>
      <w:rFonts w:ascii="Cambria" w:eastAsia="Cambria" w:hAnsi="Cambria"/>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2A3F5A"/>
    <w:rPr>
      <w:sz w:val="16"/>
      <w:szCs w:val="16"/>
    </w:rPr>
  </w:style>
  <w:style w:type="paragraph" w:styleId="CommentText">
    <w:name w:val="annotation text"/>
    <w:basedOn w:val="Normal"/>
    <w:link w:val="CommentTextChar"/>
    <w:uiPriority w:val="99"/>
    <w:semiHidden/>
    <w:unhideWhenUsed/>
    <w:rsid w:val="002A3F5A"/>
    <w:pPr>
      <w:spacing w:line="240" w:lineRule="auto"/>
    </w:pPr>
    <w:rPr>
      <w:sz w:val="20"/>
      <w:szCs w:val="20"/>
    </w:rPr>
  </w:style>
  <w:style w:type="character" w:customStyle="1" w:styleId="CommentTextChar">
    <w:name w:val="Comment Text Char"/>
    <w:basedOn w:val="DefaultParagraphFont"/>
    <w:link w:val="CommentText"/>
    <w:uiPriority w:val="99"/>
    <w:semiHidden/>
    <w:rsid w:val="002A3F5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A3F5A"/>
    <w:rPr>
      <w:b/>
      <w:bCs/>
    </w:rPr>
  </w:style>
  <w:style w:type="character" w:customStyle="1" w:styleId="CommentSubjectChar">
    <w:name w:val="Comment Subject Char"/>
    <w:basedOn w:val="CommentTextChar"/>
    <w:link w:val="CommentSubject"/>
    <w:uiPriority w:val="99"/>
    <w:semiHidden/>
    <w:rsid w:val="002A3F5A"/>
    <w:rPr>
      <w:rFonts w:ascii="Cambria" w:eastAsia="Cambria" w:hAnsi="Cambria" w:cs="Times New Roman"/>
      <w:b/>
      <w:bCs/>
      <w:sz w:val="20"/>
      <w:szCs w:val="20"/>
    </w:rPr>
  </w:style>
  <w:style w:type="paragraph" w:styleId="Revision">
    <w:name w:val="Revision"/>
    <w:hidden/>
    <w:uiPriority w:val="99"/>
    <w:semiHidden/>
    <w:rsid w:val="00D24E71"/>
    <w:pPr>
      <w:spacing w:after="0" w:line="240" w:lineRule="auto"/>
    </w:pPr>
    <w:rPr>
      <w:rFonts w:ascii="Cambria" w:eastAsia="Cambria" w:hAnsi="Cambria" w:cs="Times New Roman"/>
    </w:rPr>
  </w:style>
  <w:style w:type="table" w:customStyle="1" w:styleId="TableTGAblue4">
    <w:name w:val="Table TGA blue4"/>
    <w:basedOn w:val="TableNormal"/>
    <w:uiPriority w:val="99"/>
    <w:qFormat/>
    <w:rsid w:val="00EC244B"/>
    <w:pPr>
      <w:spacing w:after="0" w:line="240" w:lineRule="auto"/>
      <w:ind w:left="170" w:right="170"/>
    </w:pPr>
    <w:rPr>
      <w:rFonts w:ascii="Cambria" w:hAnsi="Cambria" w:cs="Times New Roman"/>
      <w:color w:val="000000" w:themeColor="text1"/>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themeColor="background1"/>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1747D"/>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EC244B"/>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EC244B"/>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Heading1">
    <w:name w:val="Table Heading 1"/>
    <w:basedOn w:val="Normal"/>
    <w:rsid w:val="00F3148D"/>
    <w:rPr>
      <w:b/>
      <w:color w:val="FFFFFF"/>
      <w:sz w:val="19"/>
    </w:rPr>
  </w:style>
  <w:style w:type="paragraph" w:customStyle="1" w:styleId="TableHeading2">
    <w:name w:val="Table Heading 2"/>
    <w:basedOn w:val="Normal"/>
    <w:rsid w:val="00F3148D"/>
    <w:rPr>
      <w:b/>
      <w:sz w:val="19"/>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EC244B"/>
    <w:pPr>
      <w:spacing w:before="0" w:after="0" w:line="240" w:lineRule="auto"/>
    </w:pPr>
    <w:rPr>
      <w:sz w:val="18"/>
      <w:szCs w:val="20"/>
    </w:rPr>
  </w:style>
  <w:style w:type="character" w:customStyle="1" w:styleId="FootnoteTextChar">
    <w:name w:val="Footnote Text Char"/>
    <w:basedOn w:val="DefaultParagraphFont"/>
    <w:link w:val="FootnoteText"/>
    <w:uiPriority w:val="99"/>
    <w:rsid w:val="00EC244B"/>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table" w:customStyle="1" w:styleId="TableGrid1">
    <w:name w:val="Table Grid1"/>
    <w:basedOn w:val="TableNormal"/>
    <w:next w:val="TableGrid"/>
    <w:rsid w:val="000C47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TGAblue1">
    <w:name w:val="Table TGA blue1"/>
    <w:basedOn w:val="TableNormal"/>
    <w:uiPriority w:val="99"/>
    <w:qFormat/>
    <w:rsid w:val="00365339"/>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365339"/>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ue3">
    <w:name w:val="Table TGA blue3"/>
    <w:basedOn w:val="TableNormal"/>
    <w:uiPriority w:val="99"/>
    <w:qFormat/>
    <w:rsid w:val="00312523"/>
    <w:rPr>
      <w:rFonts w:ascii="Cambria" w:eastAsia="Cambria" w:hAnsi="Cambria"/>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2A3F5A"/>
    <w:rPr>
      <w:sz w:val="16"/>
      <w:szCs w:val="16"/>
    </w:rPr>
  </w:style>
  <w:style w:type="paragraph" w:styleId="CommentText">
    <w:name w:val="annotation text"/>
    <w:basedOn w:val="Normal"/>
    <w:link w:val="CommentTextChar"/>
    <w:uiPriority w:val="99"/>
    <w:semiHidden/>
    <w:unhideWhenUsed/>
    <w:rsid w:val="002A3F5A"/>
    <w:pPr>
      <w:spacing w:line="240" w:lineRule="auto"/>
    </w:pPr>
    <w:rPr>
      <w:sz w:val="20"/>
      <w:szCs w:val="20"/>
    </w:rPr>
  </w:style>
  <w:style w:type="character" w:customStyle="1" w:styleId="CommentTextChar">
    <w:name w:val="Comment Text Char"/>
    <w:basedOn w:val="DefaultParagraphFont"/>
    <w:link w:val="CommentText"/>
    <w:uiPriority w:val="99"/>
    <w:semiHidden/>
    <w:rsid w:val="002A3F5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A3F5A"/>
    <w:rPr>
      <w:b/>
      <w:bCs/>
    </w:rPr>
  </w:style>
  <w:style w:type="character" w:customStyle="1" w:styleId="CommentSubjectChar">
    <w:name w:val="Comment Subject Char"/>
    <w:basedOn w:val="CommentTextChar"/>
    <w:link w:val="CommentSubject"/>
    <w:uiPriority w:val="99"/>
    <w:semiHidden/>
    <w:rsid w:val="002A3F5A"/>
    <w:rPr>
      <w:rFonts w:ascii="Cambria" w:eastAsia="Cambria" w:hAnsi="Cambria" w:cs="Times New Roman"/>
      <w:b/>
      <w:bCs/>
      <w:sz w:val="20"/>
      <w:szCs w:val="20"/>
    </w:rPr>
  </w:style>
  <w:style w:type="paragraph" w:styleId="Revision">
    <w:name w:val="Revision"/>
    <w:hidden/>
    <w:uiPriority w:val="99"/>
    <w:semiHidden/>
    <w:rsid w:val="00D24E71"/>
    <w:pPr>
      <w:spacing w:after="0" w:line="240" w:lineRule="auto"/>
    </w:pPr>
    <w:rPr>
      <w:rFonts w:ascii="Cambria" w:eastAsia="Cambria" w:hAnsi="Cambria" w:cs="Times New Roman"/>
    </w:rPr>
  </w:style>
  <w:style w:type="table" w:customStyle="1" w:styleId="TableTGAblue4">
    <w:name w:val="Table TGA blue4"/>
    <w:basedOn w:val="TableNormal"/>
    <w:uiPriority w:val="99"/>
    <w:qFormat/>
    <w:rsid w:val="00EC244B"/>
    <w:pPr>
      <w:spacing w:after="0" w:line="240" w:lineRule="auto"/>
      <w:ind w:left="170" w:right="170"/>
    </w:pPr>
    <w:rPr>
      <w:rFonts w:ascii="Cambria" w:hAnsi="Cambria" w:cs="Times New Roman"/>
      <w:color w:val="000000" w:themeColor="text1"/>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themeColor="background1"/>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4088">
      <w:bodyDiv w:val="1"/>
      <w:marLeft w:val="0"/>
      <w:marRight w:val="0"/>
      <w:marTop w:val="0"/>
      <w:marBottom w:val="0"/>
      <w:divBdr>
        <w:top w:val="none" w:sz="0" w:space="0" w:color="auto"/>
        <w:left w:val="none" w:sz="0" w:space="0" w:color="auto"/>
        <w:bottom w:val="none" w:sz="0" w:space="0" w:color="auto"/>
        <w:right w:val="none" w:sz="0" w:space="0" w:color="auto"/>
      </w:divBdr>
    </w:div>
    <w:div w:id="922564130">
      <w:bodyDiv w:val="1"/>
      <w:marLeft w:val="0"/>
      <w:marRight w:val="0"/>
      <w:marTop w:val="0"/>
      <w:marBottom w:val="0"/>
      <w:divBdr>
        <w:top w:val="none" w:sz="0" w:space="0" w:color="auto"/>
        <w:left w:val="none" w:sz="0" w:space="0" w:color="auto"/>
        <w:bottom w:val="none" w:sz="0" w:space="0" w:color="auto"/>
        <w:right w:val="none" w:sz="0" w:space="0" w:color="auto"/>
      </w:divBdr>
    </w:div>
    <w:div w:id="1305964081">
      <w:bodyDiv w:val="1"/>
      <w:marLeft w:val="0"/>
      <w:marRight w:val="0"/>
      <w:marTop w:val="0"/>
      <w:marBottom w:val="0"/>
      <w:divBdr>
        <w:top w:val="none" w:sz="0" w:space="0" w:color="auto"/>
        <w:left w:val="none" w:sz="0" w:space="0" w:color="auto"/>
        <w:bottom w:val="none" w:sz="0" w:space="0" w:color="auto"/>
        <w:right w:val="none" w:sz="0" w:space="0" w:color="auto"/>
      </w:divBdr>
    </w:div>
    <w:div w:id="1707215183">
      <w:bodyDiv w:val="1"/>
      <w:marLeft w:val="0"/>
      <w:marRight w:val="0"/>
      <w:marTop w:val="0"/>
      <w:marBottom w:val="0"/>
      <w:divBdr>
        <w:top w:val="none" w:sz="0" w:space="0" w:color="auto"/>
        <w:left w:val="none" w:sz="0" w:space="0" w:color="auto"/>
        <w:bottom w:val="none" w:sz="0" w:space="0" w:color="auto"/>
        <w:right w:val="none" w:sz="0" w:space="0" w:color="auto"/>
      </w:divBdr>
    </w:div>
    <w:div w:id="1732924412">
      <w:bodyDiv w:val="1"/>
      <w:marLeft w:val="0"/>
      <w:marRight w:val="0"/>
      <w:marTop w:val="0"/>
      <w:marBottom w:val="0"/>
      <w:divBdr>
        <w:top w:val="none" w:sz="0" w:space="0" w:color="auto"/>
        <w:left w:val="none" w:sz="0" w:space="0" w:color="auto"/>
        <w:bottom w:val="none" w:sz="0" w:space="0" w:color="auto"/>
        <w:right w:val="none" w:sz="0" w:space="0" w:color="auto"/>
      </w:divBdr>
    </w:div>
    <w:div w:id="1822887283">
      <w:bodyDiv w:val="1"/>
      <w:marLeft w:val="0"/>
      <w:marRight w:val="0"/>
      <w:marTop w:val="0"/>
      <w:marBottom w:val="0"/>
      <w:divBdr>
        <w:top w:val="none" w:sz="0" w:space="0" w:color="auto"/>
        <w:left w:val="none" w:sz="0" w:space="0" w:color="auto"/>
        <w:bottom w:val="none" w:sz="0" w:space="0" w:color="auto"/>
        <w:right w:val="none" w:sz="0" w:space="0" w:color="auto"/>
      </w:divBdr>
    </w:div>
    <w:div w:id="1951156721">
      <w:bodyDiv w:val="1"/>
      <w:marLeft w:val="0"/>
      <w:marRight w:val="0"/>
      <w:marTop w:val="0"/>
      <w:marBottom w:val="0"/>
      <w:divBdr>
        <w:top w:val="none" w:sz="0" w:space="0" w:color="auto"/>
        <w:left w:val="none" w:sz="0" w:space="0" w:color="auto"/>
        <w:bottom w:val="none" w:sz="0" w:space="0" w:color="auto"/>
        <w:right w:val="none" w:sz="0" w:space="0" w:color="auto"/>
      </w:divBdr>
    </w:div>
    <w:div w:id="19823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tga.gov.au/hp/information-medicines-pi.htm"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iar.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ooh\AppData\Local\Hewlett-Packard\HP%20TRIM\TEMP\HPTRIM.186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B1A0-EDCA-437B-A7B8-583143C4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200</TotalTime>
  <Pages>42</Pages>
  <Words>16090</Words>
  <Characters>88014</Characters>
  <Application>Microsoft Office Word</Application>
  <DocSecurity>0</DocSecurity>
  <Lines>3259</Lines>
  <Paragraphs>2124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Australian public assessment report for fluticasone propionate and azelastine hydrochloride</vt:lpstr>
      <vt:lpstr>Australian public assessment for...</vt:lpstr>
    </vt:vector>
  </TitlesOfParts>
  <Company>department of Health Therapeutic Goods Administration</Company>
  <LinksUpToDate>false</LinksUpToDate>
  <CharactersWithSpaces>101980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fluticasone propionate and azelastine hydrochloride</dc:title>
  <dc:subject>prescription medicine regulation</dc:subject>
  <dc:creator>Therapeutic Goods Administration</dc:creator>
  <cp:keywords>auspar, prescription, medicine, assessment, regulation, australia,fluticasone, propionate, azelastine, hydrochloride, meda pharmaceuticals</cp:keywords>
  <cp:lastModifiedBy>Sheppard, Fran</cp:lastModifiedBy>
  <cp:revision>7</cp:revision>
  <cp:lastPrinted>2014-04-24T08:22:00Z</cp:lastPrinted>
  <dcterms:created xsi:type="dcterms:W3CDTF">2014-07-24T05:43:00Z</dcterms:created>
  <dcterms:modified xsi:type="dcterms:W3CDTF">2014-08-29T06:43:00Z</dcterms:modified>
</cp:coreProperties>
</file>