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6"/>
      </w:tblGrid>
      <w:tr w:rsidR="008E7846" w:rsidRPr="00487162" w:rsidTr="00CD10C3">
        <w:trPr>
          <w:trHeight w:val="1863"/>
        </w:trPr>
        <w:tc>
          <w:tcPr>
            <w:tcW w:w="8766" w:type="dxa"/>
            <w:tcBorders>
              <w:top w:val="nil"/>
              <w:left w:val="nil"/>
              <w:bottom w:val="nil"/>
              <w:right w:val="nil"/>
            </w:tcBorders>
          </w:tcPr>
          <w:p w:rsidR="008E7846" w:rsidRPr="00D43979" w:rsidRDefault="00CD10C3" w:rsidP="00D43979">
            <w:pPr>
              <w:pStyle w:val="Date"/>
              <w:framePr w:hSpace="0" w:wrap="auto" w:vAnchor="margin" w:hAnchor="text" w:yAlign="inline"/>
              <w:suppressOverlap w:val="0"/>
            </w:pPr>
            <w:r w:rsidRPr="00D43979">
              <w:t>Date of CER: 28 April 2013</w:t>
            </w:r>
          </w:p>
        </w:tc>
      </w:tr>
    </w:tbl>
    <w:p w:rsidR="007647EF" w:rsidRPr="007647EF" w:rsidRDefault="007647EF" w:rsidP="007647EF">
      <w:pPr>
        <w:spacing w:before="0" w:after="0"/>
        <w:rPr>
          <w:vanish/>
        </w:rPr>
      </w:pPr>
    </w:p>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7647EF" w:rsidRDefault="00E07F15" w:rsidP="00A964D1">
            <w:pPr>
              <w:pStyle w:val="Title"/>
              <w:rPr>
                <w:color w:val="FFFFFF"/>
              </w:rPr>
            </w:pPr>
            <w:r w:rsidRPr="007647EF">
              <w:rPr>
                <w:color w:val="FFFFFF"/>
              </w:rPr>
              <w:t>AusPAR Attachment 2</w:t>
            </w:r>
          </w:p>
        </w:tc>
      </w:tr>
      <w:tr w:rsidR="00E07F15" w:rsidRPr="00A964D1" w:rsidTr="00E07F15">
        <w:trPr>
          <w:trHeight w:val="868"/>
        </w:trPr>
        <w:tc>
          <w:tcPr>
            <w:tcW w:w="9079" w:type="dxa"/>
          </w:tcPr>
          <w:p w:rsidR="00E07F15" w:rsidRPr="007647EF" w:rsidRDefault="00E07F15" w:rsidP="00CD10C3">
            <w:pPr>
              <w:pStyle w:val="Title"/>
              <w:rPr>
                <w:color w:val="FFFFFF"/>
              </w:rPr>
            </w:pPr>
            <w:r w:rsidRPr="007647EF">
              <w:rPr>
                <w:color w:val="FFFFFF"/>
              </w:rPr>
              <w:t xml:space="preserve">Extract from the Clinical Evaluation Report for </w:t>
            </w:r>
            <w:r w:rsidR="00CD10C3" w:rsidRPr="007647EF">
              <w:rPr>
                <w:color w:val="FFFFFF"/>
              </w:rPr>
              <w:t>fluticasone propiona</w:t>
            </w:r>
            <w:r w:rsidR="00D43979">
              <w:rPr>
                <w:color w:val="FFFFFF"/>
              </w:rPr>
              <w:t xml:space="preserve">te and </w:t>
            </w:r>
            <w:proofErr w:type="spellStart"/>
            <w:r w:rsidR="00D43979">
              <w:rPr>
                <w:color w:val="FFFFFF"/>
              </w:rPr>
              <w:t>azelastine</w:t>
            </w:r>
            <w:proofErr w:type="spellEnd"/>
            <w:r w:rsidR="00D43979">
              <w:rPr>
                <w:color w:val="FFFFFF"/>
              </w:rPr>
              <w:t xml:space="preserve"> hydrochloride</w:t>
            </w:r>
          </w:p>
        </w:tc>
      </w:tr>
      <w:tr w:rsidR="00E07F15" w:rsidRPr="00B64760" w:rsidTr="00E07F15">
        <w:tc>
          <w:tcPr>
            <w:tcW w:w="9079" w:type="dxa"/>
          </w:tcPr>
          <w:p w:rsidR="00E07F15" w:rsidRPr="007647EF" w:rsidRDefault="00CD10C3" w:rsidP="00E07F15">
            <w:pPr>
              <w:pStyle w:val="Subtitle"/>
              <w:rPr>
                <w:color w:val="FFFFFF"/>
              </w:rPr>
            </w:pPr>
            <w:r w:rsidRPr="007647EF">
              <w:rPr>
                <w:color w:val="FFFFFF"/>
              </w:rPr>
              <w:t xml:space="preserve">Proprietary Product Name: </w:t>
            </w:r>
            <w:proofErr w:type="spellStart"/>
            <w:r w:rsidRPr="007647EF">
              <w:rPr>
                <w:color w:val="FFFFFF"/>
              </w:rPr>
              <w:t>Dymista</w:t>
            </w:r>
            <w:proofErr w:type="spellEnd"/>
            <w:r w:rsidRPr="007647EF">
              <w:rPr>
                <w:color w:val="FFFFFF"/>
              </w:rPr>
              <w:t>/</w:t>
            </w:r>
            <w:proofErr w:type="spellStart"/>
            <w:r w:rsidRPr="007647EF">
              <w:rPr>
                <w:color w:val="FFFFFF"/>
              </w:rPr>
              <w:t>Dylastine</w:t>
            </w:r>
            <w:proofErr w:type="spellEnd"/>
          </w:p>
        </w:tc>
      </w:tr>
      <w:tr w:rsidR="00E07F15" w:rsidRPr="00B64760" w:rsidTr="00E07F15">
        <w:trPr>
          <w:trHeight w:val="486"/>
        </w:trPr>
        <w:tc>
          <w:tcPr>
            <w:tcW w:w="9079" w:type="dxa"/>
          </w:tcPr>
          <w:p w:rsidR="00E07F15" w:rsidRPr="007647EF" w:rsidRDefault="00CD10C3" w:rsidP="00E07F15">
            <w:pPr>
              <w:pStyle w:val="Subtitle"/>
              <w:rPr>
                <w:color w:val="FFFFFF"/>
              </w:rPr>
            </w:pPr>
            <w:r w:rsidRPr="007647EF">
              <w:rPr>
                <w:color w:val="FFFFFF"/>
              </w:rPr>
              <w:t xml:space="preserve">Sponsor: </w:t>
            </w:r>
            <w:proofErr w:type="spellStart"/>
            <w:r w:rsidRPr="007647EF">
              <w:rPr>
                <w:color w:val="FFFFFF"/>
              </w:rPr>
              <w:t>Meda</w:t>
            </w:r>
            <w:proofErr w:type="spellEnd"/>
            <w:r w:rsidRPr="007647EF">
              <w:rPr>
                <w:color w:val="FFFFFF"/>
              </w:rPr>
              <w:t xml:space="preserve"> Pharmaceuticals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1B6ACC">
      <w:pPr>
        <w:pStyle w:val="LegalSubheading"/>
        <w:spacing w:before="3960"/>
      </w:pPr>
      <w:r w:rsidRPr="00DF1D7F">
        <w:t>Copy</w:t>
      </w:r>
      <w:bookmarkStart w:id="0" w:name="_GoBack"/>
      <w:bookmarkEnd w:id="0"/>
      <w:r w:rsidRPr="00DF1D7F">
        <w:t>right</w:t>
      </w:r>
    </w:p>
    <w:p w:rsidR="00924482" w:rsidRDefault="00924482" w:rsidP="00924482">
      <w:pPr>
        <w:pStyle w:val="LegalCopy"/>
      </w:pPr>
      <w:proofErr w:type="gramStart"/>
      <w:r w:rsidRPr="00191B3B">
        <w:rPr>
          <w:rFonts w:cs="Arial"/>
          <w:lang w:val="en-GB"/>
        </w:rPr>
        <w:t>© Comm</w:t>
      </w:r>
      <w:r>
        <w:rPr>
          <w:rFonts w:cs="Arial"/>
          <w:lang w:val="en-GB"/>
        </w:rPr>
        <w:t>onwealth of Australia 201</w:t>
      </w:r>
      <w:r w:rsidR="001B5D98">
        <w:rPr>
          <w:rFonts w:cs="Arial"/>
          <w:lang w:val="en-GB"/>
        </w:rPr>
        <w:t>4</w:t>
      </w:r>
      <w:r w:rsidR="00CD10C3">
        <w:rPr>
          <w:rFonts w:cs="Arial"/>
          <w:lang w:val="en-GB"/>
        </w:rPr>
        <w:t>.</w:t>
      </w:r>
      <w:proofErr w:type="gramEnd"/>
      <w:r w:rsidR="00CD10C3">
        <w:rPr>
          <w:rFonts w:cs="Arial"/>
          <w:lang w:val="en-GB"/>
        </w:rPr>
        <w:t xml:space="preserve"> </w:t>
      </w:r>
      <w:r w:rsidRPr="00191B3B">
        <w:rPr>
          <w:rFonts w:cs="Arial"/>
          <w:lang w:val="en-GB"/>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1" w:name="_Toc247691501"/>
      <w:bookmarkStart w:id="2" w:name="_Toc196046425"/>
      <w:r w:rsidRPr="0010788A">
        <w:lastRenderedPageBreak/>
        <w:t>Contents</w:t>
      </w:r>
    </w:p>
    <w:p w:rsidR="00281EA4"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6903939" w:history="1">
        <w:r w:rsidR="00281EA4" w:rsidRPr="00B22D3C">
          <w:rPr>
            <w:rStyle w:val="Hyperlink"/>
            <w:noProof/>
          </w:rPr>
          <w:t>List of abbreviations</w:t>
        </w:r>
        <w:r w:rsidR="00281EA4">
          <w:rPr>
            <w:noProof/>
            <w:webHidden/>
          </w:rPr>
          <w:tab/>
        </w:r>
        <w:r w:rsidR="00281EA4">
          <w:rPr>
            <w:noProof/>
            <w:webHidden/>
          </w:rPr>
          <w:fldChar w:fldCharType="begin"/>
        </w:r>
        <w:r w:rsidR="00281EA4">
          <w:rPr>
            <w:noProof/>
            <w:webHidden/>
          </w:rPr>
          <w:instrText xml:space="preserve"> PAGEREF _Toc396903939 \h </w:instrText>
        </w:r>
        <w:r w:rsidR="00281EA4">
          <w:rPr>
            <w:noProof/>
            <w:webHidden/>
          </w:rPr>
        </w:r>
        <w:r w:rsidR="00281EA4">
          <w:rPr>
            <w:noProof/>
            <w:webHidden/>
          </w:rPr>
          <w:fldChar w:fldCharType="separate"/>
        </w:r>
        <w:r w:rsidR="00281EA4">
          <w:rPr>
            <w:noProof/>
            <w:webHidden/>
          </w:rPr>
          <w:t>5</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40" w:history="1">
        <w:r w:rsidR="00281EA4" w:rsidRPr="00B22D3C">
          <w:rPr>
            <w:rStyle w:val="Hyperlink"/>
            <w:noProof/>
            <w:lang w:eastAsia="en-AU"/>
          </w:rPr>
          <w:t>1.</w:t>
        </w:r>
        <w:r w:rsidR="00281EA4">
          <w:rPr>
            <w:rFonts w:asciiTheme="minorHAnsi" w:eastAsiaTheme="minorEastAsia" w:hAnsiTheme="minorHAnsi" w:cstheme="minorBidi"/>
            <w:b w:val="0"/>
            <w:noProof/>
            <w:sz w:val="22"/>
            <w:lang w:eastAsia="en-AU"/>
          </w:rPr>
          <w:tab/>
        </w:r>
        <w:r w:rsidR="00281EA4" w:rsidRPr="00B22D3C">
          <w:rPr>
            <w:rStyle w:val="Hyperlink"/>
            <w:noProof/>
            <w:lang w:eastAsia="en-AU"/>
          </w:rPr>
          <w:t>Introduction</w:t>
        </w:r>
        <w:r w:rsidR="00281EA4">
          <w:rPr>
            <w:noProof/>
            <w:webHidden/>
          </w:rPr>
          <w:tab/>
        </w:r>
        <w:r w:rsidR="00281EA4">
          <w:rPr>
            <w:noProof/>
            <w:webHidden/>
          </w:rPr>
          <w:fldChar w:fldCharType="begin"/>
        </w:r>
        <w:r w:rsidR="00281EA4">
          <w:rPr>
            <w:noProof/>
            <w:webHidden/>
          </w:rPr>
          <w:instrText xml:space="preserve"> PAGEREF _Toc396903940 \h </w:instrText>
        </w:r>
        <w:r w:rsidR="00281EA4">
          <w:rPr>
            <w:noProof/>
            <w:webHidden/>
          </w:rPr>
        </w:r>
        <w:r w:rsidR="00281EA4">
          <w:rPr>
            <w:noProof/>
            <w:webHidden/>
          </w:rPr>
          <w:fldChar w:fldCharType="separate"/>
        </w:r>
        <w:r w:rsidR="00281EA4">
          <w:rPr>
            <w:noProof/>
            <w:webHidden/>
          </w:rPr>
          <w:t>6</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41" w:history="1">
        <w:r w:rsidR="00281EA4" w:rsidRPr="00B22D3C">
          <w:rPr>
            <w:rStyle w:val="Hyperlink"/>
            <w:noProof/>
          </w:rPr>
          <w:t>2.</w:t>
        </w:r>
        <w:r w:rsidR="00281EA4">
          <w:rPr>
            <w:rFonts w:asciiTheme="minorHAnsi" w:eastAsiaTheme="minorEastAsia" w:hAnsiTheme="minorHAnsi" w:cstheme="minorBidi"/>
            <w:b w:val="0"/>
            <w:noProof/>
            <w:sz w:val="22"/>
            <w:lang w:eastAsia="en-AU"/>
          </w:rPr>
          <w:tab/>
        </w:r>
        <w:r w:rsidR="00281EA4" w:rsidRPr="00B22D3C">
          <w:rPr>
            <w:rStyle w:val="Hyperlink"/>
            <w:noProof/>
          </w:rPr>
          <w:t>Clinical rationale</w:t>
        </w:r>
        <w:r w:rsidR="00281EA4">
          <w:rPr>
            <w:noProof/>
            <w:webHidden/>
          </w:rPr>
          <w:tab/>
        </w:r>
        <w:r w:rsidR="00281EA4">
          <w:rPr>
            <w:noProof/>
            <w:webHidden/>
          </w:rPr>
          <w:fldChar w:fldCharType="begin"/>
        </w:r>
        <w:r w:rsidR="00281EA4">
          <w:rPr>
            <w:noProof/>
            <w:webHidden/>
          </w:rPr>
          <w:instrText xml:space="preserve"> PAGEREF _Toc396903941 \h </w:instrText>
        </w:r>
        <w:r w:rsidR="00281EA4">
          <w:rPr>
            <w:noProof/>
            <w:webHidden/>
          </w:rPr>
        </w:r>
        <w:r w:rsidR="00281EA4">
          <w:rPr>
            <w:noProof/>
            <w:webHidden/>
          </w:rPr>
          <w:fldChar w:fldCharType="separate"/>
        </w:r>
        <w:r w:rsidR="00281EA4">
          <w:rPr>
            <w:noProof/>
            <w:webHidden/>
          </w:rPr>
          <w:t>6</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42" w:history="1">
        <w:r w:rsidR="00281EA4" w:rsidRPr="00B22D3C">
          <w:rPr>
            <w:rStyle w:val="Hyperlink"/>
            <w:noProof/>
          </w:rPr>
          <w:t>2.1.</w:t>
        </w:r>
        <w:r w:rsidR="00281EA4">
          <w:rPr>
            <w:rFonts w:asciiTheme="minorHAnsi" w:eastAsiaTheme="minorEastAsia" w:hAnsiTheme="minorHAnsi" w:cstheme="minorBidi"/>
            <w:noProof/>
            <w:lang w:eastAsia="en-AU"/>
          </w:rPr>
          <w:tab/>
        </w:r>
        <w:r w:rsidR="00281EA4" w:rsidRPr="00B22D3C">
          <w:rPr>
            <w:rStyle w:val="Hyperlink"/>
            <w:noProof/>
          </w:rPr>
          <w:t>Formulation</w:t>
        </w:r>
        <w:r w:rsidR="00281EA4">
          <w:rPr>
            <w:noProof/>
            <w:webHidden/>
          </w:rPr>
          <w:tab/>
        </w:r>
        <w:r w:rsidR="00281EA4">
          <w:rPr>
            <w:noProof/>
            <w:webHidden/>
          </w:rPr>
          <w:fldChar w:fldCharType="begin"/>
        </w:r>
        <w:r w:rsidR="00281EA4">
          <w:rPr>
            <w:noProof/>
            <w:webHidden/>
          </w:rPr>
          <w:instrText xml:space="preserve"> PAGEREF _Toc396903942 \h </w:instrText>
        </w:r>
        <w:r w:rsidR="00281EA4">
          <w:rPr>
            <w:noProof/>
            <w:webHidden/>
          </w:rPr>
        </w:r>
        <w:r w:rsidR="00281EA4">
          <w:rPr>
            <w:noProof/>
            <w:webHidden/>
          </w:rPr>
          <w:fldChar w:fldCharType="separate"/>
        </w:r>
        <w:r w:rsidR="00281EA4">
          <w:rPr>
            <w:noProof/>
            <w:webHidden/>
          </w:rPr>
          <w:t>7</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43" w:history="1">
        <w:r w:rsidR="00281EA4" w:rsidRPr="00B22D3C">
          <w:rPr>
            <w:rStyle w:val="Hyperlink"/>
            <w:noProof/>
          </w:rPr>
          <w:t>2.2.</w:t>
        </w:r>
        <w:r w:rsidR="00281EA4">
          <w:rPr>
            <w:rFonts w:asciiTheme="minorHAnsi" w:eastAsiaTheme="minorEastAsia" w:hAnsiTheme="minorHAnsi" w:cstheme="minorBidi"/>
            <w:noProof/>
            <w:lang w:eastAsia="en-AU"/>
          </w:rPr>
          <w:tab/>
        </w:r>
        <w:r w:rsidR="00281EA4" w:rsidRPr="00B22D3C">
          <w:rPr>
            <w:rStyle w:val="Hyperlink"/>
            <w:noProof/>
          </w:rPr>
          <w:t>Guidance</w:t>
        </w:r>
        <w:r w:rsidR="00281EA4">
          <w:rPr>
            <w:noProof/>
            <w:webHidden/>
          </w:rPr>
          <w:tab/>
        </w:r>
        <w:r w:rsidR="00281EA4">
          <w:rPr>
            <w:noProof/>
            <w:webHidden/>
          </w:rPr>
          <w:fldChar w:fldCharType="begin"/>
        </w:r>
        <w:r w:rsidR="00281EA4">
          <w:rPr>
            <w:noProof/>
            <w:webHidden/>
          </w:rPr>
          <w:instrText xml:space="preserve"> PAGEREF _Toc396903943 \h </w:instrText>
        </w:r>
        <w:r w:rsidR="00281EA4">
          <w:rPr>
            <w:noProof/>
            <w:webHidden/>
          </w:rPr>
        </w:r>
        <w:r w:rsidR="00281EA4">
          <w:rPr>
            <w:noProof/>
            <w:webHidden/>
          </w:rPr>
          <w:fldChar w:fldCharType="separate"/>
        </w:r>
        <w:r w:rsidR="00281EA4">
          <w:rPr>
            <w:noProof/>
            <w:webHidden/>
          </w:rPr>
          <w:t>8</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44" w:history="1">
        <w:r w:rsidR="00281EA4" w:rsidRPr="00B22D3C">
          <w:rPr>
            <w:rStyle w:val="Hyperlink"/>
            <w:noProof/>
            <w:lang w:eastAsia="en-AU"/>
          </w:rPr>
          <w:t>3.</w:t>
        </w:r>
        <w:r w:rsidR="00281EA4">
          <w:rPr>
            <w:rFonts w:asciiTheme="minorHAnsi" w:eastAsiaTheme="minorEastAsia" w:hAnsiTheme="minorHAnsi" w:cstheme="minorBidi"/>
            <w:b w:val="0"/>
            <w:noProof/>
            <w:sz w:val="22"/>
            <w:lang w:eastAsia="en-AU"/>
          </w:rPr>
          <w:tab/>
        </w:r>
        <w:r w:rsidR="00281EA4" w:rsidRPr="00B22D3C">
          <w:rPr>
            <w:rStyle w:val="Hyperlink"/>
            <w:noProof/>
            <w:lang w:eastAsia="en-AU"/>
          </w:rPr>
          <w:t>Contents of the clinical dossier</w:t>
        </w:r>
        <w:r w:rsidR="00281EA4">
          <w:rPr>
            <w:noProof/>
            <w:webHidden/>
          </w:rPr>
          <w:tab/>
        </w:r>
        <w:r w:rsidR="00281EA4">
          <w:rPr>
            <w:noProof/>
            <w:webHidden/>
          </w:rPr>
          <w:fldChar w:fldCharType="begin"/>
        </w:r>
        <w:r w:rsidR="00281EA4">
          <w:rPr>
            <w:noProof/>
            <w:webHidden/>
          </w:rPr>
          <w:instrText xml:space="preserve"> PAGEREF _Toc396903944 \h </w:instrText>
        </w:r>
        <w:r w:rsidR="00281EA4">
          <w:rPr>
            <w:noProof/>
            <w:webHidden/>
          </w:rPr>
        </w:r>
        <w:r w:rsidR="00281EA4">
          <w:rPr>
            <w:noProof/>
            <w:webHidden/>
          </w:rPr>
          <w:fldChar w:fldCharType="separate"/>
        </w:r>
        <w:r w:rsidR="00281EA4">
          <w:rPr>
            <w:noProof/>
            <w:webHidden/>
          </w:rPr>
          <w:t>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45" w:history="1">
        <w:r w:rsidR="00281EA4" w:rsidRPr="00B22D3C">
          <w:rPr>
            <w:rStyle w:val="Hyperlink"/>
            <w:noProof/>
          </w:rPr>
          <w:t>3.1.</w:t>
        </w:r>
        <w:r w:rsidR="00281EA4">
          <w:rPr>
            <w:rFonts w:asciiTheme="minorHAnsi" w:eastAsiaTheme="minorEastAsia" w:hAnsiTheme="minorHAnsi" w:cstheme="minorBidi"/>
            <w:noProof/>
            <w:lang w:eastAsia="en-AU"/>
          </w:rPr>
          <w:tab/>
        </w:r>
        <w:r w:rsidR="00281EA4" w:rsidRPr="00B22D3C">
          <w:rPr>
            <w:rStyle w:val="Hyperlink"/>
            <w:noProof/>
          </w:rPr>
          <w:t>Scope of the clinical dossier</w:t>
        </w:r>
        <w:r w:rsidR="00281EA4">
          <w:rPr>
            <w:noProof/>
            <w:webHidden/>
          </w:rPr>
          <w:tab/>
        </w:r>
        <w:r w:rsidR="00281EA4">
          <w:rPr>
            <w:noProof/>
            <w:webHidden/>
          </w:rPr>
          <w:fldChar w:fldCharType="begin"/>
        </w:r>
        <w:r w:rsidR="00281EA4">
          <w:rPr>
            <w:noProof/>
            <w:webHidden/>
          </w:rPr>
          <w:instrText xml:space="preserve"> PAGEREF _Toc396903945 \h </w:instrText>
        </w:r>
        <w:r w:rsidR="00281EA4">
          <w:rPr>
            <w:noProof/>
            <w:webHidden/>
          </w:rPr>
        </w:r>
        <w:r w:rsidR="00281EA4">
          <w:rPr>
            <w:noProof/>
            <w:webHidden/>
          </w:rPr>
          <w:fldChar w:fldCharType="separate"/>
        </w:r>
        <w:r w:rsidR="00281EA4">
          <w:rPr>
            <w:noProof/>
            <w:webHidden/>
          </w:rPr>
          <w:t>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46" w:history="1">
        <w:r w:rsidR="00281EA4" w:rsidRPr="00B22D3C">
          <w:rPr>
            <w:rStyle w:val="Hyperlink"/>
            <w:noProof/>
          </w:rPr>
          <w:t>3.2.</w:t>
        </w:r>
        <w:r w:rsidR="00281EA4">
          <w:rPr>
            <w:rFonts w:asciiTheme="minorHAnsi" w:eastAsiaTheme="minorEastAsia" w:hAnsiTheme="minorHAnsi" w:cstheme="minorBidi"/>
            <w:noProof/>
            <w:lang w:eastAsia="en-AU"/>
          </w:rPr>
          <w:tab/>
        </w:r>
        <w:r w:rsidR="00281EA4" w:rsidRPr="00B22D3C">
          <w:rPr>
            <w:rStyle w:val="Hyperlink"/>
            <w:noProof/>
          </w:rPr>
          <w:t>Paediatric data</w:t>
        </w:r>
        <w:r w:rsidR="00281EA4">
          <w:rPr>
            <w:noProof/>
            <w:webHidden/>
          </w:rPr>
          <w:tab/>
        </w:r>
        <w:r w:rsidR="00281EA4">
          <w:rPr>
            <w:noProof/>
            <w:webHidden/>
          </w:rPr>
          <w:fldChar w:fldCharType="begin"/>
        </w:r>
        <w:r w:rsidR="00281EA4">
          <w:rPr>
            <w:noProof/>
            <w:webHidden/>
          </w:rPr>
          <w:instrText xml:space="preserve"> PAGEREF _Toc396903946 \h </w:instrText>
        </w:r>
        <w:r w:rsidR="00281EA4">
          <w:rPr>
            <w:noProof/>
            <w:webHidden/>
          </w:rPr>
        </w:r>
        <w:r w:rsidR="00281EA4">
          <w:rPr>
            <w:noProof/>
            <w:webHidden/>
          </w:rPr>
          <w:fldChar w:fldCharType="separate"/>
        </w:r>
        <w:r w:rsidR="00281EA4">
          <w:rPr>
            <w:noProof/>
            <w:webHidden/>
          </w:rPr>
          <w:t>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47" w:history="1">
        <w:r w:rsidR="00281EA4" w:rsidRPr="00B22D3C">
          <w:rPr>
            <w:rStyle w:val="Hyperlink"/>
            <w:noProof/>
          </w:rPr>
          <w:t>3.3.</w:t>
        </w:r>
        <w:r w:rsidR="00281EA4">
          <w:rPr>
            <w:rFonts w:asciiTheme="minorHAnsi" w:eastAsiaTheme="minorEastAsia" w:hAnsiTheme="minorHAnsi" w:cstheme="minorBidi"/>
            <w:noProof/>
            <w:lang w:eastAsia="en-AU"/>
          </w:rPr>
          <w:tab/>
        </w:r>
        <w:r w:rsidR="00281EA4" w:rsidRPr="00B22D3C">
          <w:rPr>
            <w:rStyle w:val="Hyperlink"/>
            <w:noProof/>
          </w:rPr>
          <w:t>Good clinical practice</w:t>
        </w:r>
        <w:r w:rsidR="00281EA4">
          <w:rPr>
            <w:noProof/>
            <w:webHidden/>
          </w:rPr>
          <w:tab/>
        </w:r>
        <w:r w:rsidR="00281EA4">
          <w:rPr>
            <w:noProof/>
            <w:webHidden/>
          </w:rPr>
          <w:fldChar w:fldCharType="begin"/>
        </w:r>
        <w:r w:rsidR="00281EA4">
          <w:rPr>
            <w:noProof/>
            <w:webHidden/>
          </w:rPr>
          <w:instrText xml:space="preserve"> PAGEREF _Toc396903947 \h </w:instrText>
        </w:r>
        <w:r w:rsidR="00281EA4">
          <w:rPr>
            <w:noProof/>
            <w:webHidden/>
          </w:rPr>
        </w:r>
        <w:r w:rsidR="00281EA4">
          <w:rPr>
            <w:noProof/>
            <w:webHidden/>
          </w:rPr>
          <w:fldChar w:fldCharType="separate"/>
        </w:r>
        <w:r w:rsidR="00281EA4">
          <w:rPr>
            <w:noProof/>
            <w:webHidden/>
          </w:rPr>
          <w:t>9</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48" w:history="1">
        <w:r w:rsidR="00281EA4" w:rsidRPr="00B22D3C">
          <w:rPr>
            <w:rStyle w:val="Hyperlink"/>
            <w:noProof/>
          </w:rPr>
          <w:t>4.</w:t>
        </w:r>
        <w:r w:rsidR="00281EA4">
          <w:rPr>
            <w:rFonts w:asciiTheme="minorHAnsi" w:eastAsiaTheme="minorEastAsia" w:hAnsiTheme="minorHAnsi" w:cstheme="minorBidi"/>
            <w:b w:val="0"/>
            <w:noProof/>
            <w:sz w:val="22"/>
            <w:lang w:eastAsia="en-AU"/>
          </w:rPr>
          <w:tab/>
        </w:r>
        <w:r w:rsidR="00281EA4" w:rsidRPr="00B22D3C">
          <w:rPr>
            <w:rStyle w:val="Hyperlink"/>
            <w:noProof/>
          </w:rPr>
          <w:t>Pharmacokinetics</w:t>
        </w:r>
        <w:r w:rsidR="00281EA4">
          <w:rPr>
            <w:noProof/>
            <w:webHidden/>
          </w:rPr>
          <w:tab/>
        </w:r>
        <w:r w:rsidR="00281EA4">
          <w:rPr>
            <w:noProof/>
            <w:webHidden/>
          </w:rPr>
          <w:fldChar w:fldCharType="begin"/>
        </w:r>
        <w:r w:rsidR="00281EA4">
          <w:rPr>
            <w:noProof/>
            <w:webHidden/>
          </w:rPr>
          <w:instrText xml:space="preserve"> PAGEREF _Toc396903948 \h </w:instrText>
        </w:r>
        <w:r w:rsidR="00281EA4">
          <w:rPr>
            <w:noProof/>
            <w:webHidden/>
          </w:rPr>
        </w:r>
        <w:r w:rsidR="00281EA4">
          <w:rPr>
            <w:noProof/>
            <w:webHidden/>
          </w:rPr>
          <w:fldChar w:fldCharType="separate"/>
        </w:r>
        <w:r w:rsidR="00281EA4">
          <w:rPr>
            <w:noProof/>
            <w:webHidden/>
          </w:rPr>
          <w:t>9</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49" w:history="1">
        <w:r w:rsidR="00281EA4" w:rsidRPr="00B22D3C">
          <w:rPr>
            <w:rStyle w:val="Hyperlink"/>
            <w:noProof/>
          </w:rPr>
          <w:t>4.1.</w:t>
        </w:r>
        <w:r w:rsidR="00281EA4">
          <w:rPr>
            <w:rFonts w:asciiTheme="minorHAnsi" w:eastAsiaTheme="minorEastAsia" w:hAnsiTheme="minorHAnsi" w:cstheme="minorBidi"/>
            <w:noProof/>
            <w:lang w:eastAsia="en-AU"/>
          </w:rPr>
          <w:tab/>
        </w:r>
        <w:r w:rsidR="00281EA4" w:rsidRPr="00B22D3C">
          <w:rPr>
            <w:rStyle w:val="Hyperlink"/>
            <w:noProof/>
          </w:rPr>
          <w:t>Studies providing pharmacokinetic data</w:t>
        </w:r>
        <w:r w:rsidR="00281EA4">
          <w:rPr>
            <w:noProof/>
            <w:webHidden/>
          </w:rPr>
          <w:tab/>
        </w:r>
        <w:r w:rsidR="00281EA4">
          <w:rPr>
            <w:noProof/>
            <w:webHidden/>
          </w:rPr>
          <w:fldChar w:fldCharType="begin"/>
        </w:r>
        <w:r w:rsidR="00281EA4">
          <w:rPr>
            <w:noProof/>
            <w:webHidden/>
          </w:rPr>
          <w:instrText xml:space="preserve"> PAGEREF _Toc396903949 \h </w:instrText>
        </w:r>
        <w:r w:rsidR="00281EA4">
          <w:rPr>
            <w:noProof/>
            <w:webHidden/>
          </w:rPr>
        </w:r>
        <w:r w:rsidR="00281EA4">
          <w:rPr>
            <w:noProof/>
            <w:webHidden/>
          </w:rPr>
          <w:fldChar w:fldCharType="separate"/>
        </w:r>
        <w:r w:rsidR="00281EA4">
          <w:rPr>
            <w:noProof/>
            <w:webHidden/>
          </w:rPr>
          <w:t>9</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50" w:history="1">
        <w:r w:rsidR="00281EA4" w:rsidRPr="00B22D3C">
          <w:rPr>
            <w:rStyle w:val="Hyperlink"/>
            <w:noProof/>
          </w:rPr>
          <w:t>4.2.</w:t>
        </w:r>
        <w:r w:rsidR="00281EA4">
          <w:rPr>
            <w:rFonts w:asciiTheme="minorHAnsi" w:eastAsiaTheme="minorEastAsia" w:hAnsiTheme="minorHAnsi" w:cstheme="minorBidi"/>
            <w:noProof/>
            <w:lang w:eastAsia="en-AU"/>
          </w:rPr>
          <w:tab/>
        </w:r>
        <w:r w:rsidR="00281EA4" w:rsidRPr="00B22D3C">
          <w:rPr>
            <w:rStyle w:val="Hyperlink"/>
            <w:noProof/>
          </w:rPr>
          <w:t>Summary of pharmacokinetics</w:t>
        </w:r>
        <w:r w:rsidR="00281EA4">
          <w:rPr>
            <w:noProof/>
            <w:webHidden/>
          </w:rPr>
          <w:tab/>
        </w:r>
        <w:r w:rsidR="00281EA4">
          <w:rPr>
            <w:noProof/>
            <w:webHidden/>
          </w:rPr>
          <w:fldChar w:fldCharType="begin"/>
        </w:r>
        <w:r w:rsidR="00281EA4">
          <w:rPr>
            <w:noProof/>
            <w:webHidden/>
          </w:rPr>
          <w:instrText xml:space="preserve"> PAGEREF _Toc396903950 \h </w:instrText>
        </w:r>
        <w:r w:rsidR="00281EA4">
          <w:rPr>
            <w:noProof/>
            <w:webHidden/>
          </w:rPr>
        </w:r>
        <w:r w:rsidR="00281EA4">
          <w:rPr>
            <w:noProof/>
            <w:webHidden/>
          </w:rPr>
          <w:fldChar w:fldCharType="separate"/>
        </w:r>
        <w:r w:rsidR="00281EA4">
          <w:rPr>
            <w:noProof/>
            <w:webHidden/>
          </w:rPr>
          <w:t>9</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51" w:history="1">
        <w:r w:rsidR="00281EA4" w:rsidRPr="00B22D3C">
          <w:rPr>
            <w:rStyle w:val="Hyperlink"/>
            <w:noProof/>
          </w:rPr>
          <w:t>5.</w:t>
        </w:r>
        <w:r w:rsidR="00281EA4">
          <w:rPr>
            <w:rFonts w:asciiTheme="minorHAnsi" w:eastAsiaTheme="minorEastAsia" w:hAnsiTheme="minorHAnsi" w:cstheme="minorBidi"/>
            <w:b w:val="0"/>
            <w:noProof/>
            <w:sz w:val="22"/>
            <w:lang w:eastAsia="en-AU"/>
          </w:rPr>
          <w:tab/>
        </w:r>
        <w:r w:rsidR="00281EA4" w:rsidRPr="00B22D3C">
          <w:rPr>
            <w:rStyle w:val="Hyperlink"/>
            <w:noProof/>
          </w:rPr>
          <w:t>Pharmacodynamics</w:t>
        </w:r>
        <w:r w:rsidR="00281EA4">
          <w:rPr>
            <w:noProof/>
            <w:webHidden/>
          </w:rPr>
          <w:tab/>
        </w:r>
        <w:r w:rsidR="00281EA4">
          <w:rPr>
            <w:noProof/>
            <w:webHidden/>
          </w:rPr>
          <w:fldChar w:fldCharType="begin"/>
        </w:r>
        <w:r w:rsidR="00281EA4">
          <w:rPr>
            <w:noProof/>
            <w:webHidden/>
          </w:rPr>
          <w:instrText xml:space="preserve"> PAGEREF _Toc396903951 \h </w:instrText>
        </w:r>
        <w:r w:rsidR="00281EA4">
          <w:rPr>
            <w:noProof/>
            <w:webHidden/>
          </w:rPr>
        </w:r>
        <w:r w:rsidR="00281EA4">
          <w:rPr>
            <w:noProof/>
            <w:webHidden/>
          </w:rPr>
          <w:fldChar w:fldCharType="separate"/>
        </w:r>
        <w:r w:rsidR="00281EA4">
          <w:rPr>
            <w:noProof/>
            <w:webHidden/>
          </w:rPr>
          <w:t>11</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52" w:history="1">
        <w:r w:rsidR="00281EA4" w:rsidRPr="00B22D3C">
          <w:rPr>
            <w:rStyle w:val="Hyperlink"/>
            <w:noProof/>
          </w:rPr>
          <w:t>6.</w:t>
        </w:r>
        <w:r w:rsidR="00281EA4">
          <w:rPr>
            <w:rFonts w:asciiTheme="minorHAnsi" w:eastAsiaTheme="minorEastAsia" w:hAnsiTheme="minorHAnsi" w:cstheme="minorBidi"/>
            <w:b w:val="0"/>
            <w:noProof/>
            <w:sz w:val="22"/>
            <w:lang w:eastAsia="en-AU"/>
          </w:rPr>
          <w:tab/>
        </w:r>
        <w:r w:rsidR="00281EA4" w:rsidRPr="00B22D3C">
          <w:rPr>
            <w:rStyle w:val="Hyperlink"/>
            <w:noProof/>
          </w:rPr>
          <w:t>Dosage selection for the pivotal studies</w:t>
        </w:r>
        <w:r w:rsidR="00281EA4">
          <w:rPr>
            <w:noProof/>
            <w:webHidden/>
          </w:rPr>
          <w:tab/>
        </w:r>
        <w:r w:rsidR="00281EA4">
          <w:rPr>
            <w:noProof/>
            <w:webHidden/>
          </w:rPr>
          <w:fldChar w:fldCharType="begin"/>
        </w:r>
        <w:r w:rsidR="00281EA4">
          <w:rPr>
            <w:noProof/>
            <w:webHidden/>
          </w:rPr>
          <w:instrText xml:space="preserve"> PAGEREF _Toc396903952 \h </w:instrText>
        </w:r>
        <w:r w:rsidR="00281EA4">
          <w:rPr>
            <w:noProof/>
            <w:webHidden/>
          </w:rPr>
        </w:r>
        <w:r w:rsidR="00281EA4">
          <w:rPr>
            <w:noProof/>
            <w:webHidden/>
          </w:rPr>
          <w:fldChar w:fldCharType="separate"/>
        </w:r>
        <w:r w:rsidR="00281EA4">
          <w:rPr>
            <w:noProof/>
            <w:webHidden/>
          </w:rPr>
          <w:t>11</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53" w:history="1">
        <w:r w:rsidR="00281EA4" w:rsidRPr="00B22D3C">
          <w:rPr>
            <w:rStyle w:val="Hyperlink"/>
            <w:noProof/>
          </w:rPr>
          <w:t>7.</w:t>
        </w:r>
        <w:r w:rsidR="00281EA4">
          <w:rPr>
            <w:rFonts w:asciiTheme="minorHAnsi" w:eastAsiaTheme="minorEastAsia" w:hAnsiTheme="minorHAnsi" w:cstheme="minorBidi"/>
            <w:b w:val="0"/>
            <w:noProof/>
            <w:sz w:val="22"/>
            <w:lang w:eastAsia="en-AU"/>
          </w:rPr>
          <w:tab/>
        </w:r>
        <w:r w:rsidR="00281EA4" w:rsidRPr="00B22D3C">
          <w:rPr>
            <w:rStyle w:val="Hyperlink"/>
            <w:noProof/>
          </w:rPr>
          <w:t>Clinical efficacy</w:t>
        </w:r>
        <w:r w:rsidR="00281EA4">
          <w:rPr>
            <w:noProof/>
            <w:webHidden/>
          </w:rPr>
          <w:tab/>
        </w:r>
        <w:r w:rsidR="00281EA4">
          <w:rPr>
            <w:noProof/>
            <w:webHidden/>
          </w:rPr>
          <w:fldChar w:fldCharType="begin"/>
        </w:r>
        <w:r w:rsidR="00281EA4">
          <w:rPr>
            <w:noProof/>
            <w:webHidden/>
          </w:rPr>
          <w:instrText xml:space="preserve"> PAGEREF _Toc396903953 \h </w:instrText>
        </w:r>
        <w:r w:rsidR="00281EA4">
          <w:rPr>
            <w:noProof/>
            <w:webHidden/>
          </w:rPr>
        </w:r>
        <w:r w:rsidR="00281EA4">
          <w:rPr>
            <w:noProof/>
            <w:webHidden/>
          </w:rPr>
          <w:fldChar w:fldCharType="separate"/>
        </w:r>
        <w:r w:rsidR="00281EA4">
          <w:rPr>
            <w:noProof/>
            <w:webHidden/>
          </w:rPr>
          <w:t>11</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54" w:history="1">
        <w:r w:rsidR="00281EA4" w:rsidRPr="00B22D3C">
          <w:rPr>
            <w:rStyle w:val="Hyperlink"/>
            <w:noProof/>
          </w:rPr>
          <w:t>7.1.</w:t>
        </w:r>
        <w:r w:rsidR="00281EA4">
          <w:rPr>
            <w:rFonts w:asciiTheme="minorHAnsi" w:eastAsiaTheme="minorEastAsia" w:hAnsiTheme="minorHAnsi" w:cstheme="minorBidi"/>
            <w:noProof/>
            <w:lang w:eastAsia="en-AU"/>
          </w:rPr>
          <w:tab/>
        </w:r>
        <w:r w:rsidR="00281EA4" w:rsidRPr="00B22D3C">
          <w:rPr>
            <w:rStyle w:val="Hyperlink"/>
            <w:noProof/>
          </w:rPr>
          <w:t>Indication: “Symptomatic treatment of moderate to severe allergic rhinitis and rhino-conjunctivitis in adults and children 12 years and older where use of a combination (intranasal antihistamine and glucocorticoid) is appropriate.”</w:t>
        </w:r>
        <w:r w:rsidR="00281EA4">
          <w:rPr>
            <w:noProof/>
            <w:webHidden/>
          </w:rPr>
          <w:tab/>
        </w:r>
        <w:r w:rsidR="00281EA4">
          <w:rPr>
            <w:noProof/>
            <w:webHidden/>
          </w:rPr>
          <w:fldChar w:fldCharType="begin"/>
        </w:r>
        <w:r w:rsidR="00281EA4">
          <w:rPr>
            <w:noProof/>
            <w:webHidden/>
          </w:rPr>
          <w:instrText xml:space="preserve"> PAGEREF _Toc396903954 \h </w:instrText>
        </w:r>
        <w:r w:rsidR="00281EA4">
          <w:rPr>
            <w:noProof/>
            <w:webHidden/>
          </w:rPr>
        </w:r>
        <w:r w:rsidR="00281EA4">
          <w:rPr>
            <w:noProof/>
            <w:webHidden/>
          </w:rPr>
          <w:fldChar w:fldCharType="separate"/>
        </w:r>
        <w:r w:rsidR="00281EA4">
          <w:rPr>
            <w:noProof/>
            <w:webHidden/>
          </w:rPr>
          <w:t>11</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55" w:history="1">
        <w:r w:rsidR="00281EA4" w:rsidRPr="00B22D3C">
          <w:rPr>
            <w:rStyle w:val="Hyperlink"/>
            <w:noProof/>
          </w:rPr>
          <w:t>8.</w:t>
        </w:r>
        <w:r w:rsidR="00281EA4">
          <w:rPr>
            <w:rFonts w:asciiTheme="minorHAnsi" w:eastAsiaTheme="minorEastAsia" w:hAnsiTheme="minorHAnsi" w:cstheme="minorBidi"/>
            <w:b w:val="0"/>
            <w:noProof/>
            <w:sz w:val="22"/>
            <w:lang w:eastAsia="en-AU"/>
          </w:rPr>
          <w:tab/>
        </w:r>
        <w:r w:rsidR="00281EA4" w:rsidRPr="00B22D3C">
          <w:rPr>
            <w:rStyle w:val="Hyperlink"/>
            <w:noProof/>
          </w:rPr>
          <w:t>Clinical safety</w:t>
        </w:r>
        <w:r w:rsidR="00281EA4">
          <w:rPr>
            <w:noProof/>
            <w:webHidden/>
          </w:rPr>
          <w:tab/>
        </w:r>
        <w:r w:rsidR="00281EA4">
          <w:rPr>
            <w:noProof/>
            <w:webHidden/>
          </w:rPr>
          <w:fldChar w:fldCharType="begin"/>
        </w:r>
        <w:r w:rsidR="00281EA4">
          <w:rPr>
            <w:noProof/>
            <w:webHidden/>
          </w:rPr>
          <w:instrText xml:space="preserve"> PAGEREF _Toc396903955 \h </w:instrText>
        </w:r>
        <w:r w:rsidR="00281EA4">
          <w:rPr>
            <w:noProof/>
            <w:webHidden/>
          </w:rPr>
        </w:r>
        <w:r w:rsidR="00281EA4">
          <w:rPr>
            <w:noProof/>
            <w:webHidden/>
          </w:rPr>
          <w:fldChar w:fldCharType="separate"/>
        </w:r>
        <w:r w:rsidR="00281EA4">
          <w:rPr>
            <w:noProof/>
            <w:webHidden/>
          </w:rPr>
          <w:t>22</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56" w:history="1">
        <w:r w:rsidR="00281EA4" w:rsidRPr="00B22D3C">
          <w:rPr>
            <w:rStyle w:val="Hyperlink"/>
            <w:noProof/>
          </w:rPr>
          <w:t>8.1.</w:t>
        </w:r>
        <w:r w:rsidR="00281EA4">
          <w:rPr>
            <w:rFonts w:asciiTheme="minorHAnsi" w:eastAsiaTheme="minorEastAsia" w:hAnsiTheme="minorHAnsi" w:cstheme="minorBidi"/>
            <w:noProof/>
            <w:lang w:eastAsia="en-AU"/>
          </w:rPr>
          <w:tab/>
        </w:r>
        <w:r w:rsidR="00281EA4" w:rsidRPr="00B22D3C">
          <w:rPr>
            <w:rStyle w:val="Hyperlink"/>
            <w:noProof/>
          </w:rPr>
          <w:t>Studies providing evaluable safety data</w:t>
        </w:r>
        <w:r w:rsidR="00281EA4">
          <w:rPr>
            <w:noProof/>
            <w:webHidden/>
          </w:rPr>
          <w:tab/>
        </w:r>
        <w:r w:rsidR="00281EA4">
          <w:rPr>
            <w:noProof/>
            <w:webHidden/>
          </w:rPr>
          <w:fldChar w:fldCharType="begin"/>
        </w:r>
        <w:r w:rsidR="00281EA4">
          <w:rPr>
            <w:noProof/>
            <w:webHidden/>
          </w:rPr>
          <w:instrText xml:space="preserve"> PAGEREF _Toc396903956 \h </w:instrText>
        </w:r>
        <w:r w:rsidR="00281EA4">
          <w:rPr>
            <w:noProof/>
            <w:webHidden/>
          </w:rPr>
        </w:r>
        <w:r w:rsidR="00281EA4">
          <w:rPr>
            <w:noProof/>
            <w:webHidden/>
          </w:rPr>
          <w:fldChar w:fldCharType="separate"/>
        </w:r>
        <w:r w:rsidR="00281EA4">
          <w:rPr>
            <w:noProof/>
            <w:webHidden/>
          </w:rPr>
          <w:t>22</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57" w:history="1">
        <w:r w:rsidR="00281EA4" w:rsidRPr="00B22D3C">
          <w:rPr>
            <w:rStyle w:val="Hyperlink"/>
            <w:noProof/>
          </w:rPr>
          <w:t>8.2.</w:t>
        </w:r>
        <w:r w:rsidR="00281EA4">
          <w:rPr>
            <w:rFonts w:asciiTheme="minorHAnsi" w:eastAsiaTheme="minorEastAsia" w:hAnsiTheme="minorHAnsi" w:cstheme="minorBidi"/>
            <w:noProof/>
            <w:lang w:eastAsia="en-AU"/>
          </w:rPr>
          <w:tab/>
        </w:r>
        <w:r w:rsidR="00281EA4" w:rsidRPr="00B22D3C">
          <w:rPr>
            <w:rStyle w:val="Hyperlink"/>
            <w:noProof/>
          </w:rPr>
          <w:t>Pivotal studies that assessed safety as a primary outcome</w:t>
        </w:r>
        <w:r w:rsidR="00281EA4">
          <w:rPr>
            <w:noProof/>
            <w:webHidden/>
          </w:rPr>
          <w:tab/>
        </w:r>
        <w:r w:rsidR="00281EA4">
          <w:rPr>
            <w:noProof/>
            <w:webHidden/>
          </w:rPr>
          <w:fldChar w:fldCharType="begin"/>
        </w:r>
        <w:r w:rsidR="00281EA4">
          <w:rPr>
            <w:noProof/>
            <w:webHidden/>
          </w:rPr>
          <w:instrText xml:space="preserve"> PAGEREF _Toc396903957 \h </w:instrText>
        </w:r>
        <w:r w:rsidR="00281EA4">
          <w:rPr>
            <w:noProof/>
            <w:webHidden/>
          </w:rPr>
        </w:r>
        <w:r w:rsidR="00281EA4">
          <w:rPr>
            <w:noProof/>
            <w:webHidden/>
          </w:rPr>
          <w:fldChar w:fldCharType="separate"/>
        </w:r>
        <w:r w:rsidR="00281EA4">
          <w:rPr>
            <w:noProof/>
            <w:webHidden/>
          </w:rPr>
          <w:t>23</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58" w:history="1">
        <w:r w:rsidR="00281EA4" w:rsidRPr="00B22D3C">
          <w:rPr>
            <w:rStyle w:val="Hyperlink"/>
            <w:noProof/>
          </w:rPr>
          <w:t>8.3.</w:t>
        </w:r>
        <w:r w:rsidR="00281EA4">
          <w:rPr>
            <w:rFonts w:asciiTheme="minorHAnsi" w:eastAsiaTheme="minorEastAsia" w:hAnsiTheme="minorHAnsi" w:cstheme="minorBidi"/>
            <w:noProof/>
            <w:lang w:eastAsia="en-AU"/>
          </w:rPr>
          <w:tab/>
        </w:r>
        <w:r w:rsidR="00281EA4" w:rsidRPr="00B22D3C">
          <w:rPr>
            <w:rStyle w:val="Hyperlink"/>
            <w:noProof/>
          </w:rPr>
          <w:t>Patient exposure</w:t>
        </w:r>
        <w:r w:rsidR="00281EA4">
          <w:rPr>
            <w:noProof/>
            <w:webHidden/>
          </w:rPr>
          <w:tab/>
        </w:r>
        <w:r w:rsidR="00281EA4">
          <w:rPr>
            <w:noProof/>
            <w:webHidden/>
          </w:rPr>
          <w:fldChar w:fldCharType="begin"/>
        </w:r>
        <w:r w:rsidR="00281EA4">
          <w:rPr>
            <w:noProof/>
            <w:webHidden/>
          </w:rPr>
          <w:instrText xml:space="preserve"> PAGEREF _Toc396903958 \h </w:instrText>
        </w:r>
        <w:r w:rsidR="00281EA4">
          <w:rPr>
            <w:noProof/>
            <w:webHidden/>
          </w:rPr>
        </w:r>
        <w:r w:rsidR="00281EA4">
          <w:rPr>
            <w:noProof/>
            <w:webHidden/>
          </w:rPr>
          <w:fldChar w:fldCharType="separate"/>
        </w:r>
        <w:r w:rsidR="00281EA4">
          <w:rPr>
            <w:noProof/>
            <w:webHidden/>
          </w:rPr>
          <w:t>26</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59" w:history="1">
        <w:r w:rsidR="00281EA4" w:rsidRPr="00B22D3C">
          <w:rPr>
            <w:rStyle w:val="Hyperlink"/>
            <w:noProof/>
          </w:rPr>
          <w:t>8.4.</w:t>
        </w:r>
        <w:r w:rsidR="00281EA4">
          <w:rPr>
            <w:rFonts w:asciiTheme="minorHAnsi" w:eastAsiaTheme="minorEastAsia" w:hAnsiTheme="minorHAnsi" w:cstheme="minorBidi"/>
            <w:noProof/>
            <w:lang w:eastAsia="en-AU"/>
          </w:rPr>
          <w:tab/>
        </w:r>
        <w:r w:rsidR="00281EA4" w:rsidRPr="00B22D3C">
          <w:rPr>
            <w:rStyle w:val="Hyperlink"/>
            <w:noProof/>
          </w:rPr>
          <w:t>Adverse events</w:t>
        </w:r>
        <w:r w:rsidR="00281EA4">
          <w:rPr>
            <w:noProof/>
            <w:webHidden/>
          </w:rPr>
          <w:tab/>
        </w:r>
        <w:r w:rsidR="00281EA4">
          <w:rPr>
            <w:noProof/>
            <w:webHidden/>
          </w:rPr>
          <w:fldChar w:fldCharType="begin"/>
        </w:r>
        <w:r w:rsidR="00281EA4">
          <w:rPr>
            <w:noProof/>
            <w:webHidden/>
          </w:rPr>
          <w:instrText xml:space="preserve"> PAGEREF _Toc396903959 \h </w:instrText>
        </w:r>
        <w:r w:rsidR="00281EA4">
          <w:rPr>
            <w:noProof/>
            <w:webHidden/>
          </w:rPr>
        </w:r>
        <w:r w:rsidR="00281EA4">
          <w:rPr>
            <w:noProof/>
            <w:webHidden/>
          </w:rPr>
          <w:fldChar w:fldCharType="separate"/>
        </w:r>
        <w:r w:rsidR="00281EA4">
          <w:rPr>
            <w:noProof/>
            <w:webHidden/>
          </w:rPr>
          <w:t>27</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0" w:history="1">
        <w:r w:rsidR="00281EA4" w:rsidRPr="00B22D3C">
          <w:rPr>
            <w:rStyle w:val="Hyperlink"/>
            <w:noProof/>
          </w:rPr>
          <w:t>8.5.</w:t>
        </w:r>
        <w:r w:rsidR="00281EA4">
          <w:rPr>
            <w:rFonts w:asciiTheme="minorHAnsi" w:eastAsiaTheme="minorEastAsia" w:hAnsiTheme="minorHAnsi" w:cstheme="minorBidi"/>
            <w:noProof/>
            <w:lang w:eastAsia="en-AU"/>
          </w:rPr>
          <w:tab/>
        </w:r>
        <w:r w:rsidR="00281EA4" w:rsidRPr="00B22D3C">
          <w:rPr>
            <w:rStyle w:val="Hyperlink"/>
            <w:noProof/>
          </w:rPr>
          <w:t>Laboratory tests</w:t>
        </w:r>
        <w:r w:rsidR="00281EA4">
          <w:rPr>
            <w:noProof/>
            <w:webHidden/>
          </w:rPr>
          <w:tab/>
        </w:r>
        <w:r w:rsidR="00281EA4">
          <w:rPr>
            <w:noProof/>
            <w:webHidden/>
          </w:rPr>
          <w:fldChar w:fldCharType="begin"/>
        </w:r>
        <w:r w:rsidR="00281EA4">
          <w:rPr>
            <w:noProof/>
            <w:webHidden/>
          </w:rPr>
          <w:instrText xml:space="preserve"> PAGEREF _Toc396903960 \h </w:instrText>
        </w:r>
        <w:r w:rsidR="00281EA4">
          <w:rPr>
            <w:noProof/>
            <w:webHidden/>
          </w:rPr>
        </w:r>
        <w:r w:rsidR="00281EA4">
          <w:rPr>
            <w:noProof/>
            <w:webHidden/>
          </w:rPr>
          <w:fldChar w:fldCharType="separate"/>
        </w:r>
        <w:r w:rsidR="00281EA4">
          <w:rPr>
            <w:noProof/>
            <w:webHidden/>
          </w:rPr>
          <w:t>28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1" w:history="1">
        <w:r w:rsidR="00281EA4" w:rsidRPr="00B22D3C">
          <w:rPr>
            <w:rStyle w:val="Hyperlink"/>
            <w:noProof/>
          </w:rPr>
          <w:t>8.6.</w:t>
        </w:r>
        <w:r w:rsidR="00281EA4">
          <w:rPr>
            <w:rFonts w:asciiTheme="minorHAnsi" w:eastAsiaTheme="minorEastAsia" w:hAnsiTheme="minorHAnsi" w:cstheme="minorBidi"/>
            <w:noProof/>
            <w:lang w:eastAsia="en-AU"/>
          </w:rPr>
          <w:tab/>
        </w:r>
        <w:r w:rsidR="00281EA4" w:rsidRPr="00B22D3C">
          <w:rPr>
            <w:rStyle w:val="Hyperlink"/>
            <w:noProof/>
          </w:rPr>
          <w:t>Vital signs</w:t>
        </w:r>
        <w:r w:rsidR="00281EA4">
          <w:rPr>
            <w:noProof/>
            <w:webHidden/>
          </w:rPr>
          <w:tab/>
        </w:r>
        <w:r w:rsidR="00281EA4">
          <w:rPr>
            <w:noProof/>
            <w:webHidden/>
          </w:rPr>
          <w:fldChar w:fldCharType="begin"/>
        </w:r>
        <w:r w:rsidR="00281EA4">
          <w:rPr>
            <w:noProof/>
            <w:webHidden/>
          </w:rPr>
          <w:instrText xml:space="preserve"> PAGEREF _Toc396903961 \h </w:instrText>
        </w:r>
        <w:r w:rsidR="00281EA4">
          <w:rPr>
            <w:noProof/>
            <w:webHidden/>
          </w:rPr>
        </w:r>
        <w:r w:rsidR="00281EA4">
          <w:rPr>
            <w:noProof/>
            <w:webHidden/>
          </w:rPr>
          <w:fldChar w:fldCharType="separate"/>
        </w:r>
        <w:r w:rsidR="00281EA4">
          <w:rPr>
            <w:noProof/>
            <w:webHidden/>
          </w:rPr>
          <w:t>28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2" w:history="1">
        <w:r w:rsidR="00281EA4" w:rsidRPr="00B22D3C">
          <w:rPr>
            <w:rStyle w:val="Hyperlink"/>
            <w:noProof/>
          </w:rPr>
          <w:t>8.7.</w:t>
        </w:r>
        <w:r w:rsidR="00281EA4">
          <w:rPr>
            <w:rFonts w:asciiTheme="minorHAnsi" w:eastAsiaTheme="minorEastAsia" w:hAnsiTheme="minorHAnsi" w:cstheme="minorBidi"/>
            <w:noProof/>
            <w:lang w:eastAsia="en-AU"/>
          </w:rPr>
          <w:tab/>
        </w:r>
        <w:r w:rsidR="00281EA4" w:rsidRPr="00B22D3C">
          <w:rPr>
            <w:rStyle w:val="Hyperlink"/>
            <w:noProof/>
          </w:rPr>
          <w:t>Focused nasal examination</w:t>
        </w:r>
        <w:r w:rsidR="00281EA4">
          <w:rPr>
            <w:noProof/>
            <w:webHidden/>
          </w:rPr>
          <w:tab/>
        </w:r>
        <w:r w:rsidR="00281EA4">
          <w:rPr>
            <w:noProof/>
            <w:webHidden/>
          </w:rPr>
          <w:fldChar w:fldCharType="begin"/>
        </w:r>
        <w:r w:rsidR="00281EA4">
          <w:rPr>
            <w:noProof/>
            <w:webHidden/>
          </w:rPr>
          <w:instrText xml:space="preserve"> PAGEREF _Toc396903962 \h </w:instrText>
        </w:r>
        <w:r w:rsidR="00281EA4">
          <w:rPr>
            <w:noProof/>
            <w:webHidden/>
          </w:rPr>
        </w:r>
        <w:r w:rsidR="00281EA4">
          <w:rPr>
            <w:noProof/>
            <w:webHidden/>
          </w:rPr>
          <w:fldChar w:fldCharType="separate"/>
        </w:r>
        <w:r w:rsidR="00281EA4">
          <w:rPr>
            <w:noProof/>
            <w:webHidden/>
          </w:rPr>
          <w:t>28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3" w:history="1">
        <w:r w:rsidR="00281EA4" w:rsidRPr="00B22D3C">
          <w:rPr>
            <w:rStyle w:val="Hyperlink"/>
            <w:noProof/>
          </w:rPr>
          <w:t>8.8.</w:t>
        </w:r>
        <w:r w:rsidR="00281EA4">
          <w:rPr>
            <w:rFonts w:asciiTheme="minorHAnsi" w:eastAsiaTheme="minorEastAsia" w:hAnsiTheme="minorHAnsi" w:cstheme="minorBidi"/>
            <w:noProof/>
            <w:lang w:eastAsia="en-AU"/>
          </w:rPr>
          <w:tab/>
        </w:r>
        <w:r w:rsidR="00281EA4" w:rsidRPr="00B22D3C">
          <w:rPr>
            <w:rStyle w:val="Hyperlink"/>
            <w:noProof/>
          </w:rPr>
          <w:t>Post-marketing experience</w:t>
        </w:r>
        <w:r w:rsidR="00281EA4">
          <w:rPr>
            <w:noProof/>
            <w:webHidden/>
          </w:rPr>
          <w:tab/>
        </w:r>
        <w:r w:rsidR="00281EA4">
          <w:rPr>
            <w:noProof/>
            <w:webHidden/>
          </w:rPr>
          <w:fldChar w:fldCharType="begin"/>
        </w:r>
        <w:r w:rsidR="00281EA4">
          <w:rPr>
            <w:noProof/>
            <w:webHidden/>
          </w:rPr>
          <w:instrText xml:space="preserve"> PAGEREF _Toc396903963 \h </w:instrText>
        </w:r>
        <w:r w:rsidR="00281EA4">
          <w:rPr>
            <w:noProof/>
            <w:webHidden/>
          </w:rPr>
        </w:r>
        <w:r w:rsidR="00281EA4">
          <w:rPr>
            <w:noProof/>
            <w:webHidden/>
          </w:rPr>
          <w:fldChar w:fldCharType="separate"/>
        </w:r>
        <w:r w:rsidR="00281EA4">
          <w:rPr>
            <w:noProof/>
            <w:webHidden/>
          </w:rPr>
          <w:t>28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4" w:history="1">
        <w:r w:rsidR="00281EA4" w:rsidRPr="00B22D3C">
          <w:rPr>
            <w:rStyle w:val="Hyperlink"/>
            <w:noProof/>
          </w:rPr>
          <w:t>8.9.</w:t>
        </w:r>
        <w:r w:rsidR="00281EA4">
          <w:rPr>
            <w:rFonts w:asciiTheme="minorHAnsi" w:eastAsiaTheme="minorEastAsia" w:hAnsiTheme="minorHAnsi" w:cstheme="minorBidi"/>
            <w:noProof/>
            <w:lang w:eastAsia="en-AU"/>
          </w:rPr>
          <w:tab/>
        </w:r>
        <w:r w:rsidR="00281EA4" w:rsidRPr="00B22D3C">
          <w:rPr>
            <w:rStyle w:val="Hyperlink"/>
            <w:noProof/>
          </w:rPr>
          <w:t>Safety issues with the potential for major regulatory impact</w:t>
        </w:r>
        <w:r w:rsidR="00281EA4">
          <w:rPr>
            <w:noProof/>
            <w:webHidden/>
          </w:rPr>
          <w:tab/>
        </w:r>
        <w:r w:rsidR="00281EA4">
          <w:rPr>
            <w:noProof/>
            <w:webHidden/>
          </w:rPr>
          <w:fldChar w:fldCharType="begin"/>
        </w:r>
        <w:r w:rsidR="00281EA4">
          <w:rPr>
            <w:noProof/>
            <w:webHidden/>
          </w:rPr>
          <w:instrText xml:space="preserve"> PAGEREF _Toc396903964 \h </w:instrText>
        </w:r>
        <w:r w:rsidR="00281EA4">
          <w:rPr>
            <w:noProof/>
            <w:webHidden/>
          </w:rPr>
        </w:r>
        <w:r w:rsidR="00281EA4">
          <w:rPr>
            <w:noProof/>
            <w:webHidden/>
          </w:rPr>
          <w:fldChar w:fldCharType="separate"/>
        </w:r>
        <w:r w:rsidR="00281EA4">
          <w:rPr>
            <w:noProof/>
            <w:webHidden/>
          </w:rPr>
          <w:t>28</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5" w:history="1">
        <w:r w:rsidR="00281EA4" w:rsidRPr="00B22D3C">
          <w:rPr>
            <w:rStyle w:val="Hyperlink"/>
            <w:noProof/>
          </w:rPr>
          <w:t>8.10.</w:t>
        </w:r>
        <w:r w:rsidR="00281EA4">
          <w:rPr>
            <w:rFonts w:asciiTheme="minorHAnsi" w:eastAsiaTheme="minorEastAsia" w:hAnsiTheme="minorHAnsi" w:cstheme="minorBidi"/>
            <w:noProof/>
            <w:lang w:eastAsia="en-AU"/>
          </w:rPr>
          <w:tab/>
        </w:r>
        <w:r w:rsidR="00281EA4" w:rsidRPr="00B22D3C">
          <w:rPr>
            <w:rStyle w:val="Hyperlink"/>
            <w:noProof/>
          </w:rPr>
          <w:t>Other safety issues</w:t>
        </w:r>
        <w:r w:rsidR="00281EA4">
          <w:rPr>
            <w:noProof/>
            <w:webHidden/>
          </w:rPr>
          <w:tab/>
        </w:r>
        <w:r w:rsidR="00281EA4">
          <w:rPr>
            <w:noProof/>
            <w:webHidden/>
          </w:rPr>
          <w:fldChar w:fldCharType="begin"/>
        </w:r>
        <w:r w:rsidR="00281EA4">
          <w:rPr>
            <w:noProof/>
            <w:webHidden/>
          </w:rPr>
          <w:instrText xml:space="preserve"> PAGEREF _Toc396903965 \h </w:instrText>
        </w:r>
        <w:r w:rsidR="00281EA4">
          <w:rPr>
            <w:noProof/>
            <w:webHidden/>
          </w:rPr>
        </w:r>
        <w:r w:rsidR="00281EA4">
          <w:rPr>
            <w:noProof/>
            <w:webHidden/>
          </w:rPr>
          <w:fldChar w:fldCharType="separate"/>
        </w:r>
        <w:r w:rsidR="00281EA4">
          <w:rPr>
            <w:noProof/>
            <w:webHidden/>
          </w:rPr>
          <w:t>29</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6" w:history="1">
        <w:r w:rsidR="00281EA4" w:rsidRPr="00B22D3C">
          <w:rPr>
            <w:rStyle w:val="Hyperlink"/>
            <w:noProof/>
          </w:rPr>
          <w:t>8.11.</w:t>
        </w:r>
        <w:r w:rsidR="00281EA4">
          <w:rPr>
            <w:rFonts w:asciiTheme="minorHAnsi" w:eastAsiaTheme="minorEastAsia" w:hAnsiTheme="minorHAnsi" w:cstheme="minorBidi"/>
            <w:noProof/>
            <w:lang w:eastAsia="en-AU"/>
          </w:rPr>
          <w:tab/>
        </w:r>
        <w:r w:rsidR="00281EA4" w:rsidRPr="00B22D3C">
          <w:rPr>
            <w:rStyle w:val="Hyperlink"/>
            <w:noProof/>
          </w:rPr>
          <w:t>Evaluator’s overall conclusions on clinical safety</w:t>
        </w:r>
        <w:r w:rsidR="00281EA4">
          <w:rPr>
            <w:noProof/>
            <w:webHidden/>
          </w:rPr>
          <w:tab/>
        </w:r>
        <w:r w:rsidR="00281EA4">
          <w:rPr>
            <w:noProof/>
            <w:webHidden/>
          </w:rPr>
          <w:fldChar w:fldCharType="begin"/>
        </w:r>
        <w:r w:rsidR="00281EA4">
          <w:rPr>
            <w:noProof/>
            <w:webHidden/>
          </w:rPr>
          <w:instrText xml:space="preserve"> PAGEREF _Toc396903966 \h </w:instrText>
        </w:r>
        <w:r w:rsidR="00281EA4">
          <w:rPr>
            <w:noProof/>
            <w:webHidden/>
          </w:rPr>
        </w:r>
        <w:r w:rsidR="00281EA4">
          <w:rPr>
            <w:noProof/>
            <w:webHidden/>
          </w:rPr>
          <w:fldChar w:fldCharType="separate"/>
        </w:r>
        <w:r w:rsidR="00281EA4">
          <w:rPr>
            <w:noProof/>
            <w:webHidden/>
          </w:rPr>
          <w:t>29</w:t>
        </w:r>
        <w:r w:rsidR="00281EA4">
          <w:rPr>
            <w:noProof/>
            <w:webHidden/>
          </w:rPr>
          <w:fldChar w:fldCharType="end"/>
        </w:r>
      </w:hyperlink>
    </w:p>
    <w:p w:rsidR="00281EA4" w:rsidRDefault="005346C7">
      <w:pPr>
        <w:pStyle w:val="TOC2"/>
        <w:tabs>
          <w:tab w:val="left" w:pos="1100"/>
        </w:tabs>
        <w:rPr>
          <w:rFonts w:asciiTheme="minorHAnsi" w:eastAsiaTheme="minorEastAsia" w:hAnsiTheme="minorHAnsi" w:cstheme="minorBidi"/>
          <w:b w:val="0"/>
          <w:noProof/>
          <w:sz w:val="22"/>
          <w:lang w:eastAsia="en-AU"/>
        </w:rPr>
      </w:pPr>
      <w:hyperlink w:anchor="_Toc396903967" w:history="1">
        <w:r w:rsidR="00281EA4" w:rsidRPr="00B22D3C">
          <w:rPr>
            <w:rStyle w:val="Hyperlink"/>
            <w:noProof/>
          </w:rPr>
          <w:t>9.</w:t>
        </w:r>
        <w:r w:rsidR="00281EA4">
          <w:rPr>
            <w:rFonts w:asciiTheme="minorHAnsi" w:eastAsiaTheme="minorEastAsia" w:hAnsiTheme="minorHAnsi" w:cstheme="minorBidi"/>
            <w:b w:val="0"/>
            <w:noProof/>
            <w:sz w:val="22"/>
            <w:lang w:eastAsia="en-AU"/>
          </w:rPr>
          <w:tab/>
        </w:r>
        <w:r w:rsidR="00281EA4" w:rsidRPr="00B22D3C">
          <w:rPr>
            <w:rStyle w:val="Hyperlink"/>
            <w:noProof/>
          </w:rPr>
          <w:t>First round benefit-risk assessment</w:t>
        </w:r>
        <w:r w:rsidR="00281EA4">
          <w:rPr>
            <w:noProof/>
            <w:webHidden/>
          </w:rPr>
          <w:tab/>
        </w:r>
        <w:r w:rsidR="00281EA4">
          <w:rPr>
            <w:noProof/>
            <w:webHidden/>
          </w:rPr>
          <w:fldChar w:fldCharType="begin"/>
        </w:r>
        <w:r w:rsidR="00281EA4">
          <w:rPr>
            <w:noProof/>
            <w:webHidden/>
          </w:rPr>
          <w:instrText xml:space="preserve"> PAGEREF _Toc396903967 \h </w:instrText>
        </w:r>
        <w:r w:rsidR="00281EA4">
          <w:rPr>
            <w:noProof/>
            <w:webHidden/>
          </w:rPr>
        </w:r>
        <w:r w:rsidR="00281EA4">
          <w:rPr>
            <w:noProof/>
            <w:webHidden/>
          </w:rPr>
          <w:fldChar w:fldCharType="separate"/>
        </w:r>
        <w:r w:rsidR="00281EA4">
          <w:rPr>
            <w:noProof/>
            <w:webHidden/>
          </w:rPr>
          <w:t>29</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8" w:history="1">
        <w:r w:rsidR="00281EA4" w:rsidRPr="00B22D3C">
          <w:rPr>
            <w:rStyle w:val="Hyperlink"/>
            <w:noProof/>
          </w:rPr>
          <w:t>9.1.</w:t>
        </w:r>
        <w:r w:rsidR="00281EA4">
          <w:rPr>
            <w:rFonts w:asciiTheme="minorHAnsi" w:eastAsiaTheme="minorEastAsia" w:hAnsiTheme="minorHAnsi" w:cstheme="minorBidi"/>
            <w:noProof/>
            <w:lang w:eastAsia="en-AU"/>
          </w:rPr>
          <w:tab/>
        </w:r>
        <w:r w:rsidR="00281EA4" w:rsidRPr="00B22D3C">
          <w:rPr>
            <w:rStyle w:val="Hyperlink"/>
            <w:noProof/>
          </w:rPr>
          <w:t>First round assessment of benefits</w:t>
        </w:r>
        <w:r w:rsidR="00281EA4">
          <w:rPr>
            <w:noProof/>
            <w:webHidden/>
          </w:rPr>
          <w:tab/>
        </w:r>
        <w:r w:rsidR="00281EA4">
          <w:rPr>
            <w:noProof/>
            <w:webHidden/>
          </w:rPr>
          <w:fldChar w:fldCharType="begin"/>
        </w:r>
        <w:r w:rsidR="00281EA4">
          <w:rPr>
            <w:noProof/>
            <w:webHidden/>
          </w:rPr>
          <w:instrText xml:space="preserve"> PAGEREF _Toc396903968 \h </w:instrText>
        </w:r>
        <w:r w:rsidR="00281EA4">
          <w:rPr>
            <w:noProof/>
            <w:webHidden/>
          </w:rPr>
        </w:r>
        <w:r w:rsidR="00281EA4">
          <w:rPr>
            <w:noProof/>
            <w:webHidden/>
          </w:rPr>
          <w:fldChar w:fldCharType="separate"/>
        </w:r>
        <w:r w:rsidR="00281EA4">
          <w:rPr>
            <w:noProof/>
            <w:webHidden/>
          </w:rPr>
          <w:t>29</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69" w:history="1">
        <w:r w:rsidR="00281EA4" w:rsidRPr="00B22D3C">
          <w:rPr>
            <w:rStyle w:val="Hyperlink"/>
            <w:noProof/>
          </w:rPr>
          <w:t>9.2.</w:t>
        </w:r>
        <w:r w:rsidR="00281EA4">
          <w:rPr>
            <w:rFonts w:asciiTheme="minorHAnsi" w:eastAsiaTheme="minorEastAsia" w:hAnsiTheme="minorHAnsi" w:cstheme="minorBidi"/>
            <w:noProof/>
            <w:lang w:eastAsia="en-AU"/>
          </w:rPr>
          <w:tab/>
        </w:r>
        <w:r w:rsidR="00281EA4" w:rsidRPr="00B22D3C">
          <w:rPr>
            <w:rStyle w:val="Hyperlink"/>
            <w:noProof/>
          </w:rPr>
          <w:t>First round assessment of risks</w:t>
        </w:r>
        <w:r w:rsidR="00281EA4">
          <w:rPr>
            <w:noProof/>
            <w:webHidden/>
          </w:rPr>
          <w:tab/>
        </w:r>
        <w:r w:rsidR="00281EA4">
          <w:rPr>
            <w:noProof/>
            <w:webHidden/>
          </w:rPr>
          <w:fldChar w:fldCharType="begin"/>
        </w:r>
        <w:r w:rsidR="00281EA4">
          <w:rPr>
            <w:noProof/>
            <w:webHidden/>
          </w:rPr>
          <w:instrText xml:space="preserve"> PAGEREF _Toc396903969 \h </w:instrText>
        </w:r>
        <w:r w:rsidR="00281EA4">
          <w:rPr>
            <w:noProof/>
            <w:webHidden/>
          </w:rPr>
        </w:r>
        <w:r w:rsidR="00281EA4">
          <w:rPr>
            <w:noProof/>
            <w:webHidden/>
          </w:rPr>
          <w:fldChar w:fldCharType="separate"/>
        </w:r>
        <w:r w:rsidR="00281EA4">
          <w:rPr>
            <w:noProof/>
            <w:webHidden/>
          </w:rPr>
          <w:t>29</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70" w:history="1">
        <w:r w:rsidR="00281EA4" w:rsidRPr="00B22D3C">
          <w:rPr>
            <w:rStyle w:val="Hyperlink"/>
            <w:noProof/>
          </w:rPr>
          <w:t>9.3.</w:t>
        </w:r>
        <w:r w:rsidR="00281EA4">
          <w:rPr>
            <w:rFonts w:asciiTheme="minorHAnsi" w:eastAsiaTheme="minorEastAsia" w:hAnsiTheme="minorHAnsi" w:cstheme="minorBidi"/>
            <w:noProof/>
            <w:lang w:eastAsia="en-AU"/>
          </w:rPr>
          <w:tab/>
        </w:r>
        <w:r w:rsidR="00281EA4" w:rsidRPr="00B22D3C">
          <w:rPr>
            <w:rStyle w:val="Hyperlink"/>
            <w:noProof/>
          </w:rPr>
          <w:t>First round assessment of benefit-risk balance</w:t>
        </w:r>
        <w:r w:rsidR="00281EA4">
          <w:rPr>
            <w:noProof/>
            <w:webHidden/>
          </w:rPr>
          <w:tab/>
        </w:r>
        <w:r w:rsidR="00281EA4">
          <w:rPr>
            <w:noProof/>
            <w:webHidden/>
          </w:rPr>
          <w:fldChar w:fldCharType="begin"/>
        </w:r>
        <w:r w:rsidR="00281EA4">
          <w:rPr>
            <w:noProof/>
            <w:webHidden/>
          </w:rPr>
          <w:instrText xml:space="preserve"> PAGEREF _Toc396903970 \h </w:instrText>
        </w:r>
        <w:r w:rsidR="00281EA4">
          <w:rPr>
            <w:noProof/>
            <w:webHidden/>
          </w:rPr>
        </w:r>
        <w:r w:rsidR="00281EA4">
          <w:rPr>
            <w:noProof/>
            <w:webHidden/>
          </w:rPr>
          <w:fldChar w:fldCharType="separate"/>
        </w:r>
        <w:r w:rsidR="00281EA4">
          <w:rPr>
            <w:noProof/>
            <w:webHidden/>
          </w:rPr>
          <w:t>29</w:t>
        </w:r>
        <w:r w:rsidR="00281EA4">
          <w:rPr>
            <w:noProof/>
            <w:webHidden/>
          </w:rPr>
          <w:fldChar w:fldCharType="end"/>
        </w:r>
      </w:hyperlink>
    </w:p>
    <w:p w:rsidR="00281EA4" w:rsidRDefault="005346C7">
      <w:pPr>
        <w:pStyle w:val="TOC2"/>
        <w:tabs>
          <w:tab w:val="left" w:pos="1320"/>
        </w:tabs>
        <w:rPr>
          <w:rFonts w:asciiTheme="minorHAnsi" w:eastAsiaTheme="minorEastAsia" w:hAnsiTheme="minorHAnsi" w:cstheme="minorBidi"/>
          <w:b w:val="0"/>
          <w:noProof/>
          <w:sz w:val="22"/>
          <w:lang w:eastAsia="en-AU"/>
        </w:rPr>
      </w:pPr>
      <w:hyperlink w:anchor="_Toc396903971" w:history="1">
        <w:r w:rsidR="00281EA4" w:rsidRPr="00B22D3C">
          <w:rPr>
            <w:rStyle w:val="Hyperlink"/>
            <w:noProof/>
          </w:rPr>
          <w:t>10.</w:t>
        </w:r>
        <w:r w:rsidR="00281EA4">
          <w:rPr>
            <w:rFonts w:asciiTheme="minorHAnsi" w:eastAsiaTheme="minorEastAsia" w:hAnsiTheme="minorHAnsi" w:cstheme="minorBidi"/>
            <w:b w:val="0"/>
            <w:noProof/>
            <w:sz w:val="22"/>
            <w:lang w:eastAsia="en-AU"/>
          </w:rPr>
          <w:tab/>
        </w:r>
        <w:r w:rsidR="00281EA4" w:rsidRPr="00B22D3C">
          <w:rPr>
            <w:rStyle w:val="Hyperlink"/>
            <w:noProof/>
          </w:rPr>
          <w:t>First round recommendation regarding authorisation</w:t>
        </w:r>
        <w:r w:rsidR="00281EA4">
          <w:rPr>
            <w:noProof/>
            <w:webHidden/>
          </w:rPr>
          <w:tab/>
        </w:r>
        <w:r w:rsidR="00281EA4">
          <w:rPr>
            <w:noProof/>
            <w:webHidden/>
          </w:rPr>
          <w:fldChar w:fldCharType="begin"/>
        </w:r>
        <w:r w:rsidR="00281EA4">
          <w:rPr>
            <w:noProof/>
            <w:webHidden/>
          </w:rPr>
          <w:instrText xml:space="preserve"> PAGEREF _Toc396903971 \h </w:instrText>
        </w:r>
        <w:r w:rsidR="00281EA4">
          <w:rPr>
            <w:noProof/>
            <w:webHidden/>
          </w:rPr>
        </w:r>
        <w:r w:rsidR="00281EA4">
          <w:rPr>
            <w:noProof/>
            <w:webHidden/>
          </w:rPr>
          <w:fldChar w:fldCharType="separate"/>
        </w:r>
        <w:r w:rsidR="00281EA4">
          <w:rPr>
            <w:noProof/>
            <w:webHidden/>
          </w:rPr>
          <w:t>29</w:t>
        </w:r>
        <w:r w:rsidR="00281EA4">
          <w:rPr>
            <w:noProof/>
            <w:webHidden/>
          </w:rPr>
          <w:fldChar w:fldCharType="end"/>
        </w:r>
      </w:hyperlink>
    </w:p>
    <w:p w:rsidR="00281EA4" w:rsidRDefault="005346C7">
      <w:pPr>
        <w:pStyle w:val="TOC2"/>
        <w:tabs>
          <w:tab w:val="left" w:pos="1320"/>
        </w:tabs>
        <w:rPr>
          <w:rFonts w:asciiTheme="minorHAnsi" w:eastAsiaTheme="minorEastAsia" w:hAnsiTheme="minorHAnsi" w:cstheme="minorBidi"/>
          <w:b w:val="0"/>
          <w:noProof/>
          <w:sz w:val="22"/>
          <w:lang w:eastAsia="en-AU"/>
        </w:rPr>
      </w:pPr>
      <w:hyperlink w:anchor="_Toc396903972" w:history="1">
        <w:r w:rsidR="00281EA4" w:rsidRPr="00B22D3C">
          <w:rPr>
            <w:rStyle w:val="Hyperlink"/>
            <w:noProof/>
          </w:rPr>
          <w:t>11.</w:t>
        </w:r>
        <w:r w:rsidR="00281EA4">
          <w:rPr>
            <w:rFonts w:asciiTheme="minorHAnsi" w:eastAsiaTheme="minorEastAsia" w:hAnsiTheme="minorHAnsi" w:cstheme="minorBidi"/>
            <w:b w:val="0"/>
            <w:noProof/>
            <w:sz w:val="22"/>
            <w:lang w:eastAsia="en-AU"/>
          </w:rPr>
          <w:tab/>
        </w:r>
        <w:r w:rsidR="00281EA4" w:rsidRPr="00B22D3C">
          <w:rPr>
            <w:rStyle w:val="Hyperlink"/>
            <w:noProof/>
          </w:rPr>
          <w:t>Clinical questions</w:t>
        </w:r>
        <w:r w:rsidR="00281EA4">
          <w:rPr>
            <w:noProof/>
            <w:webHidden/>
          </w:rPr>
          <w:tab/>
        </w:r>
        <w:r w:rsidR="00281EA4">
          <w:rPr>
            <w:noProof/>
            <w:webHidden/>
          </w:rPr>
          <w:fldChar w:fldCharType="begin"/>
        </w:r>
        <w:r w:rsidR="00281EA4">
          <w:rPr>
            <w:noProof/>
            <w:webHidden/>
          </w:rPr>
          <w:instrText xml:space="preserve"> PAGEREF _Toc396903972 \h </w:instrText>
        </w:r>
        <w:r w:rsidR="00281EA4">
          <w:rPr>
            <w:noProof/>
            <w:webHidden/>
          </w:rPr>
        </w:r>
        <w:r w:rsidR="00281EA4">
          <w:rPr>
            <w:noProof/>
            <w:webHidden/>
          </w:rPr>
          <w:fldChar w:fldCharType="separate"/>
        </w:r>
        <w:r w:rsidR="00281EA4">
          <w:rPr>
            <w:noProof/>
            <w:webHidden/>
          </w:rPr>
          <w:t>30</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73" w:history="1">
        <w:r w:rsidR="00281EA4" w:rsidRPr="00B22D3C">
          <w:rPr>
            <w:rStyle w:val="Hyperlink"/>
            <w:noProof/>
          </w:rPr>
          <w:t>11.1.</w:t>
        </w:r>
        <w:r w:rsidR="00281EA4">
          <w:rPr>
            <w:rFonts w:asciiTheme="minorHAnsi" w:eastAsiaTheme="minorEastAsia" w:hAnsiTheme="minorHAnsi" w:cstheme="minorBidi"/>
            <w:noProof/>
            <w:lang w:eastAsia="en-AU"/>
          </w:rPr>
          <w:tab/>
        </w:r>
        <w:r w:rsidR="00281EA4" w:rsidRPr="00B22D3C">
          <w:rPr>
            <w:rStyle w:val="Hyperlink"/>
            <w:noProof/>
          </w:rPr>
          <w:t>General</w:t>
        </w:r>
        <w:r w:rsidR="00281EA4">
          <w:rPr>
            <w:noProof/>
            <w:webHidden/>
          </w:rPr>
          <w:tab/>
        </w:r>
        <w:r w:rsidR="00281EA4">
          <w:rPr>
            <w:noProof/>
            <w:webHidden/>
          </w:rPr>
          <w:fldChar w:fldCharType="begin"/>
        </w:r>
        <w:r w:rsidR="00281EA4">
          <w:rPr>
            <w:noProof/>
            <w:webHidden/>
          </w:rPr>
          <w:instrText xml:space="preserve"> PAGEREF _Toc396903973 \h </w:instrText>
        </w:r>
        <w:r w:rsidR="00281EA4">
          <w:rPr>
            <w:noProof/>
            <w:webHidden/>
          </w:rPr>
        </w:r>
        <w:r w:rsidR="00281EA4">
          <w:rPr>
            <w:noProof/>
            <w:webHidden/>
          </w:rPr>
          <w:fldChar w:fldCharType="separate"/>
        </w:r>
        <w:r w:rsidR="00281EA4">
          <w:rPr>
            <w:noProof/>
            <w:webHidden/>
          </w:rPr>
          <w:t>30</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74" w:history="1">
        <w:r w:rsidR="00281EA4" w:rsidRPr="00B22D3C">
          <w:rPr>
            <w:rStyle w:val="Hyperlink"/>
            <w:noProof/>
          </w:rPr>
          <w:t>11.2.</w:t>
        </w:r>
        <w:r w:rsidR="00281EA4">
          <w:rPr>
            <w:rFonts w:asciiTheme="minorHAnsi" w:eastAsiaTheme="minorEastAsia" w:hAnsiTheme="minorHAnsi" w:cstheme="minorBidi"/>
            <w:noProof/>
            <w:lang w:eastAsia="en-AU"/>
          </w:rPr>
          <w:tab/>
        </w:r>
        <w:r w:rsidR="00281EA4" w:rsidRPr="00B22D3C">
          <w:rPr>
            <w:rStyle w:val="Hyperlink"/>
            <w:noProof/>
          </w:rPr>
          <w:t>Pharmacokinetics</w:t>
        </w:r>
        <w:r w:rsidR="00281EA4">
          <w:rPr>
            <w:noProof/>
            <w:webHidden/>
          </w:rPr>
          <w:tab/>
        </w:r>
        <w:r w:rsidR="00281EA4">
          <w:rPr>
            <w:noProof/>
            <w:webHidden/>
          </w:rPr>
          <w:fldChar w:fldCharType="begin"/>
        </w:r>
        <w:r w:rsidR="00281EA4">
          <w:rPr>
            <w:noProof/>
            <w:webHidden/>
          </w:rPr>
          <w:instrText xml:space="preserve"> PAGEREF _Toc396903974 \h </w:instrText>
        </w:r>
        <w:r w:rsidR="00281EA4">
          <w:rPr>
            <w:noProof/>
            <w:webHidden/>
          </w:rPr>
        </w:r>
        <w:r w:rsidR="00281EA4">
          <w:rPr>
            <w:noProof/>
            <w:webHidden/>
          </w:rPr>
          <w:fldChar w:fldCharType="separate"/>
        </w:r>
        <w:r w:rsidR="00281EA4">
          <w:rPr>
            <w:noProof/>
            <w:webHidden/>
          </w:rPr>
          <w:t>30</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75" w:history="1">
        <w:r w:rsidR="00281EA4" w:rsidRPr="00B22D3C">
          <w:rPr>
            <w:rStyle w:val="Hyperlink"/>
            <w:noProof/>
          </w:rPr>
          <w:t>11.3.</w:t>
        </w:r>
        <w:r w:rsidR="00281EA4">
          <w:rPr>
            <w:rFonts w:asciiTheme="minorHAnsi" w:eastAsiaTheme="minorEastAsia" w:hAnsiTheme="minorHAnsi" w:cstheme="minorBidi"/>
            <w:noProof/>
            <w:lang w:eastAsia="en-AU"/>
          </w:rPr>
          <w:tab/>
        </w:r>
        <w:r w:rsidR="00281EA4" w:rsidRPr="00B22D3C">
          <w:rPr>
            <w:rStyle w:val="Hyperlink"/>
            <w:noProof/>
          </w:rPr>
          <w:t>Pharmacodynamics</w:t>
        </w:r>
        <w:r w:rsidR="00281EA4">
          <w:rPr>
            <w:noProof/>
            <w:webHidden/>
          </w:rPr>
          <w:tab/>
        </w:r>
        <w:r w:rsidR="00281EA4">
          <w:rPr>
            <w:noProof/>
            <w:webHidden/>
          </w:rPr>
          <w:fldChar w:fldCharType="begin"/>
        </w:r>
        <w:r w:rsidR="00281EA4">
          <w:rPr>
            <w:noProof/>
            <w:webHidden/>
          </w:rPr>
          <w:instrText xml:space="preserve"> PAGEREF _Toc396903975 \h </w:instrText>
        </w:r>
        <w:r w:rsidR="00281EA4">
          <w:rPr>
            <w:noProof/>
            <w:webHidden/>
          </w:rPr>
        </w:r>
        <w:r w:rsidR="00281EA4">
          <w:rPr>
            <w:noProof/>
            <w:webHidden/>
          </w:rPr>
          <w:fldChar w:fldCharType="separate"/>
        </w:r>
        <w:r w:rsidR="00281EA4">
          <w:rPr>
            <w:noProof/>
            <w:webHidden/>
          </w:rPr>
          <w:t>30</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76" w:history="1">
        <w:r w:rsidR="00281EA4" w:rsidRPr="00B22D3C">
          <w:rPr>
            <w:rStyle w:val="Hyperlink"/>
            <w:noProof/>
          </w:rPr>
          <w:t>11.4.</w:t>
        </w:r>
        <w:r w:rsidR="00281EA4">
          <w:rPr>
            <w:rFonts w:asciiTheme="minorHAnsi" w:eastAsiaTheme="minorEastAsia" w:hAnsiTheme="minorHAnsi" w:cstheme="minorBidi"/>
            <w:noProof/>
            <w:lang w:eastAsia="en-AU"/>
          </w:rPr>
          <w:tab/>
        </w:r>
        <w:r w:rsidR="00281EA4" w:rsidRPr="00B22D3C">
          <w:rPr>
            <w:rStyle w:val="Hyperlink"/>
            <w:noProof/>
          </w:rPr>
          <w:t>Efficacy</w:t>
        </w:r>
        <w:r w:rsidR="00281EA4">
          <w:rPr>
            <w:noProof/>
            <w:webHidden/>
          </w:rPr>
          <w:tab/>
        </w:r>
        <w:r w:rsidR="00281EA4">
          <w:rPr>
            <w:noProof/>
            <w:webHidden/>
          </w:rPr>
          <w:fldChar w:fldCharType="begin"/>
        </w:r>
        <w:r w:rsidR="00281EA4">
          <w:rPr>
            <w:noProof/>
            <w:webHidden/>
          </w:rPr>
          <w:instrText xml:space="preserve"> PAGEREF _Toc396903976 \h </w:instrText>
        </w:r>
        <w:r w:rsidR="00281EA4">
          <w:rPr>
            <w:noProof/>
            <w:webHidden/>
          </w:rPr>
        </w:r>
        <w:r w:rsidR="00281EA4">
          <w:rPr>
            <w:noProof/>
            <w:webHidden/>
          </w:rPr>
          <w:fldChar w:fldCharType="separate"/>
        </w:r>
        <w:r w:rsidR="00281EA4">
          <w:rPr>
            <w:noProof/>
            <w:webHidden/>
          </w:rPr>
          <w:t>30</w:t>
        </w:r>
        <w:r w:rsidR="00281EA4">
          <w:rPr>
            <w:noProof/>
            <w:webHidden/>
          </w:rPr>
          <w:fldChar w:fldCharType="end"/>
        </w:r>
      </w:hyperlink>
    </w:p>
    <w:p w:rsidR="00281EA4" w:rsidRDefault="005346C7">
      <w:pPr>
        <w:pStyle w:val="TOC3"/>
        <w:tabs>
          <w:tab w:val="left" w:pos="1760"/>
        </w:tabs>
        <w:rPr>
          <w:rFonts w:asciiTheme="minorHAnsi" w:eastAsiaTheme="minorEastAsia" w:hAnsiTheme="minorHAnsi" w:cstheme="minorBidi"/>
          <w:noProof/>
          <w:lang w:eastAsia="en-AU"/>
        </w:rPr>
      </w:pPr>
      <w:hyperlink w:anchor="_Toc396903977" w:history="1">
        <w:r w:rsidR="00281EA4" w:rsidRPr="00B22D3C">
          <w:rPr>
            <w:rStyle w:val="Hyperlink"/>
            <w:noProof/>
          </w:rPr>
          <w:t>11.5.</w:t>
        </w:r>
        <w:r w:rsidR="00281EA4">
          <w:rPr>
            <w:rFonts w:asciiTheme="minorHAnsi" w:eastAsiaTheme="minorEastAsia" w:hAnsiTheme="minorHAnsi" w:cstheme="minorBidi"/>
            <w:noProof/>
            <w:lang w:eastAsia="en-AU"/>
          </w:rPr>
          <w:tab/>
        </w:r>
        <w:r w:rsidR="00281EA4" w:rsidRPr="00B22D3C">
          <w:rPr>
            <w:rStyle w:val="Hyperlink"/>
            <w:noProof/>
          </w:rPr>
          <w:t>Safety</w:t>
        </w:r>
        <w:r w:rsidR="00281EA4">
          <w:rPr>
            <w:noProof/>
            <w:webHidden/>
          </w:rPr>
          <w:tab/>
        </w:r>
        <w:r w:rsidR="00281EA4">
          <w:rPr>
            <w:noProof/>
            <w:webHidden/>
          </w:rPr>
          <w:fldChar w:fldCharType="begin"/>
        </w:r>
        <w:r w:rsidR="00281EA4">
          <w:rPr>
            <w:noProof/>
            <w:webHidden/>
          </w:rPr>
          <w:instrText xml:space="preserve"> PAGEREF _Toc396903977 \h </w:instrText>
        </w:r>
        <w:r w:rsidR="00281EA4">
          <w:rPr>
            <w:noProof/>
            <w:webHidden/>
          </w:rPr>
        </w:r>
        <w:r w:rsidR="00281EA4">
          <w:rPr>
            <w:noProof/>
            <w:webHidden/>
          </w:rPr>
          <w:fldChar w:fldCharType="separate"/>
        </w:r>
        <w:r w:rsidR="00281EA4">
          <w:rPr>
            <w:noProof/>
            <w:webHidden/>
          </w:rPr>
          <w:t>30</w:t>
        </w:r>
        <w:r w:rsidR="00281EA4">
          <w:rPr>
            <w:noProof/>
            <w:webHidden/>
          </w:rPr>
          <w:fldChar w:fldCharType="end"/>
        </w:r>
      </w:hyperlink>
    </w:p>
    <w:p w:rsidR="00281EA4" w:rsidRDefault="005346C7">
      <w:pPr>
        <w:pStyle w:val="TOC2"/>
        <w:tabs>
          <w:tab w:val="left" w:pos="1320"/>
        </w:tabs>
        <w:rPr>
          <w:rFonts w:asciiTheme="minorHAnsi" w:eastAsiaTheme="minorEastAsia" w:hAnsiTheme="minorHAnsi" w:cstheme="minorBidi"/>
          <w:b w:val="0"/>
          <w:noProof/>
          <w:sz w:val="22"/>
          <w:lang w:eastAsia="en-AU"/>
        </w:rPr>
      </w:pPr>
      <w:hyperlink w:anchor="_Toc396903978" w:history="1">
        <w:r w:rsidR="00281EA4" w:rsidRPr="00B22D3C">
          <w:rPr>
            <w:rStyle w:val="Hyperlink"/>
            <w:noProof/>
          </w:rPr>
          <w:t>12.</w:t>
        </w:r>
        <w:r w:rsidR="00281EA4">
          <w:rPr>
            <w:rFonts w:asciiTheme="minorHAnsi" w:eastAsiaTheme="minorEastAsia" w:hAnsiTheme="minorHAnsi" w:cstheme="minorBidi"/>
            <w:b w:val="0"/>
            <w:noProof/>
            <w:sz w:val="22"/>
            <w:lang w:eastAsia="en-AU"/>
          </w:rPr>
          <w:tab/>
        </w:r>
        <w:r w:rsidR="00281EA4" w:rsidRPr="00B22D3C">
          <w:rPr>
            <w:rStyle w:val="Hyperlink"/>
            <w:noProof/>
          </w:rPr>
          <w:t>References</w:t>
        </w:r>
        <w:r w:rsidR="00281EA4">
          <w:rPr>
            <w:noProof/>
            <w:webHidden/>
          </w:rPr>
          <w:tab/>
        </w:r>
        <w:r w:rsidR="00281EA4">
          <w:rPr>
            <w:noProof/>
            <w:webHidden/>
          </w:rPr>
          <w:fldChar w:fldCharType="begin"/>
        </w:r>
        <w:r w:rsidR="00281EA4">
          <w:rPr>
            <w:noProof/>
            <w:webHidden/>
          </w:rPr>
          <w:instrText xml:space="preserve"> PAGEREF _Toc396903978 \h </w:instrText>
        </w:r>
        <w:r w:rsidR="00281EA4">
          <w:rPr>
            <w:noProof/>
            <w:webHidden/>
          </w:rPr>
        </w:r>
        <w:r w:rsidR="00281EA4">
          <w:rPr>
            <w:noProof/>
            <w:webHidden/>
          </w:rPr>
          <w:fldChar w:fldCharType="separate"/>
        </w:r>
        <w:r w:rsidR="00281EA4">
          <w:rPr>
            <w:noProof/>
            <w:webHidden/>
          </w:rPr>
          <w:t>30</w:t>
        </w:r>
        <w:r w:rsidR="00281EA4">
          <w:rPr>
            <w:noProof/>
            <w:webHidden/>
          </w:rPr>
          <w:fldChar w:fldCharType="end"/>
        </w:r>
      </w:hyperlink>
    </w:p>
    <w:p w:rsidR="003A7F6C" w:rsidRPr="00B811C6" w:rsidRDefault="004F4AF5" w:rsidP="00B811C6">
      <w:pPr>
        <w:pStyle w:val="TOC2"/>
      </w:pPr>
      <w:r>
        <w:fldChar w:fldCharType="end"/>
      </w:r>
      <w:bookmarkStart w:id="3" w:name="_Toc314842482"/>
    </w:p>
    <w:p w:rsidR="007307C7" w:rsidRDefault="007307C7">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586F98">
      <w:pPr>
        <w:pStyle w:val="Heading2"/>
        <w:numPr>
          <w:ilvl w:val="0"/>
          <w:numId w:val="0"/>
        </w:numPr>
      </w:pPr>
      <w:bookmarkStart w:id="7" w:name="_Toc396903939"/>
      <w:r>
        <w:lastRenderedPageBreak/>
        <w:t>List of abbreviations</w:t>
      </w:r>
      <w:bookmarkEnd w:id="4"/>
      <w:bookmarkEnd w:id="5"/>
      <w:bookmarkEnd w:id="6"/>
      <w:bookmarkEnd w:id="7"/>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35"/>
        <w:gridCol w:w="7087"/>
      </w:tblGrid>
      <w:tr w:rsidR="007647EF" w:rsidTr="00D43979">
        <w:trPr>
          <w:tblHeader/>
        </w:trPr>
        <w:tc>
          <w:tcPr>
            <w:tcW w:w="2235" w:type="dxa"/>
            <w:tcBorders>
              <w:top w:val="single" w:sz="8" w:space="0" w:color="000000"/>
              <w:left w:val="single" w:sz="8" w:space="0" w:color="000000"/>
              <w:bottom w:val="single" w:sz="8" w:space="0" w:color="000000"/>
              <w:right w:val="nil"/>
              <w:tl2br w:val="nil"/>
              <w:tr2bl w:val="nil"/>
            </w:tcBorders>
            <w:shd w:val="clear" w:color="auto" w:fill="006DA7"/>
          </w:tcPr>
          <w:p w:rsidR="00CD10C3" w:rsidRPr="007647EF" w:rsidRDefault="00CD10C3" w:rsidP="007647EF">
            <w:pPr>
              <w:ind w:left="170" w:right="170"/>
              <w:rPr>
                <w:b/>
                <w:color w:val="FFFFFF"/>
                <w:szCs w:val="21"/>
                <w:lang w:eastAsia="ja-JP"/>
              </w:rPr>
            </w:pPr>
            <w:r w:rsidRPr="007647EF">
              <w:rPr>
                <w:b/>
                <w:color w:val="FFFFFF"/>
                <w:szCs w:val="21"/>
                <w:lang w:eastAsia="ja-JP"/>
              </w:rPr>
              <w:t>Abbreviation</w:t>
            </w:r>
          </w:p>
        </w:tc>
        <w:tc>
          <w:tcPr>
            <w:tcW w:w="7087" w:type="dxa"/>
            <w:tcBorders>
              <w:top w:val="single" w:sz="8" w:space="0" w:color="000000"/>
              <w:left w:val="nil"/>
              <w:bottom w:val="single" w:sz="8" w:space="0" w:color="000000"/>
              <w:right w:val="single" w:sz="8" w:space="0" w:color="000000"/>
              <w:tl2br w:val="nil"/>
              <w:tr2bl w:val="nil"/>
            </w:tcBorders>
            <w:shd w:val="clear" w:color="auto" w:fill="006DA7"/>
          </w:tcPr>
          <w:p w:rsidR="00CD10C3" w:rsidRPr="007647EF" w:rsidRDefault="00CD10C3" w:rsidP="007647EF">
            <w:pPr>
              <w:ind w:left="170" w:right="170"/>
              <w:rPr>
                <w:b/>
                <w:color w:val="FFFFFF"/>
                <w:szCs w:val="21"/>
                <w:lang w:eastAsia="ja-JP"/>
              </w:rPr>
            </w:pPr>
            <w:r w:rsidRPr="007647EF">
              <w:rPr>
                <w:b/>
                <w:color w:val="FFFFFF"/>
                <w:szCs w:val="21"/>
                <w:lang w:eastAsia="ja-JP"/>
              </w:rPr>
              <w:t>Meaning</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AE</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Adverse Event</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ANCOVA</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Analysis of co-variance</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ARIA</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Allergic Rhinitis and its Impact on Asthma (Guidelines)</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AUC</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Area under the curve</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proofErr w:type="spellStart"/>
            <w:r w:rsidRPr="007647EF">
              <w:rPr>
                <w:color w:val="000000"/>
                <w:szCs w:val="21"/>
                <w:lang w:eastAsia="en-AU"/>
              </w:rPr>
              <w:t>C</w:t>
            </w:r>
            <w:r w:rsidRPr="007647EF">
              <w:rPr>
                <w:color w:val="000000"/>
                <w:szCs w:val="21"/>
                <w:vertAlign w:val="subscript"/>
                <w:lang w:eastAsia="en-AU"/>
              </w:rPr>
              <w:t>max</w:t>
            </w:r>
            <w:proofErr w:type="spellEnd"/>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Maximum concentration</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EMA</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European Medicines Agency</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FDA</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Food and Drug Administration</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GCP</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Good Clinical practice</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ICH</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International Conference on Harmonisation</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proofErr w:type="spellStart"/>
            <w:r w:rsidRPr="007647EF">
              <w:rPr>
                <w:color w:val="000000"/>
                <w:szCs w:val="21"/>
                <w:lang w:eastAsia="en-AU"/>
              </w:rPr>
              <w:t>iTNSS</w:t>
            </w:r>
            <w:proofErr w:type="spellEnd"/>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Instantaneous Total Nasal Symptom Score</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proofErr w:type="spellStart"/>
            <w:r w:rsidRPr="007647EF">
              <w:rPr>
                <w:color w:val="000000"/>
                <w:szCs w:val="21"/>
                <w:lang w:eastAsia="en-AU"/>
              </w:rPr>
              <w:t>iTOSS</w:t>
            </w:r>
            <w:proofErr w:type="spellEnd"/>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Instantaneous Total Ocular Symptom Score</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LOCF</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Last Observation Carried Forward</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LS</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Least Squares</w:t>
            </w:r>
          </w:p>
        </w:tc>
      </w:tr>
      <w:tr w:rsidR="00EC23F4" w:rsidTr="007647EF">
        <w:tc>
          <w:tcPr>
            <w:tcW w:w="2235" w:type="dxa"/>
            <w:shd w:val="clear" w:color="auto" w:fill="auto"/>
          </w:tcPr>
          <w:p w:rsidR="00EC23F4" w:rsidRPr="007647EF" w:rsidRDefault="00EC23F4" w:rsidP="007647EF">
            <w:pPr>
              <w:ind w:left="170" w:right="170"/>
              <w:rPr>
                <w:color w:val="000000"/>
                <w:szCs w:val="21"/>
                <w:lang w:eastAsia="en-AU"/>
              </w:rPr>
            </w:pPr>
            <w:r w:rsidRPr="007647EF">
              <w:rPr>
                <w:color w:val="000000"/>
                <w:szCs w:val="21"/>
                <w:lang w:eastAsia="en-AU"/>
              </w:rPr>
              <w:t>MP29-02</w:t>
            </w:r>
          </w:p>
        </w:tc>
        <w:tc>
          <w:tcPr>
            <w:tcW w:w="7087" w:type="dxa"/>
            <w:shd w:val="clear" w:color="auto" w:fill="auto"/>
          </w:tcPr>
          <w:p w:rsidR="00EC23F4" w:rsidRPr="007647EF" w:rsidRDefault="00EC23F4" w:rsidP="007647EF">
            <w:pPr>
              <w:ind w:left="170" w:right="170"/>
              <w:rPr>
                <w:color w:val="000000"/>
                <w:szCs w:val="21"/>
                <w:lang w:eastAsia="ja-JP"/>
              </w:rPr>
            </w:pPr>
            <w:r w:rsidRPr="007647EF">
              <w:rPr>
                <w:color w:val="000000"/>
                <w:szCs w:val="21"/>
                <w:lang w:eastAsia="ja-JP"/>
              </w:rPr>
              <w:t xml:space="preserve">Fluticasone propionate and </w:t>
            </w:r>
            <w:proofErr w:type="spellStart"/>
            <w:r w:rsidRPr="007647EF">
              <w:rPr>
                <w:color w:val="000000"/>
                <w:szCs w:val="21"/>
                <w:lang w:eastAsia="ja-JP"/>
              </w:rPr>
              <w:t>azelastine</w:t>
            </w:r>
            <w:proofErr w:type="spellEnd"/>
            <w:r w:rsidRPr="007647EF">
              <w:rPr>
                <w:color w:val="000000"/>
                <w:szCs w:val="21"/>
                <w:lang w:eastAsia="ja-JP"/>
              </w:rPr>
              <w:t xml:space="preserve"> hydrochloride nasal spray</w:t>
            </w:r>
          </w:p>
        </w:tc>
      </w:tr>
      <w:tr w:rsidR="00CD10C3" w:rsidTr="007647EF">
        <w:tc>
          <w:tcPr>
            <w:tcW w:w="2235" w:type="dxa"/>
            <w:shd w:val="clear" w:color="auto" w:fill="auto"/>
          </w:tcPr>
          <w:p w:rsidR="00CD10C3" w:rsidRPr="007647EF" w:rsidRDefault="009A0AB4" w:rsidP="007647EF">
            <w:pPr>
              <w:ind w:left="170" w:right="170"/>
              <w:rPr>
                <w:color w:val="000000"/>
                <w:szCs w:val="21"/>
                <w:lang w:eastAsia="en-AU"/>
              </w:rPr>
            </w:pPr>
            <w:r w:rsidRPr="007647EF">
              <w:rPr>
                <w:color w:val="000000"/>
                <w:szCs w:val="21"/>
                <w:lang w:eastAsia="en-AU"/>
              </w:rPr>
              <w:t>mcg</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Micrograms</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OTC</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Over the counter</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PAR</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Perennial allergic rhinitis</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PI</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Product information</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PK</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Pharmacokinetics</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RQLQ</w:t>
            </w:r>
          </w:p>
        </w:tc>
        <w:tc>
          <w:tcPr>
            <w:tcW w:w="7087" w:type="dxa"/>
            <w:shd w:val="clear" w:color="auto" w:fill="auto"/>
          </w:tcPr>
          <w:p w:rsidR="00CD10C3" w:rsidRPr="007647EF" w:rsidRDefault="00CD10C3" w:rsidP="007647EF">
            <w:pPr>
              <w:ind w:left="170" w:right="170"/>
              <w:rPr>
                <w:color w:val="000000"/>
                <w:szCs w:val="21"/>
                <w:lang w:eastAsia="ja-JP"/>
              </w:rPr>
            </w:pPr>
            <w:proofErr w:type="spellStart"/>
            <w:r w:rsidRPr="007647EF">
              <w:rPr>
                <w:color w:val="000000"/>
                <w:szCs w:val="21"/>
                <w:lang w:eastAsia="ja-JP"/>
              </w:rPr>
              <w:t>Rhinoconjunctivitis</w:t>
            </w:r>
            <w:proofErr w:type="spellEnd"/>
            <w:r w:rsidRPr="007647EF">
              <w:rPr>
                <w:color w:val="000000"/>
                <w:szCs w:val="21"/>
                <w:lang w:eastAsia="ja-JP"/>
              </w:rPr>
              <w:t xml:space="preserve"> Quality of Life Questionnaire</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proofErr w:type="spellStart"/>
            <w:r w:rsidRPr="007647EF">
              <w:rPr>
                <w:color w:val="000000"/>
                <w:szCs w:val="21"/>
                <w:lang w:eastAsia="en-AU"/>
              </w:rPr>
              <w:t>rTNSS</w:t>
            </w:r>
            <w:proofErr w:type="spellEnd"/>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Reflective Total Nasal Symptom Score</w:t>
            </w:r>
          </w:p>
        </w:tc>
      </w:tr>
      <w:tr w:rsidR="00CD10C3" w:rsidTr="00D43979">
        <w:trPr>
          <w:trHeight w:val="618"/>
        </w:trPr>
        <w:tc>
          <w:tcPr>
            <w:tcW w:w="2235" w:type="dxa"/>
            <w:shd w:val="clear" w:color="auto" w:fill="auto"/>
          </w:tcPr>
          <w:p w:rsidR="00CD10C3" w:rsidRPr="007647EF" w:rsidRDefault="00CD10C3" w:rsidP="007647EF">
            <w:pPr>
              <w:ind w:left="170" w:right="170"/>
              <w:rPr>
                <w:color w:val="000000"/>
                <w:szCs w:val="21"/>
                <w:lang w:eastAsia="en-AU"/>
              </w:rPr>
            </w:pPr>
            <w:proofErr w:type="spellStart"/>
            <w:r w:rsidRPr="007647EF">
              <w:rPr>
                <w:color w:val="000000"/>
                <w:szCs w:val="21"/>
                <w:lang w:eastAsia="en-AU"/>
              </w:rPr>
              <w:t>rTOSS</w:t>
            </w:r>
            <w:proofErr w:type="spellEnd"/>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Reflective Total Ocular Symptom Score</w:t>
            </w:r>
          </w:p>
        </w:tc>
      </w:tr>
      <w:tr w:rsidR="00CD10C3" w:rsidTr="00D43979">
        <w:trPr>
          <w:trHeight w:val="810"/>
        </w:trPr>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S2</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Schedule 2 of the Standard for the Uniform Scheduling of Medicines and Poisons</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lastRenderedPageBreak/>
              <w:t>S4</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Schedule 4 of the Standard for the Uniform Scheduling of Medicines and Poisons</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SAE</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Serious adverse event</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SAR</w:t>
            </w:r>
          </w:p>
        </w:tc>
        <w:tc>
          <w:tcPr>
            <w:tcW w:w="7087" w:type="dxa"/>
            <w:shd w:val="clear" w:color="auto" w:fill="auto"/>
          </w:tcPr>
          <w:p w:rsidR="00CD10C3" w:rsidRPr="007647EF" w:rsidRDefault="00CD10C3" w:rsidP="007647EF">
            <w:pPr>
              <w:ind w:left="170" w:right="170"/>
              <w:rPr>
                <w:color w:val="000000"/>
                <w:szCs w:val="21"/>
                <w:lang w:eastAsia="ja-JP"/>
              </w:rPr>
            </w:pPr>
            <w:r w:rsidRPr="007647EF">
              <w:rPr>
                <w:color w:val="000000"/>
                <w:szCs w:val="21"/>
                <w:lang w:eastAsia="ja-JP"/>
              </w:rPr>
              <w:t>Seasonal allergic rhinitis</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r w:rsidRPr="007647EF">
              <w:rPr>
                <w:color w:val="000000"/>
                <w:szCs w:val="21"/>
                <w:lang w:eastAsia="en-AU"/>
              </w:rPr>
              <w:t>TGA</w:t>
            </w:r>
          </w:p>
        </w:tc>
        <w:tc>
          <w:tcPr>
            <w:tcW w:w="7087" w:type="dxa"/>
            <w:shd w:val="clear" w:color="auto" w:fill="auto"/>
          </w:tcPr>
          <w:p w:rsidR="00CD10C3" w:rsidRPr="007647EF" w:rsidRDefault="00EC23F4" w:rsidP="007647EF">
            <w:pPr>
              <w:ind w:left="170" w:right="170"/>
              <w:rPr>
                <w:color w:val="000000"/>
                <w:szCs w:val="21"/>
                <w:lang w:eastAsia="ja-JP"/>
              </w:rPr>
            </w:pPr>
            <w:r w:rsidRPr="007647EF">
              <w:rPr>
                <w:color w:val="000000"/>
                <w:szCs w:val="21"/>
                <w:lang w:eastAsia="ja-JP"/>
              </w:rPr>
              <w:t>Therapeutic Goods Administration</w:t>
            </w:r>
          </w:p>
        </w:tc>
      </w:tr>
      <w:tr w:rsidR="00CD10C3" w:rsidTr="007647EF">
        <w:tc>
          <w:tcPr>
            <w:tcW w:w="2235" w:type="dxa"/>
            <w:shd w:val="clear" w:color="auto" w:fill="auto"/>
          </w:tcPr>
          <w:p w:rsidR="00CD10C3" w:rsidRPr="007647EF" w:rsidRDefault="00CD10C3" w:rsidP="007647EF">
            <w:pPr>
              <w:ind w:left="170" w:right="170"/>
              <w:rPr>
                <w:color w:val="000000"/>
                <w:szCs w:val="21"/>
                <w:lang w:eastAsia="en-AU"/>
              </w:rPr>
            </w:pPr>
            <w:proofErr w:type="spellStart"/>
            <w:r w:rsidRPr="007647EF">
              <w:rPr>
                <w:color w:val="000000"/>
                <w:szCs w:val="21"/>
                <w:lang w:eastAsia="en-AU"/>
              </w:rPr>
              <w:t>T</w:t>
            </w:r>
            <w:r w:rsidRPr="007647EF">
              <w:rPr>
                <w:color w:val="000000"/>
                <w:szCs w:val="21"/>
                <w:vertAlign w:val="subscript"/>
                <w:lang w:eastAsia="en-AU"/>
              </w:rPr>
              <w:t>max</w:t>
            </w:r>
            <w:proofErr w:type="spellEnd"/>
          </w:p>
        </w:tc>
        <w:tc>
          <w:tcPr>
            <w:tcW w:w="7087" w:type="dxa"/>
            <w:shd w:val="clear" w:color="auto" w:fill="auto"/>
          </w:tcPr>
          <w:p w:rsidR="00CD10C3" w:rsidRPr="007647EF" w:rsidRDefault="00EC23F4" w:rsidP="007647EF">
            <w:pPr>
              <w:ind w:left="170" w:right="170"/>
              <w:rPr>
                <w:color w:val="000000"/>
                <w:szCs w:val="21"/>
                <w:lang w:eastAsia="ja-JP"/>
              </w:rPr>
            </w:pPr>
            <w:r w:rsidRPr="007647EF">
              <w:rPr>
                <w:color w:val="000000"/>
                <w:szCs w:val="21"/>
                <w:lang w:eastAsia="ja-JP"/>
              </w:rPr>
              <w:t>Time of maximum concentration</w:t>
            </w:r>
          </w:p>
        </w:tc>
      </w:tr>
    </w:tbl>
    <w:p w:rsidR="00EC23F4" w:rsidRDefault="00EC23F4" w:rsidP="00D43979">
      <w:pPr>
        <w:pStyle w:val="Heading2"/>
        <w:rPr>
          <w:lang w:eastAsia="en-AU"/>
        </w:rPr>
      </w:pPr>
      <w:bookmarkStart w:id="8" w:name="_Toc396903940"/>
      <w:bookmarkStart w:id="9" w:name="_Toc351718900"/>
      <w:bookmarkStart w:id="10" w:name="_Toc355338635"/>
      <w:r>
        <w:rPr>
          <w:lang w:eastAsia="en-AU"/>
        </w:rPr>
        <w:t>Introduction</w:t>
      </w:r>
      <w:bookmarkEnd w:id="8"/>
    </w:p>
    <w:p w:rsidR="00EC23F4" w:rsidRPr="00EC23F4" w:rsidRDefault="00EC23F4" w:rsidP="0091493B">
      <w:r w:rsidRPr="00EC23F4">
        <w:t xml:space="preserve">This is an abbreviated submission to register a new fixed dose combination of fluticasone propionate and </w:t>
      </w:r>
      <w:proofErr w:type="spellStart"/>
      <w:r w:rsidRPr="00EC23F4">
        <w:t>azelastine</w:t>
      </w:r>
      <w:proofErr w:type="spellEnd"/>
      <w:r w:rsidRPr="00EC23F4">
        <w:t xml:space="preserve"> hydrochloride, presented as a nasal spray, for the treatment of </w:t>
      </w:r>
      <w:r w:rsidR="00846A15">
        <w:t xml:space="preserve">moderate to severe </w:t>
      </w:r>
      <w:r w:rsidRPr="00EC23F4">
        <w:t>allergic rhinitis</w:t>
      </w:r>
      <w:r w:rsidR="00846A15">
        <w:t xml:space="preserve"> and rhino-conjunctivitis</w:t>
      </w:r>
      <w:r w:rsidRPr="00EC23F4">
        <w:t>.</w:t>
      </w:r>
    </w:p>
    <w:p w:rsidR="00EC23F4" w:rsidRPr="00EC23F4" w:rsidRDefault="00EC23F4" w:rsidP="0091493B">
      <w:r w:rsidRPr="00EC23F4">
        <w:t>Throughout the sponsor’s submission, and in many of the tables included in this report, the product is referred to by the codename MP29-02.</w:t>
      </w:r>
    </w:p>
    <w:p w:rsidR="00EC23F4" w:rsidRDefault="00EC23F4" w:rsidP="0091493B">
      <w:r w:rsidRPr="00EC23F4">
        <w:t xml:space="preserve">Fluticasone propionate is a glucocorticoid. </w:t>
      </w:r>
      <w:proofErr w:type="spellStart"/>
      <w:r w:rsidRPr="00EC23F4">
        <w:t>Azelastine</w:t>
      </w:r>
      <w:proofErr w:type="spellEnd"/>
      <w:r w:rsidRPr="00EC23F4">
        <w:t xml:space="preserve"> hydrochloride is a 2</w:t>
      </w:r>
      <w:r w:rsidRPr="00EC23F4">
        <w:rPr>
          <w:vertAlign w:val="superscript"/>
        </w:rPr>
        <w:t>nd</w:t>
      </w:r>
      <w:r w:rsidRPr="00EC23F4">
        <w:t xml:space="preserve"> generation (non-sedating) antihistamine, belonging to the </w:t>
      </w:r>
      <w:proofErr w:type="spellStart"/>
      <w:r w:rsidRPr="00EC23F4">
        <w:t>phthalazinone</w:t>
      </w:r>
      <w:proofErr w:type="spellEnd"/>
      <w:r w:rsidRPr="00EC23F4">
        <w:t xml:space="preserve"> class.</w:t>
      </w:r>
    </w:p>
    <w:p w:rsidR="00586F98" w:rsidRDefault="00586F98" w:rsidP="00D43979">
      <w:pPr>
        <w:pStyle w:val="Heading2"/>
      </w:pPr>
      <w:bookmarkStart w:id="11" w:name="_Toc396903941"/>
      <w:r>
        <w:t>Clinical rationale</w:t>
      </w:r>
      <w:bookmarkEnd w:id="11"/>
    </w:p>
    <w:p w:rsidR="00EC23F4" w:rsidRPr="00EC23F4" w:rsidRDefault="00EC23F4" w:rsidP="0091493B">
      <w:r w:rsidRPr="00EC23F4">
        <w:t>Allergic rhinitis/</w:t>
      </w:r>
      <w:proofErr w:type="spellStart"/>
      <w:r w:rsidRPr="00EC23F4">
        <w:t>rhinoconjunctivitis</w:t>
      </w:r>
      <w:proofErr w:type="spellEnd"/>
      <w:r w:rsidRPr="00EC23F4">
        <w:t xml:space="preserve"> is a very common disorder that affects approximately 20% of the Australian population.</w:t>
      </w:r>
      <w:r>
        <w:rPr>
          <w:rStyle w:val="FootnoteReference"/>
        </w:rPr>
        <w:footnoteReference w:id="1"/>
      </w:r>
      <w:r w:rsidRPr="00EC23F4">
        <w:t xml:space="preserve"> It is a disorder that occurs in individuals who have developed a type I hypersensitivity reaction to inhaled antigens. It has traditionally been classified into two forms – seasonal allergic rhinitis (SAR) and perennial allergic rhinitis (PAR) – depending on the timing of exposure to the precipitating allergen(s). SAR develops in response to allergens that only occur in certain seasons (</w:t>
      </w:r>
      <w:r>
        <w:t>for example</w:t>
      </w:r>
      <w:r w:rsidRPr="00EC23F4">
        <w:t xml:space="preserve"> pollens) whereas PAR develops in response to allergens that are present year-round (</w:t>
      </w:r>
      <w:r>
        <w:t xml:space="preserve">for example </w:t>
      </w:r>
      <w:r w:rsidR="0091493B">
        <w:t>dust mites, animal dander).</w:t>
      </w:r>
    </w:p>
    <w:p w:rsidR="00EC23F4" w:rsidRPr="00EC23F4" w:rsidRDefault="00EC23F4" w:rsidP="0091493B">
      <w:r w:rsidRPr="00EC23F4">
        <w:t>The ARIA (Allergic Rhinitis and i</w:t>
      </w:r>
      <w:r>
        <w:t>ts Impact on Asthma) guidelines</w:t>
      </w:r>
      <w:r>
        <w:rPr>
          <w:rStyle w:val="FootnoteReference"/>
        </w:rPr>
        <w:footnoteReference w:id="2"/>
      </w:r>
      <w:r w:rsidRPr="00EC23F4">
        <w:t xml:space="preserve"> are a contemporary set of evidence-based clinical guidelines for the treatment of allergic rhinitis, developed by international consensus. They no longer recommend use of the terms SAR and PAR, and instead classify the disease as either intermittent (occurring less than 4 days per week, or for less than 4 weeks at a time) or persistent (occurring more than 4 days per week, or for more than 4 weeks at a time).</w:t>
      </w:r>
    </w:p>
    <w:p w:rsidR="00EC23F4" w:rsidRPr="00EC23F4" w:rsidRDefault="00EC23F4" w:rsidP="0091493B">
      <w:r w:rsidRPr="00EC23F4">
        <w:t>Currently registered therapies for allergic rhinitis in Australia include the following:</w:t>
      </w:r>
    </w:p>
    <w:p w:rsidR="00EC23F4" w:rsidRPr="0091493B" w:rsidRDefault="00EC23F4" w:rsidP="00D43979">
      <w:pPr>
        <w:pStyle w:val="ListBullet"/>
      </w:pPr>
      <w:r w:rsidRPr="0091493B">
        <w:t xml:space="preserve">Topical decongestants such as </w:t>
      </w:r>
      <w:proofErr w:type="spellStart"/>
      <w:r w:rsidRPr="0091493B">
        <w:t>oxymetazoline</w:t>
      </w:r>
      <w:proofErr w:type="spellEnd"/>
      <w:r w:rsidRPr="0091493B">
        <w:t xml:space="preserve">, </w:t>
      </w:r>
      <w:proofErr w:type="spellStart"/>
      <w:r w:rsidRPr="0091493B">
        <w:t>xylometazoline</w:t>
      </w:r>
      <w:proofErr w:type="spellEnd"/>
      <w:r w:rsidRPr="0091493B">
        <w:t xml:space="preserve"> and phenylephrine nasal sprays, which are generally only </w:t>
      </w:r>
      <w:r w:rsidRPr="00D43979">
        <w:t>recommende</w:t>
      </w:r>
      <w:r w:rsidR="0091493B" w:rsidRPr="00D43979">
        <w:t>d</w:t>
      </w:r>
      <w:r w:rsidR="0091493B">
        <w:t xml:space="preserve"> for short term use (&lt; 1 week)</w:t>
      </w:r>
    </w:p>
    <w:p w:rsidR="00EC23F4" w:rsidRPr="0091493B" w:rsidRDefault="00EC23F4" w:rsidP="0091493B">
      <w:pPr>
        <w:pStyle w:val="ListBullet"/>
      </w:pPr>
      <w:r w:rsidRPr="0091493B">
        <w:t>Oral decongestants such as pseudoephedrine and phenyleph</w:t>
      </w:r>
      <w:r w:rsidR="0091493B">
        <w:t>rine</w:t>
      </w:r>
    </w:p>
    <w:p w:rsidR="00EC23F4" w:rsidRPr="0091493B" w:rsidRDefault="00EC23F4" w:rsidP="0091493B">
      <w:pPr>
        <w:pStyle w:val="ListBullet"/>
      </w:pPr>
      <w:r w:rsidRPr="0091493B">
        <w:lastRenderedPageBreak/>
        <w:t xml:space="preserve">Topical antihistamines such as </w:t>
      </w:r>
      <w:proofErr w:type="spellStart"/>
      <w:r w:rsidRPr="0091493B">
        <w:t>azelastine</w:t>
      </w:r>
      <w:proofErr w:type="spellEnd"/>
      <w:r w:rsidR="0091493B">
        <w:t xml:space="preserve"> and </w:t>
      </w:r>
      <w:proofErr w:type="spellStart"/>
      <w:r w:rsidR="0091493B">
        <w:t>levocabastine</w:t>
      </w:r>
      <w:proofErr w:type="spellEnd"/>
      <w:r w:rsidR="0091493B">
        <w:t xml:space="preserve"> nasal sprays</w:t>
      </w:r>
    </w:p>
    <w:p w:rsidR="00EC23F4" w:rsidRPr="0091493B" w:rsidRDefault="00EC23F4" w:rsidP="0091493B">
      <w:pPr>
        <w:pStyle w:val="ListBullet"/>
      </w:pPr>
      <w:r w:rsidRPr="0091493B">
        <w:t>Oral antihistamines, of which there are multiple formulations available in Australia, including first generation (sedating) and second g</w:t>
      </w:r>
      <w:r w:rsidR="0091493B">
        <w:t>eneration (non-sedating) agents</w:t>
      </w:r>
    </w:p>
    <w:p w:rsidR="00EC23F4" w:rsidRPr="0091493B" w:rsidRDefault="00EC23F4" w:rsidP="0091493B">
      <w:pPr>
        <w:pStyle w:val="ListBullet"/>
      </w:pPr>
      <w:r w:rsidRPr="0091493B">
        <w:t xml:space="preserve">Topical glucocorticoids including budesonide, fluticasone propionate, fluticasone </w:t>
      </w:r>
      <w:proofErr w:type="spellStart"/>
      <w:r w:rsidRPr="0091493B">
        <w:t>furoate</w:t>
      </w:r>
      <w:proofErr w:type="spellEnd"/>
      <w:r w:rsidRPr="0091493B">
        <w:t xml:space="preserve">, triamcinolone, </w:t>
      </w:r>
      <w:proofErr w:type="spellStart"/>
      <w:r w:rsidRPr="0091493B">
        <w:t>beclomethasone</w:t>
      </w:r>
      <w:proofErr w:type="spellEnd"/>
      <w:r w:rsidRPr="0091493B">
        <w:t xml:space="preserve">, </w:t>
      </w:r>
      <w:proofErr w:type="spellStart"/>
      <w:r w:rsidRPr="0091493B">
        <w:t>mometaso</w:t>
      </w:r>
      <w:r w:rsidR="0091493B">
        <w:t>ne</w:t>
      </w:r>
      <w:proofErr w:type="spellEnd"/>
      <w:r w:rsidR="0091493B">
        <w:t xml:space="preserve"> and </w:t>
      </w:r>
      <w:proofErr w:type="spellStart"/>
      <w:r w:rsidR="0091493B">
        <w:t>ciclesonide</w:t>
      </w:r>
      <w:proofErr w:type="spellEnd"/>
      <w:r w:rsidR="0091493B">
        <w:t xml:space="preserve"> nasal sprays</w:t>
      </w:r>
    </w:p>
    <w:p w:rsidR="00EC23F4" w:rsidRPr="0091493B" w:rsidRDefault="00EC23F4" w:rsidP="0091493B">
      <w:pPr>
        <w:pStyle w:val="ListBullet"/>
      </w:pPr>
      <w:r w:rsidRPr="0091493B">
        <w:t xml:space="preserve">Sodium </w:t>
      </w:r>
      <w:proofErr w:type="spellStart"/>
      <w:r w:rsidRPr="0091493B">
        <w:t>cromoglycate</w:t>
      </w:r>
      <w:proofErr w:type="spellEnd"/>
      <w:r w:rsidRPr="0091493B">
        <w:t xml:space="preserve"> nasal spray, which is indicated for the p</w:t>
      </w:r>
      <w:r w:rsidR="0091493B">
        <w:t>rophylaxis of allergic rhinitis</w:t>
      </w:r>
    </w:p>
    <w:p w:rsidR="00EC23F4" w:rsidRPr="0091493B" w:rsidRDefault="00EC23F4" w:rsidP="0091493B">
      <w:pPr>
        <w:pStyle w:val="ListBullet"/>
      </w:pPr>
      <w:r w:rsidRPr="0091493B">
        <w:t>Ipratropium nasal spray, which is indicated for the treatment of rhinorrhoea as</w:t>
      </w:r>
      <w:r w:rsidR="0091493B">
        <w:t>sociated with allergic rhinitis</w:t>
      </w:r>
    </w:p>
    <w:p w:rsidR="00EC23F4" w:rsidRPr="0091493B" w:rsidRDefault="00EC23F4" w:rsidP="0091493B">
      <w:pPr>
        <w:pStyle w:val="ListBullet"/>
      </w:pPr>
      <w:r w:rsidRPr="0091493B">
        <w:t>Immunotherapy, with repeated administration of specific allergen extracts, is generally reserved for subjects whose symptoms are not controlled with drug therapy.</w:t>
      </w:r>
    </w:p>
    <w:p w:rsidR="00EC23F4" w:rsidRPr="00EC23F4" w:rsidRDefault="00EC23F4" w:rsidP="0091493B">
      <w:r>
        <w:t xml:space="preserve">The two active ingredients of the proposed combination product are available as individual </w:t>
      </w:r>
      <w:r w:rsidRPr="00EC23F4">
        <w:t>nasal sprays in Australia.</w:t>
      </w:r>
    </w:p>
    <w:p w:rsidR="00EC23F4" w:rsidRPr="00EC23F4" w:rsidRDefault="00EC23F4" w:rsidP="0091493B">
      <w:r w:rsidRPr="00EC23F4">
        <w:t>The sponsor is seeking approval for use of the product in moderate to severe allergic rhinitis</w:t>
      </w:r>
      <w:r w:rsidR="00846A15">
        <w:t xml:space="preserve"> and rhino-conjunctivitis</w:t>
      </w:r>
      <w:r w:rsidRPr="00EC23F4">
        <w:t xml:space="preserve">. The ARIA guidelines recommend the use of intranasal glucocorticoids for the first line treatment of moderate to severe disease. Where control is not achieved, additional treatment (for example with an antihistamine) is recommended. The use of an antihistamine alone is only recommended for the treatment of mild, intermittent allergic rhinitis. It is likely that some of these patients would progress to moderate or severe disease and hence require the addition of an intranasal glucocorticoid. Hence the concomitant use of fluticasone and </w:t>
      </w:r>
      <w:proofErr w:type="spellStart"/>
      <w:r w:rsidRPr="00EC23F4">
        <w:t>azelastine</w:t>
      </w:r>
      <w:proofErr w:type="spellEnd"/>
      <w:r w:rsidRPr="00EC23F4">
        <w:t xml:space="preserve"> would be appropriate in a proportion of patients with allergic rhinitis.</w:t>
      </w:r>
    </w:p>
    <w:p w:rsidR="00EC23F4" w:rsidRPr="00EC23F4" w:rsidRDefault="00EC23F4" w:rsidP="0091493B">
      <w:r w:rsidRPr="00EC23F4">
        <w:t>Prior to submission of this application the sponsor submitted a justification for the fixed combination and this was accepted by the TGA.</w:t>
      </w:r>
    </w:p>
    <w:p w:rsidR="00EC23F4" w:rsidRPr="00EC23F4" w:rsidRDefault="00EC23F4" w:rsidP="0091493B">
      <w:r w:rsidRPr="00EC23F4">
        <w:t>There are currently no other registered fixed combination nasal sprays for allergic rhinitis. There are many registered OTC products for oral administration that combine an ant</w:t>
      </w:r>
      <w:r w:rsidR="0091493B">
        <w:t>ihistamine with a decongestant.</w:t>
      </w:r>
    </w:p>
    <w:p w:rsidR="00EC23F4" w:rsidRPr="00EC23F4" w:rsidRDefault="00EC23F4" w:rsidP="0091493B">
      <w:r w:rsidRPr="00EC23F4">
        <w:t xml:space="preserve">In Australia, any </w:t>
      </w:r>
      <w:proofErr w:type="spellStart"/>
      <w:r w:rsidRPr="00EC23F4">
        <w:t>azelastine</w:t>
      </w:r>
      <w:proofErr w:type="spellEnd"/>
      <w:r w:rsidRPr="00EC23F4">
        <w:t xml:space="preserve"> preparation for nasal use is available as an OTC (S2) product. A fluticasone nasal spray can also be an OTC (S2) product provided that it fulfils all of the following criteria:</w:t>
      </w:r>
    </w:p>
    <w:p w:rsidR="00EC23F4" w:rsidRPr="0091493B" w:rsidRDefault="00EC23F4" w:rsidP="0091493B">
      <w:pPr>
        <w:pStyle w:val="ListBullet"/>
      </w:pPr>
      <w:r w:rsidRPr="0091493B">
        <w:t>Each actuation delivers 50</w:t>
      </w:r>
      <w:r w:rsidR="007307C7" w:rsidRPr="0091493B">
        <w:t xml:space="preserve"> </w:t>
      </w:r>
      <w:r w:rsidR="009A0AB4" w:rsidRPr="0091493B">
        <w:t>mcg</w:t>
      </w:r>
      <w:r w:rsidR="0091493B">
        <w:t xml:space="preserve"> or less of fluticasone</w:t>
      </w:r>
    </w:p>
    <w:p w:rsidR="00EC23F4" w:rsidRPr="0091493B" w:rsidRDefault="00EC23F4" w:rsidP="0091493B">
      <w:pPr>
        <w:pStyle w:val="ListBullet"/>
      </w:pPr>
      <w:r w:rsidRPr="0091493B">
        <w:t>The maximum recommended daily dose is no greater than 400</w:t>
      </w:r>
      <w:r w:rsidR="007307C7" w:rsidRPr="0091493B">
        <w:t xml:space="preserve"> </w:t>
      </w:r>
      <w:r w:rsidR="009A0AB4" w:rsidRPr="0091493B">
        <w:t>mcg</w:t>
      </w:r>
    </w:p>
    <w:p w:rsidR="00EC23F4" w:rsidRPr="0091493B" w:rsidRDefault="00EC23F4" w:rsidP="0091493B">
      <w:pPr>
        <w:pStyle w:val="ListBullet"/>
      </w:pPr>
      <w:r w:rsidRPr="0091493B">
        <w:t xml:space="preserve">The pack </w:t>
      </w:r>
      <w:r w:rsidR="0091493B">
        <w:t>contains 200 actuations or less</w:t>
      </w:r>
    </w:p>
    <w:p w:rsidR="00EC23F4" w:rsidRPr="0091493B" w:rsidRDefault="00EC23F4" w:rsidP="0091493B">
      <w:pPr>
        <w:pStyle w:val="ListBullet"/>
      </w:pPr>
      <w:r w:rsidRPr="0091493B">
        <w:t>The indication is for the prophylaxis or</w:t>
      </w:r>
      <w:r w:rsidR="0091493B">
        <w:t xml:space="preserve"> treatment of allergic rhinitis</w:t>
      </w:r>
    </w:p>
    <w:p w:rsidR="00EC23F4" w:rsidRPr="0091493B" w:rsidRDefault="00EC23F4" w:rsidP="0091493B">
      <w:pPr>
        <w:pStyle w:val="ListBullet"/>
      </w:pPr>
      <w:r w:rsidRPr="0091493B">
        <w:t xml:space="preserve">The proposed population is adults and </w:t>
      </w:r>
      <w:r w:rsidR="0091493B">
        <w:t>children aged 12 years and over</w:t>
      </w:r>
    </w:p>
    <w:p w:rsidR="00EC23F4" w:rsidRPr="0091493B" w:rsidRDefault="00EC23F4" w:rsidP="0091493B">
      <w:pPr>
        <w:pStyle w:val="ListBullet"/>
      </w:pPr>
      <w:r w:rsidRPr="0091493B">
        <w:t>The proposed duration of use is no more than 6 months.</w:t>
      </w:r>
    </w:p>
    <w:p w:rsidR="00EC23F4" w:rsidRDefault="00EC23F4" w:rsidP="0091493B">
      <w:r>
        <w:t>The product that is the subject of this application fulfils all these criteria except the last. The sponsor seeks to have no limit applied to the duration of use and hence the product will be prescription only if approved.</w:t>
      </w:r>
    </w:p>
    <w:p w:rsidR="00EC23F4" w:rsidRDefault="00EC23F4" w:rsidP="0091493B">
      <w:pPr>
        <w:pStyle w:val="Heading3"/>
      </w:pPr>
      <w:bookmarkStart w:id="12" w:name="_Toc396903942"/>
      <w:r>
        <w:t>Formulation</w:t>
      </w:r>
      <w:bookmarkEnd w:id="12"/>
    </w:p>
    <w:p w:rsidR="00EC23F4" w:rsidRDefault="00243DEB" w:rsidP="0091493B">
      <w:r>
        <w:t>At the time of evaluation by the Clinical Evaluator, i</w:t>
      </w:r>
      <w:r w:rsidR="00EC23F4" w:rsidRPr="00EC23F4">
        <w:t>t was not clear from the submission whether the formulation proposed for registration in Australia is the same as that used in the submitted clinical trials. The sponsor should be asked to comment on this point.</w:t>
      </w:r>
    </w:p>
    <w:p w:rsidR="00EC23F4" w:rsidRDefault="00EC23F4" w:rsidP="0091493B">
      <w:pPr>
        <w:pStyle w:val="Heading3"/>
      </w:pPr>
      <w:bookmarkStart w:id="13" w:name="_Toc396903943"/>
      <w:r>
        <w:lastRenderedPageBreak/>
        <w:t>Guidance</w:t>
      </w:r>
      <w:bookmarkEnd w:id="13"/>
    </w:p>
    <w:p w:rsidR="00EC23F4" w:rsidRPr="00EC23F4" w:rsidRDefault="00EC23F4" w:rsidP="0091493B">
      <w:r w:rsidRPr="00EC23F4">
        <w:t>The following regulatory guidelines, published by the European Medicines Agency (EMA) and adopted by the TGA, are relevant to the current submission:</w:t>
      </w:r>
    </w:p>
    <w:p w:rsidR="00EC23F4" w:rsidRPr="00EC23F4" w:rsidRDefault="00EC23F4" w:rsidP="00EC23F4">
      <w:pPr>
        <w:pStyle w:val="ListBullet"/>
      </w:pPr>
      <w:r w:rsidRPr="00EC23F4">
        <w:t>Guideline On The Clinical Development Of Medicinal Products For The Treatment O</w:t>
      </w:r>
      <w:r>
        <w:t xml:space="preserve">f Allergic </w:t>
      </w:r>
      <w:proofErr w:type="spellStart"/>
      <w:r>
        <w:t>Rhinoconjunctivitis</w:t>
      </w:r>
      <w:proofErr w:type="spellEnd"/>
      <w:r>
        <w:rPr>
          <w:rStyle w:val="FootnoteReference"/>
        </w:rPr>
        <w:footnoteReference w:id="3"/>
      </w:r>
    </w:p>
    <w:p w:rsidR="00EC23F4" w:rsidRPr="00EC23F4" w:rsidRDefault="00EC23F4" w:rsidP="00EC23F4">
      <w:pPr>
        <w:pStyle w:val="ListBullet"/>
      </w:pPr>
      <w:r w:rsidRPr="00EC23F4">
        <w:t>Guideline On Clinical Development Of Fixed C</w:t>
      </w:r>
      <w:r>
        <w:t>ombination Medicinal Products</w:t>
      </w:r>
      <w:r>
        <w:rPr>
          <w:rStyle w:val="FootnoteReference"/>
        </w:rPr>
        <w:footnoteReference w:id="4"/>
      </w:r>
    </w:p>
    <w:p w:rsidR="00EC23F4" w:rsidRDefault="00EC23F4" w:rsidP="00EC23F4">
      <w:pPr>
        <w:pStyle w:val="ListBullet"/>
        <w:rPr>
          <w:lang w:eastAsia="ja-JP"/>
        </w:rPr>
      </w:pPr>
      <w:r>
        <w:rPr>
          <w:lang w:eastAsia="ja-JP"/>
        </w:rPr>
        <w:t>Clinical Requirements For Locally Applied, Locally Acting Products, Containing Known Constituents.</w:t>
      </w:r>
      <w:r>
        <w:rPr>
          <w:rStyle w:val="FootnoteReference"/>
          <w:lang w:eastAsia="ja-JP"/>
        </w:rPr>
        <w:footnoteReference w:id="5"/>
      </w:r>
    </w:p>
    <w:p w:rsidR="00EC23F4" w:rsidRPr="00EC23F4" w:rsidRDefault="00EC23F4" w:rsidP="0091493B">
      <w:pPr>
        <w:rPr>
          <w:lang w:eastAsia="ja-JP"/>
        </w:rPr>
      </w:pPr>
      <w:r>
        <w:rPr>
          <w:lang w:eastAsia="ja-JP"/>
        </w:rPr>
        <w:t>Compliance with these guidelines will be discussed in this report where appropriate.</w:t>
      </w:r>
    </w:p>
    <w:p w:rsidR="00586F98" w:rsidRDefault="00586F98" w:rsidP="0091493B">
      <w:pPr>
        <w:pStyle w:val="Heading2"/>
        <w:rPr>
          <w:lang w:eastAsia="en-AU"/>
        </w:rPr>
      </w:pPr>
      <w:bookmarkStart w:id="14" w:name="_Toc396903944"/>
      <w:r>
        <w:rPr>
          <w:lang w:eastAsia="en-AU"/>
        </w:rPr>
        <w:t>Contents of the clinical dossier</w:t>
      </w:r>
      <w:bookmarkEnd w:id="9"/>
      <w:bookmarkEnd w:id="10"/>
      <w:bookmarkEnd w:id="14"/>
    </w:p>
    <w:p w:rsidR="00586F98" w:rsidRDefault="00586F98" w:rsidP="0091493B">
      <w:pPr>
        <w:pStyle w:val="Heading3"/>
      </w:pPr>
      <w:bookmarkStart w:id="15" w:name="_Toc396903945"/>
      <w:r>
        <w:t>Scope of the clinical dossier</w:t>
      </w:r>
      <w:bookmarkEnd w:id="15"/>
    </w:p>
    <w:p w:rsidR="009A0AB4" w:rsidRPr="009A0AB4" w:rsidRDefault="009A0AB4" w:rsidP="0091493B">
      <w:r w:rsidRPr="009A0AB4">
        <w:t>The clinical dossier documented a development program that included pharmacokinetic studies and efficacy and safety studies.</w:t>
      </w:r>
    </w:p>
    <w:p w:rsidR="009A0AB4" w:rsidRPr="009A0AB4" w:rsidRDefault="009A0AB4" w:rsidP="0091493B">
      <w:r w:rsidRPr="009A0AB4">
        <w:t>The submission contained the following clinical information:</w:t>
      </w:r>
    </w:p>
    <w:p w:rsidR="009A0AB4" w:rsidRPr="0091493B" w:rsidRDefault="009A0AB4" w:rsidP="0091493B">
      <w:pPr>
        <w:pStyle w:val="ListBullet"/>
      </w:pPr>
      <w:r w:rsidRPr="0091493B">
        <w:t>2 clinical pharmacology studies that provided pharmacokinetic data.</w:t>
      </w:r>
    </w:p>
    <w:p w:rsidR="009A0AB4" w:rsidRPr="0091493B" w:rsidRDefault="009A0AB4" w:rsidP="0091493B">
      <w:pPr>
        <w:pStyle w:val="ListBullet"/>
      </w:pPr>
      <w:r w:rsidRPr="0091493B">
        <w:t>1 pivotal efficacy/safety study.</w:t>
      </w:r>
    </w:p>
    <w:p w:rsidR="009A0AB4" w:rsidRPr="0091493B" w:rsidRDefault="009A0AB4" w:rsidP="0091493B">
      <w:pPr>
        <w:pStyle w:val="ListBullet"/>
      </w:pPr>
      <w:r w:rsidRPr="0091493B">
        <w:t>3 other supportive efficacy/safety studies.</w:t>
      </w:r>
    </w:p>
    <w:p w:rsidR="009A0AB4" w:rsidRPr="0091493B" w:rsidRDefault="009A0AB4" w:rsidP="0091493B">
      <w:pPr>
        <w:pStyle w:val="ListBullet"/>
      </w:pPr>
      <w:r w:rsidRPr="0091493B">
        <w:t>1 study that specifically examined long-term safety.</w:t>
      </w:r>
    </w:p>
    <w:p w:rsidR="009A0AB4" w:rsidRPr="0091493B" w:rsidRDefault="009A0AB4" w:rsidP="0091493B">
      <w:pPr>
        <w:pStyle w:val="ListBullet"/>
      </w:pPr>
      <w:r w:rsidRPr="0091493B">
        <w:t>Pooled analyses of efficacy, and an Integrated Summary of Safety.</w:t>
      </w:r>
    </w:p>
    <w:p w:rsidR="009A0AB4" w:rsidRPr="0091493B" w:rsidRDefault="009A0AB4" w:rsidP="0091493B">
      <w:pPr>
        <w:pStyle w:val="ListBullet"/>
      </w:pPr>
      <w:r w:rsidRPr="0091493B">
        <w:t xml:space="preserve">The sponsors Clinical Overview, </w:t>
      </w:r>
      <w:r w:rsidR="00846A15" w:rsidRPr="0091493B">
        <w:t xml:space="preserve">Summary of </w:t>
      </w:r>
      <w:proofErr w:type="spellStart"/>
      <w:r w:rsidR="00846A15" w:rsidRPr="0091493B">
        <w:t>Biopharmaceutics</w:t>
      </w:r>
      <w:proofErr w:type="spellEnd"/>
      <w:r w:rsidR="00846A15" w:rsidRPr="0091493B">
        <w:t xml:space="preserve">, </w:t>
      </w:r>
      <w:r w:rsidRPr="0091493B">
        <w:t>Summary of Clinical Pharmacology, Summary of Clinical Efficacy, Summary of Clinical Safety and literature references.</w:t>
      </w:r>
    </w:p>
    <w:p w:rsidR="00586F98" w:rsidRDefault="00586F98" w:rsidP="0091493B">
      <w:pPr>
        <w:pStyle w:val="Heading3"/>
      </w:pPr>
      <w:bookmarkStart w:id="16" w:name="_Toc396903946"/>
      <w:r>
        <w:t>Paediatric data</w:t>
      </w:r>
      <w:bookmarkEnd w:id="16"/>
    </w:p>
    <w:p w:rsidR="009A0AB4" w:rsidRPr="009A0AB4" w:rsidRDefault="009A0AB4" w:rsidP="0091493B">
      <w:r w:rsidRPr="009A0AB4">
        <w:t xml:space="preserve">Allergic rhinitis occurs commonly in children. Fluticasone propionate nasal spray (the S4 version of </w:t>
      </w:r>
      <w:proofErr w:type="spellStart"/>
      <w:r w:rsidRPr="009A0AB4">
        <w:t>Flixonase</w:t>
      </w:r>
      <w:proofErr w:type="spellEnd"/>
      <w:r w:rsidRPr="009A0AB4">
        <w:t xml:space="preserve">) is approved in Australia for use in children aged 4 years and over. </w:t>
      </w:r>
      <w:proofErr w:type="spellStart"/>
      <w:r w:rsidRPr="009A0AB4">
        <w:t>Azelastine</w:t>
      </w:r>
      <w:proofErr w:type="spellEnd"/>
      <w:r w:rsidRPr="009A0AB4">
        <w:t xml:space="preserve"> hydrochloride nasal spray (</w:t>
      </w:r>
      <w:proofErr w:type="spellStart"/>
      <w:r w:rsidRPr="009A0AB4">
        <w:t>Azep</w:t>
      </w:r>
      <w:proofErr w:type="spellEnd"/>
      <w:r w:rsidRPr="009A0AB4">
        <w:t>) is approved in Australia for use in children aged 5 years and over.</w:t>
      </w:r>
    </w:p>
    <w:p w:rsidR="009A0AB4" w:rsidRPr="009A0AB4" w:rsidRDefault="009A0AB4" w:rsidP="0091493B">
      <w:r w:rsidRPr="009A0AB4">
        <w:t>The sponsor has not provided any clinical data on the use of the proposed fixed combination product in children under the age of 12 years and the proposed indication restricts use of the product to patients aged 12 years and over. No justification was provided for omitting children under the age of 1</w:t>
      </w:r>
      <w:r w:rsidR="0091493B">
        <w:t>2 from the development program.</w:t>
      </w:r>
    </w:p>
    <w:p w:rsidR="009A0AB4" w:rsidRPr="009A0AB4" w:rsidRDefault="009A0AB4" w:rsidP="0091493B">
      <w:r w:rsidRPr="009A0AB4">
        <w:t xml:space="preserve">The EMA granted a waiver for the development of the product in children aged between 2 and 11 years on the grounds that the product does not represent a significant therapeutic benefit over existing </w:t>
      </w:r>
      <w:r>
        <w:t>treatments</w:t>
      </w:r>
      <w:r w:rsidR="00976D1C">
        <w:t xml:space="preserve"> in this patient group</w:t>
      </w:r>
      <w:r w:rsidRPr="009A0AB4">
        <w:t>.</w:t>
      </w:r>
      <w:r>
        <w:rPr>
          <w:rStyle w:val="FootnoteReference"/>
        </w:rPr>
        <w:footnoteReference w:id="6"/>
      </w:r>
    </w:p>
    <w:p w:rsidR="009A0AB4" w:rsidRDefault="009A0AB4" w:rsidP="009C08B8">
      <w:pPr>
        <w:ind w:left="709"/>
      </w:pPr>
      <w:r w:rsidRPr="0091493B">
        <w:rPr>
          <w:b/>
        </w:rPr>
        <w:lastRenderedPageBreak/>
        <w:t>Comment</w:t>
      </w:r>
      <w:r>
        <w:t xml:space="preserve">: </w:t>
      </w:r>
      <w:r w:rsidRPr="009A0AB4">
        <w:t>This reviewer agrees with EMA’s assessment that this product does not represent a significant advance over available therapies (</w:t>
      </w:r>
      <w:r>
        <w:t>that is</w:t>
      </w:r>
      <w:r w:rsidRPr="009A0AB4">
        <w:t xml:space="preserve"> the two single agents administered separately). The lack of clinical data in subjects aged less than 12 years is not</w:t>
      </w:r>
      <w:r w:rsidR="0091493B">
        <w:t xml:space="preserve"> considered a major deficiency.</w:t>
      </w:r>
    </w:p>
    <w:p w:rsidR="00586F98" w:rsidRDefault="00586F98" w:rsidP="0091493B">
      <w:pPr>
        <w:pStyle w:val="Heading3"/>
      </w:pPr>
      <w:bookmarkStart w:id="17" w:name="_Toc396903947"/>
      <w:r>
        <w:t>Good clinical practice</w:t>
      </w:r>
      <w:bookmarkEnd w:id="17"/>
    </w:p>
    <w:p w:rsidR="009A0AB4" w:rsidRPr="009A0AB4" w:rsidRDefault="009A0AB4" w:rsidP="0091493B">
      <w:bookmarkStart w:id="18" w:name="_Toc355338639"/>
      <w:r w:rsidRPr="009A0AB4">
        <w:t>For each clinical study included in the dossier the sponsor gave assurances that the study was conducted in accordance with the International Conference of Harmonisation (ICH) Harmonised Tripartite Guideline for Good Clinical Practice (GCP) and in accordance with the Declaration of Helsinki.</w:t>
      </w:r>
    </w:p>
    <w:p w:rsidR="00586F98" w:rsidRDefault="00586F98" w:rsidP="0091493B">
      <w:pPr>
        <w:pStyle w:val="Heading2"/>
      </w:pPr>
      <w:bookmarkStart w:id="19" w:name="_Toc396903948"/>
      <w:r>
        <w:t>Pharmacokinetics</w:t>
      </w:r>
      <w:bookmarkEnd w:id="18"/>
      <w:bookmarkEnd w:id="19"/>
    </w:p>
    <w:p w:rsidR="009A0AB4" w:rsidRDefault="009A0AB4" w:rsidP="0091493B">
      <w:pPr>
        <w:pStyle w:val="Heading3"/>
      </w:pPr>
      <w:bookmarkStart w:id="20" w:name="_Toc396903949"/>
      <w:r>
        <w:t>Studies providing pharmacokinetic data</w:t>
      </w:r>
      <w:bookmarkEnd w:id="20"/>
    </w:p>
    <w:p w:rsidR="009A0AB4" w:rsidRDefault="009A0AB4" w:rsidP="0091493B">
      <w:r>
        <w:t xml:space="preserve">The submission included two studies that examined the effect of the fixed combination nasal spray on the systemic PK of fluticasone and </w:t>
      </w:r>
      <w:proofErr w:type="spellStart"/>
      <w:r>
        <w:t>azelastine</w:t>
      </w:r>
      <w:proofErr w:type="spellEnd"/>
      <w:r>
        <w:t xml:space="preserve"> respectively. Table 1 shows the studies relating to each pharmacokinetic topic and the location of each study summary.</w:t>
      </w:r>
    </w:p>
    <w:p w:rsidR="009A0AB4" w:rsidRDefault="009A0AB4" w:rsidP="000020FA">
      <w:pPr>
        <w:pStyle w:val="TableTitle"/>
      </w:pPr>
      <w:proofErr w:type="gramStart"/>
      <w:r>
        <w:t>Table 1.</w:t>
      </w:r>
      <w:proofErr w:type="gramEnd"/>
      <w:r>
        <w:t xml:space="preserve"> </w:t>
      </w:r>
      <w:proofErr w:type="gramStart"/>
      <w:r>
        <w:t xml:space="preserve">Submitted </w:t>
      </w:r>
      <w:r w:rsidRPr="000020FA">
        <w:t>pharmacokinetic</w:t>
      </w:r>
      <w:r>
        <w:t xml:space="preserve"> studies.</w:t>
      </w:r>
      <w:proofErr w:type="gramEnd"/>
    </w:p>
    <w:tbl>
      <w:tblPr>
        <w:tblStyle w:val="TableTGAblue"/>
        <w:tblW w:w="8330" w:type="dxa"/>
        <w:tblLayout w:type="fixed"/>
        <w:tblLook w:val="04A0" w:firstRow="1" w:lastRow="0" w:firstColumn="1" w:lastColumn="0" w:noHBand="0" w:noVBand="1"/>
      </w:tblPr>
      <w:tblGrid>
        <w:gridCol w:w="1668"/>
        <w:gridCol w:w="3685"/>
        <w:gridCol w:w="2126"/>
        <w:gridCol w:w="851"/>
      </w:tblGrid>
      <w:tr w:rsidR="007647EF" w:rsidRPr="008625DD" w:rsidTr="00914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A0AB4" w:rsidRPr="007647EF" w:rsidRDefault="009A0AB4" w:rsidP="0091493B">
            <w:pPr>
              <w:ind w:left="0"/>
              <w:rPr>
                <w:lang w:eastAsia="en-AU"/>
              </w:rPr>
            </w:pPr>
            <w:r w:rsidRPr="007647EF">
              <w:rPr>
                <w:lang w:eastAsia="en-AU"/>
              </w:rPr>
              <w:t>PK topic</w:t>
            </w:r>
          </w:p>
        </w:tc>
        <w:tc>
          <w:tcPr>
            <w:tcW w:w="3685" w:type="dxa"/>
          </w:tcPr>
          <w:p w:rsidR="009A0AB4" w:rsidRPr="007647EF" w:rsidRDefault="009A0AB4" w:rsidP="0091493B">
            <w:pPr>
              <w:ind w:left="0"/>
              <w:cnfStyle w:val="100000000000" w:firstRow="1" w:lastRow="0" w:firstColumn="0" w:lastColumn="0" w:oddVBand="0" w:evenVBand="0" w:oddHBand="0" w:evenHBand="0" w:firstRowFirstColumn="0" w:firstRowLastColumn="0" w:lastRowFirstColumn="0" w:lastRowLastColumn="0"/>
              <w:rPr>
                <w:lang w:eastAsia="en-AU"/>
              </w:rPr>
            </w:pPr>
            <w:r w:rsidRPr="007647EF">
              <w:rPr>
                <w:lang w:eastAsia="en-AU"/>
              </w:rPr>
              <w:t>Subtopic</w:t>
            </w:r>
          </w:p>
        </w:tc>
        <w:tc>
          <w:tcPr>
            <w:tcW w:w="2126" w:type="dxa"/>
          </w:tcPr>
          <w:p w:rsidR="009A0AB4" w:rsidRPr="007647EF" w:rsidRDefault="009A0AB4" w:rsidP="0091493B">
            <w:pPr>
              <w:ind w:left="34"/>
              <w:cnfStyle w:val="100000000000" w:firstRow="1" w:lastRow="0" w:firstColumn="0" w:lastColumn="0" w:oddVBand="0" w:evenVBand="0" w:oddHBand="0" w:evenHBand="0" w:firstRowFirstColumn="0" w:firstRowLastColumn="0" w:lastRowFirstColumn="0" w:lastRowLastColumn="0"/>
              <w:rPr>
                <w:lang w:eastAsia="en-AU"/>
              </w:rPr>
            </w:pPr>
            <w:r w:rsidRPr="007647EF">
              <w:rPr>
                <w:lang w:eastAsia="en-AU"/>
              </w:rPr>
              <w:t>Study ID</w:t>
            </w:r>
          </w:p>
        </w:tc>
        <w:tc>
          <w:tcPr>
            <w:tcW w:w="851" w:type="dxa"/>
          </w:tcPr>
          <w:p w:rsidR="009A0AB4" w:rsidRPr="007647EF" w:rsidRDefault="009A0AB4" w:rsidP="0091493B">
            <w:pPr>
              <w:cnfStyle w:val="100000000000" w:firstRow="1" w:lastRow="0" w:firstColumn="0" w:lastColumn="0" w:oddVBand="0" w:evenVBand="0" w:oddHBand="0" w:evenHBand="0" w:firstRowFirstColumn="0" w:firstRowLastColumn="0" w:lastRowFirstColumn="0" w:lastRowLastColumn="0"/>
              <w:rPr>
                <w:lang w:eastAsia="en-AU"/>
              </w:rPr>
            </w:pPr>
            <w:r w:rsidRPr="007647EF">
              <w:rPr>
                <w:lang w:eastAsia="en-AU"/>
              </w:rPr>
              <w:t>*</w:t>
            </w:r>
          </w:p>
        </w:tc>
      </w:tr>
      <w:tr w:rsidR="007647EF" w:rsidRPr="000800CC" w:rsidTr="0091493B">
        <w:trPr>
          <w:trHeight w:val="444"/>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9A0AB4" w:rsidRPr="007647EF" w:rsidRDefault="009A0AB4" w:rsidP="0091493B">
            <w:pPr>
              <w:ind w:left="0"/>
              <w:rPr>
                <w:b/>
                <w:lang w:eastAsia="en-AU"/>
              </w:rPr>
            </w:pPr>
            <w:r w:rsidRPr="007647EF">
              <w:rPr>
                <w:b/>
                <w:lang w:eastAsia="en-AU"/>
              </w:rPr>
              <w:t>PK interactions</w:t>
            </w:r>
          </w:p>
        </w:tc>
        <w:tc>
          <w:tcPr>
            <w:tcW w:w="3685" w:type="dxa"/>
          </w:tcPr>
          <w:p w:rsidR="009A0AB4" w:rsidRPr="007647EF" w:rsidRDefault="009A0AB4" w:rsidP="0091493B">
            <w:pPr>
              <w:ind w:left="0"/>
              <w:cnfStyle w:val="000000000000" w:firstRow="0" w:lastRow="0" w:firstColumn="0" w:lastColumn="0" w:oddVBand="0" w:evenVBand="0" w:oddHBand="0" w:evenHBand="0" w:firstRowFirstColumn="0" w:firstRowLastColumn="0" w:lastRowFirstColumn="0" w:lastRowLastColumn="0"/>
              <w:rPr>
                <w:lang w:eastAsia="en-AU"/>
              </w:rPr>
            </w:pPr>
            <w:r w:rsidRPr="007647EF">
              <w:rPr>
                <w:lang w:eastAsia="en-AU"/>
              </w:rPr>
              <w:t xml:space="preserve">Effects of </w:t>
            </w:r>
            <w:proofErr w:type="spellStart"/>
            <w:r w:rsidRPr="007647EF">
              <w:rPr>
                <w:lang w:eastAsia="en-AU"/>
              </w:rPr>
              <w:t>azelastine</w:t>
            </w:r>
            <w:proofErr w:type="spellEnd"/>
            <w:r w:rsidRPr="007647EF">
              <w:rPr>
                <w:lang w:eastAsia="en-AU"/>
              </w:rPr>
              <w:t xml:space="preserve"> on systemic fluticasone PK</w:t>
            </w:r>
          </w:p>
        </w:tc>
        <w:tc>
          <w:tcPr>
            <w:tcW w:w="2126" w:type="dxa"/>
          </w:tcPr>
          <w:p w:rsidR="009A0AB4" w:rsidRPr="007647EF" w:rsidRDefault="009A0AB4" w:rsidP="0091493B">
            <w:pPr>
              <w:ind w:left="34"/>
              <w:cnfStyle w:val="000000000000" w:firstRow="0" w:lastRow="0" w:firstColumn="0" w:lastColumn="0" w:oddVBand="0" w:evenVBand="0" w:oddHBand="0" w:evenHBand="0" w:firstRowFirstColumn="0" w:firstRowLastColumn="0" w:lastRowFirstColumn="0" w:lastRowLastColumn="0"/>
              <w:rPr>
                <w:lang w:eastAsia="en-AU"/>
              </w:rPr>
            </w:pPr>
            <w:r w:rsidRPr="007647EF">
              <w:rPr>
                <w:lang w:eastAsia="en-AU"/>
              </w:rPr>
              <w:t>3282</w:t>
            </w:r>
          </w:p>
        </w:tc>
        <w:tc>
          <w:tcPr>
            <w:tcW w:w="851" w:type="dxa"/>
          </w:tcPr>
          <w:p w:rsidR="009A0AB4" w:rsidRPr="007647EF" w:rsidRDefault="009A0AB4" w:rsidP="0091493B">
            <w:pPr>
              <w:cnfStyle w:val="000000000000" w:firstRow="0" w:lastRow="0" w:firstColumn="0" w:lastColumn="0" w:oddVBand="0" w:evenVBand="0" w:oddHBand="0" w:evenHBand="0" w:firstRowFirstColumn="0" w:firstRowLastColumn="0" w:lastRowFirstColumn="0" w:lastRowLastColumn="0"/>
              <w:rPr>
                <w:lang w:eastAsia="en-AU"/>
              </w:rPr>
            </w:pPr>
            <w:r w:rsidRPr="007647EF">
              <w:rPr>
                <w:lang w:eastAsia="en-AU"/>
              </w:rPr>
              <w:t>*</w:t>
            </w:r>
          </w:p>
        </w:tc>
      </w:tr>
      <w:tr w:rsidR="007647EF" w:rsidRPr="000800CC" w:rsidTr="0091493B">
        <w:tc>
          <w:tcPr>
            <w:cnfStyle w:val="001000000000" w:firstRow="0" w:lastRow="0" w:firstColumn="1" w:lastColumn="0" w:oddVBand="0" w:evenVBand="0" w:oddHBand="0" w:evenHBand="0" w:firstRowFirstColumn="0" w:firstRowLastColumn="0" w:lastRowFirstColumn="0" w:lastRowLastColumn="0"/>
            <w:tcW w:w="1668" w:type="dxa"/>
            <w:vMerge/>
          </w:tcPr>
          <w:p w:rsidR="009A0AB4" w:rsidRPr="007647EF" w:rsidRDefault="009A0AB4" w:rsidP="0091493B">
            <w:pPr>
              <w:ind w:left="0"/>
              <w:rPr>
                <w:lang w:eastAsia="en-AU"/>
              </w:rPr>
            </w:pPr>
          </w:p>
        </w:tc>
        <w:tc>
          <w:tcPr>
            <w:tcW w:w="3685" w:type="dxa"/>
          </w:tcPr>
          <w:p w:rsidR="009A0AB4" w:rsidRPr="007647EF" w:rsidRDefault="009A0AB4" w:rsidP="0091493B">
            <w:pPr>
              <w:ind w:left="0"/>
              <w:cnfStyle w:val="000000000000" w:firstRow="0" w:lastRow="0" w:firstColumn="0" w:lastColumn="0" w:oddVBand="0" w:evenVBand="0" w:oddHBand="0" w:evenHBand="0" w:firstRowFirstColumn="0" w:firstRowLastColumn="0" w:lastRowFirstColumn="0" w:lastRowLastColumn="0"/>
              <w:rPr>
                <w:lang w:eastAsia="en-AU"/>
              </w:rPr>
            </w:pPr>
            <w:r w:rsidRPr="007647EF">
              <w:rPr>
                <w:lang w:eastAsia="en-AU"/>
              </w:rPr>
              <w:t xml:space="preserve">Effects of fluticasone on systemic </w:t>
            </w:r>
            <w:proofErr w:type="spellStart"/>
            <w:r w:rsidRPr="007647EF">
              <w:rPr>
                <w:lang w:eastAsia="en-AU"/>
              </w:rPr>
              <w:t>azelastine</w:t>
            </w:r>
            <w:proofErr w:type="spellEnd"/>
            <w:r w:rsidRPr="007647EF">
              <w:rPr>
                <w:lang w:eastAsia="en-AU"/>
              </w:rPr>
              <w:t xml:space="preserve"> PK</w:t>
            </w:r>
          </w:p>
        </w:tc>
        <w:tc>
          <w:tcPr>
            <w:tcW w:w="2126" w:type="dxa"/>
          </w:tcPr>
          <w:p w:rsidR="009A0AB4" w:rsidRPr="007647EF" w:rsidRDefault="009A0AB4" w:rsidP="0091493B">
            <w:pPr>
              <w:ind w:left="34"/>
              <w:cnfStyle w:val="000000000000" w:firstRow="0" w:lastRow="0" w:firstColumn="0" w:lastColumn="0" w:oddVBand="0" w:evenVBand="0" w:oddHBand="0" w:evenHBand="0" w:firstRowFirstColumn="0" w:firstRowLastColumn="0" w:lastRowFirstColumn="0" w:lastRowLastColumn="0"/>
              <w:rPr>
                <w:lang w:eastAsia="en-AU"/>
              </w:rPr>
            </w:pPr>
            <w:r w:rsidRPr="007647EF">
              <w:rPr>
                <w:lang w:eastAsia="en-AU"/>
              </w:rPr>
              <w:t>3283</w:t>
            </w:r>
          </w:p>
        </w:tc>
        <w:tc>
          <w:tcPr>
            <w:tcW w:w="851" w:type="dxa"/>
          </w:tcPr>
          <w:p w:rsidR="009A0AB4" w:rsidRPr="007647EF" w:rsidRDefault="009A0AB4" w:rsidP="0091493B">
            <w:pPr>
              <w:cnfStyle w:val="000000000000" w:firstRow="0" w:lastRow="0" w:firstColumn="0" w:lastColumn="0" w:oddVBand="0" w:evenVBand="0" w:oddHBand="0" w:evenHBand="0" w:firstRowFirstColumn="0" w:firstRowLastColumn="0" w:lastRowFirstColumn="0" w:lastRowLastColumn="0"/>
              <w:rPr>
                <w:lang w:eastAsia="en-AU"/>
              </w:rPr>
            </w:pPr>
            <w:r w:rsidRPr="007647EF">
              <w:rPr>
                <w:lang w:eastAsia="en-AU"/>
              </w:rPr>
              <w:t>*</w:t>
            </w:r>
          </w:p>
        </w:tc>
      </w:tr>
    </w:tbl>
    <w:p w:rsidR="009A0AB4" w:rsidRPr="009A0AB4" w:rsidRDefault="009A0AB4" w:rsidP="0091493B">
      <w:pPr>
        <w:pStyle w:val="TableDescription"/>
      </w:pPr>
      <w:r w:rsidRPr="009A0AB4">
        <w:t>* Indicates the primary aim of the study.</w:t>
      </w:r>
    </w:p>
    <w:p w:rsidR="009A0AB4" w:rsidRDefault="009A0AB4" w:rsidP="0091493B">
      <w:r>
        <w:t>None of the pharmacokinetic studies had deficiencies that excluded their results from consideration.</w:t>
      </w:r>
    </w:p>
    <w:p w:rsidR="009A0AB4" w:rsidRDefault="009A0AB4" w:rsidP="0091493B">
      <w:pPr>
        <w:pStyle w:val="Heading3"/>
      </w:pPr>
      <w:bookmarkStart w:id="21" w:name="_Toc396903950"/>
      <w:r>
        <w:t>Summary of pharmacokinetics</w:t>
      </w:r>
      <w:bookmarkEnd w:id="21"/>
    </w:p>
    <w:p w:rsidR="009A0AB4" w:rsidRDefault="009A0AB4" w:rsidP="0091493B">
      <w:r>
        <w:t>The information in the following summary is derived from conventional pharmacokinetic studies unless otherwise stated.</w:t>
      </w:r>
    </w:p>
    <w:p w:rsidR="009A0AB4" w:rsidRDefault="009A0AB4" w:rsidP="0091493B">
      <w:pPr>
        <w:pStyle w:val="Heading4"/>
      </w:pPr>
      <w:r>
        <w:t>Pharmacokinetic interactions</w:t>
      </w:r>
    </w:p>
    <w:p w:rsidR="009A0AB4" w:rsidRDefault="009A0AB4" w:rsidP="0091493B">
      <w:pPr>
        <w:pStyle w:val="Heading5"/>
      </w:pPr>
      <w:r>
        <w:t>Pharmacokinetic interactions demonstrated in human studies</w:t>
      </w:r>
    </w:p>
    <w:p w:rsidR="009A0AB4" w:rsidRDefault="009A0AB4" w:rsidP="0091493B">
      <w:r>
        <w:t xml:space="preserve">In Study 3282, the co-administration of </w:t>
      </w:r>
      <w:proofErr w:type="spellStart"/>
      <w:r>
        <w:t>azelastine</w:t>
      </w:r>
      <w:proofErr w:type="spellEnd"/>
      <w:r>
        <w:t xml:space="preserve"> hydrochloride with fluticasone propionate (through the proposed fixed combination product) did not result in any change in the systemic fluticasone exposure, compared to that seen with a fluticasone propionate monotherapy product formulated in the same vehicle. It could therefore be reasonably concluded that co-administration of </w:t>
      </w:r>
      <w:proofErr w:type="spellStart"/>
      <w:r>
        <w:t>azelastine</w:t>
      </w:r>
      <w:proofErr w:type="spellEnd"/>
      <w:r>
        <w:t xml:space="preserve"> does not aff</w:t>
      </w:r>
      <w:r w:rsidR="0091493B">
        <w:t>ect systemic PK of fluticasone.</w:t>
      </w:r>
    </w:p>
    <w:p w:rsidR="009A0AB4" w:rsidRDefault="009A0AB4" w:rsidP="0091493B">
      <w:r>
        <w:t xml:space="preserve">However, both the fixed combination product, and the fluticasone propionate monotherapy product which was formulated in the same vehicle, produced an approximately 50% increase in systemic fluticasone exposure when compared to a fluticasone propionate monotherapy </w:t>
      </w:r>
      <w:r>
        <w:lastRenderedPageBreak/>
        <w:t>product that is commercially available in the USA. This suggests that the vehicle used in the fixed combination facilitates the systemic absorption of fluticasone.</w:t>
      </w:r>
    </w:p>
    <w:p w:rsidR="009A0AB4" w:rsidRDefault="009A0AB4" w:rsidP="00C261B0">
      <w:pPr>
        <w:ind w:left="426"/>
      </w:pPr>
      <w:r w:rsidRPr="0091493B">
        <w:rPr>
          <w:b/>
        </w:rPr>
        <w:t>Comment</w:t>
      </w:r>
      <w:r>
        <w:t xml:space="preserve">: The monotherapy product used in this study that is commercially available in the USA is not registered in Australia. It is therefore not clear how the systemic absorption of fluticasone produced by the fixed combination compares to that produced by the </w:t>
      </w:r>
      <w:proofErr w:type="spellStart"/>
      <w:r>
        <w:t>Flixonase</w:t>
      </w:r>
      <w:proofErr w:type="spellEnd"/>
      <w:r>
        <w:t xml:space="preserve"> formulations registered in Australia. The sponsor has conducted an in vitro comparison of physicochemical characteristics of the </w:t>
      </w:r>
      <w:proofErr w:type="spellStart"/>
      <w:r>
        <w:t>Roxane</w:t>
      </w:r>
      <w:proofErr w:type="spellEnd"/>
      <w:r>
        <w:t xml:space="preserve"> and </w:t>
      </w:r>
      <w:proofErr w:type="spellStart"/>
      <w:r>
        <w:t>Flixonase</w:t>
      </w:r>
      <w:proofErr w:type="spellEnd"/>
      <w:r>
        <w:t xml:space="preserve"> products. This study found that the two products were very comparable. The validity of this conclusion would need to be assessed by a pharmaceutical chemistry evaluator.</w:t>
      </w:r>
    </w:p>
    <w:p w:rsidR="009A0AB4" w:rsidRDefault="009A0AB4" w:rsidP="00C261B0">
      <w:pPr>
        <w:ind w:left="426"/>
      </w:pPr>
      <w:r>
        <w:t xml:space="preserve">The lack of PK data comparing the fixed combination with the Australian </w:t>
      </w:r>
      <w:proofErr w:type="spellStart"/>
      <w:r>
        <w:t>Flixonase</w:t>
      </w:r>
      <w:proofErr w:type="spellEnd"/>
      <w:r>
        <w:t xml:space="preserve"> product is not considered to be a major deficiency in the submission. The approved dosage regimen for </w:t>
      </w:r>
      <w:proofErr w:type="spellStart"/>
      <w:r>
        <w:t>Flixonase</w:t>
      </w:r>
      <w:proofErr w:type="spellEnd"/>
      <w:r>
        <w:t xml:space="preserve"> in Australia permits doses of up to 400</w:t>
      </w:r>
      <w:r w:rsidR="007307C7">
        <w:t xml:space="preserve"> </w:t>
      </w:r>
      <w:r>
        <w:t>mcg of fluticasone propionate per day. With the proposed fixed combination the maximum dose of fluticasone propionate will only be 200</w:t>
      </w:r>
      <w:r w:rsidR="007307C7">
        <w:t xml:space="preserve"> </w:t>
      </w:r>
      <w:r>
        <w:t xml:space="preserve">mcg per day. Hence even if systemic absorption of fluticasone was greater with the fixed combination than with </w:t>
      </w:r>
      <w:proofErr w:type="spellStart"/>
      <w:r>
        <w:t>Flixonase</w:t>
      </w:r>
      <w:proofErr w:type="spellEnd"/>
      <w:r>
        <w:t>, the lower recommended dose provides some reassurance regarding safety.</w:t>
      </w:r>
    </w:p>
    <w:p w:rsidR="009A0AB4" w:rsidRDefault="009A0AB4" w:rsidP="0091493B">
      <w:r>
        <w:t xml:space="preserve">In Study 3283, the co-administration of fluticasone propionate with </w:t>
      </w:r>
      <w:proofErr w:type="spellStart"/>
      <w:r>
        <w:t>azelastine</w:t>
      </w:r>
      <w:proofErr w:type="spellEnd"/>
      <w:r>
        <w:t xml:space="preserve"> hydrochloride (through the proposed fixed combination product) did not result in any increase in the systemic </w:t>
      </w:r>
      <w:proofErr w:type="spellStart"/>
      <w:r>
        <w:t>azelastine</w:t>
      </w:r>
      <w:proofErr w:type="spellEnd"/>
      <w:r>
        <w:t xml:space="preserve"> exposure, compared to that seen with an </w:t>
      </w:r>
      <w:proofErr w:type="spellStart"/>
      <w:r>
        <w:t>azelastine</w:t>
      </w:r>
      <w:proofErr w:type="spellEnd"/>
      <w:r>
        <w:t xml:space="preserve"> hydrochloride monotherapy product formulated in the same vehicle. It could therefore be reasonably concluded that co-administration of fluticasone does not affect systemic PK of </w:t>
      </w:r>
      <w:proofErr w:type="spellStart"/>
      <w:r>
        <w:t>azelastine</w:t>
      </w:r>
      <w:proofErr w:type="spellEnd"/>
      <w:r>
        <w:t>.</w:t>
      </w:r>
    </w:p>
    <w:p w:rsidR="009A0AB4" w:rsidRDefault="009A0AB4" w:rsidP="0091493B">
      <w:r>
        <w:t xml:space="preserve">Also the fixed combination product and the </w:t>
      </w:r>
      <w:proofErr w:type="spellStart"/>
      <w:r>
        <w:t>azelastine</w:t>
      </w:r>
      <w:proofErr w:type="spellEnd"/>
      <w:r>
        <w:t xml:space="preserve"> nasal spray marketed in the USA (“</w:t>
      </w:r>
      <w:proofErr w:type="spellStart"/>
      <w:r>
        <w:t>Astelin</w:t>
      </w:r>
      <w:proofErr w:type="spellEnd"/>
      <w:r>
        <w:t xml:space="preserve">”) produced equivalent systemic exposure to </w:t>
      </w:r>
      <w:proofErr w:type="spellStart"/>
      <w:r>
        <w:t>azelastine</w:t>
      </w:r>
      <w:proofErr w:type="spellEnd"/>
      <w:r>
        <w:t>. Hence the combination product would not be expected to produce a higher incidence of systemic adverse events than the marketed product.</w:t>
      </w:r>
    </w:p>
    <w:p w:rsidR="009A0AB4" w:rsidRDefault="009A0AB4" w:rsidP="004C0426">
      <w:pPr>
        <w:ind w:left="426"/>
      </w:pPr>
      <w:r w:rsidRPr="0091493B">
        <w:rPr>
          <w:b/>
        </w:rPr>
        <w:t>Comment</w:t>
      </w:r>
      <w:r>
        <w:t xml:space="preserve">: The </w:t>
      </w:r>
      <w:proofErr w:type="spellStart"/>
      <w:r>
        <w:t>azelastine</w:t>
      </w:r>
      <w:proofErr w:type="spellEnd"/>
      <w:r>
        <w:t xml:space="preserve"> monotherapy product used in this study (“</w:t>
      </w:r>
      <w:proofErr w:type="spellStart"/>
      <w:r>
        <w:t>Astelin</w:t>
      </w:r>
      <w:proofErr w:type="spellEnd"/>
      <w:r>
        <w:t xml:space="preserve">”) is not identical to the </w:t>
      </w:r>
      <w:proofErr w:type="spellStart"/>
      <w:r>
        <w:t>azelastine</w:t>
      </w:r>
      <w:proofErr w:type="spellEnd"/>
      <w:r>
        <w:t xml:space="preserve"> monotherapy product marketed in Australia (“</w:t>
      </w:r>
      <w:proofErr w:type="spellStart"/>
      <w:r>
        <w:t>Azep</w:t>
      </w:r>
      <w:proofErr w:type="spellEnd"/>
      <w:r>
        <w:t xml:space="preserve">”). The main difference is that the USA product contains </w:t>
      </w:r>
      <w:proofErr w:type="spellStart"/>
      <w:r>
        <w:t>benzalkonium</w:t>
      </w:r>
      <w:proofErr w:type="spellEnd"/>
      <w:r>
        <w:t xml:space="preserve"> chloride (BAC). The Australian product is identical to the product in Europe which is marketed und</w:t>
      </w:r>
      <w:r w:rsidR="004F1D42">
        <w:t>er the trade name “</w:t>
      </w:r>
      <w:proofErr w:type="spellStart"/>
      <w:r w:rsidR="004F1D42">
        <w:t>Allergodil</w:t>
      </w:r>
      <w:proofErr w:type="spellEnd"/>
      <w:r w:rsidR="004F1D42">
        <w:t>”.</w:t>
      </w:r>
    </w:p>
    <w:p w:rsidR="009A0AB4" w:rsidRDefault="009A0AB4" w:rsidP="004C0426">
      <w:pPr>
        <w:ind w:left="426"/>
      </w:pPr>
      <w:r>
        <w:t>The sponsor has conducted an in vitro comparison of physicochemical characteristics of the USA and European/Australian products. This study found that the two products were very comparable. The validity of this conclusion would need to be assessed by a phar</w:t>
      </w:r>
      <w:r w:rsidR="004F1D42">
        <w:t>maceutical chemistry evaluator.</w:t>
      </w:r>
    </w:p>
    <w:p w:rsidR="009A0AB4" w:rsidRDefault="009A0AB4" w:rsidP="00B55E86">
      <w:pPr>
        <w:ind w:left="426"/>
      </w:pPr>
      <w:r>
        <w:t>The sponsor states that the BAC-containing formulation was marketed in Europe until the late 1990’s, when it was changed to the BAC-free formulation. It is noted that on the ARTG, the Australian product (</w:t>
      </w:r>
      <w:proofErr w:type="spellStart"/>
      <w:r>
        <w:t>Aust</w:t>
      </w:r>
      <w:proofErr w:type="spellEnd"/>
      <w:r>
        <w:t xml:space="preserve"> R 104853) is described as a ‘reformulation’. If the BAC-containing formulation was also the original formulation approved in Australia, then the TGA would have concluded that it has an acceptable systemic safety profile, and hence its use as a comparator in Study 3283 is acceptable. The sponsor should be asked to comment on this issue.</w:t>
      </w:r>
    </w:p>
    <w:p w:rsidR="00586F98" w:rsidRDefault="00586F98" w:rsidP="008A06DB">
      <w:pPr>
        <w:pStyle w:val="Heading2"/>
      </w:pPr>
      <w:bookmarkStart w:id="22" w:name="_Toc396903951"/>
      <w:r>
        <w:t>Pharmacodynamics</w:t>
      </w:r>
      <w:bookmarkEnd w:id="22"/>
    </w:p>
    <w:p w:rsidR="009A0AB4" w:rsidRDefault="009A0AB4" w:rsidP="0091493B">
      <w:r w:rsidRPr="009A0AB4">
        <w:t xml:space="preserve">No new clinical </w:t>
      </w:r>
      <w:proofErr w:type="spellStart"/>
      <w:r w:rsidRPr="009A0AB4">
        <w:t>pharmacodynamic</w:t>
      </w:r>
      <w:proofErr w:type="spellEnd"/>
      <w:r w:rsidRPr="009A0AB4">
        <w:t xml:space="preserve"> data were included in the submission.</w:t>
      </w:r>
    </w:p>
    <w:p w:rsidR="00586F98" w:rsidRPr="009A0AB4" w:rsidRDefault="00C22678" w:rsidP="0091493B">
      <w:pPr>
        <w:pStyle w:val="Heading2"/>
      </w:pPr>
      <w:bookmarkStart w:id="23" w:name="_Toc396903952"/>
      <w:r w:rsidRPr="009A0AB4">
        <w:lastRenderedPageBreak/>
        <w:t>Dosage selection for the pivotal studies</w:t>
      </w:r>
      <w:bookmarkEnd w:id="23"/>
    </w:p>
    <w:p w:rsidR="009A0AB4" w:rsidRPr="009A0AB4" w:rsidRDefault="009A0AB4" w:rsidP="0091493B">
      <w:r w:rsidRPr="009A0AB4">
        <w:t>No dose-ranging studies were conducted for the product. The dosage of the fixed combination product used in the submitted studies, and proposed for registration, is consistent with the recommended dosages of the approved monotherapy products.</w:t>
      </w:r>
    </w:p>
    <w:p w:rsidR="00C22678" w:rsidRPr="009A0AB4" w:rsidRDefault="009A0AB4" w:rsidP="002205CC">
      <w:pPr>
        <w:ind w:left="426"/>
      </w:pPr>
      <w:r w:rsidRPr="0091493B">
        <w:rPr>
          <w:b/>
        </w:rPr>
        <w:t>Comment</w:t>
      </w:r>
      <w:r w:rsidRPr="009A0AB4">
        <w:t>:</w:t>
      </w:r>
      <w:r>
        <w:t xml:space="preserve"> </w:t>
      </w:r>
      <w:r w:rsidRPr="009A0AB4">
        <w:t>The fluticasone dosage regimen proposed for the fixed combination product is 100</w:t>
      </w:r>
      <w:r>
        <w:t xml:space="preserve"> mcg</w:t>
      </w:r>
      <w:r w:rsidRPr="009A0AB4">
        <w:t xml:space="preserve"> twice daily. The recommended dosage for the </w:t>
      </w:r>
      <w:proofErr w:type="spellStart"/>
      <w:r w:rsidRPr="009A0AB4">
        <w:t>Flixonase</w:t>
      </w:r>
      <w:proofErr w:type="spellEnd"/>
      <w:r w:rsidRPr="009A0AB4">
        <w:t xml:space="preserve"> products registered in Australia is 200 </w:t>
      </w:r>
      <w:r>
        <w:t>mcg</w:t>
      </w:r>
      <w:r w:rsidRPr="009A0AB4">
        <w:t xml:space="preserve"> once daily. The sponsor ha</w:t>
      </w:r>
      <w:r>
        <w:t>s provided two review articles</w:t>
      </w:r>
      <w:r>
        <w:rPr>
          <w:rStyle w:val="FootnoteReference"/>
        </w:rPr>
        <w:footnoteReference w:id="7"/>
      </w:r>
      <w:r w:rsidRPr="009A0AB4">
        <w:t xml:space="preserve"> which included summaries of the published literature on 200 </w:t>
      </w:r>
      <w:r>
        <w:t>mcg</w:t>
      </w:r>
      <w:r w:rsidRPr="009A0AB4">
        <w:t xml:space="preserve"> once daily v</w:t>
      </w:r>
      <w:r>
        <w:t>ersus</w:t>
      </w:r>
      <w:r w:rsidRPr="009A0AB4">
        <w:t xml:space="preserve"> 100 </w:t>
      </w:r>
      <w:r>
        <w:t>mcg</w:t>
      </w:r>
      <w:r w:rsidRPr="009A0AB4">
        <w:t xml:space="preserve"> twice daily dosing of fluticasone propionate nasal spray. All studies found comparable efficacy between the two regimens. The product information for the S4 version of </w:t>
      </w:r>
      <w:proofErr w:type="spellStart"/>
      <w:r w:rsidRPr="009A0AB4">
        <w:t>Flixonase</w:t>
      </w:r>
      <w:proofErr w:type="spellEnd"/>
      <w:r w:rsidRPr="009A0AB4">
        <w:t xml:space="preserve"> also allows twice daily dosing if the daily do</w:t>
      </w:r>
      <w:r>
        <w:t>se needs to be increased to 400 mcg</w:t>
      </w:r>
      <w:r w:rsidRPr="009A0AB4">
        <w:t xml:space="preserve"> per day. The twice-daily dosing regimen for fluticasone propionate is t</w:t>
      </w:r>
      <w:r w:rsidR="0091493B">
        <w:t>herefore considered acceptable.</w:t>
      </w:r>
    </w:p>
    <w:p w:rsidR="00C22678" w:rsidRDefault="00C22678" w:rsidP="0091493B">
      <w:pPr>
        <w:pStyle w:val="Heading2"/>
      </w:pPr>
      <w:bookmarkStart w:id="24" w:name="_Toc396903953"/>
      <w:r>
        <w:t>Clinical efficacy</w:t>
      </w:r>
      <w:bookmarkEnd w:id="24"/>
    </w:p>
    <w:p w:rsidR="00D0093C" w:rsidRPr="00D0093C" w:rsidRDefault="00D0093C" w:rsidP="0091493B">
      <w:pPr>
        <w:pStyle w:val="Heading3"/>
      </w:pPr>
      <w:bookmarkStart w:id="25" w:name="_Ref271199564"/>
      <w:bookmarkStart w:id="26" w:name="_Toc272414651"/>
      <w:bookmarkStart w:id="27" w:name="_Toc290846273"/>
      <w:bookmarkStart w:id="28" w:name="_Toc228768130"/>
      <w:bookmarkStart w:id="29" w:name="_Toc396903954"/>
      <w:r w:rsidRPr="00D0093C">
        <w:t>Indication:</w:t>
      </w:r>
      <w:r w:rsidR="007307C7">
        <w:t xml:space="preserve"> </w:t>
      </w:r>
      <w:bookmarkEnd w:id="25"/>
      <w:bookmarkEnd w:id="26"/>
      <w:bookmarkEnd w:id="27"/>
      <w:r w:rsidRPr="00D0093C">
        <w:t>“Symptomatic treatment of moderate to severe allergic rhinitis and rhino-conjunctivitis in adults and children 12 years and older where use of a combination (intranasal antihistamine and glucocorticoid) is appropriate.”</w:t>
      </w:r>
      <w:bookmarkEnd w:id="28"/>
      <w:bookmarkEnd w:id="29"/>
    </w:p>
    <w:p w:rsidR="00D0093C" w:rsidRPr="00D0093C" w:rsidRDefault="00D0093C" w:rsidP="0091493B">
      <w:pPr>
        <w:pStyle w:val="Heading4"/>
      </w:pPr>
      <w:bookmarkStart w:id="30" w:name="_Ref271037274"/>
      <w:bookmarkStart w:id="31" w:name="_Toc272414652"/>
      <w:bookmarkStart w:id="32" w:name="_Toc290846274"/>
      <w:bookmarkStart w:id="33" w:name="_Toc228768131"/>
      <w:r w:rsidRPr="00D0093C">
        <w:t>Pivotal efficacy studies</w:t>
      </w:r>
      <w:bookmarkEnd w:id="30"/>
      <w:bookmarkEnd w:id="31"/>
      <w:bookmarkEnd w:id="32"/>
      <w:bookmarkEnd w:id="33"/>
    </w:p>
    <w:p w:rsidR="00D0093C" w:rsidRPr="00D0093C" w:rsidRDefault="00D0093C" w:rsidP="0091493B">
      <w:pPr>
        <w:pStyle w:val="Heading5"/>
      </w:pPr>
      <w:bookmarkStart w:id="34" w:name="_Ref243301615"/>
      <w:bookmarkStart w:id="35" w:name="_Ref271040927"/>
      <w:bookmarkStart w:id="36" w:name="_Ref271040932"/>
      <w:bookmarkStart w:id="37" w:name="_Toc272414653"/>
      <w:bookmarkStart w:id="38" w:name="_Toc290846275"/>
      <w:bookmarkStart w:id="39" w:name="_Toc228768132"/>
      <w:r w:rsidRPr="00D0093C">
        <w:t xml:space="preserve">Study </w:t>
      </w:r>
      <w:bookmarkEnd w:id="34"/>
      <w:bookmarkEnd w:id="35"/>
      <w:bookmarkEnd w:id="36"/>
      <w:bookmarkEnd w:id="37"/>
      <w:bookmarkEnd w:id="38"/>
      <w:r w:rsidRPr="00D0093C">
        <w:t>MP4001</w:t>
      </w:r>
      <w:bookmarkEnd w:id="39"/>
    </w:p>
    <w:p w:rsidR="00D0093C" w:rsidRPr="00D0093C" w:rsidRDefault="00D0093C" w:rsidP="0091493B">
      <w:pPr>
        <w:pStyle w:val="Heading6"/>
      </w:pPr>
      <w:r w:rsidRPr="00D0093C">
        <w:t>Study design, objectives, locations and dates</w:t>
      </w:r>
    </w:p>
    <w:p w:rsidR="00D0093C" w:rsidRPr="00D0093C" w:rsidRDefault="00D0093C" w:rsidP="0091493B">
      <w:r w:rsidRPr="00D0093C">
        <w:t>Study MP4001 was a randomised, double blind, placebo-controlled trial with four parallel groups, conducted in patients with seasonal allergic rhinitis (SAR). All subje</w:t>
      </w:r>
      <w:r>
        <w:t xml:space="preserve">cts received placebo during a 1 </w:t>
      </w:r>
      <w:r w:rsidRPr="00D0093C">
        <w:t>week run-in period (Day -7 to Day 1). On Day 1 they were randomised to one of the four treatments, and these were continued for a 14-day treatment period.</w:t>
      </w:r>
    </w:p>
    <w:p w:rsidR="00D0093C" w:rsidRPr="00D0093C" w:rsidRDefault="00D0093C" w:rsidP="0091493B">
      <w:r w:rsidRPr="00D0093C">
        <w:t xml:space="preserve">The objective of the study was to compare the efficacy and safety of the combination of </w:t>
      </w:r>
      <w:proofErr w:type="spellStart"/>
      <w:r w:rsidRPr="00D0093C">
        <w:t>azelastine</w:t>
      </w:r>
      <w:proofErr w:type="spellEnd"/>
      <w:r w:rsidRPr="00D0093C">
        <w:t xml:space="preserve"> hydrochloride nasal spray and fluticasone propionate nasal spray to placebo and each product alone.</w:t>
      </w:r>
    </w:p>
    <w:p w:rsidR="00D0093C" w:rsidRPr="00D0093C" w:rsidRDefault="00D0093C" w:rsidP="0091493B">
      <w:r w:rsidRPr="00D0093C">
        <w:t>The study was conducted in 8 centres in Texas in the United States, during the pollen season for Texas Mountain Cedar (</w:t>
      </w:r>
      <w:proofErr w:type="spellStart"/>
      <w:r w:rsidRPr="00D0093C">
        <w:t>Juniperus</w:t>
      </w:r>
      <w:proofErr w:type="spellEnd"/>
      <w:r w:rsidRPr="00D0093C">
        <w:t xml:space="preserve"> </w:t>
      </w:r>
      <w:proofErr w:type="spellStart"/>
      <w:r w:rsidRPr="00D0093C">
        <w:t>ashei</w:t>
      </w:r>
      <w:proofErr w:type="spellEnd"/>
      <w:r w:rsidRPr="00D0093C">
        <w:t xml:space="preserve">). Subjects enrolled in the study had documented allergy to this pollen. The first patient was enrolled on </w:t>
      </w:r>
      <w:r>
        <w:t xml:space="preserve">[information redacted] </w:t>
      </w:r>
      <w:r w:rsidRPr="00D0093C">
        <w:t xml:space="preserve">and the last patient completed on </w:t>
      </w:r>
      <w:r>
        <w:t>[information redacted]</w:t>
      </w:r>
      <w:r w:rsidRPr="00D0093C">
        <w:t>. The study report was dated 27 April 2010.</w:t>
      </w:r>
    </w:p>
    <w:p w:rsidR="00D0093C" w:rsidRPr="00D0093C" w:rsidRDefault="00D0093C" w:rsidP="00E80BFB">
      <w:pPr>
        <w:ind w:left="426"/>
        <w:rPr>
          <w:lang w:val="en-US" w:eastAsia="ja-JP"/>
        </w:rPr>
      </w:pPr>
      <w:r w:rsidRPr="0091493B">
        <w:rPr>
          <w:b/>
          <w:lang w:val="en-US" w:eastAsia="ja-JP"/>
        </w:rPr>
        <w:t>Comment</w:t>
      </w:r>
      <w:r>
        <w:rPr>
          <w:lang w:val="en-US" w:eastAsia="ja-JP"/>
        </w:rPr>
        <w:t xml:space="preserve">: </w:t>
      </w:r>
      <w:r w:rsidRPr="00D0093C">
        <w:rPr>
          <w:lang w:val="en-US" w:eastAsia="ja-JP"/>
        </w:rPr>
        <w:t xml:space="preserve">The use of a parallel group design with comparison of the fixed combination with its individual substances and placebo is consistent with the recommendations of the EMA guideline on fixed combination </w:t>
      </w:r>
      <w:r>
        <w:rPr>
          <w:lang w:val="en-US" w:eastAsia="ja-JP"/>
        </w:rPr>
        <w:t>products</w:t>
      </w:r>
      <w:r w:rsidRPr="00D0093C">
        <w:rPr>
          <w:lang w:val="en-US" w:eastAsia="ja-JP"/>
        </w:rPr>
        <w:t>.</w:t>
      </w:r>
      <w:r>
        <w:rPr>
          <w:rStyle w:val="FootnoteReference"/>
          <w:lang w:val="en-US" w:eastAsia="ja-JP"/>
        </w:rPr>
        <w:footnoteReference w:id="8"/>
      </w:r>
    </w:p>
    <w:p w:rsidR="00D0093C" w:rsidRPr="00D0093C" w:rsidRDefault="00D0093C" w:rsidP="0091493B">
      <w:pPr>
        <w:pStyle w:val="Heading6"/>
      </w:pPr>
      <w:r w:rsidRPr="00D0093C">
        <w:t>Inclusion and exclusion criteria</w:t>
      </w:r>
    </w:p>
    <w:p w:rsidR="00D0093C" w:rsidRPr="00D0093C" w:rsidRDefault="00D0093C" w:rsidP="0091493B">
      <w:pPr>
        <w:rPr>
          <w:lang w:eastAsia="ja-JP"/>
        </w:rPr>
      </w:pPr>
      <w:r w:rsidRPr="00D0093C">
        <w:rPr>
          <w:lang w:eastAsia="ja-JP"/>
        </w:rPr>
        <w:t xml:space="preserve">Subjects were required to be at least 12 years of age. They were required to have at least a 2-year history of SAR during the Texas Mountain Cedar pollen season as well as a positive skin </w:t>
      </w:r>
      <w:r w:rsidRPr="00D0093C">
        <w:rPr>
          <w:lang w:eastAsia="ja-JP"/>
        </w:rPr>
        <w:lastRenderedPageBreak/>
        <w:t>prick test to this antigen. Efficacy in this study was assessed using symptom scores and subjects were required to have a certain degree of symptoms at baseline (as measured by these symptom scores).</w:t>
      </w:r>
      <w:r>
        <w:rPr>
          <w:lang w:eastAsia="ja-JP"/>
        </w:rPr>
        <w:t xml:space="preserve"> </w:t>
      </w:r>
      <w:r w:rsidRPr="00D0093C">
        <w:rPr>
          <w:lang w:eastAsia="ja-JP"/>
        </w:rPr>
        <w:t>Subjects were required to have a Total Nasal Symptom Score (TNSS) of at least 8 (out of a possible 12), together with a nasal congestion score of at least 2 (put of a possible 3) at Day -7. Similar criteria had to be met on Day 1.</w:t>
      </w:r>
    </w:p>
    <w:p w:rsidR="00D0093C" w:rsidRDefault="00D0093C" w:rsidP="00A66333">
      <w:pPr>
        <w:ind w:left="426"/>
        <w:rPr>
          <w:lang w:val="en-US" w:eastAsia="ja-JP"/>
        </w:rPr>
      </w:pPr>
      <w:r w:rsidRPr="00B45EE4">
        <w:rPr>
          <w:b/>
          <w:lang w:eastAsia="ja-JP"/>
        </w:rPr>
        <w:t>Comment</w:t>
      </w:r>
      <w:r w:rsidRPr="00D0093C">
        <w:rPr>
          <w:lang w:eastAsia="ja-JP"/>
        </w:rPr>
        <w:t>:</w:t>
      </w:r>
      <w:r>
        <w:rPr>
          <w:lang w:eastAsia="ja-JP"/>
        </w:rPr>
        <w:t xml:space="preserve"> </w:t>
      </w:r>
      <w:r w:rsidRPr="00D0093C">
        <w:rPr>
          <w:lang w:eastAsia="ja-JP"/>
        </w:rPr>
        <w:t>The inclusion and exclusion criteria are appropriate and comply with the requirements of the EMA guideline on products for allergic rhinitis. A</w:t>
      </w:r>
      <w:r>
        <w:rPr>
          <w:lang w:eastAsia="ja-JP"/>
        </w:rPr>
        <w:t>ccording to the ARIA guidelines</w:t>
      </w:r>
      <w:r w:rsidRPr="00D0093C">
        <w:rPr>
          <w:lang w:eastAsia="ja-JP"/>
        </w:rPr>
        <w:t>,</w:t>
      </w:r>
      <w:r>
        <w:rPr>
          <w:rStyle w:val="FootnoteReference"/>
          <w:lang w:eastAsia="ja-JP"/>
        </w:rPr>
        <w:footnoteReference w:id="9"/>
      </w:r>
      <w:r w:rsidRPr="00D0093C">
        <w:rPr>
          <w:lang w:eastAsia="ja-JP"/>
        </w:rPr>
        <w:t xml:space="preserve"> </w:t>
      </w:r>
      <w:r w:rsidRPr="00D0093C">
        <w:rPr>
          <w:lang w:val="en-US" w:eastAsia="ja-JP"/>
        </w:rPr>
        <w:t xml:space="preserve">"moderate/severe" allergic rhinitis means that one or more of the </w:t>
      </w:r>
      <w:r w:rsidR="00B45EE4">
        <w:rPr>
          <w:lang w:val="en-US" w:eastAsia="ja-JP"/>
        </w:rPr>
        <w:t>following items are present:</w:t>
      </w:r>
    </w:p>
    <w:p w:rsidR="00D0093C" w:rsidRPr="00B45EE4" w:rsidRDefault="00C650F4" w:rsidP="00F53AB8">
      <w:pPr>
        <w:pStyle w:val="ListBullet2"/>
        <w:ind w:left="851"/>
      </w:pPr>
      <w:r>
        <w:t>sleep disturbance,</w:t>
      </w:r>
    </w:p>
    <w:p w:rsidR="00D0093C" w:rsidRPr="00B45EE4" w:rsidRDefault="00D0093C" w:rsidP="00F53AB8">
      <w:pPr>
        <w:pStyle w:val="ListBullet2"/>
        <w:ind w:left="851"/>
      </w:pPr>
      <w:r w:rsidRPr="00B45EE4">
        <w:t>Impairment of daily activities, leisure and/or sport</w:t>
      </w:r>
      <w:r w:rsidR="00C650F4">
        <w:t>,</w:t>
      </w:r>
    </w:p>
    <w:p w:rsidR="00D0093C" w:rsidRPr="00B45EE4" w:rsidRDefault="00D0093C" w:rsidP="00F53AB8">
      <w:pPr>
        <w:pStyle w:val="ListBullet2"/>
        <w:ind w:left="851"/>
      </w:pPr>
      <w:r w:rsidRPr="00B45EE4">
        <w:t>impairment of sch</w:t>
      </w:r>
      <w:r w:rsidR="00C650F4">
        <w:t>ool or work or</w:t>
      </w:r>
    </w:p>
    <w:p w:rsidR="00D0093C" w:rsidRPr="00B45EE4" w:rsidRDefault="00C650F4" w:rsidP="00F53AB8">
      <w:pPr>
        <w:pStyle w:val="ListBullet2"/>
        <w:ind w:left="851"/>
      </w:pPr>
      <w:proofErr w:type="gramStart"/>
      <w:r>
        <w:t>troublesome</w:t>
      </w:r>
      <w:proofErr w:type="gramEnd"/>
      <w:r>
        <w:t xml:space="preserve"> symptoms.</w:t>
      </w:r>
    </w:p>
    <w:p w:rsidR="00D0093C" w:rsidRPr="00D0093C" w:rsidRDefault="00D0093C" w:rsidP="00B45EE4">
      <w:pPr>
        <w:ind w:left="284"/>
        <w:rPr>
          <w:lang w:val="en-US" w:eastAsia="ja-JP"/>
        </w:rPr>
      </w:pPr>
      <w:r w:rsidRPr="00D0093C">
        <w:rPr>
          <w:lang w:eastAsia="ja-JP"/>
        </w:rPr>
        <w:t>Given the inclusion criteria in this study for severity of symptoms at baseline it would be expected that patients enrolled would have moderate to severe disease.</w:t>
      </w:r>
    </w:p>
    <w:p w:rsidR="00D0093C" w:rsidRPr="00D0093C" w:rsidRDefault="00D0093C" w:rsidP="00C650F4">
      <w:pPr>
        <w:pStyle w:val="Heading6"/>
      </w:pPr>
      <w:r w:rsidRPr="00D0093C">
        <w:t>Study treatments</w:t>
      </w:r>
    </w:p>
    <w:p w:rsidR="00D0093C" w:rsidRPr="00D0093C" w:rsidRDefault="00D0093C" w:rsidP="00C650F4">
      <w:r w:rsidRPr="00D0093C">
        <w:t>Subjects were randomised to receive one of the following four treatments for the 14 days of the randomised treatment period:</w:t>
      </w:r>
    </w:p>
    <w:p w:rsidR="00D0093C" w:rsidRPr="00C650F4" w:rsidRDefault="00D0093C" w:rsidP="00C650F4">
      <w:pPr>
        <w:pStyle w:val="ListBullet"/>
      </w:pPr>
      <w:r w:rsidRPr="00C650F4">
        <w:t>The proposed fixed combination of fluticasone propionate (50</w:t>
      </w:r>
      <w:r w:rsidR="007307C7" w:rsidRPr="00C650F4">
        <w:t xml:space="preserve"> </w:t>
      </w:r>
      <w:r w:rsidRPr="00C650F4">
        <w:t xml:space="preserve">mcg per actuation) and </w:t>
      </w:r>
      <w:proofErr w:type="spellStart"/>
      <w:r w:rsidRPr="00C650F4">
        <w:t>azelastine</w:t>
      </w:r>
      <w:proofErr w:type="spellEnd"/>
      <w:r w:rsidRPr="00C650F4">
        <w:t xml:space="preserve"> hydrochloride (137</w:t>
      </w:r>
      <w:r w:rsidR="007307C7" w:rsidRPr="00C650F4">
        <w:t xml:space="preserve"> </w:t>
      </w:r>
      <w:r w:rsidRPr="00C650F4">
        <w:t>mcg per actuation) nasal spray – one spray in each nos</w:t>
      </w:r>
      <w:r w:rsidR="00C650F4">
        <w:t>tril twice daily</w:t>
      </w:r>
    </w:p>
    <w:p w:rsidR="00D0093C" w:rsidRPr="00C650F4" w:rsidRDefault="00D0093C" w:rsidP="00C650F4">
      <w:pPr>
        <w:pStyle w:val="ListBullet"/>
      </w:pPr>
      <w:r w:rsidRPr="00C650F4">
        <w:t>Fluticasone propionate (50</w:t>
      </w:r>
      <w:r w:rsidR="007307C7" w:rsidRPr="00C650F4">
        <w:t xml:space="preserve"> </w:t>
      </w:r>
      <w:r w:rsidRPr="00C650F4">
        <w:t>mcg per actuation) nasal spray (using a formulation marketed in the USA) - one sp</w:t>
      </w:r>
      <w:r w:rsidR="00C650F4">
        <w:t>ray in each nostril twice daily</w:t>
      </w:r>
    </w:p>
    <w:p w:rsidR="00D0093C" w:rsidRPr="00C650F4" w:rsidRDefault="00D0093C" w:rsidP="00C650F4">
      <w:pPr>
        <w:pStyle w:val="ListBullet"/>
      </w:pPr>
      <w:proofErr w:type="spellStart"/>
      <w:r w:rsidRPr="00C650F4">
        <w:t>Azelastine</w:t>
      </w:r>
      <w:proofErr w:type="spellEnd"/>
      <w:r w:rsidRPr="00C650F4">
        <w:t xml:space="preserve"> hydrochloride (137</w:t>
      </w:r>
      <w:r w:rsidR="007307C7" w:rsidRPr="00C650F4">
        <w:t xml:space="preserve"> </w:t>
      </w:r>
      <w:r w:rsidRPr="00C650F4">
        <w:t xml:space="preserve">mcg per actuation) nasal spray (using the </w:t>
      </w:r>
      <w:proofErr w:type="spellStart"/>
      <w:r w:rsidRPr="00C650F4">
        <w:t>Astelin</w:t>
      </w:r>
      <w:proofErr w:type="spellEnd"/>
      <w:r w:rsidR="007307C7" w:rsidRPr="00C650F4">
        <w:t xml:space="preserve"> </w:t>
      </w:r>
      <w:r w:rsidRPr="00C650F4">
        <w:t>formulation marketed in the USA)– one sp</w:t>
      </w:r>
      <w:r w:rsidR="00C650F4">
        <w:t>ray in each nostril twice daily</w:t>
      </w:r>
    </w:p>
    <w:p w:rsidR="00D0093C" w:rsidRPr="00C650F4" w:rsidRDefault="00D0093C" w:rsidP="00C650F4">
      <w:pPr>
        <w:pStyle w:val="ListBullet"/>
      </w:pPr>
      <w:r w:rsidRPr="00C650F4">
        <w:t>Placebo spray - one spray in each nostril twice daily.</w:t>
      </w:r>
    </w:p>
    <w:p w:rsidR="00D0093C" w:rsidRPr="00D0093C" w:rsidRDefault="00D0093C" w:rsidP="00C650F4">
      <w:r w:rsidRPr="00D0093C">
        <w:t>The placebo spray was the vehicle used for the fixed combination but without the active ingredients.</w:t>
      </w:r>
    </w:p>
    <w:p w:rsidR="00D0093C" w:rsidRPr="00D0093C" w:rsidRDefault="00D0093C" w:rsidP="00C650F4">
      <w:r w:rsidRPr="00D0093C">
        <w:t>The use of rescue medications such as decongestants was prohibited.</w:t>
      </w:r>
    </w:p>
    <w:p w:rsidR="00D0093C" w:rsidRPr="00D0093C" w:rsidRDefault="00D0093C" w:rsidP="00FD0475">
      <w:pPr>
        <w:ind w:left="426"/>
        <w:rPr>
          <w:lang w:eastAsia="ja-JP"/>
        </w:rPr>
      </w:pPr>
      <w:r w:rsidRPr="00C650F4">
        <w:rPr>
          <w:b/>
          <w:lang w:eastAsia="ja-JP"/>
        </w:rPr>
        <w:t>Comment</w:t>
      </w:r>
      <w:r w:rsidRPr="00D0093C">
        <w:rPr>
          <w:lang w:eastAsia="ja-JP"/>
        </w:rPr>
        <w:t>:</w:t>
      </w:r>
      <w:r>
        <w:rPr>
          <w:lang w:eastAsia="ja-JP"/>
        </w:rPr>
        <w:t xml:space="preserve"> </w:t>
      </w:r>
      <w:r w:rsidRPr="00D0093C">
        <w:rPr>
          <w:lang w:eastAsia="ja-JP"/>
        </w:rPr>
        <w:t xml:space="preserve">Both comparator products are considered acceptable, as the FDA, a regulatory authority with similar standards to the TGA, has approved them. </w:t>
      </w:r>
    </w:p>
    <w:p w:rsidR="00D0093C" w:rsidRPr="00D0093C" w:rsidRDefault="00D0093C" w:rsidP="00183CFF">
      <w:pPr>
        <w:ind w:left="426"/>
        <w:rPr>
          <w:lang w:eastAsia="ja-JP"/>
        </w:rPr>
      </w:pPr>
      <w:r w:rsidRPr="00D0093C">
        <w:rPr>
          <w:lang w:eastAsia="ja-JP"/>
        </w:rPr>
        <w:t xml:space="preserve">The dosage of </w:t>
      </w:r>
      <w:proofErr w:type="spellStart"/>
      <w:r w:rsidRPr="00D0093C">
        <w:rPr>
          <w:lang w:eastAsia="ja-JP"/>
        </w:rPr>
        <w:t>azelastine</w:t>
      </w:r>
      <w:proofErr w:type="spellEnd"/>
      <w:r w:rsidRPr="00D0093C">
        <w:rPr>
          <w:lang w:eastAsia="ja-JP"/>
        </w:rPr>
        <w:t xml:space="preserve"> used in the study is consistent with the only </w:t>
      </w:r>
      <w:proofErr w:type="spellStart"/>
      <w:r w:rsidRPr="00D0093C">
        <w:rPr>
          <w:lang w:eastAsia="ja-JP"/>
        </w:rPr>
        <w:t>azelastine</w:t>
      </w:r>
      <w:proofErr w:type="spellEnd"/>
      <w:r w:rsidRPr="00D0093C">
        <w:rPr>
          <w:lang w:eastAsia="ja-JP"/>
        </w:rPr>
        <w:t xml:space="preserve"> dosage regimen approved in Australia (daily dose of 548</w:t>
      </w:r>
      <w:r w:rsidR="007307C7">
        <w:rPr>
          <w:lang w:eastAsia="ja-JP"/>
        </w:rPr>
        <w:t xml:space="preserve"> </w:t>
      </w:r>
      <w:r w:rsidRPr="00D0093C">
        <w:rPr>
          <w:lang w:eastAsia="ja-JP"/>
        </w:rPr>
        <w:t>mcg). The dosage of flu</w:t>
      </w:r>
      <w:r>
        <w:rPr>
          <w:lang w:eastAsia="ja-JP"/>
        </w:rPr>
        <w:t>ticasone used in the study (200 </w:t>
      </w:r>
      <w:r w:rsidRPr="00D0093C">
        <w:rPr>
          <w:lang w:eastAsia="ja-JP"/>
        </w:rPr>
        <w:t>mcg per day) is in the middle of the range approved for Australia (</w:t>
      </w:r>
      <w:r>
        <w:rPr>
          <w:lang w:eastAsia="ja-JP"/>
        </w:rPr>
        <w:t xml:space="preserve">100 to </w:t>
      </w:r>
      <w:r w:rsidRPr="00D0093C">
        <w:rPr>
          <w:lang w:eastAsia="ja-JP"/>
        </w:rPr>
        <w:t>400 mcg per day). The dosing regimen for the fixed combination does not allow an assessment of whether using 400 mcg per day of fluticasone alone is superior to using the combination. It also does not allow down-titration of the steroid dose to 100 mcg per day in subjects whose symptoms are controlled. These limitations are typical of the issues that arise with fixed combination products.</w:t>
      </w:r>
    </w:p>
    <w:p w:rsidR="00D0093C" w:rsidRPr="00D0093C" w:rsidRDefault="00D0093C" w:rsidP="00C650F4">
      <w:pPr>
        <w:pStyle w:val="Heading6"/>
      </w:pPr>
      <w:r w:rsidRPr="00D0093C">
        <w:t>Efficacy variables and outcomes</w:t>
      </w:r>
    </w:p>
    <w:p w:rsidR="00D0093C" w:rsidRPr="00D0093C" w:rsidRDefault="00D0093C" w:rsidP="00C650F4">
      <w:r w:rsidRPr="00D0093C">
        <w:t>The main efficacy variables were:</w:t>
      </w:r>
    </w:p>
    <w:p w:rsidR="00D0093C" w:rsidRPr="00D0093C" w:rsidRDefault="00D0093C" w:rsidP="00C650F4">
      <w:pPr>
        <w:pStyle w:val="ListBullet"/>
      </w:pPr>
      <w:r w:rsidRPr="00D0093C">
        <w:lastRenderedPageBreak/>
        <w:t>The severity of symptoms of rhinitis and conjunctivitis scored by the patient and recorde</w:t>
      </w:r>
      <w:r>
        <w:t>d twice daily in a study diary</w:t>
      </w:r>
      <w:r w:rsidRPr="00D0093C">
        <w:t>.</w:t>
      </w:r>
    </w:p>
    <w:p w:rsidR="00D0093C" w:rsidRPr="00D0093C" w:rsidRDefault="00D0093C" w:rsidP="00C650F4">
      <w:pPr>
        <w:pStyle w:val="ListBullet"/>
      </w:pPr>
      <w:r w:rsidRPr="00D0093C">
        <w:t xml:space="preserve">Quality of life as assessed by the patient using an Adult </w:t>
      </w:r>
      <w:proofErr w:type="spellStart"/>
      <w:r w:rsidRPr="00D0093C">
        <w:t>Rhinoconjunctivitis</w:t>
      </w:r>
      <w:proofErr w:type="spellEnd"/>
      <w:r w:rsidRPr="00D0093C">
        <w:t xml:space="preserve"> Quality of Life Questionnaire (RQLQ).</w:t>
      </w:r>
    </w:p>
    <w:p w:rsidR="00D0093C" w:rsidRPr="00D0093C" w:rsidRDefault="00D0093C" w:rsidP="00C650F4">
      <w:r w:rsidRPr="00D0093C">
        <w:t>The primary efficacy outcome was:</w:t>
      </w:r>
    </w:p>
    <w:p w:rsidR="00D0093C" w:rsidRPr="00D0093C" w:rsidRDefault="00D0093C" w:rsidP="00C650F4">
      <w:pPr>
        <w:pStyle w:val="ListBullet"/>
      </w:pPr>
      <w:r w:rsidRPr="00D0093C">
        <w:t>Change from baseline to Day 14 in the 12-hour reflective TNSS for the entire double blind period compared to placebo.</w:t>
      </w:r>
    </w:p>
    <w:p w:rsidR="00D0093C" w:rsidRPr="00D0093C" w:rsidRDefault="00D0093C" w:rsidP="00C650F4">
      <w:r w:rsidRPr="00D0093C">
        <w:t>Secondary efficacy outcomes included:</w:t>
      </w:r>
    </w:p>
    <w:p w:rsidR="00D0093C" w:rsidRPr="00D0093C" w:rsidRDefault="00D0093C" w:rsidP="00C650F4">
      <w:pPr>
        <w:pStyle w:val="ListBullet"/>
      </w:pPr>
      <w:r w:rsidRPr="00D0093C">
        <w:t>Change from baseline in instantaneous TNSS for the entire 14-day study period compared to placebo</w:t>
      </w:r>
    </w:p>
    <w:p w:rsidR="00D0093C" w:rsidRPr="00D0093C" w:rsidRDefault="00D0093C" w:rsidP="00C650F4">
      <w:pPr>
        <w:pStyle w:val="ListBullet"/>
      </w:pPr>
      <w:r w:rsidRPr="00D0093C">
        <w:t>Change from baseline in 12-hour reflective individual symptom scores (including postnasal drip) for the entire 14-day study period compared to placebo</w:t>
      </w:r>
    </w:p>
    <w:p w:rsidR="00D0093C" w:rsidRPr="00D0093C" w:rsidRDefault="00D0093C" w:rsidP="00C650F4">
      <w:pPr>
        <w:pStyle w:val="ListBullet"/>
      </w:pPr>
      <w:r w:rsidRPr="00D0093C">
        <w:t>Daily change from baseline in 12-hour reflective and instantaneous TNSS compared to placebo</w:t>
      </w:r>
    </w:p>
    <w:p w:rsidR="00D0093C" w:rsidRPr="00D0093C" w:rsidRDefault="00D0093C" w:rsidP="00C650F4">
      <w:pPr>
        <w:pStyle w:val="ListBullet"/>
      </w:pPr>
      <w:r w:rsidRPr="00D0093C">
        <w:t>Change from baseline in 12-hour reflective TOSS for</w:t>
      </w:r>
      <w:r w:rsidR="00C650F4">
        <w:t xml:space="preserve"> the entire 14-day study period</w:t>
      </w:r>
    </w:p>
    <w:p w:rsidR="00D0093C" w:rsidRPr="00C650F4" w:rsidRDefault="00D0093C" w:rsidP="00C650F4">
      <w:pPr>
        <w:pStyle w:val="ListBullet"/>
      </w:pPr>
      <w:r w:rsidRPr="00C650F4">
        <w:t>Change from baseline in 12-hour reflective and instantaneous individual ocular symptom scores for</w:t>
      </w:r>
      <w:r w:rsidR="00C650F4">
        <w:t xml:space="preserve"> the entire 14-day study period</w:t>
      </w:r>
    </w:p>
    <w:p w:rsidR="00D0093C" w:rsidRPr="00C650F4" w:rsidRDefault="00D0093C" w:rsidP="00C650F4">
      <w:pPr>
        <w:pStyle w:val="ListBullet"/>
      </w:pPr>
      <w:r w:rsidRPr="00C650F4">
        <w:t>Change from baseline to Day 14 in the RQLQ compared to placebo in subjects 18 years of age and older.</w:t>
      </w:r>
    </w:p>
    <w:p w:rsidR="00D0093C" w:rsidRPr="00D0093C" w:rsidRDefault="00D0093C" w:rsidP="004B6AA9">
      <w:pPr>
        <w:ind w:left="426"/>
        <w:rPr>
          <w:lang w:val="en-US" w:eastAsia="ja-JP"/>
        </w:rPr>
      </w:pPr>
      <w:r w:rsidRPr="00C650F4">
        <w:rPr>
          <w:b/>
          <w:lang w:val="en-US" w:eastAsia="ja-JP"/>
        </w:rPr>
        <w:t>Comment</w:t>
      </w:r>
      <w:r w:rsidRPr="00D0093C">
        <w:rPr>
          <w:lang w:val="en-US" w:eastAsia="ja-JP"/>
        </w:rPr>
        <w:t>:</w:t>
      </w:r>
      <w:r>
        <w:rPr>
          <w:lang w:val="en-US" w:eastAsia="ja-JP"/>
        </w:rPr>
        <w:t xml:space="preserve"> </w:t>
      </w:r>
      <w:r w:rsidRPr="00D0093C">
        <w:rPr>
          <w:lang w:val="en-US" w:eastAsia="ja-JP"/>
        </w:rPr>
        <w:t xml:space="preserve">Use of the </w:t>
      </w:r>
      <w:proofErr w:type="spellStart"/>
      <w:r w:rsidRPr="00D0093C">
        <w:rPr>
          <w:lang w:val="en-US" w:eastAsia="ja-JP"/>
        </w:rPr>
        <w:t>rTNSS</w:t>
      </w:r>
      <w:proofErr w:type="spellEnd"/>
      <w:r w:rsidRPr="00D0093C">
        <w:rPr>
          <w:lang w:val="en-US" w:eastAsia="ja-JP"/>
        </w:rPr>
        <w:t xml:space="preserve"> as the primary endpoint, and the use of other symptom scores and the RQLQ as secondary endpoints, is consistent with the EMA guideline on products for allergic rhinitis. The RQLQ is a validated and widely used </w:t>
      </w:r>
      <w:proofErr w:type="spellStart"/>
      <w:r w:rsidRPr="00D0093C">
        <w:rPr>
          <w:lang w:val="en-US" w:eastAsia="ja-JP"/>
        </w:rPr>
        <w:t>QoL</w:t>
      </w:r>
      <w:proofErr w:type="spellEnd"/>
      <w:r w:rsidRPr="00D0093C">
        <w:rPr>
          <w:lang w:val="en-US" w:eastAsia="ja-JP"/>
        </w:rPr>
        <w:t xml:space="preserve"> instrument. </w:t>
      </w:r>
    </w:p>
    <w:p w:rsidR="00D0093C" w:rsidRPr="00D0093C" w:rsidRDefault="00D0093C" w:rsidP="00C650F4">
      <w:pPr>
        <w:pStyle w:val="Heading6"/>
      </w:pPr>
      <w:r w:rsidRPr="00D0093C">
        <w:t>Randomisation and blinding methods</w:t>
      </w:r>
    </w:p>
    <w:p w:rsidR="00D0093C" w:rsidRPr="00D0093C" w:rsidRDefault="00D0093C" w:rsidP="00C650F4">
      <w:pPr>
        <w:rPr>
          <w:lang w:eastAsia="ja-JP"/>
        </w:rPr>
      </w:pPr>
      <w:r w:rsidRPr="00D0093C">
        <w:rPr>
          <w:lang w:eastAsia="ja-JP"/>
        </w:rPr>
        <w:t xml:space="preserve">Subjects were randomised 1:1:1:1 by a </w:t>
      </w:r>
      <w:proofErr w:type="spellStart"/>
      <w:r w:rsidRPr="00D0093C">
        <w:rPr>
          <w:lang w:eastAsia="ja-JP"/>
        </w:rPr>
        <w:t>biostatistical</w:t>
      </w:r>
      <w:proofErr w:type="spellEnd"/>
      <w:r w:rsidRPr="00D0093C">
        <w:rPr>
          <w:lang w:eastAsia="ja-JP"/>
        </w:rPr>
        <w:t xml:space="preserve"> group engaged by the sponsor, using a validated system that assigned random permutations of treatments to consecutive groups of 4 subjects. Allocation to treatment was accomplished through an interactive voice recognition system (IVRS).</w:t>
      </w:r>
    </w:p>
    <w:p w:rsidR="00D0093C" w:rsidRPr="00D0093C" w:rsidRDefault="00D0093C" w:rsidP="00C650F4">
      <w:pPr>
        <w:rPr>
          <w:lang w:eastAsia="ja-JP"/>
        </w:rPr>
      </w:pPr>
      <w:r w:rsidRPr="00D0093C">
        <w:rPr>
          <w:lang w:eastAsia="ja-JP"/>
        </w:rPr>
        <w:t>Blinding was achieved by enclosing all nasal sprays in identical foil pouches.</w:t>
      </w:r>
    </w:p>
    <w:p w:rsidR="00D0093C" w:rsidRPr="00D0093C" w:rsidRDefault="00D0093C" w:rsidP="00C650F4">
      <w:pPr>
        <w:pStyle w:val="Heading6"/>
      </w:pPr>
      <w:r w:rsidRPr="00D0093C">
        <w:t>Analysis populations</w:t>
      </w:r>
    </w:p>
    <w:p w:rsidR="00D0093C" w:rsidRPr="00D0093C" w:rsidRDefault="00D0093C" w:rsidP="00C650F4">
      <w:pPr>
        <w:rPr>
          <w:lang w:eastAsia="ja-JP"/>
        </w:rPr>
      </w:pPr>
      <w:r w:rsidRPr="00D0093C">
        <w:rPr>
          <w:lang w:eastAsia="ja-JP"/>
        </w:rPr>
        <w:t xml:space="preserve">The Intention </w:t>
      </w:r>
      <w:proofErr w:type="gramStart"/>
      <w:r w:rsidRPr="00D0093C">
        <w:rPr>
          <w:lang w:eastAsia="ja-JP"/>
        </w:rPr>
        <w:t>To</w:t>
      </w:r>
      <w:proofErr w:type="gramEnd"/>
      <w:r w:rsidRPr="00D0093C">
        <w:rPr>
          <w:lang w:eastAsia="ja-JP"/>
        </w:rPr>
        <w:t xml:space="preserve"> Treat (ITT) population included all randomised subjects with at least one post-baseline observation. The Per Protocol (PP) population included </w:t>
      </w:r>
      <w:r w:rsidRPr="00D0093C">
        <w:rPr>
          <w:lang w:val="en-US" w:eastAsia="ja-JP"/>
        </w:rPr>
        <w:t xml:space="preserve">all subjects completing the 2-week treatment period. The safety population included all </w:t>
      </w:r>
      <w:proofErr w:type="spellStart"/>
      <w:r w:rsidRPr="00D0093C">
        <w:rPr>
          <w:lang w:val="en-US" w:eastAsia="ja-JP"/>
        </w:rPr>
        <w:t>randomised</w:t>
      </w:r>
      <w:proofErr w:type="spellEnd"/>
      <w:r w:rsidRPr="00D0093C">
        <w:rPr>
          <w:lang w:val="en-US" w:eastAsia="ja-JP"/>
        </w:rPr>
        <w:t xml:space="preserve"> subjects who received at least one dose of study medication.</w:t>
      </w:r>
    </w:p>
    <w:p w:rsidR="00D0093C" w:rsidRPr="00D0093C" w:rsidDel="0081373E" w:rsidRDefault="00D0093C" w:rsidP="00C650F4">
      <w:pPr>
        <w:pStyle w:val="Heading6"/>
      </w:pPr>
      <w:r w:rsidRPr="00D0093C" w:rsidDel="0081373E">
        <w:t>Sample size</w:t>
      </w:r>
    </w:p>
    <w:p w:rsidR="00D0093C" w:rsidRPr="00D0093C" w:rsidRDefault="00D0093C" w:rsidP="00C650F4">
      <w:pPr>
        <w:rPr>
          <w:lang w:eastAsia="ja-JP"/>
        </w:rPr>
      </w:pPr>
      <w:r w:rsidRPr="00D0093C">
        <w:rPr>
          <w:lang w:eastAsia="ja-JP"/>
        </w:rPr>
        <w:t xml:space="preserve">When the AM and PM </w:t>
      </w:r>
      <w:proofErr w:type="spellStart"/>
      <w:r w:rsidRPr="00D0093C">
        <w:rPr>
          <w:lang w:eastAsia="ja-JP"/>
        </w:rPr>
        <w:t>rTNSS</w:t>
      </w:r>
      <w:proofErr w:type="spellEnd"/>
      <w:r w:rsidRPr="00D0093C">
        <w:rPr>
          <w:lang w:eastAsia="ja-JP"/>
        </w:rPr>
        <w:t xml:space="preserve"> scores are combined, possible scores range being between 0 and 24. Based on a previous study, which used this method and which used co-administration of </w:t>
      </w:r>
      <w:proofErr w:type="spellStart"/>
      <w:r w:rsidRPr="00D0093C">
        <w:rPr>
          <w:lang w:eastAsia="ja-JP"/>
        </w:rPr>
        <w:t>azelastine</w:t>
      </w:r>
      <w:proofErr w:type="spellEnd"/>
      <w:r w:rsidRPr="00D0093C">
        <w:rPr>
          <w:lang w:eastAsia="ja-JP"/>
        </w:rPr>
        <w:t xml:space="preserve"> and fluticasone nasal sprays, the expected change in </w:t>
      </w:r>
      <w:proofErr w:type="spellStart"/>
      <w:r w:rsidRPr="00D0093C">
        <w:rPr>
          <w:lang w:eastAsia="ja-JP"/>
        </w:rPr>
        <w:t>rTNSS</w:t>
      </w:r>
      <w:proofErr w:type="spellEnd"/>
      <w:r w:rsidRPr="00D0093C">
        <w:rPr>
          <w:lang w:eastAsia="ja-JP"/>
        </w:rPr>
        <w:t xml:space="preserve"> for the fixed combination product was</w:t>
      </w:r>
      <w:r w:rsidR="007307C7">
        <w:rPr>
          <w:lang w:eastAsia="ja-JP"/>
        </w:rPr>
        <w:t xml:space="preserve"> </w:t>
      </w:r>
      <w:r w:rsidRPr="00D0093C">
        <w:rPr>
          <w:lang w:eastAsia="ja-JP"/>
        </w:rPr>
        <w:t>-5.92 points. In other previous studies, placebo nasal spray produced changes of up to -3.41 points. Using an expected standard deviation of 5.0 points (based on the same previous studies), a two-tailed test with an alpha value of 0.05 and 90% power and allowing for a 10% dropout rate, approximately 95 subjects were required per treatment group, to test the combination product against placebo.</w:t>
      </w:r>
    </w:p>
    <w:p w:rsidR="00D0093C" w:rsidRPr="008A5B4B" w:rsidRDefault="00D0093C" w:rsidP="00C650F4">
      <w:r w:rsidRPr="008A5B4B">
        <w:t xml:space="preserve">Based on previous studies, the expected change in </w:t>
      </w:r>
      <w:proofErr w:type="spellStart"/>
      <w:r w:rsidRPr="008A5B4B">
        <w:t>rTNSS</w:t>
      </w:r>
      <w:proofErr w:type="spellEnd"/>
      <w:r w:rsidRPr="008A5B4B">
        <w:t xml:space="preserve"> for the fluticasone group was -4.19 units. Using the value of -5.92 points for the combination product, along with an alpha of 0.05, </w:t>
      </w:r>
      <w:r w:rsidRPr="008A5B4B">
        <w:lastRenderedPageBreak/>
        <w:t xml:space="preserve">80% power, a two-tailed test and a 10% dropout rate, the calculated sample size was approximately 150 subjects per treatment group for this comparison. As </w:t>
      </w:r>
      <w:proofErr w:type="spellStart"/>
      <w:r w:rsidRPr="008A5B4B">
        <w:t>azelastine</w:t>
      </w:r>
      <w:proofErr w:type="spellEnd"/>
      <w:r w:rsidRPr="008A5B4B">
        <w:t xml:space="preserve"> nasal spray had been demonstrated to produce less of an effect on </w:t>
      </w:r>
      <w:proofErr w:type="spellStart"/>
      <w:r w:rsidRPr="008A5B4B">
        <w:t>rTNSS</w:t>
      </w:r>
      <w:proofErr w:type="spellEnd"/>
      <w:r w:rsidRPr="008A5B4B">
        <w:t xml:space="preserve"> than fluticasone, this sample size would be adequate for comparing the fixed combination with </w:t>
      </w:r>
      <w:proofErr w:type="spellStart"/>
      <w:r w:rsidRPr="008A5B4B">
        <w:t>azelastine</w:t>
      </w:r>
      <w:proofErr w:type="spellEnd"/>
      <w:r w:rsidRPr="008A5B4B">
        <w:t xml:space="preserve"> monotherapy.</w:t>
      </w:r>
    </w:p>
    <w:p w:rsidR="00D0093C" w:rsidRPr="00D0093C" w:rsidRDefault="00D0093C" w:rsidP="00C650F4">
      <w:pPr>
        <w:pStyle w:val="Heading6"/>
        <w:rPr>
          <w:lang w:eastAsia="ja-JP"/>
        </w:rPr>
      </w:pPr>
      <w:r w:rsidRPr="00D0093C">
        <w:rPr>
          <w:lang w:eastAsia="ja-JP"/>
        </w:rPr>
        <w:t>Statistical methods</w:t>
      </w:r>
    </w:p>
    <w:p w:rsidR="007307C7" w:rsidRDefault="00D0093C" w:rsidP="00C650F4">
      <w:r w:rsidRPr="008A5B4B">
        <w:t xml:space="preserve">For the primary endpoint, all absolute changes in combined (AM </w:t>
      </w:r>
      <w:r w:rsidR="008A5B4B">
        <w:t>plus</w:t>
      </w:r>
      <w:r w:rsidRPr="008A5B4B">
        <w:t xml:space="preserve"> PM) </w:t>
      </w:r>
      <w:proofErr w:type="spellStart"/>
      <w:r w:rsidRPr="008A5B4B">
        <w:t>rTNSS</w:t>
      </w:r>
      <w:proofErr w:type="spellEnd"/>
      <w:r w:rsidRPr="008A5B4B">
        <w:t xml:space="preserve"> from Day 1 PM to Day 14 AM were included as repeated measures in an analysis of covariance (ANCOVA) model. The model contained study day as the within-subject effect, treatment group and site as the between-subject effects, and baseline as a covariate. Missing TNSS values were imputed using the last observation carried forward (LOCF) method. The analysis was done on the ITT population.</w:t>
      </w:r>
    </w:p>
    <w:p w:rsidR="00D0093C" w:rsidRPr="008A5B4B" w:rsidRDefault="00D0093C" w:rsidP="00C650F4">
      <w:r w:rsidRPr="008A5B4B">
        <w:t xml:space="preserve">Two-sided confidence intervals for the differences in overall mean changes, that </w:t>
      </w:r>
      <w:r w:rsidR="007307C7" w:rsidRPr="008A5B4B">
        <w:t>is,</w:t>
      </w:r>
      <w:r w:rsidRPr="008A5B4B">
        <w:t xml:space="preserve"> the combination compared to placebo, the combination compared to </w:t>
      </w:r>
      <w:proofErr w:type="spellStart"/>
      <w:r w:rsidRPr="008A5B4B">
        <w:t>azelastine</w:t>
      </w:r>
      <w:proofErr w:type="spellEnd"/>
      <w:r w:rsidRPr="008A5B4B">
        <w:t>, and the combination compared to flu</w:t>
      </w:r>
      <w:r w:rsidR="00C650F4">
        <w:t>ticasone, were also calculated.</w:t>
      </w:r>
    </w:p>
    <w:p w:rsidR="00D0093C" w:rsidRPr="008A5B4B" w:rsidRDefault="00D0093C" w:rsidP="00C650F4">
      <w:r w:rsidRPr="008A5B4B">
        <w:t>In order to adjust for multiplicity, a gatekeeping strategy w</w:t>
      </w:r>
      <w:r w:rsidR="008A5B4B">
        <w:t>as employed. The combination versus</w:t>
      </w:r>
      <w:r w:rsidRPr="008A5B4B">
        <w:t xml:space="preserve"> placebo comparison was first tested at the 0.05 significance level. If this was significant, then the combination </w:t>
      </w:r>
      <w:r w:rsidR="008A5B4B">
        <w:t>versus</w:t>
      </w:r>
      <w:r w:rsidRPr="008A5B4B">
        <w:t xml:space="preserve"> </w:t>
      </w:r>
      <w:proofErr w:type="spellStart"/>
      <w:r w:rsidRPr="008A5B4B">
        <w:t>azelastine</w:t>
      </w:r>
      <w:proofErr w:type="spellEnd"/>
      <w:r w:rsidRPr="008A5B4B">
        <w:t xml:space="preserve"> comparison was also done at the 0.05 level. If the combination </w:t>
      </w:r>
      <w:r w:rsidR="008A5B4B">
        <w:t xml:space="preserve">versus </w:t>
      </w:r>
      <w:proofErr w:type="spellStart"/>
      <w:r w:rsidRPr="008A5B4B">
        <w:t>azelastine</w:t>
      </w:r>
      <w:proofErr w:type="spellEnd"/>
      <w:r w:rsidRPr="008A5B4B">
        <w:t xml:space="preserve"> comparison was not significant at the 0.05 level, no comparison of the combination </w:t>
      </w:r>
      <w:r w:rsidR="008A5B4B">
        <w:t>versus</w:t>
      </w:r>
      <w:r w:rsidR="007307C7">
        <w:t xml:space="preserve"> </w:t>
      </w:r>
      <w:r w:rsidRPr="008A5B4B">
        <w:t>fluticasone was made. Otherwise the comparison was made at the 0.05 level.</w:t>
      </w:r>
    </w:p>
    <w:p w:rsidR="00D0093C" w:rsidRPr="008A5B4B" w:rsidRDefault="00D0093C" w:rsidP="00C650F4">
      <w:r w:rsidRPr="008A5B4B">
        <w:t>Sensitivity analyses included a raw data analysis without data imputation, and an analysis of the PP population.</w:t>
      </w:r>
    </w:p>
    <w:p w:rsidR="00D0093C" w:rsidRPr="00D0093C" w:rsidRDefault="00D0093C" w:rsidP="00C650F4">
      <w:pPr>
        <w:rPr>
          <w:lang w:val="en-US" w:eastAsia="ja-JP"/>
        </w:rPr>
      </w:pPr>
      <w:r w:rsidRPr="00D0093C">
        <w:rPr>
          <w:lang w:eastAsia="ja-JP"/>
        </w:rPr>
        <w:t xml:space="preserve">A large number of analyses of symptom score secondary endpoints were conducted also using the ITT population and with LOCF for missing values. </w:t>
      </w:r>
      <w:r w:rsidRPr="00D0093C">
        <w:rPr>
          <w:lang w:val="en-US" w:eastAsia="ja-JP"/>
        </w:rPr>
        <w:t>Analyses were done for both the combined AM and PM scores and for the AM and PM scores separately. Analyses were also provided for both absolute change from baseline and percent change. Comparisons were made for the entire 14-day treatment period as well as for each individual day.</w:t>
      </w:r>
      <w:r w:rsidRPr="00D0093C">
        <w:rPr>
          <w:lang w:eastAsia="ja-JP"/>
        </w:rPr>
        <w:t xml:space="preserve"> The ANCOVA model was used to compare scores over the entire 14-day treatment period. A reduced model, without study day as a factor, was used for treatment comparisons for individual days. </w:t>
      </w:r>
      <w:r w:rsidRPr="00D0093C">
        <w:rPr>
          <w:lang w:val="en-US" w:eastAsia="ja-JP"/>
        </w:rPr>
        <w:t>No adjustments for multiplicity of testing were made for these secondary endpoints.</w:t>
      </w:r>
    </w:p>
    <w:p w:rsidR="00D0093C" w:rsidRPr="00D0093C" w:rsidRDefault="00D0093C" w:rsidP="00C650F4">
      <w:pPr>
        <w:rPr>
          <w:lang w:val="en-US" w:eastAsia="ja-JP"/>
        </w:rPr>
      </w:pPr>
      <w:r w:rsidRPr="00D0093C">
        <w:rPr>
          <w:lang w:val="en-US" w:eastAsia="ja-JP"/>
        </w:rPr>
        <w:t xml:space="preserve">For the RQLQ, the total score as well as the 7 domain scores were </w:t>
      </w:r>
      <w:proofErr w:type="spellStart"/>
      <w:r w:rsidRPr="00D0093C">
        <w:rPr>
          <w:lang w:val="en-US" w:eastAsia="ja-JP"/>
        </w:rPr>
        <w:t>analysed</w:t>
      </w:r>
      <w:proofErr w:type="spellEnd"/>
      <w:r w:rsidRPr="00D0093C">
        <w:rPr>
          <w:lang w:val="en-US" w:eastAsia="ja-JP"/>
        </w:rPr>
        <w:t xml:space="preserve"> by applying an ANCOVA model as for the other individual day comparisons.</w:t>
      </w:r>
    </w:p>
    <w:p w:rsidR="00D0093C" w:rsidRPr="00D0093C" w:rsidRDefault="00D0093C" w:rsidP="00C650F4">
      <w:pPr>
        <w:rPr>
          <w:lang w:val="en-US" w:eastAsia="ja-JP"/>
        </w:rPr>
      </w:pPr>
      <w:r w:rsidRPr="00D0093C">
        <w:rPr>
          <w:lang w:val="en-US" w:eastAsia="ja-JP"/>
        </w:rPr>
        <w:t>For all endpoints, within-subject changes from baseline for each treatment group were compared by calculating p-values based on paired t-test.</w:t>
      </w:r>
    </w:p>
    <w:p w:rsidR="00D0093C" w:rsidRPr="008A5B4B" w:rsidRDefault="00D0093C" w:rsidP="00C650F4">
      <w:pPr>
        <w:pStyle w:val="Heading6"/>
      </w:pPr>
      <w:r w:rsidRPr="008A5B4B">
        <w:t>Participant flow</w:t>
      </w:r>
    </w:p>
    <w:p w:rsidR="00D0093C" w:rsidRPr="00D0093C" w:rsidRDefault="00D0093C" w:rsidP="00C650F4">
      <w:pPr>
        <w:rPr>
          <w:lang w:eastAsia="ja-JP"/>
        </w:rPr>
      </w:pPr>
      <w:r w:rsidRPr="00D0093C">
        <w:rPr>
          <w:lang w:eastAsia="ja-JP"/>
        </w:rPr>
        <w:t>A total of 610 subjects were randomized and 94.6% of these completed the study. Reasons for discontinuation were well balanced between the four treatment groups.</w:t>
      </w:r>
    </w:p>
    <w:p w:rsidR="00D0093C" w:rsidRPr="008A5B4B" w:rsidRDefault="00D0093C" w:rsidP="00C650F4">
      <w:pPr>
        <w:pStyle w:val="Heading6"/>
      </w:pPr>
      <w:r w:rsidRPr="008A5B4B">
        <w:t>Major protocol violations/deviations</w:t>
      </w:r>
    </w:p>
    <w:p w:rsidR="00D0093C" w:rsidRPr="00D0093C" w:rsidRDefault="00D0093C" w:rsidP="00C650F4">
      <w:pPr>
        <w:rPr>
          <w:lang w:eastAsia="ja-JP"/>
        </w:rPr>
      </w:pPr>
      <w:r w:rsidRPr="00D0093C">
        <w:rPr>
          <w:lang w:eastAsia="ja-JP"/>
        </w:rPr>
        <w:t xml:space="preserve">One subject in the </w:t>
      </w:r>
      <w:proofErr w:type="spellStart"/>
      <w:r w:rsidRPr="00D0093C">
        <w:rPr>
          <w:lang w:eastAsia="ja-JP"/>
        </w:rPr>
        <w:t>azelastine</w:t>
      </w:r>
      <w:proofErr w:type="spellEnd"/>
      <w:r w:rsidRPr="00D0093C">
        <w:rPr>
          <w:lang w:eastAsia="ja-JP"/>
        </w:rPr>
        <w:t xml:space="preserve"> group and two in the fluticasone group did not have any post-baseline efficacy assessments and were therefore excluded from the ITT analysis. A total of 49 randomised subjects were excluded from the PP population. Most of these (n</w:t>
      </w:r>
      <w:r w:rsidR="008A5B4B">
        <w:rPr>
          <w:lang w:eastAsia="ja-JP"/>
        </w:rPr>
        <w:t xml:space="preserve"> </w:t>
      </w:r>
      <w:r w:rsidRPr="00D0093C">
        <w:rPr>
          <w:lang w:eastAsia="ja-JP"/>
        </w:rPr>
        <w:t>=</w:t>
      </w:r>
      <w:r w:rsidR="008A5B4B">
        <w:rPr>
          <w:lang w:eastAsia="ja-JP"/>
        </w:rPr>
        <w:t xml:space="preserve"> </w:t>
      </w:r>
      <w:r w:rsidRPr="00D0093C">
        <w:rPr>
          <w:lang w:eastAsia="ja-JP"/>
        </w:rPr>
        <w:t xml:space="preserve">33) were excluded because they did not complete the study. Reasons for exclusion for the remaining 16 subjects included not meeting inclusion/exclusion criteria, poor compliance based on diary dosing records and the final visit being outside the required window of </w:t>
      </w:r>
      <w:r w:rsidR="008A5B4B">
        <w:rPr>
          <w:lang w:eastAsia="ja-JP"/>
        </w:rPr>
        <w:t xml:space="preserve">plus or minus </w:t>
      </w:r>
      <w:r w:rsidRPr="00D0093C">
        <w:rPr>
          <w:lang w:eastAsia="ja-JP"/>
        </w:rPr>
        <w:t>2 days. These violations were reasonably evenly distributed across the four treatment arms.</w:t>
      </w:r>
    </w:p>
    <w:p w:rsidR="00D0093C" w:rsidRPr="00D0093C" w:rsidRDefault="00D0093C" w:rsidP="00C650F4">
      <w:pPr>
        <w:rPr>
          <w:lang w:eastAsia="ja-JP"/>
        </w:rPr>
      </w:pPr>
      <w:r w:rsidRPr="00D0093C">
        <w:rPr>
          <w:lang w:eastAsia="ja-JP"/>
        </w:rPr>
        <w:lastRenderedPageBreak/>
        <w:t>A tabulation of concomitant medications used in the study was provided in the report. Use of medications that might have represente</w:t>
      </w:r>
      <w:r w:rsidR="008A5B4B">
        <w:rPr>
          <w:lang w:eastAsia="ja-JP"/>
        </w:rPr>
        <w:t>d rescue treatment (for example</w:t>
      </w:r>
      <w:r w:rsidRPr="00D0093C">
        <w:rPr>
          <w:lang w:eastAsia="ja-JP"/>
        </w:rPr>
        <w:t xml:space="preserve"> promethazine, </w:t>
      </w:r>
      <w:proofErr w:type="spellStart"/>
      <w:r w:rsidRPr="00D0093C">
        <w:rPr>
          <w:lang w:eastAsia="ja-JP"/>
        </w:rPr>
        <w:t>loratadine</w:t>
      </w:r>
      <w:proofErr w:type="spellEnd"/>
      <w:r w:rsidRPr="00D0093C">
        <w:rPr>
          <w:lang w:eastAsia="ja-JP"/>
        </w:rPr>
        <w:t xml:space="preserve">, </w:t>
      </w:r>
      <w:proofErr w:type="gramStart"/>
      <w:r w:rsidRPr="00D0093C">
        <w:rPr>
          <w:lang w:eastAsia="ja-JP"/>
        </w:rPr>
        <w:t>triamcinolone</w:t>
      </w:r>
      <w:proofErr w:type="gramEnd"/>
      <w:r w:rsidRPr="00D0093C">
        <w:rPr>
          <w:lang w:eastAsia="ja-JP"/>
        </w:rPr>
        <w:t xml:space="preserve">) was rare and occurred only in the </w:t>
      </w:r>
      <w:proofErr w:type="spellStart"/>
      <w:r w:rsidRPr="00D0093C">
        <w:rPr>
          <w:lang w:eastAsia="ja-JP"/>
        </w:rPr>
        <w:t>azelastine</w:t>
      </w:r>
      <w:proofErr w:type="spellEnd"/>
      <w:r w:rsidRPr="00D0093C">
        <w:rPr>
          <w:lang w:eastAsia="ja-JP"/>
        </w:rPr>
        <w:t xml:space="preserve"> and placebo groups.</w:t>
      </w:r>
    </w:p>
    <w:p w:rsidR="00D0093C" w:rsidRPr="00D0093C" w:rsidRDefault="008A5B4B" w:rsidP="004B6AA9">
      <w:pPr>
        <w:ind w:left="426"/>
        <w:rPr>
          <w:lang w:eastAsia="ja-JP"/>
        </w:rPr>
      </w:pPr>
      <w:r w:rsidRPr="00C650F4">
        <w:rPr>
          <w:b/>
          <w:lang w:eastAsia="ja-JP"/>
        </w:rPr>
        <w:t>Comment</w:t>
      </w:r>
      <w:r>
        <w:rPr>
          <w:lang w:eastAsia="ja-JP"/>
        </w:rPr>
        <w:t xml:space="preserve">: </w:t>
      </w:r>
      <w:r w:rsidR="00D0093C" w:rsidRPr="00D0093C">
        <w:rPr>
          <w:lang w:eastAsia="ja-JP"/>
        </w:rPr>
        <w:t>The protocol violations would not have affected the outcome of the study.</w:t>
      </w:r>
    </w:p>
    <w:p w:rsidR="00D0093C" w:rsidRPr="008A5B4B" w:rsidRDefault="00D0093C" w:rsidP="00C650F4">
      <w:pPr>
        <w:pStyle w:val="Heading6"/>
      </w:pPr>
      <w:r w:rsidRPr="008A5B4B">
        <w:t>Baseline data</w:t>
      </w:r>
    </w:p>
    <w:p w:rsidR="00D0093C" w:rsidRPr="00D0093C" w:rsidRDefault="008A5B4B" w:rsidP="00A42854">
      <w:pPr>
        <w:ind w:left="426"/>
        <w:rPr>
          <w:lang w:eastAsia="ja-JP"/>
        </w:rPr>
      </w:pPr>
      <w:r w:rsidRPr="00C650F4">
        <w:rPr>
          <w:b/>
          <w:lang w:eastAsia="ja-JP"/>
        </w:rPr>
        <w:t>Comment:</w:t>
      </w:r>
      <w:r>
        <w:rPr>
          <w:lang w:eastAsia="ja-JP"/>
        </w:rPr>
        <w:t xml:space="preserve"> </w:t>
      </w:r>
      <w:r w:rsidR="00D0093C" w:rsidRPr="00D0093C">
        <w:rPr>
          <w:lang w:eastAsia="ja-JP"/>
        </w:rPr>
        <w:t xml:space="preserve">The four groups were well balanced for these variables. Mean </w:t>
      </w:r>
      <w:proofErr w:type="spellStart"/>
      <w:r w:rsidR="00D0093C" w:rsidRPr="00D0093C">
        <w:rPr>
          <w:lang w:eastAsia="ja-JP"/>
        </w:rPr>
        <w:t>rTNSS</w:t>
      </w:r>
      <w:proofErr w:type="spellEnd"/>
      <w:r w:rsidR="00D0093C" w:rsidRPr="00D0093C">
        <w:rPr>
          <w:lang w:eastAsia="ja-JP"/>
        </w:rPr>
        <w:t xml:space="preserve"> scores were greater than 18 (out of a possible 24) in all groups, which would be consistent with subjects having moderate to severe rhinitis.</w:t>
      </w:r>
    </w:p>
    <w:p w:rsidR="00D0093C" w:rsidRPr="008A5B4B" w:rsidRDefault="00D0093C" w:rsidP="00C650F4">
      <w:pPr>
        <w:pStyle w:val="Heading6"/>
      </w:pPr>
      <w:r w:rsidRPr="008A5B4B">
        <w:t>Results for the primary efficacy outcome</w:t>
      </w:r>
    </w:p>
    <w:p w:rsidR="007307C7" w:rsidRDefault="00D0093C" w:rsidP="00C650F4">
      <w:pPr>
        <w:rPr>
          <w:lang w:eastAsia="ja-JP"/>
        </w:rPr>
      </w:pPr>
      <w:r w:rsidRPr="00D0093C">
        <w:rPr>
          <w:lang w:eastAsia="ja-JP"/>
        </w:rPr>
        <w:t>For statistical analysis of symptom scores, the AM and PM values were combined.</w:t>
      </w:r>
      <w:r w:rsidR="007307C7">
        <w:rPr>
          <w:lang w:eastAsia="ja-JP"/>
        </w:rPr>
        <w:t xml:space="preserve"> </w:t>
      </w:r>
      <w:r w:rsidRPr="00D0093C">
        <w:rPr>
          <w:lang w:eastAsia="ja-JP"/>
        </w:rPr>
        <w:t>Score values could th</w:t>
      </w:r>
      <w:r w:rsidR="00C650F4">
        <w:rPr>
          <w:lang w:eastAsia="ja-JP"/>
        </w:rPr>
        <w:t>erefore range between 0 and 24.</w:t>
      </w:r>
    </w:p>
    <w:p w:rsidR="00D0093C" w:rsidRPr="00D0093C" w:rsidRDefault="00D0093C" w:rsidP="00C650F4">
      <w:pPr>
        <w:rPr>
          <w:lang w:eastAsia="ja-JP"/>
        </w:rPr>
      </w:pPr>
      <w:r w:rsidRPr="00D0093C">
        <w:rPr>
          <w:lang w:eastAsia="ja-JP"/>
        </w:rPr>
        <w:t xml:space="preserve">There was significant improvement in </w:t>
      </w:r>
      <w:proofErr w:type="spellStart"/>
      <w:r w:rsidRPr="00D0093C">
        <w:rPr>
          <w:lang w:eastAsia="ja-JP"/>
        </w:rPr>
        <w:t>rTNSS</w:t>
      </w:r>
      <w:proofErr w:type="spellEnd"/>
      <w:r w:rsidRPr="00D0093C">
        <w:rPr>
          <w:lang w:eastAsia="ja-JP"/>
        </w:rPr>
        <w:t xml:space="preserve"> from baseline in all treatment groups, including placebo. The improvement seen with the fixed combination (LS Mean -5.31) was significantly greater than that seen with fluticasone alone (-3.84; p = 0.003), </w:t>
      </w:r>
      <w:proofErr w:type="spellStart"/>
      <w:r w:rsidRPr="00D0093C">
        <w:rPr>
          <w:lang w:eastAsia="ja-JP"/>
        </w:rPr>
        <w:t>azelastine</w:t>
      </w:r>
      <w:proofErr w:type="spellEnd"/>
      <w:r w:rsidRPr="00D0093C">
        <w:rPr>
          <w:lang w:eastAsia="ja-JP"/>
        </w:rPr>
        <w:t xml:space="preserve"> alone (-3.25; p</w:t>
      </w:r>
      <w:r w:rsidR="008A5B4B">
        <w:rPr>
          <w:lang w:eastAsia="ja-JP"/>
        </w:rPr>
        <w:t> </w:t>
      </w:r>
      <w:r w:rsidRPr="00D0093C">
        <w:rPr>
          <w:lang w:eastAsia="ja-JP"/>
        </w:rPr>
        <w:t>&lt;</w:t>
      </w:r>
      <w:r w:rsidR="008A5B4B">
        <w:rPr>
          <w:lang w:eastAsia="ja-JP"/>
        </w:rPr>
        <w:t> </w:t>
      </w:r>
      <w:r w:rsidRPr="00D0093C">
        <w:rPr>
          <w:lang w:eastAsia="ja-JP"/>
        </w:rPr>
        <w:t>0.001) and placebo (-2.20; p</w:t>
      </w:r>
      <w:r w:rsidR="008A5B4B">
        <w:rPr>
          <w:lang w:eastAsia="ja-JP"/>
        </w:rPr>
        <w:t xml:space="preserve"> </w:t>
      </w:r>
      <w:r w:rsidRPr="00D0093C">
        <w:rPr>
          <w:lang w:eastAsia="ja-JP"/>
        </w:rPr>
        <w:t>&lt;</w:t>
      </w:r>
      <w:r w:rsidR="008A5B4B">
        <w:rPr>
          <w:lang w:eastAsia="ja-JP"/>
        </w:rPr>
        <w:t xml:space="preserve"> </w:t>
      </w:r>
      <w:r w:rsidRPr="00D0093C">
        <w:rPr>
          <w:lang w:eastAsia="ja-JP"/>
        </w:rPr>
        <w:t>0.001).</w:t>
      </w:r>
    </w:p>
    <w:p w:rsidR="00D0093C" w:rsidRPr="00D0093C" w:rsidRDefault="00D0093C" w:rsidP="003D1A79">
      <w:pPr>
        <w:ind w:left="426"/>
        <w:rPr>
          <w:lang w:eastAsia="ja-JP"/>
        </w:rPr>
      </w:pPr>
      <w:r w:rsidRPr="00C650F4">
        <w:rPr>
          <w:b/>
          <w:lang w:eastAsia="ja-JP"/>
        </w:rPr>
        <w:t>Comment</w:t>
      </w:r>
      <w:r w:rsidRPr="00D0093C">
        <w:rPr>
          <w:lang w:eastAsia="ja-JP"/>
        </w:rPr>
        <w:t>:</w:t>
      </w:r>
      <w:r w:rsidR="008A5B4B">
        <w:rPr>
          <w:lang w:eastAsia="ja-JP"/>
        </w:rPr>
        <w:t xml:space="preserve"> </w:t>
      </w:r>
      <w:r w:rsidRPr="00D0093C">
        <w:rPr>
          <w:lang w:eastAsia="ja-JP"/>
        </w:rPr>
        <w:t>The placebo-corrected improvement obta</w:t>
      </w:r>
      <w:r w:rsidR="008A5B4B">
        <w:rPr>
          <w:lang w:eastAsia="ja-JP"/>
        </w:rPr>
        <w:t xml:space="preserve">ined with </w:t>
      </w:r>
      <w:proofErr w:type="spellStart"/>
      <w:r w:rsidR="008A5B4B">
        <w:rPr>
          <w:lang w:eastAsia="ja-JP"/>
        </w:rPr>
        <w:t>azelastine</w:t>
      </w:r>
      <w:proofErr w:type="spellEnd"/>
      <w:r w:rsidR="008A5B4B">
        <w:rPr>
          <w:lang w:eastAsia="ja-JP"/>
        </w:rPr>
        <w:t xml:space="preserve"> alone was </w:t>
      </w:r>
      <w:r w:rsidR="008A5B4B">
        <w:rPr>
          <w:lang w:eastAsia="ja-JP"/>
        </w:rPr>
        <w:noBreakHyphen/>
      </w:r>
      <w:r w:rsidRPr="00D0093C">
        <w:rPr>
          <w:lang w:eastAsia="ja-JP"/>
        </w:rPr>
        <w:t>1.05 and with fluticasone it was -1.64. The value with the combination was -3.11. Therefore the absolute benefit of the combination over fluticasone alone was -1.47. This value is comparable to the benefit seen with the monotherapies over placebo. As both the monotherapies are registered in Australia, it could be concluded that the additional benefit provided by the combination is clinically significant.</w:t>
      </w:r>
    </w:p>
    <w:p w:rsidR="00D0093C" w:rsidRPr="008A5B4B" w:rsidRDefault="00D0093C" w:rsidP="00C650F4">
      <w:pPr>
        <w:pStyle w:val="Heading6"/>
      </w:pPr>
      <w:r w:rsidRPr="008A5B4B">
        <w:t>Results for other efficacy outcomes</w:t>
      </w:r>
    </w:p>
    <w:p w:rsidR="00D0093C" w:rsidRPr="00D0093C" w:rsidRDefault="00D0093C" w:rsidP="00C650F4">
      <w:pPr>
        <w:rPr>
          <w:lang w:eastAsia="ja-JP"/>
        </w:rPr>
      </w:pPr>
      <w:r w:rsidRPr="00D0093C">
        <w:rPr>
          <w:lang w:eastAsia="ja-JP"/>
        </w:rPr>
        <w:t>The sponsor presented a large number of other analyses of secondary endpoints. Results included the following:</w:t>
      </w:r>
    </w:p>
    <w:p w:rsidR="00D0093C" w:rsidRPr="00306A68" w:rsidRDefault="00D0093C" w:rsidP="00C650F4">
      <w:pPr>
        <w:rPr>
          <w:b/>
        </w:rPr>
      </w:pPr>
      <w:r w:rsidRPr="00306A68">
        <w:rPr>
          <w:b/>
        </w:rPr>
        <w:t>Nasal symptoms</w:t>
      </w:r>
    </w:p>
    <w:p w:rsidR="00D0093C" w:rsidRPr="00306A68" w:rsidRDefault="00D0093C" w:rsidP="00306A68">
      <w:pPr>
        <w:pStyle w:val="ListBullet"/>
      </w:pPr>
      <w:r w:rsidRPr="00306A68">
        <w:t>Sensitivity analyses of the primary endpoint gave comparable results to the primary analysis. These included the per-protocol analysis, a raw data analysis without data imputation and an analysis that included a treatment-by-site term in the analysis model.</w:t>
      </w:r>
    </w:p>
    <w:p w:rsidR="00D0093C" w:rsidRPr="00306A68" w:rsidRDefault="00D0093C" w:rsidP="00306A68">
      <w:pPr>
        <w:pStyle w:val="ListBullet"/>
      </w:pPr>
      <w:r w:rsidRPr="00306A68">
        <w:t>The study report stated that the change from baseline in the primary endpoint was also statistically significant for both monotherapy comparators versus placebo (P</w:t>
      </w:r>
      <w:r w:rsidR="008A5B4B" w:rsidRPr="00306A68">
        <w:t xml:space="preserve"> </w:t>
      </w:r>
      <w:r w:rsidRPr="00306A68">
        <w:t>&lt;</w:t>
      </w:r>
      <w:r w:rsidR="008A5B4B" w:rsidRPr="00306A68">
        <w:t xml:space="preserve"> </w:t>
      </w:r>
      <w:r w:rsidRPr="00306A68">
        <w:t>0.05), although no further information or tabulations were provided.</w:t>
      </w:r>
    </w:p>
    <w:p w:rsidR="00D0093C" w:rsidRPr="00306A68" w:rsidRDefault="00D0093C" w:rsidP="00306A68">
      <w:pPr>
        <w:pStyle w:val="ListBullet"/>
      </w:pPr>
      <w:r w:rsidRPr="00306A68">
        <w:t xml:space="preserve">For </w:t>
      </w:r>
      <w:proofErr w:type="spellStart"/>
      <w:r w:rsidRPr="00306A68">
        <w:t>rTNSS</w:t>
      </w:r>
      <w:proofErr w:type="spellEnd"/>
      <w:r w:rsidRPr="00306A68">
        <w:t xml:space="preserve"> (AM+PM) by individual day, the combination product was significantly more effective than placebo and </w:t>
      </w:r>
      <w:proofErr w:type="spellStart"/>
      <w:r w:rsidRPr="00306A68">
        <w:t>azelastine</w:t>
      </w:r>
      <w:proofErr w:type="spellEnd"/>
      <w:r w:rsidRPr="00306A68">
        <w:t xml:space="preserve"> for all </w:t>
      </w:r>
      <w:proofErr w:type="gramStart"/>
      <w:r w:rsidRPr="00306A68">
        <w:t>days,</w:t>
      </w:r>
      <w:proofErr w:type="gramEnd"/>
      <w:r w:rsidRPr="00306A68">
        <w:t xml:space="preserve"> and superior to fluticasone for most days. This was true for both change in absolute score from baseline, and percentage change from baseline.</w:t>
      </w:r>
    </w:p>
    <w:p w:rsidR="00D0093C" w:rsidRPr="00306A68" w:rsidRDefault="00D0093C" w:rsidP="00306A68">
      <w:pPr>
        <w:pStyle w:val="ListBullet"/>
      </w:pPr>
      <w:r w:rsidRPr="00306A68">
        <w:t xml:space="preserve">For </w:t>
      </w:r>
      <w:proofErr w:type="spellStart"/>
      <w:r w:rsidRPr="00306A68">
        <w:t>rTNSS</w:t>
      </w:r>
      <w:proofErr w:type="spellEnd"/>
      <w:r w:rsidRPr="00306A68">
        <w:t xml:space="preserve"> (AM only), the combination was superior to all 3 comparators when compared over the entire double-blind period, for both absolute and percentage change. For individual days, it was superior to placebo on all days and superior to </w:t>
      </w:r>
      <w:proofErr w:type="spellStart"/>
      <w:r w:rsidRPr="00306A68">
        <w:t>azelastine</w:t>
      </w:r>
      <w:proofErr w:type="spellEnd"/>
      <w:r w:rsidRPr="00306A68">
        <w:t xml:space="preserve"> and fluticasone on most days, whether assessed by absolute change or percentage change. The same overall pattern of results was seen for </w:t>
      </w:r>
      <w:proofErr w:type="spellStart"/>
      <w:r w:rsidRPr="00306A68">
        <w:t>rTNSS</w:t>
      </w:r>
      <w:proofErr w:type="spellEnd"/>
      <w:r w:rsidRPr="00306A68">
        <w:t xml:space="preserve"> (PM only).</w:t>
      </w:r>
    </w:p>
    <w:p w:rsidR="00D0093C" w:rsidRPr="00306A68" w:rsidRDefault="00D0093C" w:rsidP="00306A68">
      <w:pPr>
        <w:pStyle w:val="ListBullet"/>
      </w:pPr>
      <w:r w:rsidRPr="00306A68">
        <w:t xml:space="preserve">For the individual symptom of itchy nose (AM+PM), the combination was superior to all 3 comparators when compared over the entire double-blind period, for absolute change from baseline. When examined in terms of percentage change, it was superior to placebo and </w:t>
      </w:r>
      <w:proofErr w:type="spellStart"/>
      <w:r w:rsidRPr="00306A68">
        <w:t>azelastine</w:t>
      </w:r>
      <w:proofErr w:type="spellEnd"/>
      <w:r w:rsidRPr="00306A68">
        <w:t xml:space="preserve"> but not fluticasone (p</w:t>
      </w:r>
      <w:r w:rsidR="008A5B4B" w:rsidRPr="00306A68">
        <w:t xml:space="preserve"> </w:t>
      </w:r>
      <w:r w:rsidRPr="00306A68">
        <w:t>=</w:t>
      </w:r>
      <w:r w:rsidR="008A5B4B" w:rsidRPr="00306A68">
        <w:t xml:space="preserve"> </w:t>
      </w:r>
      <w:r w:rsidRPr="00306A68">
        <w:t>0.055). Individual day scores were consistent with this pattern.</w:t>
      </w:r>
    </w:p>
    <w:p w:rsidR="00D0093C" w:rsidRPr="00306A68" w:rsidRDefault="00D0093C" w:rsidP="00306A68">
      <w:pPr>
        <w:pStyle w:val="ListBullet"/>
      </w:pPr>
      <w:r w:rsidRPr="00306A68">
        <w:lastRenderedPageBreak/>
        <w:t>For the individual symptom of nasal congestion (AM+PM), the combination was superior to all 3 comparators when compared over the entire double-blind period, for both absolute and percentage change. Comparison of scores for individual days gave similar results.</w:t>
      </w:r>
    </w:p>
    <w:p w:rsidR="00D0093C" w:rsidRPr="00306A68" w:rsidRDefault="00D0093C" w:rsidP="00306A68">
      <w:pPr>
        <w:pStyle w:val="ListBullet"/>
      </w:pPr>
      <w:r w:rsidRPr="00306A68">
        <w:t>For the individual symptom of sneezing (AM+PM), the combination was superior to all 3 comparators when compared over the entire double-blind period, for both absolute and percentage change. Comparison of scores for individual days gave similar results.</w:t>
      </w:r>
    </w:p>
    <w:p w:rsidR="00D0093C" w:rsidRPr="00306A68" w:rsidRDefault="00D0093C" w:rsidP="00306A68">
      <w:pPr>
        <w:pStyle w:val="ListBullet"/>
      </w:pPr>
      <w:r w:rsidRPr="00306A68">
        <w:t xml:space="preserve">For the individual symptom of runny nose (AM+PM), the combination was superior to placebo and </w:t>
      </w:r>
      <w:proofErr w:type="spellStart"/>
      <w:r w:rsidRPr="00306A68">
        <w:t>azelastine</w:t>
      </w:r>
      <w:proofErr w:type="spellEnd"/>
      <w:r w:rsidRPr="00306A68">
        <w:t xml:space="preserve"> but not fluticasone (p</w:t>
      </w:r>
      <w:r w:rsidR="008A5B4B" w:rsidRPr="00306A68">
        <w:t xml:space="preserve"> </w:t>
      </w:r>
      <w:r w:rsidRPr="00306A68">
        <w:t>=</w:t>
      </w:r>
      <w:r w:rsidR="008A5B4B" w:rsidRPr="00306A68">
        <w:t xml:space="preserve"> </w:t>
      </w:r>
      <w:r w:rsidRPr="00306A68">
        <w:t>0.068) for absolute change from baseline when compared over the entire double-blind period. When examined in terms of percentage change, it was superior to all 3 comparators. Individual day scores were consistent with this pattern.</w:t>
      </w:r>
    </w:p>
    <w:p w:rsidR="00D0093C" w:rsidRPr="00306A68" w:rsidRDefault="00D0093C" w:rsidP="00306A68">
      <w:pPr>
        <w:pStyle w:val="ListBullet"/>
      </w:pPr>
      <w:r w:rsidRPr="00306A68">
        <w:t>For instantaneous TNSS (</w:t>
      </w:r>
      <w:proofErr w:type="spellStart"/>
      <w:r w:rsidRPr="00306A68">
        <w:t>iTNSS</w:t>
      </w:r>
      <w:proofErr w:type="spellEnd"/>
      <w:r w:rsidRPr="00306A68">
        <w:t xml:space="preserve"> – AM+PM) the combination was superior to </w:t>
      </w:r>
      <w:r w:rsidR="00C2528F" w:rsidRPr="00306A68">
        <w:t xml:space="preserve">all 3 comparators for both </w:t>
      </w:r>
      <w:r w:rsidRPr="00306A68">
        <w:t xml:space="preserve">absolute change from baseline </w:t>
      </w:r>
      <w:r w:rsidR="00C2528F" w:rsidRPr="00306A68">
        <w:t xml:space="preserve">and percentage change from baseline </w:t>
      </w:r>
      <w:r w:rsidRPr="00306A68">
        <w:t xml:space="preserve">when compared over </w:t>
      </w:r>
      <w:r w:rsidR="00306A68">
        <w:t>the entire double-blind period.</w:t>
      </w:r>
    </w:p>
    <w:p w:rsidR="00D0093C" w:rsidRPr="00306A68" w:rsidRDefault="00D0093C" w:rsidP="00306A68">
      <w:pPr>
        <w:pStyle w:val="ListBullet"/>
      </w:pPr>
      <w:r w:rsidRPr="00306A68">
        <w:t xml:space="preserve">For </w:t>
      </w:r>
      <w:proofErr w:type="spellStart"/>
      <w:r w:rsidRPr="00306A68">
        <w:t>iTNSS</w:t>
      </w:r>
      <w:proofErr w:type="spellEnd"/>
      <w:r w:rsidRPr="00306A68">
        <w:t xml:space="preserve"> (AM only), and </w:t>
      </w:r>
      <w:proofErr w:type="spellStart"/>
      <w:r w:rsidRPr="00306A68">
        <w:t>iTNSS</w:t>
      </w:r>
      <w:proofErr w:type="spellEnd"/>
      <w:r w:rsidRPr="00306A68">
        <w:t xml:space="preserve"> (PM only) the combination was superior to all 3 comparators when compared over the entire double-blind period, for both absolute and percentage change. For individual days, the combination was superior to placebo on all days, superior to </w:t>
      </w:r>
      <w:proofErr w:type="spellStart"/>
      <w:r w:rsidRPr="00306A68">
        <w:t>azelastine</w:t>
      </w:r>
      <w:proofErr w:type="spellEnd"/>
      <w:r w:rsidRPr="00306A68">
        <w:t xml:space="preserve"> on most days, but not significantly better than fluticasone on most days.</w:t>
      </w:r>
    </w:p>
    <w:p w:rsidR="00D0093C" w:rsidRPr="00306A68" w:rsidRDefault="00D0093C" w:rsidP="00306A68">
      <w:pPr>
        <w:pStyle w:val="ListBullet"/>
      </w:pPr>
      <w:r w:rsidRPr="00306A68">
        <w:t xml:space="preserve">For individual nasal symptoms assessed using </w:t>
      </w:r>
      <w:proofErr w:type="spellStart"/>
      <w:r w:rsidRPr="00306A68">
        <w:t>iTNSS</w:t>
      </w:r>
      <w:proofErr w:type="spellEnd"/>
      <w:r w:rsidRPr="00306A68">
        <w:t xml:space="preserve"> (AM+PM), the combination was generally superior to placebo and </w:t>
      </w:r>
      <w:proofErr w:type="spellStart"/>
      <w:r w:rsidRPr="00306A68">
        <w:t>azelastine</w:t>
      </w:r>
      <w:proofErr w:type="spellEnd"/>
      <w:r w:rsidRPr="00306A68">
        <w:t xml:space="preserve"> for all four symptoms. However there were no significant differences between the combination and fluticasone for the symptoms of itchy nose and runny nose assessed over the entire double-blind period. It was significantly superior to fluticasone on nasal congestion and sneezing.</w:t>
      </w:r>
    </w:p>
    <w:p w:rsidR="00D0093C" w:rsidRPr="00306A68" w:rsidRDefault="00D0093C" w:rsidP="00306A68">
      <w:pPr>
        <w:rPr>
          <w:b/>
        </w:rPr>
      </w:pPr>
      <w:r w:rsidRPr="00306A68">
        <w:rPr>
          <w:b/>
        </w:rPr>
        <w:t>Ocular symptoms</w:t>
      </w:r>
    </w:p>
    <w:p w:rsidR="00D0093C" w:rsidRPr="00306A68" w:rsidRDefault="00D0093C" w:rsidP="00306A68">
      <w:pPr>
        <w:pStyle w:val="ListBullet"/>
      </w:pPr>
      <w:r w:rsidRPr="00306A68">
        <w:t xml:space="preserve">For </w:t>
      </w:r>
      <w:proofErr w:type="spellStart"/>
      <w:r w:rsidRPr="00306A68">
        <w:t>rTOSS</w:t>
      </w:r>
      <w:proofErr w:type="spellEnd"/>
      <w:r w:rsidRPr="00306A68">
        <w:t xml:space="preserve"> (AM+PM), the combination product was superior to placebo and fluticasone when compared over the entire double-blind period. However, it was not superior to </w:t>
      </w:r>
      <w:proofErr w:type="spellStart"/>
      <w:r w:rsidRPr="00306A68">
        <w:t>azelastine</w:t>
      </w:r>
      <w:proofErr w:type="spellEnd"/>
      <w:r w:rsidRPr="00306A68">
        <w:t xml:space="preserve"> alone. The findings were the same for absolute and percentage change from baseline, and</w:t>
      </w:r>
      <w:r w:rsidR="00306A68">
        <w:t xml:space="preserve"> after a per-protocol analysis.</w:t>
      </w:r>
    </w:p>
    <w:p w:rsidR="00D0093C" w:rsidRPr="00306A68" w:rsidRDefault="00D0093C" w:rsidP="00306A68">
      <w:pPr>
        <w:pStyle w:val="ListBullet"/>
      </w:pPr>
      <w:r w:rsidRPr="00306A68">
        <w:t xml:space="preserve">For </w:t>
      </w:r>
      <w:proofErr w:type="spellStart"/>
      <w:r w:rsidRPr="00306A68">
        <w:t>rTOSS</w:t>
      </w:r>
      <w:proofErr w:type="spellEnd"/>
      <w:r w:rsidRPr="00306A68">
        <w:t xml:space="preserve"> (AM alone), the combination was superior to placebo and fluticasone but not to </w:t>
      </w:r>
      <w:proofErr w:type="spellStart"/>
      <w:r w:rsidRPr="00306A68">
        <w:t>azelastine</w:t>
      </w:r>
      <w:proofErr w:type="spellEnd"/>
      <w:r w:rsidRPr="00306A68">
        <w:t xml:space="preserve">. For </w:t>
      </w:r>
      <w:proofErr w:type="spellStart"/>
      <w:r w:rsidRPr="00306A68">
        <w:t>rTOSS</w:t>
      </w:r>
      <w:proofErr w:type="spellEnd"/>
      <w:r w:rsidRPr="00306A68">
        <w:t xml:space="preserve"> (PM alone), the combination was superior to placebo and fluticasone. It was also superior to </w:t>
      </w:r>
      <w:proofErr w:type="spellStart"/>
      <w:r w:rsidRPr="00306A68">
        <w:t>azelastine</w:t>
      </w:r>
      <w:proofErr w:type="spellEnd"/>
      <w:r w:rsidRPr="00306A68">
        <w:t xml:space="preserve"> in terms of absolute change from baseline, but not by percentage change from baseline (p</w:t>
      </w:r>
      <w:r w:rsidR="008A5B4B" w:rsidRPr="00306A68">
        <w:t xml:space="preserve"> </w:t>
      </w:r>
      <w:r w:rsidRPr="00306A68">
        <w:t>=</w:t>
      </w:r>
      <w:r w:rsidR="008A5B4B" w:rsidRPr="00306A68">
        <w:t xml:space="preserve"> </w:t>
      </w:r>
      <w:r w:rsidRPr="00306A68">
        <w:t>0.072).</w:t>
      </w:r>
    </w:p>
    <w:p w:rsidR="00D0093C" w:rsidRPr="00306A68" w:rsidRDefault="00D0093C" w:rsidP="00306A68">
      <w:pPr>
        <w:pStyle w:val="ListBullet"/>
      </w:pPr>
      <w:r w:rsidRPr="00306A68">
        <w:t xml:space="preserve">For individual eye symptoms using </w:t>
      </w:r>
      <w:proofErr w:type="spellStart"/>
      <w:r w:rsidRPr="00306A68">
        <w:t>rTOSS</w:t>
      </w:r>
      <w:proofErr w:type="spellEnd"/>
      <w:r w:rsidRPr="00306A68">
        <w:t xml:space="preserve"> (AM+PM), the combination was superior to placebo and fluticasone on all 3 symptoms. It was superior to </w:t>
      </w:r>
      <w:proofErr w:type="spellStart"/>
      <w:r w:rsidRPr="00306A68">
        <w:t>azelastine</w:t>
      </w:r>
      <w:proofErr w:type="spellEnd"/>
      <w:r w:rsidRPr="00306A68">
        <w:t xml:space="preserve"> in terms of itchy eyes, but not for the other two symptoms.</w:t>
      </w:r>
    </w:p>
    <w:p w:rsidR="00D0093C" w:rsidRPr="00306A68" w:rsidRDefault="00D0093C" w:rsidP="00306A68">
      <w:pPr>
        <w:pStyle w:val="ListBullet"/>
      </w:pPr>
      <w:r w:rsidRPr="00306A68">
        <w:t xml:space="preserve">These analyses were repeated using </w:t>
      </w:r>
      <w:proofErr w:type="spellStart"/>
      <w:r w:rsidRPr="00306A68">
        <w:t>iTOSS</w:t>
      </w:r>
      <w:proofErr w:type="spellEnd"/>
      <w:r w:rsidRPr="00306A68">
        <w:t xml:space="preserve"> and similar results were obtained. The combination was consistently superior to placebo, not consistently superior to fluticasone and not significa</w:t>
      </w:r>
      <w:r w:rsidR="008A5B4B" w:rsidRPr="00306A68">
        <w:t xml:space="preserve">ntly different from </w:t>
      </w:r>
      <w:proofErr w:type="spellStart"/>
      <w:r w:rsidR="008A5B4B" w:rsidRPr="00306A68">
        <w:t>azelastine</w:t>
      </w:r>
      <w:proofErr w:type="spellEnd"/>
      <w:r w:rsidR="008A5B4B" w:rsidRPr="00306A68">
        <w:t>.</w:t>
      </w:r>
    </w:p>
    <w:p w:rsidR="00D0093C" w:rsidRPr="00306A68" w:rsidRDefault="00D0093C" w:rsidP="00306A68">
      <w:pPr>
        <w:keepNext/>
        <w:rPr>
          <w:b/>
        </w:rPr>
      </w:pPr>
      <w:r w:rsidRPr="00306A68">
        <w:rPr>
          <w:b/>
        </w:rPr>
        <w:t>Postnasal drip</w:t>
      </w:r>
    </w:p>
    <w:p w:rsidR="00D0093C" w:rsidRPr="008A5B4B" w:rsidRDefault="00D0093C" w:rsidP="00306A68">
      <w:pPr>
        <w:pStyle w:val="ListBullet"/>
        <w:keepNext/>
      </w:pPr>
      <w:r w:rsidRPr="008A5B4B">
        <w:t xml:space="preserve">For the reflective score (AM+PM) of postnasal drip, the combination was superior to placebo and </w:t>
      </w:r>
      <w:proofErr w:type="spellStart"/>
      <w:r w:rsidRPr="008A5B4B">
        <w:t>azelastine</w:t>
      </w:r>
      <w:proofErr w:type="spellEnd"/>
      <w:r w:rsidRPr="008A5B4B">
        <w:t xml:space="preserve"> but was not significantly different to fluticasone. This was also true following a per-protocol </w:t>
      </w:r>
      <w:proofErr w:type="gramStart"/>
      <w:r w:rsidRPr="008A5B4B">
        <w:t>analysis,</w:t>
      </w:r>
      <w:proofErr w:type="gramEnd"/>
      <w:r w:rsidRPr="008A5B4B">
        <w:t xml:space="preserve"> and analysis of AM only and PM only scores.</w:t>
      </w:r>
    </w:p>
    <w:p w:rsidR="00D0093C" w:rsidRPr="008A5B4B" w:rsidRDefault="00D0093C" w:rsidP="00306A68">
      <w:pPr>
        <w:pStyle w:val="Heading6"/>
      </w:pPr>
      <w:r w:rsidRPr="008A5B4B">
        <w:t>RQLQ</w:t>
      </w:r>
    </w:p>
    <w:p w:rsidR="00D0093C" w:rsidRPr="008A5B4B" w:rsidRDefault="008A5B4B" w:rsidP="00306A68">
      <w:pPr>
        <w:pStyle w:val="ListBullet"/>
      </w:pPr>
      <w:r>
        <w:t>T</w:t>
      </w:r>
      <w:r w:rsidR="00D0093C" w:rsidRPr="008A5B4B">
        <w:t xml:space="preserve">here was an improvement from baseline in all 4 treatment groups. The improvement obtained with the combination was significantly greater than that obtained with placebo or </w:t>
      </w:r>
      <w:proofErr w:type="spellStart"/>
      <w:r w:rsidR="00D0093C" w:rsidRPr="008A5B4B">
        <w:lastRenderedPageBreak/>
        <w:t>azelastine</w:t>
      </w:r>
      <w:proofErr w:type="spellEnd"/>
      <w:r w:rsidR="00D0093C" w:rsidRPr="008A5B4B">
        <w:t>, but there was no significant difference compared to fluticasone (p</w:t>
      </w:r>
      <w:r>
        <w:t xml:space="preserve"> </w:t>
      </w:r>
      <w:r w:rsidR="00D0093C" w:rsidRPr="008A5B4B">
        <w:t>=</w:t>
      </w:r>
      <w:r>
        <w:t xml:space="preserve"> </w:t>
      </w:r>
      <w:r w:rsidR="00D0093C" w:rsidRPr="008A5B4B">
        <w:t xml:space="preserve">0.286). The differences between groups in mean improvement were small, with only the combination </w:t>
      </w:r>
      <w:r w:rsidRPr="008A5B4B">
        <w:t>versus</w:t>
      </w:r>
      <w:r w:rsidR="007307C7">
        <w:t xml:space="preserve"> </w:t>
      </w:r>
      <w:r w:rsidR="00D0093C" w:rsidRPr="008A5B4B">
        <w:t xml:space="preserve">placebo difference (LS means of -1.60 </w:t>
      </w:r>
      <w:r w:rsidRPr="008A5B4B">
        <w:t>versus</w:t>
      </w:r>
      <w:r w:rsidR="007307C7">
        <w:t xml:space="preserve"> </w:t>
      </w:r>
      <w:r w:rsidR="00D0093C" w:rsidRPr="008A5B4B">
        <w:t>-1.01) being greater than the clinically important difference of 0.50 points.</w:t>
      </w:r>
    </w:p>
    <w:p w:rsidR="00D0093C" w:rsidRPr="008A5B4B" w:rsidRDefault="00D0093C" w:rsidP="00306A68">
      <w:pPr>
        <w:pStyle w:val="ListBullet"/>
      </w:pPr>
      <w:r w:rsidRPr="008A5B4B">
        <w:t xml:space="preserve">The p-values for the comparisons between treatments of the individual domains of the RQLQ are broadly consistent with the results seen for the overall score, with the combination being superior to placebo and </w:t>
      </w:r>
      <w:proofErr w:type="spellStart"/>
      <w:r w:rsidRPr="008A5B4B">
        <w:t>azelastine</w:t>
      </w:r>
      <w:proofErr w:type="spellEnd"/>
      <w:r w:rsidRPr="008A5B4B">
        <w:t>, but with no difference being seen between the combination and fluticasone.</w:t>
      </w:r>
    </w:p>
    <w:p w:rsidR="00D0093C" w:rsidRPr="008A5B4B" w:rsidRDefault="00D0093C" w:rsidP="00306A68">
      <w:pPr>
        <w:pStyle w:val="Heading4"/>
      </w:pPr>
      <w:bookmarkStart w:id="40" w:name="_Ref271037188"/>
      <w:bookmarkStart w:id="41" w:name="_Ref271037210"/>
      <w:bookmarkStart w:id="42" w:name="_Toc272414655"/>
      <w:bookmarkStart w:id="43" w:name="_Toc290846277"/>
      <w:bookmarkStart w:id="44" w:name="_Toc228768133"/>
      <w:bookmarkStart w:id="45" w:name="_Toc241374311"/>
      <w:bookmarkStart w:id="46" w:name="_Ref243294291"/>
      <w:r w:rsidRPr="008A5B4B">
        <w:t>Other efficacy studies</w:t>
      </w:r>
      <w:bookmarkEnd w:id="40"/>
      <w:bookmarkEnd w:id="41"/>
      <w:bookmarkEnd w:id="42"/>
      <w:bookmarkEnd w:id="43"/>
      <w:bookmarkEnd w:id="44"/>
    </w:p>
    <w:p w:rsidR="00D0093C" w:rsidRPr="00D0093C" w:rsidRDefault="00D0093C" w:rsidP="00306A68">
      <w:pPr>
        <w:rPr>
          <w:lang w:eastAsia="ja-JP"/>
        </w:rPr>
      </w:pPr>
      <w:r w:rsidRPr="00D0093C">
        <w:rPr>
          <w:lang w:eastAsia="ja-JP"/>
        </w:rPr>
        <w:t>The submission included three other Phase III randomised controlled trials (MP4002, MP4004 and MP4006) which were very similar in design and conduct to the pivotal study. Each was a randomised, double blind, placebo-controlled study with four parallel groups. The four treatment groups in each study were:</w:t>
      </w:r>
    </w:p>
    <w:p w:rsidR="00D0093C" w:rsidRPr="00306A68" w:rsidRDefault="00D0093C" w:rsidP="00306A68">
      <w:pPr>
        <w:pStyle w:val="ListBullet"/>
      </w:pPr>
      <w:r w:rsidRPr="00306A68">
        <w:t>The proposed fixed combination of fluticasone propionate (50</w:t>
      </w:r>
      <w:r w:rsidR="007307C7" w:rsidRPr="00306A68">
        <w:t xml:space="preserve"> </w:t>
      </w:r>
      <w:r w:rsidRPr="00306A68">
        <w:t xml:space="preserve">mcg per actuation) and </w:t>
      </w:r>
      <w:proofErr w:type="spellStart"/>
      <w:r w:rsidRPr="00306A68">
        <w:t>azelastine</w:t>
      </w:r>
      <w:proofErr w:type="spellEnd"/>
      <w:r w:rsidRPr="00306A68">
        <w:t xml:space="preserve"> hydrochloride (137</w:t>
      </w:r>
      <w:r w:rsidR="007307C7" w:rsidRPr="00306A68">
        <w:t xml:space="preserve"> </w:t>
      </w:r>
      <w:r w:rsidRPr="00306A68">
        <w:t>mcg per actuation) nasal spray – one spray in each nostril t</w:t>
      </w:r>
      <w:r w:rsidR="00306A68">
        <w:t>wice daily</w:t>
      </w:r>
    </w:p>
    <w:p w:rsidR="00D0093C" w:rsidRPr="00306A68" w:rsidRDefault="00D0093C" w:rsidP="00306A68">
      <w:pPr>
        <w:pStyle w:val="ListBullet"/>
      </w:pPr>
      <w:r w:rsidRPr="00306A68">
        <w:t>Fluticasone propionate (50</w:t>
      </w:r>
      <w:r w:rsidR="007307C7" w:rsidRPr="00306A68">
        <w:t xml:space="preserve"> </w:t>
      </w:r>
      <w:r w:rsidRPr="00306A68">
        <w:t>mcg per actuation) nasal spray (formulated in the same vehicle as the combination product) - one sp</w:t>
      </w:r>
      <w:r w:rsidR="00306A68">
        <w:t>ray in each nostril twice daily</w:t>
      </w:r>
    </w:p>
    <w:p w:rsidR="00D0093C" w:rsidRPr="00306A68" w:rsidRDefault="00D0093C" w:rsidP="00306A68">
      <w:pPr>
        <w:pStyle w:val="ListBullet"/>
      </w:pPr>
      <w:proofErr w:type="spellStart"/>
      <w:r w:rsidRPr="00306A68">
        <w:t>Azelastine</w:t>
      </w:r>
      <w:proofErr w:type="spellEnd"/>
      <w:r w:rsidRPr="00306A68">
        <w:t xml:space="preserve"> hydrochloride (137</w:t>
      </w:r>
      <w:r w:rsidR="007307C7" w:rsidRPr="00306A68">
        <w:t xml:space="preserve"> </w:t>
      </w:r>
      <w:r w:rsidRPr="00306A68">
        <w:t>mcg per actuation) nasal spray (formulated in the same vehicle as the combination product) – one sp</w:t>
      </w:r>
      <w:r w:rsidR="00306A68">
        <w:t>ray in each nostril twice daily</w:t>
      </w:r>
    </w:p>
    <w:p w:rsidR="00D0093C" w:rsidRPr="00306A68" w:rsidRDefault="00D0093C" w:rsidP="00306A68">
      <w:pPr>
        <w:pStyle w:val="ListBullet"/>
      </w:pPr>
      <w:r w:rsidRPr="00306A68">
        <w:t>Placebo spray - one spray in each nostril twice daily.</w:t>
      </w:r>
    </w:p>
    <w:p w:rsidR="00D0093C" w:rsidRPr="00D0093C" w:rsidRDefault="00D0093C" w:rsidP="00306A68">
      <w:pPr>
        <w:rPr>
          <w:lang w:eastAsia="ja-JP"/>
        </w:rPr>
      </w:pPr>
      <w:r w:rsidRPr="00D0093C">
        <w:rPr>
          <w:lang w:eastAsia="ja-JP"/>
        </w:rPr>
        <w:t>The placebo spray was the vehicle used for the fixed combination but without the active ingredients.</w:t>
      </w:r>
    </w:p>
    <w:p w:rsidR="00D0093C" w:rsidRPr="00D0093C" w:rsidRDefault="00D0093C" w:rsidP="007A1EFA">
      <w:pPr>
        <w:ind w:left="426"/>
        <w:rPr>
          <w:lang w:eastAsia="ja-JP"/>
        </w:rPr>
      </w:pPr>
      <w:r w:rsidRPr="00306A68">
        <w:rPr>
          <w:b/>
          <w:lang w:eastAsia="ja-JP"/>
        </w:rPr>
        <w:t>Comment</w:t>
      </w:r>
      <w:r w:rsidRPr="00D0093C">
        <w:rPr>
          <w:lang w:eastAsia="ja-JP"/>
        </w:rPr>
        <w:t xml:space="preserve">: The </w:t>
      </w:r>
      <w:proofErr w:type="spellStart"/>
      <w:r w:rsidRPr="00D0093C">
        <w:rPr>
          <w:lang w:eastAsia="ja-JP"/>
        </w:rPr>
        <w:t>azelastine</w:t>
      </w:r>
      <w:proofErr w:type="spellEnd"/>
      <w:r w:rsidRPr="00D0093C">
        <w:rPr>
          <w:lang w:eastAsia="ja-JP"/>
        </w:rPr>
        <w:t xml:space="preserve"> and fluticasone monotherapy products used in these studies are not commercially available, and appear to be “in-house” formulations developed by the sponsor. A fixed combination product should have superior efficacy to the monotherapy products currently been used by patients (that is the marketed monotherapy products). The submission did not provide any evidence that the “in-house” formulations used in these studies had comparable efficacy to marketed formulations of </w:t>
      </w:r>
      <w:proofErr w:type="spellStart"/>
      <w:r w:rsidRPr="00D0093C">
        <w:rPr>
          <w:lang w:eastAsia="ja-JP"/>
        </w:rPr>
        <w:t>azelastine</w:t>
      </w:r>
      <w:proofErr w:type="spellEnd"/>
      <w:r w:rsidRPr="00D0093C">
        <w:rPr>
          <w:lang w:eastAsia="ja-JP"/>
        </w:rPr>
        <w:t xml:space="preserve"> hydrochloride and fluticasone propionate. Therefore, in this reviewer’s opinion, the three studies cannot be considered pivotal due to the use of inappropriate comparators.</w:t>
      </w:r>
    </w:p>
    <w:p w:rsidR="00D0093C" w:rsidRPr="00D0093C" w:rsidRDefault="00D0093C" w:rsidP="00E053A1">
      <w:pPr>
        <w:ind w:left="426"/>
        <w:rPr>
          <w:lang w:eastAsia="ja-JP"/>
        </w:rPr>
      </w:pPr>
      <w:r w:rsidRPr="00D0093C">
        <w:rPr>
          <w:lang w:eastAsia="ja-JP"/>
        </w:rPr>
        <w:t>It would be of interest to know the sponsor’s rationale for not using marketed comparators in these three studies.</w:t>
      </w:r>
    </w:p>
    <w:p w:rsidR="00D0093C" w:rsidRPr="00D0093C" w:rsidRDefault="00D0093C" w:rsidP="00306A68">
      <w:pPr>
        <w:rPr>
          <w:lang w:eastAsia="ja-JP"/>
        </w:rPr>
      </w:pPr>
      <w:r w:rsidRPr="00D0093C">
        <w:rPr>
          <w:lang w:eastAsia="ja-JP"/>
        </w:rPr>
        <w:t xml:space="preserve">The submission also included another </w:t>
      </w:r>
      <w:r w:rsidR="008A5B4B">
        <w:rPr>
          <w:lang w:eastAsia="ja-JP"/>
        </w:rPr>
        <w:t>P</w:t>
      </w:r>
      <w:r w:rsidRPr="00D0093C">
        <w:rPr>
          <w:lang w:eastAsia="ja-JP"/>
        </w:rPr>
        <w:t xml:space="preserve">hase III randomised controlled trial (MP4000), which had, as it’s the primary objective, the evaluation of long term safety of the combination product. The study compared the combination with fluticasone propionate nasal spray and included </w:t>
      </w:r>
      <w:proofErr w:type="spellStart"/>
      <w:r w:rsidRPr="00D0093C">
        <w:rPr>
          <w:lang w:eastAsia="ja-JP"/>
        </w:rPr>
        <w:t>rTNSS</w:t>
      </w:r>
      <w:proofErr w:type="spellEnd"/>
      <w:r w:rsidRPr="00D0093C">
        <w:rPr>
          <w:lang w:eastAsia="ja-JP"/>
        </w:rPr>
        <w:t xml:space="preserve"> and RQLQ as secondary endpoints. However the study enrolled patients with either PAR or non-allergic chronic rhinitis, and the </w:t>
      </w:r>
      <w:proofErr w:type="spellStart"/>
      <w:r w:rsidRPr="00D0093C">
        <w:rPr>
          <w:lang w:eastAsia="ja-JP"/>
        </w:rPr>
        <w:t>rTNSS</w:t>
      </w:r>
      <w:proofErr w:type="spellEnd"/>
      <w:r w:rsidRPr="00D0093C">
        <w:rPr>
          <w:lang w:eastAsia="ja-JP"/>
        </w:rPr>
        <w:t xml:space="preserve"> results were only presented for the entire population, so that efficacy results in those patients with PAR could not be dissected out. The study was also not blinded. For these reasons the efficacy data from the study are not considered useful.</w:t>
      </w:r>
    </w:p>
    <w:p w:rsidR="00D0093C" w:rsidRPr="008A5B4B" w:rsidRDefault="00D0093C" w:rsidP="00306A68">
      <w:pPr>
        <w:pStyle w:val="Heading5"/>
      </w:pPr>
      <w:bookmarkStart w:id="47" w:name="_Toc290846278"/>
      <w:bookmarkStart w:id="48" w:name="_Toc228768134"/>
      <w:bookmarkEnd w:id="45"/>
      <w:bookmarkEnd w:id="46"/>
      <w:r w:rsidRPr="008A5B4B">
        <w:t xml:space="preserve">Study </w:t>
      </w:r>
      <w:bookmarkEnd w:id="47"/>
      <w:r w:rsidRPr="008A5B4B">
        <w:t>MP4002</w:t>
      </w:r>
      <w:bookmarkEnd w:id="48"/>
    </w:p>
    <w:p w:rsidR="008A5B4B" w:rsidRDefault="00D0093C" w:rsidP="00306A68">
      <w:r w:rsidRPr="008A5B4B">
        <w:t xml:space="preserve">The study objectives and design were virtually identical to those of the pivotal </w:t>
      </w:r>
      <w:r w:rsidR="007307C7">
        <w:t>S</w:t>
      </w:r>
      <w:r w:rsidRPr="008A5B4B">
        <w:t xml:space="preserve">tudy MP4001. It was conducted in patients with SAR, with a documented hypersensitivity to </w:t>
      </w:r>
      <w:proofErr w:type="gramStart"/>
      <w:r w:rsidRPr="008A5B4B">
        <w:t>a local</w:t>
      </w:r>
      <w:proofErr w:type="gramEnd"/>
      <w:r w:rsidRPr="008A5B4B">
        <w:t xml:space="preserve"> spring pollen. An additional inclusion criterion was that subjects must have had moderate-to-severe rhinitis, defined as rhinitis with one or more of the following b</w:t>
      </w:r>
      <w:r w:rsidR="00306A68">
        <w:t>eing present:</w:t>
      </w:r>
    </w:p>
    <w:p w:rsidR="008A5B4B" w:rsidRPr="00306A68" w:rsidRDefault="00306A68" w:rsidP="00306A68">
      <w:pPr>
        <w:pStyle w:val="ListBullet"/>
      </w:pPr>
      <w:r>
        <w:lastRenderedPageBreak/>
        <w:t>Sleep disturbance</w:t>
      </w:r>
    </w:p>
    <w:p w:rsidR="008A5B4B" w:rsidRPr="00306A68" w:rsidRDefault="00D0093C" w:rsidP="00306A68">
      <w:pPr>
        <w:pStyle w:val="ListBullet"/>
      </w:pPr>
      <w:r w:rsidRPr="00306A68">
        <w:t>Impairment of daily act</w:t>
      </w:r>
      <w:r w:rsidR="00306A68">
        <w:t>ivities, leisure and/or sport</w:t>
      </w:r>
    </w:p>
    <w:p w:rsidR="008A5B4B" w:rsidRPr="00306A68" w:rsidRDefault="00D0093C" w:rsidP="00306A68">
      <w:pPr>
        <w:pStyle w:val="ListBullet"/>
      </w:pPr>
      <w:r w:rsidRPr="00306A68">
        <w:t>I</w:t>
      </w:r>
      <w:r w:rsidR="00306A68">
        <w:t>mpairment of school or work or</w:t>
      </w:r>
    </w:p>
    <w:p w:rsidR="00D0093C" w:rsidRPr="00306A68" w:rsidRDefault="00D0093C" w:rsidP="00306A68">
      <w:pPr>
        <w:pStyle w:val="ListBullet"/>
      </w:pPr>
      <w:r w:rsidRPr="00306A68">
        <w:t>Troublesome symptoms.</w:t>
      </w:r>
    </w:p>
    <w:p w:rsidR="00D0093C" w:rsidRPr="008A5B4B" w:rsidRDefault="00D0093C" w:rsidP="00306A68">
      <w:r w:rsidRPr="008A5B4B">
        <w:t xml:space="preserve">The study was conducted at 44 sites in the USA. The first patient enrolled on </w:t>
      </w:r>
      <w:r w:rsidR="008A5B4B">
        <w:t>[information redacted]</w:t>
      </w:r>
      <w:r w:rsidRPr="008A5B4B">
        <w:t xml:space="preserve"> and the last patient completed on </w:t>
      </w:r>
      <w:r w:rsidR="008A5B4B">
        <w:t>[information redacted]</w:t>
      </w:r>
      <w:r w:rsidRPr="008A5B4B">
        <w:t>. The study report was dated 3 May 2010.</w:t>
      </w:r>
    </w:p>
    <w:p w:rsidR="00D0093C" w:rsidRPr="008A5B4B" w:rsidRDefault="00D0093C" w:rsidP="00306A68">
      <w:r w:rsidRPr="008A5B4B">
        <w:t xml:space="preserve">The primary efficacy outcome was </w:t>
      </w:r>
      <w:proofErr w:type="spellStart"/>
      <w:r w:rsidRPr="008A5B4B">
        <w:t>rTNSS</w:t>
      </w:r>
      <w:proofErr w:type="spellEnd"/>
      <w:r w:rsidRPr="008A5B4B">
        <w:t xml:space="preserve"> over the entire 14-day treatment period and the secondary efficacy outcomes were essentially the same as those used in the pivotal study. In addition, the study assessed onset of action by recording </w:t>
      </w:r>
      <w:proofErr w:type="spellStart"/>
      <w:r w:rsidRPr="008A5B4B">
        <w:t>iTNSS</w:t>
      </w:r>
      <w:proofErr w:type="spellEnd"/>
      <w:r w:rsidRPr="008A5B4B">
        <w:t xml:space="preserve"> at the following time points after the initial use of study medication on Day 1: 0, 15, 30, 45, 60, 90, 120,</w:t>
      </w:r>
      <w:r w:rsidR="00306A68">
        <w:t xml:space="preserve"> 150, 180, 210 and 240 minutes.</w:t>
      </w:r>
    </w:p>
    <w:p w:rsidR="00D0093C" w:rsidRPr="00D0093C" w:rsidRDefault="00D0093C" w:rsidP="00306A68">
      <w:pPr>
        <w:rPr>
          <w:lang w:val="en-US" w:eastAsia="ja-JP"/>
        </w:rPr>
      </w:pPr>
      <w:r w:rsidRPr="00D0093C">
        <w:rPr>
          <w:lang w:val="en-US" w:eastAsia="ja-JP"/>
        </w:rPr>
        <w:t xml:space="preserve">A total of 832 subjects were </w:t>
      </w:r>
      <w:proofErr w:type="spellStart"/>
      <w:r w:rsidRPr="00D0093C">
        <w:rPr>
          <w:lang w:val="en-US" w:eastAsia="ja-JP"/>
        </w:rPr>
        <w:t>randomised</w:t>
      </w:r>
      <w:proofErr w:type="spellEnd"/>
      <w:r w:rsidRPr="00D0093C">
        <w:rPr>
          <w:lang w:val="en-US" w:eastAsia="ja-JP"/>
        </w:rPr>
        <w:t xml:space="preserve"> and of these 798 (95.9%) completed the study.</w:t>
      </w:r>
    </w:p>
    <w:p w:rsidR="00D0093C" w:rsidRPr="00D0093C" w:rsidRDefault="00D0093C" w:rsidP="00306A68">
      <w:pPr>
        <w:rPr>
          <w:lang w:val="en-US" w:eastAsia="ja-JP"/>
        </w:rPr>
      </w:pPr>
      <w:r w:rsidRPr="00D0093C">
        <w:rPr>
          <w:lang w:val="en-US" w:eastAsia="ja-JP"/>
        </w:rPr>
        <w:t xml:space="preserve">All four treatments were associated with significant improvement in </w:t>
      </w:r>
      <w:proofErr w:type="spellStart"/>
      <w:r w:rsidRPr="00D0093C">
        <w:rPr>
          <w:lang w:val="en-US" w:eastAsia="ja-JP"/>
        </w:rPr>
        <w:t>rTNSS</w:t>
      </w:r>
      <w:proofErr w:type="spellEnd"/>
      <w:r w:rsidRPr="00D0093C">
        <w:rPr>
          <w:lang w:val="en-US" w:eastAsia="ja-JP"/>
        </w:rPr>
        <w:t xml:space="preserve"> from baseline. The three active treatments were all superior to placebo and the combination was significantly more effective than the two monotherapies.</w:t>
      </w:r>
    </w:p>
    <w:p w:rsidR="00D0093C" w:rsidRPr="00D0093C" w:rsidRDefault="00D0093C" w:rsidP="0027076F">
      <w:pPr>
        <w:ind w:left="426"/>
        <w:rPr>
          <w:lang w:val="en-US" w:eastAsia="ja-JP"/>
        </w:rPr>
      </w:pPr>
      <w:r w:rsidRPr="00306A68">
        <w:rPr>
          <w:b/>
          <w:lang w:val="en-US" w:eastAsia="ja-JP"/>
        </w:rPr>
        <w:t>Comment</w:t>
      </w:r>
      <w:r w:rsidRPr="00D0093C">
        <w:rPr>
          <w:lang w:val="en-US" w:eastAsia="ja-JP"/>
        </w:rPr>
        <w:t>:</w:t>
      </w:r>
      <w:r w:rsidR="008A5B4B">
        <w:rPr>
          <w:lang w:val="en-US" w:eastAsia="ja-JP"/>
        </w:rPr>
        <w:t xml:space="preserve"> </w:t>
      </w:r>
      <w:r w:rsidRPr="00D0093C">
        <w:rPr>
          <w:lang w:val="en-US" w:eastAsia="ja-JP"/>
        </w:rPr>
        <w:t xml:space="preserve">The “in-house” formulations of fluticasone and </w:t>
      </w:r>
      <w:proofErr w:type="spellStart"/>
      <w:r w:rsidRPr="00D0093C">
        <w:rPr>
          <w:lang w:val="en-US" w:eastAsia="ja-JP"/>
        </w:rPr>
        <w:t>azelastine</w:t>
      </w:r>
      <w:proofErr w:type="spellEnd"/>
      <w:r w:rsidRPr="00D0093C">
        <w:rPr>
          <w:lang w:val="en-US" w:eastAsia="ja-JP"/>
        </w:rPr>
        <w:t xml:space="preserve"> were both significantly superior to placebo. However this does not establish that they are of comparable efficacy to the monotherapy products that are marketed in Australia (or elsewhere).</w:t>
      </w:r>
      <w:r w:rsidR="008A5B4B">
        <w:rPr>
          <w:rStyle w:val="FootnoteReference"/>
          <w:lang w:val="en-US" w:eastAsia="ja-JP"/>
        </w:rPr>
        <w:footnoteReference w:id="10"/>
      </w:r>
    </w:p>
    <w:p w:rsidR="00D0093C" w:rsidRPr="00D0093C" w:rsidRDefault="00D0093C" w:rsidP="00306A68">
      <w:pPr>
        <w:rPr>
          <w:lang w:eastAsia="ja-JP"/>
        </w:rPr>
      </w:pPr>
      <w:r w:rsidRPr="00D0093C">
        <w:rPr>
          <w:lang w:eastAsia="ja-JP"/>
        </w:rPr>
        <w:t xml:space="preserve">There were multiple secondary endpoints based on nasal symptom scores including individual symptoms and </w:t>
      </w:r>
      <w:proofErr w:type="spellStart"/>
      <w:r w:rsidRPr="00D0093C">
        <w:rPr>
          <w:lang w:eastAsia="ja-JP"/>
        </w:rPr>
        <w:t>iTNSS</w:t>
      </w:r>
      <w:proofErr w:type="spellEnd"/>
      <w:r w:rsidRPr="00D0093C">
        <w:rPr>
          <w:lang w:eastAsia="ja-JP"/>
        </w:rPr>
        <w:t xml:space="preserve">. On these endpoints, the combination was consistently superior to placebo and </w:t>
      </w:r>
      <w:proofErr w:type="spellStart"/>
      <w:r w:rsidRPr="00D0093C">
        <w:rPr>
          <w:lang w:eastAsia="ja-JP"/>
        </w:rPr>
        <w:t>azelastine</w:t>
      </w:r>
      <w:proofErr w:type="spellEnd"/>
      <w:r w:rsidRPr="00D0093C">
        <w:rPr>
          <w:lang w:eastAsia="ja-JP"/>
        </w:rPr>
        <w:t>. However, for the majority of the secondary endpoints there was no significant difference between the combination and fluticasone.</w:t>
      </w:r>
    </w:p>
    <w:p w:rsidR="00D0093C" w:rsidRPr="00D0093C" w:rsidRDefault="00D0093C" w:rsidP="00306A68">
      <w:pPr>
        <w:rPr>
          <w:lang w:eastAsia="ja-JP"/>
        </w:rPr>
      </w:pPr>
      <w:r w:rsidRPr="00D0093C">
        <w:rPr>
          <w:lang w:eastAsia="ja-JP"/>
        </w:rPr>
        <w:t xml:space="preserve">Results for the change in </w:t>
      </w:r>
      <w:proofErr w:type="spellStart"/>
      <w:r w:rsidRPr="00D0093C">
        <w:rPr>
          <w:lang w:eastAsia="ja-JP"/>
        </w:rPr>
        <w:t>iTNSS</w:t>
      </w:r>
      <w:proofErr w:type="spellEnd"/>
      <w:r w:rsidRPr="00D0093C">
        <w:rPr>
          <w:lang w:eastAsia="ja-JP"/>
        </w:rPr>
        <w:t xml:space="preserve"> over the first four hours on Day 1 (onset of action) </w:t>
      </w:r>
      <w:r w:rsidR="008A5B4B">
        <w:rPr>
          <w:lang w:eastAsia="ja-JP"/>
        </w:rPr>
        <w:t xml:space="preserve">showed a statistically significant </w:t>
      </w:r>
      <w:r w:rsidRPr="00D0093C">
        <w:rPr>
          <w:lang w:eastAsia="ja-JP"/>
        </w:rPr>
        <w:t>difference between the combination and placebo at the 45-minute time point (p</w:t>
      </w:r>
      <w:r w:rsidR="008A5B4B">
        <w:rPr>
          <w:lang w:eastAsia="ja-JP"/>
        </w:rPr>
        <w:t xml:space="preserve"> </w:t>
      </w:r>
      <w:r w:rsidRPr="00D0093C">
        <w:rPr>
          <w:lang w:eastAsia="ja-JP"/>
        </w:rPr>
        <w:t>=</w:t>
      </w:r>
      <w:r w:rsidR="008A5B4B">
        <w:rPr>
          <w:lang w:eastAsia="ja-JP"/>
        </w:rPr>
        <w:t xml:space="preserve"> </w:t>
      </w:r>
      <w:r w:rsidRPr="00D0093C">
        <w:rPr>
          <w:lang w:eastAsia="ja-JP"/>
        </w:rPr>
        <w:t xml:space="preserve">0.021) and remained so over the whole 4-hour period. No significant differences were observed at any time point for the combination </w:t>
      </w:r>
      <w:r w:rsidR="008A5B4B">
        <w:rPr>
          <w:lang w:eastAsia="ja-JP"/>
        </w:rPr>
        <w:t>versus</w:t>
      </w:r>
      <w:r w:rsidRPr="00D0093C">
        <w:rPr>
          <w:lang w:eastAsia="ja-JP"/>
        </w:rPr>
        <w:t xml:space="preserve"> fluticasone or combination </w:t>
      </w:r>
      <w:r w:rsidR="008A5B4B">
        <w:rPr>
          <w:lang w:eastAsia="ja-JP"/>
        </w:rPr>
        <w:t xml:space="preserve">versus </w:t>
      </w:r>
      <w:proofErr w:type="spellStart"/>
      <w:r w:rsidRPr="00D0093C">
        <w:rPr>
          <w:lang w:eastAsia="ja-JP"/>
        </w:rPr>
        <w:t>azelastine</w:t>
      </w:r>
      <w:proofErr w:type="spellEnd"/>
      <w:r w:rsidRPr="00D0093C">
        <w:rPr>
          <w:lang w:eastAsia="ja-JP"/>
        </w:rPr>
        <w:t xml:space="preserve"> comparisons.</w:t>
      </w:r>
    </w:p>
    <w:p w:rsidR="00D0093C" w:rsidRPr="00D0093C" w:rsidRDefault="00D0093C" w:rsidP="0027076F">
      <w:pPr>
        <w:ind w:left="426"/>
        <w:rPr>
          <w:lang w:eastAsia="ja-JP"/>
        </w:rPr>
      </w:pPr>
      <w:r w:rsidRPr="00306A68">
        <w:rPr>
          <w:b/>
          <w:lang w:eastAsia="ja-JP"/>
        </w:rPr>
        <w:t>Comment</w:t>
      </w:r>
      <w:r w:rsidRPr="00D0093C">
        <w:rPr>
          <w:lang w:eastAsia="ja-JP"/>
        </w:rPr>
        <w:t>:</w:t>
      </w:r>
      <w:r w:rsidR="008A5B4B">
        <w:rPr>
          <w:lang w:eastAsia="ja-JP"/>
        </w:rPr>
        <w:t xml:space="preserve"> </w:t>
      </w:r>
      <w:r w:rsidRPr="00D0093C">
        <w:rPr>
          <w:lang w:eastAsia="ja-JP"/>
        </w:rPr>
        <w:t>These findings would support a claim for rapid onset of action for the product (that is within 45 minutes). However, for this study, they do not support a claim that the product will have a more rapid onset of action than fluticasone propionate alone.</w:t>
      </w:r>
    </w:p>
    <w:p w:rsidR="00D0093C" w:rsidRPr="00D0093C" w:rsidRDefault="00D0093C" w:rsidP="00306A68">
      <w:pPr>
        <w:rPr>
          <w:lang w:eastAsia="ja-JP"/>
        </w:rPr>
      </w:pPr>
      <w:r w:rsidRPr="00D0093C">
        <w:rPr>
          <w:lang w:eastAsia="ja-JP"/>
        </w:rPr>
        <w:t xml:space="preserve">For post-nasal drip, the combination was superior to placebo and </w:t>
      </w:r>
      <w:proofErr w:type="spellStart"/>
      <w:r w:rsidRPr="00D0093C">
        <w:rPr>
          <w:lang w:eastAsia="ja-JP"/>
        </w:rPr>
        <w:t>azelastine</w:t>
      </w:r>
      <w:proofErr w:type="spellEnd"/>
      <w:r w:rsidRPr="00D0093C">
        <w:rPr>
          <w:lang w:eastAsia="ja-JP"/>
        </w:rPr>
        <w:t>, but not to fluticasone.</w:t>
      </w:r>
    </w:p>
    <w:p w:rsidR="00D0093C" w:rsidRPr="00D0093C" w:rsidRDefault="00D0093C" w:rsidP="00306A68">
      <w:pPr>
        <w:rPr>
          <w:lang w:eastAsia="ja-JP"/>
        </w:rPr>
      </w:pPr>
      <w:r w:rsidRPr="00D0093C">
        <w:rPr>
          <w:lang w:eastAsia="ja-JP"/>
        </w:rPr>
        <w:t xml:space="preserve">With regard to ocular symptoms, the results for the </w:t>
      </w:r>
      <w:proofErr w:type="spellStart"/>
      <w:r w:rsidRPr="00D0093C">
        <w:rPr>
          <w:lang w:eastAsia="ja-JP"/>
        </w:rPr>
        <w:t>rTOSS</w:t>
      </w:r>
      <w:proofErr w:type="spellEnd"/>
      <w:r w:rsidRPr="00D0093C">
        <w:rPr>
          <w:lang w:eastAsia="ja-JP"/>
        </w:rPr>
        <w:t xml:space="preserve"> over the entire 2-week treatment period </w:t>
      </w:r>
      <w:r w:rsidR="00291D18">
        <w:rPr>
          <w:lang w:eastAsia="ja-JP"/>
        </w:rPr>
        <w:t>i</w:t>
      </w:r>
      <w:r w:rsidRPr="00D0093C">
        <w:rPr>
          <w:lang w:eastAsia="ja-JP"/>
        </w:rPr>
        <w:t xml:space="preserve">n this study, the combination was superior to placebo, but was not significantly better than either of the monotherapy comparators. Secondary endpoints (individual symptoms, </w:t>
      </w:r>
      <w:proofErr w:type="spellStart"/>
      <w:r w:rsidRPr="00D0093C">
        <w:rPr>
          <w:lang w:eastAsia="ja-JP"/>
        </w:rPr>
        <w:t>iTOSS</w:t>
      </w:r>
      <w:proofErr w:type="spellEnd"/>
      <w:r w:rsidRPr="00D0093C">
        <w:rPr>
          <w:lang w:eastAsia="ja-JP"/>
        </w:rPr>
        <w:t>) gave similar results.</w:t>
      </w:r>
    </w:p>
    <w:p w:rsidR="00D0093C" w:rsidRPr="00D0093C" w:rsidRDefault="00D0093C" w:rsidP="00306A68">
      <w:pPr>
        <w:rPr>
          <w:lang w:eastAsia="ja-JP"/>
        </w:rPr>
      </w:pPr>
      <w:r w:rsidRPr="00D0093C">
        <w:rPr>
          <w:lang w:eastAsia="ja-JP"/>
        </w:rPr>
        <w:t xml:space="preserve">The </w:t>
      </w:r>
      <w:r w:rsidR="00AD11BB">
        <w:rPr>
          <w:lang w:eastAsia="ja-JP"/>
        </w:rPr>
        <w:t xml:space="preserve">analysis of RQLQ overall score </w:t>
      </w:r>
      <w:r w:rsidRPr="00D0093C">
        <w:rPr>
          <w:lang w:eastAsia="ja-JP"/>
        </w:rPr>
        <w:t xml:space="preserve">demonstrated that the combination was superior to placebo and </w:t>
      </w:r>
      <w:proofErr w:type="spellStart"/>
      <w:r w:rsidRPr="00D0093C">
        <w:rPr>
          <w:lang w:eastAsia="ja-JP"/>
        </w:rPr>
        <w:t>azelastine</w:t>
      </w:r>
      <w:proofErr w:type="spellEnd"/>
      <w:r w:rsidRPr="00D0093C">
        <w:rPr>
          <w:lang w:eastAsia="ja-JP"/>
        </w:rPr>
        <w:t>, but not fluticasone. The differences in LS means between the combination and the two active comparators were less than 0.50 points, indicating that the combination has no clinically significant advantage over the monotherapy products.</w:t>
      </w:r>
    </w:p>
    <w:p w:rsidR="00D0093C" w:rsidRPr="00AD11BB" w:rsidRDefault="00D0093C" w:rsidP="00306A68">
      <w:pPr>
        <w:pStyle w:val="Heading5"/>
      </w:pPr>
      <w:bookmarkStart w:id="49" w:name="_Toc290846279"/>
      <w:bookmarkStart w:id="50" w:name="_Toc228768135"/>
      <w:r w:rsidRPr="00AD11BB">
        <w:lastRenderedPageBreak/>
        <w:t xml:space="preserve">Study </w:t>
      </w:r>
      <w:bookmarkEnd w:id="49"/>
      <w:r w:rsidRPr="00AD11BB">
        <w:t>MP4004</w:t>
      </w:r>
      <w:bookmarkEnd w:id="50"/>
    </w:p>
    <w:p w:rsidR="00D0093C" w:rsidRPr="00AD11BB" w:rsidRDefault="00D0093C" w:rsidP="00306A68">
      <w:r w:rsidRPr="00AD11BB">
        <w:t>The desig</w:t>
      </w:r>
      <w:r w:rsidR="00AD11BB">
        <w:t>n and methods for S</w:t>
      </w:r>
      <w:r w:rsidRPr="00AD11BB">
        <w:t xml:space="preserve">tudy MP4004 were identical to those used for </w:t>
      </w:r>
      <w:r w:rsidR="00AD11BB">
        <w:t>S</w:t>
      </w:r>
      <w:r w:rsidRPr="00AD11BB">
        <w:t xml:space="preserve">tudy MP4002, except that the subjects had to have a documented hypersensitivity to a local autumn antigen and the study was conducted during the North American autumn season. The study was conducted at 41 sites in the USA, with the first subject being enrolled on </w:t>
      </w:r>
      <w:r w:rsidR="00AD11BB">
        <w:t>[information redacted]</w:t>
      </w:r>
      <w:r w:rsidRPr="00AD11BB">
        <w:t xml:space="preserve"> and the final subject completing on </w:t>
      </w:r>
      <w:r w:rsidR="00AD11BB">
        <w:t>[information redacted]</w:t>
      </w:r>
      <w:r w:rsidRPr="00AD11BB">
        <w:t>. The study report was dated 4 May 2010.</w:t>
      </w:r>
    </w:p>
    <w:p w:rsidR="00AD11BB" w:rsidRDefault="00D0093C" w:rsidP="00306A68">
      <w:r w:rsidRPr="00AD11BB">
        <w:t xml:space="preserve">The efficacy endpoints used in the study </w:t>
      </w:r>
      <w:r w:rsidR="00AD11BB">
        <w:t>were the same as those used in S</w:t>
      </w:r>
      <w:r w:rsidRPr="00AD11BB">
        <w:t xml:space="preserve">tudy MP4002, including the secondary endpoint of onset of action as assessed by </w:t>
      </w:r>
      <w:proofErr w:type="spellStart"/>
      <w:r w:rsidRPr="00AD11BB">
        <w:t>iTNSS</w:t>
      </w:r>
      <w:proofErr w:type="spellEnd"/>
      <w:r w:rsidRPr="00AD11BB">
        <w:t xml:space="preserve"> over the first 4 hours of </w:t>
      </w:r>
      <w:r w:rsidR="00AD11BB">
        <w:t>D</w:t>
      </w:r>
      <w:r w:rsidRPr="00AD11BB">
        <w:t xml:space="preserve">ay 1. The statistical analysis plan differed from MP4002 in that </w:t>
      </w:r>
      <w:proofErr w:type="spellStart"/>
      <w:r w:rsidRPr="00AD11BB">
        <w:t>rTOSS</w:t>
      </w:r>
      <w:proofErr w:type="spellEnd"/>
      <w:r w:rsidRPr="00AD11BB">
        <w:t xml:space="preserve"> was made a key secondary endpoint, with additional control introduced for multiplicity testing. Once the 3 test comparisons of </w:t>
      </w:r>
      <w:proofErr w:type="spellStart"/>
      <w:r w:rsidRPr="00AD11BB">
        <w:t>rTNSS</w:t>
      </w:r>
      <w:proofErr w:type="spellEnd"/>
      <w:r w:rsidRPr="00AD11BB">
        <w:t xml:space="preserve"> (the combination </w:t>
      </w:r>
      <w:r w:rsidR="008A5B4B" w:rsidRPr="00AD11BB">
        <w:t>versus</w:t>
      </w:r>
      <w:r w:rsidR="007307C7">
        <w:t xml:space="preserve"> </w:t>
      </w:r>
      <w:r w:rsidRPr="00AD11BB">
        <w:t xml:space="preserve">placebo, </w:t>
      </w:r>
      <w:proofErr w:type="spellStart"/>
      <w:r w:rsidRPr="00AD11BB">
        <w:t>azelastine</w:t>
      </w:r>
      <w:proofErr w:type="spellEnd"/>
      <w:r w:rsidRPr="00AD11BB">
        <w:t xml:space="preserve"> and fluticasone) were shown to be significantly different in favour of the combination, the </w:t>
      </w:r>
      <w:proofErr w:type="spellStart"/>
      <w:r w:rsidRPr="00AD11BB">
        <w:t>rTOSS</w:t>
      </w:r>
      <w:proofErr w:type="spellEnd"/>
      <w:r w:rsidRPr="00AD11BB">
        <w:t xml:space="preserve"> was examined in the same order specified for </w:t>
      </w:r>
      <w:proofErr w:type="spellStart"/>
      <w:r w:rsidRPr="00AD11BB">
        <w:t>rTNSS</w:t>
      </w:r>
      <w:proofErr w:type="spellEnd"/>
      <w:r w:rsidRPr="00AD11BB">
        <w:t>.</w:t>
      </w:r>
    </w:p>
    <w:p w:rsidR="00D0093C" w:rsidRPr="00AD11BB" w:rsidRDefault="00D0093C" w:rsidP="00306A68">
      <w:r w:rsidRPr="00AD11BB">
        <w:t>A total of 779 subjects were randomised and of these 7</w:t>
      </w:r>
      <w:r w:rsidR="00306A68">
        <w:t>39 (94.9%) completed the study.</w:t>
      </w:r>
    </w:p>
    <w:p w:rsidR="00D0093C" w:rsidRPr="00AD11BB" w:rsidRDefault="00D0093C" w:rsidP="00306A68">
      <w:r w:rsidRPr="00AD11BB">
        <w:t xml:space="preserve">All four treatments were associated with significant improvement in </w:t>
      </w:r>
      <w:proofErr w:type="spellStart"/>
      <w:r w:rsidRPr="00AD11BB">
        <w:t>rTNSS</w:t>
      </w:r>
      <w:proofErr w:type="spellEnd"/>
      <w:r w:rsidRPr="00AD11BB">
        <w:t xml:space="preserve"> from baseline. The three active treatments were all superior to placebo and the combination was significantly more effective than the two monotherapies.</w:t>
      </w:r>
    </w:p>
    <w:p w:rsidR="00D0093C" w:rsidRPr="00AD11BB" w:rsidRDefault="00D0093C" w:rsidP="00306A68">
      <w:r w:rsidRPr="00AD11BB">
        <w:t xml:space="preserve">As with the previous studies, there were multiple secondary endpoints based on nasal symptom scores including individual symptoms and </w:t>
      </w:r>
      <w:proofErr w:type="spellStart"/>
      <w:r w:rsidRPr="00AD11BB">
        <w:t>iTNSS</w:t>
      </w:r>
      <w:proofErr w:type="spellEnd"/>
      <w:r w:rsidRPr="00AD11BB">
        <w:t xml:space="preserve">. On these endpoints, the combination was consistently superior to placebo, and usually superior to </w:t>
      </w:r>
      <w:proofErr w:type="spellStart"/>
      <w:r w:rsidRPr="00AD11BB">
        <w:t>azelastine</w:t>
      </w:r>
      <w:proofErr w:type="spellEnd"/>
      <w:r w:rsidRPr="00AD11BB">
        <w:t>. However, for approximately half of the secondary endpoints there was no significant difference between the combination and fluticasone.</w:t>
      </w:r>
    </w:p>
    <w:p w:rsidR="00D0093C" w:rsidRPr="00AD11BB" w:rsidRDefault="00D0093C" w:rsidP="00306A68">
      <w:r w:rsidRPr="00AD11BB">
        <w:t xml:space="preserve">Results for the change in </w:t>
      </w:r>
      <w:proofErr w:type="spellStart"/>
      <w:r w:rsidRPr="00AD11BB">
        <w:t>iTNSS</w:t>
      </w:r>
      <w:proofErr w:type="spellEnd"/>
      <w:r w:rsidRPr="00AD11BB">
        <w:t xml:space="preserve"> over the first four hours on</w:t>
      </w:r>
      <w:r w:rsidR="00AD11BB">
        <w:t xml:space="preserve"> Day 1 (onset of action), </w:t>
      </w:r>
      <w:r w:rsidRPr="00AD11BB">
        <w:t>difference between the combination and placebo</w:t>
      </w:r>
      <w:r w:rsidR="00AD11BB">
        <w:t>,</w:t>
      </w:r>
      <w:r w:rsidRPr="00AD11BB">
        <w:t xml:space="preserve"> was statistically significant at the 30-minute time point (p</w:t>
      </w:r>
      <w:r w:rsidR="00AD11BB">
        <w:t> </w:t>
      </w:r>
      <w:r w:rsidRPr="00AD11BB">
        <w:t>=</w:t>
      </w:r>
      <w:r w:rsidR="00AD11BB">
        <w:t xml:space="preserve"> </w:t>
      </w:r>
      <w:r w:rsidRPr="00AD11BB">
        <w:t xml:space="preserve">0.032) and remained so over the whole 4-hour period. As in </w:t>
      </w:r>
      <w:r w:rsidR="007307C7">
        <w:t>Study</w:t>
      </w:r>
      <w:r w:rsidRPr="00AD11BB">
        <w:t xml:space="preserve"> MP4002, no significant differences were observed at any time point for the combination </w:t>
      </w:r>
      <w:r w:rsidR="008A5B4B" w:rsidRPr="00AD11BB">
        <w:t>versus</w:t>
      </w:r>
      <w:r w:rsidR="007307C7">
        <w:t xml:space="preserve"> </w:t>
      </w:r>
      <w:r w:rsidRPr="00AD11BB">
        <w:t xml:space="preserve">fluticasone or combination </w:t>
      </w:r>
      <w:r w:rsidR="008A5B4B" w:rsidRPr="00AD11BB">
        <w:t>versus</w:t>
      </w:r>
      <w:r w:rsidR="007307C7">
        <w:t xml:space="preserve"> </w:t>
      </w:r>
      <w:proofErr w:type="spellStart"/>
      <w:r w:rsidRPr="00AD11BB">
        <w:t>azelastine</w:t>
      </w:r>
      <w:proofErr w:type="spellEnd"/>
      <w:r w:rsidRPr="00AD11BB">
        <w:t xml:space="preserve"> comparisons.</w:t>
      </w:r>
    </w:p>
    <w:p w:rsidR="00D0093C" w:rsidRPr="00AD11BB" w:rsidRDefault="00D0093C" w:rsidP="00306A68">
      <w:r w:rsidRPr="00AD11BB">
        <w:t>For post-nasal drip, the combination was superior to all 3 comparators in terms of absolute change in score from baseline, but was only superior to placebo in terms of percentage</w:t>
      </w:r>
      <w:r w:rsidR="00306A68">
        <w:t xml:space="preserve"> change in score from baseline.</w:t>
      </w:r>
    </w:p>
    <w:p w:rsidR="00D0093C" w:rsidRPr="00D0093C" w:rsidRDefault="00D0093C" w:rsidP="00306A68">
      <w:pPr>
        <w:rPr>
          <w:lang w:eastAsia="ja-JP"/>
        </w:rPr>
      </w:pPr>
      <w:r w:rsidRPr="00AD11BB">
        <w:t xml:space="preserve">For ocular symptoms, the results for the </w:t>
      </w:r>
      <w:proofErr w:type="spellStart"/>
      <w:r w:rsidRPr="00AD11BB">
        <w:t>rTOSS</w:t>
      </w:r>
      <w:proofErr w:type="spellEnd"/>
      <w:r w:rsidRPr="00AD11BB">
        <w:t xml:space="preserve"> over the en</w:t>
      </w:r>
      <w:r w:rsidR="00AD11BB">
        <w:t>tire 2-week treatment period, i</w:t>
      </w:r>
      <w:r w:rsidRPr="00AD11BB">
        <w:t>n this study, the combination was superior to placebo and fluticasone, but</w:t>
      </w:r>
      <w:r w:rsidRPr="00D0093C">
        <w:rPr>
          <w:lang w:eastAsia="ja-JP"/>
        </w:rPr>
        <w:t xml:space="preserve"> was not significantly better than </w:t>
      </w:r>
      <w:proofErr w:type="spellStart"/>
      <w:r w:rsidRPr="00D0093C">
        <w:rPr>
          <w:lang w:eastAsia="ja-JP"/>
        </w:rPr>
        <w:t>azelastine</w:t>
      </w:r>
      <w:proofErr w:type="spellEnd"/>
      <w:r w:rsidRPr="00D0093C">
        <w:rPr>
          <w:lang w:eastAsia="ja-JP"/>
        </w:rPr>
        <w:t xml:space="preserve"> (p</w:t>
      </w:r>
      <w:r w:rsidR="00AD11BB">
        <w:rPr>
          <w:lang w:eastAsia="ja-JP"/>
        </w:rPr>
        <w:t xml:space="preserve"> </w:t>
      </w:r>
      <w:r w:rsidRPr="00D0093C">
        <w:rPr>
          <w:lang w:eastAsia="ja-JP"/>
        </w:rPr>
        <w:t>=</w:t>
      </w:r>
      <w:r w:rsidR="00AD11BB">
        <w:rPr>
          <w:lang w:eastAsia="ja-JP"/>
        </w:rPr>
        <w:t xml:space="preserve"> </w:t>
      </w:r>
      <w:r w:rsidRPr="00D0093C">
        <w:rPr>
          <w:lang w:eastAsia="ja-JP"/>
        </w:rPr>
        <w:t xml:space="preserve">0.069). Other secondary endpoints (individual symptoms, </w:t>
      </w:r>
      <w:proofErr w:type="spellStart"/>
      <w:r w:rsidRPr="00D0093C">
        <w:rPr>
          <w:lang w:eastAsia="ja-JP"/>
        </w:rPr>
        <w:t>iTOSS</w:t>
      </w:r>
      <w:proofErr w:type="spellEnd"/>
      <w:r w:rsidRPr="00D0093C">
        <w:rPr>
          <w:lang w:eastAsia="ja-JP"/>
        </w:rPr>
        <w:t>) gave similar results.</w:t>
      </w:r>
    </w:p>
    <w:p w:rsidR="00D0093C" w:rsidRPr="00D0093C" w:rsidRDefault="00D0093C" w:rsidP="00306A68">
      <w:pPr>
        <w:rPr>
          <w:lang w:eastAsia="ja-JP"/>
        </w:rPr>
      </w:pPr>
      <w:r w:rsidRPr="00D0093C">
        <w:rPr>
          <w:lang w:eastAsia="ja-JP"/>
        </w:rPr>
        <w:t xml:space="preserve">The </w:t>
      </w:r>
      <w:r w:rsidR="00AD11BB">
        <w:rPr>
          <w:lang w:eastAsia="ja-JP"/>
        </w:rPr>
        <w:t>analysis of RQLQ overall score</w:t>
      </w:r>
      <w:r w:rsidRPr="00D0093C">
        <w:rPr>
          <w:lang w:eastAsia="ja-JP"/>
        </w:rPr>
        <w:t xml:space="preserve"> demonstrated that the combination was superior to placebo and </w:t>
      </w:r>
      <w:proofErr w:type="spellStart"/>
      <w:r w:rsidRPr="00D0093C">
        <w:rPr>
          <w:lang w:eastAsia="ja-JP"/>
        </w:rPr>
        <w:t>azelastine</w:t>
      </w:r>
      <w:proofErr w:type="spellEnd"/>
      <w:r w:rsidRPr="00D0093C">
        <w:rPr>
          <w:lang w:eastAsia="ja-JP"/>
        </w:rPr>
        <w:t>, but not to fluticasone. The differences in LS means between the combination and the two active comparators were less than 0.50 points, indicating that the combination had no clinically significant advantage over the monotherapy products.</w:t>
      </w:r>
    </w:p>
    <w:p w:rsidR="00D0093C" w:rsidRPr="00AD11BB" w:rsidRDefault="00D0093C" w:rsidP="00306A68">
      <w:pPr>
        <w:pStyle w:val="Heading5"/>
      </w:pPr>
      <w:bookmarkStart w:id="51" w:name="_Toc290846280"/>
      <w:bookmarkStart w:id="52" w:name="_Toc228768136"/>
      <w:r w:rsidRPr="00AD11BB">
        <w:t xml:space="preserve">Study </w:t>
      </w:r>
      <w:bookmarkEnd w:id="51"/>
      <w:r w:rsidRPr="00AD11BB">
        <w:t>MP4006</w:t>
      </w:r>
      <w:bookmarkEnd w:id="52"/>
    </w:p>
    <w:p w:rsidR="00D0093C" w:rsidRPr="00D0093C" w:rsidRDefault="00D0093C" w:rsidP="00306A68">
      <w:pPr>
        <w:rPr>
          <w:lang w:eastAsia="ja-JP"/>
        </w:rPr>
      </w:pPr>
      <w:r w:rsidRPr="00D0093C">
        <w:rPr>
          <w:lang w:eastAsia="ja-JP"/>
        </w:rPr>
        <w:t xml:space="preserve">The design and methods for </w:t>
      </w:r>
      <w:r w:rsidR="007307C7">
        <w:rPr>
          <w:lang w:eastAsia="ja-JP"/>
        </w:rPr>
        <w:t>Study</w:t>
      </w:r>
      <w:r w:rsidRPr="00D0093C">
        <w:rPr>
          <w:lang w:eastAsia="ja-JP"/>
        </w:rPr>
        <w:t xml:space="preserve"> MP4006 were essentially identical to those used for </w:t>
      </w:r>
      <w:r w:rsidR="00AD11BB">
        <w:rPr>
          <w:lang w:eastAsia="ja-JP"/>
        </w:rPr>
        <w:t>S</w:t>
      </w:r>
      <w:r w:rsidRPr="00D0093C">
        <w:rPr>
          <w:lang w:eastAsia="ja-JP"/>
        </w:rPr>
        <w:t xml:space="preserve">tudy MP4004. Subjects had to have hypersensitivity to </w:t>
      </w:r>
      <w:r w:rsidR="007307C7" w:rsidRPr="00D0093C">
        <w:rPr>
          <w:lang w:eastAsia="ja-JP"/>
        </w:rPr>
        <w:t>prevailing</w:t>
      </w:r>
      <w:r w:rsidRPr="00D0093C">
        <w:rPr>
          <w:lang w:eastAsia="ja-JP"/>
        </w:rPr>
        <w:t xml:space="preserve"> individual seasonal pollen documented by positive skin prick testing within the last year. The study was conducted at 49 sites in the USA, with the first subject being enrolled on </w:t>
      </w:r>
      <w:r w:rsidR="00AD11BB">
        <w:rPr>
          <w:lang w:eastAsia="ja-JP"/>
        </w:rPr>
        <w:t>[information redacted]</w:t>
      </w:r>
      <w:r w:rsidRPr="00D0093C">
        <w:rPr>
          <w:lang w:eastAsia="ja-JP"/>
        </w:rPr>
        <w:t xml:space="preserve"> and the final subject completing on </w:t>
      </w:r>
      <w:r w:rsidR="00AD11BB">
        <w:rPr>
          <w:lang w:eastAsia="ja-JP"/>
        </w:rPr>
        <w:t>[information redacted]</w:t>
      </w:r>
      <w:r w:rsidRPr="00D0093C">
        <w:rPr>
          <w:lang w:eastAsia="ja-JP"/>
        </w:rPr>
        <w:t>. The study report was dated 4 May 2010.</w:t>
      </w:r>
    </w:p>
    <w:p w:rsidR="00D0093C" w:rsidRPr="00D0093C" w:rsidRDefault="00AD11BB" w:rsidP="00306A68">
      <w:pPr>
        <w:rPr>
          <w:lang w:eastAsia="ja-JP"/>
        </w:rPr>
      </w:pPr>
      <w:r>
        <w:rPr>
          <w:lang w:eastAsia="ja-JP"/>
        </w:rPr>
        <w:t>In S</w:t>
      </w:r>
      <w:r w:rsidR="00D0093C" w:rsidRPr="00D0093C">
        <w:rPr>
          <w:lang w:eastAsia="ja-JP"/>
        </w:rPr>
        <w:t xml:space="preserve">tudies MP4002 and MP4004, the observed treatment effect was smaller than that of previous trials (MP4001 and an earlier study using monotherapy products). Also, efficacy for ocular symptoms was less pronounced than for nasal symptoms. The sponsor therefore decided </w:t>
      </w:r>
      <w:r w:rsidR="00D0093C" w:rsidRPr="00D0093C">
        <w:rPr>
          <w:lang w:eastAsia="ja-JP"/>
        </w:rPr>
        <w:lastRenderedPageBreak/>
        <w:t>to increase the sample size for this study to 450 subjects per treatment arm (compared to 150-195 subjects for earlier studies) in order to minimise the risk of a potentially negative trial.</w:t>
      </w:r>
    </w:p>
    <w:p w:rsidR="00D0093C" w:rsidRPr="00D0093C" w:rsidRDefault="00D0093C" w:rsidP="00306A68">
      <w:pPr>
        <w:rPr>
          <w:lang w:val="en-US" w:eastAsia="ja-JP"/>
        </w:rPr>
      </w:pPr>
      <w:r w:rsidRPr="00D0093C">
        <w:rPr>
          <w:lang w:val="en-US" w:eastAsia="ja-JP"/>
        </w:rPr>
        <w:t xml:space="preserve">A total of 1801 subjects were </w:t>
      </w:r>
      <w:proofErr w:type="spellStart"/>
      <w:r w:rsidRPr="00D0093C">
        <w:rPr>
          <w:lang w:val="en-US" w:eastAsia="ja-JP"/>
        </w:rPr>
        <w:t>randomised</w:t>
      </w:r>
      <w:proofErr w:type="spellEnd"/>
      <w:r w:rsidRPr="00D0093C">
        <w:rPr>
          <w:lang w:val="en-US" w:eastAsia="ja-JP"/>
        </w:rPr>
        <w:t xml:space="preserve"> and of these 17</w:t>
      </w:r>
      <w:r w:rsidR="00306A68">
        <w:rPr>
          <w:lang w:val="en-US" w:eastAsia="ja-JP"/>
        </w:rPr>
        <w:t>28 (95.9%) completed the study.</w:t>
      </w:r>
    </w:p>
    <w:p w:rsidR="00D0093C" w:rsidRPr="00D0093C" w:rsidRDefault="00D0093C" w:rsidP="00306A68">
      <w:pPr>
        <w:rPr>
          <w:lang w:val="en-US" w:eastAsia="ja-JP"/>
        </w:rPr>
      </w:pPr>
      <w:r w:rsidRPr="00D0093C">
        <w:rPr>
          <w:lang w:val="en-US" w:eastAsia="ja-JP"/>
        </w:rPr>
        <w:t xml:space="preserve">As in the prior studies, all four treatments were associated with significant improvement in </w:t>
      </w:r>
      <w:proofErr w:type="spellStart"/>
      <w:r w:rsidRPr="00D0093C">
        <w:rPr>
          <w:lang w:val="en-US" w:eastAsia="ja-JP"/>
        </w:rPr>
        <w:t>rTNSS</w:t>
      </w:r>
      <w:proofErr w:type="spellEnd"/>
      <w:r w:rsidRPr="00D0093C">
        <w:rPr>
          <w:lang w:val="en-US" w:eastAsia="ja-JP"/>
        </w:rPr>
        <w:t xml:space="preserve"> from baseline. The three active treatments were all superior to placebo and the combination was significantly more effective than the two monotherapies.</w:t>
      </w:r>
    </w:p>
    <w:p w:rsidR="00D0093C" w:rsidRPr="00D0093C" w:rsidRDefault="00D0093C" w:rsidP="00306A68">
      <w:pPr>
        <w:rPr>
          <w:lang w:eastAsia="ja-JP"/>
        </w:rPr>
      </w:pPr>
      <w:r w:rsidRPr="00D0093C">
        <w:rPr>
          <w:lang w:eastAsia="ja-JP"/>
        </w:rPr>
        <w:t xml:space="preserve">Again there were multiple secondary endpoints based on nasal symptom scores including individual symptoms and </w:t>
      </w:r>
      <w:proofErr w:type="spellStart"/>
      <w:r w:rsidRPr="00D0093C">
        <w:rPr>
          <w:lang w:eastAsia="ja-JP"/>
        </w:rPr>
        <w:t>iTNSS</w:t>
      </w:r>
      <w:proofErr w:type="spellEnd"/>
      <w:r w:rsidRPr="00D0093C">
        <w:rPr>
          <w:lang w:eastAsia="ja-JP"/>
        </w:rPr>
        <w:t xml:space="preserve">. On these endpoints, the combination was consistently superior to placebo, and usually superior to </w:t>
      </w:r>
      <w:proofErr w:type="spellStart"/>
      <w:r w:rsidRPr="00D0093C">
        <w:rPr>
          <w:lang w:eastAsia="ja-JP"/>
        </w:rPr>
        <w:t>azelastine</w:t>
      </w:r>
      <w:proofErr w:type="spellEnd"/>
      <w:r w:rsidRPr="00D0093C">
        <w:rPr>
          <w:lang w:eastAsia="ja-JP"/>
        </w:rPr>
        <w:t>. However, for most of the secondary endpoints there was no significant difference between the combination and fluticasone.</w:t>
      </w:r>
    </w:p>
    <w:p w:rsidR="00D0093C" w:rsidRPr="00D0093C" w:rsidRDefault="00D0093C" w:rsidP="00306A68">
      <w:pPr>
        <w:rPr>
          <w:lang w:eastAsia="ja-JP"/>
        </w:rPr>
      </w:pPr>
      <w:r w:rsidRPr="00D0093C">
        <w:rPr>
          <w:lang w:eastAsia="ja-JP"/>
        </w:rPr>
        <w:t xml:space="preserve">Results for the change in </w:t>
      </w:r>
      <w:proofErr w:type="spellStart"/>
      <w:r w:rsidRPr="00D0093C">
        <w:rPr>
          <w:lang w:eastAsia="ja-JP"/>
        </w:rPr>
        <w:t>iTNSS</w:t>
      </w:r>
      <w:proofErr w:type="spellEnd"/>
      <w:r w:rsidRPr="00D0093C">
        <w:rPr>
          <w:lang w:eastAsia="ja-JP"/>
        </w:rPr>
        <w:t xml:space="preserve"> over the first four hours on Day 1 (onset of action)</w:t>
      </w:r>
      <w:r w:rsidR="00AD11BB">
        <w:rPr>
          <w:lang w:eastAsia="ja-JP"/>
        </w:rPr>
        <w:t>,</w:t>
      </w:r>
      <w:r w:rsidRPr="00D0093C">
        <w:rPr>
          <w:lang w:eastAsia="ja-JP"/>
        </w:rPr>
        <w:t xml:space="preserve"> </w:t>
      </w:r>
      <w:r w:rsidR="00AD11BB">
        <w:rPr>
          <w:lang w:eastAsia="ja-JP"/>
        </w:rPr>
        <w:t>t</w:t>
      </w:r>
      <w:r w:rsidRPr="00D0093C">
        <w:rPr>
          <w:lang w:eastAsia="ja-JP"/>
        </w:rPr>
        <w:t>he difference between the combination and placebo</w:t>
      </w:r>
      <w:r w:rsidR="00AD11BB">
        <w:rPr>
          <w:lang w:eastAsia="ja-JP"/>
        </w:rPr>
        <w:t>,</w:t>
      </w:r>
      <w:r w:rsidRPr="00D0093C">
        <w:rPr>
          <w:lang w:eastAsia="ja-JP"/>
        </w:rPr>
        <w:t xml:space="preserve"> was statistically significant at the 30-minute time point (p</w:t>
      </w:r>
      <w:r w:rsidR="00AD11BB">
        <w:rPr>
          <w:lang w:eastAsia="ja-JP"/>
        </w:rPr>
        <w:t xml:space="preserve"> </w:t>
      </w:r>
      <w:r w:rsidRPr="00D0093C">
        <w:rPr>
          <w:lang w:eastAsia="ja-JP"/>
        </w:rPr>
        <w:t>=</w:t>
      </w:r>
      <w:r w:rsidR="00AD11BB">
        <w:rPr>
          <w:lang w:eastAsia="ja-JP"/>
        </w:rPr>
        <w:t xml:space="preserve"> </w:t>
      </w:r>
      <w:r w:rsidRPr="00D0093C">
        <w:rPr>
          <w:lang w:eastAsia="ja-JP"/>
        </w:rPr>
        <w:t>0.008) and remained so over the whole 4-hour period. In this study the combination was also superior to fluticasone commencing at 30 minutes (p</w:t>
      </w:r>
      <w:r w:rsidR="00AD11BB">
        <w:rPr>
          <w:lang w:eastAsia="ja-JP"/>
        </w:rPr>
        <w:t xml:space="preserve"> </w:t>
      </w:r>
      <w:r w:rsidRPr="00D0093C">
        <w:rPr>
          <w:lang w:eastAsia="ja-JP"/>
        </w:rPr>
        <w:t>=</w:t>
      </w:r>
      <w:r w:rsidR="00AD11BB">
        <w:rPr>
          <w:lang w:eastAsia="ja-JP"/>
        </w:rPr>
        <w:t xml:space="preserve"> </w:t>
      </w:r>
      <w:r w:rsidRPr="00D0093C">
        <w:rPr>
          <w:lang w:eastAsia="ja-JP"/>
        </w:rPr>
        <w:t xml:space="preserve">0.037) and continuing through the 4-hour period. No differences were observed between the combination and </w:t>
      </w:r>
      <w:proofErr w:type="spellStart"/>
      <w:r w:rsidRPr="00D0093C">
        <w:rPr>
          <w:lang w:eastAsia="ja-JP"/>
        </w:rPr>
        <w:t>azelastine</w:t>
      </w:r>
      <w:proofErr w:type="spellEnd"/>
      <w:r w:rsidRPr="00D0093C">
        <w:rPr>
          <w:lang w:eastAsia="ja-JP"/>
        </w:rPr>
        <w:t>.</w:t>
      </w:r>
    </w:p>
    <w:p w:rsidR="00D0093C" w:rsidRPr="00D0093C" w:rsidRDefault="00D0093C" w:rsidP="0027076F">
      <w:pPr>
        <w:ind w:left="426"/>
        <w:rPr>
          <w:lang w:eastAsia="ja-JP"/>
        </w:rPr>
      </w:pPr>
      <w:r w:rsidRPr="00306A68">
        <w:rPr>
          <w:b/>
          <w:lang w:eastAsia="ja-JP"/>
        </w:rPr>
        <w:t>Comment</w:t>
      </w:r>
      <w:r w:rsidRPr="00D0093C">
        <w:rPr>
          <w:lang w:eastAsia="ja-JP"/>
        </w:rPr>
        <w:t>:</w:t>
      </w:r>
      <w:r w:rsidR="00AD11BB">
        <w:rPr>
          <w:lang w:eastAsia="ja-JP"/>
        </w:rPr>
        <w:t xml:space="preserve"> </w:t>
      </w:r>
      <w:r w:rsidRPr="00D0093C">
        <w:rPr>
          <w:lang w:eastAsia="ja-JP"/>
        </w:rPr>
        <w:t>Unlike the two previous studies, the combination was shown to have a more rapid onset of action than fluticasone alone. This presumably is the result of the larger sample size and greater power of the study.</w:t>
      </w:r>
    </w:p>
    <w:p w:rsidR="00D0093C" w:rsidRPr="00D0093C" w:rsidRDefault="00D0093C" w:rsidP="00306A68">
      <w:pPr>
        <w:rPr>
          <w:lang w:eastAsia="ja-JP"/>
        </w:rPr>
      </w:pPr>
      <w:r w:rsidRPr="00D0093C">
        <w:rPr>
          <w:lang w:eastAsia="ja-JP"/>
        </w:rPr>
        <w:t xml:space="preserve">For ocular symptoms, the results for the </w:t>
      </w:r>
      <w:proofErr w:type="spellStart"/>
      <w:r w:rsidRPr="00D0093C">
        <w:rPr>
          <w:lang w:eastAsia="ja-JP"/>
        </w:rPr>
        <w:t>rTOSS</w:t>
      </w:r>
      <w:proofErr w:type="spellEnd"/>
      <w:r w:rsidRPr="00D0093C">
        <w:rPr>
          <w:lang w:eastAsia="ja-JP"/>
        </w:rPr>
        <w:t xml:space="preserve"> over th</w:t>
      </w:r>
      <w:r w:rsidR="00AD11BB">
        <w:rPr>
          <w:lang w:eastAsia="ja-JP"/>
        </w:rPr>
        <w:t>e entire 2-week treatment period, i</w:t>
      </w:r>
      <w:r w:rsidRPr="00D0093C">
        <w:rPr>
          <w:lang w:eastAsia="ja-JP"/>
        </w:rPr>
        <w:t xml:space="preserve">n this study, the combination was superior to placebo, but was not significantly better than </w:t>
      </w:r>
      <w:proofErr w:type="spellStart"/>
      <w:r w:rsidRPr="00D0093C">
        <w:rPr>
          <w:lang w:eastAsia="ja-JP"/>
        </w:rPr>
        <w:t>azelastine</w:t>
      </w:r>
      <w:proofErr w:type="spellEnd"/>
      <w:r w:rsidRPr="00D0093C">
        <w:rPr>
          <w:lang w:eastAsia="ja-JP"/>
        </w:rPr>
        <w:t xml:space="preserve"> or fluticasone. Other secondary endpoints (individual symptoms, </w:t>
      </w:r>
      <w:proofErr w:type="spellStart"/>
      <w:r w:rsidRPr="00D0093C">
        <w:rPr>
          <w:lang w:eastAsia="ja-JP"/>
        </w:rPr>
        <w:t>iTOSS</w:t>
      </w:r>
      <w:proofErr w:type="spellEnd"/>
      <w:r w:rsidRPr="00D0093C">
        <w:rPr>
          <w:lang w:eastAsia="ja-JP"/>
        </w:rPr>
        <w:t>) gave similar results.</w:t>
      </w:r>
    </w:p>
    <w:p w:rsidR="00D0093C" w:rsidRPr="00D0093C" w:rsidRDefault="00D0093C" w:rsidP="00306A68">
      <w:pPr>
        <w:rPr>
          <w:lang w:eastAsia="ja-JP"/>
        </w:rPr>
      </w:pPr>
      <w:r w:rsidRPr="00D0093C">
        <w:rPr>
          <w:lang w:eastAsia="ja-JP"/>
        </w:rPr>
        <w:t xml:space="preserve">The </w:t>
      </w:r>
      <w:r w:rsidR="00AD11BB">
        <w:rPr>
          <w:lang w:eastAsia="ja-JP"/>
        </w:rPr>
        <w:t>analysis of RQLQ overall score</w:t>
      </w:r>
      <w:r w:rsidRPr="00D0093C">
        <w:rPr>
          <w:lang w:eastAsia="ja-JP"/>
        </w:rPr>
        <w:t xml:space="preserve"> demonstrated that the combination was superior to placebo and </w:t>
      </w:r>
      <w:proofErr w:type="spellStart"/>
      <w:r w:rsidRPr="00D0093C">
        <w:rPr>
          <w:lang w:eastAsia="ja-JP"/>
        </w:rPr>
        <w:t>azelastine</w:t>
      </w:r>
      <w:proofErr w:type="spellEnd"/>
      <w:r w:rsidRPr="00D0093C">
        <w:rPr>
          <w:lang w:eastAsia="ja-JP"/>
        </w:rPr>
        <w:t>, but not to fluticasone. The differences in LS means between the combination and the two active comparators were less than 0.50 points, indicating that the combination had no clinically significant advantage over the monotherapy products.</w:t>
      </w:r>
    </w:p>
    <w:p w:rsidR="00D0093C" w:rsidRPr="00AD11BB" w:rsidRDefault="00D0093C" w:rsidP="00306A68">
      <w:pPr>
        <w:pStyle w:val="Heading4"/>
      </w:pPr>
      <w:bookmarkStart w:id="53" w:name="_Toc241374312"/>
      <w:bookmarkStart w:id="54" w:name="_Toc272414656"/>
      <w:bookmarkStart w:id="55" w:name="_Toc290846281"/>
      <w:bookmarkStart w:id="56" w:name="_Toc228768137"/>
      <w:r w:rsidRPr="00AD11BB">
        <w:t>Analyses performed across trials (pooled analyses and meta-analyses)</w:t>
      </w:r>
      <w:bookmarkEnd w:id="53"/>
      <w:bookmarkEnd w:id="54"/>
      <w:bookmarkEnd w:id="55"/>
      <w:bookmarkEnd w:id="56"/>
    </w:p>
    <w:p w:rsidR="00AD11BB" w:rsidRDefault="00D0093C" w:rsidP="00306A68">
      <w:r w:rsidRPr="00AD11BB">
        <w:t xml:space="preserve">The submission included a pooled analysis of the above four trials, as well as a pooled analysis of the three trials (MP4002, MP4004 and MP 4006) that used the ‘in-house” versions of </w:t>
      </w:r>
      <w:proofErr w:type="spellStart"/>
      <w:r w:rsidRPr="00AD11BB">
        <w:t>azelastine</w:t>
      </w:r>
      <w:proofErr w:type="spellEnd"/>
      <w:r w:rsidRPr="00AD11BB">
        <w:t xml:space="preserve"> and fluticasone sprays.</w:t>
      </w:r>
      <w:r w:rsidR="007307C7">
        <w:t xml:space="preserve"> </w:t>
      </w:r>
      <w:r w:rsidRPr="00AD11BB">
        <w:t>The results of the 4-tri</w:t>
      </w:r>
      <w:r w:rsidR="00AD11BB">
        <w:t>a</w:t>
      </w:r>
      <w:r w:rsidR="00306A68">
        <w:t>l analysis are summarised here.</w:t>
      </w:r>
    </w:p>
    <w:p w:rsidR="00D0093C" w:rsidRPr="00AD11BB" w:rsidRDefault="00AD11BB" w:rsidP="006C01B3">
      <w:pPr>
        <w:ind w:left="426"/>
      </w:pPr>
      <w:r w:rsidRPr="00306A68">
        <w:rPr>
          <w:b/>
        </w:rPr>
        <w:t>Comment</w:t>
      </w:r>
      <w:r>
        <w:t xml:space="preserve">: </w:t>
      </w:r>
      <w:r w:rsidR="00D0093C" w:rsidRPr="00AD11BB">
        <w:t>The four studies had virtually an identical design and produced consistent results. All four trials were positive and hence the submission is not relying on the pooled data to establish overall efficacy. Pooling of the studies is therefore considered appropriate.</w:t>
      </w:r>
    </w:p>
    <w:p w:rsidR="00D0093C" w:rsidRPr="00AD11BB" w:rsidRDefault="00D0093C" w:rsidP="00306A68">
      <w:r w:rsidRPr="00AD11BB">
        <w:t xml:space="preserve">The pooled analysis included 3997 subjects. The four treatment groups had comparable mean </w:t>
      </w:r>
      <w:proofErr w:type="spellStart"/>
      <w:r w:rsidRPr="00AD11BB">
        <w:t>rTNSS</w:t>
      </w:r>
      <w:proofErr w:type="spellEnd"/>
      <w:r w:rsidRPr="00AD11BB">
        <w:t xml:space="preserve"> scores at baselin</w:t>
      </w:r>
      <w:r w:rsidR="00306A68">
        <w:t>e.</w:t>
      </w:r>
    </w:p>
    <w:p w:rsidR="00D0093C" w:rsidRPr="00AD11BB" w:rsidRDefault="00D0093C" w:rsidP="00306A68">
      <w:r w:rsidRPr="00AD11BB">
        <w:t xml:space="preserve">For the primary endpoint of change in </w:t>
      </w:r>
      <w:proofErr w:type="spellStart"/>
      <w:r w:rsidRPr="00AD11BB">
        <w:t>rTNSS</w:t>
      </w:r>
      <w:proofErr w:type="spellEnd"/>
      <w:r w:rsidRPr="00AD11BB">
        <w:t xml:space="preserve"> (AM+PM scores combined) over the entire 14-day treatment period, the combination product was superior to all three comparators, and the two monotherapy products were both superior to placebo. These findings are consistent with the results of the individual studies. Analysis of AM </w:t>
      </w:r>
      <w:proofErr w:type="spellStart"/>
      <w:r w:rsidRPr="00AD11BB">
        <w:t>rTNSS</w:t>
      </w:r>
      <w:proofErr w:type="spellEnd"/>
      <w:r w:rsidRPr="00AD11BB">
        <w:t xml:space="preserve">, PM </w:t>
      </w:r>
      <w:proofErr w:type="spellStart"/>
      <w:proofErr w:type="gramStart"/>
      <w:r w:rsidRPr="00AD11BB">
        <w:t>rTNSS</w:t>
      </w:r>
      <w:proofErr w:type="spellEnd"/>
      <w:proofErr w:type="gramEnd"/>
      <w:r w:rsidRPr="00AD11BB">
        <w:t xml:space="preserve">, individual nasal symptom scores, </w:t>
      </w:r>
      <w:proofErr w:type="spellStart"/>
      <w:r w:rsidRPr="00AD11BB">
        <w:t>iTNSS</w:t>
      </w:r>
      <w:proofErr w:type="spellEnd"/>
      <w:r w:rsidRPr="00AD11BB">
        <w:t xml:space="preserve"> and postnasal drip gave similar results.</w:t>
      </w:r>
    </w:p>
    <w:p w:rsidR="00D0093C" w:rsidRPr="00AD11BB" w:rsidRDefault="00D0093C" w:rsidP="00306A68">
      <w:r w:rsidRPr="00AD11BB">
        <w:t xml:space="preserve">For ocular symptoms, </w:t>
      </w:r>
      <w:proofErr w:type="spellStart"/>
      <w:r w:rsidRPr="00AD11BB">
        <w:t>rTOSS</w:t>
      </w:r>
      <w:proofErr w:type="spellEnd"/>
      <w:r w:rsidRPr="00AD11BB">
        <w:t xml:space="preserve"> (AM+PM combined) over the entire 14-day treatment period, the combination product was again superior to all three comparators, and the two monotherapy products were both superior to placebo. Analysis for individual eye symptoms gave similar results.</w:t>
      </w:r>
    </w:p>
    <w:p w:rsidR="00D0093C" w:rsidRPr="00AD11BB" w:rsidRDefault="00D0093C" w:rsidP="006C01B3">
      <w:pPr>
        <w:ind w:left="426"/>
      </w:pPr>
      <w:r w:rsidRPr="00306A68">
        <w:rPr>
          <w:b/>
        </w:rPr>
        <w:t>Comment</w:t>
      </w:r>
      <w:r w:rsidRPr="00AD11BB">
        <w:t>:</w:t>
      </w:r>
      <w:r w:rsidR="00AD11BB">
        <w:t xml:space="preserve"> </w:t>
      </w:r>
      <w:r w:rsidRPr="00AD11BB">
        <w:t xml:space="preserve">In the individual studies the combination was not shown to be superior to </w:t>
      </w:r>
      <w:proofErr w:type="spellStart"/>
      <w:r w:rsidRPr="00AD11BB">
        <w:t>azelastine</w:t>
      </w:r>
      <w:proofErr w:type="spellEnd"/>
      <w:r w:rsidRPr="00AD11BB">
        <w:t xml:space="preserve"> alone for </w:t>
      </w:r>
      <w:proofErr w:type="spellStart"/>
      <w:r w:rsidRPr="00AD11BB">
        <w:t>rTOSS</w:t>
      </w:r>
      <w:proofErr w:type="spellEnd"/>
      <w:r w:rsidRPr="00AD11BB">
        <w:t>. In the pooled analysis, the difference between the two products just reached statistical significance (p</w:t>
      </w:r>
      <w:r w:rsidR="00AD11BB">
        <w:t xml:space="preserve"> </w:t>
      </w:r>
      <w:r w:rsidRPr="00AD11BB">
        <w:t>=</w:t>
      </w:r>
      <w:r w:rsidR="00AD11BB">
        <w:t xml:space="preserve"> </w:t>
      </w:r>
      <w:r w:rsidRPr="00AD11BB">
        <w:t>0.0481). However, the absolute difference in LS-</w:t>
      </w:r>
      <w:r w:rsidRPr="00AD11BB">
        <w:lastRenderedPageBreak/>
        <w:t>means between the two products was only -0.30 points, which is unlikely to be clinically significant given that subjects had baseline scores of approximately 12.0.</w:t>
      </w:r>
    </w:p>
    <w:p w:rsidR="00D0093C" w:rsidRPr="00AD11BB" w:rsidRDefault="00D0093C" w:rsidP="00306A68">
      <w:r w:rsidRPr="00AD11BB">
        <w:t xml:space="preserve">For RQLQ overall score, the pooled analysis failed to demonstrate a significant benefit for the combination over fluticasone. The difference between the combination and </w:t>
      </w:r>
      <w:proofErr w:type="spellStart"/>
      <w:r w:rsidRPr="00AD11BB">
        <w:t>azelastine</w:t>
      </w:r>
      <w:proofErr w:type="spellEnd"/>
      <w:r w:rsidRPr="00AD11BB">
        <w:t xml:space="preserve"> was statistically but not clinically significant.</w:t>
      </w:r>
    </w:p>
    <w:p w:rsidR="007307C7" w:rsidRDefault="00D0093C" w:rsidP="00306A68">
      <w:pPr>
        <w:rPr>
          <w:lang w:eastAsia="ja-JP"/>
        </w:rPr>
      </w:pPr>
      <w:r w:rsidRPr="00AD11BB">
        <w:t xml:space="preserve">The report included analyses of </w:t>
      </w:r>
      <w:proofErr w:type="spellStart"/>
      <w:r w:rsidRPr="00AD11BB">
        <w:t>rTNSS</w:t>
      </w:r>
      <w:proofErr w:type="spellEnd"/>
      <w:r w:rsidRPr="00AD11BB">
        <w:t xml:space="preserve"> and </w:t>
      </w:r>
      <w:proofErr w:type="spellStart"/>
      <w:r w:rsidRPr="00AD11BB">
        <w:t>rTOSS</w:t>
      </w:r>
      <w:proofErr w:type="spellEnd"/>
      <w:r w:rsidRPr="00AD11BB">
        <w:t xml:space="preserve"> for various subgroups of patients according to gender, age range </w:t>
      </w:r>
      <w:r w:rsidR="00AD11BB">
        <w:t xml:space="preserve">(12 to 17, 18 to </w:t>
      </w:r>
      <w:r w:rsidRPr="00AD11BB">
        <w:t>65 and &gt;</w:t>
      </w:r>
      <w:r w:rsidR="00AD11BB">
        <w:t xml:space="preserve"> </w:t>
      </w:r>
      <w:r w:rsidRPr="00AD11BB">
        <w:t>65), race (white, other) and ethnicity (Hispanic, non-</w:t>
      </w:r>
      <w:r w:rsidRPr="00D0093C">
        <w:rPr>
          <w:lang w:eastAsia="ja-JP"/>
        </w:rPr>
        <w:t>Hispanic). These analyses did not raise any concerns regarding lack of efficacy in any particular subgroup.</w:t>
      </w:r>
    </w:p>
    <w:p w:rsidR="00D0093C" w:rsidRPr="00D0093C" w:rsidRDefault="00D0093C" w:rsidP="00306A68">
      <w:pPr>
        <w:rPr>
          <w:lang w:eastAsia="ja-JP"/>
        </w:rPr>
      </w:pPr>
      <w:r w:rsidRPr="00D0093C">
        <w:rPr>
          <w:lang w:eastAsia="ja-JP"/>
        </w:rPr>
        <w:t xml:space="preserve">The submission also included a post-hoc, pooled analysis of </w:t>
      </w:r>
      <w:r w:rsidRPr="00D0093C">
        <w:rPr>
          <w:u w:val="single"/>
          <w:lang w:eastAsia="ja-JP"/>
        </w:rPr>
        <w:t>responder rates</w:t>
      </w:r>
      <w:r w:rsidRPr="00D0093C">
        <w:rPr>
          <w:lang w:eastAsia="ja-JP"/>
        </w:rPr>
        <w:t xml:space="preserve"> across the four efficacy studies. Analysis of responder rates is recommended in the EMA guideline on allergic rhinitis. A response was defined as at least a 50% reduction from baseline in </w:t>
      </w:r>
      <w:proofErr w:type="spellStart"/>
      <w:r w:rsidRPr="00D0093C">
        <w:rPr>
          <w:lang w:eastAsia="ja-JP"/>
        </w:rPr>
        <w:t>rTNSS</w:t>
      </w:r>
      <w:proofErr w:type="spellEnd"/>
      <w:r w:rsidRPr="00D0093C">
        <w:rPr>
          <w:lang w:eastAsia="ja-JP"/>
        </w:rPr>
        <w:t>. The proportion of patients who achieved a response was significantly greater in the combination group than in the comparator arms. For any given level of response rate, the level was achieved earlier in combination group.</w:t>
      </w:r>
    </w:p>
    <w:p w:rsidR="00D0093C" w:rsidRPr="00AD11BB" w:rsidRDefault="00D0093C" w:rsidP="00306A68">
      <w:pPr>
        <w:pStyle w:val="Heading4"/>
      </w:pPr>
      <w:bookmarkStart w:id="57" w:name="_Ref271126605"/>
      <w:bookmarkStart w:id="58" w:name="_Toc272414657"/>
      <w:bookmarkStart w:id="59" w:name="_Toc290846282"/>
      <w:bookmarkStart w:id="60" w:name="_Toc228768138"/>
      <w:r w:rsidRPr="00AD11BB">
        <w:t xml:space="preserve">Evaluator’s conclusions on clinical efficacy for </w:t>
      </w:r>
      <w:bookmarkEnd w:id="57"/>
      <w:bookmarkEnd w:id="58"/>
      <w:bookmarkEnd w:id="59"/>
      <w:r w:rsidRPr="00AD11BB">
        <w:t>allergic rhinitis</w:t>
      </w:r>
      <w:bookmarkEnd w:id="60"/>
    </w:p>
    <w:p w:rsidR="00D0093C" w:rsidRPr="00AD11BB" w:rsidRDefault="00D0093C" w:rsidP="00306A68">
      <w:pPr>
        <w:pStyle w:val="Heading5"/>
      </w:pPr>
      <w:r w:rsidRPr="00AD11BB">
        <w:t>Nasal symptoms</w:t>
      </w:r>
    </w:p>
    <w:p w:rsidR="00D0093C" w:rsidRPr="00AD11BB" w:rsidRDefault="00D0093C" w:rsidP="00306A68">
      <w:pPr>
        <w:pStyle w:val="ListBullet"/>
      </w:pPr>
      <w:r w:rsidRPr="00AD11BB">
        <w:t xml:space="preserve">The pivotal study demonstrated that the combination product is significantly superior to both </w:t>
      </w:r>
      <w:proofErr w:type="spellStart"/>
      <w:r w:rsidRPr="00AD11BB">
        <w:t>azelastine</w:t>
      </w:r>
      <w:proofErr w:type="spellEnd"/>
      <w:r w:rsidRPr="00AD11BB">
        <w:t xml:space="preserve"> and fluticasone (200 mcg per day) nasal sprays, as assessed by nasal symptom scores. The improvement in symptoms with the combination, compared to that seen with the monotherapi</w:t>
      </w:r>
      <w:r w:rsidR="00306A68">
        <w:t>es, was clinically significant.</w:t>
      </w:r>
    </w:p>
    <w:p w:rsidR="00D0093C" w:rsidRPr="00AD11BB" w:rsidRDefault="00D0093C" w:rsidP="00306A68">
      <w:pPr>
        <w:pStyle w:val="ListBullet"/>
      </w:pPr>
      <w:r w:rsidRPr="00AD11BB">
        <w:t xml:space="preserve">The 3 supportive studies also demonstrated superior efficacy for the combination over the active comparators on the primary endpoint of </w:t>
      </w:r>
      <w:proofErr w:type="spellStart"/>
      <w:r w:rsidRPr="00AD11BB">
        <w:t>rTNSS</w:t>
      </w:r>
      <w:proofErr w:type="spellEnd"/>
      <w:r w:rsidRPr="00AD11BB">
        <w:t>. However, on many of the secondary endpoints, the combination was not superior to fluticasone alone.</w:t>
      </w:r>
    </w:p>
    <w:p w:rsidR="00D0093C" w:rsidRPr="00AD11BB" w:rsidRDefault="00D0093C" w:rsidP="00306A68">
      <w:pPr>
        <w:pStyle w:val="ListBullet"/>
      </w:pPr>
      <w:r w:rsidRPr="00AD11BB">
        <w:t>A pooled analysis demonstrated superiority of the combination over all three comparators on all endpoints.</w:t>
      </w:r>
    </w:p>
    <w:p w:rsidR="00D0093C" w:rsidRPr="00AD11BB" w:rsidRDefault="00D0093C" w:rsidP="00306A68">
      <w:pPr>
        <w:pStyle w:val="ListBullet"/>
      </w:pPr>
      <w:r w:rsidRPr="00AD11BB">
        <w:t>Onset of action occurred 30</w:t>
      </w:r>
      <w:r w:rsidR="00AD11BB">
        <w:t xml:space="preserve"> to </w:t>
      </w:r>
      <w:r w:rsidRPr="00AD11BB">
        <w:t>4</w:t>
      </w:r>
      <w:r w:rsidR="00306A68">
        <w:t>5 minutes after initial dosing.</w:t>
      </w:r>
    </w:p>
    <w:p w:rsidR="00D0093C" w:rsidRPr="00AD11BB" w:rsidRDefault="00D0093C" w:rsidP="00306A68">
      <w:pPr>
        <w:pStyle w:val="ListBullet"/>
      </w:pPr>
      <w:r w:rsidRPr="00AD11BB">
        <w:t>The submitted studies did not address the question of whe</w:t>
      </w:r>
      <w:r w:rsidR="00AD11BB">
        <w:t>ther use of a higher dose (400 </w:t>
      </w:r>
      <w:r w:rsidRPr="00AD11BB">
        <w:t>mcg per day) of fluticasone alone would be more effective than the combination.</w:t>
      </w:r>
    </w:p>
    <w:p w:rsidR="00D0093C" w:rsidRPr="00AD11BB" w:rsidRDefault="00D0093C" w:rsidP="00306A68">
      <w:pPr>
        <w:pStyle w:val="Heading5"/>
      </w:pPr>
      <w:r w:rsidRPr="00AD11BB">
        <w:t>Ocular symptoms</w:t>
      </w:r>
    </w:p>
    <w:p w:rsidR="00D0093C" w:rsidRPr="00306A68" w:rsidRDefault="00D0093C" w:rsidP="00306A68">
      <w:pPr>
        <w:pStyle w:val="ListBullet"/>
      </w:pPr>
      <w:r w:rsidRPr="00306A68">
        <w:t xml:space="preserve">In the pivotal study, the combination product was consistently superior to placebo. On most of the ocular endpoints, the combination was also superior to fluticasone. However the overall data suggest that the combination is no better than </w:t>
      </w:r>
      <w:proofErr w:type="spellStart"/>
      <w:r w:rsidRPr="00306A68">
        <w:t>azelastine</w:t>
      </w:r>
      <w:proofErr w:type="spellEnd"/>
      <w:r w:rsidRPr="00306A68">
        <w:t xml:space="preserve"> nasal spray in terms of </w:t>
      </w:r>
      <w:r w:rsidR="00306A68">
        <w:t>improvement in ocular symptoms.</w:t>
      </w:r>
    </w:p>
    <w:p w:rsidR="00D0093C" w:rsidRPr="00306A68" w:rsidRDefault="00D0093C" w:rsidP="00306A68">
      <w:pPr>
        <w:pStyle w:val="ListBullet"/>
      </w:pPr>
      <w:r w:rsidRPr="00306A68">
        <w:t>A similar pattern of results was observed in the 3 supportive studies and the pooled analysis.</w:t>
      </w:r>
    </w:p>
    <w:p w:rsidR="00D0093C" w:rsidRPr="00AD11BB" w:rsidRDefault="00D0093C" w:rsidP="00306A68">
      <w:pPr>
        <w:pStyle w:val="Heading5"/>
      </w:pPr>
      <w:r w:rsidRPr="00AD11BB">
        <w:t>Postnasal drip</w:t>
      </w:r>
    </w:p>
    <w:p w:rsidR="00D0093C" w:rsidRPr="00AD11BB" w:rsidRDefault="00D0093C" w:rsidP="00306A68">
      <w:pPr>
        <w:pStyle w:val="ListBullet"/>
      </w:pPr>
      <w:r w:rsidRPr="00AD11BB">
        <w:t>The pivotal study demonstrated that the combination is no better than fluticasone nasal spray in relieving postnasal drip in subjects with allergic rhinitis. Similar results were obtained in the 3 supportive studies. In the pooled analysis the combination was superior to all three comparators.</w:t>
      </w:r>
    </w:p>
    <w:p w:rsidR="00D0093C" w:rsidRPr="00AD11BB" w:rsidRDefault="00D0093C" w:rsidP="00306A68">
      <w:pPr>
        <w:pStyle w:val="Heading5"/>
      </w:pPr>
      <w:r w:rsidRPr="00AD11BB">
        <w:t xml:space="preserve">Quality of </w:t>
      </w:r>
      <w:r w:rsidR="00306A68">
        <w:t>l</w:t>
      </w:r>
      <w:r w:rsidRPr="00AD11BB">
        <w:t>ife</w:t>
      </w:r>
    </w:p>
    <w:p w:rsidR="00D0093C" w:rsidRPr="00AD11BB" w:rsidRDefault="00D0093C" w:rsidP="00306A68">
      <w:pPr>
        <w:pStyle w:val="ListBullet"/>
      </w:pPr>
      <w:r w:rsidRPr="00AD11BB">
        <w:t>The pivotal and supportive studies and the pooled analysis demonstrated that the combination provides no clinically meaningful benefit over the individual components in terms of improvement in quality of life.</w:t>
      </w:r>
    </w:p>
    <w:p w:rsidR="00AD11BB" w:rsidRDefault="00AD11BB" w:rsidP="00642E2C">
      <w:pPr>
        <w:ind w:left="426"/>
        <w:rPr>
          <w:lang w:eastAsia="ja-JP"/>
        </w:rPr>
      </w:pPr>
      <w:r w:rsidRPr="00306A68">
        <w:rPr>
          <w:b/>
          <w:lang w:eastAsia="ja-JP"/>
        </w:rPr>
        <w:lastRenderedPageBreak/>
        <w:t>Comment</w:t>
      </w:r>
      <w:r>
        <w:rPr>
          <w:lang w:eastAsia="ja-JP"/>
        </w:rPr>
        <w:t xml:space="preserve">: </w:t>
      </w:r>
      <w:r w:rsidR="00D0093C" w:rsidRPr="00D0093C">
        <w:rPr>
          <w:lang w:eastAsia="ja-JP"/>
        </w:rPr>
        <w:t xml:space="preserve">The submitted studies have complied with the requirements of the EMA Guidelines on allergic </w:t>
      </w:r>
      <w:proofErr w:type="spellStart"/>
      <w:r w:rsidR="00D0093C" w:rsidRPr="00D0093C">
        <w:rPr>
          <w:lang w:eastAsia="ja-JP"/>
        </w:rPr>
        <w:t>rhinoconjunctivitis</w:t>
      </w:r>
      <w:proofErr w:type="spellEnd"/>
      <w:r w:rsidR="00D0093C" w:rsidRPr="00D0093C">
        <w:rPr>
          <w:lang w:eastAsia="ja-JP"/>
        </w:rPr>
        <w:t xml:space="preserve"> and those on fixed combination products. The studies were adequately designed and executed. More robust evidence of efficacy would have been obtained if all the studies had used marketed m</w:t>
      </w:r>
      <w:r w:rsidR="00306A68">
        <w:rPr>
          <w:lang w:eastAsia="ja-JP"/>
        </w:rPr>
        <w:t>onotherapy comparator products.</w:t>
      </w:r>
    </w:p>
    <w:p w:rsidR="00AD11BB" w:rsidRDefault="00D0093C" w:rsidP="00642E2C">
      <w:pPr>
        <w:ind w:left="426"/>
      </w:pPr>
      <w:r w:rsidRPr="00D0093C">
        <w:rPr>
          <w:lang w:eastAsia="ja-JP"/>
        </w:rPr>
        <w:t xml:space="preserve">The EMA guidelines on fixed combination products require that each substance in fixed the combination must have a “documented therapeutic contribution” to the combination. This has been adequately demonstrated for nasal symptom scores, where the combination was consistently superior to the monotherapy products. However, for ocular symptoms the </w:t>
      </w:r>
      <w:r w:rsidRPr="00AD11BB">
        <w:t xml:space="preserve">combination was not superior to </w:t>
      </w:r>
      <w:proofErr w:type="spellStart"/>
      <w:r w:rsidRPr="00AD11BB">
        <w:t>azelastine</w:t>
      </w:r>
      <w:proofErr w:type="spellEnd"/>
      <w:r w:rsidRPr="00AD11BB">
        <w:t xml:space="preserve"> alone. The sponsor is seeking approval for an indication that includes “allergic rhino-conjunctivitis” and it could be argued that the indication should be restricted to allergic rhinitis. However, the </w:t>
      </w:r>
      <w:proofErr w:type="spellStart"/>
      <w:r w:rsidRPr="00AD11BB">
        <w:t>azelastine</w:t>
      </w:r>
      <w:proofErr w:type="spellEnd"/>
      <w:r w:rsidRPr="00AD11BB">
        <w:t xml:space="preserve"> and fluticasone products in Australia are not approved for the treatment of </w:t>
      </w:r>
      <w:proofErr w:type="spellStart"/>
      <w:r w:rsidRPr="00AD11BB">
        <w:t>conjunctival</w:t>
      </w:r>
      <w:proofErr w:type="spellEnd"/>
      <w:r w:rsidRPr="00AD11BB">
        <w:t xml:space="preserve"> symptoms.</w:t>
      </w:r>
      <w:r w:rsidR="007307C7">
        <w:t xml:space="preserve"> </w:t>
      </w:r>
      <w:r w:rsidRPr="00AD11BB">
        <w:t xml:space="preserve">It would therefore not be reasonable to insist that the combination demonstrate superiority over them. As the combination was consistently superior to placebo for ocular symptoms, an indication using the term “allergic </w:t>
      </w:r>
      <w:proofErr w:type="spellStart"/>
      <w:r w:rsidRPr="00AD11BB">
        <w:t>rhinoconjunctivitis</w:t>
      </w:r>
      <w:proofErr w:type="spellEnd"/>
      <w:r w:rsidRPr="00AD11BB">
        <w:t>” is considered acceptable.</w:t>
      </w:r>
    </w:p>
    <w:p w:rsidR="00AD11BB" w:rsidRDefault="00D0093C" w:rsidP="00642E2C">
      <w:pPr>
        <w:ind w:left="426"/>
        <w:rPr>
          <w:lang w:eastAsia="ja-JP"/>
        </w:rPr>
      </w:pPr>
      <w:r w:rsidRPr="00D0093C">
        <w:rPr>
          <w:lang w:eastAsia="ja-JP"/>
        </w:rPr>
        <w:t xml:space="preserve">All four efficacy studies were conducted in patients with SAR and were only two weeks in duration. It is noted that the indication approved by the FDA is restricted to SAR. The indication proposed by the sponsor for Australia is not restricted to SAR and no limit on duration of use is proposed. The EMA </w:t>
      </w:r>
      <w:proofErr w:type="gramStart"/>
      <w:r w:rsidRPr="00D0093C">
        <w:rPr>
          <w:lang w:eastAsia="ja-JP"/>
        </w:rPr>
        <w:t>guideline on allergic rhinitis products state</w:t>
      </w:r>
      <w:proofErr w:type="gramEnd"/>
      <w:r w:rsidRPr="00D0093C">
        <w:rPr>
          <w:lang w:eastAsia="ja-JP"/>
        </w:rPr>
        <w:t xml:space="preserve"> the following:</w:t>
      </w:r>
    </w:p>
    <w:p w:rsidR="00D0093C" w:rsidRPr="00AD11BB" w:rsidRDefault="00AD11BB" w:rsidP="00642E2C">
      <w:pPr>
        <w:ind w:left="709" w:hanging="11"/>
        <w:rPr>
          <w:i/>
        </w:rPr>
      </w:pPr>
      <w:r w:rsidRPr="00AD11BB">
        <w:rPr>
          <w:i/>
        </w:rPr>
        <w:t>‘</w:t>
      </w:r>
      <w:proofErr w:type="spellStart"/>
      <w:r w:rsidR="00D0093C" w:rsidRPr="00AD11BB">
        <w:rPr>
          <w:i/>
        </w:rPr>
        <w:t>Pharmacodynamically</w:t>
      </w:r>
      <w:proofErr w:type="spellEnd"/>
      <w:r w:rsidR="00D0093C" w:rsidRPr="00AD11BB">
        <w:rPr>
          <w:i/>
        </w:rPr>
        <w:t xml:space="preserve"> SAR and PAR are considered comparable. For approval of the SAR/PAR indication for a new product at least two adequate and well controlled phase 3 clinical trials preferably one each in SAR and PAR, are recommended. For drugs </w:t>
      </w:r>
      <w:r>
        <w:rPr>
          <w:i/>
        </w:rPr>
        <w:t>of established classes (that is</w:t>
      </w:r>
      <w:r w:rsidR="00D0093C" w:rsidRPr="00AD11BB">
        <w:rPr>
          <w:i/>
        </w:rPr>
        <w:t xml:space="preserve"> where mode of action is known) this might be two SAR or two PAR studies or one study in each condition. If however, only 2 SAR studies are conducted, additional safety data for 12 months will be required to establish safety of chronic use of th</w:t>
      </w:r>
      <w:r w:rsidR="00306A68">
        <w:rPr>
          <w:i/>
        </w:rPr>
        <w:t>e product in patients with PAR.’</w:t>
      </w:r>
    </w:p>
    <w:p w:rsidR="00D0093C" w:rsidRPr="00D0093C" w:rsidRDefault="00D0093C" w:rsidP="00306A68">
      <w:pPr>
        <w:rPr>
          <w:lang w:eastAsia="ja-JP"/>
        </w:rPr>
      </w:pPr>
      <w:r w:rsidRPr="00D0093C">
        <w:rPr>
          <w:lang w:eastAsia="ja-JP"/>
        </w:rPr>
        <w:t>The sponsor has not conducted any studies in PAR, but has conducted a 12-month safety study (MP4000 - reviewed below). Hence approval for PAR / long-term use is considered approvable based on the submitted efficacy data.</w:t>
      </w:r>
    </w:p>
    <w:p w:rsidR="00C22678" w:rsidRDefault="00C22678" w:rsidP="00306A68">
      <w:pPr>
        <w:pStyle w:val="Heading2"/>
      </w:pPr>
      <w:bookmarkStart w:id="61" w:name="_Toc396903955"/>
      <w:r>
        <w:t>Clinical safety</w:t>
      </w:r>
      <w:bookmarkEnd w:id="61"/>
    </w:p>
    <w:p w:rsidR="00AD11BB" w:rsidRPr="00AD11BB" w:rsidRDefault="00AD11BB" w:rsidP="00306A68">
      <w:pPr>
        <w:pStyle w:val="Heading3"/>
      </w:pPr>
      <w:bookmarkStart w:id="62" w:name="_Toc272414659"/>
      <w:bookmarkStart w:id="63" w:name="_Toc290846284"/>
      <w:bookmarkStart w:id="64" w:name="_Toc228768140"/>
      <w:bookmarkStart w:id="65" w:name="_Toc396903956"/>
      <w:r w:rsidRPr="00AD11BB">
        <w:t>Studies providing evaluable safety data</w:t>
      </w:r>
      <w:bookmarkEnd w:id="62"/>
      <w:bookmarkEnd w:id="63"/>
      <w:bookmarkEnd w:id="64"/>
      <w:bookmarkEnd w:id="65"/>
    </w:p>
    <w:p w:rsidR="00AD11BB" w:rsidRPr="00AD11BB" w:rsidRDefault="00AD11BB" w:rsidP="00DE7C29">
      <w:bookmarkStart w:id="66" w:name="_Ref268776745"/>
      <w:r w:rsidRPr="00AD11BB">
        <w:t>The following studies provided evaluable safety data:</w:t>
      </w:r>
    </w:p>
    <w:p w:rsidR="00AD11BB" w:rsidRPr="00AD11BB" w:rsidRDefault="00AD11BB" w:rsidP="00AD11BB">
      <w:pPr>
        <w:pStyle w:val="Heading4"/>
      </w:pPr>
      <w:r w:rsidRPr="00AD11BB">
        <w:t>Pivotal and supportive efficacy studies</w:t>
      </w:r>
      <w:bookmarkEnd w:id="66"/>
    </w:p>
    <w:p w:rsidR="00AD11BB" w:rsidRPr="00AD11BB" w:rsidRDefault="00AD11BB" w:rsidP="00AD11BB">
      <w:r w:rsidRPr="00AD11BB">
        <w:t>In the 4 pivotal and supportive efficacy studies (MP4001, MP4002, MP4004 and MP4006), the following safety data were collected:</w:t>
      </w:r>
    </w:p>
    <w:p w:rsidR="00AD11BB" w:rsidRPr="00AD11BB" w:rsidRDefault="00AD11BB" w:rsidP="00AD11BB">
      <w:pPr>
        <w:pStyle w:val="ListBullet"/>
      </w:pPr>
      <w:r w:rsidRPr="00AD11BB">
        <w:t>General adverse events (AEs) were assessed by open-ended questioning.</w:t>
      </w:r>
    </w:p>
    <w:p w:rsidR="00AD11BB" w:rsidRPr="00AD11BB" w:rsidRDefault="00AD11BB" w:rsidP="00AD11BB">
      <w:pPr>
        <w:pStyle w:val="ListBullet"/>
      </w:pPr>
      <w:r w:rsidRPr="00AD11BB">
        <w:t>A focused nasal examination was conducted at each study visit.</w:t>
      </w:r>
    </w:p>
    <w:p w:rsidR="00AD11BB" w:rsidRPr="00AD11BB" w:rsidRDefault="00AD11BB" w:rsidP="00AD11BB">
      <w:pPr>
        <w:pStyle w:val="ListBullet"/>
      </w:pPr>
      <w:r w:rsidRPr="00AD11BB">
        <w:t>Vital signs we</w:t>
      </w:r>
      <w:r w:rsidR="00DA4B7B">
        <w:t>re measured at each study visit.</w:t>
      </w:r>
    </w:p>
    <w:p w:rsidR="00AD11BB" w:rsidRPr="00AD11BB" w:rsidRDefault="00AD11BB" w:rsidP="00AD11BB">
      <w:pPr>
        <w:pStyle w:val="ListBullet"/>
      </w:pPr>
      <w:r w:rsidRPr="00AD11BB">
        <w:t>No laboratory testing (apart from baseline pregnancy testing) was undertaken in these studies.</w:t>
      </w:r>
    </w:p>
    <w:p w:rsidR="00AD11BB" w:rsidRPr="00AD11BB" w:rsidRDefault="00AD11BB" w:rsidP="00DA4B7B">
      <w:pPr>
        <w:pStyle w:val="Heading4"/>
      </w:pPr>
      <w:r w:rsidRPr="00AD11BB">
        <w:lastRenderedPageBreak/>
        <w:t>Pivotal studies that assessed safety as a primary outcome</w:t>
      </w:r>
    </w:p>
    <w:p w:rsidR="007307C7" w:rsidRDefault="00AD11BB" w:rsidP="00DA4B7B">
      <w:pPr>
        <w:rPr>
          <w:lang w:eastAsia="en-AU"/>
        </w:rPr>
      </w:pPr>
      <w:r w:rsidRPr="00AD11BB">
        <w:rPr>
          <w:lang w:eastAsia="en-AU"/>
        </w:rPr>
        <w:t>Study MP4000 was a pivotal study that assessed safety as a primary outcome. This study is</w:t>
      </w:r>
      <w:r w:rsidR="009A6983">
        <w:rPr>
          <w:lang w:eastAsia="en-AU"/>
        </w:rPr>
        <w:t xml:space="preserve"> described in greater detail later in this report (section 8.2).</w:t>
      </w:r>
    </w:p>
    <w:p w:rsidR="00AD11BB" w:rsidRPr="009A6983" w:rsidRDefault="00AD11BB" w:rsidP="00DA4B7B">
      <w:pPr>
        <w:pStyle w:val="Heading4"/>
      </w:pPr>
      <w:r w:rsidRPr="009A6983">
        <w:t>Oth</w:t>
      </w:r>
      <w:r w:rsidR="00DA4B7B">
        <w:t>er studies evaluable for safety</w:t>
      </w:r>
    </w:p>
    <w:p w:rsidR="00AD11BB" w:rsidRPr="009A6983" w:rsidRDefault="00AD11BB" w:rsidP="00DA4B7B">
      <w:pPr>
        <w:pStyle w:val="Heading5"/>
      </w:pPr>
      <w:r w:rsidRPr="009A6983">
        <w:t>Clinical pharmacology studies</w:t>
      </w:r>
    </w:p>
    <w:p w:rsidR="00AD11BB" w:rsidRPr="009A6983" w:rsidRDefault="00AD11BB" w:rsidP="00DA4B7B">
      <w:r w:rsidRPr="009A6983">
        <w:t>Studies 3282 and 3283 were single dose studies conducted in healthy volunteers and therefore only provided very limited data.</w:t>
      </w:r>
      <w:bookmarkStart w:id="67" w:name="_Ref269204367"/>
    </w:p>
    <w:p w:rsidR="00AD11BB" w:rsidRPr="009A6983" w:rsidRDefault="00AD11BB" w:rsidP="00DA4B7B">
      <w:pPr>
        <w:pStyle w:val="Heading3"/>
      </w:pPr>
      <w:bookmarkStart w:id="68" w:name="_Ref271195835"/>
      <w:bookmarkStart w:id="69" w:name="_Ref271195841"/>
      <w:bookmarkStart w:id="70" w:name="_Toc272414660"/>
      <w:bookmarkStart w:id="71" w:name="_Toc290846285"/>
      <w:bookmarkStart w:id="72" w:name="_Toc228768141"/>
      <w:bookmarkStart w:id="73" w:name="_Toc396903957"/>
      <w:r w:rsidRPr="009A6983">
        <w:t>Pivotal studies that assessed safety as a primary outcome</w:t>
      </w:r>
      <w:bookmarkEnd w:id="67"/>
      <w:bookmarkEnd w:id="68"/>
      <w:bookmarkEnd w:id="69"/>
      <w:bookmarkEnd w:id="70"/>
      <w:bookmarkEnd w:id="71"/>
      <w:bookmarkEnd w:id="72"/>
      <w:bookmarkEnd w:id="73"/>
    </w:p>
    <w:p w:rsidR="00AD11BB" w:rsidRPr="009A6983" w:rsidRDefault="00AD11BB" w:rsidP="00DA4B7B">
      <w:pPr>
        <w:pStyle w:val="Heading4"/>
      </w:pPr>
      <w:bookmarkStart w:id="74" w:name="_Ref290844188"/>
      <w:bookmarkStart w:id="75" w:name="_Toc290846286"/>
      <w:bookmarkStart w:id="76" w:name="_Toc228768142"/>
      <w:r w:rsidRPr="009A6983">
        <w:t xml:space="preserve">Study </w:t>
      </w:r>
      <w:bookmarkEnd w:id="74"/>
      <w:bookmarkEnd w:id="75"/>
      <w:r w:rsidRPr="009A6983">
        <w:t>MP4000</w:t>
      </w:r>
      <w:bookmarkEnd w:id="76"/>
    </w:p>
    <w:p w:rsidR="00AD11BB" w:rsidRPr="009A6983" w:rsidRDefault="00AD11BB" w:rsidP="00DA4B7B">
      <w:pPr>
        <w:pStyle w:val="Heading5"/>
      </w:pPr>
      <w:bookmarkStart w:id="77" w:name="_Toc290846287"/>
      <w:bookmarkStart w:id="78" w:name="_Toc228768143"/>
      <w:r w:rsidRPr="009A6983">
        <w:t>Study design, objectives, locations and dates</w:t>
      </w:r>
      <w:bookmarkEnd w:id="77"/>
      <w:bookmarkEnd w:id="78"/>
    </w:p>
    <w:p w:rsidR="00AD11BB" w:rsidRPr="009A6983" w:rsidRDefault="00AD11BB" w:rsidP="009A6983">
      <w:r w:rsidRPr="009A6983">
        <w:t>This trial was a randomised, open-label study with two parallel groups. Subjects were randomised (2:1) to receive either the combination product or fluticasone propionate spray, and treatme</w:t>
      </w:r>
      <w:r w:rsidR="00DA4B7B">
        <w:t>nt was continued for 12 months.</w:t>
      </w:r>
    </w:p>
    <w:p w:rsidR="00AD11BB" w:rsidRPr="009A6983" w:rsidRDefault="00AD11BB" w:rsidP="00DA4B7B">
      <w:r w:rsidRPr="009A6983">
        <w:t>The objective of the study was to evaluate the safety and tolerability of the combination product with daily, chronic use over a 1-year period in subjects with chronic allergic or vasomotor/non-allergic rhinitis.</w:t>
      </w:r>
    </w:p>
    <w:p w:rsidR="00AD11BB" w:rsidRPr="009A6983" w:rsidRDefault="00AD11BB" w:rsidP="00DA4B7B">
      <w:r w:rsidRPr="009A6983">
        <w:t xml:space="preserve">The study was conducted in 37 sites in India. The first patient enrolled on </w:t>
      </w:r>
      <w:r w:rsidR="009A6983">
        <w:t>[information redacted]</w:t>
      </w:r>
      <w:r w:rsidRPr="009A6983">
        <w:t xml:space="preserve"> and the last patient completed on </w:t>
      </w:r>
      <w:r w:rsidR="009A6983">
        <w:t>[information redacted]</w:t>
      </w:r>
      <w:r w:rsidRPr="009A6983">
        <w:t>. The study report was dated 5 October 2010.</w:t>
      </w:r>
    </w:p>
    <w:p w:rsidR="00AD11BB" w:rsidRPr="009A6983" w:rsidRDefault="00AD11BB" w:rsidP="00DA4B7B">
      <w:pPr>
        <w:pStyle w:val="Heading5"/>
      </w:pPr>
      <w:bookmarkStart w:id="79" w:name="_Toc290846288"/>
      <w:bookmarkStart w:id="80" w:name="_Toc228768144"/>
      <w:r w:rsidRPr="009A6983">
        <w:t>Inclusion and exclusion criteria</w:t>
      </w:r>
      <w:bookmarkEnd w:id="79"/>
      <w:bookmarkEnd w:id="80"/>
    </w:p>
    <w:p w:rsidR="00AD11BB" w:rsidRPr="009A6983" w:rsidRDefault="00AD11BB" w:rsidP="00DA4B7B">
      <w:r w:rsidRPr="009A6983">
        <w:t>The key inclusion criterion was:</w:t>
      </w:r>
    </w:p>
    <w:p w:rsidR="00AD11BB" w:rsidRPr="00DA4B7B" w:rsidRDefault="009A6983" w:rsidP="00642E2C">
      <w:pPr>
        <w:ind w:left="426"/>
        <w:rPr>
          <w:i/>
        </w:rPr>
      </w:pPr>
      <w:r w:rsidRPr="00DA4B7B">
        <w:rPr>
          <w:i/>
        </w:rPr>
        <w:t>‘</w:t>
      </w:r>
      <w:r w:rsidR="00AD11BB" w:rsidRPr="00DA4B7B">
        <w:rPr>
          <w:i/>
        </w:rPr>
        <w:t>Male and female subjects 12 to 80 years of age with an established history (</w:t>
      </w:r>
      <w:r w:rsidRPr="00DA4B7B">
        <w:rPr>
          <w:i/>
        </w:rPr>
        <w:t xml:space="preserve">greater than or equal to </w:t>
      </w:r>
      <w:r w:rsidR="00AD11BB" w:rsidRPr="00DA4B7B">
        <w:rPr>
          <w:i/>
        </w:rPr>
        <w:t>1 year) of rhinitis due to perennial allergies or non-allergic rhinitis (VMR). Subjects with a seasonal allergic component were included, provided that they had significant symptoms outside the allergy seasons. The diagnosis of rhinitis, whether allergic or non-allergic, was made on the basis of a thorough evaluation. This evaluation included medical history, physical examination, rhinitis symptoms, skin testing or validated in vitro tests for specific immunoglobulin E (</w:t>
      </w:r>
      <w:proofErr w:type="spellStart"/>
      <w:r w:rsidR="00AD11BB" w:rsidRPr="00DA4B7B">
        <w:rPr>
          <w:i/>
        </w:rPr>
        <w:t>IgE</w:t>
      </w:r>
      <w:proofErr w:type="spellEnd"/>
      <w:r w:rsidR="00AD11BB" w:rsidRPr="00DA4B7B">
        <w:rPr>
          <w:i/>
        </w:rPr>
        <w:t xml:space="preserve">), such as </w:t>
      </w:r>
      <w:proofErr w:type="spellStart"/>
      <w:r w:rsidR="00AD11BB" w:rsidRPr="00DA4B7B">
        <w:rPr>
          <w:i/>
        </w:rPr>
        <w:t>radioallergosorbent</w:t>
      </w:r>
      <w:proofErr w:type="spellEnd"/>
      <w:r w:rsidR="00AD11BB" w:rsidRPr="00DA4B7B">
        <w:rPr>
          <w:i/>
        </w:rPr>
        <w:t xml:space="preserve"> test or paper </w:t>
      </w:r>
      <w:proofErr w:type="spellStart"/>
      <w:r w:rsidR="00AD11BB" w:rsidRPr="00DA4B7B">
        <w:rPr>
          <w:i/>
        </w:rPr>
        <w:t>radioimmunosorbent</w:t>
      </w:r>
      <w:proofErr w:type="spellEnd"/>
      <w:r w:rsidR="00AD11BB" w:rsidRPr="00DA4B7B">
        <w:rPr>
          <w:i/>
        </w:rPr>
        <w:t xml:space="preserve"> test, and might have included nasal smears.</w:t>
      </w:r>
      <w:r w:rsidRPr="00DA4B7B">
        <w:rPr>
          <w:i/>
        </w:rPr>
        <w:t>’</w:t>
      </w:r>
    </w:p>
    <w:p w:rsidR="00AD11BB" w:rsidRPr="009A6983" w:rsidRDefault="00AD11BB" w:rsidP="00DA4B7B">
      <w:r w:rsidRPr="009A6983">
        <w:t>Exclusion criteria were essentially similar to those used in the efficacy studies.</w:t>
      </w:r>
    </w:p>
    <w:p w:rsidR="00AD11BB" w:rsidRPr="009A6983" w:rsidRDefault="00AD11BB" w:rsidP="00DA4B7B">
      <w:pPr>
        <w:pStyle w:val="Heading5"/>
      </w:pPr>
      <w:bookmarkStart w:id="81" w:name="_Toc290846289"/>
      <w:bookmarkStart w:id="82" w:name="_Toc228768145"/>
      <w:r w:rsidRPr="009A6983">
        <w:t>Study treatments</w:t>
      </w:r>
      <w:bookmarkEnd w:id="81"/>
      <w:bookmarkEnd w:id="82"/>
    </w:p>
    <w:p w:rsidR="00AD11BB" w:rsidRPr="009A6983" w:rsidRDefault="00AD11BB" w:rsidP="00DA4B7B">
      <w:r w:rsidRPr="009A6983">
        <w:t>Subjects were randomised (2:1) to receive one of the following treatments:</w:t>
      </w:r>
    </w:p>
    <w:p w:rsidR="00AD11BB" w:rsidRPr="00DA4B7B" w:rsidRDefault="00AD11BB" w:rsidP="00DA4B7B">
      <w:pPr>
        <w:pStyle w:val="ListBullet"/>
      </w:pPr>
      <w:r w:rsidRPr="00DA4B7B">
        <w:t>The proposed fixed combinatio</w:t>
      </w:r>
      <w:r w:rsidR="009A6983" w:rsidRPr="00DA4B7B">
        <w:t>n of fluticasone propionate (50</w:t>
      </w:r>
      <w:r w:rsidRPr="00DA4B7B">
        <w:t xml:space="preserve"> mcg per actuation) and </w:t>
      </w:r>
      <w:proofErr w:type="spellStart"/>
      <w:r w:rsidRPr="00DA4B7B">
        <w:t>azelastine</w:t>
      </w:r>
      <w:proofErr w:type="spellEnd"/>
      <w:r w:rsidRPr="00DA4B7B">
        <w:t xml:space="preserve"> hydrochloride (137</w:t>
      </w:r>
      <w:r w:rsidR="007307C7" w:rsidRPr="00DA4B7B">
        <w:t xml:space="preserve"> </w:t>
      </w:r>
      <w:r w:rsidRPr="00DA4B7B">
        <w:t>mcg per actuation) nasal spray – one spray in each nostril twice daily (that is</w:t>
      </w:r>
      <w:r w:rsidR="007307C7" w:rsidRPr="00DA4B7B">
        <w:t xml:space="preserve"> </w:t>
      </w:r>
      <w:r w:rsidRPr="00DA4B7B">
        <w:t>200</w:t>
      </w:r>
      <w:r w:rsidR="007307C7" w:rsidRPr="00DA4B7B">
        <w:t xml:space="preserve"> </w:t>
      </w:r>
      <w:r w:rsidRPr="00DA4B7B">
        <w:t>mcg / 548</w:t>
      </w:r>
      <w:r w:rsidR="007307C7" w:rsidRPr="00DA4B7B">
        <w:t xml:space="preserve"> </w:t>
      </w:r>
      <w:r w:rsidR="00DA4B7B">
        <w:t>mcg daily)</w:t>
      </w:r>
    </w:p>
    <w:p w:rsidR="00AD11BB" w:rsidRPr="00DA4B7B" w:rsidRDefault="00AD11BB" w:rsidP="00DA4B7B">
      <w:pPr>
        <w:pStyle w:val="ListBullet"/>
      </w:pPr>
      <w:r w:rsidRPr="00DA4B7B">
        <w:t xml:space="preserve">Fluticasone propionate (50 mcg per actuation) nasal spray (using the formulation marketed in the USA by </w:t>
      </w:r>
      <w:proofErr w:type="spellStart"/>
      <w:r w:rsidRPr="00DA4B7B">
        <w:t>Roxane</w:t>
      </w:r>
      <w:proofErr w:type="spellEnd"/>
      <w:r w:rsidRPr="00DA4B7B">
        <w:t xml:space="preserve"> Laboratories) - two sprays in each nostril once daily (that is 200 mcg daily).</w:t>
      </w:r>
    </w:p>
    <w:p w:rsidR="00AD11BB" w:rsidRPr="009A6983" w:rsidRDefault="00AD11BB" w:rsidP="00DA4B7B">
      <w:pPr>
        <w:pStyle w:val="Heading5"/>
      </w:pPr>
      <w:bookmarkStart w:id="83" w:name="_Toc290846290"/>
      <w:bookmarkStart w:id="84" w:name="_Toc228768146"/>
      <w:r w:rsidRPr="009A6983">
        <w:t>Safety variables and outcomes</w:t>
      </w:r>
      <w:bookmarkEnd w:id="83"/>
      <w:bookmarkEnd w:id="84"/>
    </w:p>
    <w:p w:rsidR="00AD11BB" w:rsidRPr="009A6983" w:rsidRDefault="00AD11BB" w:rsidP="00DA4B7B">
      <w:r w:rsidRPr="009A6983">
        <w:t>Subjects attended the clinic at screening, randomisation and then after 1, 3, 6</w:t>
      </w:r>
      <w:r w:rsidR="00C239DD">
        <w:t>, 9</w:t>
      </w:r>
      <w:r w:rsidRPr="009A6983">
        <w:t xml:space="preserve"> and 12 months. Telephone contact was for every month the subjects did not attend the clinic. The main safety variables examined were:</w:t>
      </w:r>
    </w:p>
    <w:p w:rsidR="00AD11BB" w:rsidRPr="00DA4B7B" w:rsidRDefault="00AD11BB" w:rsidP="00DA4B7B">
      <w:pPr>
        <w:pStyle w:val="ListBullet"/>
      </w:pPr>
      <w:r w:rsidRPr="00DA4B7B">
        <w:lastRenderedPageBreak/>
        <w:t>AEs asse</w:t>
      </w:r>
      <w:r w:rsidR="00DA4B7B">
        <w:t>ssed by open-ended questioning</w:t>
      </w:r>
    </w:p>
    <w:p w:rsidR="00AD11BB" w:rsidRPr="00DA4B7B" w:rsidRDefault="00DA4B7B" w:rsidP="00DA4B7B">
      <w:pPr>
        <w:pStyle w:val="ListBullet"/>
      </w:pPr>
      <w:r>
        <w:t>A focused nasal examination</w:t>
      </w:r>
    </w:p>
    <w:p w:rsidR="00AD11BB" w:rsidRPr="00DA4B7B" w:rsidRDefault="00AD11BB" w:rsidP="00DA4B7B">
      <w:pPr>
        <w:pStyle w:val="ListBullet"/>
      </w:pPr>
      <w:r w:rsidRPr="00DA4B7B">
        <w:t>Measurement of vital signs (temperature, blood pressure, pulse and respirat</w:t>
      </w:r>
      <w:r w:rsidR="00DA4B7B">
        <w:t>ory rate)</w:t>
      </w:r>
    </w:p>
    <w:p w:rsidR="00AD11BB" w:rsidRPr="00DA4B7B" w:rsidRDefault="00AD11BB" w:rsidP="00DA4B7B">
      <w:pPr>
        <w:pStyle w:val="ListBullet"/>
      </w:pPr>
      <w:r w:rsidRPr="00DA4B7B">
        <w:t>Laboratory testing (haematology, chemistry and urinalysis). HPA axis function was assessed by measuring morning plasma cortisol</w:t>
      </w:r>
      <w:r w:rsidR="00DA4B7B">
        <w:t xml:space="preserve"> in a subpopulation of subjects</w:t>
      </w:r>
    </w:p>
    <w:p w:rsidR="00AD11BB" w:rsidRPr="00DA4B7B" w:rsidRDefault="00AD11BB" w:rsidP="00DA4B7B">
      <w:pPr>
        <w:pStyle w:val="ListBullet"/>
      </w:pPr>
      <w:r w:rsidRPr="00DA4B7B">
        <w:t>Eye examination by an ophthalmologist, including slit lamp examination and measurement of intraocular pressure.</w:t>
      </w:r>
    </w:p>
    <w:p w:rsidR="00AD11BB" w:rsidRPr="00AD11BB" w:rsidRDefault="00AD11BB" w:rsidP="00DA4B7B">
      <w:pPr>
        <w:rPr>
          <w:lang w:eastAsia="en-AU"/>
        </w:rPr>
      </w:pPr>
      <w:r w:rsidRPr="00AD11BB">
        <w:rPr>
          <w:lang w:eastAsia="en-AU"/>
        </w:rPr>
        <w:t xml:space="preserve">The timing of these assessments </w:t>
      </w:r>
      <w:r w:rsidR="009A6983">
        <w:rPr>
          <w:lang w:eastAsia="en-AU"/>
        </w:rPr>
        <w:t>was shown in the study schedule</w:t>
      </w:r>
      <w:r w:rsidRPr="00AD11BB">
        <w:rPr>
          <w:lang w:eastAsia="en-AU"/>
        </w:rPr>
        <w:t>. A primary safety outcome measure was not specified.</w:t>
      </w:r>
    </w:p>
    <w:p w:rsidR="00AD11BB" w:rsidRPr="009A6983" w:rsidRDefault="00AD11BB" w:rsidP="00DA4B7B">
      <w:pPr>
        <w:pStyle w:val="Heading5"/>
      </w:pPr>
      <w:bookmarkStart w:id="85" w:name="_Toc290846291"/>
      <w:bookmarkStart w:id="86" w:name="_Toc228768147"/>
      <w:r w:rsidRPr="009A6983">
        <w:t>Randomisation and blinding methods</w:t>
      </w:r>
      <w:bookmarkEnd w:id="85"/>
      <w:bookmarkEnd w:id="86"/>
    </w:p>
    <w:p w:rsidR="00AD11BB" w:rsidRPr="009A6983" w:rsidRDefault="00AD11BB" w:rsidP="00DA4B7B">
      <w:r w:rsidRPr="009A6983">
        <w:t>Subjects were randomised (2:1) using a centralised randomisation schedule. Patients were allocated to treatment via an interactive voice response system. The study was not blinded.</w:t>
      </w:r>
    </w:p>
    <w:p w:rsidR="00AD11BB" w:rsidRPr="009A6983" w:rsidRDefault="00AD11BB" w:rsidP="00DA4B7B">
      <w:pPr>
        <w:pStyle w:val="Heading5"/>
      </w:pPr>
      <w:bookmarkStart w:id="87" w:name="_Toc290846292"/>
      <w:bookmarkStart w:id="88" w:name="_Toc228768148"/>
      <w:r w:rsidRPr="009A6983">
        <w:t>Analysis populations</w:t>
      </w:r>
      <w:bookmarkEnd w:id="87"/>
      <w:bookmarkEnd w:id="88"/>
    </w:p>
    <w:p w:rsidR="00AD11BB" w:rsidRPr="009A6983" w:rsidRDefault="00AD11BB" w:rsidP="00DA4B7B">
      <w:r w:rsidRPr="009A6983">
        <w:t xml:space="preserve">The safety population included all randomised subjects who received at least 1 dose of study drug, and the Intent-to-Treat (ITT) population included all randomized subjects with at least 1 post-baseline efficacy (PM </w:t>
      </w:r>
      <w:proofErr w:type="spellStart"/>
      <w:r w:rsidRPr="009A6983">
        <w:t>rTNSS</w:t>
      </w:r>
      <w:proofErr w:type="spellEnd"/>
      <w:r w:rsidRPr="009A6983">
        <w:t xml:space="preserve"> or RQLQ) observation.</w:t>
      </w:r>
    </w:p>
    <w:p w:rsidR="00AD11BB" w:rsidRPr="009A6983" w:rsidDel="0081373E" w:rsidRDefault="00AD11BB" w:rsidP="00DA4B7B">
      <w:pPr>
        <w:pStyle w:val="Heading5"/>
      </w:pPr>
      <w:bookmarkStart w:id="89" w:name="_Toc290846293"/>
      <w:bookmarkStart w:id="90" w:name="_Toc228768149"/>
      <w:r w:rsidRPr="009A6983" w:rsidDel="0081373E">
        <w:t>Sample size</w:t>
      </w:r>
      <w:bookmarkEnd w:id="89"/>
      <w:bookmarkEnd w:id="90"/>
    </w:p>
    <w:p w:rsidR="00AD11BB" w:rsidRPr="00AD11BB" w:rsidRDefault="00AD11BB" w:rsidP="00DA4B7B">
      <w:pPr>
        <w:rPr>
          <w:szCs w:val="24"/>
          <w:lang w:val="en-US" w:eastAsia="en-AU"/>
        </w:rPr>
      </w:pPr>
      <w:r w:rsidRPr="009A6983">
        <w:t>The sample size was based on ICH guideline E1A – “The Extent of Population Exposure to Assess Clinical Safety for Drugs Intended for Long-Term Treatment of Non-Life-Threatening Conditions”, which requires treatment of at least 300 subjects for 6 months and 100 subjects for 1 year. Based on an estimated attrition rate of 25% at the 6-month time point, and of 50</w:t>
      </w:r>
      <w:r w:rsidRPr="00AD11BB">
        <w:rPr>
          <w:szCs w:val="24"/>
          <w:lang w:val="en-US" w:eastAsia="en-AU"/>
        </w:rPr>
        <w:t>% by the 1-year time point, 400 subjects in the MP29-02 treatment group represented an adequate sample size to ensure an adequate safety database.</w:t>
      </w:r>
    </w:p>
    <w:p w:rsidR="00AD11BB" w:rsidRPr="009A6983" w:rsidRDefault="00AD11BB" w:rsidP="00DA4B7B">
      <w:pPr>
        <w:pStyle w:val="Heading5"/>
      </w:pPr>
      <w:bookmarkStart w:id="91" w:name="_Toc290846294"/>
      <w:bookmarkStart w:id="92" w:name="_Toc228768150"/>
      <w:r w:rsidRPr="009A6983">
        <w:t>Statistical methods</w:t>
      </w:r>
      <w:bookmarkEnd w:id="91"/>
      <w:bookmarkEnd w:id="92"/>
    </w:p>
    <w:p w:rsidR="00AD11BB" w:rsidRPr="00AD11BB" w:rsidRDefault="00AD11BB" w:rsidP="00DA4B7B">
      <w:pPr>
        <w:rPr>
          <w:lang w:eastAsia="en-AU"/>
        </w:rPr>
      </w:pPr>
      <w:r w:rsidRPr="00AD11BB">
        <w:rPr>
          <w:lang w:eastAsia="en-AU"/>
        </w:rPr>
        <w:t>Descriptive statistics were used to describe the safety findings of the study.</w:t>
      </w:r>
    </w:p>
    <w:p w:rsidR="00AD11BB" w:rsidRPr="009A6983" w:rsidRDefault="00AD11BB" w:rsidP="009A6983">
      <w:pPr>
        <w:pStyle w:val="Heading5"/>
      </w:pPr>
      <w:bookmarkStart w:id="93" w:name="_Toc290846295"/>
      <w:bookmarkStart w:id="94" w:name="_Toc228768151"/>
      <w:r w:rsidRPr="009A6983">
        <w:t>Participant flow</w:t>
      </w:r>
      <w:bookmarkEnd w:id="93"/>
      <w:bookmarkEnd w:id="94"/>
    </w:p>
    <w:p w:rsidR="00AD11BB" w:rsidRPr="00AD11BB" w:rsidRDefault="00AD11BB" w:rsidP="00DA4B7B">
      <w:pPr>
        <w:rPr>
          <w:lang w:eastAsia="en-AU"/>
        </w:rPr>
      </w:pPr>
      <w:r w:rsidRPr="00AD11BB">
        <w:rPr>
          <w:lang w:eastAsia="en-AU"/>
        </w:rPr>
        <w:t>A total of 612 subjects were randomised (405 to the combination and 207 to fluticasone spray). Of these, 464 (75.8%) completed the study. The numbers who withdrew, and their reasons for withdrawal, were comparable for the two groups.</w:t>
      </w:r>
    </w:p>
    <w:p w:rsidR="00AD11BB" w:rsidRPr="009A6983" w:rsidRDefault="00AD11BB" w:rsidP="00DA4B7B">
      <w:pPr>
        <w:pStyle w:val="Heading5"/>
      </w:pPr>
      <w:bookmarkStart w:id="95" w:name="_Toc290846296"/>
      <w:bookmarkStart w:id="96" w:name="_Toc228768152"/>
      <w:r w:rsidRPr="009A6983">
        <w:t>Major protocol violations/deviations</w:t>
      </w:r>
      <w:bookmarkEnd w:id="95"/>
      <w:bookmarkEnd w:id="96"/>
    </w:p>
    <w:p w:rsidR="00AD11BB" w:rsidRPr="00AD11BB" w:rsidRDefault="00AD11BB" w:rsidP="00DA4B7B">
      <w:pPr>
        <w:rPr>
          <w:lang w:val="en-US" w:eastAsia="en-AU"/>
        </w:rPr>
      </w:pPr>
      <w:r w:rsidRPr="00AD11BB">
        <w:rPr>
          <w:lang w:val="en-US" w:eastAsia="en-AU"/>
        </w:rPr>
        <w:t xml:space="preserve">The study report did not provide detailed information on protocol violations. It stated that the most common protocol deviation in both treatment groups was </w:t>
      </w:r>
      <w:r w:rsidR="009A6983">
        <w:rPr>
          <w:lang w:val="en-US" w:eastAsia="en-AU"/>
        </w:rPr>
        <w:t>‘</w:t>
      </w:r>
      <w:r w:rsidRPr="00AD11BB">
        <w:rPr>
          <w:i/>
          <w:lang w:val="en-US" w:eastAsia="en-AU"/>
        </w:rPr>
        <w:t>&lt;</w:t>
      </w:r>
      <w:r w:rsidR="009A6983" w:rsidRPr="009A6983">
        <w:rPr>
          <w:i/>
          <w:lang w:val="en-US" w:eastAsia="en-AU"/>
        </w:rPr>
        <w:t xml:space="preserve"> </w:t>
      </w:r>
      <w:r w:rsidRPr="00AD11BB">
        <w:rPr>
          <w:i/>
          <w:lang w:val="en-US" w:eastAsia="en-AU"/>
        </w:rPr>
        <w:t xml:space="preserve">75% compliance with study drug, as calculated from subject diary </w:t>
      </w:r>
      <w:r w:rsidR="009A6983" w:rsidRPr="009A6983">
        <w:rPr>
          <w:i/>
          <w:lang w:val="en-US" w:eastAsia="en-AU"/>
        </w:rPr>
        <w:t>completion’</w:t>
      </w:r>
      <w:r w:rsidR="00DA4B7B">
        <w:rPr>
          <w:lang w:val="en-US" w:eastAsia="en-AU"/>
        </w:rPr>
        <w:t>.</w:t>
      </w:r>
    </w:p>
    <w:p w:rsidR="00AD11BB" w:rsidRPr="00AD11BB" w:rsidRDefault="00AD11BB" w:rsidP="00DA4B7B">
      <w:pPr>
        <w:pStyle w:val="Heading5"/>
        <w:rPr>
          <w:lang w:eastAsia="en-AU"/>
        </w:rPr>
      </w:pPr>
      <w:bookmarkStart w:id="97" w:name="_Toc290846297"/>
      <w:bookmarkStart w:id="98" w:name="_Toc228768153"/>
      <w:r w:rsidRPr="00AD11BB">
        <w:rPr>
          <w:lang w:eastAsia="en-AU"/>
        </w:rPr>
        <w:t>Baseline data</w:t>
      </w:r>
      <w:bookmarkEnd w:id="97"/>
      <w:bookmarkEnd w:id="98"/>
    </w:p>
    <w:p w:rsidR="00AD11BB" w:rsidRPr="009A6983" w:rsidRDefault="00AD11BB" w:rsidP="00DA4B7B">
      <w:r w:rsidRPr="009A6983">
        <w:t xml:space="preserve">The two treatment groups were reasonably well matched. Mean </w:t>
      </w:r>
      <w:proofErr w:type="spellStart"/>
      <w:r w:rsidRPr="009A6983">
        <w:t>rTNSS</w:t>
      </w:r>
      <w:proofErr w:type="spellEnd"/>
      <w:r w:rsidRPr="009A6983">
        <w:t xml:space="preserve"> (PM) score at baseline for the whole population was 3.84 (out of a possible 12), which reflects the fact that subjects were not required to have moderate to severe disease.</w:t>
      </w:r>
    </w:p>
    <w:p w:rsidR="00AD11BB" w:rsidRPr="00AD11BB" w:rsidRDefault="00AD11BB" w:rsidP="00DA4B7B">
      <w:pPr>
        <w:pStyle w:val="Heading5"/>
        <w:rPr>
          <w:lang w:eastAsia="en-AU"/>
        </w:rPr>
      </w:pPr>
      <w:bookmarkStart w:id="99" w:name="_Toc290846298"/>
      <w:bookmarkStart w:id="100" w:name="_Toc228768154"/>
      <w:r w:rsidRPr="00AD11BB">
        <w:rPr>
          <w:lang w:eastAsia="en-AU"/>
        </w:rPr>
        <w:t>Results for the safety outcome</w:t>
      </w:r>
      <w:bookmarkEnd w:id="99"/>
      <w:r w:rsidRPr="00AD11BB">
        <w:rPr>
          <w:lang w:eastAsia="en-AU"/>
        </w:rPr>
        <w:t>s</w:t>
      </w:r>
      <w:bookmarkEnd w:id="100"/>
    </w:p>
    <w:p w:rsidR="00AD11BB" w:rsidRPr="009A6983" w:rsidRDefault="00AD11BB" w:rsidP="00DA4B7B">
      <w:r w:rsidRPr="009A6983">
        <w:t>The duration of treatment was comparable for t</w:t>
      </w:r>
      <w:r w:rsidR="009A6983">
        <w:t>he two treatment groups.</w:t>
      </w:r>
      <w:r w:rsidRPr="009A6983">
        <w:t xml:space="preserve"> The overall incidence of AEs, serious AEs (SAEs) and discontinuations due to AEs was comparable.</w:t>
      </w:r>
    </w:p>
    <w:p w:rsidR="00AD11BB" w:rsidRPr="009A6983" w:rsidRDefault="00AD11BB" w:rsidP="00DA4B7B">
      <w:pPr>
        <w:pStyle w:val="Heading6"/>
      </w:pPr>
      <w:r w:rsidRPr="009A6983">
        <w:lastRenderedPageBreak/>
        <w:t>Adverse Events</w:t>
      </w:r>
    </w:p>
    <w:p w:rsidR="00AD11BB" w:rsidRPr="009A6983" w:rsidRDefault="00AD11BB" w:rsidP="00DA4B7B">
      <w:r w:rsidRPr="009A6983">
        <w:t>The overall incidence of AEs was only slightly increased in the combination arm (46.5% versus</w:t>
      </w:r>
      <w:r w:rsidR="007307C7">
        <w:t xml:space="preserve"> </w:t>
      </w:r>
      <w:r w:rsidRPr="009A6983">
        <w:t>44.4%). Treatment with the combination product was associated with an increased incidence of cough (5.0% versus 2.4%), altered taste (</w:t>
      </w:r>
      <w:proofErr w:type="spellStart"/>
      <w:r w:rsidRPr="009A6983">
        <w:t>dysguesia</w:t>
      </w:r>
      <w:proofErr w:type="spellEnd"/>
      <w:r w:rsidRPr="009A6983">
        <w:t xml:space="preserve"> – 2.7% versus</w:t>
      </w:r>
      <w:r w:rsidR="007307C7">
        <w:t xml:space="preserve"> </w:t>
      </w:r>
      <w:r w:rsidRPr="009A6983">
        <w:t>0.5%) and epistaxis (2.0% versus</w:t>
      </w:r>
      <w:r w:rsidR="007307C7">
        <w:t xml:space="preserve"> </w:t>
      </w:r>
      <w:r w:rsidRPr="009A6983">
        <w:t xml:space="preserve">0.5%). Taste perversion is listed as a common adverse reaction in the </w:t>
      </w:r>
      <w:proofErr w:type="spellStart"/>
      <w:r w:rsidRPr="009A6983">
        <w:t>azelastine</w:t>
      </w:r>
      <w:proofErr w:type="spellEnd"/>
      <w:r w:rsidRPr="009A6983">
        <w:t xml:space="preserve"> (</w:t>
      </w:r>
      <w:proofErr w:type="spellStart"/>
      <w:r w:rsidRPr="009A6983">
        <w:t>Azep</w:t>
      </w:r>
      <w:proofErr w:type="spellEnd"/>
      <w:r w:rsidRPr="009A6983">
        <w:t>) PI.</w:t>
      </w:r>
    </w:p>
    <w:p w:rsidR="00AD11BB" w:rsidRPr="009A6983" w:rsidRDefault="009A6983" w:rsidP="00DA4B7B">
      <w:r>
        <w:t xml:space="preserve">For </w:t>
      </w:r>
      <w:r w:rsidR="00AD11BB" w:rsidRPr="009A6983">
        <w:t>AEs that were considered to be treatme</w:t>
      </w:r>
      <w:r>
        <w:t>nt-related, a</w:t>
      </w:r>
      <w:r w:rsidR="00AD11BB" w:rsidRPr="009A6983">
        <w:t>gain only altered taste, epistaxis and cough were notable increased in the combination group.</w:t>
      </w:r>
    </w:p>
    <w:p w:rsidR="00AD11BB" w:rsidRPr="009A6983" w:rsidRDefault="00AD11BB" w:rsidP="00DA4B7B">
      <w:pPr>
        <w:pStyle w:val="Heading6"/>
      </w:pPr>
      <w:r w:rsidRPr="009A6983">
        <w:t xml:space="preserve">Deaths and </w:t>
      </w:r>
      <w:r w:rsidR="00DA4B7B">
        <w:t>s</w:t>
      </w:r>
      <w:r w:rsidRPr="009A6983">
        <w:t xml:space="preserve">erious </w:t>
      </w:r>
      <w:r w:rsidR="00DA4B7B">
        <w:t>a</w:t>
      </w:r>
      <w:r w:rsidRPr="009A6983">
        <w:t xml:space="preserve">dverse </w:t>
      </w:r>
      <w:r w:rsidR="00DA4B7B">
        <w:t>e</w:t>
      </w:r>
      <w:r w:rsidRPr="009A6983">
        <w:t>vents</w:t>
      </w:r>
    </w:p>
    <w:p w:rsidR="00AD11BB" w:rsidRPr="009A6983" w:rsidRDefault="00AD11BB" w:rsidP="00DA4B7B">
      <w:r w:rsidRPr="009A6983">
        <w:t>There were no deaths in the study.</w:t>
      </w:r>
      <w:r w:rsidR="007307C7">
        <w:t xml:space="preserve"> </w:t>
      </w:r>
      <w:r w:rsidRPr="009A6983">
        <w:t xml:space="preserve">All </w:t>
      </w:r>
      <w:r w:rsidR="00C239DD">
        <w:t xml:space="preserve">SAEs </w:t>
      </w:r>
      <w:r w:rsidRPr="009A6983">
        <w:t>were considered unlikely to be related to the study treatments and all patients made a full recovery.</w:t>
      </w:r>
      <w:r w:rsidR="007307C7">
        <w:t xml:space="preserve"> </w:t>
      </w:r>
      <w:r w:rsidRPr="009A6983">
        <w:t>Treatment was tempora</w:t>
      </w:r>
      <w:r w:rsidR="00DA4B7B">
        <w:t>rily interrupted in 3 subjects.</w:t>
      </w:r>
    </w:p>
    <w:p w:rsidR="00AD11BB" w:rsidRPr="009A6983" w:rsidRDefault="00AD11BB" w:rsidP="00DA4B7B">
      <w:pPr>
        <w:pStyle w:val="Heading6"/>
      </w:pPr>
      <w:r w:rsidRPr="009A6983">
        <w:t>Discontinuations due to AEs</w:t>
      </w:r>
    </w:p>
    <w:p w:rsidR="00AD11BB" w:rsidRPr="009A6983" w:rsidRDefault="00AD11BB" w:rsidP="00DA4B7B">
      <w:r w:rsidRPr="009A6983">
        <w:t>The overall incidence of discontinuation due to AEs was comparable, being 2.7% (n</w:t>
      </w:r>
      <w:r w:rsidR="009A6983">
        <w:t xml:space="preserve"> </w:t>
      </w:r>
      <w:r w:rsidRPr="009A6983">
        <w:t>=</w:t>
      </w:r>
      <w:r w:rsidR="009A6983">
        <w:t xml:space="preserve"> </w:t>
      </w:r>
      <w:r w:rsidRPr="009A6983">
        <w:t>11) in the combination group and 2.9% (n</w:t>
      </w:r>
      <w:r w:rsidR="009A6983">
        <w:t xml:space="preserve"> </w:t>
      </w:r>
      <w:r w:rsidRPr="009A6983">
        <w:t>=</w:t>
      </w:r>
      <w:r w:rsidR="009A6983">
        <w:t xml:space="preserve"> </w:t>
      </w:r>
      <w:r w:rsidR="00DA4B7B">
        <w:t>6) in the fluticasone group.</w:t>
      </w:r>
    </w:p>
    <w:p w:rsidR="00AD11BB" w:rsidRPr="009A6983" w:rsidRDefault="00AD11BB" w:rsidP="00E134AE">
      <w:pPr>
        <w:ind w:left="426"/>
      </w:pPr>
      <w:r w:rsidRPr="00DA4B7B">
        <w:rPr>
          <w:b/>
        </w:rPr>
        <w:t>Comment</w:t>
      </w:r>
      <w:r w:rsidRPr="009A6983">
        <w:t>:</w:t>
      </w:r>
      <w:r w:rsidR="009A6983">
        <w:t xml:space="preserve"> </w:t>
      </w:r>
      <w:r w:rsidRPr="009A6983">
        <w:t>It is noteworthy that there were 2 patients in the combination group who were discontinued due to cataracts and 3 other patients who were discontinued due to decreased cortisol levels. There were no patients discontinued for these reasons in the fluticasone monotherapy group. Study 3282 demonstrated that the combination product was associated with greater systemic absorption of fluticasone than the fluticasone monother</w:t>
      </w:r>
      <w:r w:rsidR="009A6983">
        <w:t>apy product used in this study</w:t>
      </w:r>
      <w:r w:rsidRPr="009A6983">
        <w:t>. It is possible that the increased discontinuations due to cataract and decreased cortisol may be due to this greater systemic absorption.</w:t>
      </w:r>
    </w:p>
    <w:p w:rsidR="00AD11BB" w:rsidRPr="00AD11BB" w:rsidRDefault="00AD11BB" w:rsidP="00DA4B7B">
      <w:pPr>
        <w:pStyle w:val="Heading6"/>
        <w:rPr>
          <w:lang w:eastAsia="en-AU"/>
        </w:rPr>
      </w:pPr>
      <w:r w:rsidRPr="00AD11BB">
        <w:rPr>
          <w:lang w:eastAsia="en-AU"/>
        </w:rPr>
        <w:t>Laboratory testing</w:t>
      </w:r>
    </w:p>
    <w:p w:rsidR="00AD11BB" w:rsidRPr="009A6983" w:rsidRDefault="00AD11BB" w:rsidP="00DA4B7B">
      <w:r w:rsidRPr="009A6983">
        <w:t>The specific tests conducted in study were:</w:t>
      </w:r>
    </w:p>
    <w:p w:rsidR="00AD11BB" w:rsidRPr="00DA4B7B" w:rsidRDefault="00AD11BB" w:rsidP="00DA4B7B">
      <w:pPr>
        <w:pStyle w:val="ListBullet"/>
      </w:pPr>
      <w:r w:rsidRPr="00DA4B7B">
        <w:t>Haematology: haemoglobin, haematocrit, red blood cell count, mean corpuscular haemoglobin concentration, mean corpuscular volume, white blood cell count wi</w:t>
      </w:r>
      <w:r w:rsidR="00DA4B7B">
        <w:t>th differential, platelet count</w:t>
      </w:r>
    </w:p>
    <w:p w:rsidR="00AD11BB" w:rsidRPr="00DA4B7B" w:rsidRDefault="00AD11BB" w:rsidP="00DA4B7B">
      <w:pPr>
        <w:pStyle w:val="ListBullet"/>
      </w:pPr>
      <w:r w:rsidRPr="00DA4B7B">
        <w:t xml:space="preserve">Biochemistry: sodium, potassium, chloride, bilirubin, ALT, AST, alkaline phosphatase, total protein, albumin, creatinine, blood urea nitrogen, </w:t>
      </w:r>
      <w:proofErr w:type="spellStart"/>
      <w:r w:rsidRPr="00DA4B7B">
        <w:t>creatine</w:t>
      </w:r>
      <w:proofErr w:type="spellEnd"/>
      <w:r w:rsidRPr="00DA4B7B">
        <w:t xml:space="preserve"> kinase, fasting glucose,</w:t>
      </w:r>
      <w:r w:rsidR="00DA4B7B">
        <w:t xml:space="preserve"> calcium, phosphorus, uric acid</w:t>
      </w:r>
    </w:p>
    <w:p w:rsidR="00AD11BB" w:rsidRPr="00DA4B7B" w:rsidRDefault="00AD11BB" w:rsidP="00DA4B7B">
      <w:pPr>
        <w:pStyle w:val="ListBullet"/>
      </w:pPr>
      <w:r w:rsidRPr="00DA4B7B">
        <w:t xml:space="preserve">Urinalysis: bilirubin, bacteria, blood, casts, crystals, epithelial cells, glucose, ketones, nitrites, pH, protein, red blood cells, white blood cells, specific gravity and </w:t>
      </w:r>
      <w:proofErr w:type="spellStart"/>
      <w:r w:rsidRPr="00DA4B7B">
        <w:t>urobilinogen</w:t>
      </w:r>
      <w:proofErr w:type="spellEnd"/>
      <w:r w:rsidRPr="00DA4B7B">
        <w:t>.</w:t>
      </w:r>
    </w:p>
    <w:p w:rsidR="00AD11BB" w:rsidRPr="009A6983" w:rsidRDefault="00AD11BB" w:rsidP="00DA4B7B">
      <w:r w:rsidRPr="009A6983">
        <w:t>These were measured at baseline, 6 months and 12 months.</w:t>
      </w:r>
    </w:p>
    <w:p w:rsidR="00AD11BB" w:rsidRPr="009A6983" w:rsidRDefault="00AD11BB" w:rsidP="00DA4B7B">
      <w:r w:rsidRPr="009A6983">
        <w:t xml:space="preserve">The study report presented tabulations of changes in average values (mean </w:t>
      </w:r>
      <w:r w:rsidR="009A6983">
        <w:t>plus/minus</w:t>
      </w:r>
      <w:r w:rsidRPr="009A6983">
        <w:t xml:space="preserve"> SD, median, range) and shift tables (for example</w:t>
      </w:r>
      <w:r w:rsidR="007307C7">
        <w:t xml:space="preserve"> </w:t>
      </w:r>
      <w:r w:rsidRPr="009A6983">
        <w:t xml:space="preserve">number of patients changing from normal </w:t>
      </w:r>
      <w:proofErr w:type="spellStart"/>
      <w:r w:rsidRPr="009A6983">
        <w:t>to</w:t>
      </w:r>
      <w:proofErr w:type="spellEnd"/>
      <w:r w:rsidRPr="009A6983">
        <w:t xml:space="preserve"> high or low) for each of these variables. Treatment with the combination product was not associated with any notable increased incidence of laboratory abnormalities.</w:t>
      </w:r>
    </w:p>
    <w:p w:rsidR="00AD11BB" w:rsidRPr="00DA4B7B" w:rsidRDefault="00AD11BB" w:rsidP="00DA4B7B">
      <w:pPr>
        <w:rPr>
          <w:b/>
          <w:lang w:eastAsia="en-AU"/>
        </w:rPr>
      </w:pPr>
      <w:r w:rsidRPr="00DA4B7B">
        <w:rPr>
          <w:b/>
          <w:lang w:eastAsia="en-AU"/>
        </w:rPr>
        <w:t>Serum cortisol</w:t>
      </w:r>
    </w:p>
    <w:p w:rsidR="00AD11BB" w:rsidRPr="009A6983" w:rsidRDefault="00AD11BB" w:rsidP="00DA4B7B">
      <w:r w:rsidRPr="009A6983">
        <w:t>Fasting serum cortisol levels were measured in a subgroup of subjects (n</w:t>
      </w:r>
      <w:r w:rsidR="009A6983">
        <w:t xml:space="preserve"> </w:t>
      </w:r>
      <w:r w:rsidRPr="009A6983">
        <w:t>=</w:t>
      </w:r>
      <w:r w:rsidR="009A6983">
        <w:t xml:space="preserve"> </w:t>
      </w:r>
      <w:r w:rsidRPr="009A6983">
        <w:t xml:space="preserve">232). The mean change from baseline was similar in both treatment groups at both 6 and 12 months. </w:t>
      </w:r>
      <w:r w:rsidR="009A6983">
        <w:t>T</w:t>
      </w:r>
      <w:r w:rsidRPr="009A6983">
        <w:t>hese data suggest that the combination product was not associated with a greater incidence of significant reduction in serum cortisol. For example, the proportion of patients who developed a greater than 30% reduction in serum cortisol at 12 months was 23.3% in the combination arm and 28.8% in the fluticasone arm.</w:t>
      </w:r>
    </w:p>
    <w:p w:rsidR="00F33D40" w:rsidRDefault="00F33D40">
      <w:pPr>
        <w:spacing w:before="0" w:after="0" w:line="240" w:lineRule="auto"/>
        <w:rPr>
          <w:b/>
          <w:lang w:eastAsia="en-AU"/>
        </w:rPr>
      </w:pPr>
      <w:r>
        <w:rPr>
          <w:b/>
          <w:lang w:eastAsia="en-AU"/>
        </w:rPr>
        <w:br w:type="page"/>
      </w:r>
    </w:p>
    <w:p w:rsidR="00AD11BB" w:rsidRPr="00DA4B7B" w:rsidRDefault="00AD11BB" w:rsidP="00DA4B7B">
      <w:pPr>
        <w:rPr>
          <w:b/>
          <w:lang w:eastAsia="en-AU"/>
        </w:rPr>
      </w:pPr>
      <w:r w:rsidRPr="00DA4B7B">
        <w:rPr>
          <w:b/>
          <w:lang w:eastAsia="en-AU"/>
        </w:rPr>
        <w:lastRenderedPageBreak/>
        <w:t>Vital signs</w:t>
      </w:r>
    </w:p>
    <w:p w:rsidR="00AD11BB" w:rsidRPr="00AD11BB" w:rsidRDefault="00AD11BB" w:rsidP="00DA4B7B">
      <w:pPr>
        <w:rPr>
          <w:lang w:eastAsia="en-AU"/>
        </w:rPr>
      </w:pPr>
      <w:r w:rsidRPr="00AD11BB">
        <w:rPr>
          <w:lang w:eastAsia="en-AU"/>
        </w:rPr>
        <w:t>There were no significant differences between groups in mean values for blood pressure, pulse rate, respiratory rate or temperature.</w:t>
      </w:r>
    </w:p>
    <w:p w:rsidR="00AD11BB" w:rsidRPr="00DA4B7B" w:rsidRDefault="00AD11BB" w:rsidP="00DA4B7B">
      <w:pPr>
        <w:rPr>
          <w:b/>
          <w:lang w:eastAsia="en-AU"/>
        </w:rPr>
      </w:pPr>
      <w:r w:rsidRPr="00DA4B7B">
        <w:rPr>
          <w:b/>
          <w:lang w:eastAsia="en-AU"/>
        </w:rPr>
        <w:t>Focussed nasal examination</w:t>
      </w:r>
    </w:p>
    <w:p w:rsidR="007307C7" w:rsidRDefault="00AD11BB" w:rsidP="00DA4B7B">
      <w:pPr>
        <w:rPr>
          <w:lang w:eastAsia="en-AU"/>
        </w:rPr>
      </w:pPr>
      <w:r w:rsidRPr="00AD11BB">
        <w:rPr>
          <w:lang w:eastAsia="en-AU"/>
        </w:rPr>
        <w:t>This examination took place at each study visit. The incidence and severity of the following abnormalities were presented in tabular format in the study report: epistaxis, nasal irritation, mucosal oedema, nasal discharge, mucosal erythema, mucosal bleeding and crusting of the mucosa. There were no notable differences between groups in the incidence or severity of these findings.</w:t>
      </w:r>
    </w:p>
    <w:p w:rsidR="00AD11BB" w:rsidRPr="00FD09E3" w:rsidRDefault="00AD11BB" w:rsidP="00DA4B7B">
      <w:pPr>
        <w:rPr>
          <w:b/>
          <w:lang w:eastAsia="en-AU"/>
        </w:rPr>
      </w:pPr>
      <w:r w:rsidRPr="00FD09E3">
        <w:rPr>
          <w:b/>
          <w:lang w:eastAsia="en-AU"/>
        </w:rPr>
        <w:t>Ophthalmological examination</w:t>
      </w:r>
    </w:p>
    <w:p w:rsidR="00AD11BB" w:rsidRPr="00AD11BB" w:rsidRDefault="00AD11BB" w:rsidP="00FD09E3">
      <w:pPr>
        <w:rPr>
          <w:lang w:eastAsia="en-AU"/>
        </w:rPr>
      </w:pPr>
      <w:r w:rsidRPr="00AD11BB">
        <w:rPr>
          <w:lang w:eastAsia="en-AU"/>
        </w:rPr>
        <w:t>The</w:t>
      </w:r>
      <w:r w:rsidR="009A6983">
        <w:rPr>
          <w:lang w:eastAsia="en-AU"/>
        </w:rPr>
        <w:t xml:space="preserve"> frequency of abnormalities/</w:t>
      </w:r>
      <w:r w:rsidRPr="00AD11BB">
        <w:rPr>
          <w:lang w:eastAsia="en-AU"/>
        </w:rPr>
        <w:t>incidence of glaucoma and posterior capsular cataract at 6 and 12 months was comparable in the two groups.</w:t>
      </w:r>
    </w:p>
    <w:p w:rsidR="009A6983" w:rsidRDefault="00AD11BB" w:rsidP="00F33D40">
      <w:pPr>
        <w:ind w:left="426"/>
      </w:pPr>
      <w:r w:rsidRPr="00FD09E3">
        <w:rPr>
          <w:b/>
        </w:rPr>
        <w:t>Comment</w:t>
      </w:r>
      <w:r w:rsidRPr="009A6983">
        <w:t>:</w:t>
      </w:r>
      <w:r w:rsidR="009A6983">
        <w:t xml:space="preserve"> </w:t>
      </w:r>
      <w:r w:rsidRPr="009A6983">
        <w:t>This is the only study in the submission that examined long-term safety of the proposed product. In general, the product demonstrated an acceptable safety profile, with small increases in the incidence of altered taste, epistaxis and cough compa</w:t>
      </w:r>
      <w:r w:rsidR="00FD09E3">
        <w:t>red to fluticasone monotherapy.</w:t>
      </w:r>
    </w:p>
    <w:p w:rsidR="00AD11BB" w:rsidRPr="009A6983" w:rsidRDefault="00AD11BB" w:rsidP="00F33D40">
      <w:pPr>
        <w:ind w:left="426"/>
      </w:pPr>
      <w:r w:rsidRPr="009A6983">
        <w:t>The proposed combination has been shown to produce higher systemic fluticasone concentrations than the fluticasone monotherapy product. Despite this, there did not appear to be an increased incidence of glaucoma or cataract in the combination arm, although 2 patients had to discontinue treatment due to cataract versus 0 in the comparator arm. HPA axis function was only tested using single measurements of morning serum cortisol, an insensitive method of detecting impairment of function. The incidence of decreased morning serum cortisol was comparable in the two treatment groups. However, 3 patients in the combination arm were discontinued for decreased cortisol levels versus none in the comparator arm. As noted previously, the proposed maximum daily dose of fluticasone delivered by the combination product is 200 mcg per day, which is notably lower than the 400</w:t>
      </w:r>
      <w:r w:rsidR="009A6983">
        <w:t xml:space="preserve"> </w:t>
      </w:r>
      <w:r w:rsidRPr="009A6983">
        <w:t>mcg per day maximum approved in Australia for fluticasone propionate nasal spray. For this reason, systemic absorption of fluticasone from the combination product is not considered a major safety issue.</w:t>
      </w:r>
    </w:p>
    <w:p w:rsidR="00AD11BB" w:rsidRPr="009A6983" w:rsidRDefault="00AD11BB" w:rsidP="00FD09E3">
      <w:pPr>
        <w:pStyle w:val="Heading3"/>
      </w:pPr>
      <w:bookmarkStart w:id="101" w:name="_Toc241374318"/>
      <w:bookmarkStart w:id="102" w:name="_Ref271196630"/>
      <w:bookmarkStart w:id="103" w:name="_Toc272414662"/>
      <w:bookmarkStart w:id="104" w:name="_Toc290846300"/>
      <w:bookmarkStart w:id="105" w:name="_Toc228768155"/>
      <w:bookmarkStart w:id="106" w:name="_Toc396903958"/>
      <w:r w:rsidRPr="009A6983">
        <w:t>Patient exposure</w:t>
      </w:r>
      <w:bookmarkEnd w:id="101"/>
      <w:bookmarkEnd w:id="102"/>
      <w:bookmarkEnd w:id="103"/>
      <w:bookmarkEnd w:id="104"/>
      <w:bookmarkEnd w:id="105"/>
      <w:bookmarkEnd w:id="106"/>
    </w:p>
    <w:p w:rsidR="007307C7" w:rsidRDefault="00291D18" w:rsidP="00FD09E3">
      <w:pPr>
        <w:rPr>
          <w:lang w:eastAsia="en-AU"/>
        </w:rPr>
      </w:pPr>
      <w:r>
        <w:rPr>
          <w:lang w:eastAsia="en-AU"/>
        </w:rPr>
        <w:t>I</w:t>
      </w:r>
      <w:r w:rsidR="00AD11BB" w:rsidRPr="00AD11BB">
        <w:rPr>
          <w:lang w:eastAsia="en-AU"/>
        </w:rPr>
        <w:t>n the submitted studies 1,469 subjects were treated w</w:t>
      </w:r>
      <w:r w:rsidR="00FD09E3">
        <w:rPr>
          <w:lang w:eastAsia="en-AU"/>
        </w:rPr>
        <w:t>ith proposed fixed combination.</w:t>
      </w:r>
    </w:p>
    <w:p w:rsidR="00FA435F" w:rsidRDefault="00FA435F">
      <w:pPr>
        <w:spacing w:before="0" w:after="0" w:line="240" w:lineRule="auto"/>
        <w:rPr>
          <w:b/>
          <w:sz w:val="20"/>
          <w:lang w:eastAsia="en-AU"/>
        </w:rPr>
      </w:pPr>
      <w:r>
        <w:rPr>
          <w:lang w:eastAsia="en-AU"/>
        </w:rPr>
        <w:br w:type="page"/>
      </w:r>
    </w:p>
    <w:p w:rsidR="009A6983" w:rsidRDefault="009A6983" w:rsidP="00FD09E3">
      <w:pPr>
        <w:pStyle w:val="TableTitle"/>
        <w:rPr>
          <w:lang w:eastAsia="en-AU"/>
        </w:rPr>
      </w:pPr>
      <w:r w:rsidRPr="009A6983">
        <w:rPr>
          <w:lang w:eastAsia="en-AU"/>
        </w:rPr>
        <w:lastRenderedPageBreak/>
        <w:t>Table 2 - Exposure to fixed combination and comparators in clinical studies.</w:t>
      </w:r>
    </w:p>
    <w:tbl>
      <w:tblPr>
        <w:tblStyle w:val="TableTGAblue"/>
        <w:tblW w:w="9604" w:type="dxa"/>
        <w:tblLayout w:type="fixed"/>
        <w:tblLook w:val="04A0" w:firstRow="1" w:lastRow="0" w:firstColumn="1" w:lastColumn="0" w:noHBand="0" w:noVBand="1"/>
      </w:tblPr>
      <w:tblGrid>
        <w:gridCol w:w="2093"/>
        <w:gridCol w:w="1843"/>
        <w:gridCol w:w="1559"/>
        <w:gridCol w:w="1559"/>
        <w:gridCol w:w="1276"/>
        <w:gridCol w:w="1274"/>
      </w:tblGrid>
      <w:tr w:rsidR="003E13A7" w:rsidTr="00FD09E3">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2093" w:type="dxa"/>
          </w:tcPr>
          <w:p w:rsidR="009A6983" w:rsidRPr="00FA435F" w:rsidRDefault="00FA435F" w:rsidP="00FD09E3">
            <w:pPr>
              <w:ind w:left="0"/>
              <w:rPr>
                <w:b w:val="0"/>
                <w:sz w:val="18"/>
                <w:szCs w:val="18"/>
                <w:lang w:eastAsia="en-AU"/>
              </w:rPr>
            </w:pPr>
            <w:r w:rsidRPr="00FA435F">
              <w:rPr>
                <w:b w:val="0"/>
                <w:sz w:val="18"/>
                <w:szCs w:val="18"/>
                <w:lang w:eastAsia="en-AU"/>
              </w:rPr>
              <w:t xml:space="preserve"> </w:t>
            </w:r>
          </w:p>
        </w:tc>
        <w:tc>
          <w:tcPr>
            <w:tcW w:w="1843" w:type="dxa"/>
          </w:tcPr>
          <w:p w:rsidR="009A6983" w:rsidRPr="00FA435F" w:rsidRDefault="009A6983" w:rsidP="00FD09E3">
            <w:pPr>
              <w:ind w:left="0"/>
              <w:cnfStyle w:val="100000000000" w:firstRow="1" w:lastRow="0" w:firstColumn="0" w:lastColumn="0" w:oddVBand="0" w:evenVBand="0" w:oddHBand="0" w:evenHBand="0" w:firstRowFirstColumn="0" w:firstRowLastColumn="0" w:lastRowFirstColumn="0" w:lastRowLastColumn="0"/>
              <w:rPr>
                <w:b w:val="0"/>
                <w:sz w:val="18"/>
                <w:szCs w:val="18"/>
                <w:lang w:eastAsia="en-AU"/>
              </w:rPr>
            </w:pPr>
            <w:r w:rsidRPr="00FA435F">
              <w:rPr>
                <w:sz w:val="18"/>
                <w:szCs w:val="18"/>
                <w:lang w:eastAsia="en-AU"/>
              </w:rPr>
              <w:t>Fixed Combination</w:t>
            </w:r>
          </w:p>
        </w:tc>
        <w:tc>
          <w:tcPr>
            <w:tcW w:w="1559" w:type="dxa"/>
          </w:tcPr>
          <w:p w:rsidR="009A6983" w:rsidRPr="00FA435F" w:rsidRDefault="009A6983" w:rsidP="00FD09E3">
            <w:pPr>
              <w:ind w:left="0"/>
              <w:cnfStyle w:val="100000000000" w:firstRow="1" w:lastRow="0" w:firstColumn="0" w:lastColumn="0" w:oddVBand="0" w:evenVBand="0" w:oddHBand="0" w:evenHBand="0" w:firstRowFirstColumn="0" w:firstRowLastColumn="0" w:lastRowFirstColumn="0" w:lastRowLastColumn="0"/>
              <w:rPr>
                <w:b w:val="0"/>
                <w:sz w:val="18"/>
                <w:szCs w:val="18"/>
                <w:lang w:eastAsia="en-AU"/>
              </w:rPr>
            </w:pPr>
            <w:proofErr w:type="spellStart"/>
            <w:r w:rsidRPr="00FA435F">
              <w:rPr>
                <w:sz w:val="18"/>
                <w:szCs w:val="18"/>
                <w:lang w:eastAsia="en-AU"/>
              </w:rPr>
              <w:t>Azelastine</w:t>
            </w:r>
            <w:proofErr w:type="spellEnd"/>
            <w:r w:rsidR="00FD09E3" w:rsidRPr="00FA435F">
              <w:rPr>
                <w:sz w:val="18"/>
                <w:szCs w:val="18"/>
                <w:lang w:eastAsia="en-AU"/>
              </w:rPr>
              <w:t xml:space="preserve"> </w:t>
            </w:r>
            <w:r w:rsidRPr="00FA435F">
              <w:rPr>
                <w:sz w:val="18"/>
                <w:szCs w:val="18"/>
                <w:lang w:eastAsia="en-AU"/>
              </w:rPr>
              <w:t>alone</w:t>
            </w:r>
          </w:p>
        </w:tc>
        <w:tc>
          <w:tcPr>
            <w:tcW w:w="1559" w:type="dxa"/>
          </w:tcPr>
          <w:p w:rsidR="009A6983" w:rsidRPr="00FA435F" w:rsidRDefault="009A6983" w:rsidP="00FD09E3">
            <w:pPr>
              <w:ind w:left="0"/>
              <w:cnfStyle w:val="100000000000" w:firstRow="1" w:lastRow="0" w:firstColumn="0" w:lastColumn="0" w:oddVBand="0" w:evenVBand="0" w:oddHBand="0" w:evenHBand="0" w:firstRowFirstColumn="0" w:firstRowLastColumn="0" w:lastRowFirstColumn="0" w:lastRowLastColumn="0"/>
              <w:rPr>
                <w:b w:val="0"/>
                <w:sz w:val="18"/>
                <w:szCs w:val="18"/>
                <w:lang w:eastAsia="en-AU"/>
              </w:rPr>
            </w:pPr>
            <w:r w:rsidRPr="00FA435F">
              <w:rPr>
                <w:sz w:val="18"/>
                <w:szCs w:val="18"/>
                <w:lang w:eastAsia="en-AU"/>
              </w:rPr>
              <w:t>Fluticasone alone</w:t>
            </w:r>
          </w:p>
        </w:tc>
        <w:tc>
          <w:tcPr>
            <w:tcW w:w="1276" w:type="dxa"/>
          </w:tcPr>
          <w:p w:rsidR="009A6983" w:rsidRPr="00FA435F" w:rsidRDefault="009A6983" w:rsidP="00FD09E3">
            <w:pPr>
              <w:ind w:left="34"/>
              <w:cnfStyle w:val="100000000000" w:firstRow="1" w:lastRow="0" w:firstColumn="0" w:lastColumn="0" w:oddVBand="0" w:evenVBand="0" w:oddHBand="0" w:evenHBand="0" w:firstRowFirstColumn="0" w:firstRowLastColumn="0" w:lastRowFirstColumn="0" w:lastRowLastColumn="0"/>
              <w:rPr>
                <w:b w:val="0"/>
                <w:sz w:val="18"/>
                <w:szCs w:val="18"/>
                <w:lang w:eastAsia="en-AU"/>
              </w:rPr>
            </w:pPr>
            <w:r w:rsidRPr="00FA435F">
              <w:rPr>
                <w:sz w:val="18"/>
                <w:szCs w:val="18"/>
                <w:lang w:eastAsia="en-AU"/>
              </w:rPr>
              <w:t>Placebo</w:t>
            </w:r>
          </w:p>
        </w:tc>
        <w:tc>
          <w:tcPr>
            <w:tcW w:w="1274" w:type="dxa"/>
          </w:tcPr>
          <w:p w:rsidR="009A6983" w:rsidRPr="00FA435F" w:rsidRDefault="009A6983" w:rsidP="00FD09E3">
            <w:pPr>
              <w:ind w:left="0"/>
              <w:cnfStyle w:val="100000000000" w:firstRow="1" w:lastRow="0" w:firstColumn="0" w:lastColumn="0" w:oddVBand="0" w:evenVBand="0" w:oddHBand="0" w:evenHBand="0" w:firstRowFirstColumn="0" w:firstRowLastColumn="0" w:lastRowFirstColumn="0" w:lastRowLastColumn="0"/>
              <w:rPr>
                <w:b w:val="0"/>
                <w:sz w:val="18"/>
                <w:szCs w:val="18"/>
                <w:lang w:eastAsia="en-AU"/>
              </w:rPr>
            </w:pPr>
            <w:r w:rsidRPr="00FA435F">
              <w:rPr>
                <w:sz w:val="18"/>
                <w:szCs w:val="18"/>
                <w:lang w:eastAsia="en-AU"/>
              </w:rPr>
              <w:t>TOTALS</w:t>
            </w:r>
          </w:p>
        </w:tc>
      </w:tr>
      <w:tr w:rsidR="003E13A7" w:rsidRPr="00436558" w:rsidTr="00FD09E3">
        <w:trPr>
          <w:trHeight w:val="469"/>
        </w:trPr>
        <w:tc>
          <w:tcPr>
            <w:cnfStyle w:val="001000000000" w:firstRow="0" w:lastRow="0" w:firstColumn="1" w:lastColumn="0" w:oddVBand="0" w:evenVBand="0" w:oddHBand="0" w:evenHBand="0" w:firstRowFirstColumn="0" w:firstRowLastColumn="0" w:lastRowFirstColumn="0" w:lastRowLastColumn="0"/>
            <w:tcW w:w="2093" w:type="dxa"/>
          </w:tcPr>
          <w:p w:rsidR="009A6983" w:rsidRPr="00FA435F" w:rsidRDefault="009A6983" w:rsidP="00FD09E3">
            <w:pPr>
              <w:ind w:left="0"/>
              <w:rPr>
                <w:sz w:val="18"/>
                <w:szCs w:val="18"/>
                <w:lang w:eastAsia="en-AU"/>
              </w:rPr>
            </w:pPr>
            <w:r w:rsidRPr="00FA435F">
              <w:rPr>
                <w:sz w:val="18"/>
                <w:szCs w:val="18"/>
                <w:lang w:eastAsia="en-AU"/>
              </w:rPr>
              <w:t>Clinical pharmacology</w:t>
            </w:r>
            <w:r w:rsidR="00FD09E3" w:rsidRPr="00FA435F">
              <w:rPr>
                <w:sz w:val="18"/>
                <w:szCs w:val="18"/>
                <w:lang w:eastAsia="en-AU"/>
              </w:rPr>
              <w:br/>
            </w:r>
            <w:r w:rsidRPr="00FA435F">
              <w:rPr>
                <w:sz w:val="18"/>
                <w:szCs w:val="18"/>
                <w:lang w:eastAsia="en-AU"/>
              </w:rPr>
              <w:t>Study 3283</w:t>
            </w:r>
            <w:r w:rsidR="00FD09E3" w:rsidRPr="00FA435F">
              <w:rPr>
                <w:sz w:val="18"/>
                <w:szCs w:val="18"/>
                <w:lang w:eastAsia="en-AU"/>
              </w:rPr>
              <w:t xml:space="preserve"> </w:t>
            </w:r>
            <w:r w:rsidR="00FD09E3" w:rsidRPr="00FA435F">
              <w:rPr>
                <w:sz w:val="18"/>
                <w:szCs w:val="18"/>
                <w:lang w:eastAsia="en-AU"/>
              </w:rPr>
              <w:br/>
            </w:r>
            <w:r w:rsidRPr="00FA435F">
              <w:rPr>
                <w:sz w:val="18"/>
                <w:szCs w:val="18"/>
                <w:lang w:eastAsia="en-AU"/>
              </w:rPr>
              <w:t>Study 3282</w:t>
            </w:r>
            <w:r w:rsidR="00FD09E3" w:rsidRPr="00FA435F">
              <w:rPr>
                <w:sz w:val="18"/>
                <w:szCs w:val="18"/>
                <w:lang w:eastAsia="en-AU"/>
              </w:rPr>
              <w:t xml:space="preserve"> </w:t>
            </w:r>
            <w:r w:rsidR="00FD09E3" w:rsidRPr="00FA435F">
              <w:rPr>
                <w:sz w:val="18"/>
                <w:szCs w:val="18"/>
                <w:lang w:eastAsia="en-AU"/>
              </w:rPr>
              <w:br/>
            </w:r>
            <w:r w:rsidRPr="00FA435F">
              <w:rPr>
                <w:sz w:val="18"/>
                <w:szCs w:val="18"/>
                <w:lang w:eastAsia="en-AU"/>
              </w:rPr>
              <w:t>SUBTOTAL</w:t>
            </w:r>
          </w:p>
        </w:tc>
        <w:tc>
          <w:tcPr>
            <w:tcW w:w="1843"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u w:val="single"/>
                <w:lang w:eastAsia="en-AU"/>
              </w:rPr>
            </w:pPr>
            <w:r w:rsidRPr="00FA435F">
              <w:rPr>
                <w:sz w:val="18"/>
                <w:szCs w:val="18"/>
                <w:lang w:eastAsia="en-AU"/>
              </w:rPr>
              <w:br/>
            </w:r>
            <w:r w:rsidR="009A6983" w:rsidRPr="00FA435F">
              <w:rPr>
                <w:sz w:val="18"/>
                <w:szCs w:val="18"/>
                <w:lang w:eastAsia="en-AU"/>
              </w:rPr>
              <w:t>30</w:t>
            </w:r>
            <w:r w:rsidRPr="00FA435F">
              <w:rPr>
                <w:sz w:val="18"/>
                <w:szCs w:val="18"/>
                <w:lang w:eastAsia="en-AU"/>
              </w:rPr>
              <w:br/>
            </w:r>
            <w:r w:rsidR="009A6983" w:rsidRPr="00FA435F">
              <w:rPr>
                <w:sz w:val="18"/>
                <w:szCs w:val="18"/>
                <w:u w:val="single"/>
                <w:lang w:eastAsia="en-AU"/>
              </w:rPr>
              <w:t>29</w:t>
            </w:r>
            <w:r w:rsidRPr="00FA435F">
              <w:rPr>
                <w:sz w:val="18"/>
                <w:szCs w:val="18"/>
                <w:u w:val="single"/>
                <w:lang w:eastAsia="en-AU"/>
              </w:rPr>
              <w:t xml:space="preserve"> </w:t>
            </w:r>
            <w:r w:rsidRPr="00FA435F">
              <w:rPr>
                <w:sz w:val="18"/>
                <w:szCs w:val="18"/>
                <w:u w:val="single"/>
                <w:lang w:eastAsia="en-AU"/>
              </w:rPr>
              <w:br/>
            </w:r>
            <w:r w:rsidR="009A6983" w:rsidRPr="00FA435F">
              <w:rPr>
                <w:sz w:val="18"/>
                <w:szCs w:val="18"/>
                <w:lang w:eastAsia="en-AU"/>
              </w:rPr>
              <w:t>59</w:t>
            </w:r>
          </w:p>
        </w:tc>
        <w:tc>
          <w:tcPr>
            <w:tcW w:w="1559"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u w:val="single"/>
                <w:lang w:eastAsia="en-AU"/>
              </w:rPr>
            </w:pPr>
            <w:r w:rsidRPr="00FA435F">
              <w:rPr>
                <w:sz w:val="18"/>
                <w:szCs w:val="18"/>
                <w:lang w:eastAsia="en-AU"/>
              </w:rPr>
              <w:br/>
            </w:r>
            <w:r w:rsidR="009A6983" w:rsidRPr="00FA435F">
              <w:rPr>
                <w:sz w:val="18"/>
                <w:szCs w:val="18"/>
                <w:lang w:eastAsia="en-AU"/>
              </w:rPr>
              <w:t>30</w:t>
            </w:r>
            <w:r w:rsidRPr="00FA435F">
              <w:rPr>
                <w:sz w:val="18"/>
                <w:szCs w:val="18"/>
                <w:lang w:eastAsia="en-AU"/>
              </w:rPr>
              <w:br/>
            </w:r>
            <w:r w:rsidR="009A6983" w:rsidRPr="00FA435F">
              <w:rPr>
                <w:sz w:val="18"/>
                <w:szCs w:val="18"/>
                <w:u w:val="single"/>
                <w:lang w:eastAsia="en-AU"/>
              </w:rPr>
              <w:t>-</w:t>
            </w:r>
            <w:r w:rsidRPr="00FA435F">
              <w:rPr>
                <w:sz w:val="18"/>
                <w:szCs w:val="18"/>
                <w:u w:val="single"/>
                <w:lang w:eastAsia="en-AU"/>
              </w:rPr>
              <w:br/>
            </w:r>
            <w:r w:rsidR="009A6983" w:rsidRPr="00FA435F">
              <w:rPr>
                <w:sz w:val="18"/>
                <w:szCs w:val="18"/>
                <w:lang w:eastAsia="en-AU"/>
              </w:rPr>
              <w:t>30</w:t>
            </w:r>
          </w:p>
        </w:tc>
        <w:tc>
          <w:tcPr>
            <w:tcW w:w="1559"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w:t>
            </w:r>
            <w:r w:rsidRPr="00FA435F">
              <w:rPr>
                <w:sz w:val="18"/>
                <w:szCs w:val="18"/>
                <w:lang w:eastAsia="en-AU"/>
              </w:rPr>
              <w:br/>
            </w:r>
            <w:r w:rsidR="009A6983" w:rsidRPr="00FA435F">
              <w:rPr>
                <w:sz w:val="18"/>
                <w:szCs w:val="18"/>
                <w:u w:val="single"/>
                <w:lang w:eastAsia="en-AU"/>
              </w:rPr>
              <w:t>30</w:t>
            </w:r>
            <w:r w:rsidRPr="00FA435F">
              <w:rPr>
                <w:sz w:val="18"/>
                <w:szCs w:val="18"/>
                <w:u w:val="single"/>
                <w:lang w:eastAsia="en-AU"/>
              </w:rPr>
              <w:br/>
            </w:r>
            <w:r w:rsidR="009A6983" w:rsidRPr="00FA435F">
              <w:rPr>
                <w:sz w:val="18"/>
                <w:szCs w:val="18"/>
                <w:lang w:eastAsia="en-AU"/>
              </w:rPr>
              <w:t>30</w:t>
            </w:r>
          </w:p>
        </w:tc>
        <w:tc>
          <w:tcPr>
            <w:tcW w:w="1276" w:type="dxa"/>
          </w:tcPr>
          <w:p w:rsidR="009A6983" w:rsidRPr="00FA435F" w:rsidRDefault="00FD09E3" w:rsidP="00FD09E3">
            <w:pPr>
              <w:ind w:left="34"/>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w:t>
            </w:r>
            <w:r w:rsidRPr="00FA435F">
              <w:rPr>
                <w:sz w:val="18"/>
                <w:szCs w:val="18"/>
                <w:lang w:eastAsia="en-AU"/>
              </w:rPr>
              <w:br/>
            </w:r>
            <w:r w:rsidR="009A6983" w:rsidRPr="00FA435F">
              <w:rPr>
                <w:sz w:val="18"/>
                <w:szCs w:val="18"/>
                <w:lang w:eastAsia="en-AU"/>
              </w:rPr>
              <w:t>-</w:t>
            </w:r>
            <w:r w:rsidRPr="00FA435F">
              <w:rPr>
                <w:sz w:val="18"/>
                <w:szCs w:val="18"/>
                <w:lang w:eastAsia="en-AU"/>
              </w:rPr>
              <w:br/>
            </w:r>
            <w:r w:rsidR="009A6983" w:rsidRPr="00FA435F">
              <w:rPr>
                <w:sz w:val="18"/>
                <w:szCs w:val="18"/>
                <w:lang w:eastAsia="en-AU"/>
              </w:rPr>
              <w:t>0</w:t>
            </w:r>
          </w:p>
        </w:tc>
        <w:tc>
          <w:tcPr>
            <w:tcW w:w="1274"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30</w:t>
            </w:r>
            <w:r w:rsidRPr="00FA435F">
              <w:rPr>
                <w:sz w:val="18"/>
                <w:szCs w:val="18"/>
                <w:lang w:eastAsia="en-AU"/>
              </w:rPr>
              <w:br/>
            </w:r>
            <w:r w:rsidR="009A6983" w:rsidRPr="00FA435F">
              <w:rPr>
                <w:sz w:val="18"/>
                <w:szCs w:val="18"/>
                <w:u w:val="single"/>
                <w:lang w:eastAsia="en-AU"/>
              </w:rPr>
              <w:t>30</w:t>
            </w:r>
            <w:r w:rsidRPr="00FA435F">
              <w:rPr>
                <w:sz w:val="18"/>
                <w:szCs w:val="18"/>
                <w:u w:val="single"/>
                <w:lang w:eastAsia="en-AU"/>
              </w:rPr>
              <w:br/>
            </w:r>
            <w:r w:rsidR="009A6983" w:rsidRPr="00FA435F">
              <w:rPr>
                <w:sz w:val="18"/>
                <w:szCs w:val="18"/>
                <w:lang w:eastAsia="en-AU"/>
              </w:rPr>
              <w:t>60</w:t>
            </w:r>
          </w:p>
        </w:tc>
      </w:tr>
      <w:tr w:rsidR="003E13A7" w:rsidRPr="006B14DE" w:rsidTr="00FD09E3">
        <w:trPr>
          <w:trHeight w:val="469"/>
        </w:trPr>
        <w:tc>
          <w:tcPr>
            <w:cnfStyle w:val="001000000000" w:firstRow="0" w:lastRow="0" w:firstColumn="1" w:lastColumn="0" w:oddVBand="0" w:evenVBand="0" w:oddHBand="0" w:evenHBand="0" w:firstRowFirstColumn="0" w:firstRowLastColumn="0" w:lastRowFirstColumn="0" w:lastRowLastColumn="0"/>
            <w:tcW w:w="2093" w:type="dxa"/>
          </w:tcPr>
          <w:p w:rsidR="009A6983" w:rsidRPr="00FA435F" w:rsidRDefault="009A6983" w:rsidP="00FD09E3">
            <w:pPr>
              <w:ind w:left="0"/>
              <w:rPr>
                <w:sz w:val="18"/>
                <w:szCs w:val="18"/>
                <w:lang w:eastAsia="en-AU"/>
              </w:rPr>
            </w:pPr>
            <w:r w:rsidRPr="00FA435F">
              <w:rPr>
                <w:sz w:val="18"/>
                <w:szCs w:val="18"/>
                <w:lang w:eastAsia="en-AU"/>
              </w:rPr>
              <w:t>Efficacy Studies</w:t>
            </w:r>
          </w:p>
        </w:tc>
        <w:tc>
          <w:tcPr>
            <w:tcW w:w="1843"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p>
        </w:tc>
        <w:tc>
          <w:tcPr>
            <w:tcW w:w="1559"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p>
        </w:tc>
        <w:tc>
          <w:tcPr>
            <w:tcW w:w="1559"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p>
        </w:tc>
        <w:tc>
          <w:tcPr>
            <w:tcW w:w="1276" w:type="dxa"/>
          </w:tcPr>
          <w:p w:rsidR="009A6983" w:rsidRPr="00FA435F" w:rsidRDefault="009A6983" w:rsidP="00FD09E3">
            <w:pPr>
              <w:ind w:left="34"/>
              <w:cnfStyle w:val="000000000000" w:firstRow="0" w:lastRow="0" w:firstColumn="0" w:lastColumn="0" w:oddVBand="0" w:evenVBand="0" w:oddHBand="0" w:evenHBand="0" w:firstRowFirstColumn="0" w:firstRowLastColumn="0" w:lastRowFirstColumn="0" w:lastRowLastColumn="0"/>
              <w:rPr>
                <w:sz w:val="18"/>
                <w:szCs w:val="18"/>
                <w:lang w:eastAsia="en-AU"/>
              </w:rPr>
            </w:pPr>
          </w:p>
        </w:tc>
        <w:tc>
          <w:tcPr>
            <w:tcW w:w="1274"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p>
        </w:tc>
      </w:tr>
      <w:tr w:rsidR="003E13A7" w:rsidRPr="004A28DD" w:rsidTr="00FD09E3">
        <w:trPr>
          <w:trHeight w:val="469"/>
        </w:trPr>
        <w:tc>
          <w:tcPr>
            <w:cnfStyle w:val="001000000000" w:firstRow="0" w:lastRow="0" w:firstColumn="1" w:lastColumn="0" w:oddVBand="0" w:evenVBand="0" w:oddHBand="0" w:evenHBand="0" w:firstRowFirstColumn="0" w:firstRowLastColumn="0" w:lastRowFirstColumn="0" w:lastRowLastColumn="0"/>
            <w:tcW w:w="2093" w:type="dxa"/>
          </w:tcPr>
          <w:p w:rsidR="00FD09E3" w:rsidRPr="00FA435F" w:rsidRDefault="009A6983" w:rsidP="00FA435F">
            <w:pPr>
              <w:spacing w:after="0"/>
              <w:ind w:left="0"/>
              <w:rPr>
                <w:sz w:val="18"/>
                <w:szCs w:val="18"/>
                <w:lang w:eastAsia="en-AU"/>
              </w:rPr>
            </w:pPr>
            <w:r w:rsidRPr="00FA435F">
              <w:rPr>
                <w:sz w:val="18"/>
                <w:szCs w:val="18"/>
                <w:lang w:eastAsia="en-AU"/>
              </w:rPr>
              <w:t>MP4001</w:t>
            </w:r>
          </w:p>
          <w:p w:rsidR="009A6983" w:rsidRPr="00FA435F" w:rsidRDefault="009A6983" w:rsidP="00FA435F">
            <w:pPr>
              <w:spacing w:before="0" w:after="0"/>
              <w:ind w:left="0"/>
              <w:rPr>
                <w:sz w:val="18"/>
                <w:szCs w:val="18"/>
                <w:lang w:eastAsia="en-AU"/>
              </w:rPr>
            </w:pPr>
            <w:r w:rsidRPr="00FA435F">
              <w:rPr>
                <w:sz w:val="18"/>
                <w:szCs w:val="18"/>
                <w:lang w:eastAsia="en-AU"/>
              </w:rPr>
              <w:t>MP4002</w:t>
            </w:r>
          </w:p>
          <w:p w:rsidR="009A6983" w:rsidRPr="00FA435F" w:rsidRDefault="009A6983" w:rsidP="00FA435F">
            <w:pPr>
              <w:spacing w:before="0" w:after="0"/>
              <w:ind w:left="0"/>
              <w:rPr>
                <w:sz w:val="18"/>
                <w:szCs w:val="18"/>
                <w:lang w:eastAsia="en-AU"/>
              </w:rPr>
            </w:pPr>
            <w:r w:rsidRPr="00FA435F">
              <w:rPr>
                <w:sz w:val="18"/>
                <w:szCs w:val="18"/>
                <w:lang w:eastAsia="en-AU"/>
              </w:rPr>
              <w:t>MP4004</w:t>
            </w:r>
          </w:p>
          <w:p w:rsidR="007307C7" w:rsidRPr="00FA435F" w:rsidRDefault="009A6983" w:rsidP="00FA435F">
            <w:pPr>
              <w:spacing w:before="0" w:after="0"/>
              <w:ind w:left="0"/>
              <w:rPr>
                <w:sz w:val="18"/>
                <w:szCs w:val="18"/>
                <w:lang w:eastAsia="en-AU"/>
              </w:rPr>
            </w:pPr>
            <w:r w:rsidRPr="00FA435F">
              <w:rPr>
                <w:sz w:val="18"/>
                <w:szCs w:val="18"/>
                <w:lang w:eastAsia="en-AU"/>
              </w:rPr>
              <w:t>MP4006</w:t>
            </w:r>
          </w:p>
          <w:p w:rsidR="009A6983" w:rsidRPr="00FA435F" w:rsidRDefault="009A6983" w:rsidP="00FA435F">
            <w:pPr>
              <w:spacing w:before="0"/>
              <w:ind w:left="0"/>
              <w:rPr>
                <w:sz w:val="18"/>
                <w:szCs w:val="18"/>
                <w:lang w:eastAsia="en-AU"/>
              </w:rPr>
            </w:pPr>
            <w:r w:rsidRPr="00FA435F">
              <w:rPr>
                <w:sz w:val="18"/>
                <w:szCs w:val="18"/>
                <w:lang w:eastAsia="en-AU"/>
              </w:rPr>
              <w:t>SUBTOTAL</w:t>
            </w:r>
          </w:p>
        </w:tc>
        <w:tc>
          <w:tcPr>
            <w:tcW w:w="1843" w:type="dxa"/>
          </w:tcPr>
          <w:p w:rsidR="009A6983" w:rsidRPr="00FA435F" w:rsidRDefault="009A6983" w:rsidP="00FA435F">
            <w:pPr>
              <w:spacing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153</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207</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195</w:t>
            </w:r>
          </w:p>
          <w:p w:rsidR="007307C7"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u w:val="single"/>
                <w:lang w:eastAsia="en-AU"/>
              </w:rPr>
            </w:pPr>
            <w:r w:rsidRPr="00FA435F">
              <w:rPr>
                <w:sz w:val="18"/>
                <w:szCs w:val="18"/>
                <w:u w:val="single"/>
                <w:lang w:eastAsia="en-AU"/>
              </w:rPr>
              <w:t>451</w:t>
            </w:r>
          </w:p>
          <w:p w:rsidR="009A6983" w:rsidRPr="00FA435F" w:rsidRDefault="009A6983" w:rsidP="00FA435F">
            <w:pPr>
              <w:spacing w:before="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1006</w:t>
            </w:r>
          </w:p>
        </w:tc>
        <w:tc>
          <w:tcPr>
            <w:tcW w:w="1559" w:type="dxa"/>
          </w:tcPr>
          <w:p w:rsidR="009A6983" w:rsidRPr="00FA435F" w:rsidRDefault="009A6983" w:rsidP="00FA435F">
            <w:pPr>
              <w:spacing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152</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208</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194</w:t>
            </w:r>
          </w:p>
          <w:p w:rsidR="007307C7"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u w:val="single"/>
                <w:lang w:eastAsia="en-AU"/>
              </w:rPr>
            </w:pPr>
            <w:r w:rsidRPr="00FA435F">
              <w:rPr>
                <w:sz w:val="18"/>
                <w:szCs w:val="18"/>
                <w:u w:val="single"/>
                <w:lang w:eastAsia="en-AU"/>
              </w:rPr>
              <w:t>449</w:t>
            </w:r>
          </w:p>
          <w:p w:rsidR="009A6983" w:rsidRPr="00FA435F" w:rsidRDefault="009A6983" w:rsidP="00FA435F">
            <w:pPr>
              <w:spacing w:before="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1003</w:t>
            </w:r>
          </w:p>
        </w:tc>
        <w:tc>
          <w:tcPr>
            <w:tcW w:w="1559" w:type="dxa"/>
          </w:tcPr>
          <w:p w:rsidR="009A6983" w:rsidRPr="00FA435F" w:rsidRDefault="009A6983" w:rsidP="00FA435F">
            <w:pPr>
              <w:spacing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153</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207</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189</w:t>
            </w:r>
          </w:p>
          <w:p w:rsidR="007307C7"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u w:val="single"/>
                <w:lang w:eastAsia="en-AU"/>
              </w:rPr>
            </w:pPr>
            <w:r w:rsidRPr="00FA435F">
              <w:rPr>
                <w:sz w:val="18"/>
                <w:szCs w:val="18"/>
                <w:u w:val="single"/>
                <w:lang w:eastAsia="en-AU"/>
              </w:rPr>
              <w:t>450</w:t>
            </w:r>
          </w:p>
          <w:p w:rsidR="009A6983" w:rsidRPr="00FA435F" w:rsidRDefault="009A6983" w:rsidP="00FA435F">
            <w:pPr>
              <w:spacing w:before="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999</w:t>
            </w:r>
          </w:p>
        </w:tc>
        <w:tc>
          <w:tcPr>
            <w:tcW w:w="1276" w:type="dxa"/>
          </w:tcPr>
          <w:p w:rsidR="009A6983" w:rsidRPr="00FA435F" w:rsidRDefault="009A6983" w:rsidP="00FA435F">
            <w:pPr>
              <w:spacing w:after="0"/>
              <w:ind w:left="34"/>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151</w:t>
            </w:r>
          </w:p>
          <w:p w:rsidR="009A6983" w:rsidRPr="00FA435F" w:rsidRDefault="009A6983" w:rsidP="00FA435F">
            <w:pPr>
              <w:spacing w:before="0" w:after="0"/>
              <w:ind w:left="34"/>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210</w:t>
            </w:r>
          </w:p>
          <w:p w:rsidR="009A6983" w:rsidRPr="00FA435F" w:rsidRDefault="009A6983" w:rsidP="00FA435F">
            <w:pPr>
              <w:spacing w:before="0" w:after="0"/>
              <w:ind w:left="34"/>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200</w:t>
            </w:r>
          </w:p>
          <w:p w:rsidR="007307C7" w:rsidRPr="00FA435F" w:rsidRDefault="009A6983" w:rsidP="00FA435F">
            <w:pPr>
              <w:spacing w:before="0" w:after="0"/>
              <w:ind w:left="34"/>
              <w:cnfStyle w:val="000000000000" w:firstRow="0" w:lastRow="0" w:firstColumn="0" w:lastColumn="0" w:oddVBand="0" w:evenVBand="0" w:oddHBand="0" w:evenHBand="0" w:firstRowFirstColumn="0" w:firstRowLastColumn="0" w:lastRowFirstColumn="0" w:lastRowLastColumn="0"/>
              <w:rPr>
                <w:sz w:val="18"/>
                <w:szCs w:val="18"/>
                <w:u w:val="single"/>
                <w:lang w:eastAsia="en-AU"/>
              </w:rPr>
            </w:pPr>
            <w:r w:rsidRPr="00FA435F">
              <w:rPr>
                <w:sz w:val="18"/>
                <w:szCs w:val="18"/>
                <w:u w:val="single"/>
                <w:lang w:eastAsia="en-AU"/>
              </w:rPr>
              <w:t>451</w:t>
            </w:r>
          </w:p>
          <w:p w:rsidR="009A6983" w:rsidRPr="00FA435F" w:rsidRDefault="009A6983" w:rsidP="00FA435F">
            <w:pPr>
              <w:spacing w:before="0"/>
              <w:ind w:left="34"/>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1012</w:t>
            </w:r>
          </w:p>
        </w:tc>
        <w:tc>
          <w:tcPr>
            <w:tcW w:w="1274" w:type="dxa"/>
          </w:tcPr>
          <w:p w:rsidR="009A6983" w:rsidRPr="00FA435F" w:rsidRDefault="009A6983" w:rsidP="00FA435F">
            <w:pPr>
              <w:spacing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609</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832</w:t>
            </w:r>
          </w:p>
          <w:p w:rsidR="009A6983"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778</w:t>
            </w:r>
          </w:p>
          <w:p w:rsidR="007307C7" w:rsidRPr="00FA435F" w:rsidRDefault="009A6983" w:rsidP="00FA435F">
            <w:pPr>
              <w:spacing w:before="0" w:after="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u w:val="single"/>
                <w:lang w:eastAsia="en-AU"/>
              </w:rPr>
              <w:t>1801</w:t>
            </w:r>
          </w:p>
          <w:p w:rsidR="009A6983" w:rsidRPr="00FA435F" w:rsidRDefault="009A6983" w:rsidP="00FA435F">
            <w:pPr>
              <w:spacing w:before="0"/>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4020</w:t>
            </w:r>
          </w:p>
        </w:tc>
      </w:tr>
      <w:tr w:rsidR="003E13A7" w:rsidRPr="001E050C" w:rsidTr="00FD09E3">
        <w:trPr>
          <w:trHeight w:val="469"/>
        </w:trPr>
        <w:tc>
          <w:tcPr>
            <w:cnfStyle w:val="001000000000" w:firstRow="0" w:lastRow="0" w:firstColumn="1" w:lastColumn="0" w:oddVBand="0" w:evenVBand="0" w:oddHBand="0" w:evenHBand="0" w:firstRowFirstColumn="0" w:firstRowLastColumn="0" w:lastRowFirstColumn="0" w:lastRowLastColumn="0"/>
            <w:tcW w:w="2093" w:type="dxa"/>
          </w:tcPr>
          <w:p w:rsidR="009A6983" w:rsidRPr="00FA435F" w:rsidRDefault="009A6983" w:rsidP="00FD09E3">
            <w:pPr>
              <w:ind w:left="0"/>
              <w:rPr>
                <w:sz w:val="18"/>
                <w:szCs w:val="18"/>
                <w:lang w:eastAsia="en-AU"/>
              </w:rPr>
            </w:pPr>
            <w:r w:rsidRPr="00FA435F">
              <w:rPr>
                <w:sz w:val="18"/>
                <w:szCs w:val="18"/>
                <w:lang w:eastAsia="en-AU"/>
              </w:rPr>
              <w:t>Safety Study</w:t>
            </w:r>
            <w:r w:rsidR="00FD09E3" w:rsidRPr="00FA435F">
              <w:rPr>
                <w:sz w:val="18"/>
                <w:szCs w:val="18"/>
                <w:lang w:eastAsia="en-AU"/>
              </w:rPr>
              <w:br/>
            </w:r>
            <w:r w:rsidRPr="00FA435F">
              <w:rPr>
                <w:sz w:val="18"/>
                <w:szCs w:val="18"/>
                <w:lang w:eastAsia="en-AU"/>
              </w:rPr>
              <w:t>MP4000</w:t>
            </w:r>
          </w:p>
        </w:tc>
        <w:tc>
          <w:tcPr>
            <w:tcW w:w="1843"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404</w:t>
            </w:r>
          </w:p>
        </w:tc>
        <w:tc>
          <w:tcPr>
            <w:tcW w:w="1559"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w:t>
            </w:r>
          </w:p>
        </w:tc>
        <w:tc>
          <w:tcPr>
            <w:tcW w:w="1559"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207</w:t>
            </w:r>
          </w:p>
        </w:tc>
        <w:tc>
          <w:tcPr>
            <w:tcW w:w="1276" w:type="dxa"/>
          </w:tcPr>
          <w:p w:rsidR="009A6983" w:rsidRPr="00FA435F" w:rsidRDefault="00FD09E3" w:rsidP="00FD09E3">
            <w:pPr>
              <w:ind w:left="34"/>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w:t>
            </w:r>
          </w:p>
        </w:tc>
        <w:tc>
          <w:tcPr>
            <w:tcW w:w="1274" w:type="dxa"/>
          </w:tcPr>
          <w:p w:rsidR="009A6983" w:rsidRPr="00FA435F" w:rsidRDefault="00FD09E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br/>
            </w:r>
            <w:r w:rsidR="009A6983" w:rsidRPr="00FA435F">
              <w:rPr>
                <w:sz w:val="18"/>
                <w:szCs w:val="18"/>
                <w:lang w:eastAsia="en-AU"/>
              </w:rPr>
              <w:t>611</w:t>
            </w:r>
          </w:p>
        </w:tc>
      </w:tr>
      <w:tr w:rsidR="003E13A7" w:rsidTr="00FD09E3">
        <w:trPr>
          <w:trHeight w:val="684"/>
        </w:trPr>
        <w:tc>
          <w:tcPr>
            <w:cnfStyle w:val="001000000000" w:firstRow="0" w:lastRow="0" w:firstColumn="1" w:lastColumn="0" w:oddVBand="0" w:evenVBand="0" w:oddHBand="0" w:evenHBand="0" w:firstRowFirstColumn="0" w:firstRowLastColumn="0" w:lastRowFirstColumn="0" w:lastRowLastColumn="0"/>
            <w:tcW w:w="2093" w:type="dxa"/>
          </w:tcPr>
          <w:p w:rsidR="009A6983" w:rsidRPr="00FA435F" w:rsidRDefault="009A6983" w:rsidP="00FD09E3">
            <w:pPr>
              <w:ind w:left="0"/>
              <w:rPr>
                <w:sz w:val="18"/>
                <w:szCs w:val="18"/>
                <w:lang w:eastAsia="en-AU"/>
              </w:rPr>
            </w:pPr>
            <w:r w:rsidRPr="00FA435F">
              <w:rPr>
                <w:sz w:val="18"/>
                <w:szCs w:val="18"/>
                <w:lang w:eastAsia="en-AU"/>
              </w:rPr>
              <w:t>TOTALS</w:t>
            </w:r>
          </w:p>
        </w:tc>
        <w:tc>
          <w:tcPr>
            <w:tcW w:w="1843"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1469</w:t>
            </w:r>
          </w:p>
        </w:tc>
        <w:tc>
          <w:tcPr>
            <w:tcW w:w="1559"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1033</w:t>
            </w:r>
          </w:p>
        </w:tc>
        <w:tc>
          <w:tcPr>
            <w:tcW w:w="1559"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1236</w:t>
            </w:r>
          </w:p>
        </w:tc>
        <w:tc>
          <w:tcPr>
            <w:tcW w:w="1276" w:type="dxa"/>
          </w:tcPr>
          <w:p w:rsidR="009A6983" w:rsidRPr="00FA435F" w:rsidRDefault="009A6983" w:rsidP="00FD09E3">
            <w:pPr>
              <w:ind w:left="34"/>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1012</w:t>
            </w:r>
          </w:p>
        </w:tc>
        <w:tc>
          <w:tcPr>
            <w:tcW w:w="1274" w:type="dxa"/>
          </w:tcPr>
          <w:p w:rsidR="009A6983" w:rsidRPr="00FA435F" w:rsidRDefault="009A6983" w:rsidP="00FD09E3">
            <w:pPr>
              <w:ind w:left="0"/>
              <w:cnfStyle w:val="000000000000" w:firstRow="0" w:lastRow="0" w:firstColumn="0" w:lastColumn="0" w:oddVBand="0" w:evenVBand="0" w:oddHBand="0" w:evenHBand="0" w:firstRowFirstColumn="0" w:firstRowLastColumn="0" w:lastRowFirstColumn="0" w:lastRowLastColumn="0"/>
              <w:rPr>
                <w:sz w:val="18"/>
                <w:szCs w:val="18"/>
                <w:lang w:eastAsia="en-AU"/>
              </w:rPr>
            </w:pPr>
            <w:r w:rsidRPr="00FA435F">
              <w:rPr>
                <w:sz w:val="18"/>
                <w:szCs w:val="18"/>
                <w:lang w:eastAsia="en-AU"/>
              </w:rPr>
              <w:t>4691*</w:t>
            </w:r>
          </w:p>
        </w:tc>
      </w:tr>
    </w:tbl>
    <w:p w:rsidR="009A6983" w:rsidRPr="009A6983" w:rsidRDefault="009A6983" w:rsidP="00FD09E3">
      <w:pPr>
        <w:pStyle w:val="TableDescription"/>
        <w:rPr>
          <w:lang w:eastAsia="en-AU"/>
        </w:rPr>
      </w:pPr>
      <w:r w:rsidRPr="009A6983">
        <w:rPr>
          <w:lang w:eastAsia="en-AU"/>
        </w:rPr>
        <w:t>* = total number of unique individuals</w:t>
      </w:r>
    </w:p>
    <w:p w:rsidR="009A6983" w:rsidRPr="009A6983" w:rsidRDefault="009A6983" w:rsidP="00FD09E3">
      <w:r w:rsidRPr="009A6983">
        <w:t>In the five efficacy/safety studies the dosage regimen used was identical to that proposed for registration (1 spray in each nostril BD, for a total dose of 4 sprays per day delivering a total of 200</w:t>
      </w:r>
      <w:r w:rsidR="007307C7">
        <w:t xml:space="preserve"> </w:t>
      </w:r>
      <w:r w:rsidRPr="009A6983">
        <w:t>mcg of fluticasone and 548</w:t>
      </w:r>
      <w:r w:rsidR="007307C7">
        <w:t xml:space="preserve"> </w:t>
      </w:r>
      <w:r w:rsidRPr="009A6983">
        <w:t xml:space="preserve">mcg of </w:t>
      </w:r>
      <w:proofErr w:type="spellStart"/>
      <w:r w:rsidRPr="009A6983">
        <w:t>azelastine</w:t>
      </w:r>
      <w:proofErr w:type="spellEnd"/>
      <w:r w:rsidRPr="009A6983">
        <w:t>). In the two clinical pharmacology studies, a single dose of 4 sprays was applied.</w:t>
      </w:r>
    </w:p>
    <w:p w:rsidR="009A6983" w:rsidRPr="009A6983" w:rsidRDefault="009A6983" w:rsidP="00FD09E3">
      <w:r w:rsidRPr="009A6983">
        <w:t xml:space="preserve">In the four efficacy studies, the duration of treatment was 14 days. In the safety </w:t>
      </w:r>
      <w:r w:rsidR="007307C7">
        <w:t>Study</w:t>
      </w:r>
      <w:r w:rsidRPr="009A6983">
        <w:t xml:space="preserve"> MP4000 the duration of treatment was 12 months. Of the 405 subjects randomised to the combination in MP4000, 354 (87.4%) completed 6 months of treatment and 312 (77.0%) completed 12 months.</w:t>
      </w:r>
    </w:p>
    <w:p w:rsidR="009A6983" w:rsidRPr="009A6983" w:rsidRDefault="009A6983" w:rsidP="00FD09E3">
      <w:r w:rsidRPr="009A6983">
        <w:t xml:space="preserve">The safety findings from MP4000 have been reviewed above. The following information is from a pooled analysis of the four efficacy studies, which was included in </w:t>
      </w:r>
      <w:r>
        <w:t>the sponsor’s summary of clinical safety</w:t>
      </w:r>
      <w:r w:rsidRPr="009A6983">
        <w:t xml:space="preserve"> and th</w:t>
      </w:r>
      <w:r>
        <w:t>e integrated summary of safety</w:t>
      </w:r>
      <w:r w:rsidRPr="009A6983">
        <w:t xml:space="preserve">. </w:t>
      </w:r>
      <w:r w:rsidR="00291D18">
        <w:t>I</w:t>
      </w:r>
      <w:r w:rsidRPr="009A6983">
        <w:t>n these studies there were 1,006 subjects treated with the combination and 1,012 treated with placebo. For the pooled analysis, the sponsor separated the fluticasone group into subjects treated with the marketed product (n</w:t>
      </w:r>
      <w:r>
        <w:t xml:space="preserve"> </w:t>
      </w:r>
      <w:r w:rsidRPr="009A6983">
        <w:t>=</w:t>
      </w:r>
      <w:r>
        <w:t xml:space="preserve"> </w:t>
      </w:r>
      <w:r w:rsidRPr="009A6983">
        <w:t>153) and those treated with the sponsor’s own “in-house” version (n</w:t>
      </w:r>
      <w:r>
        <w:t> </w:t>
      </w:r>
      <w:r w:rsidRPr="009A6983">
        <w:t>=</w:t>
      </w:r>
      <w:r>
        <w:t> </w:t>
      </w:r>
      <w:r w:rsidRPr="009A6983">
        <w:t xml:space="preserve">846). Similarly, subjects treated with </w:t>
      </w:r>
      <w:proofErr w:type="spellStart"/>
      <w:r w:rsidRPr="009A6983">
        <w:t>azelastine</w:t>
      </w:r>
      <w:proofErr w:type="spellEnd"/>
      <w:r w:rsidRPr="009A6983">
        <w:t xml:space="preserve"> were separated into those treated with the marketed product (n</w:t>
      </w:r>
      <w:r>
        <w:t xml:space="preserve"> </w:t>
      </w:r>
      <w:r w:rsidRPr="009A6983">
        <w:t>=</w:t>
      </w:r>
      <w:r>
        <w:t xml:space="preserve"> </w:t>
      </w:r>
      <w:r w:rsidRPr="009A6983">
        <w:t>152) and those treated with the sponsor’s own “in-house” version (n</w:t>
      </w:r>
      <w:r>
        <w:t> </w:t>
      </w:r>
      <w:r w:rsidRPr="009A6983">
        <w:t>=</w:t>
      </w:r>
      <w:r>
        <w:t> </w:t>
      </w:r>
      <w:r w:rsidRPr="009A6983">
        <w:t>851).</w:t>
      </w:r>
    </w:p>
    <w:p w:rsidR="009A6983" w:rsidRPr="009A6983" w:rsidRDefault="009A6983" w:rsidP="00FD09E3">
      <w:pPr>
        <w:pStyle w:val="Heading3"/>
      </w:pPr>
      <w:bookmarkStart w:id="107" w:name="_Toc241374319"/>
      <w:bookmarkStart w:id="108" w:name="_Ref271044764"/>
      <w:bookmarkStart w:id="109" w:name="_Toc272414663"/>
      <w:bookmarkStart w:id="110" w:name="_Toc290846301"/>
      <w:bookmarkStart w:id="111" w:name="_Toc228768156"/>
      <w:bookmarkStart w:id="112" w:name="_Toc396903959"/>
      <w:r w:rsidRPr="009A6983">
        <w:t>Adverse events</w:t>
      </w:r>
      <w:bookmarkEnd w:id="107"/>
      <w:bookmarkEnd w:id="108"/>
      <w:bookmarkEnd w:id="109"/>
      <w:bookmarkEnd w:id="110"/>
      <w:bookmarkEnd w:id="111"/>
      <w:bookmarkEnd w:id="112"/>
    </w:p>
    <w:p w:rsidR="009A6983" w:rsidRPr="009A6983" w:rsidRDefault="009A6983" w:rsidP="00FD09E3">
      <w:pPr>
        <w:pStyle w:val="Heading4"/>
      </w:pPr>
      <w:bookmarkStart w:id="113" w:name="_Ref272317284"/>
      <w:bookmarkStart w:id="114" w:name="_Ref272333565"/>
      <w:bookmarkStart w:id="115" w:name="_Toc272414664"/>
      <w:bookmarkStart w:id="116" w:name="_Toc290846302"/>
      <w:bookmarkStart w:id="117" w:name="_Toc228768157"/>
      <w:r w:rsidRPr="009A6983">
        <w:t>All adverse events (irrespective of relationship to study treatment)</w:t>
      </w:r>
      <w:bookmarkEnd w:id="113"/>
      <w:bookmarkEnd w:id="114"/>
      <w:bookmarkEnd w:id="115"/>
      <w:bookmarkEnd w:id="116"/>
      <w:bookmarkEnd w:id="117"/>
    </w:p>
    <w:p w:rsidR="009A6983" w:rsidRPr="00D058E7" w:rsidRDefault="009A6983" w:rsidP="00FD09E3">
      <w:r w:rsidRPr="00D058E7">
        <w:t>The incidence of all adverse events was marginally higher in the combination group (16.4%) than in the monotherapy comparator groups (13.1 – 15.1%). It was notably higher than in the placebo group (11.6%).</w:t>
      </w:r>
      <w:r w:rsidR="00C239DD">
        <w:t xml:space="preserve"> </w:t>
      </w:r>
      <w:r w:rsidRPr="00D058E7">
        <w:t xml:space="preserve">Altered taste, epistaxis and headache were </w:t>
      </w:r>
      <w:r w:rsidR="00FD09E3">
        <w:t>the most commonly reported AEs.</w:t>
      </w:r>
    </w:p>
    <w:p w:rsidR="009A6983" w:rsidRPr="00D058E7" w:rsidRDefault="009A6983" w:rsidP="00FD09E3">
      <w:r w:rsidRPr="00D058E7">
        <w:t xml:space="preserve">In terms of between-group differences, the most clinically relevant comparisons are those between the combination and the marketed monotherapy products. Altered taste was notably more frequent with the combination (4.1% versus 2.0% with </w:t>
      </w:r>
      <w:proofErr w:type="spellStart"/>
      <w:r w:rsidRPr="00D058E7">
        <w:t>azelastine</w:t>
      </w:r>
      <w:proofErr w:type="spellEnd"/>
      <w:r w:rsidRPr="00D058E7">
        <w:t xml:space="preserve"> and 0% with fluticasone). Several other AEs occurred more frequently with the combination than with the </w:t>
      </w:r>
      <w:r w:rsidRPr="00D058E7">
        <w:lastRenderedPageBreak/>
        <w:t>marketed products, although all were uncommon (incidence &lt;</w:t>
      </w:r>
      <w:r w:rsidR="00D058E7">
        <w:t xml:space="preserve"> </w:t>
      </w:r>
      <w:r w:rsidRPr="00D058E7">
        <w:t xml:space="preserve">0.5%), </w:t>
      </w:r>
      <w:r w:rsidR="00D058E7">
        <w:t>for example</w:t>
      </w:r>
      <w:r w:rsidRPr="00D058E7">
        <w:t>: dry mouth, dizziness, fatigue, sneezing, throat irritation, viral upper respiratory infection, and diarrhoea.</w:t>
      </w:r>
    </w:p>
    <w:p w:rsidR="009A6983" w:rsidRPr="009A6983" w:rsidRDefault="009A6983" w:rsidP="00FD09E3">
      <w:pPr>
        <w:pStyle w:val="Heading4"/>
      </w:pPr>
      <w:bookmarkStart w:id="118" w:name="_Ref272333567"/>
      <w:bookmarkStart w:id="119" w:name="_Toc272414665"/>
      <w:bookmarkStart w:id="120" w:name="_Toc290846303"/>
      <w:bookmarkStart w:id="121" w:name="_Toc228768158"/>
      <w:r w:rsidRPr="009A6983">
        <w:t>Treatment-related adverse events (adverse drug reactions)</w:t>
      </w:r>
      <w:bookmarkEnd w:id="118"/>
      <w:bookmarkEnd w:id="119"/>
      <w:bookmarkEnd w:id="120"/>
      <w:bookmarkEnd w:id="121"/>
    </w:p>
    <w:p w:rsidR="009A6983" w:rsidRPr="009A6983" w:rsidRDefault="009A6983" w:rsidP="00FD09E3">
      <w:pPr>
        <w:rPr>
          <w:lang w:eastAsia="en-AU"/>
        </w:rPr>
      </w:pPr>
      <w:r w:rsidRPr="009A6983">
        <w:rPr>
          <w:lang w:eastAsia="en-AU"/>
        </w:rPr>
        <w:t xml:space="preserve">The incidence of </w:t>
      </w:r>
      <w:r w:rsidRPr="009A6983">
        <w:rPr>
          <w:i/>
          <w:lang w:eastAsia="en-AU"/>
        </w:rPr>
        <w:t>treatment-related</w:t>
      </w:r>
      <w:r w:rsidRPr="009A6983">
        <w:rPr>
          <w:lang w:eastAsia="en-AU"/>
        </w:rPr>
        <w:t xml:space="preserve"> adverse events was higher in the combination group (10.7%) than in the marketed monotherapy comparator groups (7.9 – 9.2%). It was notably higher than in the placebo group (4.8%). Altered taste was again more common, as was nasal discomfort. All the remainder were uncommon (incidence &lt;</w:t>
      </w:r>
      <w:r w:rsidR="00190911">
        <w:rPr>
          <w:lang w:eastAsia="en-AU"/>
        </w:rPr>
        <w:t xml:space="preserve"> </w:t>
      </w:r>
      <w:r w:rsidRPr="009A6983">
        <w:rPr>
          <w:lang w:eastAsia="en-AU"/>
        </w:rPr>
        <w:t>0.5%).</w:t>
      </w:r>
      <w:r w:rsidR="008E08C4">
        <w:rPr>
          <w:lang w:eastAsia="en-AU"/>
        </w:rPr>
        <w:t xml:space="preserve"> </w:t>
      </w:r>
      <w:r w:rsidR="009C7F67">
        <w:rPr>
          <w:lang w:eastAsia="en-AU"/>
        </w:rPr>
        <w:t>The</w:t>
      </w:r>
      <w:r w:rsidR="008E08C4" w:rsidRPr="008E08C4">
        <w:rPr>
          <w:lang w:eastAsia="en-AU"/>
        </w:rPr>
        <w:t xml:space="preserve"> </w:t>
      </w:r>
      <w:r w:rsidR="008E08C4">
        <w:rPr>
          <w:lang w:eastAsia="en-AU"/>
        </w:rPr>
        <w:t>data did not include</w:t>
      </w:r>
      <w:r w:rsidR="008E08C4" w:rsidRPr="008E08C4">
        <w:rPr>
          <w:lang w:eastAsia="en-AU"/>
        </w:rPr>
        <w:t xml:space="preserve"> AEs that occurred more frequently in marketed products than with the combination.</w:t>
      </w:r>
    </w:p>
    <w:p w:rsidR="009A6983" w:rsidRPr="009A6983" w:rsidRDefault="009A6983" w:rsidP="00FD09E3">
      <w:pPr>
        <w:pStyle w:val="Heading4"/>
      </w:pPr>
      <w:bookmarkStart w:id="122" w:name="_Toc241374320"/>
      <w:bookmarkStart w:id="123" w:name="_Ref272333507"/>
      <w:bookmarkStart w:id="124" w:name="_Toc272414666"/>
      <w:bookmarkStart w:id="125" w:name="_Toc290846304"/>
      <w:bookmarkStart w:id="126" w:name="_Toc228768159"/>
      <w:r w:rsidRPr="009A6983">
        <w:t>Deaths and other serious adverse events</w:t>
      </w:r>
      <w:bookmarkEnd w:id="122"/>
      <w:bookmarkEnd w:id="123"/>
      <w:bookmarkEnd w:id="124"/>
      <w:bookmarkEnd w:id="125"/>
      <w:bookmarkEnd w:id="126"/>
    </w:p>
    <w:p w:rsidR="009A6983" w:rsidRPr="00190911" w:rsidRDefault="009A6983" w:rsidP="00FD09E3">
      <w:r w:rsidRPr="00190911">
        <w:t>There were</w:t>
      </w:r>
      <w:r w:rsidR="00FD09E3">
        <w:t xml:space="preserve"> no deaths in the four studies.</w:t>
      </w:r>
    </w:p>
    <w:p w:rsidR="007307C7" w:rsidRDefault="009A6983" w:rsidP="00FD09E3">
      <w:r w:rsidRPr="00190911">
        <w:t>There were two SAEs in the combination group. A 25 year-old female developed newly diagnosed hepatitis C, and a 23 year-old male was hospitalised for a lacerated hand. In the placebo group there was one SAE – a 40 year-old male developed a bacterial arthritis of the elbow. None of these events were considered related to study treatment. There were no SAEs in the monotherapy arms.</w:t>
      </w:r>
    </w:p>
    <w:p w:rsidR="009A6983" w:rsidRPr="00190911" w:rsidRDefault="009A6983" w:rsidP="00FD09E3">
      <w:pPr>
        <w:pStyle w:val="Heading4"/>
      </w:pPr>
      <w:bookmarkStart w:id="127" w:name="_Toc241374325"/>
      <w:bookmarkStart w:id="128" w:name="_Ref272333477"/>
      <w:bookmarkStart w:id="129" w:name="_Toc272414667"/>
      <w:bookmarkStart w:id="130" w:name="_Toc290846305"/>
      <w:bookmarkStart w:id="131" w:name="_Toc228768160"/>
      <w:r w:rsidRPr="00190911">
        <w:t>Discontinuation due to adverse events</w:t>
      </w:r>
      <w:bookmarkEnd w:id="127"/>
      <w:bookmarkEnd w:id="128"/>
      <w:bookmarkEnd w:id="129"/>
      <w:bookmarkEnd w:id="130"/>
      <w:bookmarkEnd w:id="131"/>
    </w:p>
    <w:p w:rsidR="009A6983" w:rsidRPr="00190911" w:rsidRDefault="009A6983" w:rsidP="00FD09E3">
      <w:r w:rsidRPr="00190911">
        <w:t>In the combination group the incidence of AEs leading to discontinuation (1.1%) was comparable to that seen in the placebo group (1.0%) and the marketed monotherapy groups (0.7 – 1.3%). Review of the individual AEs did not suggest any particular pattern suggestive of a safety issue with the combination.</w:t>
      </w:r>
    </w:p>
    <w:p w:rsidR="009A6983" w:rsidRPr="009A6983" w:rsidRDefault="009A6983" w:rsidP="00FD09E3">
      <w:pPr>
        <w:pStyle w:val="Heading3"/>
      </w:pPr>
      <w:bookmarkStart w:id="132" w:name="_Toc241374321"/>
      <w:bookmarkStart w:id="133" w:name="_Ref271044780"/>
      <w:bookmarkStart w:id="134" w:name="_Ref271196640"/>
      <w:bookmarkStart w:id="135" w:name="_Ref272333085"/>
      <w:bookmarkStart w:id="136" w:name="_Toc272414668"/>
      <w:bookmarkStart w:id="137" w:name="_Toc290846306"/>
      <w:bookmarkStart w:id="138" w:name="_Toc228768161"/>
      <w:bookmarkStart w:id="139" w:name="_Toc396903960"/>
      <w:r w:rsidRPr="009A6983">
        <w:t>Laboratory tests</w:t>
      </w:r>
      <w:bookmarkEnd w:id="132"/>
      <w:bookmarkEnd w:id="133"/>
      <w:bookmarkEnd w:id="134"/>
      <w:bookmarkEnd w:id="135"/>
      <w:bookmarkEnd w:id="136"/>
      <w:bookmarkEnd w:id="137"/>
      <w:bookmarkEnd w:id="138"/>
      <w:bookmarkEnd w:id="139"/>
    </w:p>
    <w:p w:rsidR="009A6983" w:rsidRPr="00190911" w:rsidRDefault="009A6983" w:rsidP="00FD09E3">
      <w:r w:rsidRPr="00190911">
        <w:t>Laboratory testing (haematology, b</w:t>
      </w:r>
      <w:r w:rsidR="00190911">
        <w:t>iochemistry, urinalysis, ECG et cetera</w:t>
      </w:r>
      <w:r w:rsidRPr="00190911">
        <w:t>) was not performed during the four efficacy studies.</w:t>
      </w:r>
    </w:p>
    <w:p w:rsidR="009A6983" w:rsidRPr="009A6983" w:rsidRDefault="009A6983" w:rsidP="00FD09E3">
      <w:pPr>
        <w:pStyle w:val="Heading3"/>
      </w:pPr>
      <w:bookmarkStart w:id="140" w:name="_Toc272414676"/>
      <w:bookmarkStart w:id="141" w:name="_Toc290846314"/>
      <w:bookmarkStart w:id="142" w:name="_Toc228768162"/>
      <w:bookmarkStart w:id="143" w:name="_Toc396903961"/>
      <w:r w:rsidRPr="009A6983">
        <w:t>Vital signs</w:t>
      </w:r>
      <w:bookmarkEnd w:id="140"/>
      <w:bookmarkEnd w:id="141"/>
      <w:bookmarkEnd w:id="142"/>
      <w:bookmarkEnd w:id="143"/>
    </w:p>
    <w:p w:rsidR="009A6983" w:rsidRPr="00190911" w:rsidRDefault="009A6983" w:rsidP="00FD09E3">
      <w:r w:rsidRPr="00190911">
        <w:t xml:space="preserve">Over the two-week treatment period there were no clinically significant changes in mean values for blood pressure, pulse rate, respiratory rate, </w:t>
      </w:r>
      <w:proofErr w:type="gramStart"/>
      <w:r w:rsidRPr="00190911">
        <w:t>temperature</w:t>
      </w:r>
      <w:proofErr w:type="gramEnd"/>
      <w:r w:rsidRPr="00190911">
        <w:t xml:space="preserve"> or body weight in any of the treatment groups.</w:t>
      </w:r>
    </w:p>
    <w:p w:rsidR="009A6983" w:rsidRPr="009A6983" w:rsidRDefault="009A6983" w:rsidP="00FD09E3">
      <w:pPr>
        <w:pStyle w:val="Heading3"/>
      </w:pPr>
      <w:bookmarkStart w:id="144" w:name="_Toc228768163"/>
      <w:bookmarkStart w:id="145" w:name="_Toc396903962"/>
      <w:r w:rsidRPr="009A6983">
        <w:t>Focused nasal examination</w:t>
      </w:r>
      <w:bookmarkEnd w:id="144"/>
      <w:bookmarkEnd w:id="145"/>
    </w:p>
    <w:p w:rsidR="009A6983" w:rsidRPr="00190911" w:rsidRDefault="009A6983" w:rsidP="00FD09E3">
      <w:r w:rsidRPr="00190911">
        <w:t>Nasal examination took place at ea</w:t>
      </w:r>
      <w:r w:rsidR="00190911">
        <w:t>ch study visit (screening, D</w:t>
      </w:r>
      <w:r w:rsidRPr="00190911">
        <w:t xml:space="preserve">ay 1, </w:t>
      </w:r>
      <w:r w:rsidR="00190911">
        <w:t>D</w:t>
      </w:r>
      <w:r w:rsidRPr="00190911">
        <w:t xml:space="preserve">ay 7 and </w:t>
      </w:r>
      <w:r w:rsidR="00190911">
        <w:t>D</w:t>
      </w:r>
      <w:r w:rsidRPr="00190911">
        <w:t>ay 14). In the pooled analysis, the incidence and severity of the following abnormalities were presented in tabular format: epistaxis, nasal irritation, mucosal oedema, nasal discharge, mucosal erythema, mucosal bleeding and crusting of the mucosa. There were no notable differences between groups in the incidence or severity of these findings.</w:t>
      </w:r>
    </w:p>
    <w:p w:rsidR="009A6983" w:rsidRPr="009A6983" w:rsidRDefault="009A6983" w:rsidP="00FD09E3">
      <w:pPr>
        <w:pStyle w:val="Heading3"/>
      </w:pPr>
      <w:bookmarkStart w:id="146" w:name="_Toc241374326"/>
      <w:bookmarkStart w:id="147" w:name="_Ref272333048"/>
      <w:bookmarkStart w:id="148" w:name="_Toc272414679"/>
      <w:bookmarkStart w:id="149" w:name="_Toc290846317"/>
      <w:bookmarkStart w:id="150" w:name="_Toc228768164"/>
      <w:bookmarkStart w:id="151" w:name="_Toc396903963"/>
      <w:r w:rsidRPr="009A6983">
        <w:t>Post-marketing experience</w:t>
      </w:r>
      <w:bookmarkEnd w:id="146"/>
      <w:bookmarkEnd w:id="147"/>
      <w:bookmarkEnd w:id="148"/>
      <w:bookmarkEnd w:id="149"/>
      <w:bookmarkEnd w:id="150"/>
      <w:bookmarkEnd w:id="151"/>
    </w:p>
    <w:p w:rsidR="009A6983" w:rsidRPr="00190911" w:rsidRDefault="009A6983" w:rsidP="00FD09E3">
      <w:r w:rsidRPr="00190911">
        <w:t>No post-marketing data were submitted.</w:t>
      </w:r>
    </w:p>
    <w:p w:rsidR="009A6983" w:rsidRPr="00190911" w:rsidRDefault="009A6983" w:rsidP="00FD09E3">
      <w:pPr>
        <w:pStyle w:val="Heading3"/>
      </w:pPr>
      <w:bookmarkStart w:id="152" w:name="_Ref272333005"/>
      <w:bookmarkStart w:id="153" w:name="_Toc272414680"/>
      <w:bookmarkStart w:id="154" w:name="_Toc290846318"/>
      <w:bookmarkStart w:id="155" w:name="_Toc228768165"/>
      <w:bookmarkStart w:id="156" w:name="_Toc396903964"/>
      <w:r w:rsidRPr="00190911">
        <w:t>Safety issues with the potential for major regulatory imp</w:t>
      </w:r>
      <w:bookmarkEnd w:id="152"/>
      <w:bookmarkEnd w:id="153"/>
      <w:r w:rsidRPr="00190911">
        <w:t>act</w:t>
      </w:r>
      <w:bookmarkEnd w:id="154"/>
      <w:bookmarkEnd w:id="155"/>
      <w:bookmarkEnd w:id="156"/>
    </w:p>
    <w:p w:rsidR="009A6983" w:rsidRPr="00190911" w:rsidRDefault="009A6983" w:rsidP="00FD09E3">
      <w:r w:rsidRPr="00190911">
        <w:t xml:space="preserve">The proposed product delivers small doses of fluticasone propionate and </w:t>
      </w:r>
      <w:proofErr w:type="spellStart"/>
      <w:r w:rsidRPr="00190911">
        <w:t>azelastine</w:t>
      </w:r>
      <w:proofErr w:type="spellEnd"/>
      <w:r w:rsidRPr="00190911">
        <w:t xml:space="preserve"> hydrochloride directly to the nasal </w:t>
      </w:r>
      <w:proofErr w:type="gramStart"/>
      <w:r w:rsidRPr="00190911">
        <w:t>mucosa,</w:t>
      </w:r>
      <w:proofErr w:type="gramEnd"/>
      <w:r w:rsidRPr="00190911">
        <w:t xml:space="preserve"> and systemic exposure is therefore limited. Both agents have an established safety record. It is therefore very unlikely that the product would be associated with safety issues with the potential for major regulatory impact (that is liver or </w:t>
      </w:r>
      <w:r w:rsidRPr="00190911">
        <w:lastRenderedPageBreak/>
        <w:t>haematological toxicity, severe skin reactions, cardiovascular toxicity or severe immunological effects). No evidence for such effects was seen in the submitted study reports.</w:t>
      </w:r>
    </w:p>
    <w:p w:rsidR="009A6983" w:rsidRPr="009A6983" w:rsidRDefault="009A6983" w:rsidP="00190911">
      <w:pPr>
        <w:pStyle w:val="Heading3"/>
      </w:pPr>
      <w:bookmarkStart w:id="157" w:name="_Toc272414686"/>
      <w:bookmarkStart w:id="158" w:name="_Ref273005527"/>
      <w:bookmarkStart w:id="159" w:name="_Toc290846324"/>
      <w:bookmarkStart w:id="160" w:name="_Toc228768166"/>
      <w:bookmarkStart w:id="161" w:name="_Toc396903965"/>
      <w:r w:rsidRPr="009A6983">
        <w:t>Other safety issues</w:t>
      </w:r>
      <w:bookmarkEnd w:id="157"/>
      <w:bookmarkEnd w:id="158"/>
      <w:bookmarkEnd w:id="159"/>
      <w:bookmarkEnd w:id="160"/>
      <w:bookmarkEnd w:id="161"/>
    </w:p>
    <w:p w:rsidR="009A6983" w:rsidRPr="009A6983" w:rsidRDefault="009A6983" w:rsidP="00FD09E3">
      <w:pPr>
        <w:pStyle w:val="Heading4"/>
      </w:pPr>
      <w:bookmarkStart w:id="162" w:name="_Toc241374322"/>
      <w:bookmarkStart w:id="163" w:name="_Ref272331212"/>
      <w:bookmarkStart w:id="164" w:name="_Toc272414687"/>
      <w:bookmarkStart w:id="165" w:name="_Toc290846325"/>
      <w:bookmarkStart w:id="166" w:name="_Toc228768167"/>
      <w:r w:rsidRPr="009A6983">
        <w:t>Safety in special populations</w:t>
      </w:r>
      <w:bookmarkEnd w:id="162"/>
      <w:bookmarkEnd w:id="163"/>
      <w:bookmarkEnd w:id="164"/>
      <w:bookmarkEnd w:id="165"/>
      <w:bookmarkEnd w:id="166"/>
    </w:p>
    <w:p w:rsidR="009A6983" w:rsidRPr="00190911" w:rsidRDefault="009A6983" w:rsidP="00FD09E3">
      <w:r w:rsidRPr="00190911">
        <w:t>In the summary of clinical safety, the sponsor presented tabulations of adverse events by subgroups</w:t>
      </w:r>
      <w:r w:rsidR="00190911">
        <w:t xml:space="preserve"> including age (12 to 18 years, 18 to </w:t>
      </w:r>
      <w:r w:rsidRPr="00190911">
        <w:t>65 and &gt; 65 years), gender and race/ethnicity. No specific</w:t>
      </w:r>
      <w:r w:rsidR="00FD09E3">
        <w:t xml:space="preserve"> safety issues were identified.</w:t>
      </w:r>
    </w:p>
    <w:p w:rsidR="009A6983" w:rsidRPr="009A6983" w:rsidRDefault="009A6983" w:rsidP="00FD09E3">
      <w:pPr>
        <w:pStyle w:val="Heading3"/>
      </w:pPr>
      <w:bookmarkStart w:id="167" w:name="_Toc241374328"/>
      <w:bookmarkStart w:id="168" w:name="_Toc272414691"/>
      <w:bookmarkStart w:id="169" w:name="_Toc290846329"/>
      <w:bookmarkStart w:id="170" w:name="_Toc228768168"/>
      <w:bookmarkStart w:id="171" w:name="_Toc396903966"/>
      <w:r w:rsidRPr="009A6983">
        <w:t>Evaluator’s overall conclusions on clinical safety</w:t>
      </w:r>
      <w:bookmarkEnd w:id="167"/>
      <w:bookmarkEnd w:id="168"/>
      <w:bookmarkEnd w:id="169"/>
      <w:bookmarkEnd w:id="170"/>
      <w:bookmarkEnd w:id="171"/>
    </w:p>
    <w:p w:rsidR="007307C7" w:rsidRDefault="009A6983" w:rsidP="00FD09E3">
      <w:r w:rsidRPr="00190911">
        <w:t>The overall safety profile of the combination product is acceptable. Use of the combination is associated with a small increase in the incidence of adverse events (principally altered taste) compared to use of either of the monotherapy products alone. There was no increase in the incidence of serious adverse events or discontinuations due to adverse events.</w:t>
      </w:r>
    </w:p>
    <w:p w:rsidR="009A6983" w:rsidRPr="00190911" w:rsidRDefault="009A6983" w:rsidP="00FD09E3">
      <w:r w:rsidRPr="00190911">
        <w:t>The combination product appears to produce increased systemic exposure to fluticasone, at least compared to a US-marketed fluticasone propionate monotherapy product. However, this is offset by the sponsor’s proposal to use a maximum daily dose of only 200 mcg fluticasone propionate per day, which is half the maximum daily dose approved for fluticasone propionate nasal spray in Australia.</w:t>
      </w:r>
    </w:p>
    <w:p w:rsidR="00C22678" w:rsidRDefault="00C22678" w:rsidP="00FD09E3">
      <w:pPr>
        <w:pStyle w:val="Heading2"/>
      </w:pPr>
      <w:bookmarkStart w:id="172" w:name="_Toc396903967"/>
      <w:r>
        <w:t>First round benefit-risk assessment</w:t>
      </w:r>
      <w:bookmarkEnd w:id="172"/>
    </w:p>
    <w:p w:rsidR="00190911" w:rsidRDefault="00190911" w:rsidP="00FD09E3">
      <w:pPr>
        <w:pStyle w:val="Heading3"/>
      </w:pPr>
      <w:bookmarkStart w:id="173" w:name="_Toc396903968"/>
      <w:r>
        <w:t>First round assessment of benefits</w:t>
      </w:r>
      <w:bookmarkEnd w:id="173"/>
    </w:p>
    <w:p w:rsidR="00190911" w:rsidRPr="000F0971" w:rsidRDefault="00190911" w:rsidP="00FD09E3">
      <w:r w:rsidRPr="000F0971">
        <w:t xml:space="preserve">The benefits of the combination product in allergic </w:t>
      </w:r>
      <w:proofErr w:type="spellStart"/>
      <w:r w:rsidRPr="000F0971">
        <w:t>rhinoconjunctivitis</w:t>
      </w:r>
      <w:proofErr w:type="spellEnd"/>
      <w:r w:rsidRPr="000F0971">
        <w:t xml:space="preserve"> are:</w:t>
      </w:r>
    </w:p>
    <w:p w:rsidR="00190911" w:rsidRPr="00281EA4" w:rsidRDefault="00190911" w:rsidP="00281EA4">
      <w:pPr>
        <w:pStyle w:val="ListBullet"/>
      </w:pPr>
      <w:r w:rsidRPr="00281EA4">
        <w:t>A reduction in the severity of nasal symptoms over and above that achieved by use of eith</w:t>
      </w:r>
      <w:r w:rsidR="00281EA4">
        <w:t xml:space="preserve">er of the monotherapy products </w:t>
      </w:r>
      <w:r w:rsidRPr="00281EA4">
        <w:t>and</w:t>
      </w:r>
    </w:p>
    <w:p w:rsidR="00190911" w:rsidRPr="00281EA4" w:rsidRDefault="00190911" w:rsidP="00281EA4">
      <w:pPr>
        <w:pStyle w:val="ListBullet"/>
      </w:pPr>
      <w:r w:rsidRPr="00281EA4">
        <w:t>A reduction in the severity of ocular symptoms when compared to placebo.</w:t>
      </w:r>
    </w:p>
    <w:p w:rsidR="00190911" w:rsidRDefault="00190911" w:rsidP="00281EA4">
      <w:pPr>
        <w:pStyle w:val="Heading3"/>
      </w:pPr>
      <w:bookmarkStart w:id="174" w:name="_Toc396903969"/>
      <w:r>
        <w:t>First round assessment of risks</w:t>
      </w:r>
      <w:bookmarkEnd w:id="174"/>
    </w:p>
    <w:p w:rsidR="00190911" w:rsidRDefault="00190911" w:rsidP="00281EA4">
      <w:pPr>
        <w:rPr>
          <w:lang w:eastAsia="ja-JP"/>
        </w:rPr>
      </w:pPr>
      <w:r>
        <w:rPr>
          <w:lang w:eastAsia="ja-JP"/>
        </w:rPr>
        <w:t>The risks of the combination in allergic rhinitis are:</w:t>
      </w:r>
    </w:p>
    <w:p w:rsidR="00190911" w:rsidRDefault="00190911" w:rsidP="00281EA4">
      <w:pPr>
        <w:pStyle w:val="ListBullet"/>
        <w:rPr>
          <w:lang w:eastAsia="ja-JP"/>
        </w:rPr>
      </w:pPr>
      <w:r>
        <w:rPr>
          <w:lang w:eastAsia="ja-JP"/>
        </w:rPr>
        <w:t>A modest increase in the incidence of adverse effects (principally altered taste) compared to use of either of the monotherapy products.</w:t>
      </w:r>
    </w:p>
    <w:p w:rsidR="00190911" w:rsidRDefault="00190911" w:rsidP="00281EA4">
      <w:pPr>
        <w:pStyle w:val="Heading3"/>
      </w:pPr>
      <w:bookmarkStart w:id="175" w:name="_Toc396903970"/>
      <w:r>
        <w:t>First round assessment of benefit-risk balance</w:t>
      </w:r>
      <w:bookmarkEnd w:id="175"/>
    </w:p>
    <w:p w:rsidR="00C22678" w:rsidRPr="00586F98" w:rsidRDefault="00190911" w:rsidP="00281EA4">
      <w:pPr>
        <w:rPr>
          <w:lang w:eastAsia="ja-JP"/>
        </w:rPr>
      </w:pPr>
      <w:r w:rsidRPr="000F0971">
        <w:rPr>
          <w:lang w:eastAsia="ja-JP"/>
        </w:rPr>
        <w:t>The benefit-risk balance of the combination product, given the proposed usage, is favourable.</w:t>
      </w:r>
    </w:p>
    <w:p w:rsidR="00C22678" w:rsidRDefault="00C22678" w:rsidP="00281EA4">
      <w:pPr>
        <w:pStyle w:val="Heading2"/>
      </w:pPr>
      <w:bookmarkStart w:id="176" w:name="_Toc396903971"/>
      <w:r>
        <w:t>First round recommendation regarding authorisation</w:t>
      </w:r>
      <w:bookmarkEnd w:id="176"/>
    </w:p>
    <w:p w:rsidR="007307C7" w:rsidRDefault="007307C7" w:rsidP="00281EA4">
      <w:pPr>
        <w:rPr>
          <w:lang w:eastAsia="ja-JP"/>
        </w:rPr>
      </w:pPr>
      <w:r w:rsidRPr="007307C7">
        <w:rPr>
          <w:lang w:eastAsia="ja-JP"/>
        </w:rPr>
        <w:t>It is recommended that the applicatio</w:t>
      </w:r>
      <w:r w:rsidR="00281EA4">
        <w:rPr>
          <w:lang w:eastAsia="ja-JP"/>
        </w:rPr>
        <w:t>n for registration be approved.</w:t>
      </w:r>
    </w:p>
    <w:p w:rsidR="00C22678" w:rsidRDefault="00C22678" w:rsidP="00281EA4">
      <w:pPr>
        <w:pStyle w:val="Heading2"/>
      </w:pPr>
      <w:bookmarkStart w:id="177" w:name="_Toc396903972"/>
      <w:r>
        <w:lastRenderedPageBreak/>
        <w:t>Clinical questions</w:t>
      </w:r>
      <w:bookmarkEnd w:id="177"/>
    </w:p>
    <w:p w:rsidR="007307C7" w:rsidRDefault="007307C7" w:rsidP="00281EA4">
      <w:pPr>
        <w:pStyle w:val="Heading3"/>
      </w:pPr>
      <w:bookmarkStart w:id="178" w:name="_Toc396903973"/>
      <w:r>
        <w:t>General</w:t>
      </w:r>
      <w:bookmarkEnd w:id="178"/>
    </w:p>
    <w:p w:rsidR="007307C7" w:rsidRPr="007307C7" w:rsidRDefault="007307C7" w:rsidP="00281EA4">
      <w:r w:rsidRPr="007307C7">
        <w:t>Please confirm that the formulation of the product proposed for registration in Australia is identical to that used in the submitted clinical trials.</w:t>
      </w:r>
    </w:p>
    <w:p w:rsidR="00C22678" w:rsidRDefault="00C618F7" w:rsidP="00281EA4">
      <w:pPr>
        <w:pStyle w:val="Heading3"/>
      </w:pPr>
      <w:bookmarkStart w:id="179" w:name="_Toc396903974"/>
      <w:r>
        <w:t>Pharmacokinetics</w:t>
      </w:r>
      <w:bookmarkEnd w:id="179"/>
    </w:p>
    <w:p w:rsidR="007307C7" w:rsidRDefault="007307C7" w:rsidP="00281EA4">
      <w:pPr>
        <w:rPr>
          <w:lang w:eastAsia="ja-JP"/>
        </w:rPr>
      </w:pPr>
      <w:r>
        <w:rPr>
          <w:lang w:eastAsia="ja-JP"/>
        </w:rPr>
        <w:t xml:space="preserve">It is stated in the submission that the </w:t>
      </w:r>
      <w:proofErr w:type="spellStart"/>
      <w:r>
        <w:rPr>
          <w:lang w:eastAsia="ja-JP"/>
        </w:rPr>
        <w:t>benzalkonium</w:t>
      </w:r>
      <w:proofErr w:type="spellEnd"/>
      <w:r>
        <w:rPr>
          <w:lang w:eastAsia="ja-JP"/>
        </w:rPr>
        <w:t xml:space="preserve"> chloride (BAC)-containing formulation of </w:t>
      </w:r>
      <w:proofErr w:type="spellStart"/>
      <w:r>
        <w:rPr>
          <w:lang w:eastAsia="ja-JP"/>
        </w:rPr>
        <w:t>azelastine</w:t>
      </w:r>
      <w:proofErr w:type="spellEnd"/>
      <w:r>
        <w:rPr>
          <w:lang w:eastAsia="ja-JP"/>
        </w:rPr>
        <w:t xml:space="preserve"> nasal spray was marketed in Europe until the late 1990’s, when it was changed to the BAC-free formulation. It is also noted that on the ARTG, the Australian product (</w:t>
      </w:r>
      <w:proofErr w:type="spellStart"/>
      <w:r>
        <w:rPr>
          <w:lang w:eastAsia="ja-JP"/>
        </w:rPr>
        <w:t>Azep</w:t>
      </w:r>
      <w:proofErr w:type="spellEnd"/>
      <w:r>
        <w:rPr>
          <w:lang w:eastAsia="ja-JP"/>
        </w:rPr>
        <w:t xml:space="preserve">; </w:t>
      </w:r>
      <w:proofErr w:type="spellStart"/>
      <w:r>
        <w:rPr>
          <w:lang w:eastAsia="ja-JP"/>
        </w:rPr>
        <w:t>Aust</w:t>
      </w:r>
      <w:proofErr w:type="spellEnd"/>
      <w:r>
        <w:rPr>
          <w:lang w:eastAsia="ja-JP"/>
        </w:rPr>
        <w:t xml:space="preserve"> R 104853) is </w:t>
      </w:r>
      <w:r w:rsidR="00281EA4">
        <w:rPr>
          <w:lang w:eastAsia="ja-JP"/>
        </w:rPr>
        <w:t>described as a ‘reformulation’.</w:t>
      </w:r>
    </w:p>
    <w:p w:rsidR="00C618F7" w:rsidRPr="00586F98" w:rsidRDefault="007307C7" w:rsidP="00281EA4">
      <w:pPr>
        <w:rPr>
          <w:lang w:eastAsia="ja-JP"/>
        </w:rPr>
      </w:pPr>
      <w:r>
        <w:rPr>
          <w:lang w:eastAsia="ja-JP"/>
        </w:rPr>
        <w:t>Please advise whether the BAC-containing formulation was also the original formulation approved in Australia.</w:t>
      </w:r>
    </w:p>
    <w:p w:rsidR="00C618F7" w:rsidRDefault="00C618F7" w:rsidP="00281EA4">
      <w:pPr>
        <w:pStyle w:val="Heading3"/>
      </w:pPr>
      <w:bookmarkStart w:id="180" w:name="_Toc396903975"/>
      <w:r>
        <w:t>Pharmacodynamics</w:t>
      </w:r>
      <w:bookmarkEnd w:id="180"/>
    </w:p>
    <w:p w:rsidR="00C618F7" w:rsidRPr="00586F98" w:rsidRDefault="007307C7" w:rsidP="00281EA4">
      <w:pPr>
        <w:rPr>
          <w:lang w:eastAsia="ja-JP"/>
        </w:rPr>
      </w:pPr>
      <w:r>
        <w:rPr>
          <w:lang w:eastAsia="ja-JP"/>
        </w:rPr>
        <w:t>Not applicable.</w:t>
      </w:r>
    </w:p>
    <w:p w:rsidR="00C618F7" w:rsidRDefault="00C618F7" w:rsidP="00281EA4">
      <w:pPr>
        <w:pStyle w:val="Heading3"/>
      </w:pPr>
      <w:bookmarkStart w:id="181" w:name="_Toc396903976"/>
      <w:r>
        <w:t>Efficacy</w:t>
      </w:r>
      <w:bookmarkEnd w:id="181"/>
    </w:p>
    <w:p w:rsidR="007307C7" w:rsidRPr="007307C7" w:rsidRDefault="007307C7" w:rsidP="00281EA4">
      <w:r w:rsidRPr="007307C7">
        <w:t xml:space="preserve">The </w:t>
      </w:r>
      <w:proofErr w:type="spellStart"/>
      <w:r w:rsidRPr="007307C7">
        <w:t>azelastine</w:t>
      </w:r>
      <w:proofErr w:type="spellEnd"/>
      <w:r w:rsidRPr="007307C7">
        <w:t xml:space="preserve"> and fluticasone monotherapy products used in </w:t>
      </w:r>
      <w:r>
        <w:t>S</w:t>
      </w:r>
      <w:r w:rsidRPr="007307C7">
        <w:t xml:space="preserve">tudies MP4002, MP4004 and MP4006 appear to be “in-house” formulations developed by the sponsor. Their efficacy compared to commercially available </w:t>
      </w:r>
      <w:proofErr w:type="spellStart"/>
      <w:r w:rsidRPr="007307C7">
        <w:t>azelastine</w:t>
      </w:r>
      <w:proofErr w:type="spellEnd"/>
      <w:r w:rsidRPr="007307C7">
        <w:t xml:space="preserve"> hydrochloride and fluticasone propionate monotherapy products has not been established. Can the sponsor provide a rationale for the use of these formulations in the studies rather than commercially available monotherapy products?</w:t>
      </w:r>
    </w:p>
    <w:p w:rsidR="00C618F7" w:rsidRDefault="00C618F7" w:rsidP="00281EA4">
      <w:pPr>
        <w:pStyle w:val="Heading3"/>
      </w:pPr>
      <w:bookmarkStart w:id="182" w:name="_Toc396903977"/>
      <w:r>
        <w:t>Safety</w:t>
      </w:r>
      <w:bookmarkEnd w:id="182"/>
    </w:p>
    <w:p w:rsidR="00C618F7" w:rsidRPr="00586F98" w:rsidRDefault="007307C7" w:rsidP="00281EA4">
      <w:pPr>
        <w:rPr>
          <w:lang w:eastAsia="ja-JP"/>
        </w:rPr>
      </w:pPr>
      <w:r>
        <w:rPr>
          <w:lang w:eastAsia="ja-JP"/>
        </w:rPr>
        <w:t>Not applicable.</w:t>
      </w:r>
    </w:p>
    <w:p w:rsidR="00C618F7" w:rsidRDefault="00C618F7" w:rsidP="00281EA4">
      <w:pPr>
        <w:pStyle w:val="Heading2"/>
      </w:pPr>
      <w:bookmarkStart w:id="183" w:name="_Toc396903978"/>
      <w:r>
        <w:t>References</w:t>
      </w:r>
      <w:bookmarkEnd w:id="183"/>
    </w:p>
    <w:p w:rsidR="007307C7" w:rsidRPr="007307C7" w:rsidRDefault="007307C7" w:rsidP="00281EA4">
      <w:r w:rsidRPr="007307C7">
        <w:t xml:space="preserve">ARIA (Allergic Rhinitis </w:t>
      </w:r>
      <w:proofErr w:type="gramStart"/>
      <w:r w:rsidRPr="007307C7">
        <w:t>And</w:t>
      </w:r>
      <w:proofErr w:type="gramEnd"/>
      <w:r w:rsidRPr="007307C7">
        <w:t xml:space="preserve"> Its Impact On A</w:t>
      </w:r>
      <w:r w:rsidR="00281EA4">
        <w:t>sthma) Guidelines; 2008 Update.</w:t>
      </w:r>
    </w:p>
    <w:p w:rsidR="007307C7" w:rsidRDefault="007307C7" w:rsidP="00281EA4">
      <w:r w:rsidRPr="007307C7">
        <w:t xml:space="preserve">ARIA (Allergic Rhinitis </w:t>
      </w:r>
      <w:proofErr w:type="gramStart"/>
      <w:r w:rsidRPr="007307C7">
        <w:t>And</w:t>
      </w:r>
      <w:proofErr w:type="gramEnd"/>
      <w:r w:rsidRPr="007307C7">
        <w:t xml:space="preserve"> Its Impact On Ast</w:t>
      </w:r>
      <w:r w:rsidR="00281EA4">
        <w:t>hma) Guidelines; 2010 Revision.</w:t>
      </w:r>
    </w:p>
    <w:p w:rsidR="007307C7" w:rsidRPr="007307C7" w:rsidRDefault="007307C7" w:rsidP="00281EA4">
      <w:proofErr w:type="gramStart"/>
      <w:r w:rsidRPr="007307C7">
        <w:t xml:space="preserve">Bryson HM, </w:t>
      </w:r>
      <w:proofErr w:type="spellStart"/>
      <w:r w:rsidRPr="007307C7">
        <w:t>Faulds</w:t>
      </w:r>
      <w:proofErr w:type="spellEnd"/>
      <w:r w:rsidRPr="007307C7">
        <w:t xml:space="preserve"> D; Intranasal fluticasone propionate.</w:t>
      </w:r>
      <w:proofErr w:type="gramEnd"/>
      <w:r w:rsidRPr="007307C7">
        <w:t xml:space="preserve"> </w:t>
      </w:r>
      <w:proofErr w:type="gramStart"/>
      <w:r w:rsidRPr="007307C7">
        <w:t xml:space="preserve">A review of its </w:t>
      </w:r>
      <w:proofErr w:type="spellStart"/>
      <w:r w:rsidRPr="007307C7">
        <w:t>pharmacodynamic</w:t>
      </w:r>
      <w:proofErr w:type="spellEnd"/>
      <w:r w:rsidRPr="007307C7">
        <w:t xml:space="preserve"> and pharmacokinetic properties and therapeutic potential in allergic rhinitis.</w:t>
      </w:r>
      <w:proofErr w:type="gramEnd"/>
      <w:r w:rsidRPr="007307C7">
        <w:t xml:space="preserve"> </w:t>
      </w:r>
      <w:proofErr w:type="gramStart"/>
      <w:r w:rsidRPr="007307C7">
        <w:t>Drugs.</w:t>
      </w:r>
      <w:proofErr w:type="gramEnd"/>
      <w:r w:rsidRPr="007307C7">
        <w:t xml:space="preserve"> 1992 May; 43(5): 760-75.</w:t>
      </w:r>
    </w:p>
    <w:p w:rsidR="007307C7" w:rsidRPr="007307C7" w:rsidRDefault="007307C7" w:rsidP="00281EA4">
      <w:proofErr w:type="gramStart"/>
      <w:r w:rsidRPr="007307C7">
        <w:t>European Medicines Agency.</w:t>
      </w:r>
      <w:proofErr w:type="gramEnd"/>
      <w:r w:rsidRPr="007307C7">
        <w:t xml:space="preserve"> Clinical Requirements For Locally Applied, Locally Acting Products, Containing Known Constituents (pp 381 – 391 of R</w:t>
      </w:r>
      <w:r w:rsidR="00281EA4">
        <w:t>ules 1998 (3C) – 3CC29a); 1996.</w:t>
      </w:r>
    </w:p>
    <w:p w:rsidR="007307C7" w:rsidRPr="007307C7" w:rsidRDefault="007307C7" w:rsidP="00281EA4">
      <w:proofErr w:type="gramStart"/>
      <w:r w:rsidRPr="007307C7">
        <w:t>European Medicines Agency.</w:t>
      </w:r>
      <w:proofErr w:type="gramEnd"/>
      <w:r w:rsidRPr="007307C7">
        <w:t xml:space="preserve"> </w:t>
      </w:r>
      <w:proofErr w:type="gramStart"/>
      <w:r w:rsidRPr="007307C7">
        <w:t>De</w:t>
      </w:r>
      <w:r w:rsidR="00281EA4">
        <w:t>cision P/82/2011.</w:t>
      </w:r>
      <w:proofErr w:type="gramEnd"/>
      <w:r w:rsidR="00281EA4">
        <w:t xml:space="preserve"> 6 April 2011.</w:t>
      </w:r>
    </w:p>
    <w:p w:rsidR="007307C7" w:rsidRPr="007307C7" w:rsidRDefault="007307C7" w:rsidP="00281EA4">
      <w:proofErr w:type="gramStart"/>
      <w:r>
        <w:t>E</w:t>
      </w:r>
      <w:r w:rsidRPr="007307C7">
        <w:t>uropean Medicines Agency.</w:t>
      </w:r>
      <w:proofErr w:type="gramEnd"/>
      <w:r w:rsidRPr="007307C7">
        <w:t xml:space="preserve"> Guideline </w:t>
      </w:r>
      <w:proofErr w:type="gramStart"/>
      <w:r w:rsidRPr="007307C7">
        <w:t>On</w:t>
      </w:r>
      <w:proofErr w:type="gramEnd"/>
      <w:r w:rsidRPr="007307C7">
        <w:t xml:space="preserve"> Clinical Development Of Fixed Combination Medicinal Products </w:t>
      </w:r>
      <w:r w:rsidR="00281EA4">
        <w:t>(CPMP/EWP/240/95/Rev. 1); 2009.</w:t>
      </w:r>
    </w:p>
    <w:p w:rsidR="007307C7" w:rsidRDefault="007307C7" w:rsidP="00281EA4">
      <w:proofErr w:type="gramStart"/>
      <w:r w:rsidRPr="007307C7">
        <w:t>European Medicines Agency.</w:t>
      </w:r>
      <w:proofErr w:type="gramEnd"/>
      <w:r w:rsidRPr="007307C7">
        <w:t xml:space="preserve"> Guideline </w:t>
      </w:r>
      <w:proofErr w:type="gramStart"/>
      <w:r w:rsidRPr="007307C7">
        <w:t>On</w:t>
      </w:r>
      <w:proofErr w:type="gramEnd"/>
      <w:r w:rsidRPr="007307C7">
        <w:t xml:space="preserve"> The Clinical Development Of Medicinal Products For The Treatment Of Allergic </w:t>
      </w:r>
      <w:proofErr w:type="spellStart"/>
      <w:r w:rsidRPr="007307C7">
        <w:t>Rhinoconjuncti</w:t>
      </w:r>
      <w:r w:rsidR="00281EA4">
        <w:t>vitis</w:t>
      </w:r>
      <w:proofErr w:type="spellEnd"/>
      <w:r w:rsidR="00281EA4">
        <w:t xml:space="preserve"> (CHMP/EWP/2455/02); 2005.</w:t>
      </w:r>
    </w:p>
    <w:p w:rsidR="007307C7" w:rsidRPr="007307C7" w:rsidRDefault="007307C7" w:rsidP="00281EA4">
      <w:proofErr w:type="spellStart"/>
      <w:r w:rsidRPr="007307C7">
        <w:t>Meda</w:t>
      </w:r>
      <w:proofErr w:type="spellEnd"/>
      <w:r w:rsidRPr="007307C7">
        <w:t xml:space="preserve"> AB.</w:t>
      </w:r>
      <w:r w:rsidR="00281EA4">
        <w:t xml:space="preserve"> Press release 24 January 2013.</w:t>
      </w:r>
    </w:p>
    <w:p w:rsidR="007307C7" w:rsidRPr="007307C7" w:rsidRDefault="007307C7" w:rsidP="00281EA4">
      <w:r w:rsidRPr="007307C7">
        <w:lastRenderedPageBreak/>
        <w:t xml:space="preserve">Walls RS, Heddle RJ, Tang MLK, et al. </w:t>
      </w:r>
      <w:proofErr w:type="gramStart"/>
      <w:r w:rsidRPr="007307C7">
        <w:t>Optimising</w:t>
      </w:r>
      <w:proofErr w:type="gramEnd"/>
      <w:r w:rsidRPr="007307C7">
        <w:t xml:space="preserve"> the management of allergic rhinitis: an Aus</w:t>
      </w:r>
      <w:r>
        <w:t>t</w:t>
      </w:r>
      <w:r w:rsidRPr="007307C7">
        <w:t xml:space="preserve">ralian perspective. Med J </w:t>
      </w:r>
      <w:proofErr w:type="spellStart"/>
      <w:r w:rsidRPr="007307C7">
        <w:t>Aust</w:t>
      </w:r>
      <w:proofErr w:type="spellEnd"/>
      <w:r w:rsidRPr="007307C7">
        <w:t xml:space="preserve"> 2005; 182:28-33.</w:t>
      </w:r>
    </w:p>
    <w:p w:rsidR="003D1E62" w:rsidRPr="001D043B" w:rsidRDefault="007307C7" w:rsidP="00281EA4">
      <w:pPr>
        <w:sectPr w:rsidR="003D1E62" w:rsidRPr="001D043B" w:rsidSect="008D770F">
          <w:headerReference w:type="even" r:id="rId15"/>
          <w:headerReference w:type="default" r:id="rId16"/>
          <w:footerReference w:type="default" r:id="rId17"/>
          <w:headerReference w:type="first" r:id="rId18"/>
          <w:footerReference w:type="first" r:id="rId19"/>
          <w:pgSz w:w="11906" w:h="16838" w:code="9"/>
          <w:pgMar w:top="1440" w:right="1440" w:bottom="1440" w:left="1440" w:header="907" w:footer="216" w:gutter="0"/>
          <w:cols w:space="708"/>
          <w:docGrid w:linePitch="360"/>
        </w:sectPr>
      </w:pPr>
      <w:r w:rsidRPr="007307C7">
        <w:t xml:space="preserve">Wiseman LR, Benfield P. Intranasal fluticasone propionate. </w:t>
      </w:r>
      <w:proofErr w:type="gramStart"/>
      <w:r w:rsidRPr="007307C7">
        <w:t>A reappraisal of its pharmacology and clinical efficacy in the treatment of rhinitis.</w:t>
      </w:r>
      <w:proofErr w:type="gramEnd"/>
      <w:r w:rsidRPr="007307C7">
        <w:t xml:space="preserve"> </w:t>
      </w:r>
      <w:proofErr w:type="gramStart"/>
      <w:r w:rsidRPr="007307C7">
        <w:t>Drugs.</w:t>
      </w:r>
      <w:proofErr w:type="gramEnd"/>
      <w:r w:rsidRPr="007307C7">
        <w:t xml:space="preserve"> 1997 May; 53(5): 885-907.</w:t>
      </w:r>
      <w:r w:rsidR="00C618F7" w:rsidRPr="007307C7">
        <w:t>]</w:t>
      </w:r>
      <w:bookmarkEnd w:id="1"/>
      <w:bookmarkEnd w:id="2"/>
      <w:bookmarkEnd w:id="3"/>
      <w:r w:rsidR="00281EA4">
        <w:t>.</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D0093C">
        <w:trPr>
          <w:trHeight w:hRule="exact" w:val="564"/>
        </w:trPr>
        <w:tc>
          <w:tcPr>
            <w:tcW w:w="9175" w:type="dxa"/>
          </w:tcPr>
          <w:p w:rsidR="00B3567E" w:rsidRPr="00487162" w:rsidRDefault="00B3567E" w:rsidP="00D0093C">
            <w:pPr>
              <w:pStyle w:val="TGASignoff"/>
            </w:pPr>
            <w:r w:rsidRPr="00487162">
              <w:lastRenderedPageBreak/>
              <w:t>Therapeutic Goods Administration</w:t>
            </w:r>
          </w:p>
        </w:tc>
      </w:tr>
      <w:tr w:rsidR="00B3567E" w:rsidRPr="00487162" w:rsidTr="00D0093C">
        <w:trPr>
          <w:trHeight w:val="1221"/>
        </w:trPr>
        <w:tc>
          <w:tcPr>
            <w:tcW w:w="9175" w:type="dxa"/>
            <w:tcMar>
              <w:top w:w="28" w:type="dxa"/>
            </w:tcMar>
          </w:tcPr>
          <w:p w:rsidR="00B3567E" w:rsidRPr="00487162" w:rsidRDefault="00B3567E" w:rsidP="00D0093C">
            <w:pPr>
              <w:pStyle w:val="Address"/>
            </w:pPr>
            <w:r w:rsidRPr="00487162">
              <w:t>PO Box 100 Woden ACT 2606 Australia</w:t>
            </w:r>
          </w:p>
          <w:p w:rsidR="00B3567E" w:rsidRPr="00487162" w:rsidRDefault="00B3567E" w:rsidP="00D0093C">
            <w:pPr>
              <w:pStyle w:val="Address"/>
            </w:pPr>
            <w:r w:rsidRPr="00487162">
              <w:t xml:space="preserve">Email: </w:t>
            </w:r>
            <w:hyperlink r:id="rId20" w:history="1">
              <w:r w:rsidRPr="008D770F">
                <w:rPr>
                  <w:rStyle w:val="Hyperlink"/>
                </w:rPr>
                <w:t>info@tga.gov.au</w:t>
              </w:r>
            </w:hyperlink>
            <w:r w:rsidR="007307C7">
              <w:t xml:space="preserve"> </w:t>
            </w:r>
            <w:r w:rsidRPr="00487162">
              <w:t>Phone: 1800 020 653</w:t>
            </w:r>
            <w:r w:rsidR="007307C7">
              <w:t xml:space="preserve"> </w:t>
            </w:r>
            <w:r w:rsidRPr="00487162">
              <w:t>Fax: 02 6232 8605</w:t>
            </w:r>
          </w:p>
          <w:p w:rsidR="00B3567E" w:rsidRPr="008D770F" w:rsidRDefault="005346C7" w:rsidP="00D0093C">
            <w:pPr>
              <w:pStyle w:val="Address"/>
              <w:spacing w:line="260" w:lineRule="atLeast"/>
              <w:rPr>
                <w:b/>
                <w:color w:val="0000FF"/>
                <w:u w:val="single"/>
              </w:rPr>
            </w:pPr>
            <w:hyperlink r:id="rId21"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6C7" w:rsidRDefault="005346C7" w:rsidP="00C40A36">
      <w:pPr>
        <w:spacing w:after="0"/>
      </w:pPr>
      <w:r>
        <w:separator/>
      </w:r>
    </w:p>
  </w:endnote>
  <w:endnote w:type="continuationSeparator" w:id="0">
    <w:p w:rsidR="005346C7" w:rsidRDefault="005346C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91493B" w:rsidRPr="00487162" w:rsidTr="0053625B">
      <w:trPr>
        <w:trHeight w:val="269"/>
      </w:trPr>
      <w:tc>
        <w:tcPr>
          <w:tcW w:w="7938" w:type="dxa"/>
          <w:tcMar>
            <w:top w:w="142" w:type="dxa"/>
            <w:bottom w:w="0" w:type="dxa"/>
          </w:tcMar>
        </w:tcPr>
        <w:p w:rsidR="0091493B" w:rsidRPr="00487162" w:rsidRDefault="0091493B" w:rsidP="00CD10C3">
          <w:pPr>
            <w:pStyle w:val="Footer"/>
          </w:pPr>
          <w:r>
            <w:t>Submission</w:t>
          </w:r>
          <w:r w:rsidRPr="00487162">
            <w:t xml:space="preserve"> PM-20</w:t>
          </w:r>
          <w:r>
            <w:t xml:space="preserve">12-03466-1-5 Extract from the Clinical Evaluation Report for Fluticasone propionate and </w:t>
          </w:r>
          <w:proofErr w:type="spellStart"/>
          <w:r>
            <w:t>azelastine</w:t>
          </w:r>
          <w:proofErr w:type="spellEnd"/>
          <w:r>
            <w:t xml:space="preserve"> hydrochloride – </w:t>
          </w:r>
          <w:proofErr w:type="spellStart"/>
          <w:r>
            <w:t>Dymista</w:t>
          </w:r>
          <w:proofErr w:type="spellEnd"/>
          <w:r>
            <w:t>/</w:t>
          </w:r>
          <w:proofErr w:type="spellStart"/>
          <w:r>
            <w:t>Dylastine</w:t>
          </w:r>
          <w:proofErr w:type="spellEnd"/>
          <w:r>
            <w:t xml:space="preserve"> </w:t>
          </w:r>
          <w:proofErr w:type="spellStart"/>
          <w:r>
            <w:t>Meda</w:t>
          </w:r>
          <w:proofErr w:type="spellEnd"/>
          <w:r>
            <w:t xml:space="preserve"> Pharmaceuticals Pty Ltd</w:t>
          </w:r>
        </w:p>
      </w:tc>
      <w:tc>
        <w:tcPr>
          <w:tcW w:w="923" w:type="dxa"/>
          <w:tcMar>
            <w:top w:w="142" w:type="dxa"/>
            <w:bottom w:w="0" w:type="dxa"/>
          </w:tcMar>
        </w:tcPr>
        <w:p w:rsidR="0091493B" w:rsidRPr="00487162" w:rsidRDefault="0091493B" w:rsidP="00D855D4">
          <w:pPr>
            <w:pStyle w:val="Footer"/>
            <w:jc w:val="right"/>
          </w:pPr>
          <w:r w:rsidRPr="00487162">
            <w:t xml:space="preserve">Page </w:t>
          </w:r>
          <w:r>
            <w:t>2</w:t>
          </w:r>
          <w:r w:rsidRPr="00487162">
            <w:t xml:space="preserve"> of </w:t>
          </w:r>
          <w:r w:rsidR="005346C7">
            <w:fldChar w:fldCharType="begin"/>
          </w:r>
          <w:r w:rsidR="005346C7">
            <w:instrText xml:space="preserve"> NUMPAGES  \* Arabic </w:instrText>
          </w:r>
          <w:r w:rsidR="005346C7">
            <w:fldChar w:fldCharType="separate"/>
          </w:r>
          <w:r w:rsidR="001B6ACC">
            <w:rPr>
              <w:noProof/>
            </w:rPr>
            <w:t>32</w:t>
          </w:r>
          <w:r w:rsidR="005346C7">
            <w:rPr>
              <w:noProof/>
            </w:rPr>
            <w:fldChar w:fldCharType="end"/>
          </w:r>
        </w:p>
      </w:tc>
    </w:tr>
  </w:tbl>
  <w:p w:rsidR="0091493B" w:rsidRDefault="0091493B"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91493B" w:rsidRPr="00487162" w:rsidTr="00586F98">
      <w:trPr>
        <w:trHeight w:val="269"/>
      </w:trPr>
      <w:tc>
        <w:tcPr>
          <w:tcW w:w="7655" w:type="dxa"/>
          <w:tcMar>
            <w:top w:w="142" w:type="dxa"/>
            <w:bottom w:w="0" w:type="dxa"/>
          </w:tcMar>
        </w:tcPr>
        <w:p w:rsidR="0091493B" w:rsidRPr="00487162" w:rsidRDefault="0091493B" w:rsidP="00D855D4">
          <w:pPr>
            <w:pStyle w:val="Footer"/>
          </w:pPr>
          <w:r w:rsidRPr="007307C7">
            <w:t xml:space="preserve">Submission PM-2012-03466-1-5 Extract from the Clinical Evaluation Report for Fluticasone propionate and </w:t>
          </w:r>
          <w:proofErr w:type="spellStart"/>
          <w:r w:rsidRPr="007307C7">
            <w:t>azelastine</w:t>
          </w:r>
          <w:proofErr w:type="spellEnd"/>
          <w:r w:rsidRPr="007307C7">
            <w:t xml:space="preserve"> hydrochloride – </w:t>
          </w:r>
          <w:proofErr w:type="spellStart"/>
          <w:r w:rsidRPr="007307C7">
            <w:t>Dymista</w:t>
          </w:r>
          <w:proofErr w:type="spellEnd"/>
          <w:r w:rsidRPr="007307C7">
            <w:t>/</w:t>
          </w:r>
          <w:proofErr w:type="spellStart"/>
          <w:r w:rsidRPr="007307C7">
            <w:t>Dylastine</w:t>
          </w:r>
          <w:proofErr w:type="spellEnd"/>
          <w:r w:rsidRPr="007307C7">
            <w:t xml:space="preserve"> </w:t>
          </w:r>
          <w:proofErr w:type="spellStart"/>
          <w:r w:rsidRPr="007307C7">
            <w:t>Meda</w:t>
          </w:r>
          <w:proofErr w:type="spellEnd"/>
          <w:r w:rsidRPr="007307C7">
            <w:t xml:space="preserve"> Pharmaceuticals Pty Ltd</w:t>
          </w:r>
        </w:p>
      </w:tc>
      <w:tc>
        <w:tcPr>
          <w:tcW w:w="1206" w:type="dxa"/>
          <w:tcMar>
            <w:top w:w="142" w:type="dxa"/>
            <w:bottom w:w="0" w:type="dxa"/>
          </w:tcMar>
        </w:tcPr>
        <w:p w:rsidR="0091493B" w:rsidRPr="00487162" w:rsidRDefault="0091493B" w:rsidP="00E45619">
          <w:pPr>
            <w:pStyle w:val="Footer"/>
            <w:jc w:val="right"/>
          </w:pPr>
          <w:r w:rsidRPr="00487162">
            <w:t xml:space="preserve">Page </w:t>
          </w:r>
          <w:r>
            <w:fldChar w:fldCharType="begin"/>
          </w:r>
          <w:r>
            <w:instrText>PAGE</w:instrText>
          </w:r>
          <w:r>
            <w:fldChar w:fldCharType="separate"/>
          </w:r>
          <w:r w:rsidR="001B6ACC">
            <w:rPr>
              <w:noProof/>
            </w:rPr>
            <w:t>3</w:t>
          </w:r>
          <w:r>
            <w:rPr>
              <w:noProof/>
            </w:rPr>
            <w:fldChar w:fldCharType="end"/>
          </w:r>
          <w:r w:rsidRPr="00487162">
            <w:t xml:space="preserve"> of </w:t>
          </w:r>
          <w:r w:rsidR="005346C7">
            <w:fldChar w:fldCharType="begin"/>
          </w:r>
          <w:r w:rsidR="005346C7">
            <w:instrText xml:space="preserve"> NUMPAGES  \* Arabic </w:instrText>
          </w:r>
          <w:r w:rsidR="005346C7">
            <w:fldChar w:fldCharType="separate"/>
          </w:r>
          <w:r w:rsidR="001B6ACC">
            <w:rPr>
              <w:noProof/>
            </w:rPr>
            <w:t>32</w:t>
          </w:r>
          <w:r w:rsidR="005346C7">
            <w:rPr>
              <w:noProof/>
            </w:rPr>
            <w:fldChar w:fldCharType="end"/>
          </w:r>
        </w:p>
      </w:tc>
    </w:tr>
  </w:tbl>
  <w:p w:rsidR="0091493B" w:rsidRDefault="0091493B"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1493B" w:rsidRPr="00487162" w:rsidTr="00E45619">
      <w:trPr>
        <w:trHeight w:val="269"/>
      </w:trPr>
      <w:tc>
        <w:tcPr>
          <w:tcW w:w="4519" w:type="dxa"/>
          <w:tcBorders>
            <w:top w:val="single" w:sz="4" w:space="0" w:color="auto"/>
          </w:tcBorders>
          <w:tcMar>
            <w:top w:w="142" w:type="dxa"/>
            <w:bottom w:w="0" w:type="dxa"/>
          </w:tcMar>
        </w:tcPr>
        <w:p w:rsidR="0091493B" w:rsidRPr="00487162" w:rsidRDefault="0091493B" w:rsidP="00FE1DEE">
          <w:pPr>
            <w:pStyle w:val="Footer"/>
          </w:pPr>
          <w:r w:rsidRPr="00487162">
            <w:t>Document title, Part #, Section # - Section title</w:t>
          </w:r>
        </w:p>
        <w:p w:rsidR="0091493B" w:rsidRPr="00487162" w:rsidRDefault="0091493B" w:rsidP="00FE1DEE">
          <w:pPr>
            <w:pStyle w:val="Footer"/>
          </w:pPr>
          <w:r w:rsidRPr="00487162">
            <w:t>V1.0 October 2010</w:t>
          </w:r>
        </w:p>
      </w:tc>
      <w:tc>
        <w:tcPr>
          <w:tcW w:w="4342" w:type="dxa"/>
          <w:tcBorders>
            <w:top w:val="single" w:sz="4" w:space="0" w:color="auto"/>
          </w:tcBorders>
          <w:tcMar>
            <w:top w:w="142" w:type="dxa"/>
            <w:bottom w:w="0" w:type="dxa"/>
          </w:tcMar>
        </w:tcPr>
        <w:p w:rsidR="0091493B" w:rsidRPr="00487162" w:rsidRDefault="0091493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5346C7">
            <w:fldChar w:fldCharType="begin"/>
          </w:r>
          <w:r w:rsidR="005346C7">
            <w:instrText xml:space="preserve"> NUMPAGES  </w:instrText>
          </w:r>
          <w:r w:rsidR="005346C7">
            <w:fldChar w:fldCharType="separate"/>
          </w:r>
          <w:r>
            <w:rPr>
              <w:noProof/>
            </w:rPr>
            <w:t>2</w:t>
          </w:r>
          <w:r w:rsidR="005346C7">
            <w:rPr>
              <w:noProof/>
            </w:rPr>
            <w:fldChar w:fldCharType="end"/>
          </w:r>
        </w:p>
      </w:tc>
    </w:tr>
  </w:tbl>
  <w:p w:rsidR="0091493B" w:rsidRDefault="009149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1493B" w:rsidTr="0010601F">
      <w:trPr>
        <w:trHeight w:val="108"/>
      </w:trPr>
      <w:tc>
        <w:tcPr>
          <w:tcW w:w="8875" w:type="dxa"/>
          <w:gridSpan w:val="2"/>
          <w:tcBorders>
            <w:bottom w:val="single" w:sz="4" w:space="0" w:color="auto"/>
          </w:tcBorders>
          <w:tcMar>
            <w:right w:w="284" w:type="dxa"/>
          </w:tcMar>
        </w:tcPr>
        <w:p w:rsidR="0091493B" w:rsidRDefault="0091493B" w:rsidP="006E08B3">
          <w:pPr>
            <w:pStyle w:val="Heading3"/>
          </w:pPr>
          <w:r>
            <w:t>Copyright</w:t>
          </w:r>
        </w:p>
        <w:p w:rsidR="0091493B" w:rsidRDefault="0091493B" w:rsidP="006E08B3">
          <w:r>
            <w:rPr>
              <w:rFonts w:cs="Arial"/>
            </w:rPr>
            <w:t>©</w:t>
          </w:r>
          <w:r>
            <w:t xml:space="preserve"> Commonwealth of Australia [add year]</w:t>
          </w:r>
        </w:p>
        <w:p w:rsidR="0091493B" w:rsidRDefault="0091493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91493B" w:rsidRDefault="0091493B" w:rsidP="006E08B3">
          <w:pPr>
            <w:pStyle w:val="Heading3"/>
          </w:pPr>
          <w:r>
            <w:t>Confidentiality</w:t>
          </w:r>
        </w:p>
        <w:p w:rsidR="0091493B" w:rsidRDefault="0091493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91493B" w:rsidRDefault="0091493B" w:rsidP="006E08B3">
          <w:r>
            <w:t>For submission made by individuals, all personal details, other than your name, will be removed from your submission before it is published on the TGA’s Internet site.</w:t>
          </w:r>
        </w:p>
        <w:p w:rsidR="0091493B" w:rsidRDefault="0091493B" w:rsidP="006E08B3">
          <w:r>
            <w:t>In addition, a list of parties making submissions will be published. If you do not wish to be identified with your submission you must specifically request this in the space provided in the submission coversheet.</w:t>
          </w:r>
        </w:p>
      </w:tc>
    </w:tr>
    <w:tr w:rsidR="0091493B" w:rsidTr="0010601F">
      <w:trPr>
        <w:trHeight w:val="417"/>
      </w:trPr>
      <w:tc>
        <w:tcPr>
          <w:tcW w:w="4519" w:type="dxa"/>
          <w:tcBorders>
            <w:top w:val="single" w:sz="4" w:space="0" w:color="auto"/>
          </w:tcBorders>
          <w:tcMar>
            <w:top w:w="142" w:type="dxa"/>
            <w:bottom w:w="0" w:type="dxa"/>
          </w:tcMar>
        </w:tcPr>
        <w:p w:rsidR="0091493B" w:rsidRDefault="0091493B" w:rsidP="006E08B3">
          <w:r>
            <w:t>Document title, Part #, Section # - Section title</w:t>
          </w:r>
        </w:p>
        <w:p w:rsidR="0091493B" w:rsidRDefault="0091493B" w:rsidP="006E08B3">
          <w:r>
            <w:t>V1.0 October 2010</w:t>
          </w:r>
        </w:p>
      </w:tc>
      <w:tc>
        <w:tcPr>
          <w:tcW w:w="4356" w:type="dxa"/>
          <w:tcBorders>
            <w:top w:val="single" w:sz="4" w:space="0" w:color="auto"/>
          </w:tcBorders>
          <w:tcMar>
            <w:top w:w="142" w:type="dxa"/>
            <w:bottom w:w="0" w:type="dxa"/>
          </w:tcMar>
        </w:tcPr>
        <w:p w:rsidR="0091493B" w:rsidRDefault="0091493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346C7">
            <w:fldChar w:fldCharType="begin"/>
          </w:r>
          <w:r w:rsidR="005346C7">
            <w:instrText xml:space="preserve"> NUMPAGES  \* Arabic </w:instrText>
          </w:r>
          <w:r w:rsidR="005346C7">
            <w:fldChar w:fldCharType="separate"/>
          </w:r>
          <w:r>
            <w:rPr>
              <w:noProof/>
            </w:rPr>
            <w:t>2</w:t>
          </w:r>
          <w:r w:rsidR="005346C7">
            <w:rPr>
              <w:noProof/>
            </w:rPr>
            <w:fldChar w:fldCharType="end"/>
          </w:r>
          <w:r>
            <w:t xml:space="preserve"> </w:t>
          </w:r>
        </w:p>
      </w:tc>
    </w:tr>
  </w:tbl>
  <w:p w:rsidR="0091493B" w:rsidRDefault="009149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6C7" w:rsidRDefault="005346C7" w:rsidP="00C40A36">
      <w:pPr>
        <w:spacing w:after="0"/>
      </w:pPr>
      <w:r>
        <w:separator/>
      </w:r>
    </w:p>
  </w:footnote>
  <w:footnote w:type="continuationSeparator" w:id="0">
    <w:p w:rsidR="005346C7" w:rsidRDefault="005346C7" w:rsidP="00C40A36">
      <w:pPr>
        <w:spacing w:after="0"/>
      </w:pPr>
      <w:r>
        <w:continuationSeparator/>
      </w:r>
    </w:p>
  </w:footnote>
  <w:footnote w:id="1">
    <w:p w:rsidR="0091493B" w:rsidRPr="00EC23F4" w:rsidRDefault="0091493B">
      <w:pPr>
        <w:pStyle w:val="FootnoteText"/>
        <w:rPr>
          <w:szCs w:val="18"/>
        </w:rPr>
      </w:pPr>
      <w:r>
        <w:rPr>
          <w:rStyle w:val="FootnoteReference"/>
        </w:rPr>
        <w:footnoteRef/>
      </w:r>
      <w:r>
        <w:t xml:space="preserve"> </w:t>
      </w:r>
      <w:r w:rsidRPr="00EC23F4">
        <w:rPr>
          <w:szCs w:val="18"/>
        </w:rPr>
        <w:t xml:space="preserve">Walls RS, Heddle RJ, Tang MLK, et al. </w:t>
      </w:r>
      <w:proofErr w:type="gramStart"/>
      <w:r w:rsidRPr="00EC23F4">
        <w:rPr>
          <w:szCs w:val="18"/>
        </w:rPr>
        <w:t>Optimising</w:t>
      </w:r>
      <w:proofErr w:type="gramEnd"/>
      <w:r w:rsidRPr="00EC23F4">
        <w:rPr>
          <w:szCs w:val="18"/>
        </w:rPr>
        <w:t xml:space="preserve"> the management of allergic rhinitis: an Australian perspective. Med J </w:t>
      </w:r>
      <w:proofErr w:type="spellStart"/>
      <w:r w:rsidRPr="00EC23F4">
        <w:rPr>
          <w:szCs w:val="18"/>
        </w:rPr>
        <w:t>Aust</w:t>
      </w:r>
      <w:proofErr w:type="spellEnd"/>
      <w:r w:rsidRPr="00EC23F4">
        <w:rPr>
          <w:szCs w:val="18"/>
        </w:rPr>
        <w:t xml:space="preserve"> 2005; 182:28-33.</w:t>
      </w:r>
    </w:p>
  </w:footnote>
  <w:footnote w:id="2">
    <w:p w:rsidR="0091493B" w:rsidRPr="00EC23F4" w:rsidRDefault="0091493B">
      <w:pPr>
        <w:pStyle w:val="FootnoteText"/>
        <w:rPr>
          <w:szCs w:val="18"/>
        </w:rPr>
      </w:pPr>
      <w:r w:rsidRPr="00EC23F4">
        <w:rPr>
          <w:rStyle w:val="FootnoteReference"/>
          <w:szCs w:val="18"/>
        </w:rPr>
        <w:footnoteRef/>
      </w:r>
      <w:r w:rsidRPr="00EC23F4">
        <w:rPr>
          <w:szCs w:val="18"/>
        </w:rPr>
        <w:t xml:space="preserve"> ARIA (Allergic Rhinitis </w:t>
      </w:r>
      <w:proofErr w:type="gramStart"/>
      <w:r w:rsidRPr="00EC23F4">
        <w:rPr>
          <w:szCs w:val="18"/>
        </w:rPr>
        <w:t>And</w:t>
      </w:r>
      <w:proofErr w:type="gramEnd"/>
      <w:r w:rsidRPr="00EC23F4">
        <w:rPr>
          <w:szCs w:val="18"/>
        </w:rPr>
        <w:t xml:space="preserve"> Its Impact On Asthma) Guidelines; 2008 Update. Available from: </w:t>
      </w:r>
      <w:r w:rsidR="00D43979">
        <w:rPr>
          <w:szCs w:val="18"/>
        </w:rPr>
        <w:t>&lt;</w:t>
      </w:r>
      <w:r w:rsidRPr="00D43979">
        <w:rPr>
          <w:szCs w:val="18"/>
        </w:rPr>
        <w:t>http://www.whiar.org</w:t>
      </w:r>
      <w:r w:rsidR="00D43979">
        <w:rPr>
          <w:szCs w:val="18"/>
        </w:rPr>
        <w:t>&gt;</w:t>
      </w:r>
      <w:r w:rsidRPr="00EC23F4">
        <w:rPr>
          <w:szCs w:val="18"/>
        </w:rPr>
        <w:t xml:space="preserve">); ARIA (Allergic Rhinitis </w:t>
      </w:r>
      <w:proofErr w:type="gramStart"/>
      <w:r w:rsidRPr="00EC23F4">
        <w:rPr>
          <w:szCs w:val="18"/>
        </w:rPr>
        <w:t>And Its Impact On</w:t>
      </w:r>
      <w:proofErr w:type="gramEnd"/>
      <w:r w:rsidRPr="00EC23F4">
        <w:rPr>
          <w:szCs w:val="18"/>
        </w:rPr>
        <w:t xml:space="preserve"> Asthma) Guidelines; 2010 Revision. Available from: </w:t>
      </w:r>
      <w:r w:rsidR="00D43979">
        <w:rPr>
          <w:szCs w:val="18"/>
        </w:rPr>
        <w:t>&lt;</w:t>
      </w:r>
      <w:r w:rsidRPr="00EC23F4">
        <w:rPr>
          <w:szCs w:val="18"/>
        </w:rPr>
        <w:t>http://www.whiar.org</w:t>
      </w:r>
      <w:r w:rsidR="00D43979">
        <w:rPr>
          <w:szCs w:val="18"/>
        </w:rPr>
        <w:t>&gt;</w:t>
      </w:r>
      <w:r w:rsidRPr="00EC23F4">
        <w:rPr>
          <w:szCs w:val="18"/>
        </w:rPr>
        <w:t>).</w:t>
      </w:r>
    </w:p>
  </w:footnote>
  <w:footnote w:id="3">
    <w:p w:rsidR="0091493B" w:rsidRPr="0091493B" w:rsidRDefault="0091493B" w:rsidP="0091493B">
      <w:pPr>
        <w:pStyle w:val="FootnoteText"/>
      </w:pPr>
      <w:r w:rsidRPr="002C66D7">
        <w:rPr>
          <w:rStyle w:val="FootnoteReference"/>
        </w:rPr>
        <w:footnoteRef/>
      </w:r>
      <w:r w:rsidRPr="0091493B">
        <w:t xml:space="preserve"> </w:t>
      </w:r>
      <w:proofErr w:type="gramStart"/>
      <w:r w:rsidRPr="0091493B">
        <w:t>European Medicines Agency.</w:t>
      </w:r>
      <w:proofErr w:type="gramEnd"/>
      <w:r w:rsidRPr="0091493B">
        <w:t xml:space="preserve"> Guideline </w:t>
      </w:r>
      <w:proofErr w:type="gramStart"/>
      <w:r w:rsidRPr="0091493B">
        <w:t>On</w:t>
      </w:r>
      <w:proofErr w:type="gramEnd"/>
      <w:r w:rsidRPr="0091493B">
        <w:t xml:space="preserve"> The Clinical Development Of Medicinal Products For The Treatment Of Allergic </w:t>
      </w:r>
      <w:proofErr w:type="spellStart"/>
      <w:r w:rsidRPr="0091493B">
        <w:t>Rhinoconjunctivitis</w:t>
      </w:r>
      <w:proofErr w:type="spellEnd"/>
      <w:r w:rsidRPr="0091493B">
        <w:t xml:space="preserve"> (CHMP/EWP/2455/02); 2005.</w:t>
      </w:r>
    </w:p>
  </w:footnote>
  <w:footnote w:id="4">
    <w:p w:rsidR="0091493B" w:rsidRPr="0091493B" w:rsidRDefault="0091493B" w:rsidP="0091493B">
      <w:pPr>
        <w:pStyle w:val="FootnoteText"/>
      </w:pPr>
      <w:r w:rsidRPr="002C66D7">
        <w:rPr>
          <w:rStyle w:val="FootnoteReference"/>
        </w:rPr>
        <w:footnoteRef/>
      </w:r>
      <w:r w:rsidRPr="0091493B">
        <w:t xml:space="preserve"> </w:t>
      </w:r>
      <w:proofErr w:type="gramStart"/>
      <w:r w:rsidRPr="0091493B">
        <w:t>European Medicines Agency.</w:t>
      </w:r>
      <w:proofErr w:type="gramEnd"/>
      <w:r w:rsidRPr="0091493B">
        <w:t xml:space="preserve"> Guideline </w:t>
      </w:r>
      <w:proofErr w:type="gramStart"/>
      <w:r w:rsidRPr="0091493B">
        <w:t>On</w:t>
      </w:r>
      <w:proofErr w:type="gramEnd"/>
      <w:r w:rsidRPr="0091493B">
        <w:t xml:space="preserve"> Clinical Development Of Fixed Combination Medicinal Products (CPMP/EWP/240/95/Rev. 1); 2009.</w:t>
      </w:r>
    </w:p>
  </w:footnote>
  <w:footnote w:id="5">
    <w:p w:rsidR="0091493B" w:rsidRPr="0091493B" w:rsidRDefault="0091493B" w:rsidP="0091493B">
      <w:pPr>
        <w:pStyle w:val="FootnoteText"/>
      </w:pPr>
      <w:r w:rsidRPr="002C66D7">
        <w:rPr>
          <w:rStyle w:val="FootnoteReference"/>
        </w:rPr>
        <w:footnoteRef/>
      </w:r>
      <w:r w:rsidRPr="0091493B">
        <w:t xml:space="preserve"> </w:t>
      </w:r>
      <w:proofErr w:type="gramStart"/>
      <w:r w:rsidRPr="0091493B">
        <w:t>European Medicines Agency.</w:t>
      </w:r>
      <w:proofErr w:type="gramEnd"/>
      <w:r w:rsidRPr="0091493B">
        <w:t xml:space="preserve"> Clinical Requirements For Locally Applied, Locally Acting Products, Containing Known Constituents (pp 381 – 391 of Rules 1998 (3C) – 3CC29a); 1996.</w:t>
      </w:r>
    </w:p>
  </w:footnote>
  <w:footnote w:id="6">
    <w:p w:rsidR="0091493B" w:rsidRPr="0091493B" w:rsidRDefault="0091493B" w:rsidP="0091493B">
      <w:pPr>
        <w:pStyle w:val="FootnoteText"/>
      </w:pPr>
      <w:r w:rsidRPr="000020FA">
        <w:rPr>
          <w:rStyle w:val="FootnoteReference"/>
        </w:rPr>
        <w:footnoteRef/>
      </w:r>
      <w:r w:rsidRPr="0091493B">
        <w:t xml:space="preserve"> </w:t>
      </w:r>
      <w:proofErr w:type="gramStart"/>
      <w:r w:rsidRPr="0091493B">
        <w:t>European Medicines Agency.</w:t>
      </w:r>
      <w:proofErr w:type="gramEnd"/>
      <w:r w:rsidRPr="0091493B">
        <w:t xml:space="preserve"> </w:t>
      </w:r>
      <w:proofErr w:type="gramStart"/>
      <w:r w:rsidRPr="0091493B">
        <w:t>Decision P/82/2011.</w:t>
      </w:r>
      <w:proofErr w:type="gramEnd"/>
      <w:r w:rsidRPr="0091493B">
        <w:t xml:space="preserve"> Note: Clinical trials were not conducted </w:t>
      </w:r>
      <w:r>
        <w:t>in children 12 years and under.</w:t>
      </w:r>
    </w:p>
  </w:footnote>
  <w:footnote w:id="7">
    <w:p w:rsidR="0091493B" w:rsidRPr="009A0AB4" w:rsidRDefault="0091493B" w:rsidP="00C261B0">
      <w:pPr>
        <w:pStyle w:val="FootnoteText"/>
      </w:pPr>
      <w:r>
        <w:rPr>
          <w:rStyle w:val="FootnoteReference"/>
        </w:rPr>
        <w:footnoteRef/>
      </w:r>
      <w:r>
        <w:t xml:space="preserve"> </w:t>
      </w:r>
      <w:proofErr w:type="gramStart"/>
      <w:r w:rsidRPr="009A0AB4">
        <w:t xml:space="preserve">Bryson HM, </w:t>
      </w:r>
      <w:proofErr w:type="spellStart"/>
      <w:r w:rsidRPr="009A0AB4">
        <w:t>Faulds</w:t>
      </w:r>
      <w:proofErr w:type="spellEnd"/>
      <w:r w:rsidRPr="009A0AB4">
        <w:t xml:space="preserve"> D; Intranasal fluticasone propionate.</w:t>
      </w:r>
      <w:proofErr w:type="gramEnd"/>
      <w:r w:rsidRPr="009A0AB4">
        <w:t xml:space="preserve"> </w:t>
      </w:r>
      <w:proofErr w:type="gramStart"/>
      <w:r w:rsidRPr="009A0AB4">
        <w:t xml:space="preserve">A review of its </w:t>
      </w:r>
      <w:proofErr w:type="spellStart"/>
      <w:r w:rsidRPr="009A0AB4">
        <w:t>pharmacodynamic</w:t>
      </w:r>
      <w:proofErr w:type="spellEnd"/>
      <w:r w:rsidRPr="009A0AB4">
        <w:t xml:space="preserve"> and pharmacokinetic properties and therapeutic potential in allergic rhinitis.</w:t>
      </w:r>
      <w:proofErr w:type="gramEnd"/>
      <w:r w:rsidRPr="009A0AB4">
        <w:t xml:space="preserve"> </w:t>
      </w:r>
      <w:proofErr w:type="gramStart"/>
      <w:r w:rsidRPr="009A0AB4">
        <w:t>Drugs.</w:t>
      </w:r>
      <w:proofErr w:type="gramEnd"/>
      <w:r w:rsidRPr="009A0AB4">
        <w:t xml:space="preserve"> 1992 May; 43(5): 760-75; Wiseman LR, Benfield P. Intranasal fluticasone propionate. </w:t>
      </w:r>
      <w:proofErr w:type="gramStart"/>
      <w:r w:rsidRPr="009A0AB4">
        <w:t>A reappraisal of its pharmacology and clinical efficacy in the treatment of rhinitis.</w:t>
      </w:r>
      <w:proofErr w:type="gramEnd"/>
      <w:r w:rsidRPr="009A0AB4">
        <w:t xml:space="preserve"> </w:t>
      </w:r>
      <w:proofErr w:type="gramStart"/>
      <w:r w:rsidRPr="009A0AB4">
        <w:t>Drugs.</w:t>
      </w:r>
      <w:proofErr w:type="gramEnd"/>
      <w:r w:rsidRPr="009A0AB4">
        <w:t xml:space="preserve"> 1997 May; 53(5): 885-907.</w:t>
      </w:r>
    </w:p>
  </w:footnote>
  <w:footnote w:id="8">
    <w:p w:rsidR="0091493B" w:rsidRDefault="0091493B">
      <w:pPr>
        <w:pStyle w:val="FootnoteText"/>
      </w:pPr>
      <w:r>
        <w:rPr>
          <w:rStyle w:val="FootnoteReference"/>
        </w:rPr>
        <w:footnoteRef/>
      </w:r>
      <w:r>
        <w:t xml:space="preserve"> </w:t>
      </w:r>
      <w:proofErr w:type="gramStart"/>
      <w:r w:rsidRPr="00D0093C">
        <w:rPr>
          <w:szCs w:val="18"/>
        </w:rPr>
        <w:t>European Medicines Agency.</w:t>
      </w:r>
      <w:proofErr w:type="gramEnd"/>
      <w:r w:rsidRPr="00D0093C">
        <w:rPr>
          <w:szCs w:val="18"/>
        </w:rPr>
        <w:t xml:space="preserve"> Guideline </w:t>
      </w:r>
      <w:proofErr w:type="gramStart"/>
      <w:r w:rsidRPr="00D0093C">
        <w:rPr>
          <w:szCs w:val="18"/>
        </w:rPr>
        <w:t>On</w:t>
      </w:r>
      <w:proofErr w:type="gramEnd"/>
      <w:r w:rsidRPr="00D0093C">
        <w:rPr>
          <w:szCs w:val="18"/>
        </w:rPr>
        <w:t xml:space="preserve"> Clinical Development Of Fixed Combination Medicinal Products (CPMP/EWP/240/95/Rev. 1); 2009.</w:t>
      </w:r>
    </w:p>
  </w:footnote>
  <w:footnote w:id="9">
    <w:p w:rsidR="0091493B" w:rsidRPr="00D0093C" w:rsidRDefault="0091493B" w:rsidP="00D0093C">
      <w:pPr>
        <w:pStyle w:val="FootnoteText"/>
        <w:rPr>
          <w:szCs w:val="18"/>
        </w:rPr>
      </w:pPr>
      <w:r w:rsidRPr="00D0093C">
        <w:rPr>
          <w:rStyle w:val="FootnoteReference"/>
          <w:szCs w:val="18"/>
        </w:rPr>
        <w:footnoteRef/>
      </w:r>
      <w:r w:rsidRPr="00D0093C">
        <w:rPr>
          <w:szCs w:val="18"/>
        </w:rPr>
        <w:t xml:space="preserve"> ARIA (Allergic Rhinitis </w:t>
      </w:r>
      <w:proofErr w:type="gramStart"/>
      <w:r w:rsidRPr="00D0093C">
        <w:rPr>
          <w:szCs w:val="18"/>
        </w:rPr>
        <w:t>And</w:t>
      </w:r>
      <w:proofErr w:type="gramEnd"/>
      <w:r w:rsidRPr="00D0093C">
        <w:rPr>
          <w:szCs w:val="18"/>
        </w:rPr>
        <w:t xml:space="preserve"> Its Impact On </w:t>
      </w:r>
      <w:r>
        <w:rPr>
          <w:szCs w:val="18"/>
        </w:rPr>
        <w:t>Asthma) Guidelines; 2008 Update;</w:t>
      </w:r>
      <w:r w:rsidRPr="00D0093C">
        <w:rPr>
          <w:szCs w:val="18"/>
        </w:rPr>
        <w:t xml:space="preserve"> ARIA (Allergic Rhinitis And Its Impact On Ast</w:t>
      </w:r>
      <w:r>
        <w:rPr>
          <w:szCs w:val="18"/>
        </w:rPr>
        <w:t>hma) Guidelines; 2010 Revision.</w:t>
      </w:r>
    </w:p>
  </w:footnote>
  <w:footnote w:id="10">
    <w:p w:rsidR="0091493B" w:rsidRPr="00306A68" w:rsidRDefault="0091493B" w:rsidP="00306A68">
      <w:pPr>
        <w:pStyle w:val="FootnoteText"/>
      </w:pPr>
      <w:r w:rsidRPr="0027076F">
        <w:rPr>
          <w:rStyle w:val="FootnoteReference"/>
        </w:rPr>
        <w:footnoteRef/>
      </w:r>
      <w:r w:rsidRPr="00306A68">
        <w:t xml:space="preserve"> </w:t>
      </w:r>
      <w:proofErr w:type="gramStart"/>
      <w:r w:rsidRPr="00306A68">
        <w:t>European Medicines Agency.</w:t>
      </w:r>
      <w:proofErr w:type="gramEnd"/>
      <w:r w:rsidRPr="00306A68">
        <w:t xml:space="preserve"> Clinical Requirements For Locally Applied, Locally Acting Products, Containing Known Constituents (pp 381 – 391 of Rules 1998 (3C) – 3CC29a);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pPr>
      <w:rPr>
        <w:noProof/>
        <w:lang w:eastAsia="en-AU"/>
      </w:rPr>
    </w:pPr>
    <w:r>
      <w:rPr>
        <w:noProof/>
        <w:lang w:eastAsia="en-AU"/>
      </w:rPr>
      <w:drawing>
        <wp:anchor distT="0" distB="0" distL="114300" distR="114300" simplePos="0" relativeHeight="251657728" behindDoc="1" locked="0" layoutInCell="1" allowOverlap="1">
          <wp:simplePos x="0" y="0"/>
          <wp:positionH relativeFrom="column">
            <wp:posOffset>-1089660</wp:posOffset>
          </wp:positionH>
          <wp:positionV relativeFrom="paragraph">
            <wp:posOffset>-585470</wp:posOffset>
          </wp:positionV>
          <wp:extent cx="7572375" cy="10706100"/>
          <wp:effectExtent l="0" t="0" r="9525"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rapeutic Good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93B" w:rsidRDefault="0091493B" w:rsidP="00593AD1">
    <w:pPr>
      <w:pStyle w:val="HeaderNoLine"/>
    </w:pPr>
    <w:r>
      <w:rPr>
        <w:noProof/>
        <w:lang w:eastAsia="en-AU"/>
      </w:rPr>
      <w:drawing>
        <wp:inline distT="0" distB="0" distL="0" distR="0">
          <wp:extent cx="5398135" cy="7635875"/>
          <wp:effectExtent l="0" t="0" r="0" b="317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135" cy="763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rsidP="006E08B3">
    <w:r>
      <w:t>Therapeutic Goods Administration</w:t>
    </w:r>
  </w:p>
  <w:p w:rsidR="0091493B" w:rsidRDefault="0091493B"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392159C"/>
    <w:multiLevelType w:val="hybridMultilevel"/>
    <w:tmpl w:val="8594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8EA7514"/>
    <w:multiLevelType w:val="hybridMultilevel"/>
    <w:tmpl w:val="9364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B41A8D"/>
    <w:multiLevelType w:val="hybridMultilevel"/>
    <w:tmpl w:val="9754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0D97800"/>
    <w:multiLevelType w:val="hybridMultilevel"/>
    <w:tmpl w:val="F436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6D0B1B75"/>
    <w:multiLevelType w:val="multilevel"/>
    <w:tmpl w:val="D3FAAFB8"/>
    <w:lvl w:ilvl="0">
      <w:start w:val="1"/>
      <w:numFmt w:val="decimal"/>
      <w:pStyle w:val="Heading2"/>
      <w:lvlText w:val="%1."/>
      <w:lvlJc w:val="left"/>
      <w:pPr>
        <w:tabs>
          <w:tab w:val="num" w:pos="3686"/>
        </w:tabs>
        <w:ind w:left="3686"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9"/>
  </w:num>
  <w:num w:numId="26">
    <w:abstractNumId w:val="11"/>
  </w:num>
  <w:num w:numId="27">
    <w:abstractNumId w:val="12"/>
  </w:num>
  <w:num w:numId="28">
    <w:abstractNumId w:val="13"/>
  </w:num>
  <w:num w:numId="29">
    <w:abstractNumId w:val="14"/>
  </w:num>
  <w:num w:numId="30">
    <w:abstractNumId w:val="14"/>
  </w:num>
  <w:num w:numId="31">
    <w:abstractNumId w:val="14"/>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num>
  <w:num w:numId="34">
    <w:abstractNumId w:val="4"/>
  </w:num>
  <w:num w:numId="35">
    <w:abstractNumId w:val="8"/>
  </w:num>
  <w:num w:numId="36">
    <w:abstractNumId w:val="10"/>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18"/>
    <w:rsid w:val="00002031"/>
    <w:rsid w:val="000020FA"/>
    <w:rsid w:val="00004734"/>
    <w:rsid w:val="00006B22"/>
    <w:rsid w:val="0001276A"/>
    <w:rsid w:val="00015692"/>
    <w:rsid w:val="000246AE"/>
    <w:rsid w:val="00025C67"/>
    <w:rsid w:val="00040ACB"/>
    <w:rsid w:val="0005559E"/>
    <w:rsid w:val="00056BD6"/>
    <w:rsid w:val="00065D06"/>
    <w:rsid w:val="00077775"/>
    <w:rsid w:val="00087022"/>
    <w:rsid w:val="00090471"/>
    <w:rsid w:val="000914A3"/>
    <w:rsid w:val="000A2C9B"/>
    <w:rsid w:val="000A3AED"/>
    <w:rsid w:val="000A63AF"/>
    <w:rsid w:val="000B3532"/>
    <w:rsid w:val="000B3A75"/>
    <w:rsid w:val="000C690F"/>
    <w:rsid w:val="000D1295"/>
    <w:rsid w:val="000D391B"/>
    <w:rsid w:val="000D3D6D"/>
    <w:rsid w:val="000D4FC7"/>
    <w:rsid w:val="000E5821"/>
    <w:rsid w:val="000F02F9"/>
    <w:rsid w:val="000F0971"/>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679E8"/>
    <w:rsid w:val="0017078F"/>
    <w:rsid w:val="0017693F"/>
    <w:rsid w:val="0018110E"/>
    <w:rsid w:val="00181684"/>
    <w:rsid w:val="00183CFF"/>
    <w:rsid w:val="001843C6"/>
    <w:rsid w:val="001850E0"/>
    <w:rsid w:val="00190911"/>
    <w:rsid w:val="001A2158"/>
    <w:rsid w:val="001A525F"/>
    <w:rsid w:val="001B09F9"/>
    <w:rsid w:val="001B5D98"/>
    <w:rsid w:val="001B6448"/>
    <w:rsid w:val="001B6ACC"/>
    <w:rsid w:val="001E07CF"/>
    <w:rsid w:val="001E59F1"/>
    <w:rsid w:val="001F49EB"/>
    <w:rsid w:val="001F6CBA"/>
    <w:rsid w:val="00201D4E"/>
    <w:rsid w:val="002076C9"/>
    <w:rsid w:val="002205CC"/>
    <w:rsid w:val="00220B8A"/>
    <w:rsid w:val="002257F3"/>
    <w:rsid w:val="00233456"/>
    <w:rsid w:val="002339A5"/>
    <w:rsid w:val="00243DEB"/>
    <w:rsid w:val="00257848"/>
    <w:rsid w:val="002666AC"/>
    <w:rsid w:val="0027076F"/>
    <w:rsid w:val="0027084A"/>
    <w:rsid w:val="00281EA4"/>
    <w:rsid w:val="00286434"/>
    <w:rsid w:val="00286C59"/>
    <w:rsid w:val="00291D18"/>
    <w:rsid w:val="00292113"/>
    <w:rsid w:val="002942D1"/>
    <w:rsid w:val="0029501A"/>
    <w:rsid w:val="002B0702"/>
    <w:rsid w:val="002B1638"/>
    <w:rsid w:val="002C63ED"/>
    <w:rsid w:val="002C66D7"/>
    <w:rsid w:val="002D545C"/>
    <w:rsid w:val="002D6161"/>
    <w:rsid w:val="002E4C9A"/>
    <w:rsid w:val="002F11F8"/>
    <w:rsid w:val="002F3F56"/>
    <w:rsid w:val="002F44B5"/>
    <w:rsid w:val="00306A68"/>
    <w:rsid w:val="00311AC0"/>
    <w:rsid w:val="0032583B"/>
    <w:rsid w:val="00327883"/>
    <w:rsid w:val="00335504"/>
    <w:rsid w:val="003521E8"/>
    <w:rsid w:val="003728F3"/>
    <w:rsid w:val="0037496E"/>
    <w:rsid w:val="0037623D"/>
    <w:rsid w:val="00386150"/>
    <w:rsid w:val="003874CE"/>
    <w:rsid w:val="00390900"/>
    <w:rsid w:val="00396C92"/>
    <w:rsid w:val="003A7F6C"/>
    <w:rsid w:val="003B03FC"/>
    <w:rsid w:val="003B1113"/>
    <w:rsid w:val="003B4D60"/>
    <w:rsid w:val="003B634F"/>
    <w:rsid w:val="003B68A1"/>
    <w:rsid w:val="003B7E39"/>
    <w:rsid w:val="003C3698"/>
    <w:rsid w:val="003C58DC"/>
    <w:rsid w:val="003D0A3B"/>
    <w:rsid w:val="003D1A79"/>
    <w:rsid w:val="003D1E62"/>
    <w:rsid w:val="003E13A7"/>
    <w:rsid w:val="003E2486"/>
    <w:rsid w:val="003E3208"/>
    <w:rsid w:val="003F0B04"/>
    <w:rsid w:val="0040134E"/>
    <w:rsid w:val="00415D59"/>
    <w:rsid w:val="00417700"/>
    <w:rsid w:val="0043797D"/>
    <w:rsid w:val="00440A2D"/>
    <w:rsid w:val="004564A7"/>
    <w:rsid w:val="004617BF"/>
    <w:rsid w:val="00463658"/>
    <w:rsid w:val="004722CC"/>
    <w:rsid w:val="004936E4"/>
    <w:rsid w:val="00494E60"/>
    <w:rsid w:val="00497487"/>
    <w:rsid w:val="004A7E13"/>
    <w:rsid w:val="004B6AA9"/>
    <w:rsid w:val="004B7B76"/>
    <w:rsid w:val="004C0426"/>
    <w:rsid w:val="004C2DCA"/>
    <w:rsid w:val="004F0F38"/>
    <w:rsid w:val="004F1D42"/>
    <w:rsid w:val="004F4AF5"/>
    <w:rsid w:val="00501921"/>
    <w:rsid w:val="005054C6"/>
    <w:rsid w:val="00530354"/>
    <w:rsid w:val="005346C7"/>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B372F"/>
    <w:rsid w:val="005C5570"/>
    <w:rsid w:val="005C79A4"/>
    <w:rsid w:val="005D5442"/>
    <w:rsid w:val="00603F32"/>
    <w:rsid w:val="00607056"/>
    <w:rsid w:val="0061460D"/>
    <w:rsid w:val="00620406"/>
    <w:rsid w:val="00632398"/>
    <w:rsid w:val="00640FC3"/>
    <w:rsid w:val="00642020"/>
    <w:rsid w:val="00642E2C"/>
    <w:rsid w:val="00646206"/>
    <w:rsid w:val="0065337B"/>
    <w:rsid w:val="0065419D"/>
    <w:rsid w:val="006604D8"/>
    <w:rsid w:val="006609C2"/>
    <w:rsid w:val="00664A5B"/>
    <w:rsid w:val="006763D2"/>
    <w:rsid w:val="006767A0"/>
    <w:rsid w:val="00680C08"/>
    <w:rsid w:val="006931B1"/>
    <w:rsid w:val="006A15C0"/>
    <w:rsid w:val="006A4AE2"/>
    <w:rsid w:val="006C01B3"/>
    <w:rsid w:val="006C130C"/>
    <w:rsid w:val="006C3E2A"/>
    <w:rsid w:val="006C642F"/>
    <w:rsid w:val="006D03E5"/>
    <w:rsid w:val="006D5D3E"/>
    <w:rsid w:val="006E08B3"/>
    <w:rsid w:val="006F17AC"/>
    <w:rsid w:val="006F1D37"/>
    <w:rsid w:val="006F2796"/>
    <w:rsid w:val="006F572E"/>
    <w:rsid w:val="007046D6"/>
    <w:rsid w:val="00705DB0"/>
    <w:rsid w:val="00706EE3"/>
    <w:rsid w:val="00722B57"/>
    <w:rsid w:val="007307C7"/>
    <w:rsid w:val="0074253D"/>
    <w:rsid w:val="00743776"/>
    <w:rsid w:val="0074429B"/>
    <w:rsid w:val="007513B4"/>
    <w:rsid w:val="0075478A"/>
    <w:rsid w:val="007615BC"/>
    <w:rsid w:val="00762F05"/>
    <w:rsid w:val="007647EF"/>
    <w:rsid w:val="007652FF"/>
    <w:rsid w:val="00770EF1"/>
    <w:rsid w:val="00773EF7"/>
    <w:rsid w:val="00774E1D"/>
    <w:rsid w:val="0077675A"/>
    <w:rsid w:val="00780355"/>
    <w:rsid w:val="00785721"/>
    <w:rsid w:val="00793A59"/>
    <w:rsid w:val="007A1EFA"/>
    <w:rsid w:val="007B6E9F"/>
    <w:rsid w:val="007B7311"/>
    <w:rsid w:val="007C1216"/>
    <w:rsid w:val="007C1AF7"/>
    <w:rsid w:val="007D4368"/>
    <w:rsid w:val="007E6E27"/>
    <w:rsid w:val="00805D27"/>
    <w:rsid w:val="00821776"/>
    <w:rsid w:val="008232A0"/>
    <w:rsid w:val="008321F5"/>
    <w:rsid w:val="00832369"/>
    <w:rsid w:val="00834660"/>
    <w:rsid w:val="008349DC"/>
    <w:rsid w:val="00836BC2"/>
    <w:rsid w:val="0084060E"/>
    <w:rsid w:val="008414A0"/>
    <w:rsid w:val="00846A15"/>
    <w:rsid w:val="0085641B"/>
    <w:rsid w:val="00857136"/>
    <w:rsid w:val="0088546D"/>
    <w:rsid w:val="00886D15"/>
    <w:rsid w:val="00887DD8"/>
    <w:rsid w:val="00896018"/>
    <w:rsid w:val="008960DD"/>
    <w:rsid w:val="0089635C"/>
    <w:rsid w:val="008A06DB"/>
    <w:rsid w:val="008A2B9D"/>
    <w:rsid w:val="008A5B4B"/>
    <w:rsid w:val="008A5E0B"/>
    <w:rsid w:val="008A6D59"/>
    <w:rsid w:val="008B4B03"/>
    <w:rsid w:val="008B596F"/>
    <w:rsid w:val="008B5A3E"/>
    <w:rsid w:val="008C159F"/>
    <w:rsid w:val="008C1623"/>
    <w:rsid w:val="008C1850"/>
    <w:rsid w:val="008C51A9"/>
    <w:rsid w:val="008D770F"/>
    <w:rsid w:val="008E08C4"/>
    <w:rsid w:val="008E7846"/>
    <w:rsid w:val="008F1CCC"/>
    <w:rsid w:val="008F2967"/>
    <w:rsid w:val="008F6943"/>
    <w:rsid w:val="00900CC4"/>
    <w:rsid w:val="00902A21"/>
    <w:rsid w:val="0091493B"/>
    <w:rsid w:val="00920330"/>
    <w:rsid w:val="00921277"/>
    <w:rsid w:val="009219D7"/>
    <w:rsid w:val="00922D53"/>
    <w:rsid w:val="00923B70"/>
    <w:rsid w:val="00924482"/>
    <w:rsid w:val="00930237"/>
    <w:rsid w:val="0094185A"/>
    <w:rsid w:val="00946EA5"/>
    <w:rsid w:val="0095160F"/>
    <w:rsid w:val="00962631"/>
    <w:rsid w:val="00963C08"/>
    <w:rsid w:val="00976D1C"/>
    <w:rsid w:val="0098585A"/>
    <w:rsid w:val="0098669D"/>
    <w:rsid w:val="00987091"/>
    <w:rsid w:val="009A0AB4"/>
    <w:rsid w:val="009A4CED"/>
    <w:rsid w:val="009A690D"/>
    <w:rsid w:val="009A6983"/>
    <w:rsid w:val="009B1D12"/>
    <w:rsid w:val="009B416B"/>
    <w:rsid w:val="009C08B8"/>
    <w:rsid w:val="009C40E2"/>
    <w:rsid w:val="009C4BD5"/>
    <w:rsid w:val="009C5BA2"/>
    <w:rsid w:val="009C7F67"/>
    <w:rsid w:val="009D7B77"/>
    <w:rsid w:val="009E0BB0"/>
    <w:rsid w:val="009E3FBB"/>
    <w:rsid w:val="00A102E4"/>
    <w:rsid w:val="00A12C42"/>
    <w:rsid w:val="00A14DF7"/>
    <w:rsid w:val="00A235D9"/>
    <w:rsid w:val="00A3246D"/>
    <w:rsid w:val="00A36FA7"/>
    <w:rsid w:val="00A400FD"/>
    <w:rsid w:val="00A42854"/>
    <w:rsid w:val="00A475B7"/>
    <w:rsid w:val="00A47AF7"/>
    <w:rsid w:val="00A47C3E"/>
    <w:rsid w:val="00A50226"/>
    <w:rsid w:val="00A60BAD"/>
    <w:rsid w:val="00A66333"/>
    <w:rsid w:val="00A806B4"/>
    <w:rsid w:val="00A964D1"/>
    <w:rsid w:val="00AA0ED0"/>
    <w:rsid w:val="00AA3499"/>
    <w:rsid w:val="00AC2B40"/>
    <w:rsid w:val="00AC2BB2"/>
    <w:rsid w:val="00AC2C3C"/>
    <w:rsid w:val="00AC512D"/>
    <w:rsid w:val="00AD11BB"/>
    <w:rsid w:val="00AE01C2"/>
    <w:rsid w:val="00AE65EB"/>
    <w:rsid w:val="00AE67A7"/>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45EE4"/>
    <w:rsid w:val="00B5005D"/>
    <w:rsid w:val="00B511D8"/>
    <w:rsid w:val="00B54C25"/>
    <w:rsid w:val="00B55E86"/>
    <w:rsid w:val="00B76B91"/>
    <w:rsid w:val="00B77EB1"/>
    <w:rsid w:val="00B811C6"/>
    <w:rsid w:val="00B85A87"/>
    <w:rsid w:val="00B92E08"/>
    <w:rsid w:val="00B96EBE"/>
    <w:rsid w:val="00BC2ECA"/>
    <w:rsid w:val="00BC622A"/>
    <w:rsid w:val="00BD45E3"/>
    <w:rsid w:val="00BE0A78"/>
    <w:rsid w:val="00BE6252"/>
    <w:rsid w:val="00BE79F0"/>
    <w:rsid w:val="00BF046D"/>
    <w:rsid w:val="00BF1190"/>
    <w:rsid w:val="00BF5D04"/>
    <w:rsid w:val="00C1147E"/>
    <w:rsid w:val="00C1164D"/>
    <w:rsid w:val="00C16861"/>
    <w:rsid w:val="00C22678"/>
    <w:rsid w:val="00C239DD"/>
    <w:rsid w:val="00C2528F"/>
    <w:rsid w:val="00C261B0"/>
    <w:rsid w:val="00C404A6"/>
    <w:rsid w:val="00C40A36"/>
    <w:rsid w:val="00C44419"/>
    <w:rsid w:val="00C45E7B"/>
    <w:rsid w:val="00C471B1"/>
    <w:rsid w:val="00C618F7"/>
    <w:rsid w:val="00C6316B"/>
    <w:rsid w:val="00C634A9"/>
    <w:rsid w:val="00C64586"/>
    <w:rsid w:val="00C650F4"/>
    <w:rsid w:val="00C70D53"/>
    <w:rsid w:val="00C73D0B"/>
    <w:rsid w:val="00C772FF"/>
    <w:rsid w:val="00C801AF"/>
    <w:rsid w:val="00C80256"/>
    <w:rsid w:val="00C811C0"/>
    <w:rsid w:val="00CB6BC0"/>
    <w:rsid w:val="00CC1B7C"/>
    <w:rsid w:val="00CC727F"/>
    <w:rsid w:val="00CD10C3"/>
    <w:rsid w:val="00CF12CD"/>
    <w:rsid w:val="00CF15C3"/>
    <w:rsid w:val="00CF2B6F"/>
    <w:rsid w:val="00CF58B6"/>
    <w:rsid w:val="00D0093C"/>
    <w:rsid w:val="00D017ED"/>
    <w:rsid w:val="00D040D3"/>
    <w:rsid w:val="00D04C65"/>
    <w:rsid w:val="00D058E7"/>
    <w:rsid w:val="00D224FE"/>
    <w:rsid w:val="00D43979"/>
    <w:rsid w:val="00D46D4A"/>
    <w:rsid w:val="00D53A31"/>
    <w:rsid w:val="00D6493E"/>
    <w:rsid w:val="00D67BB6"/>
    <w:rsid w:val="00D7301E"/>
    <w:rsid w:val="00D83AE1"/>
    <w:rsid w:val="00D855D4"/>
    <w:rsid w:val="00D93466"/>
    <w:rsid w:val="00DA1124"/>
    <w:rsid w:val="00DA4B7B"/>
    <w:rsid w:val="00DB75B7"/>
    <w:rsid w:val="00DC6E02"/>
    <w:rsid w:val="00DE02AE"/>
    <w:rsid w:val="00DE7C29"/>
    <w:rsid w:val="00DF1D7F"/>
    <w:rsid w:val="00DF4BE4"/>
    <w:rsid w:val="00E02FB4"/>
    <w:rsid w:val="00E053A1"/>
    <w:rsid w:val="00E07F15"/>
    <w:rsid w:val="00E134AE"/>
    <w:rsid w:val="00E20571"/>
    <w:rsid w:val="00E235F7"/>
    <w:rsid w:val="00E23659"/>
    <w:rsid w:val="00E239D4"/>
    <w:rsid w:val="00E26130"/>
    <w:rsid w:val="00E2741C"/>
    <w:rsid w:val="00E40B22"/>
    <w:rsid w:val="00E45619"/>
    <w:rsid w:val="00E4588F"/>
    <w:rsid w:val="00E46DA3"/>
    <w:rsid w:val="00E51BB1"/>
    <w:rsid w:val="00E624A5"/>
    <w:rsid w:val="00E7344E"/>
    <w:rsid w:val="00E80BFB"/>
    <w:rsid w:val="00E833A3"/>
    <w:rsid w:val="00E936E3"/>
    <w:rsid w:val="00E93E4C"/>
    <w:rsid w:val="00EB0798"/>
    <w:rsid w:val="00EB40AD"/>
    <w:rsid w:val="00EB586E"/>
    <w:rsid w:val="00EB5FC8"/>
    <w:rsid w:val="00EC23F4"/>
    <w:rsid w:val="00ED3CAD"/>
    <w:rsid w:val="00ED5A41"/>
    <w:rsid w:val="00EE1DE8"/>
    <w:rsid w:val="00F033EC"/>
    <w:rsid w:val="00F04F68"/>
    <w:rsid w:val="00F12670"/>
    <w:rsid w:val="00F14B27"/>
    <w:rsid w:val="00F3148D"/>
    <w:rsid w:val="00F325C5"/>
    <w:rsid w:val="00F32FE0"/>
    <w:rsid w:val="00F33D40"/>
    <w:rsid w:val="00F35298"/>
    <w:rsid w:val="00F47333"/>
    <w:rsid w:val="00F47E37"/>
    <w:rsid w:val="00F53AB8"/>
    <w:rsid w:val="00F53C07"/>
    <w:rsid w:val="00F54B65"/>
    <w:rsid w:val="00F640B6"/>
    <w:rsid w:val="00F80E40"/>
    <w:rsid w:val="00F848D9"/>
    <w:rsid w:val="00FA435F"/>
    <w:rsid w:val="00FA5B82"/>
    <w:rsid w:val="00FA639E"/>
    <w:rsid w:val="00FC25E4"/>
    <w:rsid w:val="00FC4EF7"/>
    <w:rsid w:val="00FD0475"/>
    <w:rsid w:val="00FD09E3"/>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493B"/>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586F98"/>
    <w:pPr>
      <w:keepNext/>
      <w:keepLines/>
      <w:numPr>
        <w:numId w:val="31"/>
      </w:numPr>
      <w:tabs>
        <w:tab w:val="clear" w:pos="3686"/>
        <w:tab w:val="num" w:pos="567"/>
      </w:tabs>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AD11BB"/>
    <w:pPr>
      <w:keepNext/>
      <w:keepLines/>
      <w:spacing w:before="200" w:after="0"/>
      <w:outlineLvl w:val="7"/>
    </w:pPr>
    <w:rPr>
      <w:rFonts w:ascii="Arial" w:eastAsia="Times New Roman" w:hAnsi="Arial"/>
      <w:color w:val="404040"/>
      <w:sz w:val="20"/>
      <w:szCs w:val="20"/>
    </w:rPr>
  </w:style>
  <w:style w:type="paragraph" w:styleId="Heading9">
    <w:name w:val="heading 9"/>
    <w:basedOn w:val="Normal"/>
    <w:next w:val="Normal"/>
    <w:link w:val="Heading9Char"/>
    <w:uiPriority w:val="9"/>
    <w:semiHidden/>
    <w:unhideWhenUsed/>
    <w:qFormat/>
    <w:rsid w:val="00AD11BB"/>
    <w:pPr>
      <w:keepNext/>
      <w:keepLines/>
      <w:spacing w:before="200" w:after="0"/>
      <w:outlineLvl w:val="8"/>
    </w:pPr>
    <w:rPr>
      <w:rFonts w:ascii="Arial" w:eastAsia="Times New Roman"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586F98"/>
    <w:rPr>
      <w:rFonts w:ascii="Arial" w:eastAsia="Times New Roman" w:hAnsi="Arial" w:cs="Times New Roman"/>
      <w:b/>
      <w:bCs/>
      <w:sz w:val="32"/>
      <w:szCs w:val="26"/>
      <w:lang w:eastAsia="ja-JP"/>
    </w:rPr>
  </w:style>
  <w:style w:type="character" w:customStyle="1" w:styleId="Heading3Char">
    <w:name w:val="Heading 3 Char"/>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D43979"/>
    <w:pPr>
      <w:framePr w:hSpace="180" w:wrap="around" w:vAnchor="text" w:hAnchor="margin" w:y="9863"/>
      <w:spacing w:after="0"/>
      <w:suppressOverlap/>
    </w:pPr>
    <w:rPr>
      <w:rFonts w:ascii="Arial" w:hAnsi="Arial"/>
      <w:sz w:val="28"/>
    </w:rPr>
  </w:style>
  <w:style w:type="character" w:customStyle="1" w:styleId="DateChar">
    <w:name w:val="Date Char"/>
    <w:link w:val="Date"/>
    <w:uiPriority w:val="99"/>
    <w:rsid w:val="00D43979"/>
    <w:rPr>
      <w:rFonts w:ascii="Arial" w:hAnsi="Arial"/>
      <w:sz w:val="28"/>
      <w:szCs w:val="22"/>
      <w:lang w:eastAsia="en-US"/>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uiPriority w:val="9"/>
    <w:rsid w:val="000F02F9"/>
    <w:rPr>
      <w:rFonts w:ascii="Cambria" w:eastAsia="Times New Roman" w:hAnsi="Cambria" w:cs="Times New Roman"/>
      <w:b/>
      <w:bCs/>
      <w:i/>
      <w:color w:val="001523"/>
      <w:szCs w:val="21"/>
    </w:rPr>
  </w:style>
  <w:style w:type="character" w:customStyle="1" w:styleId="Heading6Char">
    <w:name w:val="Heading 6 Char"/>
    <w:link w:val="Heading6"/>
    <w:uiPriority w:val="9"/>
    <w:rsid w:val="000F02F9"/>
    <w:rPr>
      <w:rFonts w:ascii="Cambria" w:eastAsia="Times New Roman" w:hAnsi="Cambria" w:cs="Times New Roman"/>
      <w:bCs/>
      <w:i/>
      <w:szCs w:val="21"/>
    </w:rPr>
  </w:style>
  <w:style w:type="character" w:customStyle="1" w:styleId="Heading7Char">
    <w:name w:val="Heading 7 Char"/>
    <w:link w:val="Heading7"/>
    <w:uiPriority w:val="9"/>
    <w:rsid w:val="000F02F9"/>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0020FA"/>
    <w:pPr>
      <w:spacing w:before="0" w:line="240" w:lineRule="auto"/>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ListParagraph">
    <w:name w:val="List Paragraph"/>
    <w:basedOn w:val="Normal"/>
    <w:uiPriority w:val="34"/>
    <w:qFormat/>
    <w:rsid w:val="00EC23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styleId="FootnoteText">
    <w:name w:val="footnote text"/>
    <w:basedOn w:val="Normal"/>
    <w:link w:val="FootnoteTextChar"/>
    <w:uiPriority w:val="99"/>
    <w:unhideWhenUsed/>
    <w:rsid w:val="00C261B0"/>
    <w:pPr>
      <w:spacing w:before="0" w:after="0" w:line="240" w:lineRule="auto"/>
    </w:pPr>
    <w:rPr>
      <w:sz w:val="18"/>
      <w:szCs w:val="20"/>
    </w:rPr>
  </w:style>
  <w:style w:type="character" w:customStyle="1" w:styleId="FootnoteTextChar">
    <w:name w:val="Footnote Text Char"/>
    <w:link w:val="FootnoteText"/>
    <w:uiPriority w:val="99"/>
    <w:rsid w:val="00C261B0"/>
    <w:rPr>
      <w:sz w:val="18"/>
      <w:lang w:eastAsia="en-US"/>
    </w:rPr>
  </w:style>
  <w:style w:type="character" w:styleId="FootnoteReference">
    <w:name w:val="footnote reference"/>
    <w:uiPriority w:val="99"/>
    <w:semiHidden/>
    <w:unhideWhenUsed/>
    <w:rsid w:val="00EC23F4"/>
    <w:rPr>
      <w:vertAlign w:val="superscript"/>
    </w:rPr>
  </w:style>
  <w:style w:type="character" w:customStyle="1" w:styleId="Heading8Char">
    <w:name w:val="Heading 8 Char"/>
    <w:link w:val="Heading8"/>
    <w:uiPriority w:val="9"/>
    <w:semiHidden/>
    <w:rsid w:val="00AD11BB"/>
    <w:rPr>
      <w:rFonts w:ascii="Arial" w:eastAsia="Times New Roman" w:hAnsi="Arial" w:cs="Times New Roman"/>
      <w:color w:val="404040"/>
      <w:sz w:val="20"/>
      <w:szCs w:val="20"/>
    </w:rPr>
  </w:style>
  <w:style w:type="character" w:customStyle="1" w:styleId="Heading9Char">
    <w:name w:val="Heading 9 Char"/>
    <w:link w:val="Heading9"/>
    <w:uiPriority w:val="9"/>
    <w:semiHidden/>
    <w:rsid w:val="00AD11BB"/>
    <w:rPr>
      <w:rFonts w:ascii="Arial" w:eastAsia="Times New Roman" w:hAnsi="Arial" w:cs="Times New Roman"/>
      <w:i/>
      <w:iCs/>
      <w:color w:val="404040"/>
      <w:sz w:val="20"/>
      <w:szCs w:val="20"/>
    </w:rPr>
  </w:style>
  <w:style w:type="paragraph" w:customStyle="1" w:styleId="TableBullet">
    <w:name w:val="Table Bullet"/>
    <w:basedOn w:val="Normal"/>
    <w:rsid w:val="009A6983"/>
    <w:pPr>
      <w:numPr>
        <w:numId w:val="3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character" w:styleId="CommentReference">
    <w:name w:val="annotation reference"/>
    <w:uiPriority w:val="99"/>
    <w:semiHidden/>
    <w:unhideWhenUsed/>
    <w:rsid w:val="00846A15"/>
    <w:rPr>
      <w:sz w:val="16"/>
      <w:szCs w:val="16"/>
    </w:rPr>
  </w:style>
  <w:style w:type="paragraph" w:styleId="CommentText">
    <w:name w:val="annotation text"/>
    <w:basedOn w:val="Normal"/>
    <w:link w:val="CommentTextChar"/>
    <w:uiPriority w:val="99"/>
    <w:semiHidden/>
    <w:unhideWhenUsed/>
    <w:rsid w:val="00846A15"/>
    <w:pPr>
      <w:spacing w:line="240" w:lineRule="auto"/>
    </w:pPr>
    <w:rPr>
      <w:sz w:val="20"/>
      <w:szCs w:val="20"/>
    </w:rPr>
  </w:style>
  <w:style w:type="character" w:customStyle="1" w:styleId="CommentTextChar">
    <w:name w:val="Comment Text Char"/>
    <w:link w:val="CommentText"/>
    <w:uiPriority w:val="99"/>
    <w:semiHidden/>
    <w:rsid w:val="00846A1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46A15"/>
    <w:rPr>
      <w:b/>
      <w:bCs/>
    </w:rPr>
  </w:style>
  <w:style w:type="character" w:customStyle="1" w:styleId="CommentSubjectChar">
    <w:name w:val="Comment Subject Char"/>
    <w:link w:val="CommentSubject"/>
    <w:uiPriority w:val="99"/>
    <w:semiHidden/>
    <w:rsid w:val="00846A15"/>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493B"/>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586F98"/>
    <w:pPr>
      <w:keepNext/>
      <w:keepLines/>
      <w:numPr>
        <w:numId w:val="31"/>
      </w:numPr>
      <w:tabs>
        <w:tab w:val="clear" w:pos="3686"/>
        <w:tab w:val="num" w:pos="567"/>
      </w:tabs>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AD11BB"/>
    <w:pPr>
      <w:keepNext/>
      <w:keepLines/>
      <w:spacing w:before="200" w:after="0"/>
      <w:outlineLvl w:val="7"/>
    </w:pPr>
    <w:rPr>
      <w:rFonts w:ascii="Arial" w:eastAsia="Times New Roman" w:hAnsi="Arial"/>
      <w:color w:val="404040"/>
      <w:sz w:val="20"/>
      <w:szCs w:val="20"/>
    </w:rPr>
  </w:style>
  <w:style w:type="paragraph" w:styleId="Heading9">
    <w:name w:val="heading 9"/>
    <w:basedOn w:val="Normal"/>
    <w:next w:val="Normal"/>
    <w:link w:val="Heading9Char"/>
    <w:uiPriority w:val="9"/>
    <w:semiHidden/>
    <w:unhideWhenUsed/>
    <w:qFormat/>
    <w:rsid w:val="00AD11BB"/>
    <w:pPr>
      <w:keepNext/>
      <w:keepLines/>
      <w:spacing w:before="200" w:after="0"/>
      <w:outlineLvl w:val="8"/>
    </w:pPr>
    <w:rPr>
      <w:rFonts w:ascii="Arial" w:eastAsia="Times New Roman"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586F98"/>
    <w:rPr>
      <w:rFonts w:ascii="Arial" w:eastAsia="Times New Roman" w:hAnsi="Arial" w:cs="Times New Roman"/>
      <w:b/>
      <w:bCs/>
      <w:sz w:val="32"/>
      <w:szCs w:val="26"/>
      <w:lang w:eastAsia="ja-JP"/>
    </w:rPr>
  </w:style>
  <w:style w:type="character" w:customStyle="1" w:styleId="Heading3Char">
    <w:name w:val="Heading 3 Char"/>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D43979"/>
    <w:pPr>
      <w:framePr w:hSpace="180" w:wrap="around" w:vAnchor="text" w:hAnchor="margin" w:y="9863"/>
      <w:spacing w:after="0"/>
      <w:suppressOverlap/>
    </w:pPr>
    <w:rPr>
      <w:rFonts w:ascii="Arial" w:hAnsi="Arial"/>
      <w:sz w:val="28"/>
    </w:rPr>
  </w:style>
  <w:style w:type="character" w:customStyle="1" w:styleId="DateChar">
    <w:name w:val="Date Char"/>
    <w:link w:val="Date"/>
    <w:uiPriority w:val="99"/>
    <w:rsid w:val="00D43979"/>
    <w:rPr>
      <w:rFonts w:ascii="Arial" w:hAnsi="Arial"/>
      <w:sz w:val="28"/>
      <w:szCs w:val="22"/>
      <w:lang w:eastAsia="en-US"/>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uiPriority w:val="9"/>
    <w:rsid w:val="000F02F9"/>
    <w:rPr>
      <w:rFonts w:ascii="Cambria" w:eastAsia="Times New Roman" w:hAnsi="Cambria" w:cs="Times New Roman"/>
      <w:b/>
      <w:bCs/>
      <w:i/>
      <w:color w:val="001523"/>
      <w:szCs w:val="21"/>
    </w:rPr>
  </w:style>
  <w:style w:type="character" w:customStyle="1" w:styleId="Heading6Char">
    <w:name w:val="Heading 6 Char"/>
    <w:link w:val="Heading6"/>
    <w:uiPriority w:val="9"/>
    <w:rsid w:val="000F02F9"/>
    <w:rPr>
      <w:rFonts w:ascii="Cambria" w:eastAsia="Times New Roman" w:hAnsi="Cambria" w:cs="Times New Roman"/>
      <w:bCs/>
      <w:i/>
      <w:szCs w:val="21"/>
    </w:rPr>
  </w:style>
  <w:style w:type="character" w:customStyle="1" w:styleId="Heading7Char">
    <w:name w:val="Heading 7 Char"/>
    <w:link w:val="Heading7"/>
    <w:uiPriority w:val="9"/>
    <w:rsid w:val="000F02F9"/>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0020FA"/>
    <w:pPr>
      <w:spacing w:before="0" w:line="240" w:lineRule="auto"/>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ListParagraph">
    <w:name w:val="List Paragraph"/>
    <w:basedOn w:val="Normal"/>
    <w:uiPriority w:val="34"/>
    <w:qFormat/>
    <w:rsid w:val="00EC23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styleId="FootnoteText">
    <w:name w:val="footnote text"/>
    <w:basedOn w:val="Normal"/>
    <w:link w:val="FootnoteTextChar"/>
    <w:uiPriority w:val="99"/>
    <w:unhideWhenUsed/>
    <w:rsid w:val="00C261B0"/>
    <w:pPr>
      <w:spacing w:before="0" w:after="0" w:line="240" w:lineRule="auto"/>
    </w:pPr>
    <w:rPr>
      <w:sz w:val="18"/>
      <w:szCs w:val="20"/>
    </w:rPr>
  </w:style>
  <w:style w:type="character" w:customStyle="1" w:styleId="FootnoteTextChar">
    <w:name w:val="Footnote Text Char"/>
    <w:link w:val="FootnoteText"/>
    <w:uiPriority w:val="99"/>
    <w:rsid w:val="00C261B0"/>
    <w:rPr>
      <w:sz w:val="18"/>
      <w:lang w:eastAsia="en-US"/>
    </w:rPr>
  </w:style>
  <w:style w:type="character" w:styleId="FootnoteReference">
    <w:name w:val="footnote reference"/>
    <w:uiPriority w:val="99"/>
    <w:semiHidden/>
    <w:unhideWhenUsed/>
    <w:rsid w:val="00EC23F4"/>
    <w:rPr>
      <w:vertAlign w:val="superscript"/>
    </w:rPr>
  </w:style>
  <w:style w:type="character" w:customStyle="1" w:styleId="Heading8Char">
    <w:name w:val="Heading 8 Char"/>
    <w:link w:val="Heading8"/>
    <w:uiPriority w:val="9"/>
    <w:semiHidden/>
    <w:rsid w:val="00AD11BB"/>
    <w:rPr>
      <w:rFonts w:ascii="Arial" w:eastAsia="Times New Roman" w:hAnsi="Arial" w:cs="Times New Roman"/>
      <w:color w:val="404040"/>
      <w:sz w:val="20"/>
      <w:szCs w:val="20"/>
    </w:rPr>
  </w:style>
  <w:style w:type="character" w:customStyle="1" w:styleId="Heading9Char">
    <w:name w:val="Heading 9 Char"/>
    <w:link w:val="Heading9"/>
    <w:uiPriority w:val="9"/>
    <w:semiHidden/>
    <w:rsid w:val="00AD11BB"/>
    <w:rPr>
      <w:rFonts w:ascii="Arial" w:eastAsia="Times New Roman" w:hAnsi="Arial" w:cs="Times New Roman"/>
      <w:i/>
      <w:iCs/>
      <w:color w:val="404040"/>
      <w:sz w:val="20"/>
      <w:szCs w:val="20"/>
    </w:rPr>
  </w:style>
  <w:style w:type="paragraph" w:customStyle="1" w:styleId="TableBullet">
    <w:name w:val="Table Bullet"/>
    <w:basedOn w:val="Normal"/>
    <w:rsid w:val="009A6983"/>
    <w:pPr>
      <w:numPr>
        <w:numId w:val="3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character" w:styleId="CommentReference">
    <w:name w:val="annotation reference"/>
    <w:uiPriority w:val="99"/>
    <w:semiHidden/>
    <w:unhideWhenUsed/>
    <w:rsid w:val="00846A15"/>
    <w:rPr>
      <w:sz w:val="16"/>
      <w:szCs w:val="16"/>
    </w:rPr>
  </w:style>
  <w:style w:type="paragraph" w:styleId="CommentText">
    <w:name w:val="annotation text"/>
    <w:basedOn w:val="Normal"/>
    <w:link w:val="CommentTextChar"/>
    <w:uiPriority w:val="99"/>
    <w:semiHidden/>
    <w:unhideWhenUsed/>
    <w:rsid w:val="00846A15"/>
    <w:pPr>
      <w:spacing w:line="240" w:lineRule="auto"/>
    </w:pPr>
    <w:rPr>
      <w:sz w:val="20"/>
      <w:szCs w:val="20"/>
    </w:rPr>
  </w:style>
  <w:style w:type="character" w:customStyle="1" w:styleId="CommentTextChar">
    <w:name w:val="Comment Text Char"/>
    <w:link w:val="CommentText"/>
    <w:uiPriority w:val="99"/>
    <w:semiHidden/>
    <w:rsid w:val="00846A1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46A15"/>
    <w:rPr>
      <w:b/>
      <w:bCs/>
    </w:rPr>
  </w:style>
  <w:style w:type="character" w:customStyle="1" w:styleId="CommentSubjectChar">
    <w:name w:val="Comment Subject Char"/>
    <w:link w:val="CommentSubject"/>
    <w:uiPriority w:val="99"/>
    <w:semiHidden/>
    <w:rsid w:val="00846A15"/>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tga.gov.au/hp/information-medicines-pi.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D9D3-C138-460A-B8FD-5C450CAB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32</Pages>
  <Words>12071</Words>
  <Characters>68207</Characters>
  <Application>Microsoft Office Word</Application>
  <DocSecurity>0</DocSecurity>
  <Lines>1311</Lines>
  <Paragraphs>698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2. Extract from the Clinical Evaluation Report for fluticasone propionate and azelastine hydrochloride</vt:lpstr>
      <vt:lpstr>Extract from the Clinical Evaluation Report for [...]</vt:lpstr>
    </vt:vector>
  </TitlesOfParts>
  <Company>Department of Health Therapeutic Goods Administration</Company>
  <LinksUpToDate>false</LinksUpToDate>
  <CharactersWithSpaces>79580</CharactersWithSpaces>
  <SharedDoc>false</SharedDoc>
  <HLinks>
    <vt:vector size="276" baseType="variant">
      <vt:variant>
        <vt:i4>6357037</vt:i4>
      </vt:variant>
      <vt:variant>
        <vt:i4>255</vt:i4>
      </vt:variant>
      <vt:variant>
        <vt:i4>0</vt:i4>
      </vt:variant>
      <vt:variant>
        <vt:i4>5</vt:i4>
      </vt:variant>
      <vt:variant>
        <vt:lpwstr>http://www.tga.gov.au/</vt:lpwstr>
      </vt:variant>
      <vt:variant>
        <vt:lpwstr/>
      </vt:variant>
      <vt:variant>
        <vt:i4>5242926</vt:i4>
      </vt:variant>
      <vt:variant>
        <vt:i4>252</vt:i4>
      </vt:variant>
      <vt:variant>
        <vt:i4>0</vt:i4>
      </vt:variant>
      <vt:variant>
        <vt:i4>5</vt:i4>
      </vt:variant>
      <vt:variant>
        <vt:lpwstr>mailto:info@tga.gov.au</vt:lpwstr>
      </vt:variant>
      <vt:variant>
        <vt:lpwstr/>
      </vt:variant>
      <vt:variant>
        <vt:i4>1835061</vt:i4>
      </vt:variant>
      <vt:variant>
        <vt:i4>245</vt:i4>
      </vt:variant>
      <vt:variant>
        <vt:i4>0</vt:i4>
      </vt:variant>
      <vt:variant>
        <vt:i4>5</vt:i4>
      </vt:variant>
      <vt:variant>
        <vt:lpwstr/>
      </vt:variant>
      <vt:variant>
        <vt:lpwstr>_Toc393969320</vt:lpwstr>
      </vt:variant>
      <vt:variant>
        <vt:i4>2031669</vt:i4>
      </vt:variant>
      <vt:variant>
        <vt:i4>239</vt:i4>
      </vt:variant>
      <vt:variant>
        <vt:i4>0</vt:i4>
      </vt:variant>
      <vt:variant>
        <vt:i4>5</vt:i4>
      </vt:variant>
      <vt:variant>
        <vt:lpwstr/>
      </vt:variant>
      <vt:variant>
        <vt:lpwstr>_Toc393969319</vt:lpwstr>
      </vt:variant>
      <vt:variant>
        <vt:i4>2031669</vt:i4>
      </vt:variant>
      <vt:variant>
        <vt:i4>233</vt:i4>
      </vt:variant>
      <vt:variant>
        <vt:i4>0</vt:i4>
      </vt:variant>
      <vt:variant>
        <vt:i4>5</vt:i4>
      </vt:variant>
      <vt:variant>
        <vt:lpwstr/>
      </vt:variant>
      <vt:variant>
        <vt:lpwstr>_Toc393969318</vt:lpwstr>
      </vt:variant>
      <vt:variant>
        <vt:i4>2031669</vt:i4>
      </vt:variant>
      <vt:variant>
        <vt:i4>227</vt:i4>
      </vt:variant>
      <vt:variant>
        <vt:i4>0</vt:i4>
      </vt:variant>
      <vt:variant>
        <vt:i4>5</vt:i4>
      </vt:variant>
      <vt:variant>
        <vt:lpwstr/>
      </vt:variant>
      <vt:variant>
        <vt:lpwstr>_Toc393969317</vt:lpwstr>
      </vt:variant>
      <vt:variant>
        <vt:i4>2031669</vt:i4>
      </vt:variant>
      <vt:variant>
        <vt:i4>221</vt:i4>
      </vt:variant>
      <vt:variant>
        <vt:i4>0</vt:i4>
      </vt:variant>
      <vt:variant>
        <vt:i4>5</vt:i4>
      </vt:variant>
      <vt:variant>
        <vt:lpwstr/>
      </vt:variant>
      <vt:variant>
        <vt:lpwstr>_Toc393969316</vt:lpwstr>
      </vt:variant>
      <vt:variant>
        <vt:i4>2031669</vt:i4>
      </vt:variant>
      <vt:variant>
        <vt:i4>215</vt:i4>
      </vt:variant>
      <vt:variant>
        <vt:i4>0</vt:i4>
      </vt:variant>
      <vt:variant>
        <vt:i4>5</vt:i4>
      </vt:variant>
      <vt:variant>
        <vt:lpwstr/>
      </vt:variant>
      <vt:variant>
        <vt:lpwstr>_Toc393969315</vt:lpwstr>
      </vt:variant>
      <vt:variant>
        <vt:i4>2031669</vt:i4>
      </vt:variant>
      <vt:variant>
        <vt:i4>209</vt:i4>
      </vt:variant>
      <vt:variant>
        <vt:i4>0</vt:i4>
      </vt:variant>
      <vt:variant>
        <vt:i4>5</vt:i4>
      </vt:variant>
      <vt:variant>
        <vt:lpwstr/>
      </vt:variant>
      <vt:variant>
        <vt:lpwstr>_Toc393969314</vt:lpwstr>
      </vt:variant>
      <vt:variant>
        <vt:i4>2031669</vt:i4>
      </vt:variant>
      <vt:variant>
        <vt:i4>203</vt:i4>
      </vt:variant>
      <vt:variant>
        <vt:i4>0</vt:i4>
      </vt:variant>
      <vt:variant>
        <vt:i4>5</vt:i4>
      </vt:variant>
      <vt:variant>
        <vt:lpwstr/>
      </vt:variant>
      <vt:variant>
        <vt:lpwstr>_Toc393969313</vt:lpwstr>
      </vt:variant>
      <vt:variant>
        <vt:i4>2031669</vt:i4>
      </vt:variant>
      <vt:variant>
        <vt:i4>197</vt:i4>
      </vt:variant>
      <vt:variant>
        <vt:i4>0</vt:i4>
      </vt:variant>
      <vt:variant>
        <vt:i4>5</vt:i4>
      </vt:variant>
      <vt:variant>
        <vt:lpwstr/>
      </vt:variant>
      <vt:variant>
        <vt:lpwstr>_Toc393969312</vt:lpwstr>
      </vt:variant>
      <vt:variant>
        <vt:i4>2031669</vt:i4>
      </vt:variant>
      <vt:variant>
        <vt:i4>191</vt:i4>
      </vt:variant>
      <vt:variant>
        <vt:i4>0</vt:i4>
      </vt:variant>
      <vt:variant>
        <vt:i4>5</vt:i4>
      </vt:variant>
      <vt:variant>
        <vt:lpwstr/>
      </vt:variant>
      <vt:variant>
        <vt:lpwstr>_Toc393969311</vt:lpwstr>
      </vt:variant>
      <vt:variant>
        <vt:i4>2031669</vt:i4>
      </vt:variant>
      <vt:variant>
        <vt:i4>185</vt:i4>
      </vt:variant>
      <vt:variant>
        <vt:i4>0</vt:i4>
      </vt:variant>
      <vt:variant>
        <vt:i4>5</vt:i4>
      </vt:variant>
      <vt:variant>
        <vt:lpwstr/>
      </vt:variant>
      <vt:variant>
        <vt:lpwstr>_Toc393969310</vt:lpwstr>
      </vt:variant>
      <vt:variant>
        <vt:i4>1966133</vt:i4>
      </vt:variant>
      <vt:variant>
        <vt:i4>179</vt:i4>
      </vt:variant>
      <vt:variant>
        <vt:i4>0</vt:i4>
      </vt:variant>
      <vt:variant>
        <vt:i4>5</vt:i4>
      </vt:variant>
      <vt:variant>
        <vt:lpwstr/>
      </vt:variant>
      <vt:variant>
        <vt:lpwstr>_Toc393969309</vt:lpwstr>
      </vt:variant>
      <vt:variant>
        <vt:i4>1966133</vt:i4>
      </vt:variant>
      <vt:variant>
        <vt:i4>173</vt:i4>
      </vt:variant>
      <vt:variant>
        <vt:i4>0</vt:i4>
      </vt:variant>
      <vt:variant>
        <vt:i4>5</vt:i4>
      </vt:variant>
      <vt:variant>
        <vt:lpwstr/>
      </vt:variant>
      <vt:variant>
        <vt:lpwstr>_Toc393969308</vt:lpwstr>
      </vt:variant>
      <vt:variant>
        <vt:i4>1966133</vt:i4>
      </vt:variant>
      <vt:variant>
        <vt:i4>167</vt:i4>
      </vt:variant>
      <vt:variant>
        <vt:i4>0</vt:i4>
      </vt:variant>
      <vt:variant>
        <vt:i4>5</vt:i4>
      </vt:variant>
      <vt:variant>
        <vt:lpwstr/>
      </vt:variant>
      <vt:variant>
        <vt:lpwstr>_Toc393969307</vt:lpwstr>
      </vt:variant>
      <vt:variant>
        <vt:i4>1966133</vt:i4>
      </vt:variant>
      <vt:variant>
        <vt:i4>161</vt:i4>
      </vt:variant>
      <vt:variant>
        <vt:i4>0</vt:i4>
      </vt:variant>
      <vt:variant>
        <vt:i4>5</vt:i4>
      </vt:variant>
      <vt:variant>
        <vt:lpwstr/>
      </vt:variant>
      <vt:variant>
        <vt:lpwstr>_Toc393969306</vt:lpwstr>
      </vt:variant>
      <vt:variant>
        <vt:i4>1966133</vt:i4>
      </vt:variant>
      <vt:variant>
        <vt:i4>155</vt:i4>
      </vt:variant>
      <vt:variant>
        <vt:i4>0</vt:i4>
      </vt:variant>
      <vt:variant>
        <vt:i4>5</vt:i4>
      </vt:variant>
      <vt:variant>
        <vt:lpwstr/>
      </vt:variant>
      <vt:variant>
        <vt:lpwstr>_Toc393969305</vt:lpwstr>
      </vt:variant>
      <vt:variant>
        <vt:i4>1966133</vt:i4>
      </vt:variant>
      <vt:variant>
        <vt:i4>149</vt:i4>
      </vt:variant>
      <vt:variant>
        <vt:i4>0</vt:i4>
      </vt:variant>
      <vt:variant>
        <vt:i4>5</vt:i4>
      </vt:variant>
      <vt:variant>
        <vt:lpwstr/>
      </vt:variant>
      <vt:variant>
        <vt:lpwstr>_Toc393969304</vt:lpwstr>
      </vt:variant>
      <vt:variant>
        <vt:i4>1966133</vt:i4>
      </vt:variant>
      <vt:variant>
        <vt:i4>143</vt:i4>
      </vt:variant>
      <vt:variant>
        <vt:i4>0</vt:i4>
      </vt:variant>
      <vt:variant>
        <vt:i4>5</vt:i4>
      </vt:variant>
      <vt:variant>
        <vt:lpwstr/>
      </vt:variant>
      <vt:variant>
        <vt:lpwstr>_Toc393969303</vt:lpwstr>
      </vt:variant>
      <vt:variant>
        <vt:i4>1966133</vt:i4>
      </vt:variant>
      <vt:variant>
        <vt:i4>137</vt:i4>
      </vt:variant>
      <vt:variant>
        <vt:i4>0</vt:i4>
      </vt:variant>
      <vt:variant>
        <vt:i4>5</vt:i4>
      </vt:variant>
      <vt:variant>
        <vt:lpwstr/>
      </vt:variant>
      <vt:variant>
        <vt:lpwstr>_Toc393969302</vt:lpwstr>
      </vt:variant>
      <vt:variant>
        <vt:i4>1966133</vt:i4>
      </vt:variant>
      <vt:variant>
        <vt:i4>131</vt:i4>
      </vt:variant>
      <vt:variant>
        <vt:i4>0</vt:i4>
      </vt:variant>
      <vt:variant>
        <vt:i4>5</vt:i4>
      </vt:variant>
      <vt:variant>
        <vt:lpwstr/>
      </vt:variant>
      <vt:variant>
        <vt:lpwstr>_Toc393969301</vt:lpwstr>
      </vt:variant>
      <vt:variant>
        <vt:i4>1966133</vt:i4>
      </vt:variant>
      <vt:variant>
        <vt:i4>125</vt:i4>
      </vt:variant>
      <vt:variant>
        <vt:i4>0</vt:i4>
      </vt:variant>
      <vt:variant>
        <vt:i4>5</vt:i4>
      </vt:variant>
      <vt:variant>
        <vt:lpwstr/>
      </vt:variant>
      <vt:variant>
        <vt:lpwstr>_Toc393969300</vt:lpwstr>
      </vt:variant>
      <vt:variant>
        <vt:i4>1507380</vt:i4>
      </vt:variant>
      <vt:variant>
        <vt:i4>119</vt:i4>
      </vt:variant>
      <vt:variant>
        <vt:i4>0</vt:i4>
      </vt:variant>
      <vt:variant>
        <vt:i4>5</vt:i4>
      </vt:variant>
      <vt:variant>
        <vt:lpwstr/>
      </vt:variant>
      <vt:variant>
        <vt:lpwstr>_Toc393969299</vt:lpwstr>
      </vt:variant>
      <vt:variant>
        <vt:i4>1507380</vt:i4>
      </vt:variant>
      <vt:variant>
        <vt:i4>113</vt:i4>
      </vt:variant>
      <vt:variant>
        <vt:i4>0</vt:i4>
      </vt:variant>
      <vt:variant>
        <vt:i4>5</vt:i4>
      </vt:variant>
      <vt:variant>
        <vt:lpwstr/>
      </vt:variant>
      <vt:variant>
        <vt:lpwstr>_Toc393969298</vt:lpwstr>
      </vt:variant>
      <vt:variant>
        <vt:i4>1507380</vt:i4>
      </vt:variant>
      <vt:variant>
        <vt:i4>107</vt:i4>
      </vt:variant>
      <vt:variant>
        <vt:i4>0</vt:i4>
      </vt:variant>
      <vt:variant>
        <vt:i4>5</vt:i4>
      </vt:variant>
      <vt:variant>
        <vt:lpwstr/>
      </vt:variant>
      <vt:variant>
        <vt:lpwstr>_Toc393969297</vt:lpwstr>
      </vt:variant>
      <vt:variant>
        <vt:i4>1507380</vt:i4>
      </vt:variant>
      <vt:variant>
        <vt:i4>101</vt:i4>
      </vt:variant>
      <vt:variant>
        <vt:i4>0</vt:i4>
      </vt:variant>
      <vt:variant>
        <vt:i4>5</vt:i4>
      </vt:variant>
      <vt:variant>
        <vt:lpwstr/>
      </vt:variant>
      <vt:variant>
        <vt:lpwstr>_Toc393969296</vt:lpwstr>
      </vt:variant>
      <vt:variant>
        <vt:i4>1507380</vt:i4>
      </vt:variant>
      <vt:variant>
        <vt:i4>95</vt:i4>
      </vt:variant>
      <vt:variant>
        <vt:i4>0</vt:i4>
      </vt:variant>
      <vt:variant>
        <vt:i4>5</vt:i4>
      </vt:variant>
      <vt:variant>
        <vt:lpwstr/>
      </vt:variant>
      <vt:variant>
        <vt:lpwstr>_Toc393969295</vt:lpwstr>
      </vt:variant>
      <vt:variant>
        <vt:i4>1507380</vt:i4>
      </vt:variant>
      <vt:variant>
        <vt:i4>89</vt:i4>
      </vt:variant>
      <vt:variant>
        <vt:i4>0</vt:i4>
      </vt:variant>
      <vt:variant>
        <vt:i4>5</vt:i4>
      </vt:variant>
      <vt:variant>
        <vt:lpwstr/>
      </vt:variant>
      <vt:variant>
        <vt:lpwstr>_Toc393969294</vt:lpwstr>
      </vt:variant>
      <vt:variant>
        <vt:i4>1507380</vt:i4>
      </vt:variant>
      <vt:variant>
        <vt:i4>83</vt:i4>
      </vt:variant>
      <vt:variant>
        <vt:i4>0</vt:i4>
      </vt:variant>
      <vt:variant>
        <vt:i4>5</vt:i4>
      </vt:variant>
      <vt:variant>
        <vt:lpwstr/>
      </vt:variant>
      <vt:variant>
        <vt:lpwstr>_Toc393969293</vt:lpwstr>
      </vt:variant>
      <vt:variant>
        <vt:i4>1507380</vt:i4>
      </vt:variant>
      <vt:variant>
        <vt:i4>77</vt:i4>
      </vt:variant>
      <vt:variant>
        <vt:i4>0</vt:i4>
      </vt:variant>
      <vt:variant>
        <vt:i4>5</vt:i4>
      </vt:variant>
      <vt:variant>
        <vt:lpwstr/>
      </vt:variant>
      <vt:variant>
        <vt:lpwstr>_Toc393969292</vt:lpwstr>
      </vt:variant>
      <vt:variant>
        <vt:i4>1507380</vt:i4>
      </vt:variant>
      <vt:variant>
        <vt:i4>71</vt:i4>
      </vt:variant>
      <vt:variant>
        <vt:i4>0</vt:i4>
      </vt:variant>
      <vt:variant>
        <vt:i4>5</vt:i4>
      </vt:variant>
      <vt:variant>
        <vt:lpwstr/>
      </vt:variant>
      <vt:variant>
        <vt:lpwstr>_Toc393969291</vt:lpwstr>
      </vt:variant>
      <vt:variant>
        <vt:i4>1507380</vt:i4>
      </vt:variant>
      <vt:variant>
        <vt:i4>65</vt:i4>
      </vt:variant>
      <vt:variant>
        <vt:i4>0</vt:i4>
      </vt:variant>
      <vt:variant>
        <vt:i4>5</vt:i4>
      </vt:variant>
      <vt:variant>
        <vt:lpwstr/>
      </vt:variant>
      <vt:variant>
        <vt:lpwstr>_Toc393969290</vt:lpwstr>
      </vt:variant>
      <vt:variant>
        <vt:i4>1441844</vt:i4>
      </vt:variant>
      <vt:variant>
        <vt:i4>59</vt:i4>
      </vt:variant>
      <vt:variant>
        <vt:i4>0</vt:i4>
      </vt:variant>
      <vt:variant>
        <vt:i4>5</vt:i4>
      </vt:variant>
      <vt:variant>
        <vt:lpwstr/>
      </vt:variant>
      <vt:variant>
        <vt:lpwstr>_Toc393969289</vt:lpwstr>
      </vt:variant>
      <vt:variant>
        <vt:i4>1441844</vt:i4>
      </vt:variant>
      <vt:variant>
        <vt:i4>53</vt:i4>
      </vt:variant>
      <vt:variant>
        <vt:i4>0</vt:i4>
      </vt:variant>
      <vt:variant>
        <vt:i4>5</vt:i4>
      </vt:variant>
      <vt:variant>
        <vt:lpwstr/>
      </vt:variant>
      <vt:variant>
        <vt:lpwstr>_Toc393969288</vt:lpwstr>
      </vt:variant>
      <vt:variant>
        <vt:i4>1441844</vt:i4>
      </vt:variant>
      <vt:variant>
        <vt:i4>47</vt:i4>
      </vt:variant>
      <vt:variant>
        <vt:i4>0</vt:i4>
      </vt:variant>
      <vt:variant>
        <vt:i4>5</vt:i4>
      </vt:variant>
      <vt:variant>
        <vt:lpwstr/>
      </vt:variant>
      <vt:variant>
        <vt:lpwstr>_Toc393969287</vt:lpwstr>
      </vt:variant>
      <vt:variant>
        <vt:i4>1441844</vt:i4>
      </vt:variant>
      <vt:variant>
        <vt:i4>41</vt:i4>
      </vt:variant>
      <vt:variant>
        <vt:i4>0</vt:i4>
      </vt:variant>
      <vt:variant>
        <vt:i4>5</vt:i4>
      </vt:variant>
      <vt:variant>
        <vt:lpwstr/>
      </vt:variant>
      <vt:variant>
        <vt:lpwstr>_Toc393969286</vt:lpwstr>
      </vt:variant>
      <vt:variant>
        <vt:i4>1441844</vt:i4>
      </vt:variant>
      <vt:variant>
        <vt:i4>35</vt:i4>
      </vt:variant>
      <vt:variant>
        <vt:i4>0</vt:i4>
      </vt:variant>
      <vt:variant>
        <vt:i4>5</vt:i4>
      </vt:variant>
      <vt:variant>
        <vt:lpwstr/>
      </vt:variant>
      <vt:variant>
        <vt:lpwstr>_Toc393969285</vt:lpwstr>
      </vt:variant>
      <vt:variant>
        <vt:i4>1441844</vt:i4>
      </vt:variant>
      <vt:variant>
        <vt:i4>29</vt:i4>
      </vt:variant>
      <vt:variant>
        <vt:i4>0</vt:i4>
      </vt:variant>
      <vt:variant>
        <vt:i4>5</vt:i4>
      </vt:variant>
      <vt:variant>
        <vt:lpwstr/>
      </vt:variant>
      <vt:variant>
        <vt:lpwstr>_Toc393969284</vt:lpwstr>
      </vt:variant>
      <vt:variant>
        <vt:i4>1441844</vt:i4>
      </vt:variant>
      <vt:variant>
        <vt:i4>23</vt:i4>
      </vt:variant>
      <vt:variant>
        <vt:i4>0</vt:i4>
      </vt:variant>
      <vt:variant>
        <vt:i4>5</vt:i4>
      </vt:variant>
      <vt:variant>
        <vt:lpwstr/>
      </vt:variant>
      <vt:variant>
        <vt:lpwstr>_Toc393969283</vt:lpwstr>
      </vt:variant>
      <vt:variant>
        <vt:i4>1441844</vt:i4>
      </vt:variant>
      <vt:variant>
        <vt:i4>17</vt:i4>
      </vt:variant>
      <vt:variant>
        <vt:i4>0</vt:i4>
      </vt:variant>
      <vt:variant>
        <vt:i4>5</vt:i4>
      </vt:variant>
      <vt:variant>
        <vt:lpwstr/>
      </vt:variant>
      <vt:variant>
        <vt:lpwstr>_Toc393969282</vt:lpwstr>
      </vt:variant>
      <vt:variant>
        <vt:i4>1441844</vt:i4>
      </vt:variant>
      <vt:variant>
        <vt:i4>11</vt:i4>
      </vt:variant>
      <vt:variant>
        <vt:i4>0</vt:i4>
      </vt:variant>
      <vt:variant>
        <vt:i4>5</vt:i4>
      </vt:variant>
      <vt:variant>
        <vt:lpwstr/>
      </vt:variant>
      <vt:variant>
        <vt:lpwstr>_Toc393969281</vt:lpwstr>
      </vt:variant>
      <vt:variant>
        <vt:i4>6291548</vt:i4>
      </vt:variant>
      <vt:variant>
        <vt:i4>6</vt:i4>
      </vt:variant>
      <vt:variant>
        <vt:i4>0</vt:i4>
      </vt:variant>
      <vt:variant>
        <vt:i4>5</vt:i4>
      </vt:variant>
      <vt:variant>
        <vt:lpwstr>mailto:tga.copyright@tga.gov.au</vt:lpwstr>
      </vt:variant>
      <vt:variant>
        <vt:lpwstr/>
      </vt:variant>
      <vt:variant>
        <vt:i4>5701660</vt:i4>
      </vt:variant>
      <vt:variant>
        <vt:i4>3</vt:i4>
      </vt:variant>
      <vt:variant>
        <vt:i4>0</vt:i4>
      </vt:variant>
      <vt:variant>
        <vt:i4>5</vt:i4>
      </vt:variant>
      <vt:variant>
        <vt:lpwstr>http://www.tga.gov.au/hp/information-medicines-pi.htm</vt:lpwstr>
      </vt:variant>
      <vt:variant>
        <vt:lpwstr/>
      </vt:variant>
      <vt:variant>
        <vt:i4>6357037</vt:i4>
      </vt:variant>
      <vt:variant>
        <vt:i4>0</vt:i4>
      </vt:variant>
      <vt:variant>
        <vt:i4>0</vt:i4>
      </vt:variant>
      <vt:variant>
        <vt:i4>5</vt:i4>
      </vt:variant>
      <vt:variant>
        <vt:lpwstr>http://www.tga.gov.au/</vt:lpwstr>
      </vt:variant>
      <vt:variant>
        <vt:lpwstr/>
      </vt:variant>
      <vt:variant>
        <vt:i4>5177349</vt:i4>
      </vt:variant>
      <vt:variant>
        <vt:i4>0</vt:i4>
      </vt:variant>
      <vt:variant>
        <vt:i4>0</vt:i4>
      </vt:variant>
      <vt:variant>
        <vt:i4>5</vt:i4>
      </vt:variant>
      <vt:variant>
        <vt:lpwstr>http://www.whiar.org/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fluticasone propionate and azelastine hydrochloride</dc:title>
  <dc:subject>prescription medicine regulation</dc:subject>
  <dc:creator>Therapeutic Goods Administration</dc:creator>
  <cp:keywords>clinical, evaluation, report, medicine, assessment, regulation, australia,fluticasone, propionate, azelastine, hydrochloride, meda, pharmaceuticals</cp:keywords>
  <cp:lastModifiedBy>Sheppard, Fran</cp:lastModifiedBy>
  <cp:revision>36</cp:revision>
  <cp:lastPrinted>2010-12-20T22:59:00Z</cp:lastPrinted>
  <dcterms:created xsi:type="dcterms:W3CDTF">2014-08-25T05:13:00Z</dcterms:created>
  <dcterms:modified xsi:type="dcterms:W3CDTF">2014-08-29T10:27:00Z</dcterms:modified>
</cp:coreProperties>
</file>