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0F" w:rsidRPr="007835FF" w:rsidRDefault="002F614C" w:rsidP="007835FF">
      <w:pPr>
        <w:spacing w:after="240"/>
        <w:jc w:val="center"/>
        <w:rPr>
          <w:rFonts w:ascii="Arial" w:hAnsi="Arial" w:cs="Arial"/>
          <w:b/>
          <w:sz w:val="22"/>
          <w:szCs w:val="22"/>
        </w:rPr>
      </w:pPr>
      <w:bookmarkStart w:id="0" w:name="_GoBack"/>
      <w:bookmarkEnd w:id="0"/>
      <w:r>
        <w:rPr>
          <w:rFonts w:ascii="Arial" w:hAnsi="Arial" w:cs="Arial"/>
          <w:b/>
          <w:sz w:val="22"/>
          <w:szCs w:val="22"/>
        </w:rPr>
        <w:t>BREO</w:t>
      </w:r>
      <w:r w:rsidR="00402545" w:rsidRPr="007835FF">
        <w:rPr>
          <w:rFonts w:ascii="Arial" w:hAnsi="Arial" w:cs="Arial"/>
          <w:b/>
          <w:sz w:val="22"/>
          <w:szCs w:val="22"/>
          <w:vertAlign w:val="superscript"/>
        </w:rPr>
        <w:t>TM</w:t>
      </w:r>
      <w:r w:rsidR="00402545" w:rsidRPr="007835FF">
        <w:rPr>
          <w:rFonts w:ascii="Arial" w:hAnsi="Arial" w:cs="Arial"/>
          <w:b/>
          <w:sz w:val="22"/>
          <w:szCs w:val="22"/>
        </w:rPr>
        <w:t xml:space="preserve"> ELLIPTA</w:t>
      </w:r>
      <w:r w:rsidR="00493F44">
        <w:rPr>
          <w:rFonts w:ascii="Arial" w:hAnsi="Arial" w:cs="Arial"/>
          <w:b/>
          <w:sz w:val="22"/>
          <w:szCs w:val="22"/>
          <w:vertAlign w:val="superscript"/>
        </w:rPr>
        <w:t>®</w:t>
      </w:r>
    </w:p>
    <w:p w:rsidR="007A4294" w:rsidRPr="007835FF" w:rsidRDefault="0077380F" w:rsidP="007835FF">
      <w:pPr>
        <w:spacing w:after="240"/>
        <w:jc w:val="center"/>
        <w:rPr>
          <w:rFonts w:ascii="Arial" w:hAnsi="Arial" w:cs="Arial"/>
          <w:b/>
          <w:sz w:val="22"/>
          <w:szCs w:val="22"/>
        </w:rPr>
      </w:pPr>
      <w:r w:rsidRPr="007835FF">
        <w:rPr>
          <w:rFonts w:ascii="Arial" w:hAnsi="Arial" w:cs="Arial"/>
          <w:b/>
          <w:sz w:val="22"/>
          <w:szCs w:val="22"/>
        </w:rPr>
        <w:t>PRODUCT INFORMATION</w:t>
      </w:r>
    </w:p>
    <w:p w:rsidR="007A0414" w:rsidRPr="007835FF" w:rsidRDefault="007A0414" w:rsidP="007835FF">
      <w:pPr>
        <w:spacing w:after="240"/>
        <w:jc w:val="center"/>
        <w:rPr>
          <w:rFonts w:ascii="Arial" w:hAnsi="Arial" w:cs="Arial"/>
          <w:b/>
          <w:sz w:val="22"/>
          <w:szCs w:val="22"/>
        </w:rPr>
      </w:pPr>
    </w:p>
    <w:p w:rsidR="00E81E59" w:rsidRPr="007835FF" w:rsidRDefault="0077380F" w:rsidP="007835FF">
      <w:pPr>
        <w:spacing w:after="240"/>
        <w:jc w:val="both"/>
        <w:rPr>
          <w:rFonts w:ascii="Arial" w:hAnsi="Arial" w:cs="Arial"/>
          <w:sz w:val="22"/>
          <w:szCs w:val="22"/>
        </w:rPr>
      </w:pPr>
      <w:r w:rsidRPr="007835FF">
        <w:rPr>
          <w:rFonts w:ascii="Arial" w:hAnsi="Arial" w:cs="Arial"/>
          <w:b/>
          <w:sz w:val="22"/>
          <w:szCs w:val="22"/>
        </w:rPr>
        <w:t>NAME OF THE MEDICINE</w:t>
      </w:r>
      <w:r w:rsidR="00C556BA" w:rsidRPr="007835FF">
        <w:rPr>
          <w:rFonts w:ascii="Arial" w:hAnsi="Arial" w:cs="Arial"/>
          <w:sz w:val="22"/>
          <w:szCs w:val="22"/>
        </w:rPr>
        <w:tab/>
      </w:r>
      <w:r w:rsidR="00C556BA" w:rsidRPr="007835FF">
        <w:rPr>
          <w:rFonts w:ascii="Arial" w:hAnsi="Arial" w:cs="Arial"/>
          <w:sz w:val="22"/>
          <w:szCs w:val="22"/>
        </w:rPr>
        <w:tab/>
      </w:r>
      <w:r w:rsidR="00370FBA" w:rsidRPr="007835FF">
        <w:rPr>
          <w:rFonts w:ascii="Arial" w:hAnsi="Arial" w:cs="Arial"/>
          <w:sz w:val="22"/>
          <w:szCs w:val="22"/>
        </w:rPr>
        <w:t xml:space="preserve">Fluticasone </w:t>
      </w:r>
      <w:proofErr w:type="spellStart"/>
      <w:r w:rsidR="00370FBA" w:rsidRPr="007835FF">
        <w:rPr>
          <w:rFonts w:ascii="Arial" w:hAnsi="Arial" w:cs="Arial"/>
          <w:sz w:val="22"/>
          <w:szCs w:val="22"/>
        </w:rPr>
        <w:t>furoate</w:t>
      </w:r>
      <w:proofErr w:type="spellEnd"/>
      <w:r w:rsidR="00370FBA" w:rsidRPr="007835FF">
        <w:rPr>
          <w:rFonts w:ascii="Arial" w:hAnsi="Arial" w:cs="Arial"/>
          <w:sz w:val="22"/>
          <w:szCs w:val="22"/>
        </w:rPr>
        <w:t>/</w:t>
      </w:r>
      <w:proofErr w:type="spellStart"/>
      <w:r w:rsidR="00370FBA" w:rsidRPr="007835FF">
        <w:rPr>
          <w:rFonts w:ascii="Arial" w:hAnsi="Arial" w:cs="Arial"/>
          <w:sz w:val="22"/>
          <w:szCs w:val="22"/>
        </w:rPr>
        <w:t>vilanterol</w:t>
      </w:r>
      <w:proofErr w:type="spellEnd"/>
      <w:r w:rsidR="00370FBA" w:rsidRPr="007835FF">
        <w:rPr>
          <w:rFonts w:ascii="Arial" w:hAnsi="Arial" w:cs="Arial"/>
          <w:sz w:val="22"/>
          <w:szCs w:val="22"/>
        </w:rPr>
        <w:t xml:space="preserve"> </w:t>
      </w:r>
      <w:proofErr w:type="spellStart"/>
      <w:r w:rsidR="00370FBA" w:rsidRPr="007835FF">
        <w:rPr>
          <w:rFonts w:ascii="Arial" w:hAnsi="Arial" w:cs="Arial"/>
          <w:sz w:val="22"/>
          <w:szCs w:val="22"/>
        </w:rPr>
        <w:t>trifenatate</w:t>
      </w:r>
      <w:proofErr w:type="spellEnd"/>
    </w:p>
    <w:p w:rsidR="00370FBA" w:rsidRPr="007835FF" w:rsidRDefault="00370FBA" w:rsidP="007835FF">
      <w:pPr>
        <w:pStyle w:val="NoNumHead2"/>
        <w:spacing w:before="0"/>
        <w:rPr>
          <w:rFonts w:eastAsia="MS Mincho"/>
          <w:snapToGrid w:val="0"/>
          <w:sz w:val="22"/>
          <w:lang w:val="en-US" w:eastAsia="en-US"/>
        </w:rPr>
      </w:pPr>
      <w:r w:rsidRPr="007835FF">
        <w:rPr>
          <w:rFonts w:eastAsia="MS Mincho"/>
          <w:snapToGrid w:val="0"/>
          <w:sz w:val="22"/>
          <w:lang w:val="en-US" w:eastAsia="en-US"/>
        </w:rPr>
        <w:t xml:space="preserve">Structure of fluticasone </w:t>
      </w:r>
      <w:proofErr w:type="spellStart"/>
      <w:r w:rsidRPr="007835FF">
        <w:rPr>
          <w:rFonts w:eastAsia="MS Mincho"/>
          <w:snapToGrid w:val="0"/>
          <w:sz w:val="22"/>
          <w:lang w:val="en-US" w:eastAsia="en-US"/>
        </w:rPr>
        <w:t>furoate</w:t>
      </w:r>
      <w:proofErr w:type="spellEnd"/>
      <w:r w:rsidRPr="007835FF">
        <w:rPr>
          <w:rFonts w:eastAsia="MS Mincho"/>
          <w:snapToGrid w:val="0"/>
          <w:sz w:val="22"/>
          <w:lang w:val="en-US" w:eastAsia="en-US"/>
        </w:rPr>
        <w:t xml:space="preserve"> </w:t>
      </w:r>
    </w:p>
    <w:p w:rsidR="00370FBA" w:rsidRPr="007835FF" w:rsidRDefault="001C196C" w:rsidP="007835FF">
      <w:pPr>
        <w:pStyle w:val="NoNumHead2"/>
        <w:spacing w:before="0"/>
        <w:rPr>
          <w:rFonts w:eastAsia="MS Mincho"/>
          <w:snapToGrid w:val="0"/>
          <w:lang w:val="en-US" w:eastAsia="en-US"/>
        </w:rPr>
      </w:pPr>
      <w:r>
        <w:rPr>
          <w:noProof/>
          <w:sz w:val="24"/>
          <w:szCs w:val="24"/>
          <w:lang w:val="en-AU" w:eastAsia="en-AU"/>
        </w:rPr>
        <w:drawing>
          <wp:inline distT="0" distB="0" distL="0" distR="0">
            <wp:extent cx="2268855" cy="1587500"/>
            <wp:effectExtent l="0" t="0" r="0" b="0"/>
            <wp:docPr id="1" name="Picture 1" descr="Structure of fluticasone fur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855" cy="1587500"/>
                    </a:xfrm>
                    <a:prstGeom prst="rect">
                      <a:avLst/>
                    </a:prstGeom>
                    <a:noFill/>
                    <a:ln>
                      <a:noFill/>
                    </a:ln>
                  </pic:spPr>
                </pic:pic>
              </a:graphicData>
            </a:graphic>
          </wp:inline>
        </w:drawing>
      </w:r>
    </w:p>
    <w:p w:rsidR="00370FBA" w:rsidRPr="007835FF" w:rsidRDefault="00370FBA" w:rsidP="007835FF">
      <w:pPr>
        <w:pStyle w:val="NoNumHead2"/>
        <w:spacing w:before="0"/>
        <w:rPr>
          <w:rFonts w:eastAsia="MS Mincho"/>
          <w:snapToGrid w:val="0"/>
          <w:sz w:val="22"/>
          <w:lang w:val="en-US" w:eastAsia="en-US"/>
        </w:rPr>
      </w:pPr>
      <w:r w:rsidRPr="007835FF">
        <w:rPr>
          <w:rFonts w:eastAsia="MS Mincho"/>
          <w:snapToGrid w:val="0"/>
          <w:sz w:val="22"/>
          <w:lang w:val="en-US" w:eastAsia="en-US"/>
        </w:rPr>
        <w:t xml:space="preserve">Structure of </w:t>
      </w:r>
      <w:proofErr w:type="spellStart"/>
      <w:r w:rsidRPr="007835FF">
        <w:rPr>
          <w:rFonts w:eastAsia="MS Mincho"/>
          <w:snapToGrid w:val="0"/>
          <w:sz w:val="22"/>
          <w:lang w:val="en-US" w:eastAsia="en-US"/>
        </w:rPr>
        <w:t>vilanterol</w:t>
      </w:r>
      <w:proofErr w:type="spellEnd"/>
      <w:r w:rsidRPr="007835FF">
        <w:rPr>
          <w:rFonts w:eastAsia="MS Mincho"/>
          <w:snapToGrid w:val="0"/>
          <w:sz w:val="22"/>
          <w:lang w:val="en-US" w:eastAsia="en-US"/>
        </w:rPr>
        <w:t xml:space="preserve"> </w:t>
      </w:r>
      <w:proofErr w:type="spellStart"/>
      <w:r w:rsidRPr="007835FF">
        <w:rPr>
          <w:rFonts w:eastAsia="MS Mincho"/>
          <w:snapToGrid w:val="0"/>
          <w:sz w:val="22"/>
          <w:lang w:val="en-US" w:eastAsia="en-US"/>
        </w:rPr>
        <w:t>trifenatate</w:t>
      </w:r>
      <w:proofErr w:type="spellEnd"/>
    </w:p>
    <w:p w:rsidR="004F640B" w:rsidRPr="007835FF" w:rsidRDefault="00B54250" w:rsidP="007835FF">
      <w:pPr>
        <w:spacing w:after="240"/>
        <w:jc w:val="both"/>
        <w:rPr>
          <w:rFonts w:ascii="Arial" w:eastAsia="Calibri" w:hAnsi="Arial" w:cs="Arial"/>
          <w:sz w:val="22"/>
          <w:szCs w:val="22"/>
          <w:lang w:eastAsia="en-US"/>
        </w:rPr>
      </w:pPr>
      <w:r w:rsidRPr="007835FF">
        <w:rPr>
          <w:rFonts w:ascii="Arial" w:eastAsia="Calibri" w:hAnsi="Arial" w:cs="Arial"/>
          <w:sz w:val="22"/>
          <w:szCs w:val="22"/>
          <w:lang w:eastAsia="en-US"/>
        </w:rPr>
        <w:object w:dxaOrig="7568" w:dyaOrig="1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e of vilanterol trifenatate" style="width:215.1pt;height:47.85pt" o:ole="">
            <v:imagedata r:id="rId10" o:title=""/>
          </v:shape>
          <o:OLEObject Type="Embed" ProgID="ISISServer" ShapeID="_x0000_i1025" DrawAspect="Content" ObjectID="_1477911829" r:id="rId11"/>
        </w:object>
      </w:r>
    </w:p>
    <w:p w:rsidR="00370FBA" w:rsidRPr="007835FF" w:rsidRDefault="00370FBA" w:rsidP="007835FF">
      <w:pPr>
        <w:tabs>
          <w:tab w:val="left" w:pos="2880"/>
        </w:tabs>
        <w:spacing w:after="240"/>
        <w:ind w:left="2880" w:hanging="2880"/>
        <w:outlineLvl w:val="0"/>
        <w:rPr>
          <w:rFonts w:ascii="Arial" w:hAnsi="Arial" w:cs="Arial"/>
          <w:sz w:val="22"/>
          <w:szCs w:val="24"/>
        </w:rPr>
      </w:pPr>
      <w:r w:rsidRPr="007835FF">
        <w:rPr>
          <w:rFonts w:ascii="Arial" w:hAnsi="Arial" w:cs="Arial"/>
          <w:b/>
          <w:sz w:val="22"/>
          <w:szCs w:val="22"/>
        </w:rPr>
        <w:t>Chemical Name:</w:t>
      </w:r>
      <w:r w:rsidRPr="007835FF">
        <w:rPr>
          <w:rFonts w:ascii="Arial" w:hAnsi="Arial" w:cs="Arial"/>
          <w:sz w:val="22"/>
          <w:szCs w:val="22"/>
        </w:rPr>
        <w:tab/>
        <w:t xml:space="preserve">The chemical name of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is a</w:t>
      </w:r>
      <w:r w:rsidRPr="007835FF">
        <w:rPr>
          <w:rFonts w:ascii="Arial" w:hAnsi="Arial" w:cs="Arial"/>
          <w:sz w:val="22"/>
          <w:szCs w:val="24"/>
        </w:rPr>
        <w:t>ndrosta-1</w:t>
      </w:r>
      <w:proofErr w:type="gramStart"/>
      <w:r w:rsidRPr="007835FF">
        <w:rPr>
          <w:rFonts w:ascii="Arial" w:hAnsi="Arial" w:cs="Arial"/>
          <w:sz w:val="22"/>
          <w:szCs w:val="24"/>
        </w:rPr>
        <w:t>,4</w:t>
      </w:r>
      <w:proofErr w:type="gramEnd"/>
      <w:r w:rsidRPr="007835FF">
        <w:rPr>
          <w:rFonts w:ascii="Arial" w:hAnsi="Arial" w:cs="Arial"/>
          <w:sz w:val="22"/>
          <w:szCs w:val="24"/>
        </w:rPr>
        <w:t>-diene-17-carbothioic acid, 6,9-difluoro-17-[(2-furanylcarbonyl)oxy]-11-hydroxy-16-methyl-3-oxo-, S-(</w:t>
      </w:r>
      <w:proofErr w:type="spellStart"/>
      <w:r w:rsidRPr="007835FF">
        <w:rPr>
          <w:rFonts w:ascii="Arial" w:hAnsi="Arial" w:cs="Arial"/>
          <w:sz w:val="22"/>
          <w:szCs w:val="24"/>
        </w:rPr>
        <w:t>fluoromethyl</w:t>
      </w:r>
      <w:proofErr w:type="spellEnd"/>
      <w:r w:rsidRPr="007835FF">
        <w:rPr>
          <w:rFonts w:ascii="Arial" w:hAnsi="Arial" w:cs="Arial"/>
          <w:sz w:val="22"/>
          <w:szCs w:val="24"/>
        </w:rPr>
        <w:t>) ester, (6</w:t>
      </w:r>
      <w:r w:rsidRPr="007835FF">
        <w:rPr>
          <w:rFonts w:ascii="Arial" w:hAnsi="Arial" w:cs="Arial"/>
          <w:bCs/>
          <w:sz w:val="22"/>
          <w:szCs w:val="24"/>
        </w:rPr>
        <w:sym w:font="Symbol" w:char="F061"/>
      </w:r>
      <w:r w:rsidRPr="007835FF">
        <w:rPr>
          <w:rFonts w:ascii="Arial" w:hAnsi="Arial" w:cs="Arial"/>
          <w:sz w:val="22"/>
          <w:szCs w:val="24"/>
        </w:rPr>
        <w:t>,11</w:t>
      </w:r>
      <w:r w:rsidRPr="007835FF">
        <w:rPr>
          <w:rFonts w:ascii="Arial" w:hAnsi="Arial" w:cs="Arial"/>
          <w:bCs/>
          <w:sz w:val="22"/>
          <w:szCs w:val="24"/>
        </w:rPr>
        <w:sym w:font="Symbol" w:char="F062"/>
      </w:r>
      <w:r w:rsidRPr="007835FF">
        <w:rPr>
          <w:rFonts w:ascii="Arial" w:hAnsi="Arial" w:cs="Arial"/>
          <w:sz w:val="22"/>
          <w:szCs w:val="24"/>
        </w:rPr>
        <w:t>,16</w:t>
      </w:r>
      <w:r w:rsidRPr="007835FF">
        <w:rPr>
          <w:rFonts w:ascii="Arial" w:hAnsi="Arial" w:cs="Arial"/>
          <w:bCs/>
          <w:sz w:val="22"/>
          <w:szCs w:val="24"/>
        </w:rPr>
        <w:sym w:font="Symbol" w:char="F061"/>
      </w:r>
      <w:r w:rsidRPr="007835FF">
        <w:rPr>
          <w:rFonts w:ascii="Arial" w:hAnsi="Arial" w:cs="Arial"/>
          <w:sz w:val="22"/>
          <w:szCs w:val="24"/>
        </w:rPr>
        <w:t>,17</w:t>
      </w:r>
      <w:r w:rsidRPr="007835FF">
        <w:rPr>
          <w:rFonts w:ascii="Arial" w:hAnsi="Arial" w:cs="Arial"/>
          <w:bCs/>
          <w:sz w:val="22"/>
          <w:szCs w:val="24"/>
        </w:rPr>
        <w:sym w:font="Symbol" w:char="F061"/>
      </w:r>
      <w:r w:rsidRPr="007835FF">
        <w:rPr>
          <w:rFonts w:ascii="Arial" w:hAnsi="Arial" w:cs="Arial"/>
          <w:sz w:val="22"/>
          <w:szCs w:val="24"/>
        </w:rPr>
        <w:t>)- (9CI)</w:t>
      </w:r>
    </w:p>
    <w:p w:rsidR="00370FBA" w:rsidRPr="007835FF" w:rsidRDefault="00370FBA" w:rsidP="007835FF">
      <w:pPr>
        <w:tabs>
          <w:tab w:val="left" w:pos="2880"/>
        </w:tabs>
        <w:spacing w:after="240"/>
        <w:ind w:left="2880" w:hanging="2880"/>
        <w:outlineLvl w:val="0"/>
        <w:rPr>
          <w:rFonts w:ascii="Arial" w:hAnsi="Arial" w:cs="Arial"/>
          <w:sz w:val="22"/>
          <w:szCs w:val="22"/>
        </w:rPr>
      </w:pPr>
      <w:r w:rsidRPr="007835FF">
        <w:rPr>
          <w:rFonts w:ascii="Arial" w:hAnsi="Arial" w:cs="Arial"/>
          <w:sz w:val="22"/>
          <w:szCs w:val="22"/>
        </w:rPr>
        <w:tab/>
        <w:t xml:space="preserve">The chemical name of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t>
      </w:r>
      <w:proofErr w:type="spellStart"/>
      <w:r w:rsidRPr="007835FF">
        <w:rPr>
          <w:rFonts w:ascii="Arial" w:hAnsi="Arial" w:cs="Arial"/>
          <w:sz w:val="22"/>
          <w:szCs w:val="22"/>
        </w:rPr>
        <w:t>trifenatate</w:t>
      </w:r>
      <w:proofErr w:type="spellEnd"/>
      <w:r w:rsidRPr="007835FF">
        <w:rPr>
          <w:rFonts w:ascii="Arial" w:hAnsi="Arial" w:cs="Arial"/>
          <w:sz w:val="22"/>
          <w:szCs w:val="22"/>
        </w:rPr>
        <w:t xml:space="preserve"> is </w:t>
      </w:r>
      <w:proofErr w:type="spellStart"/>
      <w:r w:rsidRPr="007835FF">
        <w:rPr>
          <w:rFonts w:ascii="Arial" w:hAnsi="Arial" w:cs="Arial"/>
          <w:sz w:val="22"/>
          <w:szCs w:val="22"/>
        </w:rPr>
        <w:t>benzeneacetic</w:t>
      </w:r>
      <w:proofErr w:type="spellEnd"/>
      <w:r w:rsidRPr="007835FF">
        <w:rPr>
          <w:rFonts w:ascii="Arial" w:hAnsi="Arial" w:cs="Arial"/>
          <w:sz w:val="22"/>
          <w:szCs w:val="22"/>
        </w:rPr>
        <w:t xml:space="preserve"> acid, α</w:t>
      </w:r>
      <w:proofErr w:type="gramStart"/>
      <w:r w:rsidRPr="007835FF">
        <w:rPr>
          <w:rFonts w:ascii="Arial" w:hAnsi="Arial" w:cs="Arial"/>
          <w:sz w:val="22"/>
          <w:szCs w:val="22"/>
        </w:rPr>
        <w:t>,α</w:t>
      </w:r>
      <w:proofErr w:type="gramEnd"/>
      <w:r w:rsidRPr="007835FF">
        <w:rPr>
          <w:rFonts w:ascii="Arial" w:hAnsi="Arial" w:cs="Arial"/>
          <w:sz w:val="22"/>
          <w:szCs w:val="22"/>
        </w:rPr>
        <w:t>-</w:t>
      </w:r>
      <w:proofErr w:type="spellStart"/>
      <w:r w:rsidRPr="007835FF">
        <w:rPr>
          <w:rFonts w:ascii="Arial" w:hAnsi="Arial" w:cs="Arial"/>
          <w:sz w:val="22"/>
          <w:szCs w:val="22"/>
        </w:rPr>
        <w:t>diphenyl</w:t>
      </w:r>
      <w:proofErr w:type="spellEnd"/>
      <w:r w:rsidRPr="007835FF">
        <w:rPr>
          <w:rFonts w:ascii="Arial" w:hAnsi="Arial" w:cs="Arial"/>
          <w:sz w:val="22"/>
          <w:szCs w:val="22"/>
        </w:rPr>
        <w:t>-, compd. with (α1R)-α1-[[[6-[2-[(2,6-dichlorophenyl)</w:t>
      </w:r>
      <w:proofErr w:type="spellStart"/>
      <w:r w:rsidRPr="007835FF">
        <w:rPr>
          <w:rFonts w:ascii="Arial" w:hAnsi="Arial" w:cs="Arial"/>
          <w:sz w:val="22"/>
          <w:szCs w:val="22"/>
        </w:rPr>
        <w:t>methoxy</w:t>
      </w:r>
      <w:proofErr w:type="spellEnd"/>
      <w:r w:rsidRPr="007835FF">
        <w:rPr>
          <w:rFonts w:ascii="Arial" w:hAnsi="Arial" w:cs="Arial"/>
          <w:sz w:val="22"/>
          <w:szCs w:val="22"/>
        </w:rPr>
        <w:t>]</w:t>
      </w:r>
      <w:proofErr w:type="spellStart"/>
      <w:r w:rsidRPr="007835FF">
        <w:rPr>
          <w:rFonts w:ascii="Arial" w:hAnsi="Arial" w:cs="Arial"/>
          <w:sz w:val="22"/>
          <w:szCs w:val="22"/>
        </w:rPr>
        <w:t>ethoxy</w:t>
      </w:r>
      <w:proofErr w:type="spellEnd"/>
      <w:r w:rsidRPr="007835FF">
        <w:rPr>
          <w:rFonts w:ascii="Arial" w:hAnsi="Arial" w:cs="Arial"/>
          <w:sz w:val="22"/>
          <w:szCs w:val="22"/>
        </w:rPr>
        <w:t xml:space="preserve">] hexyl]amino]methyl]-4-hydroxy-1,3-benzene </w:t>
      </w:r>
      <w:proofErr w:type="spellStart"/>
      <w:r w:rsidRPr="007835FF">
        <w:rPr>
          <w:rFonts w:ascii="Arial" w:hAnsi="Arial" w:cs="Arial"/>
          <w:sz w:val="22"/>
          <w:szCs w:val="22"/>
        </w:rPr>
        <w:t>dimethanol</w:t>
      </w:r>
      <w:proofErr w:type="spellEnd"/>
      <w:r w:rsidRPr="007835FF">
        <w:rPr>
          <w:rFonts w:ascii="Arial" w:hAnsi="Arial" w:cs="Arial"/>
          <w:sz w:val="22"/>
          <w:szCs w:val="22"/>
        </w:rPr>
        <w:t xml:space="preserve"> (1:1)</w:t>
      </w:r>
    </w:p>
    <w:p w:rsidR="00370FBA" w:rsidRPr="007835FF" w:rsidRDefault="00370FBA" w:rsidP="007835FF">
      <w:pPr>
        <w:tabs>
          <w:tab w:val="left" w:pos="2880"/>
          <w:tab w:val="left" w:pos="2948"/>
          <w:tab w:val="left" w:pos="3150"/>
        </w:tabs>
        <w:spacing w:after="240"/>
        <w:ind w:left="2880" w:hanging="2880"/>
        <w:outlineLvl w:val="0"/>
        <w:rPr>
          <w:rFonts w:ascii="Arial" w:hAnsi="Arial" w:cs="Arial"/>
          <w:sz w:val="22"/>
          <w:szCs w:val="24"/>
          <w:lang w:val="pt-BR"/>
        </w:rPr>
      </w:pPr>
      <w:r w:rsidRPr="007835FF">
        <w:rPr>
          <w:rFonts w:ascii="Arial" w:hAnsi="Arial" w:cs="Arial"/>
          <w:b/>
          <w:sz w:val="22"/>
          <w:szCs w:val="22"/>
          <w:lang w:val="pt-BR"/>
        </w:rPr>
        <w:t>Molecular Formula:</w:t>
      </w:r>
      <w:r w:rsidRPr="007835FF">
        <w:rPr>
          <w:rFonts w:ascii="Arial" w:hAnsi="Arial" w:cs="Arial"/>
          <w:sz w:val="22"/>
          <w:szCs w:val="22"/>
          <w:lang w:val="pt-BR"/>
        </w:rPr>
        <w:tab/>
        <w:t>F</w:t>
      </w:r>
      <w:proofErr w:type="spellStart"/>
      <w:r w:rsidRPr="007835FF">
        <w:rPr>
          <w:rFonts w:ascii="Arial" w:hAnsi="Arial" w:cs="Arial"/>
          <w:sz w:val="22"/>
          <w:szCs w:val="22"/>
        </w:rPr>
        <w:t>luticasone</w:t>
      </w:r>
      <w:proofErr w:type="spellEnd"/>
      <w:r w:rsidRPr="007835FF">
        <w:rPr>
          <w:rFonts w:ascii="Arial" w:hAnsi="Arial" w:cs="Arial"/>
          <w:sz w:val="22"/>
          <w:szCs w:val="22"/>
        </w:rPr>
        <w:t xml:space="preserv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w:t>
      </w:r>
      <w:r w:rsidRPr="007835FF">
        <w:rPr>
          <w:rFonts w:ascii="Arial" w:hAnsi="Arial" w:cs="Arial"/>
          <w:sz w:val="22"/>
          <w:szCs w:val="24"/>
          <w:lang w:val="pt-BR"/>
        </w:rPr>
        <w:t>C</w:t>
      </w:r>
      <w:r w:rsidRPr="007835FF">
        <w:rPr>
          <w:rFonts w:ascii="Arial" w:hAnsi="Arial" w:cs="Arial"/>
          <w:sz w:val="22"/>
          <w:szCs w:val="24"/>
          <w:vertAlign w:val="subscript"/>
          <w:lang w:val="pt-BR"/>
        </w:rPr>
        <w:t>27</w:t>
      </w:r>
      <w:r w:rsidRPr="007835FF">
        <w:rPr>
          <w:rFonts w:ascii="Arial" w:hAnsi="Arial" w:cs="Arial"/>
          <w:sz w:val="22"/>
          <w:szCs w:val="24"/>
          <w:lang w:val="pt-BR"/>
        </w:rPr>
        <w:t>H</w:t>
      </w:r>
      <w:r w:rsidRPr="007835FF">
        <w:rPr>
          <w:rFonts w:ascii="Arial" w:hAnsi="Arial" w:cs="Arial"/>
          <w:sz w:val="22"/>
          <w:szCs w:val="24"/>
          <w:vertAlign w:val="subscript"/>
          <w:lang w:val="pt-BR"/>
        </w:rPr>
        <w:t>29</w:t>
      </w:r>
      <w:r w:rsidRPr="007835FF">
        <w:rPr>
          <w:rFonts w:ascii="Arial" w:hAnsi="Arial" w:cs="Arial"/>
          <w:sz w:val="22"/>
          <w:szCs w:val="24"/>
          <w:lang w:val="pt-BR"/>
        </w:rPr>
        <w:t>F</w:t>
      </w:r>
      <w:r w:rsidRPr="007835FF">
        <w:rPr>
          <w:rFonts w:ascii="Arial" w:hAnsi="Arial" w:cs="Arial"/>
          <w:sz w:val="22"/>
          <w:szCs w:val="24"/>
          <w:vertAlign w:val="subscript"/>
          <w:lang w:val="pt-BR"/>
        </w:rPr>
        <w:t>3</w:t>
      </w:r>
      <w:r w:rsidRPr="007835FF">
        <w:rPr>
          <w:rFonts w:ascii="Arial" w:hAnsi="Arial" w:cs="Arial"/>
          <w:sz w:val="22"/>
          <w:szCs w:val="24"/>
          <w:lang w:val="pt-BR"/>
        </w:rPr>
        <w:t>O</w:t>
      </w:r>
      <w:r w:rsidRPr="007835FF">
        <w:rPr>
          <w:rFonts w:ascii="Arial" w:hAnsi="Arial" w:cs="Arial"/>
          <w:sz w:val="22"/>
          <w:szCs w:val="24"/>
          <w:vertAlign w:val="subscript"/>
          <w:lang w:val="pt-BR"/>
        </w:rPr>
        <w:t>6</w:t>
      </w:r>
      <w:r w:rsidRPr="007835FF">
        <w:rPr>
          <w:rFonts w:ascii="Arial" w:hAnsi="Arial" w:cs="Arial"/>
          <w:sz w:val="22"/>
          <w:szCs w:val="24"/>
          <w:lang w:val="pt-BR"/>
        </w:rPr>
        <w:t>S</w:t>
      </w:r>
    </w:p>
    <w:p w:rsidR="00370FBA" w:rsidRPr="007835FF" w:rsidRDefault="00370FBA" w:rsidP="007835FF">
      <w:pPr>
        <w:tabs>
          <w:tab w:val="left" w:pos="2880"/>
          <w:tab w:val="left" w:pos="2948"/>
          <w:tab w:val="left" w:pos="3150"/>
        </w:tabs>
        <w:spacing w:after="240"/>
        <w:ind w:left="2880" w:hanging="2880"/>
        <w:outlineLvl w:val="0"/>
        <w:rPr>
          <w:rFonts w:ascii="Arial" w:hAnsi="Arial" w:cs="Arial"/>
          <w:sz w:val="22"/>
          <w:szCs w:val="22"/>
          <w:lang w:val="pt-BR"/>
        </w:rPr>
      </w:pPr>
      <w:r w:rsidRPr="007835FF">
        <w:rPr>
          <w:rFonts w:ascii="Arial" w:hAnsi="Arial" w:cs="Arial"/>
          <w:b/>
          <w:sz w:val="22"/>
          <w:szCs w:val="22"/>
          <w:lang w:val="pt-BR"/>
        </w:rPr>
        <w:tab/>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t>
      </w:r>
      <w:proofErr w:type="spellStart"/>
      <w:r w:rsidRPr="007835FF">
        <w:rPr>
          <w:rFonts w:ascii="Arial" w:hAnsi="Arial" w:cs="Arial"/>
          <w:sz w:val="22"/>
          <w:szCs w:val="22"/>
        </w:rPr>
        <w:t>trifenatate</w:t>
      </w:r>
      <w:proofErr w:type="spellEnd"/>
      <w:r w:rsidRPr="007835FF">
        <w:rPr>
          <w:rFonts w:ascii="Arial" w:hAnsi="Arial" w:cs="Arial"/>
          <w:sz w:val="22"/>
          <w:szCs w:val="22"/>
        </w:rPr>
        <w:t>: C</w:t>
      </w:r>
      <w:r w:rsidRPr="00493F44">
        <w:rPr>
          <w:rFonts w:ascii="Arial" w:hAnsi="Arial" w:cs="Arial"/>
          <w:sz w:val="22"/>
          <w:szCs w:val="22"/>
          <w:vertAlign w:val="subscript"/>
        </w:rPr>
        <w:t>24</w:t>
      </w:r>
      <w:r w:rsidRPr="007835FF">
        <w:rPr>
          <w:rFonts w:ascii="Arial" w:hAnsi="Arial" w:cs="Arial"/>
          <w:sz w:val="22"/>
          <w:szCs w:val="22"/>
        </w:rPr>
        <w:t>H</w:t>
      </w:r>
      <w:r w:rsidRPr="00493F44">
        <w:rPr>
          <w:rFonts w:ascii="Arial" w:hAnsi="Arial" w:cs="Arial"/>
          <w:sz w:val="22"/>
          <w:szCs w:val="22"/>
          <w:vertAlign w:val="subscript"/>
        </w:rPr>
        <w:t>33</w:t>
      </w:r>
      <w:r w:rsidRPr="007835FF">
        <w:rPr>
          <w:rFonts w:ascii="Arial" w:hAnsi="Arial" w:cs="Arial"/>
          <w:sz w:val="22"/>
          <w:szCs w:val="22"/>
        </w:rPr>
        <w:t>Cl</w:t>
      </w:r>
      <w:r w:rsidRPr="00493F44">
        <w:rPr>
          <w:rFonts w:ascii="Arial" w:hAnsi="Arial" w:cs="Arial"/>
          <w:sz w:val="22"/>
          <w:szCs w:val="22"/>
          <w:vertAlign w:val="subscript"/>
        </w:rPr>
        <w:t>2</w:t>
      </w:r>
      <w:r w:rsidRPr="007835FF">
        <w:rPr>
          <w:rFonts w:ascii="Arial" w:hAnsi="Arial" w:cs="Arial"/>
          <w:sz w:val="22"/>
          <w:szCs w:val="22"/>
        </w:rPr>
        <w:t>NO</w:t>
      </w:r>
      <w:r w:rsidRPr="00493F44">
        <w:rPr>
          <w:rFonts w:ascii="Arial" w:hAnsi="Arial" w:cs="Arial"/>
          <w:sz w:val="22"/>
          <w:szCs w:val="22"/>
          <w:vertAlign w:val="subscript"/>
        </w:rPr>
        <w:t>5</w:t>
      </w:r>
      <w:r w:rsidRPr="007835FF">
        <w:rPr>
          <w:rFonts w:ascii="Arial" w:hAnsi="Arial" w:cs="Arial"/>
          <w:sz w:val="22"/>
          <w:szCs w:val="22"/>
        </w:rPr>
        <w:t>.C</w:t>
      </w:r>
      <w:r w:rsidRPr="00493F44">
        <w:rPr>
          <w:rFonts w:ascii="Arial" w:hAnsi="Arial" w:cs="Arial"/>
          <w:sz w:val="22"/>
          <w:szCs w:val="22"/>
          <w:vertAlign w:val="subscript"/>
        </w:rPr>
        <w:t>20</w:t>
      </w:r>
      <w:r w:rsidRPr="007835FF">
        <w:rPr>
          <w:rFonts w:ascii="Arial" w:hAnsi="Arial" w:cs="Arial"/>
          <w:sz w:val="22"/>
          <w:szCs w:val="22"/>
        </w:rPr>
        <w:t>H</w:t>
      </w:r>
      <w:r w:rsidRPr="00493F44">
        <w:rPr>
          <w:rFonts w:ascii="Arial" w:hAnsi="Arial" w:cs="Arial"/>
          <w:sz w:val="22"/>
          <w:szCs w:val="22"/>
          <w:vertAlign w:val="subscript"/>
        </w:rPr>
        <w:t>16</w:t>
      </w:r>
      <w:r w:rsidRPr="007835FF">
        <w:rPr>
          <w:rFonts w:ascii="Arial" w:hAnsi="Arial" w:cs="Arial"/>
          <w:sz w:val="22"/>
          <w:szCs w:val="22"/>
        </w:rPr>
        <w:t>O</w:t>
      </w:r>
      <w:r w:rsidRPr="00493F44">
        <w:rPr>
          <w:rFonts w:ascii="Arial" w:hAnsi="Arial" w:cs="Arial"/>
          <w:sz w:val="22"/>
          <w:szCs w:val="22"/>
          <w:vertAlign w:val="subscript"/>
        </w:rPr>
        <w:t>2</w:t>
      </w:r>
      <w:r w:rsidRPr="007835FF">
        <w:rPr>
          <w:rFonts w:ascii="Arial" w:hAnsi="Arial" w:cs="Arial"/>
          <w:sz w:val="22"/>
          <w:lang w:val="pt-BR"/>
        </w:rPr>
        <w:t xml:space="preserve"> </w:t>
      </w:r>
    </w:p>
    <w:p w:rsidR="00370FBA" w:rsidRPr="007835FF" w:rsidRDefault="00370FBA" w:rsidP="007835FF">
      <w:pPr>
        <w:tabs>
          <w:tab w:val="left" w:pos="2880"/>
        </w:tabs>
        <w:spacing w:after="240"/>
        <w:ind w:left="2880" w:hanging="2880"/>
        <w:outlineLvl w:val="0"/>
        <w:rPr>
          <w:rFonts w:ascii="Arial" w:hAnsi="Arial" w:cs="Arial"/>
          <w:sz w:val="22"/>
          <w:szCs w:val="24"/>
          <w:lang w:val="pt-BR"/>
        </w:rPr>
      </w:pPr>
      <w:r w:rsidRPr="007835FF">
        <w:rPr>
          <w:rFonts w:ascii="Arial" w:hAnsi="Arial" w:cs="Arial"/>
          <w:b/>
          <w:sz w:val="22"/>
          <w:szCs w:val="22"/>
          <w:lang w:val="pt-BR"/>
        </w:rPr>
        <w:t>CAS Number:</w:t>
      </w:r>
      <w:r w:rsidRPr="007835FF">
        <w:rPr>
          <w:rFonts w:ascii="Arial" w:hAnsi="Arial" w:cs="Arial"/>
          <w:b/>
          <w:sz w:val="22"/>
          <w:szCs w:val="22"/>
          <w:lang w:val="pt-BR"/>
        </w:rPr>
        <w:tab/>
      </w:r>
      <w:r w:rsidRPr="007835FF">
        <w:rPr>
          <w:rFonts w:ascii="Arial" w:hAnsi="Arial" w:cs="Arial"/>
          <w:sz w:val="22"/>
          <w:szCs w:val="22"/>
          <w:lang w:val="pt-BR"/>
        </w:rPr>
        <w:t xml:space="preserve">Fluticasone furoate: </w:t>
      </w:r>
      <w:r w:rsidRPr="007835FF">
        <w:rPr>
          <w:rFonts w:ascii="Arial" w:hAnsi="Arial" w:cs="Arial"/>
          <w:sz w:val="22"/>
          <w:szCs w:val="24"/>
          <w:lang w:val="pt-BR"/>
        </w:rPr>
        <w:t>397864-44-7</w:t>
      </w:r>
    </w:p>
    <w:p w:rsidR="00370FBA" w:rsidRPr="007835FF" w:rsidRDefault="00370FBA" w:rsidP="007835FF">
      <w:pPr>
        <w:tabs>
          <w:tab w:val="left" w:pos="2880"/>
        </w:tabs>
        <w:spacing w:after="240"/>
        <w:ind w:left="2880" w:hanging="2880"/>
        <w:outlineLvl w:val="0"/>
        <w:rPr>
          <w:rFonts w:ascii="Arial" w:hAnsi="Arial" w:cs="Arial"/>
          <w:sz w:val="22"/>
          <w:szCs w:val="22"/>
          <w:lang w:val="pt-BR"/>
        </w:rPr>
      </w:pPr>
      <w:r w:rsidRPr="007835FF">
        <w:rPr>
          <w:rFonts w:ascii="Arial" w:hAnsi="Arial" w:cs="Arial"/>
          <w:b/>
          <w:sz w:val="22"/>
          <w:szCs w:val="22"/>
          <w:lang w:val="pt-BR"/>
        </w:rPr>
        <w:tab/>
      </w:r>
      <w:r w:rsidRPr="007835FF">
        <w:rPr>
          <w:rFonts w:ascii="Arial" w:hAnsi="Arial" w:cs="Arial"/>
          <w:sz w:val="22"/>
          <w:szCs w:val="22"/>
          <w:lang w:val="pt-BR"/>
        </w:rPr>
        <w:t>Vilanterol trifenatate: 503070-58-4</w:t>
      </w:r>
    </w:p>
    <w:p w:rsidR="00C556BA" w:rsidRPr="007835FF" w:rsidRDefault="00E81E59" w:rsidP="007835FF">
      <w:pPr>
        <w:spacing w:after="240"/>
        <w:jc w:val="both"/>
        <w:rPr>
          <w:rFonts w:ascii="Arial" w:hAnsi="Arial" w:cs="Arial"/>
          <w:b/>
          <w:sz w:val="22"/>
          <w:szCs w:val="22"/>
        </w:rPr>
      </w:pPr>
      <w:r w:rsidRPr="007835FF">
        <w:rPr>
          <w:rFonts w:ascii="Arial" w:hAnsi="Arial" w:cs="Arial"/>
          <w:b/>
          <w:sz w:val="22"/>
          <w:szCs w:val="22"/>
        </w:rPr>
        <w:t>DESCRIPTION</w:t>
      </w:r>
    </w:p>
    <w:p w:rsidR="00370FBA" w:rsidRPr="007835FF" w:rsidRDefault="00370FBA" w:rsidP="007835FF">
      <w:pPr>
        <w:spacing w:after="240"/>
        <w:rPr>
          <w:rFonts w:ascii="Arial" w:hAnsi="Arial" w:cs="Arial"/>
          <w:sz w:val="22"/>
          <w:szCs w:val="22"/>
        </w:rPr>
      </w:pPr>
      <w:r w:rsidRPr="007835FF">
        <w:rPr>
          <w:rFonts w:ascii="Arial" w:hAnsi="Arial" w:cs="Arial"/>
          <w:sz w:val="22"/>
          <w:szCs w:val="22"/>
        </w:rPr>
        <w:t xml:space="preserve">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is practically insoluble or insoluble in water, and slightly soluble in acetone, </w:t>
      </w:r>
      <w:proofErr w:type="spellStart"/>
      <w:r w:rsidRPr="007835FF">
        <w:rPr>
          <w:rFonts w:ascii="Arial" w:hAnsi="Arial" w:cs="Arial"/>
          <w:sz w:val="22"/>
          <w:szCs w:val="22"/>
        </w:rPr>
        <w:t>dimethylsulphoxide</w:t>
      </w:r>
      <w:proofErr w:type="spellEnd"/>
      <w:r w:rsidRPr="007835FF">
        <w:rPr>
          <w:rFonts w:ascii="Arial" w:hAnsi="Arial" w:cs="Arial"/>
          <w:sz w:val="22"/>
          <w:szCs w:val="22"/>
        </w:rPr>
        <w:t xml:space="preserve"> and ethanol.</w:t>
      </w:r>
    </w:p>
    <w:p w:rsidR="00370FBA" w:rsidRPr="007835FF" w:rsidRDefault="00370FBA" w:rsidP="007835FF">
      <w:pPr>
        <w:spacing w:after="240"/>
        <w:rPr>
          <w:rFonts w:ascii="Arial" w:hAnsi="Arial" w:cs="Arial"/>
          <w:sz w:val="22"/>
          <w:szCs w:val="22"/>
        </w:rPr>
      </w:pP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t>
      </w:r>
      <w:proofErr w:type="spellStart"/>
      <w:r w:rsidRPr="007835FF">
        <w:rPr>
          <w:rFonts w:ascii="Arial" w:hAnsi="Arial" w:cs="Arial"/>
          <w:sz w:val="22"/>
          <w:szCs w:val="22"/>
        </w:rPr>
        <w:t>trifenatate</w:t>
      </w:r>
      <w:proofErr w:type="spellEnd"/>
      <w:r w:rsidRPr="007835FF">
        <w:rPr>
          <w:rFonts w:ascii="Arial" w:hAnsi="Arial" w:cs="Arial"/>
          <w:sz w:val="22"/>
          <w:szCs w:val="22"/>
        </w:rPr>
        <w:t xml:space="preserve"> is practically insoluble or insoluble in water and slightly soluble in methanol, ethanol, </w:t>
      </w:r>
      <w:proofErr w:type="gramStart"/>
      <w:r w:rsidRPr="007835FF">
        <w:rPr>
          <w:rFonts w:ascii="Arial" w:hAnsi="Arial" w:cs="Arial"/>
          <w:sz w:val="22"/>
          <w:szCs w:val="22"/>
        </w:rPr>
        <w:t>acetonitrile</w:t>
      </w:r>
      <w:proofErr w:type="gramEnd"/>
      <w:r w:rsidRPr="007835FF">
        <w:rPr>
          <w:rFonts w:ascii="Arial" w:hAnsi="Arial" w:cs="Arial"/>
          <w:sz w:val="22"/>
          <w:szCs w:val="22"/>
        </w:rPr>
        <w:t xml:space="preserve"> and propan-2-ol.</w:t>
      </w:r>
    </w:p>
    <w:p w:rsidR="00370FBA" w:rsidRPr="007835FF" w:rsidRDefault="002F614C" w:rsidP="007835FF">
      <w:pPr>
        <w:spacing w:after="240"/>
        <w:rPr>
          <w:rFonts w:ascii="Arial" w:hAnsi="Arial" w:cs="Arial"/>
          <w:sz w:val="22"/>
          <w:szCs w:val="22"/>
        </w:rPr>
      </w:pPr>
      <w:proofErr w:type="spellStart"/>
      <w:r>
        <w:rPr>
          <w:rFonts w:ascii="Arial" w:hAnsi="Arial" w:cs="Arial"/>
          <w:sz w:val="22"/>
          <w:szCs w:val="22"/>
        </w:rPr>
        <w:lastRenderedPageBreak/>
        <w:t>Breo</w:t>
      </w:r>
      <w:proofErr w:type="spellEnd"/>
      <w:r w:rsidR="00370FBA" w:rsidRPr="007835FF">
        <w:rPr>
          <w:rFonts w:ascii="Arial" w:hAnsi="Arial" w:cs="Arial"/>
          <w:sz w:val="22"/>
          <w:szCs w:val="22"/>
        </w:rPr>
        <w:t xml:space="preserve"> </w:t>
      </w:r>
      <w:proofErr w:type="spellStart"/>
      <w:r w:rsidR="00370FBA" w:rsidRPr="007835FF">
        <w:rPr>
          <w:rFonts w:ascii="Arial" w:hAnsi="Arial" w:cs="Arial"/>
          <w:sz w:val="22"/>
          <w:szCs w:val="22"/>
        </w:rPr>
        <w:t>Ellipta</w:t>
      </w:r>
      <w:proofErr w:type="spellEnd"/>
      <w:r w:rsidR="00370FBA" w:rsidRPr="007835FF">
        <w:rPr>
          <w:rFonts w:ascii="Arial" w:hAnsi="Arial" w:cs="Arial"/>
          <w:sz w:val="22"/>
          <w:szCs w:val="22"/>
        </w:rPr>
        <w:t xml:space="preserve"> is a moulded plastic inhaler with a light grey body, a pale blue mouthpiece cover and a dose counter, packed in a foil tray which contains a desiccant packet. The tray is sealed with a </w:t>
      </w:r>
      <w:proofErr w:type="spellStart"/>
      <w:r w:rsidR="00370FBA" w:rsidRPr="007835FF">
        <w:rPr>
          <w:rFonts w:ascii="Arial" w:hAnsi="Arial" w:cs="Arial"/>
          <w:sz w:val="22"/>
          <w:szCs w:val="22"/>
        </w:rPr>
        <w:t>peelable</w:t>
      </w:r>
      <w:proofErr w:type="spellEnd"/>
      <w:r w:rsidR="00370FBA" w:rsidRPr="007835FF">
        <w:rPr>
          <w:rFonts w:ascii="Arial" w:hAnsi="Arial" w:cs="Arial"/>
          <w:sz w:val="22"/>
          <w:szCs w:val="22"/>
        </w:rPr>
        <w:t xml:space="preserve"> lid. The inhaler contains two strips of either 30 or 14 regularly distributed blisters, each containing a white powder.</w:t>
      </w:r>
    </w:p>
    <w:p w:rsidR="004F640B" w:rsidRDefault="002F614C" w:rsidP="007835FF">
      <w:pPr>
        <w:spacing w:after="240"/>
        <w:rPr>
          <w:rFonts w:ascii="Arial" w:hAnsi="Arial" w:cs="Arial"/>
          <w:sz w:val="22"/>
          <w:szCs w:val="22"/>
        </w:rPr>
      </w:pPr>
      <w:proofErr w:type="spellStart"/>
      <w:r>
        <w:rPr>
          <w:rFonts w:ascii="Arial" w:hAnsi="Arial" w:cs="Arial"/>
          <w:sz w:val="22"/>
          <w:szCs w:val="22"/>
        </w:rPr>
        <w:t>Breo</w:t>
      </w:r>
      <w:proofErr w:type="spellEnd"/>
      <w:r w:rsidR="00370FBA" w:rsidRPr="007835FF">
        <w:rPr>
          <w:rFonts w:ascii="Arial" w:hAnsi="Arial" w:cs="Arial"/>
          <w:sz w:val="22"/>
          <w:szCs w:val="22"/>
        </w:rPr>
        <w:t xml:space="preserve"> </w:t>
      </w:r>
      <w:proofErr w:type="spellStart"/>
      <w:r w:rsidR="00370FBA" w:rsidRPr="007835FF">
        <w:rPr>
          <w:rFonts w:ascii="Arial" w:hAnsi="Arial" w:cs="Arial"/>
          <w:sz w:val="22"/>
          <w:szCs w:val="22"/>
        </w:rPr>
        <w:t>Ellipta</w:t>
      </w:r>
      <w:proofErr w:type="spellEnd"/>
      <w:r w:rsidR="00370FBA" w:rsidRPr="007835FF">
        <w:rPr>
          <w:rFonts w:ascii="Arial" w:hAnsi="Arial" w:cs="Arial"/>
          <w:sz w:val="22"/>
          <w:szCs w:val="22"/>
        </w:rPr>
        <w:t xml:space="preserve"> also contains the excipients lactose </w:t>
      </w:r>
      <w:r w:rsidR="005D552F" w:rsidRPr="007835FF">
        <w:rPr>
          <w:rFonts w:ascii="Arial" w:hAnsi="Arial" w:cs="Arial"/>
          <w:sz w:val="22"/>
          <w:szCs w:val="22"/>
        </w:rPr>
        <w:t xml:space="preserve">monohydrate </w:t>
      </w:r>
      <w:r w:rsidR="00370FBA" w:rsidRPr="007835FF">
        <w:rPr>
          <w:rFonts w:ascii="Arial" w:hAnsi="Arial" w:cs="Arial"/>
          <w:sz w:val="22"/>
          <w:szCs w:val="22"/>
        </w:rPr>
        <w:t>(which contains milk protein) and magnesium stearate.</w:t>
      </w:r>
    </w:p>
    <w:p w:rsidR="0077380F" w:rsidRPr="007835FF" w:rsidRDefault="0077380F" w:rsidP="007835FF">
      <w:pPr>
        <w:spacing w:after="240"/>
        <w:jc w:val="both"/>
        <w:rPr>
          <w:rFonts w:ascii="Arial" w:hAnsi="Arial" w:cs="Arial"/>
          <w:b/>
          <w:sz w:val="22"/>
          <w:szCs w:val="22"/>
        </w:rPr>
      </w:pPr>
      <w:r w:rsidRPr="007835FF">
        <w:rPr>
          <w:rFonts w:ascii="Arial" w:hAnsi="Arial" w:cs="Arial"/>
          <w:b/>
          <w:sz w:val="22"/>
          <w:szCs w:val="22"/>
        </w:rPr>
        <w:t>PHARMACOLOGY</w:t>
      </w:r>
    </w:p>
    <w:p w:rsidR="00D05EDE" w:rsidRPr="007835FF" w:rsidRDefault="00D05EDE" w:rsidP="007835FF">
      <w:pPr>
        <w:spacing w:after="240"/>
        <w:jc w:val="both"/>
        <w:rPr>
          <w:rFonts w:ascii="Arial" w:hAnsi="Arial" w:cs="Arial"/>
          <w:b/>
          <w:sz w:val="22"/>
          <w:szCs w:val="22"/>
        </w:rPr>
      </w:pPr>
      <w:r w:rsidRPr="007835FF">
        <w:rPr>
          <w:rFonts w:ascii="Arial" w:hAnsi="Arial" w:cs="Arial"/>
          <w:b/>
          <w:sz w:val="22"/>
          <w:szCs w:val="22"/>
        </w:rPr>
        <w:t>Pharmacodynamics:</w:t>
      </w:r>
    </w:p>
    <w:p w:rsidR="00D05EDE" w:rsidRPr="007835FF" w:rsidRDefault="00D05EDE" w:rsidP="007835FF">
      <w:pPr>
        <w:autoSpaceDE w:val="0"/>
        <w:autoSpaceDN w:val="0"/>
        <w:adjustRightInd w:val="0"/>
        <w:spacing w:after="240"/>
        <w:jc w:val="both"/>
        <w:rPr>
          <w:rFonts w:ascii="Arial" w:hAnsi="Arial" w:cs="Arial"/>
          <w:sz w:val="22"/>
          <w:szCs w:val="22"/>
        </w:rPr>
      </w:pPr>
      <w:r w:rsidRPr="007835FF">
        <w:rPr>
          <w:rFonts w:ascii="Arial" w:hAnsi="Arial" w:cs="Arial"/>
          <w:sz w:val="22"/>
          <w:szCs w:val="22"/>
        </w:rPr>
        <w:t xml:space="preserve">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represent two classes of medications (a synthetic corticosteroid and a selective, long-acting beta</w:t>
      </w:r>
      <w:r w:rsidRPr="007835FF">
        <w:rPr>
          <w:rFonts w:ascii="Arial" w:hAnsi="Arial" w:cs="Arial"/>
          <w:sz w:val="22"/>
          <w:szCs w:val="22"/>
          <w:vertAlign w:val="subscript"/>
        </w:rPr>
        <w:t>2</w:t>
      </w:r>
      <w:r w:rsidRPr="007835FF">
        <w:rPr>
          <w:rFonts w:ascii="Arial" w:hAnsi="Arial" w:cs="Arial"/>
          <w:sz w:val="22"/>
          <w:szCs w:val="22"/>
        </w:rPr>
        <w:t>-receptor agonist)</w:t>
      </w:r>
      <w:r w:rsidRPr="007835FF">
        <w:rPr>
          <w:rFonts w:ascii="Arial" w:hAnsi="Arial" w:cs="Arial"/>
          <w:sz w:val="22"/>
        </w:rPr>
        <w:t>.</w:t>
      </w:r>
    </w:p>
    <w:p w:rsidR="00D05EDE" w:rsidRPr="007835FF" w:rsidRDefault="00DF2601" w:rsidP="007835FF">
      <w:pPr>
        <w:autoSpaceDE w:val="0"/>
        <w:autoSpaceDN w:val="0"/>
        <w:spacing w:after="240"/>
        <w:jc w:val="both"/>
        <w:rPr>
          <w:rFonts w:ascii="Arial" w:hAnsi="Arial" w:cs="Arial"/>
          <w:sz w:val="22"/>
          <w:u w:val="single"/>
        </w:rPr>
      </w:pPr>
      <w:r>
        <w:rPr>
          <w:rFonts w:ascii="Arial" w:hAnsi="Arial" w:cs="Arial"/>
          <w:sz w:val="22"/>
          <w:u w:val="single"/>
        </w:rPr>
        <w:t xml:space="preserve">Fluticasone </w:t>
      </w:r>
      <w:proofErr w:type="spellStart"/>
      <w:r>
        <w:rPr>
          <w:rFonts w:ascii="Arial" w:hAnsi="Arial" w:cs="Arial"/>
          <w:sz w:val="22"/>
          <w:u w:val="single"/>
        </w:rPr>
        <w:t>furoate</w:t>
      </w:r>
      <w:proofErr w:type="spellEnd"/>
    </w:p>
    <w:p w:rsidR="00D05EDE" w:rsidRPr="007835FF" w:rsidRDefault="00D05EDE" w:rsidP="007835FF">
      <w:pPr>
        <w:autoSpaceDE w:val="0"/>
        <w:autoSpaceDN w:val="0"/>
        <w:spacing w:after="240"/>
        <w:jc w:val="both"/>
        <w:rPr>
          <w:rFonts w:ascii="Arial" w:hAnsi="Arial" w:cs="Arial"/>
          <w:sz w:val="22"/>
        </w:rPr>
      </w:pPr>
      <w:r w:rsidRPr="007835FF">
        <w:rPr>
          <w:rFonts w:ascii="Arial" w:hAnsi="Arial" w:cs="Arial"/>
          <w:sz w:val="22"/>
        </w:rPr>
        <w:t xml:space="preserve">Fluticasone </w:t>
      </w:r>
      <w:proofErr w:type="spellStart"/>
      <w:r w:rsidRPr="007835FF">
        <w:rPr>
          <w:rFonts w:ascii="Arial" w:hAnsi="Arial" w:cs="Arial"/>
          <w:sz w:val="22"/>
        </w:rPr>
        <w:t>furoate</w:t>
      </w:r>
      <w:proofErr w:type="spellEnd"/>
      <w:r w:rsidRPr="007835FF">
        <w:rPr>
          <w:rFonts w:ascii="Arial" w:hAnsi="Arial" w:cs="Arial"/>
          <w:sz w:val="22"/>
        </w:rPr>
        <w:t xml:space="preserve"> is a synthetic </w:t>
      </w:r>
      <w:proofErr w:type="spellStart"/>
      <w:r w:rsidRPr="007835FF">
        <w:rPr>
          <w:rFonts w:ascii="Arial" w:hAnsi="Arial" w:cs="Arial"/>
          <w:sz w:val="22"/>
        </w:rPr>
        <w:t>trifluorinated</w:t>
      </w:r>
      <w:proofErr w:type="spellEnd"/>
      <w:r w:rsidRPr="007835FF">
        <w:rPr>
          <w:rFonts w:ascii="Arial" w:hAnsi="Arial" w:cs="Arial"/>
          <w:sz w:val="22"/>
        </w:rPr>
        <w:t xml:space="preserve"> corticosteroid with potent </w:t>
      </w:r>
      <w:proofErr w:type="spellStart"/>
      <w:r w:rsidRPr="007835FF">
        <w:rPr>
          <w:rFonts w:ascii="Arial" w:hAnsi="Arial" w:cs="Arial"/>
          <w:sz w:val="22"/>
        </w:rPr>
        <w:t>anti inflammatory</w:t>
      </w:r>
      <w:proofErr w:type="spellEnd"/>
      <w:r w:rsidRPr="007835FF">
        <w:rPr>
          <w:rFonts w:ascii="Arial" w:hAnsi="Arial" w:cs="Arial"/>
          <w:sz w:val="22"/>
        </w:rPr>
        <w:t xml:space="preserve"> activity. The precise mechanism through which fluticasone </w:t>
      </w:r>
      <w:proofErr w:type="spellStart"/>
      <w:r w:rsidRPr="007835FF">
        <w:rPr>
          <w:rFonts w:ascii="Arial" w:hAnsi="Arial" w:cs="Arial"/>
          <w:sz w:val="22"/>
        </w:rPr>
        <w:t>furoate</w:t>
      </w:r>
      <w:proofErr w:type="spellEnd"/>
      <w:r w:rsidRPr="007835FF">
        <w:rPr>
          <w:rFonts w:ascii="Arial" w:hAnsi="Arial" w:cs="Arial"/>
          <w:sz w:val="22"/>
        </w:rPr>
        <w:t xml:space="preserve"> affects asthma and COPD symptoms is not known. Corticosteroids have been shown to have a wide range of actions on multiple cell types (e.g. </w:t>
      </w:r>
      <w:proofErr w:type="spellStart"/>
      <w:r w:rsidRPr="007835FF">
        <w:rPr>
          <w:rFonts w:ascii="Arial" w:hAnsi="Arial" w:cs="Arial"/>
          <w:sz w:val="22"/>
        </w:rPr>
        <w:t>eosinophils</w:t>
      </w:r>
      <w:proofErr w:type="spellEnd"/>
      <w:r w:rsidRPr="007835FF">
        <w:rPr>
          <w:rFonts w:ascii="Arial" w:hAnsi="Arial" w:cs="Arial"/>
          <w:sz w:val="22"/>
        </w:rPr>
        <w:t xml:space="preserve">, macrophages, lymphocytes) and mediators (e.g. cytokines and </w:t>
      </w:r>
      <w:proofErr w:type="spellStart"/>
      <w:r w:rsidRPr="007835FF">
        <w:rPr>
          <w:rFonts w:ascii="Arial" w:hAnsi="Arial" w:cs="Arial"/>
          <w:sz w:val="22"/>
        </w:rPr>
        <w:t>chemokines</w:t>
      </w:r>
      <w:proofErr w:type="spellEnd"/>
      <w:r w:rsidRPr="007835FF">
        <w:rPr>
          <w:rFonts w:ascii="Arial" w:hAnsi="Arial" w:cs="Arial"/>
          <w:sz w:val="22"/>
        </w:rPr>
        <w:t xml:space="preserve"> involved in inflammation).</w:t>
      </w:r>
    </w:p>
    <w:p w:rsidR="00D05EDE" w:rsidRPr="007835FF" w:rsidRDefault="00D05EDE" w:rsidP="007835FF">
      <w:pPr>
        <w:autoSpaceDE w:val="0"/>
        <w:autoSpaceDN w:val="0"/>
        <w:spacing w:after="240"/>
        <w:jc w:val="both"/>
        <w:rPr>
          <w:rFonts w:ascii="Arial" w:hAnsi="Arial" w:cs="Arial"/>
          <w:sz w:val="22"/>
          <w:u w:val="single"/>
        </w:rPr>
      </w:pPr>
      <w:proofErr w:type="spellStart"/>
      <w:r w:rsidRPr="007835FF">
        <w:rPr>
          <w:rFonts w:ascii="Arial" w:hAnsi="Arial" w:cs="Arial"/>
          <w:sz w:val="22"/>
          <w:u w:val="single"/>
        </w:rPr>
        <w:t>Vilanterol</w:t>
      </w:r>
      <w:proofErr w:type="spellEnd"/>
      <w:r w:rsidRPr="007835FF">
        <w:rPr>
          <w:rFonts w:ascii="Arial" w:hAnsi="Arial" w:cs="Arial"/>
          <w:sz w:val="22"/>
          <w:u w:val="single"/>
        </w:rPr>
        <w:t xml:space="preserve"> </w:t>
      </w:r>
      <w:proofErr w:type="spellStart"/>
      <w:r w:rsidRPr="007835FF">
        <w:rPr>
          <w:rFonts w:ascii="Arial" w:hAnsi="Arial" w:cs="Arial"/>
          <w:sz w:val="22"/>
          <w:u w:val="single"/>
        </w:rPr>
        <w:t>trifenatate</w:t>
      </w:r>
      <w:proofErr w:type="spellEnd"/>
    </w:p>
    <w:p w:rsidR="00D05EDE" w:rsidRPr="007835FF" w:rsidRDefault="00D05EDE" w:rsidP="007835FF">
      <w:pPr>
        <w:autoSpaceDE w:val="0"/>
        <w:autoSpaceDN w:val="0"/>
        <w:spacing w:after="240"/>
        <w:jc w:val="both"/>
        <w:rPr>
          <w:rFonts w:ascii="Arial" w:hAnsi="Arial" w:cs="Arial"/>
          <w:sz w:val="22"/>
        </w:rPr>
      </w:pPr>
      <w:proofErr w:type="spellStart"/>
      <w:r w:rsidRPr="007835FF">
        <w:rPr>
          <w:rFonts w:ascii="Arial" w:hAnsi="Arial" w:cs="Arial"/>
          <w:sz w:val="22"/>
        </w:rPr>
        <w:t>Vilanterol</w:t>
      </w:r>
      <w:proofErr w:type="spellEnd"/>
      <w:r w:rsidRPr="007835FF">
        <w:rPr>
          <w:rFonts w:ascii="Arial" w:hAnsi="Arial" w:cs="Arial"/>
          <w:sz w:val="22"/>
        </w:rPr>
        <w:t xml:space="preserve"> </w:t>
      </w:r>
      <w:proofErr w:type="spellStart"/>
      <w:r w:rsidRPr="007835FF">
        <w:rPr>
          <w:rFonts w:ascii="Arial" w:hAnsi="Arial" w:cs="Arial"/>
          <w:sz w:val="22"/>
        </w:rPr>
        <w:t>trifenatate</w:t>
      </w:r>
      <w:proofErr w:type="spellEnd"/>
      <w:r w:rsidRPr="007835FF">
        <w:rPr>
          <w:rFonts w:ascii="Arial" w:hAnsi="Arial" w:cs="Arial"/>
          <w:sz w:val="22"/>
        </w:rPr>
        <w:t xml:space="preserve"> is a selective long-acting, beta</w:t>
      </w:r>
      <w:r w:rsidRPr="007835FF">
        <w:rPr>
          <w:rFonts w:ascii="Arial" w:hAnsi="Arial" w:cs="Arial"/>
          <w:sz w:val="22"/>
          <w:vertAlign w:val="subscript"/>
        </w:rPr>
        <w:t>2</w:t>
      </w:r>
      <w:r w:rsidR="00DF2601">
        <w:rPr>
          <w:rFonts w:ascii="Arial" w:hAnsi="Arial" w:cs="Arial"/>
          <w:sz w:val="22"/>
        </w:rPr>
        <w:t>-adrenergic agonist (LABA).</w:t>
      </w:r>
    </w:p>
    <w:p w:rsidR="00D05EDE" w:rsidRPr="007835FF" w:rsidRDefault="00D05EDE" w:rsidP="007835FF">
      <w:pPr>
        <w:keepNext/>
        <w:autoSpaceDE w:val="0"/>
        <w:autoSpaceDN w:val="0"/>
        <w:spacing w:after="240"/>
        <w:jc w:val="both"/>
        <w:rPr>
          <w:rFonts w:ascii="Arial" w:hAnsi="Arial" w:cs="Arial"/>
          <w:sz w:val="22"/>
        </w:rPr>
      </w:pPr>
      <w:r w:rsidRPr="007835FF">
        <w:rPr>
          <w:rFonts w:ascii="Arial" w:hAnsi="Arial" w:cs="Arial"/>
          <w:sz w:val="22"/>
        </w:rPr>
        <w:t>The pharmacologic effects of beta</w:t>
      </w:r>
      <w:r w:rsidRPr="007835FF">
        <w:rPr>
          <w:rFonts w:ascii="Arial" w:hAnsi="Arial" w:cs="Arial"/>
          <w:sz w:val="22"/>
          <w:vertAlign w:val="subscript"/>
        </w:rPr>
        <w:t>2</w:t>
      </w:r>
      <w:r w:rsidRPr="007835FF">
        <w:rPr>
          <w:rFonts w:ascii="Arial" w:hAnsi="Arial" w:cs="Arial"/>
          <w:sz w:val="22"/>
        </w:rPr>
        <w:t xml:space="preserve">-adrenoceptor agonist drugs, including </w:t>
      </w:r>
      <w:proofErr w:type="spellStart"/>
      <w:r w:rsidRPr="007835FF">
        <w:rPr>
          <w:rFonts w:ascii="Arial" w:hAnsi="Arial" w:cs="Arial"/>
          <w:sz w:val="22"/>
        </w:rPr>
        <w:t>vilanterol</w:t>
      </w:r>
      <w:proofErr w:type="spellEnd"/>
      <w:r w:rsidRPr="007835FF">
        <w:rPr>
          <w:rFonts w:ascii="Arial" w:hAnsi="Arial" w:cs="Arial"/>
          <w:sz w:val="22"/>
        </w:rPr>
        <w:t xml:space="preserve"> </w:t>
      </w:r>
      <w:proofErr w:type="spellStart"/>
      <w:r w:rsidRPr="007835FF">
        <w:rPr>
          <w:rFonts w:ascii="Arial" w:hAnsi="Arial" w:cs="Arial"/>
          <w:sz w:val="22"/>
        </w:rPr>
        <w:t>trifenatate</w:t>
      </w:r>
      <w:proofErr w:type="spellEnd"/>
      <w:r w:rsidRPr="007835FF">
        <w:rPr>
          <w:rFonts w:ascii="Arial" w:hAnsi="Arial" w:cs="Arial"/>
          <w:sz w:val="22"/>
        </w:rPr>
        <w:t xml:space="preserve">, are at least in part attributable to stimulation of intracellular </w:t>
      </w:r>
      <w:proofErr w:type="spellStart"/>
      <w:r w:rsidRPr="007835FF">
        <w:rPr>
          <w:rFonts w:ascii="Arial" w:hAnsi="Arial" w:cs="Arial"/>
          <w:sz w:val="22"/>
        </w:rPr>
        <w:t>adenylate</w:t>
      </w:r>
      <w:proofErr w:type="spellEnd"/>
      <w:r w:rsidRPr="007835FF">
        <w:rPr>
          <w:rFonts w:ascii="Arial" w:hAnsi="Arial" w:cs="Arial"/>
          <w:sz w:val="22"/>
        </w:rPr>
        <w:t xml:space="preserve"> cyclase, the enzyme that </w:t>
      </w:r>
      <w:proofErr w:type="spellStart"/>
      <w:r w:rsidRPr="007835FF">
        <w:rPr>
          <w:rFonts w:ascii="Arial" w:hAnsi="Arial" w:cs="Arial"/>
          <w:sz w:val="22"/>
        </w:rPr>
        <w:t>catalyzes</w:t>
      </w:r>
      <w:proofErr w:type="spellEnd"/>
      <w:r w:rsidRPr="007835FF">
        <w:rPr>
          <w:rFonts w:ascii="Arial" w:hAnsi="Arial" w:cs="Arial"/>
          <w:sz w:val="22"/>
        </w:rPr>
        <w:t xml:space="preserve"> the conversion of adenosine triphosphate (ATP) to cyclic-3’,5’-adenosine monophosphate (cyclic AMP). Increased cyclic AMP levels cause relaxation of bronchial smooth muscle and inhibition of release of mediators of immediate hypersensitivity from cells, especially from mast cells.</w:t>
      </w:r>
    </w:p>
    <w:p w:rsidR="00D05EDE" w:rsidRPr="007835FF" w:rsidRDefault="00D05EDE" w:rsidP="007835FF">
      <w:pPr>
        <w:autoSpaceDE w:val="0"/>
        <w:autoSpaceDN w:val="0"/>
        <w:spacing w:after="240"/>
        <w:jc w:val="both"/>
        <w:rPr>
          <w:rFonts w:ascii="Arial" w:hAnsi="Arial" w:cs="Arial"/>
          <w:sz w:val="22"/>
        </w:rPr>
      </w:pPr>
      <w:r w:rsidRPr="007835FF">
        <w:rPr>
          <w:rFonts w:ascii="Arial" w:hAnsi="Arial" w:cs="Arial"/>
          <w:sz w:val="22"/>
        </w:rPr>
        <w:t>Molecular interactions occur between corticosteroids and LABAs, whereby steroids activate the beta</w:t>
      </w:r>
      <w:r w:rsidRPr="007835FF">
        <w:rPr>
          <w:rFonts w:ascii="Arial" w:hAnsi="Arial" w:cs="Arial"/>
          <w:sz w:val="22"/>
          <w:vertAlign w:val="subscript"/>
        </w:rPr>
        <w:t>2</w:t>
      </w:r>
      <w:r w:rsidRPr="007835FF">
        <w:rPr>
          <w:rFonts w:ascii="Arial" w:hAnsi="Arial" w:cs="Arial"/>
          <w:sz w:val="22"/>
        </w:rPr>
        <w:t xml:space="preserve">-receptor gene, increasing receptor number </w:t>
      </w:r>
      <w:r w:rsidR="00AC271D">
        <w:rPr>
          <w:rFonts w:ascii="Arial" w:hAnsi="Arial" w:cs="Arial"/>
          <w:sz w:val="22"/>
        </w:rPr>
        <w:t xml:space="preserve">and </w:t>
      </w:r>
      <w:r w:rsidRPr="007835FF">
        <w:rPr>
          <w:rFonts w:ascii="Arial" w:hAnsi="Arial" w:cs="Arial"/>
          <w:sz w:val="22"/>
        </w:rPr>
        <w:t xml:space="preserve">sensitivity; and LABAs prime the glucocorticoid receptor for steroid-dependent activation and enhance cell nuclear translocation. These synergistic interactions are reflected in enhanced anti-inflammatory activity, which has been demonstrated </w:t>
      </w:r>
      <w:r w:rsidRPr="007835FF">
        <w:rPr>
          <w:rFonts w:ascii="Arial" w:hAnsi="Arial" w:cs="Arial"/>
          <w:i/>
          <w:iCs/>
          <w:sz w:val="22"/>
        </w:rPr>
        <w:t xml:space="preserve">in vitro </w:t>
      </w:r>
      <w:r w:rsidRPr="007835FF">
        <w:rPr>
          <w:rFonts w:ascii="Arial" w:hAnsi="Arial" w:cs="Arial"/>
          <w:iCs/>
          <w:sz w:val="22"/>
        </w:rPr>
        <w:t>and</w:t>
      </w:r>
      <w:r w:rsidRPr="007835FF">
        <w:rPr>
          <w:rFonts w:ascii="Arial" w:hAnsi="Arial" w:cs="Arial"/>
          <w:i/>
          <w:iCs/>
          <w:sz w:val="22"/>
        </w:rPr>
        <w:t xml:space="preserve"> in vivo </w:t>
      </w:r>
      <w:r w:rsidRPr="007835FF">
        <w:rPr>
          <w:rFonts w:ascii="Arial" w:hAnsi="Arial" w:cs="Arial"/>
          <w:sz w:val="22"/>
        </w:rPr>
        <w:t>in a range of inflammatory cells relevant to the pathophysiology of both asthma and COPD.  Airway biopsy studies have also shown the synergy between corticosteroids and LABAs to occur at clinical doses of the drugs in patients with COPD.</w:t>
      </w:r>
    </w:p>
    <w:p w:rsidR="00D06FFC" w:rsidRPr="007835FF" w:rsidRDefault="00D06FFC" w:rsidP="006A0F11">
      <w:pPr>
        <w:keepNext/>
        <w:spacing w:after="240"/>
        <w:jc w:val="both"/>
        <w:rPr>
          <w:rFonts w:ascii="Arial" w:hAnsi="Arial" w:cs="Arial"/>
          <w:b/>
          <w:sz w:val="22"/>
          <w:szCs w:val="22"/>
        </w:rPr>
      </w:pPr>
      <w:r w:rsidRPr="007835FF">
        <w:rPr>
          <w:rFonts w:ascii="Arial" w:hAnsi="Arial" w:cs="Arial"/>
          <w:b/>
          <w:sz w:val="22"/>
          <w:szCs w:val="22"/>
        </w:rPr>
        <w:lastRenderedPageBreak/>
        <w:t>Pharmacokinetics</w:t>
      </w:r>
      <w:r w:rsidR="005D14FF" w:rsidRPr="007835FF">
        <w:rPr>
          <w:rFonts w:ascii="Arial" w:hAnsi="Arial" w:cs="Arial"/>
          <w:b/>
          <w:sz w:val="22"/>
          <w:szCs w:val="22"/>
        </w:rPr>
        <w:t>:</w:t>
      </w:r>
    </w:p>
    <w:p w:rsidR="00D06FFC" w:rsidRPr="007835FF" w:rsidRDefault="00D06FFC" w:rsidP="006A0F11">
      <w:pPr>
        <w:keepNext/>
        <w:spacing w:after="240"/>
        <w:jc w:val="both"/>
        <w:rPr>
          <w:rFonts w:ascii="Arial" w:hAnsi="Arial" w:cs="Arial"/>
          <w:b/>
          <w:i/>
          <w:sz w:val="22"/>
          <w:szCs w:val="22"/>
        </w:rPr>
      </w:pPr>
      <w:r w:rsidRPr="007835FF">
        <w:rPr>
          <w:rFonts w:ascii="Arial" w:hAnsi="Arial" w:cs="Arial"/>
          <w:b/>
          <w:i/>
          <w:sz w:val="22"/>
          <w:szCs w:val="22"/>
        </w:rPr>
        <w:t>Absorption</w:t>
      </w:r>
    </w:p>
    <w:p w:rsidR="00D05EDE" w:rsidRPr="007835FF" w:rsidRDefault="00D05EDE" w:rsidP="006A0F11">
      <w:pPr>
        <w:keepNext/>
        <w:autoSpaceDE w:val="0"/>
        <w:autoSpaceDN w:val="0"/>
        <w:adjustRightInd w:val="0"/>
        <w:spacing w:after="240"/>
        <w:jc w:val="both"/>
        <w:rPr>
          <w:rFonts w:ascii="Arial" w:hAnsi="Arial" w:cs="Arial"/>
          <w:sz w:val="22"/>
          <w:szCs w:val="22"/>
        </w:rPr>
      </w:pPr>
      <w:r w:rsidRPr="007835FF">
        <w:rPr>
          <w:rFonts w:ascii="Arial" w:hAnsi="Arial" w:cs="Arial"/>
          <w:sz w:val="22"/>
        </w:rPr>
        <w:t>The absolute bioavailability f</w:t>
      </w:r>
      <w:r w:rsidRPr="007835FF">
        <w:rPr>
          <w:rFonts w:ascii="Arial" w:hAnsi="Arial" w:cs="Arial"/>
          <w:snapToGrid w:val="0"/>
          <w:sz w:val="22"/>
        </w:rPr>
        <w:t xml:space="preserve">or fluticasone </w:t>
      </w:r>
      <w:proofErr w:type="spellStart"/>
      <w:r w:rsidRPr="007835FF">
        <w:rPr>
          <w:rFonts w:ascii="Arial" w:hAnsi="Arial" w:cs="Arial"/>
          <w:snapToGrid w:val="0"/>
          <w:sz w:val="22"/>
        </w:rPr>
        <w:t>furoate</w:t>
      </w:r>
      <w:proofErr w:type="spellEnd"/>
      <w:r w:rsidRPr="007835FF">
        <w:rPr>
          <w:rFonts w:ascii="Arial" w:hAnsi="Arial" w:cs="Arial"/>
          <w:snapToGrid w:val="0"/>
          <w:sz w:val="22"/>
        </w:rPr>
        <w:t xml:space="preserve"> and </w:t>
      </w:r>
      <w:proofErr w:type="spellStart"/>
      <w:r w:rsidRPr="007835FF">
        <w:rPr>
          <w:rFonts w:ascii="Arial" w:hAnsi="Arial" w:cs="Arial"/>
          <w:snapToGrid w:val="0"/>
          <w:sz w:val="22"/>
        </w:rPr>
        <w:t>vilanterol</w:t>
      </w:r>
      <w:proofErr w:type="spellEnd"/>
      <w:r w:rsidRPr="007835FF">
        <w:rPr>
          <w:rFonts w:ascii="Arial" w:hAnsi="Arial" w:cs="Arial"/>
          <w:snapToGrid w:val="0"/>
          <w:sz w:val="22"/>
        </w:rPr>
        <w:t xml:space="preserve"> </w:t>
      </w:r>
      <w:r w:rsidRPr="007835FF">
        <w:rPr>
          <w:rFonts w:ascii="Arial" w:hAnsi="Arial" w:cs="Arial"/>
          <w:sz w:val="22"/>
        </w:rPr>
        <w:t xml:space="preserve">when administered by inhalation as fluticasone </w:t>
      </w:r>
      <w:proofErr w:type="spellStart"/>
      <w:r w:rsidRPr="007835FF">
        <w:rPr>
          <w:rFonts w:ascii="Arial" w:hAnsi="Arial" w:cs="Arial"/>
          <w:sz w:val="22"/>
        </w:rPr>
        <w:t>furoate</w:t>
      </w:r>
      <w:proofErr w:type="spellEnd"/>
      <w:r w:rsidRPr="007835FF">
        <w:rPr>
          <w:rFonts w:ascii="Arial" w:hAnsi="Arial" w:cs="Arial"/>
          <w:sz w:val="22"/>
        </w:rPr>
        <w:t>/</w:t>
      </w:r>
      <w:proofErr w:type="spellStart"/>
      <w:r w:rsidRPr="007835FF">
        <w:rPr>
          <w:rFonts w:ascii="Arial" w:hAnsi="Arial" w:cs="Arial"/>
          <w:sz w:val="22"/>
        </w:rPr>
        <w:t>vilanterol</w:t>
      </w:r>
      <w:proofErr w:type="spellEnd"/>
      <w:r w:rsidRPr="007835FF">
        <w:rPr>
          <w:rFonts w:ascii="Arial" w:hAnsi="Arial" w:cs="Arial"/>
          <w:sz w:val="22"/>
        </w:rPr>
        <w:t xml:space="preserve"> was on average</w:t>
      </w:r>
      <w:r w:rsidRPr="007835FF">
        <w:rPr>
          <w:rFonts w:ascii="Arial" w:hAnsi="Arial" w:cs="Arial"/>
          <w:snapToGrid w:val="0"/>
          <w:sz w:val="22"/>
        </w:rPr>
        <w:t xml:space="preserve"> 15.2% and 27.3%, respectively. </w:t>
      </w:r>
      <w:r w:rsidRPr="007835FF">
        <w:rPr>
          <w:rFonts w:ascii="Arial" w:hAnsi="Arial" w:cs="Arial"/>
          <w:sz w:val="22"/>
        </w:rPr>
        <w:t xml:space="preserve">The oral bioavailability of both fluticasone </w:t>
      </w:r>
      <w:proofErr w:type="spellStart"/>
      <w:r w:rsidRPr="007835FF">
        <w:rPr>
          <w:rFonts w:ascii="Arial" w:hAnsi="Arial" w:cs="Arial"/>
          <w:sz w:val="22"/>
        </w:rPr>
        <w:t>furoate</w:t>
      </w:r>
      <w:proofErr w:type="spellEnd"/>
      <w:r w:rsidRPr="007835FF">
        <w:rPr>
          <w:rFonts w:ascii="Arial" w:hAnsi="Arial" w:cs="Arial"/>
          <w:sz w:val="22"/>
        </w:rPr>
        <w:t xml:space="preserve"> and </w:t>
      </w:r>
      <w:proofErr w:type="spellStart"/>
      <w:r w:rsidRPr="007835FF">
        <w:rPr>
          <w:rFonts w:ascii="Arial" w:hAnsi="Arial" w:cs="Arial"/>
          <w:sz w:val="22"/>
        </w:rPr>
        <w:t>vilanterol</w:t>
      </w:r>
      <w:proofErr w:type="spellEnd"/>
      <w:r w:rsidRPr="007835FF">
        <w:rPr>
          <w:rFonts w:ascii="Arial" w:hAnsi="Arial" w:cs="Arial"/>
          <w:sz w:val="22"/>
        </w:rPr>
        <w:t xml:space="preserve"> was low, on average 1.26% and &lt;2%, respectively. Given this low oral bioavailability, systemic exposure for fluticasone </w:t>
      </w:r>
      <w:proofErr w:type="spellStart"/>
      <w:r w:rsidRPr="007835FF">
        <w:rPr>
          <w:rFonts w:ascii="Arial" w:hAnsi="Arial" w:cs="Arial"/>
          <w:sz w:val="22"/>
        </w:rPr>
        <w:t>furoate</w:t>
      </w:r>
      <w:proofErr w:type="spellEnd"/>
      <w:r w:rsidRPr="007835FF">
        <w:rPr>
          <w:rFonts w:ascii="Arial" w:hAnsi="Arial" w:cs="Arial"/>
          <w:sz w:val="22"/>
        </w:rPr>
        <w:t xml:space="preserve"> and </w:t>
      </w:r>
      <w:proofErr w:type="spellStart"/>
      <w:r w:rsidRPr="007835FF">
        <w:rPr>
          <w:rFonts w:ascii="Arial" w:hAnsi="Arial" w:cs="Arial"/>
          <w:sz w:val="22"/>
        </w:rPr>
        <w:t>vilanterol</w:t>
      </w:r>
      <w:proofErr w:type="spellEnd"/>
      <w:r w:rsidRPr="007835FF">
        <w:rPr>
          <w:rFonts w:ascii="Arial" w:hAnsi="Arial" w:cs="Arial"/>
          <w:sz w:val="22"/>
        </w:rPr>
        <w:t xml:space="preserve"> following inhaled administration is primarily due to absorption of the inhaled portion of </w:t>
      </w:r>
      <w:r w:rsidR="00DF2601">
        <w:rPr>
          <w:rFonts w:ascii="Arial" w:hAnsi="Arial" w:cs="Arial"/>
          <w:sz w:val="22"/>
        </w:rPr>
        <w:t>the dose delivered to the lung.</w:t>
      </w:r>
    </w:p>
    <w:p w:rsidR="00D06FFC" w:rsidRPr="007835FF" w:rsidRDefault="00D06FFC" w:rsidP="007835FF">
      <w:pPr>
        <w:spacing w:after="240"/>
        <w:jc w:val="both"/>
        <w:rPr>
          <w:rFonts w:ascii="Arial" w:hAnsi="Arial" w:cs="Arial"/>
          <w:b/>
          <w:i/>
          <w:sz w:val="22"/>
          <w:szCs w:val="22"/>
        </w:rPr>
      </w:pPr>
      <w:r w:rsidRPr="007835FF">
        <w:rPr>
          <w:rFonts w:ascii="Arial" w:hAnsi="Arial" w:cs="Arial"/>
          <w:b/>
          <w:i/>
          <w:sz w:val="22"/>
          <w:szCs w:val="22"/>
        </w:rPr>
        <w:t>Distribution</w:t>
      </w:r>
    </w:p>
    <w:p w:rsidR="00D05EDE" w:rsidRPr="007835FF" w:rsidRDefault="00D05EDE" w:rsidP="007835FF">
      <w:pPr>
        <w:spacing w:after="240"/>
        <w:jc w:val="both"/>
        <w:rPr>
          <w:rFonts w:ascii="Arial" w:hAnsi="Arial" w:cs="Arial"/>
          <w:sz w:val="22"/>
          <w:szCs w:val="22"/>
        </w:rPr>
      </w:pPr>
      <w:r w:rsidRPr="007835FF">
        <w:rPr>
          <w:rFonts w:ascii="Arial" w:hAnsi="Arial" w:cs="Arial"/>
          <w:sz w:val="22"/>
          <w:szCs w:val="22"/>
        </w:rPr>
        <w:t xml:space="preserve">Following intravenous dosing, both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are extensively distributed with average volumes of distribution at steady state of 661 L and 165 L, respectively.</w:t>
      </w:r>
    </w:p>
    <w:p w:rsidR="00D05EDE" w:rsidRPr="007835FF" w:rsidRDefault="00D05EDE" w:rsidP="007835FF">
      <w:pPr>
        <w:spacing w:after="240"/>
        <w:jc w:val="both"/>
        <w:rPr>
          <w:rFonts w:ascii="Arial" w:hAnsi="Arial" w:cs="Arial"/>
          <w:sz w:val="22"/>
          <w:szCs w:val="22"/>
        </w:rPr>
      </w:pPr>
      <w:r w:rsidRPr="007835FF">
        <w:rPr>
          <w:rFonts w:ascii="Arial" w:hAnsi="Arial" w:cs="Arial"/>
          <w:sz w:val="22"/>
          <w:szCs w:val="22"/>
        </w:rPr>
        <w:t xml:space="preserve">Both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have a low association with red blood cells. In vitro plasma protein binding in human plasma of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was high, on average &gt;99.6% and 93.9%, respectively. There was no decrease in the extent of in vitro plasma protein binding in subjects with renal or hepatic impairment.</w:t>
      </w:r>
    </w:p>
    <w:p w:rsidR="00D05EDE" w:rsidRPr="007835FF" w:rsidRDefault="00D05EDE" w:rsidP="007835FF">
      <w:pPr>
        <w:spacing w:after="240"/>
        <w:jc w:val="both"/>
        <w:rPr>
          <w:rFonts w:ascii="Arial" w:hAnsi="Arial" w:cs="Arial"/>
          <w:sz w:val="22"/>
          <w:szCs w:val="22"/>
        </w:rPr>
      </w:pPr>
      <w:r w:rsidRPr="007835FF">
        <w:rPr>
          <w:rFonts w:ascii="Arial" w:hAnsi="Arial" w:cs="Arial"/>
          <w:sz w:val="22"/>
          <w:szCs w:val="22"/>
        </w:rPr>
        <w:t xml:space="preserve">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are substrates for </w:t>
      </w:r>
      <w:r w:rsidR="00FF0E2B">
        <w:rPr>
          <w:rFonts w:ascii="Arial" w:hAnsi="Arial" w:cs="Arial"/>
          <w:sz w:val="22"/>
          <w:szCs w:val="22"/>
        </w:rPr>
        <w:t>P-glycoprotein (</w:t>
      </w:r>
      <w:r w:rsidRPr="007835FF">
        <w:rPr>
          <w:rFonts w:ascii="Arial" w:hAnsi="Arial" w:cs="Arial"/>
          <w:sz w:val="22"/>
          <w:szCs w:val="22"/>
        </w:rPr>
        <w:t>P-</w:t>
      </w:r>
      <w:proofErr w:type="spellStart"/>
      <w:r w:rsidRPr="007835FF">
        <w:rPr>
          <w:rFonts w:ascii="Arial" w:hAnsi="Arial" w:cs="Arial"/>
          <w:sz w:val="22"/>
          <w:szCs w:val="22"/>
        </w:rPr>
        <w:t>gp</w:t>
      </w:r>
      <w:proofErr w:type="spellEnd"/>
      <w:r w:rsidR="00FF0E2B">
        <w:rPr>
          <w:rFonts w:ascii="Arial" w:hAnsi="Arial" w:cs="Arial"/>
          <w:sz w:val="22"/>
          <w:szCs w:val="22"/>
        </w:rPr>
        <w:t>)</w:t>
      </w:r>
      <w:r w:rsidRPr="007835FF">
        <w:rPr>
          <w:rFonts w:ascii="Arial" w:hAnsi="Arial" w:cs="Arial"/>
          <w:sz w:val="22"/>
          <w:szCs w:val="22"/>
        </w:rPr>
        <w:t xml:space="preserve">, however, concomitant administration of fluticasone </w:t>
      </w:r>
      <w:proofErr w:type="spellStart"/>
      <w:r w:rsidRPr="007835FF">
        <w:rPr>
          <w:rFonts w:ascii="Arial" w:hAnsi="Arial" w:cs="Arial"/>
          <w:sz w:val="22"/>
          <w:szCs w:val="22"/>
        </w:rPr>
        <w:t>furoate</w:t>
      </w:r>
      <w:proofErr w:type="spellEnd"/>
      <w:r w:rsidRPr="007835FF">
        <w:rPr>
          <w:rFonts w:ascii="Arial" w:hAnsi="Arial" w:cs="Arial"/>
          <w:sz w:val="22"/>
          <w:szCs w:val="22"/>
        </w:rPr>
        <w:t>/</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with P-</w:t>
      </w:r>
      <w:proofErr w:type="spellStart"/>
      <w:r w:rsidRPr="007835FF">
        <w:rPr>
          <w:rFonts w:ascii="Arial" w:hAnsi="Arial" w:cs="Arial"/>
          <w:sz w:val="22"/>
          <w:szCs w:val="22"/>
        </w:rPr>
        <w:t>gp</w:t>
      </w:r>
      <w:proofErr w:type="spellEnd"/>
      <w:r w:rsidRPr="007835FF">
        <w:rPr>
          <w:rFonts w:ascii="Arial" w:hAnsi="Arial" w:cs="Arial"/>
          <w:sz w:val="22"/>
          <w:szCs w:val="22"/>
        </w:rPr>
        <w:t xml:space="preserve"> inhibitors is considered unlikely to alter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or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systemic exposure since they are both well absorbed molecules.</w:t>
      </w:r>
    </w:p>
    <w:p w:rsidR="00D06FFC" w:rsidRPr="007835FF" w:rsidRDefault="00D06FFC" w:rsidP="007835FF">
      <w:pPr>
        <w:spacing w:after="240"/>
        <w:jc w:val="both"/>
        <w:rPr>
          <w:rFonts w:ascii="Arial" w:hAnsi="Arial" w:cs="Arial"/>
          <w:b/>
          <w:i/>
          <w:sz w:val="22"/>
          <w:szCs w:val="22"/>
        </w:rPr>
      </w:pPr>
      <w:r w:rsidRPr="007835FF">
        <w:rPr>
          <w:rFonts w:ascii="Arial" w:hAnsi="Arial" w:cs="Arial"/>
          <w:b/>
          <w:i/>
          <w:sz w:val="22"/>
          <w:szCs w:val="22"/>
        </w:rPr>
        <w:t>Metabolism</w:t>
      </w:r>
    </w:p>
    <w:p w:rsidR="00D05EDE" w:rsidRPr="007835FF" w:rsidRDefault="00D05EDE" w:rsidP="007835FF">
      <w:pPr>
        <w:spacing w:after="240"/>
        <w:rPr>
          <w:rFonts w:ascii="Arial" w:hAnsi="Arial" w:cs="Arial"/>
          <w:sz w:val="22"/>
          <w:szCs w:val="22"/>
        </w:rPr>
      </w:pPr>
      <w:r w:rsidRPr="007835FF">
        <w:rPr>
          <w:rFonts w:ascii="Arial" w:hAnsi="Arial" w:cs="Arial"/>
          <w:sz w:val="22"/>
          <w:szCs w:val="22"/>
        </w:rPr>
        <w:t xml:space="preserve">Based on in vitro data, the major routes of metabolism of both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and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in human are mediated primarily by CYP3A4.</w:t>
      </w:r>
    </w:p>
    <w:p w:rsidR="00D05EDE" w:rsidRPr="007835FF" w:rsidRDefault="00D05EDE" w:rsidP="007835FF">
      <w:pPr>
        <w:spacing w:after="240"/>
        <w:rPr>
          <w:rFonts w:ascii="Arial" w:hAnsi="Arial" w:cs="Arial"/>
          <w:sz w:val="22"/>
          <w:szCs w:val="22"/>
        </w:rPr>
      </w:pPr>
      <w:r w:rsidRPr="007835FF">
        <w:rPr>
          <w:rFonts w:ascii="Arial" w:hAnsi="Arial" w:cs="Arial"/>
          <w:sz w:val="22"/>
          <w:szCs w:val="22"/>
        </w:rPr>
        <w:t xml:space="preserve">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is primarily metabolised through hydrolysis of the S-</w:t>
      </w:r>
      <w:proofErr w:type="spellStart"/>
      <w:r w:rsidRPr="007835FF">
        <w:rPr>
          <w:rFonts w:ascii="Arial" w:hAnsi="Arial" w:cs="Arial"/>
          <w:sz w:val="22"/>
          <w:szCs w:val="22"/>
        </w:rPr>
        <w:t>fluoromethyl</w:t>
      </w:r>
      <w:proofErr w:type="spellEnd"/>
      <w:r w:rsidRPr="007835FF">
        <w:rPr>
          <w:rFonts w:ascii="Arial" w:hAnsi="Arial" w:cs="Arial"/>
          <w:sz w:val="22"/>
          <w:szCs w:val="22"/>
        </w:rPr>
        <w:t xml:space="preserve"> </w:t>
      </w:r>
      <w:proofErr w:type="spellStart"/>
      <w:r w:rsidRPr="007835FF">
        <w:rPr>
          <w:rFonts w:ascii="Arial" w:hAnsi="Arial" w:cs="Arial"/>
          <w:sz w:val="22"/>
          <w:szCs w:val="22"/>
        </w:rPr>
        <w:t>carbothioate</w:t>
      </w:r>
      <w:proofErr w:type="spellEnd"/>
      <w:r w:rsidRPr="007835FF">
        <w:rPr>
          <w:rFonts w:ascii="Arial" w:hAnsi="Arial" w:cs="Arial"/>
          <w:sz w:val="22"/>
          <w:szCs w:val="22"/>
        </w:rPr>
        <w:t xml:space="preserve"> group to metabolites with significantly reduced corticosteroid activity.</w:t>
      </w:r>
    </w:p>
    <w:p w:rsidR="00D05EDE" w:rsidRPr="007835FF" w:rsidRDefault="00D05EDE" w:rsidP="007835FF">
      <w:pPr>
        <w:spacing w:after="240"/>
        <w:rPr>
          <w:rFonts w:ascii="Arial" w:hAnsi="Arial" w:cs="Arial"/>
          <w:sz w:val="22"/>
          <w:szCs w:val="22"/>
        </w:rPr>
      </w:pP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is primarily metabolised by O</w:t>
      </w:r>
      <w:r w:rsidRPr="007835FF">
        <w:rPr>
          <w:rFonts w:ascii="Arial" w:hAnsi="Arial" w:cs="Arial"/>
          <w:sz w:val="22"/>
          <w:szCs w:val="22"/>
        </w:rPr>
        <w:noBreakHyphen/>
      </w:r>
      <w:proofErr w:type="spellStart"/>
      <w:r w:rsidRPr="007835FF">
        <w:rPr>
          <w:rFonts w:ascii="Arial" w:hAnsi="Arial" w:cs="Arial"/>
          <w:sz w:val="22"/>
          <w:szCs w:val="22"/>
        </w:rPr>
        <w:t>dealkylation</w:t>
      </w:r>
      <w:proofErr w:type="spellEnd"/>
      <w:r w:rsidRPr="007835FF">
        <w:rPr>
          <w:rFonts w:ascii="Arial" w:hAnsi="Arial" w:cs="Arial"/>
          <w:sz w:val="22"/>
          <w:szCs w:val="22"/>
        </w:rPr>
        <w:t xml:space="preserve"> to a range of metabolites with significantly reduced </w:t>
      </w:r>
      <w:r w:rsidRPr="007835FF">
        <w:rPr>
          <w:rFonts w:ascii="Arial" w:hAnsi="Arial" w:cs="Arial"/>
          <w:sz w:val="22"/>
          <w:szCs w:val="22"/>
        </w:rPr>
        <w:sym w:font="Symbol" w:char="F062"/>
      </w:r>
      <w:r w:rsidRPr="007835FF">
        <w:rPr>
          <w:rFonts w:ascii="Arial" w:hAnsi="Arial" w:cs="Arial"/>
          <w:sz w:val="22"/>
          <w:szCs w:val="22"/>
          <w:vertAlign w:val="subscript"/>
        </w:rPr>
        <w:t>1</w:t>
      </w:r>
      <w:r w:rsidRPr="007835FF">
        <w:rPr>
          <w:rFonts w:ascii="Arial" w:hAnsi="Arial" w:cs="Arial"/>
          <w:sz w:val="22"/>
          <w:szCs w:val="22"/>
        </w:rPr>
        <w:t xml:space="preserve">- and </w:t>
      </w:r>
      <w:r w:rsidRPr="007835FF">
        <w:rPr>
          <w:rFonts w:ascii="Arial" w:hAnsi="Arial" w:cs="Arial"/>
          <w:sz w:val="22"/>
          <w:szCs w:val="22"/>
        </w:rPr>
        <w:sym w:font="Symbol" w:char="F062"/>
      </w:r>
      <w:r w:rsidRPr="007835FF">
        <w:rPr>
          <w:rFonts w:ascii="Arial" w:hAnsi="Arial" w:cs="Arial"/>
          <w:sz w:val="22"/>
          <w:szCs w:val="22"/>
          <w:vertAlign w:val="subscript"/>
        </w:rPr>
        <w:t>2</w:t>
      </w:r>
      <w:r w:rsidRPr="007835FF">
        <w:rPr>
          <w:rFonts w:ascii="Arial" w:hAnsi="Arial" w:cs="Arial"/>
          <w:sz w:val="22"/>
          <w:szCs w:val="22"/>
        </w:rPr>
        <w:t>-agonist activity.</w:t>
      </w:r>
    </w:p>
    <w:p w:rsidR="00D05EDE" w:rsidRPr="007835FF" w:rsidRDefault="00D05EDE" w:rsidP="007835FF">
      <w:pPr>
        <w:spacing w:after="240"/>
        <w:rPr>
          <w:rFonts w:ascii="Arial" w:hAnsi="Arial" w:cs="Arial"/>
          <w:sz w:val="22"/>
          <w:szCs w:val="22"/>
        </w:rPr>
      </w:pPr>
      <w:r w:rsidRPr="007835FF">
        <w:rPr>
          <w:rFonts w:ascii="Arial" w:hAnsi="Arial" w:cs="Arial"/>
          <w:sz w:val="22"/>
          <w:szCs w:val="22"/>
        </w:rPr>
        <w:t xml:space="preserve">A repeat dose CYP3A4 drug interaction study was performed in healthy subjects with the fluticasone </w:t>
      </w:r>
      <w:proofErr w:type="spellStart"/>
      <w:r w:rsidRPr="007835FF">
        <w:rPr>
          <w:rFonts w:ascii="Arial" w:hAnsi="Arial" w:cs="Arial"/>
          <w:sz w:val="22"/>
          <w:szCs w:val="22"/>
        </w:rPr>
        <w:t>furoate</w:t>
      </w:r>
      <w:proofErr w:type="spellEnd"/>
      <w:r w:rsidRPr="007835FF">
        <w:rPr>
          <w:rFonts w:ascii="Arial" w:hAnsi="Arial" w:cs="Arial"/>
          <w:sz w:val="22"/>
          <w:szCs w:val="22"/>
        </w:rPr>
        <w:t>/</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combination (200/25) and the strong CYP3A4 inhibitor ketoconazole (400mg).  Co-administration increased mean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w:t>
      </w:r>
      <w:proofErr w:type="gramStart"/>
      <w:r w:rsidRPr="007835FF">
        <w:rPr>
          <w:rFonts w:ascii="Arial" w:hAnsi="Arial" w:cs="Arial"/>
          <w:sz w:val="22"/>
          <w:szCs w:val="22"/>
        </w:rPr>
        <w:t>AUC</w:t>
      </w:r>
      <w:r w:rsidRPr="00CB18FD">
        <w:rPr>
          <w:rFonts w:ascii="Arial" w:hAnsi="Arial" w:cs="Arial"/>
          <w:sz w:val="22"/>
          <w:szCs w:val="22"/>
          <w:vertAlign w:val="subscript"/>
        </w:rPr>
        <w:t>(</w:t>
      </w:r>
      <w:proofErr w:type="gramEnd"/>
      <w:r w:rsidRPr="00CB18FD">
        <w:rPr>
          <w:rFonts w:ascii="Arial" w:hAnsi="Arial" w:cs="Arial"/>
          <w:sz w:val="22"/>
          <w:szCs w:val="22"/>
          <w:vertAlign w:val="subscript"/>
        </w:rPr>
        <w:t>0</w:t>
      </w:r>
      <w:r w:rsidRPr="00CB18FD">
        <w:rPr>
          <w:rFonts w:ascii="Arial" w:hAnsi="Arial" w:cs="Arial"/>
          <w:sz w:val="22"/>
          <w:szCs w:val="22"/>
          <w:vertAlign w:val="subscript"/>
        </w:rPr>
        <w:noBreakHyphen/>
        <w:t>24)</w:t>
      </w:r>
      <w:r w:rsidRPr="007835FF">
        <w:rPr>
          <w:rFonts w:ascii="Arial" w:hAnsi="Arial" w:cs="Arial"/>
          <w:sz w:val="22"/>
          <w:szCs w:val="22"/>
        </w:rPr>
        <w:t xml:space="preserve"> and </w:t>
      </w:r>
      <w:proofErr w:type="spellStart"/>
      <w:r w:rsidRPr="007835FF">
        <w:rPr>
          <w:rFonts w:ascii="Arial" w:hAnsi="Arial" w:cs="Arial"/>
          <w:sz w:val="22"/>
          <w:szCs w:val="22"/>
        </w:rPr>
        <w:t>C</w:t>
      </w:r>
      <w:r w:rsidRPr="00CB18FD">
        <w:rPr>
          <w:rFonts w:ascii="Arial" w:hAnsi="Arial" w:cs="Arial"/>
          <w:sz w:val="22"/>
          <w:szCs w:val="22"/>
          <w:vertAlign w:val="subscript"/>
        </w:rPr>
        <w:t>max</w:t>
      </w:r>
      <w:proofErr w:type="spellEnd"/>
      <w:r w:rsidRPr="007835FF">
        <w:rPr>
          <w:rFonts w:ascii="Arial" w:hAnsi="Arial" w:cs="Arial"/>
          <w:sz w:val="22"/>
          <w:szCs w:val="22"/>
        </w:rPr>
        <w:t xml:space="preserve"> by 36% and 33%, respectively.  The increase in fluticasone </w:t>
      </w:r>
      <w:proofErr w:type="spellStart"/>
      <w:r w:rsidRPr="007835FF">
        <w:rPr>
          <w:rFonts w:ascii="Arial" w:hAnsi="Arial" w:cs="Arial"/>
          <w:sz w:val="22"/>
          <w:szCs w:val="22"/>
        </w:rPr>
        <w:t>furoate</w:t>
      </w:r>
      <w:proofErr w:type="spellEnd"/>
      <w:r w:rsidRPr="007835FF">
        <w:rPr>
          <w:rFonts w:ascii="Arial" w:hAnsi="Arial" w:cs="Arial"/>
          <w:sz w:val="22"/>
          <w:szCs w:val="22"/>
        </w:rPr>
        <w:t xml:space="preserve"> exposure was associated with a 27% reduction in 0-24 h weighted mean serum cortisol. Co-administration increased mean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w:t>
      </w:r>
      <w:proofErr w:type="gramStart"/>
      <w:r w:rsidRPr="007835FF">
        <w:rPr>
          <w:rFonts w:ascii="Arial" w:hAnsi="Arial" w:cs="Arial"/>
          <w:sz w:val="22"/>
          <w:szCs w:val="22"/>
        </w:rPr>
        <w:t>AUC</w:t>
      </w:r>
      <w:r w:rsidRPr="007835FF">
        <w:rPr>
          <w:rFonts w:ascii="Arial" w:hAnsi="Arial" w:cs="Arial"/>
          <w:sz w:val="22"/>
          <w:szCs w:val="22"/>
          <w:vertAlign w:val="subscript"/>
        </w:rPr>
        <w:t>(</w:t>
      </w:r>
      <w:proofErr w:type="gramEnd"/>
      <w:r w:rsidRPr="007835FF">
        <w:rPr>
          <w:rFonts w:ascii="Arial" w:hAnsi="Arial" w:cs="Arial"/>
          <w:sz w:val="22"/>
          <w:szCs w:val="22"/>
          <w:vertAlign w:val="subscript"/>
        </w:rPr>
        <w:t>0-t)</w:t>
      </w:r>
      <w:r w:rsidRPr="007835FF">
        <w:rPr>
          <w:rFonts w:ascii="Arial" w:hAnsi="Arial" w:cs="Arial"/>
          <w:sz w:val="22"/>
          <w:szCs w:val="22"/>
        </w:rPr>
        <w:t xml:space="preserve"> and </w:t>
      </w:r>
      <w:proofErr w:type="spellStart"/>
      <w:r w:rsidRPr="007835FF">
        <w:rPr>
          <w:rFonts w:ascii="Arial" w:hAnsi="Arial" w:cs="Arial"/>
          <w:sz w:val="22"/>
          <w:szCs w:val="22"/>
        </w:rPr>
        <w:t>C</w:t>
      </w:r>
      <w:r w:rsidRPr="00CB18FD">
        <w:rPr>
          <w:rFonts w:ascii="Arial" w:hAnsi="Arial" w:cs="Arial"/>
          <w:sz w:val="22"/>
          <w:szCs w:val="22"/>
          <w:vertAlign w:val="subscript"/>
        </w:rPr>
        <w:t>max</w:t>
      </w:r>
      <w:proofErr w:type="spellEnd"/>
      <w:r w:rsidRPr="007835FF">
        <w:rPr>
          <w:rFonts w:ascii="Arial" w:hAnsi="Arial" w:cs="Arial"/>
          <w:sz w:val="22"/>
          <w:szCs w:val="22"/>
        </w:rPr>
        <w:t xml:space="preserve"> 65% and 22%, respectively.  The increase in </w:t>
      </w:r>
      <w:proofErr w:type="spellStart"/>
      <w:r w:rsidRPr="007835FF">
        <w:rPr>
          <w:rFonts w:ascii="Arial" w:hAnsi="Arial" w:cs="Arial"/>
          <w:sz w:val="22"/>
          <w:szCs w:val="22"/>
        </w:rPr>
        <w:t>vilanterol</w:t>
      </w:r>
      <w:proofErr w:type="spellEnd"/>
      <w:r w:rsidRPr="007835FF">
        <w:rPr>
          <w:rFonts w:ascii="Arial" w:hAnsi="Arial" w:cs="Arial"/>
          <w:sz w:val="22"/>
          <w:szCs w:val="22"/>
        </w:rPr>
        <w:t xml:space="preserve"> exposure was not associated with an increase in beta-agonist related systemic effects on heart rate, blood potassium or </w:t>
      </w:r>
      <w:proofErr w:type="spellStart"/>
      <w:r w:rsidRPr="007835FF">
        <w:rPr>
          <w:rFonts w:ascii="Arial" w:hAnsi="Arial" w:cs="Arial"/>
          <w:sz w:val="22"/>
          <w:szCs w:val="22"/>
        </w:rPr>
        <w:t>QTcF</w:t>
      </w:r>
      <w:proofErr w:type="spellEnd"/>
      <w:r w:rsidRPr="007835FF">
        <w:rPr>
          <w:rFonts w:ascii="Arial" w:hAnsi="Arial" w:cs="Arial"/>
          <w:sz w:val="22"/>
          <w:szCs w:val="22"/>
        </w:rPr>
        <w:t xml:space="preserve"> interval.</w:t>
      </w:r>
    </w:p>
    <w:p w:rsidR="00D06FFC" w:rsidRPr="007835FF" w:rsidRDefault="00E81E59" w:rsidP="007835FF">
      <w:pPr>
        <w:spacing w:after="240"/>
        <w:jc w:val="both"/>
        <w:rPr>
          <w:rFonts w:ascii="Arial" w:hAnsi="Arial" w:cs="Arial"/>
          <w:b/>
          <w:i/>
          <w:sz w:val="22"/>
          <w:szCs w:val="22"/>
        </w:rPr>
      </w:pPr>
      <w:r w:rsidRPr="007835FF">
        <w:rPr>
          <w:rFonts w:ascii="Arial" w:hAnsi="Arial" w:cs="Arial"/>
          <w:b/>
          <w:i/>
          <w:sz w:val="22"/>
          <w:szCs w:val="22"/>
        </w:rPr>
        <w:t>Excretion</w:t>
      </w:r>
    </w:p>
    <w:p w:rsidR="00D05EDE" w:rsidRPr="007835FF" w:rsidRDefault="00D05EDE" w:rsidP="007835FF">
      <w:pPr>
        <w:spacing w:after="240"/>
        <w:rPr>
          <w:rFonts w:ascii="Arial" w:hAnsi="Arial" w:cs="Arial"/>
          <w:sz w:val="22"/>
        </w:rPr>
      </w:pPr>
      <w:r w:rsidRPr="007835FF">
        <w:rPr>
          <w:rFonts w:ascii="Arial" w:hAnsi="Arial" w:cs="Arial"/>
          <w:sz w:val="22"/>
        </w:rPr>
        <w:t xml:space="preserve">Following oral administration fluticasone </w:t>
      </w:r>
      <w:proofErr w:type="spellStart"/>
      <w:r w:rsidRPr="007835FF">
        <w:rPr>
          <w:rFonts w:ascii="Arial" w:hAnsi="Arial" w:cs="Arial"/>
          <w:sz w:val="22"/>
        </w:rPr>
        <w:t>furoate</w:t>
      </w:r>
      <w:proofErr w:type="spellEnd"/>
      <w:r w:rsidRPr="007835FF">
        <w:rPr>
          <w:rFonts w:ascii="Arial" w:hAnsi="Arial" w:cs="Arial"/>
          <w:sz w:val="22"/>
        </w:rPr>
        <w:t xml:space="preserve"> was eliminated in humans mainly by metabolism with metabolites being excreted almost exclusively in faeces, with &lt;1% of the recovered radioactive dose eliminated in the urine.</w:t>
      </w:r>
      <w:r w:rsidRPr="007835FF">
        <w:rPr>
          <w:rFonts w:ascii="Arial" w:hAnsi="Arial" w:cs="Arial"/>
          <w:b/>
          <w:i/>
          <w:color w:val="FF0000"/>
          <w:sz w:val="22"/>
        </w:rPr>
        <w:t xml:space="preserve"> </w:t>
      </w:r>
      <w:r w:rsidRPr="007835FF">
        <w:rPr>
          <w:rFonts w:ascii="Arial" w:hAnsi="Arial" w:cs="Arial"/>
          <w:sz w:val="22"/>
        </w:rPr>
        <w:t xml:space="preserve">The apparent plasma elimination half-life of fluticasone </w:t>
      </w:r>
      <w:proofErr w:type="spellStart"/>
      <w:r w:rsidRPr="007835FF">
        <w:rPr>
          <w:rFonts w:ascii="Arial" w:hAnsi="Arial" w:cs="Arial"/>
          <w:sz w:val="22"/>
        </w:rPr>
        <w:t>furoate</w:t>
      </w:r>
      <w:proofErr w:type="spellEnd"/>
      <w:r w:rsidRPr="007835FF">
        <w:rPr>
          <w:rFonts w:ascii="Arial" w:hAnsi="Arial" w:cs="Arial"/>
          <w:sz w:val="22"/>
        </w:rPr>
        <w:t xml:space="preserve"> following inhaled administration of fluticasone </w:t>
      </w:r>
      <w:proofErr w:type="spellStart"/>
      <w:r w:rsidRPr="007835FF">
        <w:rPr>
          <w:rFonts w:ascii="Arial" w:hAnsi="Arial" w:cs="Arial"/>
          <w:sz w:val="22"/>
        </w:rPr>
        <w:t>furoate</w:t>
      </w:r>
      <w:proofErr w:type="spellEnd"/>
      <w:r w:rsidRPr="007835FF">
        <w:rPr>
          <w:rFonts w:ascii="Arial" w:hAnsi="Arial" w:cs="Arial"/>
          <w:sz w:val="22"/>
        </w:rPr>
        <w:t>/</w:t>
      </w:r>
      <w:proofErr w:type="spellStart"/>
      <w:r w:rsidRPr="007835FF">
        <w:rPr>
          <w:rFonts w:ascii="Arial" w:hAnsi="Arial" w:cs="Arial"/>
          <w:sz w:val="22"/>
        </w:rPr>
        <w:t>vilanterol</w:t>
      </w:r>
      <w:proofErr w:type="spellEnd"/>
      <w:r w:rsidRPr="007835FF">
        <w:rPr>
          <w:rFonts w:ascii="Arial" w:hAnsi="Arial" w:cs="Arial"/>
          <w:sz w:val="22"/>
        </w:rPr>
        <w:t xml:space="preserve"> was, on average, 24 hours.</w:t>
      </w:r>
    </w:p>
    <w:p w:rsidR="00D05EDE" w:rsidRPr="007835FF" w:rsidRDefault="00D05EDE" w:rsidP="007835FF">
      <w:pPr>
        <w:spacing w:after="240"/>
        <w:rPr>
          <w:rFonts w:ascii="Arial" w:hAnsi="Arial" w:cs="Arial"/>
          <w:sz w:val="22"/>
        </w:rPr>
      </w:pPr>
      <w:r w:rsidRPr="007835FF">
        <w:rPr>
          <w:rFonts w:ascii="Arial" w:hAnsi="Arial" w:cs="Arial"/>
          <w:sz w:val="22"/>
        </w:rPr>
        <w:lastRenderedPageBreak/>
        <w:t xml:space="preserve">Following oral administration </w:t>
      </w:r>
      <w:proofErr w:type="spellStart"/>
      <w:r w:rsidRPr="007835FF">
        <w:rPr>
          <w:rFonts w:ascii="Arial" w:hAnsi="Arial" w:cs="Arial"/>
          <w:sz w:val="22"/>
        </w:rPr>
        <w:t>vilanterol</w:t>
      </w:r>
      <w:proofErr w:type="spellEnd"/>
      <w:r w:rsidRPr="007835FF">
        <w:rPr>
          <w:rFonts w:ascii="Arial" w:hAnsi="Arial" w:cs="Arial"/>
          <w:sz w:val="22"/>
        </w:rPr>
        <w:t xml:space="preserve"> was eliminated</w:t>
      </w:r>
      <w:r w:rsidRPr="007835FF">
        <w:rPr>
          <w:rFonts w:ascii="Arial" w:hAnsi="Arial" w:cs="Arial"/>
          <w:b/>
          <w:i/>
          <w:color w:val="FF0000"/>
          <w:sz w:val="22"/>
        </w:rPr>
        <w:t xml:space="preserve"> </w:t>
      </w:r>
      <w:r w:rsidRPr="007835FF">
        <w:rPr>
          <w:rFonts w:ascii="Arial" w:hAnsi="Arial" w:cs="Arial"/>
          <w:sz w:val="22"/>
        </w:rPr>
        <w:t xml:space="preserve">in humans mainly by metabolism followed by excretion of metabolites in urine and faeces </w:t>
      </w:r>
      <w:r w:rsidR="00AC271D">
        <w:rPr>
          <w:rFonts w:ascii="Arial" w:hAnsi="Arial" w:cs="Arial"/>
          <w:sz w:val="22"/>
        </w:rPr>
        <w:t xml:space="preserve">of </w:t>
      </w:r>
      <w:r w:rsidRPr="007835FF">
        <w:rPr>
          <w:rFonts w:ascii="Arial" w:hAnsi="Arial" w:cs="Arial"/>
          <w:sz w:val="22"/>
        </w:rPr>
        <w:t>approximately 70% and 30% of the radioactive dose</w:t>
      </w:r>
      <w:r w:rsidR="00AC271D">
        <w:rPr>
          <w:rFonts w:ascii="Arial" w:hAnsi="Arial" w:cs="Arial"/>
          <w:sz w:val="22"/>
        </w:rPr>
        <w:t>,</w:t>
      </w:r>
      <w:r w:rsidRPr="007835FF">
        <w:rPr>
          <w:rFonts w:ascii="Arial" w:hAnsi="Arial" w:cs="Arial"/>
          <w:sz w:val="22"/>
        </w:rPr>
        <w:t xml:space="preserve"> respectively.</w:t>
      </w:r>
      <w:r w:rsidR="00AC271D">
        <w:rPr>
          <w:rFonts w:ascii="Arial" w:hAnsi="Arial" w:cs="Arial"/>
          <w:sz w:val="22"/>
        </w:rPr>
        <w:t xml:space="preserve"> </w:t>
      </w:r>
      <w:r w:rsidRPr="007835FF">
        <w:rPr>
          <w:rFonts w:ascii="Arial" w:hAnsi="Arial" w:cs="Arial"/>
          <w:sz w:val="22"/>
        </w:rPr>
        <w:t xml:space="preserve">The apparent plasma elimination half-life of </w:t>
      </w:r>
      <w:proofErr w:type="spellStart"/>
      <w:r w:rsidRPr="007835FF">
        <w:rPr>
          <w:rFonts w:ascii="Arial" w:hAnsi="Arial" w:cs="Arial"/>
          <w:sz w:val="22"/>
        </w:rPr>
        <w:t>vilanterol</w:t>
      </w:r>
      <w:proofErr w:type="spellEnd"/>
      <w:r w:rsidRPr="007835FF">
        <w:rPr>
          <w:rFonts w:ascii="Arial" w:hAnsi="Arial" w:cs="Arial"/>
          <w:sz w:val="22"/>
        </w:rPr>
        <w:t xml:space="preserve"> following inhaled administration of fluticasone </w:t>
      </w:r>
      <w:proofErr w:type="spellStart"/>
      <w:r w:rsidRPr="007835FF">
        <w:rPr>
          <w:rFonts w:ascii="Arial" w:hAnsi="Arial" w:cs="Arial"/>
          <w:sz w:val="22"/>
        </w:rPr>
        <w:t>furoate</w:t>
      </w:r>
      <w:proofErr w:type="spellEnd"/>
      <w:r w:rsidRPr="007835FF">
        <w:rPr>
          <w:rFonts w:ascii="Arial" w:hAnsi="Arial" w:cs="Arial"/>
          <w:sz w:val="22"/>
        </w:rPr>
        <w:t>/</w:t>
      </w:r>
      <w:proofErr w:type="spellStart"/>
      <w:r w:rsidRPr="007835FF">
        <w:rPr>
          <w:rFonts w:ascii="Arial" w:hAnsi="Arial" w:cs="Arial"/>
          <w:sz w:val="22"/>
        </w:rPr>
        <w:t>vilanterol</w:t>
      </w:r>
      <w:proofErr w:type="spellEnd"/>
      <w:r w:rsidRPr="007835FF">
        <w:rPr>
          <w:rFonts w:ascii="Arial" w:hAnsi="Arial" w:cs="Arial"/>
          <w:sz w:val="22"/>
        </w:rPr>
        <w:t xml:space="preserve"> was, on average, 2.5 hours.</w:t>
      </w:r>
    </w:p>
    <w:p w:rsidR="00D05EDE" w:rsidRPr="007835FF" w:rsidRDefault="00D05EDE" w:rsidP="00680640">
      <w:pPr>
        <w:pStyle w:val="NoNumHead4"/>
        <w:spacing w:before="0"/>
        <w:rPr>
          <w:rFonts w:eastAsia="MS Mincho"/>
          <w:lang w:val="en-US"/>
        </w:rPr>
      </w:pPr>
      <w:r w:rsidRPr="007835FF">
        <w:rPr>
          <w:rFonts w:eastAsia="MS Mincho"/>
          <w:lang w:val="en-US"/>
        </w:rPr>
        <w:t>Special Patient Populations</w:t>
      </w:r>
    </w:p>
    <w:p w:rsidR="00D05EDE" w:rsidRPr="00217091" w:rsidRDefault="00D05EDE" w:rsidP="00680640">
      <w:pPr>
        <w:keepNext/>
        <w:spacing w:after="240"/>
        <w:jc w:val="both"/>
        <w:rPr>
          <w:rFonts w:ascii="Arial" w:hAnsi="Arial" w:cs="Arial"/>
          <w:sz w:val="22"/>
          <w:szCs w:val="22"/>
        </w:rPr>
      </w:pPr>
      <w:r w:rsidRPr="00217091">
        <w:rPr>
          <w:rFonts w:ascii="Arial" w:hAnsi="Arial" w:cs="Arial"/>
          <w:sz w:val="22"/>
          <w:szCs w:val="22"/>
        </w:rPr>
        <w:t xml:space="preserve">Population PK meta-analyses for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and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were conducted in phase III studies in subjects with asthma or COPD. The impact of demographic covariates (age, gender, weight, BMI, racial group, ethnicity) on the pharmacokinetics of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and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were evaluated as part of the population pharmacokinetic analysis.</w:t>
      </w:r>
    </w:p>
    <w:p w:rsidR="00D05EDE" w:rsidRPr="00217091" w:rsidRDefault="00D05EDE" w:rsidP="007835FF">
      <w:pPr>
        <w:pStyle w:val="NoNumHead4"/>
        <w:keepNext w:val="0"/>
        <w:spacing w:before="0"/>
        <w:rPr>
          <w:rFonts w:eastAsia="MS Mincho"/>
          <w:b w:val="0"/>
          <w:u w:val="single"/>
          <w:lang w:val="en-US"/>
        </w:rPr>
      </w:pPr>
      <w:r w:rsidRPr="00217091">
        <w:rPr>
          <w:rFonts w:eastAsia="MS Mincho"/>
          <w:b w:val="0"/>
          <w:u w:val="single"/>
          <w:lang w:val="en-US"/>
        </w:rPr>
        <w:t>Race</w:t>
      </w:r>
    </w:p>
    <w:p w:rsidR="00D05EDE" w:rsidRPr="00217091" w:rsidRDefault="00D05EDE" w:rsidP="007835FF">
      <w:pPr>
        <w:spacing w:after="240"/>
        <w:rPr>
          <w:rFonts w:ascii="Arial" w:hAnsi="Arial" w:cs="Arial"/>
          <w:sz w:val="22"/>
          <w:szCs w:val="22"/>
        </w:rPr>
      </w:pPr>
      <w:r w:rsidRPr="00217091">
        <w:rPr>
          <w:rFonts w:ascii="Arial" w:hAnsi="Arial" w:cs="Arial"/>
          <w:sz w:val="22"/>
          <w:szCs w:val="22"/>
          <w:lang w:val="en-US"/>
        </w:rPr>
        <w:t xml:space="preserve">In elderly subjects with </w:t>
      </w:r>
      <w:r w:rsidRPr="00217091">
        <w:rPr>
          <w:rFonts w:ascii="Arial" w:hAnsi="Arial" w:cs="Arial"/>
          <w:sz w:val="22"/>
          <w:szCs w:val="22"/>
        </w:rPr>
        <w:t xml:space="preserve">asthma or </w:t>
      </w:r>
      <w:r w:rsidRPr="00217091">
        <w:rPr>
          <w:rFonts w:ascii="Arial" w:hAnsi="Arial" w:cs="Arial"/>
          <w:sz w:val="22"/>
          <w:szCs w:val="22"/>
          <w:lang w:val="en-US"/>
        </w:rPr>
        <w:t xml:space="preserve">COPD estimates of fluticasone </w:t>
      </w:r>
      <w:proofErr w:type="spellStart"/>
      <w:r w:rsidRPr="00217091">
        <w:rPr>
          <w:rFonts w:ascii="Arial" w:hAnsi="Arial" w:cs="Arial"/>
          <w:sz w:val="22"/>
          <w:szCs w:val="22"/>
          <w:lang w:val="en-US"/>
        </w:rPr>
        <w:t>furoate</w:t>
      </w:r>
      <w:proofErr w:type="spellEnd"/>
      <w:r w:rsidRPr="00217091">
        <w:rPr>
          <w:rFonts w:ascii="Arial" w:hAnsi="Arial" w:cs="Arial"/>
          <w:sz w:val="22"/>
          <w:szCs w:val="22"/>
          <w:lang w:val="en-US"/>
        </w:rPr>
        <w:t xml:space="preserve"> AUC</w:t>
      </w:r>
      <w:r w:rsidRPr="00217091">
        <w:rPr>
          <w:rFonts w:ascii="Arial" w:hAnsi="Arial" w:cs="Arial"/>
          <w:sz w:val="22"/>
          <w:szCs w:val="22"/>
          <w:vertAlign w:val="subscript"/>
          <w:lang w:val="en-US"/>
        </w:rPr>
        <w:t>(0-24)</w:t>
      </w:r>
      <w:r w:rsidRPr="00217091">
        <w:rPr>
          <w:rFonts w:ascii="Arial" w:hAnsi="Arial" w:cs="Arial"/>
          <w:sz w:val="22"/>
          <w:szCs w:val="22"/>
          <w:lang w:val="en-US"/>
        </w:rPr>
        <w:t xml:space="preserve"> for </w:t>
      </w:r>
      <w:r w:rsidRPr="00217091">
        <w:rPr>
          <w:rFonts w:ascii="Arial" w:hAnsi="Arial" w:cs="Arial"/>
          <w:sz w:val="22"/>
          <w:szCs w:val="22"/>
        </w:rPr>
        <w:t>East Asian, Japanese and South Asian</w:t>
      </w:r>
      <w:r w:rsidRPr="00217091">
        <w:rPr>
          <w:rFonts w:ascii="Arial" w:hAnsi="Arial" w:cs="Arial"/>
          <w:sz w:val="22"/>
          <w:szCs w:val="22"/>
          <w:lang w:val="en-US"/>
        </w:rPr>
        <w:t xml:space="preserve"> subjects </w:t>
      </w:r>
      <w:r w:rsidRPr="00217091">
        <w:rPr>
          <w:rFonts w:ascii="Arial" w:hAnsi="Arial" w:cs="Arial"/>
          <w:sz w:val="22"/>
          <w:szCs w:val="22"/>
        </w:rPr>
        <w:t xml:space="preserve">(12-14% subjects) were up to 53% higher on average compared with Caucasian subjects. However, there was no evidence for the higher systemic exposure in these populations to be associated with greater effect on 24 hour urinary cortisol excretion. There was no effect of race on pharmacokinetic parameter estimates of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in subjects with COPD.</w:t>
      </w:r>
    </w:p>
    <w:p w:rsidR="00D05EDE" w:rsidRPr="00217091" w:rsidRDefault="00AC271D" w:rsidP="007835FF">
      <w:pPr>
        <w:spacing w:after="240"/>
        <w:rPr>
          <w:rFonts w:ascii="Arial" w:hAnsi="Arial" w:cs="Arial"/>
          <w:sz w:val="22"/>
          <w:szCs w:val="22"/>
        </w:rPr>
      </w:pPr>
      <w:r>
        <w:rPr>
          <w:rFonts w:ascii="Arial" w:hAnsi="Arial" w:cs="Arial"/>
          <w:sz w:val="22"/>
          <w:szCs w:val="22"/>
        </w:rPr>
        <w:t>In subjects with asthma, o</w:t>
      </w:r>
      <w:r w:rsidR="00D05EDE" w:rsidRPr="00217091">
        <w:rPr>
          <w:rFonts w:ascii="Arial" w:hAnsi="Arial" w:cs="Arial"/>
          <w:sz w:val="22"/>
          <w:szCs w:val="22"/>
        </w:rPr>
        <w:t xml:space="preserve">n average, </w:t>
      </w:r>
      <w:proofErr w:type="spellStart"/>
      <w:r w:rsidR="00D05EDE" w:rsidRPr="00217091">
        <w:rPr>
          <w:rFonts w:ascii="Arial" w:hAnsi="Arial" w:cs="Arial"/>
          <w:sz w:val="22"/>
          <w:szCs w:val="22"/>
        </w:rPr>
        <w:t>vilanterol</w:t>
      </w:r>
      <w:proofErr w:type="spellEnd"/>
      <w:r w:rsidR="00D05EDE" w:rsidRPr="00217091">
        <w:rPr>
          <w:rFonts w:ascii="Arial" w:hAnsi="Arial" w:cs="Arial"/>
          <w:sz w:val="22"/>
          <w:szCs w:val="22"/>
        </w:rPr>
        <w:t xml:space="preserve"> </w:t>
      </w:r>
      <w:proofErr w:type="spellStart"/>
      <w:r w:rsidR="00D05EDE" w:rsidRPr="00217091">
        <w:rPr>
          <w:rFonts w:ascii="Arial" w:hAnsi="Arial" w:cs="Arial"/>
          <w:sz w:val="22"/>
          <w:szCs w:val="22"/>
        </w:rPr>
        <w:t>C</w:t>
      </w:r>
      <w:r w:rsidR="00D05EDE" w:rsidRPr="00CB18FD">
        <w:rPr>
          <w:rFonts w:ascii="Arial" w:hAnsi="Arial" w:cs="Arial"/>
          <w:sz w:val="22"/>
          <w:szCs w:val="22"/>
          <w:vertAlign w:val="subscript"/>
        </w:rPr>
        <w:t>max</w:t>
      </w:r>
      <w:proofErr w:type="spellEnd"/>
      <w:r w:rsidR="00D05EDE" w:rsidRPr="00217091">
        <w:rPr>
          <w:rFonts w:ascii="Arial" w:hAnsi="Arial" w:cs="Arial"/>
          <w:sz w:val="22"/>
          <w:szCs w:val="22"/>
        </w:rPr>
        <w:t xml:space="preserve"> is estimated to be 220 to 287% higher and </w:t>
      </w:r>
      <w:proofErr w:type="gramStart"/>
      <w:r w:rsidR="00D05EDE" w:rsidRPr="00217091">
        <w:rPr>
          <w:rFonts w:ascii="Arial" w:hAnsi="Arial" w:cs="Arial"/>
          <w:sz w:val="22"/>
          <w:szCs w:val="22"/>
        </w:rPr>
        <w:t>AUC</w:t>
      </w:r>
      <w:r w:rsidR="00D05EDE" w:rsidRPr="00217091">
        <w:rPr>
          <w:rFonts w:ascii="Arial" w:hAnsi="Arial" w:cs="Arial"/>
          <w:sz w:val="22"/>
          <w:szCs w:val="22"/>
          <w:vertAlign w:val="subscript"/>
        </w:rPr>
        <w:t>(</w:t>
      </w:r>
      <w:proofErr w:type="gramEnd"/>
      <w:r w:rsidR="00D05EDE" w:rsidRPr="00217091">
        <w:rPr>
          <w:rFonts w:ascii="Arial" w:hAnsi="Arial" w:cs="Arial"/>
          <w:sz w:val="22"/>
          <w:szCs w:val="22"/>
          <w:vertAlign w:val="subscript"/>
        </w:rPr>
        <w:t>0-24)</w:t>
      </w:r>
      <w:r w:rsidR="00D05EDE" w:rsidRPr="00217091">
        <w:rPr>
          <w:rFonts w:ascii="Arial" w:hAnsi="Arial" w:cs="Arial"/>
          <w:sz w:val="22"/>
          <w:szCs w:val="22"/>
        </w:rPr>
        <w:t xml:space="preserve"> comparable for those subjects from an Asian heritage compared with subjects from other racial groups. However, there was no evidence that this higher </w:t>
      </w:r>
      <w:proofErr w:type="spellStart"/>
      <w:r w:rsidR="00D05EDE" w:rsidRPr="00217091">
        <w:rPr>
          <w:rFonts w:ascii="Arial" w:hAnsi="Arial" w:cs="Arial"/>
          <w:sz w:val="22"/>
          <w:szCs w:val="22"/>
        </w:rPr>
        <w:t>vilanterol</w:t>
      </w:r>
      <w:proofErr w:type="spellEnd"/>
      <w:r w:rsidR="00D05EDE" w:rsidRPr="00217091">
        <w:rPr>
          <w:rFonts w:ascii="Arial" w:hAnsi="Arial" w:cs="Arial"/>
          <w:sz w:val="22"/>
          <w:szCs w:val="22"/>
        </w:rPr>
        <w:t xml:space="preserve"> </w:t>
      </w:r>
      <w:proofErr w:type="spellStart"/>
      <w:r w:rsidR="00D05EDE" w:rsidRPr="00217091">
        <w:rPr>
          <w:rFonts w:ascii="Arial" w:hAnsi="Arial" w:cs="Arial"/>
          <w:sz w:val="22"/>
          <w:szCs w:val="22"/>
        </w:rPr>
        <w:t>C</w:t>
      </w:r>
      <w:r w:rsidR="00D05EDE" w:rsidRPr="00CB18FD">
        <w:rPr>
          <w:rFonts w:ascii="Arial" w:hAnsi="Arial" w:cs="Arial"/>
          <w:sz w:val="22"/>
          <w:szCs w:val="22"/>
          <w:vertAlign w:val="subscript"/>
        </w:rPr>
        <w:t>max</w:t>
      </w:r>
      <w:proofErr w:type="spellEnd"/>
      <w:r w:rsidR="00D05EDE" w:rsidRPr="00217091">
        <w:rPr>
          <w:rFonts w:ascii="Arial" w:hAnsi="Arial" w:cs="Arial"/>
          <w:sz w:val="22"/>
          <w:szCs w:val="22"/>
        </w:rPr>
        <w:t xml:space="preserve"> resulted in clinically significant effects on heart rate.</w:t>
      </w:r>
    </w:p>
    <w:p w:rsidR="00D05EDE" w:rsidRPr="00217091" w:rsidRDefault="00D05EDE" w:rsidP="007835FF">
      <w:pPr>
        <w:pStyle w:val="NoNumHead4"/>
        <w:keepNext w:val="0"/>
        <w:spacing w:before="0"/>
        <w:rPr>
          <w:rFonts w:eastAsia="MS Mincho"/>
          <w:b w:val="0"/>
          <w:u w:val="single"/>
          <w:lang w:val="en-US"/>
        </w:rPr>
      </w:pPr>
      <w:r w:rsidRPr="00217091">
        <w:rPr>
          <w:rFonts w:eastAsia="MS Mincho"/>
          <w:b w:val="0"/>
          <w:u w:val="single"/>
          <w:lang w:val="en-US"/>
        </w:rPr>
        <w:t>Children</w:t>
      </w:r>
    </w:p>
    <w:p w:rsidR="00E72595" w:rsidRPr="000E1AAC" w:rsidRDefault="00E72595" w:rsidP="00E72595">
      <w:pPr>
        <w:keepNext/>
        <w:spacing w:after="240"/>
        <w:rPr>
          <w:rFonts w:ascii="Arial" w:hAnsi="Arial" w:cs="Arial"/>
          <w:sz w:val="22"/>
          <w:szCs w:val="22"/>
        </w:rPr>
      </w:pP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should not be used in children (i.e. patients younger </w:t>
      </w:r>
      <w:r w:rsidRPr="000E1AAC">
        <w:rPr>
          <w:rFonts w:ascii="Arial" w:hAnsi="Arial" w:cs="Arial"/>
          <w:sz w:val="22"/>
          <w:szCs w:val="22"/>
        </w:rPr>
        <w:t>than 12 years of age</w:t>
      </w:r>
      <w:r>
        <w:rPr>
          <w:rFonts w:ascii="Arial" w:hAnsi="Arial" w:cs="Arial"/>
          <w:sz w:val="22"/>
          <w:szCs w:val="22"/>
        </w:rPr>
        <w:t>)</w:t>
      </w:r>
      <w:r w:rsidRPr="000E1AAC">
        <w:rPr>
          <w:rFonts w:ascii="Arial" w:hAnsi="Arial" w:cs="Arial"/>
          <w:sz w:val="22"/>
          <w:szCs w:val="22"/>
        </w:rPr>
        <w:t>.</w:t>
      </w:r>
    </w:p>
    <w:p w:rsidR="00D05EDE" w:rsidRPr="00217091" w:rsidRDefault="00D05EDE" w:rsidP="007835FF">
      <w:pPr>
        <w:autoSpaceDE w:val="0"/>
        <w:autoSpaceDN w:val="0"/>
        <w:adjustRightInd w:val="0"/>
        <w:spacing w:after="240"/>
        <w:rPr>
          <w:rFonts w:ascii="Arial" w:hAnsi="Arial" w:cs="Arial"/>
          <w:color w:val="000000"/>
          <w:sz w:val="22"/>
          <w:szCs w:val="22"/>
        </w:rPr>
      </w:pPr>
      <w:r w:rsidRPr="00217091">
        <w:rPr>
          <w:rFonts w:ascii="Arial" w:hAnsi="Arial" w:cs="Arial"/>
          <w:sz w:val="22"/>
          <w:szCs w:val="22"/>
        </w:rPr>
        <w:t>In adolescents (12 years or older), there are no recommended dose modifications.</w:t>
      </w:r>
    </w:p>
    <w:p w:rsidR="00D05EDE" w:rsidRPr="00217091" w:rsidRDefault="00D05EDE" w:rsidP="007835FF">
      <w:pPr>
        <w:pStyle w:val="NoNumHead4"/>
        <w:keepNext w:val="0"/>
        <w:spacing w:before="0"/>
        <w:rPr>
          <w:rFonts w:eastAsia="MS Mincho"/>
          <w:b w:val="0"/>
          <w:u w:val="single"/>
          <w:lang w:val="en-US"/>
        </w:rPr>
      </w:pPr>
      <w:r w:rsidRPr="00217091">
        <w:rPr>
          <w:rFonts w:eastAsia="MS Mincho"/>
          <w:b w:val="0"/>
          <w:u w:val="single"/>
          <w:lang w:val="en-US"/>
        </w:rPr>
        <w:t>Elderly</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 xml:space="preserve">The effects of age on the pharmacokinetics of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and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were determined in phase III studies in COPD and asthma.</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 xml:space="preserve">There was no evidence for age (12-84) to affect the PK of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w:t>
      </w:r>
      <w:r w:rsidR="00AC271D">
        <w:rPr>
          <w:rFonts w:ascii="Arial" w:hAnsi="Arial" w:cs="Arial"/>
          <w:sz w:val="22"/>
          <w:szCs w:val="22"/>
        </w:rPr>
        <w:t>or</w:t>
      </w:r>
      <w:r w:rsidR="00AC271D" w:rsidRPr="00217091">
        <w:rPr>
          <w:rFonts w:ascii="Arial" w:hAnsi="Arial" w:cs="Arial"/>
          <w:sz w:val="22"/>
          <w:szCs w:val="22"/>
        </w:rPr>
        <w:t xml:space="preserve">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in subjects with asthma.</w:t>
      </w:r>
    </w:p>
    <w:p w:rsidR="00D05EDE" w:rsidRPr="00217091" w:rsidRDefault="00D05EDE" w:rsidP="007835FF">
      <w:pPr>
        <w:spacing w:after="240"/>
        <w:rPr>
          <w:rFonts w:ascii="Arial" w:hAnsi="Arial" w:cs="Arial"/>
          <w:sz w:val="22"/>
          <w:szCs w:val="22"/>
          <w:lang w:val="en-US"/>
        </w:rPr>
      </w:pPr>
      <w:r w:rsidRPr="00217091">
        <w:rPr>
          <w:rFonts w:ascii="Arial" w:hAnsi="Arial" w:cs="Arial"/>
          <w:sz w:val="22"/>
          <w:szCs w:val="22"/>
        </w:rPr>
        <w:t xml:space="preserve">There was no evidence for age to affect the PK of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in subjects with COPD while </w:t>
      </w:r>
      <w:r w:rsidRPr="00217091">
        <w:rPr>
          <w:rFonts w:ascii="Arial" w:hAnsi="Arial" w:cs="Arial"/>
          <w:sz w:val="22"/>
          <w:szCs w:val="22"/>
          <w:lang w:val="en-US"/>
        </w:rPr>
        <w:t xml:space="preserve">there was an </w:t>
      </w:r>
      <w:r w:rsidRPr="00217091">
        <w:rPr>
          <w:rFonts w:ascii="Arial" w:hAnsi="Arial" w:cs="Arial"/>
          <w:sz w:val="22"/>
          <w:szCs w:val="22"/>
        </w:rPr>
        <w:t>in</w:t>
      </w:r>
      <w:r w:rsidRPr="00217091">
        <w:rPr>
          <w:rFonts w:ascii="Arial" w:hAnsi="Arial" w:cs="Arial"/>
          <w:sz w:val="22"/>
          <w:szCs w:val="22"/>
          <w:lang w:val="en-US"/>
        </w:rPr>
        <w:t>crease (</w:t>
      </w:r>
      <w:r w:rsidRPr="00217091">
        <w:rPr>
          <w:rFonts w:ascii="Arial" w:hAnsi="Arial" w:cs="Arial"/>
          <w:sz w:val="22"/>
          <w:szCs w:val="22"/>
        </w:rPr>
        <w:t>37</w:t>
      </w:r>
      <w:r w:rsidRPr="00217091">
        <w:rPr>
          <w:rFonts w:ascii="Arial" w:hAnsi="Arial" w:cs="Arial"/>
          <w:sz w:val="22"/>
          <w:szCs w:val="22"/>
          <w:lang w:val="en-US"/>
        </w:rPr>
        <w:t xml:space="preserve">%) in </w:t>
      </w:r>
      <w:r w:rsidRPr="00217091">
        <w:rPr>
          <w:rFonts w:ascii="Arial" w:hAnsi="Arial" w:cs="Arial"/>
          <w:sz w:val="22"/>
          <w:szCs w:val="22"/>
        </w:rPr>
        <w:t xml:space="preserve">AUC </w:t>
      </w:r>
      <w:r w:rsidRPr="00217091">
        <w:rPr>
          <w:rFonts w:ascii="Arial" w:hAnsi="Arial" w:cs="Arial"/>
          <w:sz w:val="22"/>
          <w:szCs w:val="22"/>
          <w:vertAlign w:val="subscript"/>
        </w:rPr>
        <w:t>(0-24)</w:t>
      </w:r>
      <w:r w:rsidRPr="00217091">
        <w:rPr>
          <w:rFonts w:ascii="Arial" w:hAnsi="Arial" w:cs="Arial"/>
          <w:sz w:val="22"/>
          <w:szCs w:val="22"/>
        </w:rPr>
        <w:t xml:space="preserve"> </w:t>
      </w:r>
      <w:r w:rsidRPr="00217091">
        <w:rPr>
          <w:rFonts w:ascii="Arial" w:hAnsi="Arial" w:cs="Arial"/>
          <w:sz w:val="22"/>
          <w:szCs w:val="22"/>
          <w:lang w:val="en-US"/>
        </w:rPr>
        <w:t xml:space="preserve">of </w:t>
      </w:r>
      <w:proofErr w:type="spellStart"/>
      <w:r w:rsidRPr="00217091">
        <w:rPr>
          <w:rFonts w:ascii="Arial" w:hAnsi="Arial" w:cs="Arial"/>
          <w:sz w:val="22"/>
          <w:szCs w:val="22"/>
          <w:lang w:val="en-US"/>
        </w:rPr>
        <w:t>vilanterol</w:t>
      </w:r>
      <w:proofErr w:type="spellEnd"/>
      <w:r w:rsidRPr="00217091">
        <w:rPr>
          <w:rFonts w:ascii="Arial" w:hAnsi="Arial" w:cs="Arial"/>
          <w:sz w:val="22"/>
          <w:szCs w:val="22"/>
          <w:lang w:val="en-US"/>
        </w:rPr>
        <w:t xml:space="preserve"> over the observed age range of 41 to 84 years. For an elderly subject (aged 84 years) with low bodyweight (35 kg) </w:t>
      </w:r>
      <w:proofErr w:type="spellStart"/>
      <w:r w:rsidRPr="00217091">
        <w:rPr>
          <w:rFonts w:ascii="Arial" w:hAnsi="Arial" w:cs="Arial"/>
          <w:sz w:val="22"/>
          <w:szCs w:val="22"/>
          <w:lang w:val="en-US"/>
        </w:rPr>
        <w:t>vilanterol</w:t>
      </w:r>
      <w:proofErr w:type="spellEnd"/>
      <w:r w:rsidRPr="00217091">
        <w:rPr>
          <w:rFonts w:ascii="Arial" w:hAnsi="Arial" w:cs="Arial"/>
          <w:sz w:val="22"/>
          <w:szCs w:val="22"/>
          <w:lang w:val="en-US"/>
        </w:rPr>
        <w:t xml:space="preserve"> AUC </w:t>
      </w:r>
      <w:r w:rsidRPr="00217091">
        <w:rPr>
          <w:rFonts w:ascii="Arial" w:hAnsi="Arial" w:cs="Arial"/>
          <w:sz w:val="22"/>
          <w:szCs w:val="22"/>
          <w:vertAlign w:val="subscript"/>
          <w:lang w:val="en-US"/>
        </w:rPr>
        <w:t>(0-24)</w:t>
      </w:r>
      <w:r w:rsidRPr="00217091">
        <w:rPr>
          <w:rFonts w:ascii="Arial" w:hAnsi="Arial" w:cs="Arial"/>
          <w:sz w:val="22"/>
          <w:szCs w:val="22"/>
          <w:lang w:val="en-US"/>
        </w:rPr>
        <w:t xml:space="preserve"> is predicted to be 35% higher than the population estimate (subject with COPD aged 60 years and bodyweight of 70 kg), whilst </w:t>
      </w:r>
      <w:proofErr w:type="spellStart"/>
      <w:r w:rsidRPr="00217091">
        <w:rPr>
          <w:rFonts w:ascii="Arial" w:hAnsi="Arial" w:cs="Arial"/>
          <w:sz w:val="22"/>
          <w:szCs w:val="22"/>
          <w:lang w:val="en-US"/>
        </w:rPr>
        <w:t>C</w:t>
      </w:r>
      <w:r w:rsidRPr="00217091">
        <w:rPr>
          <w:rFonts w:ascii="Arial" w:hAnsi="Arial" w:cs="Arial"/>
          <w:sz w:val="22"/>
          <w:szCs w:val="22"/>
          <w:vertAlign w:val="subscript"/>
          <w:lang w:val="en-US"/>
        </w:rPr>
        <w:t>max</w:t>
      </w:r>
      <w:proofErr w:type="spellEnd"/>
      <w:r w:rsidRPr="00217091">
        <w:rPr>
          <w:rFonts w:ascii="Arial" w:hAnsi="Arial" w:cs="Arial"/>
          <w:sz w:val="22"/>
          <w:szCs w:val="22"/>
          <w:lang w:val="en-US"/>
        </w:rPr>
        <w:t xml:space="preserve"> was unchanged. These differences are unlikely to be of clinical relevance.</w:t>
      </w:r>
    </w:p>
    <w:p w:rsidR="00D05EDE" w:rsidRPr="00217091" w:rsidRDefault="00D05EDE" w:rsidP="007835FF">
      <w:pPr>
        <w:pStyle w:val="NoNumHead4"/>
        <w:keepNext w:val="0"/>
        <w:spacing w:before="0"/>
        <w:rPr>
          <w:rFonts w:eastAsia="MS Mincho"/>
          <w:b w:val="0"/>
          <w:u w:val="single"/>
          <w:lang w:val="en-US"/>
        </w:rPr>
      </w:pPr>
      <w:r w:rsidRPr="00217091">
        <w:rPr>
          <w:rFonts w:eastAsia="MS Mincho"/>
          <w:b w:val="0"/>
          <w:u w:val="single"/>
          <w:lang w:val="en-US"/>
        </w:rPr>
        <w:t xml:space="preserve">Renal </w:t>
      </w:r>
      <w:r w:rsidR="00D55096">
        <w:rPr>
          <w:rFonts w:eastAsia="MS Mincho"/>
          <w:b w:val="0"/>
          <w:u w:val="single"/>
          <w:lang w:val="en-US"/>
        </w:rPr>
        <w:t>I</w:t>
      </w:r>
      <w:r w:rsidRPr="00217091">
        <w:rPr>
          <w:rFonts w:eastAsia="MS Mincho"/>
          <w:b w:val="0"/>
          <w:u w:val="single"/>
          <w:lang w:val="en-US"/>
        </w:rPr>
        <w:t>mpairment</w:t>
      </w:r>
    </w:p>
    <w:p w:rsidR="00D05EDE" w:rsidRPr="00217091" w:rsidRDefault="00D05EDE" w:rsidP="007835FF">
      <w:pPr>
        <w:pStyle w:val="NormalWeb"/>
        <w:spacing w:before="0" w:beforeAutospacing="0" w:after="240" w:afterAutospacing="0"/>
        <w:rPr>
          <w:rFonts w:ascii="Arial" w:hAnsi="Arial" w:cs="Arial"/>
          <w:sz w:val="22"/>
          <w:szCs w:val="22"/>
        </w:rPr>
      </w:pPr>
      <w:r w:rsidRPr="00217091">
        <w:rPr>
          <w:rFonts w:ascii="Arial" w:eastAsia="MS Mincho" w:hAnsi="Arial" w:cs="Arial"/>
          <w:snapToGrid w:val="0"/>
          <w:sz w:val="22"/>
          <w:szCs w:val="22"/>
          <w:lang w:val="en-US" w:eastAsia="en-US"/>
        </w:rPr>
        <w:t xml:space="preserve">A clinical pharmacology study of fluticasone </w:t>
      </w:r>
      <w:proofErr w:type="spellStart"/>
      <w:r w:rsidRPr="00217091">
        <w:rPr>
          <w:rFonts w:ascii="Arial" w:eastAsia="MS Mincho" w:hAnsi="Arial" w:cs="Arial"/>
          <w:snapToGrid w:val="0"/>
          <w:sz w:val="22"/>
          <w:szCs w:val="22"/>
          <w:lang w:val="en-US" w:eastAsia="en-US"/>
        </w:rPr>
        <w:t>furoate</w:t>
      </w:r>
      <w:proofErr w:type="spellEnd"/>
      <w:r w:rsidRPr="00217091">
        <w:rPr>
          <w:rFonts w:ascii="Arial" w:eastAsia="MS Mincho" w:hAnsi="Arial" w:cs="Arial"/>
          <w:snapToGrid w:val="0"/>
          <w:sz w:val="22"/>
          <w:szCs w:val="22"/>
          <w:lang w:val="en-US" w:eastAsia="en-US"/>
        </w:rPr>
        <w:t>/</w:t>
      </w:r>
      <w:proofErr w:type="spellStart"/>
      <w:r w:rsidRPr="00217091">
        <w:rPr>
          <w:rFonts w:ascii="Arial" w:eastAsia="MS Mincho" w:hAnsi="Arial" w:cs="Arial"/>
          <w:snapToGrid w:val="0"/>
          <w:sz w:val="22"/>
          <w:szCs w:val="22"/>
          <w:lang w:val="en-US" w:eastAsia="en-US"/>
        </w:rPr>
        <w:t>vilanterol</w:t>
      </w:r>
      <w:proofErr w:type="spellEnd"/>
      <w:r w:rsidRPr="00217091">
        <w:rPr>
          <w:rFonts w:ascii="Arial" w:eastAsia="MS Mincho" w:hAnsi="Arial" w:cs="Arial"/>
          <w:snapToGrid w:val="0"/>
          <w:sz w:val="22"/>
          <w:szCs w:val="22"/>
          <w:lang w:val="en-US" w:eastAsia="en-US"/>
        </w:rPr>
        <w:t xml:space="preserve"> showed that severe renal impairment (creatinine clearance &lt;30</w:t>
      </w:r>
      <w:r w:rsidR="00CB18FD">
        <w:rPr>
          <w:rFonts w:ascii="Arial" w:eastAsia="MS Mincho" w:hAnsi="Arial" w:cs="Arial"/>
          <w:snapToGrid w:val="0"/>
          <w:sz w:val="22"/>
          <w:szCs w:val="22"/>
          <w:lang w:val="en-US" w:eastAsia="en-US"/>
        </w:rPr>
        <w:t xml:space="preserve"> </w:t>
      </w:r>
      <w:r w:rsidRPr="00217091">
        <w:rPr>
          <w:rFonts w:ascii="Arial" w:eastAsia="MS Mincho" w:hAnsi="Arial" w:cs="Arial"/>
          <w:snapToGrid w:val="0"/>
          <w:sz w:val="22"/>
          <w:szCs w:val="22"/>
          <w:lang w:val="en-US" w:eastAsia="en-US"/>
        </w:rPr>
        <w:t xml:space="preserve">mL/min) did not result in significantly greater exposure to fluticasone </w:t>
      </w:r>
      <w:proofErr w:type="spellStart"/>
      <w:r w:rsidRPr="00217091">
        <w:rPr>
          <w:rFonts w:ascii="Arial" w:eastAsia="MS Mincho" w:hAnsi="Arial" w:cs="Arial"/>
          <w:snapToGrid w:val="0"/>
          <w:sz w:val="22"/>
          <w:szCs w:val="22"/>
          <w:lang w:val="en-US" w:eastAsia="en-US"/>
        </w:rPr>
        <w:t>furoate</w:t>
      </w:r>
      <w:proofErr w:type="spellEnd"/>
      <w:r w:rsidRPr="00217091">
        <w:rPr>
          <w:rFonts w:ascii="Arial" w:eastAsia="MS Mincho" w:hAnsi="Arial" w:cs="Arial"/>
          <w:snapToGrid w:val="0"/>
          <w:sz w:val="22"/>
          <w:szCs w:val="22"/>
          <w:lang w:val="en-US" w:eastAsia="en-US"/>
        </w:rPr>
        <w:t xml:space="preserve"> or </w:t>
      </w:r>
      <w:proofErr w:type="spellStart"/>
      <w:r w:rsidRPr="00217091">
        <w:rPr>
          <w:rFonts w:ascii="Arial" w:eastAsia="MS Mincho" w:hAnsi="Arial" w:cs="Arial"/>
          <w:snapToGrid w:val="0"/>
          <w:sz w:val="22"/>
          <w:szCs w:val="22"/>
          <w:lang w:val="en-US" w:eastAsia="en-US"/>
        </w:rPr>
        <w:t>vilanterol</w:t>
      </w:r>
      <w:proofErr w:type="spellEnd"/>
      <w:r w:rsidRPr="00217091">
        <w:rPr>
          <w:rFonts w:ascii="Arial" w:eastAsia="MS Mincho" w:hAnsi="Arial" w:cs="Arial"/>
          <w:snapToGrid w:val="0"/>
          <w:sz w:val="22"/>
          <w:szCs w:val="22"/>
          <w:lang w:val="en-US" w:eastAsia="en-US"/>
        </w:rPr>
        <w:t xml:space="preserve"> or more marked corticosteroid or beta</w:t>
      </w:r>
      <w:r w:rsidRPr="00217091">
        <w:rPr>
          <w:rFonts w:ascii="Arial" w:eastAsia="MS Mincho" w:hAnsi="Arial" w:cs="Arial"/>
          <w:snapToGrid w:val="0"/>
          <w:sz w:val="22"/>
          <w:szCs w:val="22"/>
          <w:vertAlign w:val="subscript"/>
          <w:lang w:val="en-US" w:eastAsia="en-US"/>
        </w:rPr>
        <w:t>2</w:t>
      </w:r>
      <w:r w:rsidRPr="00217091">
        <w:rPr>
          <w:rFonts w:ascii="Arial" w:eastAsia="MS Mincho" w:hAnsi="Arial" w:cs="Arial"/>
          <w:snapToGrid w:val="0"/>
          <w:sz w:val="22"/>
          <w:szCs w:val="22"/>
          <w:lang w:val="en-US" w:eastAsia="en-US"/>
        </w:rPr>
        <w:t xml:space="preserve">-agonist </w:t>
      </w:r>
      <w:r w:rsidRPr="00217091">
        <w:rPr>
          <w:rFonts w:ascii="Arial" w:eastAsia="MS Mincho" w:hAnsi="Arial" w:cs="Arial"/>
          <w:snapToGrid w:val="0"/>
          <w:sz w:val="22"/>
          <w:szCs w:val="22"/>
          <w:lang w:val="en-US" w:eastAsia="en-US"/>
        </w:rPr>
        <w:lastRenderedPageBreak/>
        <w:t xml:space="preserve">systemic effects compared with healthy subjects. </w:t>
      </w:r>
      <w:r w:rsidRPr="00217091">
        <w:rPr>
          <w:rFonts w:ascii="Arial" w:hAnsi="Arial" w:cs="Arial"/>
          <w:sz w:val="22"/>
          <w:szCs w:val="22"/>
        </w:rPr>
        <w:t>No dose adjustment is required for patients with renal impairment.</w:t>
      </w:r>
    </w:p>
    <w:p w:rsidR="00D05EDE" w:rsidRPr="00217091" w:rsidRDefault="00D05EDE" w:rsidP="007835FF">
      <w:pPr>
        <w:pStyle w:val="NormalWeb"/>
        <w:spacing w:before="0" w:beforeAutospacing="0" w:after="240" w:afterAutospacing="0"/>
        <w:rPr>
          <w:rFonts w:ascii="Arial" w:hAnsi="Arial" w:cs="Arial"/>
          <w:sz w:val="22"/>
          <w:szCs w:val="22"/>
        </w:rPr>
      </w:pPr>
      <w:r w:rsidRPr="00217091">
        <w:rPr>
          <w:rFonts w:ascii="Arial" w:hAnsi="Arial" w:cs="Arial"/>
          <w:sz w:val="22"/>
          <w:szCs w:val="22"/>
        </w:rPr>
        <w:t>The effects of haemodialysis have not been studied.</w:t>
      </w:r>
    </w:p>
    <w:p w:rsidR="00D05EDE" w:rsidRPr="00217091" w:rsidRDefault="00D05EDE" w:rsidP="007835FF">
      <w:pPr>
        <w:pStyle w:val="Heading3"/>
        <w:spacing w:before="0" w:after="240"/>
        <w:rPr>
          <w:rFonts w:ascii="Arial" w:hAnsi="Arial" w:cs="Arial"/>
          <w:b w:val="0"/>
          <w:sz w:val="22"/>
          <w:szCs w:val="22"/>
          <w:u w:val="single"/>
        </w:rPr>
      </w:pPr>
      <w:r w:rsidRPr="00217091">
        <w:rPr>
          <w:rFonts w:ascii="Arial" w:hAnsi="Arial" w:cs="Arial"/>
          <w:b w:val="0"/>
          <w:sz w:val="22"/>
          <w:szCs w:val="22"/>
          <w:u w:val="single"/>
        </w:rPr>
        <w:t>Hepatic Impairment</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 xml:space="preserve">Following repeat dosing of fluticasone </w:t>
      </w:r>
      <w:proofErr w:type="spellStart"/>
      <w:r w:rsidRPr="00217091">
        <w:rPr>
          <w:rFonts w:ascii="Arial" w:hAnsi="Arial" w:cs="Arial"/>
          <w:sz w:val="22"/>
          <w:szCs w:val="22"/>
        </w:rPr>
        <w:t>furoate</w:t>
      </w:r>
      <w:proofErr w:type="spellEnd"/>
      <w:r w:rsidRPr="00217091">
        <w:rPr>
          <w:rFonts w:ascii="Arial" w:hAnsi="Arial" w:cs="Arial"/>
          <w:sz w:val="22"/>
          <w:szCs w:val="22"/>
        </w:rPr>
        <w:t>/</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for 7 days, there was an increase in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systemic exposure (up to three-fold as measured by AUC</w:t>
      </w:r>
      <w:r w:rsidRPr="00217091">
        <w:rPr>
          <w:rFonts w:ascii="Arial" w:hAnsi="Arial" w:cs="Arial"/>
          <w:sz w:val="22"/>
          <w:szCs w:val="22"/>
          <w:vertAlign w:val="subscript"/>
        </w:rPr>
        <w:t>(0–24)</w:t>
      </w:r>
      <w:r w:rsidRPr="00217091">
        <w:rPr>
          <w:rFonts w:ascii="Arial" w:hAnsi="Arial" w:cs="Arial"/>
          <w:sz w:val="22"/>
          <w:szCs w:val="22"/>
        </w:rPr>
        <w:t xml:space="preserve">) in subjects with hepatic impairment </w:t>
      </w:r>
      <w:r w:rsidR="00327170" w:rsidRPr="00217091">
        <w:rPr>
          <w:rFonts w:ascii="Arial" w:hAnsi="Arial" w:cs="Arial"/>
          <w:sz w:val="22"/>
          <w:szCs w:val="22"/>
        </w:rPr>
        <w:t>(Child-Pugh A, B or C)</w:t>
      </w:r>
      <w:r w:rsidR="00327170">
        <w:rPr>
          <w:rFonts w:ascii="Arial" w:hAnsi="Arial" w:cs="Arial"/>
          <w:sz w:val="22"/>
          <w:szCs w:val="22"/>
        </w:rPr>
        <w:t xml:space="preserve"> </w:t>
      </w:r>
      <w:r w:rsidRPr="00217091">
        <w:rPr>
          <w:rFonts w:ascii="Arial" w:hAnsi="Arial" w:cs="Arial"/>
          <w:sz w:val="22"/>
          <w:szCs w:val="22"/>
        </w:rPr>
        <w:t xml:space="preserve">compared with healthy subjects. The increase in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systemic exposure </w:t>
      </w:r>
      <w:r w:rsidR="00327170" w:rsidRPr="00217091">
        <w:rPr>
          <w:rFonts w:ascii="Arial" w:hAnsi="Arial" w:cs="Arial"/>
          <w:sz w:val="22"/>
          <w:szCs w:val="22"/>
        </w:rPr>
        <w:t xml:space="preserve">(fluticasone </w:t>
      </w:r>
      <w:proofErr w:type="spellStart"/>
      <w:r w:rsidR="00327170" w:rsidRPr="00217091">
        <w:rPr>
          <w:rFonts w:ascii="Arial" w:hAnsi="Arial" w:cs="Arial"/>
          <w:sz w:val="22"/>
          <w:szCs w:val="22"/>
        </w:rPr>
        <w:t>furoate</w:t>
      </w:r>
      <w:proofErr w:type="spellEnd"/>
      <w:r w:rsidR="00327170" w:rsidRPr="00217091">
        <w:rPr>
          <w:rFonts w:ascii="Arial" w:hAnsi="Arial" w:cs="Arial"/>
          <w:sz w:val="22"/>
          <w:szCs w:val="22"/>
        </w:rPr>
        <w:t>/</w:t>
      </w:r>
      <w:proofErr w:type="spellStart"/>
      <w:r w:rsidR="00327170" w:rsidRPr="00217091">
        <w:rPr>
          <w:rFonts w:ascii="Arial" w:hAnsi="Arial" w:cs="Arial"/>
          <w:sz w:val="22"/>
          <w:szCs w:val="22"/>
        </w:rPr>
        <w:t>vilanterol</w:t>
      </w:r>
      <w:proofErr w:type="spellEnd"/>
      <w:r w:rsidR="00327170" w:rsidRPr="00217091">
        <w:rPr>
          <w:rFonts w:ascii="Arial" w:hAnsi="Arial" w:cs="Arial"/>
          <w:sz w:val="22"/>
          <w:szCs w:val="22"/>
        </w:rPr>
        <w:t xml:space="preserve"> 200/25 micrograms)</w:t>
      </w:r>
      <w:r w:rsidR="00327170">
        <w:rPr>
          <w:rFonts w:ascii="Arial" w:hAnsi="Arial" w:cs="Arial"/>
          <w:sz w:val="22"/>
          <w:szCs w:val="22"/>
        </w:rPr>
        <w:t xml:space="preserve"> </w:t>
      </w:r>
      <w:r w:rsidRPr="00217091">
        <w:rPr>
          <w:rFonts w:ascii="Arial" w:hAnsi="Arial" w:cs="Arial"/>
          <w:sz w:val="22"/>
          <w:szCs w:val="22"/>
        </w:rPr>
        <w:t xml:space="preserve">in subjects with moderate hepatic impairment </w:t>
      </w:r>
      <w:r w:rsidR="00327170" w:rsidRPr="00217091">
        <w:rPr>
          <w:rFonts w:ascii="Arial" w:hAnsi="Arial" w:cs="Arial"/>
          <w:sz w:val="22"/>
          <w:szCs w:val="22"/>
        </w:rPr>
        <w:t>(Child-Pugh B)</w:t>
      </w:r>
      <w:r w:rsidR="00327170" w:rsidRPr="00217091" w:rsidDel="00327170">
        <w:rPr>
          <w:rFonts w:ascii="Arial" w:hAnsi="Arial" w:cs="Arial"/>
          <w:sz w:val="22"/>
          <w:szCs w:val="22"/>
        </w:rPr>
        <w:t xml:space="preserve"> </w:t>
      </w:r>
      <w:r w:rsidRPr="00217091">
        <w:rPr>
          <w:rFonts w:ascii="Arial" w:hAnsi="Arial" w:cs="Arial"/>
          <w:sz w:val="22"/>
          <w:szCs w:val="22"/>
        </w:rPr>
        <w:t>was associated with an average 34% reduction in serum cortisol compared with healthy subjects.</w:t>
      </w:r>
      <w:r w:rsidR="00764555">
        <w:rPr>
          <w:rFonts w:ascii="Arial" w:hAnsi="Arial" w:cs="Arial"/>
          <w:sz w:val="22"/>
          <w:szCs w:val="22"/>
        </w:rPr>
        <w:t xml:space="preserve"> </w:t>
      </w:r>
      <w:r w:rsidR="00327170">
        <w:rPr>
          <w:rFonts w:ascii="Arial" w:hAnsi="Arial" w:cs="Arial"/>
          <w:sz w:val="22"/>
          <w:szCs w:val="22"/>
        </w:rPr>
        <w:t>In subjects with severe hepatic impairment (Child-Pugh C) that received a lower dose of 100/12.5 micrograms there was no reduction in serum cortisol.</w:t>
      </w:r>
      <w:r w:rsidR="00C3351F">
        <w:rPr>
          <w:rFonts w:ascii="Arial" w:hAnsi="Arial" w:cs="Arial"/>
          <w:sz w:val="22"/>
          <w:szCs w:val="22"/>
        </w:rPr>
        <w:t xml:space="preserve">  </w:t>
      </w:r>
      <w:r w:rsidR="00C3351F" w:rsidRPr="00C3351F">
        <w:rPr>
          <w:rFonts w:ascii="Arial" w:hAnsi="Arial" w:cs="Arial"/>
          <w:sz w:val="22"/>
          <w:szCs w:val="22"/>
        </w:rPr>
        <w:t>For patients with moderate or severe hepatic impairment the maximum dose is 100/25 micrograms (see Dosage and Administration).</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 xml:space="preserve">Following repeat dosing of fluticasone </w:t>
      </w:r>
      <w:proofErr w:type="spellStart"/>
      <w:r w:rsidRPr="00217091">
        <w:rPr>
          <w:rFonts w:ascii="Arial" w:hAnsi="Arial" w:cs="Arial"/>
          <w:sz w:val="22"/>
          <w:szCs w:val="22"/>
        </w:rPr>
        <w:t>furoate</w:t>
      </w:r>
      <w:proofErr w:type="spellEnd"/>
      <w:r w:rsidRPr="00217091">
        <w:rPr>
          <w:rFonts w:ascii="Arial" w:hAnsi="Arial" w:cs="Arial"/>
          <w:sz w:val="22"/>
          <w:szCs w:val="22"/>
        </w:rPr>
        <w:t>/</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for 7 days, there was no significant increase in systemic exposure to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w:t>
      </w:r>
      <w:proofErr w:type="spellStart"/>
      <w:r w:rsidRPr="00217091">
        <w:rPr>
          <w:rFonts w:ascii="Arial" w:hAnsi="Arial" w:cs="Arial"/>
          <w:sz w:val="22"/>
          <w:szCs w:val="22"/>
        </w:rPr>
        <w:t>C</w:t>
      </w:r>
      <w:r w:rsidRPr="00CB18FD">
        <w:rPr>
          <w:rFonts w:ascii="Arial" w:hAnsi="Arial" w:cs="Arial"/>
          <w:sz w:val="22"/>
          <w:szCs w:val="22"/>
          <w:vertAlign w:val="subscript"/>
        </w:rPr>
        <w:t>max</w:t>
      </w:r>
      <w:proofErr w:type="spellEnd"/>
      <w:r w:rsidRPr="00217091">
        <w:rPr>
          <w:rFonts w:ascii="Arial" w:hAnsi="Arial" w:cs="Arial"/>
          <w:sz w:val="22"/>
          <w:szCs w:val="22"/>
        </w:rPr>
        <w:t xml:space="preserve"> and AUC) in subjects with mild, moderate, or severe hepatic impairment (Child-Pugh A, B or C).</w:t>
      </w:r>
    </w:p>
    <w:p w:rsidR="00D05EDE" w:rsidRDefault="00D05EDE" w:rsidP="007835FF">
      <w:pPr>
        <w:spacing w:after="240"/>
        <w:rPr>
          <w:rFonts w:ascii="Arial" w:hAnsi="Arial" w:cs="Arial"/>
          <w:sz w:val="22"/>
          <w:szCs w:val="22"/>
        </w:rPr>
      </w:pPr>
      <w:r w:rsidRPr="00217091">
        <w:rPr>
          <w:rFonts w:ascii="Arial" w:hAnsi="Arial" w:cs="Arial"/>
          <w:sz w:val="22"/>
          <w:szCs w:val="22"/>
        </w:rPr>
        <w:t xml:space="preserve">There were no clinically relevant effects of the fluticasone </w:t>
      </w:r>
      <w:proofErr w:type="spellStart"/>
      <w:r w:rsidRPr="00217091">
        <w:rPr>
          <w:rFonts w:ascii="Arial" w:hAnsi="Arial" w:cs="Arial"/>
          <w:sz w:val="22"/>
          <w:szCs w:val="22"/>
        </w:rPr>
        <w:t>furoate</w:t>
      </w:r>
      <w:proofErr w:type="spellEnd"/>
      <w:r w:rsidRPr="00217091">
        <w:rPr>
          <w:rFonts w:ascii="Arial" w:hAnsi="Arial" w:cs="Arial"/>
          <w:sz w:val="22"/>
          <w:szCs w:val="22"/>
        </w:rPr>
        <w:t>/</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combination on beta-adrenergic systemic effects (heart rate or serum potassium) in subjects with mild or moderate hepatic impairment (</w:t>
      </w:r>
      <w:proofErr w:type="spellStart"/>
      <w:r w:rsidRPr="00217091">
        <w:rPr>
          <w:rFonts w:ascii="Arial" w:hAnsi="Arial" w:cs="Arial"/>
          <w:sz w:val="22"/>
          <w:szCs w:val="22"/>
        </w:rPr>
        <w:t>vilanterol</w:t>
      </w:r>
      <w:proofErr w:type="spellEnd"/>
      <w:r w:rsidRPr="00217091">
        <w:rPr>
          <w:rFonts w:ascii="Arial" w:hAnsi="Arial" w:cs="Arial"/>
          <w:sz w:val="22"/>
          <w:szCs w:val="22"/>
        </w:rPr>
        <w:t>, 25 micrograms) or with severe hepatic impairment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12.5 micrograms) compared with healthy subjects. </w:t>
      </w:r>
    </w:p>
    <w:p w:rsidR="00D05EDE" w:rsidRPr="00217091" w:rsidRDefault="00D05EDE" w:rsidP="007835FF">
      <w:pPr>
        <w:pStyle w:val="Heading3"/>
        <w:spacing w:before="0" w:after="240"/>
        <w:rPr>
          <w:rFonts w:ascii="Arial" w:hAnsi="Arial" w:cs="Arial"/>
          <w:sz w:val="22"/>
          <w:szCs w:val="22"/>
        </w:rPr>
      </w:pPr>
      <w:r w:rsidRPr="00217091">
        <w:rPr>
          <w:rFonts w:ascii="Arial" w:hAnsi="Arial" w:cs="Arial"/>
          <w:sz w:val="22"/>
          <w:szCs w:val="22"/>
        </w:rPr>
        <w:t>Gender, Weight and BMI</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 xml:space="preserve">There was no evidence for gender, weight or BMI to influence the pharmacokinetics of fluticasone </w:t>
      </w:r>
      <w:proofErr w:type="spellStart"/>
      <w:r w:rsidRPr="00217091">
        <w:rPr>
          <w:rFonts w:ascii="Arial" w:hAnsi="Arial" w:cs="Arial"/>
          <w:sz w:val="22"/>
          <w:szCs w:val="22"/>
        </w:rPr>
        <w:t>furoate</w:t>
      </w:r>
      <w:proofErr w:type="spellEnd"/>
      <w:r w:rsidRPr="00217091">
        <w:rPr>
          <w:rFonts w:ascii="Arial" w:hAnsi="Arial" w:cs="Arial"/>
          <w:sz w:val="22"/>
          <w:szCs w:val="22"/>
        </w:rPr>
        <w:t xml:space="preserve"> based on a population pharmacokinetic analysis of phase III data in 1213 subjects with asthma (712 females) and 1225 subjects with COPD (392 females). </w:t>
      </w:r>
    </w:p>
    <w:p w:rsidR="00D05EDE" w:rsidRPr="00217091" w:rsidRDefault="00D05EDE" w:rsidP="007835FF">
      <w:pPr>
        <w:spacing w:after="240"/>
        <w:rPr>
          <w:rFonts w:ascii="Arial" w:hAnsi="Arial" w:cs="Arial"/>
          <w:sz w:val="22"/>
          <w:szCs w:val="22"/>
          <w:lang w:val="en-US"/>
        </w:rPr>
      </w:pPr>
      <w:r w:rsidRPr="00217091">
        <w:rPr>
          <w:rFonts w:ascii="Arial" w:hAnsi="Arial" w:cs="Arial"/>
          <w:sz w:val="22"/>
          <w:szCs w:val="22"/>
        </w:rPr>
        <w:t xml:space="preserve">There was no evidence for gender, weight or BMI to influence the pharmacokinetics of </w:t>
      </w:r>
      <w:proofErr w:type="spellStart"/>
      <w:r w:rsidRPr="00217091">
        <w:rPr>
          <w:rFonts w:ascii="Arial" w:hAnsi="Arial" w:cs="Arial"/>
          <w:sz w:val="22"/>
          <w:szCs w:val="22"/>
        </w:rPr>
        <w:t>vilanterol</w:t>
      </w:r>
      <w:proofErr w:type="spellEnd"/>
      <w:r w:rsidRPr="00217091">
        <w:rPr>
          <w:rFonts w:ascii="Arial" w:hAnsi="Arial" w:cs="Arial"/>
          <w:sz w:val="22"/>
          <w:szCs w:val="22"/>
        </w:rPr>
        <w:t xml:space="preserve"> based on a population pharmacokinetic analysis in 856 subjects with asthma (500 females) and 1091 subjects with COPD (340 females).</w:t>
      </w:r>
    </w:p>
    <w:p w:rsidR="00D05EDE" w:rsidRPr="00217091" w:rsidRDefault="00D05EDE" w:rsidP="007835FF">
      <w:pPr>
        <w:spacing w:after="240"/>
        <w:rPr>
          <w:rFonts w:ascii="Arial" w:hAnsi="Arial" w:cs="Arial"/>
          <w:sz w:val="22"/>
          <w:szCs w:val="22"/>
        </w:rPr>
      </w:pPr>
      <w:r w:rsidRPr="00217091">
        <w:rPr>
          <w:rFonts w:ascii="Arial" w:hAnsi="Arial" w:cs="Arial"/>
          <w:sz w:val="22"/>
          <w:szCs w:val="22"/>
        </w:rPr>
        <w:t>No dosage adjustment is necessary based on gender, weight or body mass index (BMI).</w:t>
      </w:r>
    </w:p>
    <w:p w:rsidR="0077380F" w:rsidRPr="007835FF" w:rsidRDefault="0077380F" w:rsidP="007835FF">
      <w:pPr>
        <w:spacing w:after="240"/>
        <w:jc w:val="both"/>
        <w:rPr>
          <w:rFonts w:ascii="Arial" w:hAnsi="Arial" w:cs="Arial"/>
          <w:b/>
          <w:sz w:val="22"/>
          <w:szCs w:val="22"/>
        </w:rPr>
      </w:pPr>
      <w:r w:rsidRPr="007835FF">
        <w:rPr>
          <w:rFonts w:ascii="Arial" w:hAnsi="Arial" w:cs="Arial"/>
          <w:b/>
          <w:sz w:val="22"/>
          <w:szCs w:val="22"/>
        </w:rPr>
        <w:t>CLINICAL TRIALS</w:t>
      </w:r>
    </w:p>
    <w:p w:rsidR="00D05EDE" w:rsidRPr="00217091" w:rsidRDefault="00D05EDE" w:rsidP="007835FF">
      <w:pPr>
        <w:pStyle w:val="Heading2"/>
        <w:spacing w:before="0" w:beforeAutospacing="0" w:after="240" w:afterAutospacing="0"/>
        <w:rPr>
          <w:rFonts w:ascii="Arial" w:eastAsia="MS Mincho" w:hAnsi="Arial" w:cs="Arial"/>
          <w:b w:val="0"/>
          <w:sz w:val="22"/>
          <w:u w:val="single"/>
        </w:rPr>
      </w:pPr>
      <w:r w:rsidRPr="00217091">
        <w:rPr>
          <w:rFonts w:ascii="Arial" w:eastAsia="MS Mincho" w:hAnsi="Arial" w:cs="Arial"/>
          <w:b w:val="0"/>
          <w:sz w:val="22"/>
          <w:u w:val="single"/>
        </w:rPr>
        <w:t>Asthma</w:t>
      </w:r>
    </w:p>
    <w:p w:rsidR="00D05EDE" w:rsidRPr="00217091" w:rsidRDefault="00D05EDE" w:rsidP="007835FF">
      <w:pPr>
        <w:spacing w:after="240"/>
        <w:rPr>
          <w:rFonts w:ascii="Arial" w:hAnsi="Arial" w:cs="Arial"/>
          <w:sz w:val="22"/>
          <w:szCs w:val="22"/>
        </w:rPr>
      </w:pPr>
      <w:r w:rsidRPr="00217091">
        <w:rPr>
          <w:rFonts w:ascii="Arial" w:eastAsia="MS Mincho" w:hAnsi="Arial" w:cs="Arial"/>
          <w:sz w:val="22"/>
          <w:szCs w:val="22"/>
        </w:rPr>
        <w:t xml:space="preserve">The safety and efficacy of fluticasone </w:t>
      </w:r>
      <w:proofErr w:type="spellStart"/>
      <w:r w:rsidRPr="00217091">
        <w:rPr>
          <w:rFonts w:ascii="Arial" w:eastAsia="MS Mincho" w:hAnsi="Arial" w:cs="Arial"/>
          <w:sz w:val="22"/>
          <w:szCs w:val="22"/>
        </w:rPr>
        <w:t>furoate</w:t>
      </w:r>
      <w:proofErr w:type="spellEnd"/>
      <w:r w:rsidRPr="00217091">
        <w:rPr>
          <w:rFonts w:ascii="Arial" w:eastAsia="MS Mincho" w:hAnsi="Arial" w:cs="Arial"/>
          <w:sz w:val="22"/>
          <w:szCs w:val="22"/>
        </w:rPr>
        <w:t xml:space="preserve"> (FF) and </w:t>
      </w:r>
      <w:proofErr w:type="spellStart"/>
      <w:r w:rsidRPr="00217091">
        <w:rPr>
          <w:rFonts w:ascii="Arial" w:eastAsia="MS Mincho" w:hAnsi="Arial" w:cs="Arial"/>
          <w:sz w:val="22"/>
          <w:szCs w:val="22"/>
        </w:rPr>
        <w:t>vilanterol</w:t>
      </w:r>
      <w:proofErr w:type="spellEnd"/>
      <w:r w:rsidRPr="00217091">
        <w:rPr>
          <w:rFonts w:ascii="Arial" w:eastAsia="MS Mincho" w:hAnsi="Arial" w:cs="Arial"/>
          <w:sz w:val="22"/>
          <w:szCs w:val="22"/>
        </w:rPr>
        <w:t xml:space="preserve"> (VI) in the treatment of asthma has been evaluated in 3 </w:t>
      </w:r>
      <w:r w:rsidRPr="00217091">
        <w:rPr>
          <w:rFonts w:ascii="Arial" w:hAnsi="Arial" w:cs="Arial"/>
          <w:sz w:val="22"/>
          <w:szCs w:val="22"/>
        </w:rPr>
        <w:t>randomised, double-blind clinical trials of between 12 to 76 weeks in duration (HZA106827, HZA106829 and HZA106837) involving 3210 patients 12 years of age and older with persistent asthma.</w:t>
      </w:r>
    </w:p>
    <w:p w:rsidR="004E071A" w:rsidRPr="004E071A" w:rsidRDefault="00D05EDE" w:rsidP="004E071A">
      <w:pPr>
        <w:pStyle w:val="Default"/>
        <w:spacing w:after="240"/>
        <w:rPr>
          <w:rFonts w:ascii="Arial" w:hAnsi="Arial" w:cs="Arial"/>
          <w:sz w:val="22"/>
          <w:szCs w:val="22"/>
        </w:rPr>
      </w:pPr>
      <w:r w:rsidRPr="00217091">
        <w:rPr>
          <w:rFonts w:ascii="Arial" w:hAnsi="Arial" w:cs="Arial"/>
          <w:sz w:val="22"/>
          <w:szCs w:val="22"/>
        </w:rPr>
        <w:t>All subjects were using an ICS (Inhaled Corticosteroid) with or without LABA for at least 12 weeks prior to Visit 1.</w:t>
      </w:r>
      <w:r w:rsidR="004E071A">
        <w:rPr>
          <w:rFonts w:ascii="Arial" w:hAnsi="Arial" w:cs="Arial"/>
          <w:sz w:val="22"/>
          <w:szCs w:val="22"/>
        </w:rPr>
        <w:t xml:space="preserve"> </w:t>
      </w:r>
      <w:r w:rsidRPr="00217091">
        <w:rPr>
          <w:rFonts w:ascii="Arial" w:hAnsi="Arial" w:cs="Arial"/>
          <w:sz w:val="22"/>
          <w:szCs w:val="22"/>
        </w:rPr>
        <w:t xml:space="preserve">In HZA106837 all patients had at least one exacerbation that required treatment with oral corticosteroids in the year prior to Visit 1. </w:t>
      </w:r>
      <w:r w:rsidR="004E071A">
        <w:rPr>
          <w:rFonts w:ascii="Arial" w:hAnsi="Arial" w:cs="Arial"/>
          <w:sz w:val="22"/>
          <w:szCs w:val="22"/>
        </w:rPr>
        <w:t xml:space="preserve"> </w:t>
      </w:r>
      <w:r w:rsidR="004E071A" w:rsidRPr="004E071A">
        <w:rPr>
          <w:rFonts w:ascii="Arial" w:hAnsi="Arial" w:cs="Arial"/>
          <w:sz w:val="22"/>
          <w:szCs w:val="22"/>
        </w:rPr>
        <w:t xml:space="preserve">HZA106827 was 12 weeks in duration and evaluated the efficacy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004E071A" w:rsidRPr="004E071A">
        <w:rPr>
          <w:rFonts w:ascii="Arial" w:hAnsi="Arial" w:cs="Arial"/>
          <w:sz w:val="22"/>
          <w:szCs w:val="22"/>
        </w:rPr>
        <w:t xml:space="preserve">100 micrograms/25 micrograms [n=201] and FF (fluticasone </w:t>
      </w:r>
      <w:proofErr w:type="spellStart"/>
      <w:r w:rsidR="004E071A" w:rsidRPr="004E071A">
        <w:rPr>
          <w:rFonts w:ascii="Arial" w:hAnsi="Arial" w:cs="Arial"/>
          <w:sz w:val="22"/>
          <w:szCs w:val="22"/>
        </w:rPr>
        <w:t>furoate</w:t>
      </w:r>
      <w:proofErr w:type="spellEnd"/>
      <w:r w:rsidR="004E071A" w:rsidRPr="004E071A">
        <w:rPr>
          <w:rFonts w:ascii="Arial" w:hAnsi="Arial" w:cs="Arial"/>
          <w:sz w:val="22"/>
          <w:szCs w:val="22"/>
        </w:rPr>
        <w:t xml:space="preserve">) 100 micrograms [n=205] compared with placebo [n=203], all administered once daily. HZA106829 was 24 </w:t>
      </w:r>
      <w:r w:rsidR="004E071A" w:rsidRPr="004E071A">
        <w:rPr>
          <w:rFonts w:ascii="Arial" w:hAnsi="Arial" w:cs="Arial"/>
          <w:sz w:val="22"/>
          <w:szCs w:val="22"/>
        </w:rPr>
        <w:lastRenderedPageBreak/>
        <w:t xml:space="preserve">weeks in duration and evaluated the efficacy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004E071A" w:rsidRPr="004E071A">
        <w:rPr>
          <w:rFonts w:ascii="Arial" w:hAnsi="Arial" w:cs="Arial"/>
          <w:sz w:val="22"/>
          <w:szCs w:val="22"/>
        </w:rPr>
        <w:t xml:space="preserve">200 micrograms/25 micrograms [n=197] and FF 200 micrograms [n=194]) both administered once daily compared with fluticasone propionate (FP) 500 micrograms twice daily [n=195]. </w:t>
      </w:r>
    </w:p>
    <w:p w:rsidR="00D05EDE" w:rsidRDefault="004E071A" w:rsidP="004E071A">
      <w:pPr>
        <w:pStyle w:val="Default"/>
        <w:rPr>
          <w:rFonts w:ascii="Arial" w:hAnsi="Arial" w:cs="Arial"/>
          <w:sz w:val="22"/>
          <w:szCs w:val="22"/>
        </w:rPr>
      </w:pPr>
      <w:r w:rsidRPr="004E071A">
        <w:rPr>
          <w:rFonts w:ascii="Arial" w:hAnsi="Arial" w:cs="Arial"/>
          <w:sz w:val="22"/>
          <w:szCs w:val="22"/>
        </w:rPr>
        <w:t>In HZA106827/HZA106829 the co-primary efficacy endpoints were change from baseline in clinic visit trough (pre-bronchodilator and pre-dose) FEV</w:t>
      </w:r>
      <w:r w:rsidRPr="004C328C">
        <w:rPr>
          <w:rFonts w:ascii="Arial" w:hAnsi="Arial" w:cs="Arial"/>
          <w:sz w:val="22"/>
          <w:szCs w:val="22"/>
          <w:vertAlign w:val="subscript"/>
        </w:rPr>
        <w:t>1</w:t>
      </w:r>
      <w:r w:rsidRPr="004E071A">
        <w:rPr>
          <w:rFonts w:ascii="Arial" w:hAnsi="Arial" w:cs="Arial"/>
          <w:sz w:val="22"/>
          <w:szCs w:val="22"/>
        </w:rPr>
        <w:t xml:space="preserve"> at the end of the treatment period in all subjects and weighted mean serial FEV</w:t>
      </w:r>
      <w:r w:rsidRPr="004C328C">
        <w:rPr>
          <w:rFonts w:ascii="Arial" w:hAnsi="Arial" w:cs="Arial"/>
          <w:sz w:val="22"/>
          <w:szCs w:val="22"/>
          <w:vertAlign w:val="subscript"/>
        </w:rPr>
        <w:t>1</w:t>
      </w:r>
      <w:r w:rsidRPr="004E071A">
        <w:rPr>
          <w:rFonts w:ascii="Arial" w:hAnsi="Arial" w:cs="Arial"/>
          <w:sz w:val="22"/>
          <w:szCs w:val="22"/>
        </w:rPr>
        <w:t xml:space="preserve"> over 0-24 hours post-dose calculated in a subset of subjects at the end of the treatment period. Change from baseline in the percentage of rescue-free 24 hour periods during treatment was a powered secondary endpoint.  Results for the primary and key secondary endpoints in these studies are described in </w:t>
      </w:r>
      <w:r w:rsidR="00D05EDE" w:rsidRPr="00217091">
        <w:rPr>
          <w:rFonts w:ascii="Arial" w:hAnsi="Arial" w:cs="Arial"/>
          <w:sz w:val="22"/>
          <w:szCs w:val="22"/>
        </w:rPr>
        <w:t>table below:</w:t>
      </w:r>
    </w:p>
    <w:p w:rsidR="004E071A" w:rsidRPr="00217091" w:rsidRDefault="004E071A" w:rsidP="004E071A">
      <w:pPr>
        <w:pStyle w:val="Default"/>
        <w:rPr>
          <w:rFonts w:ascii="Arial" w:hAnsi="Arial" w:cs="Arial"/>
          <w:sz w:val="22"/>
          <w:szCs w:val="22"/>
        </w:rPr>
      </w:pPr>
    </w:p>
    <w:p w:rsidR="00D05EDE" w:rsidRPr="00217091" w:rsidRDefault="00F32AF9" w:rsidP="00217091">
      <w:pPr>
        <w:pStyle w:val="Caption"/>
        <w:keepNext/>
        <w:rPr>
          <w:i/>
        </w:rPr>
      </w:pPr>
      <w:r>
        <w:t xml:space="preserve">Table </w:t>
      </w:r>
      <w:r>
        <w:fldChar w:fldCharType="begin"/>
      </w:r>
      <w:r>
        <w:instrText xml:space="preserve"> SEQ Table \* ARABIC </w:instrText>
      </w:r>
      <w:r>
        <w:fldChar w:fldCharType="separate"/>
      </w:r>
      <w:r w:rsidR="00F24906">
        <w:rPr>
          <w:noProof/>
        </w:rPr>
        <w:t>1</w:t>
      </w:r>
      <w:r>
        <w:fldChar w:fldCharType="end"/>
      </w:r>
      <w:r>
        <w:t xml:space="preserve"> </w:t>
      </w:r>
      <w:r w:rsidR="00D05EDE" w:rsidRPr="00217091">
        <w:rPr>
          <w:i/>
        </w:rPr>
        <w:t>Summary of Data from Studies HZA106829 and HZA106827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01"/>
        <w:gridCol w:w="1501"/>
        <w:gridCol w:w="1501"/>
        <w:gridCol w:w="1592"/>
      </w:tblGrid>
      <w:tr w:rsidR="004E071A" w:rsidRPr="000961AD" w:rsidTr="004E071A">
        <w:tc>
          <w:tcPr>
            <w:tcW w:w="2410" w:type="dxa"/>
          </w:tcPr>
          <w:p w:rsidR="004E071A" w:rsidRPr="000961AD" w:rsidRDefault="004E071A" w:rsidP="004E071A">
            <w:pPr>
              <w:rPr>
                <w:rFonts w:ascii="Arial Narrow" w:hAnsi="Arial Narrow"/>
                <w:b/>
                <w:sz w:val="22"/>
                <w:szCs w:val="22"/>
              </w:rPr>
            </w:pPr>
            <w:r w:rsidRPr="000961AD">
              <w:rPr>
                <w:rFonts w:ascii="Arial Narrow" w:hAnsi="Arial Narrow"/>
                <w:b/>
                <w:sz w:val="22"/>
                <w:szCs w:val="22"/>
              </w:rPr>
              <w:t>Study No.</w:t>
            </w:r>
          </w:p>
        </w:tc>
        <w:tc>
          <w:tcPr>
            <w:tcW w:w="3002" w:type="dxa"/>
            <w:gridSpan w:val="2"/>
          </w:tcPr>
          <w:p w:rsidR="004E071A" w:rsidRPr="000961AD" w:rsidRDefault="004E071A" w:rsidP="004E071A">
            <w:pPr>
              <w:rPr>
                <w:rFonts w:ascii="Arial Narrow" w:hAnsi="Arial Narrow"/>
                <w:b/>
                <w:sz w:val="22"/>
                <w:szCs w:val="22"/>
              </w:rPr>
            </w:pPr>
            <w:r w:rsidRPr="000961AD">
              <w:rPr>
                <w:rFonts w:ascii="Arial Narrow" w:hAnsi="Arial Narrow"/>
                <w:b/>
                <w:sz w:val="22"/>
                <w:szCs w:val="22"/>
              </w:rPr>
              <w:t>HZA106829</w:t>
            </w:r>
          </w:p>
        </w:tc>
        <w:tc>
          <w:tcPr>
            <w:tcW w:w="3093" w:type="dxa"/>
            <w:gridSpan w:val="2"/>
          </w:tcPr>
          <w:p w:rsidR="004E071A" w:rsidRPr="000961AD" w:rsidRDefault="004E071A" w:rsidP="004E071A">
            <w:pPr>
              <w:rPr>
                <w:rFonts w:ascii="Arial Narrow" w:hAnsi="Arial Narrow"/>
                <w:b/>
                <w:sz w:val="22"/>
                <w:szCs w:val="22"/>
              </w:rPr>
            </w:pPr>
            <w:r w:rsidRPr="000961AD">
              <w:rPr>
                <w:rFonts w:ascii="Arial Narrow" w:hAnsi="Arial Narrow"/>
                <w:b/>
                <w:sz w:val="22"/>
                <w:szCs w:val="22"/>
              </w:rPr>
              <w:t>HZA106827</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Dose of FF/VI*(micrograms)</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FF/VI 200/25 Once Daily vs FF 200 Once Daily</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FF/VI 200/25 Once Daily</w:t>
            </w:r>
          </w:p>
          <w:p w:rsidR="004E071A" w:rsidRPr="000961AD" w:rsidRDefault="004E071A" w:rsidP="004E071A">
            <w:pPr>
              <w:rPr>
                <w:rFonts w:ascii="Arial Narrow" w:hAnsi="Arial Narrow"/>
                <w:sz w:val="22"/>
                <w:szCs w:val="22"/>
              </w:rPr>
            </w:pPr>
            <w:r w:rsidRPr="000961AD">
              <w:rPr>
                <w:rFonts w:ascii="Arial Narrow" w:hAnsi="Arial Narrow"/>
                <w:sz w:val="22"/>
                <w:szCs w:val="22"/>
              </w:rPr>
              <w:t>vs FP 500 Twice Daily</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FF/VI 100/25 Once Daily</w:t>
            </w:r>
          </w:p>
          <w:p w:rsidR="004E071A" w:rsidRPr="000961AD" w:rsidRDefault="004E071A" w:rsidP="004E071A">
            <w:pPr>
              <w:rPr>
                <w:rFonts w:ascii="Arial Narrow" w:hAnsi="Arial Narrow"/>
                <w:sz w:val="22"/>
                <w:szCs w:val="22"/>
              </w:rPr>
            </w:pPr>
            <w:r w:rsidRPr="000961AD">
              <w:rPr>
                <w:rFonts w:ascii="Arial Narrow" w:hAnsi="Arial Narrow"/>
                <w:sz w:val="22"/>
                <w:szCs w:val="22"/>
              </w:rPr>
              <w:t>vs FF 100 Once Daily</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FF/V</w:t>
            </w:r>
            <w:r w:rsidR="000A5CE6">
              <w:rPr>
                <w:rFonts w:ascii="Arial Narrow" w:hAnsi="Arial Narrow"/>
                <w:sz w:val="22"/>
                <w:szCs w:val="22"/>
              </w:rPr>
              <w:t>I</w:t>
            </w:r>
            <w:r w:rsidRPr="000961AD">
              <w:rPr>
                <w:rFonts w:ascii="Arial Narrow" w:hAnsi="Arial Narrow"/>
                <w:sz w:val="22"/>
                <w:szCs w:val="22"/>
              </w:rPr>
              <w:t>/100/25 Once Daily</w:t>
            </w:r>
          </w:p>
          <w:p w:rsidR="004E071A" w:rsidRPr="000961AD" w:rsidRDefault="004E071A" w:rsidP="004E071A">
            <w:pPr>
              <w:rPr>
                <w:rFonts w:ascii="Arial Narrow" w:hAnsi="Arial Narrow"/>
                <w:sz w:val="22"/>
                <w:szCs w:val="22"/>
              </w:rPr>
            </w:pPr>
            <w:r w:rsidRPr="000961AD">
              <w:rPr>
                <w:rFonts w:ascii="Arial Narrow" w:hAnsi="Arial Narrow"/>
                <w:sz w:val="22"/>
                <w:szCs w:val="22"/>
              </w:rPr>
              <w:t>vs placebo Once Daily</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sz w:val="22"/>
                <w:szCs w:val="22"/>
              </w:rPr>
              <w:t>Change from Baseline in Trough FEV</w:t>
            </w:r>
            <w:r w:rsidRPr="000961AD">
              <w:rPr>
                <w:rFonts w:ascii="Arial Narrow" w:hAnsi="Arial Narrow"/>
                <w:sz w:val="22"/>
                <w:szCs w:val="22"/>
                <w:vertAlign w:val="subscript"/>
              </w:rPr>
              <w:t xml:space="preserve">1 </w:t>
            </w:r>
            <w:r w:rsidRPr="000961AD">
              <w:rPr>
                <w:rFonts w:ascii="Arial Narrow" w:hAnsi="Arial Narrow"/>
                <w:sz w:val="22"/>
                <w:szCs w:val="22"/>
              </w:rPr>
              <w:t>Last Observation Carried Forward (LOCF)</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P value </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(95% CI) </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193mL</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w:t>
            </w:r>
            <w:r w:rsidRPr="000961AD">
              <w:rPr>
                <w:rFonts w:ascii="Arial Narrow" w:hAnsi="Arial Narrow"/>
                <w:color w:val="000000"/>
                <w:sz w:val="22"/>
                <w:szCs w:val="22"/>
              </w:rPr>
              <w:t>108, 277)</w:t>
            </w:r>
          </w:p>
        </w:tc>
        <w:tc>
          <w:tcPr>
            <w:tcW w:w="1501" w:type="dxa"/>
          </w:tcPr>
          <w:p w:rsidR="00CB18FD" w:rsidRDefault="004E071A" w:rsidP="004E071A">
            <w:pPr>
              <w:rPr>
                <w:rFonts w:ascii="Arial Narrow" w:hAnsi="Arial Narrow"/>
                <w:sz w:val="22"/>
                <w:szCs w:val="22"/>
              </w:rPr>
            </w:pPr>
            <w:r w:rsidRPr="000961AD">
              <w:rPr>
                <w:rFonts w:ascii="Arial Narrow" w:hAnsi="Arial Narrow"/>
                <w:sz w:val="22"/>
                <w:szCs w:val="22"/>
              </w:rPr>
              <w:t xml:space="preserve">210mL </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r w:rsidRPr="000961AD">
              <w:rPr>
                <w:rFonts w:ascii="Arial Narrow" w:hAnsi="Arial Narrow"/>
                <w:sz w:val="22"/>
                <w:szCs w:val="22"/>
              </w:rPr>
              <w:br/>
              <w:t>(</w:t>
            </w:r>
            <w:r w:rsidRPr="000961AD">
              <w:rPr>
                <w:rFonts w:ascii="Arial Narrow" w:hAnsi="Arial Narrow"/>
                <w:color w:val="000000"/>
                <w:sz w:val="22"/>
                <w:szCs w:val="22"/>
              </w:rPr>
              <w:t>127, 294)</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36mL</w:t>
            </w:r>
          </w:p>
          <w:p w:rsidR="004E071A" w:rsidRPr="000961AD" w:rsidRDefault="004E071A" w:rsidP="004E071A">
            <w:pPr>
              <w:rPr>
                <w:rFonts w:ascii="Arial Narrow" w:hAnsi="Arial Narrow"/>
                <w:sz w:val="22"/>
                <w:szCs w:val="22"/>
              </w:rPr>
            </w:pPr>
            <w:r w:rsidRPr="000961AD">
              <w:rPr>
                <w:rFonts w:ascii="Arial Narrow" w:hAnsi="Arial Narrow"/>
                <w:sz w:val="22"/>
                <w:szCs w:val="22"/>
              </w:rPr>
              <w:t>p=0.405</w:t>
            </w:r>
          </w:p>
          <w:p w:rsidR="004E071A" w:rsidRPr="000961AD" w:rsidRDefault="004E071A" w:rsidP="004E071A">
            <w:pPr>
              <w:rPr>
                <w:rFonts w:ascii="Arial Narrow" w:hAnsi="Arial Narrow"/>
                <w:sz w:val="22"/>
                <w:szCs w:val="22"/>
              </w:rPr>
            </w:pPr>
            <w:r w:rsidRPr="000961AD">
              <w:rPr>
                <w:rFonts w:ascii="Arial Narrow" w:hAnsi="Arial Narrow"/>
                <w:sz w:val="22"/>
                <w:szCs w:val="22"/>
              </w:rPr>
              <w:t>(-48, 120)</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172mL</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(87, 258)</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Weighted Mean Serial FEV</w:t>
            </w:r>
            <w:r w:rsidRPr="000961AD">
              <w:rPr>
                <w:rFonts w:ascii="Arial Narrow" w:hAnsi="Arial Narrow"/>
                <w:color w:val="000000"/>
                <w:sz w:val="22"/>
                <w:szCs w:val="22"/>
                <w:vertAlign w:val="subscript"/>
              </w:rPr>
              <w:t>1</w:t>
            </w:r>
            <w:r w:rsidRPr="000961AD">
              <w:rPr>
                <w:rFonts w:ascii="Arial Narrow" w:hAnsi="Arial Narrow"/>
                <w:color w:val="000000"/>
                <w:sz w:val="22"/>
                <w:szCs w:val="22"/>
              </w:rPr>
              <w:t xml:space="preserve"> over 0-24 hours post-dose</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P value</w:t>
            </w:r>
          </w:p>
          <w:p w:rsidR="004E071A" w:rsidRPr="000961AD" w:rsidRDefault="004E071A" w:rsidP="004E071A">
            <w:pPr>
              <w:rPr>
                <w:rFonts w:ascii="Arial Narrow" w:hAnsi="Arial Narrow"/>
                <w:sz w:val="22"/>
                <w:szCs w:val="22"/>
              </w:rPr>
            </w:pPr>
            <w:r w:rsidRPr="000961AD">
              <w:rPr>
                <w:rFonts w:ascii="Arial Narrow" w:hAnsi="Arial Narrow"/>
                <w:sz w:val="22"/>
                <w:szCs w:val="22"/>
              </w:rPr>
              <w:t>(95% CI)</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136mL</w:t>
            </w:r>
          </w:p>
          <w:p w:rsidR="004E071A" w:rsidRPr="000961AD" w:rsidRDefault="004E071A" w:rsidP="004E071A">
            <w:pPr>
              <w:rPr>
                <w:rFonts w:ascii="Arial Narrow" w:hAnsi="Arial Narrow"/>
                <w:sz w:val="22"/>
                <w:szCs w:val="22"/>
              </w:rPr>
            </w:pPr>
            <w:r w:rsidRPr="000961AD">
              <w:rPr>
                <w:rFonts w:ascii="Arial Narrow" w:hAnsi="Arial Narrow"/>
                <w:sz w:val="22"/>
                <w:szCs w:val="22"/>
              </w:rPr>
              <w:t>p=0.048</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(1, 270)</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206mL</w:t>
            </w:r>
          </w:p>
          <w:p w:rsidR="004E071A" w:rsidRPr="000961AD" w:rsidRDefault="004E071A" w:rsidP="004E071A">
            <w:pPr>
              <w:rPr>
                <w:rFonts w:ascii="Arial Narrow" w:hAnsi="Arial Narrow"/>
                <w:sz w:val="22"/>
                <w:szCs w:val="22"/>
              </w:rPr>
            </w:pPr>
            <w:r w:rsidRPr="000961AD">
              <w:rPr>
                <w:rFonts w:ascii="Arial Narrow" w:hAnsi="Arial Narrow"/>
                <w:sz w:val="22"/>
                <w:szCs w:val="22"/>
              </w:rPr>
              <w:t>p=0.003</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(73, 339)</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116mL</w:t>
            </w:r>
          </w:p>
          <w:p w:rsidR="004E071A" w:rsidRPr="000961AD" w:rsidRDefault="004E071A" w:rsidP="004E071A">
            <w:pPr>
              <w:rPr>
                <w:rFonts w:ascii="Arial Narrow" w:hAnsi="Arial Narrow"/>
                <w:sz w:val="22"/>
                <w:szCs w:val="22"/>
              </w:rPr>
            </w:pPr>
            <w:r w:rsidRPr="000961AD">
              <w:rPr>
                <w:rFonts w:ascii="Arial Narrow" w:hAnsi="Arial Narrow"/>
                <w:sz w:val="22"/>
                <w:szCs w:val="22"/>
              </w:rPr>
              <w:t>p=0.06</w:t>
            </w:r>
          </w:p>
          <w:p w:rsidR="004E071A" w:rsidRPr="000961AD" w:rsidRDefault="004E071A" w:rsidP="004E071A">
            <w:pPr>
              <w:rPr>
                <w:rFonts w:ascii="Arial Narrow" w:hAnsi="Arial Narrow"/>
                <w:sz w:val="22"/>
                <w:szCs w:val="22"/>
              </w:rPr>
            </w:pPr>
            <w:r w:rsidRPr="000961AD">
              <w:rPr>
                <w:rFonts w:ascii="Arial Narrow" w:hAnsi="Arial Narrow"/>
                <w:sz w:val="22"/>
                <w:szCs w:val="22"/>
              </w:rPr>
              <w:t>(-5, 236)</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302mL</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(178, 426)</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sz w:val="22"/>
                <w:szCs w:val="22"/>
              </w:rPr>
              <w:t>Change from Baseline in Percentage of Rescue-Free 24-hour Periods</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P value </w:t>
            </w:r>
          </w:p>
          <w:p w:rsidR="004E071A" w:rsidRPr="000961AD" w:rsidRDefault="004E071A" w:rsidP="004E071A">
            <w:pPr>
              <w:rPr>
                <w:rFonts w:ascii="Arial Narrow" w:hAnsi="Arial Narrow"/>
                <w:sz w:val="22"/>
                <w:szCs w:val="22"/>
              </w:rPr>
            </w:pPr>
            <w:r w:rsidRPr="000961AD">
              <w:rPr>
                <w:rFonts w:ascii="Arial Narrow" w:hAnsi="Arial Narrow"/>
                <w:sz w:val="22"/>
                <w:szCs w:val="22"/>
              </w:rPr>
              <w:t>(95% CI)</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11.7%</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(4.9, 18.4)</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6.3%</w:t>
            </w:r>
          </w:p>
          <w:p w:rsidR="004E071A" w:rsidRPr="000961AD" w:rsidRDefault="004E071A" w:rsidP="004E071A">
            <w:pPr>
              <w:rPr>
                <w:rFonts w:ascii="Arial Narrow" w:hAnsi="Arial Narrow"/>
                <w:sz w:val="22"/>
                <w:szCs w:val="22"/>
              </w:rPr>
            </w:pPr>
            <w:r w:rsidRPr="000961AD">
              <w:rPr>
                <w:rFonts w:ascii="Arial Narrow" w:hAnsi="Arial Narrow"/>
                <w:sz w:val="22"/>
                <w:szCs w:val="22"/>
              </w:rPr>
              <w:t>p=0.067</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(-0.4, 13.1)</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10.6%</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(4.3, 16.8)</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19.3%</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(13.0, 25.6)</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sz w:val="22"/>
                <w:szCs w:val="22"/>
              </w:rPr>
              <w:t>Change from Baseline in Percentage of Symptom-Free 24-hour Periods</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P value </w:t>
            </w:r>
          </w:p>
          <w:p w:rsidR="004E071A" w:rsidRPr="000961AD" w:rsidRDefault="004E071A" w:rsidP="004E071A">
            <w:pPr>
              <w:rPr>
                <w:rFonts w:ascii="Arial Narrow" w:hAnsi="Arial Narrow"/>
                <w:sz w:val="22"/>
                <w:szCs w:val="22"/>
              </w:rPr>
            </w:pPr>
            <w:r w:rsidRPr="000961AD">
              <w:rPr>
                <w:rFonts w:ascii="Arial Narrow" w:hAnsi="Arial Narrow"/>
                <w:sz w:val="22"/>
                <w:szCs w:val="22"/>
              </w:rPr>
              <w:t>(95% CI)</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8.4%</w:t>
            </w:r>
          </w:p>
          <w:p w:rsidR="004E071A" w:rsidRPr="000961AD" w:rsidRDefault="004E071A" w:rsidP="004E071A">
            <w:pPr>
              <w:rPr>
                <w:rFonts w:ascii="Arial Narrow" w:hAnsi="Arial Narrow"/>
                <w:sz w:val="22"/>
                <w:szCs w:val="22"/>
              </w:rPr>
            </w:pPr>
            <w:r w:rsidRPr="000961AD">
              <w:rPr>
                <w:rFonts w:ascii="Arial Narrow" w:hAnsi="Arial Narrow"/>
                <w:sz w:val="22"/>
                <w:szCs w:val="22"/>
              </w:rPr>
              <w:t>p=0.010</w:t>
            </w:r>
          </w:p>
          <w:p w:rsidR="004E071A" w:rsidRPr="000961AD" w:rsidRDefault="004E071A" w:rsidP="004E071A">
            <w:pPr>
              <w:rPr>
                <w:rFonts w:ascii="Arial Narrow" w:hAnsi="Arial Narrow"/>
                <w:sz w:val="22"/>
                <w:szCs w:val="22"/>
              </w:rPr>
            </w:pPr>
            <w:r w:rsidRPr="000961AD">
              <w:rPr>
                <w:rFonts w:ascii="Arial Narrow" w:hAnsi="Arial Narrow"/>
                <w:sz w:val="22"/>
                <w:szCs w:val="22"/>
              </w:rPr>
              <w:t>(2.0, 14.8)</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4.9%</w:t>
            </w:r>
          </w:p>
          <w:p w:rsidR="004E071A" w:rsidRPr="000961AD" w:rsidRDefault="004E071A" w:rsidP="004E071A">
            <w:pPr>
              <w:rPr>
                <w:rFonts w:ascii="Arial Narrow" w:hAnsi="Arial Narrow"/>
                <w:sz w:val="22"/>
                <w:szCs w:val="22"/>
              </w:rPr>
            </w:pPr>
            <w:r w:rsidRPr="000961AD">
              <w:rPr>
                <w:rFonts w:ascii="Arial Narrow" w:hAnsi="Arial Narrow"/>
                <w:sz w:val="22"/>
                <w:szCs w:val="22"/>
              </w:rPr>
              <w:t>p=0.137</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(-1.6, 11.3</w:t>
            </w:r>
            <w:r w:rsidR="00CB18FD">
              <w:rPr>
                <w:rFonts w:ascii="Arial Narrow" w:hAnsi="Arial Narrow"/>
                <w:color w:val="000000"/>
                <w:sz w:val="22"/>
                <w:szCs w:val="22"/>
              </w:rPr>
              <w:t>)</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12.1%</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(6.2, 18.1)</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18.0%</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(12.0, 23.9)</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Change from Baseline in AM Peak Expiratory Flow </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P value </w:t>
            </w:r>
          </w:p>
          <w:p w:rsidR="004E071A" w:rsidRPr="000961AD" w:rsidRDefault="004E071A" w:rsidP="004E071A">
            <w:pPr>
              <w:rPr>
                <w:rFonts w:ascii="Arial Narrow" w:hAnsi="Arial Narrow"/>
                <w:sz w:val="22"/>
                <w:szCs w:val="22"/>
              </w:rPr>
            </w:pPr>
            <w:r w:rsidRPr="000961AD">
              <w:rPr>
                <w:rFonts w:ascii="Arial Narrow" w:hAnsi="Arial Narrow"/>
                <w:sz w:val="22"/>
                <w:szCs w:val="22"/>
              </w:rPr>
              <w:t>(95% CI)</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33.5L/min</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565E8E">
            <w:pPr>
              <w:rPr>
                <w:rFonts w:ascii="Arial Narrow" w:hAnsi="Arial Narrow"/>
                <w:sz w:val="22"/>
                <w:szCs w:val="22"/>
              </w:rPr>
            </w:pPr>
            <w:r w:rsidRPr="000961AD">
              <w:rPr>
                <w:rFonts w:ascii="Arial Narrow" w:hAnsi="Arial Narrow"/>
                <w:color w:val="000000"/>
                <w:sz w:val="22"/>
                <w:szCs w:val="22"/>
              </w:rPr>
              <w:t>(25.3, 41.7)</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32.9L/min</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(24.8, 41.1)</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14.6L/min</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(7.9, 21.3)</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33.3L/min</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(26.5, 40.0)</w:t>
            </w:r>
          </w:p>
        </w:tc>
      </w:tr>
      <w:tr w:rsidR="004E071A" w:rsidRPr="000961AD" w:rsidTr="004E071A">
        <w:tc>
          <w:tcPr>
            <w:tcW w:w="8505" w:type="dxa"/>
            <w:gridSpan w:val="5"/>
          </w:tcPr>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Change from Baseline in PM Peak Expiratory Flow </w:t>
            </w:r>
          </w:p>
        </w:tc>
      </w:tr>
      <w:tr w:rsidR="004E071A" w:rsidRPr="000961AD" w:rsidTr="004E071A">
        <w:tc>
          <w:tcPr>
            <w:tcW w:w="2410"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Treatment difference</w:t>
            </w:r>
          </w:p>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P value </w:t>
            </w:r>
          </w:p>
          <w:p w:rsidR="004E071A" w:rsidRPr="000961AD" w:rsidRDefault="004E071A" w:rsidP="004E071A">
            <w:pPr>
              <w:rPr>
                <w:rFonts w:ascii="Arial Narrow" w:hAnsi="Arial Narrow"/>
                <w:sz w:val="22"/>
                <w:szCs w:val="22"/>
              </w:rPr>
            </w:pPr>
            <w:r w:rsidRPr="000961AD">
              <w:rPr>
                <w:rFonts w:ascii="Arial Narrow" w:hAnsi="Arial Narrow"/>
                <w:sz w:val="22"/>
                <w:szCs w:val="22"/>
              </w:rPr>
              <w:t>(95% CI)</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30.7L/min</w:t>
            </w:r>
            <w:r w:rsidRPr="000961AD">
              <w:rPr>
                <w:rFonts w:ascii="Arial Narrow" w:hAnsi="Arial Narrow"/>
                <w:sz w:val="22"/>
                <w:szCs w:val="22"/>
              </w:rPr>
              <w:br/>
              <w:t>p&lt;0.001</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(22.5, 38.9)</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 xml:space="preserve">26.2L/min </w:t>
            </w:r>
            <w:r w:rsidRPr="000961AD">
              <w:rPr>
                <w:rFonts w:ascii="Arial Narrow" w:hAnsi="Arial Narrow"/>
                <w:sz w:val="22"/>
                <w:szCs w:val="22"/>
              </w:rPr>
              <w:br/>
              <w:t>p&lt;0.001</w:t>
            </w:r>
          </w:p>
          <w:p w:rsidR="004E071A" w:rsidRPr="000961AD" w:rsidRDefault="004E071A" w:rsidP="004E071A">
            <w:pPr>
              <w:rPr>
                <w:rFonts w:ascii="Arial Narrow" w:hAnsi="Arial Narrow"/>
                <w:sz w:val="22"/>
                <w:szCs w:val="22"/>
              </w:rPr>
            </w:pPr>
            <w:r w:rsidRPr="000961AD">
              <w:rPr>
                <w:rFonts w:ascii="Arial Narrow" w:hAnsi="Arial Narrow"/>
                <w:color w:val="000000"/>
                <w:sz w:val="22"/>
                <w:szCs w:val="22"/>
              </w:rPr>
              <w:t>18.0, 34.3)</w:t>
            </w:r>
          </w:p>
        </w:tc>
        <w:tc>
          <w:tcPr>
            <w:tcW w:w="1501"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12.3L/min</w:t>
            </w:r>
          </w:p>
          <w:p w:rsidR="004E071A" w:rsidRPr="000961AD" w:rsidRDefault="004E071A" w:rsidP="004E071A">
            <w:pPr>
              <w:rPr>
                <w:rFonts w:ascii="Arial Narrow" w:hAnsi="Arial Narrow"/>
                <w:sz w:val="22"/>
                <w:szCs w:val="22"/>
              </w:rPr>
            </w:pPr>
            <w:r w:rsidRPr="000961AD">
              <w:rPr>
                <w:rFonts w:ascii="Arial Narrow" w:hAnsi="Arial Narrow"/>
                <w:sz w:val="22"/>
                <w:szCs w:val="22"/>
              </w:rP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(5.8, 18.8)</w:t>
            </w:r>
          </w:p>
        </w:tc>
        <w:tc>
          <w:tcPr>
            <w:tcW w:w="1592" w:type="dxa"/>
          </w:tcPr>
          <w:p w:rsidR="004E071A" w:rsidRPr="000961AD" w:rsidRDefault="004E071A" w:rsidP="004E071A">
            <w:pPr>
              <w:rPr>
                <w:rFonts w:ascii="Arial Narrow" w:hAnsi="Arial Narrow"/>
                <w:sz w:val="22"/>
                <w:szCs w:val="22"/>
              </w:rPr>
            </w:pPr>
            <w:r w:rsidRPr="000961AD">
              <w:rPr>
                <w:rFonts w:ascii="Arial Narrow" w:hAnsi="Arial Narrow"/>
                <w:sz w:val="22"/>
                <w:szCs w:val="22"/>
              </w:rPr>
              <w:t>28.2L/min</w:t>
            </w:r>
            <w:r w:rsidRPr="000961AD">
              <w:rPr>
                <w:rFonts w:ascii="Arial Narrow" w:hAnsi="Arial Narrow"/>
                <w:sz w:val="22"/>
                <w:szCs w:val="22"/>
              </w:rPr>
              <w:br/>
              <w:t>p&lt;0.001</w:t>
            </w:r>
          </w:p>
          <w:p w:rsidR="004E071A" w:rsidRPr="000961AD" w:rsidRDefault="004E071A" w:rsidP="004E071A">
            <w:pPr>
              <w:rPr>
                <w:rFonts w:ascii="Arial Narrow" w:hAnsi="Arial Narrow"/>
                <w:sz w:val="22"/>
                <w:szCs w:val="22"/>
              </w:rPr>
            </w:pPr>
            <w:r w:rsidRPr="000961AD">
              <w:rPr>
                <w:rFonts w:ascii="Arial Narrow" w:hAnsi="Arial Narrow"/>
                <w:sz w:val="22"/>
                <w:szCs w:val="22"/>
              </w:rPr>
              <w:t>(21.7, 34.8)</w:t>
            </w:r>
          </w:p>
        </w:tc>
      </w:tr>
    </w:tbl>
    <w:p w:rsidR="004E071A" w:rsidRPr="000961AD" w:rsidRDefault="004E071A" w:rsidP="004E071A">
      <w:pPr>
        <w:rPr>
          <w:rFonts w:ascii="Arial" w:hAnsi="Arial" w:cs="Arial"/>
          <w:i/>
          <w:szCs w:val="22"/>
        </w:rPr>
      </w:pPr>
      <w:r w:rsidRPr="000961AD">
        <w:rPr>
          <w:rFonts w:ascii="Arial" w:hAnsi="Arial" w:cs="Arial"/>
          <w:i/>
          <w:szCs w:val="22"/>
        </w:rPr>
        <w:t xml:space="preserve">*FF/VI = fluticasone </w:t>
      </w:r>
      <w:proofErr w:type="spellStart"/>
      <w:r w:rsidRPr="000961AD">
        <w:rPr>
          <w:rFonts w:ascii="Arial" w:hAnsi="Arial" w:cs="Arial"/>
          <w:i/>
          <w:szCs w:val="22"/>
        </w:rPr>
        <w:t>furoate</w:t>
      </w:r>
      <w:proofErr w:type="spellEnd"/>
      <w:r w:rsidRPr="000961AD">
        <w:rPr>
          <w:rFonts w:ascii="Arial" w:hAnsi="Arial" w:cs="Arial"/>
          <w:i/>
          <w:szCs w:val="22"/>
        </w:rPr>
        <w:t>/</w:t>
      </w:r>
      <w:proofErr w:type="spellStart"/>
      <w:r w:rsidRPr="000961AD">
        <w:rPr>
          <w:rFonts w:ascii="Arial" w:hAnsi="Arial" w:cs="Arial"/>
          <w:i/>
          <w:szCs w:val="22"/>
        </w:rPr>
        <w:t>vilanterol</w:t>
      </w:r>
      <w:proofErr w:type="spellEnd"/>
    </w:p>
    <w:p w:rsidR="004E071A" w:rsidRDefault="004E071A" w:rsidP="00217091">
      <w:pPr>
        <w:pStyle w:val="Default"/>
        <w:rPr>
          <w:color w:val="auto"/>
          <w:sz w:val="22"/>
          <w:szCs w:val="22"/>
        </w:rPr>
      </w:pPr>
    </w:p>
    <w:p w:rsidR="006A7A8F" w:rsidRPr="006A7A8F" w:rsidRDefault="006A7A8F" w:rsidP="000961AD">
      <w:pPr>
        <w:autoSpaceDE w:val="0"/>
        <w:autoSpaceDN w:val="0"/>
        <w:adjustRightInd w:val="0"/>
        <w:spacing w:after="240"/>
        <w:rPr>
          <w:rFonts w:ascii="Arial" w:hAnsi="Arial" w:cs="Arial"/>
          <w:sz w:val="22"/>
          <w:szCs w:val="22"/>
        </w:rPr>
      </w:pPr>
      <w:r w:rsidRPr="007D3FA2">
        <w:rPr>
          <w:rFonts w:ascii="Arial" w:hAnsi="Arial" w:cs="Arial"/>
          <w:sz w:val="22"/>
          <w:szCs w:val="22"/>
        </w:rPr>
        <w:t xml:space="preserve">In Study HZA106829, FF 200 once daily was non-inferior to FP 500 twice daily for the primary endpoint of trough FEV1 using a predefined non inferiority margin of </w:t>
      </w:r>
      <w:r w:rsidRPr="007D3FA2">
        <w:rPr>
          <w:rFonts w:ascii="Arial" w:hAnsi="Arial" w:cs="Arial"/>
          <w:sz w:val="22"/>
          <w:szCs w:val="22"/>
        </w:rPr>
        <w:noBreakHyphen/>
        <w:t xml:space="preserve">125 mL (treatment difference of 18 mL [95% CI: </w:t>
      </w:r>
      <w:r w:rsidRPr="007D3FA2">
        <w:rPr>
          <w:rFonts w:ascii="Arial" w:hAnsi="Arial" w:cs="Arial"/>
          <w:sz w:val="22"/>
          <w:szCs w:val="22"/>
        </w:rPr>
        <w:noBreakHyphen/>
        <w:t>66, 102]).</w:t>
      </w:r>
      <w:r w:rsidRPr="006A7A8F">
        <w:rPr>
          <w:rFonts w:ascii="Arial" w:hAnsi="Arial" w:cs="Arial"/>
          <w:sz w:val="22"/>
          <w:szCs w:val="22"/>
        </w:rPr>
        <w:t xml:space="preserve"> </w:t>
      </w:r>
    </w:p>
    <w:p w:rsidR="00EF77A2" w:rsidRPr="000961AD" w:rsidRDefault="00EF77A2" w:rsidP="000961AD">
      <w:pPr>
        <w:autoSpaceDE w:val="0"/>
        <w:autoSpaceDN w:val="0"/>
        <w:adjustRightInd w:val="0"/>
        <w:spacing w:after="240"/>
        <w:rPr>
          <w:rFonts w:ascii="Arial" w:hAnsi="Arial" w:cs="Arial"/>
          <w:sz w:val="22"/>
          <w:szCs w:val="22"/>
        </w:rPr>
      </w:pPr>
      <w:r w:rsidRPr="000961AD">
        <w:rPr>
          <w:rFonts w:ascii="Arial" w:hAnsi="Arial" w:cs="Arial"/>
          <w:sz w:val="22"/>
          <w:szCs w:val="22"/>
        </w:rPr>
        <w:t xml:space="preserve">HZA106837 was of variable treatment duration (from a minimum of 24 weeks to a maximum of 76 weeks with the majority of patients treated for at least 52 weeks).  In HZA106837 patients were randomised to receive either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t>
      </w:r>
      <w:r w:rsidRPr="000961AD">
        <w:rPr>
          <w:rFonts w:ascii="Arial" w:hAnsi="Arial" w:cs="Arial"/>
          <w:sz w:val="22"/>
          <w:szCs w:val="22"/>
        </w:rPr>
        <w:lastRenderedPageBreak/>
        <w:t xml:space="preserve">100 micrograms/25 micrograms [n=1009] or FF 100 micrograms [n=1010] both administered once daily.  </w:t>
      </w:r>
      <w:r w:rsidRPr="000961AD">
        <w:rPr>
          <w:rFonts w:ascii="Arial" w:hAnsi="Arial" w:cs="Arial"/>
          <w:color w:val="000000"/>
          <w:sz w:val="22"/>
          <w:szCs w:val="22"/>
        </w:rPr>
        <w:t xml:space="preserve">In HZA106837 the primary endpoint was </w:t>
      </w:r>
      <w:r w:rsidRPr="000961AD">
        <w:rPr>
          <w:rFonts w:ascii="Arial" w:hAnsi="Arial" w:cs="Arial"/>
          <w:sz w:val="22"/>
          <w:szCs w:val="22"/>
        </w:rPr>
        <w:t>the time to first severe asthma exacerbation.  A severe asthma exacerbation was defined as deterioration of asthma requiring the use of systemic corticosteroids for at least 3 days or an inpatient hospitalization or emergency department visit due to asthma that required systemic corticosteroids. Adjusted mean change from baseline in trough FEV</w:t>
      </w:r>
      <w:r w:rsidRPr="000961AD">
        <w:rPr>
          <w:rFonts w:ascii="Arial" w:hAnsi="Arial" w:cs="Arial"/>
          <w:sz w:val="22"/>
          <w:szCs w:val="22"/>
          <w:vertAlign w:val="subscript"/>
        </w:rPr>
        <w:t>1</w:t>
      </w:r>
      <w:r w:rsidRPr="000961AD">
        <w:rPr>
          <w:rFonts w:ascii="Arial" w:hAnsi="Arial" w:cs="Arial"/>
          <w:sz w:val="22"/>
          <w:szCs w:val="22"/>
        </w:rPr>
        <w:t xml:space="preserve"> was also evaluated as a secondary endpoint.</w:t>
      </w:r>
    </w:p>
    <w:p w:rsidR="00EF77A2" w:rsidRPr="000961AD" w:rsidRDefault="00EF77A2" w:rsidP="000961AD">
      <w:pPr>
        <w:spacing w:after="240"/>
        <w:rPr>
          <w:rFonts w:ascii="Arial" w:hAnsi="Arial" w:cs="Arial"/>
          <w:sz w:val="22"/>
          <w:szCs w:val="22"/>
        </w:rPr>
      </w:pPr>
      <w:r w:rsidRPr="000961AD">
        <w:rPr>
          <w:rFonts w:ascii="Arial" w:hAnsi="Arial" w:cs="Arial"/>
          <w:sz w:val="22"/>
          <w:szCs w:val="22"/>
        </w:rPr>
        <w:t xml:space="preserve">In HZA106837 the risk of experiencing a severe asthma exacerbation in patients receiving </w:t>
      </w:r>
      <w:r w:rsidR="004A432A" w:rsidRPr="004A432A">
        <w:rPr>
          <w:rFonts w:ascii="Arial" w:hAnsi="Arial" w:cs="Arial"/>
          <w:sz w:val="22"/>
          <w:szCs w:val="22"/>
        </w:rPr>
        <w:t xml:space="preserv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100 micrograms/25 micrograms was reduced by 20% compared with FF 100 micrograms alone (hazard ratio 0.795, p=0.036 95% CI (0.642, 0.985)). T</w:t>
      </w:r>
      <w:r w:rsidRPr="000961AD">
        <w:rPr>
          <w:rFonts w:ascii="Arial" w:hAnsi="Arial" w:cs="Arial"/>
          <w:sz w:val="22"/>
          <w:szCs w:val="22"/>
          <w:lang w:val="en-US"/>
        </w:rPr>
        <w:t xml:space="preserve">he rate of severe asthma exacerbations per patient per year was 0.19 in the FF 100 group (approximately 1 in every 5 years) and 0.14 in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 xml:space="preserve">100 micrograms/25 micrograms </w:t>
      </w:r>
      <w:r w:rsidRPr="000961AD">
        <w:rPr>
          <w:rFonts w:ascii="Arial" w:hAnsi="Arial" w:cs="Arial"/>
          <w:sz w:val="22"/>
          <w:szCs w:val="22"/>
          <w:lang w:val="en-US"/>
        </w:rPr>
        <w:t xml:space="preserve">group (approximately 1 in every 7 years).  The ratio of the exacerbation rate for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100 micrograms/25 micrograms</w:t>
      </w:r>
      <w:r w:rsidRPr="000961AD">
        <w:rPr>
          <w:rFonts w:ascii="Arial" w:hAnsi="Arial" w:cs="Arial"/>
          <w:sz w:val="22"/>
          <w:szCs w:val="22"/>
          <w:lang w:val="en-US"/>
        </w:rPr>
        <w:t xml:space="preserve"> versus FF 100 was 0.755 (95% CI 0.603, 0.945). This represents a 25% reduction in the rate of severe asthma exacerbations for subjects treated with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0A5CE6">
        <w:rPr>
          <w:rFonts w:ascii="Arial" w:hAnsi="Arial" w:cs="Arial"/>
          <w:sz w:val="22"/>
          <w:szCs w:val="22"/>
        </w:rPr>
        <w:t xml:space="preserve"> </w:t>
      </w:r>
      <w:r w:rsidRPr="000961AD">
        <w:rPr>
          <w:rFonts w:ascii="Arial" w:hAnsi="Arial" w:cs="Arial"/>
          <w:sz w:val="22"/>
          <w:szCs w:val="22"/>
        </w:rPr>
        <w:t>100 micrograms/25 micrograms</w:t>
      </w:r>
      <w:r w:rsidRPr="000961AD">
        <w:rPr>
          <w:rFonts w:ascii="Arial" w:hAnsi="Arial" w:cs="Arial"/>
          <w:sz w:val="22"/>
          <w:szCs w:val="22"/>
          <w:lang w:val="en-US"/>
        </w:rPr>
        <w:t xml:space="preserve"> compared with FF 100 (p=0.014).  </w:t>
      </w:r>
      <w:r w:rsidRPr="000961AD">
        <w:rPr>
          <w:rFonts w:ascii="Arial" w:hAnsi="Arial" w:cs="Arial"/>
          <w:sz w:val="22"/>
          <w:szCs w:val="22"/>
        </w:rPr>
        <w:t xml:space="preserve">The 24-hour bronchodilator effect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was maintained throughout a one-year treatment period with no evidence of loss in efficacy (no </w:t>
      </w:r>
      <w:proofErr w:type="spellStart"/>
      <w:r w:rsidRPr="000961AD">
        <w:rPr>
          <w:rFonts w:ascii="Arial" w:hAnsi="Arial" w:cs="Arial"/>
          <w:sz w:val="22"/>
          <w:szCs w:val="22"/>
        </w:rPr>
        <w:t>tachyphylaxis</w:t>
      </w:r>
      <w:proofErr w:type="spellEnd"/>
      <w:r w:rsidRPr="000961AD">
        <w:rPr>
          <w:rFonts w:ascii="Arial" w:hAnsi="Arial" w:cs="Arial"/>
          <w:sz w:val="22"/>
          <w:szCs w:val="22"/>
        </w:rPr>
        <w:t xml:space="preserve">). </w:t>
      </w:r>
      <w:r w:rsidR="004A432A">
        <w:rPr>
          <w:rFonts w:ascii="Arial" w:hAnsi="Arial" w:cs="Arial"/>
          <w:sz w:val="22"/>
          <w:szCs w:val="22"/>
        </w:rPr>
        <w:t>F</w:t>
      </w:r>
      <w:r w:rsidR="004A432A" w:rsidRPr="00217091">
        <w:rPr>
          <w:rFonts w:ascii="Arial" w:hAnsi="Arial" w:cs="Arial"/>
          <w:sz w:val="22"/>
          <w:szCs w:val="22"/>
        </w:rPr>
        <w:t xml:space="preserve">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100 micrograms/25 micrograms consistently demonstrated 83 mL to 95</w:t>
      </w:r>
      <w:r w:rsidR="00050721">
        <w:rPr>
          <w:rFonts w:ascii="Arial" w:hAnsi="Arial" w:cs="Arial"/>
          <w:sz w:val="22"/>
          <w:szCs w:val="22"/>
        </w:rPr>
        <w:t> </w:t>
      </w:r>
      <w:r w:rsidRPr="000961AD">
        <w:rPr>
          <w:rFonts w:ascii="Arial" w:hAnsi="Arial" w:cs="Arial"/>
          <w:sz w:val="22"/>
          <w:szCs w:val="22"/>
        </w:rPr>
        <w:t>mL improvements in trough FEV</w:t>
      </w:r>
      <w:r w:rsidRPr="000961AD">
        <w:rPr>
          <w:rFonts w:ascii="Arial" w:hAnsi="Arial" w:cs="Arial"/>
          <w:sz w:val="22"/>
          <w:szCs w:val="22"/>
          <w:vertAlign w:val="subscript"/>
        </w:rPr>
        <w:t>1</w:t>
      </w:r>
      <w:r w:rsidRPr="000961AD">
        <w:rPr>
          <w:rFonts w:ascii="Arial" w:hAnsi="Arial" w:cs="Arial"/>
          <w:sz w:val="22"/>
          <w:szCs w:val="22"/>
        </w:rPr>
        <w:t xml:space="preserve"> at weeks 12, 36 and 52 and Endpoint compared with FF 100 micrograms (p</w:t>
      </w:r>
      <w:r w:rsidRPr="000961AD">
        <w:rPr>
          <w:rFonts w:ascii="Arial" w:hAnsi="Arial" w:cs="Arial"/>
          <w:sz w:val="22"/>
          <w:szCs w:val="22"/>
          <w:lang w:val="en-US"/>
        </w:rPr>
        <w:t>&lt;0.001 95% CI 52, 126mL at Endpoint)</w:t>
      </w:r>
      <w:r w:rsidRPr="000961AD">
        <w:rPr>
          <w:rFonts w:ascii="Arial" w:hAnsi="Arial" w:cs="Arial"/>
          <w:sz w:val="22"/>
          <w:szCs w:val="22"/>
        </w:rPr>
        <w:t xml:space="preserve">.  Forty four percent of patients in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 micrograms/25 group were well controlled (ACQ7 ≤0.75) at end of treatment compared to 36% of subjects in the FF 100 microgram group (p&lt;0.001 95% CI 1.23, 1.82).</w:t>
      </w:r>
    </w:p>
    <w:p w:rsidR="00DF4794" w:rsidRPr="00DF4794" w:rsidRDefault="00DF4794" w:rsidP="00DF4794">
      <w:pPr>
        <w:autoSpaceDE w:val="0"/>
        <w:autoSpaceDN w:val="0"/>
        <w:adjustRightInd w:val="0"/>
        <w:spacing w:after="240"/>
        <w:rPr>
          <w:rFonts w:ascii="Arial" w:hAnsi="Arial" w:cs="Arial"/>
          <w:i/>
          <w:sz w:val="22"/>
          <w:szCs w:val="22"/>
          <w:u w:val="single"/>
        </w:rPr>
      </w:pPr>
      <w:r w:rsidRPr="00DF4794">
        <w:rPr>
          <w:rFonts w:ascii="Arial" w:hAnsi="Arial" w:cs="Arial"/>
          <w:i/>
          <w:sz w:val="22"/>
          <w:szCs w:val="22"/>
          <w:u w:val="single"/>
        </w:rPr>
        <w:t xml:space="preserve">Studies versus </w:t>
      </w:r>
      <w:proofErr w:type="spellStart"/>
      <w:r w:rsidRPr="00DF4794">
        <w:rPr>
          <w:rFonts w:ascii="Arial" w:hAnsi="Arial" w:cs="Arial"/>
          <w:i/>
          <w:sz w:val="22"/>
          <w:szCs w:val="22"/>
          <w:u w:val="single"/>
        </w:rPr>
        <w:t>salmeterol</w:t>
      </w:r>
      <w:proofErr w:type="spellEnd"/>
      <w:r w:rsidRPr="00DF4794">
        <w:rPr>
          <w:rFonts w:ascii="Arial" w:hAnsi="Arial" w:cs="Arial"/>
          <w:i/>
          <w:sz w:val="22"/>
          <w:szCs w:val="22"/>
          <w:u w:val="single"/>
        </w:rPr>
        <w:t>/fluticasone propionate combinations</w:t>
      </w:r>
    </w:p>
    <w:p w:rsidR="00EF77A2" w:rsidRPr="000961AD" w:rsidRDefault="00EF77A2" w:rsidP="000961AD">
      <w:pPr>
        <w:autoSpaceDE w:val="0"/>
        <w:autoSpaceDN w:val="0"/>
        <w:adjustRightInd w:val="0"/>
        <w:spacing w:after="240"/>
        <w:rPr>
          <w:rFonts w:ascii="Arial" w:hAnsi="Arial" w:cs="Arial"/>
          <w:sz w:val="22"/>
          <w:szCs w:val="22"/>
          <w:lang w:val="en-US"/>
        </w:rPr>
      </w:pPr>
      <w:proofErr w:type="gramStart"/>
      <w:r w:rsidRPr="000961AD">
        <w:rPr>
          <w:rFonts w:ascii="Arial" w:hAnsi="Arial" w:cs="Arial"/>
          <w:sz w:val="22"/>
          <w:szCs w:val="22"/>
        </w:rPr>
        <w:t xml:space="preserve">In a 24 week study (HZA113091) in adult and adolescent patients with persistent asthma both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 micrograms/25 micrograms given once daily in the evening and </w:t>
      </w:r>
      <w:r w:rsidR="001C22CF">
        <w:rPr>
          <w:rFonts w:ascii="Arial" w:hAnsi="Arial" w:cs="Arial"/>
          <w:sz w:val="22"/>
          <w:szCs w:val="22"/>
        </w:rPr>
        <w:t>FP/</w:t>
      </w:r>
      <w:proofErr w:type="spellStart"/>
      <w:r w:rsidRPr="000961AD">
        <w:rPr>
          <w:rFonts w:ascii="Arial" w:hAnsi="Arial" w:cs="Arial"/>
          <w:sz w:val="22"/>
          <w:szCs w:val="22"/>
        </w:rPr>
        <w:t>salmeterol</w:t>
      </w:r>
      <w:proofErr w:type="spellEnd"/>
      <w:r w:rsidRPr="000961AD">
        <w:rPr>
          <w:rFonts w:ascii="Arial" w:hAnsi="Arial" w:cs="Arial"/>
          <w:sz w:val="22"/>
          <w:szCs w:val="22"/>
        </w:rPr>
        <w:t xml:space="preserve"> </w:t>
      </w:r>
      <w:r w:rsidR="001C22CF">
        <w:rPr>
          <w:rFonts w:ascii="Arial" w:hAnsi="Arial" w:cs="Arial"/>
          <w:sz w:val="22"/>
          <w:szCs w:val="22"/>
        </w:rPr>
        <w:t>250/</w:t>
      </w:r>
      <w:r w:rsidRPr="000961AD">
        <w:rPr>
          <w:rFonts w:ascii="Arial" w:hAnsi="Arial" w:cs="Arial"/>
          <w:sz w:val="22"/>
          <w:szCs w:val="22"/>
        </w:rPr>
        <w:t>50 micrograms given twice daily demonstrated improvements from baseline in lung function.</w:t>
      </w:r>
      <w:proofErr w:type="gramEnd"/>
      <w:r w:rsidRPr="000961AD">
        <w:rPr>
          <w:rFonts w:ascii="Arial" w:hAnsi="Arial" w:cs="Arial"/>
          <w:sz w:val="22"/>
          <w:szCs w:val="22"/>
        </w:rPr>
        <w:t xml:space="preserve"> Adjusted mean treatment increases from baseline in weighted mean 0-24 hours FEV</w:t>
      </w:r>
      <w:r w:rsidRPr="000961AD">
        <w:rPr>
          <w:rFonts w:ascii="Arial" w:hAnsi="Arial" w:cs="Arial"/>
          <w:sz w:val="22"/>
          <w:szCs w:val="22"/>
          <w:vertAlign w:val="subscript"/>
        </w:rPr>
        <w:t>1</w:t>
      </w:r>
      <w:r w:rsidRPr="000961AD">
        <w:rPr>
          <w:rFonts w:ascii="Arial" w:hAnsi="Arial" w:cs="Arial"/>
          <w:sz w:val="22"/>
          <w:szCs w:val="22"/>
        </w:rPr>
        <w:t xml:space="preserve"> of 341 mL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and 377 mL (FP</w:t>
      </w:r>
      <w:r w:rsidR="001C22CF">
        <w:rPr>
          <w:rFonts w:ascii="Arial" w:hAnsi="Arial" w:cs="Arial"/>
          <w:sz w:val="22"/>
          <w:szCs w:val="22"/>
        </w:rPr>
        <w:t>/</w:t>
      </w:r>
      <w:proofErr w:type="spellStart"/>
      <w:r w:rsidR="001C22CF">
        <w:rPr>
          <w:rFonts w:ascii="Arial" w:hAnsi="Arial" w:cs="Arial"/>
          <w:sz w:val="22"/>
          <w:szCs w:val="22"/>
        </w:rPr>
        <w:t>salmeterol</w:t>
      </w:r>
      <w:proofErr w:type="spellEnd"/>
      <w:r w:rsidRPr="000961AD">
        <w:rPr>
          <w:rFonts w:ascii="Arial" w:hAnsi="Arial" w:cs="Arial"/>
          <w:sz w:val="22"/>
          <w:szCs w:val="22"/>
        </w:rPr>
        <w:t xml:space="preserve">) demonstrated an overall improvement in lung function over 24 hours for both treatments.  The adjusted mean treatment difference of 37 mL between the groups was not statistically significant (p=0.162). </w:t>
      </w:r>
    </w:p>
    <w:p w:rsidR="00EF77A2" w:rsidRPr="00DF4794" w:rsidRDefault="00EF77A2" w:rsidP="000961AD">
      <w:pPr>
        <w:autoSpaceDE w:val="0"/>
        <w:autoSpaceDN w:val="0"/>
        <w:adjustRightInd w:val="0"/>
        <w:spacing w:after="240"/>
        <w:rPr>
          <w:rFonts w:ascii="Arial" w:hAnsi="Arial" w:cs="Arial"/>
          <w:i/>
          <w:sz w:val="22"/>
          <w:szCs w:val="22"/>
        </w:rPr>
      </w:pPr>
      <w:r w:rsidRPr="00DF4794">
        <w:rPr>
          <w:rFonts w:ascii="Arial" w:hAnsi="Arial" w:cs="Arial"/>
          <w:i/>
          <w:sz w:val="22"/>
          <w:szCs w:val="22"/>
        </w:rPr>
        <w:t xml:space="preserve">Fluticasone </w:t>
      </w:r>
      <w:proofErr w:type="spellStart"/>
      <w:r w:rsidRPr="00DF4794">
        <w:rPr>
          <w:rFonts w:ascii="Arial" w:hAnsi="Arial" w:cs="Arial"/>
          <w:i/>
          <w:sz w:val="22"/>
          <w:szCs w:val="22"/>
        </w:rPr>
        <w:t>furoate</w:t>
      </w:r>
      <w:proofErr w:type="spellEnd"/>
      <w:r w:rsidRPr="00DF4794">
        <w:rPr>
          <w:rFonts w:ascii="Arial" w:hAnsi="Arial" w:cs="Arial"/>
          <w:i/>
          <w:sz w:val="22"/>
          <w:szCs w:val="22"/>
        </w:rPr>
        <w:t xml:space="preserve"> monotherapy</w:t>
      </w:r>
    </w:p>
    <w:p w:rsidR="00EF77A2" w:rsidRPr="000961AD" w:rsidRDefault="00EF77A2" w:rsidP="000961AD">
      <w:pPr>
        <w:pStyle w:val="Default"/>
        <w:spacing w:after="240"/>
        <w:rPr>
          <w:rFonts w:ascii="Arial" w:hAnsi="Arial" w:cs="Arial"/>
          <w:sz w:val="22"/>
          <w:szCs w:val="22"/>
        </w:rPr>
      </w:pPr>
      <w:r w:rsidRPr="000961AD">
        <w:rPr>
          <w:rFonts w:ascii="Arial" w:hAnsi="Arial" w:cs="Arial"/>
          <w:sz w:val="22"/>
          <w:szCs w:val="22"/>
        </w:rPr>
        <w:t>A 24 week randomised, double-blind placebo controlled study (FFA112059) evaluated the safety and efficacy of FF 100 micrograms once daily [n= 114] and FP 250</w:t>
      </w:r>
      <w:r w:rsidR="004C328C">
        <w:rPr>
          <w:rFonts w:ascii="Arial" w:hAnsi="Arial" w:cs="Arial"/>
          <w:sz w:val="22"/>
          <w:szCs w:val="22"/>
        </w:rPr>
        <w:t xml:space="preserve"> </w:t>
      </w:r>
      <w:r w:rsidRPr="000961AD">
        <w:rPr>
          <w:rFonts w:ascii="Arial" w:hAnsi="Arial" w:cs="Arial"/>
          <w:sz w:val="22"/>
          <w:szCs w:val="22"/>
        </w:rPr>
        <w:t>micrograms twice daily [n=114] versus placebo [n=115] in adult and adolescent patients with persistent asthma.  All subjects had to have been on a stable dose of an ICS for at least 4 weeks prior to visit 1 (screening visit) and the use of LABAs was not permitted within 4 weeks of visit 1.  The primary efficacy endpoint was change from baseline in clinic visit trough (pre-bronchodilator and pre-dose) FEV</w:t>
      </w:r>
      <w:r w:rsidRPr="000961AD">
        <w:rPr>
          <w:rFonts w:ascii="Arial" w:hAnsi="Arial" w:cs="Arial"/>
          <w:sz w:val="22"/>
          <w:szCs w:val="22"/>
          <w:vertAlign w:val="subscript"/>
        </w:rPr>
        <w:t>1</w:t>
      </w:r>
      <w:r w:rsidRPr="000961AD">
        <w:rPr>
          <w:rFonts w:ascii="Arial" w:hAnsi="Arial" w:cs="Arial"/>
          <w:sz w:val="22"/>
          <w:szCs w:val="22"/>
        </w:rPr>
        <w:t xml:space="preserve"> at the end of the treatment period.  Change from baseline in the percentage of rescue-free 24 hour periods during the 24-week treatment period was a powered secondary.  At the 24-week time point FF 100 and FP increased trough FEV</w:t>
      </w:r>
      <w:r w:rsidRPr="000961AD">
        <w:rPr>
          <w:rFonts w:ascii="Arial" w:hAnsi="Arial" w:cs="Arial"/>
          <w:sz w:val="22"/>
          <w:szCs w:val="22"/>
          <w:vertAlign w:val="subscript"/>
        </w:rPr>
        <w:t xml:space="preserve">1 </w:t>
      </w:r>
      <w:r w:rsidRPr="000961AD">
        <w:rPr>
          <w:rFonts w:ascii="Arial" w:hAnsi="Arial" w:cs="Arial"/>
          <w:sz w:val="22"/>
          <w:szCs w:val="22"/>
        </w:rPr>
        <w:t>by 146 mL (95% CI 36, 257mL, p=0.009) and 145 mL (95% CI 33, 257mL, p=0.011) respectively compared to placebo.  FF and FP both increased the percentage of 24 hour rescue free periods by 14.8% (95% CI 6.9, 22.7, p&lt;0.001) and 17.9% (95% CI 10.0, 25.7, p&lt;0.001) respectively versus placebo.</w:t>
      </w:r>
    </w:p>
    <w:p w:rsidR="00EF77A2" w:rsidRPr="00DF4794" w:rsidRDefault="00EF77A2" w:rsidP="000961AD">
      <w:pPr>
        <w:autoSpaceDE w:val="0"/>
        <w:autoSpaceDN w:val="0"/>
        <w:adjustRightInd w:val="0"/>
        <w:spacing w:after="240"/>
        <w:rPr>
          <w:rFonts w:ascii="Arial" w:hAnsi="Arial" w:cs="Arial"/>
          <w:i/>
          <w:sz w:val="22"/>
          <w:szCs w:val="22"/>
          <w:lang w:val="en-US"/>
        </w:rPr>
      </w:pPr>
      <w:r w:rsidRPr="00DF4794">
        <w:rPr>
          <w:rFonts w:ascii="Arial" w:hAnsi="Arial" w:cs="Arial"/>
          <w:i/>
          <w:sz w:val="22"/>
          <w:szCs w:val="22"/>
          <w:lang w:val="en-US"/>
        </w:rPr>
        <w:lastRenderedPageBreak/>
        <w:t>Allergen Challenge study</w:t>
      </w:r>
    </w:p>
    <w:p w:rsidR="00EF77A2" w:rsidRPr="000961AD" w:rsidRDefault="00EF77A2" w:rsidP="000961AD">
      <w:pPr>
        <w:autoSpaceDE w:val="0"/>
        <w:autoSpaceDN w:val="0"/>
        <w:adjustRightInd w:val="0"/>
        <w:spacing w:after="240"/>
        <w:rPr>
          <w:rFonts w:ascii="Arial" w:hAnsi="Arial" w:cs="Arial"/>
          <w:sz w:val="22"/>
          <w:szCs w:val="22"/>
          <w:lang w:val="en-US"/>
        </w:rPr>
      </w:pPr>
      <w:r w:rsidRPr="000961AD">
        <w:rPr>
          <w:rFonts w:ascii="Arial" w:hAnsi="Arial" w:cs="Arial"/>
          <w:sz w:val="22"/>
          <w:szCs w:val="22"/>
          <w:lang w:val="en-US"/>
        </w:rPr>
        <w:t xml:space="preserve">The </w:t>
      </w:r>
      <w:proofErr w:type="spellStart"/>
      <w:r w:rsidRPr="000961AD">
        <w:rPr>
          <w:rFonts w:ascii="Arial" w:hAnsi="Arial" w:cs="Arial"/>
          <w:sz w:val="22"/>
          <w:szCs w:val="22"/>
          <w:lang w:val="en-US"/>
        </w:rPr>
        <w:t>bronchoprotective</w:t>
      </w:r>
      <w:proofErr w:type="spellEnd"/>
      <w:r w:rsidRPr="000961AD">
        <w:rPr>
          <w:rFonts w:ascii="Arial" w:hAnsi="Arial" w:cs="Arial"/>
          <w:sz w:val="22"/>
          <w:szCs w:val="22"/>
          <w:lang w:val="en-US"/>
        </w:rPr>
        <w:t xml:space="preserve"> effect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lang w:val="en-US"/>
        </w:rPr>
        <w:t>100 micrograms/25 micrograms on the early and late asthmatic response to inhaled allergen was evaluated in a repeat dose, placebo-controlled four-way crossover study (</w:t>
      </w:r>
      <w:r w:rsidRPr="000961AD">
        <w:rPr>
          <w:rFonts w:ascii="Arial" w:hAnsi="Arial" w:cs="Arial"/>
          <w:sz w:val="22"/>
          <w:szCs w:val="22"/>
        </w:rPr>
        <w:t xml:space="preserve">HZA113126) </w:t>
      </w:r>
      <w:r w:rsidRPr="000961AD">
        <w:rPr>
          <w:rFonts w:ascii="Arial" w:hAnsi="Arial" w:cs="Arial"/>
          <w:sz w:val="22"/>
          <w:szCs w:val="22"/>
          <w:lang w:val="en-US"/>
        </w:rPr>
        <w:t xml:space="preserve">in patients with mild asthma.  Patients were randomized to receive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lang w:val="en-US"/>
        </w:rPr>
        <w:t>100/25 micrograms, FF 100 micrograms, VI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25 micrograms or placebo once daily for 21 days followed by challenge with allergen 1 hour after the final dose. The allergen was house dust mite, cat dander, or birch pollen; the selection was based on individual screening tests.  Serial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measurements were compared with pre-allergen challenge values taken after saline inhalation (baseline).  Overall, the greatest effects on the early asthmatic response were seen with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lang w:val="en-US"/>
        </w:rPr>
        <w:t xml:space="preserve">100 micrograms/25 micrograms compared with FF 100 micrograms or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25 micrograms alone. Both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t>
      </w:r>
      <w:r w:rsidRPr="000961AD">
        <w:rPr>
          <w:rFonts w:ascii="Arial" w:hAnsi="Arial" w:cs="Arial"/>
          <w:sz w:val="22"/>
          <w:szCs w:val="22"/>
          <w:lang w:val="en-US"/>
        </w:rPr>
        <w:t xml:space="preserve">100 micrograms/25 micrograms) and FF 100 micrograms virtually abolished the late asthmatic response compared with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alone. </w:t>
      </w:r>
      <w:r w:rsidR="004A432A" w:rsidRPr="004A432A">
        <w:rPr>
          <w:rFonts w:ascii="Arial" w:hAnsi="Arial" w:cs="Arial"/>
          <w:sz w:val="22"/>
          <w:szCs w:val="22"/>
        </w:rPr>
        <w:t xml:space="preserve"> </w:t>
      </w:r>
      <w:r w:rsidR="004A432A">
        <w:rPr>
          <w:rFonts w:ascii="Arial" w:hAnsi="Arial" w:cs="Arial"/>
          <w:sz w:val="22"/>
          <w:szCs w:val="22"/>
        </w:rPr>
        <w:t>F</w:t>
      </w:r>
      <w:r w:rsidR="004A432A" w:rsidRPr="00217091">
        <w:rPr>
          <w:rFonts w:ascii="Arial" w:hAnsi="Arial" w:cs="Arial"/>
          <w:sz w:val="22"/>
          <w:szCs w:val="22"/>
        </w:rPr>
        <w:t xml:space="preserve">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100/25 </w:t>
      </w:r>
      <w:r w:rsidR="00AC40FD">
        <w:rPr>
          <w:rFonts w:ascii="Arial" w:hAnsi="Arial" w:cs="Arial"/>
          <w:sz w:val="22"/>
          <w:szCs w:val="22"/>
        </w:rPr>
        <w:t>micrograms</w:t>
      </w:r>
      <w:r w:rsidRPr="000961AD">
        <w:rPr>
          <w:rFonts w:ascii="Arial" w:hAnsi="Arial" w:cs="Arial"/>
          <w:sz w:val="22"/>
          <w:szCs w:val="22"/>
        </w:rPr>
        <w:t xml:space="preserve"> provided significantly greater protection against allergen-induced bronchial hyper-reactivity compared with monotherapies FF and VI as assessed on Day 22 by </w:t>
      </w:r>
      <w:proofErr w:type="spellStart"/>
      <w:r w:rsidRPr="000961AD">
        <w:rPr>
          <w:rFonts w:ascii="Arial" w:hAnsi="Arial" w:cs="Arial"/>
          <w:sz w:val="22"/>
          <w:szCs w:val="22"/>
        </w:rPr>
        <w:t>methacholine</w:t>
      </w:r>
      <w:proofErr w:type="spellEnd"/>
      <w:r w:rsidRPr="000961AD">
        <w:rPr>
          <w:rFonts w:ascii="Arial" w:hAnsi="Arial" w:cs="Arial"/>
          <w:sz w:val="22"/>
          <w:szCs w:val="22"/>
        </w:rPr>
        <w:t xml:space="preserve"> challenge.</w:t>
      </w:r>
    </w:p>
    <w:p w:rsidR="00D05EDE" w:rsidRPr="00217091" w:rsidRDefault="00D05EDE" w:rsidP="000961AD">
      <w:pPr>
        <w:autoSpaceDE w:val="0"/>
        <w:autoSpaceDN w:val="0"/>
        <w:adjustRightInd w:val="0"/>
        <w:spacing w:after="240"/>
        <w:rPr>
          <w:rFonts w:ascii="Arial" w:hAnsi="Arial" w:cs="Arial"/>
          <w:sz w:val="22"/>
          <w:szCs w:val="22"/>
          <w:u w:val="single"/>
        </w:rPr>
      </w:pPr>
      <w:r w:rsidRPr="00217091">
        <w:rPr>
          <w:rFonts w:ascii="Arial" w:hAnsi="Arial" w:cs="Arial"/>
          <w:sz w:val="22"/>
          <w:szCs w:val="22"/>
          <w:u w:val="single"/>
        </w:rPr>
        <w:t>Chroni</w:t>
      </w:r>
      <w:r w:rsidR="00551EBF">
        <w:rPr>
          <w:rFonts w:ascii="Arial" w:hAnsi="Arial" w:cs="Arial"/>
          <w:sz w:val="22"/>
          <w:szCs w:val="22"/>
          <w:u w:val="single"/>
        </w:rPr>
        <w:t>c Obstructive Pulmonary Disease</w:t>
      </w:r>
    </w:p>
    <w:p w:rsidR="00EF77A2" w:rsidRPr="000961AD" w:rsidRDefault="00EF77A2" w:rsidP="000961AD">
      <w:pPr>
        <w:autoSpaceDE w:val="0"/>
        <w:autoSpaceDN w:val="0"/>
        <w:adjustRightInd w:val="0"/>
        <w:spacing w:after="240"/>
        <w:rPr>
          <w:rFonts w:ascii="Arial" w:hAnsi="Arial" w:cs="Arial"/>
          <w:sz w:val="22"/>
          <w:szCs w:val="22"/>
        </w:rPr>
      </w:pPr>
      <w:r w:rsidRPr="000961AD">
        <w:rPr>
          <w:rFonts w:ascii="Arial" w:hAnsi="Arial" w:cs="Arial"/>
          <w:sz w:val="22"/>
          <w:szCs w:val="22"/>
        </w:rPr>
        <w:t>The COPD clinical development programme included a 12-week (HZC113107), two 6-month (HZC112206, HZC112207) and two one-year randomised controlled studies (HZC102970, HZC102871) in patients with a clinical diagnosis of COPD. These studies included measures of lung function, dyspnoea and moderate and severe exacerbations.</w:t>
      </w:r>
    </w:p>
    <w:p w:rsidR="00EF77A2" w:rsidRPr="00DF4794" w:rsidRDefault="00EF77A2" w:rsidP="000961AD">
      <w:pPr>
        <w:autoSpaceDE w:val="0"/>
        <w:autoSpaceDN w:val="0"/>
        <w:adjustRightInd w:val="0"/>
        <w:spacing w:after="240"/>
        <w:rPr>
          <w:rFonts w:ascii="Arial" w:hAnsi="Arial" w:cs="Arial"/>
          <w:i/>
          <w:sz w:val="22"/>
          <w:szCs w:val="22"/>
        </w:rPr>
      </w:pPr>
      <w:r w:rsidRPr="00DF4794">
        <w:rPr>
          <w:rFonts w:ascii="Arial" w:hAnsi="Arial" w:cs="Arial"/>
          <w:i/>
          <w:sz w:val="22"/>
          <w:szCs w:val="22"/>
        </w:rPr>
        <w:t>Six month studies</w:t>
      </w:r>
    </w:p>
    <w:p w:rsidR="00EF77A2" w:rsidRPr="000961AD" w:rsidRDefault="00EF77A2" w:rsidP="000961AD">
      <w:pPr>
        <w:autoSpaceDE w:val="0"/>
        <w:autoSpaceDN w:val="0"/>
        <w:adjustRightInd w:val="0"/>
        <w:spacing w:after="240"/>
        <w:rPr>
          <w:rFonts w:ascii="Arial" w:hAnsi="Arial" w:cs="Arial"/>
          <w:sz w:val="22"/>
          <w:szCs w:val="22"/>
          <w:lang w:val="en-US"/>
        </w:rPr>
      </w:pPr>
      <w:r w:rsidRPr="000961AD">
        <w:rPr>
          <w:rFonts w:ascii="Arial" w:hAnsi="Arial" w:cs="Arial"/>
          <w:sz w:val="22"/>
          <w:szCs w:val="22"/>
        </w:rPr>
        <w:t xml:space="preserve">HZC112206 and HZC112207 were 24 week randomised, double-blind, placebo controlled, parallel group studies comparing the effect of the combination to </w:t>
      </w:r>
      <w:proofErr w:type="spellStart"/>
      <w:r w:rsidRPr="000961AD">
        <w:rPr>
          <w:rFonts w:ascii="Arial" w:hAnsi="Arial" w:cs="Arial"/>
          <w:sz w:val="22"/>
          <w:szCs w:val="22"/>
        </w:rPr>
        <w:t>vilanterol</w:t>
      </w:r>
      <w:proofErr w:type="spellEnd"/>
      <w:r w:rsidRPr="000961AD">
        <w:rPr>
          <w:rFonts w:ascii="Arial" w:hAnsi="Arial" w:cs="Arial"/>
          <w:sz w:val="22"/>
          <w:szCs w:val="22"/>
        </w:rPr>
        <w:t xml:space="preserve"> and FF alone and placebo.  </w:t>
      </w:r>
      <w:r w:rsidRPr="000961AD">
        <w:rPr>
          <w:rFonts w:ascii="Arial" w:hAnsi="Arial" w:cs="Arial"/>
          <w:sz w:val="22"/>
          <w:szCs w:val="22"/>
          <w:lang w:val="en-US"/>
        </w:rPr>
        <w:t xml:space="preserve">HZC112206 evaluated the efficacy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w:t>
      </w:r>
      <w:r w:rsidRPr="000961AD">
        <w:rPr>
          <w:rFonts w:ascii="Arial" w:hAnsi="Arial" w:cs="Arial"/>
          <w:sz w:val="22"/>
          <w:szCs w:val="22"/>
          <w:lang w:val="en-US"/>
        </w:rPr>
        <w:t xml:space="preserve">50 micrograms/25 micrograms [n=206] and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100 micrograms/</w:t>
      </w:r>
      <w:r w:rsidRPr="000961AD">
        <w:rPr>
          <w:rFonts w:ascii="Arial" w:hAnsi="Arial" w:cs="Arial"/>
          <w:sz w:val="22"/>
        </w:rPr>
        <w:t>25 micrograms</w:t>
      </w:r>
      <w:r w:rsidRPr="000961AD">
        <w:rPr>
          <w:rFonts w:ascii="Arial" w:hAnsi="Arial" w:cs="Arial"/>
          <w:sz w:val="22"/>
          <w:szCs w:val="22"/>
        </w:rPr>
        <w:t xml:space="preserve"> </w:t>
      </w:r>
      <w:r w:rsidRPr="000961AD">
        <w:rPr>
          <w:rFonts w:ascii="Arial" w:hAnsi="Arial" w:cs="Arial"/>
          <w:sz w:val="22"/>
          <w:szCs w:val="22"/>
          <w:lang w:val="en-US"/>
        </w:rPr>
        <w:t xml:space="preserve">[n=206] compared with FF 100 micrograms [n=206],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25 micrograms [n=205] and placebo (n = 207), all administered once daily.  HZC112207 evaluated the efficacy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t>
      </w:r>
      <w:r w:rsidRPr="000961AD">
        <w:rPr>
          <w:rFonts w:ascii="Arial" w:hAnsi="Arial" w:cs="Arial"/>
          <w:sz w:val="22"/>
          <w:szCs w:val="22"/>
          <w:lang w:val="en-US"/>
        </w:rPr>
        <w:t xml:space="preserve">100 micrograms/25 micrograms [n=204] and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lang w:val="en-US"/>
        </w:rPr>
        <w:t xml:space="preserve"> 200 micrograms/25 micrograms [n=205] compared with FF 100 micrograms [n=204], 200 micrograms [n=203] and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25 micrograms [n=203] and placebo </w:t>
      </w:r>
      <w:r w:rsidR="000A5CE6">
        <w:rPr>
          <w:rFonts w:ascii="Arial" w:hAnsi="Arial" w:cs="Arial"/>
          <w:sz w:val="22"/>
          <w:szCs w:val="22"/>
          <w:lang w:val="en-US"/>
        </w:rPr>
        <w:t>[</w:t>
      </w:r>
      <w:r w:rsidRPr="000961AD">
        <w:rPr>
          <w:rFonts w:ascii="Arial" w:hAnsi="Arial" w:cs="Arial"/>
          <w:sz w:val="22"/>
          <w:szCs w:val="22"/>
          <w:lang w:val="en-US"/>
        </w:rPr>
        <w:t>n = 205</w:t>
      </w:r>
      <w:r w:rsidR="000A5CE6">
        <w:rPr>
          <w:rFonts w:ascii="Arial" w:hAnsi="Arial" w:cs="Arial"/>
          <w:sz w:val="22"/>
          <w:szCs w:val="22"/>
          <w:lang w:val="en-US"/>
        </w:rPr>
        <w:t>]</w:t>
      </w:r>
      <w:r w:rsidRPr="000961AD">
        <w:rPr>
          <w:rFonts w:ascii="Arial" w:hAnsi="Arial" w:cs="Arial"/>
          <w:sz w:val="22"/>
          <w:szCs w:val="22"/>
          <w:lang w:val="en-US"/>
        </w:rPr>
        <w:t>, all administered once daily.</w:t>
      </w:r>
    </w:p>
    <w:p w:rsidR="00EF77A2" w:rsidRPr="000961AD" w:rsidRDefault="00EF77A2" w:rsidP="000961AD">
      <w:pPr>
        <w:autoSpaceDE w:val="0"/>
        <w:autoSpaceDN w:val="0"/>
        <w:adjustRightInd w:val="0"/>
        <w:spacing w:after="240"/>
        <w:rPr>
          <w:rFonts w:ascii="Arial" w:hAnsi="Arial" w:cs="Arial"/>
          <w:sz w:val="22"/>
          <w:szCs w:val="22"/>
          <w:lang w:val="en-US"/>
        </w:rPr>
      </w:pPr>
      <w:r w:rsidRPr="000961AD">
        <w:rPr>
          <w:rFonts w:ascii="Arial" w:hAnsi="Arial" w:cs="Arial"/>
          <w:sz w:val="22"/>
          <w:szCs w:val="22"/>
          <w:lang w:val="en-US"/>
        </w:rPr>
        <w:t>All patients were required to have a smoking history of at least 10 pack years; a post-salbutamol FEV</w:t>
      </w:r>
      <w:r w:rsidRPr="000961AD">
        <w:rPr>
          <w:rFonts w:ascii="Arial" w:hAnsi="Arial" w:cs="Arial"/>
          <w:sz w:val="22"/>
          <w:szCs w:val="22"/>
          <w:vertAlign w:val="subscript"/>
          <w:lang w:val="en-US"/>
        </w:rPr>
        <w:t>1</w:t>
      </w:r>
      <w:r w:rsidRPr="000961AD">
        <w:rPr>
          <w:rFonts w:ascii="Arial" w:hAnsi="Arial" w:cs="Arial"/>
          <w:sz w:val="22"/>
          <w:szCs w:val="22"/>
          <w:lang w:val="en-US"/>
        </w:rPr>
        <w:t>/FVC ratio less than or equal to 0.70; post-salbutamol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less than or equal to 70% predicted and have a Modified Medical Research Council (</w:t>
      </w:r>
      <w:proofErr w:type="spellStart"/>
      <w:r w:rsidRPr="000961AD">
        <w:rPr>
          <w:rFonts w:ascii="Arial" w:hAnsi="Arial" w:cs="Arial"/>
          <w:sz w:val="22"/>
          <w:szCs w:val="22"/>
          <w:lang w:val="en-US"/>
        </w:rPr>
        <w:t>mMRC</w:t>
      </w:r>
      <w:proofErr w:type="spellEnd"/>
      <w:r w:rsidRPr="000961AD">
        <w:rPr>
          <w:rFonts w:ascii="Arial" w:hAnsi="Arial" w:cs="Arial"/>
          <w:sz w:val="22"/>
          <w:szCs w:val="22"/>
          <w:lang w:val="en-US"/>
        </w:rPr>
        <w:t xml:space="preserve">) dyspnea score </w:t>
      </w:r>
      <w:r w:rsidRPr="000961AD">
        <w:rPr>
          <w:rFonts w:ascii="Arial" w:hAnsi="Arial" w:cs="Arial"/>
          <w:sz w:val="22"/>
          <w:szCs w:val="22"/>
          <w:lang w:val="en-US"/>
        </w:rPr>
        <w:sym w:font="Symbol" w:char="F0B3"/>
      </w:r>
      <w:r w:rsidRPr="000961AD">
        <w:rPr>
          <w:rFonts w:ascii="Arial" w:hAnsi="Arial" w:cs="Arial"/>
          <w:sz w:val="22"/>
          <w:szCs w:val="22"/>
          <w:lang w:val="en-US"/>
        </w:rPr>
        <w:t>2 (scale 0-4) at screening. At screening, the mean pre-bronchodilator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was 42.6% and 43.6% predicted, and the mean reversibility was 15.9% and 12.0% in HZC112206 and HZC112207, respectively.  The co-primary endpoints in both studies were weighted mean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from zero to 4 hours post-dose at Day 168 and change from baseline in pre-dose trough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at Day 169.</w:t>
      </w:r>
    </w:p>
    <w:p w:rsidR="00EF77A2" w:rsidRPr="000961AD" w:rsidRDefault="00EF77A2" w:rsidP="000961AD">
      <w:pPr>
        <w:autoSpaceDE w:val="0"/>
        <w:autoSpaceDN w:val="0"/>
        <w:adjustRightInd w:val="0"/>
        <w:spacing w:after="240"/>
        <w:rPr>
          <w:rFonts w:ascii="Arial" w:hAnsi="Arial" w:cs="Arial"/>
          <w:sz w:val="22"/>
          <w:szCs w:val="22"/>
        </w:rPr>
      </w:pPr>
      <w:r w:rsidRPr="000961AD">
        <w:rPr>
          <w:rFonts w:ascii="Arial" w:hAnsi="Arial" w:cs="Arial"/>
          <w:sz w:val="22"/>
          <w:szCs w:val="22"/>
        </w:rPr>
        <w:t xml:space="preserve">In an integrated analysis of both studies,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100 micrograms/</w:t>
      </w:r>
      <w:r w:rsidRPr="000961AD">
        <w:rPr>
          <w:rFonts w:ascii="Arial" w:hAnsi="Arial" w:cs="Arial"/>
          <w:sz w:val="22"/>
        </w:rPr>
        <w:t>25 micrograms</w:t>
      </w:r>
      <w:r w:rsidRPr="000961AD">
        <w:rPr>
          <w:rFonts w:ascii="Arial" w:hAnsi="Arial" w:cs="Arial"/>
          <w:sz w:val="22"/>
          <w:szCs w:val="22"/>
        </w:rPr>
        <w:t xml:space="preserve"> showed clinically meaningful improvements in lung function.  At Day 169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 micrograms/</w:t>
      </w:r>
      <w:r w:rsidRPr="000961AD">
        <w:rPr>
          <w:rFonts w:ascii="Arial" w:hAnsi="Arial" w:cs="Arial"/>
          <w:sz w:val="22"/>
        </w:rPr>
        <w:t>25 micrograms</w:t>
      </w:r>
      <w:r w:rsidRPr="000961AD">
        <w:rPr>
          <w:rFonts w:ascii="Arial" w:hAnsi="Arial" w:cs="Arial"/>
          <w:sz w:val="22"/>
          <w:szCs w:val="22"/>
        </w:rPr>
        <w:t xml:space="preserve"> and </w:t>
      </w:r>
      <w:proofErr w:type="spellStart"/>
      <w:r w:rsidRPr="000961AD">
        <w:rPr>
          <w:rFonts w:ascii="Arial" w:hAnsi="Arial" w:cs="Arial"/>
          <w:sz w:val="22"/>
          <w:szCs w:val="22"/>
        </w:rPr>
        <w:t>vilanterol</w:t>
      </w:r>
      <w:proofErr w:type="spellEnd"/>
      <w:r w:rsidRPr="000961AD">
        <w:rPr>
          <w:rFonts w:ascii="Arial" w:hAnsi="Arial" w:cs="Arial"/>
          <w:sz w:val="22"/>
          <w:szCs w:val="22"/>
        </w:rPr>
        <w:t xml:space="preserve"> increased adjusted mean trough FEV</w:t>
      </w:r>
      <w:r w:rsidRPr="000961AD">
        <w:rPr>
          <w:rFonts w:ascii="Arial" w:hAnsi="Arial" w:cs="Arial"/>
          <w:sz w:val="22"/>
          <w:szCs w:val="22"/>
          <w:vertAlign w:val="subscript"/>
        </w:rPr>
        <w:t xml:space="preserve">1 </w:t>
      </w:r>
      <w:r w:rsidRPr="000961AD">
        <w:rPr>
          <w:rFonts w:ascii="Arial" w:hAnsi="Arial" w:cs="Arial"/>
          <w:sz w:val="22"/>
          <w:szCs w:val="22"/>
        </w:rPr>
        <w:t xml:space="preserve">by 129mL (95% CI: 91, 167mL, p&lt;0.001) </w:t>
      </w:r>
      <w:r w:rsidRPr="000961AD">
        <w:rPr>
          <w:rFonts w:ascii="Arial" w:hAnsi="Arial" w:cs="Arial"/>
          <w:sz w:val="22"/>
          <w:szCs w:val="22"/>
        </w:rPr>
        <w:lastRenderedPageBreak/>
        <w:t xml:space="preserve">and 83 mL (95% CI: 46, 121mL, p&lt;0.001) respectively compared to placebo. </w:t>
      </w:r>
      <w:r w:rsidR="004A432A">
        <w:rPr>
          <w:rFonts w:ascii="Arial" w:hAnsi="Arial" w:cs="Arial"/>
          <w:sz w:val="22"/>
          <w:szCs w:val="22"/>
        </w:rPr>
        <w:t>F</w:t>
      </w:r>
      <w:r w:rsidR="004A432A" w:rsidRPr="00217091">
        <w:rPr>
          <w:rFonts w:ascii="Arial" w:hAnsi="Arial" w:cs="Arial"/>
          <w:sz w:val="22"/>
          <w:szCs w:val="22"/>
        </w:rPr>
        <w:t xml:space="preserve">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100 micrograms/</w:t>
      </w:r>
      <w:r w:rsidRPr="000961AD">
        <w:rPr>
          <w:rFonts w:ascii="Arial" w:hAnsi="Arial" w:cs="Arial"/>
          <w:sz w:val="22"/>
        </w:rPr>
        <w:t>25 micrograms</w:t>
      </w:r>
      <w:r w:rsidRPr="000961AD">
        <w:rPr>
          <w:rFonts w:ascii="Arial" w:hAnsi="Arial" w:cs="Arial"/>
          <w:sz w:val="22"/>
          <w:szCs w:val="22"/>
        </w:rPr>
        <w:t xml:space="preserve"> increased trough FEV</w:t>
      </w:r>
      <w:r w:rsidRPr="000961AD">
        <w:rPr>
          <w:rFonts w:ascii="Arial" w:hAnsi="Arial" w:cs="Arial"/>
          <w:sz w:val="22"/>
          <w:szCs w:val="22"/>
          <w:vertAlign w:val="subscript"/>
        </w:rPr>
        <w:t>1</w:t>
      </w:r>
      <w:r w:rsidRPr="000961AD">
        <w:rPr>
          <w:rFonts w:ascii="Arial" w:hAnsi="Arial" w:cs="Arial"/>
          <w:sz w:val="22"/>
          <w:szCs w:val="22"/>
        </w:rPr>
        <w:t xml:space="preserve"> by 46 mL compared to </w:t>
      </w:r>
      <w:proofErr w:type="spellStart"/>
      <w:r w:rsidRPr="000961AD">
        <w:rPr>
          <w:rFonts w:ascii="Arial" w:hAnsi="Arial" w:cs="Arial"/>
          <w:sz w:val="22"/>
          <w:szCs w:val="22"/>
        </w:rPr>
        <w:t>vilanterol</w:t>
      </w:r>
      <w:proofErr w:type="spellEnd"/>
      <w:r w:rsidRPr="000961AD">
        <w:rPr>
          <w:rFonts w:ascii="Arial" w:hAnsi="Arial" w:cs="Arial"/>
          <w:sz w:val="22"/>
          <w:szCs w:val="22"/>
        </w:rPr>
        <w:t xml:space="preserve"> (95% CI: 8, 83mL, p= 0.017). At Day 168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100 micrograms/</w:t>
      </w:r>
      <w:r w:rsidRPr="000961AD">
        <w:rPr>
          <w:rFonts w:ascii="Arial" w:hAnsi="Arial" w:cs="Arial"/>
          <w:sz w:val="22"/>
        </w:rPr>
        <w:t>25 micrograms</w:t>
      </w:r>
      <w:r w:rsidRPr="000961AD">
        <w:rPr>
          <w:rFonts w:ascii="Arial" w:hAnsi="Arial" w:cs="Arial"/>
          <w:sz w:val="22"/>
          <w:szCs w:val="22"/>
        </w:rPr>
        <w:t xml:space="preserve"> and </w:t>
      </w:r>
      <w:proofErr w:type="spellStart"/>
      <w:r w:rsidRPr="000961AD">
        <w:rPr>
          <w:rFonts w:ascii="Arial" w:hAnsi="Arial" w:cs="Arial"/>
          <w:sz w:val="22"/>
          <w:szCs w:val="22"/>
        </w:rPr>
        <w:t>vilanterol</w:t>
      </w:r>
      <w:proofErr w:type="spellEnd"/>
      <w:r w:rsidRPr="000961AD">
        <w:rPr>
          <w:rFonts w:ascii="Arial" w:hAnsi="Arial" w:cs="Arial"/>
          <w:sz w:val="22"/>
          <w:szCs w:val="22"/>
        </w:rPr>
        <w:t xml:space="preserve"> increased adjusted mean weighted mean FEV</w:t>
      </w:r>
      <w:r w:rsidRPr="000961AD">
        <w:rPr>
          <w:rFonts w:ascii="Arial" w:hAnsi="Arial" w:cs="Arial"/>
          <w:sz w:val="22"/>
          <w:szCs w:val="22"/>
          <w:vertAlign w:val="subscript"/>
        </w:rPr>
        <w:t xml:space="preserve">1 </w:t>
      </w:r>
      <w:r w:rsidRPr="000961AD">
        <w:rPr>
          <w:rFonts w:ascii="Arial" w:hAnsi="Arial" w:cs="Arial"/>
          <w:sz w:val="22"/>
          <w:szCs w:val="22"/>
        </w:rPr>
        <w:t xml:space="preserve">over 0-4 hours by 193mL (95% CI: 156, 230mL, p&lt;0.001) and 145 mL (95% CI: 108, 181mL, p&lt;0.001) respectively compared to placebo.  </w:t>
      </w:r>
      <w:r w:rsidR="004A432A">
        <w:rPr>
          <w:rFonts w:ascii="Arial" w:hAnsi="Arial" w:cs="Arial"/>
          <w:sz w:val="22"/>
          <w:szCs w:val="22"/>
        </w:rPr>
        <w:t>F</w:t>
      </w:r>
      <w:r w:rsidR="004A432A" w:rsidRPr="00217091">
        <w:rPr>
          <w:rFonts w:ascii="Arial" w:hAnsi="Arial" w:cs="Arial"/>
          <w:sz w:val="22"/>
          <w:szCs w:val="22"/>
        </w:rPr>
        <w:t xml:space="preserve">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100/25 </w:t>
      </w:r>
      <w:r w:rsidR="00A438DF">
        <w:rPr>
          <w:rFonts w:ascii="Arial" w:hAnsi="Arial" w:cs="Arial"/>
          <w:sz w:val="22"/>
          <w:szCs w:val="22"/>
        </w:rPr>
        <w:t xml:space="preserve">micrograms </w:t>
      </w:r>
      <w:r w:rsidRPr="000961AD">
        <w:rPr>
          <w:rFonts w:ascii="Arial" w:hAnsi="Arial" w:cs="Arial"/>
          <w:sz w:val="22"/>
          <w:szCs w:val="22"/>
        </w:rPr>
        <w:t>increased adjusted mean weighted mean FEV</w:t>
      </w:r>
      <w:r w:rsidRPr="000961AD">
        <w:rPr>
          <w:rFonts w:ascii="Arial" w:hAnsi="Arial" w:cs="Arial"/>
          <w:sz w:val="22"/>
          <w:szCs w:val="22"/>
          <w:vertAlign w:val="subscript"/>
        </w:rPr>
        <w:t xml:space="preserve">1 </w:t>
      </w:r>
      <w:r w:rsidRPr="000961AD">
        <w:rPr>
          <w:rFonts w:ascii="Arial" w:hAnsi="Arial" w:cs="Arial"/>
          <w:sz w:val="22"/>
          <w:szCs w:val="22"/>
        </w:rPr>
        <w:t>over 0-4 hours by 148 ml compared to FF alone (95% CI: 112, 184mL, p&lt; 0.001).</w:t>
      </w:r>
    </w:p>
    <w:p w:rsidR="00EF77A2" w:rsidRPr="000961AD" w:rsidRDefault="00EF77A2" w:rsidP="000961AD">
      <w:pPr>
        <w:autoSpaceDE w:val="0"/>
        <w:autoSpaceDN w:val="0"/>
        <w:adjustRightInd w:val="0"/>
        <w:spacing w:after="240"/>
        <w:rPr>
          <w:rFonts w:ascii="Arial" w:hAnsi="Arial" w:cs="Arial"/>
          <w:sz w:val="22"/>
          <w:szCs w:val="22"/>
          <w:u w:val="single"/>
        </w:rPr>
      </w:pPr>
      <w:r w:rsidRPr="000961AD">
        <w:rPr>
          <w:rFonts w:ascii="Arial" w:hAnsi="Arial" w:cs="Arial"/>
          <w:sz w:val="22"/>
          <w:szCs w:val="22"/>
        </w:rPr>
        <w:t xml:space="preserve">In both the HZC112206 and HZC112207 studies, at day 168, differences were seen in the adjusted mean change from baseline CRQ-SAS dyspnoea scores between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 xml:space="preserve">100 micrograms/25 micrograms and placebo groups (HZC112206: 0.30, (95% CI 0.06,0.54 p=0.014); HZC112207: 0.24, (95% CI 0.02,0.46 p=0.029) and between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 xml:space="preserve">100 micrograms/25 micrograms and FF 100 microgram groups (HZC112206: 0.24, (95% CI 0.01,0.48, p=0.044); HZC112207: 0.36, (95% CI (0.14,0.57), p=0.001).  For all the other pair-wise treatment comparisons at Day 168 for the CRQ-SAS dyspnoea score, the p-value was &gt;0.05.  In both studies, none of the treatment comparisons at Day 168 achieved a minimal clinically important difference (&gt;0.5 point improvement) in mean CRQ-SAS Dyspnoea Domain scores.  Patients treated with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sidRPr="00217091">
        <w:rPr>
          <w:rFonts w:ascii="Arial" w:hAnsi="Arial" w:cs="Arial"/>
          <w:sz w:val="22"/>
          <w:szCs w:val="22"/>
        </w:rPr>
        <w:t xml:space="preserve"> </w:t>
      </w:r>
      <w:r w:rsidRPr="000961AD">
        <w:rPr>
          <w:rFonts w:ascii="Arial" w:hAnsi="Arial" w:cs="Arial"/>
          <w:sz w:val="22"/>
          <w:szCs w:val="22"/>
        </w:rPr>
        <w:t>100 micrograms/25 micrograms also had significantly less cough and sputum, required significantly less rescue medication as measured by number of occasions of rescue salbutamol use (per 24 hour period) and number of night time awakenings requiring salbutamol (per 24 hour period) compared to placebo.</w:t>
      </w:r>
    </w:p>
    <w:p w:rsidR="00EF77A2" w:rsidRPr="00DF4794" w:rsidRDefault="00EF77A2" w:rsidP="000961AD">
      <w:pPr>
        <w:autoSpaceDE w:val="0"/>
        <w:autoSpaceDN w:val="0"/>
        <w:adjustRightInd w:val="0"/>
        <w:spacing w:after="240"/>
        <w:rPr>
          <w:rFonts w:ascii="Arial" w:hAnsi="Arial" w:cs="Arial"/>
          <w:i/>
          <w:sz w:val="22"/>
          <w:szCs w:val="22"/>
        </w:rPr>
      </w:pPr>
      <w:r w:rsidRPr="00DF4794">
        <w:rPr>
          <w:rFonts w:ascii="Arial" w:hAnsi="Arial" w:cs="Arial"/>
          <w:i/>
          <w:sz w:val="22"/>
          <w:szCs w:val="22"/>
        </w:rPr>
        <w:t>12 month studies</w:t>
      </w:r>
    </w:p>
    <w:p w:rsidR="00EF77A2" w:rsidRPr="000961AD" w:rsidRDefault="00EF77A2" w:rsidP="000961AD">
      <w:pPr>
        <w:autoSpaceDE w:val="0"/>
        <w:autoSpaceDN w:val="0"/>
        <w:adjustRightInd w:val="0"/>
        <w:spacing w:after="240"/>
        <w:rPr>
          <w:rFonts w:ascii="Arial" w:hAnsi="Arial" w:cs="Arial"/>
          <w:i/>
          <w:sz w:val="22"/>
          <w:szCs w:val="22"/>
        </w:rPr>
      </w:pPr>
      <w:r w:rsidRPr="000961AD">
        <w:rPr>
          <w:rFonts w:ascii="Arial" w:hAnsi="Arial" w:cs="Arial"/>
          <w:sz w:val="22"/>
          <w:szCs w:val="22"/>
        </w:rPr>
        <w:t xml:space="preserve">Studies HZC102970 and HZC102871 were 52 week randomised, double-blind, parallel-group, studies comparing the effect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200</w:t>
      </w:r>
      <w:r w:rsidR="00050721">
        <w:rPr>
          <w:rFonts w:ascii="Arial" w:hAnsi="Arial" w:cs="Arial"/>
          <w:sz w:val="22"/>
          <w:szCs w:val="22"/>
        </w:rPr>
        <w:t> </w:t>
      </w:r>
      <w:r w:rsidRPr="000961AD">
        <w:rPr>
          <w:rFonts w:ascii="Arial" w:hAnsi="Arial" w:cs="Arial"/>
          <w:sz w:val="22"/>
          <w:szCs w:val="22"/>
        </w:rPr>
        <w:t xml:space="preserve">micrograms/25 micrograms,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 micrograms/</w:t>
      </w:r>
      <w:r w:rsidRPr="000961AD">
        <w:rPr>
          <w:rFonts w:ascii="Arial" w:hAnsi="Arial" w:cs="Arial"/>
          <w:sz w:val="22"/>
        </w:rPr>
        <w:t>25 micrograms,</w:t>
      </w:r>
      <w:r w:rsidRPr="000961AD">
        <w:rPr>
          <w:rFonts w:ascii="Arial" w:hAnsi="Arial" w:cs="Arial"/>
          <w:sz w:val="22"/>
          <w:szCs w:val="22"/>
        </w:rPr>
        <w:t xml:space="preserv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50 micrograms/25 micrograms with </w:t>
      </w:r>
      <w:proofErr w:type="spellStart"/>
      <w:r w:rsidRPr="000961AD">
        <w:rPr>
          <w:rFonts w:ascii="Arial" w:hAnsi="Arial" w:cs="Arial"/>
          <w:sz w:val="22"/>
          <w:szCs w:val="22"/>
        </w:rPr>
        <w:t>vilanterol</w:t>
      </w:r>
      <w:proofErr w:type="spellEnd"/>
      <w:r w:rsidRPr="000961AD">
        <w:rPr>
          <w:rFonts w:ascii="Arial" w:hAnsi="Arial" w:cs="Arial"/>
          <w:sz w:val="22"/>
          <w:szCs w:val="22"/>
        </w:rPr>
        <w:t xml:space="preserve"> 25 micrograms, all administered once daily, on the annual rate of moderate/severe exacerbations in subjects with COPD with </w:t>
      </w:r>
      <w:r w:rsidRPr="000961AD">
        <w:rPr>
          <w:rFonts w:ascii="Arial" w:hAnsi="Arial" w:cs="Arial"/>
          <w:sz w:val="22"/>
          <w:szCs w:val="22"/>
          <w:lang w:val="en-US"/>
        </w:rPr>
        <w:t>a smoking history of at least 10 pack years and a post-salbutamol FEV</w:t>
      </w:r>
      <w:r w:rsidRPr="000961AD">
        <w:rPr>
          <w:rFonts w:ascii="Arial" w:hAnsi="Arial" w:cs="Arial"/>
          <w:sz w:val="22"/>
          <w:szCs w:val="22"/>
          <w:vertAlign w:val="subscript"/>
          <w:lang w:val="en-US"/>
        </w:rPr>
        <w:t>1</w:t>
      </w:r>
      <w:r w:rsidRPr="000961AD">
        <w:rPr>
          <w:rFonts w:ascii="Arial" w:hAnsi="Arial" w:cs="Arial"/>
          <w:sz w:val="22"/>
          <w:szCs w:val="22"/>
          <w:lang w:val="en-US"/>
        </w:rPr>
        <w:t>/FVC ratio less than or equal to 0.70 and post-salbutamol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less than or equal to 70% predicted</w:t>
      </w:r>
      <w:r w:rsidRPr="000961AD">
        <w:rPr>
          <w:rFonts w:ascii="Arial" w:hAnsi="Arial" w:cs="Arial"/>
          <w:sz w:val="22"/>
          <w:szCs w:val="22"/>
        </w:rPr>
        <w:t xml:space="preserve"> and documented history of </w:t>
      </w:r>
      <w:r w:rsidRPr="000961AD">
        <w:rPr>
          <w:rFonts w:ascii="Arial" w:eastAsia="SymbolMT" w:hAnsi="Arial" w:cs="Arial"/>
          <w:sz w:val="22"/>
          <w:szCs w:val="22"/>
        </w:rPr>
        <w:t xml:space="preserve">≥ </w:t>
      </w:r>
      <w:r w:rsidRPr="000961AD">
        <w:rPr>
          <w:rFonts w:ascii="Arial" w:hAnsi="Arial" w:cs="Arial"/>
          <w:sz w:val="22"/>
          <w:szCs w:val="22"/>
        </w:rPr>
        <w:t xml:space="preserve">1 COPD exacerbation that required antibiotics and/or oral corticosteroids or hospitalisation in the 12 months prior to visit 1. The primary endpoint was the annual rate of moderate and severe exacerbations.  Moderate/ severe exacerbations were defined as worsening symptoms that required treatment with oral corticosteroids and/or antibiotics or in-patient hospitalisation.  Both studies had a 4 week run-in period during which all subjects received open-label </w:t>
      </w:r>
      <w:r w:rsidR="001C22CF">
        <w:rPr>
          <w:rFonts w:ascii="Arial" w:hAnsi="Arial" w:cs="Arial"/>
          <w:sz w:val="22"/>
          <w:szCs w:val="22"/>
        </w:rPr>
        <w:t>FP/</w:t>
      </w:r>
      <w:proofErr w:type="spellStart"/>
      <w:r w:rsidRPr="000961AD">
        <w:rPr>
          <w:rFonts w:ascii="Arial" w:hAnsi="Arial" w:cs="Arial"/>
          <w:sz w:val="22"/>
          <w:szCs w:val="22"/>
        </w:rPr>
        <w:t>salmeterol</w:t>
      </w:r>
      <w:proofErr w:type="spellEnd"/>
      <w:r w:rsidRPr="000961AD">
        <w:rPr>
          <w:rFonts w:ascii="Arial" w:hAnsi="Arial" w:cs="Arial"/>
          <w:sz w:val="22"/>
          <w:szCs w:val="22"/>
        </w:rPr>
        <w:t xml:space="preserve"> </w:t>
      </w:r>
      <w:r w:rsidR="001C22CF">
        <w:rPr>
          <w:rFonts w:ascii="Arial" w:hAnsi="Arial" w:cs="Arial"/>
          <w:sz w:val="22"/>
          <w:szCs w:val="22"/>
        </w:rPr>
        <w:t>250/</w:t>
      </w:r>
      <w:r w:rsidRPr="000961AD">
        <w:rPr>
          <w:rFonts w:ascii="Arial" w:hAnsi="Arial" w:cs="Arial"/>
          <w:sz w:val="22"/>
          <w:szCs w:val="22"/>
        </w:rPr>
        <w:t>50 twice daily to standardise COPD pharmacotherapy and stabilise disease prior to randomisation to blinded study medication for 52 weeks.  Prior to run-in, subjects discontinued use of previous COPD medications except short-acting bronchodilators. The use of concurrent inhaled long-acting bronchodilators (beta</w:t>
      </w:r>
      <w:r w:rsidRPr="000961AD">
        <w:rPr>
          <w:rFonts w:ascii="Arial" w:hAnsi="Arial" w:cs="Arial"/>
          <w:sz w:val="22"/>
          <w:szCs w:val="22"/>
          <w:vertAlign w:val="subscript"/>
        </w:rPr>
        <w:t>2</w:t>
      </w:r>
      <w:r w:rsidRPr="000961AD">
        <w:rPr>
          <w:rFonts w:ascii="Arial" w:hAnsi="Arial" w:cs="Arial"/>
          <w:sz w:val="22"/>
          <w:szCs w:val="22"/>
        </w:rPr>
        <w:t>-agonist and anticholinergic), ipratropium/salbutamol combination products, oral beta</w:t>
      </w:r>
      <w:r w:rsidRPr="000961AD">
        <w:rPr>
          <w:rFonts w:ascii="Arial" w:hAnsi="Arial" w:cs="Arial"/>
          <w:sz w:val="22"/>
          <w:szCs w:val="22"/>
          <w:vertAlign w:val="subscript"/>
        </w:rPr>
        <w:t>2</w:t>
      </w:r>
      <w:r w:rsidRPr="000961AD">
        <w:rPr>
          <w:rFonts w:ascii="Arial" w:hAnsi="Arial" w:cs="Arial"/>
          <w:sz w:val="22"/>
          <w:szCs w:val="22"/>
        </w:rPr>
        <w:t>-agonists, and theophylline preparations were not allowed during the treatment period. Oral corticosteroids and antibiotics were allowed for the acute treatment of COPD exacerbations with specific guidelines for use. Subjects used salbutamol on an as-needed basis throughout the studies.</w:t>
      </w:r>
    </w:p>
    <w:p w:rsidR="00062CE5" w:rsidRDefault="00062CE5" w:rsidP="00062CE5">
      <w:pPr>
        <w:rPr>
          <w:rFonts w:ascii="Arial" w:hAnsi="Arial" w:cs="Arial"/>
          <w:sz w:val="22"/>
          <w:szCs w:val="22"/>
        </w:rPr>
      </w:pPr>
      <w:r w:rsidRPr="00062CE5">
        <w:rPr>
          <w:rFonts w:ascii="Arial" w:hAnsi="Arial" w:cs="Arial"/>
          <w:sz w:val="22"/>
          <w:szCs w:val="22"/>
        </w:rPr>
        <w:t xml:space="preserve">The results of </w:t>
      </w:r>
      <w:r w:rsidR="00ED3D5F">
        <w:rPr>
          <w:rFonts w:ascii="Arial" w:hAnsi="Arial" w:cs="Arial"/>
          <w:sz w:val="22"/>
          <w:szCs w:val="22"/>
        </w:rPr>
        <w:t>an integrated analysis</w:t>
      </w:r>
      <w:r w:rsidRPr="00062CE5">
        <w:rPr>
          <w:rFonts w:ascii="Arial" w:hAnsi="Arial" w:cs="Arial"/>
          <w:sz w:val="22"/>
          <w:szCs w:val="22"/>
        </w:rPr>
        <w:t xml:space="preserve"> showed that treatment with fluticasone </w:t>
      </w:r>
      <w:proofErr w:type="spellStart"/>
      <w:r w:rsidRPr="00062CE5">
        <w:rPr>
          <w:rFonts w:ascii="Arial" w:hAnsi="Arial" w:cs="Arial"/>
          <w:sz w:val="22"/>
          <w:szCs w:val="22"/>
        </w:rPr>
        <w:t>furoate</w:t>
      </w:r>
      <w:proofErr w:type="spellEnd"/>
      <w:r w:rsidRPr="00062CE5">
        <w:rPr>
          <w:rFonts w:ascii="Arial" w:hAnsi="Arial" w:cs="Arial"/>
          <w:sz w:val="22"/>
          <w:szCs w:val="22"/>
        </w:rPr>
        <w:t>/</w:t>
      </w:r>
      <w:proofErr w:type="spellStart"/>
      <w:r w:rsidRPr="00062CE5">
        <w:rPr>
          <w:rFonts w:ascii="Arial" w:hAnsi="Arial" w:cs="Arial"/>
          <w:sz w:val="22"/>
          <w:szCs w:val="22"/>
        </w:rPr>
        <w:t>vilantero</w:t>
      </w:r>
      <w:r w:rsidRPr="00ED3D5F">
        <w:rPr>
          <w:rFonts w:ascii="Arial" w:hAnsi="Arial" w:cs="Arial"/>
          <w:sz w:val="22"/>
          <w:szCs w:val="22"/>
        </w:rPr>
        <w:t>l</w:t>
      </w:r>
      <w:proofErr w:type="spellEnd"/>
      <w:r w:rsidRPr="00ED3D5F">
        <w:rPr>
          <w:rFonts w:ascii="Arial" w:hAnsi="Arial" w:cs="Arial"/>
          <w:sz w:val="22"/>
          <w:szCs w:val="22"/>
        </w:rPr>
        <w:t xml:space="preserve"> 100/25 micrograms once daily resulted in a 27% reduction in the annual rate of moderate or severe COPD exacerbations compared with </w:t>
      </w:r>
      <w:proofErr w:type="spellStart"/>
      <w:r w:rsidRPr="00ED3D5F">
        <w:rPr>
          <w:rFonts w:ascii="Arial" w:hAnsi="Arial" w:cs="Arial"/>
          <w:sz w:val="22"/>
          <w:szCs w:val="22"/>
        </w:rPr>
        <w:t>vilanterol</w:t>
      </w:r>
      <w:proofErr w:type="spellEnd"/>
      <w:r w:rsidRPr="00ED3D5F">
        <w:rPr>
          <w:rFonts w:ascii="Arial" w:hAnsi="Arial" w:cs="Arial"/>
          <w:sz w:val="22"/>
          <w:szCs w:val="22"/>
        </w:rPr>
        <w:t xml:space="preserve"> (95% CI:</w:t>
      </w:r>
      <w:r w:rsidR="00ED3D5F" w:rsidRPr="00ED3D5F">
        <w:rPr>
          <w:rFonts w:ascii="Arial" w:hAnsi="Arial" w:cs="Arial"/>
          <w:sz w:val="22"/>
          <w:szCs w:val="22"/>
        </w:rPr>
        <w:t xml:space="preserve"> 0.63</w:t>
      </w:r>
      <w:r w:rsidRPr="00ED3D5F">
        <w:rPr>
          <w:rFonts w:ascii="Arial" w:hAnsi="Arial" w:cs="Arial"/>
          <w:sz w:val="22"/>
          <w:szCs w:val="22"/>
        </w:rPr>
        <w:t xml:space="preserve">, </w:t>
      </w:r>
      <w:r w:rsidR="00ED3D5F" w:rsidRPr="00ED3D5F">
        <w:rPr>
          <w:rFonts w:ascii="Arial" w:hAnsi="Arial" w:cs="Arial"/>
          <w:sz w:val="22"/>
          <w:szCs w:val="22"/>
        </w:rPr>
        <w:t>0.84</w:t>
      </w:r>
      <w:r w:rsidRPr="00ED3D5F">
        <w:rPr>
          <w:rFonts w:ascii="Arial" w:hAnsi="Arial" w:cs="Arial"/>
          <w:sz w:val="22"/>
          <w:szCs w:val="22"/>
        </w:rPr>
        <w:t xml:space="preserve"> (p</w:t>
      </w:r>
      <w:r w:rsidR="00ED3D5F" w:rsidRPr="00ED3D5F">
        <w:rPr>
          <w:rFonts w:ascii="Arial" w:hAnsi="Arial" w:cs="Arial"/>
          <w:sz w:val="22"/>
          <w:szCs w:val="22"/>
        </w:rPr>
        <w:t>&lt;</w:t>
      </w:r>
      <w:r w:rsidRPr="00ED3D5F">
        <w:rPr>
          <w:rFonts w:ascii="Arial" w:hAnsi="Arial" w:cs="Arial"/>
          <w:sz w:val="22"/>
          <w:szCs w:val="22"/>
        </w:rPr>
        <w:t>0.001).</w:t>
      </w:r>
      <w:r w:rsidRPr="00062CE5">
        <w:rPr>
          <w:rFonts w:ascii="Arial" w:hAnsi="Arial" w:cs="Arial"/>
          <w:sz w:val="22"/>
          <w:szCs w:val="22"/>
        </w:rPr>
        <w:t xml:space="preserve"> Similar reductions in the time to first exacerbation and exacerbations </w:t>
      </w:r>
      <w:r w:rsidRPr="00062CE5">
        <w:rPr>
          <w:rFonts w:ascii="Arial" w:hAnsi="Arial" w:cs="Arial"/>
          <w:sz w:val="22"/>
          <w:szCs w:val="22"/>
        </w:rPr>
        <w:lastRenderedPageBreak/>
        <w:t xml:space="preserve">requiring systemic corticosteroid use were observed with fluticasone </w:t>
      </w:r>
      <w:proofErr w:type="spellStart"/>
      <w:r w:rsidRPr="00062CE5">
        <w:rPr>
          <w:rFonts w:ascii="Arial" w:hAnsi="Arial" w:cs="Arial"/>
          <w:sz w:val="22"/>
          <w:szCs w:val="22"/>
        </w:rPr>
        <w:t>furoate</w:t>
      </w:r>
      <w:proofErr w:type="spellEnd"/>
      <w:r w:rsidRPr="00062CE5">
        <w:rPr>
          <w:rFonts w:ascii="Arial" w:hAnsi="Arial" w:cs="Arial"/>
          <w:sz w:val="22"/>
          <w:szCs w:val="22"/>
        </w:rPr>
        <w:t>/</w:t>
      </w:r>
      <w:proofErr w:type="spellStart"/>
      <w:r w:rsidRPr="00062CE5">
        <w:rPr>
          <w:rFonts w:ascii="Arial" w:hAnsi="Arial" w:cs="Arial"/>
          <w:sz w:val="22"/>
          <w:szCs w:val="22"/>
        </w:rPr>
        <w:t>vilanterol</w:t>
      </w:r>
      <w:proofErr w:type="spellEnd"/>
      <w:r w:rsidRPr="00062CE5">
        <w:rPr>
          <w:rFonts w:ascii="Arial" w:hAnsi="Arial" w:cs="Arial"/>
          <w:sz w:val="22"/>
          <w:szCs w:val="22"/>
        </w:rPr>
        <w:t xml:space="preserve"> 100/25 micrograms once daily.</w:t>
      </w:r>
    </w:p>
    <w:p w:rsidR="000D62DD" w:rsidRPr="00062CE5" w:rsidRDefault="000D62DD" w:rsidP="00062CE5">
      <w:pPr>
        <w:rPr>
          <w:rFonts w:ascii="Arial" w:hAnsi="Arial" w:cs="Arial"/>
          <w:sz w:val="22"/>
          <w:szCs w:val="22"/>
        </w:rPr>
      </w:pPr>
    </w:p>
    <w:p w:rsidR="00EF77A2" w:rsidRPr="005615E2" w:rsidRDefault="00F32AF9" w:rsidP="00F32AF9">
      <w:pPr>
        <w:pStyle w:val="Caption"/>
        <w:keepNext/>
      </w:pPr>
      <w:r>
        <w:t xml:space="preserve">Table </w:t>
      </w:r>
      <w:r>
        <w:fldChar w:fldCharType="begin"/>
      </w:r>
      <w:r>
        <w:instrText xml:space="preserve"> SEQ Table \* ARABIC </w:instrText>
      </w:r>
      <w:r>
        <w:fldChar w:fldCharType="separate"/>
      </w:r>
      <w:r w:rsidR="00F24906">
        <w:rPr>
          <w:noProof/>
        </w:rPr>
        <w:t>2</w:t>
      </w:r>
      <w:r>
        <w:fldChar w:fldCharType="end"/>
      </w:r>
      <w:r>
        <w:t xml:space="preserve"> </w:t>
      </w:r>
      <w:r w:rsidR="00EF77A2" w:rsidRPr="005615E2">
        <w:t>Analysis of Exacerbation Rates following 12 months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083"/>
        <w:gridCol w:w="1430"/>
        <w:gridCol w:w="1065"/>
        <w:gridCol w:w="1367"/>
        <w:gridCol w:w="1054"/>
        <w:gridCol w:w="1555"/>
      </w:tblGrid>
      <w:tr w:rsidR="00EF77A2" w:rsidRPr="000961AD" w:rsidTr="000F37ED">
        <w:trPr>
          <w:trHeight w:val="488"/>
        </w:trPr>
        <w:tc>
          <w:tcPr>
            <w:tcW w:w="822" w:type="pct"/>
            <w:vMerge w:val="restart"/>
            <w:vAlign w:val="bottom"/>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Endpoint</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p>
        </w:tc>
        <w:tc>
          <w:tcPr>
            <w:tcW w:w="1390" w:type="pct"/>
            <w:gridSpan w:val="2"/>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HZC102970</w:t>
            </w:r>
          </w:p>
        </w:tc>
        <w:tc>
          <w:tcPr>
            <w:tcW w:w="1345" w:type="pct"/>
            <w:gridSpan w:val="2"/>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HZC102871</w:t>
            </w:r>
          </w:p>
        </w:tc>
        <w:tc>
          <w:tcPr>
            <w:tcW w:w="1443" w:type="pct"/>
            <w:gridSpan w:val="2"/>
          </w:tcPr>
          <w:p w:rsidR="00EF77A2" w:rsidRPr="000961AD" w:rsidRDefault="00EF77A2" w:rsidP="000F37ED">
            <w:pPr>
              <w:keepNext/>
              <w:keepLines/>
              <w:tabs>
                <w:tab w:val="left" w:pos="274"/>
                <w:tab w:val="left" w:pos="821"/>
                <w:tab w:val="left" w:pos="1094"/>
              </w:tabs>
              <w:jc w:val="center"/>
              <w:rPr>
                <w:rFonts w:ascii="Arial Narrow" w:hAnsi="Arial Narrow"/>
                <w:sz w:val="22"/>
                <w:szCs w:val="22"/>
              </w:rPr>
            </w:pPr>
            <w:r w:rsidRPr="000961AD">
              <w:rPr>
                <w:rFonts w:ascii="Arial Narrow" w:hAnsi="Arial Narrow"/>
                <w:sz w:val="22"/>
                <w:szCs w:val="22"/>
              </w:rPr>
              <w:t>HZC102970 and HZC102871 integrated</w:t>
            </w:r>
          </w:p>
        </w:tc>
      </w:tr>
      <w:tr w:rsidR="00EF77A2" w:rsidRPr="000961AD" w:rsidTr="000F37ED">
        <w:tc>
          <w:tcPr>
            <w:tcW w:w="822" w:type="pct"/>
            <w:vMerge/>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599" w:type="pct"/>
            <w:tcBorders>
              <w:bottom w:val="nil"/>
            </w:tcBorders>
            <w:vAlign w:val="center"/>
          </w:tcPr>
          <w:p w:rsidR="00EF77A2" w:rsidRPr="000961AD" w:rsidRDefault="00EF77A2" w:rsidP="000F37ED">
            <w:pPr>
              <w:keepNext/>
              <w:keepLines/>
              <w:tabs>
                <w:tab w:val="left" w:pos="274"/>
                <w:tab w:val="left" w:pos="821"/>
                <w:tab w:val="left" w:pos="1094"/>
              </w:tabs>
              <w:spacing w:line="220" w:lineRule="exact"/>
              <w:jc w:val="center"/>
              <w:rPr>
                <w:rFonts w:ascii="Arial Narrow" w:hAnsi="Arial Narrow"/>
                <w:sz w:val="22"/>
                <w:szCs w:val="22"/>
              </w:rPr>
            </w:pPr>
            <w:proofErr w:type="spellStart"/>
            <w:r w:rsidRPr="000961AD">
              <w:rPr>
                <w:rFonts w:ascii="Arial Narrow" w:hAnsi="Arial Narrow"/>
                <w:sz w:val="22"/>
                <w:szCs w:val="22"/>
              </w:rPr>
              <w:t>Vilanterol</w:t>
            </w:r>
            <w:proofErr w:type="spellEnd"/>
            <w:r w:rsidRPr="000961AD">
              <w:rPr>
                <w:rFonts w:ascii="Arial Narrow" w:hAnsi="Arial Narrow"/>
                <w:sz w:val="22"/>
                <w:szCs w:val="22"/>
              </w:rPr>
              <w:t xml:space="preserve"> (n=409)</w:t>
            </w:r>
          </w:p>
        </w:tc>
        <w:tc>
          <w:tcPr>
            <w:tcW w:w="791" w:type="pct"/>
            <w:vAlign w:val="center"/>
          </w:tcPr>
          <w:p w:rsidR="00EF77A2" w:rsidRPr="000961AD" w:rsidRDefault="004A432A" w:rsidP="000F37ED">
            <w:pPr>
              <w:keepNext/>
              <w:keepLines/>
              <w:tabs>
                <w:tab w:val="left" w:pos="274"/>
                <w:tab w:val="left" w:pos="547"/>
                <w:tab w:val="left" w:pos="821"/>
                <w:tab w:val="left" w:pos="1094"/>
              </w:tabs>
              <w:jc w:val="center"/>
              <w:rPr>
                <w:rFonts w:ascii="Arial Narrow" w:hAnsi="Arial Narrow"/>
                <w:sz w:val="22"/>
                <w:szCs w:val="22"/>
              </w:rPr>
            </w:pPr>
            <w:r>
              <w:rPr>
                <w:rFonts w:ascii="Arial Narrow" w:hAnsi="Arial Narrow"/>
                <w:sz w:val="22"/>
                <w:szCs w:val="22"/>
              </w:rPr>
              <w:t>FF/VI</w:t>
            </w:r>
            <w:r w:rsidR="00EF77A2" w:rsidRPr="000961AD">
              <w:rPr>
                <w:rFonts w:ascii="Arial Narrow" w:hAnsi="Arial Narrow"/>
                <w:sz w:val="22"/>
                <w:szCs w:val="22"/>
              </w:rPr>
              <w:t xml:space="preserve"> 100/25</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(n=403)</w:t>
            </w:r>
          </w:p>
        </w:tc>
        <w:tc>
          <w:tcPr>
            <w:tcW w:w="589" w:type="pct"/>
            <w:vAlign w:val="center"/>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roofErr w:type="spellStart"/>
            <w:r w:rsidRPr="000961AD">
              <w:rPr>
                <w:rFonts w:ascii="Arial Narrow" w:hAnsi="Arial Narrow"/>
                <w:sz w:val="22"/>
                <w:szCs w:val="22"/>
              </w:rPr>
              <w:t>Vilanterol</w:t>
            </w:r>
            <w:proofErr w:type="spellEnd"/>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(n=409)</w:t>
            </w:r>
          </w:p>
        </w:tc>
        <w:tc>
          <w:tcPr>
            <w:tcW w:w="756" w:type="pct"/>
            <w:vAlign w:val="center"/>
          </w:tcPr>
          <w:p w:rsidR="00EF77A2" w:rsidRPr="000961AD" w:rsidRDefault="004A432A" w:rsidP="004A432A">
            <w:pPr>
              <w:keepNext/>
              <w:keepLines/>
              <w:tabs>
                <w:tab w:val="left" w:pos="274"/>
                <w:tab w:val="left" w:pos="547"/>
                <w:tab w:val="left" w:pos="821"/>
                <w:tab w:val="left" w:pos="1094"/>
              </w:tabs>
              <w:jc w:val="center"/>
              <w:rPr>
                <w:rFonts w:ascii="Arial Narrow" w:hAnsi="Arial Narrow"/>
                <w:sz w:val="22"/>
                <w:szCs w:val="22"/>
              </w:rPr>
            </w:pPr>
            <w:r>
              <w:rPr>
                <w:rFonts w:ascii="Arial Narrow" w:hAnsi="Arial Narrow"/>
                <w:sz w:val="22"/>
                <w:szCs w:val="22"/>
              </w:rPr>
              <w:t>FF/VI</w:t>
            </w:r>
            <w:r w:rsidR="00EF77A2" w:rsidRPr="000961AD">
              <w:rPr>
                <w:rFonts w:ascii="Arial Narrow" w:hAnsi="Arial Narrow"/>
                <w:sz w:val="22"/>
                <w:szCs w:val="22"/>
              </w:rPr>
              <w:t xml:space="preserve"> 100/25 (n=403)</w:t>
            </w:r>
          </w:p>
        </w:tc>
        <w:tc>
          <w:tcPr>
            <w:tcW w:w="583" w:type="pct"/>
            <w:vAlign w:val="center"/>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roofErr w:type="spellStart"/>
            <w:r w:rsidRPr="000961AD">
              <w:rPr>
                <w:rFonts w:ascii="Arial Narrow" w:hAnsi="Arial Narrow"/>
                <w:sz w:val="22"/>
                <w:szCs w:val="22"/>
              </w:rPr>
              <w:t>Vilanterol</w:t>
            </w:r>
            <w:proofErr w:type="spellEnd"/>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(n=818)</w:t>
            </w:r>
          </w:p>
        </w:tc>
        <w:tc>
          <w:tcPr>
            <w:tcW w:w="860" w:type="pct"/>
            <w:vAlign w:val="center"/>
          </w:tcPr>
          <w:p w:rsidR="00EF77A2" w:rsidRPr="000961AD" w:rsidRDefault="004A432A" w:rsidP="000F37ED">
            <w:pPr>
              <w:keepNext/>
              <w:keepLines/>
              <w:tabs>
                <w:tab w:val="left" w:pos="274"/>
                <w:tab w:val="left" w:pos="547"/>
                <w:tab w:val="left" w:pos="821"/>
                <w:tab w:val="left" w:pos="1094"/>
              </w:tabs>
              <w:jc w:val="center"/>
              <w:rPr>
                <w:rFonts w:ascii="Arial Narrow" w:hAnsi="Arial Narrow"/>
                <w:sz w:val="22"/>
                <w:szCs w:val="22"/>
              </w:rPr>
            </w:pPr>
            <w:r>
              <w:rPr>
                <w:rFonts w:ascii="Arial Narrow" w:hAnsi="Arial Narrow"/>
                <w:sz w:val="22"/>
                <w:szCs w:val="22"/>
              </w:rPr>
              <w:t>FF/VI</w:t>
            </w:r>
            <w:r w:rsidR="00EF77A2" w:rsidRPr="000961AD">
              <w:rPr>
                <w:rFonts w:ascii="Arial Narrow" w:hAnsi="Arial Narrow"/>
                <w:sz w:val="22"/>
                <w:szCs w:val="22"/>
              </w:rPr>
              <w:t xml:space="preserve"> 100/25</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(n=806)</w:t>
            </w:r>
          </w:p>
        </w:tc>
      </w:tr>
      <w:tr w:rsidR="00EF77A2" w:rsidRPr="000961AD" w:rsidTr="000F37ED">
        <w:tc>
          <w:tcPr>
            <w:tcW w:w="5000" w:type="pct"/>
            <w:gridSpan w:val="7"/>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Moderate and severe exacerbations</w:t>
            </w:r>
          </w:p>
        </w:tc>
      </w:tr>
      <w:tr w:rsidR="00EF77A2" w:rsidRPr="000961AD" w:rsidTr="000F37ED">
        <w:tc>
          <w:tcPr>
            <w:tcW w:w="822" w:type="pct"/>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 xml:space="preserve">Adjusted mean annual rate </w:t>
            </w:r>
          </w:p>
        </w:tc>
        <w:tc>
          <w:tcPr>
            <w:tcW w:w="59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1.14</w:t>
            </w:r>
          </w:p>
        </w:tc>
        <w:tc>
          <w:tcPr>
            <w:tcW w:w="791"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0.90</w:t>
            </w:r>
          </w:p>
        </w:tc>
        <w:tc>
          <w:tcPr>
            <w:tcW w:w="58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1.05</w:t>
            </w:r>
          </w:p>
        </w:tc>
        <w:tc>
          <w:tcPr>
            <w:tcW w:w="756"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0.70</w:t>
            </w:r>
          </w:p>
        </w:tc>
        <w:tc>
          <w:tcPr>
            <w:tcW w:w="583"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1.11</w:t>
            </w:r>
          </w:p>
        </w:tc>
        <w:tc>
          <w:tcPr>
            <w:tcW w:w="860"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0.81</w:t>
            </w:r>
          </w:p>
        </w:tc>
      </w:tr>
      <w:tr w:rsidR="00EF77A2" w:rsidRPr="000961AD" w:rsidTr="000F37ED">
        <w:tc>
          <w:tcPr>
            <w:tcW w:w="822" w:type="pct"/>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Ratio vs VI</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95% CI</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p-value</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 reduction</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95% CI</w:t>
            </w:r>
          </w:p>
        </w:tc>
        <w:tc>
          <w:tcPr>
            <w:tcW w:w="59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91"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0.79</w:t>
            </w:r>
            <w:r w:rsidRPr="000961AD">
              <w:rPr>
                <w:rFonts w:ascii="Arial Narrow" w:hAnsi="Arial Narrow"/>
                <w:sz w:val="22"/>
                <w:szCs w:val="22"/>
              </w:rPr>
              <w:br/>
              <w:t>(0.64,0.97)</w:t>
            </w:r>
            <w:r w:rsidRPr="000961AD">
              <w:rPr>
                <w:rFonts w:ascii="Arial Narrow" w:hAnsi="Arial Narrow"/>
                <w:sz w:val="22"/>
                <w:szCs w:val="22"/>
              </w:rPr>
              <w:br/>
              <w:t>0.024</w:t>
            </w:r>
            <w:r w:rsidRPr="000961AD">
              <w:rPr>
                <w:rFonts w:ascii="Arial Narrow" w:hAnsi="Arial Narrow"/>
                <w:sz w:val="22"/>
                <w:szCs w:val="22"/>
              </w:rPr>
              <w:br/>
              <w:t>21</w:t>
            </w:r>
            <w:r w:rsidRPr="000961AD">
              <w:rPr>
                <w:rFonts w:ascii="Arial Narrow" w:hAnsi="Arial Narrow"/>
                <w:sz w:val="22"/>
                <w:szCs w:val="22"/>
              </w:rPr>
              <w:br/>
              <w:t>(3, 36)</w:t>
            </w:r>
          </w:p>
        </w:tc>
        <w:tc>
          <w:tcPr>
            <w:tcW w:w="58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56"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0.66</w:t>
            </w:r>
            <w:r w:rsidRPr="000961AD">
              <w:rPr>
                <w:rFonts w:ascii="Arial Narrow" w:hAnsi="Arial Narrow"/>
                <w:sz w:val="22"/>
                <w:szCs w:val="22"/>
              </w:rPr>
              <w:br/>
            </w:r>
            <w:r w:rsidRPr="000961AD">
              <w:rPr>
                <w:rFonts w:ascii="Arial Narrow" w:hAnsi="Arial Narrow"/>
                <w:sz w:val="22"/>
                <w:szCs w:val="22"/>
                <w:lang w:val="en-US"/>
              </w:rPr>
              <w:t>(0.54, 0.81)</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&lt;0.001</w:t>
            </w:r>
            <w:r w:rsidRPr="000961AD">
              <w:rPr>
                <w:rFonts w:ascii="Arial Narrow" w:hAnsi="Arial Narrow"/>
                <w:sz w:val="22"/>
                <w:szCs w:val="22"/>
              </w:rPr>
              <w:br/>
              <w:t>34</w:t>
            </w:r>
            <w:r w:rsidRPr="000961AD">
              <w:rPr>
                <w:rFonts w:ascii="Arial Narrow" w:hAnsi="Arial Narrow"/>
                <w:sz w:val="22"/>
                <w:szCs w:val="22"/>
              </w:rPr>
              <w:br/>
              <w:t>(19,46)</w:t>
            </w:r>
          </w:p>
        </w:tc>
        <w:tc>
          <w:tcPr>
            <w:tcW w:w="583"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860"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0.73</w:t>
            </w:r>
            <w:r w:rsidRPr="000961AD">
              <w:rPr>
                <w:rFonts w:ascii="Arial Narrow" w:hAnsi="Arial Narrow"/>
                <w:sz w:val="22"/>
                <w:szCs w:val="22"/>
              </w:rPr>
              <w:br/>
              <w:t>(0.63, 0.84)</w:t>
            </w:r>
            <w:r w:rsidRPr="000961AD">
              <w:rPr>
                <w:rFonts w:ascii="Arial Narrow" w:hAnsi="Arial Narrow"/>
                <w:sz w:val="22"/>
                <w:szCs w:val="22"/>
              </w:rPr>
              <w:br/>
              <w:t>&lt;0.001</w:t>
            </w:r>
            <w:r w:rsidRPr="000961AD">
              <w:rPr>
                <w:rFonts w:ascii="Arial Narrow" w:hAnsi="Arial Narrow"/>
                <w:sz w:val="22"/>
                <w:szCs w:val="22"/>
              </w:rPr>
              <w:br/>
              <w:t>27</w:t>
            </w:r>
            <w:r w:rsidRPr="000961AD">
              <w:rPr>
                <w:rFonts w:ascii="Arial Narrow" w:hAnsi="Arial Narrow"/>
                <w:sz w:val="22"/>
                <w:szCs w:val="22"/>
              </w:rPr>
              <w:br/>
              <w:t>(16, 37)</w:t>
            </w:r>
          </w:p>
        </w:tc>
      </w:tr>
      <w:tr w:rsidR="00EF77A2" w:rsidRPr="000961AD" w:rsidTr="000F37ED">
        <w:tc>
          <w:tcPr>
            <w:tcW w:w="822" w:type="pct"/>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Time to first exacerbation:</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Hazard ratio</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(95% CI)</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 risk reduction</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p-value</w:t>
            </w:r>
          </w:p>
        </w:tc>
        <w:tc>
          <w:tcPr>
            <w:tcW w:w="59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91"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0.80</w:t>
            </w:r>
            <w:r w:rsidRPr="000961AD">
              <w:rPr>
                <w:rFonts w:ascii="Arial Narrow" w:hAnsi="Arial Narrow"/>
                <w:sz w:val="22"/>
                <w:szCs w:val="22"/>
              </w:rPr>
              <w:br/>
              <w:t>(0.66, 0.99)</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20</w:t>
            </w:r>
            <w:r w:rsidRPr="000961AD">
              <w:rPr>
                <w:rFonts w:ascii="Arial Narrow" w:hAnsi="Arial Narrow"/>
                <w:sz w:val="22"/>
                <w:szCs w:val="22"/>
              </w:rPr>
              <w:br/>
            </w:r>
            <w:r w:rsidRPr="000961AD">
              <w:rPr>
                <w:rFonts w:ascii="Arial Narrow" w:hAnsi="Arial Narrow"/>
                <w:sz w:val="22"/>
                <w:szCs w:val="22"/>
              </w:rPr>
              <w:br/>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0.036</w:t>
            </w:r>
          </w:p>
        </w:tc>
        <w:tc>
          <w:tcPr>
            <w:tcW w:w="58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56"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0.72</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lang w:val="en-US"/>
              </w:rPr>
              <w:t>(0.59, 0.89)</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28</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lang w:val="en-US"/>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0.002</w:t>
            </w:r>
          </w:p>
        </w:tc>
        <w:tc>
          <w:tcPr>
            <w:tcW w:w="583"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860"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0.76</w:t>
            </w:r>
            <w:r w:rsidRPr="000961AD">
              <w:rPr>
                <w:rFonts w:ascii="Arial Narrow" w:hAnsi="Arial Narrow"/>
                <w:sz w:val="22"/>
                <w:szCs w:val="22"/>
              </w:rPr>
              <w:br/>
              <w:t>(0.66, 0.88)</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24</w:t>
            </w:r>
            <w:r w:rsidRPr="000961AD">
              <w:rPr>
                <w:rFonts w:ascii="Arial Narrow" w:hAnsi="Arial Narrow"/>
                <w:sz w:val="22"/>
                <w:szCs w:val="22"/>
              </w:rPr>
              <w:br/>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p&lt;0.001</w:t>
            </w:r>
          </w:p>
        </w:tc>
      </w:tr>
      <w:tr w:rsidR="00EF77A2" w:rsidRPr="000961AD" w:rsidTr="000F37ED">
        <w:tc>
          <w:tcPr>
            <w:tcW w:w="5000" w:type="pct"/>
            <w:gridSpan w:val="7"/>
            <w:vAlign w:val="center"/>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Exacerbations requiring systemic/oral corticosteroids</w:t>
            </w:r>
          </w:p>
        </w:tc>
      </w:tr>
      <w:tr w:rsidR="00EF77A2" w:rsidRPr="000961AD" w:rsidTr="000F37ED">
        <w:tc>
          <w:tcPr>
            <w:tcW w:w="822" w:type="pct"/>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 xml:space="preserve">Annual rate </w:t>
            </w:r>
          </w:p>
        </w:tc>
        <w:tc>
          <w:tcPr>
            <w:tcW w:w="59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0.86</w:t>
            </w:r>
          </w:p>
        </w:tc>
        <w:tc>
          <w:tcPr>
            <w:tcW w:w="791"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0.66</w:t>
            </w:r>
          </w:p>
        </w:tc>
        <w:tc>
          <w:tcPr>
            <w:tcW w:w="58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0.84</w:t>
            </w:r>
          </w:p>
        </w:tc>
        <w:tc>
          <w:tcPr>
            <w:tcW w:w="756"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0.52</w:t>
            </w:r>
          </w:p>
        </w:tc>
        <w:tc>
          <w:tcPr>
            <w:tcW w:w="583"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0.87</w:t>
            </w:r>
          </w:p>
        </w:tc>
        <w:tc>
          <w:tcPr>
            <w:tcW w:w="860"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0.61</w:t>
            </w:r>
          </w:p>
        </w:tc>
      </w:tr>
      <w:tr w:rsidR="00EF77A2" w:rsidRPr="000961AD" w:rsidTr="000F37ED">
        <w:tc>
          <w:tcPr>
            <w:tcW w:w="822" w:type="pct"/>
          </w:tcPr>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Ratio vs VI</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95% CI</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p-value</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 reduction</w:t>
            </w:r>
          </w:p>
          <w:p w:rsidR="00EF77A2" w:rsidRPr="000961AD" w:rsidRDefault="00EF77A2" w:rsidP="000F37ED">
            <w:pPr>
              <w:keepNext/>
              <w:keepLines/>
              <w:tabs>
                <w:tab w:val="left" w:pos="274"/>
                <w:tab w:val="left" w:pos="547"/>
                <w:tab w:val="left" w:pos="821"/>
                <w:tab w:val="left" w:pos="1094"/>
              </w:tabs>
              <w:rPr>
                <w:rFonts w:ascii="Arial Narrow" w:hAnsi="Arial Narrow"/>
                <w:sz w:val="22"/>
                <w:szCs w:val="22"/>
              </w:rPr>
            </w:pPr>
            <w:r w:rsidRPr="000961AD">
              <w:rPr>
                <w:rFonts w:ascii="Arial Narrow" w:hAnsi="Arial Narrow"/>
                <w:sz w:val="22"/>
                <w:szCs w:val="22"/>
              </w:rPr>
              <w:t>95% CI</w:t>
            </w:r>
          </w:p>
        </w:tc>
        <w:tc>
          <w:tcPr>
            <w:tcW w:w="59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91"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0.77</w:t>
            </w:r>
            <w:r w:rsidRPr="000961AD">
              <w:rPr>
                <w:rFonts w:ascii="Arial Narrow" w:hAnsi="Arial Narrow"/>
                <w:sz w:val="22"/>
                <w:szCs w:val="22"/>
              </w:rPr>
              <w:br/>
              <w:t>(0.60,0.99)</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0.041</w:t>
            </w:r>
            <w:r w:rsidRPr="000961AD">
              <w:rPr>
                <w:rFonts w:ascii="Arial Narrow" w:hAnsi="Arial Narrow"/>
                <w:sz w:val="22"/>
                <w:szCs w:val="22"/>
              </w:rPr>
              <w:br/>
              <w:t>23</w:t>
            </w:r>
            <w:r w:rsidRPr="000961AD">
              <w:rPr>
                <w:rFonts w:ascii="Arial Narrow" w:hAnsi="Arial Narrow"/>
                <w:sz w:val="22"/>
                <w:szCs w:val="22"/>
              </w:rPr>
              <w:br/>
              <w:t>(1, 40)</w:t>
            </w:r>
          </w:p>
        </w:tc>
        <w:tc>
          <w:tcPr>
            <w:tcW w:w="589"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756"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0.62</w:t>
            </w:r>
            <w:r w:rsidRPr="000961AD">
              <w:rPr>
                <w:rFonts w:ascii="Arial Narrow" w:hAnsi="Arial Narrow"/>
                <w:sz w:val="22"/>
                <w:szCs w:val="22"/>
              </w:rPr>
              <w:br/>
              <w:t>(0.49, 0.78)</w:t>
            </w:r>
            <w:r w:rsidRPr="000961AD">
              <w:rPr>
                <w:rFonts w:ascii="Arial Narrow" w:hAnsi="Arial Narrow"/>
                <w:sz w:val="22"/>
                <w:szCs w:val="22"/>
              </w:rPr>
              <w:br/>
              <w:t>&lt;0.001</w:t>
            </w:r>
            <w:r w:rsidRPr="000961AD">
              <w:rPr>
                <w:rFonts w:ascii="Arial Narrow" w:hAnsi="Arial Narrow"/>
                <w:sz w:val="22"/>
                <w:szCs w:val="22"/>
              </w:rPr>
              <w:br/>
              <w:t>38</w:t>
            </w:r>
            <w:r w:rsidRPr="000961AD">
              <w:rPr>
                <w:rFonts w:ascii="Arial Narrow" w:hAnsi="Arial Narrow"/>
                <w:sz w:val="22"/>
                <w:szCs w:val="22"/>
              </w:rPr>
              <w:br/>
              <w:t>(22, 51)</w:t>
            </w:r>
          </w:p>
        </w:tc>
        <w:tc>
          <w:tcPr>
            <w:tcW w:w="583"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p>
        </w:tc>
        <w:tc>
          <w:tcPr>
            <w:tcW w:w="860" w:type="pct"/>
          </w:tcPr>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0.70</w:t>
            </w:r>
            <w:r w:rsidRPr="000961AD">
              <w:rPr>
                <w:rFonts w:ascii="Arial Narrow" w:hAnsi="Arial Narrow"/>
                <w:sz w:val="22"/>
                <w:szCs w:val="22"/>
              </w:rPr>
              <w:br/>
              <w:t>(0.59, 0.83)</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&lt;0.001</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30</w:t>
            </w:r>
          </w:p>
          <w:p w:rsidR="00EF77A2" w:rsidRPr="000961AD" w:rsidRDefault="00EF77A2" w:rsidP="000F37ED">
            <w:pPr>
              <w:keepNext/>
              <w:keepLines/>
              <w:tabs>
                <w:tab w:val="left" w:pos="274"/>
                <w:tab w:val="left" w:pos="547"/>
                <w:tab w:val="left" w:pos="821"/>
                <w:tab w:val="left" w:pos="1094"/>
              </w:tabs>
              <w:jc w:val="center"/>
              <w:rPr>
                <w:rFonts w:ascii="Arial Narrow" w:hAnsi="Arial Narrow"/>
                <w:sz w:val="22"/>
                <w:szCs w:val="22"/>
              </w:rPr>
            </w:pPr>
            <w:r w:rsidRPr="000961AD">
              <w:rPr>
                <w:rFonts w:ascii="Arial Narrow" w:hAnsi="Arial Narrow"/>
                <w:sz w:val="22"/>
                <w:szCs w:val="22"/>
              </w:rPr>
              <w:t>(17, 41)</w:t>
            </w:r>
          </w:p>
        </w:tc>
      </w:tr>
    </w:tbl>
    <w:p w:rsidR="000D62DD" w:rsidRDefault="000D62DD" w:rsidP="000961AD">
      <w:pPr>
        <w:spacing w:after="240"/>
        <w:rPr>
          <w:rFonts w:ascii="Arial" w:hAnsi="Arial" w:cs="Arial"/>
          <w:sz w:val="22"/>
          <w:szCs w:val="22"/>
          <w:lang w:val="en-US"/>
        </w:rPr>
      </w:pPr>
    </w:p>
    <w:p w:rsidR="00EF77A2" w:rsidRPr="000961AD" w:rsidRDefault="00EF77A2" w:rsidP="000961AD">
      <w:pPr>
        <w:spacing w:after="240"/>
        <w:rPr>
          <w:rFonts w:ascii="Arial" w:hAnsi="Arial" w:cs="Arial"/>
          <w:sz w:val="22"/>
          <w:szCs w:val="22"/>
        </w:rPr>
      </w:pPr>
      <w:r w:rsidRPr="000961AD">
        <w:rPr>
          <w:rFonts w:ascii="Arial" w:hAnsi="Arial" w:cs="Arial"/>
          <w:sz w:val="22"/>
          <w:szCs w:val="22"/>
          <w:lang w:val="en-US"/>
        </w:rPr>
        <w:t xml:space="preserve">In an integrated analysis of HZC102970 and HZC102871 at week 52, an improvement was seen when comparing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t>
      </w:r>
      <w:r w:rsidRPr="000961AD">
        <w:rPr>
          <w:rFonts w:ascii="Arial" w:hAnsi="Arial" w:cs="Arial"/>
          <w:sz w:val="22"/>
          <w:szCs w:val="22"/>
          <w:lang w:val="en-US"/>
        </w:rPr>
        <w:t xml:space="preserve">100 micrograms/25 micrograms vs.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25 micrograms in adjusted mean trough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(42 mL 95% CI: </w:t>
      </w:r>
      <w:r w:rsidR="00ED3D5F">
        <w:rPr>
          <w:rFonts w:ascii="Arial" w:hAnsi="Arial" w:cs="Arial"/>
          <w:sz w:val="22"/>
          <w:szCs w:val="22"/>
          <w:lang w:val="en-US"/>
        </w:rPr>
        <w:t>1</w:t>
      </w:r>
      <w:r w:rsidRPr="000961AD">
        <w:rPr>
          <w:rFonts w:ascii="Arial" w:hAnsi="Arial" w:cs="Arial"/>
          <w:sz w:val="22"/>
          <w:szCs w:val="22"/>
          <w:lang w:val="en-US"/>
        </w:rPr>
        <w:t>9, 64</w:t>
      </w:r>
      <w:r w:rsidR="00ED3D5F">
        <w:rPr>
          <w:rFonts w:ascii="Arial" w:hAnsi="Arial" w:cs="Arial"/>
          <w:sz w:val="22"/>
          <w:szCs w:val="22"/>
          <w:lang w:val="en-US"/>
        </w:rPr>
        <w:t>mL</w:t>
      </w:r>
      <w:r w:rsidRPr="000961AD">
        <w:rPr>
          <w:rFonts w:ascii="Arial" w:hAnsi="Arial" w:cs="Arial"/>
          <w:sz w:val="22"/>
          <w:szCs w:val="22"/>
          <w:lang w:val="en-US"/>
        </w:rPr>
        <w:t xml:space="preserve">, p&lt;0.001).  </w:t>
      </w:r>
      <w:r w:rsidRPr="000961AD">
        <w:rPr>
          <w:rFonts w:ascii="Arial" w:hAnsi="Arial" w:cs="Arial"/>
          <w:sz w:val="22"/>
          <w:szCs w:val="22"/>
        </w:rPr>
        <w:t xml:space="preserve">The 24-hour bronchodilator effect of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was maintained from the first dose throughout a one-year treatment period with no evidence of loss in efficacy (no </w:t>
      </w:r>
      <w:proofErr w:type="spellStart"/>
      <w:r w:rsidRPr="000961AD">
        <w:rPr>
          <w:rFonts w:ascii="Arial" w:hAnsi="Arial" w:cs="Arial"/>
          <w:sz w:val="22"/>
          <w:szCs w:val="22"/>
        </w:rPr>
        <w:t>tachyphylaxis</w:t>
      </w:r>
      <w:proofErr w:type="spellEnd"/>
      <w:r w:rsidRPr="000961AD">
        <w:rPr>
          <w:rFonts w:ascii="Arial" w:hAnsi="Arial" w:cs="Arial"/>
          <w:sz w:val="22"/>
          <w:szCs w:val="22"/>
        </w:rPr>
        <w:t>).</w:t>
      </w:r>
    </w:p>
    <w:p w:rsidR="00EF77A2" w:rsidRPr="000961AD" w:rsidRDefault="00EF77A2" w:rsidP="000961AD">
      <w:pPr>
        <w:spacing w:after="240"/>
        <w:rPr>
          <w:rFonts w:ascii="Arial" w:hAnsi="Arial" w:cs="Arial"/>
          <w:sz w:val="22"/>
          <w:szCs w:val="22"/>
          <w:lang w:val="en-US"/>
        </w:rPr>
      </w:pPr>
      <w:r w:rsidRPr="000961AD">
        <w:rPr>
          <w:rFonts w:ascii="Arial" w:hAnsi="Arial" w:cs="Arial"/>
          <w:sz w:val="22"/>
          <w:szCs w:val="22"/>
          <w:lang w:val="en-US"/>
        </w:rPr>
        <w:t xml:space="preserve">Overall, across the two studies combined </w:t>
      </w:r>
      <w:r w:rsidRPr="000961AD">
        <w:rPr>
          <w:rFonts w:ascii="Arial" w:hAnsi="Arial" w:cs="Arial"/>
          <w:sz w:val="22"/>
          <w:szCs w:val="22"/>
        </w:rPr>
        <w:t xml:space="preserve">2009 </w:t>
      </w:r>
      <w:r w:rsidRPr="000961AD">
        <w:rPr>
          <w:rFonts w:ascii="Arial" w:hAnsi="Arial" w:cs="Arial"/>
          <w:sz w:val="22"/>
          <w:szCs w:val="22"/>
          <w:lang w:val="en-US"/>
        </w:rPr>
        <w:t xml:space="preserve">(62%) patients had cardiovascular history/risk factors at screening.  The incidence of cardiovascular history/risk factors was similar across the treatment groups with patients in the cardiovascular history/risk factors subgroup most commonly suffering from hypertension (46%), followed by hypercholesterolemia (29%) and diabetes mellitus (12 %).  Similar effects in reduction of moderate and severe exacerbations were observed in this subgroup as compared with the overall population. In patients with a cardiovascular history/risk factors,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100 micrograms/25 micrograms</w:t>
      </w:r>
      <w:r w:rsidRPr="000961AD">
        <w:rPr>
          <w:rFonts w:ascii="Arial" w:hAnsi="Arial" w:cs="Arial"/>
          <w:sz w:val="22"/>
          <w:szCs w:val="22"/>
          <w:lang w:val="en-US"/>
        </w:rPr>
        <w:t xml:space="preserve"> resulted in a significantly lower annual rate of moderate/severe COPD exacerbations compared with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(adjusted mean annual rates of 0.83 and 1.18 respectively, 30% reduction (95% CI 16, 42%, p&lt;0.001). Improvements were also seen in this subgroup at week 52 when comparing the </w:t>
      </w:r>
      <w:r w:rsidR="004A432A" w:rsidRPr="00217091">
        <w:rPr>
          <w:rFonts w:ascii="Arial" w:hAnsi="Arial" w:cs="Arial"/>
          <w:sz w:val="22"/>
          <w:szCs w:val="22"/>
        </w:rPr>
        <w:lastRenderedPageBreak/>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xml:space="preserve"> </w:t>
      </w:r>
      <w:r w:rsidRPr="000961AD">
        <w:rPr>
          <w:rFonts w:ascii="Arial" w:hAnsi="Arial" w:cs="Arial"/>
          <w:sz w:val="22"/>
          <w:szCs w:val="22"/>
          <w:lang w:val="en-US"/>
        </w:rPr>
        <w:t xml:space="preserve">100 micrograms/25 micrograms vs. </w:t>
      </w:r>
      <w:proofErr w:type="spellStart"/>
      <w:r w:rsidRPr="000961AD">
        <w:rPr>
          <w:rFonts w:ascii="Arial" w:hAnsi="Arial" w:cs="Arial"/>
          <w:sz w:val="22"/>
          <w:szCs w:val="22"/>
          <w:lang w:val="en-US"/>
        </w:rPr>
        <w:t>vilanterol</w:t>
      </w:r>
      <w:proofErr w:type="spellEnd"/>
      <w:r w:rsidRPr="000961AD">
        <w:rPr>
          <w:rFonts w:ascii="Arial" w:hAnsi="Arial" w:cs="Arial"/>
          <w:sz w:val="22"/>
          <w:szCs w:val="22"/>
          <w:lang w:val="en-US"/>
        </w:rPr>
        <w:t xml:space="preserve"> 25 micrograms in adjusted mean trough FEV</w:t>
      </w:r>
      <w:r w:rsidRPr="000961AD">
        <w:rPr>
          <w:rFonts w:ascii="Arial" w:hAnsi="Arial" w:cs="Arial"/>
          <w:sz w:val="22"/>
          <w:szCs w:val="22"/>
          <w:vertAlign w:val="subscript"/>
          <w:lang w:val="en-US"/>
        </w:rPr>
        <w:t>1</w:t>
      </w:r>
      <w:r w:rsidRPr="000961AD">
        <w:rPr>
          <w:rFonts w:ascii="Arial" w:hAnsi="Arial" w:cs="Arial"/>
          <w:sz w:val="22"/>
          <w:szCs w:val="22"/>
          <w:lang w:val="en-US"/>
        </w:rPr>
        <w:t xml:space="preserve"> (44 mL 95% CI: 15, 73mL, (p=0.003)  </w:t>
      </w:r>
    </w:p>
    <w:p w:rsidR="00EF77A2" w:rsidRPr="00DF4794" w:rsidRDefault="00EF77A2" w:rsidP="00680640">
      <w:pPr>
        <w:keepNext/>
        <w:spacing w:after="240"/>
        <w:rPr>
          <w:rFonts w:ascii="Arial" w:hAnsi="Arial" w:cs="Arial"/>
          <w:i/>
          <w:sz w:val="22"/>
          <w:szCs w:val="22"/>
        </w:rPr>
      </w:pPr>
      <w:r w:rsidRPr="00DF4794">
        <w:rPr>
          <w:rFonts w:ascii="Arial" w:hAnsi="Arial" w:cs="Arial"/>
          <w:i/>
          <w:sz w:val="22"/>
          <w:szCs w:val="22"/>
        </w:rPr>
        <w:t xml:space="preserve">Studies versus </w:t>
      </w:r>
      <w:proofErr w:type="spellStart"/>
      <w:r w:rsidRPr="00DF4794">
        <w:rPr>
          <w:rFonts w:ascii="Arial" w:hAnsi="Arial" w:cs="Arial"/>
          <w:i/>
          <w:sz w:val="22"/>
          <w:szCs w:val="22"/>
        </w:rPr>
        <w:t>salmeterol</w:t>
      </w:r>
      <w:proofErr w:type="spellEnd"/>
      <w:r w:rsidRPr="00DF4794">
        <w:rPr>
          <w:rFonts w:ascii="Arial" w:hAnsi="Arial" w:cs="Arial"/>
          <w:i/>
          <w:sz w:val="22"/>
          <w:szCs w:val="22"/>
        </w:rPr>
        <w:t>/fluticasone propionate combinations</w:t>
      </w:r>
    </w:p>
    <w:p w:rsidR="00EF77A2" w:rsidRPr="000961AD" w:rsidRDefault="00EF77A2" w:rsidP="00680640">
      <w:pPr>
        <w:keepNext/>
        <w:autoSpaceDE w:val="0"/>
        <w:autoSpaceDN w:val="0"/>
        <w:adjustRightInd w:val="0"/>
        <w:spacing w:after="240"/>
        <w:rPr>
          <w:rFonts w:ascii="Arial" w:hAnsi="Arial" w:cs="Arial"/>
          <w:sz w:val="22"/>
          <w:szCs w:val="22"/>
        </w:rPr>
      </w:pPr>
      <w:r w:rsidRPr="000961AD">
        <w:rPr>
          <w:rFonts w:ascii="Arial" w:hAnsi="Arial" w:cs="Arial"/>
          <w:sz w:val="22"/>
          <w:szCs w:val="22"/>
        </w:rPr>
        <w:t xml:space="preserve">In a 12 week study (HZC113107) in COPD patients both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 xml:space="preserve">100 micrograms/25 micrograms given once daily in the morning and </w:t>
      </w:r>
      <w:r w:rsidR="001C22CF">
        <w:rPr>
          <w:rFonts w:ascii="Arial" w:hAnsi="Arial" w:cs="Arial"/>
          <w:sz w:val="22"/>
          <w:szCs w:val="22"/>
        </w:rPr>
        <w:t>FP/</w:t>
      </w:r>
      <w:proofErr w:type="spellStart"/>
      <w:r w:rsidRPr="000961AD">
        <w:rPr>
          <w:rFonts w:ascii="Arial" w:hAnsi="Arial" w:cs="Arial"/>
          <w:sz w:val="22"/>
          <w:szCs w:val="22"/>
        </w:rPr>
        <w:t>salmeterol</w:t>
      </w:r>
      <w:proofErr w:type="spellEnd"/>
      <w:r w:rsidRPr="000961AD">
        <w:rPr>
          <w:rFonts w:ascii="Arial" w:hAnsi="Arial" w:cs="Arial"/>
          <w:sz w:val="22"/>
          <w:szCs w:val="22"/>
        </w:rPr>
        <w:t xml:space="preserve"> </w:t>
      </w:r>
      <w:r w:rsidR="001C22CF">
        <w:rPr>
          <w:rFonts w:ascii="Arial" w:hAnsi="Arial" w:cs="Arial"/>
          <w:sz w:val="22"/>
          <w:szCs w:val="22"/>
        </w:rPr>
        <w:t>500/</w:t>
      </w:r>
      <w:r w:rsidRPr="000961AD">
        <w:rPr>
          <w:rFonts w:ascii="Arial" w:hAnsi="Arial" w:cs="Arial"/>
          <w:sz w:val="22"/>
          <w:szCs w:val="22"/>
        </w:rPr>
        <w:t>50 micrograms given twice daily, demonstrated improvements from baseline in lung function. Adjusted mean treatment increases from baseline in weighted mean 0-24 hours FEV</w:t>
      </w:r>
      <w:r w:rsidRPr="000961AD">
        <w:rPr>
          <w:rFonts w:ascii="Arial" w:hAnsi="Arial" w:cs="Arial"/>
          <w:sz w:val="22"/>
          <w:szCs w:val="22"/>
          <w:vertAlign w:val="subscript"/>
        </w:rPr>
        <w:t>1</w:t>
      </w:r>
      <w:r w:rsidRPr="000961AD">
        <w:rPr>
          <w:rFonts w:ascii="Arial" w:hAnsi="Arial" w:cs="Arial"/>
          <w:sz w:val="22"/>
          <w:szCs w:val="22"/>
        </w:rPr>
        <w:t xml:space="preserve"> of 130 mL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Pr="000961AD">
        <w:rPr>
          <w:rFonts w:ascii="Arial" w:hAnsi="Arial" w:cs="Arial"/>
          <w:sz w:val="22"/>
          <w:szCs w:val="22"/>
        </w:rPr>
        <w:t>) and 108 mL (FP/</w:t>
      </w:r>
      <w:proofErr w:type="spellStart"/>
      <w:r w:rsidRPr="000961AD">
        <w:rPr>
          <w:rFonts w:ascii="Arial" w:hAnsi="Arial" w:cs="Arial"/>
          <w:sz w:val="22"/>
          <w:szCs w:val="22"/>
        </w:rPr>
        <w:t>salmeterol</w:t>
      </w:r>
      <w:proofErr w:type="spellEnd"/>
      <w:r w:rsidRPr="000961AD">
        <w:rPr>
          <w:rFonts w:ascii="Arial" w:hAnsi="Arial" w:cs="Arial"/>
          <w:sz w:val="22"/>
          <w:szCs w:val="22"/>
        </w:rPr>
        <w:t xml:space="preserve">) demonstrated an overall improvement in lung function over 24 hours for both treatments. The adjusted mean treatment difference of 22 mL (95% CI: -18, 63mL) between the groups was not statistically significant (p=0.282). A clinically meaningful mean improvement was achieved for mean change from baseline in SGRQ Total Score after 12 weeks of treatment for the </w:t>
      </w:r>
      <w:r w:rsidR="004A432A" w:rsidRPr="00217091">
        <w:rPr>
          <w:rFonts w:ascii="Arial" w:hAnsi="Arial" w:cs="Arial"/>
          <w:sz w:val="22"/>
          <w:szCs w:val="22"/>
        </w:rPr>
        <w:t xml:space="preserve">fluticasone </w:t>
      </w:r>
      <w:proofErr w:type="spellStart"/>
      <w:r w:rsidR="004A432A" w:rsidRPr="00217091">
        <w:rPr>
          <w:rFonts w:ascii="Arial" w:hAnsi="Arial" w:cs="Arial"/>
          <w:sz w:val="22"/>
          <w:szCs w:val="22"/>
        </w:rPr>
        <w:t>furoate</w:t>
      </w:r>
      <w:proofErr w:type="spellEnd"/>
      <w:r w:rsidR="004A432A" w:rsidRPr="00217091">
        <w:rPr>
          <w:rFonts w:ascii="Arial" w:hAnsi="Arial" w:cs="Arial"/>
          <w:sz w:val="22"/>
          <w:szCs w:val="22"/>
        </w:rPr>
        <w:t>/</w:t>
      </w:r>
      <w:proofErr w:type="spellStart"/>
      <w:r w:rsidR="004A432A" w:rsidRPr="00217091">
        <w:rPr>
          <w:rFonts w:ascii="Arial" w:hAnsi="Arial" w:cs="Arial"/>
          <w:sz w:val="22"/>
          <w:szCs w:val="22"/>
        </w:rPr>
        <w:t>vilanterol</w:t>
      </w:r>
      <w:proofErr w:type="spellEnd"/>
      <w:r w:rsidR="004A432A">
        <w:rPr>
          <w:rFonts w:ascii="Arial" w:hAnsi="Arial" w:cs="Arial"/>
          <w:sz w:val="22"/>
          <w:szCs w:val="22"/>
        </w:rPr>
        <w:t xml:space="preserve"> </w:t>
      </w:r>
      <w:r w:rsidRPr="000961AD">
        <w:rPr>
          <w:rFonts w:ascii="Arial" w:hAnsi="Arial" w:cs="Arial"/>
          <w:sz w:val="22"/>
          <w:szCs w:val="22"/>
        </w:rPr>
        <w:t xml:space="preserve">100 micrograms/25 micrograms once daily treatment group (-4.78) but not for the </w:t>
      </w:r>
      <w:r w:rsidR="001C22CF">
        <w:rPr>
          <w:rFonts w:ascii="Arial" w:hAnsi="Arial" w:cs="Arial"/>
          <w:sz w:val="22"/>
          <w:szCs w:val="22"/>
        </w:rPr>
        <w:t>FP/</w:t>
      </w:r>
      <w:proofErr w:type="spellStart"/>
      <w:r w:rsidRPr="000961AD">
        <w:rPr>
          <w:rFonts w:ascii="Arial" w:hAnsi="Arial" w:cs="Arial"/>
          <w:sz w:val="22"/>
          <w:szCs w:val="22"/>
        </w:rPr>
        <w:t>salmeterol</w:t>
      </w:r>
      <w:proofErr w:type="spellEnd"/>
      <w:r w:rsidRPr="000961AD">
        <w:rPr>
          <w:rFonts w:ascii="Arial" w:hAnsi="Arial" w:cs="Arial"/>
          <w:sz w:val="22"/>
          <w:szCs w:val="22"/>
        </w:rPr>
        <w:t xml:space="preserve"> 500</w:t>
      </w:r>
      <w:r w:rsidR="001C22CF">
        <w:rPr>
          <w:rFonts w:ascii="Arial" w:hAnsi="Arial" w:cs="Arial"/>
          <w:sz w:val="22"/>
          <w:szCs w:val="22"/>
        </w:rPr>
        <w:t>/50</w:t>
      </w:r>
      <w:r w:rsidRPr="000961AD">
        <w:rPr>
          <w:rFonts w:ascii="Arial" w:hAnsi="Arial" w:cs="Arial"/>
          <w:sz w:val="22"/>
          <w:szCs w:val="22"/>
        </w:rPr>
        <w:t xml:space="preserve"> twice daily treatment group (-3.29). The adjusted mean treatment difference was -1.50 (p=0.215. 95% CI (-3.86, 0.87).</w:t>
      </w:r>
    </w:p>
    <w:p w:rsidR="0077380F" w:rsidRPr="007835FF" w:rsidRDefault="0077380F" w:rsidP="000961AD">
      <w:pPr>
        <w:spacing w:after="240"/>
        <w:jc w:val="both"/>
        <w:rPr>
          <w:rFonts w:ascii="Arial" w:hAnsi="Arial" w:cs="Arial"/>
          <w:b/>
          <w:sz w:val="22"/>
          <w:szCs w:val="22"/>
        </w:rPr>
      </w:pPr>
      <w:r w:rsidRPr="007835FF">
        <w:rPr>
          <w:rFonts w:ascii="Arial" w:hAnsi="Arial" w:cs="Arial"/>
          <w:b/>
          <w:sz w:val="22"/>
          <w:szCs w:val="22"/>
        </w:rPr>
        <w:t>INDICATIONS</w:t>
      </w:r>
    </w:p>
    <w:p w:rsidR="0085010C" w:rsidRPr="00217091" w:rsidRDefault="0085010C" w:rsidP="0085010C">
      <w:pPr>
        <w:spacing w:after="240"/>
        <w:rPr>
          <w:rFonts w:ascii="Arial" w:eastAsia="MS Mincho" w:hAnsi="Arial" w:cs="Arial"/>
          <w:b/>
          <w:sz w:val="22"/>
          <w:lang w:val="en-US" w:eastAsia="en-US"/>
        </w:rPr>
      </w:pPr>
      <w:r w:rsidRPr="00217091">
        <w:rPr>
          <w:rFonts w:ascii="Arial" w:eastAsia="MS Mincho" w:hAnsi="Arial" w:cs="Arial"/>
          <w:b/>
          <w:sz w:val="22"/>
          <w:lang w:val="en-US" w:eastAsia="en-US"/>
        </w:rPr>
        <w:t>COPD</w:t>
      </w:r>
    </w:p>
    <w:p w:rsidR="0085010C" w:rsidRDefault="0085010C" w:rsidP="0085010C">
      <w:pPr>
        <w:autoSpaceDE w:val="0"/>
        <w:autoSpaceDN w:val="0"/>
        <w:adjustRightInd w:val="0"/>
        <w:spacing w:after="240"/>
        <w:rPr>
          <w:rFonts w:ascii="Arial" w:hAnsi="Arial" w:cs="Arial"/>
          <w:sz w:val="22"/>
          <w:szCs w:val="22"/>
        </w:rPr>
      </w:pPr>
      <w:proofErr w:type="spellStart"/>
      <w:r>
        <w:rPr>
          <w:rFonts w:ascii="Arial" w:hAnsi="Arial" w:cs="Arial"/>
          <w:sz w:val="22"/>
          <w:szCs w:val="22"/>
        </w:rPr>
        <w:t>Breo</w:t>
      </w:r>
      <w:proofErr w:type="spellEnd"/>
      <w:r w:rsidRPr="00C10269">
        <w:rPr>
          <w:rFonts w:ascii="Arial" w:hAnsi="Arial" w:cs="Arial"/>
          <w:sz w:val="22"/>
          <w:szCs w:val="22"/>
        </w:rPr>
        <w:t xml:space="preserve"> </w:t>
      </w:r>
      <w:proofErr w:type="spellStart"/>
      <w:r w:rsidRPr="00C10269">
        <w:rPr>
          <w:rFonts w:ascii="Arial" w:hAnsi="Arial" w:cs="Arial"/>
          <w:sz w:val="22"/>
          <w:szCs w:val="22"/>
        </w:rPr>
        <w:t>Ellipta</w:t>
      </w:r>
      <w:proofErr w:type="spellEnd"/>
      <w:r w:rsidRPr="00C10269">
        <w:rPr>
          <w:rFonts w:ascii="Arial" w:hAnsi="Arial" w:cs="Arial"/>
          <w:sz w:val="22"/>
          <w:szCs w:val="22"/>
        </w:rPr>
        <w:t xml:space="preserve"> is indicated for symptomatic treatment of patients with COPD with a FEV</w:t>
      </w:r>
      <w:r w:rsidRPr="004C328C">
        <w:rPr>
          <w:rFonts w:ascii="Arial" w:hAnsi="Arial" w:cs="Arial"/>
          <w:sz w:val="22"/>
          <w:szCs w:val="22"/>
          <w:vertAlign w:val="subscript"/>
        </w:rPr>
        <w:t>1</w:t>
      </w:r>
      <w:r w:rsidRPr="00C10269">
        <w:rPr>
          <w:rFonts w:ascii="Arial" w:hAnsi="Arial" w:cs="Arial"/>
          <w:sz w:val="22"/>
          <w:szCs w:val="22"/>
        </w:rPr>
        <w:t xml:space="preserve"> &lt;70% predicted normal (post-bronchodilator) in patients with an exacerbation history</w:t>
      </w:r>
      <w:r>
        <w:rPr>
          <w:rFonts w:ascii="Arial" w:hAnsi="Arial" w:cs="Arial"/>
          <w:sz w:val="22"/>
          <w:szCs w:val="22"/>
        </w:rPr>
        <w:t xml:space="preserve"> despite regular bronchodilator therapy.</w:t>
      </w:r>
    </w:p>
    <w:p w:rsidR="003D65C7" w:rsidRPr="00C10269" w:rsidRDefault="003D65C7" w:rsidP="0085010C">
      <w:pPr>
        <w:autoSpaceDE w:val="0"/>
        <w:autoSpaceDN w:val="0"/>
        <w:adjustRightInd w:val="0"/>
        <w:spacing w:after="240"/>
        <w:rPr>
          <w:rFonts w:ascii="Arial" w:hAnsi="Arial" w:cs="Arial"/>
          <w:sz w:val="22"/>
          <w:szCs w:val="22"/>
        </w:rPr>
      </w:pP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is </w:t>
      </w:r>
      <w:r w:rsidRPr="003D65C7">
        <w:rPr>
          <w:rFonts w:ascii="Arial" w:hAnsi="Arial" w:cs="Arial"/>
          <w:sz w:val="22"/>
          <w:szCs w:val="22"/>
        </w:rPr>
        <w:t>not indicated for the initiation of bronchodilator therapy in COPD.</w:t>
      </w:r>
    </w:p>
    <w:p w:rsidR="00D05EDE" w:rsidRPr="00217091" w:rsidRDefault="00217091" w:rsidP="000961AD">
      <w:pPr>
        <w:spacing w:after="240"/>
        <w:rPr>
          <w:rFonts w:ascii="Arial" w:eastAsia="MS Mincho" w:hAnsi="Arial" w:cs="Arial"/>
          <w:b/>
          <w:sz w:val="22"/>
          <w:lang w:val="en-US" w:eastAsia="en-US"/>
        </w:rPr>
      </w:pPr>
      <w:r w:rsidRPr="00217091">
        <w:rPr>
          <w:rFonts w:ascii="Arial" w:eastAsia="MS Mincho" w:hAnsi="Arial" w:cs="Arial"/>
          <w:b/>
          <w:sz w:val="22"/>
          <w:lang w:val="en-US" w:eastAsia="en-US"/>
        </w:rPr>
        <w:t>Asthma</w:t>
      </w:r>
    </w:p>
    <w:p w:rsidR="00217091" w:rsidRDefault="002F614C" w:rsidP="007E4F31">
      <w:pPr>
        <w:autoSpaceDE w:val="0"/>
        <w:autoSpaceDN w:val="0"/>
        <w:adjustRightInd w:val="0"/>
        <w:spacing w:after="240"/>
        <w:rPr>
          <w:rFonts w:ascii="Arial" w:hAnsi="Arial" w:cs="Arial"/>
          <w:sz w:val="22"/>
          <w:szCs w:val="22"/>
        </w:rPr>
      </w:pPr>
      <w:proofErr w:type="spellStart"/>
      <w:r>
        <w:rPr>
          <w:rFonts w:ascii="Arial" w:hAnsi="Arial" w:cs="Arial"/>
          <w:sz w:val="22"/>
          <w:szCs w:val="22"/>
        </w:rPr>
        <w:t>Breo</w:t>
      </w:r>
      <w:proofErr w:type="spellEnd"/>
      <w:r w:rsidR="00217091" w:rsidRPr="00043D81">
        <w:rPr>
          <w:rFonts w:ascii="Arial" w:hAnsi="Arial" w:cs="Arial"/>
          <w:sz w:val="22"/>
          <w:szCs w:val="22"/>
        </w:rPr>
        <w:t xml:space="preserve"> </w:t>
      </w:r>
      <w:proofErr w:type="spellStart"/>
      <w:r w:rsidR="00217091">
        <w:rPr>
          <w:rFonts w:ascii="Arial" w:hAnsi="Arial" w:cs="Arial"/>
          <w:sz w:val="22"/>
          <w:szCs w:val="22"/>
        </w:rPr>
        <w:t>Ellipta</w:t>
      </w:r>
      <w:proofErr w:type="spellEnd"/>
      <w:r w:rsidR="00217091">
        <w:rPr>
          <w:rFonts w:ascii="Arial" w:hAnsi="Arial" w:cs="Arial"/>
          <w:sz w:val="22"/>
          <w:szCs w:val="22"/>
        </w:rPr>
        <w:t xml:space="preserve"> </w:t>
      </w:r>
      <w:r w:rsidR="00217091" w:rsidRPr="00043D81">
        <w:rPr>
          <w:rFonts w:ascii="Arial" w:hAnsi="Arial" w:cs="Arial"/>
          <w:sz w:val="22"/>
          <w:szCs w:val="22"/>
        </w:rPr>
        <w:t xml:space="preserve">is indicated in the regular treatment </w:t>
      </w:r>
      <w:r w:rsidR="007E4F31">
        <w:rPr>
          <w:rFonts w:ascii="Arial" w:hAnsi="Arial" w:cs="Arial"/>
          <w:sz w:val="22"/>
          <w:szCs w:val="22"/>
        </w:rPr>
        <w:t xml:space="preserve">of moderate to severe asthma </w:t>
      </w:r>
      <w:r w:rsidR="001D3821">
        <w:rPr>
          <w:rFonts w:ascii="Arial" w:hAnsi="Arial" w:cs="Arial"/>
          <w:sz w:val="22"/>
          <w:szCs w:val="22"/>
        </w:rPr>
        <w:t xml:space="preserve">in patients </w:t>
      </w:r>
      <w:r w:rsidR="007E4F31">
        <w:rPr>
          <w:rFonts w:ascii="Arial" w:hAnsi="Arial" w:cs="Arial"/>
          <w:sz w:val="22"/>
          <w:szCs w:val="22"/>
        </w:rPr>
        <w:t xml:space="preserve">who require </w:t>
      </w:r>
      <w:r w:rsidR="001D3821">
        <w:rPr>
          <w:rFonts w:ascii="Arial" w:hAnsi="Arial" w:cs="Arial"/>
          <w:sz w:val="22"/>
          <w:szCs w:val="22"/>
        </w:rPr>
        <w:t xml:space="preserve">a </w:t>
      </w:r>
      <w:r w:rsidR="007E4F31">
        <w:rPr>
          <w:rFonts w:ascii="Arial" w:hAnsi="Arial" w:cs="Arial"/>
          <w:sz w:val="22"/>
          <w:szCs w:val="22"/>
        </w:rPr>
        <w:t>medium to high dose inhaled corticosteroid combined with a long-acting beta-2-agonist.</w:t>
      </w:r>
    </w:p>
    <w:p w:rsidR="00C10269" w:rsidRDefault="0085010C" w:rsidP="000961AD">
      <w:pPr>
        <w:spacing w:after="240"/>
        <w:jc w:val="both"/>
        <w:rPr>
          <w:rFonts w:ascii="Arial" w:hAnsi="Arial" w:cs="Arial"/>
          <w:sz w:val="22"/>
          <w:szCs w:val="24"/>
        </w:rPr>
      </w:pPr>
      <w:proofErr w:type="spellStart"/>
      <w:r>
        <w:rPr>
          <w:rFonts w:ascii="Arial" w:hAnsi="Arial" w:cs="Arial"/>
          <w:sz w:val="22"/>
          <w:szCs w:val="24"/>
        </w:rPr>
        <w:t>Vilanterol</w:t>
      </w:r>
      <w:proofErr w:type="spellEnd"/>
      <w:r>
        <w:rPr>
          <w:rFonts w:ascii="Arial" w:hAnsi="Arial" w:cs="Arial"/>
          <w:sz w:val="22"/>
          <w:szCs w:val="24"/>
        </w:rPr>
        <w:t xml:space="preserve">, an active ingredient in </w:t>
      </w: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Pr>
          <w:rFonts w:ascii="Arial" w:hAnsi="Arial" w:cs="Arial"/>
          <w:sz w:val="22"/>
          <w:szCs w:val="24"/>
        </w:rPr>
        <w:t xml:space="preserve">, is a long-acting beta-2-agonist (LABA). </w:t>
      </w:r>
      <w:r w:rsidR="007F2685">
        <w:rPr>
          <w:rFonts w:ascii="Arial" w:hAnsi="Arial" w:cs="Arial"/>
          <w:sz w:val="22"/>
          <w:szCs w:val="24"/>
        </w:rPr>
        <w:t>A class effect of</w:t>
      </w:r>
      <w:r w:rsidR="00016F0D">
        <w:rPr>
          <w:rFonts w:ascii="Arial" w:hAnsi="Arial" w:cs="Arial"/>
          <w:sz w:val="22"/>
          <w:szCs w:val="24"/>
        </w:rPr>
        <w:t xml:space="preserve"> </w:t>
      </w:r>
      <w:r w:rsidR="00016F0D" w:rsidRPr="007E4F31">
        <w:rPr>
          <w:rFonts w:ascii="Arial" w:hAnsi="Arial" w:cs="Arial"/>
          <w:sz w:val="22"/>
          <w:szCs w:val="24"/>
        </w:rPr>
        <w:t>all</w:t>
      </w:r>
      <w:r w:rsidR="007F2685" w:rsidRPr="007E4F31">
        <w:rPr>
          <w:rFonts w:ascii="Arial" w:hAnsi="Arial" w:cs="Arial"/>
          <w:sz w:val="22"/>
          <w:szCs w:val="24"/>
        </w:rPr>
        <w:t xml:space="preserve"> LABAs can be an</w:t>
      </w:r>
      <w:r w:rsidR="007F2685">
        <w:rPr>
          <w:rFonts w:ascii="Arial" w:hAnsi="Arial" w:cs="Arial"/>
          <w:sz w:val="22"/>
          <w:szCs w:val="24"/>
        </w:rPr>
        <w:t xml:space="preserve"> increased risk of </w:t>
      </w:r>
      <w:r w:rsidR="000D62DD">
        <w:rPr>
          <w:rFonts w:ascii="Arial" w:hAnsi="Arial" w:cs="Arial"/>
          <w:sz w:val="22"/>
          <w:szCs w:val="24"/>
        </w:rPr>
        <w:t>asthma death (see Precautions).</w:t>
      </w:r>
    </w:p>
    <w:p w:rsidR="0077380F" w:rsidRPr="007835FF" w:rsidRDefault="0077380F" w:rsidP="000961AD">
      <w:pPr>
        <w:spacing w:after="240"/>
        <w:jc w:val="both"/>
        <w:rPr>
          <w:rFonts w:ascii="Arial" w:hAnsi="Arial" w:cs="Arial"/>
          <w:b/>
          <w:sz w:val="22"/>
          <w:szCs w:val="22"/>
        </w:rPr>
      </w:pPr>
      <w:r w:rsidRPr="007835FF">
        <w:rPr>
          <w:rFonts w:ascii="Arial" w:hAnsi="Arial" w:cs="Arial"/>
          <w:b/>
          <w:sz w:val="22"/>
          <w:szCs w:val="22"/>
        </w:rPr>
        <w:t>CONTRAINDICATIONS</w:t>
      </w:r>
    </w:p>
    <w:p w:rsidR="00D05EDE" w:rsidRPr="00217091" w:rsidRDefault="00D05EDE" w:rsidP="000961AD">
      <w:pPr>
        <w:spacing w:after="240"/>
        <w:rPr>
          <w:rFonts w:ascii="Arial" w:hAnsi="Arial" w:cs="Arial"/>
          <w:sz w:val="22"/>
          <w:szCs w:val="24"/>
        </w:rPr>
      </w:pPr>
      <w:r w:rsidRPr="00217091">
        <w:rPr>
          <w:rFonts w:ascii="Arial" w:hAnsi="Arial" w:cs="Arial"/>
          <w:sz w:val="22"/>
          <w:szCs w:val="24"/>
        </w:rPr>
        <w:t xml:space="preserve">Fluticasone </w:t>
      </w:r>
      <w:proofErr w:type="spellStart"/>
      <w:r w:rsidRPr="00217091">
        <w:rPr>
          <w:rFonts w:ascii="Arial" w:hAnsi="Arial" w:cs="Arial"/>
          <w:sz w:val="22"/>
          <w:szCs w:val="24"/>
        </w:rPr>
        <w:t>furoate</w:t>
      </w:r>
      <w:proofErr w:type="spellEnd"/>
      <w:r w:rsidRPr="00217091">
        <w:rPr>
          <w:rFonts w:ascii="Arial" w:hAnsi="Arial" w:cs="Arial"/>
          <w:sz w:val="22"/>
          <w:szCs w:val="24"/>
        </w:rPr>
        <w:t>/</w:t>
      </w:r>
      <w:proofErr w:type="spellStart"/>
      <w:r w:rsidRPr="00217091">
        <w:rPr>
          <w:rFonts w:ascii="Arial" w:hAnsi="Arial" w:cs="Arial"/>
          <w:sz w:val="22"/>
          <w:szCs w:val="24"/>
        </w:rPr>
        <w:t>vilanterol</w:t>
      </w:r>
      <w:proofErr w:type="spellEnd"/>
      <w:r w:rsidRPr="00217091">
        <w:rPr>
          <w:rFonts w:ascii="Arial" w:hAnsi="Arial" w:cs="Arial"/>
          <w:sz w:val="22"/>
          <w:szCs w:val="24"/>
        </w:rPr>
        <w:t xml:space="preserve"> is contraindicated in patients with severe milk-protein allergy or who have demonstrated hypersensitivity to either fluticasone </w:t>
      </w:r>
      <w:proofErr w:type="spellStart"/>
      <w:r w:rsidRPr="00217091">
        <w:rPr>
          <w:rFonts w:ascii="Arial" w:hAnsi="Arial" w:cs="Arial"/>
          <w:sz w:val="22"/>
          <w:szCs w:val="24"/>
        </w:rPr>
        <w:t>furoate</w:t>
      </w:r>
      <w:proofErr w:type="spellEnd"/>
      <w:r w:rsidRPr="00217091">
        <w:rPr>
          <w:rFonts w:ascii="Arial" w:hAnsi="Arial" w:cs="Arial"/>
          <w:sz w:val="22"/>
          <w:szCs w:val="24"/>
        </w:rPr>
        <w:t xml:space="preserve">, </w:t>
      </w:r>
      <w:proofErr w:type="spellStart"/>
      <w:r w:rsidRPr="00217091">
        <w:rPr>
          <w:rFonts w:ascii="Arial" w:hAnsi="Arial" w:cs="Arial"/>
          <w:sz w:val="22"/>
          <w:szCs w:val="24"/>
        </w:rPr>
        <w:t>vilanterol</w:t>
      </w:r>
      <w:proofErr w:type="spellEnd"/>
      <w:r w:rsidRPr="00217091">
        <w:rPr>
          <w:rFonts w:ascii="Arial" w:hAnsi="Arial" w:cs="Arial"/>
          <w:sz w:val="22"/>
          <w:szCs w:val="24"/>
        </w:rPr>
        <w:t xml:space="preserve"> or any of the excipients. </w:t>
      </w:r>
    </w:p>
    <w:p w:rsidR="0077380F" w:rsidRPr="007835FF" w:rsidRDefault="0077380F" w:rsidP="000961AD">
      <w:pPr>
        <w:spacing w:after="240"/>
        <w:jc w:val="both"/>
        <w:rPr>
          <w:rFonts w:ascii="Arial" w:hAnsi="Arial" w:cs="Arial"/>
          <w:b/>
          <w:sz w:val="22"/>
          <w:szCs w:val="22"/>
        </w:rPr>
      </w:pPr>
      <w:r w:rsidRPr="007835FF">
        <w:rPr>
          <w:rFonts w:ascii="Arial" w:hAnsi="Arial" w:cs="Arial"/>
          <w:b/>
          <w:sz w:val="22"/>
          <w:szCs w:val="22"/>
        </w:rPr>
        <w:t>PRECAUTIONS</w:t>
      </w:r>
    </w:p>
    <w:p w:rsidR="00B2342B" w:rsidRPr="00B2342B" w:rsidRDefault="00B2342B" w:rsidP="00B2342B">
      <w:pPr>
        <w:keepNext/>
        <w:spacing w:after="120"/>
        <w:rPr>
          <w:rFonts w:ascii="Arial" w:hAnsi="Arial" w:cs="Arial"/>
          <w:sz w:val="22"/>
          <w:szCs w:val="24"/>
          <w:u w:val="single"/>
        </w:rPr>
      </w:pPr>
      <w:r w:rsidRPr="00B2342B">
        <w:rPr>
          <w:rFonts w:ascii="Arial" w:hAnsi="Arial" w:cs="Arial"/>
          <w:sz w:val="22"/>
          <w:szCs w:val="24"/>
          <w:u w:val="single"/>
        </w:rPr>
        <w:t>Precautions for use</w:t>
      </w:r>
    </w:p>
    <w:p w:rsidR="007F2685" w:rsidRDefault="007F2685" w:rsidP="007F2685">
      <w:pPr>
        <w:spacing w:after="240"/>
        <w:rPr>
          <w:rFonts w:ascii="Arial" w:hAnsi="Arial" w:cs="Arial"/>
          <w:sz w:val="22"/>
          <w:szCs w:val="24"/>
        </w:rPr>
      </w:pPr>
      <w:proofErr w:type="spellStart"/>
      <w:r>
        <w:rPr>
          <w:rFonts w:ascii="Arial" w:hAnsi="Arial" w:cs="Arial"/>
          <w:sz w:val="22"/>
          <w:szCs w:val="24"/>
        </w:rPr>
        <w:t>Vilanterol</w:t>
      </w:r>
      <w:proofErr w:type="spellEnd"/>
      <w:r>
        <w:rPr>
          <w:rFonts w:ascii="Arial" w:hAnsi="Arial" w:cs="Arial"/>
          <w:sz w:val="22"/>
          <w:szCs w:val="24"/>
        </w:rPr>
        <w:t xml:space="preserve">, an active ingredient in </w:t>
      </w: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Pr>
          <w:rFonts w:ascii="Arial" w:hAnsi="Arial" w:cs="Arial"/>
          <w:sz w:val="22"/>
          <w:szCs w:val="24"/>
        </w:rPr>
        <w:t xml:space="preserve">, is a long-acting beta-2-agonist (LABA). Limited post-marketing data are available for </w:t>
      </w:r>
      <w:proofErr w:type="spellStart"/>
      <w:r>
        <w:rPr>
          <w:rFonts w:ascii="Arial" w:hAnsi="Arial" w:cs="Arial"/>
          <w:sz w:val="22"/>
          <w:szCs w:val="24"/>
        </w:rPr>
        <w:t>vilanterol</w:t>
      </w:r>
      <w:proofErr w:type="spellEnd"/>
      <w:r>
        <w:rPr>
          <w:rFonts w:ascii="Arial" w:hAnsi="Arial" w:cs="Arial"/>
          <w:sz w:val="22"/>
          <w:szCs w:val="24"/>
        </w:rPr>
        <w:t>; however, post-marketing data for other LABAs show that LABAs can be associated with an increased risk of asthma death. This is considere</w:t>
      </w:r>
      <w:r w:rsidR="000D62DD">
        <w:rPr>
          <w:rFonts w:ascii="Arial" w:hAnsi="Arial" w:cs="Arial"/>
          <w:sz w:val="22"/>
          <w:szCs w:val="24"/>
        </w:rPr>
        <w:t>d a class effect of all LABAs.</w:t>
      </w:r>
    </w:p>
    <w:p w:rsidR="004556A2" w:rsidRPr="005E61A1" w:rsidRDefault="007E4F31" w:rsidP="004556A2">
      <w:pPr>
        <w:spacing w:after="240"/>
        <w:rPr>
          <w:rFonts w:ascii="Arial" w:hAnsi="Arial" w:cs="Arial"/>
          <w:sz w:val="22"/>
          <w:szCs w:val="22"/>
        </w:rPr>
      </w:pPr>
      <w:r>
        <w:rPr>
          <w:rFonts w:ascii="Arial" w:hAnsi="Arial" w:cs="Arial"/>
          <w:sz w:val="22"/>
          <w:szCs w:val="24"/>
        </w:rPr>
        <w:t xml:space="preserve">Fluticasone </w:t>
      </w:r>
      <w:proofErr w:type="spellStart"/>
      <w:r>
        <w:rPr>
          <w:rFonts w:ascii="Arial" w:hAnsi="Arial" w:cs="Arial"/>
          <w:sz w:val="22"/>
          <w:szCs w:val="24"/>
        </w:rPr>
        <w:t>furoate</w:t>
      </w:r>
      <w:proofErr w:type="spellEnd"/>
      <w:r>
        <w:rPr>
          <w:rFonts w:ascii="Arial" w:hAnsi="Arial" w:cs="Arial"/>
          <w:sz w:val="22"/>
          <w:szCs w:val="24"/>
        </w:rPr>
        <w:t xml:space="preserve"> 100</w:t>
      </w:r>
      <w:r w:rsidR="00AC40FD">
        <w:rPr>
          <w:rFonts w:ascii="Arial" w:hAnsi="Arial" w:cs="Arial"/>
          <w:sz w:val="22"/>
          <w:szCs w:val="24"/>
        </w:rPr>
        <w:t xml:space="preserve"> micrograms</w:t>
      </w:r>
      <w:r>
        <w:rPr>
          <w:rFonts w:ascii="Arial" w:hAnsi="Arial" w:cs="Arial"/>
          <w:sz w:val="22"/>
          <w:szCs w:val="24"/>
        </w:rPr>
        <w:t xml:space="preserve"> is a medium dose of inhaled corticosteroid and fluticasone </w:t>
      </w:r>
      <w:proofErr w:type="spellStart"/>
      <w:r>
        <w:rPr>
          <w:rFonts w:ascii="Arial" w:hAnsi="Arial" w:cs="Arial"/>
          <w:sz w:val="22"/>
          <w:szCs w:val="24"/>
        </w:rPr>
        <w:t>furoate</w:t>
      </w:r>
      <w:proofErr w:type="spellEnd"/>
      <w:r w:rsidR="001D3821">
        <w:rPr>
          <w:rFonts w:ascii="Arial" w:hAnsi="Arial" w:cs="Arial"/>
          <w:sz w:val="22"/>
          <w:szCs w:val="24"/>
        </w:rPr>
        <w:t xml:space="preserve"> 200</w:t>
      </w:r>
      <w:r w:rsidR="00AC40FD">
        <w:rPr>
          <w:rFonts w:ascii="Arial" w:hAnsi="Arial" w:cs="Arial"/>
          <w:sz w:val="22"/>
          <w:szCs w:val="24"/>
        </w:rPr>
        <w:t xml:space="preserve"> micrograms</w:t>
      </w:r>
      <w:r>
        <w:rPr>
          <w:rFonts w:ascii="Arial" w:hAnsi="Arial" w:cs="Arial"/>
          <w:sz w:val="22"/>
          <w:szCs w:val="24"/>
        </w:rPr>
        <w:t xml:space="preserve"> is a high dose of inhaled corticosteroid.  Medium to high doses of inhaled corticosteroids </w:t>
      </w:r>
      <w:r w:rsidR="00E13152" w:rsidRPr="007D3FA2">
        <w:rPr>
          <w:rFonts w:ascii="Arial" w:hAnsi="Arial" w:cs="Arial"/>
          <w:sz w:val="22"/>
          <w:szCs w:val="24"/>
        </w:rPr>
        <w:t>may</w:t>
      </w:r>
      <w:r>
        <w:rPr>
          <w:rFonts w:ascii="Arial" w:hAnsi="Arial" w:cs="Arial"/>
          <w:sz w:val="22"/>
          <w:szCs w:val="24"/>
        </w:rPr>
        <w:t xml:space="preserve"> cause system</w:t>
      </w:r>
      <w:r w:rsidR="001D3821">
        <w:rPr>
          <w:rFonts w:ascii="Arial" w:hAnsi="Arial" w:cs="Arial"/>
          <w:sz w:val="22"/>
          <w:szCs w:val="24"/>
        </w:rPr>
        <w:t>ic</w:t>
      </w:r>
      <w:r>
        <w:rPr>
          <w:rFonts w:ascii="Arial" w:hAnsi="Arial" w:cs="Arial"/>
          <w:sz w:val="22"/>
          <w:szCs w:val="24"/>
        </w:rPr>
        <w:t xml:space="preserve"> effects. </w:t>
      </w:r>
      <w:r w:rsidRPr="006756C7">
        <w:rPr>
          <w:rFonts w:ascii="Arial" w:hAnsi="Arial" w:cs="Arial"/>
          <w:sz w:val="22"/>
          <w:szCs w:val="24"/>
        </w:rPr>
        <w:t xml:space="preserve">These include growth </w:t>
      </w:r>
      <w:r w:rsidRPr="006756C7">
        <w:rPr>
          <w:rFonts w:ascii="Arial" w:hAnsi="Arial" w:cs="Arial"/>
          <w:sz w:val="22"/>
          <w:szCs w:val="24"/>
        </w:rPr>
        <w:lastRenderedPageBreak/>
        <w:t>retardation in adolescents (see below under Precautions subsection ‘Systemic corticosteroid effects’).</w:t>
      </w:r>
    </w:p>
    <w:p w:rsidR="007F2685" w:rsidRDefault="007F2685" w:rsidP="007F2685">
      <w:pPr>
        <w:spacing w:after="240"/>
        <w:rPr>
          <w:rFonts w:ascii="Arial" w:hAnsi="Arial" w:cs="Arial"/>
          <w:sz w:val="22"/>
          <w:szCs w:val="22"/>
        </w:rPr>
      </w:pP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should only be used for patients not adequately controlled on a long-term, asthma control medication, such as an inhaled corticosteroid.  Patients should be assessed at regular intervals.  </w:t>
      </w:r>
      <w:r w:rsidRPr="004A2DE9">
        <w:rPr>
          <w:rFonts w:ascii="Arial" w:hAnsi="Arial" w:cs="Arial"/>
          <w:sz w:val="22"/>
          <w:szCs w:val="22"/>
        </w:rPr>
        <w:t xml:space="preserve">The dose should be titrated to the lowest dose at which effective control of symptoms is maintained. </w:t>
      </w:r>
      <w:r>
        <w:rPr>
          <w:rFonts w:ascii="Arial" w:hAnsi="Arial" w:cs="Arial"/>
          <w:sz w:val="22"/>
          <w:szCs w:val="22"/>
        </w:rPr>
        <w:t xml:space="preserve"> In patients whose asthma is well controlled and stable with the lowest strength of </w:t>
      </w: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the next step should consider cessation of </w:t>
      </w: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and transfer to maintenance therapy with an</w:t>
      </w:r>
      <w:r w:rsidR="000658B9">
        <w:rPr>
          <w:rFonts w:ascii="Arial" w:hAnsi="Arial" w:cs="Arial"/>
          <w:sz w:val="22"/>
          <w:szCs w:val="22"/>
        </w:rPr>
        <w:t xml:space="preserve"> inhaled corticosteroid alone.</w:t>
      </w:r>
    </w:p>
    <w:p w:rsidR="00B2342B" w:rsidRDefault="004961DC" w:rsidP="00B2342B">
      <w:pPr>
        <w:keepNext/>
        <w:spacing w:after="120"/>
        <w:rPr>
          <w:rFonts w:ascii="Arial" w:hAnsi="Arial" w:cs="Arial"/>
          <w:sz w:val="22"/>
          <w:szCs w:val="24"/>
        </w:rPr>
      </w:pP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sidR="00B2342B" w:rsidRPr="00217091">
        <w:rPr>
          <w:rFonts w:ascii="Arial" w:hAnsi="Arial" w:cs="Arial"/>
          <w:sz w:val="22"/>
          <w:szCs w:val="24"/>
        </w:rPr>
        <w:t xml:space="preserve"> </w:t>
      </w:r>
      <w:r w:rsidR="00B2342B" w:rsidRPr="008153CC">
        <w:rPr>
          <w:rFonts w:ascii="Arial" w:hAnsi="Arial" w:cs="Arial"/>
          <w:sz w:val="22"/>
          <w:szCs w:val="24"/>
        </w:rPr>
        <w:t xml:space="preserve">should not be used more often than recommended, at higher doses than recommended, or in conjunction with other medicines containing LABA, as an overdose may result. Clinically significant cardiovascular effects and fatalities have been reported in association with excessive use of inhaled sympathomimetic drugs. Patients using </w:t>
      </w: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sidR="00B2342B" w:rsidRPr="00217091">
        <w:rPr>
          <w:rFonts w:ascii="Arial" w:hAnsi="Arial" w:cs="Arial"/>
          <w:sz w:val="22"/>
          <w:szCs w:val="24"/>
        </w:rPr>
        <w:t xml:space="preserve"> </w:t>
      </w:r>
      <w:r w:rsidR="00B2342B" w:rsidRPr="008153CC">
        <w:rPr>
          <w:rFonts w:ascii="Arial" w:hAnsi="Arial" w:cs="Arial"/>
          <w:sz w:val="22"/>
          <w:szCs w:val="24"/>
        </w:rPr>
        <w:t xml:space="preserve">should not use another medicine containing a LABA (e.g., </w:t>
      </w:r>
      <w:proofErr w:type="spellStart"/>
      <w:r w:rsidR="00B2342B" w:rsidRPr="008153CC">
        <w:rPr>
          <w:rFonts w:ascii="Arial" w:hAnsi="Arial" w:cs="Arial"/>
          <w:sz w:val="22"/>
          <w:szCs w:val="24"/>
        </w:rPr>
        <w:t>salmeterol</w:t>
      </w:r>
      <w:proofErr w:type="spellEnd"/>
      <w:r w:rsidR="00B2342B" w:rsidRPr="008153CC">
        <w:rPr>
          <w:rFonts w:ascii="Arial" w:hAnsi="Arial" w:cs="Arial"/>
          <w:sz w:val="22"/>
          <w:szCs w:val="24"/>
        </w:rPr>
        <w:t xml:space="preserve">, </w:t>
      </w:r>
      <w:proofErr w:type="spellStart"/>
      <w:r w:rsidR="00F92B41">
        <w:rPr>
          <w:rFonts w:ascii="Arial" w:hAnsi="Arial" w:cs="Arial"/>
          <w:sz w:val="22"/>
          <w:szCs w:val="24"/>
        </w:rPr>
        <w:t>e</w:t>
      </w:r>
      <w:r w:rsidR="00B2342B" w:rsidRPr="008153CC">
        <w:rPr>
          <w:rFonts w:ascii="Arial" w:hAnsi="Arial" w:cs="Arial"/>
          <w:sz w:val="22"/>
          <w:szCs w:val="24"/>
        </w:rPr>
        <w:t>formoterol</w:t>
      </w:r>
      <w:proofErr w:type="spellEnd"/>
      <w:r w:rsidR="00B2342B" w:rsidRPr="008153CC">
        <w:rPr>
          <w:rFonts w:ascii="Arial" w:hAnsi="Arial" w:cs="Arial"/>
          <w:sz w:val="22"/>
          <w:szCs w:val="24"/>
        </w:rPr>
        <w:t xml:space="preserve">, </w:t>
      </w:r>
      <w:proofErr w:type="spellStart"/>
      <w:r w:rsidR="00B2342B" w:rsidRPr="008153CC">
        <w:rPr>
          <w:rFonts w:ascii="Arial" w:hAnsi="Arial" w:cs="Arial"/>
          <w:sz w:val="22"/>
          <w:szCs w:val="24"/>
        </w:rPr>
        <w:t>indacaterol</w:t>
      </w:r>
      <w:proofErr w:type="spellEnd"/>
      <w:r w:rsidR="00B2342B" w:rsidRPr="008153CC">
        <w:rPr>
          <w:rFonts w:ascii="Arial" w:hAnsi="Arial" w:cs="Arial"/>
          <w:sz w:val="22"/>
          <w:szCs w:val="24"/>
        </w:rPr>
        <w:t>) for any reason.</w:t>
      </w:r>
    </w:p>
    <w:p w:rsidR="001D3821" w:rsidRDefault="001D3821" w:rsidP="00B2342B">
      <w:pPr>
        <w:keepNext/>
        <w:spacing w:after="120"/>
        <w:rPr>
          <w:rFonts w:ascii="Arial" w:hAnsi="Arial" w:cs="Arial"/>
          <w:sz w:val="22"/>
          <w:szCs w:val="24"/>
        </w:rPr>
      </w:pPr>
      <w:proofErr w:type="spellStart"/>
      <w:proofErr w:type="gramStart"/>
      <w:r w:rsidRPr="00B96172">
        <w:rPr>
          <w:rFonts w:ascii="Arial" w:eastAsia="MS Mincho" w:hAnsi="Arial" w:cs="Arial"/>
          <w:sz w:val="22"/>
          <w:szCs w:val="22"/>
        </w:rPr>
        <w:t>Breo</w:t>
      </w:r>
      <w:proofErr w:type="spellEnd"/>
      <w:r w:rsidRPr="00B96172">
        <w:rPr>
          <w:rFonts w:ascii="Arial" w:eastAsia="MS Mincho" w:hAnsi="Arial" w:cs="Arial"/>
          <w:sz w:val="22"/>
          <w:szCs w:val="22"/>
        </w:rPr>
        <w:t xml:space="preserve"> </w:t>
      </w:r>
      <w:proofErr w:type="spellStart"/>
      <w:r w:rsidRPr="00B96172">
        <w:rPr>
          <w:rFonts w:ascii="Arial" w:eastAsia="MS Mincho" w:hAnsi="Arial" w:cs="Arial"/>
          <w:sz w:val="22"/>
          <w:szCs w:val="22"/>
        </w:rPr>
        <w:t>Ellipta</w:t>
      </w:r>
      <w:proofErr w:type="spellEnd"/>
      <w:r w:rsidRPr="005E61A1" w:rsidDel="00B96172">
        <w:rPr>
          <w:rFonts w:ascii="Arial" w:hAnsi="Arial" w:cs="Arial"/>
          <w:sz w:val="22"/>
          <w:szCs w:val="22"/>
        </w:rPr>
        <w:t xml:space="preserve"> </w:t>
      </w:r>
      <w:r w:rsidRPr="005E61A1">
        <w:rPr>
          <w:rFonts w:ascii="Arial" w:hAnsi="Arial" w:cs="Arial"/>
          <w:sz w:val="22"/>
          <w:szCs w:val="22"/>
        </w:rPr>
        <w:t>200/25 micrograms is</w:t>
      </w:r>
      <w:proofErr w:type="gramEnd"/>
      <w:r w:rsidRPr="005E61A1">
        <w:rPr>
          <w:rFonts w:ascii="Arial" w:hAnsi="Arial" w:cs="Arial"/>
          <w:sz w:val="22"/>
          <w:szCs w:val="22"/>
        </w:rPr>
        <w:t xml:space="preserve"> not </w:t>
      </w:r>
      <w:r w:rsidR="005439CE">
        <w:rPr>
          <w:rFonts w:ascii="Arial" w:hAnsi="Arial" w:cs="Arial"/>
          <w:sz w:val="22"/>
          <w:szCs w:val="22"/>
        </w:rPr>
        <w:t>recommended</w:t>
      </w:r>
      <w:r>
        <w:rPr>
          <w:rFonts w:ascii="Arial" w:hAnsi="Arial" w:cs="Arial"/>
          <w:sz w:val="22"/>
          <w:szCs w:val="22"/>
        </w:rPr>
        <w:t xml:space="preserve"> for patients with COPD </w:t>
      </w:r>
      <w:r>
        <w:rPr>
          <w:rFonts w:ascii="Arial" w:eastAsia="MS Mincho" w:hAnsi="Arial" w:cs="Arial"/>
          <w:sz w:val="22"/>
          <w:szCs w:val="22"/>
          <w:lang w:val="en-US" w:eastAsia="en-US"/>
        </w:rPr>
        <w:t>(s</w:t>
      </w:r>
      <w:r w:rsidR="000658B9">
        <w:rPr>
          <w:rFonts w:ascii="Arial" w:eastAsia="MS Mincho" w:hAnsi="Arial" w:cs="Arial"/>
          <w:sz w:val="22"/>
          <w:szCs w:val="22"/>
          <w:lang w:val="en-US" w:eastAsia="en-US"/>
        </w:rPr>
        <w:t>ee Dosage and Administration).</w:t>
      </w:r>
    </w:p>
    <w:p w:rsidR="003837A0" w:rsidRPr="003837A0" w:rsidRDefault="003837A0" w:rsidP="00B2342B">
      <w:pPr>
        <w:spacing w:after="120"/>
        <w:rPr>
          <w:rFonts w:ascii="Arial" w:hAnsi="Arial" w:cs="Arial"/>
          <w:sz w:val="22"/>
          <w:szCs w:val="24"/>
          <w:u w:val="single"/>
        </w:rPr>
      </w:pPr>
      <w:r w:rsidRPr="003837A0">
        <w:rPr>
          <w:rFonts w:ascii="Arial" w:hAnsi="Arial" w:cs="Arial"/>
          <w:sz w:val="22"/>
          <w:szCs w:val="24"/>
          <w:u w:val="single"/>
        </w:rPr>
        <w:t>Deterioration of disease</w:t>
      </w:r>
    </w:p>
    <w:p w:rsidR="00D05EDE" w:rsidRPr="00217091" w:rsidRDefault="004961DC" w:rsidP="000961AD">
      <w:pPr>
        <w:spacing w:after="240"/>
        <w:rPr>
          <w:rFonts w:ascii="Arial" w:hAnsi="Arial" w:cs="Arial"/>
          <w:sz w:val="22"/>
          <w:szCs w:val="24"/>
        </w:rPr>
      </w:pP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sidR="00D05EDE" w:rsidRPr="00217091">
        <w:rPr>
          <w:rFonts w:ascii="Arial" w:hAnsi="Arial" w:cs="Arial"/>
          <w:sz w:val="22"/>
          <w:szCs w:val="24"/>
        </w:rPr>
        <w:t xml:space="preserve"> should not be used to treat acute asthma symptoms or an acute exacerbation in COPD, for which a short-acting bronchodilator is required.  Increasing use of short-acting bronchodilators to relieve symptoms indicates deterioration of control and patients sho</w:t>
      </w:r>
      <w:r w:rsidR="000658B9">
        <w:rPr>
          <w:rFonts w:ascii="Arial" w:hAnsi="Arial" w:cs="Arial"/>
          <w:sz w:val="22"/>
          <w:szCs w:val="24"/>
        </w:rPr>
        <w:t>uld be reviewed by a physician.</w:t>
      </w:r>
    </w:p>
    <w:p w:rsidR="00D05EDE" w:rsidRPr="00217091" w:rsidRDefault="00692946" w:rsidP="00692946">
      <w:pPr>
        <w:spacing w:after="120"/>
        <w:rPr>
          <w:rFonts w:ascii="Arial" w:hAnsi="Arial" w:cs="Arial"/>
          <w:sz w:val="22"/>
          <w:szCs w:val="24"/>
        </w:rPr>
      </w:pPr>
      <w:r w:rsidRPr="00B523D5">
        <w:rPr>
          <w:rFonts w:ascii="Arial" w:hAnsi="Arial" w:cs="Arial"/>
          <w:sz w:val="22"/>
          <w:szCs w:val="24"/>
        </w:rPr>
        <w:t xml:space="preserve">Patients with asthma </w:t>
      </w:r>
      <w:r>
        <w:rPr>
          <w:rFonts w:ascii="Arial" w:hAnsi="Arial" w:cs="Arial"/>
          <w:sz w:val="22"/>
          <w:szCs w:val="24"/>
        </w:rPr>
        <w:t xml:space="preserve">or COPD </w:t>
      </w:r>
      <w:r w:rsidRPr="00B523D5">
        <w:rPr>
          <w:rFonts w:ascii="Arial" w:hAnsi="Arial" w:cs="Arial"/>
          <w:sz w:val="22"/>
          <w:szCs w:val="24"/>
        </w:rPr>
        <w:t xml:space="preserve">should have a personal action plan designed in association with their general practitioner. </w:t>
      </w:r>
      <w:r>
        <w:rPr>
          <w:rFonts w:ascii="Arial" w:hAnsi="Arial" w:cs="Arial"/>
          <w:sz w:val="22"/>
          <w:szCs w:val="24"/>
        </w:rPr>
        <w:t xml:space="preserve"> </w:t>
      </w:r>
      <w:r w:rsidR="00D05EDE" w:rsidRPr="00217091">
        <w:rPr>
          <w:rFonts w:ascii="Arial" w:hAnsi="Arial" w:cs="Arial"/>
          <w:sz w:val="22"/>
          <w:szCs w:val="24"/>
        </w:rPr>
        <w:t xml:space="preserve">Patients should not stop therapy with </w:t>
      </w:r>
      <w:proofErr w:type="spellStart"/>
      <w:r w:rsidR="004961DC">
        <w:rPr>
          <w:rFonts w:ascii="Arial" w:hAnsi="Arial" w:cs="Arial"/>
          <w:sz w:val="22"/>
          <w:szCs w:val="24"/>
        </w:rPr>
        <w:t>Breo</w:t>
      </w:r>
      <w:proofErr w:type="spellEnd"/>
      <w:r w:rsidR="004961DC">
        <w:rPr>
          <w:rFonts w:ascii="Arial" w:hAnsi="Arial" w:cs="Arial"/>
          <w:sz w:val="22"/>
          <w:szCs w:val="24"/>
        </w:rPr>
        <w:t xml:space="preserve"> </w:t>
      </w:r>
      <w:proofErr w:type="spellStart"/>
      <w:r w:rsidR="004961DC">
        <w:rPr>
          <w:rFonts w:ascii="Arial" w:hAnsi="Arial" w:cs="Arial"/>
          <w:sz w:val="22"/>
          <w:szCs w:val="24"/>
        </w:rPr>
        <w:t>Ellipta</w:t>
      </w:r>
      <w:proofErr w:type="spellEnd"/>
      <w:r w:rsidR="00D05EDE" w:rsidRPr="00217091">
        <w:rPr>
          <w:rFonts w:ascii="Arial" w:hAnsi="Arial" w:cs="Arial"/>
          <w:sz w:val="22"/>
          <w:szCs w:val="24"/>
        </w:rPr>
        <w:t>, in asthma or COPD, without physician supervision since symptoms may recur after discontinuation.</w:t>
      </w:r>
    </w:p>
    <w:p w:rsidR="00D05EDE" w:rsidRDefault="0085010C" w:rsidP="000961AD">
      <w:pPr>
        <w:spacing w:after="240"/>
        <w:rPr>
          <w:rFonts w:ascii="Arial" w:hAnsi="Arial" w:cs="Arial"/>
          <w:sz w:val="22"/>
          <w:szCs w:val="24"/>
        </w:rPr>
      </w:pPr>
      <w:r>
        <w:rPr>
          <w:rFonts w:ascii="Arial" w:hAnsi="Arial" w:cs="Arial"/>
          <w:sz w:val="22"/>
          <w:szCs w:val="24"/>
        </w:rPr>
        <w:t xml:space="preserve">Serious </w:t>
      </w:r>
      <w:r w:rsidR="007E4F31">
        <w:rPr>
          <w:rFonts w:ascii="Arial" w:hAnsi="Arial" w:cs="Arial"/>
          <w:sz w:val="22"/>
          <w:szCs w:val="24"/>
        </w:rPr>
        <w:t xml:space="preserve">and potentially life-threatening, </w:t>
      </w:r>
      <w:r>
        <w:rPr>
          <w:rFonts w:ascii="Arial" w:hAnsi="Arial" w:cs="Arial"/>
          <w:sz w:val="22"/>
          <w:szCs w:val="24"/>
        </w:rPr>
        <w:t>a</w:t>
      </w:r>
      <w:r w:rsidR="00D05EDE" w:rsidRPr="00217091">
        <w:rPr>
          <w:rFonts w:ascii="Arial" w:hAnsi="Arial" w:cs="Arial"/>
          <w:sz w:val="22"/>
          <w:szCs w:val="24"/>
        </w:rPr>
        <w:t xml:space="preserve">sthma-related adverse events and exacerbations may occur during treatment with </w:t>
      </w:r>
      <w:proofErr w:type="spellStart"/>
      <w:r w:rsidR="004961DC">
        <w:rPr>
          <w:rFonts w:ascii="Arial" w:hAnsi="Arial" w:cs="Arial"/>
          <w:sz w:val="22"/>
          <w:szCs w:val="24"/>
        </w:rPr>
        <w:t>Breo</w:t>
      </w:r>
      <w:proofErr w:type="spellEnd"/>
      <w:r w:rsidR="004961DC">
        <w:rPr>
          <w:rFonts w:ascii="Arial" w:hAnsi="Arial" w:cs="Arial"/>
          <w:sz w:val="22"/>
          <w:szCs w:val="24"/>
        </w:rPr>
        <w:t xml:space="preserve"> </w:t>
      </w:r>
      <w:proofErr w:type="spellStart"/>
      <w:r w:rsidR="004961DC">
        <w:rPr>
          <w:rFonts w:ascii="Arial" w:hAnsi="Arial" w:cs="Arial"/>
          <w:sz w:val="22"/>
          <w:szCs w:val="24"/>
        </w:rPr>
        <w:t>Ellipta</w:t>
      </w:r>
      <w:proofErr w:type="spellEnd"/>
      <w:r w:rsidR="00D05EDE" w:rsidRPr="00217091">
        <w:rPr>
          <w:rFonts w:ascii="Arial" w:hAnsi="Arial" w:cs="Arial"/>
          <w:sz w:val="22"/>
          <w:szCs w:val="24"/>
        </w:rPr>
        <w:t xml:space="preserve">. Patients should be asked to continue treatment but to seek medical advice if asthma symptoms remain uncontrolled or worsen after initiation of </w:t>
      </w:r>
      <w:r w:rsidR="000658B9">
        <w:rPr>
          <w:rFonts w:ascii="Arial" w:hAnsi="Arial" w:cs="Arial"/>
          <w:sz w:val="22"/>
          <w:szCs w:val="24"/>
        </w:rPr>
        <w:t xml:space="preserve">fluticasone </w:t>
      </w:r>
      <w:proofErr w:type="spellStart"/>
      <w:r w:rsidR="000658B9">
        <w:rPr>
          <w:rFonts w:ascii="Arial" w:hAnsi="Arial" w:cs="Arial"/>
          <w:sz w:val="22"/>
          <w:szCs w:val="24"/>
        </w:rPr>
        <w:t>furoate</w:t>
      </w:r>
      <w:proofErr w:type="spellEnd"/>
      <w:r w:rsidR="000658B9">
        <w:rPr>
          <w:rFonts w:ascii="Arial" w:hAnsi="Arial" w:cs="Arial"/>
          <w:sz w:val="22"/>
          <w:szCs w:val="24"/>
        </w:rPr>
        <w:t>/</w:t>
      </w:r>
      <w:proofErr w:type="spellStart"/>
      <w:r w:rsidR="000658B9">
        <w:rPr>
          <w:rFonts w:ascii="Arial" w:hAnsi="Arial" w:cs="Arial"/>
          <w:sz w:val="22"/>
          <w:szCs w:val="24"/>
        </w:rPr>
        <w:t>vilanterol</w:t>
      </w:r>
      <w:proofErr w:type="spellEnd"/>
      <w:r w:rsidR="000658B9">
        <w:rPr>
          <w:rFonts w:ascii="Arial" w:hAnsi="Arial" w:cs="Arial"/>
          <w:sz w:val="22"/>
          <w:szCs w:val="24"/>
        </w:rPr>
        <w:t>.</w:t>
      </w:r>
    </w:p>
    <w:p w:rsidR="003837A0" w:rsidRPr="003837A0" w:rsidRDefault="003837A0" w:rsidP="000961AD">
      <w:pPr>
        <w:spacing w:after="240"/>
        <w:rPr>
          <w:rFonts w:ascii="Arial" w:hAnsi="Arial" w:cs="Arial"/>
          <w:sz w:val="22"/>
          <w:szCs w:val="24"/>
          <w:u w:val="single"/>
        </w:rPr>
      </w:pPr>
      <w:r w:rsidRPr="003837A0">
        <w:rPr>
          <w:rFonts w:ascii="Arial" w:hAnsi="Arial" w:cs="Arial"/>
          <w:sz w:val="22"/>
          <w:szCs w:val="24"/>
          <w:u w:val="single"/>
        </w:rPr>
        <w:t>Paradoxical bronchospasm</w:t>
      </w:r>
    </w:p>
    <w:p w:rsidR="003837A0" w:rsidRPr="00217091" w:rsidRDefault="003837A0" w:rsidP="003837A0">
      <w:pPr>
        <w:spacing w:after="240"/>
        <w:rPr>
          <w:rFonts w:ascii="Arial" w:hAnsi="Arial" w:cs="Arial"/>
          <w:sz w:val="22"/>
          <w:szCs w:val="24"/>
        </w:rPr>
      </w:pPr>
      <w:r w:rsidRPr="00217091">
        <w:rPr>
          <w:rFonts w:ascii="Arial" w:hAnsi="Arial" w:cs="Arial"/>
          <w:sz w:val="22"/>
          <w:szCs w:val="24"/>
        </w:rPr>
        <w:t xml:space="preserve">As with other inhalation therapy, </w:t>
      </w:r>
      <w:r w:rsidRPr="0061436A">
        <w:rPr>
          <w:rFonts w:ascii="Arial" w:hAnsi="Arial" w:cs="Arial"/>
          <w:sz w:val="22"/>
          <w:szCs w:val="24"/>
        </w:rPr>
        <w:t>paradoxical bronchospasm</w:t>
      </w:r>
      <w:r w:rsidRPr="00217091">
        <w:rPr>
          <w:rFonts w:ascii="Arial" w:hAnsi="Arial" w:cs="Arial"/>
          <w:sz w:val="22"/>
          <w:szCs w:val="24"/>
        </w:rPr>
        <w:t xml:space="preserve"> may occur with an immediate increase in wheezing after dosing.  This should be treated immediately with a short-acting inhaled bronchodilator.  </w:t>
      </w:r>
      <w:proofErr w:type="spellStart"/>
      <w:r w:rsidR="004961DC">
        <w:rPr>
          <w:rFonts w:ascii="Arial" w:hAnsi="Arial" w:cs="Arial"/>
          <w:sz w:val="22"/>
          <w:szCs w:val="24"/>
        </w:rPr>
        <w:t>Breo</w:t>
      </w:r>
      <w:proofErr w:type="spellEnd"/>
      <w:r w:rsidR="004961DC">
        <w:rPr>
          <w:rFonts w:ascii="Arial" w:hAnsi="Arial" w:cs="Arial"/>
          <w:sz w:val="22"/>
          <w:szCs w:val="24"/>
        </w:rPr>
        <w:t xml:space="preserve"> </w:t>
      </w:r>
      <w:proofErr w:type="spellStart"/>
      <w:r w:rsidR="004961DC">
        <w:rPr>
          <w:rFonts w:ascii="Arial" w:hAnsi="Arial" w:cs="Arial"/>
          <w:sz w:val="22"/>
          <w:szCs w:val="24"/>
        </w:rPr>
        <w:t>Ellipta</w:t>
      </w:r>
      <w:proofErr w:type="spellEnd"/>
      <w:r w:rsidRPr="00217091">
        <w:rPr>
          <w:rFonts w:ascii="Arial" w:hAnsi="Arial" w:cs="Arial"/>
          <w:sz w:val="22"/>
          <w:szCs w:val="24"/>
        </w:rPr>
        <w:t xml:space="preserve"> should be discontinued immediately, the patient assessed and alternative therapy instituted if necessary.</w:t>
      </w:r>
    </w:p>
    <w:p w:rsidR="003837A0" w:rsidRPr="003837A0" w:rsidRDefault="003837A0" w:rsidP="000961AD">
      <w:pPr>
        <w:spacing w:after="240"/>
        <w:rPr>
          <w:rFonts w:ascii="Arial" w:hAnsi="Arial" w:cs="Arial"/>
          <w:sz w:val="22"/>
          <w:szCs w:val="24"/>
          <w:u w:val="single"/>
        </w:rPr>
      </w:pPr>
      <w:r w:rsidRPr="003837A0">
        <w:rPr>
          <w:rFonts w:ascii="Arial" w:hAnsi="Arial" w:cs="Arial"/>
          <w:sz w:val="22"/>
          <w:szCs w:val="24"/>
          <w:u w:val="single"/>
        </w:rPr>
        <w:t>Cardiovascular effects</w:t>
      </w:r>
    </w:p>
    <w:p w:rsidR="00D05EDE" w:rsidRPr="00217091" w:rsidRDefault="00D05EDE" w:rsidP="000961AD">
      <w:pPr>
        <w:spacing w:after="240"/>
        <w:rPr>
          <w:rFonts w:ascii="Arial" w:hAnsi="Arial" w:cs="Arial"/>
          <w:sz w:val="22"/>
          <w:szCs w:val="24"/>
        </w:rPr>
      </w:pPr>
      <w:r w:rsidRPr="00217091">
        <w:rPr>
          <w:rFonts w:ascii="Arial" w:hAnsi="Arial" w:cs="Arial"/>
          <w:sz w:val="22"/>
          <w:szCs w:val="24"/>
        </w:rPr>
        <w:t xml:space="preserve">Cardiovascular effects, such as cardiac arrhythmias e.g. supraventricular tachycardia and </w:t>
      </w:r>
      <w:proofErr w:type="spellStart"/>
      <w:r w:rsidRPr="00217091">
        <w:rPr>
          <w:rFonts w:ascii="Arial" w:hAnsi="Arial" w:cs="Arial"/>
          <w:sz w:val="22"/>
          <w:szCs w:val="24"/>
        </w:rPr>
        <w:t>extrasystoles</w:t>
      </w:r>
      <w:proofErr w:type="spellEnd"/>
      <w:r w:rsidRPr="00217091">
        <w:rPr>
          <w:rFonts w:ascii="Arial" w:hAnsi="Arial" w:cs="Arial"/>
          <w:sz w:val="22"/>
          <w:szCs w:val="24"/>
        </w:rPr>
        <w:t xml:space="preserve"> may be seen with sympathomimetic drugs, including fluticasone </w:t>
      </w:r>
      <w:proofErr w:type="spellStart"/>
      <w:r w:rsidRPr="00217091">
        <w:rPr>
          <w:rFonts w:ascii="Arial" w:hAnsi="Arial" w:cs="Arial"/>
          <w:sz w:val="22"/>
          <w:szCs w:val="24"/>
        </w:rPr>
        <w:t>furoate</w:t>
      </w:r>
      <w:proofErr w:type="spellEnd"/>
      <w:r w:rsidRPr="00217091">
        <w:rPr>
          <w:rFonts w:ascii="Arial" w:hAnsi="Arial" w:cs="Arial"/>
          <w:sz w:val="22"/>
          <w:szCs w:val="24"/>
        </w:rPr>
        <w:t>/</w:t>
      </w:r>
      <w:proofErr w:type="spellStart"/>
      <w:r w:rsidRPr="00217091">
        <w:rPr>
          <w:rFonts w:ascii="Arial" w:hAnsi="Arial" w:cs="Arial"/>
          <w:sz w:val="22"/>
          <w:szCs w:val="24"/>
        </w:rPr>
        <w:t>vilanterol</w:t>
      </w:r>
      <w:proofErr w:type="spellEnd"/>
      <w:r w:rsidRPr="00217091">
        <w:rPr>
          <w:rFonts w:ascii="Arial" w:hAnsi="Arial" w:cs="Arial"/>
          <w:sz w:val="22"/>
          <w:szCs w:val="24"/>
        </w:rPr>
        <w:t xml:space="preserve">. </w:t>
      </w:r>
      <w:r w:rsidR="00254280">
        <w:rPr>
          <w:rFonts w:ascii="Arial" w:hAnsi="Arial" w:cs="Arial"/>
          <w:sz w:val="22"/>
          <w:szCs w:val="24"/>
        </w:rPr>
        <w:t xml:space="preserve"> In addition, beta</w:t>
      </w:r>
      <w:r w:rsidR="00254280" w:rsidRPr="00254280">
        <w:rPr>
          <w:rFonts w:ascii="Arial" w:hAnsi="Arial" w:cs="Arial"/>
          <w:sz w:val="22"/>
          <w:szCs w:val="24"/>
          <w:vertAlign w:val="subscript"/>
        </w:rPr>
        <w:t>2</w:t>
      </w:r>
      <w:r w:rsidR="00254280">
        <w:rPr>
          <w:rFonts w:ascii="Arial" w:hAnsi="Arial" w:cs="Arial"/>
          <w:sz w:val="22"/>
          <w:szCs w:val="24"/>
        </w:rPr>
        <w:t xml:space="preserve">-agonists have been reported to produce electrocardiographic changes, such as flattening of the T wave, prolongation of the </w:t>
      </w:r>
      <w:proofErr w:type="spellStart"/>
      <w:r w:rsidR="00254280">
        <w:rPr>
          <w:rFonts w:ascii="Arial" w:hAnsi="Arial" w:cs="Arial"/>
          <w:sz w:val="22"/>
          <w:szCs w:val="24"/>
        </w:rPr>
        <w:t>QTc</w:t>
      </w:r>
      <w:proofErr w:type="spellEnd"/>
      <w:r w:rsidR="00254280">
        <w:rPr>
          <w:rFonts w:ascii="Arial" w:hAnsi="Arial" w:cs="Arial"/>
          <w:sz w:val="22"/>
          <w:szCs w:val="24"/>
        </w:rPr>
        <w:t xml:space="preserve"> interval, and ST segment depression, although the clinical significance</w:t>
      </w:r>
      <w:r w:rsidR="000658B9">
        <w:rPr>
          <w:rFonts w:ascii="Arial" w:hAnsi="Arial" w:cs="Arial"/>
          <w:sz w:val="22"/>
          <w:szCs w:val="24"/>
        </w:rPr>
        <w:t xml:space="preserve"> of these findings is unknown. </w:t>
      </w:r>
      <w:r w:rsidRPr="00217091">
        <w:rPr>
          <w:rFonts w:ascii="Arial" w:hAnsi="Arial" w:cs="Arial"/>
          <w:sz w:val="22"/>
          <w:szCs w:val="24"/>
        </w:rPr>
        <w:t xml:space="preserve">Therefore </w:t>
      </w:r>
      <w:proofErr w:type="spellStart"/>
      <w:r w:rsidR="004961DC">
        <w:rPr>
          <w:rFonts w:ascii="Arial" w:hAnsi="Arial" w:cs="Arial"/>
          <w:sz w:val="22"/>
          <w:szCs w:val="24"/>
        </w:rPr>
        <w:t>Breo</w:t>
      </w:r>
      <w:proofErr w:type="spellEnd"/>
      <w:r w:rsidR="004961DC">
        <w:rPr>
          <w:rFonts w:ascii="Arial" w:hAnsi="Arial" w:cs="Arial"/>
          <w:sz w:val="22"/>
          <w:szCs w:val="24"/>
        </w:rPr>
        <w:t xml:space="preserve"> </w:t>
      </w:r>
      <w:proofErr w:type="spellStart"/>
      <w:r w:rsidR="004961DC">
        <w:rPr>
          <w:rFonts w:ascii="Arial" w:hAnsi="Arial" w:cs="Arial"/>
          <w:sz w:val="22"/>
          <w:szCs w:val="24"/>
        </w:rPr>
        <w:t>Ellipta</w:t>
      </w:r>
      <w:proofErr w:type="spellEnd"/>
      <w:r w:rsidRPr="00217091">
        <w:rPr>
          <w:rFonts w:ascii="Arial" w:hAnsi="Arial" w:cs="Arial"/>
          <w:sz w:val="22"/>
          <w:szCs w:val="24"/>
        </w:rPr>
        <w:t xml:space="preserve"> should be used with caution in patients with severe cardiovascular disease.</w:t>
      </w:r>
    </w:p>
    <w:p w:rsidR="000658B9" w:rsidRDefault="000658B9">
      <w:pPr>
        <w:rPr>
          <w:rFonts w:ascii="Arial" w:hAnsi="Arial" w:cs="Arial"/>
          <w:sz w:val="22"/>
          <w:szCs w:val="24"/>
          <w:u w:val="single"/>
        </w:rPr>
      </w:pPr>
      <w:r>
        <w:rPr>
          <w:rFonts w:ascii="Arial" w:hAnsi="Arial" w:cs="Arial"/>
          <w:sz w:val="22"/>
          <w:szCs w:val="24"/>
          <w:u w:val="single"/>
        </w:rPr>
        <w:br w:type="page"/>
      </w:r>
    </w:p>
    <w:p w:rsidR="003837A0" w:rsidRDefault="003837A0" w:rsidP="000961AD">
      <w:pPr>
        <w:spacing w:after="240"/>
        <w:rPr>
          <w:rFonts w:ascii="Arial" w:hAnsi="Arial" w:cs="Arial"/>
          <w:sz w:val="22"/>
          <w:szCs w:val="24"/>
        </w:rPr>
      </w:pPr>
      <w:r w:rsidRPr="00C975FF">
        <w:rPr>
          <w:rFonts w:ascii="Arial" w:hAnsi="Arial" w:cs="Arial"/>
          <w:sz w:val="22"/>
          <w:szCs w:val="24"/>
          <w:u w:val="single"/>
        </w:rPr>
        <w:lastRenderedPageBreak/>
        <w:t>Patients with hepatic impairment</w:t>
      </w:r>
    </w:p>
    <w:p w:rsidR="003837A0" w:rsidRPr="003837A0" w:rsidRDefault="003837A0" w:rsidP="000961AD">
      <w:pPr>
        <w:spacing w:after="240"/>
        <w:rPr>
          <w:rFonts w:ascii="Arial" w:hAnsi="Arial" w:cs="Arial"/>
          <w:sz w:val="22"/>
          <w:szCs w:val="24"/>
        </w:rPr>
      </w:pPr>
      <w:r>
        <w:rPr>
          <w:rFonts w:ascii="Arial" w:hAnsi="Arial" w:cs="Arial"/>
          <w:sz w:val="22"/>
          <w:szCs w:val="24"/>
        </w:rPr>
        <w:t>For patients with moderate to severe hepatic impairment, the 100/25 micrograms dose should be used and patients should be monitored for systemic corticosteroid-related adverse reactions (see Dosage and Administration</w:t>
      </w:r>
      <w:r w:rsidR="00327170">
        <w:rPr>
          <w:rFonts w:ascii="Arial" w:hAnsi="Arial" w:cs="Arial"/>
          <w:sz w:val="22"/>
          <w:szCs w:val="24"/>
        </w:rPr>
        <w:t xml:space="preserve"> and Pharmacokinetics</w:t>
      </w:r>
      <w:r>
        <w:rPr>
          <w:rFonts w:ascii="Arial" w:hAnsi="Arial" w:cs="Arial"/>
          <w:sz w:val="22"/>
          <w:szCs w:val="24"/>
        </w:rPr>
        <w:t>).</w:t>
      </w:r>
    </w:p>
    <w:p w:rsidR="003837A0" w:rsidRPr="003837A0" w:rsidRDefault="003837A0" w:rsidP="000961AD">
      <w:pPr>
        <w:spacing w:after="240"/>
        <w:rPr>
          <w:rFonts w:ascii="Arial" w:hAnsi="Arial" w:cs="Arial"/>
          <w:sz w:val="22"/>
          <w:szCs w:val="24"/>
          <w:u w:val="single"/>
        </w:rPr>
      </w:pPr>
      <w:r w:rsidRPr="003837A0">
        <w:rPr>
          <w:rFonts w:ascii="Arial" w:hAnsi="Arial" w:cs="Arial"/>
          <w:sz w:val="22"/>
          <w:szCs w:val="24"/>
          <w:u w:val="single"/>
        </w:rPr>
        <w:t>Systemic corticosteroid effects</w:t>
      </w:r>
    </w:p>
    <w:p w:rsidR="00D05EDE" w:rsidRPr="00217091" w:rsidRDefault="00D05EDE" w:rsidP="000961AD">
      <w:pPr>
        <w:spacing w:after="240"/>
        <w:rPr>
          <w:rFonts w:ascii="Arial" w:hAnsi="Arial" w:cs="Arial"/>
          <w:sz w:val="22"/>
          <w:szCs w:val="24"/>
        </w:rPr>
      </w:pPr>
      <w:r w:rsidRPr="00217091">
        <w:rPr>
          <w:rFonts w:ascii="Arial" w:hAnsi="Arial" w:cs="Arial"/>
          <w:sz w:val="22"/>
          <w:szCs w:val="24"/>
        </w:rPr>
        <w:t>Systemic effects may occur with any inhaled corticosteroid, particularly at high doses prescribed for long periods. These effects are much less likely to occur than with oral corticosteroids. Possible systemic effects include</w:t>
      </w:r>
      <w:r w:rsidR="00B83115">
        <w:rPr>
          <w:rFonts w:ascii="Arial" w:hAnsi="Arial" w:cs="Arial"/>
          <w:sz w:val="22"/>
          <w:szCs w:val="24"/>
        </w:rPr>
        <w:t xml:space="preserve"> Cushing’s syndrome</w:t>
      </w:r>
      <w:r w:rsidRPr="00217091">
        <w:rPr>
          <w:rFonts w:ascii="Arial" w:hAnsi="Arial" w:cs="Arial"/>
          <w:sz w:val="22"/>
          <w:szCs w:val="24"/>
        </w:rPr>
        <w:t xml:space="preserve">, </w:t>
      </w:r>
      <w:proofErr w:type="spellStart"/>
      <w:r w:rsidR="00B83115">
        <w:rPr>
          <w:rFonts w:ascii="Arial" w:hAnsi="Arial" w:cs="Arial"/>
          <w:sz w:val="22"/>
          <w:szCs w:val="24"/>
        </w:rPr>
        <w:t>Cushingoid</w:t>
      </w:r>
      <w:proofErr w:type="spellEnd"/>
      <w:r w:rsidR="00B83115">
        <w:rPr>
          <w:rFonts w:ascii="Arial" w:hAnsi="Arial" w:cs="Arial"/>
          <w:sz w:val="22"/>
          <w:szCs w:val="24"/>
        </w:rPr>
        <w:t xml:space="preserve"> features, adrenal suppression</w:t>
      </w:r>
      <w:r w:rsidRPr="00217091">
        <w:rPr>
          <w:rFonts w:ascii="Arial" w:hAnsi="Arial" w:cs="Arial"/>
          <w:sz w:val="22"/>
          <w:szCs w:val="24"/>
        </w:rPr>
        <w:t>, decrease in bone mineral density, growth retardation in children and adolescents, cataract and glaucoma</w:t>
      </w:r>
      <w:r w:rsidR="00B83115">
        <w:rPr>
          <w:rFonts w:ascii="Arial" w:hAnsi="Arial" w:cs="Arial"/>
          <w:sz w:val="22"/>
          <w:szCs w:val="24"/>
        </w:rPr>
        <w:t xml:space="preserve"> </w:t>
      </w:r>
      <w:r w:rsidR="00B83115" w:rsidRPr="006D6DEC">
        <w:rPr>
          <w:rFonts w:ascii="Arial" w:hAnsi="Arial" w:cs="Arial"/>
          <w:sz w:val="22"/>
          <w:szCs w:val="24"/>
        </w:rPr>
        <w:t>and more rarely, a range of psychological or behavioural effects including psychomotor hyperactivity, sleep disorders, anxiety, depression or aggression (particularly in children)</w:t>
      </w:r>
      <w:r w:rsidRPr="00217091">
        <w:rPr>
          <w:rFonts w:ascii="Arial" w:hAnsi="Arial" w:cs="Arial"/>
          <w:sz w:val="22"/>
          <w:szCs w:val="24"/>
        </w:rPr>
        <w:t>.</w:t>
      </w:r>
    </w:p>
    <w:p w:rsidR="00D05EDE" w:rsidRPr="00217091" w:rsidRDefault="0004538E" w:rsidP="000961AD">
      <w:pPr>
        <w:spacing w:after="240"/>
        <w:rPr>
          <w:rFonts w:ascii="Arial" w:hAnsi="Arial" w:cs="Arial"/>
          <w:sz w:val="22"/>
          <w:szCs w:val="24"/>
        </w:rPr>
      </w:pPr>
      <w:r>
        <w:rPr>
          <w:rFonts w:ascii="Arial" w:hAnsi="Arial" w:cs="Arial"/>
          <w:sz w:val="22"/>
          <w:szCs w:val="24"/>
        </w:rPr>
        <w:t>I</w:t>
      </w:r>
      <w:r w:rsidRPr="0004538E">
        <w:rPr>
          <w:rFonts w:ascii="Arial" w:hAnsi="Arial" w:cs="Arial"/>
          <w:sz w:val="22"/>
          <w:szCs w:val="24"/>
        </w:rPr>
        <w:t>nhaled corticosteroids should be used with caution in patients with active or quiescent tuberculosis infections of the respiratory tract; systemic fungal, bacterial, viral, or parasitic infections; or ocular herpes simplex.</w:t>
      </w:r>
    </w:p>
    <w:p w:rsidR="003837A0" w:rsidRPr="003837A0" w:rsidRDefault="003837A0" w:rsidP="000961AD">
      <w:pPr>
        <w:spacing w:after="240"/>
        <w:rPr>
          <w:rFonts w:ascii="Arial" w:hAnsi="Arial" w:cs="Arial"/>
          <w:sz w:val="22"/>
          <w:szCs w:val="24"/>
          <w:u w:val="single"/>
        </w:rPr>
      </w:pPr>
      <w:r w:rsidRPr="003837A0">
        <w:rPr>
          <w:rFonts w:ascii="Arial" w:hAnsi="Arial" w:cs="Arial"/>
          <w:sz w:val="22"/>
          <w:szCs w:val="24"/>
          <w:u w:val="single"/>
        </w:rPr>
        <w:t>Pneumonia</w:t>
      </w:r>
    </w:p>
    <w:p w:rsidR="00C6084B" w:rsidRDefault="00D05EDE" w:rsidP="000961AD">
      <w:pPr>
        <w:spacing w:after="240"/>
        <w:rPr>
          <w:rFonts w:ascii="Arial" w:hAnsi="Arial" w:cs="Arial"/>
          <w:sz w:val="22"/>
          <w:szCs w:val="24"/>
        </w:rPr>
      </w:pPr>
      <w:r w:rsidRPr="00217091">
        <w:rPr>
          <w:rFonts w:ascii="Arial" w:hAnsi="Arial" w:cs="Arial"/>
          <w:sz w:val="22"/>
          <w:szCs w:val="24"/>
        </w:rPr>
        <w:t xml:space="preserve">An increase in pneumonia has been observed in patients with COPD receiving fluticasone </w:t>
      </w:r>
      <w:proofErr w:type="spellStart"/>
      <w:r w:rsidRPr="00217091">
        <w:rPr>
          <w:rFonts w:ascii="Arial" w:hAnsi="Arial" w:cs="Arial"/>
          <w:sz w:val="22"/>
          <w:szCs w:val="24"/>
        </w:rPr>
        <w:t>furoate</w:t>
      </w:r>
      <w:proofErr w:type="spellEnd"/>
      <w:r w:rsidRPr="00217091">
        <w:rPr>
          <w:rFonts w:ascii="Arial" w:hAnsi="Arial" w:cs="Arial"/>
          <w:sz w:val="22"/>
          <w:szCs w:val="24"/>
        </w:rPr>
        <w:t>/</w:t>
      </w:r>
      <w:proofErr w:type="spellStart"/>
      <w:r w:rsidRPr="00217091">
        <w:rPr>
          <w:rFonts w:ascii="Arial" w:hAnsi="Arial" w:cs="Arial"/>
          <w:sz w:val="22"/>
          <w:szCs w:val="24"/>
        </w:rPr>
        <w:t>vilanterol</w:t>
      </w:r>
      <w:proofErr w:type="spellEnd"/>
      <w:r w:rsidRPr="00217091">
        <w:rPr>
          <w:rFonts w:ascii="Arial" w:hAnsi="Arial" w:cs="Arial"/>
          <w:sz w:val="22"/>
          <w:szCs w:val="24"/>
        </w:rPr>
        <w:t>. There was also an increased incidence of pneumonias resulting in hospitalisation. In some incidences these pneumonia events were fatal (</w:t>
      </w:r>
      <w:r w:rsidRPr="00FE3A27">
        <w:rPr>
          <w:rFonts w:ascii="Arial" w:hAnsi="Arial" w:cs="Arial"/>
          <w:sz w:val="22"/>
          <w:szCs w:val="24"/>
        </w:rPr>
        <w:t xml:space="preserve">see Clinical </w:t>
      </w:r>
      <w:r w:rsidR="00FE3A27" w:rsidRPr="00FE3A27">
        <w:rPr>
          <w:rFonts w:ascii="Arial" w:hAnsi="Arial" w:cs="Arial"/>
          <w:sz w:val="22"/>
          <w:szCs w:val="24"/>
        </w:rPr>
        <w:t>Trials</w:t>
      </w:r>
      <w:r w:rsidRPr="00FE3A27">
        <w:rPr>
          <w:rFonts w:ascii="Arial" w:hAnsi="Arial" w:cs="Arial"/>
          <w:sz w:val="22"/>
          <w:szCs w:val="24"/>
        </w:rPr>
        <w:t xml:space="preserve"> and Adverse </w:t>
      </w:r>
      <w:r w:rsidR="00FE3A27" w:rsidRPr="00FE3A27">
        <w:rPr>
          <w:rFonts w:ascii="Arial" w:hAnsi="Arial" w:cs="Arial"/>
          <w:sz w:val="22"/>
          <w:szCs w:val="24"/>
        </w:rPr>
        <w:t>Effects</w:t>
      </w:r>
      <w:r w:rsidRPr="00217091">
        <w:rPr>
          <w:rFonts w:ascii="Arial" w:hAnsi="Arial" w:cs="Arial"/>
          <w:sz w:val="22"/>
          <w:szCs w:val="24"/>
        </w:rPr>
        <w:t xml:space="preserve">). Physicians should remain vigilant for the possible development of pneumonia in patients with COPD as the clinical features of such infections overlap with the symptoms of COPD exacerbations. Risk factors for pneumonia in patients with COPD receiving fluticasone </w:t>
      </w:r>
      <w:proofErr w:type="spellStart"/>
      <w:r w:rsidRPr="00217091">
        <w:rPr>
          <w:rFonts w:ascii="Arial" w:hAnsi="Arial" w:cs="Arial"/>
          <w:sz w:val="22"/>
          <w:szCs w:val="24"/>
        </w:rPr>
        <w:t>furoate</w:t>
      </w:r>
      <w:proofErr w:type="spellEnd"/>
      <w:r w:rsidRPr="00217091">
        <w:rPr>
          <w:rFonts w:ascii="Arial" w:hAnsi="Arial" w:cs="Arial"/>
          <w:sz w:val="22"/>
          <w:szCs w:val="24"/>
        </w:rPr>
        <w:t>/</w:t>
      </w:r>
      <w:proofErr w:type="spellStart"/>
      <w:r w:rsidRPr="00217091">
        <w:rPr>
          <w:rFonts w:ascii="Arial" w:hAnsi="Arial" w:cs="Arial"/>
          <w:sz w:val="22"/>
          <w:szCs w:val="24"/>
        </w:rPr>
        <w:t>vilanterol</w:t>
      </w:r>
      <w:proofErr w:type="spellEnd"/>
      <w:r w:rsidRPr="00217091">
        <w:rPr>
          <w:rFonts w:ascii="Arial" w:hAnsi="Arial" w:cs="Arial"/>
          <w:sz w:val="22"/>
          <w:szCs w:val="24"/>
        </w:rPr>
        <w:t xml:space="preserve"> include current smokers, patients with a history of prior pneumonia, patients with a body mass index &lt;25 kg/m</w:t>
      </w:r>
      <w:r w:rsidRPr="00935079">
        <w:rPr>
          <w:rFonts w:ascii="Arial" w:hAnsi="Arial" w:cs="Arial"/>
          <w:sz w:val="22"/>
          <w:szCs w:val="24"/>
          <w:vertAlign w:val="superscript"/>
        </w:rPr>
        <w:t>2</w:t>
      </w:r>
      <w:r w:rsidRPr="00217091">
        <w:rPr>
          <w:rFonts w:ascii="Arial" w:hAnsi="Arial" w:cs="Arial"/>
          <w:sz w:val="22"/>
          <w:szCs w:val="24"/>
        </w:rPr>
        <w:t xml:space="preserve"> and patients with a (forced expiratory volume) FEV</w:t>
      </w:r>
      <w:r w:rsidRPr="004C328C">
        <w:rPr>
          <w:rFonts w:ascii="Arial" w:hAnsi="Arial" w:cs="Arial"/>
          <w:sz w:val="22"/>
          <w:szCs w:val="24"/>
          <w:vertAlign w:val="subscript"/>
        </w:rPr>
        <w:t>1</w:t>
      </w:r>
      <w:r w:rsidRPr="00217091">
        <w:rPr>
          <w:rFonts w:ascii="Arial" w:hAnsi="Arial" w:cs="Arial"/>
          <w:sz w:val="22"/>
          <w:szCs w:val="24"/>
        </w:rPr>
        <w:t xml:space="preserve">&lt;50% predicted.  These factors should be considered when </w:t>
      </w:r>
      <w:proofErr w:type="spellStart"/>
      <w:r w:rsidR="004961DC">
        <w:rPr>
          <w:rFonts w:ascii="Arial" w:hAnsi="Arial" w:cs="Arial"/>
          <w:sz w:val="22"/>
          <w:szCs w:val="24"/>
        </w:rPr>
        <w:t>Breo</w:t>
      </w:r>
      <w:proofErr w:type="spellEnd"/>
      <w:r w:rsidR="004961DC">
        <w:rPr>
          <w:rFonts w:ascii="Arial" w:hAnsi="Arial" w:cs="Arial"/>
          <w:sz w:val="22"/>
          <w:szCs w:val="24"/>
        </w:rPr>
        <w:t xml:space="preserve"> </w:t>
      </w:r>
      <w:proofErr w:type="spellStart"/>
      <w:r w:rsidR="004961DC">
        <w:rPr>
          <w:rFonts w:ascii="Arial" w:hAnsi="Arial" w:cs="Arial"/>
          <w:sz w:val="22"/>
          <w:szCs w:val="24"/>
        </w:rPr>
        <w:t>Ellipta</w:t>
      </w:r>
      <w:proofErr w:type="spellEnd"/>
      <w:r w:rsidRPr="00217091">
        <w:rPr>
          <w:rFonts w:ascii="Arial" w:hAnsi="Arial" w:cs="Arial"/>
          <w:sz w:val="22"/>
          <w:szCs w:val="24"/>
        </w:rPr>
        <w:t xml:space="preserve"> is prescribed and treatment should be re-evaluated if pneumonia occurs.</w:t>
      </w:r>
    </w:p>
    <w:p w:rsidR="00D05EDE" w:rsidRPr="00217091" w:rsidRDefault="004961DC" w:rsidP="000961AD">
      <w:pPr>
        <w:spacing w:after="240"/>
        <w:rPr>
          <w:rFonts w:ascii="Arial" w:hAnsi="Arial" w:cs="Arial"/>
          <w:sz w:val="22"/>
          <w:szCs w:val="24"/>
        </w:rPr>
      </w:pPr>
      <w:proofErr w:type="spellStart"/>
      <w:proofErr w:type="gram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sidR="00B83115" w:rsidRPr="00702AA5">
        <w:rPr>
          <w:rFonts w:ascii="Arial" w:hAnsi="Arial" w:cs="Arial"/>
          <w:sz w:val="22"/>
          <w:szCs w:val="24"/>
        </w:rPr>
        <w:t xml:space="preserve"> 200/25 micrograms is</w:t>
      </w:r>
      <w:proofErr w:type="gramEnd"/>
      <w:r w:rsidR="00B83115" w:rsidRPr="00702AA5">
        <w:rPr>
          <w:rFonts w:ascii="Arial" w:hAnsi="Arial" w:cs="Arial"/>
          <w:sz w:val="22"/>
          <w:szCs w:val="24"/>
        </w:rPr>
        <w:t xml:space="preserve"> not indicated for patients with COPD. There is a potential increased risk of </w:t>
      </w:r>
      <w:r w:rsidR="00C6084B">
        <w:rPr>
          <w:rFonts w:ascii="Arial" w:hAnsi="Arial" w:cs="Arial"/>
          <w:sz w:val="22"/>
          <w:szCs w:val="24"/>
        </w:rPr>
        <w:t xml:space="preserve">pneumonia and </w:t>
      </w:r>
      <w:r w:rsidR="00B83115" w:rsidRPr="00702AA5">
        <w:rPr>
          <w:rFonts w:ascii="Arial" w:hAnsi="Arial" w:cs="Arial"/>
          <w:sz w:val="22"/>
          <w:szCs w:val="24"/>
        </w:rPr>
        <w:t xml:space="preserve">systemic corticosteroid-related adverse reactions </w:t>
      </w:r>
      <w:r w:rsidR="00B83115">
        <w:rPr>
          <w:rFonts w:ascii="Arial" w:hAnsi="Arial" w:cs="Arial"/>
          <w:sz w:val="22"/>
          <w:szCs w:val="24"/>
        </w:rPr>
        <w:t xml:space="preserve">with </w:t>
      </w:r>
      <w:r w:rsidR="00B83115" w:rsidRPr="00702AA5">
        <w:rPr>
          <w:rFonts w:ascii="Arial" w:hAnsi="Arial" w:cs="Arial"/>
          <w:sz w:val="22"/>
          <w:szCs w:val="24"/>
        </w:rPr>
        <w:t xml:space="preserve">fluticasone </w:t>
      </w:r>
      <w:proofErr w:type="spellStart"/>
      <w:r w:rsidR="00B83115" w:rsidRPr="00702AA5">
        <w:rPr>
          <w:rFonts w:ascii="Arial" w:hAnsi="Arial" w:cs="Arial"/>
          <w:sz w:val="22"/>
          <w:szCs w:val="24"/>
        </w:rPr>
        <w:t>furoate</w:t>
      </w:r>
      <w:proofErr w:type="spellEnd"/>
      <w:r w:rsidR="00B83115" w:rsidRPr="00702AA5">
        <w:rPr>
          <w:rFonts w:ascii="Arial" w:hAnsi="Arial" w:cs="Arial"/>
          <w:sz w:val="22"/>
          <w:szCs w:val="24"/>
        </w:rPr>
        <w:t>/</w:t>
      </w:r>
      <w:proofErr w:type="spellStart"/>
      <w:r w:rsidR="00B83115" w:rsidRPr="00702AA5">
        <w:rPr>
          <w:rFonts w:ascii="Arial" w:hAnsi="Arial" w:cs="Arial"/>
          <w:sz w:val="22"/>
          <w:szCs w:val="24"/>
        </w:rPr>
        <w:t>vilanterol</w:t>
      </w:r>
      <w:proofErr w:type="spellEnd"/>
      <w:r w:rsidR="00B83115" w:rsidRPr="00702AA5">
        <w:rPr>
          <w:rFonts w:ascii="Arial" w:hAnsi="Arial" w:cs="Arial"/>
          <w:sz w:val="22"/>
          <w:szCs w:val="24"/>
        </w:rPr>
        <w:t xml:space="preserve"> </w:t>
      </w:r>
      <w:r w:rsidR="00B83115">
        <w:rPr>
          <w:rFonts w:ascii="Arial" w:hAnsi="Arial" w:cs="Arial"/>
          <w:sz w:val="22"/>
          <w:szCs w:val="24"/>
        </w:rPr>
        <w:t xml:space="preserve">200/25 micrograms </w:t>
      </w:r>
      <w:r w:rsidR="00B83115" w:rsidRPr="00702AA5">
        <w:rPr>
          <w:rFonts w:ascii="Arial" w:hAnsi="Arial" w:cs="Arial"/>
          <w:sz w:val="22"/>
          <w:szCs w:val="24"/>
        </w:rPr>
        <w:t>(see Adverse Effects)</w:t>
      </w:r>
      <w:r w:rsidR="00B83115">
        <w:rPr>
          <w:rFonts w:ascii="Arial" w:hAnsi="Arial" w:cs="Arial"/>
          <w:sz w:val="22"/>
          <w:szCs w:val="24"/>
        </w:rPr>
        <w:t>.</w:t>
      </w:r>
    </w:p>
    <w:p w:rsidR="00D05EDE" w:rsidRDefault="00D05EDE" w:rsidP="000961AD">
      <w:pPr>
        <w:spacing w:after="240"/>
        <w:rPr>
          <w:rFonts w:ascii="Arial" w:hAnsi="Arial" w:cs="Arial"/>
          <w:sz w:val="22"/>
          <w:szCs w:val="24"/>
        </w:rPr>
      </w:pPr>
      <w:r w:rsidRPr="00217091">
        <w:rPr>
          <w:rFonts w:ascii="Arial" w:hAnsi="Arial" w:cs="Arial"/>
          <w:sz w:val="22"/>
          <w:szCs w:val="24"/>
        </w:rPr>
        <w:t>The incidence of pneumonia in patients with asthma was uncommon</w:t>
      </w:r>
      <w:r w:rsidR="009D5909">
        <w:rPr>
          <w:rFonts w:ascii="Arial" w:hAnsi="Arial" w:cs="Arial"/>
          <w:sz w:val="22"/>
          <w:szCs w:val="24"/>
        </w:rPr>
        <w:t xml:space="preserve"> at the higher dose</w:t>
      </w:r>
      <w:r w:rsidRPr="00217091">
        <w:rPr>
          <w:rFonts w:ascii="Arial" w:hAnsi="Arial" w:cs="Arial"/>
          <w:sz w:val="22"/>
          <w:szCs w:val="24"/>
        </w:rPr>
        <w:t xml:space="preserve">. </w:t>
      </w:r>
      <w:r w:rsidR="001D53A3" w:rsidRPr="00702AA5">
        <w:rPr>
          <w:rFonts w:ascii="Arial" w:hAnsi="Arial" w:cs="Arial"/>
          <w:sz w:val="22"/>
          <w:szCs w:val="24"/>
        </w:rPr>
        <w:t xml:space="preserve">The incidence of pneumonia in patients with asthma taking fluticasone </w:t>
      </w:r>
      <w:proofErr w:type="spellStart"/>
      <w:r w:rsidR="001D53A3" w:rsidRPr="00702AA5">
        <w:rPr>
          <w:rFonts w:ascii="Arial" w:hAnsi="Arial" w:cs="Arial"/>
          <w:sz w:val="22"/>
          <w:szCs w:val="24"/>
        </w:rPr>
        <w:t>furoate</w:t>
      </w:r>
      <w:proofErr w:type="spellEnd"/>
      <w:r w:rsidR="001D53A3" w:rsidRPr="00702AA5">
        <w:rPr>
          <w:rFonts w:ascii="Arial" w:hAnsi="Arial" w:cs="Arial"/>
          <w:sz w:val="22"/>
          <w:szCs w:val="24"/>
        </w:rPr>
        <w:t>/</w:t>
      </w:r>
      <w:proofErr w:type="spellStart"/>
      <w:r w:rsidR="001D53A3" w:rsidRPr="00702AA5">
        <w:rPr>
          <w:rFonts w:ascii="Arial" w:hAnsi="Arial" w:cs="Arial"/>
          <w:sz w:val="22"/>
          <w:szCs w:val="24"/>
        </w:rPr>
        <w:t>vilanterol</w:t>
      </w:r>
      <w:proofErr w:type="spellEnd"/>
      <w:r w:rsidR="001D53A3" w:rsidRPr="00702AA5">
        <w:rPr>
          <w:rFonts w:ascii="Arial" w:hAnsi="Arial" w:cs="Arial"/>
          <w:sz w:val="22"/>
          <w:szCs w:val="24"/>
        </w:rPr>
        <w:t xml:space="preserve"> 200/25 micrograms was numerically higher compared with those receiving fluticasone </w:t>
      </w:r>
      <w:proofErr w:type="spellStart"/>
      <w:r w:rsidR="001D53A3" w:rsidRPr="00702AA5">
        <w:rPr>
          <w:rFonts w:ascii="Arial" w:hAnsi="Arial" w:cs="Arial"/>
          <w:sz w:val="22"/>
          <w:szCs w:val="24"/>
        </w:rPr>
        <w:t>furoate</w:t>
      </w:r>
      <w:proofErr w:type="spellEnd"/>
      <w:r w:rsidR="001D53A3" w:rsidRPr="00702AA5">
        <w:rPr>
          <w:rFonts w:ascii="Arial" w:hAnsi="Arial" w:cs="Arial"/>
          <w:sz w:val="22"/>
          <w:szCs w:val="24"/>
        </w:rPr>
        <w:t>/</w:t>
      </w:r>
      <w:proofErr w:type="spellStart"/>
      <w:r w:rsidR="001D53A3" w:rsidRPr="00702AA5">
        <w:rPr>
          <w:rFonts w:ascii="Arial" w:hAnsi="Arial" w:cs="Arial"/>
          <w:sz w:val="22"/>
          <w:szCs w:val="24"/>
        </w:rPr>
        <w:t>vilanterol</w:t>
      </w:r>
      <w:proofErr w:type="spellEnd"/>
      <w:r w:rsidR="001D53A3" w:rsidRPr="00702AA5">
        <w:rPr>
          <w:rFonts w:ascii="Arial" w:hAnsi="Arial" w:cs="Arial"/>
          <w:sz w:val="22"/>
          <w:szCs w:val="24"/>
        </w:rPr>
        <w:t xml:space="preserve"> 100/25 or placebo</w:t>
      </w:r>
      <w:r w:rsidR="009D5909">
        <w:rPr>
          <w:rFonts w:ascii="Arial" w:hAnsi="Arial" w:cs="Arial"/>
          <w:sz w:val="22"/>
          <w:szCs w:val="24"/>
        </w:rPr>
        <w:t xml:space="preserve"> (see Adverse Effects)</w:t>
      </w:r>
      <w:r w:rsidR="001D53A3" w:rsidRPr="00702AA5">
        <w:rPr>
          <w:rFonts w:ascii="Arial" w:hAnsi="Arial" w:cs="Arial"/>
          <w:sz w:val="22"/>
          <w:szCs w:val="24"/>
        </w:rPr>
        <w:t xml:space="preserve">.  </w:t>
      </w:r>
      <w:r w:rsidRPr="00217091">
        <w:rPr>
          <w:rFonts w:ascii="Arial" w:hAnsi="Arial" w:cs="Arial"/>
          <w:sz w:val="22"/>
          <w:szCs w:val="24"/>
        </w:rPr>
        <w:t>No risk factors were identified.</w:t>
      </w:r>
    </w:p>
    <w:p w:rsidR="00EE1D42" w:rsidRPr="00797129" w:rsidRDefault="00EE1D42" w:rsidP="000961AD">
      <w:pPr>
        <w:spacing w:after="240"/>
        <w:rPr>
          <w:rFonts w:ascii="Arial" w:hAnsi="Arial" w:cs="Arial"/>
          <w:sz w:val="22"/>
          <w:szCs w:val="24"/>
          <w:u w:val="single"/>
        </w:rPr>
      </w:pPr>
      <w:r w:rsidRPr="00797129">
        <w:rPr>
          <w:rFonts w:ascii="Arial" w:hAnsi="Arial" w:cs="Arial"/>
          <w:sz w:val="22"/>
          <w:szCs w:val="24"/>
          <w:u w:val="single"/>
        </w:rPr>
        <w:t>Sensitivity to sympathomimetic amines</w:t>
      </w:r>
    </w:p>
    <w:p w:rsidR="00EE1D42" w:rsidRDefault="004961DC" w:rsidP="000961AD">
      <w:pPr>
        <w:spacing w:after="240"/>
        <w:rPr>
          <w:rFonts w:ascii="Arial" w:hAnsi="Arial" w:cs="Arial"/>
          <w:sz w:val="22"/>
          <w:szCs w:val="24"/>
        </w:rPr>
      </w:pPr>
      <w:proofErr w:type="spellStart"/>
      <w:r>
        <w:rPr>
          <w:rFonts w:ascii="Arial" w:hAnsi="Arial" w:cs="Arial"/>
          <w:sz w:val="22"/>
          <w:szCs w:val="24"/>
        </w:rPr>
        <w:t>Breo</w:t>
      </w:r>
      <w:proofErr w:type="spellEnd"/>
      <w:r>
        <w:rPr>
          <w:rFonts w:ascii="Arial" w:hAnsi="Arial" w:cs="Arial"/>
          <w:sz w:val="22"/>
          <w:szCs w:val="24"/>
        </w:rPr>
        <w:t xml:space="preserve"> </w:t>
      </w:r>
      <w:proofErr w:type="spellStart"/>
      <w:r>
        <w:rPr>
          <w:rFonts w:ascii="Arial" w:hAnsi="Arial" w:cs="Arial"/>
          <w:sz w:val="22"/>
          <w:szCs w:val="24"/>
        </w:rPr>
        <w:t>Ellipta</w:t>
      </w:r>
      <w:proofErr w:type="spellEnd"/>
      <w:r w:rsidR="00EE1D42" w:rsidRPr="00797129">
        <w:rPr>
          <w:rFonts w:ascii="Arial" w:hAnsi="Arial" w:cs="Arial"/>
          <w:sz w:val="22"/>
          <w:szCs w:val="24"/>
        </w:rPr>
        <w:t xml:space="preserve">, like all medicines containing sympathomimetic amines, should be used with caution in patients with convulsive disorders or </w:t>
      </w:r>
      <w:r w:rsidR="007406B0">
        <w:rPr>
          <w:rFonts w:ascii="Arial" w:hAnsi="Arial" w:cs="Arial"/>
          <w:sz w:val="22"/>
          <w:szCs w:val="24"/>
        </w:rPr>
        <w:t>hyperthyroidism</w:t>
      </w:r>
      <w:r w:rsidR="00EE1D42" w:rsidRPr="00797129">
        <w:rPr>
          <w:rFonts w:ascii="Arial" w:hAnsi="Arial" w:cs="Arial"/>
          <w:sz w:val="22"/>
          <w:szCs w:val="24"/>
        </w:rPr>
        <w:t xml:space="preserve"> and in those who are unusually responsive to sympathomimetic amines.</w:t>
      </w:r>
    </w:p>
    <w:p w:rsidR="007406B0" w:rsidRPr="007406B0" w:rsidRDefault="007406B0" w:rsidP="000961AD">
      <w:pPr>
        <w:spacing w:after="240"/>
        <w:rPr>
          <w:rFonts w:ascii="Arial" w:hAnsi="Arial" w:cs="Arial"/>
          <w:sz w:val="22"/>
          <w:szCs w:val="24"/>
          <w:u w:val="single"/>
        </w:rPr>
      </w:pPr>
      <w:r w:rsidRPr="007406B0">
        <w:rPr>
          <w:rFonts w:ascii="Arial" w:hAnsi="Arial" w:cs="Arial"/>
          <w:sz w:val="22"/>
          <w:szCs w:val="24"/>
          <w:u w:val="single"/>
        </w:rPr>
        <w:t>Hypokalaemia and Hyperglycaemia</w:t>
      </w:r>
    </w:p>
    <w:p w:rsidR="007406B0" w:rsidRPr="00FE28CF" w:rsidRDefault="007406B0" w:rsidP="007406B0">
      <w:pPr>
        <w:spacing w:after="240"/>
        <w:rPr>
          <w:rFonts w:ascii="Arial" w:hAnsi="Arial" w:cs="Arial"/>
          <w:sz w:val="22"/>
          <w:szCs w:val="24"/>
        </w:rPr>
      </w:pPr>
      <w:r w:rsidRPr="007406B0">
        <w:rPr>
          <w:rFonts w:ascii="Arial" w:hAnsi="Arial" w:cs="Arial"/>
          <w:sz w:val="22"/>
          <w:szCs w:val="24"/>
        </w:rPr>
        <w:t xml:space="preserve">Beta-adrenergic agonist medicines may produce significant hypokalaemia in some patients, possibly through intracellular shunting, which has the potential to produce adverse cardiovascular effects.  The decrease in serum potassium is usually transient, not requiring supplementation.  Beta-agonist medications may produce transient </w:t>
      </w:r>
      <w:r w:rsidRPr="007406B0">
        <w:rPr>
          <w:rFonts w:ascii="Arial" w:hAnsi="Arial" w:cs="Arial"/>
          <w:sz w:val="22"/>
          <w:szCs w:val="24"/>
        </w:rPr>
        <w:lastRenderedPageBreak/>
        <w:t xml:space="preserve">hyperglycaemia in some patients.  In clinical trials evaluating fluticasone </w:t>
      </w:r>
      <w:proofErr w:type="spellStart"/>
      <w:r w:rsidRPr="007406B0">
        <w:rPr>
          <w:rFonts w:ascii="Arial" w:hAnsi="Arial" w:cs="Arial"/>
          <w:sz w:val="22"/>
          <w:szCs w:val="24"/>
        </w:rPr>
        <w:t>furoate</w:t>
      </w:r>
      <w:proofErr w:type="spellEnd"/>
      <w:r w:rsidRPr="007406B0">
        <w:rPr>
          <w:rFonts w:ascii="Arial" w:hAnsi="Arial" w:cs="Arial"/>
          <w:sz w:val="22"/>
          <w:szCs w:val="24"/>
        </w:rPr>
        <w:t>/</w:t>
      </w:r>
      <w:proofErr w:type="spellStart"/>
      <w:r w:rsidRPr="007406B0">
        <w:rPr>
          <w:rFonts w:ascii="Arial" w:hAnsi="Arial" w:cs="Arial"/>
          <w:sz w:val="22"/>
          <w:szCs w:val="24"/>
        </w:rPr>
        <w:t>vilanterol</w:t>
      </w:r>
      <w:proofErr w:type="spellEnd"/>
      <w:r w:rsidRPr="007406B0">
        <w:rPr>
          <w:rFonts w:ascii="Arial" w:hAnsi="Arial" w:cs="Arial"/>
          <w:sz w:val="22"/>
          <w:szCs w:val="24"/>
        </w:rPr>
        <w:t xml:space="preserve"> in subjects with </w:t>
      </w:r>
      <w:r>
        <w:rPr>
          <w:rFonts w:ascii="Arial" w:hAnsi="Arial" w:cs="Arial"/>
          <w:sz w:val="22"/>
          <w:szCs w:val="24"/>
        </w:rPr>
        <w:t>a</w:t>
      </w:r>
      <w:r w:rsidRPr="007406B0">
        <w:rPr>
          <w:rFonts w:ascii="Arial" w:hAnsi="Arial" w:cs="Arial"/>
          <w:sz w:val="22"/>
          <w:szCs w:val="24"/>
        </w:rPr>
        <w:t>sthma or COPD, there was no evidence of a treatment effect</w:t>
      </w:r>
      <w:r w:rsidR="00F2728C">
        <w:rPr>
          <w:rFonts w:ascii="Arial" w:hAnsi="Arial" w:cs="Arial"/>
          <w:sz w:val="22"/>
          <w:szCs w:val="24"/>
        </w:rPr>
        <w:t xml:space="preserve"> on serum glucose or potassium.</w:t>
      </w:r>
    </w:p>
    <w:p w:rsidR="00C63332" w:rsidRPr="007835FF" w:rsidRDefault="00242B97" w:rsidP="00C74D6B">
      <w:pPr>
        <w:keepNext/>
        <w:spacing w:after="240"/>
        <w:jc w:val="both"/>
        <w:rPr>
          <w:rFonts w:ascii="Arial" w:hAnsi="Arial" w:cs="Arial"/>
          <w:b/>
          <w:sz w:val="22"/>
          <w:szCs w:val="22"/>
        </w:rPr>
      </w:pPr>
      <w:r w:rsidRPr="007835FF">
        <w:rPr>
          <w:rFonts w:ascii="Arial" w:hAnsi="Arial" w:cs="Arial"/>
          <w:b/>
          <w:sz w:val="22"/>
          <w:szCs w:val="22"/>
        </w:rPr>
        <w:t xml:space="preserve">Effects on </w:t>
      </w:r>
      <w:r w:rsidR="00C63332" w:rsidRPr="007835FF">
        <w:rPr>
          <w:rFonts w:ascii="Arial" w:hAnsi="Arial" w:cs="Arial"/>
          <w:b/>
          <w:sz w:val="22"/>
          <w:szCs w:val="22"/>
        </w:rPr>
        <w:t>Fertility:</w:t>
      </w:r>
    </w:p>
    <w:p w:rsidR="00D05EDE" w:rsidRPr="00FE28CF" w:rsidRDefault="00D05EDE" w:rsidP="00C74D6B">
      <w:pPr>
        <w:keepNext/>
        <w:spacing w:after="240"/>
        <w:rPr>
          <w:rFonts w:ascii="Arial" w:hAnsi="Arial" w:cs="Arial"/>
          <w:sz w:val="22"/>
        </w:rPr>
      </w:pPr>
      <w:r w:rsidRPr="00FE28CF">
        <w:rPr>
          <w:rFonts w:ascii="Arial" w:hAnsi="Arial" w:cs="Arial"/>
          <w:sz w:val="22"/>
        </w:rPr>
        <w:t xml:space="preserve">There are no fertility data in humans.  </w:t>
      </w:r>
      <w:r w:rsidR="002D269B">
        <w:rPr>
          <w:rFonts w:ascii="Arial" w:hAnsi="Arial" w:cs="Arial"/>
          <w:sz w:val="22"/>
        </w:rPr>
        <w:t>S</w:t>
      </w:r>
      <w:r w:rsidRPr="00FE28CF">
        <w:rPr>
          <w:rFonts w:ascii="Arial" w:hAnsi="Arial" w:cs="Arial"/>
          <w:sz w:val="22"/>
        </w:rPr>
        <w:t xml:space="preserve">tudies </w:t>
      </w:r>
      <w:r w:rsidR="002D269B">
        <w:rPr>
          <w:rFonts w:ascii="Arial" w:hAnsi="Arial" w:cs="Arial"/>
          <w:sz w:val="22"/>
        </w:rPr>
        <w:t xml:space="preserve">in rats </w:t>
      </w:r>
      <w:r w:rsidRPr="00FE28CF">
        <w:rPr>
          <w:rFonts w:ascii="Arial" w:hAnsi="Arial" w:cs="Arial"/>
          <w:sz w:val="22"/>
        </w:rPr>
        <w:t xml:space="preserve">showed no effect of </w:t>
      </w:r>
      <w:proofErr w:type="spellStart"/>
      <w:r w:rsidRPr="00FE28CF">
        <w:rPr>
          <w:rFonts w:ascii="Arial" w:hAnsi="Arial" w:cs="Arial"/>
          <w:sz w:val="22"/>
        </w:rPr>
        <w:t>vilanterol</w:t>
      </w:r>
      <w:proofErr w:type="spellEnd"/>
      <w:r w:rsidRPr="00FE28CF">
        <w:rPr>
          <w:rFonts w:ascii="Arial" w:hAnsi="Arial" w:cs="Arial"/>
          <w:sz w:val="22"/>
        </w:rPr>
        <w:t xml:space="preserve"> or fluticasone </w:t>
      </w:r>
      <w:proofErr w:type="spellStart"/>
      <w:r w:rsidRPr="00FE28CF">
        <w:rPr>
          <w:rFonts w:ascii="Arial" w:hAnsi="Arial" w:cs="Arial"/>
          <w:sz w:val="22"/>
        </w:rPr>
        <w:t>furoate</w:t>
      </w:r>
      <w:proofErr w:type="spellEnd"/>
      <w:r w:rsidRPr="00FE28CF">
        <w:rPr>
          <w:rFonts w:ascii="Arial" w:hAnsi="Arial" w:cs="Arial"/>
          <w:sz w:val="22"/>
        </w:rPr>
        <w:t xml:space="preserve"> on </w:t>
      </w:r>
      <w:r w:rsidR="002D269B">
        <w:rPr>
          <w:rFonts w:ascii="Arial" w:hAnsi="Arial" w:cs="Arial"/>
          <w:sz w:val="22"/>
        </w:rPr>
        <w:t xml:space="preserve">male or female </w:t>
      </w:r>
      <w:r w:rsidRPr="00FE28CF">
        <w:rPr>
          <w:rFonts w:ascii="Arial" w:hAnsi="Arial" w:cs="Arial"/>
          <w:sz w:val="22"/>
        </w:rPr>
        <w:t>fertility</w:t>
      </w:r>
      <w:r w:rsidRPr="00FE28CF">
        <w:rPr>
          <w:rFonts w:ascii="Arial" w:hAnsi="Arial" w:cs="Arial"/>
          <w:i/>
          <w:sz w:val="22"/>
        </w:rPr>
        <w:t>.</w:t>
      </w:r>
    </w:p>
    <w:p w:rsidR="00C63332" w:rsidRPr="007835FF" w:rsidRDefault="00242B97" w:rsidP="00290EDD">
      <w:pPr>
        <w:keepNext/>
        <w:spacing w:after="240"/>
        <w:jc w:val="both"/>
        <w:rPr>
          <w:rFonts w:ascii="Arial" w:hAnsi="Arial" w:cs="Arial"/>
          <w:b/>
          <w:sz w:val="22"/>
          <w:szCs w:val="22"/>
        </w:rPr>
      </w:pPr>
      <w:r w:rsidRPr="00FE28CF">
        <w:rPr>
          <w:rFonts w:ascii="Arial" w:hAnsi="Arial" w:cs="Arial"/>
          <w:b/>
          <w:sz w:val="22"/>
          <w:szCs w:val="22"/>
        </w:rPr>
        <w:t xml:space="preserve">Use in </w:t>
      </w:r>
      <w:r w:rsidR="00C63332" w:rsidRPr="00577F75">
        <w:rPr>
          <w:rFonts w:ascii="Arial" w:hAnsi="Arial" w:cs="Arial"/>
          <w:b/>
          <w:sz w:val="22"/>
          <w:szCs w:val="22"/>
        </w:rPr>
        <w:t>Pregnancy</w:t>
      </w:r>
      <w:r w:rsidRPr="00577F75">
        <w:rPr>
          <w:rFonts w:ascii="Arial" w:hAnsi="Arial" w:cs="Arial"/>
          <w:b/>
          <w:sz w:val="22"/>
          <w:szCs w:val="22"/>
        </w:rPr>
        <w:t xml:space="preserve"> (</w:t>
      </w:r>
      <w:r w:rsidRPr="00577F75">
        <w:rPr>
          <w:rFonts w:ascii="Arial" w:hAnsi="Arial" w:cs="Arial"/>
          <w:b/>
          <w:color w:val="000000"/>
          <w:sz w:val="22"/>
          <w:szCs w:val="22"/>
        </w:rPr>
        <w:t>Category</w:t>
      </w:r>
      <w:r w:rsidR="004F640B" w:rsidRPr="00577F75">
        <w:rPr>
          <w:rFonts w:ascii="Arial" w:hAnsi="Arial" w:cs="Arial"/>
          <w:b/>
          <w:color w:val="000000"/>
          <w:sz w:val="22"/>
          <w:szCs w:val="22"/>
        </w:rPr>
        <w:t xml:space="preserve"> </w:t>
      </w:r>
      <w:r w:rsidR="00825F8B" w:rsidRPr="00577F75">
        <w:rPr>
          <w:rFonts w:ascii="Arial" w:hAnsi="Arial" w:cs="Arial"/>
          <w:b/>
          <w:color w:val="000000"/>
          <w:sz w:val="22"/>
          <w:szCs w:val="22"/>
        </w:rPr>
        <w:t>B3</w:t>
      </w:r>
      <w:r w:rsidRPr="00577F75">
        <w:rPr>
          <w:rFonts w:ascii="Arial" w:hAnsi="Arial" w:cs="Arial"/>
          <w:b/>
          <w:sz w:val="22"/>
          <w:szCs w:val="22"/>
        </w:rPr>
        <w:t>)</w:t>
      </w:r>
      <w:r w:rsidR="00C63332" w:rsidRPr="00577F75">
        <w:rPr>
          <w:rFonts w:ascii="Arial" w:hAnsi="Arial" w:cs="Arial"/>
          <w:b/>
          <w:sz w:val="22"/>
          <w:szCs w:val="22"/>
        </w:rPr>
        <w:t>:</w:t>
      </w:r>
    </w:p>
    <w:p w:rsidR="00D05EDE" w:rsidRPr="00FE28CF" w:rsidRDefault="002D269B" w:rsidP="00290EDD">
      <w:pPr>
        <w:keepNext/>
        <w:spacing w:after="240"/>
        <w:rPr>
          <w:rFonts w:ascii="Arial" w:hAnsi="Arial" w:cs="Arial"/>
          <w:sz w:val="22"/>
          <w:szCs w:val="22"/>
        </w:rPr>
      </w:pPr>
      <w:r>
        <w:rPr>
          <w:rFonts w:ascii="Arial" w:hAnsi="Arial" w:cs="Arial"/>
          <w:sz w:val="22"/>
          <w:szCs w:val="22"/>
        </w:rPr>
        <w:t xml:space="preserve">There are no adequate and well-controlled trials with </w:t>
      </w:r>
      <w:r w:rsidR="00CC27D5" w:rsidRPr="00217091">
        <w:rPr>
          <w:rFonts w:ascii="Arial" w:hAnsi="Arial" w:cs="Arial"/>
          <w:sz w:val="22"/>
          <w:szCs w:val="22"/>
        </w:rPr>
        <w:t xml:space="preserve">fluticasone </w:t>
      </w:r>
      <w:proofErr w:type="spellStart"/>
      <w:r w:rsidR="00CC27D5" w:rsidRPr="00217091">
        <w:rPr>
          <w:rFonts w:ascii="Arial" w:hAnsi="Arial" w:cs="Arial"/>
          <w:sz w:val="22"/>
          <w:szCs w:val="22"/>
        </w:rPr>
        <w:t>furoate</w:t>
      </w:r>
      <w:proofErr w:type="spellEnd"/>
      <w:r w:rsidR="00CC27D5" w:rsidRPr="00217091">
        <w:rPr>
          <w:rFonts w:ascii="Arial" w:hAnsi="Arial" w:cs="Arial"/>
          <w:sz w:val="22"/>
          <w:szCs w:val="22"/>
        </w:rPr>
        <w:t>/</w:t>
      </w:r>
      <w:proofErr w:type="spellStart"/>
      <w:r w:rsidR="00CC27D5" w:rsidRPr="00217091">
        <w:rPr>
          <w:rFonts w:ascii="Arial" w:hAnsi="Arial" w:cs="Arial"/>
          <w:sz w:val="22"/>
          <w:szCs w:val="22"/>
        </w:rPr>
        <w:t>vilanterol</w:t>
      </w:r>
      <w:proofErr w:type="spellEnd"/>
      <w:r w:rsidR="00CC27D5" w:rsidRPr="00217091">
        <w:rPr>
          <w:rFonts w:ascii="Arial" w:hAnsi="Arial" w:cs="Arial"/>
          <w:sz w:val="22"/>
          <w:szCs w:val="22"/>
        </w:rPr>
        <w:t xml:space="preserve"> </w:t>
      </w:r>
      <w:r>
        <w:rPr>
          <w:rFonts w:ascii="Arial" w:hAnsi="Arial" w:cs="Arial"/>
          <w:sz w:val="22"/>
          <w:szCs w:val="22"/>
        </w:rPr>
        <w:t>in pregnant women.  Corticosteroids and beta</w:t>
      </w:r>
      <w:r w:rsidRPr="002D269B">
        <w:rPr>
          <w:rFonts w:ascii="Arial" w:hAnsi="Arial" w:cs="Arial"/>
          <w:sz w:val="22"/>
          <w:szCs w:val="22"/>
          <w:vertAlign w:val="subscript"/>
        </w:rPr>
        <w:t>2</w:t>
      </w:r>
      <w:r>
        <w:rPr>
          <w:rFonts w:ascii="Arial" w:hAnsi="Arial" w:cs="Arial"/>
          <w:sz w:val="22"/>
          <w:szCs w:val="22"/>
        </w:rPr>
        <w:t>-agonists have been shown to be teratogenic in laboratory animals when administered systematically at relatively low dosage levels</w:t>
      </w:r>
      <w:r w:rsidR="00D05EDE" w:rsidRPr="00FE28CF">
        <w:rPr>
          <w:rFonts w:ascii="Arial" w:hAnsi="Arial" w:cs="Arial"/>
          <w:sz w:val="22"/>
          <w:szCs w:val="22"/>
        </w:rPr>
        <w:t>.</w:t>
      </w:r>
    </w:p>
    <w:p w:rsidR="00A41F7B" w:rsidRDefault="002D269B" w:rsidP="000961AD">
      <w:pPr>
        <w:spacing w:after="240"/>
        <w:rPr>
          <w:rFonts w:ascii="Arial" w:hAnsi="Arial" w:cs="Arial"/>
          <w:sz w:val="22"/>
          <w:szCs w:val="22"/>
        </w:rPr>
      </w:pPr>
      <w:r>
        <w:rPr>
          <w:rFonts w:ascii="Arial" w:hAnsi="Arial" w:cs="Arial"/>
          <w:sz w:val="22"/>
          <w:szCs w:val="22"/>
        </w:rPr>
        <w:t xml:space="preserve">Maternal and </w:t>
      </w:r>
      <w:proofErr w:type="spellStart"/>
      <w:r>
        <w:rPr>
          <w:rFonts w:ascii="Arial" w:hAnsi="Arial" w:cs="Arial"/>
          <w:sz w:val="22"/>
          <w:szCs w:val="22"/>
        </w:rPr>
        <w:t>fetal</w:t>
      </w:r>
      <w:proofErr w:type="spellEnd"/>
      <w:r>
        <w:rPr>
          <w:rFonts w:ascii="Arial" w:hAnsi="Arial" w:cs="Arial"/>
          <w:sz w:val="22"/>
          <w:szCs w:val="22"/>
        </w:rPr>
        <w:t xml:space="preserve"> toxicity (likely due to the fluticasone </w:t>
      </w:r>
      <w:proofErr w:type="spellStart"/>
      <w:r>
        <w:rPr>
          <w:rFonts w:ascii="Arial" w:hAnsi="Arial" w:cs="Arial"/>
          <w:sz w:val="22"/>
          <w:szCs w:val="22"/>
        </w:rPr>
        <w:t>furoate</w:t>
      </w:r>
      <w:proofErr w:type="spellEnd"/>
      <w:r>
        <w:rPr>
          <w:rFonts w:ascii="Arial" w:hAnsi="Arial" w:cs="Arial"/>
          <w:sz w:val="22"/>
          <w:szCs w:val="22"/>
        </w:rPr>
        <w:t xml:space="preserve"> component) were </w:t>
      </w:r>
      <w:r w:rsidR="005426F1">
        <w:rPr>
          <w:rFonts w:ascii="Arial" w:hAnsi="Arial" w:cs="Arial"/>
          <w:sz w:val="22"/>
          <w:szCs w:val="22"/>
        </w:rPr>
        <w:t>observed</w:t>
      </w:r>
      <w:r>
        <w:rPr>
          <w:rFonts w:ascii="Arial" w:hAnsi="Arial" w:cs="Arial"/>
          <w:sz w:val="22"/>
          <w:szCs w:val="22"/>
        </w:rPr>
        <w:t xml:space="preserve"> in rat </w:t>
      </w:r>
      <w:proofErr w:type="spellStart"/>
      <w:r>
        <w:rPr>
          <w:rFonts w:ascii="Arial" w:hAnsi="Arial" w:cs="Arial"/>
          <w:sz w:val="22"/>
          <w:szCs w:val="22"/>
        </w:rPr>
        <w:t>embryofetal</w:t>
      </w:r>
      <w:proofErr w:type="spellEnd"/>
      <w:r>
        <w:rPr>
          <w:rFonts w:ascii="Arial" w:hAnsi="Arial" w:cs="Arial"/>
          <w:sz w:val="22"/>
          <w:szCs w:val="22"/>
        </w:rPr>
        <w:t xml:space="preserve"> development study with the fluticasone/</w:t>
      </w:r>
      <w:proofErr w:type="spellStart"/>
      <w:r>
        <w:rPr>
          <w:rFonts w:ascii="Arial" w:hAnsi="Arial" w:cs="Arial"/>
          <w:sz w:val="22"/>
          <w:szCs w:val="22"/>
        </w:rPr>
        <w:t>vilanterol</w:t>
      </w:r>
      <w:proofErr w:type="spellEnd"/>
      <w:r>
        <w:rPr>
          <w:rFonts w:ascii="Arial" w:hAnsi="Arial" w:cs="Arial"/>
          <w:sz w:val="22"/>
          <w:szCs w:val="22"/>
        </w:rPr>
        <w:t xml:space="preserve"> combination at fluticasone </w:t>
      </w:r>
      <w:proofErr w:type="spellStart"/>
      <w:r w:rsidR="00A41F7B">
        <w:rPr>
          <w:rFonts w:ascii="Arial" w:hAnsi="Arial" w:cs="Arial"/>
          <w:sz w:val="22"/>
          <w:szCs w:val="22"/>
        </w:rPr>
        <w:t>furoate</w:t>
      </w:r>
      <w:proofErr w:type="spellEnd"/>
      <w:r w:rsidR="00A41F7B">
        <w:rPr>
          <w:rFonts w:ascii="Arial" w:hAnsi="Arial" w:cs="Arial"/>
          <w:sz w:val="22"/>
          <w:szCs w:val="22"/>
        </w:rPr>
        <w:t xml:space="preserve"> doses of 29.5 and 82 µg/kg/day, respectively (equivalent</w:t>
      </w:r>
      <w:r>
        <w:rPr>
          <w:rFonts w:ascii="Arial" w:hAnsi="Arial" w:cs="Arial"/>
          <w:sz w:val="22"/>
          <w:szCs w:val="22"/>
        </w:rPr>
        <w:t xml:space="preserve"> </w:t>
      </w:r>
      <w:r w:rsidR="00A41F7B">
        <w:rPr>
          <w:rFonts w:ascii="Arial" w:hAnsi="Arial" w:cs="Arial"/>
          <w:sz w:val="22"/>
          <w:szCs w:val="22"/>
        </w:rPr>
        <w:t>to 3 and 9 times, respectively, the clinical exposure based on AUC).</w:t>
      </w:r>
    </w:p>
    <w:p w:rsidR="007C61D5" w:rsidRDefault="007C61D5" w:rsidP="000961AD">
      <w:pPr>
        <w:spacing w:after="240"/>
        <w:rPr>
          <w:rFonts w:ascii="Arial" w:hAnsi="Arial" w:cs="Arial"/>
          <w:sz w:val="22"/>
          <w:szCs w:val="22"/>
        </w:rPr>
      </w:pPr>
      <w:r>
        <w:rPr>
          <w:rFonts w:ascii="Arial" w:hAnsi="Arial" w:cs="Arial"/>
          <w:sz w:val="22"/>
          <w:szCs w:val="22"/>
        </w:rPr>
        <w:t xml:space="preserve">In rabbits, there was evidence of maternal toxicity and </w:t>
      </w:r>
      <w:proofErr w:type="spellStart"/>
      <w:r>
        <w:rPr>
          <w:rFonts w:ascii="Arial" w:hAnsi="Arial" w:cs="Arial"/>
          <w:sz w:val="22"/>
          <w:szCs w:val="22"/>
        </w:rPr>
        <w:t>embryotoxicity</w:t>
      </w:r>
      <w:proofErr w:type="spellEnd"/>
      <w:r>
        <w:rPr>
          <w:rFonts w:ascii="Arial" w:hAnsi="Arial" w:cs="Arial"/>
          <w:sz w:val="22"/>
          <w:szCs w:val="22"/>
        </w:rPr>
        <w:t xml:space="preserve"> following inhalation exposure to </w:t>
      </w:r>
      <w:proofErr w:type="spellStart"/>
      <w:r>
        <w:rPr>
          <w:rFonts w:ascii="Arial" w:hAnsi="Arial" w:cs="Arial"/>
          <w:sz w:val="22"/>
          <w:szCs w:val="22"/>
        </w:rPr>
        <w:t>vilanterol</w:t>
      </w:r>
      <w:proofErr w:type="spellEnd"/>
      <w:r>
        <w:rPr>
          <w:rFonts w:ascii="Arial" w:hAnsi="Arial" w:cs="Arial"/>
          <w:sz w:val="22"/>
          <w:szCs w:val="22"/>
        </w:rPr>
        <w:t xml:space="preserve"> </w:t>
      </w:r>
      <w:proofErr w:type="spellStart"/>
      <w:r>
        <w:rPr>
          <w:rFonts w:ascii="Arial" w:hAnsi="Arial" w:cs="Arial"/>
          <w:sz w:val="22"/>
          <w:szCs w:val="22"/>
        </w:rPr>
        <w:t>triphenylacetate</w:t>
      </w:r>
      <w:proofErr w:type="spellEnd"/>
      <w:r>
        <w:rPr>
          <w:rFonts w:ascii="Arial" w:hAnsi="Arial" w:cs="Arial"/>
          <w:sz w:val="22"/>
          <w:szCs w:val="22"/>
        </w:rPr>
        <w:t xml:space="preserve"> at 591 and </w:t>
      </w:r>
      <w:proofErr w:type="gramStart"/>
      <w:r>
        <w:rPr>
          <w:rFonts w:ascii="Arial" w:hAnsi="Arial" w:cs="Arial"/>
          <w:sz w:val="22"/>
          <w:szCs w:val="22"/>
        </w:rPr>
        <w:t>62.7 µg/kg/day, respectively (equivalent to 150 and 14 times the clinical exposure based on AUC)</w:t>
      </w:r>
      <w:proofErr w:type="gramEnd"/>
      <w:r>
        <w:rPr>
          <w:rFonts w:ascii="Arial" w:hAnsi="Arial" w:cs="Arial"/>
          <w:sz w:val="22"/>
          <w:szCs w:val="22"/>
        </w:rPr>
        <w:t xml:space="preserve">.  A non-dose related increase in malformations, including the rare open eyelid, was also observed.  In a separate study with subcutaneous exposure, increased incidence of open eye and increase in skeletal variations (indicative of developmental delay) occurred at 300 µg/kg/day (equivalent to </w:t>
      </w:r>
      <w:r w:rsidR="00504D32">
        <w:rPr>
          <w:rFonts w:ascii="Arial" w:hAnsi="Arial" w:cs="Arial"/>
          <w:sz w:val="22"/>
          <w:szCs w:val="22"/>
        </w:rPr>
        <w:t xml:space="preserve">1000 times the clinical exposure based on AUC) with a NOAEL of 30 µg/kg/day (equivalent to </w:t>
      </w:r>
      <w:r>
        <w:rPr>
          <w:rFonts w:ascii="Arial" w:hAnsi="Arial" w:cs="Arial"/>
          <w:sz w:val="22"/>
          <w:szCs w:val="22"/>
        </w:rPr>
        <w:t>84 times the c</w:t>
      </w:r>
      <w:r w:rsidR="00F2728C">
        <w:rPr>
          <w:rFonts w:ascii="Arial" w:hAnsi="Arial" w:cs="Arial"/>
          <w:sz w:val="22"/>
          <w:szCs w:val="22"/>
        </w:rPr>
        <w:t>linical exposure based on AUC).</w:t>
      </w:r>
    </w:p>
    <w:p w:rsidR="00D05EDE" w:rsidRPr="00FE28CF" w:rsidRDefault="00D05EDE" w:rsidP="000961AD">
      <w:pPr>
        <w:spacing w:after="240"/>
        <w:rPr>
          <w:rFonts w:ascii="Arial" w:hAnsi="Arial" w:cs="Arial"/>
          <w:sz w:val="22"/>
          <w:szCs w:val="22"/>
        </w:rPr>
      </w:pPr>
      <w:r w:rsidRPr="00FE28CF">
        <w:rPr>
          <w:rFonts w:ascii="Arial" w:hAnsi="Arial" w:cs="Arial"/>
          <w:sz w:val="22"/>
          <w:szCs w:val="22"/>
        </w:rPr>
        <w:t xml:space="preserve">Administration of </w:t>
      </w:r>
      <w:proofErr w:type="spellStart"/>
      <w:r w:rsidR="004961DC">
        <w:rPr>
          <w:rFonts w:ascii="Arial" w:hAnsi="Arial" w:cs="Arial"/>
          <w:sz w:val="22"/>
          <w:szCs w:val="22"/>
        </w:rPr>
        <w:t>Breo</w:t>
      </w:r>
      <w:proofErr w:type="spellEnd"/>
      <w:r w:rsidR="004961DC">
        <w:rPr>
          <w:rFonts w:ascii="Arial" w:hAnsi="Arial" w:cs="Arial"/>
          <w:sz w:val="22"/>
          <w:szCs w:val="22"/>
        </w:rPr>
        <w:t xml:space="preserve"> </w:t>
      </w:r>
      <w:proofErr w:type="spellStart"/>
      <w:r w:rsidR="004961DC">
        <w:rPr>
          <w:rFonts w:ascii="Arial" w:hAnsi="Arial" w:cs="Arial"/>
          <w:sz w:val="22"/>
          <w:szCs w:val="22"/>
        </w:rPr>
        <w:t>Ellipta</w:t>
      </w:r>
      <w:proofErr w:type="spellEnd"/>
      <w:r w:rsidRPr="00FE28CF">
        <w:rPr>
          <w:rFonts w:ascii="Arial" w:hAnsi="Arial" w:cs="Arial"/>
          <w:sz w:val="22"/>
          <w:szCs w:val="22"/>
        </w:rPr>
        <w:t xml:space="preserve"> to pregnant women should only be considered if the expected benefit to the mother is greater than any possible risk to the foetus.</w:t>
      </w:r>
    </w:p>
    <w:p w:rsidR="00C63332" w:rsidRPr="007835FF" w:rsidRDefault="00242B97" w:rsidP="000961AD">
      <w:pPr>
        <w:spacing w:after="240"/>
        <w:jc w:val="both"/>
        <w:rPr>
          <w:rFonts w:ascii="Arial" w:hAnsi="Arial" w:cs="Arial"/>
          <w:b/>
          <w:sz w:val="22"/>
          <w:szCs w:val="22"/>
        </w:rPr>
      </w:pPr>
      <w:r w:rsidRPr="007835FF">
        <w:rPr>
          <w:rFonts w:ascii="Arial" w:hAnsi="Arial" w:cs="Arial"/>
          <w:b/>
          <w:sz w:val="22"/>
          <w:szCs w:val="22"/>
        </w:rPr>
        <w:t xml:space="preserve">Use in </w:t>
      </w:r>
      <w:r w:rsidR="00C63332" w:rsidRPr="007835FF">
        <w:rPr>
          <w:rFonts w:ascii="Arial" w:hAnsi="Arial" w:cs="Arial"/>
          <w:b/>
          <w:sz w:val="22"/>
          <w:szCs w:val="22"/>
        </w:rPr>
        <w:t>Lactation:</w:t>
      </w:r>
    </w:p>
    <w:p w:rsidR="00D05EDE" w:rsidRPr="00FE28CF" w:rsidRDefault="00D05EDE" w:rsidP="000961AD">
      <w:pPr>
        <w:spacing w:after="240"/>
        <w:rPr>
          <w:rFonts w:ascii="Arial" w:hAnsi="Arial" w:cs="Arial"/>
          <w:sz w:val="22"/>
          <w:szCs w:val="22"/>
        </w:rPr>
      </w:pPr>
      <w:r w:rsidRPr="00FE28CF">
        <w:rPr>
          <w:rFonts w:ascii="Arial" w:eastAsia="SimSun" w:hAnsi="Arial" w:cs="Arial"/>
          <w:color w:val="000000"/>
          <w:sz w:val="22"/>
          <w:szCs w:val="22"/>
          <w:lang w:val="en-US" w:eastAsia="zh-CN"/>
        </w:rPr>
        <w:t xml:space="preserve">There </w:t>
      </w:r>
      <w:r w:rsidRPr="00FE28CF">
        <w:rPr>
          <w:rFonts w:ascii="Arial" w:eastAsia="SimSun" w:hAnsi="Arial" w:cs="Arial"/>
          <w:sz w:val="22"/>
          <w:szCs w:val="22"/>
        </w:rPr>
        <w:t>is limited</w:t>
      </w:r>
      <w:r w:rsidRPr="00FE28CF">
        <w:rPr>
          <w:rFonts w:ascii="Arial" w:eastAsia="SimSun" w:hAnsi="Arial" w:cs="Arial"/>
          <w:b/>
          <w:i/>
          <w:color w:val="FF0000"/>
          <w:sz w:val="22"/>
          <w:szCs w:val="22"/>
          <w:lang w:val="en-US" w:eastAsia="zh-CN"/>
        </w:rPr>
        <w:t xml:space="preserve"> </w:t>
      </w:r>
      <w:r w:rsidRPr="00FE28CF">
        <w:rPr>
          <w:rFonts w:ascii="Arial" w:eastAsia="SimSun" w:hAnsi="Arial" w:cs="Arial"/>
          <w:color w:val="000000"/>
          <w:sz w:val="22"/>
          <w:szCs w:val="22"/>
          <w:lang w:val="en-US" w:eastAsia="zh-CN"/>
        </w:rPr>
        <w:t xml:space="preserve">information on the excretion of </w:t>
      </w:r>
      <w:r w:rsidRPr="00FE28CF">
        <w:rPr>
          <w:rFonts w:ascii="Arial" w:hAnsi="Arial" w:cs="Arial"/>
          <w:sz w:val="22"/>
          <w:szCs w:val="22"/>
        </w:rPr>
        <w:t xml:space="preserve">fluticasone </w:t>
      </w:r>
      <w:proofErr w:type="spellStart"/>
      <w:r w:rsidRPr="00FE28CF">
        <w:rPr>
          <w:rFonts w:ascii="Arial" w:hAnsi="Arial" w:cs="Arial"/>
          <w:sz w:val="22"/>
          <w:szCs w:val="22"/>
        </w:rPr>
        <w:t>furoate</w:t>
      </w:r>
      <w:proofErr w:type="spellEnd"/>
      <w:r w:rsidRPr="00FE28CF">
        <w:rPr>
          <w:rFonts w:ascii="Arial" w:hAnsi="Arial" w:cs="Arial"/>
          <w:sz w:val="22"/>
          <w:szCs w:val="22"/>
        </w:rPr>
        <w:t xml:space="preserve"> or </w:t>
      </w:r>
      <w:proofErr w:type="spellStart"/>
      <w:r w:rsidRPr="00FE28CF">
        <w:rPr>
          <w:rFonts w:ascii="Arial" w:hAnsi="Arial" w:cs="Arial"/>
          <w:sz w:val="22"/>
          <w:szCs w:val="22"/>
        </w:rPr>
        <w:t>vilanterol</w:t>
      </w:r>
      <w:proofErr w:type="spellEnd"/>
      <w:r w:rsidRPr="00FE28CF">
        <w:rPr>
          <w:rFonts w:ascii="Arial" w:hAnsi="Arial" w:cs="Arial"/>
          <w:sz w:val="22"/>
          <w:szCs w:val="22"/>
        </w:rPr>
        <w:t xml:space="preserve"> or their</w:t>
      </w:r>
      <w:r w:rsidRPr="00FE28CF">
        <w:rPr>
          <w:rFonts w:ascii="Arial" w:hAnsi="Arial" w:cs="Arial"/>
          <w:b/>
          <w:i/>
          <w:color w:val="FF0000"/>
          <w:sz w:val="22"/>
          <w:szCs w:val="22"/>
        </w:rPr>
        <w:t xml:space="preserve"> </w:t>
      </w:r>
      <w:r w:rsidRPr="00FE28CF">
        <w:rPr>
          <w:rFonts w:ascii="Arial" w:eastAsia="SimSun" w:hAnsi="Arial" w:cs="Arial"/>
          <w:color w:val="000000"/>
          <w:sz w:val="22"/>
          <w:szCs w:val="22"/>
          <w:lang w:val="en-US" w:eastAsia="zh-CN"/>
        </w:rPr>
        <w:t>metabolites in human milk</w:t>
      </w:r>
      <w:r w:rsidRPr="00FE28CF">
        <w:rPr>
          <w:rFonts w:ascii="Arial" w:hAnsi="Arial" w:cs="Arial"/>
          <w:sz w:val="22"/>
          <w:szCs w:val="22"/>
          <w:lang w:val="en-US" w:eastAsia="en-US"/>
        </w:rPr>
        <w:t>. However, other corticosteroids and beta</w:t>
      </w:r>
      <w:r w:rsidRPr="00FE28CF">
        <w:rPr>
          <w:rFonts w:ascii="Arial" w:hAnsi="Arial" w:cs="Arial"/>
          <w:sz w:val="22"/>
          <w:szCs w:val="22"/>
          <w:vertAlign w:val="subscript"/>
          <w:lang w:val="en-US" w:eastAsia="en-US"/>
        </w:rPr>
        <w:t>2-</w:t>
      </w:r>
      <w:r w:rsidRPr="00FE28CF">
        <w:rPr>
          <w:rFonts w:ascii="Arial" w:hAnsi="Arial" w:cs="Arial"/>
          <w:sz w:val="22"/>
          <w:szCs w:val="22"/>
          <w:lang w:val="en-US" w:eastAsia="en-US"/>
        </w:rPr>
        <w:t>agonists are detected in human milk</w:t>
      </w:r>
      <w:r w:rsidR="00FE3A27">
        <w:rPr>
          <w:rFonts w:ascii="Arial" w:hAnsi="Arial" w:cs="Arial"/>
          <w:sz w:val="22"/>
          <w:szCs w:val="22"/>
          <w:lang w:val="en-US" w:eastAsia="en-US"/>
        </w:rPr>
        <w:t xml:space="preserve">. </w:t>
      </w:r>
      <w:r w:rsidRPr="00FE28CF">
        <w:rPr>
          <w:rFonts w:ascii="Arial" w:hAnsi="Arial" w:cs="Arial"/>
          <w:sz w:val="22"/>
          <w:szCs w:val="22"/>
        </w:rPr>
        <w:t xml:space="preserve"> A risk to breastfed newbo</w:t>
      </w:r>
      <w:r w:rsidR="00F2728C">
        <w:rPr>
          <w:rFonts w:ascii="Arial" w:hAnsi="Arial" w:cs="Arial"/>
          <w:sz w:val="22"/>
          <w:szCs w:val="22"/>
        </w:rPr>
        <w:t>rns/infants cannot be excluded.</w:t>
      </w:r>
    </w:p>
    <w:p w:rsidR="00E8070F" w:rsidRPr="00FE28CF" w:rsidRDefault="00D05EDE" w:rsidP="000961AD">
      <w:pPr>
        <w:spacing w:after="240"/>
        <w:rPr>
          <w:rFonts w:ascii="Arial" w:hAnsi="Arial" w:cs="Arial"/>
          <w:sz w:val="22"/>
          <w:szCs w:val="22"/>
        </w:rPr>
      </w:pPr>
      <w:r w:rsidRPr="00FE28CF">
        <w:rPr>
          <w:rFonts w:ascii="Arial" w:hAnsi="Arial" w:cs="Arial"/>
          <w:sz w:val="22"/>
          <w:szCs w:val="22"/>
        </w:rPr>
        <w:t xml:space="preserve">A decision must be made whether to discontinue breast-feeding or to discontinue </w:t>
      </w:r>
      <w:proofErr w:type="spellStart"/>
      <w:r w:rsidR="004961DC">
        <w:rPr>
          <w:rFonts w:ascii="Arial" w:hAnsi="Arial" w:cs="Arial"/>
          <w:sz w:val="22"/>
          <w:szCs w:val="22"/>
        </w:rPr>
        <w:t>Breo</w:t>
      </w:r>
      <w:proofErr w:type="spellEnd"/>
      <w:r w:rsidR="004961DC">
        <w:rPr>
          <w:rFonts w:ascii="Arial" w:hAnsi="Arial" w:cs="Arial"/>
          <w:sz w:val="22"/>
          <w:szCs w:val="22"/>
        </w:rPr>
        <w:t xml:space="preserve"> </w:t>
      </w:r>
      <w:proofErr w:type="spellStart"/>
      <w:r w:rsidR="004961DC">
        <w:rPr>
          <w:rFonts w:ascii="Arial" w:hAnsi="Arial" w:cs="Arial"/>
          <w:sz w:val="22"/>
          <w:szCs w:val="22"/>
        </w:rPr>
        <w:t>Ellipta</w:t>
      </w:r>
      <w:proofErr w:type="spellEnd"/>
      <w:r w:rsidRPr="00FE28CF">
        <w:rPr>
          <w:rFonts w:ascii="Arial" w:hAnsi="Arial" w:cs="Arial"/>
          <w:sz w:val="22"/>
          <w:szCs w:val="22"/>
        </w:rPr>
        <w:t xml:space="preserve"> therapy taking into account the benefit of breast-feeding for the child and the benefit of therapy for the woman.</w:t>
      </w:r>
    </w:p>
    <w:p w:rsidR="00242B97" w:rsidRPr="000E1AAC" w:rsidRDefault="00242B97" w:rsidP="00386B73">
      <w:pPr>
        <w:keepNext/>
        <w:spacing w:after="240"/>
        <w:jc w:val="both"/>
        <w:rPr>
          <w:rFonts w:ascii="Arial" w:hAnsi="Arial" w:cs="Arial"/>
          <w:b/>
          <w:sz w:val="22"/>
          <w:szCs w:val="22"/>
        </w:rPr>
      </w:pPr>
      <w:r w:rsidRPr="000E1AAC">
        <w:rPr>
          <w:rFonts w:ascii="Arial" w:hAnsi="Arial" w:cs="Arial"/>
          <w:b/>
          <w:sz w:val="22"/>
          <w:szCs w:val="22"/>
        </w:rPr>
        <w:t>Paediatric Use:</w:t>
      </w:r>
    </w:p>
    <w:p w:rsidR="00E8070F" w:rsidRPr="000E1AAC" w:rsidRDefault="007E4F31" w:rsidP="0078424B">
      <w:pPr>
        <w:keepNext/>
        <w:spacing w:after="240"/>
        <w:rPr>
          <w:rFonts w:ascii="Arial" w:hAnsi="Arial" w:cs="Arial"/>
          <w:sz w:val="22"/>
          <w:szCs w:val="22"/>
        </w:rPr>
      </w:pP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should not be used in children </w:t>
      </w:r>
      <w:r w:rsidR="00663F74">
        <w:rPr>
          <w:rFonts w:ascii="Arial" w:hAnsi="Arial" w:cs="Arial"/>
          <w:sz w:val="22"/>
          <w:szCs w:val="22"/>
        </w:rPr>
        <w:t xml:space="preserve">(i.e. patients younger </w:t>
      </w:r>
      <w:r w:rsidR="006A0F11" w:rsidRPr="000E1AAC">
        <w:rPr>
          <w:rFonts w:ascii="Arial" w:hAnsi="Arial" w:cs="Arial"/>
          <w:sz w:val="22"/>
          <w:szCs w:val="22"/>
        </w:rPr>
        <w:t>than 12 years of age</w:t>
      </w:r>
      <w:r w:rsidR="00663F74">
        <w:rPr>
          <w:rFonts w:ascii="Arial" w:hAnsi="Arial" w:cs="Arial"/>
          <w:sz w:val="22"/>
          <w:szCs w:val="22"/>
        </w:rPr>
        <w:t>)</w:t>
      </w:r>
      <w:r w:rsidR="006A0F11" w:rsidRPr="000E1AAC">
        <w:rPr>
          <w:rFonts w:ascii="Arial" w:hAnsi="Arial" w:cs="Arial"/>
          <w:sz w:val="22"/>
          <w:szCs w:val="22"/>
        </w:rPr>
        <w:t>.</w:t>
      </w:r>
    </w:p>
    <w:p w:rsidR="00242B97" w:rsidRPr="000F37ED" w:rsidRDefault="00242B97" w:rsidP="000961AD">
      <w:pPr>
        <w:spacing w:after="240"/>
        <w:jc w:val="both"/>
        <w:rPr>
          <w:rFonts w:ascii="Arial" w:hAnsi="Arial" w:cs="Arial"/>
          <w:b/>
          <w:sz w:val="22"/>
          <w:szCs w:val="22"/>
        </w:rPr>
      </w:pPr>
      <w:r w:rsidRPr="000F37ED">
        <w:rPr>
          <w:rFonts w:ascii="Arial" w:hAnsi="Arial" w:cs="Arial"/>
          <w:b/>
          <w:sz w:val="22"/>
          <w:szCs w:val="22"/>
        </w:rPr>
        <w:t xml:space="preserve">Use in </w:t>
      </w:r>
      <w:r w:rsidR="00A93928" w:rsidRPr="000F37ED">
        <w:rPr>
          <w:rFonts w:ascii="Arial" w:hAnsi="Arial" w:cs="Arial"/>
          <w:b/>
          <w:sz w:val="22"/>
          <w:szCs w:val="22"/>
        </w:rPr>
        <w:t xml:space="preserve">the </w:t>
      </w:r>
      <w:r w:rsidRPr="000F37ED">
        <w:rPr>
          <w:rFonts w:ascii="Arial" w:hAnsi="Arial" w:cs="Arial"/>
          <w:b/>
          <w:sz w:val="22"/>
          <w:szCs w:val="22"/>
        </w:rPr>
        <w:t>Elderly:</w:t>
      </w:r>
    </w:p>
    <w:p w:rsidR="00663F74" w:rsidRPr="000F37ED" w:rsidRDefault="00663F74" w:rsidP="00663F74">
      <w:pPr>
        <w:spacing w:after="240"/>
        <w:jc w:val="both"/>
        <w:rPr>
          <w:rFonts w:ascii="Arial" w:hAnsi="Arial" w:cs="Arial"/>
          <w:sz w:val="22"/>
          <w:szCs w:val="22"/>
        </w:rPr>
      </w:pPr>
      <w:r>
        <w:rPr>
          <w:rFonts w:ascii="Arial" w:hAnsi="Arial" w:cs="Arial"/>
          <w:sz w:val="22"/>
          <w:szCs w:val="22"/>
        </w:rPr>
        <w:t xml:space="preserve">Due to limited data in patients with asthma aged 75 years and older, </w:t>
      </w:r>
      <w:proofErr w:type="spellStart"/>
      <w:r>
        <w:rPr>
          <w:rFonts w:ascii="Arial" w:hAnsi="Arial" w:cs="Arial"/>
          <w:sz w:val="22"/>
          <w:szCs w:val="22"/>
        </w:rPr>
        <w:t>Breo</w:t>
      </w:r>
      <w:proofErr w:type="spellEnd"/>
      <w:r>
        <w:rPr>
          <w:rFonts w:ascii="Arial" w:hAnsi="Arial" w:cs="Arial"/>
          <w:sz w:val="22"/>
          <w:szCs w:val="22"/>
        </w:rPr>
        <w:t xml:space="preserve"> 200/25 </w:t>
      </w:r>
      <w:r w:rsidR="004556A2">
        <w:rPr>
          <w:rFonts w:ascii="Arial" w:hAnsi="Arial" w:cs="Arial"/>
          <w:sz w:val="22"/>
          <w:szCs w:val="22"/>
        </w:rPr>
        <w:t>is not recommended</w:t>
      </w:r>
      <w:r>
        <w:rPr>
          <w:rFonts w:ascii="Arial" w:hAnsi="Arial" w:cs="Arial"/>
          <w:sz w:val="22"/>
          <w:szCs w:val="22"/>
        </w:rPr>
        <w:t>.</w:t>
      </w:r>
    </w:p>
    <w:p w:rsidR="00E81E59" w:rsidRPr="007835FF" w:rsidRDefault="00E81E59" w:rsidP="000961AD">
      <w:pPr>
        <w:spacing w:after="240"/>
        <w:jc w:val="both"/>
        <w:rPr>
          <w:rFonts w:ascii="Arial" w:hAnsi="Arial" w:cs="Arial"/>
          <w:b/>
          <w:sz w:val="22"/>
          <w:szCs w:val="22"/>
        </w:rPr>
      </w:pPr>
      <w:proofErr w:type="spellStart"/>
      <w:r w:rsidRPr="007835FF">
        <w:rPr>
          <w:rFonts w:ascii="Arial" w:hAnsi="Arial" w:cs="Arial"/>
          <w:b/>
          <w:sz w:val="22"/>
          <w:szCs w:val="22"/>
        </w:rPr>
        <w:t>Genotoxicity</w:t>
      </w:r>
      <w:proofErr w:type="spellEnd"/>
      <w:r w:rsidRPr="007835FF">
        <w:rPr>
          <w:rFonts w:ascii="Arial" w:hAnsi="Arial" w:cs="Arial"/>
          <w:b/>
          <w:sz w:val="22"/>
          <w:szCs w:val="22"/>
        </w:rPr>
        <w:t>:</w:t>
      </w:r>
    </w:p>
    <w:p w:rsidR="00FE28CF" w:rsidRPr="00FE28CF" w:rsidRDefault="00FE28CF" w:rsidP="000961AD">
      <w:pPr>
        <w:spacing w:after="240"/>
        <w:rPr>
          <w:rFonts w:ascii="Arial" w:hAnsi="Arial" w:cs="Arial"/>
          <w:strike/>
          <w:sz w:val="22"/>
          <w:szCs w:val="22"/>
          <w:lang w:val="en-US"/>
        </w:rPr>
      </w:pPr>
      <w:r w:rsidRPr="00FE28CF">
        <w:rPr>
          <w:rFonts w:ascii="Arial" w:hAnsi="Arial" w:cs="Arial"/>
          <w:sz w:val="22"/>
          <w:szCs w:val="22"/>
        </w:rPr>
        <w:t xml:space="preserve">Fluticasone </w:t>
      </w:r>
      <w:proofErr w:type="spellStart"/>
      <w:r w:rsidRPr="00FE28CF">
        <w:rPr>
          <w:rFonts w:ascii="Arial" w:hAnsi="Arial" w:cs="Arial"/>
          <w:sz w:val="22"/>
          <w:szCs w:val="22"/>
        </w:rPr>
        <w:t>furoate</w:t>
      </w:r>
      <w:proofErr w:type="spellEnd"/>
      <w:r w:rsidRPr="00FE28CF">
        <w:rPr>
          <w:rFonts w:ascii="Arial" w:hAnsi="Arial" w:cs="Arial"/>
          <w:sz w:val="22"/>
          <w:szCs w:val="22"/>
        </w:rPr>
        <w:t xml:space="preserve"> was not </w:t>
      </w:r>
      <w:proofErr w:type="spellStart"/>
      <w:r w:rsidRPr="00FE28CF">
        <w:rPr>
          <w:rFonts w:ascii="Arial" w:hAnsi="Arial" w:cs="Arial"/>
          <w:sz w:val="22"/>
          <w:szCs w:val="22"/>
        </w:rPr>
        <w:t>genotoxic</w:t>
      </w:r>
      <w:proofErr w:type="spellEnd"/>
      <w:r w:rsidRPr="00FE28CF">
        <w:rPr>
          <w:rFonts w:ascii="Arial" w:hAnsi="Arial" w:cs="Arial"/>
          <w:sz w:val="22"/>
          <w:szCs w:val="22"/>
        </w:rPr>
        <w:t xml:space="preserve"> in a standard battery of</w:t>
      </w:r>
      <w:r w:rsidR="005E61A1">
        <w:rPr>
          <w:rFonts w:ascii="Arial" w:hAnsi="Arial" w:cs="Arial"/>
          <w:sz w:val="22"/>
          <w:szCs w:val="22"/>
        </w:rPr>
        <w:t xml:space="preserve"> studies</w:t>
      </w:r>
      <w:r w:rsidRPr="00FE28CF">
        <w:rPr>
          <w:rFonts w:ascii="Arial" w:hAnsi="Arial" w:cs="Arial"/>
          <w:color w:val="000000"/>
          <w:sz w:val="22"/>
          <w:szCs w:val="22"/>
        </w:rPr>
        <w:t>.</w:t>
      </w:r>
    </w:p>
    <w:p w:rsidR="005E61A1" w:rsidRPr="00F40928" w:rsidRDefault="00F40928" w:rsidP="000961AD">
      <w:pPr>
        <w:pStyle w:val="CommentText"/>
        <w:rPr>
          <w:rFonts w:ascii="Arial" w:hAnsi="Arial" w:cs="Arial"/>
          <w:sz w:val="22"/>
          <w:szCs w:val="22"/>
          <w:lang w:val="en-US"/>
        </w:rPr>
      </w:pPr>
      <w:proofErr w:type="spellStart"/>
      <w:r>
        <w:rPr>
          <w:rFonts w:ascii="Arial" w:hAnsi="Arial" w:cs="Arial"/>
          <w:sz w:val="22"/>
          <w:szCs w:val="22"/>
          <w:lang w:val="en-US"/>
        </w:rPr>
        <w:lastRenderedPageBreak/>
        <w:t>Vilanterol</w:t>
      </w:r>
      <w:proofErr w:type="spellEnd"/>
      <w:r>
        <w:rPr>
          <w:rFonts w:ascii="Arial" w:hAnsi="Arial" w:cs="Arial"/>
          <w:sz w:val="22"/>
          <w:szCs w:val="22"/>
          <w:lang w:val="en-US"/>
        </w:rPr>
        <w:t xml:space="preserve"> was negative in a complete battery of </w:t>
      </w:r>
      <w:r>
        <w:rPr>
          <w:rFonts w:ascii="Arial" w:hAnsi="Arial" w:cs="Arial"/>
          <w:i/>
          <w:sz w:val="22"/>
          <w:szCs w:val="22"/>
          <w:lang w:val="en-US"/>
        </w:rPr>
        <w:t>in vitro</w:t>
      </w:r>
      <w:r>
        <w:rPr>
          <w:rFonts w:ascii="Arial" w:hAnsi="Arial" w:cs="Arial"/>
          <w:sz w:val="22"/>
          <w:szCs w:val="22"/>
          <w:lang w:val="en-US"/>
        </w:rPr>
        <w:t xml:space="preserve"> (Ames, UDS, SHE cell) assays and </w:t>
      </w:r>
      <w:r>
        <w:rPr>
          <w:rFonts w:ascii="Arial" w:hAnsi="Arial" w:cs="Arial"/>
          <w:i/>
          <w:sz w:val="22"/>
          <w:szCs w:val="22"/>
          <w:lang w:val="en-US"/>
        </w:rPr>
        <w:t>in vivo</w:t>
      </w:r>
      <w:r>
        <w:rPr>
          <w:rFonts w:ascii="Arial" w:hAnsi="Arial" w:cs="Arial"/>
          <w:sz w:val="22"/>
          <w:szCs w:val="22"/>
          <w:lang w:val="en-US"/>
        </w:rPr>
        <w:t xml:space="preserve"> (rat bone marrow micronucleus) assays and equivoca</w:t>
      </w:r>
      <w:r w:rsidR="00F2728C">
        <w:rPr>
          <w:rFonts w:ascii="Arial" w:hAnsi="Arial" w:cs="Arial"/>
          <w:sz w:val="22"/>
          <w:szCs w:val="22"/>
          <w:lang w:val="en-US"/>
        </w:rPr>
        <w:t xml:space="preserve">l in the mouse lymphoma assay. </w:t>
      </w:r>
      <w:r>
        <w:rPr>
          <w:rFonts w:ascii="Arial" w:hAnsi="Arial" w:cs="Arial"/>
          <w:sz w:val="22"/>
          <w:szCs w:val="22"/>
          <w:lang w:val="en-US"/>
        </w:rPr>
        <w:t xml:space="preserve">The weight of evidence suggests that </w:t>
      </w:r>
      <w:proofErr w:type="spellStart"/>
      <w:r>
        <w:rPr>
          <w:rFonts w:ascii="Arial" w:hAnsi="Arial" w:cs="Arial"/>
          <w:sz w:val="22"/>
          <w:szCs w:val="22"/>
          <w:lang w:val="en-US"/>
        </w:rPr>
        <w:t>vilanterol</w:t>
      </w:r>
      <w:proofErr w:type="spellEnd"/>
      <w:r>
        <w:rPr>
          <w:rFonts w:ascii="Arial" w:hAnsi="Arial" w:cs="Arial"/>
          <w:sz w:val="22"/>
          <w:szCs w:val="22"/>
          <w:lang w:val="en-US"/>
        </w:rPr>
        <w:t xml:space="preserve"> does not pose a </w:t>
      </w:r>
      <w:proofErr w:type="spellStart"/>
      <w:r>
        <w:rPr>
          <w:rFonts w:ascii="Arial" w:hAnsi="Arial" w:cs="Arial"/>
          <w:sz w:val="22"/>
          <w:szCs w:val="22"/>
          <w:lang w:val="en-US"/>
        </w:rPr>
        <w:t>genotoxic</w:t>
      </w:r>
      <w:proofErr w:type="spellEnd"/>
      <w:r>
        <w:rPr>
          <w:rFonts w:ascii="Arial" w:hAnsi="Arial" w:cs="Arial"/>
          <w:sz w:val="22"/>
          <w:szCs w:val="22"/>
          <w:lang w:val="en-US"/>
        </w:rPr>
        <w:t xml:space="preserve"> risk.</w:t>
      </w:r>
    </w:p>
    <w:p w:rsidR="00242B97" w:rsidRPr="007835FF" w:rsidRDefault="00242B97" w:rsidP="00C74D6B">
      <w:pPr>
        <w:keepNext/>
        <w:spacing w:after="240"/>
        <w:jc w:val="both"/>
        <w:rPr>
          <w:rFonts w:ascii="Arial" w:hAnsi="Arial" w:cs="Arial"/>
          <w:b/>
          <w:sz w:val="22"/>
          <w:szCs w:val="22"/>
        </w:rPr>
      </w:pPr>
      <w:r w:rsidRPr="007835FF">
        <w:rPr>
          <w:rFonts w:ascii="Arial" w:hAnsi="Arial" w:cs="Arial"/>
          <w:b/>
          <w:sz w:val="22"/>
          <w:szCs w:val="22"/>
        </w:rPr>
        <w:t>Carcinogenicity:</w:t>
      </w:r>
    </w:p>
    <w:p w:rsidR="00F40928" w:rsidRDefault="00F40928" w:rsidP="00C74D6B">
      <w:pPr>
        <w:keepNext/>
        <w:spacing w:after="240"/>
        <w:rPr>
          <w:rFonts w:ascii="Arial" w:hAnsi="Arial" w:cs="Arial"/>
          <w:sz w:val="22"/>
          <w:szCs w:val="22"/>
        </w:rPr>
      </w:pPr>
      <w:r>
        <w:rPr>
          <w:rFonts w:ascii="Arial" w:hAnsi="Arial" w:cs="Arial"/>
          <w:sz w:val="22"/>
          <w:szCs w:val="22"/>
        </w:rPr>
        <w:t xml:space="preserve">No carcinogenicity studies were performed with the fluticasone </w:t>
      </w:r>
      <w:proofErr w:type="spellStart"/>
      <w:r>
        <w:rPr>
          <w:rFonts w:ascii="Arial" w:hAnsi="Arial" w:cs="Arial"/>
          <w:sz w:val="22"/>
          <w:szCs w:val="22"/>
        </w:rPr>
        <w:t>furoate</w:t>
      </w:r>
      <w:proofErr w:type="spellEnd"/>
      <w:r>
        <w:rPr>
          <w:rFonts w:ascii="Arial" w:hAnsi="Arial" w:cs="Arial"/>
          <w:sz w:val="22"/>
          <w:szCs w:val="22"/>
        </w:rPr>
        <w:t>/</w:t>
      </w:r>
      <w:proofErr w:type="spellStart"/>
      <w:r>
        <w:rPr>
          <w:rFonts w:ascii="Arial" w:hAnsi="Arial" w:cs="Arial"/>
          <w:sz w:val="22"/>
          <w:szCs w:val="22"/>
        </w:rPr>
        <w:t>vilanterol</w:t>
      </w:r>
      <w:proofErr w:type="spellEnd"/>
      <w:r>
        <w:rPr>
          <w:rFonts w:ascii="Arial" w:hAnsi="Arial" w:cs="Arial"/>
          <w:sz w:val="22"/>
          <w:szCs w:val="22"/>
        </w:rPr>
        <w:t xml:space="preserve"> </w:t>
      </w:r>
      <w:proofErr w:type="spellStart"/>
      <w:r>
        <w:rPr>
          <w:rFonts w:ascii="Arial" w:hAnsi="Arial" w:cs="Arial"/>
          <w:sz w:val="22"/>
          <w:szCs w:val="22"/>
        </w:rPr>
        <w:t>triphenylacetate</w:t>
      </w:r>
      <w:proofErr w:type="spellEnd"/>
      <w:r>
        <w:rPr>
          <w:rFonts w:ascii="Arial" w:hAnsi="Arial" w:cs="Arial"/>
          <w:sz w:val="22"/>
          <w:szCs w:val="22"/>
        </w:rPr>
        <w:t xml:space="preserve"> combination.</w:t>
      </w:r>
    </w:p>
    <w:p w:rsidR="00E8070F" w:rsidRDefault="00FE28CF" w:rsidP="000961AD">
      <w:pPr>
        <w:spacing w:after="240"/>
        <w:rPr>
          <w:rFonts w:ascii="Arial" w:hAnsi="Arial" w:cs="Arial"/>
          <w:sz w:val="22"/>
          <w:szCs w:val="22"/>
        </w:rPr>
      </w:pPr>
      <w:r w:rsidRPr="00FE28CF">
        <w:rPr>
          <w:rFonts w:ascii="Arial" w:hAnsi="Arial" w:cs="Arial"/>
          <w:sz w:val="22"/>
          <w:szCs w:val="22"/>
        </w:rPr>
        <w:t xml:space="preserve">Fluticasone </w:t>
      </w:r>
      <w:proofErr w:type="spellStart"/>
      <w:r w:rsidRPr="00FE28CF">
        <w:rPr>
          <w:rFonts w:ascii="Arial" w:hAnsi="Arial" w:cs="Arial"/>
          <w:sz w:val="22"/>
          <w:szCs w:val="22"/>
        </w:rPr>
        <w:t>furoate</w:t>
      </w:r>
      <w:proofErr w:type="spellEnd"/>
      <w:r w:rsidRPr="00FE28CF">
        <w:rPr>
          <w:rFonts w:ascii="Arial" w:hAnsi="Arial" w:cs="Arial"/>
          <w:sz w:val="22"/>
          <w:szCs w:val="22"/>
        </w:rPr>
        <w:t xml:space="preserve"> was not carcinogenic in lifetime inhalation studies in rats or mice</w:t>
      </w:r>
      <w:r w:rsidRPr="00FE28CF">
        <w:rPr>
          <w:rFonts w:ascii="Arial" w:hAnsi="Arial" w:cs="Arial"/>
          <w:color w:val="000000"/>
          <w:sz w:val="22"/>
          <w:szCs w:val="22"/>
        </w:rPr>
        <w:t xml:space="preserve"> at exposures similar to those at the maximum recommended human dose, based on AUC.</w:t>
      </w:r>
    </w:p>
    <w:p w:rsidR="005E61A1" w:rsidRPr="005E61A1" w:rsidRDefault="00F40928" w:rsidP="000961AD">
      <w:pPr>
        <w:pStyle w:val="CommentText"/>
        <w:rPr>
          <w:rFonts w:ascii="Arial" w:hAnsi="Arial" w:cs="Arial"/>
          <w:sz w:val="22"/>
          <w:szCs w:val="22"/>
          <w:lang w:val="en-US"/>
        </w:rPr>
      </w:pPr>
      <w:r>
        <w:rPr>
          <w:rFonts w:ascii="Arial" w:hAnsi="Arial" w:cs="Arial"/>
          <w:color w:val="000000"/>
          <w:sz w:val="22"/>
          <w:szCs w:val="22"/>
        </w:rPr>
        <w:t>P</w:t>
      </w:r>
      <w:r w:rsidR="005E61A1" w:rsidRPr="00FE28CF">
        <w:rPr>
          <w:rFonts w:ascii="Arial" w:hAnsi="Arial" w:cs="Arial"/>
          <w:color w:val="000000"/>
          <w:sz w:val="22"/>
          <w:szCs w:val="22"/>
        </w:rPr>
        <w:t>roliferative effects in the female rat and mouse reproductive tract and rat pituitary gland</w:t>
      </w:r>
      <w:r>
        <w:rPr>
          <w:rFonts w:ascii="Arial" w:hAnsi="Arial" w:cs="Arial"/>
          <w:color w:val="000000"/>
          <w:sz w:val="22"/>
          <w:szCs w:val="22"/>
        </w:rPr>
        <w:t xml:space="preserve"> were observed in lifetime inhalation studies with </w:t>
      </w:r>
      <w:proofErr w:type="spellStart"/>
      <w:r>
        <w:rPr>
          <w:rFonts w:ascii="Arial" w:hAnsi="Arial" w:cs="Arial"/>
          <w:color w:val="000000"/>
          <w:sz w:val="22"/>
          <w:szCs w:val="22"/>
        </w:rPr>
        <w:t>vilanterol</w:t>
      </w:r>
      <w:proofErr w:type="spellEnd"/>
      <w:r w:rsidR="00BB29F9">
        <w:rPr>
          <w:rFonts w:ascii="Arial" w:hAnsi="Arial" w:cs="Arial"/>
          <w:color w:val="000000"/>
          <w:sz w:val="22"/>
          <w:szCs w:val="22"/>
        </w:rPr>
        <w:t>, consistent with findings for other beta</w:t>
      </w:r>
      <w:r w:rsidR="00BB29F9" w:rsidRPr="00BB29F9">
        <w:rPr>
          <w:rFonts w:ascii="Arial" w:hAnsi="Arial" w:cs="Arial"/>
          <w:color w:val="000000"/>
          <w:sz w:val="22"/>
          <w:szCs w:val="22"/>
          <w:vertAlign w:val="subscript"/>
        </w:rPr>
        <w:t>2</w:t>
      </w:r>
      <w:r w:rsidR="00BB29F9">
        <w:rPr>
          <w:rFonts w:ascii="Arial" w:hAnsi="Arial" w:cs="Arial"/>
          <w:color w:val="000000"/>
          <w:sz w:val="22"/>
          <w:szCs w:val="22"/>
        </w:rPr>
        <w:t>-agonists</w:t>
      </w:r>
      <w:r w:rsidR="005E61A1" w:rsidRPr="00FE28CF">
        <w:rPr>
          <w:rFonts w:ascii="Arial" w:hAnsi="Arial" w:cs="Arial"/>
          <w:color w:val="000000"/>
          <w:sz w:val="22"/>
          <w:szCs w:val="22"/>
        </w:rPr>
        <w:t xml:space="preserve">. There was no increase in tumour incidence in rats or mice at exposures </w:t>
      </w:r>
      <w:r w:rsidR="00BB29F9">
        <w:rPr>
          <w:rFonts w:ascii="Arial" w:hAnsi="Arial" w:cs="Arial"/>
          <w:color w:val="000000"/>
          <w:sz w:val="22"/>
          <w:szCs w:val="22"/>
        </w:rPr>
        <w:t>1</w:t>
      </w:r>
      <w:r w:rsidR="005E61A1" w:rsidRPr="00FE28CF">
        <w:rPr>
          <w:rFonts w:ascii="Arial" w:hAnsi="Arial" w:cs="Arial"/>
          <w:color w:val="000000"/>
          <w:sz w:val="22"/>
          <w:szCs w:val="22"/>
        </w:rPr>
        <w:t>- or 30-fold, respectively, those at the maximum recommended human dose, based on AUC.</w:t>
      </w:r>
    </w:p>
    <w:p w:rsidR="00242B97" w:rsidRPr="000F37ED" w:rsidRDefault="00242B97" w:rsidP="000961AD">
      <w:pPr>
        <w:spacing w:after="240"/>
        <w:jc w:val="both"/>
        <w:rPr>
          <w:rFonts w:ascii="Arial" w:hAnsi="Arial" w:cs="Arial"/>
          <w:b/>
          <w:sz w:val="22"/>
          <w:szCs w:val="22"/>
        </w:rPr>
      </w:pPr>
      <w:r w:rsidRPr="000F37ED">
        <w:rPr>
          <w:rFonts w:ascii="Arial" w:hAnsi="Arial" w:cs="Arial"/>
          <w:b/>
          <w:sz w:val="22"/>
          <w:szCs w:val="22"/>
        </w:rPr>
        <w:t>Effect on Laboratory Tests:</w:t>
      </w:r>
    </w:p>
    <w:p w:rsidR="00E03816" w:rsidRPr="000F37ED" w:rsidRDefault="00E03816" w:rsidP="000961AD">
      <w:pPr>
        <w:spacing w:after="240"/>
        <w:jc w:val="both"/>
        <w:rPr>
          <w:rFonts w:ascii="Arial" w:hAnsi="Arial" w:cs="Arial"/>
          <w:sz w:val="22"/>
          <w:szCs w:val="22"/>
        </w:rPr>
      </w:pPr>
      <w:r w:rsidRPr="000F37ED">
        <w:rPr>
          <w:rFonts w:ascii="Arial" w:hAnsi="Arial" w:cs="Arial"/>
          <w:sz w:val="22"/>
          <w:szCs w:val="22"/>
        </w:rPr>
        <w:t>Interactions with laboratory tests have not been established.</w:t>
      </w:r>
    </w:p>
    <w:p w:rsidR="00D05EDE" w:rsidRPr="005E61A1" w:rsidRDefault="00D05EDE" w:rsidP="000961AD">
      <w:pPr>
        <w:pStyle w:val="NoNumHead2"/>
        <w:keepNext w:val="0"/>
        <w:spacing w:before="0"/>
        <w:rPr>
          <w:bCs w:val="0"/>
          <w:sz w:val="22"/>
          <w:szCs w:val="22"/>
          <w:lang w:val="en-AU" w:eastAsia="en-AU"/>
        </w:rPr>
      </w:pPr>
      <w:r w:rsidRPr="005E61A1">
        <w:rPr>
          <w:bCs w:val="0"/>
          <w:sz w:val="22"/>
          <w:szCs w:val="22"/>
          <w:lang w:val="en-AU" w:eastAsia="en-AU"/>
        </w:rPr>
        <w:t>Ability to perform tasks that require Judgement, Motor or Cognitive Skills</w:t>
      </w:r>
    </w:p>
    <w:p w:rsidR="00E8070F" w:rsidRPr="005E61A1" w:rsidRDefault="00D05EDE" w:rsidP="000961AD">
      <w:pPr>
        <w:pStyle w:val="CommentText"/>
        <w:rPr>
          <w:rFonts w:ascii="Arial" w:hAnsi="Arial" w:cs="Arial"/>
          <w:sz w:val="22"/>
          <w:szCs w:val="22"/>
          <w:lang w:val="en-US"/>
        </w:rPr>
      </w:pPr>
      <w:r w:rsidRPr="005E61A1">
        <w:rPr>
          <w:rFonts w:ascii="Arial" w:hAnsi="Arial" w:cs="Arial"/>
          <w:sz w:val="22"/>
          <w:szCs w:val="22"/>
          <w:lang w:val="en-US"/>
        </w:rPr>
        <w:t xml:space="preserve">There have been no studies to investigate the effect of fluticasone </w:t>
      </w:r>
      <w:proofErr w:type="spellStart"/>
      <w:r w:rsidRPr="005E61A1">
        <w:rPr>
          <w:rFonts w:ascii="Arial" w:hAnsi="Arial" w:cs="Arial"/>
          <w:sz w:val="22"/>
          <w:szCs w:val="22"/>
          <w:lang w:val="en-US"/>
        </w:rPr>
        <w:t>furoate</w:t>
      </w:r>
      <w:proofErr w:type="spellEnd"/>
      <w:r w:rsidRPr="005E61A1">
        <w:rPr>
          <w:rFonts w:ascii="Arial" w:hAnsi="Arial" w:cs="Arial"/>
          <w:sz w:val="22"/>
          <w:szCs w:val="22"/>
          <w:lang w:val="en-US"/>
        </w:rPr>
        <w:t>/</w:t>
      </w:r>
      <w:proofErr w:type="spellStart"/>
      <w:r w:rsidRPr="005E61A1">
        <w:rPr>
          <w:rFonts w:ascii="Arial" w:hAnsi="Arial" w:cs="Arial"/>
          <w:sz w:val="22"/>
          <w:szCs w:val="22"/>
          <w:lang w:val="en-US"/>
        </w:rPr>
        <w:t>vilanterol</w:t>
      </w:r>
      <w:proofErr w:type="spellEnd"/>
      <w:r w:rsidRPr="005E61A1">
        <w:rPr>
          <w:rFonts w:ascii="Arial" w:hAnsi="Arial" w:cs="Arial"/>
          <w:sz w:val="22"/>
          <w:szCs w:val="22"/>
          <w:lang w:val="en-US"/>
        </w:rPr>
        <w:t xml:space="preserve"> on driving performance or the ability to operate machinery. A detrimental effect on such activities would not be anticipated from the pharmacology of flu</w:t>
      </w:r>
      <w:r w:rsidR="00F2728C">
        <w:rPr>
          <w:rFonts w:ascii="Arial" w:hAnsi="Arial" w:cs="Arial"/>
          <w:sz w:val="22"/>
          <w:szCs w:val="22"/>
          <w:lang w:val="en-US"/>
        </w:rPr>
        <w:t xml:space="preserve">ticasone </w:t>
      </w:r>
      <w:proofErr w:type="spellStart"/>
      <w:r w:rsidR="00F2728C">
        <w:rPr>
          <w:rFonts w:ascii="Arial" w:hAnsi="Arial" w:cs="Arial"/>
          <w:sz w:val="22"/>
          <w:szCs w:val="22"/>
          <w:lang w:val="en-US"/>
        </w:rPr>
        <w:t>furoate</w:t>
      </w:r>
      <w:proofErr w:type="spellEnd"/>
      <w:r w:rsidR="00F2728C">
        <w:rPr>
          <w:rFonts w:ascii="Arial" w:hAnsi="Arial" w:cs="Arial"/>
          <w:sz w:val="22"/>
          <w:szCs w:val="22"/>
          <w:lang w:val="en-US"/>
        </w:rPr>
        <w:t xml:space="preserve"> or </w:t>
      </w:r>
      <w:proofErr w:type="spellStart"/>
      <w:r w:rsidR="00F2728C">
        <w:rPr>
          <w:rFonts w:ascii="Arial" w:hAnsi="Arial" w:cs="Arial"/>
          <w:sz w:val="22"/>
          <w:szCs w:val="22"/>
          <w:lang w:val="en-US"/>
        </w:rPr>
        <w:t>vilanterol</w:t>
      </w:r>
      <w:proofErr w:type="spellEnd"/>
      <w:r w:rsidR="00F2728C">
        <w:rPr>
          <w:rFonts w:ascii="Arial" w:hAnsi="Arial" w:cs="Arial"/>
          <w:sz w:val="22"/>
          <w:szCs w:val="22"/>
          <w:lang w:val="en-US"/>
        </w:rPr>
        <w:t>.</w:t>
      </w:r>
    </w:p>
    <w:p w:rsidR="00E81E59" w:rsidRPr="007835FF" w:rsidRDefault="00E81E59" w:rsidP="000961AD">
      <w:pPr>
        <w:spacing w:after="240"/>
        <w:jc w:val="both"/>
        <w:rPr>
          <w:rFonts w:ascii="Arial" w:hAnsi="Arial" w:cs="Arial"/>
          <w:b/>
          <w:sz w:val="22"/>
          <w:szCs w:val="22"/>
          <w:lang w:val="en"/>
        </w:rPr>
      </w:pPr>
      <w:r w:rsidRPr="007835FF">
        <w:rPr>
          <w:rFonts w:ascii="Arial" w:hAnsi="Arial" w:cs="Arial"/>
          <w:b/>
          <w:sz w:val="22"/>
          <w:szCs w:val="22"/>
          <w:lang w:val="en"/>
        </w:rPr>
        <w:t xml:space="preserve">INTERACTIONS WITH </w:t>
      </w:r>
      <w:r w:rsidR="004F640B" w:rsidRPr="007835FF">
        <w:rPr>
          <w:rFonts w:ascii="Arial" w:hAnsi="Arial" w:cs="Arial"/>
          <w:b/>
          <w:sz w:val="22"/>
          <w:szCs w:val="22"/>
          <w:lang w:val="en"/>
        </w:rPr>
        <w:t>OTHER MEDICINES</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Clinically significant drug interactions mediated by 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or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at clinical doses are considered unlikely due to the low plasma concentrations achieved after inhaled dosing.</w:t>
      </w:r>
    </w:p>
    <w:p w:rsidR="00D05EDE" w:rsidRPr="005E61A1" w:rsidRDefault="00D05EDE" w:rsidP="00680640">
      <w:pPr>
        <w:keepNext/>
        <w:spacing w:after="240"/>
        <w:rPr>
          <w:rStyle w:val="CSIchar"/>
          <w:rFonts w:ascii="Arial" w:hAnsi="Arial" w:cs="Arial"/>
          <w:b/>
          <w:sz w:val="22"/>
          <w:szCs w:val="22"/>
          <w:lang w:val="en-US" w:eastAsia="en-US"/>
        </w:rPr>
      </w:pPr>
      <w:r w:rsidRPr="005E61A1">
        <w:rPr>
          <w:rFonts w:ascii="Arial" w:hAnsi="Arial" w:cs="Arial"/>
          <w:b/>
          <w:sz w:val="22"/>
          <w:szCs w:val="22"/>
          <w:lang w:val="en-US" w:eastAsia="en-US"/>
        </w:rPr>
        <w:t>Interaction with beta-blockers</w:t>
      </w:r>
    </w:p>
    <w:p w:rsidR="00D05EDE" w:rsidRPr="005E61A1" w:rsidRDefault="00D05EDE" w:rsidP="00680640">
      <w:pPr>
        <w:keepNext/>
        <w:spacing w:after="240"/>
        <w:rPr>
          <w:rFonts w:ascii="Arial" w:hAnsi="Arial" w:cs="Arial"/>
          <w:sz w:val="22"/>
          <w:szCs w:val="22"/>
        </w:rPr>
      </w:pPr>
      <w:r w:rsidRPr="005E61A1">
        <w:rPr>
          <w:rFonts w:ascii="Arial" w:hAnsi="Arial" w:cs="Arial"/>
          <w:sz w:val="22"/>
          <w:szCs w:val="22"/>
        </w:rPr>
        <w:t>Beta-adrenergic blockers may weaken or antagonise the effect of beta2-adrenergic agonists. Concurrent use of both non-selective and selective beta-blockers should be avoided unless there are compelling reasons for their use.</w:t>
      </w:r>
    </w:p>
    <w:p w:rsidR="00D05EDE" w:rsidRPr="005E61A1" w:rsidRDefault="00D05EDE" w:rsidP="000961AD">
      <w:pPr>
        <w:spacing w:after="240"/>
        <w:rPr>
          <w:rStyle w:val="CSIchar"/>
          <w:rFonts w:ascii="Arial" w:hAnsi="Arial" w:cs="Arial"/>
          <w:b/>
          <w:sz w:val="22"/>
          <w:szCs w:val="22"/>
          <w:lang w:val="en-US" w:eastAsia="en-US"/>
        </w:rPr>
      </w:pPr>
      <w:r w:rsidRPr="005E61A1">
        <w:rPr>
          <w:rFonts w:ascii="Arial" w:hAnsi="Arial" w:cs="Arial"/>
          <w:b/>
          <w:sz w:val="22"/>
          <w:szCs w:val="22"/>
          <w:lang w:val="en-US" w:eastAsia="en-US"/>
        </w:rPr>
        <w:t>Interaction with CYP3A4 inhibitors</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and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are both rapidly cleared by extensive first</w:t>
      </w:r>
      <w:r w:rsidRPr="005E61A1">
        <w:rPr>
          <w:rFonts w:ascii="Arial" w:hAnsi="Arial" w:cs="Arial"/>
          <w:sz w:val="22"/>
          <w:szCs w:val="22"/>
        </w:rPr>
        <w:noBreakHyphen/>
        <w:t>pass metabolism mediat</w:t>
      </w:r>
      <w:r w:rsidR="00F2728C">
        <w:rPr>
          <w:rFonts w:ascii="Arial" w:hAnsi="Arial" w:cs="Arial"/>
          <w:sz w:val="22"/>
          <w:szCs w:val="22"/>
        </w:rPr>
        <w:t>ed by the liver enzyme CYP3A4.</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Care is advised when co-administering with strong CYP 3A4 inhibitors (e.g. ketoconazole, ritonavir) as there </w:t>
      </w:r>
      <w:r w:rsidR="00C41D45">
        <w:rPr>
          <w:rFonts w:ascii="Arial" w:hAnsi="Arial" w:cs="Arial"/>
          <w:sz w:val="22"/>
          <w:szCs w:val="22"/>
        </w:rPr>
        <w:t>will be</w:t>
      </w:r>
      <w:r w:rsidRPr="005E61A1">
        <w:rPr>
          <w:rFonts w:ascii="Arial" w:hAnsi="Arial" w:cs="Arial"/>
          <w:sz w:val="22"/>
          <w:szCs w:val="22"/>
        </w:rPr>
        <w:t xml:space="preserve"> increased systemic exposure to both 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and </w:t>
      </w:r>
      <w:proofErr w:type="spellStart"/>
      <w:r w:rsidRPr="005E61A1">
        <w:rPr>
          <w:rFonts w:ascii="Arial" w:hAnsi="Arial" w:cs="Arial"/>
          <w:sz w:val="22"/>
          <w:szCs w:val="22"/>
        </w:rPr>
        <w:t>vilanterol</w:t>
      </w:r>
      <w:proofErr w:type="spellEnd"/>
      <w:r w:rsidRPr="005E61A1">
        <w:rPr>
          <w:rFonts w:ascii="Arial" w:hAnsi="Arial" w:cs="Arial"/>
          <w:sz w:val="22"/>
          <w:szCs w:val="22"/>
        </w:rPr>
        <w:t>, which could lead to an increase in the potential for adverse reactions (</w:t>
      </w:r>
      <w:r w:rsidRPr="00FE3A27">
        <w:rPr>
          <w:rFonts w:ascii="Arial" w:hAnsi="Arial" w:cs="Arial"/>
          <w:sz w:val="22"/>
          <w:szCs w:val="22"/>
        </w:rPr>
        <w:t>see Pharmacokinetics</w:t>
      </w:r>
      <w:r w:rsidRPr="005E61A1">
        <w:rPr>
          <w:rFonts w:ascii="Arial" w:hAnsi="Arial" w:cs="Arial"/>
          <w:sz w:val="22"/>
          <w:szCs w:val="22"/>
        </w:rPr>
        <w:t>).</w:t>
      </w:r>
    </w:p>
    <w:p w:rsidR="00F2728C" w:rsidRDefault="00F2728C">
      <w:pPr>
        <w:rPr>
          <w:rFonts w:ascii="Arial" w:hAnsi="Arial" w:cs="Arial"/>
          <w:b/>
          <w:sz w:val="22"/>
          <w:szCs w:val="22"/>
        </w:rPr>
      </w:pPr>
      <w:r>
        <w:rPr>
          <w:rFonts w:ascii="Arial" w:hAnsi="Arial" w:cs="Arial"/>
          <w:b/>
          <w:sz w:val="22"/>
          <w:szCs w:val="22"/>
        </w:rPr>
        <w:br w:type="page"/>
      </w:r>
    </w:p>
    <w:p w:rsidR="00D05EDE" w:rsidRPr="005E61A1" w:rsidRDefault="00D05EDE" w:rsidP="000961AD">
      <w:pPr>
        <w:spacing w:after="240"/>
        <w:rPr>
          <w:rFonts w:ascii="Arial" w:hAnsi="Arial" w:cs="Arial"/>
          <w:b/>
          <w:sz w:val="22"/>
          <w:szCs w:val="22"/>
        </w:rPr>
      </w:pPr>
      <w:r w:rsidRPr="005E61A1">
        <w:rPr>
          <w:rFonts w:ascii="Arial" w:hAnsi="Arial" w:cs="Arial"/>
          <w:b/>
          <w:sz w:val="22"/>
          <w:szCs w:val="22"/>
        </w:rPr>
        <w:lastRenderedPageBreak/>
        <w:t>Interaction with P-glycoprotein inhibitors</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and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are both substrates of P-</w:t>
      </w:r>
      <w:proofErr w:type="spellStart"/>
      <w:r w:rsidRPr="005E61A1">
        <w:rPr>
          <w:rFonts w:ascii="Arial" w:hAnsi="Arial" w:cs="Arial"/>
          <w:sz w:val="22"/>
          <w:szCs w:val="22"/>
        </w:rPr>
        <w:t>gp</w:t>
      </w:r>
      <w:proofErr w:type="spellEnd"/>
      <w:r w:rsidRPr="005E61A1">
        <w:rPr>
          <w:rFonts w:ascii="Arial" w:hAnsi="Arial" w:cs="Arial"/>
          <w:sz w:val="22"/>
          <w:szCs w:val="22"/>
        </w:rPr>
        <w:t xml:space="preserve">. A clinical pharmacology study in healthy subjects with co-administered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and the potent P-</w:t>
      </w:r>
      <w:proofErr w:type="spellStart"/>
      <w:r w:rsidRPr="005E61A1">
        <w:rPr>
          <w:rFonts w:ascii="Arial" w:hAnsi="Arial" w:cs="Arial"/>
          <w:sz w:val="22"/>
          <w:szCs w:val="22"/>
        </w:rPr>
        <w:t>gp</w:t>
      </w:r>
      <w:proofErr w:type="spellEnd"/>
      <w:r w:rsidRPr="005E61A1">
        <w:rPr>
          <w:rFonts w:ascii="Arial" w:hAnsi="Arial" w:cs="Arial"/>
          <w:sz w:val="22"/>
          <w:szCs w:val="22"/>
        </w:rPr>
        <w:t xml:space="preserve"> and moderate CYP3A4 inhibitor verapamil did not show any significant effect on the pharmacokinetics of </w:t>
      </w:r>
      <w:proofErr w:type="spellStart"/>
      <w:r w:rsidRPr="005E61A1">
        <w:rPr>
          <w:rFonts w:ascii="Arial" w:hAnsi="Arial" w:cs="Arial"/>
          <w:sz w:val="22"/>
          <w:szCs w:val="22"/>
        </w:rPr>
        <w:t>vilanterol</w:t>
      </w:r>
      <w:proofErr w:type="spellEnd"/>
      <w:r w:rsidRPr="005E61A1">
        <w:rPr>
          <w:rFonts w:ascii="Arial" w:hAnsi="Arial" w:cs="Arial"/>
          <w:sz w:val="22"/>
          <w:szCs w:val="22"/>
        </w:rPr>
        <w:t>. Clinical pharmacology studies with a specific P-</w:t>
      </w:r>
      <w:proofErr w:type="spellStart"/>
      <w:r w:rsidRPr="005E61A1">
        <w:rPr>
          <w:rFonts w:ascii="Arial" w:hAnsi="Arial" w:cs="Arial"/>
          <w:sz w:val="22"/>
          <w:szCs w:val="22"/>
        </w:rPr>
        <w:t>gp</w:t>
      </w:r>
      <w:proofErr w:type="spellEnd"/>
      <w:r w:rsidRPr="005E61A1">
        <w:rPr>
          <w:rFonts w:ascii="Arial" w:hAnsi="Arial" w:cs="Arial"/>
          <w:sz w:val="22"/>
          <w:szCs w:val="22"/>
        </w:rPr>
        <w:t xml:space="preserve"> inhibitor and 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have not been conducted.</w:t>
      </w:r>
    </w:p>
    <w:p w:rsidR="00B523D5" w:rsidRDefault="00254280" w:rsidP="00B523D5">
      <w:pPr>
        <w:keepNext/>
        <w:spacing w:after="240"/>
        <w:rPr>
          <w:rFonts w:ascii="Arial" w:hAnsi="Arial" w:cs="Arial"/>
          <w:b/>
          <w:sz w:val="22"/>
          <w:szCs w:val="22"/>
          <w:lang w:val="en-US" w:eastAsia="en-US"/>
        </w:rPr>
      </w:pPr>
      <w:r>
        <w:rPr>
          <w:rFonts w:ascii="Arial" w:hAnsi="Arial" w:cs="Arial"/>
          <w:b/>
          <w:sz w:val="22"/>
          <w:szCs w:val="22"/>
          <w:lang w:val="en-US" w:eastAsia="en-US"/>
        </w:rPr>
        <w:t>Interaction with s</w:t>
      </w:r>
      <w:r w:rsidR="00B523D5">
        <w:rPr>
          <w:rFonts w:ascii="Arial" w:hAnsi="Arial" w:cs="Arial"/>
          <w:b/>
          <w:sz w:val="22"/>
          <w:szCs w:val="22"/>
          <w:lang w:val="en-US" w:eastAsia="en-US"/>
        </w:rPr>
        <w:t>ympathomimetic medicinal products</w:t>
      </w:r>
    </w:p>
    <w:p w:rsidR="00E8070F" w:rsidRDefault="00B523D5" w:rsidP="00B523D5">
      <w:pPr>
        <w:keepNext/>
        <w:spacing w:after="240"/>
        <w:rPr>
          <w:rFonts w:ascii="Arial" w:hAnsi="Arial" w:cs="Arial"/>
          <w:sz w:val="22"/>
          <w:szCs w:val="22"/>
          <w:lang w:val="en-US" w:eastAsia="en-US"/>
        </w:rPr>
      </w:pPr>
      <w:r>
        <w:rPr>
          <w:rFonts w:ascii="Arial" w:hAnsi="Arial" w:cs="Arial"/>
          <w:sz w:val="22"/>
          <w:szCs w:val="22"/>
          <w:lang w:val="en-US" w:eastAsia="en-US"/>
        </w:rPr>
        <w:t xml:space="preserve">Concomitant administration of other sympathomimetic agents (alone or as part of combination therapy) may potentiate the undesirable effects of </w:t>
      </w:r>
      <w:proofErr w:type="spellStart"/>
      <w:r>
        <w:rPr>
          <w:rFonts w:ascii="Arial" w:hAnsi="Arial" w:cs="Arial"/>
          <w:sz w:val="22"/>
          <w:szCs w:val="22"/>
          <w:lang w:val="en-US" w:eastAsia="en-US"/>
        </w:rPr>
        <w:t>Breo</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Ellipta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Breo</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Ellipta</w:t>
      </w:r>
      <w:proofErr w:type="spellEnd"/>
      <w:r>
        <w:rPr>
          <w:rFonts w:ascii="Arial" w:hAnsi="Arial" w:cs="Arial"/>
          <w:sz w:val="22"/>
          <w:szCs w:val="22"/>
          <w:lang w:val="en-US" w:eastAsia="en-US"/>
        </w:rPr>
        <w:t xml:space="preserve"> should not be used in conjunction with other long-acting beta</w:t>
      </w:r>
      <w:r w:rsidRPr="00B523D5">
        <w:rPr>
          <w:rFonts w:ascii="Arial" w:hAnsi="Arial" w:cs="Arial"/>
          <w:sz w:val="22"/>
          <w:szCs w:val="22"/>
          <w:vertAlign w:val="subscript"/>
          <w:lang w:val="en-US" w:eastAsia="en-US"/>
        </w:rPr>
        <w:t>2</w:t>
      </w:r>
      <w:r>
        <w:rPr>
          <w:rFonts w:ascii="Arial" w:hAnsi="Arial" w:cs="Arial"/>
          <w:sz w:val="22"/>
          <w:szCs w:val="22"/>
          <w:lang w:val="en-US" w:eastAsia="en-US"/>
        </w:rPr>
        <w:t>-adrenergic agonists or medicinal products containing long-acting beta</w:t>
      </w:r>
      <w:r w:rsidRPr="00B523D5">
        <w:rPr>
          <w:rFonts w:ascii="Arial" w:hAnsi="Arial" w:cs="Arial"/>
          <w:sz w:val="22"/>
          <w:szCs w:val="22"/>
          <w:vertAlign w:val="subscript"/>
          <w:lang w:val="en-US" w:eastAsia="en-US"/>
        </w:rPr>
        <w:t>2</w:t>
      </w:r>
      <w:r>
        <w:rPr>
          <w:rFonts w:ascii="Arial" w:hAnsi="Arial" w:cs="Arial"/>
          <w:sz w:val="22"/>
          <w:szCs w:val="22"/>
          <w:lang w:val="en-US" w:eastAsia="en-US"/>
        </w:rPr>
        <w:t>-adrenergic agonists.</w:t>
      </w:r>
    </w:p>
    <w:p w:rsidR="00254280" w:rsidRPr="00254280" w:rsidRDefault="00254280" w:rsidP="00254280">
      <w:pPr>
        <w:spacing w:after="120"/>
        <w:rPr>
          <w:rFonts w:ascii="Arial" w:hAnsi="Arial" w:cs="Arial"/>
          <w:b/>
          <w:sz w:val="22"/>
          <w:szCs w:val="22"/>
          <w:lang w:val="en-US" w:eastAsia="en-US"/>
        </w:rPr>
      </w:pPr>
      <w:r w:rsidRPr="00254280">
        <w:rPr>
          <w:rFonts w:ascii="Arial" w:hAnsi="Arial" w:cs="Arial"/>
          <w:b/>
          <w:sz w:val="22"/>
          <w:szCs w:val="22"/>
          <w:lang w:val="en-US" w:eastAsia="en-US"/>
        </w:rPr>
        <w:t>Interaction with monoamine oxidase inhibitor</w:t>
      </w:r>
      <w:r w:rsidR="00F2728C">
        <w:rPr>
          <w:rFonts w:ascii="Arial" w:hAnsi="Arial" w:cs="Arial"/>
          <w:b/>
          <w:sz w:val="22"/>
          <w:szCs w:val="22"/>
          <w:lang w:val="en-US" w:eastAsia="en-US"/>
        </w:rPr>
        <w:t>s and tricyclic antidepressants</w:t>
      </w:r>
    </w:p>
    <w:p w:rsidR="00254280" w:rsidRDefault="00254280" w:rsidP="00254280">
      <w:pPr>
        <w:spacing w:after="120"/>
        <w:rPr>
          <w:rFonts w:ascii="Arial" w:hAnsi="Arial" w:cs="Arial"/>
          <w:sz w:val="22"/>
          <w:szCs w:val="22"/>
          <w:lang w:val="en-US" w:eastAsia="en-US"/>
        </w:rPr>
      </w:pPr>
      <w:proofErr w:type="spellStart"/>
      <w:r w:rsidRPr="00254280">
        <w:rPr>
          <w:rFonts w:ascii="Arial" w:hAnsi="Arial" w:cs="Arial"/>
          <w:sz w:val="22"/>
          <w:szCs w:val="22"/>
          <w:lang w:val="en-US" w:eastAsia="en-US"/>
        </w:rPr>
        <w:t>Vilanterol</w:t>
      </w:r>
      <w:proofErr w:type="spellEnd"/>
      <w:r w:rsidRPr="00254280">
        <w:rPr>
          <w:rFonts w:ascii="Arial" w:hAnsi="Arial" w:cs="Arial"/>
          <w:sz w:val="22"/>
          <w:szCs w:val="22"/>
          <w:lang w:val="en-US" w:eastAsia="en-US"/>
        </w:rPr>
        <w:t>, like other beta</w:t>
      </w:r>
      <w:r w:rsidRPr="00254280">
        <w:rPr>
          <w:rFonts w:ascii="Arial" w:hAnsi="Arial" w:cs="Arial"/>
          <w:sz w:val="22"/>
          <w:szCs w:val="22"/>
          <w:vertAlign w:val="subscript"/>
          <w:lang w:val="en-US" w:eastAsia="en-US"/>
        </w:rPr>
        <w:t>2</w:t>
      </w:r>
      <w:r w:rsidRPr="00254280">
        <w:rPr>
          <w:rFonts w:ascii="Arial" w:hAnsi="Arial" w:cs="Arial"/>
          <w:sz w:val="22"/>
          <w:szCs w:val="22"/>
          <w:lang w:val="en-US" w:eastAsia="en-US"/>
        </w:rPr>
        <w:t xml:space="preserve">-agonists, should be administered with extreme caution to patients being treated with monoamine oxidase inhibitors, tricyclic antidepressants, or drugs known to prolong the </w:t>
      </w:r>
      <w:proofErr w:type="spellStart"/>
      <w:r w:rsidRPr="00254280">
        <w:rPr>
          <w:rFonts w:ascii="Arial" w:hAnsi="Arial" w:cs="Arial"/>
          <w:sz w:val="22"/>
          <w:szCs w:val="22"/>
          <w:lang w:val="en-US" w:eastAsia="en-US"/>
        </w:rPr>
        <w:t>QTc</w:t>
      </w:r>
      <w:proofErr w:type="spellEnd"/>
      <w:r w:rsidRPr="00254280">
        <w:rPr>
          <w:rFonts w:ascii="Arial" w:hAnsi="Arial" w:cs="Arial"/>
          <w:sz w:val="22"/>
          <w:szCs w:val="22"/>
          <w:lang w:val="en-US" w:eastAsia="en-US"/>
        </w:rPr>
        <w:t xml:space="preserve"> interval </w:t>
      </w:r>
      <w:r>
        <w:rPr>
          <w:rFonts w:ascii="Arial" w:hAnsi="Arial" w:cs="Arial"/>
          <w:sz w:val="22"/>
          <w:szCs w:val="22"/>
          <w:lang w:val="en-US" w:eastAsia="en-US"/>
        </w:rPr>
        <w:t xml:space="preserve">because the effect of </w:t>
      </w:r>
      <w:r w:rsidRPr="00254280">
        <w:rPr>
          <w:rFonts w:ascii="Arial" w:hAnsi="Arial" w:cs="Arial"/>
          <w:sz w:val="22"/>
          <w:szCs w:val="22"/>
          <w:lang w:val="en-US" w:eastAsia="en-US"/>
        </w:rPr>
        <w:t xml:space="preserve">adrenergic agonists on the cardiovascular system may be potentiated by these agents. Drugs that are known to prolong the </w:t>
      </w:r>
      <w:proofErr w:type="spellStart"/>
      <w:r w:rsidRPr="00254280">
        <w:rPr>
          <w:rFonts w:ascii="Arial" w:hAnsi="Arial" w:cs="Arial"/>
          <w:sz w:val="22"/>
          <w:szCs w:val="22"/>
          <w:lang w:val="en-US" w:eastAsia="en-US"/>
        </w:rPr>
        <w:t>QTc</w:t>
      </w:r>
      <w:proofErr w:type="spellEnd"/>
      <w:r w:rsidRPr="00254280">
        <w:rPr>
          <w:rFonts w:ascii="Arial" w:hAnsi="Arial" w:cs="Arial"/>
          <w:sz w:val="22"/>
          <w:szCs w:val="22"/>
          <w:lang w:val="en-US" w:eastAsia="en-US"/>
        </w:rPr>
        <w:t xml:space="preserve"> interval have an increased risk of ventricular arrhythmias.</w:t>
      </w:r>
    </w:p>
    <w:p w:rsidR="0077380F" w:rsidRPr="007835FF" w:rsidRDefault="0077380F" w:rsidP="00F2728C">
      <w:pPr>
        <w:spacing w:before="240" w:after="240"/>
        <w:jc w:val="both"/>
        <w:rPr>
          <w:rFonts w:ascii="Arial" w:hAnsi="Arial" w:cs="Arial"/>
          <w:b/>
          <w:sz w:val="22"/>
          <w:szCs w:val="22"/>
        </w:rPr>
      </w:pPr>
      <w:r w:rsidRPr="007835FF">
        <w:rPr>
          <w:rFonts w:ascii="Arial" w:hAnsi="Arial" w:cs="Arial"/>
          <w:b/>
          <w:sz w:val="22"/>
          <w:szCs w:val="22"/>
        </w:rPr>
        <w:t>AD</w:t>
      </w:r>
      <w:smartTag w:uri="schemas-GSKSiteLocations-com/fourthcoffee" w:element="flavor">
        <w:r w:rsidRPr="007835FF">
          <w:rPr>
            <w:rFonts w:ascii="Arial" w:hAnsi="Arial" w:cs="Arial"/>
            <w:b/>
            <w:sz w:val="22"/>
            <w:szCs w:val="22"/>
          </w:rPr>
          <w:t>VER</w:t>
        </w:r>
      </w:smartTag>
      <w:r w:rsidRPr="007835FF">
        <w:rPr>
          <w:rFonts w:ascii="Arial" w:hAnsi="Arial" w:cs="Arial"/>
          <w:b/>
          <w:sz w:val="22"/>
          <w:szCs w:val="22"/>
        </w:rPr>
        <w:t>SE EFFECTS</w:t>
      </w:r>
    </w:p>
    <w:p w:rsidR="00D05EDE" w:rsidRDefault="00D05EDE" w:rsidP="00F2728C">
      <w:pPr>
        <w:spacing w:after="120"/>
        <w:rPr>
          <w:rFonts w:ascii="Arial" w:hAnsi="Arial" w:cs="Arial"/>
          <w:b/>
          <w:sz w:val="22"/>
        </w:rPr>
      </w:pPr>
      <w:r w:rsidRPr="005E61A1">
        <w:rPr>
          <w:rFonts w:ascii="Arial" w:hAnsi="Arial" w:cs="Arial"/>
          <w:b/>
          <w:sz w:val="22"/>
        </w:rPr>
        <w:t>Clinical trial data</w:t>
      </w:r>
    </w:p>
    <w:p w:rsidR="00F708E8" w:rsidRDefault="002133B6" w:rsidP="00664596">
      <w:pPr>
        <w:spacing w:after="240"/>
        <w:rPr>
          <w:rFonts w:ascii="Arial" w:hAnsi="Arial" w:cs="Arial"/>
          <w:sz w:val="22"/>
          <w:szCs w:val="22"/>
        </w:rPr>
      </w:pPr>
      <w:r>
        <w:rPr>
          <w:rFonts w:ascii="Arial" w:hAnsi="Arial" w:cs="Arial"/>
          <w:sz w:val="22"/>
          <w:szCs w:val="22"/>
        </w:rPr>
        <w:t xml:space="preserve">The </w:t>
      </w:r>
      <w:r w:rsidR="00F708E8">
        <w:rPr>
          <w:rFonts w:ascii="Arial" w:hAnsi="Arial" w:cs="Arial"/>
          <w:sz w:val="22"/>
          <w:szCs w:val="22"/>
        </w:rPr>
        <w:t>most frequent adverse events</w:t>
      </w:r>
      <w:r>
        <w:rPr>
          <w:rFonts w:ascii="Arial" w:hAnsi="Arial" w:cs="Arial"/>
          <w:sz w:val="22"/>
          <w:szCs w:val="22"/>
        </w:rPr>
        <w:t>,</w:t>
      </w:r>
      <w:r w:rsidR="00F708E8">
        <w:rPr>
          <w:rFonts w:ascii="Arial" w:hAnsi="Arial" w:cs="Arial"/>
          <w:sz w:val="22"/>
          <w:szCs w:val="22"/>
        </w:rPr>
        <w:t xml:space="preserve"> based on studies including a comparator</w:t>
      </w:r>
      <w:r>
        <w:rPr>
          <w:rFonts w:ascii="Arial" w:hAnsi="Arial" w:cs="Arial"/>
          <w:sz w:val="22"/>
          <w:szCs w:val="22"/>
        </w:rPr>
        <w:t>,</w:t>
      </w:r>
      <w:r w:rsidR="00F708E8">
        <w:rPr>
          <w:rFonts w:ascii="Arial" w:hAnsi="Arial" w:cs="Arial"/>
          <w:sz w:val="22"/>
          <w:szCs w:val="22"/>
        </w:rPr>
        <w:t xml:space="preserve"> are presented in </w:t>
      </w:r>
      <w:r>
        <w:rPr>
          <w:rFonts w:ascii="Arial" w:hAnsi="Arial" w:cs="Arial"/>
          <w:sz w:val="22"/>
          <w:szCs w:val="22"/>
        </w:rPr>
        <w:fldChar w:fldCharType="begin"/>
      </w:r>
      <w:r>
        <w:rPr>
          <w:rFonts w:ascii="Arial" w:hAnsi="Arial" w:cs="Arial"/>
          <w:sz w:val="22"/>
          <w:szCs w:val="22"/>
        </w:rPr>
        <w:instrText xml:space="preserve"> REF _Ref330292229 \h  \* MERGEFORMAT </w:instrText>
      </w:r>
      <w:r>
        <w:rPr>
          <w:rFonts w:ascii="Arial" w:hAnsi="Arial" w:cs="Arial"/>
          <w:sz w:val="22"/>
          <w:szCs w:val="22"/>
        </w:rPr>
      </w:r>
      <w:r>
        <w:rPr>
          <w:rFonts w:ascii="Arial" w:hAnsi="Arial" w:cs="Arial"/>
          <w:sz w:val="22"/>
          <w:szCs w:val="22"/>
        </w:rPr>
        <w:fldChar w:fldCharType="separate"/>
      </w:r>
      <w:r w:rsidR="00F24906" w:rsidRPr="00F24906">
        <w:rPr>
          <w:rFonts w:ascii="Arial" w:hAnsi="Arial" w:cs="Arial"/>
          <w:sz w:val="22"/>
          <w:szCs w:val="22"/>
        </w:rPr>
        <w:t>Table 3</w:t>
      </w:r>
      <w:r>
        <w:rPr>
          <w:rFonts w:ascii="Arial" w:hAnsi="Arial" w:cs="Arial"/>
          <w:sz w:val="22"/>
          <w:szCs w:val="22"/>
        </w:rPr>
        <w:fldChar w:fldCharType="end"/>
      </w:r>
      <w:r>
        <w:rPr>
          <w:rFonts w:ascii="Arial" w:hAnsi="Arial" w:cs="Arial"/>
          <w:sz w:val="22"/>
          <w:szCs w:val="22"/>
        </w:rPr>
        <w:t xml:space="preserve"> and </w:t>
      </w:r>
      <w:r>
        <w:rPr>
          <w:rFonts w:ascii="Arial" w:hAnsi="Arial" w:cs="Arial"/>
          <w:sz w:val="22"/>
          <w:szCs w:val="22"/>
        </w:rPr>
        <w:fldChar w:fldCharType="begin"/>
      </w:r>
      <w:r>
        <w:rPr>
          <w:rFonts w:ascii="Arial" w:hAnsi="Arial" w:cs="Arial"/>
          <w:sz w:val="22"/>
          <w:szCs w:val="22"/>
        </w:rPr>
        <w:instrText xml:space="preserve"> REF _Ref330292232 \h  \* MERGEFORMAT </w:instrText>
      </w:r>
      <w:r>
        <w:rPr>
          <w:rFonts w:ascii="Arial" w:hAnsi="Arial" w:cs="Arial"/>
          <w:sz w:val="22"/>
          <w:szCs w:val="22"/>
        </w:rPr>
      </w:r>
      <w:r>
        <w:rPr>
          <w:rFonts w:ascii="Arial" w:hAnsi="Arial" w:cs="Arial"/>
          <w:sz w:val="22"/>
          <w:szCs w:val="22"/>
        </w:rPr>
        <w:fldChar w:fldCharType="separate"/>
      </w:r>
      <w:r w:rsidR="00F24906" w:rsidRPr="00F24906">
        <w:rPr>
          <w:rFonts w:ascii="Arial" w:hAnsi="Arial" w:cs="Arial"/>
          <w:sz w:val="22"/>
          <w:szCs w:val="22"/>
        </w:rPr>
        <w:t>Table 4</w:t>
      </w:r>
      <w:r>
        <w:rPr>
          <w:rFonts w:ascii="Arial" w:hAnsi="Arial" w:cs="Arial"/>
          <w:sz w:val="22"/>
          <w:szCs w:val="22"/>
        </w:rPr>
        <w:fldChar w:fldCharType="end"/>
      </w:r>
      <w:r w:rsidR="00F708E8">
        <w:rPr>
          <w:rFonts w:ascii="Arial" w:hAnsi="Arial" w:cs="Arial"/>
          <w:sz w:val="22"/>
          <w:szCs w:val="22"/>
        </w:rPr>
        <w:t xml:space="preserve"> </w:t>
      </w:r>
      <w:r w:rsidR="008B687B">
        <w:rPr>
          <w:rFonts w:ascii="Arial" w:hAnsi="Arial" w:cs="Arial"/>
          <w:sz w:val="22"/>
          <w:szCs w:val="22"/>
        </w:rPr>
        <w:t>for</w:t>
      </w:r>
      <w:r w:rsidR="00F708E8">
        <w:rPr>
          <w:rFonts w:ascii="Arial" w:hAnsi="Arial" w:cs="Arial"/>
          <w:sz w:val="22"/>
          <w:szCs w:val="22"/>
        </w:rPr>
        <w:t xml:space="preserve"> asthma and COPD, respectively.</w:t>
      </w:r>
    </w:p>
    <w:p w:rsidR="000F37ED" w:rsidRPr="002133B6" w:rsidRDefault="00F32AF9" w:rsidP="00F32AF9">
      <w:pPr>
        <w:pStyle w:val="Caption"/>
        <w:keepNext/>
        <w:ind w:left="851" w:hanging="851"/>
        <w:rPr>
          <w:lang w:val="en-US"/>
        </w:rPr>
      </w:pPr>
      <w:bookmarkStart w:id="1" w:name="_Ref330292229"/>
      <w:r w:rsidRPr="002133B6">
        <w:t xml:space="preserve">Table </w:t>
      </w:r>
      <w:r w:rsidRPr="002133B6">
        <w:fldChar w:fldCharType="begin"/>
      </w:r>
      <w:r w:rsidRPr="002133B6">
        <w:instrText xml:space="preserve"> SEQ Table \* ARABIC </w:instrText>
      </w:r>
      <w:r w:rsidRPr="002133B6">
        <w:fldChar w:fldCharType="separate"/>
      </w:r>
      <w:r w:rsidR="00F24906">
        <w:rPr>
          <w:noProof/>
        </w:rPr>
        <w:t>3</w:t>
      </w:r>
      <w:r w:rsidRPr="002133B6">
        <w:fldChar w:fldCharType="end"/>
      </w:r>
      <w:bookmarkEnd w:id="1"/>
      <w:r w:rsidRPr="002133B6">
        <w:t xml:space="preserve"> </w:t>
      </w:r>
      <w:r w:rsidR="00894AE0">
        <w:t>Adverse Events With ≥</w:t>
      </w:r>
      <w:r w:rsidR="00894AE0" w:rsidRPr="002133B6">
        <w:t xml:space="preserve">3% Incidence </w:t>
      </w:r>
      <w:proofErr w:type="gramStart"/>
      <w:r w:rsidR="00894AE0">
        <w:t>With</w:t>
      </w:r>
      <w:proofErr w:type="gramEnd"/>
      <w:r w:rsidR="00894AE0">
        <w:t xml:space="preserve"> F</w:t>
      </w:r>
      <w:r w:rsidR="00894AE0" w:rsidRPr="005E61A1">
        <w:t xml:space="preserve">luticasone </w:t>
      </w:r>
      <w:proofErr w:type="spellStart"/>
      <w:r w:rsidR="00894AE0">
        <w:t>F</w:t>
      </w:r>
      <w:r w:rsidR="00894AE0" w:rsidRPr="005E61A1">
        <w:t>uroate</w:t>
      </w:r>
      <w:proofErr w:type="spellEnd"/>
      <w:r w:rsidR="00894AE0" w:rsidRPr="005E61A1">
        <w:t>/</w:t>
      </w:r>
      <w:proofErr w:type="spellStart"/>
      <w:r w:rsidR="00894AE0">
        <w:t>V</w:t>
      </w:r>
      <w:r w:rsidR="00894AE0" w:rsidRPr="005E61A1">
        <w:t>ilanterol</w:t>
      </w:r>
      <w:proofErr w:type="spellEnd"/>
      <w:r w:rsidR="00894AE0">
        <w:t xml:space="preserve"> in Asthma</w:t>
      </w:r>
      <w:r w:rsidR="000F37ED" w:rsidRPr="002133B6">
        <w:t xml:space="preserve"> (Integrated Asthma Clinical Studies)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000"/>
        <w:gridCol w:w="1061"/>
        <w:gridCol w:w="1032"/>
        <w:gridCol w:w="957"/>
        <w:gridCol w:w="990"/>
        <w:gridCol w:w="942"/>
        <w:gridCol w:w="966"/>
      </w:tblGrid>
      <w:tr w:rsidR="000F37ED" w:rsidRPr="002133B6" w:rsidTr="000F37ED">
        <w:tc>
          <w:tcPr>
            <w:tcW w:w="1908" w:type="dxa"/>
            <w:tcBorders>
              <w:bottom w:val="nil"/>
            </w:tcBorders>
          </w:tcPr>
          <w:p w:rsidR="000F37ED" w:rsidRPr="002133B6" w:rsidRDefault="000F37ED" w:rsidP="000F37ED">
            <w:pPr>
              <w:pStyle w:val="tabletextNS"/>
              <w:keepNext/>
              <w:keepLines/>
              <w:rPr>
                <w:b/>
                <w:sz w:val="20"/>
                <w:lang w:val="en-US"/>
              </w:rPr>
            </w:pPr>
          </w:p>
        </w:tc>
        <w:tc>
          <w:tcPr>
            <w:tcW w:w="6948" w:type="dxa"/>
            <w:gridSpan w:val="7"/>
          </w:tcPr>
          <w:p w:rsidR="000F37ED" w:rsidRPr="002133B6" w:rsidRDefault="000F37ED" w:rsidP="000F37ED">
            <w:pPr>
              <w:pStyle w:val="tabletextNS"/>
              <w:keepNext/>
              <w:keepLines/>
              <w:jc w:val="center"/>
              <w:rPr>
                <w:b/>
                <w:sz w:val="20"/>
                <w:lang w:val="en-US"/>
              </w:rPr>
            </w:pPr>
            <w:r w:rsidRPr="002133B6">
              <w:rPr>
                <w:b/>
                <w:sz w:val="20"/>
                <w:lang w:val="en-US"/>
              </w:rPr>
              <w:t>Number (%) of Subjects</w:t>
            </w:r>
          </w:p>
        </w:tc>
      </w:tr>
      <w:tr w:rsidR="000F37ED" w:rsidRPr="002133B6" w:rsidTr="000F37ED">
        <w:tc>
          <w:tcPr>
            <w:tcW w:w="1908" w:type="dxa"/>
            <w:tcBorders>
              <w:top w:val="nil"/>
            </w:tcBorders>
          </w:tcPr>
          <w:p w:rsidR="000F37ED" w:rsidRPr="002133B6" w:rsidRDefault="000F37ED" w:rsidP="000F37ED">
            <w:pPr>
              <w:pStyle w:val="tabletextNS"/>
              <w:keepNext/>
              <w:keepLines/>
              <w:rPr>
                <w:b/>
                <w:sz w:val="20"/>
                <w:lang w:val="en-US"/>
              </w:rPr>
            </w:pPr>
          </w:p>
          <w:p w:rsidR="000F37ED" w:rsidRPr="002133B6" w:rsidRDefault="000F37ED" w:rsidP="000F37ED">
            <w:pPr>
              <w:pStyle w:val="tabletextNS"/>
              <w:keepNext/>
              <w:keepLines/>
              <w:rPr>
                <w:b/>
                <w:sz w:val="20"/>
                <w:lang w:val="en-US"/>
              </w:rPr>
            </w:pPr>
            <w:r w:rsidRPr="002133B6">
              <w:rPr>
                <w:b/>
                <w:sz w:val="20"/>
                <w:lang w:val="en-US"/>
              </w:rPr>
              <w:t>Adverse Event</w:t>
            </w:r>
          </w:p>
          <w:p w:rsidR="000F37ED" w:rsidRPr="002133B6" w:rsidRDefault="000F37ED" w:rsidP="000F37ED">
            <w:pPr>
              <w:pStyle w:val="tabletextNS"/>
              <w:keepNext/>
              <w:keepLines/>
              <w:rPr>
                <w:b/>
                <w:sz w:val="20"/>
                <w:lang w:val="en-US"/>
              </w:rPr>
            </w:pPr>
            <w:r w:rsidRPr="002133B6">
              <w:rPr>
                <w:b/>
                <w:sz w:val="20"/>
                <w:lang w:val="en-US"/>
              </w:rPr>
              <w:t>(Preferred Term)</w:t>
            </w:r>
          </w:p>
        </w:tc>
        <w:tc>
          <w:tcPr>
            <w:tcW w:w="1000" w:type="dxa"/>
          </w:tcPr>
          <w:p w:rsidR="000F37ED" w:rsidRPr="002133B6" w:rsidRDefault="000F37ED" w:rsidP="000F37ED">
            <w:pPr>
              <w:pStyle w:val="tabletextNS"/>
              <w:keepNext/>
              <w:keepLines/>
              <w:jc w:val="center"/>
              <w:rPr>
                <w:b/>
                <w:sz w:val="20"/>
                <w:lang w:val="en-US"/>
              </w:rPr>
            </w:pPr>
          </w:p>
          <w:p w:rsidR="000F37ED" w:rsidRPr="002133B6" w:rsidRDefault="000F37ED" w:rsidP="000F37ED">
            <w:pPr>
              <w:pStyle w:val="tabletextNS"/>
              <w:keepNext/>
              <w:keepLines/>
              <w:jc w:val="center"/>
              <w:rPr>
                <w:b/>
                <w:sz w:val="20"/>
                <w:lang w:val="en-US"/>
              </w:rPr>
            </w:pPr>
            <w:r w:rsidRPr="002133B6">
              <w:rPr>
                <w:b/>
                <w:sz w:val="20"/>
                <w:lang w:val="en-US"/>
              </w:rPr>
              <w:t>Placebo</w:t>
            </w:r>
          </w:p>
          <w:p w:rsidR="000F37ED" w:rsidRPr="002133B6" w:rsidRDefault="000F37ED" w:rsidP="000F37ED">
            <w:pPr>
              <w:pStyle w:val="tabletextNS"/>
              <w:keepNext/>
              <w:keepLines/>
              <w:jc w:val="center"/>
              <w:rPr>
                <w:b/>
                <w:sz w:val="20"/>
                <w:lang w:val="en-US"/>
              </w:rPr>
            </w:pPr>
            <w:r w:rsidRPr="002133B6">
              <w:rPr>
                <w:b/>
                <w:sz w:val="20"/>
                <w:lang w:val="en-US"/>
              </w:rPr>
              <w:t>N=680</w:t>
            </w:r>
          </w:p>
        </w:tc>
        <w:tc>
          <w:tcPr>
            <w:tcW w:w="1061" w:type="dxa"/>
          </w:tcPr>
          <w:p w:rsidR="000F37ED" w:rsidRPr="002133B6" w:rsidRDefault="000F37ED" w:rsidP="000F37ED">
            <w:pPr>
              <w:pStyle w:val="tabletextNS"/>
              <w:keepNext/>
              <w:keepLines/>
              <w:jc w:val="center"/>
              <w:rPr>
                <w:b/>
                <w:sz w:val="20"/>
                <w:lang w:val="en-US"/>
              </w:rPr>
            </w:pPr>
            <w:r w:rsidRPr="002133B6">
              <w:rPr>
                <w:b/>
                <w:sz w:val="20"/>
                <w:lang w:val="en-US"/>
              </w:rPr>
              <w:t>FF/VI</w:t>
            </w:r>
          </w:p>
          <w:p w:rsidR="000F37ED" w:rsidRPr="002133B6" w:rsidRDefault="000F37ED" w:rsidP="000F37ED">
            <w:pPr>
              <w:pStyle w:val="tabletextNS"/>
              <w:keepNext/>
              <w:keepLines/>
              <w:jc w:val="center"/>
              <w:rPr>
                <w:b/>
                <w:sz w:val="20"/>
                <w:lang w:val="en-US"/>
              </w:rPr>
            </w:pPr>
            <w:r w:rsidRPr="002133B6">
              <w:rPr>
                <w:b/>
                <w:sz w:val="20"/>
                <w:lang w:val="en-US"/>
              </w:rPr>
              <w:t>100/25</w:t>
            </w:r>
          </w:p>
          <w:p w:rsidR="000F37ED" w:rsidRPr="002133B6" w:rsidRDefault="000F37ED" w:rsidP="000F37ED">
            <w:pPr>
              <w:pStyle w:val="tabletextNS"/>
              <w:keepNext/>
              <w:keepLines/>
              <w:jc w:val="center"/>
              <w:rPr>
                <w:b/>
                <w:sz w:val="20"/>
                <w:lang w:val="en-US"/>
              </w:rPr>
            </w:pPr>
            <w:r w:rsidRPr="002133B6">
              <w:rPr>
                <w:b/>
                <w:sz w:val="20"/>
                <w:lang w:val="en-US"/>
              </w:rPr>
              <w:t>N=1467</w:t>
            </w:r>
          </w:p>
        </w:tc>
        <w:tc>
          <w:tcPr>
            <w:tcW w:w="1032" w:type="dxa"/>
          </w:tcPr>
          <w:p w:rsidR="000F37ED" w:rsidRPr="002133B6" w:rsidRDefault="000F37ED" w:rsidP="000F37ED">
            <w:pPr>
              <w:pStyle w:val="tabletextNS"/>
              <w:keepNext/>
              <w:keepLines/>
              <w:jc w:val="center"/>
              <w:rPr>
                <w:b/>
                <w:sz w:val="20"/>
                <w:lang w:val="en-US"/>
              </w:rPr>
            </w:pPr>
            <w:r w:rsidRPr="002133B6">
              <w:rPr>
                <w:b/>
                <w:sz w:val="20"/>
                <w:lang w:val="en-US"/>
              </w:rPr>
              <w:t>FF/VI</w:t>
            </w:r>
          </w:p>
          <w:p w:rsidR="000F37ED" w:rsidRPr="002133B6" w:rsidRDefault="000F37ED" w:rsidP="000F37ED">
            <w:pPr>
              <w:pStyle w:val="tabletextNS"/>
              <w:keepNext/>
              <w:keepLines/>
              <w:jc w:val="center"/>
              <w:rPr>
                <w:b/>
                <w:sz w:val="20"/>
                <w:lang w:val="en-US"/>
              </w:rPr>
            </w:pPr>
            <w:r w:rsidRPr="002133B6">
              <w:rPr>
                <w:b/>
                <w:sz w:val="20"/>
                <w:lang w:val="en-US"/>
              </w:rPr>
              <w:t>200/25</w:t>
            </w:r>
          </w:p>
          <w:p w:rsidR="000F37ED" w:rsidRPr="002133B6" w:rsidRDefault="000F37ED" w:rsidP="000F37ED">
            <w:pPr>
              <w:pStyle w:val="tabletextNS"/>
              <w:keepNext/>
              <w:keepLines/>
              <w:jc w:val="center"/>
              <w:rPr>
                <w:b/>
                <w:sz w:val="20"/>
                <w:lang w:val="en-US"/>
              </w:rPr>
            </w:pPr>
            <w:r w:rsidRPr="002133B6">
              <w:rPr>
                <w:b/>
                <w:sz w:val="20"/>
                <w:lang w:val="en-US"/>
              </w:rPr>
              <w:t>N=455</w:t>
            </w:r>
          </w:p>
        </w:tc>
        <w:tc>
          <w:tcPr>
            <w:tcW w:w="957" w:type="dxa"/>
          </w:tcPr>
          <w:p w:rsidR="000F37ED" w:rsidRPr="002133B6" w:rsidRDefault="000F37ED" w:rsidP="000F37ED">
            <w:pPr>
              <w:pStyle w:val="tabletextNS"/>
              <w:keepNext/>
              <w:keepLines/>
              <w:jc w:val="center"/>
              <w:rPr>
                <w:b/>
                <w:sz w:val="20"/>
                <w:lang w:val="en-US"/>
              </w:rPr>
            </w:pPr>
          </w:p>
          <w:p w:rsidR="000F37ED" w:rsidRPr="002133B6" w:rsidRDefault="000F37ED" w:rsidP="000F37ED">
            <w:pPr>
              <w:pStyle w:val="tabletextNS"/>
              <w:keepNext/>
              <w:keepLines/>
              <w:jc w:val="center"/>
              <w:rPr>
                <w:b/>
                <w:sz w:val="20"/>
                <w:lang w:val="en-US"/>
              </w:rPr>
            </w:pPr>
            <w:r w:rsidRPr="002133B6">
              <w:rPr>
                <w:b/>
                <w:sz w:val="20"/>
                <w:lang w:val="en-US"/>
              </w:rPr>
              <w:t>FF 100</w:t>
            </w:r>
          </w:p>
          <w:p w:rsidR="000F37ED" w:rsidRPr="002133B6" w:rsidRDefault="000F37ED" w:rsidP="000F37ED">
            <w:pPr>
              <w:pStyle w:val="tabletextNS"/>
              <w:keepNext/>
              <w:keepLines/>
              <w:jc w:val="center"/>
              <w:rPr>
                <w:b/>
                <w:sz w:val="20"/>
                <w:lang w:val="en-US"/>
              </w:rPr>
            </w:pPr>
            <w:r w:rsidRPr="002133B6">
              <w:rPr>
                <w:b/>
                <w:sz w:val="20"/>
                <w:lang w:val="en-US"/>
              </w:rPr>
              <w:t>N=1544</w:t>
            </w:r>
          </w:p>
        </w:tc>
        <w:tc>
          <w:tcPr>
            <w:tcW w:w="990" w:type="dxa"/>
          </w:tcPr>
          <w:p w:rsidR="000F37ED" w:rsidRPr="002133B6" w:rsidRDefault="000F37ED" w:rsidP="000F37ED">
            <w:pPr>
              <w:pStyle w:val="tabletextNS"/>
              <w:keepNext/>
              <w:keepLines/>
              <w:jc w:val="center"/>
              <w:rPr>
                <w:b/>
                <w:sz w:val="20"/>
                <w:lang w:val="en-US"/>
              </w:rPr>
            </w:pPr>
          </w:p>
          <w:p w:rsidR="000F37ED" w:rsidRPr="002133B6" w:rsidRDefault="000F37ED" w:rsidP="000F37ED">
            <w:pPr>
              <w:pStyle w:val="tabletextNS"/>
              <w:keepNext/>
              <w:keepLines/>
              <w:jc w:val="center"/>
              <w:rPr>
                <w:b/>
                <w:sz w:val="20"/>
                <w:lang w:val="en-US"/>
              </w:rPr>
            </w:pPr>
            <w:r w:rsidRPr="002133B6">
              <w:rPr>
                <w:b/>
                <w:sz w:val="20"/>
                <w:lang w:val="en-US"/>
              </w:rPr>
              <w:t>FF 200</w:t>
            </w:r>
          </w:p>
          <w:p w:rsidR="000F37ED" w:rsidRPr="002133B6" w:rsidRDefault="000F37ED" w:rsidP="000F37ED">
            <w:pPr>
              <w:pStyle w:val="tabletextNS"/>
              <w:keepNext/>
              <w:keepLines/>
              <w:jc w:val="center"/>
              <w:rPr>
                <w:b/>
                <w:sz w:val="20"/>
                <w:lang w:val="en-US"/>
              </w:rPr>
            </w:pPr>
            <w:r w:rsidRPr="002133B6">
              <w:rPr>
                <w:b/>
                <w:sz w:val="20"/>
                <w:lang w:val="en-US"/>
              </w:rPr>
              <w:t>N=489</w:t>
            </w:r>
          </w:p>
        </w:tc>
        <w:tc>
          <w:tcPr>
            <w:tcW w:w="942" w:type="dxa"/>
          </w:tcPr>
          <w:p w:rsidR="000F37ED" w:rsidRPr="002133B6" w:rsidRDefault="000F37ED" w:rsidP="000F37ED">
            <w:pPr>
              <w:pStyle w:val="tabletextNS"/>
              <w:keepNext/>
              <w:keepLines/>
              <w:jc w:val="center"/>
              <w:rPr>
                <w:b/>
                <w:sz w:val="20"/>
                <w:lang w:val="en-US"/>
              </w:rPr>
            </w:pPr>
            <w:r w:rsidRPr="002133B6">
              <w:rPr>
                <w:b/>
                <w:sz w:val="20"/>
                <w:lang w:val="en-US"/>
              </w:rPr>
              <w:t>Placebo</w:t>
            </w:r>
          </w:p>
          <w:p w:rsidR="000F37ED" w:rsidRPr="002133B6" w:rsidRDefault="000F37ED" w:rsidP="000F37ED">
            <w:pPr>
              <w:pStyle w:val="tabletextNS"/>
              <w:keepNext/>
              <w:keepLines/>
              <w:jc w:val="center"/>
              <w:rPr>
                <w:b/>
                <w:sz w:val="20"/>
                <w:lang w:val="en-US"/>
              </w:rPr>
            </w:pPr>
            <w:r w:rsidRPr="002133B6">
              <w:rPr>
                <w:b/>
                <w:sz w:val="20"/>
                <w:lang w:val="en-US"/>
              </w:rPr>
              <w:t>+ICS</w:t>
            </w:r>
          </w:p>
          <w:p w:rsidR="000F37ED" w:rsidRPr="002133B6" w:rsidRDefault="000F37ED" w:rsidP="000F37ED">
            <w:pPr>
              <w:pStyle w:val="tabletextNS"/>
              <w:keepNext/>
              <w:keepLines/>
              <w:jc w:val="center"/>
              <w:rPr>
                <w:b/>
                <w:sz w:val="20"/>
                <w:lang w:val="en-US"/>
              </w:rPr>
            </w:pPr>
            <w:r w:rsidRPr="002133B6">
              <w:rPr>
                <w:b/>
                <w:sz w:val="20"/>
                <w:lang w:val="en-US"/>
              </w:rPr>
              <w:t>N=218</w:t>
            </w:r>
          </w:p>
        </w:tc>
        <w:tc>
          <w:tcPr>
            <w:tcW w:w="966" w:type="dxa"/>
          </w:tcPr>
          <w:p w:rsidR="000F37ED" w:rsidRPr="002133B6" w:rsidRDefault="000F37ED" w:rsidP="000F37ED">
            <w:pPr>
              <w:pStyle w:val="tabletextNS"/>
              <w:keepNext/>
              <w:keepLines/>
              <w:jc w:val="center"/>
              <w:rPr>
                <w:b/>
                <w:sz w:val="20"/>
                <w:lang w:val="en-US"/>
              </w:rPr>
            </w:pPr>
            <w:r w:rsidRPr="002133B6">
              <w:rPr>
                <w:b/>
                <w:sz w:val="20"/>
                <w:lang w:val="en-US"/>
              </w:rPr>
              <w:t>VI 25</w:t>
            </w:r>
          </w:p>
          <w:p w:rsidR="000F37ED" w:rsidRPr="002133B6" w:rsidRDefault="000F37ED" w:rsidP="000F37ED">
            <w:pPr>
              <w:pStyle w:val="tabletextNS"/>
              <w:keepNext/>
              <w:keepLines/>
              <w:jc w:val="center"/>
              <w:rPr>
                <w:b/>
                <w:sz w:val="20"/>
                <w:lang w:val="en-US"/>
              </w:rPr>
            </w:pPr>
            <w:r w:rsidRPr="002133B6">
              <w:rPr>
                <w:b/>
                <w:sz w:val="20"/>
                <w:lang w:val="en-US"/>
              </w:rPr>
              <w:t>+ICS</w:t>
            </w:r>
          </w:p>
          <w:p w:rsidR="000F37ED" w:rsidRPr="002133B6" w:rsidRDefault="000F37ED" w:rsidP="000F37ED">
            <w:pPr>
              <w:pStyle w:val="tabletextNS"/>
              <w:keepNext/>
              <w:keepLines/>
              <w:jc w:val="center"/>
              <w:rPr>
                <w:b/>
                <w:sz w:val="20"/>
                <w:lang w:val="en-US"/>
              </w:rPr>
            </w:pPr>
            <w:r w:rsidRPr="002133B6">
              <w:rPr>
                <w:b/>
                <w:sz w:val="20"/>
                <w:lang w:val="en-US"/>
              </w:rPr>
              <w:t>N=216</w:t>
            </w:r>
          </w:p>
        </w:tc>
      </w:tr>
      <w:tr w:rsidR="000F37ED" w:rsidRPr="002133B6" w:rsidTr="000F37ED">
        <w:tc>
          <w:tcPr>
            <w:tcW w:w="1908" w:type="dxa"/>
            <w:tcBorders>
              <w:bottom w:val="nil"/>
            </w:tcBorders>
          </w:tcPr>
          <w:p w:rsidR="000F37ED" w:rsidRPr="002133B6" w:rsidRDefault="000F37ED" w:rsidP="000F37ED">
            <w:pPr>
              <w:keepNext/>
              <w:keepLines/>
              <w:rPr>
                <w:rFonts w:ascii="Arial Narrow" w:hAnsi="Arial Narrow"/>
                <w:b/>
                <w:color w:val="000000"/>
              </w:rPr>
            </w:pPr>
            <w:r w:rsidRPr="002133B6">
              <w:rPr>
                <w:rFonts w:ascii="Arial Narrow" w:hAnsi="Arial Narrow"/>
                <w:b/>
                <w:color w:val="000000"/>
              </w:rPr>
              <w:t>Any AE</w:t>
            </w:r>
          </w:p>
        </w:tc>
        <w:tc>
          <w:tcPr>
            <w:tcW w:w="1000"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184 (27)</w:t>
            </w:r>
          </w:p>
        </w:tc>
        <w:tc>
          <w:tcPr>
            <w:tcW w:w="1061"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857 (58)</w:t>
            </w:r>
          </w:p>
        </w:tc>
        <w:tc>
          <w:tcPr>
            <w:tcW w:w="1032"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247 (54)</w:t>
            </w:r>
          </w:p>
        </w:tc>
        <w:tc>
          <w:tcPr>
            <w:tcW w:w="957"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842 (55)</w:t>
            </w:r>
          </w:p>
        </w:tc>
        <w:tc>
          <w:tcPr>
            <w:tcW w:w="990"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181 (37)</w:t>
            </w:r>
          </w:p>
        </w:tc>
        <w:tc>
          <w:tcPr>
            <w:tcW w:w="942" w:type="dxa"/>
            <w:tcBorders>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84 (39)</w:t>
            </w:r>
          </w:p>
        </w:tc>
        <w:tc>
          <w:tcPr>
            <w:tcW w:w="966" w:type="dxa"/>
            <w:tcBorders>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78 (36)</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Headache</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44 (6)</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252 (17)</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55 (12)</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216 (14)</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29 (6)</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13 (6)</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17 (8)</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proofErr w:type="spellStart"/>
            <w:r w:rsidRPr="002133B6">
              <w:rPr>
                <w:rFonts w:ascii="Arial Narrow" w:hAnsi="Arial Narrow"/>
                <w:color w:val="000000"/>
              </w:rPr>
              <w:t>Nasopharyngitis</w:t>
            </w:r>
            <w:proofErr w:type="spellEnd"/>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35 (5)</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202 (14)</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45 (10)</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167 (11)</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38 (8)</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16 (7)</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9 (4)</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URTI</w:t>
            </w:r>
            <w:r w:rsidRPr="002133B6">
              <w:rPr>
                <w:rFonts w:ascii="Arial Narrow" w:hAnsi="Arial Narrow"/>
                <w:color w:val="000000"/>
                <w:vertAlign w:val="superscript"/>
              </w:rPr>
              <w:t>1</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10 (1)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110 (7)</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32 (7)</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109 (7)</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(2)</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10 (5)</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 (2)</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Bronchitis</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13 (2)</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67 (5)</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16 (4)</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84 (5)</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 (1)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0</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Oropharyngeal pain</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 (1)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53 (4)</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16 (4)</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68 (4)</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14 (3)</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8 (4)</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 (3)</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Cough</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64 (4)</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14 (3)</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68 (4)</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10 (2)</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1 (&lt;1)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Sinusitis</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54 (4)</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 (2)</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45 (3)</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10 (2)</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3 (1)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Back pain</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51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17 (4)</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48 (3)</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7 (1)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1 (&lt;1)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 (&lt;1)</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Influenza</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51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(2)</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40 (3)</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9 (2)</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3 (1)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 (&lt;1)</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Pharyngitis</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37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(2)</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48 (3)</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 (&lt;1)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3 (1)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 (&lt;1)</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Dysphonia</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38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13 (3)</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21 (1)</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8 (2)</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4 (2)</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Rhinitis allergic</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49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(1)</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27 (2)</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 (&lt;1)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1 (&lt;1)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 (2)</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Abdominal pain upper</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3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44 (3)</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12 (3)</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28 (2)</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 (&lt;1)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3 (1)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 (&lt;1)</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Pyrexia</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 (&lt;1)</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33 (2)</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16 (4)</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22 (1)</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 xml:space="preserve">    1 (&lt;1)</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(2)</w:t>
            </w:r>
          </w:p>
        </w:tc>
      </w:tr>
      <w:tr w:rsidR="000F37ED" w:rsidRPr="002133B6" w:rsidTr="000F37ED">
        <w:tc>
          <w:tcPr>
            <w:tcW w:w="1908" w:type="dxa"/>
            <w:tcBorders>
              <w:top w:val="nil"/>
              <w:bottom w:val="nil"/>
            </w:tcBorders>
          </w:tcPr>
          <w:p w:rsidR="000F37ED" w:rsidRPr="002133B6" w:rsidRDefault="000F37ED" w:rsidP="000F37ED">
            <w:pPr>
              <w:keepNext/>
              <w:keepLines/>
              <w:rPr>
                <w:rFonts w:ascii="Arial Narrow" w:hAnsi="Arial Narrow"/>
                <w:color w:val="000000"/>
              </w:rPr>
            </w:pPr>
            <w:r w:rsidRPr="002133B6">
              <w:rPr>
                <w:rFonts w:ascii="Arial Narrow" w:hAnsi="Arial Narrow"/>
                <w:color w:val="000000"/>
              </w:rPr>
              <w:t>Oral candidiasis</w:t>
            </w:r>
          </w:p>
        </w:tc>
        <w:tc>
          <w:tcPr>
            <w:tcW w:w="100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c>
          <w:tcPr>
            <w:tcW w:w="1061"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24 (2)</w:t>
            </w:r>
          </w:p>
        </w:tc>
        <w:tc>
          <w:tcPr>
            <w:tcW w:w="1032"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15 (3)</w:t>
            </w:r>
          </w:p>
        </w:tc>
        <w:tc>
          <w:tcPr>
            <w:tcW w:w="957"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17 (1)</w:t>
            </w:r>
          </w:p>
        </w:tc>
        <w:tc>
          <w:tcPr>
            <w:tcW w:w="990"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 xml:space="preserve">  5 (1)</w:t>
            </w:r>
          </w:p>
        </w:tc>
        <w:tc>
          <w:tcPr>
            <w:tcW w:w="942" w:type="dxa"/>
            <w:tcBorders>
              <w:top w:val="nil"/>
              <w:bottom w:val="nil"/>
            </w:tcBorders>
          </w:tcPr>
          <w:p w:rsidR="000F37ED" w:rsidRPr="002133B6" w:rsidRDefault="000F37ED" w:rsidP="000F37ED">
            <w:pPr>
              <w:jc w:val="center"/>
              <w:rPr>
                <w:rFonts w:ascii="Arial Narrow" w:hAnsi="Arial Narrow"/>
                <w:color w:val="000000"/>
              </w:rPr>
            </w:pPr>
            <w:r w:rsidRPr="002133B6">
              <w:rPr>
                <w:rFonts w:ascii="Arial Narrow" w:hAnsi="Arial Narrow"/>
                <w:color w:val="000000"/>
              </w:rPr>
              <w:t>0</w:t>
            </w:r>
          </w:p>
        </w:tc>
        <w:tc>
          <w:tcPr>
            <w:tcW w:w="966" w:type="dxa"/>
            <w:tcBorders>
              <w:top w:val="nil"/>
              <w:bottom w:val="nil"/>
            </w:tcBorders>
          </w:tcPr>
          <w:p w:rsidR="000F37ED" w:rsidRPr="002133B6" w:rsidRDefault="000F37ED" w:rsidP="000F37ED">
            <w:pPr>
              <w:keepNext/>
              <w:keepLines/>
              <w:jc w:val="center"/>
              <w:rPr>
                <w:rFonts w:ascii="Arial Narrow" w:hAnsi="Arial Narrow"/>
                <w:color w:val="000000"/>
              </w:rPr>
            </w:pPr>
            <w:r w:rsidRPr="002133B6">
              <w:rPr>
                <w:rFonts w:ascii="Arial Narrow" w:hAnsi="Arial Narrow"/>
                <w:color w:val="000000"/>
              </w:rPr>
              <w:t>0</w:t>
            </w:r>
          </w:p>
        </w:tc>
      </w:tr>
      <w:tr w:rsidR="000F37ED" w:rsidRPr="002133B6" w:rsidTr="000F37ED">
        <w:tc>
          <w:tcPr>
            <w:tcW w:w="1908" w:type="dxa"/>
            <w:tcBorders>
              <w:top w:val="nil"/>
              <w:bottom w:val="nil"/>
            </w:tcBorders>
          </w:tcPr>
          <w:p w:rsidR="000F37ED" w:rsidRPr="002133B6" w:rsidRDefault="000F37ED" w:rsidP="000F37ED">
            <w:pPr>
              <w:pStyle w:val="tabletextNS"/>
              <w:keepNext/>
              <w:keepLines/>
              <w:rPr>
                <w:sz w:val="20"/>
                <w:lang w:val="en-US"/>
              </w:rPr>
            </w:pPr>
            <w:proofErr w:type="spellStart"/>
            <w:r w:rsidRPr="002133B6">
              <w:rPr>
                <w:sz w:val="20"/>
                <w:lang w:val="en-US"/>
              </w:rPr>
              <w:t>Extrasystoles</w:t>
            </w:r>
            <w:proofErr w:type="spellEnd"/>
          </w:p>
        </w:tc>
        <w:tc>
          <w:tcPr>
            <w:tcW w:w="1000"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0</w:t>
            </w:r>
          </w:p>
        </w:tc>
        <w:tc>
          <w:tcPr>
            <w:tcW w:w="1061"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 xml:space="preserve">      5 (&lt;1)</w:t>
            </w:r>
          </w:p>
        </w:tc>
        <w:tc>
          <w:tcPr>
            <w:tcW w:w="1032"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15 (3)</w:t>
            </w:r>
          </w:p>
        </w:tc>
        <w:tc>
          <w:tcPr>
            <w:tcW w:w="957"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0</w:t>
            </w:r>
          </w:p>
        </w:tc>
        <w:tc>
          <w:tcPr>
            <w:tcW w:w="990"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0</w:t>
            </w:r>
          </w:p>
        </w:tc>
        <w:tc>
          <w:tcPr>
            <w:tcW w:w="942"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0</w:t>
            </w:r>
          </w:p>
        </w:tc>
        <w:tc>
          <w:tcPr>
            <w:tcW w:w="966" w:type="dxa"/>
            <w:tcBorders>
              <w:top w:val="nil"/>
              <w:bottom w:val="nil"/>
            </w:tcBorders>
          </w:tcPr>
          <w:p w:rsidR="000F37ED" w:rsidRPr="002133B6" w:rsidRDefault="000F37ED" w:rsidP="000F37ED">
            <w:pPr>
              <w:pStyle w:val="tabletextNS"/>
              <w:keepNext/>
              <w:keepLines/>
              <w:jc w:val="center"/>
              <w:rPr>
                <w:sz w:val="20"/>
                <w:lang w:val="en-US"/>
              </w:rPr>
            </w:pPr>
            <w:r w:rsidRPr="002133B6">
              <w:rPr>
                <w:sz w:val="20"/>
                <w:lang w:val="en-US"/>
              </w:rPr>
              <w:t>0</w:t>
            </w:r>
          </w:p>
        </w:tc>
      </w:tr>
      <w:tr w:rsidR="000F37ED" w:rsidRPr="002133B6" w:rsidTr="000F37ED">
        <w:tc>
          <w:tcPr>
            <w:tcW w:w="8856" w:type="dxa"/>
            <w:gridSpan w:val="8"/>
            <w:tcBorders>
              <w:left w:val="nil"/>
              <w:bottom w:val="nil"/>
              <w:right w:val="nil"/>
            </w:tcBorders>
          </w:tcPr>
          <w:p w:rsidR="000F37ED" w:rsidRPr="002133B6" w:rsidRDefault="00F708E8" w:rsidP="002133B6">
            <w:pPr>
              <w:spacing w:after="240"/>
            </w:pPr>
            <w:r w:rsidRPr="002133B6">
              <w:rPr>
                <w:rFonts w:ascii="Arial Narrow" w:hAnsi="Arial Narrow"/>
                <w:lang w:val="en-GB" w:eastAsia="en-US"/>
              </w:rPr>
              <w:t xml:space="preserve">Note: The integrated asthma data set is based on </w:t>
            </w:r>
            <w:r w:rsidR="002133B6" w:rsidRPr="002133B6">
              <w:rPr>
                <w:rFonts w:ascii="Arial Narrow" w:hAnsi="Arial Narrow"/>
                <w:lang w:val="en-GB" w:eastAsia="en-US"/>
              </w:rPr>
              <w:t xml:space="preserve">11 Phase II and III studies and </w:t>
            </w:r>
            <w:r w:rsidRPr="002133B6">
              <w:rPr>
                <w:rFonts w:ascii="Arial Narrow" w:hAnsi="Arial Narrow"/>
                <w:lang w:val="en-GB" w:eastAsia="en-US"/>
              </w:rPr>
              <w:t>a total of 7,034</w:t>
            </w:r>
            <w:r w:rsidR="002133B6" w:rsidRPr="002133B6">
              <w:rPr>
                <w:rFonts w:ascii="Arial Narrow" w:hAnsi="Arial Narrow"/>
                <w:lang w:val="en-GB" w:eastAsia="en-US"/>
              </w:rPr>
              <w:t xml:space="preserve"> patients. </w:t>
            </w:r>
            <w:r w:rsidR="002133B6" w:rsidRPr="002133B6">
              <w:rPr>
                <w:rFonts w:ascii="Arial Narrow" w:hAnsi="Arial Narrow"/>
                <w:lang w:val="en-GB" w:eastAsia="en-US"/>
              </w:rPr>
              <w:br/>
            </w:r>
            <w:r w:rsidR="000F37ED" w:rsidRPr="002133B6">
              <w:rPr>
                <w:rFonts w:ascii="Arial Narrow" w:hAnsi="Arial Narrow"/>
                <w:lang w:val="en-GB" w:eastAsia="en-US"/>
              </w:rPr>
              <w:t>URTI = Upper respiratory tract infection</w:t>
            </w:r>
          </w:p>
        </w:tc>
      </w:tr>
    </w:tbl>
    <w:p w:rsidR="000F37ED" w:rsidRPr="002133B6" w:rsidRDefault="00F32AF9" w:rsidP="00A96F68">
      <w:pPr>
        <w:pStyle w:val="Caption"/>
        <w:keepNext/>
        <w:ind w:left="851" w:hanging="851"/>
      </w:pPr>
      <w:bookmarkStart w:id="2" w:name="_Ref330292232"/>
      <w:bookmarkStart w:id="3" w:name="_Toc325701142"/>
      <w:r w:rsidRPr="002133B6">
        <w:lastRenderedPageBreak/>
        <w:t xml:space="preserve">Table </w:t>
      </w:r>
      <w:r w:rsidRPr="002133B6">
        <w:fldChar w:fldCharType="begin"/>
      </w:r>
      <w:r w:rsidRPr="002133B6">
        <w:instrText xml:space="preserve"> SEQ Table \* ARABIC </w:instrText>
      </w:r>
      <w:r w:rsidRPr="002133B6">
        <w:fldChar w:fldCharType="separate"/>
      </w:r>
      <w:r w:rsidR="00F24906">
        <w:rPr>
          <w:noProof/>
        </w:rPr>
        <w:t>4</w:t>
      </w:r>
      <w:r w:rsidRPr="002133B6">
        <w:fldChar w:fldCharType="end"/>
      </w:r>
      <w:bookmarkEnd w:id="2"/>
      <w:r w:rsidRPr="002133B6">
        <w:t xml:space="preserve"> </w:t>
      </w:r>
      <w:r w:rsidR="00894AE0">
        <w:t>Adverse Events With ≥</w:t>
      </w:r>
      <w:r w:rsidR="000F37ED" w:rsidRPr="002133B6">
        <w:t xml:space="preserve">3% Incidence </w:t>
      </w:r>
      <w:proofErr w:type="gramStart"/>
      <w:r w:rsidR="00894AE0">
        <w:t>With</w:t>
      </w:r>
      <w:proofErr w:type="gramEnd"/>
      <w:r w:rsidR="00894AE0">
        <w:t xml:space="preserve"> F</w:t>
      </w:r>
      <w:r w:rsidR="00894AE0" w:rsidRPr="005E61A1">
        <w:t xml:space="preserve">luticasone </w:t>
      </w:r>
      <w:proofErr w:type="spellStart"/>
      <w:r w:rsidR="00894AE0">
        <w:t>F</w:t>
      </w:r>
      <w:r w:rsidR="00894AE0" w:rsidRPr="005E61A1">
        <w:t>uroate</w:t>
      </w:r>
      <w:proofErr w:type="spellEnd"/>
      <w:r w:rsidR="00894AE0" w:rsidRPr="005E61A1">
        <w:t>/</w:t>
      </w:r>
      <w:proofErr w:type="spellStart"/>
      <w:r w:rsidR="00894AE0">
        <w:t>V</w:t>
      </w:r>
      <w:r w:rsidR="00894AE0" w:rsidRPr="005E61A1">
        <w:t>ilanterol</w:t>
      </w:r>
      <w:proofErr w:type="spellEnd"/>
      <w:r w:rsidR="00894AE0" w:rsidRPr="005E61A1">
        <w:t xml:space="preserve"> </w:t>
      </w:r>
      <w:r w:rsidR="00894AE0">
        <w:t>in COPD</w:t>
      </w:r>
      <w:r w:rsidR="000F37ED" w:rsidRPr="002133B6">
        <w:t xml:space="preserve"> (Studies HZC112206/HZC112207)</w:t>
      </w:r>
      <w:bookmarkEnd w:id="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39"/>
        <w:gridCol w:w="1040"/>
        <w:gridCol w:w="1039"/>
        <w:gridCol w:w="1040"/>
        <w:gridCol w:w="1039"/>
        <w:gridCol w:w="1040"/>
      </w:tblGrid>
      <w:tr w:rsidR="00F708E8" w:rsidRPr="002133B6" w:rsidTr="00F708E8">
        <w:tc>
          <w:tcPr>
            <w:tcW w:w="2518" w:type="dxa"/>
          </w:tcPr>
          <w:p w:rsidR="00F708E8" w:rsidRPr="002133B6" w:rsidRDefault="00F708E8" w:rsidP="00A96F68">
            <w:pPr>
              <w:pStyle w:val="tabletextNS"/>
              <w:keepNext/>
              <w:rPr>
                <w:color w:val="000000"/>
                <w:sz w:val="20"/>
              </w:rPr>
            </w:pPr>
          </w:p>
        </w:tc>
        <w:tc>
          <w:tcPr>
            <w:tcW w:w="1039" w:type="dxa"/>
          </w:tcPr>
          <w:p w:rsidR="00F708E8" w:rsidRPr="002133B6" w:rsidRDefault="00F708E8" w:rsidP="00A96F68">
            <w:pPr>
              <w:pStyle w:val="tabletextNS"/>
              <w:keepNext/>
              <w:jc w:val="center"/>
              <w:rPr>
                <w:b/>
                <w:color w:val="000000"/>
                <w:sz w:val="20"/>
              </w:rPr>
            </w:pPr>
            <w:r w:rsidRPr="002133B6">
              <w:rPr>
                <w:b/>
                <w:color w:val="000000"/>
                <w:sz w:val="20"/>
              </w:rPr>
              <w:t>Placebo</w:t>
            </w:r>
          </w:p>
          <w:p w:rsidR="00F708E8" w:rsidRPr="002133B6" w:rsidRDefault="00F708E8" w:rsidP="00A96F68">
            <w:pPr>
              <w:pStyle w:val="tabletextNS"/>
              <w:keepNext/>
              <w:jc w:val="center"/>
              <w:rPr>
                <w:b/>
                <w:color w:val="000000"/>
                <w:sz w:val="20"/>
              </w:rPr>
            </w:pPr>
          </w:p>
          <w:p w:rsidR="00F708E8" w:rsidRPr="002133B6" w:rsidRDefault="00F708E8" w:rsidP="00A96F68">
            <w:pPr>
              <w:pStyle w:val="tabletextNS"/>
              <w:keepNext/>
              <w:jc w:val="center"/>
              <w:rPr>
                <w:b/>
                <w:color w:val="000000"/>
                <w:sz w:val="20"/>
              </w:rPr>
            </w:pPr>
            <w:r w:rsidRPr="002133B6">
              <w:rPr>
                <w:b/>
                <w:color w:val="000000"/>
                <w:sz w:val="20"/>
              </w:rPr>
              <w:t>N=412</w:t>
            </w:r>
          </w:p>
        </w:tc>
        <w:tc>
          <w:tcPr>
            <w:tcW w:w="1040" w:type="dxa"/>
          </w:tcPr>
          <w:p w:rsidR="00F708E8" w:rsidRPr="002133B6" w:rsidRDefault="00F708E8" w:rsidP="00A96F68">
            <w:pPr>
              <w:pStyle w:val="tabletextNS"/>
              <w:keepNext/>
              <w:jc w:val="center"/>
              <w:rPr>
                <w:b/>
                <w:color w:val="000000"/>
                <w:sz w:val="20"/>
              </w:rPr>
            </w:pPr>
            <w:r w:rsidRPr="002133B6">
              <w:rPr>
                <w:b/>
                <w:color w:val="000000"/>
                <w:sz w:val="20"/>
              </w:rPr>
              <w:t>FF/VI</w:t>
            </w:r>
          </w:p>
          <w:p w:rsidR="00F708E8" w:rsidRPr="002133B6" w:rsidRDefault="00F708E8" w:rsidP="00A96F68">
            <w:pPr>
              <w:pStyle w:val="tabletextNS"/>
              <w:keepNext/>
              <w:jc w:val="center"/>
              <w:rPr>
                <w:b/>
                <w:color w:val="000000"/>
                <w:sz w:val="20"/>
              </w:rPr>
            </w:pPr>
            <w:r w:rsidRPr="002133B6">
              <w:rPr>
                <w:b/>
                <w:color w:val="000000"/>
                <w:sz w:val="20"/>
              </w:rPr>
              <w:t>100/25</w:t>
            </w:r>
          </w:p>
          <w:p w:rsidR="00F708E8" w:rsidRPr="002133B6" w:rsidRDefault="00F708E8" w:rsidP="00A96F68">
            <w:pPr>
              <w:pStyle w:val="tabletextNS"/>
              <w:keepNext/>
              <w:jc w:val="center"/>
              <w:rPr>
                <w:b/>
                <w:color w:val="000000"/>
                <w:sz w:val="20"/>
              </w:rPr>
            </w:pPr>
            <w:r w:rsidRPr="002133B6">
              <w:rPr>
                <w:b/>
                <w:color w:val="000000"/>
                <w:sz w:val="20"/>
              </w:rPr>
              <w:t>N=410</w:t>
            </w:r>
          </w:p>
        </w:tc>
        <w:tc>
          <w:tcPr>
            <w:tcW w:w="1039" w:type="dxa"/>
          </w:tcPr>
          <w:p w:rsidR="00F708E8" w:rsidRPr="002133B6" w:rsidRDefault="00F708E8" w:rsidP="00A96F68">
            <w:pPr>
              <w:pStyle w:val="tabletextNS"/>
              <w:keepNext/>
              <w:jc w:val="center"/>
              <w:rPr>
                <w:b/>
                <w:color w:val="000000"/>
                <w:sz w:val="20"/>
              </w:rPr>
            </w:pPr>
            <w:r w:rsidRPr="002133B6">
              <w:rPr>
                <w:b/>
                <w:color w:val="000000"/>
                <w:sz w:val="20"/>
              </w:rPr>
              <w:t>FF/VI</w:t>
            </w:r>
          </w:p>
          <w:p w:rsidR="00F708E8" w:rsidRPr="002133B6" w:rsidRDefault="00F708E8" w:rsidP="00A96F68">
            <w:pPr>
              <w:pStyle w:val="tabletextNS"/>
              <w:keepNext/>
              <w:jc w:val="center"/>
              <w:rPr>
                <w:b/>
                <w:color w:val="000000"/>
                <w:sz w:val="20"/>
              </w:rPr>
            </w:pPr>
            <w:r w:rsidRPr="002133B6">
              <w:rPr>
                <w:b/>
                <w:color w:val="000000"/>
                <w:sz w:val="20"/>
              </w:rPr>
              <w:t>200/25</w:t>
            </w:r>
          </w:p>
          <w:p w:rsidR="00F708E8" w:rsidRPr="002133B6" w:rsidRDefault="00F708E8" w:rsidP="00A96F68">
            <w:pPr>
              <w:pStyle w:val="tabletextNS"/>
              <w:keepNext/>
              <w:jc w:val="center"/>
              <w:rPr>
                <w:b/>
                <w:color w:val="000000"/>
                <w:sz w:val="20"/>
              </w:rPr>
            </w:pPr>
            <w:r w:rsidRPr="002133B6">
              <w:rPr>
                <w:b/>
                <w:color w:val="000000"/>
                <w:sz w:val="20"/>
              </w:rPr>
              <w:t>N=205</w:t>
            </w:r>
          </w:p>
        </w:tc>
        <w:tc>
          <w:tcPr>
            <w:tcW w:w="1040" w:type="dxa"/>
          </w:tcPr>
          <w:p w:rsidR="00F708E8" w:rsidRPr="002133B6" w:rsidRDefault="00F708E8" w:rsidP="00A96F68">
            <w:pPr>
              <w:pStyle w:val="tabletextNS"/>
              <w:keepNext/>
              <w:jc w:val="center"/>
              <w:rPr>
                <w:b/>
                <w:color w:val="000000"/>
                <w:sz w:val="20"/>
              </w:rPr>
            </w:pPr>
            <w:r w:rsidRPr="002133B6">
              <w:rPr>
                <w:b/>
                <w:color w:val="000000"/>
                <w:sz w:val="20"/>
              </w:rPr>
              <w:t>VI</w:t>
            </w:r>
          </w:p>
          <w:p w:rsidR="00F708E8" w:rsidRPr="002133B6" w:rsidRDefault="00F708E8" w:rsidP="00A96F68">
            <w:pPr>
              <w:pStyle w:val="tabletextNS"/>
              <w:keepNext/>
              <w:jc w:val="center"/>
              <w:rPr>
                <w:b/>
                <w:color w:val="000000"/>
                <w:sz w:val="20"/>
              </w:rPr>
            </w:pPr>
            <w:r w:rsidRPr="002133B6">
              <w:rPr>
                <w:b/>
                <w:color w:val="000000"/>
                <w:sz w:val="20"/>
              </w:rPr>
              <w:t>25</w:t>
            </w:r>
          </w:p>
          <w:p w:rsidR="00F708E8" w:rsidRPr="002133B6" w:rsidRDefault="00F708E8" w:rsidP="00A96F68">
            <w:pPr>
              <w:pStyle w:val="tabletextNS"/>
              <w:keepNext/>
              <w:jc w:val="center"/>
              <w:rPr>
                <w:b/>
                <w:color w:val="000000"/>
                <w:sz w:val="20"/>
              </w:rPr>
            </w:pPr>
            <w:r w:rsidRPr="002133B6">
              <w:rPr>
                <w:b/>
                <w:color w:val="000000"/>
                <w:sz w:val="20"/>
              </w:rPr>
              <w:t>N=408</w:t>
            </w:r>
          </w:p>
        </w:tc>
        <w:tc>
          <w:tcPr>
            <w:tcW w:w="1039" w:type="dxa"/>
          </w:tcPr>
          <w:p w:rsidR="00F708E8" w:rsidRPr="002133B6" w:rsidRDefault="00F708E8" w:rsidP="00A96F68">
            <w:pPr>
              <w:pStyle w:val="tabletextNS"/>
              <w:keepNext/>
              <w:jc w:val="center"/>
              <w:rPr>
                <w:b/>
                <w:color w:val="000000"/>
                <w:sz w:val="20"/>
              </w:rPr>
            </w:pPr>
            <w:r w:rsidRPr="002133B6">
              <w:rPr>
                <w:b/>
                <w:color w:val="000000"/>
                <w:sz w:val="20"/>
              </w:rPr>
              <w:t>FF</w:t>
            </w:r>
          </w:p>
          <w:p w:rsidR="00F708E8" w:rsidRPr="002133B6" w:rsidRDefault="00F708E8" w:rsidP="00A96F68">
            <w:pPr>
              <w:pStyle w:val="tabletextNS"/>
              <w:keepNext/>
              <w:jc w:val="center"/>
              <w:rPr>
                <w:b/>
                <w:color w:val="000000"/>
                <w:sz w:val="20"/>
              </w:rPr>
            </w:pPr>
            <w:r w:rsidRPr="002133B6">
              <w:rPr>
                <w:b/>
                <w:color w:val="000000"/>
                <w:sz w:val="20"/>
              </w:rPr>
              <w:t>100</w:t>
            </w:r>
          </w:p>
          <w:p w:rsidR="00F708E8" w:rsidRPr="002133B6" w:rsidRDefault="00F708E8" w:rsidP="00A96F68">
            <w:pPr>
              <w:pStyle w:val="tabletextNS"/>
              <w:keepNext/>
              <w:jc w:val="center"/>
              <w:rPr>
                <w:b/>
                <w:color w:val="000000"/>
                <w:sz w:val="20"/>
              </w:rPr>
            </w:pPr>
            <w:r w:rsidRPr="002133B6">
              <w:rPr>
                <w:b/>
                <w:color w:val="000000"/>
                <w:sz w:val="20"/>
              </w:rPr>
              <w:t>N=410</w:t>
            </w:r>
          </w:p>
        </w:tc>
        <w:tc>
          <w:tcPr>
            <w:tcW w:w="1040" w:type="dxa"/>
          </w:tcPr>
          <w:p w:rsidR="00F708E8" w:rsidRPr="002133B6" w:rsidRDefault="00F708E8" w:rsidP="00A96F68">
            <w:pPr>
              <w:pStyle w:val="tabletextNS"/>
              <w:keepNext/>
              <w:jc w:val="center"/>
              <w:rPr>
                <w:b/>
                <w:color w:val="000000"/>
                <w:sz w:val="20"/>
              </w:rPr>
            </w:pPr>
            <w:r w:rsidRPr="002133B6">
              <w:rPr>
                <w:b/>
                <w:color w:val="000000"/>
                <w:sz w:val="20"/>
              </w:rPr>
              <w:t>FF</w:t>
            </w:r>
          </w:p>
          <w:p w:rsidR="00F708E8" w:rsidRPr="002133B6" w:rsidRDefault="00F708E8" w:rsidP="00A96F68">
            <w:pPr>
              <w:pStyle w:val="tabletextNS"/>
              <w:keepNext/>
              <w:jc w:val="center"/>
              <w:rPr>
                <w:b/>
                <w:color w:val="000000"/>
                <w:sz w:val="20"/>
              </w:rPr>
            </w:pPr>
            <w:r w:rsidRPr="002133B6">
              <w:rPr>
                <w:b/>
                <w:color w:val="000000"/>
                <w:sz w:val="20"/>
              </w:rPr>
              <w:t>200</w:t>
            </w:r>
          </w:p>
          <w:p w:rsidR="00F708E8" w:rsidRPr="002133B6" w:rsidRDefault="00F708E8" w:rsidP="00A96F68">
            <w:pPr>
              <w:pStyle w:val="tabletextNS"/>
              <w:keepNext/>
              <w:jc w:val="center"/>
              <w:rPr>
                <w:b/>
                <w:color w:val="000000"/>
                <w:sz w:val="20"/>
              </w:rPr>
            </w:pPr>
            <w:r w:rsidRPr="002133B6">
              <w:rPr>
                <w:b/>
                <w:color w:val="000000"/>
                <w:sz w:val="20"/>
              </w:rPr>
              <w:t>N=203</w:t>
            </w:r>
          </w:p>
        </w:tc>
      </w:tr>
      <w:tr w:rsidR="00F708E8" w:rsidRPr="002133B6" w:rsidTr="00F708E8">
        <w:tc>
          <w:tcPr>
            <w:tcW w:w="2518" w:type="dxa"/>
          </w:tcPr>
          <w:p w:rsidR="00F708E8" w:rsidRPr="002133B6" w:rsidRDefault="00F708E8" w:rsidP="00A96F68">
            <w:pPr>
              <w:keepNext/>
              <w:rPr>
                <w:rFonts w:ascii="Arial Narrow" w:hAnsi="Arial Narrow"/>
                <w:b/>
                <w:color w:val="000000"/>
                <w:lang w:val="en-GB"/>
              </w:rPr>
            </w:pPr>
            <w:r w:rsidRPr="002133B6">
              <w:rPr>
                <w:rFonts w:ascii="Arial Narrow" w:hAnsi="Arial Narrow"/>
                <w:b/>
                <w:color w:val="000000"/>
                <w:sz w:val="22"/>
                <w:szCs w:val="22"/>
                <w:lang w:val="en-GB"/>
              </w:rPr>
              <w:t>Preferred Term, n (%)</w:t>
            </w:r>
          </w:p>
        </w:tc>
        <w:tc>
          <w:tcPr>
            <w:tcW w:w="1039" w:type="dxa"/>
          </w:tcPr>
          <w:p w:rsidR="00F708E8" w:rsidRPr="002133B6" w:rsidRDefault="00F708E8" w:rsidP="00A96F68">
            <w:pPr>
              <w:keepNext/>
              <w:rPr>
                <w:rFonts w:ascii="Arial Narrow" w:hAnsi="Arial Narrow"/>
                <w:b/>
                <w:color w:val="000000"/>
                <w:lang w:val="en-GB"/>
              </w:rPr>
            </w:pPr>
          </w:p>
        </w:tc>
        <w:tc>
          <w:tcPr>
            <w:tcW w:w="1040" w:type="dxa"/>
          </w:tcPr>
          <w:p w:rsidR="00F708E8" w:rsidRPr="002133B6" w:rsidRDefault="00F708E8" w:rsidP="00A96F68">
            <w:pPr>
              <w:keepNext/>
              <w:rPr>
                <w:rFonts w:ascii="Arial Narrow" w:hAnsi="Arial Narrow"/>
                <w:b/>
                <w:color w:val="000000"/>
                <w:lang w:val="en-GB"/>
              </w:rPr>
            </w:pPr>
          </w:p>
        </w:tc>
        <w:tc>
          <w:tcPr>
            <w:tcW w:w="1039" w:type="dxa"/>
          </w:tcPr>
          <w:p w:rsidR="00F708E8" w:rsidRPr="002133B6" w:rsidRDefault="00F708E8" w:rsidP="00A96F68">
            <w:pPr>
              <w:keepNext/>
              <w:rPr>
                <w:rFonts w:ascii="Arial Narrow" w:hAnsi="Arial Narrow"/>
                <w:b/>
                <w:color w:val="000000"/>
                <w:lang w:val="en-GB"/>
              </w:rPr>
            </w:pPr>
          </w:p>
        </w:tc>
        <w:tc>
          <w:tcPr>
            <w:tcW w:w="1040" w:type="dxa"/>
          </w:tcPr>
          <w:p w:rsidR="00F708E8" w:rsidRPr="002133B6" w:rsidRDefault="00F708E8" w:rsidP="00A96F68">
            <w:pPr>
              <w:keepNext/>
              <w:rPr>
                <w:rFonts w:ascii="Arial Narrow" w:hAnsi="Arial Narrow"/>
                <w:b/>
                <w:color w:val="000000"/>
                <w:lang w:val="en-GB"/>
              </w:rPr>
            </w:pPr>
          </w:p>
        </w:tc>
        <w:tc>
          <w:tcPr>
            <w:tcW w:w="1039" w:type="dxa"/>
          </w:tcPr>
          <w:p w:rsidR="00F708E8" w:rsidRPr="002133B6" w:rsidRDefault="00F708E8" w:rsidP="00A96F68">
            <w:pPr>
              <w:keepNext/>
              <w:rPr>
                <w:rFonts w:ascii="Arial Narrow" w:hAnsi="Arial Narrow"/>
                <w:b/>
                <w:color w:val="000000"/>
                <w:lang w:val="en-GB"/>
              </w:rPr>
            </w:pPr>
          </w:p>
        </w:tc>
        <w:tc>
          <w:tcPr>
            <w:tcW w:w="1040" w:type="dxa"/>
          </w:tcPr>
          <w:p w:rsidR="00F708E8" w:rsidRPr="002133B6" w:rsidRDefault="00F708E8" w:rsidP="00A96F68">
            <w:pPr>
              <w:keepNext/>
              <w:rPr>
                <w:rFonts w:ascii="Arial Narrow" w:hAnsi="Arial Narrow"/>
                <w:b/>
                <w:color w:val="000000"/>
                <w:lang w:val="en-GB"/>
              </w:rPr>
            </w:pPr>
          </w:p>
        </w:tc>
      </w:tr>
      <w:tr w:rsidR="00F708E8" w:rsidRPr="002133B6" w:rsidTr="00F708E8">
        <w:tc>
          <w:tcPr>
            <w:tcW w:w="2518" w:type="dxa"/>
            <w:tcBorders>
              <w:bottom w:val="nil"/>
            </w:tcBorders>
          </w:tcPr>
          <w:p w:rsidR="00F708E8" w:rsidRPr="002133B6" w:rsidRDefault="00F708E8" w:rsidP="00A96F68">
            <w:pPr>
              <w:keepNext/>
              <w:rPr>
                <w:rFonts w:ascii="Arial Narrow" w:hAnsi="Arial Narrow"/>
                <w:color w:val="000000"/>
                <w:lang w:val="en-GB"/>
              </w:rPr>
            </w:pPr>
            <w:proofErr w:type="spellStart"/>
            <w:r w:rsidRPr="002133B6">
              <w:rPr>
                <w:rFonts w:ascii="Arial Narrow" w:hAnsi="Arial Narrow"/>
                <w:color w:val="000000"/>
                <w:lang w:val="en-GB"/>
              </w:rPr>
              <w:t>Nasopharyngitis</w:t>
            </w:r>
            <w:proofErr w:type="spellEnd"/>
          </w:p>
        </w:tc>
        <w:tc>
          <w:tcPr>
            <w:tcW w:w="1039"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31 (8)</w:t>
            </w:r>
          </w:p>
        </w:tc>
        <w:tc>
          <w:tcPr>
            <w:tcW w:w="1040"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35 (9)</w:t>
            </w:r>
          </w:p>
        </w:tc>
        <w:tc>
          <w:tcPr>
            <w:tcW w:w="1039"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13 (6)</w:t>
            </w:r>
          </w:p>
        </w:tc>
        <w:tc>
          <w:tcPr>
            <w:tcW w:w="1040"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41 (10)</w:t>
            </w:r>
          </w:p>
        </w:tc>
        <w:tc>
          <w:tcPr>
            <w:tcW w:w="1039"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32 (8)</w:t>
            </w:r>
          </w:p>
        </w:tc>
        <w:tc>
          <w:tcPr>
            <w:tcW w:w="1040" w:type="dxa"/>
            <w:tcBorders>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20 (10)</w:t>
            </w:r>
          </w:p>
        </w:tc>
      </w:tr>
      <w:tr w:rsidR="00F708E8" w:rsidRPr="002133B6" w:rsidTr="00F708E8">
        <w:tc>
          <w:tcPr>
            <w:tcW w:w="2518" w:type="dxa"/>
            <w:tcBorders>
              <w:top w:val="nil"/>
              <w:bottom w:val="nil"/>
            </w:tcBorders>
          </w:tcPr>
          <w:p w:rsidR="00F708E8" w:rsidRPr="002133B6" w:rsidRDefault="00F708E8" w:rsidP="00A96F68">
            <w:pPr>
              <w:keepNext/>
              <w:rPr>
                <w:rFonts w:ascii="Arial Narrow" w:hAnsi="Arial Narrow"/>
                <w:color w:val="000000"/>
                <w:lang w:val="en-GB"/>
              </w:rPr>
            </w:pPr>
            <w:r w:rsidRPr="002133B6">
              <w:rPr>
                <w:rFonts w:ascii="Arial Narrow" w:hAnsi="Arial Narrow"/>
                <w:color w:val="000000"/>
                <w:lang w:val="en-GB"/>
              </w:rPr>
              <w:t>Headache</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20 (5)</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29 (7)</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15 (7)</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36 (9)</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30 (7)</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11 (5)</w:t>
            </w:r>
          </w:p>
        </w:tc>
      </w:tr>
      <w:tr w:rsidR="00F708E8" w:rsidRPr="002133B6" w:rsidTr="00F708E8">
        <w:tc>
          <w:tcPr>
            <w:tcW w:w="2518" w:type="dxa"/>
            <w:tcBorders>
              <w:top w:val="nil"/>
              <w:bottom w:val="nil"/>
            </w:tcBorders>
          </w:tcPr>
          <w:p w:rsidR="00F708E8" w:rsidRPr="002133B6" w:rsidRDefault="00F708E8" w:rsidP="00A96F68">
            <w:pPr>
              <w:keepNext/>
              <w:rPr>
                <w:rFonts w:ascii="Arial Narrow" w:hAnsi="Arial Narrow"/>
                <w:color w:val="000000"/>
                <w:lang w:val="en-GB"/>
              </w:rPr>
            </w:pPr>
            <w:r w:rsidRPr="002133B6">
              <w:rPr>
                <w:rFonts w:ascii="Arial Narrow" w:hAnsi="Arial Narrow"/>
                <w:color w:val="000000"/>
                <w:lang w:val="en-GB"/>
              </w:rPr>
              <w:t>Upper respiratory tract infection</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13 (3)</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29 (7)</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7 (3)</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20 (5)</w:t>
            </w:r>
          </w:p>
        </w:tc>
        <w:tc>
          <w:tcPr>
            <w:tcW w:w="1039"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16 (4)</w:t>
            </w:r>
          </w:p>
        </w:tc>
        <w:tc>
          <w:tcPr>
            <w:tcW w:w="1040" w:type="dxa"/>
            <w:tcBorders>
              <w:top w:val="nil"/>
              <w:bottom w:val="nil"/>
            </w:tcBorders>
          </w:tcPr>
          <w:p w:rsidR="00F708E8" w:rsidRPr="002133B6" w:rsidRDefault="00F708E8" w:rsidP="00A96F68">
            <w:pPr>
              <w:keepNext/>
              <w:jc w:val="center"/>
              <w:rPr>
                <w:rFonts w:ascii="Arial Narrow" w:hAnsi="Arial Narrow"/>
                <w:color w:val="000000"/>
                <w:lang w:val="en-GB"/>
              </w:rPr>
            </w:pPr>
            <w:r w:rsidRPr="002133B6">
              <w:rPr>
                <w:rFonts w:ascii="Arial Narrow" w:hAnsi="Arial Narrow"/>
                <w:color w:val="000000"/>
                <w:lang w:val="en-GB"/>
              </w:rPr>
              <w:t>5 (2)</w:t>
            </w:r>
          </w:p>
        </w:tc>
      </w:tr>
      <w:tr w:rsidR="00F708E8" w:rsidRPr="002133B6" w:rsidTr="00F708E8">
        <w:tc>
          <w:tcPr>
            <w:tcW w:w="2518" w:type="dxa"/>
            <w:tcBorders>
              <w:top w:val="nil"/>
              <w:bottom w:val="nil"/>
            </w:tcBorders>
          </w:tcPr>
          <w:p w:rsidR="00F708E8" w:rsidRPr="002133B6" w:rsidRDefault="00F708E8" w:rsidP="00A96F68">
            <w:pPr>
              <w:keepNext/>
              <w:rPr>
                <w:rFonts w:ascii="Arial Narrow" w:hAnsi="Arial Narrow"/>
                <w:color w:val="000000"/>
                <w:lang w:val="en-GB"/>
              </w:rPr>
            </w:pPr>
            <w:r w:rsidRPr="002133B6">
              <w:rPr>
                <w:rFonts w:ascii="Arial Narrow" w:hAnsi="Arial Narrow"/>
                <w:color w:val="000000"/>
                <w:lang w:val="en-GB"/>
              </w:rPr>
              <w:t>Oral</w:t>
            </w:r>
            <w:r w:rsidR="00C232EB">
              <w:rPr>
                <w:rFonts w:ascii="Arial Narrow" w:hAnsi="Arial Narrow"/>
                <w:color w:val="000000"/>
                <w:lang w:val="en-GB"/>
              </w:rPr>
              <w:t xml:space="preserve">/ </w:t>
            </w:r>
            <w:r w:rsidR="00C232EB" w:rsidRPr="002133B6">
              <w:rPr>
                <w:rFonts w:ascii="Arial Narrow" w:hAnsi="Arial Narrow"/>
                <w:color w:val="000000"/>
                <w:lang w:val="en-GB"/>
              </w:rPr>
              <w:t>Oropharyngeal candidiasis</w:t>
            </w:r>
            <w:r w:rsidR="003B5A4C">
              <w:rPr>
                <w:rFonts w:ascii="Arial Narrow" w:hAnsi="Arial Narrow"/>
                <w:color w:val="000000"/>
                <w:lang w:val="en-GB"/>
              </w:rPr>
              <w:t>*</w:t>
            </w:r>
          </w:p>
        </w:tc>
        <w:tc>
          <w:tcPr>
            <w:tcW w:w="1039"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9 (2)</w:t>
            </w:r>
          </w:p>
        </w:tc>
        <w:tc>
          <w:tcPr>
            <w:tcW w:w="1040"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22 (5)</w:t>
            </w:r>
          </w:p>
        </w:tc>
        <w:tc>
          <w:tcPr>
            <w:tcW w:w="1039"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9 (4)</w:t>
            </w:r>
          </w:p>
        </w:tc>
        <w:tc>
          <w:tcPr>
            <w:tcW w:w="1040"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9 (2)</w:t>
            </w:r>
          </w:p>
        </w:tc>
        <w:tc>
          <w:tcPr>
            <w:tcW w:w="1039"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13 (3)</w:t>
            </w:r>
          </w:p>
        </w:tc>
        <w:tc>
          <w:tcPr>
            <w:tcW w:w="1040" w:type="dxa"/>
            <w:tcBorders>
              <w:top w:val="nil"/>
              <w:bottom w:val="nil"/>
            </w:tcBorders>
          </w:tcPr>
          <w:p w:rsidR="00F708E8" w:rsidRPr="002133B6" w:rsidRDefault="00C232EB" w:rsidP="00A96F68">
            <w:pPr>
              <w:keepNext/>
              <w:jc w:val="center"/>
              <w:rPr>
                <w:rFonts w:ascii="Arial Narrow" w:hAnsi="Arial Narrow"/>
                <w:color w:val="000000"/>
                <w:lang w:val="en-GB"/>
              </w:rPr>
            </w:pPr>
            <w:r>
              <w:rPr>
                <w:rFonts w:ascii="Arial Narrow" w:hAnsi="Arial Narrow"/>
                <w:color w:val="000000"/>
                <w:lang w:val="en-GB"/>
              </w:rPr>
              <w:t>13 (6)</w:t>
            </w:r>
          </w:p>
        </w:tc>
      </w:tr>
      <w:tr w:rsidR="000F37ED" w:rsidRPr="000E388C" w:rsidTr="000F37ED">
        <w:tc>
          <w:tcPr>
            <w:tcW w:w="8755" w:type="dxa"/>
            <w:gridSpan w:val="7"/>
            <w:tcBorders>
              <w:left w:val="nil"/>
              <w:bottom w:val="nil"/>
              <w:right w:val="nil"/>
            </w:tcBorders>
          </w:tcPr>
          <w:p w:rsidR="000F37ED" w:rsidRDefault="000F37ED" w:rsidP="00A96F68">
            <w:pPr>
              <w:keepNext/>
              <w:rPr>
                <w:rFonts w:ascii="Arial Narrow" w:hAnsi="Arial Narrow"/>
                <w:color w:val="000000"/>
                <w:lang w:val="en-GB"/>
              </w:rPr>
            </w:pPr>
            <w:r w:rsidRPr="002133B6">
              <w:rPr>
                <w:rFonts w:ascii="Arial Narrow" w:hAnsi="Arial Narrow"/>
                <w:color w:val="000000"/>
                <w:lang w:val="en-GB"/>
              </w:rPr>
              <w:t>Note: AEs reported by 3% or more of subjects in any treatment group and at a higher incidence (≥1%) than placebo</w:t>
            </w:r>
          </w:p>
          <w:p w:rsidR="00C232EB" w:rsidRPr="000E388C" w:rsidRDefault="003B5A4C" w:rsidP="00A96F68">
            <w:pPr>
              <w:keepNext/>
              <w:rPr>
                <w:rFonts w:ascii="Arial Narrow" w:hAnsi="Arial Narrow"/>
                <w:color w:val="000000"/>
                <w:lang w:val="en-GB"/>
              </w:rPr>
            </w:pPr>
            <w:r>
              <w:rPr>
                <w:rFonts w:ascii="Arial Narrow" w:hAnsi="Arial Narrow"/>
                <w:color w:val="000000"/>
                <w:lang w:val="en-GB"/>
              </w:rPr>
              <w:t>*</w:t>
            </w:r>
            <w:r w:rsidR="00C232EB">
              <w:rPr>
                <w:rFonts w:ascii="Arial Narrow" w:hAnsi="Arial Narrow"/>
                <w:color w:val="000000"/>
                <w:lang w:val="en-GB"/>
              </w:rPr>
              <w:t>Includes terms oral candidiasis, oropharyngeal candidiasis, candidi</w:t>
            </w:r>
            <w:r>
              <w:rPr>
                <w:rFonts w:ascii="Arial Narrow" w:hAnsi="Arial Narrow"/>
                <w:color w:val="000000"/>
                <w:lang w:val="en-GB"/>
              </w:rPr>
              <w:t>a</w:t>
            </w:r>
            <w:r w:rsidR="00C232EB">
              <w:rPr>
                <w:rFonts w:ascii="Arial Narrow" w:hAnsi="Arial Narrow"/>
                <w:color w:val="000000"/>
                <w:lang w:val="en-GB"/>
              </w:rPr>
              <w:t xml:space="preserve">sis, and </w:t>
            </w:r>
            <w:proofErr w:type="spellStart"/>
            <w:r w:rsidR="00C232EB">
              <w:rPr>
                <w:rFonts w:ascii="Arial Narrow" w:hAnsi="Arial Narrow"/>
                <w:color w:val="000000"/>
                <w:lang w:val="en-GB"/>
              </w:rPr>
              <w:t>oropharyngitis</w:t>
            </w:r>
            <w:proofErr w:type="spellEnd"/>
            <w:r w:rsidR="00C232EB">
              <w:rPr>
                <w:rFonts w:ascii="Arial Narrow" w:hAnsi="Arial Narrow"/>
                <w:color w:val="000000"/>
                <w:lang w:val="en-GB"/>
              </w:rPr>
              <w:t xml:space="preserve"> fungal.</w:t>
            </w:r>
          </w:p>
        </w:tc>
      </w:tr>
    </w:tbl>
    <w:p w:rsidR="000F37ED" w:rsidRPr="000E388C" w:rsidRDefault="000F37ED" w:rsidP="00A96F68">
      <w:pPr>
        <w:keepNext/>
        <w:rPr>
          <w:color w:val="000000"/>
          <w:lang w:val="en-GB"/>
        </w:rPr>
      </w:pPr>
    </w:p>
    <w:p w:rsidR="00D05EDE" w:rsidRPr="005E61A1" w:rsidRDefault="00D05EDE" w:rsidP="000961AD">
      <w:pPr>
        <w:spacing w:after="240"/>
        <w:rPr>
          <w:rFonts w:ascii="Arial" w:hAnsi="Arial" w:cs="Arial"/>
          <w:sz w:val="22"/>
        </w:rPr>
      </w:pPr>
      <w:r w:rsidRPr="005E61A1">
        <w:rPr>
          <w:rFonts w:ascii="Arial" w:hAnsi="Arial" w:cs="Arial"/>
          <w:sz w:val="22"/>
        </w:rPr>
        <w:t xml:space="preserve">Data from large asthma and COPD clinical trials were used to determine the frequency of adverse reactions associated with fluticasone </w:t>
      </w:r>
      <w:proofErr w:type="spellStart"/>
      <w:r w:rsidRPr="005E61A1">
        <w:rPr>
          <w:rFonts w:ascii="Arial" w:hAnsi="Arial" w:cs="Arial"/>
          <w:sz w:val="22"/>
        </w:rPr>
        <w:t>furoate</w:t>
      </w:r>
      <w:proofErr w:type="spellEnd"/>
      <w:r w:rsidRPr="005E61A1">
        <w:rPr>
          <w:rFonts w:ascii="Arial" w:hAnsi="Arial" w:cs="Arial"/>
          <w:sz w:val="22"/>
        </w:rPr>
        <w:t>/</w:t>
      </w:r>
      <w:proofErr w:type="spellStart"/>
      <w:r w:rsidRPr="005E61A1">
        <w:rPr>
          <w:rFonts w:ascii="Arial" w:hAnsi="Arial" w:cs="Arial"/>
          <w:sz w:val="22"/>
        </w:rPr>
        <w:t>vilanterol</w:t>
      </w:r>
      <w:proofErr w:type="spellEnd"/>
      <w:r w:rsidRPr="005E61A1">
        <w:rPr>
          <w:rFonts w:ascii="Arial" w:hAnsi="Arial" w:cs="Arial"/>
          <w:sz w:val="22"/>
        </w:rPr>
        <w:t>. In the asthma clinical development program a total of 7,034 patients were included in an integrated assessment of adverse reactions.  In the COPD clinical development program a total of 6,237 subjects were included in an integrated assessment of adverse reactions.</w:t>
      </w:r>
    </w:p>
    <w:p w:rsidR="00D05EDE" w:rsidRDefault="00D05EDE" w:rsidP="000961AD">
      <w:pPr>
        <w:spacing w:after="240"/>
        <w:rPr>
          <w:rFonts w:ascii="Arial" w:hAnsi="Arial" w:cs="Arial"/>
          <w:sz w:val="22"/>
        </w:rPr>
      </w:pPr>
      <w:r w:rsidRPr="005E61A1">
        <w:rPr>
          <w:rFonts w:ascii="Arial" w:hAnsi="Arial" w:cs="Arial"/>
          <w:sz w:val="22"/>
        </w:rPr>
        <w:t>With the exception of pneumonia and fractures, the safety profile was similar in patients with asthma and COPD.  During clinical studies, pneumonia and fractures were more frequently observed in patients with COPD.</w:t>
      </w:r>
    </w:p>
    <w:p w:rsidR="00D05EDE" w:rsidRPr="005E61A1" w:rsidRDefault="00D05EDE" w:rsidP="000961AD">
      <w:pPr>
        <w:spacing w:after="240"/>
        <w:rPr>
          <w:rFonts w:ascii="Arial" w:hAnsi="Arial" w:cs="Arial"/>
          <w:sz w:val="22"/>
          <w:lang w:val="en-US"/>
        </w:rPr>
      </w:pPr>
      <w:r w:rsidRPr="005E61A1">
        <w:rPr>
          <w:rFonts w:ascii="Arial" w:hAnsi="Arial" w:cs="Arial"/>
          <w:noProof/>
          <w:sz w:val="22"/>
          <w:szCs w:val="22"/>
        </w:rPr>
        <w:t xml:space="preserve">These adverse </w:t>
      </w:r>
      <w:r w:rsidR="000F37ED">
        <w:rPr>
          <w:rFonts w:ascii="Arial" w:hAnsi="Arial" w:cs="Arial"/>
          <w:noProof/>
          <w:sz w:val="22"/>
          <w:szCs w:val="22"/>
        </w:rPr>
        <w:t>reactions</w:t>
      </w:r>
      <w:r w:rsidR="000F37ED" w:rsidRPr="005E61A1">
        <w:rPr>
          <w:rFonts w:ascii="Arial" w:hAnsi="Arial" w:cs="Arial"/>
          <w:noProof/>
          <w:sz w:val="22"/>
          <w:szCs w:val="22"/>
        </w:rPr>
        <w:t xml:space="preserve"> </w:t>
      </w:r>
      <w:r w:rsidRPr="005E61A1">
        <w:rPr>
          <w:rFonts w:ascii="Arial" w:hAnsi="Arial" w:cs="Arial"/>
          <w:noProof/>
          <w:sz w:val="22"/>
          <w:szCs w:val="22"/>
        </w:rPr>
        <w:t>are listed by system organ class and frequency.</w:t>
      </w:r>
      <w:r w:rsidR="00FE3A27">
        <w:rPr>
          <w:rFonts w:ascii="Arial" w:hAnsi="Arial" w:cs="Arial"/>
          <w:noProof/>
          <w:sz w:val="22"/>
          <w:szCs w:val="22"/>
        </w:rPr>
        <w:t xml:space="preserve">  </w:t>
      </w:r>
      <w:r w:rsidRPr="005E61A1">
        <w:rPr>
          <w:rFonts w:ascii="Arial" w:hAnsi="Arial" w:cs="Arial"/>
          <w:noProof/>
          <w:sz w:val="22"/>
          <w:szCs w:val="22"/>
        </w:rPr>
        <w:t>T</w:t>
      </w:r>
      <w:r w:rsidRPr="005E61A1">
        <w:rPr>
          <w:rFonts w:ascii="Arial" w:hAnsi="Arial" w:cs="Arial"/>
          <w:sz w:val="22"/>
          <w:lang w:val="en-US"/>
        </w:rPr>
        <w:t>he following convention has been used for the class</w:t>
      </w:r>
      <w:r w:rsidR="00F2728C">
        <w:rPr>
          <w:rFonts w:ascii="Arial" w:hAnsi="Arial" w:cs="Arial"/>
          <w:sz w:val="22"/>
          <w:lang w:val="en-US"/>
        </w:rPr>
        <w:t>ification of adverse reactions:</w:t>
      </w:r>
    </w:p>
    <w:p w:rsidR="00D05EDE" w:rsidRPr="005E61A1" w:rsidRDefault="00D05EDE" w:rsidP="007835FF">
      <w:pPr>
        <w:pStyle w:val="listssp"/>
        <w:keepNext/>
        <w:spacing w:after="240"/>
        <w:ind w:left="1701" w:hanging="1701"/>
        <w:rPr>
          <w:rFonts w:ascii="Arial" w:hAnsi="Arial" w:cs="Arial"/>
          <w:sz w:val="22"/>
        </w:rPr>
      </w:pPr>
      <w:r w:rsidRPr="005E61A1">
        <w:rPr>
          <w:rFonts w:ascii="Arial" w:hAnsi="Arial" w:cs="Arial"/>
          <w:sz w:val="22"/>
        </w:rPr>
        <w:t>Very common:</w:t>
      </w:r>
      <w:r w:rsidRPr="005E61A1">
        <w:rPr>
          <w:rFonts w:ascii="Arial" w:hAnsi="Arial" w:cs="Arial"/>
          <w:sz w:val="22"/>
        </w:rPr>
        <w:tab/>
        <w:t>≥1/10</w:t>
      </w:r>
    </w:p>
    <w:p w:rsidR="00D05EDE" w:rsidRPr="005E61A1" w:rsidRDefault="00D05EDE" w:rsidP="007835FF">
      <w:pPr>
        <w:pStyle w:val="listssp"/>
        <w:keepNext/>
        <w:spacing w:after="240"/>
        <w:ind w:left="1701" w:hanging="1701"/>
        <w:rPr>
          <w:rFonts w:ascii="Arial" w:hAnsi="Arial" w:cs="Arial"/>
          <w:sz w:val="22"/>
        </w:rPr>
      </w:pPr>
      <w:r w:rsidRPr="005E61A1">
        <w:rPr>
          <w:rFonts w:ascii="Arial" w:hAnsi="Arial" w:cs="Arial"/>
          <w:sz w:val="22"/>
        </w:rPr>
        <w:t xml:space="preserve">Common: </w:t>
      </w:r>
      <w:r w:rsidRPr="005E61A1">
        <w:rPr>
          <w:rFonts w:ascii="Arial" w:hAnsi="Arial" w:cs="Arial"/>
          <w:sz w:val="22"/>
        </w:rPr>
        <w:tab/>
        <w:t>≥1/100 to &lt;1/10</w:t>
      </w:r>
    </w:p>
    <w:p w:rsidR="00D05EDE" w:rsidRPr="005E61A1" w:rsidRDefault="00D05EDE" w:rsidP="007835FF">
      <w:pPr>
        <w:pStyle w:val="listssp"/>
        <w:keepNext/>
        <w:spacing w:after="240"/>
        <w:ind w:left="1701" w:hanging="1701"/>
        <w:rPr>
          <w:rFonts w:ascii="Arial" w:hAnsi="Arial" w:cs="Arial"/>
          <w:sz w:val="22"/>
        </w:rPr>
      </w:pPr>
      <w:r w:rsidRPr="005E61A1">
        <w:rPr>
          <w:rFonts w:ascii="Arial" w:hAnsi="Arial" w:cs="Arial"/>
          <w:sz w:val="22"/>
        </w:rPr>
        <w:t xml:space="preserve">Uncommon: </w:t>
      </w:r>
      <w:r w:rsidRPr="005E61A1">
        <w:rPr>
          <w:rFonts w:ascii="Arial" w:hAnsi="Arial" w:cs="Arial"/>
          <w:sz w:val="22"/>
        </w:rPr>
        <w:tab/>
        <w:t>≥1/1000 to &lt;1/100.</w:t>
      </w:r>
    </w:p>
    <w:p w:rsidR="00D05EDE" w:rsidRPr="005E61A1" w:rsidRDefault="00D05EDE" w:rsidP="007835FF">
      <w:pPr>
        <w:pStyle w:val="listssp"/>
        <w:keepNext/>
        <w:spacing w:after="240"/>
        <w:ind w:left="1701" w:hanging="1701"/>
        <w:rPr>
          <w:rFonts w:ascii="Arial" w:hAnsi="Arial" w:cs="Arial"/>
          <w:sz w:val="22"/>
        </w:rPr>
      </w:pPr>
      <w:r w:rsidRPr="005E61A1">
        <w:rPr>
          <w:rFonts w:ascii="Arial" w:hAnsi="Arial" w:cs="Arial"/>
          <w:sz w:val="22"/>
        </w:rPr>
        <w:t>Rare</w:t>
      </w:r>
      <w:r w:rsidRPr="005E61A1">
        <w:rPr>
          <w:rFonts w:ascii="Arial" w:hAnsi="Arial" w:cs="Arial"/>
          <w:sz w:val="22"/>
        </w:rPr>
        <w:tab/>
        <w:t>≥1/10000 to &lt;1/1000</w:t>
      </w:r>
    </w:p>
    <w:p w:rsidR="00D05EDE" w:rsidRPr="005E61A1" w:rsidRDefault="00D05EDE" w:rsidP="007835FF">
      <w:pPr>
        <w:pStyle w:val="listssp"/>
        <w:keepNext/>
        <w:spacing w:after="240"/>
        <w:ind w:left="1701" w:hanging="1701"/>
        <w:rPr>
          <w:rFonts w:ascii="Arial" w:hAnsi="Arial" w:cs="Arial"/>
          <w:sz w:val="22"/>
        </w:rPr>
      </w:pPr>
      <w:r w:rsidRPr="005E61A1">
        <w:rPr>
          <w:rFonts w:ascii="Arial" w:hAnsi="Arial" w:cs="Arial"/>
          <w:sz w:val="22"/>
        </w:rPr>
        <w:t>Very rare</w:t>
      </w:r>
      <w:r w:rsidRPr="005E61A1">
        <w:rPr>
          <w:rFonts w:ascii="Arial" w:hAnsi="Arial" w:cs="Arial"/>
          <w:sz w:val="22"/>
        </w:rPr>
        <w:tab/>
        <w:t>&lt;1/10000</w:t>
      </w:r>
    </w:p>
    <w:p w:rsidR="00D05EDE" w:rsidRPr="007835FF" w:rsidRDefault="00D05EDE" w:rsidP="005E61A1">
      <w:pPr>
        <w:pStyle w:val="listssp"/>
        <w:spacing w:after="240"/>
        <w:ind w:left="1701" w:hanging="170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3874"/>
        <w:gridCol w:w="1990"/>
      </w:tblGrid>
      <w:tr w:rsidR="00D05EDE" w:rsidRPr="007835FF" w:rsidTr="00217091">
        <w:trPr>
          <w:tblHeader/>
        </w:trPr>
        <w:tc>
          <w:tcPr>
            <w:tcW w:w="2455" w:type="dxa"/>
          </w:tcPr>
          <w:p w:rsidR="00D05EDE" w:rsidRPr="007835FF" w:rsidRDefault="00D05EDE" w:rsidP="007835FF">
            <w:pPr>
              <w:keepNext/>
              <w:keepLines/>
              <w:spacing w:after="240"/>
              <w:rPr>
                <w:rFonts w:ascii="Arial" w:hAnsi="Arial" w:cs="Arial"/>
                <w:b/>
                <w:noProof/>
                <w:sz w:val="22"/>
                <w:szCs w:val="22"/>
              </w:rPr>
            </w:pPr>
            <w:r w:rsidRPr="007835FF">
              <w:rPr>
                <w:rFonts w:ascii="Arial" w:hAnsi="Arial" w:cs="Arial"/>
                <w:b/>
                <w:noProof/>
                <w:sz w:val="22"/>
                <w:szCs w:val="22"/>
              </w:rPr>
              <w:lastRenderedPageBreak/>
              <w:t>System organ class</w:t>
            </w:r>
          </w:p>
        </w:tc>
        <w:tc>
          <w:tcPr>
            <w:tcW w:w="3874" w:type="dxa"/>
          </w:tcPr>
          <w:p w:rsidR="00D05EDE" w:rsidRPr="007835FF" w:rsidRDefault="00D05EDE" w:rsidP="007835FF">
            <w:pPr>
              <w:keepNext/>
              <w:keepLines/>
              <w:spacing w:after="240"/>
              <w:rPr>
                <w:rFonts w:ascii="Arial" w:hAnsi="Arial" w:cs="Arial"/>
                <w:b/>
                <w:noProof/>
                <w:sz w:val="22"/>
                <w:szCs w:val="22"/>
              </w:rPr>
            </w:pPr>
            <w:r w:rsidRPr="007835FF">
              <w:rPr>
                <w:rFonts w:ascii="Arial" w:hAnsi="Arial" w:cs="Arial"/>
                <w:b/>
                <w:noProof/>
                <w:sz w:val="22"/>
                <w:szCs w:val="22"/>
              </w:rPr>
              <w:t>Adverse reaction(s)</w:t>
            </w:r>
          </w:p>
        </w:tc>
        <w:tc>
          <w:tcPr>
            <w:tcW w:w="1990" w:type="dxa"/>
          </w:tcPr>
          <w:p w:rsidR="00D05EDE" w:rsidRPr="007835FF" w:rsidRDefault="00D05EDE" w:rsidP="007835FF">
            <w:pPr>
              <w:keepNext/>
              <w:keepLines/>
              <w:spacing w:after="240"/>
              <w:rPr>
                <w:rFonts w:ascii="Arial" w:hAnsi="Arial" w:cs="Arial"/>
                <w:b/>
                <w:noProof/>
                <w:sz w:val="22"/>
                <w:szCs w:val="22"/>
              </w:rPr>
            </w:pPr>
            <w:r w:rsidRPr="007835FF">
              <w:rPr>
                <w:rFonts w:ascii="Arial" w:hAnsi="Arial" w:cs="Arial"/>
                <w:b/>
                <w:noProof/>
                <w:sz w:val="22"/>
                <w:szCs w:val="22"/>
              </w:rPr>
              <w:t>Frequency</w:t>
            </w:r>
          </w:p>
        </w:tc>
      </w:tr>
      <w:tr w:rsidR="00D05EDE" w:rsidRPr="007835FF" w:rsidTr="00217091">
        <w:tc>
          <w:tcPr>
            <w:tcW w:w="2455" w:type="dxa"/>
          </w:tcPr>
          <w:p w:rsidR="00D05EDE" w:rsidRPr="007835FF" w:rsidRDefault="00D05EDE" w:rsidP="007835FF">
            <w:pPr>
              <w:keepNext/>
              <w:keepLines/>
              <w:spacing w:after="240"/>
              <w:rPr>
                <w:rFonts w:ascii="Arial" w:hAnsi="Arial" w:cs="Arial"/>
                <w:sz w:val="22"/>
                <w:szCs w:val="22"/>
              </w:rPr>
            </w:pPr>
            <w:r w:rsidRPr="007835FF">
              <w:rPr>
                <w:rFonts w:ascii="Arial" w:hAnsi="Arial" w:cs="Arial"/>
                <w:color w:val="000000"/>
                <w:sz w:val="22"/>
                <w:szCs w:val="22"/>
              </w:rPr>
              <w:t>Infections and infestations</w:t>
            </w:r>
          </w:p>
        </w:tc>
        <w:tc>
          <w:tcPr>
            <w:tcW w:w="3874" w:type="dxa"/>
          </w:tcPr>
          <w:p w:rsidR="00D05EDE" w:rsidRPr="005E61A1" w:rsidRDefault="00D05EDE" w:rsidP="007835FF">
            <w:pPr>
              <w:spacing w:after="240"/>
              <w:rPr>
                <w:rFonts w:ascii="Arial" w:hAnsi="Arial" w:cs="Arial"/>
                <w:sz w:val="22"/>
                <w:szCs w:val="22"/>
              </w:rPr>
            </w:pPr>
            <w:r w:rsidRPr="005E61A1">
              <w:rPr>
                <w:rFonts w:ascii="Arial" w:hAnsi="Arial" w:cs="Arial"/>
                <w:sz w:val="22"/>
                <w:szCs w:val="22"/>
              </w:rPr>
              <w:t xml:space="preserve">Pneumonia* </w:t>
            </w:r>
          </w:p>
          <w:p w:rsidR="00D05EDE" w:rsidRPr="005E61A1" w:rsidRDefault="00D05EDE" w:rsidP="007835FF">
            <w:pPr>
              <w:spacing w:after="240"/>
              <w:rPr>
                <w:rFonts w:ascii="Arial" w:hAnsi="Arial" w:cs="Arial"/>
                <w:sz w:val="22"/>
                <w:szCs w:val="22"/>
              </w:rPr>
            </w:pPr>
            <w:r w:rsidRPr="005E61A1">
              <w:rPr>
                <w:rFonts w:ascii="Arial" w:hAnsi="Arial" w:cs="Arial"/>
                <w:sz w:val="22"/>
                <w:szCs w:val="22"/>
              </w:rPr>
              <w:t xml:space="preserve">Upper </w:t>
            </w:r>
            <w:r w:rsidR="00CC27D5">
              <w:rPr>
                <w:rFonts w:ascii="Arial" w:hAnsi="Arial" w:cs="Arial"/>
                <w:sz w:val="22"/>
                <w:szCs w:val="22"/>
              </w:rPr>
              <w:t>r</w:t>
            </w:r>
            <w:r w:rsidRPr="005E61A1">
              <w:rPr>
                <w:rFonts w:ascii="Arial" w:hAnsi="Arial" w:cs="Arial"/>
                <w:sz w:val="22"/>
                <w:szCs w:val="22"/>
              </w:rPr>
              <w:t xml:space="preserve">espiratory </w:t>
            </w:r>
            <w:r w:rsidR="00CC27D5">
              <w:rPr>
                <w:rFonts w:ascii="Arial" w:hAnsi="Arial" w:cs="Arial"/>
                <w:sz w:val="22"/>
                <w:szCs w:val="22"/>
              </w:rPr>
              <w:t>t</w:t>
            </w:r>
            <w:r w:rsidRPr="005E61A1">
              <w:rPr>
                <w:rFonts w:ascii="Arial" w:hAnsi="Arial" w:cs="Arial"/>
                <w:sz w:val="22"/>
                <w:szCs w:val="22"/>
              </w:rPr>
              <w:t xml:space="preserve">ract </w:t>
            </w:r>
            <w:r w:rsidR="00CC27D5">
              <w:rPr>
                <w:rFonts w:ascii="Arial" w:hAnsi="Arial" w:cs="Arial"/>
                <w:sz w:val="22"/>
                <w:szCs w:val="22"/>
              </w:rPr>
              <w:t>i</w:t>
            </w:r>
            <w:r w:rsidRPr="005E61A1">
              <w:rPr>
                <w:rFonts w:ascii="Arial" w:hAnsi="Arial" w:cs="Arial"/>
                <w:sz w:val="22"/>
                <w:szCs w:val="22"/>
              </w:rPr>
              <w:t xml:space="preserve">nfection  </w:t>
            </w:r>
          </w:p>
          <w:p w:rsidR="00D05EDE" w:rsidRPr="005E61A1" w:rsidRDefault="00D05EDE" w:rsidP="007835FF">
            <w:pPr>
              <w:spacing w:after="240"/>
              <w:rPr>
                <w:rFonts w:ascii="Arial" w:hAnsi="Arial" w:cs="Arial"/>
                <w:sz w:val="22"/>
                <w:szCs w:val="22"/>
              </w:rPr>
            </w:pPr>
            <w:r w:rsidRPr="005E61A1">
              <w:rPr>
                <w:rFonts w:ascii="Arial" w:hAnsi="Arial" w:cs="Arial"/>
                <w:sz w:val="22"/>
                <w:szCs w:val="22"/>
              </w:rPr>
              <w:t>Bronchitis, Influenza</w:t>
            </w:r>
          </w:p>
          <w:p w:rsidR="00D05EDE" w:rsidRPr="005E61A1" w:rsidRDefault="00D05EDE" w:rsidP="007835FF">
            <w:pPr>
              <w:spacing w:after="240"/>
              <w:rPr>
                <w:rFonts w:ascii="Arial" w:hAnsi="Arial" w:cs="Arial"/>
                <w:sz w:val="22"/>
                <w:szCs w:val="22"/>
              </w:rPr>
            </w:pPr>
            <w:r w:rsidRPr="005E61A1">
              <w:rPr>
                <w:rFonts w:ascii="Arial" w:hAnsi="Arial" w:cs="Arial"/>
                <w:sz w:val="22"/>
                <w:szCs w:val="22"/>
              </w:rPr>
              <w:t>Candidiasis of mouth and throat</w:t>
            </w:r>
          </w:p>
        </w:tc>
        <w:tc>
          <w:tcPr>
            <w:tcW w:w="1990" w:type="dxa"/>
          </w:tcPr>
          <w:p w:rsidR="00D05EDE" w:rsidRPr="007835FF" w:rsidRDefault="00D05EDE" w:rsidP="007835FF">
            <w:pPr>
              <w:keepNext/>
              <w:keepLines/>
              <w:spacing w:after="240"/>
              <w:rPr>
                <w:rFonts w:ascii="Arial" w:hAnsi="Arial" w:cs="Arial"/>
                <w:noProof/>
                <w:sz w:val="22"/>
                <w:szCs w:val="22"/>
              </w:rPr>
            </w:pPr>
            <w:r w:rsidRPr="007835FF">
              <w:rPr>
                <w:rFonts w:ascii="Arial" w:hAnsi="Arial" w:cs="Arial"/>
                <w:noProof/>
                <w:sz w:val="22"/>
                <w:szCs w:val="22"/>
              </w:rPr>
              <w:t>Common</w:t>
            </w:r>
          </w:p>
          <w:p w:rsidR="00D05EDE" w:rsidRPr="007835FF" w:rsidRDefault="00D05EDE" w:rsidP="007835FF">
            <w:pPr>
              <w:keepNext/>
              <w:keepLines/>
              <w:spacing w:after="240"/>
              <w:rPr>
                <w:rFonts w:ascii="Arial" w:hAnsi="Arial" w:cs="Arial"/>
                <w:noProof/>
                <w:sz w:val="22"/>
                <w:szCs w:val="22"/>
              </w:rPr>
            </w:pPr>
          </w:p>
        </w:tc>
      </w:tr>
      <w:tr w:rsidR="00D05EDE" w:rsidRPr="007835FF" w:rsidTr="00217091">
        <w:tc>
          <w:tcPr>
            <w:tcW w:w="2455" w:type="dxa"/>
          </w:tcPr>
          <w:p w:rsidR="00D05EDE" w:rsidRPr="007835FF" w:rsidRDefault="00D05EDE" w:rsidP="007835FF">
            <w:pPr>
              <w:keepNext/>
              <w:keepLines/>
              <w:spacing w:after="240"/>
              <w:rPr>
                <w:rFonts w:ascii="Arial" w:hAnsi="Arial" w:cs="Arial"/>
                <w:sz w:val="22"/>
                <w:szCs w:val="22"/>
              </w:rPr>
            </w:pPr>
            <w:r w:rsidRPr="007835FF">
              <w:rPr>
                <w:rFonts w:ascii="Arial" w:hAnsi="Arial" w:cs="Arial"/>
                <w:color w:val="000000"/>
                <w:sz w:val="22"/>
                <w:szCs w:val="22"/>
              </w:rPr>
              <w:t>Nervous system disorders</w:t>
            </w:r>
          </w:p>
        </w:tc>
        <w:tc>
          <w:tcPr>
            <w:tcW w:w="3874" w:type="dxa"/>
          </w:tcPr>
          <w:p w:rsidR="00D05EDE" w:rsidRPr="005E61A1" w:rsidRDefault="00D05EDE" w:rsidP="007835FF">
            <w:pPr>
              <w:spacing w:after="240"/>
              <w:rPr>
                <w:rFonts w:ascii="Arial" w:hAnsi="Arial" w:cs="Arial"/>
                <w:noProof/>
                <w:sz w:val="22"/>
                <w:szCs w:val="22"/>
              </w:rPr>
            </w:pPr>
            <w:r w:rsidRPr="005E61A1">
              <w:rPr>
                <w:rFonts w:ascii="Arial" w:hAnsi="Arial" w:cs="Arial"/>
                <w:sz w:val="22"/>
                <w:szCs w:val="22"/>
              </w:rPr>
              <w:t>Headache</w:t>
            </w:r>
          </w:p>
        </w:tc>
        <w:tc>
          <w:tcPr>
            <w:tcW w:w="1990" w:type="dxa"/>
          </w:tcPr>
          <w:p w:rsidR="00D05EDE" w:rsidRPr="007835FF" w:rsidRDefault="00D05EDE" w:rsidP="00CC27D5">
            <w:pPr>
              <w:keepNext/>
              <w:keepLines/>
              <w:spacing w:after="240"/>
              <w:rPr>
                <w:rFonts w:ascii="Arial" w:hAnsi="Arial" w:cs="Arial"/>
                <w:noProof/>
                <w:sz w:val="22"/>
                <w:szCs w:val="22"/>
              </w:rPr>
            </w:pPr>
            <w:r w:rsidRPr="007835FF">
              <w:rPr>
                <w:rFonts w:ascii="Arial" w:hAnsi="Arial" w:cs="Arial"/>
                <w:noProof/>
                <w:sz w:val="22"/>
                <w:szCs w:val="22"/>
              </w:rPr>
              <w:t xml:space="preserve">Very </w:t>
            </w:r>
            <w:r w:rsidR="00CC27D5">
              <w:rPr>
                <w:rFonts w:ascii="Arial" w:hAnsi="Arial" w:cs="Arial"/>
                <w:noProof/>
                <w:sz w:val="22"/>
                <w:szCs w:val="22"/>
              </w:rPr>
              <w:t>c</w:t>
            </w:r>
            <w:r w:rsidRPr="007835FF">
              <w:rPr>
                <w:rFonts w:ascii="Arial" w:hAnsi="Arial" w:cs="Arial"/>
                <w:noProof/>
                <w:sz w:val="22"/>
                <w:szCs w:val="22"/>
              </w:rPr>
              <w:t>ommon</w:t>
            </w:r>
          </w:p>
        </w:tc>
      </w:tr>
      <w:tr w:rsidR="00D05EDE" w:rsidRPr="007835FF" w:rsidDel="00D82FDC" w:rsidTr="00217091">
        <w:tc>
          <w:tcPr>
            <w:tcW w:w="2455" w:type="dxa"/>
          </w:tcPr>
          <w:p w:rsidR="00D05EDE" w:rsidRPr="007835FF" w:rsidRDefault="00D05EDE" w:rsidP="007835FF">
            <w:pPr>
              <w:keepNext/>
              <w:keepLines/>
              <w:spacing w:after="240"/>
              <w:rPr>
                <w:rFonts w:ascii="Arial" w:hAnsi="Arial" w:cs="Arial"/>
                <w:sz w:val="22"/>
                <w:szCs w:val="22"/>
              </w:rPr>
            </w:pPr>
            <w:r w:rsidRPr="007835FF">
              <w:rPr>
                <w:rFonts w:ascii="Arial" w:hAnsi="Arial" w:cs="Arial"/>
                <w:sz w:val="22"/>
                <w:szCs w:val="22"/>
              </w:rPr>
              <w:t>Cardiac disorders</w:t>
            </w:r>
          </w:p>
        </w:tc>
        <w:tc>
          <w:tcPr>
            <w:tcW w:w="3874" w:type="dxa"/>
          </w:tcPr>
          <w:p w:rsidR="00D05EDE" w:rsidRPr="005E61A1" w:rsidRDefault="00D05EDE" w:rsidP="007835FF">
            <w:pPr>
              <w:spacing w:after="240"/>
              <w:rPr>
                <w:rFonts w:ascii="Arial" w:hAnsi="Arial" w:cs="Arial"/>
                <w:sz w:val="22"/>
                <w:szCs w:val="22"/>
              </w:rPr>
            </w:pPr>
            <w:proofErr w:type="spellStart"/>
            <w:r w:rsidRPr="005E61A1">
              <w:rPr>
                <w:rFonts w:ascii="Arial" w:hAnsi="Arial" w:cs="Arial"/>
                <w:sz w:val="22"/>
                <w:szCs w:val="22"/>
              </w:rPr>
              <w:t>Extrasystoles</w:t>
            </w:r>
            <w:proofErr w:type="spellEnd"/>
            <w:r w:rsidRPr="005E61A1">
              <w:rPr>
                <w:rFonts w:ascii="Arial" w:hAnsi="Arial" w:cs="Arial"/>
                <w:sz w:val="22"/>
                <w:szCs w:val="22"/>
              </w:rPr>
              <w:t xml:space="preserve"> </w:t>
            </w:r>
          </w:p>
        </w:tc>
        <w:tc>
          <w:tcPr>
            <w:tcW w:w="1990" w:type="dxa"/>
          </w:tcPr>
          <w:p w:rsidR="00D05EDE" w:rsidRPr="007835FF" w:rsidRDefault="00D05EDE" w:rsidP="007835FF">
            <w:pPr>
              <w:keepNext/>
              <w:keepLines/>
              <w:spacing w:after="240"/>
              <w:rPr>
                <w:rFonts w:ascii="Arial" w:hAnsi="Arial" w:cs="Arial"/>
                <w:color w:val="000000"/>
                <w:sz w:val="22"/>
                <w:szCs w:val="22"/>
              </w:rPr>
            </w:pPr>
            <w:r w:rsidRPr="007835FF">
              <w:rPr>
                <w:rFonts w:ascii="Arial" w:hAnsi="Arial" w:cs="Arial"/>
                <w:color w:val="000000"/>
                <w:sz w:val="22"/>
                <w:szCs w:val="22"/>
              </w:rPr>
              <w:t>Uncommon</w:t>
            </w:r>
          </w:p>
        </w:tc>
      </w:tr>
      <w:tr w:rsidR="00D05EDE" w:rsidRPr="007835FF" w:rsidDel="00D82FDC" w:rsidTr="00217091">
        <w:tc>
          <w:tcPr>
            <w:tcW w:w="2455" w:type="dxa"/>
          </w:tcPr>
          <w:p w:rsidR="00D05EDE" w:rsidRPr="007835FF" w:rsidRDefault="00D05EDE" w:rsidP="007835FF">
            <w:pPr>
              <w:keepNext/>
              <w:keepLines/>
              <w:spacing w:after="240"/>
              <w:rPr>
                <w:rFonts w:ascii="Arial" w:hAnsi="Arial" w:cs="Arial"/>
                <w:color w:val="000000"/>
                <w:sz w:val="22"/>
                <w:szCs w:val="22"/>
              </w:rPr>
            </w:pPr>
            <w:r w:rsidRPr="007835FF">
              <w:rPr>
                <w:rFonts w:ascii="Arial" w:hAnsi="Arial" w:cs="Arial"/>
                <w:sz w:val="22"/>
                <w:szCs w:val="22"/>
              </w:rPr>
              <w:t xml:space="preserve">Respiratory, thoracic &amp; </w:t>
            </w:r>
            <w:proofErr w:type="spellStart"/>
            <w:r w:rsidRPr="007835FF">
              <w:rPr>
                <w:rFonts w:ascii="Arial" w:hAnsi="Arial" w:cs="Arial"/>
                <w:sz w:val="22"/>
                <w:szCs w:val="22"/>
              </w:rPr>
              <w:t>mediastinal</w:t>
            </w:r>
            <w:proofErr w:type="spellEnd"/>
            <w:r w:rsidRPr="007835FF">
              <w:rPr>
                <w:rFonts w:ascii="Arial" w:hAnsi="Arial" w:cs="Arial"/>
                <w:sz w:val="22"/>
                <w:szCs w:val="22"/>
              </w:rPr>
              <w:t xml:space="preserve"> disorders</w:t>
            </w:r>
          </w:p>
        </w:tc>
        <w:tc>
          <w:tcPr>
            <w:tcW w:w="3874" w:type="dxa"/>
          </w:tcPr>
          <w:p w:rsidR="00D05EDE" w:rsidRPr="005E61A1" w:rsidRDefault="00D05EDE" w:rsidP="007835FF">
            <w:pPr>
              <w:spacing w:after="240"/>
              <w:rPr>
                <w:rFonts w:ascii="Arial" w:hAnsi="Arial" w:cs="Arial"/>
                <w:sz w:val="22"/>
                <w:szCs w:val="22"/>
              </w:rPr>
            </w:pPr>
            <w:proofErr w:type="spellStart"/>
            <w:r w:rsidRPr="005E61A1">
              <w:rPr>
                <w:rFonts w:ascii="Arial" w:hAnsi="Arial" w:cs="Arial"/>
                <w:sz w:val="22"/>
                <w:szCs w:val="22"/>
              </w:rPr>
              <w:t>Nasopharyngitis</w:t>
            </w:r>
            <w:proofErr w:type="spellEnd"/>
            <w:r w:rsidRPr="005E61A1">
              <w:rPr>
                <w:rFonts w:ascii="Arial" w:hAnsi="Arial" w:cs="Arial"/>
                <w:sz w:val="22"/>
                <w:szCs w:val="22"/>
              </w:rPr>
              <w:t xml:space="preserve"> </w:t>
            </w:r>
          </w:p>
          <w:p w:rsidR="00D05EDE" w:rsidRPr="005E61A1" w:rsidRDefault="00D05EDE" w:rsidP="007835FF">
            <w:pPr>
              <w:spacing w:after="240"/>
              <w:rPr>
                <w:rFonts w:ascii="Arial" w:hAnsi="Arial" w:cs="Arial"/>
                <w:sz w:val="22"/>
                <w:szCs w:val="22"/>
              </w:rPr>
            </w:pPr>
            <w:r w:rsidRPr="005E61A1">
              <w:rPr>
                <w:rFonts w:ascii="Arial" w:hAnsi="Arial" w:cs="Arial"/>
                <w:sz w:val="22"/>
                <w:szCs w:val="22"/>
              </w:rPr>
              <w:t>Oropharyngeal pain</w:t>
            </w:r>
          </w:p>
          <w:p w:rsidR="00D05EDE" w:rsidRPr="005E61A1" w:rsidRDefault="00D05EDE" w:rsidP="007835FF">
            <w:pPr>
              <w:spacing w:after="240"/>
              <w:rPr>
                <w:rFonts w:ascii="Arial" w:hAnsi="Arial" w:cs="Arial"/>
                <w:sz w:val="22"/>
                <w:szCs w:val="22"/>
              </w:rPr>
            </w:pPr>
            <w:r w:rsidRPr="005E61A1">
              <w:rPr>
                <w:rFonts w:ascii="Arial" w:hAnsi="Arial" w:cs="Arial"/>
                <w:sz w:val="22"/>
                <w:szCs w:val="22"/>
              </w:rPr>
              <w:t>Sinusitis, Pharyngitis</w:t>
            </w:r>
          </w:p>
          <w:p w:rsidR="00D05EDE" w:rsidRPr="005E61A1" w:rsidDel="00D82FDC" w:rsidRDefault="00D05EDE" w:rsidP="007835FF">
            <w:pPr>
              <w:spacing w:after="240"/>
              <w:rPr>
                <w:rFonts w:ascii="Arial" w:hAnsi="Arial" w:cs="Arial"/>
                <w:sz w:val="22"/>
                <w:szCs w:val="22"/>
              </w:rPr>
            </w:pPr>
            <w:r w:rsidRPr="005E61A1">
              <w:rPr>
                <w:rFonts w:ascii="Arial" w:hAnsi="Arial" w:cs="Arial"/>
                <w:sz w:val="22"/>
                <w:szCs w:val="22"/>
              </w:rPr>
              <w:t>Rhinitis, Cough, Dysphonia</w:t>
            </w:r>
          </w:p>
        </w:tc>
        <w:tc>
          <w:tcPr>
            <w:tcW w:w="1990" w:type="dxa"/>
          </w:tcPr>
          <w:p w:rsidR="00D05EDE" w:rsidRPr="007835FF" w:rsidRDefault="00D05EDE" w:rsidP="007835FF">
            <w:pPr>
              <w:spacing w:after="240"/>
              <w:rPr>
                <w:rFonts w:ascii="Arial" w:hAnsi="Arial" w:cs="Arial"/>
                <w:sz w:val="22"/>
                <w:szCs w:val="22"/>
              </w:rPr>
            </w:pPr>
            <w:r w:rsidRPr="007835FF">
              <w:rPr>
                <w:rFonts w:ascii="Arial" w:hAnsi="Arial" w:cs="Arial"/>
                <w:sz w:val="22"/>
                <w:szCs w:val="22"/>
              </w:rPr>
              <w:t xml:space="preserve">Very </w:t>
            </w:r>
            <w:r w:rsidR="00CC27D5">
              <w:rPr>
                <w:rFonts w:ascii="Arial" w:hAnsi="Arial" w:cs="Arial"/>
                <w:sz w:val="22"/>
                <w:szCs w:val="22"/>
              </w:rPr>
              <w:t>c</w:t>
            </w:r>
            <w:r w:rsidRPr="007835FF">
              <w:rPr>
                <w:rFonts w:ascii="Arial" w:hAnsi="Arial" w:cs="Arial"/>
                <w:sz w:val="22"/>
                <w:szCs w:val="22"/>
              </w:rPr>
              <w:t>ommon</w:t>
            </w:r>
          </w:p>
          <w:p w:rsidR="00D05EDE" w:rsidRPr="007835FF" w:rsidRDefault="00D05EDE" w:rsidP="007835FF">
            <w:pPr>
              <w:spacing w:after="240"/>
              <w:rPr>
                <w:rFonts w:ascii="Arial" w:hAnsi="Arial" w:cs="Arial"/>
                <w:sz w:val="22"/>
                <w:szCs w:val="22"/>
              </w:rPr>
            </w:pPr>
            <w:r w:rsidRPr="007835FF">
              <w:rPr>
                <w:rFonts w:ascii="Arial" w:hAnsi="Arial" w:cs="Arial"/>
                <w:sz w:val="22"/>
                <w:szCs w:val="22"/>
              </w:rPr>
              <w:t>Common</w:t>
            </w:r>
          </w:p>
          <w:p w:rsidR="00D05EDE" w:rsidRPr="007835FF" w:rsidRDefault="00D05EDE" w:rsidP="007835FF">
            <w:pPr>
              <w:spacing w:after="240"/>
              <w:rPr>
                <w:rFonts w:ascii="Arial" w:hAnsi="Arial" w:cs="Arial"/>
                <w:sz w:val="22"/>
                <w:szCs w:val="22"/>
              </w:rPr>
            </w:pPr>
          </w:p>
          <w:p w:rsidR="00D05EDE" w:rsidRPr="007835FF" w:rsidDel="00D82FDC" w:rsidRDefault="00D05EDE" w:rsidP="007835FF">
            <w:pPr>
              <w:spacing w:after="240"/>
              <w:rPr>
                <w:rFonts w:ascii="Arial" w:hAnsi="Arial" w:cs="Arial"/>
                <w:sz w:val="22"/>
                <w:szCs w:val="22"/>
              </w:rPr>
            </w:pPr>
          </w:p>
        </w:tc>
      </w:tr>
      <w:tr w:rsidR="00D05EDE" w:rsidRPr="007835FF" w:rsidDel="00D82FDC" w:rsidTr="00217091">
        <w:tc>
          <w:tcPr>
            <w:tcW w:w="2455" w:type="dxa"/>
          </w:tcPr>
          <w:p w:rsidR="00D05EDE" w:rsidRPr="007835FF" w:rsidRDefault="00D05EDE" w:rsidP="007835FF">
            <w:pPr>
              <w:keepNext/>
              <w:keepLines/>
              <w:spacing w:after="240"/>
              <w:rPr>
                <w:rFonts w:ascii="Arial" w:hAnsi="Arial" w:cs="Arial"/>
                <w:color w:val="000000"/>
                <w:sz w:val="22"/>
                <w:szCs w:val="22"/>
              </w:rPr>
            </w:pPr>
            <w:r w:rsidRPr="007835FF">
              <w:rPr>
                <w:rFonts w:ascii="Arial" w:hAnsi="Arial" w:cs="Arial"/>
                <w:color w:val="000000"/>
                <w:sz w:val="22"/>
                <w:szCs w:val="22"/>
              </w:rPr>
              <w:t>Gastrointestinal disorders</w:t>
            </w:r>
          </w:p>
        </w:tc>
        <w:tc>
          <w:tcPr>
            <w:tcW w:w="3874" w:type="dxa"/>
          </w:tcPr>
          <w:p w:rsidR="00D05EDE" w:rsidRPr="005E61A1" w:rsidDel="00D82FDC" w:rsidRDefault="00D05EDE" w:rsidP="007835FF">
            <w:pPr>
              <w:spacing w:after="240"/>
              <w:rPr>
                <w:rFonts w:ascii="Arial" w:hAnsi="Arial" w:cs="Arial"/>
                <w:sz w:val="22"/>
                <w:szCs w:val="22"/>
              </w:rPr>
            </w:pPr>
            <w:r w:rsidRPr="005E61A1">
              <w:rPr>
                <w:rFonts w:ascii="Arial" w:hAnsi="Arial" w:cs="Arial"/>
                <w:sz w:val="22"/>
                <w:szCs w:val="22"/>
              </w:rPr>
              <w:t>Abdominal pain</w:t>
            </w:r>
          </w:p>
        </w:tc>
        <w:tc>
          <w:tcPr>
            <w:tcW w:w="1990" w:type="dxa"/>
          </w:tcPr>
          <w:p w:rsidR="00D05EDE" w:rsidRPr="007835FF" w:rsidDel="00D82FDC" w:rsidRDefault="00D05EDE" w:rsidP="007835FF">
            <w:pPr>
              <w:spacing w:after="240"/>
              <w:rPr>
                <w:rFonts w:ascii="Arial" w:hAnsi="Arial" w:cs="Arial"/>
                <w:sz w:val="22"/>
                <w:szCs w:val="22"/>
              </w:rPr>
            </w:pPr>
            <w:r w:rsidRPr="007835FF">
              <w:rPr>
                <w:rFonts w:ascii="Arial" w:hAnsi="Arial" w:cs="Arial"/>
                <w:sz w:val="22"/>
                <w:szCs w:val="22"/>
              </w:rPr>
              <w:t>Common</w:t>
            </w:r>
          </w:p>
        </w:tc>
      </w:tr>
      <w:tr w:rsidR="00D05EDE" w:rsidRPr="007835FF" w:rsidDel="00D82FDC" w:rsidTr="00217091">
        <w:tc>
          <w:tcPr>
            <w:tcW w:w="2455" w:type="dxa"/>
          </w:tcPr>
          <w:p w:rsidR="00D05EDE" w:rsidRPr="007835FF" w:rsidRDefault="00D05EDE" w:rsidP="007835FF">
            <w:pPr>
              <w:keepNext/>
              <w:keepLines/>
              <w:spacing w:after="240"/>
              <w:rPr>
                <w:rFonts w:ascii="Arial" w:hAnsi="Arial" w:cs="Arial"/>
                <w:color w:val="000000"/>
                <w:sz w:val="22"/>
                <w:szCs w:val="22"/>
              </w:rPr>
            </w:pPr>
            <w:r w:rsidRPr="007835FF">
              <w:rPr>
                <w:rFonts w:ascii="Arial" w:hAnsi="Arial" w:cs="Arial"/>
                <w:color w:val="000000"/>
                <w:sz w:val="22"/>
                <w:szCs w:val="22"/>
              </w:rPr>
              <w:t>Musculoskeletal and connective tissue disorders</w:t>
            </w:r>
          </w:p>
        </w:tc>
        <w:tc>
          <w:tcPr>
            <w:tcW w:w="3874" w:type="dxa"/>
          </w:tcPr>
          <w:p w:rsidR="00D05EDE" w:rsidRPr="005E61A1" w:rsidRDefault="00D05EDE" w:rsidP="007835FF">
            <w:pPr>
              <w:spacing w:after="240"/>
              <w:rPr>
                <w:rFonts w:ascii="Arial" w:hAnsi="Arial" w:cs="Arial"/>
                <w:sz w:val="22"/>
                <w:szCs w:val="22"/>
              </w:rPr>
            </w:pPr>
            <w:r w:rsidRPr="005E61A1">
              <w:rPr>
                <w:rFonts w:ascii="Arial" w:hAnsi="Arial" w:cs="Arial"/>
                <w:sz w:val="22"/>
                <w:szCs w:val="22"/>
              </w:rPr>
              <w:t>Arthralgia,</w:t>
            </w:r>
            <w:r w:rsidR="004C328C">
              <w:rPr>
                <w:rFonts w:ascii="Arial" w:hAnsi="Arial" w:cs="Arial"/>
                <w:sz w:val="22"/>
                <w:szCs w:val="22"/>
              </w:rPr>
              <w:t xml:space="preserve"> </w:t>
            </w:r>
            <w:r w:rsidRPr="005E61A1">
              <w:rPr>
                <w:rFonts w:ascii="Arial" w:hAnsi="Arial" w:cs="Arial"/>
                <w:sz w:val="22"/>
                <w:szCs w:val="22"/>
              </w:rPr>
              <w:t>Back pain</w:t>
            </w:r>
          </w:p>
          <w:p w:rsidR="00D05EDE" w:rsidRPr="005E61A1" w:rsidDel="00D82FDC" w:rsidRDefault="00D05EDE" w:rsidP="007835FF">
            <w:pPr>
              <w:spacing w:after="240"/>
              <w:rPr>
                <w:rFonts w:ascii="Arial" w:hAnsi="Arial" w:cs="Arial"/>
                <w:sz w:val="22"/>
                <w:szCs w:val="22"/>
              </w:rPr>
            </w:pPr>
            <w:r w:rsidRPr="005E61A1">
              <w:rPr>
                <w:rFonts w:ascii="Arial" w:hAnsi="Arial" w:cs="Arial"/>
                <w:sz w:val="22"/>
                <w:szCs w:val="22"/>
              </w:rPr>
              <w:t>Fractures**</w:t>
            </w:r>
          </w:p>
        </w:tc>
        <w:tc>
          <w:tcPr>
            <w:tcW w:w="1990" w:type="dxa"/>
          </w:tcPr>
          <w:p w:rsidR="00D05EDE" w:rsidRPr="007835FF" w:rsidRDefault="00D05EDE" w:rsidP="007835FF">
            <w:pPr>
              <w:spacing w:after="240"/>
              <w:rPr>
                <w:rFonts w:ascii="Arial" w:hAnsi="Arial" w:cs="Arial"/>
                <w:sz w:val="22"/>
                <w:szCs w:val="22"/>
              </w:rPr>
            </w:pPr>
            <w:r w:rsidRPr="007835FF">
              <w:rPr>
                <w:rFonts w:ascii="Arial" w:hAnsi="Arial" w:cs="Arial"/>
                <w:sz w:val="22"/>
                <w:szCs w:val="22"/>
              </w:rPr>
              <w:t>Common</w:t>
            </w:r>
          </w:p>
          <w:p w:rsidR="00D05EDE" w:rsidRPr="007835FF" w:rsidDel="00D82FDC" w:rsidRDefault="00D05EDE" w:rsidP="007835FF">
            <w:pPr>
              <w:spacing w:after="240"/>
              <w:rPr>
                <w:rFonts w:ascii="Arial" w:hAnsi="Arial" w:cs="Arial"/>
                <w:sz w:val="22"/>
                <w:szCs w:val="22"/>
              </w:rPr>
            </w:pPr>
            <w:r w:rsidRPr="007835FF">
              <w:rPr>
                <w:rFonts w:ascii="Arial" w:hAnsi="Arial" w:cs="Arial"/>
                <w:sz w:val="22"/>
                <w:szCs w:val="22"/>
              </w:rPr>
              <w:t>Common</w:t>
            </w:r>
          </w:p>
        </w:tc>
      </w:tr>
      <w:tr w:rsidR="00D05EDE" w:rsidRPr="007835FF" w:rsidDel="00781DCA" w:rsidTr="00217091">
        <w:tc>
          <w:tcPr>
            <w:tcW w:w="2455" w:type="dxa"/>
          </w:tcPr>
          <w:p w:rsidR="00D05EDE" w:rsidRPr="007835FF" w:rsidDel="00781DCA" w:rsidRDefault="00D05EDE" w:rsidP="007835FF">
            <w:pPr>
              <w:keepNext/>
              <w:keepLines/>
              <w:spacing w:after="240"/>
              <w:rPr>
                <w:rFonts w:ascii="Arial" w:hAnsi="Arial" w:cs="Arial"/>
                <w:color w:val="000000"/>
                <w:sz w:val="22"/>
                <w:szCs w:val="22"/>
              </w:rPr>
            </w:pPr>
            <w:r w:rsidRPr="007835FF">
              <w:rPr>
                <w:rFonts w:ascii="Arial" w:hAnsi="Arial" w:cs="Arial"/>
                <w:sz w:val="22"/>
                <w:szCs w:val="22"/>
              </w:rPr>
              <w:t>General disorders and administration site conditions</w:t>
            </w:r>
          </w:p>
        </w:tc>
        <w:tc>
          <w:tcPr>
            <w:tcW w:w="3874" w:type="dxa"/>
          </w:tcPr>
          <w:p w:rsidR="00D05EDE" w:rsidRPr="005E61A1" w:rsidDel="00781DCA" w:rsidRDefault="00D05EDE" w:rsidP="007835FF">
            <w:pPr>
              <w:keepNext/>
              <w:keepLines/>
              <w:spacing w:after="240"/>
              <w:rPr>
                <w:rFonts w:ascii="Arial" w:hAnsi="Arial" w:cs="Arial"/>
                <w:color w:val="000000"/>
                <w:sz w:val="22"/>
                <w:szCs w:val="22"/>
              </w:rPr>
            </w:pPr>
            <w:r w:rsidRPr="005E61A1">
              <w:rPr>
                <w:rFonts w:ascii="Arial" w:hAnsi="Arial" w:cs="Arial"/>
                <w:sz w:val="22"/>
                <w:szCs w:val="22"/>
              </w:rPr>
              <w:t>Pyrexia</w:t>
            </w:r>
          </w:p>
        </w:tc>
        <w:tc>
          <w:tcPr>
            <w:tcW w:w="1990" w:type="dxa"/>
          </w:tcPr>
          <w:p w:rsidR="00D05EDE" w:rsidRPr="007835FF" w:rsidDel="00781DCA" w:rsidRDefault="00D05EDE" w:rsidP="007835FF">
            <w:pPr>
              <w:keepNext/>
              <w:keepLines/>
              <w:spacing w:after="240"/>
              <w:rPr>
                <w:rFonts w:ascii="Arial" w:hAnsi="Arial" w:cs="Arial"/>
                <w:color w:val="000000"/>
                <w:sz w:val="22"/>
                <w:szCs w:val="22"/>
              </w:rPr>
            </w:pPr>
            <w:r w:rsidRPr="007835FF">
              <w:rPr>
                <w:rFonts w:ascii="Arial" w:hAnsi="Arial" w:cs="Arial"/>
                <w:color w:val="000000"/>
                <w:sz w:val="22"/>
                <w:szCs w:val="22"/>
              </w:rPr>
              <w:t>Common</w:t>
            </w:r>
          </w:p>
        </w:tc>
      </w:tr>
    </w:tbl>
    <w:p w:rsidR="00D05EDE" w:rsidRPr="007835FF" w:rsidRDefault="00D05EDE" w:rsidP="007835FF">
      <w:pPr>
        <w:spacing w:after="240"/>
        <w:rPr>
          <w:rFonts w:ascii="Arial" w:hAnsi="Arial" w:cs="Arial"/>
          <w:b/>
          <w:noProof/>
          <w:szCs w:val="22"/>
        </w:rPr>
      </w:pPr>
    </w:p>
    <w:p w:rsidR="00D05EDE" w:rsidRPr="005E61A1" w:rsidRDefault="00D05EDE" w:rsidP="007835FF">
      <w:pPr>
        <w:spacing w:after="240"/>
        <w:rPr>
          <w:rFonts w:ascii="Arial" w:hAnsi="Arial" w:cs="Arial"/>
          <w:b/>
          <w:noProof/>
          <w:sz w:val="22"/>
          <w:szCs w:val="22"/>
        </w:rPr>
      </w:pPr>
      <w:r w:rsidRPr="005E61A1">
        <w:rPr>
          <w:rFonts w:ascii="Arial" w:hAnsi="Arial" w:cs="Arial"/>
          <w:b/>
          <w:noProof/>
          <w:sz w:val="22"/>
          <w:szCs w:val="22"/>
        </w:rPr>
        <w:t>Description of selected adverse reactions</w:t>
      </w:r>
    </w:p>
    <w:p w:rsidR="00D05EDE" w:rsidRPr="005E61A1" w:rsidRDefault="00D05EDE" w:rsidP="007835FF">
      <w:pPr>
        <w:spacing w:after="240"/>
        <w:rPr>
          <w:rFonts w:ascii="Arial" w:hAnsi="Arial" w:cs="Arial"/>
          <w:sz w:val="22"/>
          <w:szCs w:val="22"/>
          <w:u w:val="single"/>
        </w:rPr>
      </w:pPr>
      <w:r w:rsidRPr="005E61A1">
        <w:rPr>
          <w:rFonts w:ascii="Arial" w:hAnsi="Arial" w:cs="Arial"/>
          <w:sz w:val="22"/>
          <w:szCs w:val="22"/>
          <w:u w:val="single"/>
        </w:rPr>
        <w:t>*Pneumonia</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In two replicate 12 month studies in a total of 3,255 patients with COPD who had experienced a COPD exacerbation in the previous year, there was a higher incidence of pneumonia (6%-7%) reported in patients receiving the fluticasone </w:t>
      </w:r>
      <w:proofErr w:type="spellStart"/>
      <w:r w:rsidRPr="005E61A1">
        <w:rPr>
          <w:rFonts w:ascii="Arial" w:hAnsi="Arial" w:cs="Arial"/>
          <w:sz w:val="22"/>
          <w:szCs w:val="22"/>
        </w:rPr>
        <w:t>furoate</w:t>
      </w:r>
      <w:proofErr w:type="spellEnd"/>
      <w:r w:rsidRPr="005E61A1">
        <w:rPr>
          <w:rFonts w:ascii="Arial" w:hAnsi="Arial" w:cs="Arial"/>
          <w:sz w:val="22"/>
          <w:szCs w:val="22"/>
        </w:rPr>
        <w:t xml:space="preserve"> (at strengths of 50, 100, and 200 micrograms)/</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25 micrograms combination than in those receiving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25 micrograms alone (3%). Pneumonia which required hospitalisation occurred in 3% of patients receiving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(all strengths) and in &lt;1% of patients receiving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In these studies, nine fatal cases of pneumonia were reported.  Of these, seven were reported during treatment with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200/25 micrograms, one during treatment with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100/25 micrograms and one post-treatment with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monotherapy.  Risk factors for pneumonia observed in these studies included current smokers, patients with a history of prior pneumonia, patients with a body mass index &lt;25 kg/m</w:t>
      </w:r>
      <w:r w:rsidRPr="005E61A1">
        <w:rPr>
          <w:rFonts w:ascii="Arial" w:hAnsi="Arial" w:cs="Arial"/>
          <w:sz w:val="22"/>
          <w:szCs w:val="22"/>
          <w:vertAlign w:val="superscript"/>
        </w:rPr>
        <w:t>2</w:t>
      </w:r>
      <w:r w:rsidRPr="005E61A1">
        <w:rPr>
          <w:rFonts w:ascii="Arial" w:hAnsi="Arial" w:cs="Arial"/>
          <w:sz w:val="22"/>
          <w:szCs w:val="22"/>
        </w:rPr>
        <w:t xml:space="preserve"> and patients with an FEV</w:t>
      </w:r>
      <w:r w:rsidRPr="005E61A1">
        <w:rPr>
          <w:rFonts w:ascii="Arial" w:hAnsi="Arial" w:cs="Arial"/>
          <w:sz w:val="22"/>
          <w:szCs w:val="22"/>
          <w:vertAlign w:val="subscript"/>
        </w:rPr>
        <w:t>1</w:t>
      </w:r>
      <w:r w:rsidRPr="005E61A1">
        <w:rPr>
          <w:rFonts w:ascii="Arial" w:hAnsi="Arial" w:cs="Arial"/>
          <w:sz w:val="22"/>
          <w:szCs w:val="22"/>
        </w:rPr>
        <w:t xml:space="preserve">&lt;50% </w:t>
      </w:r>
      <w:r w:rsidRPr="00FE3A27">
        <w:rPr>
          <w:rFonts w:ascii="Arial" w:hAnsi="Arial" w:cs="Arial"/>
          <w:sz w:val="22"/>
          <w:szCs w:val="22"/>
        </w:rPr>
        <w:t>predicted (see Precautions).</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lastRenderedPageBreak/>
        <w:t xml:space="preserve">In an integrated analysis of 11 studies in asthma (7,034 patients), the incidence of pneumonia (adjusted for exposure, due to low numbers and limited number of patients on placebo) seen with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100/25 microgram strength (9.6/1000 patient years) was similar to placebo (8.0/1000 patient years).  There was a higher incidence of pneumonia in the 200/25 microgram strength (18.4/1000 patient years) compared to the 100/25 microgram strength.  Few of the pneumonia events led to hospitalisation with either strength, and there were no observed differences in the incidence of serious events between the two treatment strengths.</w:t>
      </w:r>
    </w:p>
    <w:p w:rsidR="00D05EDE" w:rsidRPr="005E61A1" w:rsidRDefault="00D05EDE" w:rsidP="000961AD">
      <w:pPr>
        <w:spacing w:after="240"/>
        <w:rPr>
          <w:rFonts w:ascii="Arial" w:hAnsi="Arial" w:cs="Arial"/>
          <w:color w:val="000000"/>
          <w:sz w:val="22"/>
          <w:szCs w:val="22"/>
          <w:u w:val="single"/>
        </w:rPr>
      </w:pPr>
      <w:r w:rsidRPr="005E61A1">
        <w:rPr>
          <w:rFonts w:ascii="Arial" w:hAnsi="Arial" w:cs="Arial"/>
          <w:color w:val="000000"/>
          <w:sz w:val="22"/>
          <w:szCs w:val="22"/>
          <w:u w:val="single"/>
        </w:rPr>
        <w:t xml:space="preserve">**Fractures </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In two replicate 12 month studies in a total of 3,255 patients with COPD the incidence of bone fractures overall was low in all treatment groups, with a higher incidence in all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groups (2%) compared with the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25 micrograms group (&lt;1%).  Although there were more fractures in the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groups compared with the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25 micrograms group, fractures typically associated with corticosteroid use (e.g., spinal compression/thoracolumbar vertebral fractures, hip and </w:t>
      </w:r>
      <w:proofErr w:type="spellStart"/>
      <w:r w:rsidRPr="005E61A1">
        <w:rPr>
          <w:rFonts w:ascii="Arial" w:hAnsi="Arial" w:cs="Arial"/>
          <w:sz w:val="22"/>
          <w:szCs w:val="22"/>
        </w:rPr>
        <w:t>acetabular</w:t>
      </w:r>
      <w:proofErr w:type="spellEnd"/>
      <w:r w:rsidRPr="005E61A1">
        <w:rPr>
          <w:rFonts w:ascii="Arial" w:hAnsi="Arial" w:cs="Arial"/>
          <w:sz w:val="22"/>
          <w:szCs w:val="22"/>
        </w:rPr>
        <w:t xml:space="preserve"> fractures) occurred in &lt;1% of the fluticasone </w:t>
      </w:r>
      <w:proofErr w:type="spellStart"/>
      <w:r w:rsidRPr="005E61A1">
        <w:rPr>
          <w:rFonts w:ascii="Arial" w:hAnsi="Arial" w:cs="Arial"/>
          <w:sz w:val="22"/>
          <w:szCs w:val="22"/>
        </w:rPr>
        <w:t>furoate</w:t>
      </w:r>
      <w:proofErr w:type="spellEnd"/>
      <w:r w:rsidRPr="005E61A1">
        <w:rPr>
          <w:rFonts w:ascii="Arial" w:hAnsi="Arial" w:cs="Arial"/>
          <w:sz w:val="22"/>
          <w:szCs w:val="22"/>
        </w:rPr>
        <w:t>/</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and </w:t>
      </w:r>
      <w:proofErr w:type="spellStart"/>
      <w:r w:rsidRPr="005E61A1">
        <w:rPr>
          <w:rFonts w:ascii="Arial" w:hAnsi="Arial" w:cs="Arial"/>
          <w:sz w:val="22"/>
          <w:szCs w:val="22"/>
        </w:rPr>
        <w:t>vilanterol</w:t>
      </w:r>
      <w:proofErr w:type="spellEnd"/>
      <w:r w:rsidRPr="005E61A1">
        <w:rPr>
          <w:rFonts w:ascii="Arial" w:hAnsi="Arial" w:cs="Arial"/>
          <w:sz w:val="22"/>
          <w:szCs w:val="22"/>
        </w:rPr>
        <w:t xml:space="preserve"> treatment arms.</w:t>
      </w:r>
    </w:p>
    <w:p w:rsidR="00C41D45" w:rsidRPr="005E61A1" w:rsidRDefault="00D05EDE" w:rsidP="000961AD">
      <w:pPr>
        <w:spacing w:after="240"/>
        <w:rPr>
          <w:rFonts w:ascii="Arial" w:hAnsi="Arial" w:cs="Arial"/>
          <w:sz w:val="22"/>
          <w:szCs w:val="22"/>
        </w:rPr>
      </w:pPr>
      <w:r w:rsidRPr="005E61A1">
        <w:rPr>
          <w:rFonts w:ascii="Arial" w:hAnsi="Arial" w:cs="Arial"/>
          <w:sz w:val="22"/>
          <w:szCs w:val="22"/>
        </w:rPr>
        <w:t>In an integrated analysis of 11 studies in asthma (7,034 patients), the incidence of fractures was &lt;1%, and usually associated with trauma.</w:t>
      </w:r>
    </w:p>
    <w:p w:rsidR="00D05EDE" w:rsidRPr="005E61A1" w:rsidRDefault="00D05EDE" w:rsidP="000961AD">
      <w:pPr>
        <w:pStyle w:val="NoNumHead3"/>
        <w:keepNext w:val="0"/>
        <w:spacing w:before="0"/>
        <w:rPr>
          <w:snapToGrid w:val="0"/>
          <w:sz w:val="22"/>
          <w:szCs w:val="22"/>
          <w:lang w:val="en-US" w:eastAsia="en-US"/>
        </w:rPr>
      </w:pPr>
      <w:r w:rsidRPr="005E61A1">
        <w:rPr>
          <w:snapToGrid w:val="0"/>
          <w:sz w:val="22"/>
          <w:szCs w:val="22"/>
          <w:lang w:val="en-US" w:eastAsia="en-US"/>
        </w:rPr>
        <w:t>Post-marketing data</w:t>
      </w:r>
    </w:p>
    <w:p w:rsidR="000961AD" w:rsidRPr="005E61A1" w:rsidRDefault="00D05EDE" w:rsidP="000961AD">
      <w:pPr>
        <w:spacing w:after="240"/>
        <w:rPr>
          <w:rFonts w:ascii="Arial" w:hAnsi="Arial" w:cs="Arial"/>
          <w:sz w:val="22"/>
          <w:szCs w:val="22"/>
          <w:lang w:val="en-US"/>
        </w:rPr>
      </w:pPr>
      <w:r w:rsidRPr="005E61A1">
        <w:rPr>
          <w:rFonts w:ascii="Arial" w:hAnsi="Arial" w:cs="Arial"/>
          <w:sz w:val="22"/>
          <w:szCs w:val="22"/>
          <w:lang w:val="en-US"/>
        </w:rPr>
        <w:t xml:space="preserve">There are </w:t>
      </w:r>
      <w:r w:rsidR="00982839">
        <w:rPr>
          <w:rFonts w:ascii="Arial" w:hAnsi="Arial" w:cs="Arial"/>
          <w:sz w:val="22"/>
          <w:szCs w:val="22"/>
          <w:lang w:val="en-US"/>
        </w:rPr>
        <w:t xml:space="preserve">limited post-marketing </w:t>
      </w:r>
      <w:r w:rsidRPr="005E61A1">
        <w:rPr>
          <w:rFonts w:ascii="Arial" w:hAnsi="Arial" w:cs="Arial"/>
          <w:sz w:val="22"/>
          <w:szCs w:val="22"/>
          <w:lang w:val="en-US"/>
        </w:rPr>
        <w:t>data available.</w:t>
      </w:r>
      <w:r w:rsidR="00C41D45">
        <w:rPr>
          <w:rFonts w:ascii="Arial" w:hAnsi="Arial" w:cs="Arial"/>
          <w:sz w:val="22"/>
          <w:szCs w:val="22"/>
          <w:lang w:val="en-US"/>
        </w:rPr>
        <w:t xml:space="preserve">  Because of the </w:t>
      </w:r>
      <w:r w:rsidR="00A27440">
        <w:rPr>
          <w:rFonts w:ascii="Arial" w:hAnsi="Arial" w:cs="Arial"/>
          <w:sz w:val="22"/>
          <w:szCs w:val="22"/>
          <w:lang w:val="en-US"/>
        </w:rPr>
        <w:t xml:space="preserve">limited </w:t>
      </w:r>
      <w:r w:rsidR="00C41D45">
        <w:rPr>
          <w:rFonts w:ascii="Arial" w:hAnsi="Arial" w:cs="Arial"/>
          <w:sz w:val="22"/>
          <w:szCs w:val="22"/>
          <w:lang w:val="en-US"/>
        </w:rPr>
        <w:t xml:space="preserve">long-term safety data </w:t>
      </w:r>
      <w:r w:rsidR="00A27440">
        <w:rPr>
          <w:rFonts w:ascii="Arial" w:hAnsi="Arial" w:cs="Arial"/>
          <w:sz w:val="22"/>
          <w:szCs w:val="22"/>
          <w:lang w:val="en-US"/>
        </w:rPr>
        <w:t xml:space="preserve">(beyond one year) </w:t>
      </w:r>
      <w:r w:rsidR="00C41D45">
        <w:rPr>
          <w:rFonts w:ascii="Arial" w:hAnsi="Arial" w:cs="Arial"/>
          <w:sz w:val="22"/>
          <w:szCs w:val="22"/>
          <w:lang w:val="en-US"/>
        </w:rPr>
        <w:t xml:space="preserve">for </w:t>
      </w:r>
      <w:proofErr w:type="spellStart"/>
      <w:r w:rsidR="00C41D45">
        <w:rPr>
          <w:rFonts w:ascii="Arial" w:hAnsi="Arial" w:cs="Arial"/>
          <w:sz w:val="22"/>
          <w:szCs w:val="22"/>
          <w:lang w:val="en-US"/>
        </w:rPr>
        <w:t>Breo</w:t>
      </w:r>
      <w:proofErr w:type="spellEnd"/>
      <w:r w:rsidR="00C41D45">
        <w:rPr>
          <w:rFonts w:ascii="Arial" w:hAnsi="Arial" w:cs="Arial"/>
          <w:sz w:val="22"/>
          <w:szCs w:val="22"/>
          <w:lang w:val="en-US"/>
        </w:rPr>
        <w:t xml:space="preserve"> </w:t>
      </w:r>
      <w:proofErr w:type="spellStart"/>
      <w:r w:rsidR="00C41D45">
        <w:rPr>
          <w:rFonts w:ascii="Arial" w:hAnsi="Arial" w:cs="Arial"/>
          <w:sz w:val="22"/>
          <w:szCs w:val="22"/>
          <w:lang w:val="en-US"/>
        </w:rPr>
        <w:t>Ellipta</w:t>
      </w:r>
      <w:proofErr w:type="spellEnd"/>
      <w:r w:rsidR="00C41D45">
        <w:rPr>
          <w:rFonts w:ascii="Arial" w:hAnsi="Arial" w:cs="Arial"/>
          <w:sz w:val="22"/>
          <w:szCs w:val="22"/>
          <w:lang w:val="en-US"/>
        </w:rPr>
        <w:t xml:space="preserve">, </w:t>
      </w:r>
      <w:r w:rsidR="006D3581">
        <w:rPr>
          <w:rFonts w:ascii="Arial" w:hAnsi="Arial" w:cs="Arial"/>
          <w:sz w:val="22"/>
          <w:szCs w:val="22"/>
          <w:lang w:val="en-US"/>
        </w:rPr>
        <w:t xml:space="preserve">assumptions about </w:t>
      </w:r>
      <w:r w:rsidR="00C41D45">
        <w:rPr>
          <w:rFonts w:ascii="Arial" w:hAnsi="Arial" w:cs="Arial"/>
          <w:sz w:val="22"/>
          <w:szCs w:val="22"/>
          <w:lang w:val="en-US"/>
        </w:rPr>
        <w:t xml:space="preserve">long-term safety </w:t>
      </w:r>
      <w:r w:rsidR="006D3581">
        <w:rPr>
          <w:rFonts w:ascii="Arial" w:hAnsi="Arial" w:cs="Arial"/>
          <w:sz w:val="22"/>
          <w:szCs w:val="22"/>
          <w:lang w:val="en-US"/>
        </w:rPr>
        <w:t xml:space="preserve">for this combination product have been based on data from pharmaceuticals </w:t>
      </w:r>
      <w:r w:rsidR="00C41D45">
        <w:rPr>
          <w:rFonts w:ascii="Arial" w:hAnsi="Arial" w:cs="Arial"/>
          <w:sz w:val="22"/>
          <w:szCs w:val="22"/>
          <w:lang w:val="en-US"/>
        </w:rPr>
        <w:t>in the same class.</w:t>
      </w:r>
    </w:p>
    <w:p w:rsidR="0077380F" w:rsidRPr="007835FF" w:rsidRDefault="0077380F" w:rsidP="000961AD">
      <w:pPr>
        <w:spacing w:after="240"/>
        <w:jc w:val="both"/>
        <w:rPr>
          <w:rFonts w:ascii="Arial" w:hAnsi="Arial" w:cs="Arial"/>
          <w:b/>
          <w:sz w:val="22"/>
          <w:szCs w:val="22"/>
        </w:rPr>
      </w:pPr>
      <w:r w:rsidRPr="007835FF">
        <w:rPr>
          <w:rFonts w:ascii="Arial" w:hAnsi="Arial" w:cs="Arial"/>
          <w:b/>
          <w:sz w:val="22"/>
          <w:szCs w:val="22"/>
        </w:rPr>
        <w:t xml:space="preserve">DOSAGE </w:t>
      </w:r>
      <w:smartTag w:uri="urn:schemas-microsoft-com:office:smarttags" w:element="stockticker">
        <w:r w:rsidRPr="007835FF">
          <w:rPr>
            <w:rFonts w:ascii="Arial" w:hAnsi="Arial" w:cs="Arial"/>
            <w:b/>
            <w:sz w:val="22"/>
            <w:szCs w:val="22"/>
          </w:rPr>
          <w:t>AND</w:t>
        </w:r>
      </w:smartTag>
      <w:r w:rsidRPr="007835FF">
        <w:rPr>
          <w:rFonts w:ascii="Arial" w:hAnsi="Arial" w:cs="Arial"/>
          <w:b/>
          <w:sz w:val="22"/>
          <w:szCs w:val="22"/>
        </w:rPr>
        <w:t xml:space="preserve"> ADMINISTRATION</w:t>
      </w:r>
    </w:p>
    <w:p w:rsidR="00D05EDE" w:rsidRPr="005E61A1" w:rsidRDefault="00B96172" w:rsidP="000961AD">
      <w:pPr>
        <w:spacing w:after="240"/>
        <w:rPr>
          <w:rFonts w:ascii="Arial" w:eastAsia="MS Mincho" w:hAnsi="Arial" w:cs="Arial"/>
          <w:sz w:val="22"/>
          <w:szCs w:val="22"/>
        </w:rPr>
      </w:pPr>
      <w:proofErr w:type="spellStart"/>
      <w:r>
        <w:rPr>
          <w:rFonts w:ascii="Arial" w:eastAsia="MS Mincho" w:hAnsi="Arial" w:cs="Arial"/>
          <w:sz w:val="22"/>
          <w:szCs w:val="22"/>
        </w:rPr>
        <w:t>Breo</w:t>
      </w:r>
      <w:proofErr w:type="spellEnd"/>
      <w:r>
        <w:rPr>
          <w:rFonts w:ascii="Arial" w:eastAsia="MS Mincho" w:hAnsi="Arial" w:cs="Arial"/>
          <w:sz w:val="22"/>
          <w:szCs w:val="22"/>
        </w:rPr>
        <w:t xml:space="preserve"> </w:t>
      </w:r>
      <w:proofErr w:type="spellStart"/>
      <w:r>
        <w:rPr>
          <w:rFonts w:ascii="Arial" w:eastAsia="MS Mincho" w:hAnsi="Arial" w:cs="Arial"/>
          <w:sz w:val="22"/>
          <w:szCs w:val="22"/>
        </w:rPr>
        <w:t>Ellipta</w:t>
      </w:r>
      <w:proofErr w:type="spellEnd"/>
      <w:r w:rsidR="00D05EDE" w:rsidRPr="005E61A1">
        <w:rPr>
          <w:rFonts w:ascii="Arial" w:eastAsia="MS Mincho" w:hAnsi="Arial" w:cs="Arial"/>
          <w:sz w:val="22"/>
          <w:szCs w:val="22"/>
        </w:rPr>
        <w:t xml:space="preserve"> is for inhalation only.</w:t>
      </w:r>
    </w:p>
    <w:p w:rsidR="00D05EDE" w:rsidRPr="005E61A1" w:rsidRDefault="00B96172" w:rsidP="000961AD">
      <w:pPr>
        <w:spacing w:after="240"/>
        <w:rPr>
          <w:rFonts w:ascii="Arial" w:eastAsia="MS Mincho" w:hAnsi="Arial" w:cs="Arial"/>
          <w:sz w:val="22"/>
          <w:szCs w:val="22"/>
        </w:rPr>
      </w:pPr>
      <w:proofErr w:type="spellStart"/>
      <w:r>
        <w:rPr>
          <w:rFonts w:ascii="Arial" w:eastAsia="MS Mincho" w:hAnsi="Arial" w:cs="Arial"/>
          <w:sz w:val="22"/>
          <w:szCs w:val="22"/>
        </w:rPr>
        <w:t>Breo</w:t>
      </w:r>
      <w:proofErr w:type="spellEnd"/>
      <w:r>
        <w:rPr>
          <w:rFonts w:ascii="Arial" w:eastAsia="MS Mincho" w:hAnsi="Arial" w:cs="Arial"/>
          <w:sz w:val="22"/>
          <w:szCs w:val="22"/>
        </w:rPr>
        <w:t xml:space="preserve"> </w:t>
      </w:r>
      <w:proofErr w:type="spellStart"/>
      <w:r>
        <w:rPr>
          <w:rFonts w:ascii="Arial" w:eastAsia="MS Mincho" w:hAnsi="Arial" w:cs="Arial"/>
          <w:sz w:val="22"/>
          <w:szCs w:val="22"/>
        </w:rPr>
        <w:t>Ellipta</w:t>
      </w:r>
      <w:proofErr w:type="spellEnd"/>
      <w:r>
        <w:rPr>
          <w:rFonts w:ascii="Arial" w:eastAsia="MS Mincho" w:hAnsi="Arial" w:cs="Arial"/>
          <w:sz w:val="22"/>
          <w:szCs w:val="22"/>
        </w:rPr>
        <w:t xml:space="preserve"> </w:t>
      </w:r>
      <w:r w:rsidR="00D05EDE" w:rsidRPr="005E61A1">
        <w:rPr>
          <w:rFonts w:ascii="Arial" w:hAnsi="Arial" w:cs="Arial"/>
          <w:sz w:val="22"/>
          <w:szCs w:val="22"/>
        </w:rPr>
        <w:t xml:space="preserve">should be administered once daily either </w:t>
      </w:r>
      <w:r w:rsidR="00D05EDE" w:rsidRPr="005E61A1">
        <w:rPr>
          <w:rFonts w:ascii="Arial" w:eastAsia="MS Mincho" w:hAnsi="Arial" w:cs="Arial"/>
          <w:sz w:val="22"/>
          <w:szCs w:val="22"/>
        </w:rPr>
        <w:t>morning or evening</w:t>
      </w:r>
      <w:r w:rsidR="00D05EDE" w:rsidRPr="005E61A1">
        <w:rPr>
          <w:rFonts w:ascii="Arial" w:hAnsi="Arial" w:cs="Arial"/>
          <w:sz w:val="22"/>
          <w:szCs w:val="22"/>
        </w:rPr>
        <w:t xml:space="preserve"> but at the same time every day.</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After inhalation, the patient should rinse their mouth with water without swallowing.</w:t>
      </w:r>
    </w:p>
    <w:p w:rsidR="00D05EDE" w:rsidRPr="005E61A1" w:rsidRDefault="005E61A1" w:rsidP="000961AD">
      <w:pPr>
        <w:spacing w:after="240"/>
        <w:rPr>
          <w:rFonts w:ascii="Arial" w:eastAsia="MS Mincho" w:hAnsi="Arial" w:cs="Arial"/>
          <w:b/>
          <w:sz w:val="22"/>
          <w:szCs w:val="22"/>
          <w:lang w:val="en-US" w:eastAsia="en-US"/>
        </w:rPr>
      </w:pPr>
      <w:r>
        <w:rPr>
          <w:rFonts w:ascii="Arial" w:eastAsia="MS Mincho" w:hAnsi="Arial" w:cs="Arial"/>
          <w:b/>
          <w:sz w:val="22"/>
          <w:szCs w:val="22"/>
          <w:lang w:val="en-US" w:eastAsia="en-US"/>
        </w:rPr>
        <w:t>Asthma</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Patients should be made aware that </w:t>
      </w:r>
      <w:proofErr w:type="spellStart"/>
      <w:r w:rsidR="00B96172">
        <w:rPr>
          <w:rFonts w:ascii="Arial" w:eastAsia="MS Mincho" w:hAnsi="Arial" w:cs="Arial"/>
          <w:sz w:val="22"/>
          <w:szCs w:val="22"/>
        </w:rPr>
        <w:t>Breo</w:t>
      </w:r>
      <w:proofErr w:type="spellEnd"/>
      <w:r w:rsidR="00B96172">
        <w:rPr>
          <w:rFonts w:ascii="Arial" w:eastAsia="MS Mincho" w:hAnsi="Arial" w:cs="Arial"/>
          <w:sz w:val="22"/>
          <w:szCs w:val="22"/>
        </w:rPr>
        <w:t xml:space="preserve"> </w:t>
      </w:r>
      <w:proofErr w:type="spellStart"/>
      <w:r w:rsidR="00B96172">
        <w:rPr>
          <w:rFonts w:ascii="Arial" w:eastAsia="MS Mincho" w:hAnsi="Arial" w:cs="Arial"/>
          <w:sz w:val="22"/>
          <w:szCs w:val="22"/>
        </w:rPr>
        <w:t>Ellipta</w:t>
      </w:r>
      <w:proofErr w:type="spellEnd"/>
      <w:r w:rsidRPr="005E61A1">
        <w:rPr>
          <w:rFonts w:ascii="Arial" w:hAnsi="Arial" w:cs="Arial"/>
          <w:sz w:val="22"/>
          <w:szCs w:val="22"/>
        </w:rPr>
        <w:t xml:space="preserve"> must be used regularly, even when asymptomatic.</w:t>
      </w:r>
    </w:p>
    <w:p w:rsidR="00D05EDE" w:rsidRPr="005E61A1" w:rsidRDefault="00D05EDE" w:rsidP="000961AD">
      <w:pPr>
        <w:spacing w:after="240"/>
        <w:rPr>
          <w:rFonts w:ascii="Arial" w:eastAsia="MS Mincho" w:hAnsi="Arial" w:cs="Arial"/>
          <w:sz w:val="22"/>
          <w:szCs w:val="22"/>
        </w:rPr>
      </w:pPr>
      <w:r w:rsidRPr="005E61A1">
        <w:rPr>
          <w:rFonts w:ascii="Arial" w:hAnsi="Arial" w:cs="Arial"/>
          <w:sz w:val="22"/>
          <w:szCs w:val="22"/>
        </w:rPr>
        <w:t>If symptoms arise in the period between doses, an inhaled, short-acting beta</w:t>
      </w:r>
      <w:r w:rsidRPr="005E61A1">
        <w:rPr>
          <w:rFonts w:ascii="Arial" w:hAnsi="Arial" w:cs="Arial"/>
          <w:sz w:val="22"/>
          <w:szCs w:val="22"/>
          <w:vertAlign w:val="subscript"/>
        </w:rPr>
        <w:t>2</w:t>
      </w:r>
      <w:r w:rsidRPr="005E61A1">
        <w:rPr>
          <w:rFonts w:ascii="Arial" w:hAnsi="Arial" w:cs="Arial"/>
          <w:sz w:val="22"/>
          <w:szCs w:val="22"/>
        </w:rPr>
        <w:t>-agonist should</w:t>
      </w:r>
      <w:r w:rsidR="00F2728C">
        <w:rPr>
          <w:rFonts w:ascii="Arial" w:hAnsi="Arial" w:cs="Arial"/>
          <w:sz w:val="22"/>
          <w:szCs w:val="22"/>
        </w:rPr>
        <w:t xml:space="preserve"> be taken for immediate relief.</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 xml:space="preserve">Patients should be regularly reassessed by a healthcare professional so that the strength of </w:t>
      </w:r>
      <w:proofErr w:type="spellStart"/>
      <w:r w:rsidR="00B96172">
        <w:rPr>
          <w:rFonts w:ascii="Arial" w:eastAsia="MS Mincho" w:hAnsi="Arial" w:cs="Arial"/>
          <w:sz w:val="22"/>
          <w:szCs w:val="22"/>
        </w:rPr>
        <w:t>Breo</w:t>
      </w:r>
      <w:proofErr w:type="spellEnd"/>
      <w:r w:rsidR="00B96172">
        <w:rPr>
          <w:rFonts w:ascii="Arial" w:eastAsia="MS Mincho" w:hAnsi="Arial" w:cs="Arial"/>
          <w:sz w:val="22"/>
          <w:szCs w:val="22"/>
        </w:rPr>
        <w:t xml:space="preserve"> </w:t>
      </w:r>
      <w:proofErr w:type="spellStart"/>
      <w:r w:rsidR="00B96172">
        <w:rPr>
          <w:rFonts w:ascii="Arial" w:eastAsia="MS Mincho" w:hAnsi="Arial" w:cs="Arial"/>
          <w:sz w:val="22"/>
          <w:szCs w:val="22"/>
        </w:rPr>
        <w:t>Ellipta</w:t>
      </w:r>
      <w:proofErr w:type="spellEnd"/>
      <w:r w:rsidR="00B96172">
        <w:rPr>
          <w:rFonts w:ascii="Arial" w:eastAsia="MS Mincho" w:hAnsi="Arial" w:cs="Arial"/>
          <w:sz w:val="22"/>
          <w:szCs w:val="22"/>
        </w:rPr>
        <w:t xml:space="preserve"> </w:t>
      </w:r>
      <w:r w:rsidRPr="005E61A1">
        <w:rPr>
          <w:rFonts w:ascii="Arial" w:hAnsi="Arial" w:cs="Arial"/>
          <w:sz w:val="22"/>
          <w:szCs w:val="22"/>
        </w:rPr>
        <w:t>they are receiving remains optimal and is only changed on medical advice.</w:t>
      </w:r>
      <w:r w:rsidR="00663F74">
        <w:rPr>
          <w:rFonts w:ascii="Arial" w:hAnsi="Arial" w:cs="Arial"/>
          <w:sz w:val="22"/>
          <w:szCs w:val="22"/>
        </w:rPr>
        <w:t xml:space="preserve"> To minimise adverse reactions, inhaled corticosteroids should be used at the lowest dose that maintains symptom control.</w:t>
      </w:r>
    </w:p>
    <w:p w:rsidR="00D05EDE" w:rsidRPr="005E61A1" w:rsidRDefault="00D05EDE" w:rsidP="000961AD">
      <w:pPr>
        <w:pStyle w:val="NoNumHead2"/>
        <w:spacing w:before="0"/>
        <w:rPr>
          <w:b w:val="0"/>
          <w:sz w:val="22"/>
          <w:szCs w:val="22"/>
          <w:u w:val="single"/>
        </w:rPr>
      </w:pPr>
      <w:r w:rsidRPr="005E61A1">
        <w:rPr>
          <w:b w:val="0"/>
          <w:sz w:val="22"/>
          <w:szCs w:val="22"/>
          <w:u w:val="single"/>
        </w:rPr>
        <w:lastRenderedPageBreak/>
        <w:t>Adults and adolescents aged 12 years and over</w:t>
      </w:r>
    </w:p>
    <w:p w:rsidR="00D05EDE" w:rsidRPr="005E61A1" w:rsidRDefault="00D05EDE" w:rsidP="000961AD">
      <w:pPr>
        <w:pStyle w:val="NoNumHead2"/>
        <w:spacing w:before="0"/>
        <w:rPr>
          <w:b w:val="0"/>
          <w:sz w:val="22"/>
          <w:szCs w:val="22"/>
        </w:rPr>
      </w:pPr>
      <w:r w:rsidRPr="005E61A1">
        <w:rPr>
          <w:b w:val="0"/>
          <w:sz w:val="22"/>
          <w:szCs w:val="22"/>
        </w:rPr>
        <w:t xml:space="preserve">The recommended dose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Pr="005E61A1">
        <w:rPr>
          <w:b w:val="0"/>
          <w:sz w:val="22"/>
          <w:szCs w:val="22"/>
        </w:rPr>
        <w:t xml:space="preserve"> is:</w:t>
      </w:r>
    </w:p>
    <w:p w:rsidR="00D05EDE" w:rsidRPr="005E61A1" w:rsidRDefault="00D05EDE" w:rsidP="000961AD">
      <w:pPr>
        <w:pStyle w:val="NoNumHead2"/>
        <w:spacing w:before="0"/>
        <w:rPr>
          <w:b w:val="0"/>
          <w:sz w:val="22"/>
          <w:szCs w:val="22"/>
        </w:rPr>
      </w:pPr>
      <w:r w:rsidRPr="005E61A1">
        <w:rPr>
          <w:b w:val="0"/>
          <w:sz w:val="22"/>
          <w:szCs w:val="22"/>
        </w:rPr>
        <w:t xml:space="preserve">One inhalation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00B96172">
        <w:rPr>
          <w:rFonts w:eastAsia="MS Mincho"/>
          <w:sz w:val="22"/>
          <w:szCs w:val="22"/>
        </w:rPr>
        <w:t xml:space="preserve"> </w:t>
      </w:r>
      <w:r w:rsidRPr="005E61A1">
        <w:rPr>
          <w:b w:val="0"/>
          <w:sz w:val="22"/>
          <w:szCs w:val="22"/>
        </w:rPr>
        <w:t>100/25 micrograms once daily</w:t>
      </w:r>
    </w:p>
    <w:p w:rsidR="00D05EDE" w:rsidRPr="005E61A1" w:rsidRDefault="00D05EDE" w:rsidP="000961AD">
      <w:pPr>
        <w:spacing w:after="240"/>
        <w:rPr>
          <w:rFonts w:ascii="Arial" w:hAnsi="Arial" w:cs="Arial"/>
          <w:sz w:val="22"/>
          <w:szCs w:val="22"/>
        </w:rPr>
      </w:pPr>
      <w:r w:rsidRPr="005E61A1">
        <w:rPr>
          <w:rFonts w:ascii="Arial" w:hAnsi="Arial" w:cs="Arial"/>
          <w:sz w:val="22"/>
          <w:szCs w:val="22"/>
        </w:rPr>
        <w:t>or</w:t>
      </w:r>
    </w:p>
    <w:p w:rsidR="00D05EDE" w:rsidRPr="005E61A1" w:rsidRDefault="00D05EDE" w:rsidP="000961AD">
      <w:pPr>
        <w:pStyle w:val="NoNumHead2"/>
        <w:keepNext w:val="0"/>
        <w:spacing w:before="0"/>
        <w:rPr>
          <w:b w:val="0"/>
          <w:sz w:val="22"/>
          <w:szCs w:val="22"/>
        </w:rPr>
      </w:pPr>
      <w:r w:rsidRPr="005E61A1">
        <w:rPr>
          <w:b w:val="0"/>
          <w:sz w:val="22"/>
          <w:szCs w:val="22"/>
        </w:rPr>
        <w:t xml:space="preserve">One inhalation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00B96172" w:rsidRPr="005E61A1" w:rsidDel="00B96172">
        <w:rPr>
          <w:b w:val="0"/>
          <w:sz w:val="22"/>
          <w:szCs w:val="22"/>
        </w:rPr>
        <w:t xml:space="preserve"> </w:t>
      </w:r>
      <w:r w:rsidRPr="005E61A1">
        <w:rPr>
          <w:b w:val="0"/>
          <w:sz w:val="22"/>
          <w:szCs w:val="22"/>
        </w:rPr>
        <w:t>200/25 micrograms once daily</w:t>
      </w:r>
    </w:p>
    <w:p w:rsidR="00D05EDE" w:rsidRPr="005E61A1" w:rsidRDefault="00D05EDE" w:rsidP="000961AD">
      <w:pPr>
        <w:pStyle w:val="NoNumHead2"/>
        <w:keepNext w:val="0"/>
        <w:spacing w:before="0"/>
        <w:rPr>
          <w:b w:val="0"/>
          <w:sz w:val="22"/>
          <w:szCs w:val="22"/>
        </w:rPr>
      </w:pPr>
      <w:r w:rsidRPr="005E61A1">
        <w:rPr>
          <w:b w:val="0"/>
          <w:sz w:val="22"/>
          <w:szCs w:val="22"/>
        </w:rPr>
        <w:t xml:space="preserve">A starting dose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00B96172" w:rsidRPr="005E61A1" w:rsidDel="00B96172">
        <w:rPr>
          <w:b w:val="0"/>
          <w:sz w:val="22"/>
          <w:szCs w:val="22"/>
        </w:rPr>
        <w:t xml:space="preserve"> </w:t>
      </w:r>
      <w:r w:rsidRPr="005E61A1">
        <w:rPr>
          <w:b w:val="0"/>
          <w:sz w:val="22"/>
          <w:szCs w:val="22"/>
        </w:rPr>
        <w:t xml:space="preserve">100/25 micrograms should be considered for patients who require a </w:t>
      </w:r>
      <w:proofErr w:type="spellStart"/>
      <w:r w:rsidRPr="005E61A1">
        <w:rPr>
          <w:b w:val="0"/>
          <w:sz w:val="22"/>
          <w:szCs w:val="22"/>
        </w:rPr>
        <w:t>mid dose</w:t>
      </w:r>
      <w:proofErr w:type="spellEnd"/>
      <w:r w:rsidRPr="005E61A1">
        <w:rPr>
          <w:b w:val="0"/>
          <w:sz w:val="22"/>
          <w:szCs w:val="22"/>
        </w:rPr>
        <w:t xml:space="preserve"> of inhaled corticosteroid in combination with a long acting beta</w:t>
      </w:r>
      <w:r w:rsidRPr="005E61A1">
        <w:rPr>
          <w:b w:val="0"/>
          <w:sz w:val="22"/>
          <w:szCs w:val="22"/>
          <w:vertAlign w:val="subscript"/>
        </w:rPr>
        <w:t>2</w:t>
      </w:r>
      <w:r w:rsidRPr="005E61A1">
        <w:rPr>
          <w:b w:val="0"/>
          <w:sz w:val="22"/>
          <w:szCs w:val="22"/>
        </w:rPr>
        <w:t xml:space="preserve">-agonist. </w:t>
      </w:r>
    </w:p>
    <w:p w:rsidR="00D05EDE" w:rsidRPr="005E61A1" w:rsidRDefault="00B96172" w:rsidP="000961AD">
      <w:pPr>
        <w:spacing w:after="240"/>
        <w:rPr>
          <w:rFonts w:ascii="Arial" w:hAnsi="Arial" w:cs="Arial"/>
          <w:sz w:val="22"/>
          <w:szCs w:val="22"/>
        </w:rPr>
      </w:pPr>
      <w:proofErr w:type="spellStart"/>
      <w:r w:rsidRPr="00B96172">
        <w:rPr>
          <w:rFonts w:ascii="Arial" w:eastAsia="MS Mincho" w:hAnsi="Arial" w:cs="Arial"/>
          <w:sz w:val="22"/>
          <w:szCs w:val="22"/>
        </w:rPr>
        <w:t>Breo</w:t>
      </w:r>
      <w:proofErr w:type="spellEnd"/>
      <w:r w:rsidRPr="00B96172">
        <w:rPr>
          <w:rFonts w:ascii="Arial" w:eastAsia="MS Mincho" w:hAnsi="Arial" w:cs="Arial"/>
          <w:sz w:val="22"/>
          <w:szCs w:val="22"/>
        </w:rPr>
        <w:t xml:space="preserve"> </w:t>
      </w:r>
      <w:proofErr w:type="spellStart"/>
      <w:r w:rsidRPr="00B96172">
        <w:rPr>
          <w:rFonts w:ascii="Arial" w:eastAsia="MS Mincho" w:hAnsi="Arial" w:cs="Arial"/>
          <w:sz w:val="22"/>
          <w:szCs w:val="22"/>
        </w:rPr>
        <w:t>Ellipta</w:t>
      </w:r>
      <w:proofErr w:type="spellEnd"/>
      <w:r w:rsidRPr="005E61A1" w:rsidDel="00B96172">
        <w:rPr>
          <w:rFonts w:ascii="Arial" w:hAnsi="Arial" w:cs="Arial"/>
          <w:sz w:val="22"/>
          <w:szCs w:val="22"/>
        </w:rPr>
        <w:t xml:space="preserve"> </w:t>
      </w:r>
      <w:r w:rsidR="00D05EDE" w:rsidRPr="005E61A1">
        <w:rPr>
          <w:rFonts w:ascii="Arial" w:hAnsi="Arial" w:cs="Arial"/>
          <w:sz w:val="22"/>
          <w:szCs w:val="22"/>
        </w:rPr>
        <w:t>200/25 micrograms should be considered for patients who require a higher dose of inhaled corticosteroid in combination with a long acting beta</w:t>
      </w:r>
      <w:r w:rsidR="00D05EDE" w:rsidRPr="005E61A1">
        <w:rPr>
          <w:rFonts w:ascii="Arial" w:hAnsi="Arial" w:cs="Arial"/>
          <w:sz w:val="22"/>
          <w:szCs w:val="22"/>
          <w:vertAlign w:val="subscript"/>
        </w:rPr>
        <w:t>2</w:t>
      </w:r>
      <w:r w:rsidR="00D05EDE" w:rsidRPr="005E61A1">
        <w:rPr>
          <w:rFonts w:ascii="Arial" w:hAnsi="Arial" w:cs="Arial"/>
          <w:sz w:val="22"/>
          <w:szCs w:val="22"/>
        </w:rPr>
        <w:t>-agonist.</w:t>
      </w:r>
    </w:p>
    <w:p w:rsidR="00D05EDE" w:rsidRDefault="00D05EDE" w:rsidP="000961AD">
      <w:pPr>
        <w:spacing w:after="240"/>
        <w:rPr>
          <w:rFonts w:ascii="Arial" w:hAnsi="Arial" w:cs="Arial"/>
          <w:sz w:val="22"/>
          <w:szCs w:val="22"/>
        </w:rPr>
      </w:pPr>
      <w:r w:rsidRPr="005E61A1">
        <w:rPr>
          <w:rFonts w:ascii="Arial" w:hAnsi="Arial" w:cs="Arial"/>
          <w:sz w:val="22"/>
          <w:szCs w:val="22"/>
        </w:rPr>
        <w:t xml:space="preserve">If patients are inadequately controlled on </w:t>
      </w:r>
      <w:proofErr w:type="spellStart"/>
      <w:r w:rsidR="00B96172" w:rsidRPr="00B96172">
        <w:rPr>
          <w:rFonts w:ascii="Arial" w:eastAsia="MS Mincho" w:hAnsi="Arial" w:cs="Arial"/>
          <w:sz w:val="22"/>
          <w:szCs w:val="22"/>
        </w:rPr>
        <w:t>Breo</w:t>
      </w:r>
      <w:proofErr w:type="spellEnd"/>
      <w:r w:rsidR="00B96172" w:rsidRPr="00B96172">
        <w:rPr>
          <w:rFonts w:ascii="Arial" w:eastAsia="MS Mincho" w:hAnsi="Arial" w:cs="Arial"/>
          <w:sz w:val="22"/>
          <w:szCs w:val="22"/>
        </w:rPr>
        <w:t xml:space="preserve"> </w:t>
      </w:r>
      <w:proofErr w:type="spellStart"/>
      <w:r w:rsidR="00B96172" w:rsidRPr="00B96172">
        <w:rPr>
          <w:rFonts w:ascii="Arial" w:eastAsia="MS Mincho" w:hAnsi="Arial" w:cs="Arial"/>
          <w:sz w:val="22"/>
          <w:szCs w:val="22"/>
        </w:rPr>
        <w:t>Ellipta</w:t>
      </w:r>
      <w:proofErr w:type="spellEnd"/>
      <w:r w:rsidR="00B96172" w:rsidRPr="005E61A1" w:rsidDel="00B96172">
        <w:rPr>
          <w:rFonts w:ascii="Arial" w:hAnsi="Arial" w:cs="Arial"/>
          <w:sz w:val="22"/>
          <w:szCs w:val="22"/>
        </w:rPr>
        <w:t xml:space="preserve"> </w:t>
      </w:r>
      <w:r w:rsidRPr="005E61A1">
        <w:rPr>
          <w:rFonts w:ascii="Arial" w:hAnsi="Arial" w:cs="Arial"/>
          <w:sz w:val="22"/>
          <w:szCs w:val="22"/>
        </w:rPr>
        <w:t>100/25 micrograms, consider increasing the dose to 200/25 micrograms, which may provide additional improvement in asthma control.</w:t>
      </w:r>
    </w:p>
    <w:p w:rsidR="001D53A3" w:rsidRPr="00A12229" w:rsidRDefault="001D53A3" w:rsidP="001D53A3">
      <w:pPr>
        <w:pStyle w:val="Caption"/>
        <w:keepNext/>
      </w:pPr>
      <w:r>
        <w:t xml:space="preserve">Table </w:t>
      </w:r>
      <w:r>
        <w:fldChar w:fldCharType="begin"/>
      </w:r>
      <w:r>
        <w:instrText xml:space="preserve"> SEQ Table \* ARABIC </w:instrText>
      </w:r>
      <w:r>
        <w:fldChar w:fldCharType="separate"/>
      </w:r>
      <w:r w:rsidR="00F24906">
        <w:rPr>
          <w:noProof/>
        </w:rPr>
        <w:t>5</w:t>
      </w:r>
      <w:r>
        <w:fldChar w:fldCharType="end"/>
      </w:r>
      <w:r>
        <w:t xml:space="preserve"> </w:t>
      </w:r>
      <w:r w:rsidRPr="00A12229">
        <w:rPr>
          <w:iCs/>
        </w:rPr>
        <w:t xml:space="preserve">Recommended Doses of </w:t>
      </w:r>
      <w:proofErr w:type="spellStart"/>
      <w:r w:rsidR="002F614C">
        <w:rPr>
          <w:iCs/>
        </w:rPr>
        <w:t>Breo</w:t>
      </w:r>
      <w:proofErr w:type="spellEnd"/>
      <w:r w:rsidRPr="00A12229">
        <w:rPr>
          <w:iCs/>
        </w:rPr>
        <w:t xml:space="preserve"> </w:t>
      </w:r>
      <w:proofErr w:type="spellStart"/>
      <w:r w:rsidR="00B96172">
        <w:rPr>
          <w:iCs/>
        </w:rPr>
        <w:t>Ellipta</w:t>
      </w:r>
      <w:proofErr w:type="spellEnd"/>
      <w:r w:rsidR="00B96172">
        <w:rPr>
          <w:iCs/>
        </w:rPr>
        <w:t xml:space="preserve"> </w:t>
      </w:r>
      <w:r w:rsidRPr="00A12229">
        <w:rPr>
          <w:iCs/>
        </w:rPr>
        <w:t>for asthma patients on existing therapies</w:t>
      </w:r>
    </w:p>
    <w:tbl>
      <w:tblPr>
        <w:tblW w:w="9108" w:type="dxa"/>
        <w:tblCellMar>
          <w:left w:w="0" w:type="dxa"/>
          <w:right w:w="0" w:type="dxa"/>
        </w:tblCellMar>
        <w:tblLook w:val="04A0" w:firstRow="1" w:lastRow="0" w:firstColumn="1" w:lastColumn="0" w:noHBand="0" w:noVBand="1"/>
      </w:tblPr>
      <w:tblGrid>
        <w:gridCol w:w="6487"/>
        <w:gridCol w:w="2621"/>
      </w:tblGrid>
      <w:tr w:rsidR="001D53A3" w:rsidRPr="00A12229" w:rsidTr="0024385B">
        <w:tc>
          <w:tcPr>
            <w:tcW w:w="6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53A3" w:rsidRPr="00A12229" w:rsidRDefault="001D53A3" w:rsidP="0024385B">
            <w:pPr>
              <w:keepNext/>
              <w:jc w:val="center"/>
              <w:rPr>
                <w:rFonts w:ascii="Arial" w:eastAsia="Calibri" w:hAnsi="Arial" w:cs="Arial"/>
                <w:b/>
                <w:iCs/>
                <w:sz w:val="22"/>
              </w:rPr>
            </w:pPr>
            <w:r w:rsidRPr="00A12229">
              <w:rPr>
                <w:rFonts w:ascii="Arial" w:hAnsi="Arial" w:cs="Arial"/>
                <w:b/>
                <w:iCs/>
                <w:sz w:val="22"/>
              </w:rPr>
              <w:t>Existing therapy</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3A3" w:rsidRPr="00A12229" w:rsidRDefault="001D53A3" w:rsidP="0024385B">
            <w:pPr>
              <w:keepNext/>
              <w:jc w:val="center"/>
              <w:rPr>
                <w:rFonts w:ascii="Arial" w:eastAsia="Calibri" w:hAnsi="Arial" w:cs="Arial"/>
                <w:b/>
                <w:iCs/>
                <w:sz w:val="22"/>
              </w:rPr>
            </w:pPr>
            <w:r w:rsidRPr="00A12229">
              <w:rPr>
                <w:rFonts w:ascii="Arial" w:hAnsi="Arial" w:cs="Arial"/>
                <w:b/>
                <w:iCs/>
                <w:sz w:val="22"/>
              </w:rPr>
              <w:t>Recommended Dose</w:t>
            </w:r>
          </w:p>
        </w:tc>
      </w:tr>
      <w:tr w:rsidR="001D53A3" w:rsidRPr="00A12229" w:rsidTr="0024385B">
        <w:tc>
          <w:tcPr>
            <w:tcW w:w="6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53A3" w:rsidRPr="00A12229" w:rsidRDefault="001D53A3" w:rsidP="0024385B">
            <w:pPr>
              <w:keepNext/>
              <w:rPr>
                <w:rFonts w:ascii="Arial" w:hAnsi="Arial" w:cs="Arial"/>
                <w:iCs/>
                <w:color w:val="000000"/>
                <w:sz w:val="22"/>
              </w:rPr>
            </w:pPr>
            <w:r w:rsidRPr="00A12229">
              <w:rPr>
                <w:rFonts w:ascii="Arial" w:hAnsi="Arial" w:cs="Arial"/>
                <w:iCs/>
                <w:color w:val="000000"/>
                <w:sz w:val="22"/>
              </w:rPr>
              <w:t>For patients uncontrolled on FP 100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to FP250</w:t>
            </w:r>
            <w:r>
              <w:rPr>
                <w:rFonts w:ascii="Arial" w:hAnsi="Arial" w:cs="Arial"/>
                <w:iCs/>
                <w:color w:val="000000"/>
                <w:sz w:val="22"/>
              </w:rPr>
              <w:t xml:space="preserve"> </w:t>
            </w:r>
            <w:r w:rsidR="00AC40FD">
              <w:rPr>
                <w:rFonts w:ascii="Arial" w:hAnsi="Arial" w:cs="Arial"/>
                <w:iCs/>
                <w:color w:val="000000"/>
                <w:sz w:val="22"/>
              </w:rPr>
              <w:t xml:space="preserve"> micrograms</w:t>
            </w:r>
            <w:r w:rsidRPr="00A12229">
              <w:rPr>
                <w:rFonts w:ascii="Arial" w:hAnsi="Arial" w:cs="Arial"/>
                <w:iCs/>
                <w:color w:val="000000"/>
                <w:sz w:val="22"/>
              </w:rPr>
              <w:t xml:space="preserve"> twice daily or equivalent (200-400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twice daily of budesonide)</w:t>
            </w:r>
          </w:p>
          <w:p w:rsidR="001D53A3" w:rsidRDefault="001D53A3" w:rsidP="0024385B">
            <w:pPr>
              <w:keepNext/>
              <w:rPr>
                <w:rFonts w:ascii="Arial" w:hAnsi="Arial" w:cs="Arial"/>
                <w:iCs/>
                <w:color w:val="000000"/>
                <w:sz w:val="22"/>
              </w:rPr>
            </w:pPr>
          </w:p>
          <w:p w:rsidR="001D53A3" w:rsidRPr="00A12229" w:rsidRDefault="001D53A3" w:rsidP="0024385B">
            <w:pPr>
              <w:keepNext/>
              <w:rPr>
                <w:rFonts w:ascii="Arial" w:hAnsi="Arial" w:cs="Arial"/>
                <w:iCs/>
                <w:color w:val="000000"/>
                <w:sz w:val="22"/>
              </w:rPr>
            </w:pPr>
            <w:r w:rsidRPr="00A12229">
              <w:rPr>
                <w:rFonts w:ascii="Arial" w:hAnsi="Arial" w:cs="Arial"/>
                <w:iCs/>
                <w:color w:val="000000"/>
                <w:sz w:val="22"/>
              </w:rPr>
              <w:t>For patients uncontrolled on low doses of  LABA/ICS combinations (FP/</w:t>
            </w:r>
            <w:proofErr w:type="spellStart"/>
            <w:r w:rsidRPr="00A12229">
              <w:rPr>
                <w:rFonts w:ascii="Arial" w:hAnsi="Arial" w:cs="Arial"/>
                <w:iCs/>
                <w:color w:val="000000"/>
                <w:sz w:val="22"/>
              </w:rPr>
              <w:t>salmeterol</w:t>
            </w:r>
            <w:proofErr w:type="spellEnd"/>
            <w:r w:rsidRPr="00A12229">
              <w:rPr>
                <w:rFonts w:ascii="Arial" w:hAnsi="Arial" w:cs="Arial"/>
                <w:iCs/>
                <w:color w:val="000000"/>
                <w:sz w:val="22"/>
              </w:rPr>
              <w:t xml:space="preserve"> 100/50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twice daily or Budesonide/</w:t>
            </w:r>
            <w:proofErr w:type="spellStart"/>
            <w:r w:rsidR="005426F1" w:rsidRPr="00A12229">
              <w:rPr>
                <w:rFonts w:ascii="Arial" w:hAnsi="Arial" w:cs="Arial"/>
                <w:iCs/>
                <w:color w:val="000000"/>
                <w:sz w:val="22"/>
              </w:rPr>
              <w:t>eformoterol</w:t>
            </w:r>
            <w:proofErr w:type="spellEnd"/>
            <w:r w:rsidRPr="00A12229">
              <w:rPr>
                <w:rFonts w:ascii="Arial" w:hAnsi="Arial" w:cs="Arial"/>
                <w:iCs/>
                <w:color w:val="000000"/>
                <w:sz w:val="22"/>
              </w:rPr>
              <w:t xml:space="preserve"> 200/6</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one or two actuations twice daily)</w:t>
            </w:r>
          </w:p>
          <w:p w:rsidR="001D53A3" w:rsidRDefault="001D53A3" w:rsidP="0024385B">
            <w:pPr>
              <w:keepNext/>
              <w:rPr>
                <w:rFonts w:ascii="Arial" w:hAnsi="Arial" w:cs="Arial"/>
                <w:iCs/>
                <w:color w:val="000000"/>
                <w:sz w:val="22"/>
              </w:rPr>
            </w:pPr>
          </w:p>
          <w:p w:rsidR="001D53A3" w:rsidRDefault="001D53A3" w:rsidP="0024385B">
            <w:pPr>
              <w:keepNext/>
              <w:rPr>
                <w:rFonts w:ascii="Arial" w:hAnsi="Arial" w:cs="Arial"/>
                <w:iCs/>
                <w:color w:val="000000"/>
                <w:sz w:val="22"/>
              </w:rPr>
            </w:pPr>
            <w:r w:rsidRPr="00CE7F3B">
              <w:rPr>
                <w:rFonts w:ascii="Arial" w:hAnsi="Arial" w:cs="Arial"/>
                <w:iCs/>
                <w:color w:val="000000"/>
                <w:sz w:val="22"/>
              </w:rPr>
              <w:t>For patients controlled on mid doses of LABA/ICS (FP/</w:t>
            </w:r>
            <w:proofErr w:type="spellStart"/>
            <w:r w:rsidRPr="00CE7F3B">
              <w:rPr>
                <w:rFonts w:ascii="Arial" w:hAnsi="Arial" w:cs="Arial"/>
                <w:iCs/>
                <w:color w:val="000000"/>
                <w:sz w:val="22"/>
              </w:rPr>
              <w:t>salmeterol</w:t>
            </w:r>
            <w:proofErr w:type="spellEnd"/>
            <w:r w:rsidRPr="00CE7F3B">
              <w:rPr>
                <w:rFonts w:ascii="Arial" w:hAnsi="Arial" w:cs="Arial"/>
                <w:iCs/>
                <w:color w:val="000000"/>
                <w:sz w:val="22"/>
              </w:rPr>
              <w:t xml:space="preserve"> 250/50 </w:t>
            </w:r>
            <w:r w:rsidR="00AC40FD">
              <w:rPr>
                <w:rFonts w:ascii="Arial" w:hAnsi="Arial" w:cs="Arial"/>
                <w:iCs/>
                <w:color w:val="000000"/>
                <w:sz w:val="22"/>
              </w:rPr>
              <w:t>micrograms</w:t>
            </w:r>
            <w:r w:rsidRPr="00CE7F3B">
              <w:rPr>
                <w:rFonts w:ascii="Arial" w:hAnsi="Arial" w:cs="Arial"/>
                <w:iCs/>
                <w:color w:val="000000"/>
                <w:sz w:val="22"/>
              </w:rPr>
              <w:t xml:space="preserve"> twice daily or budesonide/</w:t>
            </w:r>
            <w:proofErr w:type="spellStart"/>
            <w:r w:rsidR="005426F1" w:rsidRPr="00CE7F3B">
              <w:rPr>
                <w:rFonts w:ascii="Arial" w:hAnsi="Arial" w:cs="Arial"/>
                <w:iCs/>
                <w:color w:val="000000"/>
                <w:sz w:val="22"/>
              </w:rPr>
              <w:t>eformoterol</w:t>
            </w:r>
            <w:proofErr w:type="spellEnd"/>
            <w:r w:rsidRPr="00CE7F3B">
              <w:rPr>
                <w:rFonts w:ascii="Arial" w:hAnsi="Arial" w:cs="Arial"/>
                <w:iCs/>
                <w:color w:val="000000"/>
                <w:sz w:val="22"/>
              </w:rPr>
              <w:t xml:space="preserve"> 200/6 </w:t>
            </w:r>
            <w:r w:rsidR="00AC40FD">
              <w:rPr>
                <w:rFonts w:ascii="Arial" w:hAnsi="Arial" w:cs="Arial"/>
                <w:iCs/>
                <w:color w:val="000000"/>
                <w:sz w:val="22"/>
              </w:rPr>
              <w:t>micrograms</w:t>
            </w:r>
            <w:r w:rsidRPr="00CE7F3B">
              <w:rPr>
                <w:rFonts w:ascii="Arial" w:hAnsi="Arial" w:cs="Arial"/>
                <w:iCs/>
                <w:color w:val="000000"/>
                <w:sz w:val="22"/>
              </w:rPr>
              <w:t xml:space="preserve"> two actuations twice daily)</w:t>
            </w:r>
          </w:p>
          <w:p w:rsidR="001D53A3" w:rsidRPr="00A12229" w:rsidRDefault="001D53A3" w:rsidP="0024385B">
            <w:pPr>
              <w:keepNext/>
              <w:rPr>
                <w:rFonts w:ascii="Arial" w:eastAsia="Calibri" w:hAnsi="Arial" w:cs="Arial"/>
                <w:iCs/>
                <w:sz w:val="22"/>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53A3" w:rsidRPr="00A12229" w:rsidRDefault="002F614C" w:rsidP="0024385B">
            <w:pPr>
              <w:keepNext/>
              <w:rPr>
                <w:rFonts w:ascii="Arial" w:eastAsia="Calibri" w:hAnsi="Arial" w:cs="Arial"/>
                <w:iCs/>
                <w:sz w:val="22"/>
              </w:rPr>
            </w:pPr>
            <w:proofErr w:type="spellStart"/>
            <w:r>
              <w:rPr>
                <w:rFonts w:ascii="Arial" w:hAnsi="Arial" w:cs="Arial"/>
                <w:iCs/>
                <w:color w:val="000000"/>
                <w:sz w:val="22"/>
              </w:rPr>
              <w:t>Breo</w:t>
            </w:r>
            <w:proofErr w:type="spellEnd"/>
            <w:r w:rsidR="00B96172">
              <w:rPr>
                <w:rFonts w:ascii="Arial" w:hAnsi="Arial" w:cs="Arial"/>
                <w:iCs/>
                <w:color w:val="000000"/>
                <w:sz w:val="22"/>
              </w:rPr>
              <w:t xml:space="preserve"> </w:t>
            </w:r>
            <w:proofErr w:type="spellStart"/>
            <w:r w:rsidR="00B96172">
              <w:rPr>
                <w:rFonts w:ascii="Arial" w:hAnsi="Arial" w:cs="Arial"/>
                <w:iCs/>
                <w:color w:val="000000"/>
                <w:sz w:val="22"/>
              </w:rPr>
              <w:t>Ellipta</w:t>
            </w:r>
            <w:proofErr w:type="spellEnd"/>
            <w:r w:rsidR="001D53A3" w:rsidRPr="00A12229">
              <w:rPr>
                <w:rFonts w:ascii="Arial" w:hAnsi="Arial" w:cs="Arial"/>
                <w:iCs/>
                <w:color w:val="000000"/>
                <w:sz w:val="22"/>
              </w:rPr>
              <w:t xml:space="preserve"> 100/25</w:t>
            </w:r>
            <w:r w:rsidR="001D53A3">
              <w:rPr>
                <w:rFonts w:ascii="Arial" w:hAnsi="Arial" w:cs="Arial"/>
                <w:iCs/>
                <w:color w:val="000000"/>
                <w:sz w:val="22"/>
              </w:rPr>
              <w:t xml:space="preserve"> </w:t>
            </w:r>
            <w:r w:rsidR="00AC40FD">
              <w:rPr>
                <w:rFonts w:ascii="Arial" w:hAnsi="Arial" w:cs="Arial"/>
                <w:iCs/>
                <w:color w:val="000000"/>
                <w:sz w:val="22"/>
              </w:rPr>
              <w:t>micrograms</w:t>
            </w:r>
            <w:r w:rsidR="001D53A3" w:rsidRPr="00A12229">
              <w:rPr>
                <w:rFonts w:ascii="Arial" w:hAnsi="Arial" w:cs="Arial"/>
                <w:iCs/>
                <w:color w:val="000000"/>
                <w:sz w:val="22"/>
              </w:rPr>
              <w:t xml:space="preserve"> once daily</w:t>
            </w:r>
          </w:p>
        </w:tc>
      </w:tr>
      <w:tr w:rsidR="001D53A3" w:rsidRPr="00A12229" w:rsidTr="0024385B">
        <w:tc>
          <w:tcPr>
            <w:tcW w:w="6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53A3" w:rsidRPr="00A12229" w:rsidRDefault="001D53A3" w:rsidP="0024385B">
            <w:pPr>
              <w:keepNext/>
              <w:rPr>
                <w:rFonts w:ascii="Arial" w:hAnsi="Arial" w:cs="Arial"/>
                <w:iCs/>
                <w:color w:val="000000"/>
                <w:sz w:val="22"/>
              </w:rPr>
            </w:pPr>
            <w:r w:rsidRPr="00A12229">
              <w:rPr>
                <w:rFonts w:ascii="Arial" w:hAnsi="Arial" w:cs="Arial"/>
                <w:iCs/>
                <w:color w:val="000000"/>
                <w:sz w:val="22"/>
              </w:rPr>
              <w:t>For patients uncontrolled on FP 500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twice daily or equivalent (600-800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twice daily of budesonide)</w:t>
            </w:r>
          </w:p>
          <w:p w:rsidR="001D53A3" w:rsidRDefault="001D53A3" w:rsidP="0024385B">
            <w:pPr>
              <w:keepNext/>
              <w:rPr>
                <w:rFonts w:ascii="Arial" w:hAnsi="Arial" w:cs="Arial"/>
                <w:iCs/>
                <w:color w:val="000000"/>
                <w:sz w:val="22"/>
              </w:rPr>
            </w:pPr>
          </w:p>
          <w:p w:rsidR="001D53A3" w:rsidRPr="00A12229" w:rsidRDefault="001D53A3" w:rsidP="0024385B">
            <w:pPr>
              <w:keepNext/>
              <w:rPr>
                <w:rFonts w:ascii="Arial" w:hAnsi="Arial" w:cs="Arial"/>
                <w:iCs/>
                <w:color w:val="000000"/>
                <w:sz w:val="22"/>
              </w:rPr>
            </w:pPr>
            <w:r w:rsidRPr="00A12229">
              <w:rPr>
                <w:rFonts w:ascii="Arial" w:hAnsi="Arial" w:cs="Arial"/>
                <w:iCs/>
                <w:color w:val="000000"/>
                <w:sz w:val="22"/>
              </w:rPr>
              <w:t>For patients uncontrolled on mid doses of  LABA/ICS combinations (FP/</w:t>
            </w:r>
            <w:proofErr w:type="spellStart"/>
            <w:r w:rsidRPr="00A12229">
              <w:rPr>
                <w:rFonts w:ascii="Arial" w:hAnsi="Arial" w:cs="Arial"/>
                <w:iCs/>
                <w:color w:val="000000"/>
                <w:sz w:val="22"/>
              </w:rPr>
              <w:t>salmeterol</w:t>
            </w:r>
            <w:proofErr w:type="spellEnd"/>
            <w:r w:rsidRPr="00A12229">
              <w:rPr>
                <w:rFonts w:ascii="Arial" w:hAnsi="Arial" w:cs="Arial"/>
                <w:iCs/>
                <w:color w:val="000000"/>
                <w:sz w:val="22"/>
              </w:rPr>
              <w:t xml:space="preserve"> 250/50</w:t>
            </w:r>
            <w:r>
              <w:rPr>
                <w:rFonts w:ascii="Arial" w:hAnsi="Arial" w:cs="Arial"/>
                <w:iCs/>
                <w:color w:val="000000"/>
                <w:sz w:val="22"/>
              </w:rPr>
              <w:t xml:space="preserve"> </w:t>
            </w:r>
            <w:r w:rsidR="00AC40FD">
              <w:rPr>
                <w:rFonts w:ascii="Arial" w:hAnsi="Arial" w:cs="Arial"/>
                <w:iCs/>
                <w:color w:val="000000"/>
                <w:sz w:val="22"/>
              </w:rPr>
              <w:t>micrograms</w:t>
            </w:r>
            <w:r w:rsidRPr="00A12229">
              <w:rPr>
                <w:rFonts w:ascii="Arial" w:hAnsi="Arial" w:cs="Arial"/>
                <w:iCs/>
                <w:color w:val="000000"/>
                <w:sz w:val="22"/>
              </w:rPr>
              <w:t xml:space="preserve"> twice daily or budesonide/</w:t>
            </w:r>
            <w:proofErr w:type="spellStart"/>
            <w:r w:rsidR="005426F1" w:rsidRPr="00A12229">
              <w:rPr>
                <w:rFonts w:ascii="Arial" w:hAnsi="Arial" w:cs="Arial"/>
                <w:iCs/>
                <w:color w:val="000000"/>
                <w:sz w:val="22"/>
              </w:rPr>
              <w:t>eformoterol</w:t>
            </w:r>
            <w:proofErr w:type="spellEnd"/>
            <w:r w:rsidRPr="00A12229">
              <w:rPr>
                <w:rFonts w:ascii="Arial" w:hAnsi="Arial" w:cs="Arial"/>
                <w:iCs/>
                <w:color w:val="000000"/>
                <w:sz w:val="22"/>
              </w:rPr>
              <w:t xml:space="preserve"> </w:t>
            </w:r>
            <w:r w:rsidR="00807A5B" w:rsidRPr="007D3FA2">
              <w:rPr>
                <w:rFonts w:ascii="Arial" w:hAnsi="Arial" w:cs="Arial"/>
                <w:iCs/>
                <w:color w:val="000000"/>
                <w:sz w:val="22"/>
              </w:rPr>
              <w:t>2</w:t>
            </w:r>
            <w:r w:rsidRPr="007D3FA2">
              <w:rPr>
                <w:rFonts w:ascii="Arial" w:hAnsi="Arial" w:cs="Arial"/>
                <w:iCs/>
                <w:color w:val="000000"/>
                <w:sz w:val="22"/>
              </w:rPr>
              <w:t>00/</w:t>
            </w:r>
            <w:r w:rsidR="00807A5B" w:rsidRPr="007D3FA2">
              <w:rPr>
                <w:rFonts w:ascii="Arial" w:hAnsi="Arial" w:cs="Arial"/>
                <w:iCs/>
                <w:color w:val="000000"/>
                <w:sz w:val="22"/>
              </w:rPr>
              <w:t>6</w:t>
            </w:r>
            <w:r w:rsidRPr="007D3FA2">
              <w:rPr>
                <w:rFonts w:ascii="Arial" w:hAnsi="Arial" w:cs="Arial"/>
                <w:iCs/>
                <w:color w:val="000000"/>
                <w:sz w:val="22"/>
              </w:rPr>
              <w:t xml:space="preserve"> </w:t>
            </w:r>
            <w:r w:rsidR="00AC40FD">
              <w:rPr>
                <w:rFonts w:ascii="Arial" w:hAnsi="Arial" w:cs="Arial"/>
                <w:iCs/>
                <w:color w:val="000000"/>
                <w:sz w:val="22"/>
              </w:rPr>
              <w:t>micrograms</w:t>
            </w:r>
            <w:r w:rsidRPr="007D3FA2">
              <w:rPr>
                <w:rFonts w:ascii="Arial" w:hAnsi="Arial" w:cs="Arial"/>
                <w:iCs/>
                <w:color w:val="000000"/>
                <w:sz w:val="22"/>
              </w:rPr>
              <w:t xml:space="preserve"> </w:t>
            </w:r>
            <w:r w:rsidR="00807A5B" w:rsidRPr="007D3FA2">
              <w:rPr>
                <w:rFonts w:ascii="Arial" w:hAnsi="Arial" w:cs="Arial"/>
                <w:iCs/>
                <w:color w:val="000000"/>
                <w:sz w:val="22"/>
              </w:rPr>
              <w:t>two</w:t>
            </w:r>
            <w:r w:rsidRPr="007D3FA2">
              <w:rPr>
                <w:rFonts w:ascii="Arial" w:hAnsi="Arial" w:cs="Arial"/>
                <w:iCs/>
                <w:color w:val="000000"/>
                <w:sz w:val="22"/>
              </w:rPr>
              <w:t xml:space="preserve"> actuation</w:t>
            </w:r>
            <w:r w:rsidR="00807A5B" w:rsidRPr="007D3FA2">
              <w:rPr>
                <w:rFonts w:ascii="Arial" w:hAnsi="Arial" w:cs="Arial"/>
                <w:iCs/>
                <w:color w:val="000000"/>
                <w:sz w:val="22"/>
              </w:rPr>
              <w:t>s</w:t>
            </w:r>
            <w:r w:rsidRPr="007D3FA2">
              <w:rPr>
                <w:rFonts w:ascii="Arial" w:hAnsi="Arial" w:cs="Arial"/>
                <w:iCs/>
                <w:color w:val="000000"/>
                <w:sz w:val="22"/>
              </w:rPr>
              <w:t xml:space="preserve"> twice</w:t>
            </w:r>
            <w:r w:rsidRPr="00A12229">
              <w:rPr>
                <w:rFonts w:ascii="Arial" w:hAnsi="Arial" w:cs="Arial"/>
                <w:iCs/>
                <w:color w:val="000000"/>
                <w:sz w:val="22"/>
              </w:rPr>
              <w:t xml:space="preserve"> daily)</w:t>
            </w:r>
          </w:p>
          <w:p w:rsidR="001D53A3" w:rsidRDefault="001D53A3" w:rsidP="0024385B">
            <w:pPr>
              <w:keepNext/>
              <w:rPr>
                <w:rFonts w:ascii="Arial" w:hAnsi="Arial" w:cs="Arial"/>
                <w:iCs/>
                <w:color w:val="000000"/>
                <w:sz w:val="22"/>
              </w:rPr>
            </w:pPr>
          </w:p>
          <w:p w:rsidR="001D53A3" w:rsidRDefault="001D53A3" w:rsidP="0024385B">
            <w:pPr>
              <w:keepNext/>
              <w:rPr>
                <w:rFonts w:ascii="Arial" w:hAnsi="Arial" w:cs="Arial"/>
                <w:iCs/>
                <w:color w:val="000000"/>
                <w:sz w:val="22"/>
              </w:rPr>
            </w:pPr>
            <w:r w:rsidRPr="00CE7F3B">
              <w:rPr>
                <w:rFonts w:ascii="Arial" w:hAnsi="Arial" w:cs="Arial"/>
                <w:iCs/>
                <w:color w:val="000000"/>
                <w:sz w:val="22"/>
              </w:rPr>
              <w:t>For patients controlled on high dose LABA/ICS combinations (FP/</w:t>
            </w:r>
            <w:proofErr w:type="spellStart"/>
            <w:r w:rsidRPr="00CE7F3B">
              <w:rPr>
                <w:rFonts w:ascii="Arial" w:hAnsi="Arial" w:cs="Arial"/>
                <w:iCs/>
                <w:color w:val="000000"/>
                <w:sz w:val="22"/>
              </w:rPr>
              <w:t>salmeterol</w:t>
            </w:r>
            <w:proofErr w:type="spellEnd"/>
            <w:r w:rsidRPr="00CE7F3B">
              <w:rPr>
                <w:rFonts w:ascii="Arial" w:hAnsi="Arial" w:cs="Arial"/>
                <w:iCs/>
                <w:color w:val="000000"/>
                <w:sz w:val="22"/>
              </w:rPr>
              <w:t xml:space="preserve"> 500/50 </w:t>
            </w:r>
            <w:r w:rsidR="00AC40FD">
              <w:rPr>
                <w:rFonts w:ascii="Arial" w:hAnsi="Arial" w:cs="Arial"/>
                <w:iCs/>
                <w:color w:val="000000"/>
                <w:sz w:val="22"/>
              </w:rPr>
              <w:t>micrograms</w:t>
            </w:r>
            <w:r w:rsidRPr="00CE7F3B">
              <w:rPr>
                <w:rFonts w:ascii="Arial" w:hAnsi="Arial" w:cs="Arial"/>
                <w:iCs/>
                <w:color w:val="000000"/>
                <w:sz w:val="22"/>
              </w:rPr>
              <w:t xml:space="preserve"> twice daily or budesonide/</w:t>
            </w:r>
            <w:proofErr w:type="spellStart"/>
            <w:r w:rsidR="005426F1" w:rsidRPr="00CE7F3B">
              <w:rPr>
                <w:rFonts w:ascii="Arial" w:hAnsi="Arial" w:cs="Arial"/>
                <w:iCs/>
                <w:color w:val="000000"/>
                <w:sz w:val="22"/>
              </w:rPr>
              <w:t>eformoterol</w:t>
            </w:r>
            <w:proofErr w:type="spellEnd"/>
            <w:r w:rsidRPr="00CE7F3B">
              <w:rPr>
                <w:rFonts w:ascii="Arial" w:hAnsi="Arial" w:cs="Arial"/>
                <w:iCs/>
                <w:color w:val="000000"/>
                <w:sz w:val="22"/>
              </w:rPr>
              <w:t xml:space="preserve"> </w:t>
            </w:r>
            <w:r w:rsidRPr="007D3FA2">
              <w:rPr>
                <w:rFonts w:ascii="Arial" w:hAnsi="Arial" w:cs="Arial"/>
                <w:iCs/>
                <w:color w:val="000000"/>
                <w:sz w:val="22"/>
              </w:rPr>
              <w:t xml:space="preserve">400/12 </w:t>
            </w:r>
            <w:r w:rsidR="00AC40FD">
              <w:rPr>
                <w:rFonts w:ascii="Arial" w:hAnsi="Arial" w:cs="Arial"/>
                <w:iCs/>
                <w:color w:val="000000"/>
                <w:sz w:val="22"/>
              </w:rPr>
              <w:t>micrograms</w:t>
            </w:r>
            <w:r w:rsidRPr="007D3FA2">
              <w:rPr>
                <w:rFonts w:ascii="Arial" w:hAnsi="Arial" w:cs="Arial"/>
                <w:iCs/>
                <w:color w:val="000000"/>
                <w:sz w:val="22"/>
              </w:rPr>
              <w:t xml:space="preserve"> </w:t>
            </w:r>
            <w:r w:rsidR="00CE7F3B" w:rsidRPr="007D3FA2">
              <w:rPr>
                <w:rFonts w:ascii="Arial" w:hAnsi="Arial" w:cs="Arial"/>
                <w:iCs/>
                <w:color w:val="000000"/>
                <w:sz w:val="22"/>
              </w:rPr>
              <w:t xml:space="preserve">two </w:t>
            </w:r>
            <w:r w:rsidRPr="007D3FA2">
              <w:rPr>
                <w:rFonts w:ascii="Arial" w:hAnsi="Arial" w:cs="Arial"/>
                <w:iCs/>
                <w:color w:val="000000"/>
                <w:sz w:val="22"/>
              </w:rPr>
              <w:t>actuation</w:t>
            </w:r>
            <w:r w:rsidR="00CE7F3B" w:rsidRPr="007D3FA2">
              <w:rPr>
                <w:rFonts w:ascii="Arial" w:hAnsi="Arial" w:cs="Arial"/>
                <w:iCs/>
                <w:color w:val="000000"/>
                <w:sz w:val="22"/>
              </w:rPr>
              <w:t>s</w:t>
            </w:r>
            <w:r w:rsidRPr="007D3FA2">
              <w:rPr>
                <w:rFonts w:ascii="Arial" w:hAnsi="Arial" w:cs="Arial"/>
                <w:iCs/>
                <w:color w:val="000000"/>
                <w:sz w:val="22"/>
              </w:rPr>
              <w:t xml:space="preserve"> twice</w:t>
            </w:r>
            <w:r w:rsidRPr="00CE7F3B">
              <w:rPr>
                <w:rFonts w:ascii="Arial" w:hAnsi="Arial" w:cs="Arial"/>
                <w:iCs/>
                <w:color w:val="000000"/>
                <w:sz w:val="22"/>
              </w:rPr>
              <w:t xml:space="preserve"> daily)</w:t>
            </w:r>
          </w:p>
          <w:p w:rsidR="001D53A3" w:rsidRPr="00A12229" w:rsidRDefault="001D53A3" w:rsidP="0024385B">
            <w:pPr>
              <w:keepNext/>
              <w:rPr>
                <w:rFonts w:ascii="Arial" w:eastAsia="Calibri" w:hAnsi="Arial" w:cs="Arial"/>
                <w:iCs/>
                <w:sz w:val="22"/>
              </w:rPr>
            </w:pP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53A3" w:rsidRPr="00A12229" w:rsidRDefault="002F614C" w:rsidP="0024385B">
            <w:pPr>
              <w:keepNext/>
              <w:rPr>
                <w:rFonts w:ascii="Arial" w:eastAsia="Calibri" w:hAnsi="Arial" w:cs="Arial"/>
                <w:iCs/>
                <w:sz w:val="22"/>
              </w:rPr>
            </w:pPr>
            <w:proofErr w:type="spellStart"/>
            <w:r>
              <w:rPr>
                <w:rFonts w:ascii="Arial" w:hAnsi="Arial" w:cs="Arial"/>
                <w:iCs/>
                <w:color w:val="000000"/>
                <w:sz w:val="22"/>
              </w:rPr>
              <w:t>Breo</w:t>
            </w:r>
            <w:proofErr w:type="spellEnd"/>
            <w:r w:rsidR="00B96172">
              <w:rPr>
                <w:rFonts w:ascii="Arial" w:hAnsi="Arial" w:cs="Arial"/>
                <w:iCs/>
                <w:color w:val="000000"/>
                <w:sz w:val="22"/>
              </w:rPr>
              <w:t xml:space="preserve"> </w:t>
            </w:r>
            <w:proofErr w:type="spellStart"/>
            <w:r w:rsidR="00B96172">
              <w:rPr>
                <w:rFonts w:ascii="Arial" w:hAnsi="Arial" w:cs="Arial"/>
                <w:iCs/>
                <w:color w:val="000000"/>
                <w:sz w:val="22"/>
              </w:rPr>
              <w:t>Ellipta</w:t>
            </w:r>
            <w:proofErr w:type="spellEnd"/>
            <w:r w:rsidR="001D53A3" w:rsidRPr="00A12229">
              <w:rPr>
                <w:rFonts w:ascii="Arial" w:hAnsi="Arial" w:cs="Arial"/>
                <w:iCs/>
                <w:color w:val="000000"/>
                <w:sz w:val="22"/>
              </w:rPr>
              <w:t>  200/25</w:t>
            </w:r>
            <w:r w:rsidR="001D53A3">
              <w:rPr>
                <w:rFonts w:ascii="Arial" w:hAnsi="Arial" w:cs="Arial"/>
                <w:iCs/>
                <w:color w:val="000000"/>
                <w:sz w:val="22"/>
              </w:rPr>
              <w:t xml:space="preserve"> </w:t>
            </w:r>
            <w:r w:rsidR="00AC40FD">
              <w:rPr>
                <w:rFonts w:ascii="Arial" w:hAnsi="Arial" w:cs="Arial"/>
                <w:iCs/>
                <w:color w:val="000000"/>
                <w:sz w:val="22"/>
              </w:rPr>
              <w:t xml:space="preserve"> micrograms</w:t>
            </w:r>
            <w:r w:rsidR="001D53A3" w:rsidRPr="00A12229">
              <w:rPr>
                <w:rFonts w:ascii="Arial" w:hAnsi="Arial" w:cs="Arial"/>
                <w:iCs/>
                <w:color w:val="000000"/>
                <w:sz w:val="22"/>
              </w:rPr>
              <w:t xml:space="preserve"> once daily</w:t>
            </w:r>
          </w:p>
        </w:tc>
      </w:tr>
    </w:tbl>
    <w:p w:rsidR="00A12229" w:rsidRDefault="00A12229" w:rsidP="000961AD">
      <w:pPr>
        <w:spacing w:after="240"/>
        <w:rPr>
          <w:rFonts w:ascii="Arial" w:hAnsi="Arial" w:cs="Arial"/>
          <w:sz w:val="22"/>
          <w:szCs w:val="22"/>
        </w:rPr>
      </w:pPr>
    </w:p>
    <w:p w:rsidR="005426F1" w:rsidRPr="005426F1" w:rsidRDefault="005426F1" w:rsidP="006756C7">
      <w:pPr>
        <w:spacing w:after="120"/>
        <w:rPr>
          <w:rFonts w:ascii="Arial" w:hAnsi="Arial" w:cs="Arial"/>
          <w:sz w:val="22"/>
          <w:szCs w:val="22"/>
        </w:rPr>
      </w:pPr>
      <w:r w:rsidRPr="005426F1">
        <w:rPr>
          <w:rFonts w:ascii="Arial" w:hAnsi="Arial" w:cs="Arial"/>
          <w:sz w:val="22"/>
          <w:szCs w:val="22"/>
        </w:rPr>
        <w:lastRenderedPageBreak/>
        <w:t xml:space="preserve">Prescribers should be aware that </w:t>
      </w:r>
      <w:r w:rsidR="00663F74">
        <w:rPr>
          <w:rFonts w:ascii="Arial" w:hAnsi="Arial" w:cs="Arial"/>
          <w:sz w:val="22"/>
          <w:szCs w:val="22"/>
        </w:rPr>
        <w:t>100</w:t>
      </w:r>
      <w:r w:rsidR="00AC40FD">
        <w:rPr>
          <w:rFonts w:ascii="Arial" w:hAnsi="Arial" w:cs="Arial"/>
          <w:sz w:val="22"/>
          <w:szCs w:val="22"/>
        </w:rPr>
        <w:t xml:space="preserve"> micrograms</w:t>
      </w:r>
      <w:r w:rsidR="00663F74">
        <w:rPr>
          <w:rFonts w:ascii="Arial" w:hAnsi="Arial" w:cs="Arial"/>
          <w:sz w:val="22"/>
          <w:szCs w:val="22"/>
        </w:rPr>
        <w:t xml:space="preserve"> of fluticasone </w:t>
      </w:r>
      <w:proofErr w:type="spellStart"/>
      <w:r w:rsidR="00663F74">
        <w:rPr>
          <w:rFonts w:ascii="Arial" w:hAnsi="Arial" w:cs="Arial"/>
          <w:sz w:val="22"/>
          <w:szCs w:val="22"/>
        </w:rPr>
        <w:t>furoate</w:t>
      </w:r>
      <w:proofErr w:type="spellEnd"/>
      <w:r w:rsidR="00663F74">
        <w:rPr>
          <w:rFonts w:ascii="Arial" w:hAnsi="Arial" w:cs="Arial"/>
          <w:sz w:val="22"/>
          <w:szCs w:val="22"/>
        </w:rPr>
        <w:t xml:space="preserve"> is a medium dose of inhaled corticosteroid and 200</w:t>
      </w:r>
      <w:r w:rsidR="00AC40FD">
        <w:rPr>
          <w:rFonts w:ascii="Arial" w:hAnsi="Arial" w:cs="Arial"/>
          <w:sz w:val="22"/>
          <w:szCs w:val="22"/>
        </w:rPr>
        <w:t xml:space="preserve"> micrograms</w:t>
      </w:r>
      <w:r w:rsidR="00663F74">
        <w:rPr>
          <w:rFonts w:ascii="Arial" w:hAnsi="Arial" w:cs="Arial"/>
          <w:sz w:val="22"/>
          <w:szCs w:val="22"/>
        </w:rPr>
        <w:t xml:space="preserve"> of fluticasone </w:t>
      </w:r>
      <w:proofErr w:type="spellStart"/>
      <w:r w:rsidR="00663F74">
        <w:rPr>
          <w:rFonts w:ascii="Arial" w:hAnsi="Arial" w:cs="Arial"/>
          <w:sz w:val="22"/>
          <w:szCs w:val="22"/>
        </w:rPr>
        <w:t>furoate</w:t>
      </w:r>
      <w:proofErr w:type="spellEnd"/>
      <w:r w:rsidR="00663F74">
        <w:rPr>
          <w:rFonts w:ascii="Arial" w:hAnsi="Arial" w:cs="Arial"/>
          <w:sz w:val="22"/>
          <w:szCs w:val="22"/>
        </w:rPr>
        <w:t xml:space="preserve"> is a high dose of inhaled corticosteroid.  I</w:t>
      </w:r>
      <w:r w:rsidRPr="005426F1">
        <w:rPr>
          <w:rFonts w:ascii="Arial" w:hAnsi="Arial" w:cs="Arial"/>
          <w:sz w:val="22"/>
          <w:szCs w:val="22"/>
        </w:rPr>
        <w:t xml:space="preserve">n patients with asthma, 100 micrograms of fluticasone </w:t>
      </w:r>
      <w:proofErr w:type="spellStart"/>
      <w:r w:rsidRPr="005426F1">
        <w:rPr>
          <w:rFonts w:ascii="Arial" w:hAnsi="Arial" w:cs="Arial"/>
          <w:sz w:val="22"/>
          <w:szCs w:val="22"/>
        </w:rPr>
        <w:t>furoate</w:t>
      </w:r>
      <w:proofErr w:type="spellEnd"/>
      <w:r w:rsidRPr="005426F1">
        <w:rPr>
          <w:rFonts w:ascii="Arial" w:hAnsi="Arial" w:cs="Arial"/>
          <w:sz w:val="22"/>
          <w:szCs w:val="22"/>
        </w:rPr>
        <w:t xml:space="preserve"> taken once daily produces similar effects to fluticasone propionate 250 micrograms taken twice daily and 200 micrograms of fluticasone </w:t>
      </w:r>
      <w:proofErr w:type="spellStart"/>
      <w:r w:rsidRPr="005426F1">
        <w:rPr>
          <w:rFonts w:ascii="Arial" w:hAnsi="Arial" w:cs="Arial"/>
          <w:sz w:val="22"/>
          <w:szCs w:val="22"/>
        </w:rPr>
        <w:t>furoate</w:t>
      </w:r>
      <w:proofErr w:type="spellEnd"/>
      <w:r w:rsidRPr="005426F1">
        <w:rPr>
          <w:rFonts w:ascii="Arial" w:hAnsi="Arial" w:cs="Arial"/>
          <w:sz w:val="22"/>
          <w:szCs w:val="22"/>
        </w:rPr>
        <w:t xml:space="preserve"> taken once daily produces similar effects to fluticasone propionate 500 micrograms taken twice daily.</w:t>
      </w:r>
    </w:p>
    <w:p w:rsidR="005254D9" w:rsidRPr="006756C7" w:rsidRDefault="005254D9" w:rsidP="006756C7">
      <w:pPr>
        <w:autoSpaceDE w:val="0"/>
        <w:autoSpaceDN w:val="0"/>
        <w:adjustRightInd w:val="0"/>
        <w:spacing w:after="120"/>
        <w:rPr>
          <w:rFonts w:ascii="Arial" w:hAnsi="Arial" w:cs="Arial"/>
          <w:color w:val="000000"/>
          <w:sz w:val="22"/>
          <w:szCs w:val="22"/>
        </w:rPr>
      </w:pPr>
      <w:r w:rsidRPr="006756C7">
        <w:rPr>
          <w:rFonts w:ascii="Arial" w:hAnsi="Arial" w:cs="Arial"/>
          <w:color w:val="000000"/>
          <w:sz w:val="22"/>
          <w:szCs w:val="22"/>
        </w:rPr>
        <w:t xml:space="preserve">To minimise adverse reactions, inhaled corticosteroids should be used at the lowest dose that maintains symptom control.  Patients should be assessed at regular intervals.  In patients whose asthma is well controlled and stable the </w:t>
      </w:r>
      <w:proofErr w:type="spellStart"/>
      <w:r w:rsidRPr="006756C7">
        <w:rPr>
          <w:rFonts w:ascii="Arial" w:hAnsi="Arial" w:cs="Arial"/>
          <w:color w:val="000000"/>
          <w:sz w:val="22"/>
          <w:szCs w:val="22"/>
        </w:rPr>
        <w:t>Breo</w:t>
      </w:r>
      <w:proofErr w:type="spellEnd"/>
      <w:r w:rsidRPr="006756C7">
        <w:rPr>
          <w:rFonts w:ascii="Arial" w:hAnsi="Arial" w:cs="Arial"/>
          <w:color w:val="000000"/>
          <w:sz w:val="22"/>
          <w:szCs w:val="22"/>
        </w:rPr>
        <w:t xml:space="preserve"> </w:t>
      </w:r>
      <w:proofErr w:type="spellStart"/>
      <w:r w:rsidRPr="006756C7">
        <w:rPr>
          <w:rFonts w:ascii="Arial" w:hAnsi="Arial" w:cs="Arial"/>
          <w:color w:val="000000"/>
          <w:sz w:val="22"/>
          <w:szCs w:val="22"/>
        </w:rPr>
        <w:t>Ellipta</w:t>
      </w:r>
      <w:proofErr w:type="spellEnd"/>
      <w:r w:rsidRPr="006756C7">
        <w:rPr>
          <w:rFonts w:ascii="Arial" w:hAnsi="Arial" w:cs="Arial"/>
          <w:color w:val="000000"/>
          <w:sz w:val="22"/>
          <w:szCs w:val="22"/>
        </w:rPr>
        <w:t xml:space="preserve"> dose may carefully </w:t>
      </w:r>
      <w:r w:rsidR="00982839" w:rsidRPr="006756C7">
        <w:rPr>
          <w:rFonts w:ascii="Arial" w:hAnsi="Arial" w:cs="Arial"/>
          <w:color w:val="000000"/>
          <w:sz w:val="22"/>
          <w:szCs w:val="22"/>
        </w:rPr>
        <w:t>be down-</w:t>
      </w:r>
      <w:r w:rsidRPr="006756C7">
        <w:rPr>
          <w:rFonts w:ascii="Arial" w:hAnsi="Arial" w:cs="Arial"/>
          <w:color w:val="000000"/>
          <w:sz w:val="22"/>
          <w:szCs w:val="22"/>
        </w:rPr>
        <w:t xml:space="preserve">titrated to the lowest strength of </w:t>
      </w:r>
      <w:proofErr w:type="spellStart"/>
      <w:r w:rsidRPr="006756C7">
        <w:rPr>
          <w:rFonts w:ascii="Arial" w:hAnsi="Arial" w:cs="Arial"/>
          <w:color w:val="000000"/>
          <w:sz w:val="22"/>
          <w:szCs w:val="22"/>
        </w:rPr>
        <w:t>Breo</w:t>
      </w:r>
      <w:proofErr w:type="spellEnd"/>
      <w:r w:rsidRPr="006756C7">
        <w:rPr>
          <w:rFonts w:ascii="Arial" w:hAnsi="Arial" w:cs="Arial"/>
          <w:color w:val="000000"/>
          <w:sz w:val="22"/>
          <w:szCs w:val="22"/>
        </w:rPr>
        <w:t xml:space="preserve"> </w:t>
      </w:r>
      <w:proofErr w:type="spellStart"/>
      <w:r w:rsidRPr="006756C7">
        <w:rPr>
          <w:rFonts w:ascii="Arial" w:hAnsi="Arial" w:cs="Arial"/>
          <w:color w:val="000000"/>
          <w:sz w:val="22"/>
          <w:szCs w:val="22"/>
        </w:rPr>
        <w:t>Ellipta</w:t>
      </w:r>
      <w:proofErr w:type="spellEnd"/>
      <w:r w:rsidRPr="006756C7">
        <w:rPr>
          <w:rFonts w:ascii="Arial" w:hAnsi="Arial" w:cs="Arial"/>
          <w:color w:val="000000"/>
          <w:sz w:val="22"/>
          <w:szCs w:val="22"/>
        </w:rPr>
        <w:t>.</w:t>
      </w:r>
    </w:p>
    <w:p w:rsidR="005254D9" w:rsidRPr="006756C7" w:rsidRDefault="005254D9" w:rsidP="000961AD">
      <w:pPr>
        <w:autoSpaceDE w:val="0"/>
        <w:autoSpaceDN w:val="0"/>
        <w:adjustRightInd w:val="0"/>
        <w:spacing w:after="240"/>
        <w:rPr>
          <w:rFonts w:ascii="Arial" w:hAnsi="Arial" w:cs="Arial"/>
          <w:color w:val="000000"/>
          <w:sz w:val="22"/>
          <w:szCs w:val="22"/>
        </w:rPr>
      </w:pPr>
      <w:r w:rsidRPr="006756C7">
        <w:rPr>
          <w:rFonts w:ascii="Arial" w:hAnsi="Arial" w:cs="Arial"/>
          <w:color w:val="000000"/>
          <w:sz w:val="22"/>
          <w:szCs w:val="22"/>
        </w:rPr>
        <w:t xml:space="preserve">The next step should consider the cessation of </w:t>
      </w:r>
      <w:proofErr w:type="spellStart"/>
      <w:r w:rsidRPr="006756C7">
        <w:rPr>
          <w:rFonts w:ascii="Arial" w:hAnsi="Arial" w:cs="Arial"/>
          <w:color w:val="000000"/>
          <w:sz w:val="22"/>
          <w:szCs w:val="22"/>
        </w:rPr>
        <w:t>Breo</w:t>
      </w:r>
      <w:proofErr w:type="spellEnd"/>
      <w:r w:rsidRPr="006756C7">
        <w:rPr>
          <w:rFonts w:ascii="Arial" w:hAnsi="Arial" w:cs="Arial"/>
          <w:color w:val="000000"/>
          <w:sz w:val="22"/>
          <w:szCs w:val="22"/>
        </w:rPr>
        <w:t xml:space="preserve"> </w:t>
      </w:r>
      <w:proofErr w:type="spellStart"/>
      <w:r w:rsidRPr="006756C7">
        <w:rPr>
          <w:rFonts w:ascii="Arial" w:hAnsi="Arial" w:cs="Arial"/>
          <w:color w:val="000000"/>
          <w:sz w:val="22"/>
          <w:szCs w:val="22"/>
        </w:rPr>
        <w:t>Ellipta</w:t>
      </w:r>
      <w:proofErr w:type="spellEnd"/>
      <w:r w:rsidRPr="006756C7">
        <w:rPr>
          <w:rFonts w:ascii="Arial" w:hAnsi="Arial" w:cs="Arial"/>
          <w:color w:val="000000"/>
          <w:sz w:val="22"/>
          <w:szCs w:val="22"/>
        </w:rPr>
        <w:t xml:space="preserve"> and transfer to an appropriate inhaled corticosteroid </w:t>
      </w:r>
      <w:r w:rsidR="00F1119C" w:rsidRPr="006756C7">
        <w:rPr>
          <w:rFonts w:ascii="Arial" w:hAnsi="Arial" w:cs="Arial"/>
          <w:color w:val="000000"/>
          <w:sz w:val="22"/>
          <w:szCs w:val="22"/>
        </w:rPr>
        <w:t>containing regimen</w:t>
      </w:r>
      <w:r w:rsidRPr="006756C7">
        <w:rPr>
          <w:rFonts w:ascii="Arial" w:hAnsi="Arial" w:cs="Arial"/>
          <w:color w:val="000000"/>
          <w:sz w:val="22"/>
          <w:szCs w:val="22"/>
        </w:rPr>
        <w:t>.  When deemed clinically appropriate the inhaled corticosteroid dose should be further adjusted to the lowest dose at which effective control of asthma is maintained.</w:t>
      </w:r>
    </w:p>
    <w:p w:rsidR="00F1119C" w:rsidRPr="00F1119C" w:rsidRDefault="00F1119C" w:rsidP="000961AD">
      <w:pPr>
        <w:autoSpaceDE w:val="0"/>
        <w:autoSpaceDN w:val="0"/>
        <w:adjustRightInd w:val="0"/>
        <w:spacing w:after="240"/>
        <w:rPr>
          <w:rFonts w:ascii="Arial" w:hAnsi="Arial" w:cs="Arial"/>
          <w:color w:val="000000"/>
          <w:sz w:val="22"/>
          <w:szCs w:val="22"/>
          <w:u w:val="single"/>
        </w:rPr>
      </w:pPr>
      <w:r w:rsidRPr="00F1119C">
        <w:rPr>
          <w:rFonts w:ascii="Arial" w:hAnsi="Arial" w:cs="Arial"/>
          <w:color w:val="000000"/>
          <w:sz w:val="22"/>
          <w:szCs w:val="22"/>
          <w:u w:val="single"/>
        </w:rPr>
        <w:t>Additional recommendations for adolescents</w:t>
      </w:r>
      <w:r w:rsidR="006756C7">
        <w:rPr>
          <w:rFonts w:ascii="Arial" w:hAnsi="Arial" w:cs="Arial"/>
          <w:color w:val="000000"/>
          <w:sz w:val="22"/>
          <w:szCs w:val="22"/>
          <w:u w:val="single"/>
        </w:rPr>
        <w:t xml:space="preserve"> aged 12 years and older</w:t>
      </w:r>
    </w:p>
    <w:p w:rsidR="00BD4427" w:rsidRPr="006756C7" w:rsidRDefault="00F1119C" w:rsidP="000961AD">
      <w:pPr>
        <w:autoSpaceDE w:val="0"/>
        <w:autoSpaceDN w:val="0"/>
        <w:adjustRightInd w:val="0"/>
        <w:spacing w:after="240"/>
        <w:rPr>
          <w:rFonts w:ascii="Arial" w:hAnsi="Arial" w:cs="Arial"/>
          <w:color w:val="000000"/>
          <w:sz w:val="22"/>
          <w:szCs w:val="22"/>
        </w:rPr>
      </w:pPr>
      <w:r w:rsidRPr="006756C7">
        <w:rPr>
          <w:rFonts w:ascii="Arial" w:hAnsi="Arial" w:cs="Arial"/>
          <w:color w:val="000000"/>
          <w:sz w:val="22"/>
          <w:szCs w:val="22"/>
        </w:rPr>
        <w:t>D</w:t>
      </w:r>
      <w:r w:rsidR="00BD4427" w:rsidRPr="006756C7">
        <w:rPr>
          <w:rFonts w:ascii="Arial" w:hAnsi="Arial" w:cs="Arial"/>
          <w:color w:val="000000"/>
          <w:sz w:val="22"/>
          <w:szCs w:val="22"/>
        </w:rPr>
        <w:t xml:space="preserve">own-titration to the lowest </w:t>
      </w:r>
      <w:r w:rsidR="005439CE">
        <w:rPr>
          <w:rFonts w:ascii="Arial" w:hAnsi="Arial" w:cs="Arial"/>
          <w:color w:val="000000"/>
          <w:sz w:val="22"/>
          <w:szCs w:val="22"/>
        </w:rPr>
        <w:t>inhaled corticosteroid</w:t>
      </w:r>
      <w:r w:rsidR="00BD4427" w:rsidRPr="006756C7">
        <w:rPr>
          <w:rFonts w:ascii="Arial" w:hAnsi="Arial" w:cs="Arial"/>
          <w:color w:val="000000"/>
          <w:sz w:val="22"/>
          <w:szCs w:val="22"/>
        </w:rPr>
        <w:t xml:space="preserve"> dose is especially important in adolescents who may be more susceptible to systemic corticosteroid effects (see Precautions).  When down-titrating to another </w:t>
      </w:r>
      <w:r w:rsidRPr="006756C7">
        <w:rPr>
          <w:rFonts w:ascii="Arial" w:hAnsi="Arial" w:cs="Arial"/>
          <w:color w:val="000000"/>
          <w:sz w:val="22"/>
          <w:szCs w:val="22"/>
        </w:rPr>
        <w:t>product</w:t>
      </w:r>
      <w:r w:rsidR="006756C7">
        <w:rPr>
          <w:rFonts w:ascii="Arial" w:hAnsi="Arial" w:cs="Arial"/>
          <w:color w:val="000000"/>
          <w:sz w:val="22"/>
          <w:szCs w:val="22"/>
        </w:rPr>
        <w:t>,</w:t>
      </w:r>
      <w:r w:rsidRPr="006756C7">
        <w:rPr>
          <w:rFonts w:ascii="Arial" w:hAnsi="Arial" w:cs="Arial"/>
          <w:color w:val="000000"/>
          <w:sz w:val="22"/>
          <w:szCs w:val="22"/>
        </w:rPr>
        <w:t xml:space="preserve"> </w:t>
      </w:r>
      <w:r w:rsidR="00BD4427" w:rsidRPr="006756C7">
        <w:rPr>
          <w:rFonts w:ascii="Arial" w:hAnsi="Arial" w:cs="Arial"/>
          <w:color w:val="000000"/>
          <w:sz w:val="22"/>
          <w:szCs w:val="22"/>
        </w:rPr>
        <w:t xml:space="preserve">consideration should </w:t>
      </w:r>
      <w:r w:rsidRPr="006756C7">
        <w:rPr>
          <w:rFonts w:ascii="Arial" w:hAnsi="Arial" w:cs="Arial"/>
          <w:color w:val="000000"/>
          <w:sz w:val="22"/>
          <w:szCs w:val="22"/>
        </w:rPr>
        <w:t xml:space="preserve">be given </w:t>
      </w:r>
      <w:r w:rsidR="00BD4427" w:rsidRPr="006756C7">
        <w:rPr>
          <w:rFonts w:ascii="Arial" w:hAnsi="Arial" w:cs="Arial"/>
          <w:color w:val="000000"/>
          <w:sz w:val="22"/>
          <w:szCs w:val="22"/>
        </w:rPr>
        <w:t xml:space="preserve">to </w:t>
      </w:r>
      <w:r w:rsidRPr="006756C7">
        <w:rPr>
          <w:rFonts w:ascii="Arial" w:hAnsi="Arial" w:cs="Arial"/>
          <w:color w:val="000000"/>
          <w:sz w:val="22"/>
          <w:szCs w:val="22"/>
        </w:rPr>
        <w:t xml:space="preserve">maintaining </w:t>
      </w:r>
      <w:r w:rsidR="00BD4427" w:rsidRPr="006756C7">
        <w:rPr>
          <w:rFonts w:ascii="Arial" w:hAnsi="Arial" w:cs="Arial"/>
          <w:color w:val="000000"/>
          <w:sz w:val="22"/>
          <w:szCs w:val="22"/>
        </w:rPr>
        <w:t>a once-daily regimen</w:t>
      </w:r>
      <w:r w:rsidRPr="006756C7">
        <w:rPr>
          <w:rFonts w:ascii="Arial" w:hAnsi="Arial" w:cs="Arial"/>
          <w:color w:val="000000"/>
          <w:sz w:val="22"/>
          <w:szCs w:val="22"/>
        </w:rPr>
        <w:t xml:space="preserve"> to facilitate compliance</w:t>
      </w:r>
      <w:r w:rsidR="00BD4427" w:rsidRPr="006756C7">
        <w:rPr>
          <w:rFonts w:ascii="Arial" w:hAnsi="Arial" w:cs="Arial"/>
          <w:color w:val="000000"/>
          <w:sz w:val="22"/>
          <w:szCs w:val="22"/>
        </w:rPr>
        <w:t>.</w:t>
      </w:r>
    </w:p>
    <w:p w:rsidR="00D05EDE" w:rsidRPr="005E61A1" w:rsidRDefault="00D05EDE" w:rsidP="000961AD">
      <w:pPr>
        <w:autoSpaceDE w:val="0"/>
        <w:autoSpaceDN w:val="0"/>
        <w:adjustRightInd w:val="0"/>
        <w:spacing w:after="240"/>
        <w:rPr>
          <w:rFonts w:ascii="Arial" w:hAnsi="Arial" w:cs="Arial"/>
          <w:color w:val="000000"/>
          <w:sz w:val="22"/>
          <w:szCs w:val="22"/>
          <w:u w:val="single"/>
        </w:rPr>
      </w:pPr>
      <w:r w:rsidRPr="005E61A1">
        <w:rPr>
          <w:rFonts w:ascii="Arial" w:hAnsi="Arial" w:cs="Arial"/>
          <w:color w:val="000000"/>
          <w:sz w:val="22"/>
          <w:szCs w:val="22"/>
          <w:u w:val="single"/>
        </w:rPr>
        <w:t>Children</w:t>
      </w:r>
      <w:r w:rsidR="00F2728C">
        <w:rPr>
          <w:rFonts w:ascii="Arial" w:hAnsi="Arial" w:cs="Arial"/>
          <w:color w:val="000000"/>
          <w:sz w:val="22"/>
          <w:szCs w:val="22"/>
          <w:u w:val="single"/>
        </w:rPr>
        <w:t xml:space="preserve"> aged less than 12 years</w:t>
      </w:r>
    </w:p>
    <w:p w:rsidR="00663F74" w:rsidRPr="000E1AAC" w:rsidRDefault="00663F74" w:rsidP="00663F74">
      <w:pPr>
        <w:keepNext/>
        <w:spacing w:after="240"/>
        <w:rPr>
          <w:rFonts w:ascii="Arial" w:hAnsi="Arial" w:cs="Arial"/>
          <w:sz w:val="22"/>
          <w:szCs w:val="22"/>
        </w:rPr>
      </w:pPr>
      <w:proofErr w:type="spellStart"/>
      <w:r>
        <w:rPr>
          <w:rFonts w:ascii="Arial" w:hAnsi="Arial" w:cs="Arial"/>
          <w:sz w:val="22"/>
          <w:szCs w:val="22"/>
        </w:rPr>
        <w:t>Breo</w:t>
      </w:r>
      <w:proofErr w:type="spellEnd"/>
      <w:r>
        <w:rPr>
          <w:rFonts w:ascii="Arial" w:hAnsi="Arial" w:cs="Arial"/>
          <w:sz w:val="22"/>
          <w:szCs w:val="22"/>
        </w:rPr>
        <w:t xml:space="preserve"> </w:t>
      </w:r>
      <w:proofErr w:type="spellStart"/>
      <w:r>
        <w:rPr>
          <w:rFonts w:ascii="Arial" w:hAnsi="Arial" w:cs="Arial"/>
          <w:sz w:val="22"/>
          <w:szCs w:val="22"/>
        </w:rPr>
        <w:t>Ellipta</w:t>
      </w:r>
      <w:proofErr w:type="spellEnd"/>
      <w:r>
        <w:rPr>
          <w:rFonts w:ascii="Arial" w:hAnsi="Arial" w:cs="Arial"/>
          <w:sz w:val="22"/>
          <w:szCs w:val="22"/>
        </w:rPr>
        <w:t xml:space="preserve"> should not be used in children younger than </w:t>
      </w:r>
      <w:r w:rsidRPr="000E1AAC">
        <w:rPr>
          <w:rFonts w:ascii="Arial" w:hAnsi="Arial" w:cs="Arial"/>
          <w:sz w:val="22"/>
          <w:szCs w:val="22"/>
        </w:rPr>
        <w:t>12 years of age.</w:t>
      </w:r>
    </w:p>
    <w:p w:rsidR="00D05EDE" w:rsidRPr="005E61A1" w:rsidRDefault="00D05EDE" w:rsidP="000961AD">
      <w:pPr>
        <w:spacing w:after="240"/>
        <w:rPr>
          <w:rFonts w:ascii="Arial" w:eastAsia="MS Mincho" w:hAnsi="Arial" w:cs="Arial"/>
          <w:b/>
          <w:sz w:val="22"/>
          <w:szCs w:val="22"/>
          <w:lang w:val="en-US" w:eastAsia="en-US"/>
        </w:rPr>
      </w:pPr>
      <w:r w:rsidRPr="005E61A1">
        <w:rPr>
          <w:rFonts w:ascii="Arial" w:eastAsia="MS Mincho" w:hAnsi="Arial" w:cs="Arial"/>
          <w:b/>
          <w:sz w:val="22"/>
          <w:szCs w:val="22"/>
          <w:lang w:val="en-US" w:eastAsia="en-US"/>
        </w:rPr>
        <w:t>COPD</w:t>
      </w:r>
    </w:p>
    <w:p w:rsidR="00D05EDE" w:rsidRPr="005E61A1" w:rsidRDefault="00D05EDE" w:rsidP="000961AD">
      <w:pPr>
        <w:pStyle w:val="NoNumHead2"/>
        <w:keepNext w:val="0"/>
        <w:spacing w:before="0"/>
        <w:rPr>
          <w:b w:val="0"/>
          <w:sz w:val="22"/>
          <w:szCs w:val="22"/>
          <w:u w:val="single"/>
        </w:rPr>
      </w:pPr>
      <w:r w:rsidRPr="005E61A1">
        <w:rPr>
          <w:b w:val="0"/>
          <w:sz w:val="22"/>
          <w:szCs w:val="22"/>
          <w:u w:val="single"/>
        </w:rPr>
        <w:t xml:space="preserve">Adults </w:t>
      </w:r>
    </w:p>
    <w:p w:rsidR="00D05EDE" w:rsidRPr="005E61A1" w:rsidRDefault="00D05EDE" w:rsidP="000961AD">
      <w:pPr>
        <w:pStyle w:val="NoNumHead2"/>
        <w:keepNext w:val="0"/>
        <w:spacing w:before="0"/>
        <w:rPr>
          <w:b w:val="0"/>
          <w:sz w:val="22"/>
          <w:szCs w:val="22"/>
        </w:rPr>
      </w:pPr>
      <w:r w:rsidRPr="005E61A1">
        <w:rPr>
          <w:b w:val="0"/>
          <w:sz w:val="22"/>
          <w:szCs w:val="22"/>
        </w:rPr>
        <w:t xml:space="preserve">The recommended dose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00B96172" w:rsidRPr="005E61A1">
        <w:rPr>
          <w:b w:val="0"/>
          <w:sz w:val="22"/>
          <w:szCs w:val="22"/>
        </w:rPr>
        <w:t xml:space="preserve"> </w:t>
      </w:r>
      <w:r w:rsidRPr="005E61A1">
        <w:rPr>
          <w:b w:val="0"/>
          <w:sz w:val="22"/>
          <w:szCs w:val="22"/>
        </w:rPr>
        <w:t>is:</w:t>
      </w:r>
    </w:p>
    <w:p w:rsidR="00D05EDE" w:rsidRPr="005E61A1" w:rsidRDefault="00D05EDE" w:rsidP="000961AD">
      <w:pPr>
        <w:pStyle w:val="NoNumHead2"/>
        <w:keepNext w:val="0"/>
        <w:spacing w:before="0"/>
        <w:rPr>
          <w:b w:val="0"/>
          <w:sz w:val="22"/>
          <w:szCs w:val="22"/>
        </w:rPr>
      </w:pPr>
      <w:r w:rsidRPr="005E61A1">
        <w:rPr>
          <w:b w:val="0"/>
          <w:sz w:val="22"/>
          <w:szCs w:val="22"/>
        </w:rPr>
        <w:t xml:space="preserve">One inhalation of </w:t>
      </w:r>
      <w:proofErr w:type="spellStart"/>
      <w:r w:rsidR="00B96172" w:rsidRPr="00B96172">
        <w:rPr>
          <w:rFonts w:eastAsia="MS Mincho"/>
          <w:b w:val="0"/>
          <w:sz w:val="22"/>
          <w:szCs w:val="22"/>
        </w:rPr>
        <w:t>Breo</w:t>
      </w:r>
      <w:proofErr w:type="spellEnd"/>
      <w:r w:rsidR="00B96172" w:rsidRPr="00B96172">
        <w:rPr>
          <w:rFonts w:eastAsia="MS Mincho"/>
          <w:b w:val="0"/>
          <w:sz w:val="22"/>
          <w:szCs w:val="22"/>
        </w:rPr>
        <w:t xml:space="preserve"> </w:t>
      </w:r>
      <w:proofErr w:type="spellStart"/>
      <w:r w:rsidR="00B96172" w:rsidRPr="00B96172">
        <w:rPr>
          <w:rFonts w:eastAsia="MS Mincho"/>
          <w:b w:val="0"/>
          <w:sz w:val="22"/>
          <w:szCs w:val="22"/>
        </w:rPr>
        <w:t>Ellipta</w:t>
      </w:r>
      <w:proofErr w:type="spellEnd"/>
      <w:r w:rsidR="00B96172" w:rsidRPr="005E61A1" w:rsidDel="00B96172">
        <w:rPr>
          <w:b w:val="0"/>
          <w:sz w:val="22"/>
          <w:szCs w:val="22"/>
        </w:rPr>
        <w:t xml:space="preserve"> </w:t>
      </w:r>
      <w:r w:rsidRPr="005E61A1">
        <w:rPr>
          <w:b w:val="0"/>
          <w:sz w:val="22"/>
          <w:szCs w:val="22"/>
        </w:rPr>
        <w:t>100/25 micrograms once daily.</w:t>
      </w:r>
    </w:p>
    <w:p w:rsidR="001D53A3" w:rsidRPr="005E61A1" w:rsidRDefault="00B96172" w:rsidP="001D53A3">
      <w:pPr>
        <w:spacing w:after="240"/>
        <w:rPr>
          <w:rFonts w:ascii="Arial" w:hAnsi="Arial" w:cs="Arial"/>
          <w:sz w:val="22"/>
          <w:szCs w:val="22"/>
        </w:rPr>
      </w:pPr>
      <w:proofErr w:type="spellStart"/>
      <w:r w:rsidRPr="00B96172">
        <w:rPr>
          <w:rFonts w:ascii="Arial" w:eastAsia="MS Mincho" w:hAnsi="Arial" w:cs="Arial"/>
          <w:sz w:val="22"/>
          <w:szCs w:val="22"/>
        </w:rPr>
        <w:t>Breo</w:t>
      </w:r>
      <w:proofErr w:type="spellEnd"/>
      <w:r w:rsidRPr="00B96172">
        <w:rPr>
          <w:rFonts w:ascii="Arial" w:eastAsia="MS Mincho" w:hAnsi="Arial" w:cs="Arial"/>
          <w:sz w:val="22"/>
          <w:szCs w:val="22"/>
        </w:rPr>
        <w:t xml:space="preserve"> </w:t>
      </w:r>
      <w:proofErr w:type="spellStart"/>
      <w:r w:rsidRPr="00B96172">
        <w:rPr>
          <w:rFonts w:ascii="Arial" w:eastAsia="MS Mincho" w:hAnsi="Arial" w:cs="Arial"/>
          <w:sz w:val="22"/>
          <w:szCs w:val="22"/>
        </w:rPr>
        <w:t>Ellipta</w:t>
      </w:r>
      <w:proofErr w:type="spellEnd"/>
      <w:r w:rsidRPr="005E61A1" w:rsidDel="00B96172">
        <w:rPr>
          <w:rFonts w:ascii="Arial" w:hAnsi="Arial" w:cs="Arial"/>
          <w:sz w:val="22"/>
          <w:szCs w:val="22"/>
        </w:rPr>
        <w:t xml:space="preserve"> </w:t>
      </w:r>
      <w:r w:rsidR="00D05EDE" w:rsidRPr="005E61A1">
        <w:rPr>
          <w:rFonts w:ascii="Arial" w:hAnsi="Arial" w:cs="Arial"/>
          <w:sz w:val="22"/>
          <w:szCs w:val="22"/>
        </w:rPr>
        <w:t xml:space="preserve">200/25 micrograms is not indicated for patients with COPD. </w:t>
      </w:r>
      <w:r w:rsidR="001D53A3">
        <w:rPr>
          <w:rFonts w:ascii="Arial" w:hAnsi="Arial" w:cs="Arial"/>
          <w:sz w:val="22"/>
          <w:szCs w:val="22"/>
        </w:rPr>
        <w:t xml:space="preserve"> T</w:t>
      </w:r>
      <w:r w:rsidR="001D53A3" w:rsidRPr="00702AA5">
        <w:rPr>
          <w:rFonts w:ascii="Arial" w:hAnsi="Arial" w:cs="Arial"/>
          <w:sz w:val="22"/>
          <w:szCs w:val="22"/>
        </w:rPr>
        <w:t>here is a</w:t>
      </w:r>
      <w:r w:rsidR="00C6084B">
        <w:rPr>
          <w:rFonts w:ascii="Arial" w:hAnsi="Arial" w:cs="Arial"/>
          <w:sz w:val="22"/>
          <w:szCs w:val="22"/>
        </w:rPr>
        <w:t xml:space="preserve"> potential </w:t>
      </w:r>
      <w:r w:rsidR="001D53A3" w:rsidRPr="00702AA5">
        <w:rPr>
          <w:rFonts w:ascii="Arial" w:hAnsi="Arial" w:cs="Arial"/>
          <w:sz w:val="22"/>
          <w:szCs w:val="22"/>
        </w:rPr>
        <w:t xml:space="preserve">increased risk of </w:t>
      </w:r>
      <w:r w:rsidR="00C6084B">
        <w:rPr>
          <w:rFonts w:ascii="Arial" w:hAnsi="Arial" w:cs="Arial"/>
          <w:sz w:val="22"/>
          <w:szCs w:val="22"/>
        </w:rPr>
        <w:t>pneumonia and corticosteroid-</w:t>
      </w:r>
      <w:r w:rsidR="001D53A3" w:rsidRPr="00702AA5">
        <w:rPr>
          <w:rFonts w:ascii="Arial" w:hAnsi="Arial" w:cs="Arial"/>
          <w:sz w:val="22"/>
          <w:szCs w:val="22"/>
        </w:rPr>
        <w:t xml:space="preserve">related adverse reactions </w:t>
      </w:r>
      <w:r w:rsidR="00BE1954">
        <w:rPr>
          <w:rFonts w:ascii="Arial" w:hAnsi="Arial" w:cs="Arial"/>
          <w:sz w:val="22"/>
          <w:szCs w:val="22"/>
        </w:rPr>
        <w:t xml:space="preserve">with the </w:t>
      </w:r>
      <w:r w:rsidR="001D53A3" w:rsidRPr="00702AA5">
        <w:rPr>
          <w:rFonts w:ascii="Arial" w:hAnsi="Arial" w:cs="Arial"/>
          <w:sz w:val="22"/>
          <w:szCs w:val="22"/>
        </w:rPr>
        <w:t>200/25 microgram dose (see Precautions and Adverse Effects)</w:t>
      </w:r>
      <w:r w:rsidR="001D53A3">
        <w:rPr>
          <w:rFonts w:ascii="Arial" w:hAnsi="Arial" w:cs="Arial"/>
          <w:sz w:val="22"/>
          <w:szCs w:val="22"/>
        </w:rPr>
        <w:t>.</w:t>
      </w:r>
    </w:p>
    <w:p w:rsidR="00D05EDE" w:rsidRPr="005E61A1" w:rsidRDefault="00D05EDE" w:rsidP="000961AD">
      <w:pPr>
        <w:autoSpaceDE w:val="0"/>
        <w:autoSpaceDN w:val="0"/>
        <w:adjustRightInd w:val="0"/>
        <w:spacing w:after="240"/>
        <w:rPr>
          <w:rFonts w:ascii="Arial" w:hAnsi="Arial" w:cs="Arial"/>
          <w:color w:val="000000"/>
          <w:sz w:val="22"/>
          <w:szCs w:val="22"/>
        </w:rPr>
      </w:pPr>
      <w:r w:rsidRPr="005E61A1">
        <w:rPr>
          <w:rFonts w:ascii="Arial" w:eastAsia="MS Mincho" w:hAnsi="Arial" w:cs="Arial"/>
          <w:b/>
          <w:sz w:val="22"/>
          <w:szCs w:val="22"/>
        </w:rPr>
        <w:t>Asthma and COPD</w:t>
      </w:r>
    </w:p>
    <w:p w:rsidR="00D05EDE" w:rsidRPr="00505292" w:rsidRDefault="00F2728C" w:rsidP="000961AD">
      <w:pPr>
        <w:pStyle w:val="NoNumHead3"/>
        <w:keepNext w:val="0"/>
        <w:spacing w:before="0"/>
        <w:rPr>
          <w:rFonts w:eastAsia="MS Mincho"/>
          <w:b w:val="0"/>
          <w:sz w:val="22"/>
          <w:szCs w:val="22"/>
          <w:u w:val="single"/>
          <w:lang w:val="en-US" w:eastAsia="en-US"/>
        </w:rPr>
      </w:pPr>
      <w:r>
        <w:rPr>
          <w:rFonts w:eastAsia="MS Mincho"/>
          <w:b w:val="0"/>
          <w:sz w:val="22"/>
          <w:szCs w:val="22"/>
          <w:u w:val="single"/>
          <w:lang w:val="en-US" w:eastAsia="en-US"/>
        </w:rPr>
        <w:t>Elderly</w:t>
      </w:r>
    </w:p>
    <w:p w:rsidR="006756C7" w:rsidRPr="000F37ED" w:rsidRDefault="006756C7" w:rsidP="006756C7">
      <w:pPr>
        <w:spacing w:after="240"/>
        <w:jc w:val="both"/>
        <w:rPr>
          <w:rFonts w:ascii="Arial" w:hAnsi="Arial" w:cs="Arial"/>
          <w:sz w:val="22"/>
          <w:szCs w:val="22"/>
        </w:rPr>
      </w:pPr>
      <w:r>
        <w:rPr>
          <w:rFonts w:ascii="Arial" w:hAnsi="Arial" w:cs="Arial"/>
          <w:sz w:val="22"/>
          <w:szCs w:val="22"/>
        </w:rPr>
        <w:t xml:space="preserve">Due to limited data in patients with asthma aged 75 years and older, </w:t>
      </w:r>
      <w:proofErr w:type="spellStart"/>
      <w:r>
        <w:rPr>
          <w:rFonts w:ascii="Arial" w:hAnsi="Arial" w:cs="Arial"/>
          <w:sz w:val="22"/>
          <w:szCs w:val="22"/>
        </w:rPr>
        <w:t>Breo</w:t>
      </w:r>
      <w:proofErr w:type="spellEnd"/>
      <w:r>
        <w:rPr>
          <w:rFonts w:ascii="Arial" w:hAnsi="Arial" w:cs="Arial"/>
          <w:sz w:val="22"/>
          <w:szCs w:val="22"/>
        </w:rPr>
        <w:t xml:space="preserve"> 200/25 is not recommended.</w:t>
      </w:r>
    </w:p>
    <w:p w:rsidR="00D05EDE" w:rsidRPr="00D55096" w:rsidRDefault="005C33DF" w:rsidP="000961AD">
      <w:pPr>
        <w:pStyle w:val="NoNumHead3"/>
        <w:keepNext w:val="0"/>
        <w:spacing w:before="0"/>
        <w:rPr>
          <w:rFonts w:eastAsia="MS Mincho"/>
          <w:b w:val="0"/>
          <w:sz w:val="22"/>
          <w:szCs w:val="22"/>
          <w:u w:val="single"/>
          <w:lang w:val="en-US" w:eastAsia="en-US"/>
        </w:rPr>
      </w:pPr>
      <w:r>
        <w:rPr>
          <w:rFonts w:eastAsia="MS Mincho"/>
          <w:b w:val="0"/>
          <w:sz w:val="22"/>
          <w:szCs w:val="22"/>
          <w:u w:val="single"/>
          <w:lang w:val="en-US" w:eastAsia="en-US"/>
        </w:rPr>
        <w:t>Renal impairment</w:t>
      </w:r>
    </w:p>
    <w:p w:rsidR="00D05EDE" w:rsidRPr="00D55096" w:rsidRDefault="00D05EDE" w:rsidP="000961AD">
      <w:pPr>
        <w:pStyle w:val="NormalWeb"/>
        <w:spacing w:before="0" w:beforeAutospacing="0" w:after="240" w:afterAutospacing="0"/>
        <w:rPr>
          <w:rFonts w:ascii="Arial" w:hAnsi="Arial" w:cs="Arial"/>
          <w:sz w:val="22"/>
          <w:szCs w:val="22"/>
        </w:rPr>
      </w:pPr>
      <w:r w:rsidRPr="00D55096">
        <w:rPr>
          <w:rFonts w:ascii="Arial" w:hAnsi="Arial" w:cs="Arial"/>
          <w:sz w:val="22"/>
          <w:szCs w:val="22"/>
        </w:rPr>
        <w:t xml:space="preserve">No dose adjustment is required for patients with renal impairment (see </w:t>
      </w:r>
      <w:r w:rsidR="00D55096" w:rsidRPr="00D55096">
        <w:rPr>
          <w:rFonts w:ascii="Arial" w:eastAsia="MS Mincho" w:hAnsi="Arial" w:cs="Arial"/>
          <w:sz w:val="22"/>
          <w:szCs w:val="22"/>
          <w:lang w:val="en-US" w:eastAsia="en-US"/>
        </w:rPr>
        <w:t>Special Patient Populations – Renal Impairment</w:t>
      </w:r>
      <w:r w:rsidRPr="00D55096">
        <w:rPr>
          <w:rFonts w:ascii="Arial" w:hAnsi="Arial" w:cs="Arial"/>
          <w:sz w:val="22"/>
          <w:szCs w:val="22"/>
        </w:rPr>
        <w:t>).</w:t>
      </w:r>
    </w:p>
    <w:p w:rsidR="005C33DF" w:rsidRDefault="005C33DF">
      <w:pPr>
        <w:rPr>
          <w:rFonts w:ascii="Arial" w:eastAsia="MS Mincho" w:hAnsi="Arial" w:cs="Arial"/>
          <w:bCs/>
          <w:sz w:val="22"/>
          <w:szCs w:val="22"/>
          <w:u w:val="single"/>
          <w:lang w:val="en-US" w:eastAsia="en-US"/>
        </w:rPr>
      </w:pPr>
      <w:r>
        <w:rPr>
          <w:rFonts w:eastAsia="MS Mincho"/>
          <w:b/>
          <w:sz w:val="22"/>
          <w:szCs w:val="22"/>
          <w:u w:val="single"/>
          <w:lang w:val="en-US" w:eastAsia="en-US"/>
        </w:rPr>
        <w:br w:type="page"/>
      </w:r>
    </w:p>
    <w:p w:rsidR="00D05EDE" w:rsidRPr="00D55096" w:rsidRDefault="005C33DF" w:rsidP="000961AD">
      <w:pPr>
        <w:pStyle w:val="NoNumHead3"/>
        <w:keepNext w:val="0"/>
        <w:spacing w:before="0"/>
        <w:rPr>
          <w:rFonts w:eastAsia="MS Mincho"/>
          <w:b w:val="0"/>
          <w:sz w:val="22"/>
          <w:szCs w:val="22"/>
          <w:u w:val="single"/>
          <w:lang w:val="en-US" w:eastAsia="en-US"/>
        </w:rPr>
      </w:pPr>
      <w:r>
        <w:rPr>
          <w:rFonts w:eastAsia="MS Mincho"/>
          <w:b w:val="0"/>
          <w:sz w:val="22"/>
          <w:szCs w:val="22"/>
          <w:u w:val="single"/>
          <w:lang w:val="en-US" w:eastAsia="en-US"/>
        </w:rPr>
        <w:lastRenderedPageBreak/>
        <w:t>Hepatic Impairment</w:t>
      </w:r>
    </w:p>
    <w:p w:rsidR="00D05EDE" w:rsidRPr="005C33DF" w:rsidRDefault="00D05EDE" w:rsidP="000961AD">
      <w:pPr>
        <w:spacing w:after="240"/>
        <w:rPr>
          <w:rFonts w:ascii="Arial" w:hAnsi="Arial" w:cs="Arial"/>
          <w:sz w:val="22"/>
          <w:szCs w:val="22"/>
        </w:rPr>
      </w:pPr>
      <w:r w:rsidRPr="00D55096">
        <w:rPr>
          <w:rFonts w:ascii="Arial" w:hAnsi="Arial" w:cs="Arial"/>
          <w:sz w:val="22"/>
          <w:szCs w:val="22"/>
        </w:rPr>
        <w:t>A clinical pharmacology study in subjects with mild</w:t>
      </w:r>
      <w:r w:rsidRPr="005C33DF">
        <w:rPr>
          <w:rFonts w:ascii="Arial" w:hAnsi="Arial" w:cs="Arial"/>
          <w:sz w:val="22"/>
          <w:szCs w:val="22"/>
        </w:rPr>
        <w:t>,</w:t>
      </w:r>
      <w:r w:rsidRPr="005C33DF">
        <w:rPr>
          <w:rFonts w:ascii="Arial" w:hAnsi="Arial" w:cs="Arial"/>
          <w:b/>
          <w:i/>
          <w:sz w:val="22"/>
          <w:szCs w:val="22"/>
        </w:rPr>
        <w:t xml:space="preserve"> </w:t>
      </w:r>
      <w:r w:rsidRPr="005C33DF">
        <w:rPr>
          <w:rFonts w:ascii="Arial" w:hAnsi="Arial" w:cs="Arial"/>
          <w:sz w:val="22"/>
          <w:szCs w:val="22"/>
        </w:rPr>
        <w:t xml:space="preserve">moderate and severe hepatic impairment showed up to 3-fold increase in systemic exposure to fluticasone </w:t>
      </w:r>
      <w:proofErr w:type="spellStart"/>
      <w:r w:rsidRPr="005C33DF">
        <w:rPr>
          <w:rFonts w:ascii="Arial" w:hAnsi="Arial" w:cs="Arial"/>
          <w:sz w:val="22"/>
          <w:szCs w:val="22"/>
        </w:rPr>
        <w:t>furoate</w:t>
      </w:r>
      <w:proofErr w:type="spellEnd"/>
      <w:r w:rsidRPr="005C33DF">
        <w:rPr>
          <w:rFonts w:ascii="Arial" w:hAnsi="Arial" w:cs="Arial"/>
          <w:sz w:val="22"/>
          <w:szCs w:val="22"/>
        </w:rPr>
        <w:t xml:space="preserve"> (AUC) (see</w:t>
      </w:r>
      <w:r w:rsidRPr="005C33DF">
        <w:rPr>
          <w:rFonts w:ascii="Arial" w:hAnsi="Arial" w:cs="Arial"/>
          <w:i/>
          <w:sz w:val="22"/>
          <w:szCs w:val="22"/>
        </w:rPr>
        <w:t xml:space="preserve"> </w:t>
      </w:r>
      <w:r w:rsidR="00D55096" w:rsidRPr="005C33DF">
        <w:rPr>
          <w:rFonts w:ascii="Arial" w:eastAsia="MS Mincho" w:hAnsi="Arial" w:cs="Arial"/>
          <w:sz w:val="22"/>
          <w:szCs w:val="22"/>
          <w:lang w:val="en-US" w:eastAsia="en-US"/>
        </w:rPr>
        <w:t>Special Patient Populations – Hepatic Impairment</w:t>
      </w:r>
      <w:r w:rsidRPr="005C33DF">
        <w:rPr>
          <w:rFonts w:ascii="Arial" w:hAnsi="Arial" w:cs="Arial"/>
          <w:sz w:val="22"/>
          <w:szCs w:val="22"/>
        </w:rPr>
        <w:t>).</w:t>
      </w:r>
    </w:p>
    <w:p w:rsidR="004F640B" w:rsidRDefault="00D05EDE" w:rsidP="000961AD">
      <w:pPr>
        <w:spacing w:after="240"/>
        <w:rPr>
          <w:rFonts w:ascii="Arial" w:hAnsi="Arial" w:cs="Arial"/>
          <w:sz w:val="22"/>
          <w:szCs w:val="22"/>
        </w:rPr>
      </w:pPr>
      <w:r w:rsidRPr="005E61A1">
        <w:rPr>
          <w:rFonts w:ascii="Arial" w:hAnsi="Arial" w:cs="Arial"/>
          <w:sz w:val="22"/>
          <w:szCs w:val="22"/>
        </w:rPr>
        <w:t xml:space="preserve">Caution should be exercised when dosing patients with hepatic impairment </w:t>
      </w:r>
      <w:r w:rsidR="00327170">
        <w:rPr>
          <w:rFonts w:ascii="Arial" w:hAnsi="Arial" w:cs="Arial"/>
          <w:sz w:val="22"/>
          <w:szCs w:val="22"/>
        </w:rPr>
        <w:t xml:space="preserve">who </w:t>
      </w:r>
      <w:r w:rsidRPr="005E61A1">
        <w:rPr>
          <w:rFonts w:ascii="Arial" w:hAnsi="Arial" w:cs="Arial"/>
          <w:sz w:val="22"/>
          <w:szCs w:val="22"/>
        </w:rPr>
        <w:t>may be more at risk of systemic adverse reactions associated with corticosteroids.</w:t>
      </w:r>
    </w:p>
    <w:p w:rsidR="003837A0" w:rsidRPr="005E61A1" w:rsidRDefault="003837A0" w:rsidP="000961AD">
      <w:pPr>
        <w:spacing w:after="240"/>
        <w:rPr>
          <w:rFonts w:ascii="Arial" w:hAnsi="Arial" w:cs="Arial"/>
          <w:sz w:val="22"/>
          <w:szCs w:val="22"/>
        </w:rPr>
      </w:pPr>
      <w:r>
        <w:rPr>
          <w:rFonts w:ascii="Arial" w:hAnsi="Arial" w:cs="Arial"/>
          <w:sz w:val="22"/>
          <w:szCs w:val="22"/>
        </w:rPr>
        <w:t>For patients with moderate or severe hepatic impairment the maximum dose is 100/25 micrograms</w:t>
      </w:r>
      <w:r w:rsidR="00327170">
        <w:rPr>
          <w:rFonts w:ascii="Arial" w:hAnsi="Arial" w:cs="Arial"/>
          <w:sz w:val="22"/>
          <w:szCs w:val="22"/>
        </w:rPr>
        <w:t xml:space="preserve"> (see Pharmacokinetics)</w:t>
      </w:r>
      <w:r>
        <w:rPr>
          <w:rFonts w:ascii="Arial" w:hAnsi="Arial" w:cs="Arial"/>
          <w:sz w:val="22"/>
          <w:szCs w:val="22"/>
        </w:rPr>
        <w:t>.</w:t>
      </w:r>
    </w:p>
    <w:p w:rsidR="000B3F7C" w:rsidRPr="007835FF" w:rsidRDefault="0077380F" w:rsidP="000961AD">
      <w:pPr>
        <w:spacing w:after="240"/>
        <w:jc w:val="both"/>
        <w:rPr>
          <w:rFonts w:ascii="Arial" w:hAnsi="Arial" w:cs="Arial"/>
          <w:b/>
          <w:sz w:val="22"/>
          <w:szCs w:val="22"/>
        </w:rPr>
      </w:pPr>
      <w:r w:rsidRPr="007835FF">
        <w:rPr>
          <w:rFonts w:ascii="Arial" w:hAnsi="Arial" w:cs="Arial"/>
          <w:b/>
          <w:sz w:val="22"/>
          <w:szCs w:val="22"/>
        </w:rPr>
        <w:t>O</w:t>
      </w:r>
      <w:smartTag w:uri="schemas-GSKSiteLocations-com/fourthcoffee" w:element="flavor">
        <w:r w:rsidRPr="007835FF">
          <w:rPr>
            <w:rFonts w:ascii="Arial" w:hAnsi="Arial" w:cs="Arial"/>
            <w:b/>
            <w:sz w:val="22"/>
            <w:szCs w:val="22"/>
          </w:rPr>
          <w:t>VER</w:t>
        </w:r>
      </w:smartTag>
      <w:r w:rsidRPr="007835FF">
        <w:rPr>
          <w:rFonts w:ascii="Arial" w:hAnsi="Arial" w:cs="Arial"/>
          <w:b/>
          <w:sz w:val="22"/>
          <w:szCs w:val="22"/>
        </w:rPr>
        <w:t>DOSAGE</w:t>
      </w:r>
    </w:p>
    <w:p w:rsidR="00D05EDE" w:rsidRPr="00505292" w:rsidRDefault="00D05EDE" w:rsidP="000961AD">
      <w:pPr>
        <w:pStyle w:val="NoNumHead3"/>
        <w:keepNext w:val="0"/>
        <w:spacing w:before="0"/>
        <w:rPr>
          <w:sz w:val="22"/>
          <w:szCs w:val="22"/>
          <w:lang w:val="en-US"/>
        </w:rPr>
      </w:pPr>
      <w:r w:rsidRPr="00505292">
        <w:rPr>
          <w:sz w:val="22"/>
          <w:szCs w:val="22"/>
          <w:lang w:val="en-US"/>
        </w:rPr>
        <w:t>Symptoms and signs</w:t>
      </w:r>
    </w:p>
    <w:p w:rsidR="00D05EDE" w:rsidRPr="00505292" w:rsidRDefault="00D05EDE" w:rsidP="000961AD">
      <w:pPr>
        <w:spacing w:after="240"/>
        <w:rPr>
          <w:rFonts w:ascii="Arial" w:hAnsi="Arial" w:cs="Arial"/>
          <w:sz w:val="22"/>
          <w:szCs w:val="22"/>
          <w:lang w:val="en-US"/>
        </w:rPr>
      </w:pPr>
      <w:r w:rsidRPr="00505292">
        <w:rPr>
          <w:rFonts w:ascii="Arial" w:hAnsi="Arial" w:cs="Arial"/>
          <w:sz w:val="22"/>
          <w:szCs w:val="22"/>
        </w:rPr>
        <w:t xml:space="preserve">There are no data available from clinical trials on overdose with </w:t>
      </w:r>
      <w:proofErr w:type="spellStart"/>
      <w:r w:rsidR="00FC5329">
        <w:rPr>
          <w:rFonts w:ascii="Arial" w:hAnsi="Arial" w:cs="Arial"/>
          <w:sz w:val="22"/>
          <w:szCs w:val="22"/>
        </w:rPr>
        <w:t>Breo</w:t>
      </w:r>
      <w:proofErr w:type="spellEnd"/>
      <w:r w:rsidR="00FC5329">
        <w:rPr>
          <w:rFonts w:ascii="Arial" w:hAnsi="Arial" w:cs="Arial"/>
          <w:sz w:val="22"/>
          <w:szCs w:val="22"/>
        </w:rPr>
        <w:t xml:space="preserve"> </w:t>
      </w:r>
      <w:proofErr w:type="spellStart"/>
      <w:r w:rsidR="00FC5329">
        <w:rPr>
          <w:rFonts w:ascii="Arial" w:hAnsi="Arial" w:cs="Arial"/>
          <w:sz w:val="22"/>
          <w:szCs w:val="22"/>
        </w:rPr>
        <w:t>Ellipta</w:t>
      </w:r>
      <w:proofErr w:type="spellEnd"/>
      <w:r w:rsidRPr="00505292">
        <w:rPr>
          <w:rFonts w:ascii="Arial" w:hAnsi="Arial" w:cs="Arial"/>
          <w:sz w:val="22"/>
          <w:szCs w:val="22"/>
        </w:rPr>
        <w:t>.</w:t>
      </w:r>
    </w:p>
    <w:p w:rsidR="00D05EDE" w:rsidRPr="00505292" w:rsidRDefault="00D05EDE" w:rsidP="000961AD">
      <w:pPr>
        <w:spacing w:after="240"/>
        <w:rPr>
          <w:rFonts w:ascii="Arial" w:hAnsi="Arial" w:cs="Arial"/>
          <w:sz w:val="22"/>
          <w:szCs w:val="22"/>
          <w:shd w:val="clear" w:color="auto" w:fill="C0C0C0"/>
          <w:lang w:val="en-US"/>
        </w:rPr>
      </w:pPr>
      <w:r w:rsidRPr="00505292">
        <w:rPr>
          <w:rFonts w:ascii="Arial" w:hAnsi="Arial" w:cs="Arial"/>
          <w:noProof/>
          <w:sz w:val="22"/>
          <w:szCs w:val="22"/>
        </w:rPr>
        <w:t xml:space="preserve">An overdose of </w:t>
      </w:r>
      <w:r w:rsidR="00FC5329">
        <w:rPr>
          <w:rFonts w:ascii="Arial" w:hAnsi="Arial" w:cs="Arial"/>
          <w:noProof/>
          <w:sz w:val="22"/>
          <w:szCs w:val="22"/>
        </w:rPr>
        <w:t>Breo Ellipta</w:t>
      </w:r>
      <w:r w:rsidRPr="00505292">
        <w:rPr>
          <w:rFonts w:ascii="Arial" w:hAnsi="Arial" w:cs="Arial"/>
          <w:noProof/>
          <w:sz w:val="22"/>
          <w:szCs w:val="22"/>
        </w:rPr>
        <w:t xml:space="preserve"> </w:t>
      </w:r>
      <w:r w:rsidRPr="00505292">
        <w:rPr>
          <w:rFonts w:ascii="Arial" w:hAnsi="Arial" w:cs="Arial"/>
          <w:sz w:val="22"/>
          <w:szCs w:val="22"/>
        </w:rPr>
        <w:t xml:space="preserve">may </w:t>
      </w:r>
      <w:r w:rsidRPr="00505292">
        <w:rPr>
          <w:rFonts w:ascii="Arial" w:hAnsi="Arial" w:cs="Arial"/>
          <w:noProof/>
          <w:sz w:val="22"/>
          <w:szCs w:val="22"/>
        </w:rPr>
        <w:t>produce signs and symptoms due to the individual components’ actions, including those seen with overdose of other beta</w:t>
      </w:r>
      <w:r w:rsidRPr="00505292">
        <w:rPr>
          <w:rFonts w:ascii="Arial" w:hAnsi="Arial" w:cs="Arial"/>
          <w:noProof/>
          <w:sz w:val="22"/>
          <w:szCs w:val="22"/>
          <w:vertAlign w:val="subscript"/>
        </w:rPr>
        <w:t>2</w:t>
      </w:r>
      <w:r w:rsidRPr="00505292">
        <w:rPr>
          <w:rFonts w:ascii="Arial" w:hAnsi="Arial" w:cs="Arial"/>
          <w:noProof/>
          <w:sz w:val="22"/>
          <w:szCs w:val="22"/>
        </w:rPr>
        <w:noBreakHyphen/>
        <w:t xml:space="preserve">agonists and consistent with the known inhaled corticosteroid class </w:t>
      </w:r>
      <w:r w:rsidRPr="00D55096">
        <w:rPr>
          <w:rFonts w:ascii="Arial" w:hAnsi="Arial" w:cs="Arial"/>
          <w:noProof/>
          <w:sz w:val="22"/>
          <w:szCs w:val="22"/>
        </w:rPr>
        <w:t xml:space="preserve">effects </w:t>
      </w:r>
      <w:r w:rsidRPr="00D55096">
        <w:rPr>
          <w:rFonts w:ascii="Arial" w:hAnsi="Arial" w:cs="Arial"/>
          <w:sz w:val="22"/>
          <w:szCs w:val="22"/>
        </w:rPr>
        <w:t>(see Precautions).</w:t>
      </w:r>
    </w:p>
    <w:p w:rsidR="00D05EDE" w:rsidRPr="00505292" w:rsidRDefault="00D05EDE" w:rsidP="00AE6CE8">
      <w:pPr>
        <w:pStyle w:val="NoNumHead3"/>
        <w:spacing w:before="0"/>
        <w:rPr>
          <w:sz w:val="22"/>
          <w:szCs w:val="22"/>
          <w:lang w:val="en-US"/>
        </w:rPr>
      </w:pPr>
      <w:r w:rsidRPr="00505292">
        <w:rPr>
          <w:sz w:val="22"/>
          <w:szCs w:val="22"/>
          <w:lang w:val="en-US"/>
        </w:rPr>
        <w:t>Treatment</w:t>
      </w:r>
    </w:p>
    <w:p w:rsidR="00D05EDE" w:rsidRPr="00505292" w:rsidRDefault="00D05EDE" w:rsidP="00AE6CE8">
      <w:pPr>
        <w:keepNext/>
        <w:spacing w:after="240"/>
        <w:rPr>
          <w:rFonts w:ascii="Arial" w:hAnsi="Arial" w:cs="Arial"/>
          <w:sz w:val="22"/>
          <w:szCs w:val="22"/>
        </w:rPr>
      </w:pPr>
      <w:r w:rsidRPr="00505292">
        <w:rPr>
          <w:rFonts w:ascii="Arial" w:hAnsi="Arial" w:cs="Arial"/>
          <w:sz w:val="22"/>
          <w:szCs w:val="22"/>
        </w:rPr>
        <w:t xml:space="preserve">There is no specific treatment for an overdose with </w:t>
      </w:r>
      <w:proofErr w:type="spellStart"/>
      <w:r w:rsidR="00FC5329">
        <w:rPr>
          <w:rFonts w:ascii="Arial" w:hAnsi="Arial" w:cs="Arial"/>
          <w:sz w:val="22"/>
          <w:szCs w:val="22"/>
        </w:rPr>
        <w:t>Breo</w:t>
      </w:r>
      <w:proofErr w:type="spellEnd"/>
      <w:r w:rsidR="00FC5329">
        <w:rPr>
          <w:rFonts w:ascii="Arial" w:hAnsi="Arial" w:cs="Arial"/>
          <w:sz w:val="22"/>
          <w:szCs w:val="22"/>
        </w:rPr>
        <w:t xml:space="preserve"> </w:t>
      </w:r>
      <w:proofErr w:type="spellStart"/>
      <w:r w:rsidR="00FC5329">
        <w:rPr>
          <w:rFonts w:ascii="Arial" w:hAnsi="Arial" w:cs="Arial"/>
          <w:sz w:val="22"/>
          <w:szCs w:val="22"/>
        </w:rPr>
        <w:t>Ellipta</w:t>
      </w:r>
      <w:proofErr w:type="spellEnd"/>
      <w:r w:rsidRPr="00505292">
        <w:rPr>
          <w:rFonts w:ascii="Arial" w:hAnsi="Arial" w:cs="Arial"/>
          <w:sz w:val="22"/>
          <w:szCs w:val="22"/>
        </w:rPr>
        <w:t>. If overdose occurs, the patient should be treated supportively with appro</w:t>
      </w:r>
      <w:r w:rsidR="005C33DF">
        <w:rPr>
          <w:rFonts w:ascii="Arial" w:hAnsi="Arial" w:cs="Arial"/>
          <w:sz w:val="22"/>
          <w:szCs w:val="22"/>
        </w:rPr>
        <w:t>priate monitoring as necessary.</w:t>
      </w:r>
    </w:p>
    <w:p w:rsidR="00D05EDE" w:rsidRPr="00505292" w:rsidRDefault="00D05EDE" w:rsidP="000961AD">
      <w:pPr>
        <w:spacing w:after="240"/>
        <w:rPr>
          <w:rFonts w:ascii="Arial" w:hAnsi="Arial" w:cs="Arial"/>
          <w:sz w:val="22"/>
          <w:szCs w:val="22"/>
          <w:lang w:val="en-US"/>
        </w:rPr>
      </w:pPr>
      <w:proofErr w:type="spellStart"/>
      <w:r w:rsidRPr="00505292">
        <w:rPr>
          <w:rFonts w:ascii="Arial" w:hAnsi="Arial" w:cs="Arial"/>
          <w:sz w:val="22"/>
          <w:szCs w:val="22"/>
          <w:lang w:val="en-US"/>
        </w:rPr>
        <w:t>Cardioselective</w:t>
      </w:r>
      <w:proofErr w:type="spellEnd"/>
      <w:r w:rsidRPr="00505292">
        <w:rPr>
          <w:rFonts w:ascii="Arial" w:hAnsi="Arial" w:cs="Arial"/>
          <w:sz w:val="22"/>
          <w:szCs w:val="22"/>
          <w:lang w:val="en-US"/>
        </w:rPr>
        <w:t xml:space="preserve"> beta-blockade should only be considered for profound </w:t>
      </w:r>
      <w:proofErr w:type="spellStart"/>
      <w:r w:rsidRPr="00505292">
        <w:rPr>
          <w:rFonts w:ascii="Arial" w:hAnsi="Arial" w:cs="Arial"/>
          <w:sz w:val="22"/>
          <w:szCs w:val="22"/>
          <w:lang w:val="en-US"/>
        </w:rPr>
        <w:t>vilanterol</w:t>
      </w:r>
      <w:proofErr w:type="spellEnd"/>
      <w:r w:rsidRPr="00505292">
        <w:rPr>
          <w:rFonts w:ascii="Arial" w:hAnsi="Arial" w:cs="Arial"/>
          <w:sz w:val="22"/>
          <w:szCs w:val="22"/>
          <w:lang w:val="en-US"/>
        </w:rPr>
        <w:t xml:space="preserve"> overdose effects that are clinically concerning and unresponsive to supportive measures. </w:t>
      </w:r>
      <w:proofErr w:type="spellStart"/>
      <w:r w:rsidRPr="00505292">
        <w:rPr>
          <w:rFonts w:ascii="Arial" w:hAnsi="Arial" w:cs="Arial"/>
          <w:sz w:val="22"/>
          <w:szCs w:val="22"/>
          <w:lang w:val="en-US"/>
        </w:rPr>
        <w:t>Cardioselective</w:t>
      </w:r>
      <w:proofErr w:type="spellEnd"/>
      <w:r w:rsidRPr="00505292">
        <w:rPr>
          <w:rFonts w:ascii="Arial" w:hAnsi="Arial" w:cs="Arial"/>
          <w:sz w:val="22"/>
          <w:szCs w:val="22"/>
          <w:lang w:val="en-US"/>
        </w:rPr>
        <w:t xml:space="preserve"> beta-blocking drugs should be used with caution in patients with a history of bronchospasm.</w:t>
      </w:r>
    </w:p>
    <w:p w:rsidR="004F640B" w:rsidRPr="00505292" w:rsidRDefault="00D05EDE" w:rsidP="000961AD">
      <w:pPr>
        <w:spacing w:after="240"/>
        <w:rPr>
          <w:rFonts w:ascii="Arial" w:hAnsi="Arial" w:cs="Arial"/>
          <w:sz w:val="22"/>
          <w:szCs w:val="22"/>
          <w:lang w:val="en"/>
        </w:rPr>
      </w:pPr>
      <w:r w:rsidRPr="00505292">
        <w:rPr>
          <w:rFonts w:ascii="Arial" w:hAnsi="Arial" w:cs="Arial"/>
          <w:sz w:val="22"/>
          <w:szCs w:val="22"/>
        </w:rPr>
        <w:t>Further management should be as clinically indicated</w:t>
      </w:r>
      <w:r w:rsidR="00505292">
        <w:rPr>
          <w:rFonts w:ascii="Arial" w:hAnsi="Arial" w:cs="Arial"/>
          <w:sz w:val="22"/>
          <w:szCs w:val="22"/>
        </w:rPr>
        <w:t xml:space="preserve">.  </w:t>
      </w:r>
      <w:r w:rsidR="004F640B" w:rsidRPr="00505292">
        <w:rPr>
          <w:rFonts w:ascii="Arial" w:hAnsi="Arial" w:cs="Arial"/>
          <w:sz w:val="22"/>
          <w:szCs w:val="22"/>
          <w:lang w:val="en"/>
        </w:rPr>
        <w:t>For information on the management of overdose, contact the Poison Information Centre on 131126 (Australia).</w:t>
      </w:r>
    </w:p>
    <w:p w:rsidR="0077380F" w:rsidRPr="007835FF" w:rsidRDefault="0077380F" w:rsidP="000961AD">
      <w:pPr>
        <w:spacing w:after="240"/>
        <w:jc w:val="both"/>
        <w:rPr>
          <w:rFonts w:ascii="Arial" w:hAnsi="Arial" w:cs="Arial"/>
          <w:b/>
          <w:sz w:val="22"/>
          <w:szCs w:val="22"/>
        </w:rPr>
      </w:pPr>
      <w:r w:rsidRPr="007835FF">
        <w:rPr>
          <w:rFonts w:ascii="Arial" w:hAnsi="Arial" w:cs="Arial"/>
          <w:b/>
          <w:sz w:val="22"/>
          <w:szCs w:val="22"/>
        </w:rPr>
        <w:t xml:space="preserve">PRESENTATION </w:t>
      </w:r>
      <w:smartTag w:uri="urn:schemas-microsoft-com:office:smarttags" w:element="stockticker">
        <w:r w:rsidRPr="007835FF">
          <w:rPr>
            <w:rFonts w:ascii="Arial" w:hAnsi="Arial" w:cs="Arial"/>
            <w:b/>
            <w:sz w:val="22"/>
            <w:szCs w:val="22"/>
          </w:rPr>
          <w:t>AND</w:t>
        </w:r>
      </w:smartTag>
      <w:r w:rsidRPr="007835FF">
        <w:rPr>
          <w:rFonts w:ascii="Arial" w:hAnsi="Arial" w:cs="Arial"/>
          <w:b/>
          <w:sz w:val="22"/>
          <w:szCs w:val="22"/>
        </w:rPr>
        <w:t xml:space="preserve"> STORAGE CONDITIONS</w:t>
      </w:r>
    </w:p>
    <w:p w:rsidR="005D552F" w:rsidRPr="00577F75" w:rsidRDefault="005D552F" w:rsidP="000961AD">
      <w:pPr>
        <w:spacing w:after="240"/>
        <w:jc w:val="both"/>
        <w:rPr>
          <w:rFonts w:ascii="Arial" w:hAnsi="Arial" w:cs="Arial"/>
          <w:b/>
          <w:sz w:val="22"/>
          <w:szCs w:val="22"/>
        </w:rPr>
      </w:pPr>
      <w:r w:rsidRPr="00577F75">
        <w:rPr>
          <w:rFonts w:ascii="Arial" w:hAnsi="Arial" w:cs="Arial"/>
          <w:b/>
          <w:sz w:val="22"/>
          <w:szCs w:val="22"/>
        </w:rPr>
        <w:t>Storage</w:t>
      </w:r>
    </w:p>
    <w:p w:rsidR="008B687B" w:rsidRDefault="005D552F" w:rsidP="008B687B">
      <w:pPr>
        <w:spacing w:after="240"/>
        <w:jc w:val="both"/>
        <w:rPr>
          <w:rFonts w:ascii="Arial" w:hAnsi="Arial" w:cs="Arial"/>
          <w:sz w:val="22"/>
          <w:szCs w:val="22"/>
          <w:highlight w:val="yellow"/>
        </w:rPr>
      </w:pPr>
      <w:r w:rsidRPr="00577F75">
        <w:rPr>
          <w:rFonts w:ascii="Arial" w:hAnsi="Arial" w:cs="Arial"/>
          <w:sz w:val="22"/>
          <w:szCs w:val="22"/>
        </w:rPr>
        <w:t>Store below 30</w:t>
      </w:r>
      <w:r w:rsidRPr="00577F75">
        <w:rPr>
          <w:rFonts w:ascii="Arial" w:hAnsi="Arial" w:cs="Arial"/>
          <w:sz w:val="22"/>
          <w:szCs w:val="22"/>
          <w:vertAlign w:val="superscript"/>
        </w:rPr>
        <w:t>o</w:t>
      </w:r>
      <w:r w:rsidRPr="00577F75">
        <w:rPr>
          <w:rFonts w:ascii="Arial" w:hAnsi="Arial" w:cs="Arial"/>
          <w:sz w:val="22"/>
          <w:szCs w:val="22"/>
        </w:rPr>
        <w:t>C.</w:t>
      </w:r>
      <w:r w:rsidR="008B687B" w:rsidRPr="008B687B">
        <w:rPr>
          <w:rFonts w:ascii="Arial" w:hAnsi="Arial" w:cs="Arial"/>
          <w:sz w:val="22"/>
          <w:szCs w:val="22"/>
          <w:highlight w:val="yellow"/>
        </w:rPr>
        <w:t xml:space="preserve"> </w:t>
      </w:r>
    </w:p>
    <w:p w:rsidR="008B687B" w:rsidRPr="007F46AC" w:rsidRDefault="007F46AC" w:rsidP="008B687B">
      <w:pPr>
        <w:spacing w:after="240"/>
        <w:jc w:val="both"/>
        <w:rPr>
          <w:rFonts w:ascii="Arial" w:hAnsi="Arial" w:cs="Arial"/>
          <w:sz w:val="22"/>
        </w:rPr>
      </w:pPr>
      <w:r w:rsidRPr="007F46AC">
        <w:rPr>
          <w:rFonts w:ascii="Arial" w:hAnsi="Arial" w:cs="Arial"/>
          <w:sz w:val="22"/>
        </w:rPr>
        <w:t>Following removal from the tray, the product may be stored for a maximum period of</w:t>
      </w:r>
      <w:r w:rsidR="008B687B" w:rsidRPr="007F46AC">
        <w:rPr>
          <w:rFonts w:ascii="Arial" w:hAnsi="Arial" w:cs="Arial"/>
          <w:sz w:val="22"/>
        </w:rPr>
        <w:t xml:space="preserve"> </w:t>
      </w:r>
      <w:r w:rsidR="00B95879" w:rsidRPr="007F46AC">
        <w:rPr>
          <w:rFonts w:ascii="Arial" w:hAnsi="Arial" w:cs="Arial"/>
          <w:sz w:val="22"/>
        </w:rPr>
        <w:t>1 month</w:t>
      </w:r>
      <w:r>
        <w:rPr>
          <w:rFonts w:ascii="Arial" w:hAnsi="Arial" w:cs="Arial"/>
          <w:sz w:val="22"/>
        </w:rPr>
        <w:t>.</w:t>
      </w:r>
    </w:p>
    <w:p w:rsidR="005D552F" w:rsidRPr="007835FF" w:rsidRDefault="005D552F" w:rsidP="000961AD">
      <w:pPr>
        <w:spacing w:after="240"/>
        <w:jc w:val="both"/>
        <w:rPr>
          <w:rFonts w:ascii="Arial" w:hAnsi="Arial" w:cs="Arial"/>
          <w:b/>
          <w:sz w:val="22"/>
          <w:szCs w:val="22"/>
        </w:rPr>
      </w:pPr>
      <w:r w:rsidRPr="007835FF">
        <w:rPr>
          <w:rFonts w:ascii="Arial" w:hAnsi="Arial" w:cs="Arial"/>
          <w:b/>
          <w:sz w:val="22"/>
          <w:szCs w:val="22"/>
        </w:rPr>
        <w:t>Nature and Contents of Container</w:t>
      </w:r>
    </w:p>
    <w:p w:rsidR="00505292" w:rsidRPr="00505292" w:rsidRDefault="00505292" w:rsidP="000961AD">
      <w:pPr>
        <w:shd w:val="clear" w:color="auto" w:fill="FFFFFF"/>
        <w:tabs>
          <w:tab w:val="left" w:pos="1620"/>
          <w:tab w:val="left" w:pos="2880"/>
        </w:tabs>
        <w:spacing w:after="240"/>
        <w:rPr>
          <w:rFonts w:ascii="Arial" w:hAnsi="Arial" w:cs="Arial"/>
          <w:sz w:val="22"/>
        </w:rPr>
      </w:pPr>
      <w:r w:rsidRPr="00505292">
        <w:rPr>
          <w:rFonts w:ascii="Arial" w:hAnsi="Arial" w:cs="Arial"/>
          <w:sz w:val="22"/>
        </w:rPr>
        <w:t xml:space="preserve">Moulded plastic device containing </w:t>
      </w:r>
      <w:r w:rsidR="001E4FB9">
        <w:rPr>
          <w:rFonts w:ascii="Arial" w:hAnsi="Arial" w:cs="Arial"/>
          <w:sz w:val="22"/>
        </w:rPr>
        <w:t>two double</w:t>
      </w:r>
      <w:r w:rsidRPr="00505292">
        <w:rPr>
          <w:rFonts w:ascii="Arial" w:hAnsi="Arial" w:cs="Arial"/>
          <w:sz w:val="22"/>
        </w:rPr>
        <w:t xml:space="preserve"> foil </w:t>
      </w:r>
      <w:r w:rsidR="001E4FB9">
        <w:rPr>
          <w:rFonts w:ascii="Arial" w:hAnsi="Arial" w:cs="Arial"/>
          <w:sz w:val="22"/>
        </w:rPr>
        <w:t xml:space="preserve">blister </w:t>
      </w:r>
      <w:r w:rsidRPr="00505292">
        <w:rPr>
          <w:rFonts w:ascii="Arial" w:hAnsi="Arial" w:cs="Arial"/>
          <w:sz w:val="22"/>
        </w:rPr>
        <w:t>strip</w:t>
      </w:r>
      <w:r w:rsidR="001E4FB9">
        <w:rPr>
          <w:rFonts w:ascii="Arial" w:hAnsi="Arial" w:cs="Arial"/>
          <w:sz w:val="22"/>
        </w:rPr>
        <w:t xml:space="preserve">s.  Each foil strip contains </w:t>
      </w:r>
      <w:r w:rsidRPr="00505292">
        <w:rPr>
          <w:rFonts w:ascii="Arial" w:hAnsi="Arial" w:cs="Arial"/>
          <w:sz w:val="22"/>
        </w:rPr>
        <w:t xml:space="preserve">14 or 30 regularly distributed blisters </w:t>
      </w:r>
      <w:r w:rsidR="001E4FB9">
        <w:rPr>
          <w:rFonts w:ascii="Arial" w:hAnsi="Arial" w:cs="Arial"/>
          <w:sz w:val="22"/>
        </w:rPr>
        <w:t xml:space="preserve">with one strip </w:t>
      </w:r>
      <w:r w:rsidRPr="00505292">
        <w:rPr>
          <w:rFonts w:ascii="Arial" w:hAnsi="Arial" w:cs="Arial"/>
          <w:sz w:val="22"/>
        </w:rPr>
        <w:t xml:space="preserve">containing </w:t>
      </w:r>
      <w:r w:rsidRPr="00505292">
        <w:rPr>
          <w:rFonts w:ascii="Arial" w:hAnsi="Arial" w:cs="Arial"/>
          <w:sz w:val="22"/>
          <w:szCs w:val="22"/>
        </w:rPr>
        <w:t>a powder formulation of</w:t>
      </w:r>
      <w:r w:rsidRPr="00505292">
        <w:rPr>
          <w:rFonts w:ascii="Arial" w:hAnsi="Arial" w:cs="Arial"/>
          <w:color w:val="008000"/>
          <w:sz w:val="22"/>
          <w:szCs w:val="22"/>
        </w:rPr>
        <w:t xml:space="preserve"> </w:t>
      </w:r>
      <w:r w:rsidRPr="00505292">
        <w:rPr>
          <w:rFonts w:ascii="Arial" w:hAnsi="Arial" w:cs="Arial"/>
          <w:sz w:val="22"/>
        </w:rPr>
        <w:t xml:space="preserve">100 micrograms of fluticasone </w:t>
      </w:r>
      <w:proofErr w:type="spellStart"/>
      <w:r w:rsidRPr="00505292">
        <w:rPr>
          <w:rFonts w:ascii="Arial" w:hAnsi="Arial" w:cs="Arial"/>
          <w:sz w:val="22"/>
        </w:rPr>
        <w:t>furoate</w:t>
      </w:r>
      <w:proofErr w:type="spellEnd"/>
      <w:r w:rsidRPr="00505292">
        <w:rPr>
          <w:rFonts w:ascii="Arial" w:hAnsi="Arial" w:cs="Arial"/>
          <w:sz w:val="22"/>
        </w:rPr>
        <w:t xml:space="preserve"> and </w:t>
      </w:r>
      <w:r w:rsidR="001E4FB9">
        <w:rPr>
          <w:rFonts w:ascii="Arial" w:hAnsi="Arial" w:cs="Arial"/>
          <w:sz w:val="22"/>
        </w:rPr>
        <w:t xml:space="preserve">the other strip </w:t>
      </w:r>
      <w:r w:rsidR="007F46AC">
        <w:rPr>
          <w:rFonts w:ascii="Arial" w:hAnsi="Arial" w:cs="Arial"/>
          <w:sz w:val="22"/>
        </w:rPr>
        <w:t xml:space="preserve">containing </w:t>
      </w:r>
      <w:r w:rsidRPr="00505292">
        <w:rPr>
          <w:rFonts w:ascii="Arial" w:hAnsi="Arial" w:cs="Arial"/>
          <w:sz w:val="22"/>
        </w:rPr>
        <w:t xml:space="preserve">25 micrograms of </w:t>
      </w:r>
      <w:proofErr w:type="spellStart"/>
      <w:r w:rsidRPr="00505292">
        <w:rPr>
          <w:rFonts w:ascii="Arial" w:hAnsi="Arial" w:cs="Arial"/>
          <w:sz w:val="22"/>
        </w:rPr>
        <w:t>vilanterol</w:t>
      </w:r>
      <w:proofErr w:type="spellEnd"/>
      <w:r w:rsidRPr="00505292">
        <w:rPr>
          <w:rFonts w:ascii="Arial" w:hAnsi="Arial" w:cs="Arial"/>
          <w:sz w:val="22"/>
        </w:rPr>
        <w:t xml:space="preserve"> (as </w:t>
      </w:r>
      <w:proofErr w:type="spellStart"/>
      <w:r w:rsidRPr="00505292">
        <w:rPr>
          <w:rFonts w:ascii="Arial" w:hAnsi="Arial" w:cs="Arial"/>
          <w:sz w:val="22"/>
        </w:rPr>
        <w:t>trifenatate</w:t>
      </w:r>
      <w:proofErr w:type="spellEnd"/>
      <w:r w:rsidRPr="00874A6E">
        <w:rPr>
          <w:rFonts w:ascii="Arial" w:hAnsi="Arial" w:cs="Arial"/>
          <w:sz w:val="22"/>
          <w:szCs w:val="22"/>
        </w:rPr>
        <w:t>).</w:t>
      </w:r>
      <w:r w:rsidR="00874A6E" w:rsidRPr="00874A6E">
        <w:rPr>
          <w:rFonts w:ascii="Arial" w:hAnsi="Arial" w:cs="Arial"/>
          <w:sz w:val="22"/>
          <w:szCs w:val="22"/>
        </w:rPr>
        <w:t xml:space="preserve">  Each delivered dose (the dose leaving the mouthpiece) contains of 92 </w:t>
      </w:r>
      <w:r w:rsidR="00874A6E" w:rsidRPr="00874A6E">
        <w:rPr>
          <w:rFonts w:ascii="Arial" w:eastAsia="MS Mincho" w:hAnsi="Arial" w:cs="Arial"/>
          <w:sz w:val="22"/>
          <w:szCs w:val="22"/>
          <w:lang w:val="en-US"/>
        </w:rPr>
        <w:t>micrograms</w:t>
      </w:r>
      <w:r w:rsidR="00874A6E" w:rsidRPr="00874A6E">
        <w:rPr>
          <w:rFonts w:ascii="Arial" w:hAnsi="Arial" w:cs="Arial"/>
          <w:sz w:val="22"/>
          <w:szCs w:val="22"/>
        </w:rPr>
        <w:t xml:space="preserve"> of </w:t>
      </w:r>
      <w:r w:rsidR="00874A6E" w:rsidRPr="00874A6E">
        <w:rPr>
          <w:rFonts w:ascii="Arial" w:eastAsia="MS Mincho" w:hAnsi="Arial" w:cs="Arial"/>
          <w:sz w:val="22"/>
          <w:szCs w:val="22"/>
          <w:lang w:val="en-US"/>
        </w:rPr>
        <w:t xml:space="preserve">fluticasone </w:t>
      </w:r>
      <w:proofErr w:type="spellStart"/>
      <w:r w:rsidR="00874A6E" w:rsidRPr="00874A6E">
        <w:rPr>
          <w:rFonts w:ascii="Arial" w:eastAsia="MS Mincho" w:hAnsi="Arial" w:cs="Arial"/>
          <w:sz w:val="22"/>
          <w:szCs w:val="22"/>
          <w:lang w:val="en-US"/>
        </w:rPr>
        <w:t>furoate</w:t>
      </w:r>
      <w:proofErr w:type="spellEnd"/>
      <w:r w:rsidR="00874A6E" w:rsidRPr="00874A6E">
        <w:rPr>
          <w:rFonts w:ascii="Arial" w:eastAsia="MS Mincho" w:hAnsi="Arial" w:cs="Arial"/>
          <w:sz w:val="22"/>
          <w:szCs w:val="22"/>
          <w:lang w:val="en-US"/>
        </w:rPr>
        <w:t xml:space="preserve"> and </w:t>
      </w:r>
      <w:r w:rsidR="00874A6E" w:rsidRPr="00874A6E">
        <w:rPr>
          <w:rFonts w:ascii="Arial" w:hAnsi="Arial" w:cs="Arial"/>
          <w:sz w:val="22"/>
          <w:szCs w:val="22"/>
        </w:rPr>
        <w:t>22 </w:t>
      </w:r>
      <w:r w:rsidR="00874A6E" w:rsidRPr="00874A6E">
        <w:rPr>
          <w:rFonts w:ascii="Arial" w:eastAsia="MS Mincho" w:hAnsi="Arial" w:cs="Arial"/>
          <w:sz w:val="22"/>
          <w:szCs w:val="22"/>
          <w:lang w:val="en-US"/>
        </w:rPr>
        <w:t>micrograms of</w:t>
      </w:r>
      <w:r w:rsidR="00874A6E" w:rsidRPr="00874A6E">
        <w:rPr>
          <w:rFonts w:ascii="Arial" w:hAnsi="Arial" w:cs="Arial"/>
          <w:sz w:val="22"/>
          <w:szCs w:val="22"/>
        </w:rPr>
        <w:t xml:space="preserve"> </w:t>
      </w:r>
      <w:proofErr w:type="spellStart"/>
      <w:r w:rsidR="00874A6E" w:rsidRPr="00874A6E">
        <w:rPr>
          <w:rFonts w:ascii="Arial" w:eastAsia="MS Mincho" w:hAnsi="Arial" w:cs="Arial"/>
          <w:sz w:val="22"/>
          <w:szCs w:val="22"/>
          <w:lang w:val="en-US"/>
        </w:rPr>
        <w:t>vilanterol</w:t>
      </w:r>
      <w:proofErr w:type="spellEnd"/>
      <w:r w:rsidR="00874A6E" w:rsidRPr="00874A6E">
        <w:rPr>
          <w:rFonts w:ascii="Arial" w:eastAsia="MS Mincho" w:hAnsi="Arial" w:cs="Arial"/>
          <w:sz w:val="22"/>
          <w:szCs w:val="22"/>
          <w:lang w:val="en-US"/>
        </w:rPr>
        <w:t xml:space="preserve"> (as </w:t>
      </w:r>
      <w:proofErr w:type="spellStart"/>
      <w:r w:rsidR="00874A6E" w:rsidRPr="00874A6E">
        <w:rPr>
          <w:rFonts w:ascii="Arial" w:eastAsia="MS Mincho" w:hAnsi="Arial" w:cs="Arial"/>
          <w:sz w:val="22"/>
          <w:szCs w:val="22"/>
          <w:lang w:val="en-US"/>
        </w:rPr>
        <w:t>trifenatate</w:t>
      </w:r>
      <w:proofErr w:type="spellEnd"/>
      <w:r w:rsidR="00874A6E" w:rsidRPr="00874A6E">
        <w:rPr>
          <w:rFonts w:ascii="Arial" w:eastAsia="MS Mincho" w:hAnsi="Arial" w:cs="Arial"/>
          <w:sz w:val="22"/>
          <w:szCs w:val="22"/>
          <w:lang w:val="en-US"/>
        </w:rPr>
        <w:t>).</w:t>
      </w:r>
    </w:p>
    <w:p w:rsidR="00505292" w:rsidRPr="00F41910" w:rsidRDefault="00505292" w:rsidP="000961AD">
      <w:pPr>
        <w:shd w:val="clear" w:color="auto" w:fill="FFFFFF"/>
        <w:tabs>
          <w:tab w:val="left" w:pos="1620"/>
          <w:tab w:val="left" w:pos="2880"/>
        </w:tabs>
        <w:spacing w:after="240"/>
        <w:rPr>
          <w:rFonts w:ascii="Arial" w:hAnsi="Arial" w:cs="Arial"/>
          <w:sz w:val="22"/>
        </w:rPr>
      </w:pPr>
      <w:r w:rsidRPr="00505292">
        <w:rPr>
          <w:rFonts w:ascii="Arial" w:hAnsi="Arial" w:cs="Arial"/>
          <w:sz w:val="22"/>
        </w:rPr>
        <w:t xml:space="preserve">Moulded plastic device containing </w:t>
      </w:r>
      <w:r w:rsidR="007F46AC">
        <w:rPr>
          <w:rFonts w:ascii="Arial" w:hAnsi="Arial" w:cs="Arial"/>
          <w:sz w:val="22"/>
        </w:rPr>
        <w:t>two</w:t>
      </w:r>
      <w:r w:rsidRPr="00505292">
        <w:rPr>
          <w:rFonts w:ascii="Arial" w:hAnsi="Arial" w:cs="Arial"/>
          <w:sz w:val="22"/>
        </w:rPr>
        <w:t xml:space="preserve"> </w:t>
      </w:r>
      <w:r w:rsidR="007F46AC">
        <w:rPr>
          <w:rFonts w:ascii="Arial" w:hAnsi="Arial" w:cs="Arial"/>
          <w:sz w:val="22"/>
        </w:rPr>
        <w:t xml:space="preserve">double </w:t>
      </w:r>
      <w:r w:rsidRPr="00505292">
        <w:rPr>
          <w:rFonts w:ascii="Arial" w:hAnsi="Arial" w:cs="Arial"/>
          <w:sz w:val="22"/>
        </w:rPr>
        <w:t xml:space="preserve">foil </w:t>
      </w:r>
      <w:r w:rsidR="007F46AC">
        <w:rPr>
          <w:rFonts w:ascii="Arial" w:hAnsi="Arial" w:cs="Arial"/>
          <w:sz w:val="22"/>
        </w:rPr>
        <w:t xml:space="preserve">blister </w:t>
      </w:r>
      <w:r w:rsidRPr="00505292">
        <w:rPr>
          <w:rFonts w:ascii="Arial" w:hAnsi="Arial" w:cs="Arial"/>
          <w:sz w:val="22"/>
        </w:rPr>
        <w:t>strip</w:t>
      </w:r>
      <w:r w:rsidR="007F46AC">
        <w:rPr>
          <w:rFonts w:ascii="Arial" w:hAnsi="Arial" w:cs="Arial"/>
          <w:sz w:val="22"/>
        </w:rPr>
        <w:t>s.  Each foil strip contains</w:t>
      </w:r>
      <w:r w:rsidRPr="00505292">
        <w:rPr>
          <w:rFonts w:ascii="Arial" w:hAnsi="Arial" w:cs="Arial"/>
          <w:sz w:val="22"/>
        </w:rPr>
        <w:t xml:space="preserve"> 14 or 30 regularly distributed blisters </w:t>
      </w:r>
      <w:r w:rsidR="007F46AC">
        <w:rPr>
          <w:rFonts w:ascii="Arial" w:hAnsi="Arial" w:cs="Arial"/>
          <w:sz w:val="22"/>
        </w:rPr>
        <w:t>with one strip</w:t>
      </w:r>
      <w:r w:rsidRPr="00505292">
        <w:rPr>
          <w:rFonts w:ascii="Arial" w:hAnsi="Arial" w:cs="Arial"/>
          <w:sz w:val="22"/>
        </w:rPr>
        <w:t xml:space="preserve"> containing </w:t>
      </w:r>
      <w:r w:rsidRPr="00505292">
        <w:rPr>
          <w:rFonts w:ascii="Arial" w:hAnsi="Arial" w:cs="Arial"/>
          <w:sz w:val="22"/>
          <w:szCs w:val="22"/>
        </w:rPr>
        <w:t xml:space="preserve">a powder formulation </w:t>
      </w:r>
      <w:r w:rsidRPr="00F41910">
        <w:rPr>
          <w:rFonts w:ascii="Arial" w:hAnsi="Arial" w:cs="Arial"/>
          <w:sz w:val="22"/>
          <w:szCs w:val="22"/>
        </w:rPr>
        <w:t xml:space="preserve">of </w:t>
      </w:r>
      <w:r w:rsidRPr="00F41910">
        <w:rPr>
          <w:rFonts w:ascii="Arial" w:hAnsi="Arial" w:cs="Arial"/>
          <w:sz w:val="22"/>
        </w:rPr>
        <w:t xml:space="preserve">200 </w:t>
      </w:r>
      <w:r w:rsidRPr="00F41910">
        <w:rPr>
          <w:rFonts w:ascii="Arial" w:hAnsi="Arial" w:cs="Arial"/>
          <w:sz w:val="22"/>
        </w:rPr>
        <w:lastRenderedPageBreak/>
        <w:t xml:space="preserve">micrograms of fluticasone </w:t>
      </w:r>
      <w:proofErr w:type="spellStart"/>
      <w:r w:rsidRPr="00F41910">
        <w:rPr>
          <w:rFonts w:ascii="Arial" w:hAnsi="Arial" w:cs="Arial"/>
          <w:sz w:val="22"/>
        </w:rPr>
        <w:t>furoate</w:t>
      </w:r>
      <w:proofErr w:type="spellEnd"/>
      <w:r w:rsidRPr="00F41910">
        <w:rPr>
          <w:rFonts w:ascii="Arial" w:hAnsi="Arial" w:cs="Arial"/>
          <w:sz w:val="22"/>
        </w:rPr>
        <w:t xml:space="preserve"> and </w:t>
      </w:r>
      <w:r w:rsidR="007F46AC">
        <w:rPr>
          <w:rFonts w:ascii="Arial" w:hAnsi="Arial" w:cs="Arial"/>
          <w:sz w:val="22"/>
        </w:rPr>
        <w:t xml:space="preserve">the other strip containing </w:t>
      </w:r>
      <w:r w:rsidRPr="00F41910">
        <w:rPr>
          <w:rFonts w:ascii="Arial" w:hAnsi="Arial" w:cs="Arial"/>
          <w:sz w:val="22"/>
        </w:rPr>
        <w:t xml:space="preserve">25 micrograms of </w:t>
      </w:r>
      <w:proofErr w:type="spellStart"/>
      <w:r w:rsidRPr="00F41910">
        <w:rPr>
          <w:rFonts w:ascii="Arial" w:hAnsi="Arial" w:cs="Arial"/>
          <w:sz w:val="22"/>
        </w:rPr>
        <w:t>vilanterol</w:t>
      </w:r>
      <w:proofErr w:type="spellEnd"/>
      <w:r w:rsidRPr="00F41910">
        <w:rPr>
          <w:rFonts w:ascii="Arial" w:hAnsi="Arial" w:cs="Arial"/>
          <w:sz w:val="22"/>
        </w:rPr>
        <w:t xml:space="preserve"> (as </w:t>
      </w:r>
      <w:proofErr w:type="spellStart"/>
      <w:r w:rsidRPr="00F41910">
        <w:rPr>
          <w:rFonts w:ascii="Arial" w:hAnsi="Arial" w:cs="Arial"/>
          <w:sz w:val="22"/>
        </w:rPr>
        <w:t>trifenatate</w:t>
      </w:r>
      <w:proofErr w:type="spellEnd"/>
      <w:r w:rsidRPr="00F41910">
        <w:rPr>
          <w:rFonts w:ascii="Arial" w:hAnsi="Arial" w:cs="Arial"/>
          <w:sz w:val="22"/>
        </w:rPr>
        <w:t>).</w:t>
      </w:r>
      <w:r w:rsidR="00874A6E">
        <w:rPr>
          <w:rFonts w:ascii="Arial" w:hAnsi="Arial" w:cs="Arial"/>
          <w:sz w:val="22"/>
        </w:rPr>
        <w:t xml:space="preserve"> </w:t>
      </w:r>
      <w:r w:rsidR="00874A6E" w:rsidRPr="00874A6E">
        <w:rPr>
          <w:rFonts w:ascii="Arial" w:hAnsi="Arial" w:cs="Arial"/>
          <w:sz w:val="22"/>
          <w:szCs w:val="22"/>
        </w:rPr>
        <w:t xml:space="preserve"> Each delivered dose (the dose leaving the mouthpiece) contains of </w:t>
      </w:r>
      <w:r w:rsidR="00874A6E">
        <w:rPr>
          <w:rFonts w:ascii="Arial" w:hAnsi="Arial" w:cs="Arial"/>
          <w:sz w:val="22"/>
          <w:szCs w:val="22"/>
        </w:rPr>
        <w:t>184</w:t>
      </w:r>
      <w:r w:rsidR="00874A6E" w:rsidRPr="00874A6E">
        <w:rPr>
          <w:rFonts w:ascii="Arial" w:hAnsi="Arial" w:cs="Arial"/>
          <w:sz w:val="22"/>
          <w:szCs w:val="22"/>
        </w:rPr>
        <w:t> </w:t>
      </w:r>
      <w:r w:rsidR="00874A6E" w:rsidRPr="00874A6E">
        <w:rPr>
          <w:rFonts w:ascii="Arial" w:eastAsia="MS Mincho" w:hAnsi="Arial" w:cs="Arial"/>
          <w:sz w:val="22"/>
          <w:szCs w:val="22"/>
          <w:lang w:val="en-US"/>
        </w:rPr>
        <w:t>micrograms</w:t>
      </w:r>
      <w:r w:rsidR="00874A6E" w:rsidRPr="00874A6E">
        <w:rPr>
          <w:rFonts w:ascii="Arial" w:hAnsi="Arial" w:cs="Arial"/>
          <w:sz w:val="22"/>
          <w:szCs w:val="22"/>
        </w:rPr>
        <w:t xml:space="preserve"> of </w:t>
      </w:r>
      <w:r w:rsidR="00874A6E" w:rsidRPr="00874A6E">
        <w:rPr>
          <w:rFonts w:ascii="Arial" w:eastAsia="MS Mincho" w:hAnsi="Arial" w:cs="Arial"/>
          <w:sz w:val="22"/>
          <w:szCs w:val="22"/>
          <w:lang w:val="en-US"/>
        </w:rPr>
        <w:t xml:space="preserve">fluticasone </w:t>
      </w:r>
      <w:proofErr w:type="spellStart"/>
      <w:r w:rsidR="00874A6E" w:rsidRPr="00874A6E">
        <w:rPr>
          <w:rFonts w:ascii="Arial" w:eastAsia="MS Mincho" w:hAnsi="Arial" w:cs="Arial"/>
          <w:sz w:val="22"/>
          <w:szCs w:val="22"/>
          <w:lang w:val="en-US"/>
        </w:rPr>
        <w:t>furoate</w:t>
      </w:r>
      <w:proofErr w:type="spellEnd"/>
      <w:r w:rsidR="00874A6E" w:rsidRPr="00874A6E">
        <w:rPr>
          <w:rFonts w:ascii="Arial" w:eastAsia="MS Mincho" w:hAnsi="Arial" w:cs="Arial"/>
          <w:sz w:val="22"/>
          <w:szCs w:val="22"/>
          <w:lang w:val="en-US"/>
        </w:rPr>
        <w:t xml:space="preserve"> and </w:t>
      </w:r>
      <w:r w:rsidR="00874A6E" w:rsidRPr="00874A6E">
        <w:rPr>
          <w:rFonts w:ascii="Arial" w:hAnsi="Arial" w:cs="Arial"/>
          <w:sz w:val="22"/>
          <w:szCs w:val="22"/>
        </w:rPr>
        <w:t>22 </w:t>
      </w:r>
      <w:r w:rsidR="00874A6E" w:rsidRPr="00874A6E">
        <w:rPr>
          <w:rFonts w:ascii="Arial" w:eastAsia="MS Mincho" w:hAnsi="Arial" w:cs="Arial"/>
          <w:sz w:val="22"/>
          <w:szCs w:val="22"/>
          <w:lang w:val="en-US"/>
        </w:rPr>
        <w:t>micrograms of</w:t>
      </w:r>
      <w:r w:rsidR="00874A6E" w:rsidRPr="00874A6E">
        <w:rPr>
          <w:rFonts w:ascii="Arial" w:hAnsi="Arial" w:cs="Arial"/>
          <w:sz w:val="22"/>
          <w:szCs w:val="22"/>
        </w:rPr>
        <w:t xml:space="preserve"> </w:t>
      </w:r>
      <w:proofErr w:type="spellStart"/>
      <w:r w:rsidR="00874A6E" w:rsidRPr="00874A6E">
        <w:rPr>
          <w:rFonts w:ascii="Arial" w:eastAsia="MS Mincho" w:hAnsi="Arial" w:cs="Arial"/>
          <w:sz w:val="22"/>
          <w:szCs w:val="22"/>
          <w:lang w:val="en-US"/>
        </w:rPr>
        <w:t>vilanterol</w:t>
      </w:r>
      <w:proofErr w:type="spellEnd"/>
      <w:r w:rsidR="00874A6E" w:rsidRPr="00874A6E">
        <w:rPr>
          <w:rFonts w:ascii="Arial" w:eastAsia="MS Mincho" w:hAnsi="Arial" w:cs="Arial"/>
          <w:sz w:val="22"/>
          <w:szCs w:val="22"/>
          <w:lang w:val="en-US"/>
        </w:rPr>
        <w:t xml:space="preserve"> (as </w:t>
      </w:r>
      <w:proofErr w:type="spellStart"/>
      <w:r w:rsidR="00874A6E" w:rsidRPr="00874A6E">
        <w:rPr>
          <w:rFonts w:ascii="Arial" w:eastAsia="MS Mincho" w:hAnsi="Arial" w:cs="Arial"/>
          <w:sz w:val="22"/>
          <w:szCs w:val="22"/>
          <w:lang w:val="en-US"/>
        </w:rPr>
        <w:t>trifenatate</w:t>
      </w:r>
      <w:proofErr w:type="spellEnd"/>
      <w:r w:rsidR="00874A6E" w:rsidRPr="00874A6E">
        <w:rPr>
          <w:rFonts w:ascii="Arial" w:eastAsia="MS Mincho" w:hAnsi="Arial" w:cs="Arial"/>
          <w:sz w:val="22"/>
          <w:szCs w:val="22"/>
          <w:lang w:val="en-US"/>
        </w:rPr>
        <w:t>).</w:t>
      </w:r>
    </w:p>
    <w:p w:rsidR="007424F4" w:rsidRDefault="00E8070F" w:rsidP="000961AD">
      <w:pPr>
        <w:spacing w:after="240"/>
        <w:jc w:val="both"/>
        <w:rPr>
          <w:rFonts w:ascii="Arial" w:hAnsi="Arial" w:cs="Arial"/>
          <w:sz w:val="22"/>
          <w:szCs w:val="22"/>
        </w:rPr>
      </w:pPr>
      <w:r w:rsidRPr="00F41910">
        <w:rPr>
          <w:rFonts w:ascii="Arial" w:hAnsi="Arial" w:cs="Arial"/>
          <w:sz w:val="22"/>
          <w:szCs w:val="22"/>
        </w:rPr>
        <w:t xml:space="preserve">Not all </w:t>
      </w:r>
      <w:r w:rsidR="0095734D" w:rsidRPr="00F41910">
        <w:rPr>
          <w:rFonts w:ascii="Arial" w:hAnsi="Arial" w:cs="Arial"/>
          <w:sz w:val="22"/>
          <w:szCs w:val="22"/>
        </w:rPr>
        <w:t>pack sizes</w:t>
      </w:r>
      <w:r w:rsidRPr="00F41910">
        <w:rPr>
          <w:rFonts w:ascii="Arial" w:hAnsi="Arial" w:cs="Arial"/>
          <w:sz w:val="22"/>
          <w:szCs w:val="22"/>
        </w:rPr>
        <w:t xml:space="preserve"> may</w:t>
      </w:r>
      <w:r w:rsidR="0095734D" w:rsidRPr="00F41910">
        <w:rPr>
          <w:rFonts w:ascii="Arial" w:hAnsi="Arial" w:cs="Arial"/>
          <w:sz w:val="22"/>
          <w:szCs w:val="22"/>
        </w:rPr>
        <w:t xml:space="preserve"> </w:t>
      </w:r>
      <w:r w:rsidRPr="00F41910">
        <w:rPr>
          <w:rFonts w:ascii="Arial" w:hAnsi="Arial" w:cs="Arial"/>
          <w:sz w:val="22"/>
          <w:szCs w:val="22"/>
        </w:rPr>
        <w:t xml:space="preserve">be </w:t>
      </w:r>
      <w:r w:rsidR="0095734D" w:rsidRPr="00F41910">
        <w:rPr>
          <w:rFonts w:ascii="Arial" w:hAnsi="Arial" w:cs="Arial"/>
          <w:sz w:val="22"/>
          <w:szCs w:val="22"/>
        </w:rPr>
        <w:t>distributed</w:t>
      </w:r>
      <w:r w:rsidRPr="00F41910">
        <w:rPr>
          <w:rFonts w:ascii="Arial" w:hAnsi="Arial" w:cs="Arial"/>
          <w:sz w:val="22"/>
          <w:szCs w:val="22"/>
        </w:rPr>
        <w:t xml:space="preserve"> in Australia.</w:t>
      </w:r>
    </w:p>
    <w:p w:rsidR="0077380F" w:rsidRPr="007835FF" w:rsidRDefault="0077380F" w:rsidP="00C74D6B">
      <w:pPr>
        <w:keepNext/>
        <w:spacing w:after="240"/>
        <w:jc w:val="both"/>
        <w:rPr>
          <w:rFonts w:ascii="Arial" w:hAnsi="Arial" w:cs="Arial"/>
          <w:b/>
          <w:sz w:val="22"/>
          <w:szCs w:val="22"/>
        </w:rPr>
      </w:pPr>
      <w:r w:rsidRPr="007835FF">
        <w:rPr>
          <w:rFonts w:ascii="Arial" w:hAnsi="Arial" w:cs="Arial"/>
          <w:b/>
          <w:sz w:val="22"/>
          <w:szCs w:val="22"/>
        </w:rPr>
        <w:t xml:space="preserve">NAME </w:t>
      </w:r>
      <w:smartTag w:uri="urn:schemas-microsoft-com:office:smarttags" w:element="stockticker">
        <w:r w:rsidRPr="007835FF">
          <w:rPr>
            <w:rFonts w:ascii="Arial" w:hAnsi="Arial" w:cs="Arial"/>
            <w:b/>
            <w:sz w:val="22"/>
            <w:szCs w:val="22"/>
          </w:rPr>
          <w:t>AND</w:t>
        </w:r>
      </w:smartTag>
      <w:r w:rsidRPr="007835FF">
        <w:rPr>
          <w:rFonts w:ascii="Arial" w:hAnsi="Arial" w:cs="Arial"/>
          <w:b/>
          <w:sz w:val="22"/>
          <w:szCs w:val="22"/>
        </w:rPr>
        <w:t xml:space="preserve"> ADDRESS OF THE SPONSOR</w:t>
      </w:r>
    </w:p>
    <w:p w:rsidR="003A21A0" w:rsidRPr="007835FF" w:rsidRDefault="003A21A0" w:rsidP="00C74D6B">
      <w:pPr>
        <w:keepNext/>
        <w:jc w:val="both"/>
        <w:rPr>
          <w:rFonts w:ascii="Arial" w:hAnsi="Arial" w:cs="Arial"/>
          <w:sz w:val="22"/>
        </w:rPr>
      </w:pPr>
      <w:r w:rsidRPr="007835FF">
        <w:rPr>
          <w:rFonts w:ascii="Arial" w:hAnsi="Arial" w:cs="Arial"/>
          <w:sz w:val="22"/>
        </w:rPr>
        <w:t>GlaxoSmithKline Australia Pty Ltd,</w:t>
      </w:r>
    </w:p>
    <w:p w:rsidR="003A21A0" w:rsidRPr="007835FF" w:rsidRDefault="003A21A0" w:rsidP="00C74D6B">
      <w:pPr>
        <w:keepNext/>
        <w:rPr>
          <w:rStyle w:val="HTMLTypewriter"/>
          <w:rFonts w:ascii="Arial" w:hAnsi="Arial" w:cs="Arial"/>
          <w:color w:val="000000"/>
          <w:sz w:val="22"/>
          <w:szCs w:val="22"/>
        </w:rPr>
      </w:pPr>
      <w:r w:rsidRPr="007835FF">
        <w:rPr>
          <w:rStyle w:val="HTMLTypewriter"/>
          <w:rFonts w:ascii="Arial" w:hAnsi="Arial" w:cs="Arial"/>
          <w:color w:val="000000"/>
          <w:sz w:val="22"/>
          <w:szCs w:val="22"/>
        </w:rPr>
        <w:t xml:space="preserve">Level 4, </w:t>
      </w:r>
    </w:p>
    <w:p w:rsidR="003A21A0" w:rsidRPr="007835FF" w:rsidRDefault="003A21A0" w:rsidP="00C74D6B">
      <w:pPr>
        <w:keepNext/>
        <w:rPr>
          <w:rStyle w:val="HTMLTypewriter"/>
          <w:rFonts w:ascii="Arial" w:hAnsi="Arial" w:cs="Arial"/>
          <w:color w:val="000000"/>
          <w:sz w:val="22"/>
          <w:szCs w:val="22"/>
        </w:rPr>
      </w:pPr>
      <w:r w:rsidRPr="007835FF">
        <w:rPr>
          <w:rStyle w:val="HTMLTypewriter"/>
          <w:rFonts w:ascii="Arial" w:hAnsi="Arial" w:cs="Arial"/>
          <w:color w:val="000000"/>
          <w:sz w:val="22"/>
          <w:szCs w:val="22"/>
        </w:rPr>
        <w:t xml:space="preserve">436 Johnston Street, </w:t>
      </w:r>
    </w:p>
    <w:p w:rsidR="00E8070F" w:rsidRPr="00F41910" w:rsidRDefault="003A21A0" w:rsidP="00C74D6B">
      <w:pPr>
        <w:keepNext/>
        <w:jc w:val="both"/>
        <w:rPr>
          <w:rFonts w:ascii="Arial" w:hAnsi="Arial" w:cs="Arial"/>
          <w:sz w:val="22"/>
          <w:szCs w:val="22"/>
        </w:rPr>
      </w:pPr>
      <w:r w:rsidRPr="00F41910">
        <w:rPr>
          <w:rStyle w:val="HTMLTypewriter"/>
          <w:rFonts w:ascii="Arial" w:hAnsi="Arial" w:cs="Arial"/>
          <w:color w:val="000000"/>
          <w:sz w:val="22"/>
          <w:szCs w:val="22"/>
        </w:rPr>
        <w:t>Abbotsford, Victoria, 3067</w:t>
      </w:r>
    </w:p>
    <w:p w:rsidR="005D552F" w:rsidRPr="00F41910" w:rsidRDefault="005D552F" w:rsidP="000961AD">
      <w:pPr>
        <w:spacing w:after="240"/>
        <w:jc w:val="both"/>
        <w:rPr>
          <w:rFonts w:ascii="Arial" w:hAnsi="Arial" w:cs="Arial"/>
          <w:sz w:val="22"/>
          <w:szCs w:val="22"/>
        </w:rPr>
      </w:pPr>
    </w:p>
    <w:p w:rsidR="00053893" w:rsidRPr="00F41910" w:rsidRDefault="00D06FFC" w:rsidP="000961AD">
      <w:pPr>
        <w:spacing w:after="240"/>
        <w:jc w:val="both"/>
        <w:rPr>
          <w:rFonts w:ascii="Arial" w:hAnsi="Arial" w:cs="Arial"/>
          <w:b/>
          <w:sz w:val="22"/>
          <w:szCs w:val="22"/>
        </w:rPr>
      </w:pPr>
      <w:r w:rsidRPr="00F41910">
        <w:rPr>
          <w:rFonts w:ascii="Arial" w:hAnsi="Arial" w:cs="Arial"/>
          <w:b/>
          <w:sz w:val="22"/>
          <w:szCs w:val="22"/>
        </w:rPr>
        <w:t>POISON SCHEDULE OF THE MEDICINE</w:t>
      </w:r>
    </w:p>
    <w:p w:rsidR="00571510" w:rsidRPr="00F41910" w:rsidRDefault="00053893" w:rsidP="000961AD">
      <w:pPr>
        <w:spacing w:after="240"/>
        <w:jc w:val="both"/>
        <w:rPr>
          <w:rFonts w:ascii="Arial" w:hAnsi="Arial" w:cs="Arial"/>
          <w:color w:val="000000"/>
          <w:sz w:val="22"/>
          <w:szCs w:val="22"/>
        </w:rPr>
      </w:pPr>
      <w:r w:rsidRPr="00F41910">
        <w:rPr>
          <w:rFonts w:ascii="Arial" w:hAnsi="Arial" w:cs="Arial"/>
          <w:color w:val="000000"/>
          <w:sz w:val="22"/>
          <w:szCs w:val="22"/>
        </w:rPr>
        <w:t>Schedule 4 – Prescription Only Medicine</w:t>
      </w:r>
    </w:p>
    <w:p w:rsidR="00AE6CE8" w:rsidRDefault="00AE6CE8" w:rsidP="00AE6CE8">
      <w:pPr>
        <w:rPr>
          <w:rFonts w:ascii="Arial" w:hAnsi="Arial" w:cs="Arial"/>
          <w:b/>
          <w:sz w:val="22"/>
          <w:szCs w:val="22"/>
        </w:rPr>
      </w:pPr>
      <w:r>
        <w:br w:type="page"/>
      </w:r>
      <w:r w:rsidRPr="007424F4">
        <w:rPr>
          <w:rFonts w:ascii="Arial" w:hAnsi="Arial" w:cs="Arial"/>
          <w:b/>
          <w:sz w:val="22"/>
          <w:szCs w:val="22"/>
        </w:rPr>
        <w:lastRenderedPageBreak/>
        <w:t>Step by step instructions</w:t>
      </w:r>
    </w:p>
    <w:p w:rsidR="00AE6CE8" w:rsidRPr="007424F4" w:rsidRDefault="00AE6CE8" w:rsidP="00AE6CE8">
      <w:pPr>
        <w:rPr>
          <w:rFonts w:ascii="Arial" w:hAnsi="Arial" w:cs="Arial"/>
          <w:b/>
          <w:sz w:val="22"/>
          <w:szCs w:val="22"/>
        </w:rPr>
      </w:pPr>
    </w:p>
    <w:p w:rsidR="00AE6CE8" w:rsidRPr="00FC1C7A" w:rsidRDefault="00AE6CE8" w:rsidP="00AE6CE8">
      <w:pPr>
        <w:autoSpaceDE w:val="0"/>
        <w:autoSpaceDN w:val="0"/>
        <w:adjustRightInd w:val="0"/>
        <w:spacing w:after="120"/>
        <w:rPr>
          <w:rFonts w:ascii="Arial" w:hAnsi="Arial" w:cs="Arial"/>
          <w:sz w:val="22"/>
          <w:szCs w:val="22"/>
          <w:u w:val="single"/>
        </w:rPr>
      </w:pPr>
      <w:r w:rsidRPr="00FC1C7A">
        <w:rPr>
          <w:rFonts w:ascii="Arial" w:hAnsi="Arial" w:cs="Arial"/>
          <w:sz w:val="22"/>
          <w:szCs w:val="22"/>
          <w:u w:val="single"/>
        </w:rPr>
        <w:t xml:space="preserve">What is the </w:t>
      </w:r>
      <w:proofErr w:type="spellStart"/>
      <w:r w:rsidRPr="00FC1C7A">
        <w:rPr>
          <w:rFonts w:ascii="Arial" w:hAnsi="Arial" w:cs="Arial"/>
          <w:sz w:val="22"/>
          <w:szCs w:val="22"/>
          <w:u w:val="single"/>
        </w:rPr>
        <w:t>Ellipta</w:t>
      </w:r>
      <w:proofErr w:type="spellEnd"/>
      <w:r w:rsidRPr="00FC1C7A">
        <w:rPr>
          <w:rFonts w:ascii="Arial" w:hAnsi="Arial" w:cs="Arial"/>
          <w:sz w:val="22"/>
          <w:szCs w:val="22"/>
          <w:u w:val="single"/>
        </w:rPr>
        <w:t xml:space="preserve"> inhaler?</w:t>
      </w:r>
    </w:p>
    <w:p w:rsidR="00AE6CE8" w:rsidRPr="007424F4" w:rsidRDefault="00AE6CE8" w:rsidP="00AE6CE8">
      <w:pPr>
        <w:rPr>
          <w:rFonts w:ascii="Arial" w:hAnsi="Arial" w:cs="Arial"/>
          <w:bCs/>
          <w:iCs/>
          <w:sz w:val="22"/>
          <w:szCs w:val="22"/>
        </w:rPr>
      </w:pPr>
      <w:r w:rsidRPr="007424F4">
        <w:rPr>
          <w:rFonts w:ascii="Arial" w:hAnsi="Arial" w:cs="Arial"/>
          <w:bCs/>
          <w:iCs/>
          <w:sz w:val="22"/>
          <w:szCs w:val="22"/>
        </w:rPr>
        <w:t xml:space="preserve">When you first use the </w:t>
      </w:r>
      <w:proofErr w:type="spellStart"/>
      <w:r w:rsidRPr="007424F4">
        <w:rPr>
          <w:rFonts w:ascii="Arial" w:hAnsi="Arial" w:cs="Arial"/>
          <w:bCs/>
          <w:iCs/>
          <w:sz w:val="22"/>
          <w:szCs w:val="22"/>
        </w:rPr>
        <w:t>Ellipta</w:t>
      </w:r>
      <w:proofErr w:type="spellEnd"/>
      <w:r w:rsidRPr="007424F4">
        <w:rPr>
          <w:rFonts w:ascii="Arial" w:hAnsi="Arial" w:cs="Arial"/>
          <w:bCs/>
          <w:iCs/>
          <w:sz w:val="22"/>
          <w:szCs w:val="22"/>
        </w:rPr>
        <w:t xml:space="preserve"> inhaler you do not need to check that it is working properly, and you do not need to prepare it for use in any special way. Just follow these step-by-step instructions.</w:t>
      </w:r>
    </w:p>
    <w:p w:rsidR="00AE6CE8" w:rsidRPr="007424F4" w:rsidRDefault="00AE6CE8" w:rsidP="00AE6CE8">
      <w:pPr>
        <w:spacing w:before="80" w:after="120"/>
        <w:rPr>
          <w:rFonts w:ascii="Arial" w:hAnsi="Arial" w:cs="Arial"/>
          <w:bCs/>
          <w:iCs/>
          <w:sz w:val="22"/>
          <w:szCs w:val="22"/>
        </w:rPr>
      </w:pPr>
      <w:r w:rsidRPr="007424F4">
        <w:rPr>
          <w:rFonts w:ascii="Arial" w:hAnsi="Arial" w:cs="Arial"/>
          <w:bCs/>
          <w:iCs/>
          <w:sz w:val="22"/>
          <w:szCs w:val="22"/>
        </w:rPr>
        <w:t xml:space="preserve">The inhaler is packaged in a tray containing a </w:t>
      </w:r>
      <w:r w:rsidRPr="007424F4">
        <w:rPr>
          <w:rFonts w:ascii="Arial" w:hAnsi="Arial" w:cs="Arial"/>
          <w:bCs/>
          <w:i/>
          <w:iCs/>
          <w:sz w:val="22"/>
          <w:szCs w:val="22"/>
        </w:rPr>
        <w:t>desiccant</w:t>
      </w:r>
      <w:r w:rsidRPr="007424F4">
        <w:rPr>
          <w:rFonts w:ascii="Arial" w:hAnsi="Arial" w:cs="Arial"/>
          <w:bCs/>
          <w:iCs/>
          <w:sz w:val="22"/>
          <w:szCs w:val="22"/>
        </w:rPr>
        <w:t xml:space="preserve"> sachet, to reduce moisture. Throw this sachet away -don’t eat or inhale it.</w:t>
      </w:r>
    </w:p>
    <w:p w:rsidR="00AE6CE8" w:rsidRDefault="00AE6CE8" w:rsidP="00AE6CE8">
      <w:pPr>
        <w:spacing w:before="80" w:after="120"/>
        <w:rPr>
          <w:rFonts w:ascii="Arial" w:hAnsi="Arial" w:cs="Arial"/>
          <w:b/>
          <w:bCs/>
          <w:iCs/>
          <w:sz w:val="22"/>
          <w:szCs w:val="22"/>
        </w:rPr>
      </w:pPr>
      <w:r w:rsidRPr="007424F4">
        <w:rPr>
          <w:rFonts w:ascii="Arial" w:hAnsi="Arial" w:cs="Arial"/>
          <w:bCs/>
          <w:iCs/>
          <w:sz w:val="22"/>
          <w:szCs w:val="22"/>
        </w:rPr>
        <w:t xml:space="preserve">When you take the inhaler out of its box, it will be in the ‘closed’ position. </w:t>
      </w:r>
      <w:r w:rsidRPr="007424F4">
        <w:rPr>
          <w:rFonts w:ascii="Arial" w:hAnsi="Arial" w:cs="Arial"/>
          <w:b/>
          <w:bCs/>
          <w:iCs/>
          <w:sz w:val="22"/>
          <w:szCs w:val="22"/>
        </w:rPr>
        <w:t>Don’t open it until you are ready to inhale a dose of medicine.</w:t>
      </w:r>
    </w:p>
    <w:p w:rsidR="00AE6CE8" w:rsidRPr="007424F4" w:rsidRDefault="00AE6CE8" w:rsidP="00AE6CE8">
      <w:pPr>
        <w:spacing w:after="120"/>
        <w:rPr>
          <w:rFonts w:ascii="Arial" w:hAnsi="Arial" w:cs="Arial"/>
          <w:bCs/>
          <w:iCs/>
          <w:sz w:val="22"/>
        </w:rPr>
      </w:pPr>
      <w:r w:rsidRPr="007424F4">
        <w:rPr>
          <w:rFonts w:ascii="Arial" w:hAnsi="Arial" w:cs="Arial"/>
          <w:bCs/>
          <w:iCs/>
          <w:sz w:val="22"/>
        </w:rPr>
        <w:t xml:space="preserve">The </w:t>
      </w:r>
      <w:r w:rsidRPr="007424F4">
        <w:rPr>
          <w:rFonts w:ascii="Arial" w:hAnsi="Arial" w:cs="Arial"/>
          <w:bCs/>
          <w:iCs/>
          <w:sz w:val="22"/>
          <w:lang w:val="en-GB"/>
        </w:rPr>
        <w:t xml:space="preserve">step-by-step </w:t>
      </w:r>
      <w:r w:rsidRPr="007424F4">
        <w:rPr>
          <w:rFonts w:ascii="Arial" w:hAnsi="Arial" w:cs="Arial"/>
          <w:bCs/>
          <w:iCs/>
          <w:sz w:val="22"/>
        </w:rPr>
        <w:t xml:space="preserve">instructions shown below for the 30-dose </w:t>
      </w:r>
      <w:proofErr w:type="spellStart"/>
      <w:r w:rsidRPr="007424F4">
        <w:rPr>
          <w:rFonts w:ascii="Arial" w:hAnsi="Arial" w:cs="Arial"/>
          <w:bCs/>
          <w:iCs/>
          <w:sz w:val="22"/>
        </w:rPr>
        <w:t>Ellipta</w:t>
      </w:r>
      <w:proofErr w:type="spellEnd"/>
      <w:r w:rsidRPr="007424F4">
        <w:rPr>
          <w:rFonts w:ascii="Arial" w:hAnsi="Arial" w:cs="Arial"/>
          <w:bCs/>
          <w:iCs/>
          <w:sz w:val="22"/>
        </w:rPr>
        <w:t xml:space="preserve"> inhaler also apply to the 14</w:t>
      </w:r>
      <w:r w:rsidRPr="007424F4">
        <w:rPr>
          <w:rFonts w:ascii="Arial" w:hAnsi="Arial" w:cs="Arial"/>
          <w:bCs/>
          <w:iCs/>
          <w:sz w:val="22"/>
        </w:rPr>
        <w:noBreakHyphen/>
        <w:t xml:space="preserve">dose </w:t>
      </w:r>
      <w:proofErr w:type="spellStart"/>
      <w:r w:rsidRPr="007424F4">
        <w:rPr>
          <w:rFonts w:ascii="Arial" w:hAnsi="Arial" w:cs="Arial"/>
          <w:bCs/>
          <w:iCs/>
          <w:sz w:val="22"/>
        </w:rPr>
        <w:t>Ellipta</w:t>
      </w:r>
      <w:proofErr w:type="spellEnd"/>
      <w:r w:rsidRPr="007424F4">
        <w:rPr>
          <w:rFonts w:ascii="Arial" w:hAnsi="Arial" w:cs="Arial"/>
          <w:bCs/>
          <w:iCs/>
          <w:sz w:val="22"/>
        </w:rPr>
        <w:t xml:space="preserve"> inhaler.</w:t>
      </w:r>
    </w:p>
    <w:p w:rsidR="00AE6CE8" w:rsidRPr="00704D7E" w:rsidRDefault="00AE6CE8" w:rsidP="00AE6CE8">
      <w:pPr>
        <w:pStyle w:val="NoNumHead2"/>
        <w:tabs>
          <w:tab w:val="left" w:pos="397"/>
          <w:tab w:val="left" w:pos="567"/>
        </w:tabs>
        <w:spacing w:before="360" w:after="120"/>
        <w:rPr>
          <w:b w:val="0"/>
          <w:sz w:val="22"/>
          <w:szCs w:val="22"/>
          <w:u w:val="single"/>
        </w:rPr>
      </w:pPr>
      <w:r w:rsidRPr="00704D7E">
        <w:rPr>
          <w:b w:val="0"/>
          <w:sz w:val="22"/>
          <w:szCs w:val="22"/>
          <w:u w:val="single"/>
        </w:rPr>
        <w:t>Step 1: Read this before you start</w:t>
      </w:r>
    </w:p>
    <w:p w:rsidR="00AE6CE8" w:rsidRPr="007424F4" w:rsidRDefault="00AE6CE8" w:rsidP="00AE6CE8">
      <w:pPr>
        <w:pStyle w:val="Warning"/>
        <w:numPr>
          <w:ilvl w:val="0"/>
          <w:numId w:val="0"/>
        </w:numPr>
        <w:ind w:left="357" w:hanging="357"/>
        <w:rPr>
          <w:rFonts w:ascii="Arial" w:hAnsi="Arial" w:cs="Arial"/>
          <w:sz w:val="22"/>
          <w:szCs w:val="22"/>
        </w:rPr>
      </w:pPr>
      <w:r w:rsidRPr="007424F4">
        <w:rPr>
          <w:rFonts w:ascii="Arial" w:hAnsi="Arial" w:cs="Arial"/>
          <w:sz w:val="22"/>
          <w:szCs w:val="22"/>
        </w:rPr>
        <w:t>!</w:t>
      </w:r>
      <w:r w:rsidRPr="007424F4">
        <w:rPr>
          <w:rFonts w:ascii="Arial" w:hAnsi="Arial" w:cs="Arial"/>
          <w:sz w:val="22"/>
          <w:szCs w:val="22"/>
        </w:rPr>
        <w:tab/>
        <w:t xml:space="preserve"> If you open and close the cover without inhaling the medicine, you will lose the dose. </w:t>
      </w:r>
    </w:p>
    <w:p w:rsidR="00AE6CE8" w:rsidRPr="007424F4" w:rsidRDefault="00AE6CE8" w:rsidP="00AE6CE8">
      <w:pPr>
        <w:rPr>
          <w:rFonts w:ascii="Arial" w:hAnsi="Arial" w:cs="Arial"/>
          <w:sz w:val="22"/>
          <w:szCs w:val="22"/>
        </w:rPr>
      </w:pPr>
      <w:r w:rsidRPr="007424F4">
        <w:rPr>
          <w:rFonts w:ascii="Arial" w:hAnsi="Arial" w:cs="Arial"/>
          <w:sz w:val="22"/>
          <w:szCs w:val="22"/>
        </w:rPr>
        <w:t>The lost dose will be securely held inside the inhaler, but it will no longer be available.</w:t>
      </w:r>
    </w:p>
    <w:p w:rsidR="00AE6CE8" w:rsidRPr="007424F4" w:rsidRDefault="00AE6CE8" w:rsidP="00AE6CE8">
      <w:pPr>
        <w:rPr>
          <w:rFonts w:ascii="Arial" w:hAnsi="Arial" w:cs="Arial"/>
          <w:sz w:val="22"/>
          <w:szCs w:val="22"/>
        </w:rPr>
      </w:pPr>
      <w:r w:rsidRPr="007424F4">
        <w:rPr>
          <w:rFonts w:ascii="Arial" w:hAnsi="Arial" w:cs="Arial"/>
          <w:sz w:val="22"/>
          <w:szCs w:val="22"/>
        </w:rPr>
        <w:t>It is not possible to accidentally take extra medicine or a double dose in one inhalation.</w:t>
      </w:r>
    </w:p>
    <w:p w:rsidR="00AE6CE8" w:rsidRPr="007424F4" w:rsidRDefault="00AE6CE8" w:rsidP="00AE6CE8">
      <w:pPr>
        <w:pStyle w:val="centheadGDS"/>
      </w:pPr>
    </w:p>
    <w:p w:rsidR="00AE6CE8" w:rsidRPr="007424F4" w:rsidRDefault="001C196C" w:rsidP="00AE6CE8">
      <w:pPr>
        <w:pStyle w:val="centheadGDS"/>
      </w:pPr>
      <w:r>
        <w:rPr>
          <w:b/>
          <w:i/>
          <w:color w:val="FF0000"/>
          <w:lang w:val="en-AU" w:eastAsia="en-AU"/>
        </w:rPr>
        <w:drawing>
          <wp:inline distT="0" distB="0" distL="0" distR="0">
            <wp:extent cx="3821430" cy="2682875"/>
            <wp:effectExtent l="0" t="0" r="7620" b="3175"/>
            <wp:docPr id="3" name="Picture 3" descr="Ellipta_step1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lipta_step1_dia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2682875"/>
                    </a:xfrm>
                    <a:prstGeom prst="rect">
                      <a:avLst/>
                    </a:prstGeom>
                    <a:noFill/>
                    <a:ln>
                      <a:noFill/>
                    </a:ln>
                  </pic:spPr>
                </pic:pic>
              </a:graphicData>
            </a:graphic>
          </wp:inline>
        </w:drawing>
      </w:r>
    </w:p>
    <w:p w:rsidR="00AE6CE8" w:rsidRPr="007424F4" w:rsidRDefault="00AE6CE8" w:rsidP="00AE6CE8">
      <w:pPr>
        <w:pStyle w:val="centheadGDS"/>
      </w:pPr>
    </w:p>
    <w:p w:rsidR="005C33DF" w:rsidRDefault="005C33DF">
      <w:pPr>
        <w:rPr>
          <w:rFonts w:ascii="Arial" w:hAnsi="Arial" w:cs="Arial"/>
          <w:noProof/>
          <w:sz w:val="22"/>
          <w:szCs w:val="22"/>
          <w:u w:val="single"/>
          <w:lang w:val="en-GB" w:eastAsia="en-GB"/>
        </w:rPr>
      </w:pPr>
      <w:r>
        <w:rPr>
          <w:u w:val="single"/>
        </w:rPr>
        <w:br w:type="page"/>
      </w:r>
    </w:p>
    <w:p w:rsidR="00AE6CE8" w:rsidRPr="003A726C" w:rsidRDefault="005C33DF" w:rsidP="00AE6CE8">
      <w:pPr>
        <w:pStyle w:val="centheadGDS"/>
        <w:rPr>
          <w:u w:val="single"/>
        </w:rPr>
      </w:pPr>
      <w:r>
        <w:rPr>
          <w:u w:val="single"/>
        </w:rPr>
        <w:lastRenderedPageBreak/>
        <w:t>Step 2: Prepare a dose</w:t>
      </w:r>
    </w:p>
    <w:p w:rsidR="00AE6CE8" w:rsidRPr="007424F4" w:rsidRDefault="00AE6CE8" w:rsidP="00AE6CE8">
      <w:pPr>
        <w:pStyle w:val="Warning"/>
        <w:numPr>
          <w:ilvl w:val="0"/>
          <w:numId w:val="0"/>
        </w:numPr>
        <w:ind w:left="357" w:hanging="357"/>
        <w:rPr>
          <w:rFonts w:ascii="Arial" w:hAnsi="Arial" w:cs="Arial"/>
          <w:sz w:val="22"/>
          <w:szCs w:val="22"/>
        </w:rPr>
      </w:pPr>
      <w:r w:rsidRPr="007424F4">
        <w:rPr>
          <w:rFonts w:ascii="Arial" w:hAnsi="Arial" w:cs="Arial"/>
          <w:sz w:val="22"/>
          <w:szCs w:val="22"/>
        </w:rPr>
        <w:t>!</w:t>
      </w:r>
      <w:r w:rsidRPr="007424F4">
        <w:rPr>
          <w:rFonts w:ascii="Arial" w:hAnsi="Arial" w:cs="Arial"/>
          <w:sz w:val="22"/>
          <w:szCs w:val="22"/>
        </w:rPr>
        <w:tab/>
        <w:t>Wait to open the cover until you are ready to take your dose. Do not shake the inhaler.</w:t>
      </w:r>
    </w:p>
    <w:p w:rsidR="00AE6CE8" w:rsidRPr="00FC1C7A" w:rsidRDefault="00AE6CE8" w:rsidP="00AE6CE8">
      <w:pPr>
        <w:numPr>
          <w:ilvl w:val="0"/>
          <w:numId w:val="32"/>
        </w:numPr>
        <w:tabs>
          <w:tab w:val="left" w:pos="567"/>
        </w:tabs>
        <w:spacing w:line="260" w:lineRule="exact"/>
        <w:rPr>
          <w:rFonts w:ascii="Arial" w:hAnsi="Arial" w:cs="Arial"/>
          <w:sz w:val="22"/>
          <w:szCs w:val="22"/>
        </w:rPr>
      </w:pPr>
      <w:r w:rsidRPr="00FC1C7A">
        <w:rPr>
          <w:rFonts w:ascii="Arial" w:hAnsi="Arial" w:cs="Arial"/>
          <w:sz w:val="22"/>
          <w:szCs w:val="22"/>
        </w:rPr>
        <w:t>Slide the cover down until you hear a “click”.</w:t>
      </w:r>
    </w:p>
    <w:p w:rsidR="00AE6CE8" w:rsidRPr="007424F4" w:rsidRDefault="001C196C" w:rsidP="00AE6CE8">
      <w:pPr>
        <w:pStyle w:val="Warning"/>
        <w:numPr>
          <w:ilvl w:val="0"/>
          <w:numId w:val="0"/>
        </w:numPr>
        <w:rPr>
          <w:rFonts w:ascii="Arial" w:hAnsi="Arial" w:cs="Arial"/>
          <w:sz w:val="22"/>
          <w:szCs w:val="22"/>
        </w:rPr>
      </w:pPr>
      <w:r>
        <w:rPr>
          <w:b w:val="0"/>
          <w:i/>
          <w:noProof/>
          <w:color w:val="FF0000"/>
          <w:lang w:val="en-AU" w:eastAsia="en-AU"/>
        </w:rPr>
        <w:drawing>
          <wp:inline distT="0" distB="0" distL="0" distR="0">
            <wp:extent cx="3390265" cy="2493010"/>
            <wp:effectExtent l="0" t="0" r="635" b="2540"/>
            <wp:docPr id="4" name="Picture 4" descr="Ellipta_step2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lipta_step2_di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265" cy="2493010"/>
                    </a:xfrm>
                    <a:prstGeom prst="rect">
                      <a:avLst/>
                    </a:prstGeom>
                    <a:noFill/>
                    <a:ln>
                      <a:noFill/>
                    </a:ln>
                  </pic:spPr>
                </pic:pic>
              </a:graphicData>
            </a:graphic>
          </wp:inline>
        </w:drawing>
      </w:r>
    </w:p>
    <w:p w:rsidR="00AE6CE8" w:rsidRDefault="00AE6CE8" w:rsidP="00AE6CE8">
      <w:pPr>
        <w:rPr>
          <w:rFonts w:ascii="Arial" w:hAnsi="Arial" w:cs="Arial"/>
          <w:sz w:val="22"/>
          <w:szCs w:val="22"/>
        </w:rPr>
      </w:pPr>
      <w:r w:rsidRPr="007424F4">
        <w:rPr>
          <w:rFonts w:ascii="Arial" w:hAnsi="Arial" w:cs="Arial"/>
          <w:sz w:val="22"/>
          <w:szCs w:val="22"/>
        </w:rPr>
        <w:t>Your medicine is now ready to be inhaled.</w:t>
      </w:r>
    </w:p>
    <w:p w:rsidR="00AE6CE8" w:rsidRPr="007424F4" w:rsidRDefault="00AE6CE8" w:rsidP="00AE6CE8">
      <w:pPr>
        <w:rPr>
          <w:rFonts w:ascii="Arial" w:hAnsi="Arial" w:cs="Arial"/>
          <w:sz w:val="22"/>
          <w:szCs w:val="22"/>
        </w:rPr>
      </w:pPr>
    </w:p>
    <w:p w:rsidR="00AE6CE8" w:rsidRPr="007424F4" w:rsidRDefault="00AE6CE8" w:rsidP="00AE6CE8">
      <w:pPr>
        <w:rPr>
          <w:rFonts w:ascii="Arial" w:hAnsi="Arial" w:cs="Arial"/>
          <w:sz w:val="22"/>
          <w:szCs w:val="22"/>
        </w:rPr>
      </w:pPr>
      <w:r w:rsidRPr="007424F4">
        <w:rPr>
          <w:rFonts w:ascii="Arial" w:hAnsi="Arial" w:cs="Arial"/>
          <w:sz w:val="22"/>
          <w:szCs w:val="22"/>
        </w:rPr>
        <w:t xml:space="preserve">The dose counter counts down by </w:t>
      </w:r>
      <w:r w:rsidRPr="007424F4">
        <w:rPr>
          <w:rFonts w:ascii="Arial" w:hAnsi="Arial" w:cs="Arial"/>
          <w:b/>
          <w:sz w:val="22"/>
          <w:szCs w:val="22"/>
        </w:rPr>
        <w:t>1</w:t>
      </w:r>
      <w:r w:rsidRPr="007424F4">
        <w:rPr>
          <w:rFonts w:ascii="Arial" w:hAnsi="Arial" w:cs="Arial"/>
          <w:sz w:val="22"/>
          <w:szCs w:val="22"/>
        </w:rPr>
        <w:t xml:space="preserve"> to confirm.</w:t>
      </w:r>
    </w:p>
    <w:p w:rsidR="00AE6CE8" w:rsidRPr="007424F4" w:rsidRDefault="00AE6CE8" w:rsidP="00AE6CE8">
      <w:pPr>
        <w:pStyle w:val="Warning"/>
        <w:numPr>
          <w:ilvl w:val="0"/>
          <w:numId w:val="0"/>
        </w:numPr>
        <w:ind w:left="357" w:hanging="357"/>
        <w:rPr>
          <w:rFonts w:ascii="Arial" w:hAnsi="Arial" w:cs="Arial"/>
          <w:sz w:val="22"/>
          <w:szCs w:val="22"/>
        </w:rPr>
      </w:pPr>
      <w:r w:rsidRPr="007424F4">
        <w:rPr>
          <w:rFonts w:ascii="Arial" w:hAnsi="Arial" w:cs="Arial"/>
          <w:sz w:val="22"/>
          <w:szCs w:val="22"/>
        </w:rPr>
        <w:t>!</w:t>
      </w:r>
      <w:r w:rsidRPr="007424F4">
        <w:rPr>
          <w:rFonts w:ascii="Arial" w:hAnsi="Arial" w:cs="Arial"/>
          <w:sz w:val="22"/>
          <w:szCs w:val="22"/>
        </w:rPr>
        <w:tab/>
      </w:r>
      <w:r>
        <w:rPr>
          <w:rFonts w:ascii="Arial" w:hAnsi="Arial" w:cs="Arial"/>
          <w:sz w:val="22"/>
          <w:szCs w:val="22"/>
        </w:rPr>
        <w:t>If the dose counter does not count down as you the “click”, the inhaler will not deliver the medicine</w:t>
      </w:r>
      <w:r w:rsidRPr="007424F4">
        <w:rPr>
          <w:rFonts w:ascii="Arial" w:hAnsi="Arial" w:cs="Arial"/>
          <w:sz w:val="22"/>
          <w:szCs w:val="22"/>
        </w:rPr>
        <w:t xml:space="preserve">. </w:t>
      </w:r>
      <w:r>
        <w:rPr>
          <w:rFonts w:ascii="Arial" w:hAnsi="Arial" w:cs="Arial"/>
          <w:sz w:val="22"/>
          <w:szCs w:val="22"/>
        </w:rPr>
        <w:t xml:space="preserve"> </w:t>
      </w:r>
      <w:r w:rsidRPr="007424F4">
        <w:rPr>
          <w:rFonts w:ascii="Arial" w:hAnsi="Arial" w:cs="Arial"/>
          <w:sz w:val="22"/>
          <w:szCs w:val="22"/>
        </w:rPr>
        <w:t>Take it back to your pharmacist for advice.</w:t>
      </w:r>
    </w:p>
    <w:p w:rsidR="00AE6CE8" w:rsidRPr="007424F4" w:rsidRDefault="00AE6CE8" w:rsidP="00AE6CE8">
      <w:pPr>
        <w:pStyle w:val="Warning"/>
        <w:numPr>
          <w:ilvl w:val="0"/>
          <w:numId w:val="0"/>
        </w:numPr>
        <w:ind w:left="357" w:hanging="357"/>
        <w:rPr>
          <w:rFonts w:ascii="Arial" w:hAnsi="Arial" w:cs="Arial"/>
          <w:sz w:val="22"/>
          <w:szCs w:val="22"/>
        </w:rPr>
      </w:pPr>
      <w:r w:rsidRPr="007424F4">
        <w:rPr>
          <w:rFonts w:ascii="Arial" w:hAnsi="Arial" w:cs="Arial"/>
          <w:sz w:val="22"/>
          <w:szCs w:val="22"/>
        </w:rPr>
        <w:t>!</w:t>
      </w:r>
      <w:r w:rsidRPr="007424F4">
        <w:rPr>
          <w:rFonts w:ascii="Arial" w:hAnsi="Arial" w:cs="Arial"/>
          <w:sz w:val="22"/>
          <w:szCs w:val="22"/>
        </w:rPr>
        <w:tab/>
        <w:t>Do not shake the inhaler at any time.</w:t>
      </w:r>
    </w:p>
    <w:p w:rsidR="00AE6CE8" w:rsidRPr="007424F4" w:rsidRDefault="00AE6CE8" w:rsidP="00AE6CE8">
      <w:pPr>
        <w:rPr>
          <w:rFonts w:ascii="Arial" w:hAnsi="Arial" w:cs="Arial"/>
          <w:sz w:val="22"/>
          <w:szCs w:val="22"/>
        </w:rPr>
      </w:pPr>
    </w:p>
    <w:p w:rsidR="00AE6CE8" w:rsidRPr="00704D7E" w:rsidRDefault="00AE6CE8" w:rsidP="00AE6CE8">
      <w:pPr>
        <w:tabs>
          <w:tab w:val="left" w:pos="567"/>
        </w:tabs>
        <w:spacing w:line="260" w:lineRule="exact"/>
        <w:rPr>
          <w:rFonts w:ascii="Arial" w:hAnsi="Arial" w:cs="Arial"/>
          <w:sz w:val="22"/>
          <w:szCs w:val="22"/>
          <w:u w:val="single"/>
        </w:rPr>
      </w:pPr>
      <w:r w:rsidRPr="00704D7E">
        <w:rPr>
          <w:rFonts w:ascii="Arial" w:hAnsi="Arial" w:cs="Arial"/>
          <w:sz w:val="22"/>
          <w:szCs w:val="22"/>
          <w:u w:val="single"/>
        </w:rPr>
        <w:t>Step 3: Inhale your medicine</w:t>
      </w:r>
    </w:p>
    <w:p w:rsidR="00AE6CE8" w:rsidRPr="007424F4" w:rsidRDefault="00AE6CE8" w:rsidP="00AE6CE8">
      <w:pPr>
        <w:rPr>
          <w:rFonts w:ascii="Arial" w:hAnsi="Arial" w:cs="Arial"/>
          <w:sz w:val="22"/>
          <w:szCs w:val="22"/>
        </w:rPr>
      </w:pPr>
    </w:p>
    <w:p w:rsidR="00AE6CE8" w:rsidRPr="00FC1C7A" w:rsidRDefault="00AE6CE8" w:rsidP="00AE6CE8">
      <w:pPr>
        <w:numPr>
          <w:ilvl w:val="0"/>
          <w:numId w:val="32"/>
        </w:numPr>
        <w:tabs>
          <w:tab w:val="left" w:pos="567"/>
        </w:tabs>
        <w:spacing w:line="260" w:lineRule="exact"/>
        <w:rPr>
          <w:rFonts w:ascii="Arial" w:hAnsi="Arial" w:cs="Arial"/>
          <w:sz w:val="22"/>
          <w:szCs w:val="22"/>
        </w:rPr>
      </w:pPr>
      <w:r w:rsidRPr="007424F4">
        <w:rPr>
          <w:rFonts w:ascii="Arial" w:hAnsi="Arial" w:cs="Arial"/>
          <w:sz w:val="22"/>
          <w:szCs w:val="22"/>
        </w:rPr>
        <w:t xml:space="preserve">While holding the inhaler away from your mouth, breathe out as far as is comfortable. </w:t>
      </w:r>
      <w:r w:rsidRPr="00FC1C7A">
        <w:rPr>
          <w:rFonts w:ascii="Arial" w:hAnsi="Arial" w:cs="Arial"/>
          <w:sz w:val="22"/>
          <w:szCs w:val="22"/>
        </w:rPr>
        <w:t>Don’t breathe out into the inhaler.</w:t>
      </w:r>
    </w:p>
    <w:p w:rsidR="00AE6CE8" w:rsidRPr="00FC1C7A" w:rsidRDefault="00AE6CE8" w:rsidP="00AE6CE8">
      <w:pPr>
        <w:numPr>
          <w:ilvl w:val="0"/>
          <w:numId w:val="32"/>
        </w:numPr>
        <w:tabs>
          <w:tab w:val="left" w:pos="567"/>
        </w:tabs>
        <w:spacing w:line="260" w:lineRule="exact"/>
        <w:rPr>
          <w:rFonts w:ascii="Arial" w:hAnsi="Arial" w:cs="Arial"/>
          <w:sz w:val="22"/>
          <w:szCs w:val="22"/>
        </w:rPr>
      </w:pPr>
      <w:r w:rsidRPr="007424F4">
        <w:rPr>
          <w:rFonts w:ascii="Arial" w:hAnsi="Arial" w:cs="Arial"/>
          <w:sz w:val="22"/>
          <w:szCs w:val="22"/>
        </w:rPr>
        <w:t>Put the mouthpiece between your lips, and close your lips firmly around it.</w:t>
      </w:r>
      <w:r>
        <w:rPr>
          <w:rFonts w:ascii="Arial" w:hAnsi="Arial" w:cs="Arial"/>
          <w:sz w:val="22"/>
          <w:szCs w:val="22"/>
        </w:rPr>
        <w:t xml:space="preserve"> </w:t>
      </w:r>
      <w:r w:rsidRPr="00FC1C7A">
        <w:rPr>
          <w:rFonts w:ascii="Arial" w:hAnsi="Arial" w:cs="Arial"/>
          <w:sz w:val="22"/>
          <w:szCs w:val="22"/>
        </w:rPr>
        <w:t>Don’t block the air vent with your fingers.</w:t>
      </w:r>
    </w:p>
    <w:p w:rsidR="00AE6CE8" w:rsidRPr="007424F4" w:rsidRDefault="00AE6CE8" w:rsidP="00AE6CE8">
      <w:pPr>
        <w:spacing w:before="120"/>
        <w:rPr>
          <w:rFonts w:ascii="Arial" w:hAnsi="Arial" w:cs="Arial"/>
          <w:sz w:val="22"/>
          <w:szCs w:val="22"/>
        </w:rPr>
      </w:pPr>
    </w:p>
    <w:p w:rsidR="00AE6CE8" w:rsidRPr="007424F4" w:rsidRDefault="001C196C" w:rsidP="00AE6CE8">
      <w:pPr>
        <w:pStyle w:val="centheadGDS"/>
      </w:pPr>
      <w:r>
        <w:rPr>
          <w:b/>
          <w:i/>
          <w:color w:val="FF0000"/>
          <w:lang w:val="en-AU" w:eastAsia="en-AU"/>
        </w:rPr>
        <w:drawing>
          <wp:inline distT="0" distB="0" distL="0" distR="0">
            <wp:extent cx="3787140" cy="2078990"/>
            <wp:effectExtent l="0" t="0" r="3810" b="0"/>
            <wp:docPr id="5" name="Picture 5" descr="Ellipta_step3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lipta_step3_dia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140" cy="2078990"/>
                    </a:xfrm>
                    <a:prstGeom prst="rect">
                      <a:avLst/>
                    </a:prstGeom>
                    <a:noFill/>
                    <a:ln>
                      <a:noFill/>
                    </a:ln>
                  </pic:spPr>
                </pic:pic>
              </a:graphicData>
            </a:graphic>
          </wp:inline>
        </w:drawing>
      </w:r>
    </w:p>
    <w:p w:rsidR="00AE6CE8" w:rsidRPr="007424F4" w:rsidRDefault="00AE6CE8" w:rsidP="00AE6CE8">
      <w:pPr>
        <w:pStyle w:val="centheadGDS"/>
      </w:pPr>
    </w:p>
    <w:p w:rsidR="00AE6CE8" w:rsidRPr="00FC1C7A" w:rsidRDefault="00AE6CE8" w:rsidP="00AE6CE8">
      <w:pPr>
        <w:numPr>
          <w:ilvl w:val="0"/>
          <w:numId w:val="28"/>
        </w:numPr>
        <w:tabs>
          <w:tab w:val="left" w:pos="567"/>
        </w:tabs>
        <w:spacing w:line="260" w:lineRule="exact"/>
        <w:rPr>
          <w:rFonts w:ascii="Arial" w:hAnsi="Arial" w:cs="Arial"/>
          <w:sz w:val="22"/>
          <w:szCs w:val="22"/>
        </w:rPr>
      </w:pPr>
      <w:r w:rsidRPr="00FC1C7A">
        <w:rPr>
          <w:rFonts w:ascii="Arial" w:hAnsi="Arial" w:cs="Arial"/>
          <w:sz w:val="22"/>
          <w:szCs w:val="22"/>
        </w:rPr>
        <w:lastRenderedPageBreak/>
        <w:t>Take one long, steady, deep breath in. Hold this breath for as long as possible (about 3-4 seconds).</w:t>
      </w:r>
    </w:p>
    <w:p w:rsidR="00AE6CE8" w:rsidRPr="00FC1C7A" w:rsidRDefault="00AE6CE8" w:rsidP="00AE6CE8">
      <w:pPr>
        <w:ind w:left="927"/>
        <w:rPr>
          <w:rFonts w:ascii="Arial" w:hAnsi="Arial" w:cs="Arial"/>
          <w:sz w:val="22"/>
          <w:szCs w:val="22"/>
        </w:rPr>
      </w:pPr>
    </w:p>
    <w:p w:rsidR="00AE6CE8" w:rsidRPr="00FC1C7A" w:rsidRDefault="00AE6CE8" w:rsidP="00AE6CE8">
      <w:pPr>
        <w:numPr>
          <w:ilvl w:val="0"/>
          <w:numId w:val="28"/>
        </w:numPr>
        <w:tabs>
          <w:tab w:val="left" w:pos="567"/>
        </w:tabs>
        <w:spacing w:line="260" w:lineRule="exact"/>
        <w:rPr>
          <w:rFonts w:ascii="Arial" w:hAnsi="Arial" w:cs="Arial"/>
          <w:sz w:val="22"/>
          <w:szCs w:val="22"/>
        </w:rPr>
      </w:pPr>
      <w:r w:rsidRPr="00FC1C7A">
        <w:rPr>
          <w:rFonts w:ascii="Arial" w:hAnsi="Arial" w:cs="Arial"/>
          <w:sz w:val="22"/>
          <w:szCs w:val="22"/>
        </w:rPr>
        <w:t>Remove the inhaler from your mouth.</w:t>
      </w:r>
    </w:p>
    <w:p w:rsidR="00AE6CE8" w:rsidRPr="007424F4" w:rsidRDefault="00AE6CE8" w:rsidP="00AE6CE8">
      <w:pPr>
        <w:ind w:left="927"/>
        <w:rPr>
          <w:rFonts w:ascii="Arial" w:hAnsi="Arial" w:cs="Arial"/>
          <w:b/>
          <w:sz w:val="22"/>
          <w:szCs w:val="22"/>
        </w:rPr>
      </w:pPr>
    </w:p>
    <w:p w:rsidR="00AE6CE8" w:rsidRPr="00FC1C7A" w:rsidRDefault="00AE6CE8" w:rsidP="00AE6CE8">
      <w:pPr>
        <w:numPr>
          <w:ilvl w:val="0"/>
          <w:numId w:val="28"/>
        </w:numPr>
        <w:tabs>
          <w:tab w:val="left" w:pos="567"/>
        </w:tabs>
        <w:spacing w:line="260" w:lineRule="exact"/>
        <w:rPr>
          <w:rFonts w:ascii="Arial" w:hAnsi="Arial" w:cs="Arial"/>
          <w:sz w:val="22"/>
          <w:szCs w:val="22"/>
        </w:rPr>
      </w:pPr>
      <w:r w:rsidRPr="00FC1C7A">
        <w:rPr>
          <w:rFonts w:ascii="Arial" w:hAnsi="Arial" w:cs="Arial"/>
          <w:sz w:val="22"/>
          <w:szCs w:val="22"/>
        </w:rPr>
        <w:t>Breathe out slowly and gently.</w:t>
      </w:r>
    </w:p>
    <w:p w:rsidR="00AE6CE8" w:rsidRPr="007424F4" w:rsidRDefault="00AE6CE8" w:rsidP="00AE6CE8">
      <w:pPr>
        <w:rPr>
          <w:rFonts w:ascii="Arial" w:hAnsi="Arial" w:cs="Arial"/>
          <w:sz w:val="22"/>
          <w:szCs w:val="22"/>
        </w:rPr>
      </w:pPr>
    </w:p>
    <w:p w:rsidR="00AE6CE8" w:rsidRPr="00FC1C7A" w:rsidRDefault="00AE6CE8" w:rsidP="00AE6CE8">
      <w:pPr>
        <w:ind w:left="567" w:hanging="567"/>
        <w:rPr>
          <w:rFonts w:ascii="Arial" w:hAnsi="Arial" w:cs="Arial"/>
          <w:b/>
          <w:sz w:val="22"/>
          <w:szCs w:val="22"/>
        </w:rPr>
      </w:pPr>
      <w:r w:rsidRPr="00FC1C7A">
        <w:rPr>
          <w:rFonts w:ascii="Arial" w:hAnsi="Arial" w:cs="Arial"/>
          <w:b/>
          <w:sz w:val="22"/>
          <w:szCs w:val="22"/>
        </w:rPr>
        <w:t>!</w:t>
      </w:r>
      <w:r w:rsidRPr="00FC1C7A">
        <w:rPr>
          <w:rFonts w:ascii="Arial" w:hAnsi="Arial" w:cs="Arial"/>
          <w:b/>
          <w:sz w:val="22"/>
          <w:szCs w:val="22"/>
        </w:rPr>
        <w:tab/>
        <w:t>You may not be able to taste or feel the medicine, even when you are using the inhaler correctly.</w:t>
      </w:r>
    </w:p>
    <w:p w:rsidR="00AE6CE8" w:rsidRPr="007424F4" w:rsidRDefault="00AE6CE8" w:rsidP="00AE6CE8">
      <w:pPr>
        <w:rPr>
          <w:rFonts w:ascii="Arial" w:hAnsi="Arial" w:cs="Arial"/>
          <w:sz w:val="22"/>
          <w:szCs w:val="22"/>
        </w:rPr>
      </w:pPr>
    </w:p>
    <w:p w:rsidR="00AE6CE8" w:rsidRPr="00704D7E" w:rsidRDefault="00AE6CE8" w:rsidP="00AE6CE8">
      <w:pPr>
        <w:rPr>
          <w:rFonts w:ascii="Arial" w:hAnsi="Arial" w:cs="Arial"/>
          <w:sz w:val="22"/>
          <w:szCs w:val="22"/>
          <w:u w:val="single"/>
        </w:rPr>
      </w:pPr>
      <w:r w:rsidRPr="00704D7E">
        <w:rPr>
          <w:rFonts w:ascii="Arial" w:hAnsi="Arial" w:cs="Arial"/>
          <w:sz w:val="22"/>
          <w:szCs w:val="22"/>
          <w:u w:val="single"/>
        </w:rPr>
        <w:t>Step 4: Close the inhaler and rinse your mouth if possible</w:t>
      </w:r>
    </w:p>
    <w:p w:rsidR="00AE6CE8" w:rsidRPr="003A726C" w:rsidRDefault="00AE6CE8" w:rsidP="00AE6CE8">
      <w:pPr>
        <w:pStyle w:val="centheadGDS"/>
      </w:pPr>
      <w:r w:rsidRPr="003A726C">
        <w:t xml:space="preserve">If you want to clean the mouthpiece, use a </w:t>
      </w:r>
      <w:r w:rsidRPr="003A726C">
        <w:rPr>
          <w:b/>
        </w:rPr>
        <w:t>dry tissue, before</w:t>
      </w:r>
      <w:r w:rsidRPr="003A726C">
        <w:t xml:space="preserve"> you close the cover.</w:t>
      </w:r>
    </w:p>
    <w:p w:rsidR="00AE6CE8" w:rsidRPr="007424F4" w:rsidRDefault="00AE6CE8" w:rsidP="00AE6CE8">
      <w:pPr>
        <w:pStyle w:val="centheadGDS"/>
      </w:pPr>
    </w:p>
    <w:p w:rsidR="00AE6CE8" w:rsidRPr="00FC1C7A" w:rsidRDefault="00AE6CE8" w:rsidP="00AE6CE8">
      <w:pPr>
        <w:numPr>
          <w:ilvl w:val="0"/>
          <w:numId w:val="30"/>
        </w:numPr>
        <w:tabs>
          <w:tab w:val="left" w:pos="567"/>
        </w:tabs>
        <w:spacing w:line="260" w:lineRule="exact"/>
        <w:rPr>
          <w:rFonts w:ascii="Arial" w:hAnsi="Arial" w:cs="Arial"/>
          <w:sz w:val="22"/>
          <w:szCs w:val="22"/>
        </w:rPr>
      </w:pPr>
      <w:r w:rsidRPr="00FC1C7A">
        <w:rPr>
          <w:rFonts w:ascii="Arial" w:hAnsi="Arial" w:cs="Arial"/>
          <w:sz w:val="22"/>
          <w:szCs w:val="22"/>
        </w:rPr>
        <w:t>Slide the cover upwards as far as it will go, to cover the mouthpiece.</w:t>
      </w:r>
    </w:p>
    <w:p w:rsidR="00AE6CE8" w:rsidRPr="007424F4" w:rsidRDefault="00AE6CE8" w:rsidP="00AE6CE8">
      <w:pPr>
        <w:ind w:left="720"/>
        <w:rPr>
          <w:rFonts w:ascii="Arial" w:hAnsi="Arial" w:cs="Arial"/>
          <w:b/>
          <w:sz w:val="22"/>
          <w:szCs w:val="22"/>
        </w:rPr>
      </w:pPr>
    </w:p>
    <w:p w:rsidR="00AE6CE8" w:rsidRPr="007424F4" w:rsidRDefault="001C196C" w:rsidP="00AE6CE8">
      <w:pPr>
        <w:pStyle w:val="instruction"/>
        <w:numPr>
          <w:ilvl w:val="0"/>
          <w:numId w:val="0"/>
        </w:numPr>
        <w:ind w:left="284"/>
        <w:rPr>
          <w:rFonts w:ascii="Arial" w:hAnsi="Arial" w:cs="Arial"/>
          <w:sz w:val="22"/>
          <w:szCs w:val="22"/>
        </w:rPr>
      </w:pPr>
      <w:r>
        <w:rPr>
          <w:rFonts w:ascii="Arial" w:hAnsi="Arial" w:cs="Arial"/>
          <w:i/>
          <w:noProof/>
          <w:sz w:val="22"/>
          <w:szCs w:val="22"/>
          <w:lang w:val="en-AU" w:eastAsia="en-AU"/>
        </w:rPr>
        <w:drawing>
          <wp:inline distT="0" distB="0" distL="0" distR="0">
            <wp:extent cx="3174365" cy="3286760"/>
            <wp:effectExtent l="0" t="0" r="6985" b="889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4365" cy="3286760"/>
                    </a:xfrm>
                    <a:prstGeom prst="rect">
                      <a:avLst/>
                    </a:prstGeom>
                    <a:noFill/>
                    <a:ln>
                      <a:noFill/>
                    </a:ln>
                  </pic:spPr>
                </pic:pic>
              </a:graphicData>
            </a:graphic>
          </wp:inline>
        </w:drawing>
      </w:r>
    </w:p>
    <w:p w:rsidR="00AE6CE8" w:rsidRPr="00FC1C7A" w:rsidRDefault="00AE6CE8" w:rsidP="00AE6CE8">
      <w:pPr>
        <w:numPr>
          <w:ilvl w:val="0"/>
          <w:numId w:val="29"/>
        </w:numPr>
        <w:tabs>
          <w:tab w:val="left" w:pos="567"/>
        </w:tabs>
        <w:spacing w:line="260" w:lineRule="exact"/>
        <w:rPr>
          <w:rFonts w:ascii="Arial" w:hAnsi="Arial" w:cs="Arial"/>
          <w:sz w:val="22"/>
          <w:szCs w:val="22"/>
        </w:rPr>
      </w:pPr>
      <w:r w:rsidRPr="00FC1C7A">
        <w:rPr>
          <w:rFonts w:ascii="Arial" w:hAnsi="Arial" w:cs="Arial"/>
          <w:b/>
          <w:sz w:val="22"/>
          <w:szCs w:val="22"/>
        </w:rPr>
        <w:t xml:space="preserve">Rinse your mouth with water after you have used the inhaler. </w:t>
      </w:r>
      <w:r w:rsidRPr="00FC1C7A">
        <w:rPr>
          <w:rFonts w:ascii="Arial" w:hAnsi="Arial" w:cs="Arial"/>
          <w:sz w:val="22"/>
          <w:szCs w:val="22"/>
        </w:rPr>
        <w:t>This will make it less likely that you will develop a sore mouth or throat as side effects.</w:t>
      </w:r>
    </w:p>
    <w:p w:rsidR="000961AD" w:rsidRDefault="000961AD" w:rsidP="000961AD">
      <w:pPr>
        <w:spacing w:after="240"/>
        <w:jc w:val="both"/>
        <w:rPr>
          <w:rFonts w:ascii="Arial" w:hAnsi="Arial" w:cs="Arial"/>
          <w:sz w:val="22"/>
          <w:szCs w:val="22"/>
        </w:rPr>
      </w:pPr>
    </w:p>
    <w:p w:rsidR="004961DC" w:rsidRDefault="004961DC" w:rsidP="004961DC">
      <w:pPr>
        <w:pStyle w:val="Heading4"/>
        <w:spacing w:before="0" w:after="240"/>
        <w:rPr>
          <w:rFonts w:ascii="Arial" w:hAnsi="Arial" w:cs="Arial"/>
          <w:b w:val="0"/>
          <w:sz w:val="22"/>
          <w:szCs w:val="22"/>
        </w:rPr>
      </w:pPr>
      <w:r w:rsidRPr="00F41910">
        <w:rPr>
          <w:rFonts w:ascii="Arial" w:hAnsi="Arial" w:cs="Arial"/>
          <w:sz w:val="22"/>
          <w:szCs w:val="22"/>
          <w:lang w:val="en"/>
        </w:rPr>
        <w:t xml:space="preserve">Date of first inclusion in the Australian Register of Therapeutic Goods (the ARTG): </w:t>
      </w:r>
      <w:r w:rsidR="003938C9">
        <w:rPr>
          <w:rFonts w:ascii="Arial" w:hAnsi="Arial" w:cs="Arial"/>
          <w:b w:val="0"/>
          <w:sz w:val="22"/>
          <w:szCs w:val="22"/>
        </w:rPr>
        <w:t>17 April 2014</w:t>
      </w:r>
    </w:p>
    <w:p w:rsidR="002F614C" w:rsidRDefault="002F614C" w:rsidP="000961AD">
      <w:pPr>
        <w:spacing w:after="240"/>
        <w:jc w:val="both"/>
        <w:rPr>
          <w:rFonts w:ascii="Arial" w:hAnsi="Arial" w:cs="Arial"/>
          <w:sz w:val="22"/>
          <w:szCs w:val="22"/>
        </w:rPr>
      </w:pPr>
      <w:r>
        <w:rPr>
          <w:rFonts w:ascii="Arial" w:hAnsi="Arial" w:cs="Arial"/>
          <w:sz w:val="22"/>
          <w:szCs w:val="22"/>
        </w:rPr>
        <w:t>BREO</w:t>
      </w:r>
      <w:r w:rsidR="00E16D7E" w:rsidRPr="00F41910">
        <w:rPr>
          <w:rFonts w:ascii="Arial" w:hAnsi="Arial" w:cs="Arial"/>
          <w:sz w:val="22"/>
          <w:szCs w:val="22"/>
        </w:rPr>
        <w:t xml:space="preserve"> </w:t>
      </w:r>
      <w:r>
        <w:rPr>
          <w:rFonts w:ascii="Arial" w:hAnsi="Arial" w:cs="Arial"/>
          <w:sz w:val="22"/>
          <w:szCs w:val="22"/>
        </w:rPr>
        <w:t xml:space="preserve">is a trade mark of the </w:t>
      </w:r>
      <w:r w:rsidRPr="00F41910">
        <w:rPr>
          <w:rFonts w:ascii="Arial" w:hAnsi="Arial" w:cs="Arial"/>
          <w:sz w:val="22"/>
          <w:szCs w:val="22"/>
        </w:rPr>
        <w:t>GlaxoSmithKline group of companies</w:t>
      </w:r>
      <w:r>
        <w:rPr>
          <w:rFonts w:ascii="Arial" w:hAnsi="Arial" w:cs="Arial"/>
          <w:sz w:val="22"/>
          <w:szCs w:val="22"/>
        </w:rPr>
        <w:t>.</w:t>
      </w:r>
    </w:p>
    <w:p w:rsidR="00E16D7E" w:rsidRPr="00F41910" w:rsidRDefault="005D552F" w:rsidP="000961AD">
      <w:pPr>
        <w:spacing w:after="240"/>
        <w:jc w:val="both"/>
        <w:rPr>
          <w:rFonts w:ascii="Arial" w:hAnsi="Arial" w:cs="Arial"/>
          <w:sz w:val="22"/>
          <w:szCs w:val="22"/>
        </w:rPr>
      </w:pPr>
      <w:r w:rsidRPr="00F41910">
        <w:rPr>
          <w:rFonts w:ascii="Arial" w:hAnsi="Arial" w:cs="Arial"/>
          <w:sz w:val="22"/>
          <w:szCs w:val="22"/>
        </w:rPr>
        <w:t xml:space="preserve">ELLIPTA </w:t>
      </w:r>
      <w:r w:rsidR="00E16D7E" w:rsidRPr="00F41910">
        <w:rPr>
          <w:rFonts w:ascii="Arial" w:hAnsi="Arial" w:cs="Arial"/>
          <w:sz w:val="22"/>
          <w:szCs w:val="22"/>
        </w:rPr>
        <w:t>is a</w:t>
      </w:r>
      <w:r w:rsidR="002F614C">
        <w:rPr>
          <w:rFonts w:ascii="Arial" w:hAnsi="Arial" w:cs="Arial"/>
          <w:sz w:val="22"/>
          <w:szCs w:val="22"/>
        </w:rPr>
        <w:t xml:space="preserve"> registered</w:t>
      </w:r>
      <w:r w:rsidR="00E16D7E" w:rsidRPr="00F41910">
        <w:rPr>
          <w:rFonts w:ascii="Arial" w:hAnsi="Arial" w:cs="Arial"/>
          <w:sz w:val="22"/>
          <w:szCs w:val="22"/>
        </w:rPr>
        <w:t xml:space="preserve"> trade mark of the GlaxoSmithKline group of companies</w:t>
      </w:r>
      <w:r w:rsidR="00A06D92" w:rsidRPr="00F41910">
        <w:rPr>
          <w:rFonts w:ascii="Arial" w:hAnsi="Arial" w:cs="Arial"/>
          <w:sz w:val="22"/>
          <w:szCs w:val="22"/>
        </w:rPr>
        <w:t>.</w:t>
      </w:r>
    </w:p>
    <w:p w:rsidR="00053893" w:rsidRPr="00F41910" w:rsidRDefault="004F640B" w:rsidP="000961AD">
      <w:pPr>
        <w:spacing w:after="240"/>
        <w:jc w:val="both"/>
        <w:rPr>
          <w:rFonts w:ascii="Arial" w:hAnsi="Arial" w:cs="Arial"/>
          <w:sz w:val="22"/>
          <w:szCs w:val="22"/>
        </w:rPr>
      </w:pPr>
      <w:r w:rsidRPr="00F41910">
        <w:rPr>
          <w:rFonts w:ascii="Arial" w:hAnsi="Arial" w:cs="Arial"/>
          <w:sz w:val="22"/>
          <w:szCs w:val="22"/>
        </w:rPr>
        <w:t>Version 1.0</w:t>
      </w:r>
    </w:p>
    <w:sectPr w:rsidR="00053893" w:rsidRPr="00F41910" w:rsidSect="00C556BA">
      <w:headerReference w:type="default" r:id="rId16"/>
      <w:footerReference w:type="default" r:id="rId17"/>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88" w:rsidRDefault="004E0E88" w:rsidP="007E0C5E">
      <w:r>
        <w:separator/>
      </w:r>
    </w:p>
  </w:endnote>
  <w:endnote w:type="continuationSeparator" w:id="0">
    <w:p w:rsidR="004E0E88" w:rsidRDefault="004E0E88"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3C7" w:rsidRPr="00E8070F" w:rsidRDefault="000413C7"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Pr="00E8070F">
      <w:rPr>
        <w:rStyle w:val="PageNumber"/>
        <w:rFonts w:ascii="Arial" w:hAnsi="Arial" w:cs="Arial"/>
        <w:sz w:val="22"/>
        <w:szCs w:val="16"/>
      </w:rPr>
      <w:fldChar w:fldCharType="separate"/>
    </w:r>
    <w:r w:rsidR="007133AC">
      <w:rPr>
        <w:rStyle w:val="PageNumber"/>
        <w:rFonts w:ascii="Arial" w:hAnsi="Arial" w:cs="Arial"/>
        <w:noProof/>
        <w:sz w:val="22"/>
        <w:szCs w:val="16"/>
      </w:rPr>
      <w:t>26</w:t>
    </w:r>
    <w:r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88" w:rsidRDefault="004E0E88" w:rsidP="007E0C5E">
      <w:r>
        <w:separator/>
      </w:r>
    </w:p>
  </w:footnote>
  <w:footnote w:type="continuationSeparator" w:id="0">
    <w:p w:rsidR="004E0E88" w:rsidRDefault="004E0E88"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105F6" w:rsidTr="00154C8F">
      <w:tc>
        <w:tcPr>
          <w:tcW w:w="8720" w:type="dxa"/>
          <w:shd w:val="clear" w:color="auto" w:fill="E4F2E0"/>
        </w:tcPr>
        <w:p w:rsidR="00B105F6" w:rsidRPr="00B54250" w:rsidRDefault="00B105F6" w:rsidP="00154C8F">
          <w:pPr>
            <w:spacing w:before="40" w:after="40"/>
            <w:rPr>
              <w:b/>
            </w:rPr>
          </w:pPr>
          <w:r w:rsidRPr="007133AC">
            <w:rPr>
              <w:rFonts w:ascii="Cambria" w:hAnsi="Cambria"/>
              <w:b/>
              <w:color w:val="000000" w:themeColor="text1"/>
            </w:rPr>
            <w:t xml:space="preserve">Attachment 1: Product information for </w:t>
          </w:r>
          <w:proofErr w:type="spellStart"/>
          <w:r w:rsidRPr="007133AC">
            <w:rPr>
              <w:rFonts w:ascii="Cambria" w:hAnsi="Cambria"/>
              <w:b/>
              <w:color w:val="000000" w:themeColor="text1"/>
            </w:rPr>
            <w:t>AusPAR</w:t>
          </w:r>
          <w:proofErr w:type="spellEnd"/>
          <w:r w:rsidRPr="007133AC">
            <w:rPr>
              <w:rFonts w:ascii="Cambria" w:hAnsi="Cambria"/>
              <w:b/>
              <w:color w:val="000000" w:themeColor="text1"/>
            </w:rPr>
            <w:t xml:space="preserve"> </w:t>
          </w:r>
          <w:proofErr w:type="spellStart"/>
          <w:r w:rsidRPr="007133AC">
            <w:rPr>
              <w:rFonts w:ascii="Cambria" w:hAnsi="Cambria"/>
              <w:b/>
              <w:color w:val="000000" w:themeColor="text1"/>
            </w:rPr>
            <w:t>Breo</w:t>
          </w:r>
          <w:proofErr w:type="spellEnd"/>
          <w:r w:rsidRPr="007133AC">
            <w:rPr>
              <w:rFonts w:ascii="Cambria" w:hAnsi="Cambria"/>
              <w:b/>
              <w:color w:val="000000" w:themeColor="text1"/>
            </w:rPr>
            <w:t xml:space="preserve"> </w:t>
          </w:r>
          <w:proofErr w:type="spellStart"/>
          <w:r w:rsidRPr="007133AC">
            <w:rPr>
              <w:rFonts w:ascii="Cambria" w:hAnsi="Cambria"/>
              <w:b/>
              <w:color w:val="000000" w:themeColor="text1"/>
            </w:rPr>
            <w:t>Ellipta</w:t>
          </w:r>
          <w:proofErr w:type="spellEnd"/>
          <w:r w:rsidRPr="007133AC">
            <w:rPr>
              <w:rFonts w:ascii="Cambria" w:hAnsi="Cambria"/>
              <w:b/>
              <w:color w:val="000000" w:themeColor="text1"/>
            </w:rPr>
            <w:t xml:space="preserve"> Fluticasone </w:t>
          </w:r>
          <w:proofErr w:type="spellStart"/>
          <w:r w:rsidRPr="007133AC">
            <w:rPr>
              <w:rFonts w:ascii="Cambria" w:hAnsi="Cambria"/>
              <w:b/>
              <w:color w:val="000000" w:themeColor="text1"/>
            </w:rPr>
            <w:t>furoate</w:t>
          </w:r>
          <w:proofErr w:type="spellEnd"/>
          <w:r w:rsidRPr="007133AC">
            <w:rPr>
              <w:rFonts w:ascii="Cambria" w:hAnsi="Cambria"/>
              <w:b/>
              <w:color w:val="000000" w:themeColor="text1"/>
            </w:rPr>
            <w:t>/</w:t>
          </w:r>
          <w:proofErr w:type="spellStart"/>
          <w:r w:rsidRPr="007133AC">
            <w:rPr>
              <w:rFonts w:ascii="Cambria" w:hAnsi="Cambria"/>
              <w:b/>
              <w:color w:val="000000" w:themeColor="text1"/>
            </w:rPr>
            <w:t>vilanterol</w:t>
          </w:r>
          <w:proofErr w:type="spellEnd"/>
          <w:r w:rsidRPr="007133AC">
            <w:rPr>
              <w:rFonts w:ascii="Cambria" w:hAnsi="Cambria"/>
              <w:b/>
              <w:color w:val="000000" w:themeColor="text1"/>
            </w:rPr>
            <w:t xml:space="preserve"> </w:t>
          </w:r>
          <w:proofErr w:type="spellStart"/>
          <w:r w:rsidRPr="007133AC">
            <w:rPr>
              <w:rFonts w:ascii="Cambria" w:hAnsi="Cambria"/>
              <w:b/>
              <w:color w:val="000000" w:themeColor="text1"/>
            </w:rPr>
            <w:t>trifenatate</w:t>
          </w:r>
          <w:proofErr w:type="spellEnd"/>
          <w:r w:rsidRPr="007133AC">
            <w:rPr>
              <w:rFonts w:ascii="Cambria" w:hAnsi="Cambria"/>
              <w:b/>
              <w:color w:val="000000" w:themeColor="text1"/>
            </w:rPr>
            <w:t xml:space="preserve"> </w:t>
          </w:r>
          <w:proofErr w:type="spellStart"/>
          <w:r w:rsidR="00B54250">
            <w:rPr>
              <w:rFonts w:ascii="Cambria" w:hAnsi="Cambria"/>
              <w:b/>
              <w:color w:val="000000" w:themeColor="text1"/>
            </w:rPr>
            <w:t>Breo</w:t>
          </w:r>
          <w:proofErr w:type="spellEnd"/>
          <w:r w:rsidR="00B54250">
            <w:rPr>
              <w:rFonts w:ascii="Cambria" w:hAnsi="Cambria"/>
              <w:b/>
              <w:color w:val="000000" w:themeColor="text1"/>
            </w:rPr>
            <w:t xml:space="preserve"> </w:t>
          </w:r>
          <w:proofErr w:type="spellStart"/>
          <w:r w:rsidR="00B54250">
            <w:rPr>
              <w:rFonts w:ascii="Cambria" w:hAnsi="Cambria"/>
              <w:b/>
              <w:color w:val="000000" w:themeColor="text1"/>
            </w:rPr>
            <w:t>ellipta</w:t>
          </w:r>
          <w:proofErr w:type="spellEnd"/>
          <w:r w:rsidR="00B54250">
            <w:rPr>
              <w:rFonts w:ascii="Cambria" w:hAnsi="Cambria"/>
              <w:b/>
              <w:color w:val="000000" w:themeColor="text1"/>
            </w:rPr>
            <w:t xml:space="preserve"> </w:t>
          </w:r>
          <w:r w:rsidRPr="007133AC">
            <w:rPr>
              <w:rFonts w:ascii="Cambria" w:hAnsi="Cambria"/>
              <w:b/>
              <w:color w:val="000000" w:themeColor="text1"/>
            </w:rPr>
            <w:t>G</w:t>
          </w:r>
          <w:r w:rsidR="00B54250">
            <w:rPr>
              <w:rFonts w:ascii="Cambria" w:hAnsi="Cambria"/>
              <w:b/>
              <w:color w:val="000000" w:themeColor="text1"/>
            </w:rPr>
            <w:t>laxo</w:t>
          </w:r>
          <w:r w:rsidRPr="007133AC">
            <w:rPr>
              <w:rFonts w:ascii="Cambria" w:hAnsi="Cambria"/>
              <w:b/>
              <w:color w:val="000000" w:themeColor="text1"/>
            </w:rPr>
            <w:t>S</w:t>
          </w:r>
          <w:r w:rsidR="00B54250">
            <w:rPr>
              <w:rFonts w:ascii="Cambria" w:hAnsi="Cambria"/>
              <w:b/>
              <w:color w:val="000000" w:themeColor="text1"/>
            </w:rPr>
            <w:t>mith</w:t>
          </w:r>
          <w:r w:rsidRPr="007133AC">
            <w:rPr>
              <w:rFonts w:ascii="Cambria" w:hAnsi="Cambria"/>
              <w:b/>
              <w:color w:val="000000" w:themeColor="text1"/>
            </w:rPr>
            <w:t>K</w:t>
          </w:r>
          <w:r w:rsidR="00B54250">
            <w:rPr>
              <w:rFonts w:ascii="Cambria" w:hAnsi="Cambria"/>
              <w:b/>
              <w:color w:val="000000" w:themeColor="text1"/>
            </w:rPr>
            <w:t>line</w:t>
          </w:r>
          <w:r w:rsidRPr="007133AC">
            <w:rPr>
              <w:rFonts w:ascii="Cambria" w:hAnsi="Cambria"/>
              <w:b/>
              <w:color w:val="000000" w:themeColor="text1"/>
            </w:rPr>
            <w:t xml:space="preserve"> Australia Pty Ltd PM-2012-01970-3-5 Final 25 June 2014. This Product Information was approved at the time this </w:t>
          </w:r>
          <w:proofErr w:type="spellStart"/>
          <w:r w:rsidRPr="007133AC">
            <w:rPr>
              <w:rFonts w:ascii="Cambria" w:hAnsi="Cambria"/>
              <w:b/>
              <w:color w:val="000000" w:themeColor="text1"/>
            </w:rPr>
            <w:t>AusPAR</w:t>
          </w:r>
          <w:proofErr w:type="spellEnd"/>
          <w:r w:rsidRPr="007133AC">
            <w:rPr>
              <w:rFonts w:ascii="Cambria" w:hAnsi="Cambria"/>
              <w:b/>
              <w:color w:val="000000" w:themeColor="text1"/>
            </w:rPr>
            <w:t xml:space="preserve"> was published</w:t>
          </w:r>
          <w:r w:rsidRPr="007133AC">
            <w:rPr>
              <w:b/>
              <w:color w:val="000000" w:themeColor="text1"/>
            </w:rPr>
            <w:t>.</w:t>
          </w:r>
        </w:p>
      </w:tc>
    </w:tr>
  </w:tbl>
  <w:p w:rsidR="00B105F6" w:rsidRDefault="00B1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3D0"/>
    <w:multiLevelType w:val="hybridMultilevel"/>
    <w:tmpl w:val="2842E7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31104"/>
    <w:multiLevelType w:val="hybridMultilevel"/>
    <w:tmpl w:val="4B14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B614F"/>
    <w:multiLevelType w:val="hybridMultilevel"/>
    <w:tmpl w:val="DB0E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83108"/>
    <w:multiLevelType w:val="hybridMultilevel"/>
    <w:tmpl w:val="5D8ADE60"/>
    <w:lvl w:ilvl="0" w:tplc="204A0B00">
      <w:start w:val="1"/>
      <w:numFmt w:val="bullet"/>
      <w:pStyle w:val="instruc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C5C00"/>
    <w:multiLevelType w:val="hybridMultilevel"/>
    <w:tmpl w:val="EA6265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6173D"/>
    <w:multiLevelType w:val="hybridMultilevel"/>
    <w:tmpl w:val="C4B84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956440"/>
    <w:multiLevelType w:val="hybridMultilevel"/>
    <w:tmpl w:val="F0B262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574018"/>
    <w:multiLevelType w:val="hybridMultilevel"/>
    <w:tmpl w:val="28268C9E"/>
    <w:lvl w:ilvl="0" w:tplc="0ED096D2">
      <w:start w:val="1"/>
      <w:numFmt w:val="bullet"/>
      <w:pStyle w:val="Warning"/>
      <w:lvlText w:val="!"/>
      <w:lvlJc w:val="left"/>
      <w:pPr>
        <w:ind w:left="720" w:hanging="360"/>
      </w:pPr>
      <w:rPr>
        <w:rFonts w:ascii="Arial Black" w:hAnsi="Arial Black"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E17CD"/>
    <w:multiLevelType w:val="hybridMultilevel"/>
    <w:tmpl w:val="7F323CA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4835F2B"/>
    <w:multiLevelType w:val="hybridMultilevel"/>
    <w:tmpl w:val="730E5F2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5A03784A"/>
    <w:multiLevelType w:val="hybridMultilevel"/>
    <w:tmpl w:val="190AF3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F840F6B"/>
    <w:multiLevelType w:val="hybridMultilevel"/>
    <w:tmpl w:val="44E0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54825"/>
    <w:multiLevelType w:val="hybridMultilevel"/>
    <w:tmpl w:val="119CF9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AF6C7E"/>
    <w:multiLevelType w:val="hybridMultilevel"/>
    <w:tmpl w:val="CF522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893114"/>
    <w:multiLevelType w:val="singleLevel"/>
    <w:tmpl w:val="8BC6A4C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32">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4B269F"/>
    <w:multiLevelType w:val="hybridMultilevel"/>
    <w:tmpl w:val="CAFCA0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3"/>
  </w:num>
  <w:num w:numId="2">
    <w:abstractNumId w:val="28"/>
  </w:num>
  <w:num w:numId="3">
    <w:abstractNumId w:val="22"/>
  </w:num>
  <w:num w:numId="4">
    <w:abstractNumId w:val="18"/>
  </w:num>
  <w:num w:numId="5">
    <w:abstractNumId w:val="6"/>
  </w:num>
  <w:num w:numId="6">
    <w:abstractNumId w:val="21"/>
  </w:num>
  <w:num w:numId="7">
    <w:abstractNumId w:val="32"/>
  </w:num>
  <w:num w:numId="8">
    <w:abstractNumId w:val="11"/>
  </w:num>
  <w:num w:numId="9">
    <w:abstractNumId w:val="4"/>
  </w:num>
  <w:num w:numId="10">
    <w:abstractNumId w:val="29"/>
  </w:num>
  <w:num w:numId="11">
    <w:abstractNumId w:val="27"/>
  </w:num>
  <w:num w:numId="12">
    <w:abstractNumId w:val="9"/>
  </w:num>
  <w:num w:numId="13">
    <w:abstractNumId w:val="14"/>
  </w:num>
  <w:num w:numId="14">
    <w:abstractNumId w:val="1"/>
  </w:num>
  <w:num w:numId="15">
    <w:abstractNumId w:val="7"/>
  </w:num>
  <w:num w:numId="16">
    <w:abstractNumId w:val="3"/>
  </w:num>
  <w:num w:numId="17">
    <w:abstractNumId w:val="16"/>
  </w:num>
  <w:num w:numId="18">
    <w:abstractNumId w:val="17"/>
  </w:num>
  <w:num w:numId="19">
    <w:abstractNumId w:val="5"/>
  </w:num>
  <w:num w:numId="20">
    <w:abstractNumId w:val="12"/>
  </w:num>
  <w:num w:numId="21">
    <w:abstractNumId w:val="3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8"/>
  </w:num>
  <w:num w:numId="26">
    <w:abstractNumId w:val="25"/>
  </w:num>
  <w:num w:numId="27">
    <w:abstractNumId w:val="15"/>
  </w:num>
  <w:num w:numId="28">
    <w:abstractNumId w:val="0"/>
  </w:num>
  <w:num w:numId="29">
    <w:abstractNumId w:val="33"/>
  </w:num>
  <w:num w:numId="30">
    <w:abstractNumId w:val="26"/>
  </w:num>
  <w:num w:numId="31">
    <w:abstractNumId w:val="10"/>
  </w:num>
  <w:num w:numId="32">
    <w:abstractNumId w:val="24"/>
  </w:num>
  <w:num w:numId="33">
    <w:abstractNumId w:val="19"/>
  </w:num>
  <w:num w:numId="34">
    <w:abstractNumId w:val="23"/>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0F"/>
    <w:rsid w:val="0000008B"/>
    <w:rsid w:val="00016F0D"/>
    <w:rsid w:val="0002072A"/>
    <w:rsid w:val="000413C7"/>
    <w:rsid w:val="00044B3C"/>
    <w:rsid w:val="0004538E"/>
    <w:rsid w:val="00050721"/>
    <w:rsid w:val="00053893"/>
    <w:rsid w:val="00062CE5"/>
    <w:rsid w:val="000658B9"/>
    <w:rsid w:val="00070FFF"/>
    <w:rsid w:val="000961AD"/>
    <w:rsid w:val="000A5CE6"/>
    <w:rsid w:val="000B3F7C"/>
    <w:rsid w:val="000D617A"/>
    <w:rsid w:val="000D62DD"/>
    <w:rsid w:val="000D7E06"/>
    <w:rsid w:val="000E1AAC"/>
    <w:rsid w:val="000F37ED"/>
    <w:rsid w:val="001331CA"/>
    <w:rsid w:val="0013415A"/>
    <w:rsid w:val="001415DE"/>
    <w:rsid w:val="00142CF1"/>
    <w:rsid w:val="00147238"/>
    <w:rsid w:val="0016662F"/>
    <w:rsid w:val="00170A0C"/>
    <w:rsid w:val="00182AC2"/>
    <w:rsid w:val="00197076"/>
    <w:rsid w:val="001A3375"/>
    <w:rsid w:val="001A3DD0"/>
    <w:rsid w:val="001A724C"/>
    <w:rsid w:val="001B30CA"/>
    <w:rsid w:val="001C196C"/>
    <w:rsid w:val="001C22CF"/>
    <w:rsid w:val="001D3821"/>
    <w:rsid w:val="001D53A3"/>
    <w:rsid w:val="001E26B6"/>
    <w:rsid w:val="001E3B9A"/>
    <w:rsid w:val="001E4FB9"/>
    <w:rsid w:val="001E5221"/>
    <w:rsid w:val="002051BA"/>
    <w:rsid w:val="00205E2F"/>
    <w:rsid w:val="002133B6"/>
    <w:rsid w:val="00213A2A"/>
    <w:rsid w:val="00217091"/>
    <w:rsid w:val="0023697D"/>
    <w:rsid w:val="00242B97"/>
    <w:rsid w:val="0024385B"/>
    <w:rsid w:val="002520FA"/>
    <w:rsid w:val="00254280"/>
    <w:rsid w:val="00265A98"/>
    <w:rsid w:val="00290EDD"/>
    <w:rsid w:val="00293DFF"/>
    <w:rsid w:val="002A4BB8"/>
    <w:rsid w:val="002D269B"/>
    <w:rsid w:val="002D3391"/>
    <w:rsid w:val="002E716A"/>
    <w:rsid w:val="002F614C"/>
    <w:rsid w:val="00327170"/>
    <w:rsid w:val="003604A0"/>
    <w:rsid w:val="00370FBA"/>
    <w:rsid w:val="003837A0"/>
    <w:rsid w:val="00386B73"/>
    <w:rsid w:val="00387E03"/>
    <w:rsid w:val="003938C9"/>
    <w:rsid w:val="003A1E6D"/>
    <w:rsid w:val="003A21A0"/>
    <w:rsid w:val="003A726C"/>
    <w:rsid w:val="003B5A4C"/>
    <w:rsid w:val="003C6A92"/>
    <w:rsid w:val="003D3C2C"/>
    <w:rsid w:val="003D65C7"/>
    <w:rsid w:val="003F30BB"/>
    <w:rsid w:val="00402545"/>
    <w:rsid w:val="004151C5"/>
    <w:rsid w:val="00421B21"/>
    <w:rsid w:val="004556A2"/>
    <w:rsid w:val="00456ACF"/>
    <w:rsid w:val="0046472B"/>
    <w:rsid w:val="004815A7"/>
    <w:rsid w:val="00482841"/>
    <w:rsid w:val="00493F44"/>
    <w:rsid w:val="004961DC"/>
    <w:rsid w:val="004A05E7"/>
    <w:rsid w:val="004A432A"/>
    <w:rsid w:val="004C328C"/>
    <w:rsid w:val="004C3E51"/>
    <w:rsid w:val="004E071A"/>
    <w:rsid w:val="004E0E88"/>
    <w:rsid w:val="004F640B"/>
    <w:rsid w:val="00504509"/>
    <w:rsid w:val="00504D32"/>
    <w:rsid w:val="00505292"/>
    <w:rsid w:val="005254D9"/>
    <w:rsid w:val="00525CE1"/>
    <w:rsid w:val="00533C93"/>
    <w:rsid w:val="005426F1"/>
    <w:rsid w:val="005439CE"/>
    <w:rsid w:val="00551EBF"/>
    <w:rsid w:val="00556D41"/>
    <w:rsid w:val="00565E8E"/>
    <w:rsid w:val="00571510"/>
    <w:rsid w:val="00575767"/>
    <w:rsid w:val="00577F75"/>
    <w:rsid w:val="00585315"/>
    <w:rsid w:val="005C133F"/>
    <w:rsid w:val="005C33DF"/>
    <w:rsid w:val="005D14FF"/>
    <w:rsid w:val="005D552F"/>
    <w:rsid w:val="005E2214"/>
    <w:rsid w:val="005E61A1"/>
    <w:rsid w:val="005F1F14"/>
    <w:rsid w:val="00600379"/>
    <w:rsid w:val="0060119C"/>
    <w:rsid w:val="0061436A"/>
    <w:rsid w:val="00645862"/>
    <w:rsid w:val="0065325A"/>
    <w:rsid w:val="006620C9"/>
    <w:rsid w:val="00663F74"/>
    <w:rsid w:val="00664596"/>
    <w:rsid w:val="006756C7"/>
    <w:rsid w:val="00675A72"/>
    <w:rsid w:val="00680640"/>
    <w:rsid w:val="00682CCB"/>
    <w:rsid w:val="006904A2"/>
    <w:rsid w:val="00692946"/>
    <w:rsid w:val="00694359"/>
    <w:rsid w:val="00697766"/>
    <w:rsid w:val="006A0F11"/>
    <w:rsid w:val="006A7A8F"/>
    <w:rsid w:val="006B2127"/>
    <w:rsid w:val="006C1979"/>
    <w:rsid w:val="006D3581"/>
    <w:rsid w:val="006D3830"/>
    <w:rsid w:val="006E37C3"/>
    <w:rsid w:val="00704D7E"/>
    <w:rsid w:val="007133AC"/>
    <w:rsid w:val="00720A13"/>
    <w:rsid w:val="007342F7"/>
    <w:rsid w:val="007406B0"/>
    <w:rsid w:val="007424F4"/>
    <w:rsid w:val="0076293F"/>
    <w:rsid w:val="00764555"/>
    <w:rsid w:val="0077380F"/>
    <w:rsid w:val="007835FF"/>
    <w:rsid w:val="0078424B"/>
    <w:rsid w:val="00796D87"/>
    <w:rsid w:val="00797129"/>
    <w:rsid w:val="007A0414"/>
    <w:rsid w:val="007A4294"/>
    <w:rsid w:val="007C2A73"/>
    <w:rsid w:val="007C61D5"/>
    <w:rsid w:val="007D176F"/>
    <w:rsid w:val="007D3FA2"/>
    <w:rsid w:val="007E0C5E"/>
    <w:rsid w:val="007E4F31"/>
    <w:rsid w:val="007F002F"/>
    <w:rsid w:val="007F2685"/>
    <w:rsid w:val="007F46AC"/>
    <w:rsid w:val="00807A5B"/>
    <w:rsid w:val="008153CC"/>
    <w:rsid w:val="008224F6"/>
    <w:rsid w:val="00825F8B"/>
    <w:rsid w:val="00826330"/>
    <w:rsid w:val="00832E55"/>
    <w:rsid w:val="00832FD0"/>
    <w:rsid w:val="00842558"/>
    <w:rsid w:val="0085010C"/>
    <w:rsid w:val="00860D3C"/>
    <w:rsid w:val="00874A6E"/>
    <w:rsid w:val="00894AE0"/>
    <w:rsid w:val="008A0FDF"/>
    <w:rsid w:val="008B687B"/>
    <w:rsid w:val="008E0FCE"/>
    <w:rsid w:val="008E10A5"/>
    <w:rsid w:val="008F3E70"/>
    <w:rsid w:val="008F7C5B"/>
    <w:rsid w:val="009317C2"/>
    <w:rsid w:val="00935079"/>
    <w:rsid w:val="009363B1"/>
    <w:rsid w:val="00945788"/>
    <w:rsid w:val="0095734D"/>
    <w:rsid w:val="00982839"/>
    <w:rsid w:val="009963FA"/>
    <w:rsid w:val="009A043D"/>
    <w:rsid w:val="009D5909"/>
    <w:rsid w:val="009E7677"/>
    <w:rsid w:val="009E76F1"/>
    <w:rsid w:val="009F0EF6"/>
    <w:rsid w:val="00A06D92"/>
    <w:rsid w:val="00A12229"/>
    <w:rsid w:val="00A27099"/>
    <w:rsid w:val="00A27440"/>
    <w:rsid w:val="00A33F0E"/>
    <w:rsid w:val="00A41F7B"/>
    <w:rsid w:val="00A438DF"/>
    <w:rsid w:val="00A43B24"/>
    <w:rsid w:val="00A56A01"/>
    <w:rsid w:val="00A93928"/>
    <w:rsid w:val="00A96F68"/>
    <w:rsid w:val="00AB37B1"/>
    <w:rsid w:val="00AB4A67"/>
    <w:rsid w:val="00AC271D"/>
    <w:rsid w:val="00AC3812"/>
    <w:rsid w:val="00AC40FD"/>
    <w:rsid w:val="00AD2C82"/>
    <w:rsid w:val="00AD6DAE"/>
    <w:rsid w:val="00AE6CE8"/>
    <w:rsid w:val="00B04807"/>
    <w:rsid w:val="00B06586"/>
    <w:rsid w:val="00B105F6"/>
    <w:rsid w:val="00B2342B"/>
    <w:rsid w:val="00B35E16"/>
    <w:rsid w:val="00B46208"/>
    <w:rsid w:val="00B47B0C"/>
    <w:rsid w:val="00B523D5"/>
    <w:rsid w:val="00B54250"/>
    <w:rsid w:val="00B57901"/>
    <w:rsid w:val="00B61B6F"/>
    <w:rsid w:val="00B65FF3"/>
    <w:rsid w:val="00B71DF5"/>
    <w:rsid w:val="00B83115"/>
    <w:rsid w:val="00B95879"/>
    <w:rsid w:val="00B96172"/>
    <w:rsid w:val="00B963C4"/>
    <w:rsid w:val="00BB29F9"/>
    <w:rsid w:val="00BC7F72"/>
    <w:rsid w:val="00BD4427"/>
    <w:rsid w:val="00BE1954"/>
    <w:rsid w:val="00C036D2"/>
    <w:rsid w:val="00C04752"/>
    <w:rsid w:val="00C05DE0"/>
    <w:rsid w:val="00C10269"/>
    <w:rsid w:val="00C12F7B"/>
    <w:rsid w:val="00C232EB"/>
    <w:rsid w:val="00C32FC1"/>
    <w:rsid w:val="00C3351F"/>
    <w:rsid w:val="00C41D45"/>
    <w:rsid w:val="00C42AF2"/>
    <w:rsid w:val="00C556BA"/>
    <w:rsid w:val="00C6084B"/>
    <w:rsid w:val="00C63332"/>
    <w:rsid w:val="00C647C5"/>
    <w:rsid w:val="00C74D6B"/>
    <w:rsid w:val="00C815C8"/>
    <w:rsid w:val="00C859F2"/>
    <w:rsid w:val="00C868E5"/>
    <w:rsid w:val="00C975FF"/>
    <w:rsid w:val="00CA6D23"/>
    <w:rsid w:val="00CB06AD"/>
    <w:rsid w:val="00CB18FD"/>
    <w:rsid w:val="00CC27D5"/>
    <w:rsid w:val="00CD194A"/>
    <w:rsid w:val="00CE1C10"/>
    <w:rsid w:val="00CE7A29"/>
    <w:rsid w:val="00CE7F3B"/>
    <w:rsid w:val="00CF4EA8"/>
    <w:rsid w:val="00D05EDE"/>
    <w:rsid w:val="00D06FFC"/>
    <w:rsid w:val="00D0777C"/>
    <w:rsid w:val="00D15E04"/>
    <w:rsid w:val="00D2324F"/>
    <w:rsid w:val="00D37BE1"/>
    <w:rsid w:val="00D451A3"/>
    <w:rsid w:val="00D4677C"/>
    <w:rsid w:val="00D55096"/>
    <w:rsid w:val="00D55D1F"/>
    <w:rsid w:val="00D60294"/>
    <w:rsid w:val="00D62C6D"/>
    <w:rsid w:val="00D74ABB"/>
    <w:rsid w:val="00D80181"/>
    <w:rsid w:val="00D971FB"/>
    <w:rsid w:val="00DA5FA0"/>
    <w:rsid w:val="00DA7A33"/>
    <w:rsid w:val="00DB66DD"/>
    <w:rsid w:val="00DF2601"/>
    <w:rsid w:val="00DF2C98"/>
    <w:rsid w:val="00DF4794"/>
    <w:rsid w:val="00E03816"/>
    <w:rsid w:val="00E03915"/>
    <w:rsid w:val="00E13152"/>
    <w:rsid w:val="00E16D7E"/>
    <w:rsid w:val="00E17279"/>
    <w:rsid w:val="00E32A18"/>
    <w:rsid w:val="00E34B0D"/>
    <w:rsid w:val="00E72595"/>
    <w:rsid w:val="00E8070F"/>
    <w:rsid w:val="00E81E59"/>
    <w:rsid w:val="00E91F8D"/>
    <w:rsid w:val="00EC1BFB"/>
    <w:rsid w:val="00EC2508"/>
    <w:rsid w:val="00ED3D5F"/>
    <w:rsid w:val="00EE1D42"/>
    <w:rsid w:val="00EF332B"/>
    <w:rsid w:val="00EF77A2"/>
    <w:rsid w:val="00F1119C"/>
    <w:rsid w:val="00F16DAD"/>
    <w:rsid w:val="00F24906"/>
    <w:rsid w:val="00F2728C"/>
    <w:rsid w:val="00F32AF9"/>
    <w:rsid w:val="00F36921"/>
    <w:rsid w:val="00F40928"/>
    <w:rsid w:val="00F41910"/>
    <w:rsid w:val="00F43C36"/>
    <w:rsid w:val="00F44F3D"/>
    <w:rsid w:val="00F531D1"/>
    <w:rsid w:val="00F62491"/>
    <w:rsid w:val="00F708E8"/>
    <w:rsid w:val="00F92B41"/>
    <w:rsid w:val="00FB25A6"/>
    <w:rsid w:val="00FC1C7A"/>
    <w:rsid w:val="00FC3D0E"/>
    <w:rsid w:val="00FC5329"/>
    <w:rsid w:val="00FE28CF"/>
    <w:rsid w:val="00FE3A27"/>
    <w:rsid w:val="00FF0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D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link w:val="Heading2"/>
    <w:uiPriority w:val="9"/>
    <w:rsid w:val="001E3B9A"/>
    <w:rPr>
      <w:b/>
      <w:bCs/>
      <w:sz w:val="36"/>
      <w:szCs w:val="36"/>
    </w:rPr>
  </w:style>
  <w:style w:type="character" w:customStyle="1" w:styleId="Heading4Char">
    <w:name w:val="Heading 4 Char"/>
    <w:link w:val="Heading4"/>
    <w:uiPriority w:val="9"/>
    <w:rsid w:val="001E3B9A"/>
    <w:rPr>
      <w:rFonts w:ascii="Calibri" w:eastAsia="Times New Roman" w:hAnsi="Calibri" w:cs="Times New Roman"/>
      <w:b/>
      <w:bCs/>
      <w:sz w:val="28"/>
      <w:szCs w:val="28"/>
    </w:rPr>
  </w:style>
  <w:style w:type="character" w:customStyle="1" w:styleId="Heading5Char">
    <w:name w:val="Heading 5 Char"/>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uiPriority w:val="99"/>
    <w:semiHidden/>
    <w:unhideWhenUsed/>
    <w:rsid w:val="003A21A0"/>
    <w:rPr>
      <w:rFonts w:ascii="Courier New" w:eastAsia="Calibri" w:hAnsi="Courier New" w:cs="Courier New" w:hint="default"/>
      <w:sz w:val="20"/>
      <w:szCs w:val="20"/>
    </w:rPr>
  </w:style>
  <w:style w:type="paragraph" w:customStyle="1" w:styleId="NoNumHead2">
    <w:name w:val="NoNum:Head2"/>
    <w:basedOn w:val="Normal"/>
    <w:next w:val="Normal"/>
    <w:link w:val="NoNumHead2Char"/>
    <w:rsid w:val="00370FBA"/>
    <w:pPr>
      <w:keepNext/>
      <w:spacing w:before="120" w:after="240"/>
      <w:outlineLvl w:val="0"/>
    </w:pPr>
    <w:rPr>
      <w:rFonts w:ascii="Arial" w:hAnsi="Arial" w:cs="Arial"/>
      <w:b/>
      <w:bCs/>
      <w:sz w:val="26"/>
      <w:szCs w:val="26"/>
      <w:lang w:val="en-GB" w:eastAsia="en-GB"/>
    </w:rPr>
  </w:style>
  <w:style w:type="character" w:customStyle="1" w:styleId="NoNumHead2Char">
    <w:name w:val="NoNum:Head2 Char"/>
    <w:link w:val="NoNumHead2"/>
    <w:rsid w:val="00370FBA"/>
    <w:rPr>
      <w:rFonts w:ascii="Arial" w:hAnsi="Arial" w:cs="Arial"/>
      <w:b/>
      <w:bCs/>
      <w:sz w:val="26"/>
      <w:szCs w:val="26"/>
      <w:lang w:val="en-GB" w:eastAsia="en-GB"/>
    </w:rPr>
  </w:style>
  <w:style w:type="paragraph" w:customStyle="1" w:styleId="NoNumHead4">
    <w:name w:val="NoNum:Head4"/>
    <w:basedOn w:val="Normal"/>
    <w:next w:val="Normal"/>
    <w:rsid w:val="00D05EDE"/>
    <w:pPr>
      <w:keepNext/>
      <w:spacing w:before="120" w:after="240"/>
      <w:outlineLvl w:val="0"/>
    </w:pPr>
    <w:rPr>
      <w:rFonts w:ascii="Arial" w:hAnsi="Arial" w:cs="Arial"/>
      <w:b/>
      <w:bCs/>
      <w:sz w:val="22"/>
      <w:szCs w:val="22"/>
      <w:lang w:val="en-GB" w:eastAsia="en-GB"/>
    </w:rPr>
  </w:style>
  <w:style w:type="character" w:customStyle="1" w:styleId="Heading3Char">
    <w:name w:val="Heading 3 Char"/>
    <w:link w:val="Heading3"/>
    <w:uiPriority w:val="9"/>
    <w:semiHidden/>
    <w:rsid w:val="00D05EDE"/>
    <w:rPr>
      <w:rFonts w:ascii="Cambria" w:eastAsia="Times New Roman" w:hAnsi="Cambria" w:cs="Times New Roman"/>
      <w:b/>
      <w:bCs/>
      <w:sz w:val="26"/>
      <w:szCs w:val="26"/>
    </w:rPr>
  </w:style>
  <w:style w:type="character" w:styleId="CommentReference">
    <w:name w:val="annotation reference"/>
    <w:uiPriority w:val="99"/>
    <w:rsid w:val="00D05EDE"/>
    <w:rPr>
      <w:rFonts w:ascii="Arial" w:hAnsi="Arial" w:cs="Arial"/>
      <w:vanish/>
      <w:color w:val="FF0000"/>
      <w:sz w:val="16"/>
      <w:szCs w:val="16"/>
    </w:rPr>
  </w:style>
  <w:style w:type="paragraph" w:styleId="Caption">
    <w:name w:val="caption"/>
    <w:basedOn w:val="Normal"/>
    <w:next w:val="Normal"/>
    <w:qFormat/>
    <w:rsid w:val="00D05EDE"/>
    <w:pPr>
      <w:spacing w:after="240"/>
      <w:ind w:left="1440" w:hanging="1440"/>
    </w:pPr>
    <w:rPr>
      <w:rFonts w:ascii="Arial" w:hAnsi="Arial" w:cs="Arial"/>
      <w:b/>
      <w:bCs/>
      <w:sz w:val="22"/>
      <w:szCs w:val="22"/>
      <w:lang w:val="en-GB" w:eastAsia="en-GB"/>
    </w:rPr>
  </w:style>
  <w:style w:type="paragraph" w:customStyle="1" w:styleId="tabletextNS">
    <w:name w:val="table:textNS"/>
    <w:basedOn w:val="Normal"/>
    <w:link w:val="tabletextNSChar"/>
    <w:uiPriority w:val="99"/>
    <w:qFormat/>
    <w:rsid w:val="00D05EDE"/>
    <w:rPr>
      <w:rFonts w:ascii="Arial Narrow" w:hAnsi="Arial Narrow" w:cs="Arial Narrow"/>
      <w:sz w:val="24"/>
      <w:lang w:val="en-GB" w:eastAsia="en-GB"/>
    </w:rPr>
  </w:style>
  <w:style w:type="paragraph" w:customStyle="1" w:styleId="Default">
    <w:name w:val="Default"/>
    <w:rsid w:val="00D05EDE"/>
    <w:pPr>
      <w:autoSpaceDE w:val="0"/>
      <w:autoSpaceDN w:val="0"/>
      <w:adjustRightInd w:val="0"/>
    </w:pPr>
    <w:rPr>
      <w:color w:val="000000"/>
      <w:sz w:val="24"/>
      <w:szCs w:val="24"/>
      <w:lang w:val="en-GB" w:eastAsia="en-GB"/>
    </w:rPr>
  </w:style>
  <w:style w:type="character" w:customStyle="1" w:styleId="tabletextNSChar">
    <w:name w:val="table:textNS Char"/>
    <w:link w:val="tabletextNS"/>
    <w:uiPriority w:val="99"/>
    <w:locked/>
    <w:rsid w:val="00D05EDE"/>
    <w:rPr>
      <w:rFonts w:ascii="Arial Narrow" w:hAnsi="Arial Narrow" w:cs="Arial Narrow"/>
      <w:sz w:val="24"/>
      <w:lang w:val="en-GB" w:eastAsia="en-GB"/>
    </w:rPr>
  </w:style>
  <w:style w:type="character" w:customStyle="1" w:styleId="CSIchar">
    <w:name w:val="CSIchar"/>
    <w:rsid w:val="00D05EDE"/>
    <w:rPr>
      <w:bdr w:val="none" w:sz="0" w:space="0" w:color="auto"/>
      <w:shd w:val="clear" w:color="auto" w:fill="CCCCCC"/>
    </w:rPr>
  </w:style>
  <w:style w:type="paragraph" w:customStyle="1" w:styleId="listssp">
    <w:name w:val="list:ssp"/>
    <w:basedOn w:val="Normal"/>
    <w:rsid w:val="00D05EDE"/>
    <w:rPr>
      <w:sz w:val="24"/>
      <w:lang w:val="en-GB" w:eastAsia="en-GB"/>
    </w:rPr>
  </w:style>
  <w:style w:type="paragraph" w:customStyle="1" w:styleId="NoNumHead3">
    <w:name w:val="NoNum:Head3"/>
    <w:basedOn w:val="NoNumHead2"/>
    <w:next w:val="Normal"/>
    <w:rsid w:val="00D05EDE"/>
    <w:rPr>
      <w:sz w:val="24"/>
      <w:szCs w:val="24"/>
    </w:rPr>
  </w:style>
  <w:style w:type="character" w:customStyle="1" w:styleId="LBLLevel3">
    <w:name w:val="LBLLevel 3"/>
    <w:rsid w:val="00D05EDE"/>
    <w:rPr>
      <w:rFonts w:ascii="Arial" w:hAnsi="Arial" w:cs="Times New Roman"/>
      <w:u w:val="single"/>
    </w:rPr>
  </w:style>
  <w:style w:type="paragraph" w:styleId="CommentText">
    <w:name w:val="annotation text"/>
    <w:basedOn w:val="Normal"/>
    <w:link w:val="CommentTextChar"/>
    <w:uiPriority w:val="99"/>
    <w:rsid w:val="00FE28CF"/>
    <w:pPr>
      <w:spacing w:after="240"/>
    </w:pPr>
    <w:rPr>
      <w:lang w:val="en-GB" w:eastAsia="en-GB"/>
    </w:rPr>
  </w:style>
  <w:style w:type="character" w:customStyle="1" w:styleId="CommentTextChar">
    <w:name w:val="Comment Text Char"/>
    <w:link w:val="CommentText"/>
    <w:uiPriority w:val="99"/>
    <w:rsid w:val="00FE28CF"/>
    <w:rPr>
      <w:lang w:val="en-GB" w:eastAsia="en-GB"/>
    </w:rPr>
  </w:style>
  <w:style w:type="paragraph" w:styleId="CommentSubject">
    <w:name w:val="annotation subject"/>
    <w:basedOn w:val="CommentText"/>
    <w:next w:val="CommentText"/>
    <w:link w:val="CommentSubjectChar"/>
    <w:uiPriority w:val="99"/>
    <w:semiHidden/>
    <w:unhideWhenUsed/>
    <w:rsid w:val="00FE28CF"/>
    <w:pPr>
      <w:spacing w:after="0"/>
    </w:pPr>
    <w:rPr>
      <w:b/>
      <w:bCs/>
      <w:lang w:val="en-AU" w:eastAsia="en-AU"/>
    </w:rPr>
  </w:style>
  <w:style w:type="character" w:customStyle="1" w:styleId="CommentSubjectChar">
    <w:name w:val="Comment Subject Char"/>
    <w:link w:val="CommentSubject"/>
    <w:uiPriority w:val="99"/>
    <w:semiHidden/>
    <w:rsid w:val="00FE28CF"/>
    <w:rPr>
      <w:b/>
      <w:bCs/>
      <w:lang w:val="en-GB" w:eastAsia="en-GB"/>
    </w:rPr>
  </w:style>
  <w:style w:type="paragraph" w:styleId="BalloonText">
    <w:name w:val="Balloon Text"/>
    <w:basedOn w:val="Normal"/>
    <w:link w:val="BalloonTextChar"/>
    <w:uiPriority w:val="99"/>
    <w:semiHidden/>
    <w:unhideWhenUsed/>
    <w:rsid w:val="00FE28CF"/>
    <w:rPr>
      <w:rFonts w:ascii="Tahoma" w:hAnsi="Tahoma" w:cs="Tahoma"/>
      <w:sz w:val="16"/>
      <w:szCs w:val="16"/>
    </w:rPr>
  </w:style>
  <w:style w:type="character" w:customStyle="1" w:styleId="BalloonTextChar">
    <w:name w:val="Balloon Text Char"/>
    <w:link w:val="BalloonText"/>
    <w:uiPriority w:val="99"/>
    <w:semiHidden/>
    <w:rsid w:val="00FE28CF"/>
    <w:rPr>
      <w:rFonts w:ascii="Tahoma" w:hAnsi="Tahoma" w:cs="Tahoma"/>
      <w:sz w:val="16"/>
      <w:szCs w:val="16"/>
    </w:rPr>
  </w:style>
  <w:style w:type="paragraph" w:styleId="PlainText">
    <w:name w:val="Plain Text"/>
    <w:basedOn w:val="Normal"/>
    <w:link w:val="PlainTextChar"/>
    <w:uiPriority w:val="99"/>
    <w:semiHidden/>
    <w:unhideWhenUsed/>
    <w:rsid w:val="00C10269"/>
    <w:rPr>
      <w:rFonts w:ascii="Consolas" w:eastAsia="Calibri" w:hAnsi="Consolas"/>
      <w:sz w:val="21"/>
      <w:szCs w:val="21"/>
      <w:lang w:eastAsia="en-US"/>
    </w:rPr>
  </w:style>
  <w:style w:type="character" w:customStyle="1" w:styleId="PlainTextChar">
    <w:name w:val="Plain Text Char"/>
    <w:link w:val="PlainText"/>
    <w:uiPriority w:val="99"/>
    <w:semiHidden/>
    <w:rsid w:val="00C10269"/>
    <w:rPr>
      <w:rFonts w:ascii="Consolas" w:eastAsia="Calibri" w:hAnsi="Consolas" w:cs="Times New Roman"/>
      <w:sz w:val="21"/>
      <w:szCs w:val="21"/>
      <w:lang w:eastAsia="en-US"/>
    </w:rPr>
  </w:style>
  <w:style w:type="paragraph" w:customStyle="1" w:styleId="captiontable">
    <w:name w:val="caption:table"/>
    <w:basedOn w:val="Normal"/>
    <w:next w:val="Normal"/>
    <w:link w:val="captiontableChar"/>
    <w:qFormat/>
    <w:rsid w:val="000F37ED"/>
    <w:pPr>
      <w:keepNext/>
      <w:spacing w:after="240"/>
      <w:ind w:left="1440" w:hanging="1440"/>
    </w:pPr>
    <w:rPr>
      <w:rFonts w:ascii="Arial" w:hAnsi="Arial"/>
      <w:b/>
      <w:sz w:val="22"/>
      <w:lang w:val="en-GB" w:eastAsia="en-US"/>
    </w:rPr>
  </w:style>
  <w:style w:type="paragraph" w:customStyle="1" w:styleId="tableref">
    <w:name w:val="table:ref"/>
    <w:basedOn w:val="Normal"/>
    <w:link w:val="tablerefChar"/>
    <w:qFormat/>
    <w:rsid w:val="000F37ED"/>
    <w:pPr>
      <w:tabs>
        <w:tab w:val="left" w:pos="360"/>
      </w:tabs>
      <w:ind w:left="360" w:hanging="360"/>
    </w:pPr>
    <w:rPr>
      <w:rFonts w:ascii="Arial Narrow" w:hAnsi="Arial Narrow"/>
      <w:lang w:val="en-GB" w:eastAsia="en-US"/>
    </w:rPr>
  </w:style>
  <w:style w:type="character" w:customStyle="1" w:styleId="tablerefChar">
    <w:name w:val="table:ref Char"/>
    <w:link w:val="tableref"/>
    <w:rsid w:val="000F37ED"/>
    <w:rPr>
      <w:rFonts w:ascii="Arial Narrow" w:hAnsi="Arial Narrow"/>
      <w:lang w:val="en-GB" w:eastAsia="en-US"/>
    </w:rPr>
  </w:style>
  <w:style w:type="character" w:customStyle="1" w:styleId="captiontableChar">
    <w:name w:val="caption:table Char"/>
    <w:link w:val="captiontable"/>
    <w:rsid w:val="000F37ED"/>
    <w:rPr>
      <w:rFonts w:ascii="Arial" w:hAnsi="Arial"/>
      <w:b/>
      <w:sz w:val="22"/>
      <w:lang w:val="en-GB" w:eastAsia="en-US"/>
    </w:rPr>
  </w:style>
  <w:style w:type="paragraph" w:styleId="ListParagraph">
    <w:name w:val="List Paragraph"/>
    <w:basedOn w:val="Normal"/>
    <w:uiPriority w:val="34"/>
    <w:qFormat/>
    <w:rsid w:val="00664596"/>
    <w:pPr>
      <w:ind w:left="720"/>
    </w:pPr>
    <w:rPr>
      <w:rFonts w:ascii="Calibri" w:eastAsia="Calibri" w:hAnsi="Calibri"/>
      <w:sz w:val="22"/>
      <w:szCs w:val="22"/>
    </w:rPr>
  </w:style>
  <w:style w:type="character" w:styleId="FollowedHyperlink">
    <w:name w:val="FollowedHyperlink"/>
    <w:uiPriority w:val="99"/>
    <w:semiHidden/>
    <w:unhideWhenUsed/>
    <w:rsid w:val="00421B21"/>
    <w:rPr>
      <w:color w:val="800080"/>
      <w:u w:val="single"/>
    </w:rPr>
  </w:style>
  <w:style w:type="paragraph" w:customStyle="1" w:styleId="centheadGDS">
    <w:name w:val="cent head GDS"/>
    <w:basedOn w:val="Normal"/>
    <w:autoRedefine/>
    <w:rsid w:val="003A726C"/>
    <w:pPr>
      <w:spacing w:before="120"/>
    </w:pPr>
    <w:rPr>
      <w:rFonts w:ascii="Arial" w:hAnsi="Arial" w:cs="Arial"/>
      <w:noProof/>
      <w:sz w:val="22"/>
      <w:szCs w:val="22"/>
      <w:lang w:val="en-GB" w:eastAsia="en-GB"/>
    </w:rPr>
  </w:style>
  <w:style w:type="paragraph" w:customStyle="1" w:styleId="Warning">
    <w:name w:val="Warning"/>
    <w:basedOn w:val="Normal"/>
    <w:qFormat/>
    <w:rsid w:val="007424F4"/>
    <w:pPr>
      <w:numPr>
        <w:numId w:val="24"/>
      </w:numPr>
      <w:spacing w:before="120" w:after="120"/>
    </w:pPr>
    <w:rPr>
      <w:b/>
      <w:sz w:val="28"/>
      <w:szCs w:val="28"/>
      <w:lang w:val="en-GB" w:eastAsia="en-GB"/>
    </w:rPr>
  </w:style>
  <w:style w:type="paragraph" w:customStyle="1" w:styleId="instruction">
    <w:name w:val="instruction"/>
    <w:basedOn w:val="Normal"/>
    <w:qFormat/>
    <w:rsid w:val="007424F4"/>
    <w:pPr>
      <w:numPr>
        <w:numId w:val="25"/>
      </w:numPr>
      <w:spacing w:before="120"/>
      <w:ind w:left="284" w:hanging="284"/>
    </w:pPr>
    <w:rPr>
      <w:b/>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D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link w:val="Heading2"/>
    <w:uiPriority w:val="9"/>
    <w:rsid w:val="001E3B9A"/>
    <w:rPr>
      <w:b/>
      <w:bCs/>
      <w:sz w:val="36"/>
      <w:szCs w:val="36"/>
    </w:rPr>
  </w:style>
  <w:style w:type="character" w:customStyle="1" w:styleId="Heading4Char">
    <w:name w:val="Heading 4 Char"/>
    <w:link w:val="Heading4"/>
    <w:uiPriority w:val="9"/>
    <w:rsid w:val="001E3B9A"/>
    <w:rPr>
      <w:rFonts w:ascii="Calibri" w:eastAsia="Times New Roman" w:hAnsi="Calibri" w:cs="Times New Roman"/>
      <w:b/>
      <w:bCs/>
      <w:sz w:val="28"/>
      <w:szCs w:val="28"/>
    </w:rPr>
  </w:style>
  <w:style w:type="character" w:customStyle="1" w:styleId="Heading5Char">
    <w:name w:val="Heading 5 Char"/>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uiPriority w:val="99"/>
    <w:semiHidden/>
    <w:unhideWhenUsed/>
    <w:rsid w:val="003A21A0"/>
    <w:rPr>
      <w:rFonts w:ascii="Courier New" w:eastAsia="Calibri" w:hAnsi="Courier New" w:cs="Courier New" w:hint="default"/>
      <w:sz w:val="20"/>
      <w:szCs w:val="20"/>
    </w:rPr>
  </w:style>
  <w:style w:type="paragraph" w:customStyle="1" w:styleId="NoNumHead2">
    <w:name w:val="NoNum:Head2"/>
    <w:basedOn w:val="Normal"/>
    <w:next w:val="Normal"/>
    <w:link w:val="NoNumHead2Char"/>
    <w:rsid w:val="00370FBA"/>
    <w:pPr>
      <w:keepNext/>
      <w:spacing w:before="120" w:after="240"/>
      <w:outlineLvl w:val="0"/>
    </w:pPr>
    <w:rPr>
      <w:rFonts w:ascii="Arial" w:hAnsi="Arial" w:cs="Arial"/>
      <w:b/>
      <w:bCs/>
      <w:sz w:val="26"/>
      <w:szCs w:val="26"/>
      <w:lang w:val="en-GB" w:eastAsia="en-GB"/>
    </w:rPr>
  </w:style>
  <w:style w:type="character" w:customStyle="1" w:styleId="NoNumHead2Char">
    <w:name w:val="NoNum:Head2 Char"/>
    <w:link w:val="NoNumHead2"/>
    <w:rsid w:val="00370FBA"/>
    <w:rPr>
      <w:rFonts w:ascii="Arial" w:hAnsi="Arial" w:cs="Arial"/>
      <w:b/>
      <w:bCs/>
      <w:sz w:val="26"/>
      <w:szCs w:val="26"/>
      <w:lang w:val="en-GB" w:eastAsia="en-GB"/>
    </w:rPr>
  </w:style>
  <w:style w:type="paragraph" w:customStyle="1" w:styleId="NoNumHead4">
    <w:name w:val="NoNum:Head4"/>
    <w:basedOn w:val="Normal"/>
    <w:next w:val="Normal"/>
    <w:rsid w:val="00D05EDE"/>
    <w:pPr>
      <w:keepNext/>
      <w:spacing w:before="120" w:after="240"/>
      <w:outlineLvl w:val="0"/>
    </w:pPr>
    <w:rPr>
      <w:rFonts w:ascii="Arial" w:hAnsi="Arial" w:cs="Arial"/>
      <w:b/>
      <w:bCs/>
      <w:sz w:val="22"/>
      <w:szCs w:val="22"/>
      <w:lang w:val="en-GB" w:eastAsia="en-GB"/>
    </w:rPr>
  </w:style>
  <w:style w:type="character" w:customStyle="1" w:styleId="Heading3Char">
    <w:name w:val="Heading 3 Char"/>
    <w:link w:val="Heading3"/>
    <w:uiPriority w:val="9"/>
    <w:semiHidden/>
    <w:rsid w:val="00D05EDE"/>
    <w:rPr>
      <w:rFonts w:ascii="Cambria" w:eastAsia="Times New Roman" w:hAnsi="Cambria" w:cs="Times New Roman"/>
      <w:b/>
      <w:bCs/>
      <w:sz w:val="26"/>
      <w:szCs w:val="26"/>
    </w:rPr>
  </w:style>
  <w:style w:type="character" w:styleId="CommentReference">
    <w:name w:val="annotation reference"/>
    <w:uiPriority w:val="99"/>
    <w:rsid w:val="00D05EDE"/>
    <w:rPr>
      <w:rFonts w:ascii="Arial" w:hAnsi="Arial" w:cs="Arial"/>
      <w:vanish/>
      <w:color w:val="FF0000"/>
      <w:sz w:val="16"/>
      <w:szCs w:val="16"/>
    </w:rPr>
  </w:style>
  <w:style w:type="paragraph" w:styleId="Caption">
    <w:name w:val="caption"/>
    <w:basedOn w:val="Normal"/>
    <w:next w:val="Normal"/>
    <w:qFormat/>
    <w:rsid w:val="00D05EDE"/>
    <w:pPr>
      <w:spacing w:after="240"/>
      <w:ind w:left="1440" w:hanging="1440"/>
    </w:pPr>
    <w:rPr>
      <w:rFonts w:ascii="Arial" w:hAnsi="Arial" w:cs="Arial"/>
      <w:b/>
      <w:bCs/>
      <w:sz w:val="22"/>
      <w:szCs w:val="22"/>
      <w:lang w:val="en-GB" w:eastAsia="en-GB"/>
    </w:rPr>
  </w:style>
  <w:style w:type="paragraph" w:customStyle="1" w:styleId="tabletextNS">
    <w:name w:val="table:textNS"/>
    <w:basedOn w:val="Normal"/>
    <w:link w:val="tabletextNSChar"/>
    <w:uiPriority w:val="99"/>
    <w:qFormat/>
    <w:rsid w:val="00D05EDE"/>
    <w:rPr>
      <w:rFonts w:ascii="Arial Narrow" w:hAnsi="Arial Narrow" w:cs="Arial Narrow"/>
      <w:sz w:val="24"/>
      <w:lang w:val="en-GB" w:eastAsia="en-GB"/>
    </w:rPr>
  </w:style>
  <w:style w:type="paragraph" w:customStyle="1" w:styleId="Default">
    <w:name w:val="Default"/>
    <w:rsid w:val="00D05EDE"/>
    <w:pPr>
      <w:autoSpaceDE w:val="0"/>
      <w:autoSpaceDN w:val="0"/>
      <w:adjustRightInd w:val="0"/>
    </w:pPr>
    <w:rPr>
      <w:color w:val="000000"/>
      <w:sz w:val="24"/>
      <w:szCs w:val="24"/>
      <w:lang w:val="en-GB" w:eastAsia="en-GB"/>
    </w:rPr>
  </w:style>
  <w:style w:type="character" w:customStyle="1" w:styleId="tabletextNSChar">
    <w:name w:val="table:textNS Char"/>
    <w:link w:val="tabletextNS"/>
    <w:uiPriority w:val="99"/>
    <w:locked/>
    <w:rsid w:val="00D05EDE"/>
    <w:rPr>
      <w:rFonts w:ascii="Arial Narrow" w:hAnsi="Arial Narrow" w:cs="Arial Narrow"/>
      <w:sz w:val="24"/>
      <w:lang w:val="en-GB" w:eastAsia="en-GB"/>
    </w:rPr>
  </w:style>
  <w:style w:type="character" w:customStyle="1" w:styleId="CSIchar">
    <w:name w:val="CSIchar"/>
    <w:rsid w:val="00D05EDE"/>
    <w:rPr>
      <w:bdr w:val="none" w:sz="0" w:space="0" w:color="auto"/>
      <w:shd w:val="clear" w:color="auto" w:fill="CCCCCC"/>
    </w:rPr>
  </w:style>
  <w:style w:type="paragraph" w:customStyle="1" w:styleId="listssp">
    <w:name w:val="list:ssp"/>
    <w:basedOn w:val="Normal"/>
    <w:rsid w:val="00D05EDE"/>
    <w:rPr>
      <w:sz w:val="24"/>
      <w:lang w:val="en-GB" w:eastAsia="en-GB"/>
    </w:rPr>
  </w:style>
  <w:style w:type="paragraph" w:customStyle="1" w:styleId="NoNumHead3">
    <w:name w:val="NoNum:Head3"/>
    <w:basedOn w:val="NoNumHead2"/>
    <w:next w:val="Normal"/>
    <w:rsid w:val="00D05EDE"/>
    <w:rPr>
      <w:sz w:val="24"/>
      <w:szCs w:val="24"/>
    </w:rPr>
  </w:style>
  <w:style w:type="character" w:customStyle="1" w:styleId="LBLLevel3">
    <w:name w:val="LBLLevel 3"/>
    <w:rsid w:val="00D05EDE"/>
    <w:rPr>
      <w:rFonts w:ascii="Arial" w:hAnsi="Arial" w:cs="Times New Roman"/>
      <w:u w:val="single"/>
    </w:rPr>
  </w:style>
  <w:style w:type="paragraph" w:styleId="CommentText">
    <w:name w:val="annotation text"/>
    <w:basedOn w:val="Normal"/>
    <w:link w:val="CommentTextChar"/>
    <w:uiPriority w:val="99"/>
    <w:rsid w:val="00FE28CF"/>
    <w:pPr>
      <w:spacing w:after="240"/>
    </w:pPr>
    <w:rPr>
      <w:lang w:val="en-GB" w:eastAsia="en-GB"/>
    </w:rPr>
  </w:style>
  <w:style w:type="character" w:customStyle="1" w:styleId="CommentTextChar">
    <w:name w:val="Comment Text Char"/>
    <w:link w:val="CommentText"/>
    <w:uiPriority w:val="99"/>
    <w:rsid w:val="00FE28CF"/>
    <w:rPr>
      <w:lang w:val="en-GB" w:eastAsia="en-GB"/>
    </w:rPr>
  </w:style>
  <w:style w:type="paragraph" w:styleId="CommentSubject">
    <w:name w:val="annotation subject"/>
    <w:basedOn w:val="CommentText"/>
    <w:next w:val="CommentText"/>
    <w:link w:val="CommentSubjectChar"/>
    <w:uiPriority w:val="99"/>
    <w:semiHidden/>
    <w:unhideWhenUsed/>
    <w:rsid w:val="00FE28CF"/>
    <w:pPr>
      <w:spacing w:after="0"/>
    </w:pPr>
    <w:rPr>
      <w:b/>
      <w:bCs/>
      <w:lang w:val="en-AU" w:eastAsia="en-AU"/>
    </w:rPr>
  </w:style>
  <w:style w:type="character" w:customStyle="1" w:styleId="CommentSubjectChar">
    <w:name w:val="Comment Subject Char"/>
    <w:link w:val="CommentSubject"/>
    <w:uiPriority w:val="99"/>
    <w:semiHidden/>
    <w:rsid w:val="00FE28CF"/>
    <w:rPr>
      <w:b/>
      <w:bCs/>
      <w:lang w:val="en-GB" w:eastAsia="en-GB"/>
    </w:rPr>
  </w:style>
  <w:style w:type="paragraph" w:styleId="BalloonText">
    <w:name w:val="Balloon Text"/>
    <w:basedOn w:val="Normal"/>
    <w:link w:val="BalloonTextChar"/>
    <w:uiPriority w:val="99"/>
    <w:semiHidden/>
    <w:unhideWhenUsed/>
    <w:rsid w:val="00FE28CF"/>
    <w:rPr>
      <w:rFonts w:ascii="Tahoma" w:hAnsi="Tahoma" w:cs="Tahoma"/>
      <w:sz w:val="16"/>
      <w:szCs w:val="16"/>
    </w:rPr>
  </w:style>
  <w:style w:type="character" w:customStyle="1" w:styleId="BalloonTextChar">
    <w:name w:val="Balloon Text Char"/>
    <w:link w:val="BalloonText"/>
    <w:uiPriority w:val="99"/>
    <w:semiHidden/>
    <w:rsid w:val="00FE28CF"/>
    <w:rPr>
      <w:rFonts w:ascii="Tahoma" w:hAnsi="Tahoma" w:cs="Tahoma"/>
      <w:sz w:val="16"/>
      <w:szCs w:val="16"/>
    </w:rPr>
  </w:style>
  <w:style w:type="paragraph" w:styleId="PlainText">
    <w:name w:val="Plain Text"/>
    <w:basedOn w:val="Normal"/>
    <w:link w:val="PlainTextChar"/>
    <w:uiPriority w:val="99"/>
    <w:semiHidden/>
    <w:unhideWhenUsed/>
    <w:rsid w:val="00C10269"/>
    <w:rPr>
      <w:rFonts w:ascii="Consolas" w:eastAsia="Calibri" w:hAnsi="Consolas"/>
      <w:sz w:val="21"/>
      <w:szCs w:val="21"/>
      <w:lang w:eastAsia="en-US"/>
    </w:rPr>
  </w:style>
  <w:style w:type="character" w:customStyle="1" w:styleId="PlainTextChar">
    <w:name w:val="Plain Text Char"/>
    <w:link w:val="PlainText"/>
    <w:uiPriority w:val="99"/>
    <w:semiHidden/>
    <w:rsid w:val="00C10269"/>
    <w:rPr>
      <w:rFonts w:ascii="Consolas" w:eastAsia="Calibri" w:hAnsi="Consolas" w:cs="Times New Roman"/>
      <w:sz w:val="21"/>
      <w:szCs w:val="21"/>
      <w:lang w:eastAsia="en-US"/>
    </w:rPr>
  </w:style>
  <w:style w:type="paragraph" w:customStyle="1" w:styleId="captiontable">
    <w:name w:val="caption:table"/>
    <w:basedOn w:val="Normal"/>
    <w:next w:val="Normal"/>
    <w:link w:val="captiontableChar"/>
    <w:qFormat/>
    <w:rsid w:val="000F37ED"/>
    <w:pPr>
      <w:keepNext/>
      <w:spacing w:after="240"/>
      <w:ind w:left="1440" w:hanging="1440"/>
    </w:pPr>
    <w:rPr>
      <w:rFonts w:ascii="Arial" w:hAnsi="Arial"/>
      <w:b/>
      <w:sz w:val="22"/>
      <w:lang w:val="en-GB" w:eastAsia="en-US"/>
    </w:rPr>
  </w:style>
  <w:style w:type="paragraph" w:customStyle="1" w:styleId="tableref">
    <w:name w:val="table:ref"/>
    <w:basedOn w:val="Normal"/>
    <w:link w:val="tablerefChar"/>
    <w:qFormat/>
    <w:rsid w:val="000F37ED"/>
    <w:pPr>
      <w:tabs>
        <w:tab w:val="left" w:pos="360"/>
      </w:tabs>
      <w:ind w:left="360" w:hanging="360"/>
    </w:pPr>
    <w:rPr>
      <w:rFonts w:ascii="Arial Narrow" w:hAnsi="Arial Narrow"/>
      <w:lang w:val="en-GB" w:eastAsia="en-US"/>
    </w:rPr>
  </w:style>
  <w:style w:type="character" w:customStyle="1" w:styleId="tablerefChar">
    <w:name w:val="table:ref Char"/>
    <w:link w:val="tableref"/>
    <w:rsid w:val="000F37ED"/>
    <w:rPr>
      <w:rFonts w:ascii="Arial Narrow" w:hAnsi="Arial Narrow"/>
      <w:lang w:val="en-GB" w:eastAsia="en-US"/>
    </w:rPr>
  </w:style>
  <w:style w:type="character" w:customStyle="1" w:styleId="captiontableChar">
    <w:name w:val="caption:table Char"/>
    <w:link w:val="captiontable"/>
    <w:rsid w:val="000F37ED"/>
    <w:rPr>
      <w:rFonts w:ascii="Arial" w:hAnsi="Arial"/>
      <w:b/>
      <w:sz w:val="22"/>
      <w:lang w:val="en-GB" w:eastAsia="en-US"/>
    </w:rPr>
  </w:style>
  <w:style w:type="paragraph" w:styleId="ListParagraph">
    <w:name w:val="List Paragraph"/>
    <w:basedOn w:val="Normal"/>
    <w:uiPriority w:val="34"/>
    <w:qFormat/>
    <w:rsid w:val="00664596"/>
    <w:pPr>
      <w:ind w:left="720"/>
    </w:pPr>
    <w:rPr>
      <w:rFonts w:ascii="Calibri" w:eastAsia="Calibri" w:hAnsi="Calibri"/>
      <w:sz w:val="22"/>
      <w:szCs w:val="22"/>
    </w:rPr>
  </w:style>
  <w:style w:type="character" w:styleId="FollowedHyperlink">
    <w:name w:val="FollowedHyperlink"/>
    <w:uiPriority w:val="99"/>
    <w:semiHidden/>
    <w:unhideWhenUsed/>
    <w:rsid w:val="00421B21"/>
    <w:rPr>
      <w:color w:val="800080"/>
      <w:u w:val="single"/>
    </w:rPr>
  </w:style>
  <w:style w:type="paragraph" w:customStyle="1" w:styleId="centheadGDS">
    <w:name w:val="cent head GDS"/>
    <w:basedOn w:val="Normal"/>
    <w:autoRedefine/>
    <w:rsid w:val="003A726C"/>
    <w:pPr>
      <w:spacing w:before="120"/>
    </w:pPr>
    <w:rPr>
      <w:rFonts w:ascii="Arial" w:hAnsi="Arial" w:cs="Arial"/>
      <w:noProof/>
      <w:sz w:val="22"/>
      <w:szCs w:val="22"/>
      <w:lang w:val="en-GB" w:eastAsia="en-GB"/>
    </w:rPr>
  </w:style>
  <w:style w:type="paragraph" w:customStyle="1" w:styleId="Warning">
    <w:name w:val="Warning"/>
    <w:basedOn w:val="Normal"/>
    <w:qFormat/>
    <w:rsid w:val="007424F4"/>
    <w:pPr>
      <w:numPr>
        <w:numId w:val="24"/>
      </w:numPr>
      <w:spacing w:before="120" w:after="120"/>
    </w:pPr>
    <w:rPr>
      <w:b/>
      <w:sz w:val="28"/>
      <w:szCs w:val="28"/>
      <w:lang w:val="en-GB" w:eastAsia="en-GB"/>
    </w:rPr>
  </w:style>
  <w:style w:type="paragraph" w:customStyle="1" w:styleId="instruction">
    <w:name w:val="instruction"/>
    <w:basedOn w:val="Normal"/>
    <w:qFormat/>
    <w:rsid w:val="007424F4"/>
    <w:pPr>
      <w:numPr>
        <w:numId w:val="25"/>
      </w:numPr>
      <w:spacing w:before="120"/>
      <w:ind w:left="284" w:hanging="284"/>
    </w:pPr>
    <w:rPr>
      <w:b/>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69670">
      <w:bodyDiv w:val="1"/>
      <w:marLeft w:val="0"/>
      <w:marRight w:val="0"/>
      <w:marTop w:val="0"/>
      <w:marBottom w:val="0"/>
      <w:divBdr>
        <w:top w:val="none" w:sz="0" w:space="0" w:color="auto"/>
        <w:left w:val="none" w:sz="0" w:space="0" w:color="auto"/>
        <w:bottom w:val="none" w:sz="0" w:space="0" w:color="auto"/>
        <w:right w:val="none" w:sz="0" w:space="0" w:color="auto"/>
      </w:divBdr>
    </w:div>
    <w:div w:id="668364775">
      <w:bodyDiv w:val="1"/>
      <w:marLeft w:val="0"/>
      <w:marRight w:val="0"/>
      <w:marTop w:val="0"/>
      <w:marBottom w:val="0"/>
      <w:divBdr>
        <w:top w:val="none" w:sz="0" w:space="0" w:color="auto"/>
        <w:left w:val="none" w:sz="0" w:space="0" w:color="auto"/>
        <w:bottom w:val="none" w:sz="0" w:space="0" w:color="auto"/>
        <w:right w:val="none" w:sz="0" w:space="0" w:color="auto"/>
      </w:divBdr>
    </w:div>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87744759">
      <w:bodyDiv w:val="1"/>
      <w:marLeft w:val="0"/>
      <w:marRight w:val="0"/>
      <w:marTop w:val="0"/>
      <w:marBottom w:val="0"/>
      <w:divBdr>
        <w:top w:val="none" w:sz="0" w:space="0" w:color="auto"/>
        <w:left w:val="none" w:sz="0" w:space="0" w:color="auto"/>
        <w:bottom w:val="none" w:sz="0" w:space="0" w:color="auto"/>
        <w:right w:val="none" w:sz="0" w:space="0" w:color="auto"/>
      </w:divBdr>
    </w:div>
    <w:div w:id="19728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2648-F8E6-4B85-92BB-35AA1544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18</TotalTime>
  <Pages>26</Pages>
  <Words>8815</Words>
  <Characters>52676</Characters>
  <Application>Microsoft Office Word</Application>
  <DocSecurity>0</DocSecurity>
  <Lines>1386</Lines>
  <Paragraphs>819</Paragraphs>
  <ScaleCrop>false</ScaleCrop>
  <HeadingPairs>
    <vt:vector size="2" baseType="variant">
      <vt:variant>
        <vt:lpstr>Title</vt:lpstr>
      </vt:variant>
      <vt:variant>
        <vt:i4>1</vt:i4>
      </vt:variant>
    </vt:vector>
  </HeadingPairs>
  <TitlesOfParts>
    <vt:vector size="1" baseType="lpstr">
      <vt:lpstr>AusPAR Attachment 1. Product Information for Breo Ellipta Fluticasone furoate/vilanterol trifenatate</vt:lpstr>
    </vt:vector>
  </TitlesOfParts>
  <Company>GlaxoSmithKline</Company>
  <LinksUpToDate>false</LinksUpToDate>
  <CharactersWithSpaces>60672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Fluticasone furoate/vilanterol trifenatate (Breo Ellipta)</dc:title>
  <dc:subject>prescription medicine regulation</dc:subject>
  <dc:creator/>
  <cp:keywords>product, information, prescription, medicine, regulation, breo, ellipta, fluticasone, furoate, vilanterol, trifenatate</cp:keywords>
  <cp:lastModifiedBy>Sheppard, Fran</cp:lastModifiedBy>
  <cp:revision>14</cp:revision>
  <cp:lastPrinted>2014-01-15T02:16:00Z</cp:lastPrinted>
  <dcterms:created xsi:type="dcterms:W3CDTF">2014-09-30T04:08:00Z</dcterms:created>
  <dcterms:modified xsi:type="dcterms:W3CDTF">2014-11-19T03:17:00Z</dcterms:modified>
</cp:coreProperties>
</file>