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72BB8" w:rsidP="000D0A6D">
            <w:pPr>
              <w:rPr>
                <w:rFonts w:ascii="Arial" w:hAnsi="Arial" w:cs="Arial"/>
                <w:b/>
                <w:color w:val="002C47"/>
                <w:sz w:val="36"/>
                <w:szCs w:val="36"/>
              </w:rPr>
            </w:pPr>
            <w:r>
              <w:rPr>
                <w:rFonts w:ascii="Arial" w:hAnsi="Arial" w:cs="Arial"/>
                <w:b/>
                <w:color w:val="002C47"/>
                <w:sz w:val="36"/>
                <w:szCs w:val="36"/>
              </w:rPr>
              <w:t>October</w:t>
            </w:r>
            <w:r w:rsidR="008E7846">
              <w:rPr>
                <w:rFonts w:ascii="Arial" w:hAnsi="Arial" w:cs="Arial"/>
                <w:b/>
                <w:color w:val="002C47"/>
                <w:sz w:val="36"/>
                <w:szCs w:val="36"/>
              </w:rPr>
              <w:t xml:space="preserve"> </w:t>
            </w:r>
            <w:r w:rsidR="000D0A6D">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0D0A6D">
            <w:pPr>
              <w:pStyle w:val="Title"/>
              <w:rPr>
                <w:color w:val="FFFFFF" w:themeColor="background1"/>
              </w:rPr>
            </w:pPr>
            <w:r w:rsidRPr="00A964D1">
              <w:rPr>
                <w:color w:val="FFFFFF" w:themeColor="background1"/>
              </w:rPr>
              <w:t xml:space="preserve">Australian Public Assessment Report for </w:t>
            </w:r>
            <w:proofErr w:type="spellStart"/>
            <w:r w:rsidR="000D0A6D">
              <w:rPr>
                <w:color w:val="FFFFFF" w:themeColor="background1"/>
              </w:rPr>
              <w:t>F</w:t>
            </w:r>
            <w:r w:rsidR="000D0A6D" w:rsidRPr="000D0A6D">
              <w:rPr>
                <w:color w:val="FFFFFF" w:themeColor="background1"/>
              </w:rPr>
              <w:t>ilgrastim</w:t>
            </w:r>
            <w:proofErr w:type="spellEnd"/>
            <w:r w:rsidR="000D0A6D" w:rsidRPr="000D0A6D">
              <w:rPr>
                <w:color w:val="FFFFFF" w:themeColor="background1"/>
              </w:rPr>
              <w:t xml:space="preserve"> (</w:t>
            </w:r>
            <w:proofErr w:type="spellStart"/>
            <w:proofErr w:type="gramStart"/>
            <w:r w:rsidR="000D0A6D" w:rsidRPr="000D0A6D">
              <w:rPr>
                <w:color w:val="FFFFFF" w:themeColor="background1"/>
              </w:rPr>
              <w:t>rbe</w:t>
            </w:r>
            <w:proofErr w:type="spellEnd"/>
            <w:proofErr w:type="gramEnd"/>
            <w:r w:rsidR="000D0A6D" w:rsidRPr="000D0A6D">
              <w:rPr>
                <w:color w:val="FFFFFF" w:themeColor="background1"/>
              </w:rPr>
              <w:t>)</w:t>
            </w:r>
          </w:p>
        </w:tc>
      </w:tr>
      <w:tr w:rsidR="0032583B" w:rsidRPr="00B64760" w:rsidTr="0032583B">
        <w:tc>
          <w:tcPr>
            <w:tcW w:w="9079" w:type="dxa"/>
          </w:tcPr>
          <w:p w:rsidR="0032583B" w:rsidRPr="008E7846" w:rsidRDefault="000D0A6D" w:rsidP="000D0A6D">
            <w:pPr>
              <w:pStyle w:val="Subtitle"/>
              <w:rPr>
                <w:color w:val="FFFFFF" w:themeColor="background1"/>
              </w:rPr>
            </w:pPr>
            <w:r>
              <w:rPr>
                <w:color w:val="FFFFFF" w:themeColor="background1"/>
              </w:rPr>
              <w:t xml:space="preserve">Proprietary Product Name: </w:t>
            </w:r>
            <w:proofErr w:type="spellStart"/>
            <w:r>
              <w:rPr>
                <w:color w:val="FFFFFF" w:themeColor="background1"/>
              </w:rPr>
              <w:t>Zarzio</w:t>
            </w:r>
            <w:proofErr w:type="spellEnd"/>
          </w:p>
        </w:tc>
      </w:tr>
      <w:tr w:rsidR="0032583B" w:rsidRPr="00B64760" w:rsidTr="0032583B">
        <w:trPr>
          <w:trHeight w:val="486"/>
        </w:trPr>
        <w:tc>
          <w:tcPr>
            <w:tcW w:w="9079" w:type="dxa"/>
          </w:tcPr>
          <w:p w:rsidR="0032583B" w:rsidRPr="008E7846" w:rsidRDefault="000D0A6D" w:rsidP="000D0A6D">
            <w:pPr>
              <w:pStyle w:val="Subtitle"/>
              <w:rPr>
                <w:color w:val="FFFFFF" w:themeColor="background1"/>
              </w:rPr>
            </w:pPr>
            <w:r>
              <w:rPr>
                <w:color w:val="FFFFFF" w:themeColor="background1"/>
              </w:rPr>
              <w:t>Sponsor: Sandoz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56DD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B56DD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56DD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56DD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56DDF">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B23D1A" w:rsidRPr="00080FE5">
          <w:rPr>
            <w:rStyle w:val="Hyperlink"/>
          </w:rPr>
          <w:t>http://www.tga.gov.au</w:t>
        </w:r>
      </w:hyperlink>
      <w:r w:rsidR="00112F56">
        <w:t>&gt;</w:t>
      </w:r>
      <w:r>
        <w:t>.</w:t>
      </w:r>
    </w:p>
    <w:p w:rsidR="008E7846" w:rsidRDefault="008E7846" w:rsidP="008E7846">
      <w:pPr>
        <w:pStyle w:val="NonTOCHeading2"/>
      </w:pPr>
      <w:r>
        <w:t>About AusPARs</w:t>
      </w:r>
    </w:p>
    <w:p w:rsidR="008E7846" w:rsidRDefault="008E7846" w:rsidP="00B56DDF">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B23D1A">
        <w:t>escription medicine submission.</w:t>
      </w:r>
    </w:p>
    <w:p w:rsidR="008E7846" w:rsidRDefault="008E7846" w:rsidP="00B56DDF">
      <w:pPr>
        <w:pStyle w:val="ListBullet"/>
        <w:numPr>
          <w:ilvl w:val="0"/>
          <w:numId w:val="1"/>
        </w:numPr>
        <w:ind w:left="357" w:hanging="357"/>
      </w:pPr>
      <w:r>
        <w:t>AusPARs are prepared and published by the TGA.</w:t>
      </w:r>
    </w:p>
    <w:p w:rsidR="008E7846" w:rsidRDefault="008E7846" w:rsidP="00B56DDF">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B56DDF">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B56DDF">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D6489" w:rsidRDefault="00171712">
          <w:pPr>
            <w:pStyle w:val="TOC2"/>
            <w:rPr>
              <w:rFonts w:asciiTheme="minorHAnsi" w:eastAsiaTheme="minorEastAsia" w:hAnsiTheme="minorHAnsi" w:cstheme="minorBidi"/>
              <w:b w:val="0"/>
              <w:noProof/>
              <w:sz w:val="22"/>
              <w:lang w:eastAsia="en-AU" w:bidi="lo-LA"/>
            </w:rPr>
          </w:pPr>
          <w:r>
            <w:fldChar w:fldCharType="begin"/>
          </w:r>
          <w:r w:rsidR="0089635C">
            <w:instrText xml:space="preserve"> TOC \o "1-3" \h \z \u </w:instrText>
          </w:r>
          <w:r>
            <w:fldChar w:fldCharType="separate"/>
          </w:r>
          <w:hyperlink w:anchor="_Toc368569772" w:history="1">
            <w:r w:rsidR="000D6489" w:rsidRPr="00B62F62">
              <w:rPr>
                <w:rStyle w:val="Hyperlink"/>
                <w:noProof/>
              </w:rPr>
              <w:t>I. Introduction to product submission</w:t>
            </w:r>
            <w:r w:rsidR="000D6489">
              <w:rPr>
                <w:noProof/>
                <w:webHidden/>
              </w:rPr>
              <w:tab/>
            </w:r>
            <w:r>
              <w:rPr>
                <w:noProof/>
                <w:webHidden/>
              </w:rPr>
              <w:fldChar w:fldCharType="begin"/>
            </w:r>
            <w:r w:rsidR="000D6489">
              <w:rPr>
                <w:noProof/>
                <w:webHidden/>
              </w:rPr>
              <w:instrText xml:space="preserve"> PAGEREF _Toc368569772 \h </w:instrText>
            </w:r>
            <w:r>
              <w:rPr>
                <w:noProof/>
                <w:webHidden/>
              </w:rPr>
            </w:r>
            <w:r>
              <w:rPr>
                <w:noProof/>
                <w:webHidden/>
              </w:rPr>
              <w:fldChar w:fldCharType="separate"/>
            </w:r>
            <w:r w:rsidR="000D6489">
              <w:rPr>
                <w:noProof/>
                <w:webHidden/>
              </w:rPr>
              <w:t>5</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73" w:history="1">
            <w:r w:rsidR="000D6489" w:rsidRPr="00B62F62">
              <w:rPr>
                <w:rStyle w:val="Hyperlink"/>
                <w:noProof/>
                <w:lang w:eastAsia="en-AU"/>
              </w:rPr>
              <w:t>Submission details</w:t>
            </w:r>
            <w:r w:rsidR="000D6489">
              <w:rPr>
                <w:noProof/>
                <w:webHidden/>
              </w:rPr>
              <w:tab/>
            </w:r>
            <w:r>
              <w:rPr>
                <w:noProof/>
                <w:webHidden/>
              </w:rPr>
              <w:fldChar w:fldCharType="begin"/>
            </w:r>
            <w:r w:rsidR="000D6489">
              <w:rPr>
                <w:noProof/>
                <w:webHidden/>
              </w:rPr>
              <w:instrText xml:space="preserve"> PAGEREF _Toc368569773 \h </w:instrText>
            </w:r>
            <w:r>
              <w:rPr>
                <w:noProof/>
                <w:webHidden/>
              </w:rPr>
            </w:r>
            <w:r>
              <w:rPr>
                <w:noProof/>
                <w:webHidden/>
              </w:rPr>
              <w:fldChar w:fldCharType="separate"/>
            </w:r>
            <w:r w:rsidR="000D6489">
              <w:rPr>
                <w:noProof/>
                <w:webHidden/>
              </w:rPr>
              <w:t>5</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74" w:history="1">
            <w:r w:rsidR="000D6489" w:rsidRPr="00B62F62">
              <w:rPr>
                <w:rStyle w:val="Hyperlink"/>
                <w:noProof/>
              </w:rPr>
              <w:t>Product background</w:t>
            </w:r>
            <w:r w:rsidR="000D6489">
              <w:rPr>
                <w:noProof/>
                <w:webHidden/>
              </w:rPr>
              <w:tab/>
            </w:r>
            <w:r>
              <w:rPr>
                <w:noProof/>
                <w:webHidden/>
              </w:rPr>
              <w:fldChar w:fldCharType="begin"/>
            </w:r>
            <w:r w:rsidR="000D6489">
              <w:rPr>
                <w:noProof/>
                <w:webHidden/>
              </w:rPr>
              <w:instrText xml:space="preserve"> PAGEREF _Toc368569774 \h </w:instrText>
            </w:r>
            <w:r>
              <w:rPr>
                <w:noProof/>
                <w:webHidden/>
              </w:rPr>
            </w:r>
            <w:r>
              <w:rPr>
                <w:noProof/>
                <w:webHidden/>
              </w:rPr>
              <w:fldChar w:fldCharType="separate"/>
            </w:r>
            <w:r w:rsidR="000D6489">
              <w:rPr>
                <w:noProof/>
                <w:webHidden/>
              </w:rPr>
              <w:t>6</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75" w:history="1">
            <w:r w:rsidR="000D6489" w:rsidRPr="00B62F62">
              <w:rPr>
                <w:rStyle w:val="Hyperlink"/>
                <w:noProof/>
              </w:rPr>
              <w:t>Regulatory status</w:t>
            </w:r>
            <w:r w:rsidR="000D6489">
              <w:rPr>
                <w:noProof/>
                <w:webHidden/>
              </w:rPr>
              <w:tab/>
            </w:r>
            <w:r>
              <w:rPr>
                <w:noProof/>
                <w:webHidden/>
              </w:rPr>
              <w:fldChar w:fldCharType="begin"/>
            </w:r>
            <w:r w:rsidR="000D6489">
              <w:rPr>
                <w:noProof/>
                <w:webHidden/>
              </w:rPr>
              <w:instrText xml:space="preserve"> PAGEREF _Toc368569775 \h </w:instrText>
            </w:r>
            <w:r>
              <w:rPr>
                <w:noProof/>
                <w:webHidden/>
              </w:rPr>
            </w:r>
            <w:r>
              <w:rPr>
                <w:noProof/>
                <w:webHidden/>
              </w:rPr>
              <w:fldChar w:fldCharType="separate"/>
            </w:r>
            <w:r w:rsidR="000D6489">
              <w:rPr>
                <w:noProof/>
                <w:webHidden/>
              </w:rPr>
              <w:t>7</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76" w:history="1">
            <w:r w:rsidR="000D6489" w:rsidRPr="00B62F62">
              <w:rPr>
                <w:rStyle w:val="Hyperlink"/>
                <w:noProof/>
              </w:rPr>
              <w:t>Product Information</w:t>
            </w:r>
            <w:r w:rsidR="000D6489">
              <w:rPr>
                <w:noProof/>
                <w:webHidden/>
              </w:rPr>
              <w:tab/>
            </w:r>
            <w:r>
              <w:rPr>
                <w:noProof/>
                <w:webHidden/>
              </w:rPr>
              <w:fldChar w:fldCharType="begin"/>
            </w:r>
            <w:r w:rsidR="000D6489">
              <w:rPr>
                <w:noProof/>
                <w:webHidden/>
              </w:rPr>
              <w:instrText xml:space="preserve"> PAGEREF _Toc368569776 \h </w:instrText>
            </w:r>
            <w:r>
              <w:rPr>
                <w:noProof/>
                <w:webHidden/>
              </w:rPr>
            </w:r>
            <w:r>
              <w:rPr>
                <w:noProof/>
                <w:webHidden/>
              </w:rPr>
              <w:fldChar w:fldCharType="separate"/>
            </w:r>
            <w:r w:rsidR="000D6489">
              <w:rPr>
                <w:noProof/>
                <w:webHidden/>
              </w:rPr>
              <w:t>7</w:t>
            </w:r>
            <w:r>
              <w:rPr>
                <w:noProof/>
                <w:webHidden/>
              </w:rPr>
              <w:fldChar w:fldCharType="end"/>
            </w:r>
          </w:hyperlink>
        </w:p>
        <w:p w:rsidR="000D6489" w:rsidRDefault="00171712">
          <w:pPr>
            <w:pStyle w:val="TOC2"/>
            <w:rPr>
              <w:rFonts w:asciiTheme="minorHAnsi" w:eastAsiaTheme="minorEastAsia" w:hAnsiTheme="minorHAnsi" w:cstheme="minorBidi"/>
              <w:b w:val="0"/>
              <w:noProof/>
              <w:sz w:val="22"/>
              <w:lang w:eastAsia="en-AU" w:bidi="lo-LA"/>
            </w:rPr>
          </w:pPr>
          <w:hyperlink w:anchor="_Toc368569777" w:history="1">
            <w:r w:rsidR="000D6489" w:rsidRPr="00B62F62">
              <w:rPr>
                <w:rStyle w:val="Hyperlink"/>
                <w:noProof/>
              </w:rPr>
              <w:t>II. Quality findings</w:t>
            </w:r>
            <w:r w:rsidR="000D6489">
              <w:rPr>
                <w:noProof/>
                <w:webHidden/>
              </w:rPr>
              <w:tab/>
            </w:r>
            <w:r>
              <w:rPr>
                <w:noProof/>
                <w:webHidden/>
              </w:rPr>
              <w:fldChar w:fldCharType="begin"/>
            </w:r>
            <w:r w:rsidR="000D6489">
              <w:rPr>
                <w:noProof/>
                <w:webHidden/>
              </w:rPr>
              <w:instrText xml:space="preserve"> PAGEREF _Toc368569777 \h </w:instrText>
            </w:r>
            <w:r>
              <w:rPr>
                <w:noProof/>
                <w:webHidden/>
              </w:rPr>
            </w:r>
            <w:r>
              <w:rPr>
                <w:noProof/>
                <w:webHidden/>
              </w:rPr>
              <w:fldChar w:fldCharType="separate"/>
            </w:r>
            <w:r w:rsidR="000D6489">
              <w:rPr>
                <w:noProof/>
                <w:webHidden/>
              </w:rPr>
              <w:t>7</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78" w:history="1">
            <w:r w:rsidR="000D6489" w:rsidRPr="00B62F62">
              <w:rPr>
                <w:rStyle w:val="Hyperlink"/>
                <w:noProof/>
              </w:rPr>
              <w:t>Drug substance (active ingredient)</w:t>
            </w:r>
            <w:r w:rsidR="000D6489">
              <w:rPr>
                <w:noProof/>
                <w:webHidden/>
              </w:rPr>
              <w:tab/>
            </w:r>
            <w:r>
              <w:rPr>
                <w:noProof/>
                <w:webHidden/>
              </w:rPr>
              <w:fldChar w:fldCharType="begin"/>
            </w:r>
            <w:r w:rsidR="000D6489">
              <w:rPr>
                <w:noProof/>
                <w:webHidden/>
              </w:rPr>
              <w:instrText xml:space="preserve"> PAGEREF _Toc368569778 \h </w:instrText>
            </w:r>
            <w:r>
              <w:rPr>
                <w:noProof/>
                <w:webHidden/>
              </w:rPr>
            </w:r>
            <w:r>
              <w:rPr>
                <w:noProof/>
                <w:webHidden/>
              </w:rPr>
              <w:fldChar w:fldCharType="separate"/>
            </w:r>
            <w:r w:rsidR="000D6489">
              <w:rPr>
                <w:noProof/>
                <w:webHidden/>
              </w:rPr>
              <w:t>7</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79" w:history="1">
            <w:r w:rsidR="000D6489" w:rsidRPr="00B62F62">
              <w:rPr>
                <w:rStyle w:val="Hyperlink"/>
                <w:noProof/>
              </w:rPr>
              <w:t>Drug product</w:t>
            </w:r>
            <w:r w:rsidR="000D6489">
              <w:rPr>
                <w:noProof/>
                <w:webHidden/>
              </w:rPr>
              <w:tab/>
            </w:r>
            <w:r>
              <w:rPr>
                <w:noProof/>
                <w:webHidden/>
              </w:rPr>
              <w:fldChar w:fldCharType="begin"/>
            </w:r>
            <w:r w:rsidR="000D6489">
              <w:rPr>
                <w:noProof/>
                <w:webHidden/>
              </w:rPr>
              <w:instrText xml:space="preserve"> PAGEREF _Toc368569779 \h </w:instrText>
            </w:r>
            <w:r>
              <w:rPr>
                <w:noProof/>
                <w:webHidden/>
              </w:rPr>
            </w:r>
            <w:r>
              <w:rPr>
                <w:noProof/>
                <w:webHidden/>
              </w:rPr>
              <w:fldChar w:fldCharType="separate"/>
            </w:r>
            <w:r w:rsidR="000D6489">
              <w:rPr>
                <w:noProof/>
                <w:webHidden/>
              </w:rPr>
              <w:t>8</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80" w:history="1">
            <w:r w:rsidR="000D6489" w:rsidRPr="00B62F62">
              <w:rPr>
                <w:rStyle w:val="Hyperlink"/>
                <w:noProof/>
              </w:rPr>
              <w:t>Biopharmaceutics</w:t>
            </w:r>
            <w:r w:rsidR="000D6489">
              <w:rPr>
                <w:noProof/>
                <w:webHidden/>
              </w:rPr>
              <w:tab/>
            </w:r>
            <w:r>
              <w:rPr>
                <w:noProof/>
                <w:webHidden/>
              </w:rPr>
              <w:fldChar w:fldCharType="begin"/>
            </w:r>
            <w:r w:rsidR="000D6489">
              <w:rPr>
                <w:noProof/>
                <w:webHidden/>
              </w:rPr>
              <w:instrText xml:space="preserve"> PAGEREF _Toc368569780 \h </w:instrText>
            </w:r>
            <w:r>
              <w:rPr>
                <w:noProof/>
                <w:webHidden/>
              </w:rPr>
            </w:r>
            <w:r>
              <w:rPr>
                <w:noProof/>
                <w:webHidden/>
              </w:rPr>
              <w:fldChar w:fldCharType="separate"/>
            </w:r>
            <w:r w:rsidR="000D6489">
              <w:rPr>
                <w:noProof/>
                <w:webHidden/>
              </w:rPr>
              <w:t>9</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81" w:history="1">
            <w:r w:rsidR="000D6489" w:rsidRPr="00B62F62">
              <w:rPr>
                <w:rStyle w:val="Hyperlink"/>
                <w:noProof/>
              </w:rPr>
              <w:t>Advisory committee considerations</w:t>
            </w:r>
            <w:r w:rsidR="000D6489">
              <w:rPr>
                <w:noProof/>
                <w:webHidden/>
              </w:rPr>
              <w:tab/>
            </w:r>
            <w:r>
              <w:rPr>
                <w:noProof/>
                <w:webHidden/>
              </w:rPr>
              <w:fldChar w:fldCharType="begin"/>
            </w:r>
            <w:r w:rsidR="000D6489">
              <w:rPr>
                <w:noProof/>
                <w:webHidden/>
              </w:rPr>
              <w:instrText xml:space="preserve"> PAGEREF _Toc368569781 \h </w:instrText>
            </w:r>
            <w:r>
              <w:rPr>
                <w:noProof/>
                <w:webHidden/>
              </w:rPr>
            </w:r>
            <w:r>
              <w:rPr>
                <w:noProof/>
                <w:webHidden/>
              </w:rPr>
              <w:fldChar w:fldCharType="separate"/>
            </w:r>
            <w:r w:rsidR="000D6489">
              <w:rPr>
                <w:noProof/>
                <w:webHidden/>
              </w:rPr>
              <w:t>11</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82" w:history="1">
            <w:r w:rsidR="000D6489" w:rsidRPr="00B62F62">
              <w:rPr>
                <w:rStyle w:val="Hyperlink"/>
                <w:noProof/>
              </w:rPr>
              <w:t>Quality summary and conclusions</w:t>
            </w:r>
            <w:r w:rsidR="000D6489">
              <w:rPr>
                <w:noProof/>
                <w:webHidden/>
              </w:rPr>
              <w:tab/>
            </w:r>
            <w:r>
              <w:rPr>
                <w:noProof/>
                <w:webHidden/>
              </w:rPr>
              <w:fldChar w:fldCharType="begin"/>
            </w:r>
            <w:r w:rsidR="000D6489">
              <w:rPr>
                <w:noProof/>
                <w:webHidden/>
              </w:rPr>
              <w:instrText xml:space="preserve"> PAGEREF _Toc368569782 \h </w:instrText>
            </w:r>
            <w:r>
              <w:rPr>
                <w:noProof/>
                <w:webHidden/>
              </w:rPr>
            </w:r>
            <w:r>
              <w:rPr>
                <w:noProof/>
                <w:webHidden/>
              </w:rPr>
              <w:fldChar w:fldCharType="separate"/>
            </w:r>
            <w:r w:rsidR="000D6489">
              <w:rPr>
                <w:noProof/>
                <w:webHidden/>
              </w:rPr>
              <w:t>11</w:t>
            </w:r>
            <w:r>
              <w:rPr>
                <w:noProof/>
                <w:webHidden/>
              </w:rPr>
              <w:fldChar w:fldCharType="end"/>
            </w:r>
          </w:hyperlink>
        </w:p>
        <w:p w:rsidR="000D6489" w:rsidRDefault="00171712">
          <w:pPr>
            <w:pStyle w:val="TOC2"/>
            <w:rPr>
              <w:rFonts w:asciiTheme="minorHAnsi" w:eastAsiaTheme="minorEastAsia" w:hAnsiTheme="minorHAnsi" w:cstheme="minorBidi"/>
              <w:b w:val="0"/>
              <w:noProof/>
              <w:sz w:val="22"/>
              <w:lang w:eastAsia="en-AU" w:bidi="lo-LA"/>
            </w:rPr>
          </w:pPr>
          <w:hyperlink w:anchor="_Toc368569783" w:history="1">
            <w:r w:rsidR="000D6489" w:rsidRPr="00B62F62">
              <w:rPr>
                <w:rStyle w:val="Hyperlink"/>
                <w:noProof/>
              </w:rPr>
              <w:t>III. Nonclinical findings</w:t>
            </w:r>
            <w:r w:rsidR="000D6489">
              <w:rPr>
                <w:noProof/>
                <w:webHidden/>
              </w:rPr>
              <w:tab/>
            </w:r>
            <w:r>
              <w:rPr>
                <w:noProof/>
                <w:webHidden/>
              </w:rPr>
              <w:fldChar w:fldCharType="begin"/>
            </w:r>
            <w:r w:rsidR="000D6489">
              <w:rPr>
                <w:noProof/>
                <w:webHidden/>
              </w:rPr>
              <w:instrText xml:space="preserve"> PAGEREF _Toc368569783 \h </w:instrText>
            </w:r>
            <w:r>
              <w:rPr>
                <w:noProof/>
                <w:webHidden/>
              </w:rPr>
            </w:r>
            <w:r>
              <w:rPr>
                <w:noProof/>
                <w:webHidden/>
              </w:rPr>
              <w:fldChar w:fldCharType="separate"/>
            </w:r>
            <w:r w:rsidR="000D6489">
              <w:rPr>
                <w:noProof/>
                <w:webHidden/>
              </w:rPr>
              <w:t>11</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84" w:history="1">
            <w:r w:rsidR="000D6489" w:rsidRPr="00B62F62">
              <w:rPr>
                <w:rStyle w:val="Hyperlink"/>
                <w:noProof/>
              </w:rPr>
              <w:t>Introduction</w:t>
            </w:r>
            <w:r w:rsidR="000D6489">
              <w:rPr>
                <w:noProof/>
                <w:webHidden/>
              </w:rPr>
              <w:tab/>
            </w:r>
            <w:r>
              <w:rPr>
                <w:noProof/>
                <w:webHidden/>
              </w:rPr>
              <w:fldChar w:fldCharType="begin"/>
            </w:r>
            <w:r w:rsidR="000D6489">
              <w:rPr>
                <w:noProof/>
                <w:webHidden/>
              </w:rPr>
              <w:instrText xml:space="preserve"> PAGEREF _Toc368569784 \h </w:instrText>
            </w:r>
            <w:r>
              <w:rPr>
                <w:noProof/>
                <w:webHidden/>
              </w:rPr>
            </w:r>
            <w:r>
              <w:rPr>
                <w:noProof/>
                <w:webHidden/>
              </w:rPr>
              <w:fldChar w:fldCharType="separate"/>
            </w:r>
            <w:r w:rsidR="000D6489">
              <w:rPr>
                <w:noProof/>
                <w:webHidden/>
              </w:rPr>
              <w:t>11</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85" w:history="1">
            <w:r w:rsidR="000D6489" w:rsidRPr="00B62F62">
              <w:rPr>
                <w:rStyle w:val="Hyperlink"/>
                <w:noProof/>
                <w:kern w:val="22"/>
              </w:rPr>
              <w:t>General comments</w:t>
            </w:r>
            <w:r w:rsidR="000D6489">
              <w:rPr>
                <w:noProof/>
                <w:webHidden/>
              </w:rPr>
              <w:tab/>
            </w:r>
            <w:r>
              <w:rPr>
                <w:noProof/>
                <w:webHidden/>
              </w:rPr>
              <w:fldChar w:fldCharType="begin"/>
            </w:r>
            <w:r w:rsidR="000D6489">
              <w:rPr>
                <w:noProof/>
                <w:webHidden/>
              </w:rPr>
              <w:instrText xml:space="preserve"> PAGEREF _Toc368569785 \h </w:instrText>
            </w:r>
            <w:r>
              <w:rPr>
                <w:noProof/>
                <w:webHidden/>
              </w:rPr>
            </w:r>
            <w:r>
              <w:rPr>
                <w:noProof/>
                <w:webHidden/>
              </w:rPr>
              <w:fldChar w:fldCharType="separate"/>
            </w:r>
            <w:r w:rsidR="000D6489">
              <w:rPr>
                <w:noProof/>
                <w:webHidden/>
              </w:rPr>
              <w:t>12</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86" w:history="1">
            <w:r w:rsidR="000D6489" w:rsidRPr="00B62F62">
              <w:rPr>
                <w:rStyle w:val="Hyperlink"/>
                <w:noProof/>
                <w:kern w:val="22"/>
              </w:rPr>
              <w:t>Pharmacology</w:t>
            </w:r>
            <w:r w:rsidR="000D6489">
              <w:rPr>
                <w:noProof/>
                <w:webHidden/>
              </w:rPr>
              <w:tab/>
            </w:r>
            <w:r>
              <w:rPr>
                <w:noProof/>
                <w:webHidden/>
              </w:rPr>
              <w:fldChar w:fldCharType="begin"/>
            </w:r>
            <w:r w:rsidR="000D6489">
              <w:rPr>
                <w:noProof/>
                <w:webHidden/>
              </w:rPr>
              <w:instrText xml:space="preserve"> PAGEREF _Toc368569786 \h </w:instrText>
            </w:r>
            <w:r>
              <w:rPr>
                <w:noProof/>
                <w:webHidden/>
              </w:rPr>
            </w:r>
            <w:r>
              <w:rPr>
                <w:noProof/>
                <w:webHidden/>
              </w:rPr>
              <w:fldChar w:fldCharType="separate"/>
            </w:r>
            <w:r w:rsidR="000D6489">
              <w:rPr>
                <w:noProof/>
                <w:webHidden/>
              </w:rPr>
              <w:t>12</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87" w:history="1">
            <w:r w:rsidR="000D6489" w:rsidRPr="00B62F62">
              <w:rPr>
                <w:rStyle w:val="Hyperlink"/>
                <w:noProof/>
                <w:kern w:val="22"/>
              </w:rPr>
              <w:t>Pharmacokinetics</w:t>
            </w:r>
            <w:r w:rsidR="000D6489">
              <w:rPr>
                <w:noProof/>
                <w:webHidden/>
              </w:rPr>
              <w:tab/>
            </w:r>
            <w:r>
              <w:rPr>
                <w:noProof/>
                <w:webHidden/>
              </w:rPr>
              <w:fldChar w:fldCharType="begin"/>
            </w:r>
            <w:r w:rsidR="000D6489">
              <w:rPr>
                <w:noProof/>
                <w:webHidden/>
              </w:rPr>
              <w:instrText xml:space="preserve"> PAGEREF _Toc368569787 \h </w:instrText>
            </w:r>
            <w:r>
              <w:rPr>
                <w:noProof/>
                <w:webHidden/>
              </w:rPr>
            </w:r>
            <w:r>
              <w:rPr>
                <w:noProof/>
                <w:webHidden/>
              </w:rPr>
              <w:fldChar w:fldCharType="separate"/>
            </w:r>
            <w:r w:rsidR="000D6489">
              <w:rPr>
                <w:noProof/>
                <w:webHidden/>
              </w:rPr>
              <w:t>13</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88" w:history="1">
            <w:r w:rsidR="000D6489" w:rsidRPr="00B62F62">
              <w:rPr>
                <w:rStyle w:val="Hyperlink"/>
                <w:noProof/>
                <w:kern w:val="22"/>
              </w:rPr>
              <w:t>Toxicology</w:t>
            </w:r>
            <w:r w:rsidR="000D6489">
              <w:rPr>
                <w:noProof/>
                <w:webHidden/>
              </w:rPr>
              <w:tab/>
            </w:r>
            <w:r>
              <w:rPr>
                <w:noProof/>
                <w:webHidden/>
              </w:rPr>
              <w:fldChar w:fldCharType="begin"/>
            </w:r>
            <w:r w:rsidR="000D6489">
              <w:rPr>
                <w:noProof/>
                <w:webHidden/>
              </w:rPr>
              <w:instrText xml:space="preserve"> PAGEREF _Toc368569788 \h </w:instrText>
            </w:r>
            <w:r>
              <w:rPr>
                <w:noProof/>
                <w:webHidden/>
              </w:rPr>
            </w:r>
            <w:r>
              <w:rPr>
                <w:noProof/>
                <w:webHidden/>
              </w:rPr>
              <w:fldChar w:fldCharType="separate"/>
            </w:r>
            <w:r w:rsidR="000D6489">
              <w:rPr>
                <w:noProof/>
                <w:webHidden/>
              </w:rPr>
              <w:t>14</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89" w:history="1">
            <w:r w:rsidR="000D6489" w:rsidRPr="00B62F62">
              <w:rPr>
                <w:rStyle w:val="Hyperlink"/>
                <w:noProof/>
              </w:rPr>
              <w:t>Nonclinical summary and conclusions</w:t>
            </w:r>
            <w:r w:rsidR="000D6489">
              <w:rPr>
                <w:noProof/>
                <w:webHidden/>
              </w:rPr>
              <w:tab/>
            </w:r>
            <w:r>
              <w:rPr>
                <w:noProof/>
                <w:webHidden/>
              </w:rPr>
              <w:fldChar w:fldCharType="begin"/>
            </w:r>
            <w:r w:rsidR="000D6489">
              <w:rPr>
                <w:noProof/>
                <w:webHidden/>
              </w:rPr>
              <w:instrText xml:space="preserve"> PAGEREF _Toc368569789 \h </w:instrText>
            </w:r>
            <w:r>
              <w:rPr>
                <w:noProof/>
                <w:webHidden/>
              </w:rPr>
            </w:r>
            <w:r>
              <w:rPr>
                <w:noProof/>
                <w:webHidden/>
              </w:rPr>
              <w:fldChar w:fldCharType="separate"/>
            </w:r>
            <w:r w:rsidR="000D6489">
              <w:rPr>
                <w:noProof/>
                <w:webHidden/>
              </w:rPr>
              <w:t>15</w:t>
            </w:r>
            <w:r>
              <w:rPr>
                <w:noProof/>
                <w:webHidden/>
              </w:rPr>
              <w:fldChar w:fldCharType="end"/>
            </w:r>
          </w:hyperlink>
        </w:p>
        <w:p w:rsidR="000D6489" w:rsidRDefault="00171712">
          <w:pPr>
            <w:pStyle w:val="TOC2"/>
            <w:rPr>
              <w:rFonts w:asciiTheme="minorHAnsi" w:eastAsiaTheme="minorEastAsia" w:hAnsiTheme="minorHAnsi" w:cstheme="minorBidi"/>
              <w:b w:val="0"/>
              <w:noProof/>
              <w:sz w:val="22"/>
              <w:lang w:eastAsia="en-AU" w:bidi="lo-LA"/>
            </w:rPr>
          </w:pPr>
          <w:hyperlink w:anchor="_Toc368569790" w:history="1">
            <w:r w:rsidR="000D6489" w:rsidRPr="00B62F62">
              <w:rPr>
                <w:rStyle w:val="Hyperlink"/>
                <w:noProof/>
              </w:rPr>
              <w:t>IV. Clinical findings</w:t>
            </w:r>
            <w:r w:rsidR="000D6489">
              <w:rPr>
                <w:noProof/>
                <w:webHidden/>
              </w:rPr>
              <w:tab/>
            </w:r>
            <w:r>
              <w:rPr>
                <w:noProof/>
                <w:webHidden/>
              </w:rPr>
              <w:fldChar w:fldCharType="begin"/>
            </w:r>
            <w:r w:rsidR="000D6489">
              <w:rPr>
                <w:noProof/>
                <w:webHidden/>
              </w:rPr>
              <w:instrText xml:space="preserve"> PAGEREF _Toc368569790 \h </w:instrText>
            </w:r>
            <w:r>
              <w:rPr>
                <w:noProof/>
                <w:webHidden/>
              </w:rPr>
            </w:r>
            <w:r>
              <w:rPr>
                <w:noProof/>
                <w:webHidden/>
              </w:rPr>
              <w:fldChar w:fldCharType="separate"/>
            </w:r>
            <w:r w:rsidR="000D6489">
              <w:rPr>
                <w:noProof/>
                <w:webHidden/>
              </w:rPr>
              <w:t>15</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91" w:history="1">
            <w:r w:rsidR="000D6489" w:rsidRPr="00B62F62">
              <w:rPr>
                <w:rStyle w:val="Hyperlink"/>
                <w:noProof/>
              </w:rPr>
              <w:t>Introduction</w:t>
            </w:r>
            <w:r w:rsidR="000D6489">
              <w:rPr>
                <w:noProof/>
                <w:webHidden/>
              </w:rPr>
              <w:tab/>
            </w:r>
            <w:r>
              <w:rPr>
                <w:noProof/>
                <w:webHidden/>
              </w:rPr>
              <w:fldChar w:fldCharType="begin"/>
            </w:r>
            <w:r w:rsidR="000D6489">
              <w:rPr>
                <w:noProof/>
                <w:webHidden/>
              </w:rPr>
              <w:instrText xml:space="preserve"> PAGEREF _Toc368569791 \h </w:instrText>
            </w:r>
            <w:r>
              <w:rPr>
                <w:noProof/>
                <w:webHidden/>
              </w:rPr>
            </w:r>
            <w:r>
              <w:rPr>
                <w:noProof/>
                <w:webHidden/>
              </w:rPr>
              <w:fldChar w:fldCharType="separate"/>
            </w:r>
            <w:r w:rsidR="000D6489">
              <w:rPr>
                <w:noProof/>
                <w:webHidden/>
              </w:rPr>
              <w:t>15</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92" w:history="1">
            <w:r w:rsidR="000D6489" w:rsidRPr="00B62F62">
              <w:rPr>
                <w:rStyle w:val="Hyperlink"/>
                <w:noProof/>
              </w:rPr>
              <w:t>Scope of the clinical dossier</w:t>
            </w:r>
            <w:r w:rsidR="000D6489">
              <w:rPr>
                <w:noProof/>
                <w:webHidden/>
              </w:rPr>
              <w:tab/>
            </w:r>
            <w:r>
              <w:rPr>
                <w:noProof/>
                <w:webHidden/>
              </w:rPr>
              <w:fldChar w:fldCharType="begin"/>
            </w:r>
            <w:r w:rsidR="000D6489">
              <w:rPr>
                <w:noProof/>
                <w:webHidden/>
              </w:rPr>
              <w:instrText xml:space="preserve"> PAGEREF _Toc368569792 \h </w:instrText>
            </w:r>
            <w:r>
              <w:rPr>
                <w:noProof/>
                <w:webHidden/>
              </w:rPr>
            </w:r>
            <w:r>
              <w:rPr>
                <w:noProof/>
                <w:webHidden/>
              </w:rPr>
              <w:fldChar w:fldCharType="separate"/>
            </w:r>
            <w:r w:rsidR="000D6489">
              <w:rPr>
                <w:noProof/>
                <w:webHidden/>
              </w:rPr>
              <w:t>16</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93" w:history="1">
            <w:r w:rsidR="000D6489" w:rsidRPr="00B62F62">
              <w:rPr>
                <w:rStyle w:val="Hyperlink"/>
                <w:noProof/>
              </w:rPr>
              <w:t>Pharmacokinetics</w:t>
            </w:r>
            <w:r w:rsidR="000D6489">
              <w:rPr>
                <w:noProof/>
                <w:webHidden/>
              </w:rPr>
              <w:tab/>
            </w:r>
            <w:r>
              <w:rPr>
                <w:noProof/>
                <w:webHidden/>
              </w:rPr>
              <w:fldChar w:fldCharType="begin"/>
            </w:r>
            <w:r w:rsidR="000D6489">
              <w:rPr>
                <w:noProof/>
                <w:webHidden/>
              </w:rPr>
              <w:instrText xml:space="preserve"> PAGEREF _Toc368569793 \h </w:instrText>
            </w:r>
            <w:r>
              <w:rPr>
                <w:noProof/>
                <w:webHidden/>
              </w:rPr>
            </w:r>
            <w:r>
              <w:rPr>
                <w:noProof/>
                <w:webHidden/>
              </w:rPr>
              <w:fldChar w:fldCharType="separate"/>
            </w:r>
            <w:r w:rsidR="000D6489">
              <w:rPr>
                <w:noProof/>
                <w:webHidden/>
              </w:rPr>
              <w:t>16</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94" w:history="1">
            <w:r w:rsidR="000D6489" w:rsidRPr="00B62F62">
              <w:rPr>
                <w:rStyle w:val="Hyperlink"/>
                <w:noProof/>
              </w:rPr>
              <w:t>Pharmacodynamics</w:t>
            </w:r>
            <w:r w:rsidR="000D6489">
              <w:rPr>
                <w:noProof/>
                <w:webHidden/>
              </w:rPr>
              <w:tab/>
            </w:r>
            <w:r>
              <w:rPr>
                <w:noProof/>
                <w:webHidden/>
              </w:rPr>
              <w:fldChar w:fldCharType="begin"/>
            </w:r>
            <w:r w:rsidR="000D6489">
              <w:rPr>
                <w:noProof/>
                <w:webHidden/>
              </w:rPr>
              <w:instrText xml:space="preserve"> PAGEREF _Toc368569794 \h </w:instrText>
            </w:r>
            <w:r>
              <w:rPr>
                <w:noProof/>
                <w:webHidden/>
              </w:rPr>
            </w:r>
            <w:r>
              <w:rPr>
                <w:noProof/>
                <w:webHidden/>
              </w:rPr>
              <w:fldChar w:fldCharType="separate"/>
            </w:r>
            <w:r w:rsidR="000D6489">
              <w:rPr>
                <w:noProof/>
                <w:webHidden/>
              </w:rPr>
              <w:t>18</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95" w:history="1">
            <w:r w:rsidR="000D6489" w:rsidRPr="00B62F62">
              <w:rPr>
                <w:rStyle w:val="Hyperlink"/>
                <w:noProof/>
              </w:rPr>
              <w:t>Efficacy</w:t>
            </w:r>
            <w:r w:rsidR="000D6489">
              <w:rPr>
                <w:noProof/>
                <w:webHidden/>
              </w:rPr>
              <w:tab/>
            </w:r>
            <w:r>
              <w:rPr>
                <w:noProof/>
                <w:webHidden/>
              </w:rPr>
              <w:fldChar w:fldCharType="begin"/>
            </w:r>
            <w:r w:rsidR="000D6489">
              <w:rPr>
                <w:noProof/>
                <w:webHidden/>
              </w:rPr>
              <w:instrText xml:space="preserve"> PAGEREF _Toc368569795 \h </w:instrText>
            </w:r>
            <w:r>
              <w:rPr>
                <w:noProof/>
                <w:webHidden/>
              </w:rPr>
            </w:r>
            <w:r>
              <w:rPr>
                <w:noProof/>
                <w:webHidden/>
              </w:rPr>
              <w:fldChar w:fldCharType="separate"/>
            </w:r>
            <w:r w:rsidR="000D6489">
              <w:rPr>
                <w:noProof/>
                <w:webHidden/>
              </w:rPr>
              <w:t>19</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96" w:history="1">
            <w:r w:rsidR="000D6489" w:rsidRPr="00B62F62">
              <w:rPr>
                <w:rStyle w:val="Hyperlink"/>
                <w:noProof/>
              </w:rPr>
              <w:t>Safety</w:t>
            </w:r>
            <w:r w:rsidR="000D6489">
              <w:rPr>
                <w:noProof/>
                <w:webHidden/>
              </w:rPr>
              <w:tab/>
            </w:r>
            <w:r>
              <w:rPr>
                <w:noProof/>
                <w:webHidden/>
              </w:rPr>
              <w:fldChar w:fldCharType="begin"/>
            </w:r>
            <w:r w:rsidR="000D6489">
              <w:rPr>
                <w:noProof/>
                <w:webHidden/>
              </w:rPr>
              <w:instrText xml:space="preserve"> PAGEREF _Toc368569796 \h </w:instrText>
            </w:r>
            <w:r>
              <w:rPr>
                <w:noProof/>
                <w:webHidden/>
              </w:rPr>
            </w:r>
            <w:r>
              <w:rPr>
                <w:noProof/>
                <w:webHidden/>
              </w:rPr>
              <w:fldChar w:fldCharType="separate"/>
            </w:r>
            <w:r w:rsidR="000D6489">
              <w:rPr>
                <w:noProof/>
                <w:webHidden/>
              </w:rPr>
              <w:t>21</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97" w:history="1">
            <w:r w:rsidR="000D6489" w:rsidRPr="00B62F62">
              <w:rPr>
                <w:rStyle w:val="Hyperlink"/>
                <w:noProof/>
              </w:rPr>
              <w:t>List of questions</w:t>
            </w:r>
            <w:r w:rsidR="000D6489">
              <w:rPr>
                <w:noProof/>
                <w:webHidden/>
              </w:rPr>
              <w:tab/>
            </w:r>
            <w:r>
              <w:rPr>
                <w:noProof/>
                <w:webHidden/>
              </w:rPr>
              <w:fldChar w:fldCharType="begin"/>
            </w:r>
            <w:r w:rsidR="000D6489">
              <w:rPr>
                <w:noProof/>
                <w:webHidden/>
              </w:rPr>
              <w:instrText xml:space="preserve"> PAGEREF _Toc368569797 \h </w:instrText>
            </w:r>
            <w:r>
              <w:rPr>
                <w:noProof/>
                <w:webHidden/>
              </w:rPr>
            </w:r>
            <w:r>
              <w:rPr>
                <w:noProof/>
                <w:webHidden/>
              </w:rPr>
              <w:fldChar w:fldCharType="separate"/>
            </w:r>
            <w:r w:rsidR="000D6489">
              <w:rPr>
                <w:noProof/>
                <w:webHidden/>
              </w:rPr>
              <w:t>23</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798" w:history="1">
            <w:r w:rsidR="000D6489" w:rsidRPr="00B62F62">
              <w:rPr>
                <w:rStyle w:val="Hyperlink"/>
                <w:noProof/>
              </w:rPr>
              <w:t>Clinical summary and conclusions</w:t>
            </w:r>
            <w:r w:rsidR="000D6489">
              <w:rPr>
                <w:noProof/>
                <w:webHidden/>
              </w:rPr>
              <w:tab/>
            </w:r>
            <w:r>
              <w:rPr>
                <w:noProof/>
                <w:webHidden/>
              </w:rPr>
              <w:fldChar w:fldCharType="begin"/>
            </w:r>
            <w:r w:rsidR="000D6489">
              <w:rPr>
                <w:noProof/>
                <w:webHidden/>
              </w:rPr>
              <w:instrText xml:space="preserve"> PAGEREF _Toc368569798 \h </w:instrText>
            </w:r>
            <w:r>
              <w:rPr>
                <w:noProof/>
                <w:webHidden/>
              </w:rPr>
            </w:r>
            <w:r>
              <w:rPr>
                <w:noProof/>
                <w:webHidden/>
              </w:rPr>
              <w:fldChar w:fldCharType="separate"/>
            </w:r>
            <w:r w:rsidR="000D6489">
              <w:rPr>
                <w:noProof/>
                <w:webHidden/>
              </w:rPr>
              <w:t>23</w:t>
            </w:r>
            <w:r>
              <w:rPr>
                <w:noProof/>
                <w:webHidden/>
              </w:rPr>
              <w:fldChar w:fldCharType="end"/>
            </w:r>
          </w:hyperlink>
        </w:p>
        <w:p w:rsidR="000D6489" w:rsidRDefault="00171712">
          <w:pPr>
            <w:pStyle w:val="TOC2"/>
            <w:rPr>
              <w:rFonts w:asciiTheme="minorHAnsi" w:eastAsiaTheme="minorEastAsia" w:hAnsiTheme="minorHAnsi" w:cstheme="minorBidi"/>
              <w:b w:val="0"/>
              <w:noProof/>
              <w:sz w:val="22"/>
              <w:lang w:eastAsia="en-AU" w:bidi="lo-LA"/>
            </w:rPr>
          </w:pPr>
          <w:hyperlink w:anchor="_Toc368569799" w:history="1">
            <w:r w:rsidR="000D6489" w:rsidRPr="00B62F62">
              <w:rPr>
                <w:rStyle w:val="Hyperlink"/>
                <w:noProof/>
              </w:rPr>
              <w:t>V. Pharmacovigilance findings</w:t>
            </w:r>
            <w:r w:rsidR="000D6489">
              <w:rPr>
                <w:noProof/>
                <w:webHidden/>
              </w:rPr>
              <w:tab/>
            </w:r>
            <w:r>
              <w:rPr>
                <w:noProof/>
                <w:webHidden/>
              </w:rPr>
              <w:fldChar w:fldCharType="begin"/>
            </w:r>
            <w:r w:rsidR="000D6489">
              <w:rPr>
                <w:noProof/>
                <w:webHidden/>
              </w:rPr>
              <w:instrText xml:space="preserve"> PAGEREF _Toc368569799 \h </w:instrText>
            </w:r>
            <w:r>
              <w:rPr>
                <w:noProof/>
                <w:webHidden/>
              </w:rPr>
            </w:r>
            <w:r>
              <w:rPr>
                <w:noProof/>
                <w:webHidden/>
              </w:rPr>
              <w:fldChar w:fldCharType="separate"/>
            </w:r>
            <w:r w:rsidR="000D6489">
              <w:rPr>
                <w:noProof/>
                <w:webHidden/>
              </w:rPr>
              <w:t>23</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800" w:history="1">
            <w:r w:rsidR="000D6489" w:rsidRPr="00B62F62">
              <w:rPr>
                <w:rStyle w:val="Hyperlink"/>
                <w:noProof/>
                <w:lang w:eastAsia="en-AU"/>
              </w:rPr>
              <w:t>Risk management plan</w:t>
            </w:r>
            <w:r w:rsidR="000D6489">
              <w:rPr>
                <w:noProof/>
                <w:webHidden/>
              </w:rPr>
              <w:tab/>
            </w:r>
            <w:r>
              <w:rPr>
                <w:noProof/>
                <w:webHidden/>
              </w:rPr>
              <w:fldChar w:fldCharType="begin"/>
            </w:r>
            <w:r w:rsidR="000D6489">
              <w:rPr>
                <w:noProof/>
                <w:webHidden/>
              </w:rPr>
              <w:instrText xml:space="preserve"> PAGEREF _Toc368569800 \h </w:instrText>
            </w:r>
            <w:r>
              <w:rPr>
                <w:noProof/>
                <w:webHidden/>
              </w:rPr>
            </w:r>
            <w:r>
              <w:rPr>
                <w:noProof/>
                <w:webHidden/>
              </w:rPr>
              <w:fldChar w:fldCharType="separate"/>
            </w:r>
            <w:r w:rsidR="000D6489">
              <w:rPr>
                <w:noProof/>
                <w:webHidden/>
              </w:rPr>
              <w:t>23</w:t>
            </w:r>
            <w:r>
              <w:rPr>
                <w:noProof/>
                <w:webHidden/>
              </w:rPr>
              <w:fldChar w:fldCharType="end"/>
            </w:r>
          </w:hyperlink>
        </w:p>
        <w:p w:rsidR="000D6489" w:rsidRDefault="00171712">
          <w:pPr>
            <w:pStyle w:val="TOC2"/>
            <w:rPr>
              <w:rFonts w:asciiTheme="minorHAnsi" w:eastAsiaTheme="minorEastAsia" w:hAnsiTheme="minorHAnsi" w:cstheme="minorBidi"/>
              <w:b w:val="0"/>
              <w:noProof/>
              <w:sz w:val="22"/>
              <w:lang w:eastAsia="en-AU" w:bidi="lo-LA"/>
            </w:rPr>
          </w:pPr>
          <w:hyperlink w:anchor="_Toc368569801" w:history="1">
            <w:r w:rsidR="000D6489" w:rsidRPr="00B62F62">
              <w:rPr>
                <w:rStyle w:val="Hyperlink"/>
                <w:noProof/>
              </w:rPr>
              <w:t>VI. Overall conclusion and risk/benefit assessment</w:t>
            </w:r>
            <w:r w:rsidR="000D6489">
              <w:rPr>
                <w:noProof/>
                <w:webHidden/>
              </w:rPr>
              <w:tab/>
            </w:r>
            <w:r>
              <w:rPr>
                <w:noProof/>
                <w:webHidden/>
              </w:rPr>
              <w:fldChar w:fldCharType="begin"/>
            </w:r>
            <w:r w:rsidR="000D6489">
              <w:rPr>
                <w:noProof/>
                <w:webHidden/>
              </w:rPr>
              <w:instrText xml:space="preserve"> PAGEREF _Toc368569801 \h </w:instrText>
            </w:r>
            <w:r>
              <w:rPr>
                <w:noProof/>
                <w:webHidden/>
              </w:rPr>
            </w:r>
            <w:r>
              <w:rPr>
                <w:noProof/>
                <w:webHidden/>
              </w:rPr>
              <w:fldChar w:fldCharType="separate"/>
            </w:r>
            <w:r w:rsidR="000D6489">
              <w:rPr>
                <w:noProof/>
                <w:webHidden/>
              </w:rPr>
              <w:t>26</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802" w:history="1">
            <w:r w:rsidR="000D6489" w:rsidRPr="00B62F62">
              <w:rPr>
                <w:rStyle w:val="Hyperlink"/>
                <w:noProof/>
              </w:rPr>
              <w:t>Quality</w:t>
            </w:r>
            <w:r w:rsidR="000D6489">
              <w:rPr>
                <w:noProof/>
                <w:webHidden/>
              </w:rPr>
              <w:tab/>
            </w:r>
            <w:r>
              <w:rPr>
                <w:noProof/>
                <w:webHidden/>
              </w:rPr>
              <w:fldChar w:fldCharType="begin"/>
            </w:r>
            <w:r w:rsidR="000D6489">
              <w:rPr>
                <w:noProof/>
                <w:webHidden/>
              </w:rPr>
              <w:instrText xml:space="preserve"> PAGEREF _Toc368569802 \h </w:instrText>
            </w:r>
            <w:r>
              <w:rPr>
                <w:noProof/>
                <w:webHidden/>
              </w:rPr>
            </w:r>
            <w:r>
              <w:rPr>
                <w:noProof/>
                <w:webHidden/>
              </w:rPr>
              <w:fldChar w:fldCharType="separate"/>
            </w:r>
            <w:r w:rsidR="000D6489">
              <w:rPr>
                <w:noProof/>
                <w:webHidden/>
              </w:rPr>
              <w:t>27</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803" w:history="1">
            <w:r w:rsidR="000D6489" w:rsidRPr="00B62F62">
              <w:rPr>
                <w:rStyle w:val="Hyperlink"/>
                <w:noProof/>
              </w:rPr>
              <w:t>Nonclinical</w:t>
            </w:r>
            <w:r w:rsidR="000D6489">
              <w:rPr>
                <w:noProof/>
                <w:webHidden/>
              </w:rPr>
              <w:tab/>
            </w:r>
            <w:r>
              <w:rPr>
                <w:noProof/>
                <w:webHidden/>
              </w:rPr>
              <w:fldChar w:fldCharType="begin"/>
            </w:r>
            <w:r w:rsidR="000D6489">
              <w:rPr>
                <w:noProof/>
                <w:webHidden/>
              </w:rPr>
              <w:instrText xml:space="preserve"> PAGEREF _Toc368569803 \h </w:instrText>
            </w:r>
            <w:r>
              <w:rPr>
                <w:noProof/>
                <w:webHidden/>
              </w:rPr>
            </w:r>
            <w:r>
              <w:rPr>
                <w:noProof/>
                <w:webHidden/>
              </w:rPr>
              <w:fldChar w:fldCharType="separate"/>
            </w:r>
            <w:r w:rsidR="000D6489">
              <w:rPr>
                <w:noProof/>
                <w:webHidden/>
              </w:rPr>
              <w:t>27</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804" w:history="1">
            <w:r w:rsidR="000D6489" w:rsidRPr="00B62F62">
              <w:rPr>
                <w:rStyle w:val="Hyperlink"/>
                <w:noProof/>
              </w:rPr>
              <w:t>Clinical</w:t>
            </w:r>
            <w:r w:rsidR="000D6489">
              <w:rPr>
                <w:noProof/>
                <w:webHidden/>
              </w:rPr>
              <w:tab/>
            </w:r>
            <w:r>
              <w:rPr>
                <w:noProof/>
                <w:webHidden/>
              </w:rPr>
              <w:fldChar w:fldCharType="begin"/>
            </w:r>
            <w:r w:rsidR="000D6489">
              <w:rPr>
                <w:noProof/>
                <w:webHidden/>
              </w:rPr>
              <w:instrText xml:space="preserve"> PAGEREF _Toc368569804 \h </w:instrText>
            </w:r>
            <w:r>
              <w:rPr>
                <w:noProof/>
                <w:webHidden/>
              </w:rPr>
            </w:r>
            <w:r>
              <w:rPr>
                <w:noProof/>
                <w:webHidden/>
              </w:rPr>
              <w:fldChar w:fldCharType="separate"/>
            </w:r>
            <w:r w:rsidR="000D6489">
              <w:rPr>
                <w:noProof/>
                <w:webHidden/>
              </w:rPr>
              <w:t>27</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805" w:history="1">
            <w:r w:rsidR="000D6489" w:rsidRPr="00B62F62">
              <w:rPr>
                <w:rStyle w:val="Hyperlink"/>
                <w:noProof/>
                <w:lang w:eastAsia="en-AU"/>
              </w:rPr>
              <w:t>Risk management plan</w:t>
            </w:r>
            <w:r w:rsidR="000D6489">
              <w:rPr>
                <w:noProof/>
                <w:webHidden/>
              </w:rPr>
              <w:tab/>
            </w:r>
            <w:r>
              <w:rPr>
                <w:noProof/>
                <w:webHidden/>
              </w:rPr>
              <w:fldChar w:fldCharType="begin"/>
            </w:r>
            <w:r w:rsidR="000D6489">
              <w:rPr>
                <w:noProof/>
                <w:webHidden/>
              </w:rPr>
              <w:instrText xml:space="preserve"> PAGEREF _Toc368569805 \h </w:instrText>
            </w:r>
            <w:r>
              <w:rPr>
                <w:noProof/>
                <w:webHidden/>
              </w:rPr>
            </w:r>
            <w:r>
              <w:rPr>
                <w:noProof/>
                <w:webHidden/>
              </w:rPr>
              <w:fldChar w:fldCharType="separate"/>
            </w:r>
            <w:r w:rsidR="000D6489">
              <w:rPr>
                <w:noProof/>
                <w:webHidden/>
              </w:rPr>
              <w:t>29</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806" w:history="1">
            <w:r w:rsidR="000D6489" w:rsidRPr="00B62F62">
              <w:rPr>
                <w:rStyle w:val="Hyperlink"/>
                <w:noProof/>
              </w:rPr>
              <w:t>Risk-benefit analysis</w:t>
            </w:r>
            <w:r w:rsidR="000D6489">
              <w:rPr>
                <w:noProof/>
                <w:webHidden/>
              </w:rPr>
              <w:tab/>
            </w:r>
            <w:r>
              <w:rPr>
                <w:noProof/>
                <w:webHidden/>
              </w:rPr>
              <w:fldChar w:fldCharType="begin"/>
            </w:r>
            <w:r w:rsidR="000D6489">
              <w:rPr>
                <w:noProof/>
                <w:webHidden/>
              </w:rPr>
              <w:instrText xml:space="preserve"> PAGEREF _Toc368569806 \h </w:instrText>
            </w:r>
            <w:r>
              <w:rPr>
                <w:noProof/>
                <w:webHidden/>
              </w:rPr>
            </w:r>
            <w:r>
              <w:rPr>
                <w:noProof/>
                <w:webHidden/>
              </w:rPr>
              <w:fldChar w:fldCharType="separate"/>
            </w:r>
            <w:r w:rsidR="000D6489">
              <w:rPr>
                <w:noProof/>
                <w:webHidden/>
              </w:rPr>
              <w:t>29</w:t>
            </w:r>
            <w:r>
              <w:rPr>
                <w:noProof/>
                <w:webHidden/>
              </w:rPr>
              <w:fldChar w:fldCharType="end"/>
            </w:r>
          </w:hyperlink>
        </w:p>
        <w:p w:rsidR="000D6489" w:rsidRDefault="00171712">
          <w:pPr>
            <w:pStyle w:val="TOC3"/>
            <w:rPr>
              <w:rFonts w:asciiTheme="minorHAnsi" w:eastAsiaTheme="minorEastAsia" w:hAnsiTheme="minorHAnsi" w:cstheme="minorBidi"/>
              <w:noProof/>
              <w:lang w:eastAsia="en-AU" w:bidi="lo-LA"/>
            </w:rPr>
          </w:pPr>
          <w:hyperlink w:anchor="_Toc368569807" w:history="1">
            <w:r w:rsidR="000D6489" w:rsidRPr="00B62F62">
              <w:rPr>
                <w:rStyle w:val="Hyperlink"/>
                <w:noProof/>
              </w:rPr>
              <w:t>Outcome</w:t>
            </w:r>
            <w:r w:rsidR="000D6489">
              <w:rPr>
                <w:noProof/>
                <w:webHidden/>
              </w:rPr>
              <w:tab/>
            </w:r>
            <w:r>
              <w:rPr>
                <w:noProof/>
                <w:webHidden/>
              </w:rPr>
              <w:fldChar w:fldCharType="begin"/>
            </w:r>
            <w:r w:rsidR="000D6489">
              <w:rPr>
                <w:noProof/>
                <w:webHidden/>
              </w:rPr>
              <w:instrText xml:space="preserve"> PAGEREF _Toc368569807 \h </w:instrText>
            </w:r>
            <w:r>
              <w:rPr>
                <w:noProof/>
                <w:webHidden/>
              </w:rPr>
            </w:r>
            <w:r>
              <w:rPr>
                <w:noProof/>
                <w:webHidden/>
              </w:rPr>
              <w:fldChar w:fldCharType="separate"/>
            </w:r>
            <w:r w:rsidR="000D6489">
              <w:rPr>
                <w:noProof/>
                <w:webHidden/>
              </w:rPr>
              <w:t>37</w:t>
            </w:r>
            <w:r>
              <w:rPr>
                <w:noProof/>
                <w:webHidden/>
              </w:rPr>
              <w:fldChar w:fldCharType="end"/>
            </w:r>
          </w:hyperlink>
        </w:p>
        <w:p w:rsidR="000D6489" w:rsidRDefault="00171712">
          <w:pPr>
            <w:pStyle w:val="TOC2"/>
            <w:tabs>
              <w:tab w:val="left" w:pos="2448"/>
            </w:tabs>
            <w:rPr>
              <w:rFonts w:asciiTheme="minorHAnsi" w:eastAsiaTheme="minorEastAsia" w:hAnsiTheme="minorHAnsi" w:cstheme="minorBidi"/>
              <w:b w:val="0"/>
              <w:noProof/>
              <w:sz w:val="22"/>
              <w:lang w:eastAsia="en-AU" w:bidi="lo-LA"/>
            </w:rPr>
          </w:pPr>
          <w:hyperlink w:anchor="_Toc368569808" w:history="1">
            <w:r w:rsidR="000D6489" w:rsidRPr="00B62F62">
              <w:rPr>
                <w:rStyle w:val="Hyperlink"/>
                <w:noProof/>
              </w:rPr>
              <w:t>Attachment 1.</w:t>
            </w:r>
            <w:r w:rsidR="000D6489">
              <w:rPr>
                <w:rFonts w:asciiTheme="minorHAnsi" w:eastAsiaTheme="minorEastAsia" w:hAnsiTheme="minorHAnsi" w:cstheme="minorBidi"/>
                <w:b w:val="0"/>
                <w:noProof/>
                <w:sz w:val="22"/>
                <w:lang w:eastAsia="en-AU" w:bidi="lo-LA"/>
              </w:rPr>
              <w:tab/>
            </w:r>
            <w:r w:rsidR="000D6489" w:rsidRPr="00B62F62">
              <w:rPr>
                <w:rStyle w:val="Hyperlink"/>
                <w:noProof/>
              </w:rPr>
              <w:t>Product Information</w:t>
            </w:r>
            <w:r w:rsidR="000D6489">
              <w:rPr>
                <w:noProof/>
                <w:webHidden/>
              </w:rPr>
              <w:tab/>
            </w:r>
            <w:r>
              <w:rPr>
                <w:noProof/>
                <w:webHidden/>
              </w:rPr>
              <w:fldChar w:fldCharType="begin"/>
            </w:r>
            <w:r w:rsidR="000D6489">
              <w:rPr>
                <w:noProof/>
                <w:webHidden/>
              </w:rPr>
              <w:instrText xml:space="preserve"> PAGEREF _Toc368569808 \h </w:instrText>
            </w:r>
            <w:r>
              <w:rPr>
                <w:noProof/>
                <w:webHidden/>
              </w:rPr>
            </w:r>
            <w:r>
              <w:rPr>
                <w:noProof/>
                <w:webHidden/>
              </w:rPr>
              <w:fldChar w:fldCharType="separate"/>
            </w:r>
            <w:r w:rsidR="000D6489">
              <w:rPr>
                <w:noProof/>
                <w:webHidden/>
              </w:rPr>
              <w:t>37</w:t>
            </w:r>
            <w:r>
              <w:rPr>
                <w:noProof/>
                <w:webHidden/>
              </w:rPr>
              <w:fldChar w:fldCharType="end"/>
            </w:r>
          </w:hyperlink>
        </w:p>
        <w:p w:rsidR="000D6489" w:rsidRDefault="00171712">
          <w:pPr>
            <w:pStyle w:val="TOC2"/>
            <w:rPr>
              <w:rFonts w:asciiTheme="minorHAnsi" w:eastAsiaTheme="minorEastAsia" w:hAnsiTheme="minorHAnsi" w:cstheme="minorBidi"/>
              <w:b w:val="0"/>
              <w:noProof/>
              <w:sz w:val="22"/>
              <w:lang w:eastAsia="en-AU" w:bidi="lo-LA"/>
            </w:rPr>
          </w:pPr>
          <w:hyperlink w:anchor="_Toc368569809" w:history="1">
            <w:r w:rsidR="000D6489" w:rsidRPr="00B62F62">
              <w:rPr>
                <w:rStyle w:val="Hyperlink"/>
                <w:noProof/>
                <w:lang w:eastAsia="en-AU"/>
              </w:rPr>
              <w:t>Attachment 2. Extract from the Clinical Evaluation Report</w:t>
            </w:r>
            <w:r w:rsidR="000D6489">
              <w:rPr>
                <w:noProof/>
                <w:webHidden/>
              </w:rPr>
              <w:tab/>
            </w:r>
            <w:r>
              <w:rPr>
                <w:noProof/>
                <w:webHidden/>
              </w:rPr>
              <w:fldChar w:fldCharType="begin"/>
            </w:r>
            <w:r w:rsidR="000D6489">
              <w:rPr>
                <w:noProof/>
                <w:webHidden/>
              </w:rPr>
              <w:instrText xml:space="preserve"> PAGEREF _Toc368569809 \h </w:instrText>
            </w:r>
            <w:r>
              <w:rPr>
                <w:noProof/>
                <w:webHidden/>
              </w:rPr>
            </w:r>
            <w:r>
              <w:rPr>
                <w:noProof/>
                <w:webHidden/>
              </w:rPr>
              <w:fldChar w:fldCharType="separate"/>
            </w:r>
            <w:r w:rsidR="000D6489">
              <w:rPr>
                <w:noProof/>
                <w:webHidden/>
              </w:rPr>
              <w:t>37</w:t>
            </w:r>
            <w:r>
              <w:rPr>
                <w:noProof/>
                <w:webHidden/>
              </w:rPr>
              <w:fldChar w:fldCharType="end"/>
            </w:r>
          </w:hyperlink>
        </w:p>
        <w:p w:rsidR="003A7F6C" w:rsidRPr="00B811C6" w:rsidRDefault="00171712" w:rsidP="00B811C6">
          <w:pPr>
            <w:pStyle w:val="TOC2"/>
          </w:pPr>
          <w:r>
            <w:fldChar w:fldCharType="end"/>
          </w:r>
        </w:p>
      </w:sdtContent>
    </w:sdt>
    <w:bookmarkStart w:id="2" w:name="_Toc314842482" w:displacedByCustomXml="prev"/>
    <w:p w:rsidR="000D0A6D" w:rsidRDefault="000D0A6D">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68569772"/>
      <w:r>
        <w:lastRenderedPageBreak/>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68569773"/>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B56DDF" w:rsidP="003D1E62">
            <w:pPr>
              <w:rPr>
                <w:i/>
              </w:rPr>
            </w:pPr>
            <w:r>
              <w:rPr>
                <w:i/>
              </w:rPr>
              <w:t>Type of s</w:t>
            </w:r>
            <w:r w:rsidR="008E7846" w:rsidRPr="003D1E62">
              <w:rPr>
                <w:i/>
              </w:rPr>
              <w:t>ubmission</w:t>
            </w:r>
          </w:p>
        </w:tc>
        <w:tc>
          <w:tcPr>
            <w:tcW w:w="6590" w:type="dxa"/>
          </w:tcPr>
          <w:p w:rsidR="008E7846" w:rsidRPr="003D1E62" w:rsidRDefault="008E7846" w:rsidP="00CB32DD">
            <w:r w:rsidRPr="003D1E62">
              <w:t xml:space="preserve">New </w:t>
            </w:r>
            <w:r w:rsidR="00CB32DD">
              <w:t>S</w:t>
            </w:r>
            <w:r w:rsidR="001402A3">
              <w:t xml:space="preserve">imilar </w:t>
            </w:r>
            <w:r w:rsidR="00CB32DD">
              <w:t>B</w:t>
            </w:r>
            <w:r w:rsidR="000D0A6D">
              <w:t xml:space="preserve">iological </w:t>
            </w:r>
            <w:r w:rsidR="00CB32DD">
              <w:t>M</w:t>
            </w:r>
            <w:r w:rsidR="001402A3">
              <w:t xml:space="preserve">edicinal </w:t>
            </w:r>
            <w:r w:rsidR="00CB32DD">
              <w:t>Product</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0D0A6D">
            <w:r w:rsidRPr="003D1E62">
              <w:t>Approved</w:t>
            </w:r>
          </w:p>
        </w:tc>
      </w:tr>
      <w:tr w:rsidR="008E7846" w:rsidRPr="003D1E62" w:rsidTr="0089635C">
        <w:trPr>
          <w:trHeight w:hRule="exact" w:val="454"/>
        </w:trPr>
        <w:tc>
          <w:tcPr>
            <w:tcW w:w="2907" w:type="dxa"/>
          </w:tcPr>
          <w:p w:rsidR="008E7846" w:rsidRPr="003D1E62" w:rsidRDefault="00B56DDF" w:rsidP="003D1E62">
            <w:pPr>
              <w:rPr>
                <w:i/>
              </w:rPr>
            </w:pPr>
            <w:r>
              <w:rPr>
                <w:i/>
              </w:rPr>
              <w:t>Date of d</w:t>
            </w:r>
            <w:r w:rsidR="008E7846" w:rsidRPr="003D1E62">
              <w:rPr>
                <w:i/>
              </w:rPr>
              <w:t>ecision:</w:t>
            </w:r>
          </w:p>
        </w:tc>
        <w:tc>
          <w:tcPr>
            <w:tcW w:w="6590" w:type="dxa"/>
          </w:tcPr>
          <w:p w:rsidR="008E7846" w:rsidRPr="003D1E62" w:rsidRDefault="00AA7172" w:rsidP="003D1E62">
            <w:r>
              <w:t>2 May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0D0A6D" w:rsidP="00E45619">
            <w:pPr>
              <w:rPr>
                <w:i/>
              </w:rPr>
            </w:pPr>
            <w:r>
              <w:rPr>
                <w:i/>
              </w:rPr>
              <w:t>Active ingredient</w:t>
            </w:r>
            <w:r w:rsidR="008E7846" w:rsidRPr="00487162">
              <w:rPr>
                <w:i/>
              </w:rPr>
              <w:t xml:space="preserve">: </w:t>
            </w:r>
          </w:p>
        </w:tc>
        <w:tc>
          <w:tcPr>
            <w:tcW w:w="6307" w:type="dxa"/>
          </w:tcPr>
          <w:p w:rsidR="008E7846" w:rsidRPr="00487162" w:rsidRDefault="000D0A6D" w:rsidP="000D0A6D">
            <w:proofErr w:type="spellStart"/>
            <w:r>
              <w:t>F</w:t>
            </w:r>
            <w:r w:rsidRPr="000D0A6D">
              <w:t>ilgrastim</w:t>
            </w:r>
            <w:proofErr w:type="spellEnd"/>
            <w:r w:rsidRPr="000D0A6D">
              <w:t xml:space="preserve"> (</w:t>
            </w:r>
            <w:proofErr w:type="spellStart"/>
            <w:r w:rsidRPr="000D0A6D">
              <w:t>rbe</w:t>
            </w:r>
            <w:proofErr w:type="spellEnd"/>
            <w:r w:rsidR="00F036F9">
              <w:rPr>
                <w:rStyle w:val="FootnoteReference"/>
              </w:rPr>
              <w:footnoteReference w:id="1"/>
            </w:r>
            <w:r w:rsidRPr="000D0A6D">
              <w:t>)</w:t>
            </w:r>
          </w:p>
        </w:tc>
      </w:tr>
      <w:tr w:rsidR="008E7846" w:rsidRPr="00487162" w:rsidTr="00BF1190">
        <w:tc>
          <w:tcPr>
            <w:tcW w:w="2907" w:type="dxa"/>
          </w:tcPr>
          <w:p w:rsidR="008E7846" w:rsidRPr="00487162" w:rsidRDefault="00B56DDF" w:rsidP="00E45619">
            <w:pPr>
              <w:rPr>
                <w:i/>
              </w:rPr>
            </w:pPr>
            <w:r>
              <w:rPr>
                <w:i/>
              </w:rPr>
              <w:t>Product n</w:t>
            </w:r>
            <w:r w:rsidR="00AA7172">
              <w:rPr>
                <w:i/>
              </w:rPr>
              <w:t>ame</w:t>
            </w:r>
            <w:r w:rsidR="008E7846" w:rsidRPr="00487162">
              <w:rPr>
                <w:i/>
              </w:rPr>
              <w:t xml:space="preserve">: </w:t>
            </w:r>
          </w:p>
        </w:tc>
        <w:tc>
          <w:tcPr>
            <w:tcW w:w="6307" w:type="dxa"/>
          </w:tcPr>
          <w:p w:rsidR="008E7846" w:rsidRPr="00487162" w:rsidRDefault="000D0A6D" w:rsidP="000D0A6D">
            <w:r>
              <w:t>Zarzio</w:t>
            </w:r>
          </w:p>
        </w:tc>
      </w:tr>
      <w:tr w:rsidR="008E7846" w:rsidRPr="00487162" w:rsidTr="00BF1190">
        <w:tc>
          <w:tcPr>
            <w:tcW w:w="2907" w:type="dxa"/>
          </w:tcPr>
          <w:p w:rsidR="008E7846" w:rsidRPr="00487162" w:rsidRDefault="00B56DDF" w:rsidP="00B56DDF">
            <w:pPr>
              <w:rPr>
                <w:i/>
              </w:rPr>
            </w:pPr>
            <w:r>
              <w:rPr>
                <w:i/>
              </w:rPr>
              <w:t>Sponsor’s n</w:t>
            </w:r>
            <w:r w:rsidR="008E7846" w:rsidRPr="00487162">
              <w:rPr>
                <w:i/>
              </w:rPr>
              <w:t xml:space="preserve">ame and </w:t>
            </w:r>
            <w:r>
              <w:rPr>
                <w:i/>
              </w:rPr>
              <w:t>a</w:t>
            </w:r>
            <w:r w:rsidR="008E7846" w:rsidRPr="00487162">
              <w:rPr>
                <w:i/>
              </w:rPr>
              <w:t>ddress:</w:t>
            </w:r>
          </w:p>
        </w:tc>
        <w:tc>
          <w:tcPr>
            <w:tcW w:w="6307" w:type="dxa"/>
          </w:tcPr>
          <w:p w:rsidR="008E7846" w:rsidRPr="00487162" w:rsidRDefault="000D0A6D" w:rsidP="00AD240B">
            <w:r>
              <w:t>Sandoz Pty Ltd</w:t>
            </w:r>
            <w:r>
              <w:br/>
            </w:r>
            <w:r w:rsidRPr="000D0A6D">
              <w:t>Level 2</w:t>
            </w:r>
            <w:r w:rsidR="00AD240B">
              <w:t>,</w:t>
            </w:r>
            <w:r w:rsidRPr="000D0A6D">
              <w:t xml:space="preserve"> Suite 201</w:t>
            </w:r>
            <w:r w:rsidR="00AD240B">
              <w:br/>
            </w:r>
            <w:r w:rsidRPr="000D0A6D">
              <w:t>19 Harris Street</w:t>
            </w:r>
            <w:r>
              <w:br/>
            </w:r>
            <w:r w:rsidRPr="000D0A6D">
              <w:t>P</w:t>
            </w:r>
            <w:r>
              <w:t xml:space="preserve">yrmont  </w:t>
            </w:r>
            <w:r w:rsidRPr="000D0A6D">
              <w:t xml:space="preserve">NSW </w:t>
            </w:r>
            <w:r>
              <w:t xml:space="preserve"> </w:t>
            </w:r>
            <w:r w:rsidRPr="000D0A6D">
              <w:t>2009</w:t>
            </w:r>
          </w:p>
        </w:tc>
      </w:tr>
      <w:tr w:rsidR="008E7846" w:rsidRPr="00487162" w:rsidTr="00BF1190">
        <w:tc>
          <w:tcPr>
            <w:tcW w:w="2907" w:type="dxa"/>
          </w:tcPr>
          <w:p w:rsidR="008E7846" w:rsidRPr="00487162" w:rsidRDefault="000D0A6D" w:rsidP="00E45619">
            <w:pPr>
              <w:rPr>
                <w:i/>
              </w:rPr>
            </w:pPr>
            <w:r>
              <w:rPr>
                <w:i/>
              </w:rPr>
              <w:t>Dose form</w:t>
            </w:r>
            <w:r w:rsidR="008E7846" w:rsidRPr="00487162">
              <w:rPr>
                <w:i/>
              </w:rPr>
              <w:t>:</w:t>
            </w:r>
          </w:p>
        </w:tc>
        <w:tc>
          <w:tcPr>
            <w:tcW w:w="6307" w:type="dxa"/>
          </w:tcPr>
          <w:p w:rsidR="008E7846" w:rsidRPr="00487162" w:rsidRDefault="000D0A6D" w:rsidP="000D0A6D">
            <w:r>
              <w:t>Solution for injection</w:t>
            </w:r>
            <w:r w:rsidR="00CB32DD">
              <w:t xml:space="preserve"> or infusion</w:t>
            </w:r>
          </w:p>
        </w:tc>
      </w:tr>
      <w:tr w:rsidR="008E7846" w:rsidRPr="00487162" w:rsidTr="00BF1190">
        <w:tc>
          <w:tcPr>
            <w:tcW w:w="2907" w:type="dxa"/>
          </w:tcPr>
          <w:p w:rsidR="008E7846" w:rsidRPr="00487162" w:rsidRDefault="008E7846" w:rsidP="000D0A6D">
            <w:pPr>
              <w:rPr>
                <w:i/>
              </w:rPr>
            </w:pPr>
            <w:r w:rsidRPr="00487162">
              <w:rPr>
                <w:i/>
              </w:rPr>
              <w:t>Strengths:</w:t>
            </w:r>
          </w:p>
        </w:tc>
        <w:tc>
          <w:tcPr>
            <w:tcW w:w="6307" w:type="dxa"/>
          </w:tcPr>
          <w:p w:rsidR="008E7846" w:rsidRPr="00487162" w:rsidRDefault="000D0A6D" w:rsidP="00E45619">
            <w:r>
              <w:t>300 µg/0.5 mL, 480 µg/0.5 mL</w:t>
            </w:r>
          </w:p>
        </w:tc>
      </w:tr>
      <w:tr w:rsidR="008E7846" w:rsidRPr="00487162" w:rsidTr="00BF1190">
        <w:tc>
          <w:tcPr>
            <w:tcW w:w="2907" w:type="dxa"/>
          </w:tcPr>
          <w:p w:rsidR="008E7846" w:rsidRPr="00487162" w:rsidRDefault="000D0A6D" w:rsidP="00E45619">
            <w:pPr>
              <w:rPr>
                <w:i/>
              </w:rPr>
            </w:pPr>
            <w:r>
              <w:rPr>
                <w:i/>
              </w:rPr>
              <w:t>Container</w:t>
            </w:r>
            <w:r w:rsidR="008E7846" w:rsidRPr="00487162">
              <w:rPr>
                <w:i/>
              </w:rPr>
              <w:t>:</w:t>
            </w:r>
          </w:p>
        </w:tc>
        <w:tc>
          <w:tcPr>
            <w:tcW w:w="6307" w:type="dxa"/>
          </w:tcPr>
          <w:p w:rsidR="008E7846" w:rsidRPr="00487162" w:rsidRDefault="000D0A6D" w:rsidP="00E45619">
            <w:r>
              <w:t>Prefilled syringe</w:t>
            </w:r>
          </w:p>
        </w:tc>
      </w:tr>
      <w:tr w:rsidR="008E7846" w:rsidRPr="00487162" w:rsidTr="00BF1190">
        <w:tc>
          <w:tcPr>
            <w:tcW w:w="2907" w:type="dxa"/>
          </w:tcPr>
          <w:p w:rsidR="008E7846" w:rsidRPr="00487162" w:rsidRDefault="000D0A6D" w:rsidP="000D0A6D">
            <w:pPr>
              <w:rPr>
                <w:i/>
              </w:rPr>
            </w:pPr>
            <w:r>
              <w:rPr>
                <w:i/>
              </w:rPr>
              <w:t>Pack size</w:t>
            </w:r>
            <w:r w:rsidR="008E7846" w:rsidRPr="00487162">
              <w:rPr>
                <w:i/>
              </w:rPr>
              <w:t>s:</w:t>
            </w:r>
          </w:p>
        </w:tc>
        <w:tc>
          <w:tcPr>
            <w:tcW w:w="6307" w:type="dxa"/>
          </w:tcPr>
          <w:p w:rsidR="008E7846" w:rsidRPr="00487162" w:rsidRDefault="000D0A6D" w:rsidP="00E45619">
            <w:r>
              <w:t>1, 5 and 10</w:t>
            </w:r>
          </w:p>
        </w:tc>
      </w:tr>
      <w:tr w:rsidR="008E7846" w:rsidRPr="00487162" w:rsidTr="00BF1190">
        <w:tc>
          <w:tcPr>
            <w:tcW w:w="2907" w:type="dxa"/>
          </w:tcPr>
          <w:p w:rsidR="008E7846" w:rsidRPr="00487162" w:rsidRDefault="008E7846" w:rsidP="00B56DDF">
            <w:pPr>
              <w:rPr>
                <w:i/>
              </w:rPr>
            </w:pPr>
            <w:r w:rsidRPr="00487162">
              <w:rPr>
                <w:i/>
              </w:rPr>
              <w:t xml:space="preserve">Approved </w:t>
            </w:r>
            <w:r w:rsidR="00B56DDF">
              <w:rPr>
                <w:i/>
              </w:rPr>
              <w:t>t</w:t>
            </w:r>
            <w:r w:rsidRPr="00487162">
              <w:rPr>
                <w:i/>
              </w:rPr>
              <w:t>herapeutic use:</w:t>
            </w:r>
          </w:p>
        </w:tc>
        <w:tc>
          <w:tcPr>
            <w:tcW w:w="6307" w:type="dxa"/>
          </w:tcPr>
          <w:p w:rsidR="00AA7172" w:rsidRDefault="00AA7172" w:rsidP="00F036F9">
            <w:pPr>
              <w:pStyle w:val="ListBullet"/>
            </w:pPr>
            <w:proofErr w:type="gramStart"/>
            <w:r>
              <w:t>to</w:t>
            </w:r>
            <w:proofErr w:type="gramEnd"/>
            <w:r>
              <w:t xml:space="preserve"> decrease the incidence of infection, as manifested by febrile neutropenia, in patients with non-myeloid malignancies receiving </w:t>
            </w:r>
            <w:proofErr w:type="spellStart"/>
            <w:r>
              <w:t>myelosuppressive</w:t>
            </w:r>
            <w:proofErr w:type="spellEnd"/>
            <w:r>
              <w:t xml:space="preserve"> anticancer drugs in doses not usually requiring bone marrow transplantation.</w:t>
            </w:r>
          </w:p>
          <w:p w:rsidR="00AA7172" w:rsidRDefault="00AA7172" w:rsidP="00F036F9">
            <w:pPr>
              <w:pStyle w:val="ListBullet"/>
            </w:pPr>
            <w:proofErr w:type="gramStart"/>
            <w:r>
              <w:t>for</w:t>
            </w:r>
            <w:proofErr w:type="gramEnd"/>
            <w:r>
              <w:t xml:space="preserve"> reducing the duration of neutropenia and clinical sequelae in patients undergoing induction and consolidation chemotherapy for acute myeloid </w:t>
            </w:r>
            <w:proofErr w:type="spellStart"/>
            <w:r>
              <w:t>Ieukaemia</w:t>
            </w:r>
            <w:proofErr w:type="spellEnd"/>
            <w:r>
              <w:t>.</w:t>
            </w:r>
          </w:p>
          <w:p w:rsidR="00AA7172" w:rsidRDefault="00AA7172" w:rsidP="00F036F9">
            <w:pPr>
              <w:pStyle w:val="ListBullet"/>
            </w:pPr>
            <w:proofErr w:type="gramStart"/>
            <w:r>
              <w:t>for</w:t>
            </w:r>
            <w:proofErr w:type="gramEnd"/>
            <w:r>
              <w:t xml:space="preserve"> the mobilisation of </w:t>
            </w:r>
            <w:proofErr w:type="spellStart"/>
            <w:r>
              <w:t>autologous</w:t>
            </w:r>
            <w:proofErr w:type="spellEnd"/>
            <w:r>
              <w:t xml:space="preserve"> peripheral blood progenitor cells alone, or following </w:t>
            </w:r>
            <w:proofErr w:type="spellStart"/>
            <w:r>
              <w:t>myelosuppressive</w:t>
            </w:r>
            <w:proofErr w:type="spellEnd"/>
            <w:r>
              <w:t xml:space="preserve"> chemotherapy, in order to accelerate neutrophil and platelet recovery by infusion of such cells after </w:t>
            </w:r>
            <w:proofErr w:type="spellStart"/>
            <w:r>
              <w:t>myeloablative</w:t>
            </w:r>
            <w:proofErr w:type="spellEnd"/>
            <w:r>
              <w:t xml:space="preserve"> or </w:t>
            </w:r>
            <w:proofErr w:type="spellStart"/>
            <w:r>
              <w:t>myelosuppressive</w:t>
            </w:r>
            <w:proofErr w:type="spellEnd"/>
            <w:r>
              <w:t xml:space="preserve"> therapy in patients with non-myeloid malignancies.</w:t>
            </w:r>
          </w:p>
          <w:p w:rsidR="00AA7172" w:rsidRDefault="00AA7172" w:rsidP="00F036F9">
            <w:pPr>
              <w:pStyle w:val="ListBullet"/>
            </w:pPr>
            <w:proofErr w:type="gramStart"/>
            <w:r>
              <w:t>for</w:t>
            </w:r>
            <w:proofErr w:type="gramEnd"/>
            <w:r>
              <w:t xml:space="preserve"> the mobilisation of peripheral blood progenitor cells, in normal volunteers, for use in </w:t>
            </w:r>
            <w:proofErr w:type="spellStart"/>
            <w:r>
              <w:t>allogeneic</w:t>
            </w:r>
            <w:proofErr w:type="spellEnd"/>
            <w:r>
              <w:t xml:space="preserve"> peripheral blood progenitor cell transplantation.</w:t>
            </w:r>
          </w:p>
          <w:p w:rsidR="00AA7172" w:rsidRDefault="00AA7172" w:rsidP="00F036F9">
            <w:pPr>
              <w:pStyle w:val="ListBullet"/>
            </w:pPr>
            <w:r>
              <w:t xml:space="preserve">In patients receiving </w:t>
            </w:r>
            <w:proofErr w:type="spellStart"/>
            <w:r>
              <w:t>myeloablative</w:t>
            </w:r>
            <w:proofErr w:type="spellEnd"/>
            <w:r>
              <w:t xml:space="preserve"> chemotherapy, </w:t>
            </w:r>
            <w:proofErr w:type="spellStart"/>
            <w:r>
              <w:t>Zarzio</w:t>
            </w:r>
            <w:proofErr w:type="spellEnd"/>
            <w:r>
              <w:t xml:space="preserve"> is indicated for reducing the duration of neutropenia and clinical </w:t>
            </w:r>
            <w:proofErr w:type="spellStart"/>
            <w:r>
              <w:t>sequelae</w:t>
            </w:r>
            <w:proofErr w:type="spellEnd"/>
            <w:r>
              <w:t xml:space="preserve"> following </w:t>
            </w:r>
            <w:proofErr w:type="spellStart"/>
            <w:r>
              <w:t>autologous</w:t>
            </w:r>
            <w:proofErr w:type="spellEnd"/>
            <w:r>
              <w:t xml:space="preserve"> or </w:t>
            </w:r>
            <w:proofErr w:type="spellStart"/>
            <w:r>
              <w:t>allogeneic</w:t>
            </w:r>
            <w:proofErr w:type="spellEnd"/>
            <w:r>
              <w:t xml:space="preserve"> bone marrow transplantation.</w:t>
            </w:r>
          </w:p>
          <w:p w:rsidR="00AA7172" w:rsidRDefault="00AA7172" w:rsidP="00F036F9">
            <w:pPr>
              <w:pStyle w:val="ListBullet"/>
            </w:pPr>
            <w:proofErr w:type="gramStart"/>
            <w:r>
              <w:lastRenderedPageBreak/>
              <w:t>for</w:t>
            </w:r>
            <w:proofErr w:type="gramEnd"/>
            <w:r>
              <w:t xml:space="preserve"> chronic administration to increase neutrophil counts and to reduce the incidence and duration of infections in patients with severe chronic neutropenia.</w:t>
            </w:r>
          </w:p>
          <w:p w:rsidR="008E7846" w:rsidRPr="000D0A6D" w:rsidRDefault="00AA7172" w:rsidP="00F036F9">
            <w:pPr>
              <w:pStyle w:val="ListBullet"/>
            </w:pPr>
            <w:proofErr w:type="gramStart"/>
            <w:r>
              <w:t>in</w:t>
            </w:r>
            <w:proofErr w:type="gramEnd"/>
            <w:r>
              <w:t xml:space="preserve"> patients with HIV infection, for reversal of </w:t>
            </w:r>
            <w:r w:rsidR="00981873">
              <w:t>cl</w:t>
            </w:r>
            <w:r w:rsidR="00981873" w:rsidRPr="00AA7172">
              <w:t>inically</w:t>
            </w:r>
            <w:r w:rsidRPr="00AA7172">
              <w:t xml:space="preserve"> significant</w:t>
            </w:r>
            <w:r>
              <w:t xml:space="preserve"> neutropenia and subsequent maintenance of adequate neutrophil counts during treatment with antiviral and/or other </w:t>
            </w:r>
            <w:proofErr w:type="spellStart"/>
            <w:r>
              <w:t>myelosuppressive</w:t>
            </w:r>
            <w:proofErr w:type="spellEnd"/>
            <w:r>
              <w:t xml:space="preserve"> medications.</w:t>
            </w:r>
            <w:r w:rsidRPr="000D0A6D">
              <w:t xml:space="preserve"> </w:t>
            </w:r>
            <w:r w:rsidR="000D0A6D" w:rsidRPr="000D0A6D">
              <w:t xml:space="preserve"> </w:t>
            </w:r>
          </w:p>
        </w:tc>
      </w:tr>
      <w:tr w:rsidR="008E7846" w:rsidRPr="00487162" w:rsidTr="00BF1190">
        <w:tc>
          <w:tcPr>
            <w:tcW w:w="2907" w:type="dxa"/>
          </w:tcPr>
          <w:p w:rsidR="008E7846" w:rsidRPr="00487162" w:rsidRDefault="000D0A6D" w:rsidP="000D0A6D">
            <w:pPr>
              <w:rPr>
                <w:i/>
              </w:rPr>
            </w:pPr>
            <w:r>
              <w:rPr>
                <w:i/>
              </w:rPr>
              <w:lastRenderedPageBreak/>
              <w:t>Route</w:t>
            </w:r>
            <w:r w:rsidR="0038229D">
              <w:rPr>
                <w:i/>
              </w:rPr>
              <w:t>s</w:t>
            </w:r>
            <w:r w:rsidR="008E7846" w:rsidRPr="00487162">
              <w:rPr>
                <w:i/>
              </w:rPr>
              <w:t xml:space="preserve"> of administration:</w:t>
            </w:r>
          </w:p>
        </w:tc>
        <w:tc>
          <w:tcPr>
            <w:tcW w:w="6307" w:type="dxa"/>
          </w:tcPr>
          <w:p w:rsidR="008E7846" w:rsidRPr="00487162" w:rsidRDefault="00AA7172" w:rsidP="00E45619">
            <w:r>
              <w:t>Subcutaneous injection, subcutaneous infusion, intravenous injection, intravenous infusion</w:t>
            </w:r>
          </w:p>
        </w:tc>
      </w:tr>
      <w:tr w:rsidR="008E7846" w:rsidRPr="00487162" w:rsidTr="00BF1190">
        <w:tc>
          <w:tcPr>
            <w:tcW w:w="2907" w:type="dxa"/>
          </w:tcPr>
          <w:p w:rsidR="008E7846" w:rsidRPr="00487162" w:rsidRDefault="008E7846" w:rsidP="00E45619">
            <w:pPr>
              <w:rPr>
                <w:i/>
              </w:rPr>
            </w:pPr>
            <w:r w:rsidRPr="00487162">
              <w:rPr>
                <w:i/>
              </w:rPr>
              <w:t>Dosage</w:t>
            </w:r>
            <w:r w:rsidR="007A08B0">
              <w:rPr>
                <w:i/>
              </w:rPr>
              <w:t xml:space="preserve"> (abbreviated)</w:t>
            </w:r>
            <w:r w:rsidRPr="00487162">
              <w:rPr>
                <w:i/>
              </w:rPr>
              <w:t>:</w:t>
            </w:r>
          </w:p>
        </w:tc>
        <w:tc>
          <w:tcPr>
            <w:tcW w:w="6307" w:type="dxa"/>
          </w:tcPr>
          <w:p w:rsidR="008E7846" w:rsidRPr="00487162" w:rsidRDefault="00C36C9D" w:rsidP="00C36C9D">
            <w:r>
              <w:rPr>
                <w:bCs/>
              </w:rPr>
              <w:t xml:space="preserve">The dose, </w:t>
            </w:r>
            <w:r w:rsidR="007A08B0" w:rsidRPr="007A08B0">
              <w:rPr>
                <w:bCs/>
              </w:rPr>
              <w:t xml:space="preserve">frequency and duration </w:t>
            </w:r>
            <w:r>
              <w:rPr>
                <w:bCs/>
              </w:rPr>
              <w:t xml:space="preserve">of treatment </w:t>
            </w:r>
            <w:proofErr w:type="gramStart"/>
            <w:r w:rsidR="007A08B0" w:rsidRPr="007A08B0">
              <w:rPr>
                <w:bCs/>
              </w:rPr>
              <w:t>is</w:t>
            </w:r>
            <w:proofErr w:type="gramEnd"/>
            <w:r w:rsidR="007A08B0" w:rsidRPr="007A08B0">
              <w:rPr>
                <w:bCs/>
              </w:rPr>
              <w:t xml:space="preserve"> dependent on indication.</w:t>
            </w:r>
            <w:r w:rsidR="007A08B0">
              <w:rPr>
                <w:bCs/>
              </w:rPr>
              <w:t xml:space="preserve"> </w:t>
            </w:r>
            <w:r w:rsidR="00AA7172">
              <w:t xml:space="preserve">Refer to the </w:t>
            </w:r>
            <w:r w:rsidR="00AA7172" w:rsidRPr="00AA7172">
              <w:rPr>
                <w:i/>
              </w:rPr>
              <w:t>Dosage and administration</w:t>
            </w:r>
            <w:r w:rsidR="00AA7172">
              <w:t xml:space="preserve"> section of the </w:t>
            </w:r>
            <w:r w:rsidR="00227C84">
              <w:t xml:space="preserve">most recent </w:t>
            </w:r>
            <w:r w:rsidR="00AA7172">
              <w:t>Product Information for Zarzio</w:t>
            </w:r>
            <w:r w:rsidR="00227C84">
              <w:t xml:space="preserve"> at </w:t>
            </w:r>
            <w:hyperlink r:id="rId13" w:history="1">
              <w:r w:rsidR="00227C84" w:rsidRPr="00227C84">
                <w:rPr>
                  <w:rStyle w:val="Hyperlink"/>
                </w:rPr>
                <w:t>http://www.tga.gov.au/hp/information-medicines-pi.htm</w:t>
              </w:r>
            </w:hyperlink>
            <w:r w:rsidR="00AA7172">
              <w:t>.</w:t>
            </w:r>
          </w:p>
        </w:tc>
      </w:tr>
      <w:tr w:rsidR="008E7846" w:rsidRPr="00487162" w:rsidTr="00BF1190">
        <w:tc>
          <w:tcPr>
            <w:tcW w:w="2907" w:type="dxa"/>
          </w:tcPr>
          <w:p w:rsidR="008E7846" w:rsidRPr="00487162" w:rsidRDefault="008E7846" w:rsidP="00B56DDF">
            <w:pPr>
              <w:rPr>
                <w:i/>
              </w:rPr>
            </w:pPr>
            <w:r w:rsidRPr="00487162">
              <w:rPr>
                <w:i/>
              </w:rPr>
              <w:t xml:space="preserve">ARTG </w:t>
            </w:r>
            <w:r w:rsidR="00B56DDF">
              <w:rPr>
                <w:i/>
              </w:rPr>
              <w:t>n</w:t>
            </w:r>
            <w:r w:rsidRPr="00487162">
              <w:rPr>
                <w:i/>
              </w:rPr>
              <w:t>umbers</w:t>
            </w:r>
            <w:r w:rsidR="000D0A6D">
              <w:rPr>
                <w:i/>
              </w:rPr>
              <w:t>:</w:t>
            </w:r>
          </w:p>
        </w:tc>
        <w:tc>
          <w:tcPr>
            <w:tcW w:w="6307" w:type="dxa"/>
          </w:tcPr>
          <w:p w:rsidR="008E7846" w:rsidRPr="00487162" w:rsidRDefault="000D0A6D" w:rsidP="00E45619">
            <w:r w:rsidRPr="000D0A6D">
              <w:t>195065</w:t>
            </w:r>
            <w:r>
              <w:t xml:space="preserve"> and </w:t>
            </w:r>
            <w:r w:rsidRPr="000D0A6D">
              <w:t>19506</w:t>
            </w:r>
            <w:r>
              <w:t>6</w:t>
            </w:r>
          </w:p>
        </w:tc>
      </w:tr>
    </w:tbl>
    <w:p w:rsidR="008E7846" w:rsidRDefault="008E7846" w:rsidP="008E7846">
      <w:pPr>
        <w:pStyle w:val="Heading3"/>
      </w:pPr>
      <w:bookmarkStart w:id="7" w:name="_Toc247691503"/>
      <w:bookmarkStart w:id="8" w:name="_Toc314842484"/>
      <w:bookmarkStart w:id="9" w:name="_Toc368569774"/>
      <w:r>
        <w:t>Product background</w:t>
      </w:r>
      <w:bookmarkEnd w:id="7"/>
      <w:bookmarkEnd w:id="8"/>
      <w:bookmarkEnd w:id="9"/>
    </w:p>
    <w:p w:rsidR="002730A9" w:rsidRPr="002730A9" w:rsidRDefault="002730A9" w:rsidP="00B56DDF">
      <w:proofErr w:type="spellStart"/>
      <w:r w:rsidRPr="002730A9">
        <w:t>Filgrastim</w:t>
      </w:r>
      <w:proofErr w:type="spellEnd"/>
      <w:r w:rsidRPr="002730A9">
        <w:t xml:space="preserve"> </w:t>
      </w:r>
      <w:r w:rsidR="00F036F9">
        <w:t>(</w:t>
      </w:r>
      <w:proofErr w:type="spellStart"/>
      <w:proofErr w:type="gramStart"/>
      <w:r w:rsidR="00F036F9" w:rsidRPr="002730A9">
        <w:t>rbe</w:t>
      </w:r>
      <w:proofErr w:type="spellEnd"/>
      <w:proofErr w:type="gramEnd"/>
      <w:r w:rsidR="00F036F9">
        <w:t xml:space="preserve">) </w:t>
      </w:r>
      <w:r w:rsidRPr="002730A9">
        <w:t xml:space="preserve">is human granulocyte colony stimulating factor (G-CSF) produced in </w:t>
      </w:r>
      <w:r w:rsidR="00F036F9" w:rsidRPr="00F036F9">
        <w:rPr>
          <w:i/>
        </w:rPr>
        <w:t>E</w:t>
      </w:r>
      <w:r w:rsidR="00F036F9">
        <w:rPr>
          <w:i/>
        </w:rPr>
        <w:t xml:space="preserve">scherichia </w:t>
      </w:r>
      <w:r w:rsidRPr="00F036F9">
        <w:rPr>
          <w:i/>
        </w:rPr>
        <w:t>coli</w:t>
      </w:r>
      <w:r w:rsidRPr="002730A9">
        <w:t xml:space="preserve"> </w:t>
      </w:r>
      <w:r w:rsidR="00F036F9">
        <w:t>(</w:t>
      </w:r>
      <w:r w:rsidR="00F036F9" w:rsidRPr="00F036F9">
        <w:rPr>
          <w:i/>
        </w:rPr>
        <w:t>E. coli</w:t>
      </w:r>
      <w:r w:rsidR="00F036F9">
        <w:t xml:space="preserve">) </w:t>
      </w:r>
      <w:r w:rsidRPr="002730A9">
        <w:t xml:space="preserve">using recombinant </w:t>
      </w:r>
      <w:r w:rsidR="00C36C9D" w:rsidRPr="00C36C9D">
        <w:t xml:space="preserve">deoxyribonucleic acid </w:t>
      </w:r>
      <w:r w:rsidR="00C36C9D">
        <w:t>(</w:t>
      </w:r>
      <w:r w:rsidRPr="002730A9">
        <w:t>DNA</w:t>
      </w:r>
      <w:r w:rsidR="00C36C9D">
        <w:t>)</w:t>
      </w:r>
      <w:r w:rsidRPr="002730A9">
        <w:t xml:space="preserve"> technology. It stimulates the production of white blood cells in the bone marrow.</w:t>
      </w:r>
    </w:p>
    <w:p w:rsidR="00A031E0" w:rsidRPr="002730A9" w:rsidRDefault="00855858" w:rsidP="00B56DDF">
      <w:r>
        <w:t xml:space="preserve">Neupogen solution for injection containing </w:t>
      </w:r>
      <w:proofErr w:type="spellStart"/>
      <w:r>
        <w:t>filgrastim</w:t>
      </w:r>
      <w:proofErr w:type="spellEnd"/>
      <w:r>
        <w:t xml:space="preserve"> (</w:t>
      </w:r>
      <w:proofErr w:type="spellStart"/>
      <w:proofErr w:type="gramStart"/>
      <w:r>
        <w:t>rbe</w:t>
      </w:r>
      <w:proofErr w:type="spellEnd"/>
      <w:proofErr w:type="gramEnd"/>
      <w:r>
        <w:t xml:space="preserve">) has been registered in Australia since 1995. </w:t>
      </w:r>
      <w:r w:rsidR="00F036F9">
        <w:t>This AusPAR describes the application by Sandoz Pty Ltd (the sponsor) to register Zarzio</w:t>
      </w:r>
      <w:r>
        <w:t xml:space="preserve"> solution for injection</w:t>
      </w:r>
      <w:r w:rsidR="00CB32DD">
        <w:t xml:space="preserve"> or infusion</w:t>
      </w:r>
      <w:r w:rsidR="00F036F9">
        <w:t xml:space="preserve">, containing </w:t>
      </w:r>
      <w:proofErr w:type="spellStart"/>
      <w:r w:rsidR="00F036F9">
        <w:t>f</w:t>
      </w:r>
      <w:r w:rsidR="00F036F9" w:rsidRPr="00F036F9">
        <w:t>ilgrastim</w:t>
      </w:r>
      <w:proofErr w:type="spellEnd"/>
      <w:r w:rsidR="00F036F9" w:rsidRPr="00F036F9">
        <w:t xml:space="preserve"> (</w:t>
      </w:r>
      <w:proofErr w:type="spellStart"/>
      <w:proofErr w:type="gramStart"/>
      <w:r w:rsidR="00F036F9" w:rsidRPr="00F036F9">
        <w:t>rbe</w:t>
      </w:r>
      <w:proofErr w:type="spellEnd"/>
      <w:proofErr w:type="gramEnd"/>
      <w:r w:rsidR="00F036F9" w:rsidRPr="00F036F9">
        <w:t>)</w:t>
      </w:r>
      <w:r w:rsidR="00F036F9">
        <w:t>,</w:t>
      </w:r>
      <w:r w:rsidR="00F036F9" w:rsidRPr="00F036F9">
        <w:t xml:space="preserve"> </w:t>
      </w:r>
      <w:r>
        <w:t>as a “generic”</w:t>
      </w:r>
      <w:r w:rsidR="00F036F9">
        <w:t xml:space="preserve"> form of Neupogen.</w:t>
      </w:r>
      <w:r w:rsidR="002730A9" w:rsidRPr="002730A9">
        <w:t xml:space="preserve"> </w:t>
      </w:r>
      <w:r w:rsidR="00A031E0">
        <w:t xml:space="preserve">The proposed indications and dosage </w:t>
      </w:r>
      <w:r>
        <w:t xml:space="preserve">for Zarzio </w:t>
      </w:r>
      <w:r w:rsidR="00A031E0">
        <w:t>are the same as those approved for Neupogen.</w:t>
      </w:r>
    </w:p>
    <w:p w:rsidR="0023751F" w:rsidRPr="0023751F" w:rsidRDefault="00F036F9" w:rsidP="002730A9">
      <w:r>
        <w:t>“</w:t>
      </w:r>
      <w:r w:rsidR="0023751F" w:rsidRPr="0023751F">
        <w:t>Generic” biological products are referred to as “similar biological medicinal products (SBMPs)” or “</w:t>
      </w:r>
      <w:proofErr w:type="spellStart"/>
      <w:r w:rsidR="0023751F" w:rsidRPr="0023751F">
        <w:t>biosimilar</w:t>
      </w:r>
      <w:proofErr w:type="spellEnd"/>
      <w:r w:rsidR="0023751F" w:rsidRPr="0023751F">
        <w:t>” in recognition of the fact that due to the complexity of their molecular structure and manufacturing it is not possible to</w:t>
      </w:r>
      <w:r w:rsidR="00B56DDF">
        <w:t xml:space="preserve"> produce true generic versions.</w:t>
      </w:r>
    </w:p>
    <w:p w:rsidR="00A90B96" w:rsidRDefault="0023751F" w:rsidP="0023751F">
      <w:r w:rsidRPr="0023751F">
        <w:t>The TGA has adopted several European Medicines Agency (EMA) guidelines as appropriate standards for data requirements for SBMPs</w:t>
      </w:r>
      <w:r w:rsidR="00A90B96">
        <w:t>:</w:t>
      </w:r>
    </w:p>
    <w:p w:rsidR="00A90B96" w:rsidRPr="00A90B96" w:rsidRDefault="00A90B96" w:rsidP="00A90B96">
      <w:pPr>
        <w:pStyle w:val="ListBullet"/>
        <w:rPr>
          <w:i/>
        </w:rPr>
      </w:pPr>
      <w:r w:rsidRPr="00A90B96">
        <w:rPr>
          <w:i/>
        </w:rPr>
        <w:t>Guideline on Similar Biological Medicinal Products</w:t>
      </w:r>
      <w:r w:rsidRPr="00A90B96">
        <w:t xml:space="preserve"> </w:t>
      </w:r>
      <w:r>
        <w:t>(</w:t>
      </w:r>
      <w:r w:rsidRPr="00A90B96">
        <w:t>CHMP/437/04</w:t>
      </w:r>
      <w:r>
        <w:t>)</w:t>
      </w:r>
      <w:r w:rsidRPr="00A90B96">
        <w:t xml:space="preserve"> </w:t>
      </w:r>
      <w:hyperlink r:id="rId14" w:history="1">
        <w:r w:rsidRPr="00A90B96">
          <w:rPr>
            <w:rStyle w:val="Hyperlink"/>
          </w:rPr>
          <w:t>http://www.tga.gov.au/pdf/euguide/chmp043704final.pdf</w:t>
        </w:r>
      </w:hyperlink>
    </w:p>
    <w:p w:rsidR="00A90B96" w:rsidRPr="00A90B96" w:rsidRDefault="00A90B96" w:rsidP="00A90B96">
      <w:pPr>
        <w:pStyle w:val="ListBullet"/>
      </w:pPr>
      <w:r w:rsidRPr="00A90B96">
        <w:rPr>
          <w:i/>
        </w:rPr>
        <w:t>Guideline on Similar Biological Medicinal Products containing Biotechnology-Derived Proteins as Active Substance: Quality Issues</w:t>
      </w:r>
      <w:r w:rsidRPr="00A90B96">
        <w:t xml:space="preserve"> </w:t>
      </w:r>
      <w:r>
        <w:t>(</w:t>
      </w:r>
      <w:r w:rsidRPr="00A90B96">
        <w:t>EMEA/CHMP/BWP/49348/2005</w:t>
      </w:r>
      <w:r>
        <w:t xml:space="preserve">) </w:t>
      </w:r>
      <w:hyperlink r:id="rId15" w:history="1">
        <w:r w:rsidRPr="00A90B96">
          <w:rPr>
            <w:rStyle w:val="Hyperlink"/>
          </w:rPr>
          <w:t>http://www.tga.gov.au/pdf/euguide/bwp4934805en.pdf</w:t>
        </w:r>
      </w:hyperlink>
    </w:p>
    <w:p w:rsidR="00F036F9" w:rsidRPr="001402A3" w:rsidRDefault="00F036F9" w:rsidP="00F036F9">
      <w:pPr>
        <w:pStyle w:val="ListBullet"/>
      </w:pPr>
      <w:r w:rsidRPr="00A90B96">
        <w:rPr>
          <w:i/>
        </w:rPr>
        <w:t>Guideline on similar biological medicinal products containing Biotechnology-derived proteins as active substance: Non-clinical and clinical issues.</w:t>
      </w:r>
      <w:r w:rsidRPr="001402A3">
        <w:t xml:space="preserve"> EMEA/CHMP/BMWP/42832/2005. </w:t>
      </w:r>
      <w:hyperlink r:id="rId16" w:history="1">
        <w:r w:rsidRPr="006D2C09">
          <w:rPr>
            <w:rStyle w:val="Hyperlink"/>
          </w:rPr>
          <w:t>http://www.ema.europa.eu/docs/en_GB/document_library/Scientific_guideline/2009/09/WC500003963.pdf</w:t>
        </w:r>
      </w:hyperlink>
      <w:r>
        <w:t xml:space="preserve"> </w:t>
      </w:r>
      <w:r w:rsidRPr="001402A3">
        <w:t xml:space="preserve"> </w:t>
      </w:r>
    </w:p>
    <w:p w:rsidR="00F036F9" w:rsidRPr="00F036F9" w:rsidRDefault="00F036F9" w:rsidP="00F036F9">
      <w:pPr>
        <w:pStyle w:val="ListBullet"/>
      </w:pPr>
      <w:r w:rsidRPr="00F036F9">
        <w:t xml:space="preserve">Annex to </w:t>
      </w:r>
      <w:r w:rsidRPr="00855858">
        <w:rPr>
          <w:i/>
        </w:rPr>
        <w:t>Guideline on Similar Biological Medicinal Products containing Biotechnology-Derived Proteins as Active Substance: Non-Clinical and Clinical Issues</w:t>
      </w:r>
      <w:r w:rsidR="00855858">
        <w:t xml:space="preserve">. </w:t>
      </w:r>
      <w:r w:rsidRPr="00855858">
        <w:rPr>
          <w:i/>
        </w:rPr>
        <w:t xml:space="preserve">Guidance on </w:t>
      </w:r>
      <w:proofErr w:type="spellStart"/>
      <w:r w:rsidRPr="00855858">
        <w:rPr>
          <w:i/>
        </w:rPr>
        <w:t>Biosimilar</w:t>
      </w:r>
      <w:proofErr w:type="spellEnd"/>
      <w:r w:rsidRPr="00855858">
        <w:rPr>
          <w:i/>
        </w:rPr>
        <w:t xml:space="preserve"> Medicinal Products containing Recombinant Granulocyte-Colony Stimulating Factor</w:t>
      </w:r>
      <w:r w:rsidRPr="00F036F9">
        <w:t xml:space="preserve">. EMEA/CHMP/ BMWP/31329/05. </w:t>
      </w:r>
      <w:hyperlink r:id="rId17" w:history="1">
        <w:r w:rsidRPr="006D2C09">
          <w:rPr>
            <w:rStyle w:val="Hyperlink"/>
          </w:rPr>
          <w:t>http://www.ema.europa.eu/docs/en_GB/document_library/Scientific_guideline/2009/09/WC500003955.pdf</w:t>
        </w:r>
      </w:hyperlink>
      <w:r>
        <w:t xml:space="preserve"> </w:t>
      </w:r>
      <w:r w:rsidRPr="00F036F9">
        <w:t xml:space="preserve"> </w:t>
      </w:r>
    </w:p>
    <w:p w:rsidR="002F7E35" w:rsidRDefault="0023751F" w:rsidP="00855858">
      <w:r w:rsidRPr="00855858">
        <w:lastRenderedPageBreak/>
        <w:t xml:space="preserve">For </w:t>
      </w:r>
      <w:r w:rsidRPr="0023751F">
        <w:t xml:space="preserve">small molecule drugs, a generic manufacturer is usually simply required to demonstrate bioequivalence between the generic and innovator products using pharmacokinetic </w:t>
      </w:r>
      <w:r w:rsidR="00F036F9">
        <w:t xml:space="preserve">(PK) </w:t>
      </w:r>
      <w:r w:rsidRPr="0023751F">
        <w:t>criteria (area under the plasma concentration time curve (AUC) and maximal plasma concentration (</w:t>
      </w:r>
      <w:proofErr w:type="spellStart"/>
      <w:r w:rsidRPr="0023751F">
        <w:t>C</w:t>
      </w:r>
      <w:r w:rsidRPr="00310B0D">
        <w:rPr>
          <w:vertAlign w:val="subscript"/>
        </w:rPr>
        <w:t>max</w:t>
      </w:r>
      <w:proofErr w:type="spellEnd"/>
      <w:r w:rsidRPr="0023751F">
        <w:t xml:space="preserve">)). For SBMPs, in addition to demonstrating </w:t>
      </w:r>
      <w:r w:rsidR="00F036F9">
        <w:t xml:space="preserve">PK </w:t>
      </w:r>
      <w:r w:rsidRPr="0023751F">
        <w:t>bioequivalence, the manufacturer is required to provide data to demonstrate equivalent efficacy and safety, although the extent of the efficacy and safety data required is less than that required for registr</w:t>
      </w:r>
      <w:r w:rsidR="00B56DDF">
        <w:t>ation of a new chemical entity.</w:t>
      </w:r>
    </w:p>
    <w:p w:rsidR="0023751F" w:rsidRPr="0023751F" w:rsidRDefault="002F7E35" w:rsidP="00855858">
      <w:r w:rsidRPr="002F7E35">
        <w:t xml:space="preserve">Two other </w:t>
      </w:r>
      <w:proofErr w:type="spellStart"/>
      <w:r w:rsidRPr="002F7E35">
        <w:t>filgrastim</w:t>
      </w:r>
      <w:proofErr w:type="spellEnd"/>
      <w:r w:rsidRPr="002F7E35">
        <w:t xml:space="preserve"> </w:t>
      </w:r>
      <w:proofErr w:type="spellStart"/>
      <w:r w:rsidRPr="002F7E35">
        <w:t>biosimilar</w:t>
      </w:r>
      <w:proofErr w:type="spellEnd"/>
      <w:r w:rsidRPr="002F7E35">
        <w:t xml:space="preserve"> products </w:t>
      </w:r>
      <w:r>
        <w:t xml:space="preserve">currently registered in Australia are </w:t>
      </w:r>
      <w:proofErr w:type="spellStart"/>
      <w:r w:rsidRPr="002F7E35">
        <w:t>Tevagrastim</w:t>
      </w:r>
      <w:proofErr w:type="spellEnd"/>
      <w:r w:rsidRPr="002F7E35">
        <w:t xml:space="preserve"> and </w:t>
      </w:r>
      <w:proofErr w:type="spellStart"/>
      <w:r w:rsidRPr="002F7E35">
        <w:t>Nivestim</w:t>
      </w:r>
      <w:proofErr w:type="spellEnd"/>
      <w:r w:rsidRPr="002F7E35">
        <w:t>.</w:t>
      </w:r>
    </w:p>
    <w:p w:rsidR="008E7846" w:rsidRPr="003F31A2" w:rsidRDefault="00386150" w:rsidP="001402A3">
      <w:pPr>
        <w:pStyle w:val="Heading3"/>
      </w:pPr>
      <w:bookmarkStart w:id="10" w:name="_Toc314842485"/>
      <w:bookmarkStart w:id="11" w:name="_Toc368569775"/>
      <w:bookmarkStart w:id="12" w:name="_Toc247691504"/>
      <w:r>
        <w:t>Regulatory s</w:t>
      </w:r>
      <w:r w:rsidR="008E7846">
        <w:t>tatus</w:t>
      </w:r>
      <w:bookmarkEnd w:id="10"/>
      <w:bookmarkEnd w:id="11"/>
      <w:bookmarkEnd w:id="12"/>
    </w:p>
    <w:p w:rsidR="008E7846" w:rsidRDefault="008E7846" w:rsidP="00E7344E">
      <w:r>
        <w:t xml:space="preserve">The product received initial </w:t>
      </w:r>
      <w:r w:rsidR="00AA7172">
        <w:t>r</w:t>
      </w:r>
      <w:r>
        <w:t xml:space="preserve">egistration </w:t>
      </w:r>
      <w:r w:rsidR="00AA7172">
        <w:t>on the Australian Register of Therapeutic Goods (ARTG) i</w:t>
      </w:r>
      <w:r>
        <w:t>n</w:t>
      </w:r>
      <w:r w:rsidR="00AA7172">
        <w:t xml:space="preserve"> May 2013.</w:t>
      </w:r>
    </w:p>
    <w:p w:rsidR="008E7846" w:rsidRDefault="008E7846" w:rsidP="008E7846">
      <w:r w:rsidRPr="00C27667">
        <w:t>A</w:t>
      </w:r>
      <w:r w:rsidR="00AA7172">
        <w:t>t the time this application was considered</w:t>
      </w:r>
      <w:r w:rsidR="00AD240B">
        <w:t xml:space="preserve"> by the TGA</w:t>
      </w:r>
      <w:r w:rsidR="00AA7172">
        <w:t>, a</w:t>
      </w:r>
      <w:r w:rsidRPr="00C27667">
        <w:t xml:space="preserve"> similar application </w:t>
      </w:r>
      <w:r w:rsidR="00AD240B">
        <w:t xml:space="preserve">had </w:t>
      </w:r>
      <w:r w:rsidRPr="00C27667">
        <w:t xml:space="preserve">been </w:t>
      </w:r>
      <w:r w:rsidR="00AD240B">
        <w:t>approved in the European Union (EU, since 2009) and in approximately 20 additional c</w:t>
      </w:r>
      <w:r w:rsidR="00B56DDF">
        <w:t>ountries including Switzerland.</w:t>
      </w:r>
    </w:p>
    <w:p w:rsidR="008E7846" w:rsidRDefault="008E7846" w:rsidP="008E7846">
      <w:pPr>
        <w:pStyle w:val="Heading3"/>
      </w:pPr>
      <w:bookmarkStart w:id="13" w:name="_Toc247691505"/>
      <w:bookmarkStart w:id="14" w:name="_Toc314842486"/>
      <w:bookmarkStart w:id="15" w:name="_Toc368569776"/>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68569777"/>
      <w:r>
        <w:t>II. Quality</w:t>
      </w:r>
      <w:bookmarkEnd w:id="1"/>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68569778"/>
      <w:r w:rsidRPr="008751DC">
        <w:t xml:space="preserve">Drug </w:t>
      </w:r>
      <w:r>
        <w:t>s</w:t>
      </w:r>
      <w:r w:rsidRPr="008751DC">
        <w:t>ubstance</w:t>
      </w:r>
      <w:r>
        <w:t xml:space="preserve"> (active ingredient)</w:t>
      </w:r>
      <w:bookmarkEnd w:id="19"/>
      <w:bookmarkEnd w:id="20"/>
      <w:bookmarkEnd w:id="21"/>
    </w:p>
    <w:p w:rsidR="00C636B9" w:rsidRDefault="00C636B9" w:rsidP="00C636B9">
      <w:r w:rsidRPr="00C636B9">
        <w:t>The active substance</w:t>
      </w:r>
      <w:r w:rsidRPr="00C636B9">
        <w:rPr>
          <w:b/>
          <w:bCs/>
        </w:rPr>
        <w:t xml:space="preserve">, </w:t>
      </w:r>
      <w:r w:rsidRPr="00C636B9">
        <w:t>filgrastim (</w:t>
      </w:r>
      <w:r w:rsidR="001402A3">
        <w:t xml:space="preserve">recombinant human </w:t>
      </w:r>
      <w:r w:rsidR="00855858">
        <w:t>G-CSF (</w:t>
      </w:r>
      <w:proofErr w:type="spellStart"/>
      <w:r w:rsidRPr="00C636B9">
        <w:t>rhG</w:t>
      </w:r>
      <w:proofErr w:type="spellEnd"/>
      <w:r w:rsidRPr="00C636B9">
        <w:t>-CSF</w:t>
      </w:r>
      <w:r w:rsidR="00855858">
        <w:t>), also know</w:t>
      </w:r>
      <w:r w:rsidR="00C36C9D">
        <w:t>n</w:t>
      </w:r>
      <w:r w:rsidR="00855858">
        <w:t xml:space="preserve"> as </w:t>
      </w:r>
      <w:r w:rsidRPr="00C636B9">
        <w:t xml:space="preserve">EP2006), is a 175 amino acid protein manufactured by recombinant DNA technology. It is produced by </w:t>
      </w:r>
      <w:r w:rsidRPr="00C636B9">
        <w:rPr>
          <w:i/>
        </w:rPr>
        <w:t>Escherichia coli</w:t>
      </w:r>
      <w:r w:rsidRPr="00C636B9">
        <w:t xml:space="preserve"> </w:t>
      </w:r>
      <w:r w:rsidR="00981873">
        <w:t>(</w:t>
      </w:r>
      <w:r w:rsidR="00981873" w:rsidRPr="00981873">
        <w:rPr>
          <w:i/>
        </w:rPr>
        <w:t>E. coli</w:t>
      </w:r>
      <w:r w:rsidR="00981873">
        <w:t xml:space="preserve">) </w:t>
      </w:r>
      <w:r w:rsidRPr="00C636B9">
        <w:t xml:space="preserve">bacteria which harbour the human </w:t>
      </w:r>
      <w:r w:rsidR="00855858">
        <w:t xml:space="preserve">G-CSF </w:t>
      </w:r>
      <w:r w:rsidRPr="00C636B9">
        <w:t xml:space="preserve">gene. Filgrastim has a molecular weight of 18,800 </w:t>
      </w:r>
      <w:r w:rsidR="00981873" w:rsidRPr="00C636B9">
        <w:t>Daltons</w:t>
      </w:r>
      <w:r w:rsidRPr="00C636B9">
        <w:t xml:space="preserve">. It is </w:t>
      </w:r>
      <w:proofErr w:type="spellStart"/>
      <w:r w:rsidRPr="00C636B9">
        <w:t>unglycosylated</w:t>
      </w:r>
      <w:proofErr w:type="spellEnd"/>
      <w:r w:rsidRPr="00C636B9">
        <w:t xml:space="preserve"> and contains an N-terminal </w:t>
      </w:r>
      <w:proofErr w:type="spellStart"/>
      <w:r w:rsidRPr="00C636B9">
        <w:t>methionine</w:t>
      </w:r>
      <w:proofErr w:type="spellEnd"/>
      <w:r w:rsidRPr="00C636B9">
        <w:t xml:space="preserve"> necessary for expression in </w:t>
      </w:r>
      <w:r w:rsidRPr="00C636B9">
        <w:rPr>
          <w:i/>
        </w:rPr>
        <w:t>E coli</w:t>
      </w:r>
      <w:r w:rsidRPr="00C636B9">
        <w:t>.</w:t>
      </w:r>
      <w:r w:rsidR="00981873">
        <w:t xml:space="preserve"> </w:t>
      </w:r>
      <w:r w:rsidRPr="00C636B9">
        <w:t>The drug substance has the following structure:</w:t>
      </w:r>
    </w:p>
    <w:p w:rsidR="00671987" w:rsidRPr="00671987" w:rsidRDefault="00671987" w:rsidP="00671987">
      <w:pPr>
        <w:pStyle w:val="FigureTitle"/>
      </w:pPr>
      <w:proofErr w:type="gramStart"/>
      <w:r w:rsidRPr="00671987">
        <w:t>Figure 1.</w:t>
      </w:r>
      <w:proofErr w:type="gramEnd"/>
      <w:r w:rsidRPr="00671987">
        <w:t xml:space="preserve"> Amino acid structure (primary sequence) of r-</w:t>
      </w:r>
      <w:proofErr w:type="spellStart"/>
      <w:r w:rsidRPr="00671987">
        <w:t>metHuG</w:t>
      </w:r>
      <w:proofErr w:type="spellEnd"/>
      <w:r w:rsidRPr="00671987">
        <w:t>-CSF</w:t>
      </w:r>
    </w:p>
    <w:p w:rsidR="00C636B9" w:rsidRPr="00C636B9" w:rsidRDefault="00C636B9" w:rsidP="00876F8C">
      <w:r w:rsidRPr="00C636B9">
        <w:rPr>
          <w:noProof/>
          <w:lang w:eastAsia="en-AU"/>
        </w:rPr>
        <w:drawing>
          <wp:inline distT="0" distB="0" distL="0" distR="0">
            <wp:extent cx="3241040" cy="1785514"/>
            <wp:effectExtent l="19050" t="0" r="0" b="0"/>
            <wp:docPr id="1" name="Picture 2" descr="Figure 1. Amino acid structure (primary sequence) of r-metHuG-C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t="7916"/>
                    <a:stretch>
                      <a:fillRect/>
                    </a:stretch>
                  </pic:blipFill>
                  <pic:spPr bwMode="auto">
                    <a:xfrm>
                      <a:off x="0" y="0"/>
                      <a:ext cx="3244182" cy="1787245"/>
                    </a:xfrm>
                    <a:prstGeom prst="rect">
                      <a:avLst/>
                    </a:prstGeom>
                    <a:noFill/>
                    <a:ln w="9525">
                      <a:noFill/>
                      <a:miter lim="800000"/>
                      <a:headEnd/>
                      <a:tailEnd/>
                    </a:ln>
                  </pic:spPr>
                </pic:pic>
              </a:graphicData>
            </a:graphic>
          </wp:inline>
        </w:drawing>
      </w:r>
    </w:p>
    <w:p w:rsidR="00C636B9" w:rsidRPr="00C636B9" w:rsidRDefault="00C636B9" w:rsidP="00C636B9">
      <w:r w:rsidRPr="00C636B9">
        <w:t>Comparability studies with the reference product, Neupogen, showed that the primary structure</w:t>
      </w:r>
      <w:r w:rsidR="00C36C9D">
        <w:t>s</w:t>
      </w:r>
      <w:r w:rsidRPr="00C636B9">
        <w:t xml:space="preserve"> of the drug substance </w:t>
      </w:r>
      <w:r w:rsidR="000F6D03">
        <w:t xml:space="preserve">for </w:t>
      </w:r>
      <w:r w:rsidRPr="00C636B9">
        <w:t>both produ</w:t>
      </w:r>
      <w:r w:rsidR="00876F8C">
        <w:t>cts are essentially identical.</w:t>
      </w:r>
    </w:p>
    <w:p w:rsidR="00C636B9" w:rsidRPr="00C636B9" w:rsidRDefault="00C636B9" w:rsidP="00876F8C">
      <w:pPr>
        <w:pStyle w:val="Heading4"/>
      </w:pPr>
      <w:r w:rsidRPr="00C636B9">
        <w:lastRenderedPageBreak/>
        <w:t>Manufacture</w:t>
      </w:r>
    </w:p>
    <w:p w:rsidR="00C636B9" w:rsidRPr="00C636B9" w:rsidRDefault="00C636B9" w:rsidP="00C636B9">
      <w:r w:rsidRPr="00C636B9">
        <w:t xml:space="preserve">The drug substance is produced by fermentation of </w:t>
      </w:r>
      <w:r w:rsidRPr="00C636B9">
        <w:rPr>
          <w:i/>
        </w:rPr>
        <w:t>E.</w:t>
      </w:r>
      <w:r w:rsidR="00981873">
        <w:rPr>
          <w:i/>
        </w:rPr>
        <w:t xml:space="preserve"> </w:t>
      </w:r>
      <w:r w:rsidRPr="00C636B9">
        <w:rPr>
          <w:i/>
        </w:rPr>
        <w:t xml:space="preserve">coli </w:t>
      </w:r>
      <w:r w:rsidRPr="00C636B9">
        <w:t>cells harbouring the filgrastim expression vector</w:t>
      </w:r>
      <w:r w:rsidR="00671987">
        <w:t xml:space="preserve">. </w:t>
      </w:r>
      <w:proofErr w:type="spellStart"/>
      <w:r w:rsidRPr="00C636B9">
        <w:t>Filgrastim</w:t>
      </w:r>
      <w:proofErr w:type="spellEnd"/>
      <w:r w:rsidRPr="00C636B9">
        <w:t xml:space="preserve"> (</w:t>
      </w:r>
      <w:proofErr w:type="spellStart"/>
      <w:r w:rsidRPr="00C636B9">
        <w:t>rhG</w:t>
      </w:r>
      <w:proofErr w:type="spellEnd"/>
      <w:r w:rsidRPr="00C636B9">
        <w:t>-CSF/EP2006) produced by the bacterial cell accumulate as insoluble, intracellular protein aggregates called inclusion bodies.</w:t>
      </w:r>
    </w:p>
    <w:p w:rsidR="00C636B9" w:rsidRPr="00C636B9" w:rsidRDefault="00C636B9" w:rsidP="00C636B9">
      <w:r w:rsidRPr="00C636B9">
        <w:t xml:space="preserve">EP2006 contained in inclusion bodies is isolated </w:t>
      </w:r>
      <w:r w:rsidR="00CB32DD">
        <w:t>and further purified</w:t>
      </w:r>
      <w:r w:rsidR="00876F8C">
        <w:t xml:space="preserve"> to final drug substance.</w:t>
      </w:r>
    </w:p>
    <w:p w:rsidR="00C36C9D" w:rsidRDefault="00C636B9" w:rsidP="00C636B9">
      <w:r w:rsidRPr="00C636B9">
        <w:t>The drug substance manufacturing process is controlled by appropriate in-process controls.</w:t>
      </w:r>
      <w:r w:rsidR="007C3D8A">
        <w:t xml:space="preserve"> </w:t>
      </w:r>
      <w:r w:rsidRPr="00C636B9">
        <w:t>Cell banking processes are generally satisfactory.</w:t>
      </w:r>
    </w:p>
    <w:p w:rsidR="00C636B9" w:rsidRPr="00C636B9" w:rsidRDefault="00C636B9" w:rsidP="00C636B9">
      <w:r w:rsidRPr="00C636B9">
        <w:t>All viral/</w:t>
      </w:r>
      <w:proofErr w:type="spellStart"/>
      <w:r w:rsidRPr="00C636B9">
        <w:t>prion</w:t>
      </w:r>
      <w:proofErr w:type="spellEnd"/>
      <w:r w:rsidRPr="00C636B9">
        <w:t xml:space="preserve"> safety issues have been addressed.</w:t>
      </w:r>
    </w:p>
    <w:p w:rsidR="00C636B9" w:rsidRPr="00C636B9" w:rsidRDefault="00876F8C" w:rsidP="00876F8C">
      <w:pPr>
        <w:pStyle w:val="Heading4"/>
      </w:pPr>
      <w:r>
        <w:t>Physical and c</w:t>
      </w:r>
      <w:r w:rsidR="00C636B9" w:rsidRPr="00C636B9">
        <w:t xml:space="preserve">hemical </w:t>
      </w:r>
      <w:r>
        <w:t>p</w:t>
      </w:r>
      <w:r w:rsidR="00C636B9" w:rsidRPr="00C636B9">
        <w:t>roperties</w:t>
      </w:r>
    </w:p>
    <w:p w:rsidR="00C636B9" w:rsidRPr="00C636B9" w:rsidRDefault="00C636B9" w:rsidP="00C636B9">
      <w:r w:rsidRPr="00C636B9">
        <w:t xml:space="preserve">EP2006 is an </w:t>
      </w:r>
      <w:proofErr w:type="spellStart"/>
      <w:r w:rsidRPr="00FE4590">
        <w:rPr>
          <w:i/>
        </w:rPr>
        <w:t>E.coli</w:t>
      </w:r>
      <w:proofErr w:type="spellEnd"/>
      <w:r w:rsidRPr="00C636B9">
        <w:t xml:space="preserve">-derived </w:t>
      </w:r>
      <w:proofErr w:type="spellStart"/>
      <w:r w:rsidRPr="00C636B9">
        <w:t>rhG</w:t>
      </w:r>
      <w:proofErr w:type="spellEnd"/>
      <w:r w:rsidRPr="00C636B9">
        <w:t xml:space="preserve">-CSF with an additional N-terminal </w:t>
      </w:r>
      <w:proofErr w:type="spellStart"/>
      <w:r w:rsidRPr="00C636B9">
        <w:t>methionine</w:t>
      </w:r>
      <w:proofErr w:type="spellEnd"/>
      <w:r w:rsidRPr="00C636B9">
        <w:t xml:space="preserve"> and lacks an O-</w:t>
      </w:r>
      <w:proofErr w:type="spellStart"/>
      <w:r w:rsidRPr="00C636B9">
        <w:t>glycosylation</w:t>
      </w:r>
      <w:proofErr w:type="spellEnd"/>
      <w:r w:rsidRPr="00C636B9">
        <w:t xml:space="preserve"> at Thr133 as compared to the native human form or a cell culture-derived form. EP2006 is a non-</w:t>
      </w:r>
      <w:proofErr w:type="spellStart"/>
      <w:r w:rsidRPr="00C636B9">
        <w:t>glycosylated</w:t>
      </w:r>
      <w:proofErr w:type="spellEnd"/>
      <w:r w:rsidRPr="00C636B9">
        <w:t xml:space="preserve"> protein composed of 175 amino acids. </w:t>
      </w:r>
    </w:p>
    <w:p w:rsidR="00C636B9" w:rsidRPr="00C636B9" w:rsidRDefault="00C636B9" w:rsidP="00C636B9">
      <w:r w:rsidRPr="00C636B9">
        <w:t>Process-related impurities</w:t>
      </w:r>
      <w:r w:rsidR="00CB32DD">
        <w:t xml:space="preserve"> </w:t>
      </w:r>
      <w:r w:rsidRPr="00C636B9">
        <w:t>have been identified and their clearance suitably validated.</w:t>
      </w:r>
    </w:p>
    <w:p w:rsidR="00C636B9" w:rsidRPr="00C636B9" w:rsidRDefault="00C636B9" w:rsidP="00C636B9">
      <w:r w:rsidRPr="00C636B9">
        <w:t>Product-related impurities</w:t>
      </w:r>
      <w:r w:rsidR="002F7E35">
        <w:t xml:space="preserve"> </w:t>
      </w:r>
      <w:r w:rsidRPr="00C636B9">
        <w:t>have been characterised and controlled through drug substance and drug product specifications.</w:t>
      </w:r>
    </w:p>
    <w:p w:rsidR="00C636B9" w:rsidRPr="00C636B9" w:rsidRDefault="00C636B9" w:rsidP="00876F8C">
      <w:pPr>
        <w:pStyle w:val="Heading4"/>
      </w:pPr>
      <w:r w:rsidRPr="00C636B9">
        <w:t>Specifications</w:t>
      </w:r>
    </w:p>
    <w:p w:rsidR="00C636B9" w:rsidRPr="00C636B9" w:rsidRDefault="00C636B9" w:rsidP="00C636B9">
      <w:r w:rsidRPr="00C636B9">
        <w:t xml:space="preserve">The proposed release and shelf-life specifications of the drug substance are </w:t>
      </w:r>
      <w:r w:rsidR="002F7E35">
        <w:t>provided</w:t>
      </w:r>
      <w:r w:rsidR="00FE4590">
        <w:t>.</w:t>
      </w:r>
      <w:r w:rsidRPr="00C636B9">
        <w:t xml:space="preserve"> Appropriate validation data have been submitted in </w:t>
      </w:r>
      <w:r w:rsidR="00876F8C">
        <w:t>support of the test procedures.</w:t>
      </w:r>
    </w:p>
    <w:p w:rsidR="00C636B9" w:rsidRPr="00C636B9" w:rsidRDefault="00C636B9" w:rsidP="00876F8C">
      <w:pPr>
        <w:pStyle w:val="Heading4"/>
      </w:pPr>
      <w:r w:rsidRPr="00C636B9">
        <w:t>Stability</w:t>
      </w:r>
    </w:p>
    <w:p w:rsidR="00C636B9" w:rsidRPr="00C636B9" w:rsidRDefault="00C636B9" w:rsidP="00C636B9">
      <w:r w:rsidRPr="00C636B9">
        <w:t xml:space="preserve">Stability of the drug substance has been assessed under </w:t>
      </w:r>
      <w:r w:rsidR="002F7E35">
        <w:t xml:space="preserve">various </w:t>
      </w:r>
      <w:r w:rsidRPr="00C636B9">
        <w:t>conditions</w:t>
      </w:r>
      <w:r w:rsidR="002F7E35">
        <w:t>.</w:t>
      </w:r>
      <w:r w:rsidRPr="00C636B9">
        <w:t xml:space="preserve"> The real time data submitted support a shelf-life of 36 months stored at -20°C </w:t>
      </w:r>
      <w:r w:rsidR="00411E91" w:rsidRPr="00411E91">
        <w:sym w:font="Symbol" w:char="F0B1"/>
      </w:r>
      <w:r w:rsidR="00411E91" w:rsidRPr="00411E91">
        <w:t xml:space="preserve"> </w:t>
      </w:r>
      <w:r w:rsidRPr="00C636B9">
        <w:t>5</w:t>
      </w:r>
      <w:r w:rsidR="00411E91">
        <w:t>°</w:t>
      </w:r>
      <w:r w:rsidRPr="00C636B9">
        <w:t>C.</w:t>
      </w:r>
    </w:p>
    <w:p w:rsidR="008E7846" w:rsidRDefault="008E7846" w:rsidP="008E7846">
      <w:pPr>
        <w:pStyle w:val="Heading3"/>
      </w:pPr>
      <w:bookmarkStart w:id="22" w:name="_Toc247691508"/>
      <w:bookmarkStart w:id="23" w:name="_Toc314842490"/>
      <w:bookmarkStart w:id="24" w:name="_Toc368569779"/>
      <w:r w:rsidRPr="008751DC">
        <w:t xml:space="preserve">Drug </w:t>
      </w:r>
      <w:r>
        <w:t>p</w:t>
      </w:r>
      <w:r w:rsidRPr="008751DC">
        <w:t>roduct</w:t>
      </w:r>
      <w:bookmarkEnd w:id="22"/>
      <w:bookmarkEnd w:id="23"/>
      <w:bookmarkEnd w:id="24"/>
    </w:p>
    <w:p w:rsidR="00C636B9" w:rsidRPr="00C636B9" w:rsidRDefault="00C636B9" w:rsidP="00876F8C">
      <w:pPr>
        <w:pStyle w:val="Heading4"/>
        <w:rPr>
          <w:lang w:eastAsia="ja-JP"/>
        </w:rPr>
      </w:pPr>
      <w:r w:rsidRPr="00C636B9">
        <w:rPr>
          <w:lang w:eastAsia="ja-JP"/>
        </w:rPr>
        <w:t>Formulation(s)</w:t>
      </w:r>
    </w:p>
    <w:p w:rsidR="00C636B9" w:rsidRDefault="00C636B9" w:rsidP="00C636B9">
      <w:pPr>
        <w:autoSpaceDE w:val="0"/>
        <w:autoSpaceDN w:val="0"/>
        <w:adjustRightInd w:val="0"/>
        <w:rPr>
          <w:rFonts w:eastAsia="MS Mincho"/>
          <w:bCs/>
          <w:lang w:eastAsia="ja-JP"/>
        </w:rPr>
      </w:pPr>
      <w:r w:rsidRPr="00C636B9">
        <w:rPr>
          <w:rFonts w:eastAsia="MS Mincho"/>
          <w:lang w:eastAsia="ja-JP"/>
        </w:rPr>
        <w:t xml:space="preserve">The 300 </w:t>
      </w:r>
      <w:r w:rsidRPr="00C636B9">
        <w:rPr>
          <w:rFonts w:eastAsia="MS Mincho"/>
          <w:bCs/>
          <w:lang w:eastAsia="ja-JP"/>
        </w:rPr>
        <w:t xml:space="preserve">µg/0.5 mL (30 MU/0.5 mL) and 480 µg/0.5 mL (48 MU/0.5 mL) is a colourless to slightly yellowish solution. </w:t>
      </w:r>
      <w:r w:rsidR="00FE4590">
        <w:rPr>
          <w:rFonts w:eastAsia="MS Mincho"/>
          <w:bCs/>
          <w:lang w:eastAsia="ja-JP"/>
        </w:rPr>
        <w:t xml:space="preserve">Information on the </w:t>
      </w:r>
      <w:r w:rsidRPr="00C636B9">
        <w:rPr>
          <w:rFonts w:eastAsia="MS Mincho"/>
          <w:bCs/>
          <w:lang w:eastAsia="ja-JP"/>
        </w:rPr>
        <w:t>compo</w:t>
      </w:r>
      <w:r w:rsidR="007C3D8A">
        <w:rPr>
          <w:rFonts w:eastAsia="MS Mincho"/>
          <w:bCs/>
          <w:lang w:eastAsia="ja-JP"/>
        </w:rPr>
        <w:t>sition of both presentations is</w:t>
      </w:r>
      <w:r w:rsidRPr="00C636B9">
        <w:rPr>
          <w:rFonts w:eastAsia="MS Mincho"/>
          <w:bCs/>
          <w:lang w:eastAsia="ja-JP"/>
        </w:rPr>
        <w:t xml:space="preserve"> </w:t>
      </w:r>
      <w:r w:rsidR="00876F8C">
        <w:rPr>
          <w:rFonts w:eastAsia="MS Mincho"/>
          <w:bCs/>
          <w:lang w:eastAsia="ja-JP"/>
        </w:rPr>
        <w:t>assessed.</w:t>
      </w:r>
    </w:p>
    <w:p w:rsidR="00CB32DD" w:rsidRPr="00CB32DD" w:rsidRDefault="00CB32DD" w:rsidP="00CB32DD">
      <w:pPr>
        <w:autoSpaceDE w:val="0"/>
        <w:autoSpaceDN w:val="0"/>
        <w:adjustRightInd w:val="0"/>
        <w:rPr>
          <w:rFonts w:eastAsia="MS Mincho"/>
          <w:bCs/>
          <w:lang w:eastAsia="ja-JP"/>
        </w:rPr>
      </w:pPr>
      <w:r w:rsidRPr="00CB32DD">
        <w:rPr>
          <w:rFonts w:eastAsia="MS Mincho"/>
          <w:bCs/>
          <w:lang w:eastAsia="ja-JP"/>
        </w:rPr>
        <w:t xml:space="preserve">The following excipients are included in the drug product: acetic acid, </w:t>
      </w:r>
      <w:proofErr w:type="spellStart"/>
      <w:r w:rsidRPr="00CB32DD">
        <w:rPr>
          <w:rFonts w:eastAsia="MS Mincho"/>
          <w:bCs/>
          <w:lang w:eastAsia="ja-JP"/>
        </w:rPr>
        <w:t>Polysorbate</w:t>
      </w:r>
      <w:proofErr w:type="spellEnd"/>
      <w:r w:rsidRPr="00CB32DD">
        <w:rPr>
          <w:rFonts w:eastAsia="MS Mincho"/>
          <w:bCs/>
          <w:lang w:eastAsia="ja-JP"/>
        </w:rPr>
        <w:t xml:space="preserve"> 80, sodium hydroxide, </w:t>
      </w:r>
      <w:proofErr w:type="spellStart"/>
      <w:r w:rsidRPr="00CB32DD">
        <w:rPr>
          <w:rFonts w:eastAsia="MS Mincho"/>
          <w:bCs/>
          <w:lang w:eastAsia="ja-JP"/>
        </w:rPr>
        <w:t>sorbitol</w:t>
      </w:r>
      <w:proofErr w:type="spellEnd"/>
      <w:r w:rsidRPr="00CB32DD">
        <w:rPr>
          <w:rFonts w:eastAsia="MS Mincho"/>
          <w:bCs/>
          <w:lang w:eastAsia="ja-JP"/>
        </w:rPr>
        <w:t xml:space="preserve"> and Water for Injection.</w:t>
      </w:r>
    </w:p>
    <w:p w:rsidR="00CB32DD" w:rsidRPr="00C636B9" w:rsidRDefault="00CB32DD" w:rsidP="00CB32DD">
      <w:pPr>
        <w:autoSpaceDE w:val="0"/>
        <w:autoSpaceDN w:val="0"/>
        <w:adjustRightInd w:val="0"/>
        <w:rPr>
          <w:rFonts w:eastAsia="MS Mincho"/>
          <w:bCs/>
          <w:lang w:eastAsia="ja-JP"/>
        </w:rPr>
      </w:pPr>
      <w:r w:rsidRPr="00CB32DD">
        <w:rPr>
          <w:rFonts w:eastAsia="MS Mincho"/>
          <w:bCs/>
          <w:lang w:eastAsia="ja-JP"/>
        </w:rPr>
        <w:t>Depending on the indication, filgrastim is given by subcutaneous (SC) injection or by intravenous (IV) infusion after dilution in 5% glucose (with human serum albumin added if the</w:t>
      </w:r>
      <w:r>
        <w:rPr>
          <w:rFonts w:eastAsia="MS Mincho"/>
          <w:bCs/>
          <w:lang w:eastAsia="ja-JP"/>
        </w:rPr>
        <w:t xml:space="preserve"> final solution is very dilute)</w:t>
      </w:r>
      <w:r w:rsidRPr="00CB32DD">
        <w:rPr>
          <w:rFonts w:eastAsia="MS Mincho"/>
          <w:bCs/>
          <w:lang w:eastAsia="ja-JP"/>
        </w:rPr>
        <w:t>.</w:t>
      </w:r>
    </w:p>
    <w:p w:rsidR="00C636B9" w:rsidRPr="00C636B9" w:rsidRDefault="00C636B9" w:rsidP="00876F8C">
      <w:pPr>
        <w:pStyle w:val="Heading4"/>
        <w:rPr>
          <w:lang w:eastAsia="ja-JP"/>
        </w:rPr>
      </w:pPr>
      <w:r w:rsidRPr="00C636B9">
        <w:rPr>
          <w:lang w:eastAsia="ja-JP"/>
        </w:rPr>
        <w:t>Manufacture</w:t>
      </w:r>
    </w:p>
    <w:p w:rsidR="00C636B9" w:rsidRPr="00C636B9" w:rsidRDefault="00411E91" w:rsidP="00C636B9">
      <w:pPr>
        <w:autoSpaceDE w:val="0"/>
        <w:autoSpaceDN w:val="0"/>
        <w:adjustRightInd w:val="0"/>
        <w:rPr>
          <w:rFonts w:eastAsia="MS Mincho"/>
          <w:lang w:eastAsia="ja-JP"/>
        </w:rPr>
      </w:pPr>
      <w:r w:rsidRPr="00411E91">
        <w:rPr>
          <w:rFonts w:eastAsia="MS Mincho"/>
          <w:lang w:eastAsia="ja-JP"/>
        </w:rPr>
        <w:t>The product is sterilised.</w:t>
      </w:r>
      <w:r>
        <w:rPr>
          <w:rFonts w:eastAsia="MS Mincho"/>
          <w:lang w:eastAsia="ja-JP"/>
        </w:rPr>
        <w:t xml:space="preserve"> </w:t>
      </w:r>
      <w:r w:rsidR="00C636B9" w:rsidRPr="00C636B9">
        <w:rPr>
          <w:rFonts w:eastAsia="MS Mincho"/>
          <w:lang w:eastAsia="ja-JP"/>
        </w:rPr>
        <w:t>The drug product solution is produced using standard manufacturing steps.</w:t>
      </w:r>
    </w:p>
    <w:p w:rsidR="00C636B9" w:rsidRPr="00C636B9" w:rsidRDefault="00C636B9" w:rsidP="00C636B9">
      <w:pPr>
        <w:autoSpaceDE w:val="0"/>
        <w:autoSpaceDN w:val="0"/>
        <w:adjustRightInd w:val="0"/>
        <w:rPr>
          <w:rFonts w:eastAsia="MS Mincho"/>
          <w:lang w:eastAsia="ja-JP"/>
        </w:rPr>
      </w:pPr>
      <w:r w:rsidRPr="00C636B9">
        <w:rPr>
          <w:rFonts w:eastAsia="MS Mincho"/>
          <w:lang w:eastAsia="ja-JP"/>
        </w:rPr>
        <w:t>The drug product manufacturing process is controlled by appropriate in-process controls.</w:t>
      </w:r>
    </w:p>
    <w:p w:rsidR="00C636B9" w:rsidRPr="00C636B9" w:rsidRDefault="00C636B9" w:rsidP="00876F8C">
      <w:pPr>
        <w:pStyle w:val="Heading4"/>
        <w:rPr>
          <w:lang w:eastAsia="ja-JP"/>
        </w:rPr>
      </w:pPr>
      <w:r w:rsidRPr="00C636B9">
        <w:rPr>
          <w:lang w:eastAsia="ja-JP"/>
        </w:rPr>
        <w:lastRenderedPageBreak/>
        <w:t>Specifications</w:t>
      </w:r>
    </w:p>
    <w:p w:rsidR="00C636B9" w:rsidRPr="00C636B9" w:rsidRDefault="00FE4590" w:rsidP="00C636B9">
      <w:pPr>
        <w:autoSpaceDE w:val="0"/>
        <w:autoSpaceDN w:val="0"/>
        <w:adjustRightInd w:val="0"/>
        <w:rPr>
          <w:rFonts w:eastAsia="MS Mincho"/>
          <w:lang w:eastAsia="ja-JP"/>
        </w:rPr>
      </w:pPr>
      <w:r>
        <w:rPr>
          <w:rFonts w:eastAsia="MS Mincho"/>
          <w:lang w:eastAsia="ja-JP"/>
        </w:rPr>
        <w:t xml:space="preserve">Information was provided on the </w:t>
      </w:r>
      <w:r w:rsidR="00C636B9" w:rsidRPr="00C636B9">
        <w:rPr>
          <w:rFonts w:eastAsia="MS Mincho"/>
          <w:lang w:eastAsia="ja-JP"/>
        </w:rPr>
        <w:t xml:space="preserve">drug product release and shelf-life </w:t>
      </w:r>
      <w:r>
        <w:rPr>
          <w:rFonts w:eastAsia="MS Mincho"/>
          <w:lang w:eastAsia="ja-JP"/>
        </w:rPr>
        <w:t xml:space="preserve">specifications </w:t>
      </w:r>
      <w:r w:rsidR="00411E91">
        <w:rPr>
          <w:rFonts w:eastAsia="MS Mincho"/>
          <w:lang w:eastAsia="ja-JP"/>
        </w:rPr>
        <w:t>for 300 </w:t>
      </w:r>
      <w:r w:rsidR="00C636B9" w:rsidRPr="00C636B9">
        <w:rPr>
          <w:rFonts w:eastAsia="MS Mincho"/>
          <w:bCs/>
          <w:lang w:eastAsia="ja-JP"/>
        </w:rPr>
        <w:t>µg/0.5 mL and 480 µg/0.5 mL presentations.</w:t>
      </w:r>
    </w:p>
    <w:p w:rsidR="00C636B9" w:rsidRPr="00C636B9" w:rsidRDefault="00C636B9" w:rsidP="00C6684A">
      <w:pPr>
        <w:pStyle w:val="Heading4"/>
        <w:rPr>
          <w:lang w:eastAsia="ja-JP"/>
        </w:rPr>
      </w:pPr>
      <w:r w:rsidRPr="00C636B9">
        <w:rPr>
          <w:lang w:eastAsia="ja-JP"/>
        </w:rPr>
        <w:t>Stability</w:t>
      </w:r>
    </w:p>
    <w:p w:rsidR="00C636B9" w:rsidRPr="00C636B9" w:rsidRDefault="00C636B9" w:rsidP="00411E91">
      <w:pPr>
        <w:autoSpaceDE w:val="0"/>
        <w:autoSpaceDN w:val="0"/>
        <w:adjustRightInd w:val="0"/>
        <w:rPr>
          <w:rFonts w:eastAsia="MS Mincho"/>
          <w:lang w:eastAsia="ja-JP"/>
        </w:rPr>
      </w:pPr>
      <w:r w:rsidRPr="00C636B9">
        <w:rPr>
          <w:rFonts w:eastAsia="MS Mincho"/>
          <w:lang w:eastAsia="ja-JP"/>
        </w:rPr>
        <w:t xml:space="preserve">Stability of the drug product was assessed under </w:t>
      </w:r>
      <w:r w:rsidR="00411E91">
        <w:rPr>
          <w:rFonts w:eastAsia="MS Mincho"/>
          <w:lang w:eastAsia="ja-JP"/>
        </w:rPr>
        <w:t xml:space="preserve">various </w:t>
      </w:r>
      <w:r w:rsidRPr="00C636B9">
        <w:rPr>
          <w:rFonts w:eastAsia="MS Mincho"/>
          <w:lang w:eastAsia="ja-JP"/>
        </w:rPr>
        <w:t>conditions</w:t>
      </w:r>
      <w:r w:rsidR="00C6684A">
        <w:rPr>
          <w:rFonts w:eastAsia="MS Mincho"/>
          <w:lang w:eastAsia="ja-JP"/>
        </w:rPr>
        <w:t>.</w:t>
      </w:r>
    </w:p>
    <w:p w:rsidR="00CB32DD" w:rsidRDefault="00CB32DD" w:rsidP="00C636B9">
      <w:pPr>
        <w:autoSpaceDE w:val="0"/>
        <w:autoSpaceDN w:val="0"/>
        <w:adjustRightInd w:val="0"/>
        <w:rPr>
          <w:rFonts w:eastAsia="MS Mincho"/>
          <w:lang w:eastAsia="ja-JP"/>
        </w:rPr>
      </w:pPr>
      <w:r>
        <w:rPr>
          <w:rFonts w:eastAsia="MS Mincho"/>
          <w:lang w:eastAsia="ja-JP"/>
        </w:rPr>
        <w:t>Stability data have been generated und</w:t>
      </w:r>
      <w:r w:rsidR="00335265">
        <w:rPr>
          <w:rFonts w:eastAsia="MS Mincho"/>
          <w:lang w:eastAsia="ja-JP"/>
        </w:rPr>
        <w:t>er real time and stressed condit</w:t>
      </w:r>
      <w:r>
        <w:rPr>
          <w:rFonts w:eastAsia="MS Mincho"/>
          <w:lang w:eastAsia="ja-JP"/>
        </w:rPr>
        <w:t xml:space="preserve">ions to characterise the stability/degradation profile of the product. </w:t>
      </w:r>
      <w:proofErr w:type="spellStart"/>
      <w:r>
        <w:rPr>
          <w:rFonts w:eastAsia="MS Mincho"/>
          <w:lang w:eastAsia="ja-JP"/>
        </w:rPr>
        <w:t>Photostability</w:t>
      </w:r>
      <w:proofErr w:type="spellEnd"/>
      <w:r>
        <w:rPr>
          <w:rFonts w:eastAsia="MS Mincho"/>
          <w:lang w:eastAsia="ja-JP"/>
        </w:rPr>
        <w:t xml:space="preserve"> data show the product is not </w:t>
      </w:r>
      <w:proofErr w:type="spellStart"/>
      <w:r>
        <w:rPr>
          <w:rFonts w:eastAsia="MS Mincho"/>
          <w:lang w:eastAsia="ja-JP"/>
        </w:rPr>
        <w:t>photostable</w:t>
      </w:r>
      <w:proofErr w:type="spellEnd"/>
      <w:r>
        <w:rPr>
          <w:rFonts w:eastAsia="MS Mincho"/>
          <w:lang w:eastAsia="ja-JP"/>
        </w:rPr>
        <w:t xml:space="preserve"> and </w:t>
      </w:r>
      <w:r w:rsidR="00C6684A">
        <w:rPr>
          <w:rFonts w:eastAsia="MS Mincho"/>
          <w:lang w:eastAsia="ja-JP"/>
        </w:rPr>
        <w:t>has to be protected from light.</w:t>
      </w:r>
    </w:p>
    <w:p w:rsidR="00C636B9" w:rsidRPr="00C636B9" w:rsidRDefault="00C636B9" w:rsidP="00C636B9">
      <w:pPr>
        <w:autoSpaceDE w:val="0"/>
        <w:autoSpaceDN w:val="0"/>
        <w:adjustRightInd w:val="0"/>
        <w:rPr>
          <w:rFonts w:eastAsia="MS Mincho"/>
          <w:lang w:eastAsia="ja-JP"/>
        </w:rPr>
      </w:pPr>
      <w:r w:rsidRPr="00C636B9">
        <w:rPr>
          <w:rFonts w:eastAsia="MS Mincho"/>
          <w:lang w:eastAsia="ja-JP"/>
        </w:rPr>
        <w:t>One cycle of freeze/thaw did not show any adverse impact on the drug product.</w:t>
      </w:r>
    </w:p>
    <w:p w:rsidR="00C636B9" w:rsidRPr="00411E91" w:rsidRDefault="00C636B9" w:rsidP="00411E91">
      <w:r w:rsidRPr="00411E91">
        <w:t xml:space="preserve">The real time data submitted support a shelf-life of 30 months stored at 5°C </w:t>
      </w:r>
      <w:r w:rsidR="00411E91" w:rsidRPr="00411E91">
        <w:sym w:font="Symbol" w:char="00B1"/>
      </w:r>
      <w:r w:rsidR="00411E91" w:rsidRPr="00411E91">
        <w:t xml:space="preserve"> </w:t>
      </w:r>
      <w:r w:rsidRPr="00411E91">
        <w:t>3°C.</w:t>
      </w:r>
    </w:p>
    <w:p w:rsidR="00C636B9" w:rsidRPr="00C636B9" w:rsidRDefault="00C636B9" w:rsidP="00C636B9">
      <w:pPr>
        <w:autoSpaceDE w:val="0"/>
        <w:autoSpaceDN w:val="0"/>
        <w:adjustRightInd w:val="0"/>
        <w:rPr>
          <w:rFonts w:eastAsia="MS Mincho"/>
          <w:lang w:eastAsia="ja-JP"/>
        </w:rPr>
      </w:pPr>
      <w:r w:rsidRPr="00C636B9">
        <w:rPr>
          <w:rFonts w:eastAsia="MS Mincho"/>
          <w:lang w:eastAsia="ja-JP"/>
        </w:rPr>
        <w:t>In-use stability data have also been submitted. The diluted drug product solution is stable for 24 h</w:t>
      </w:r>
      <w:r w:rsidR="00411E91">
        <w:rPr>
          <w:rFonts w:eastAsia="MS Mincho"/>
          <w:lang w:eastAsia="ja-JP"/>
        </w:rPr>
        <w:t xml:space="preserve"> </w:t>
      </w:r>
      <w:r w:rsidRPr="00C636B9">
        <w:rPr>
          <w:rFonts w:eastAsia="MS Mincho"/>
          <w:lang w:eastAsia="ja-JP"/>
        </w:rPr>
        <w:t>at room temperature.</w:t>
      </w:r>
    </w:p>
    <w:p w:rsidR="00C636B9" w:rsidRPr="00C636B9" w:rsidRDefault="007C3D8A" w:rsidP="00FE4590">
      <w:pPr>
        <w:pStyle w:val="Heading4"/>
        <w:rPr>
          <w:lang w:eastAsia="ja-JP"/>
        </w:rPr>
      </w:pPr>
      <w:r>
        <w:rPr>
          <w:lang w:eastAsia="ja-JP"/>
        </w:rPr>
        <w:t xml:space="preserve">Summary of </w:t>
      </w:r>
      <w:r w:rsidR="005C5FD7">
        <w:rPr>
          <w:lang w:eastAsia="ja-JP"/>
        </w:rPr>
        <w:t xml:space="preserve">manufacturing and </w:t>
      </w:r>
      <w:r w:rsidR="00411E91">
        <w:rPr>
          <w:lang w:eastAsia="ja-JP"/>
        </w:rPr>
        <w:t xml:space="preserve">quality </w:t>
      </w:r>
      <w:r>
        <w:rPr>
          <w:lang w:eastAsia="ja-JP"/>
        </w:rPr>
        <w:t>e</w:t>
      </w:r>
      <w:r w:rsidR="00C636B9" w:rsidRPr="00C636B9">
        <w:rPr>
          <w:lang w:eastAsia="ja-JP"/>
        </w:rPr>
        <w:t>valuation</w:t>
      </w:r>
    </w:p>
    <w:p w:rsidR="000F6D03" w:rsidRDefault="00C636B9" w:rsidP="00FE4590">
      <w:pPr>
        <w:autoSpaceDE w:val="0"/>
        <w:autoSpaceDN w:val="0"/>
        <w:adjustRightInd w:val="0"/>
        <w:rPr>
          <w:rFonts w:eastAsia="MS Mincho"/>
          <w:lang w:eastAsia="ja-JP"/>
        </w:rPr>
      </w:pPr>
      <w:r w:rsidRPr="00C636B9">
        <w:rPr>
          <w:rFonts w:eastAsia="MS Mincho"/>
          <w:lang w:eastAsia="ja-JP"/>
        </w:rPr>
        <w:t xml:space="preserve">The administrative, product usage, chemical, pharmaceutical, microbiological and </w:t>
      </w:r>
      <w:proofErr w:type="spellStart"/>
      <w:r w:rsidRPr="00C636B9">
        <w:rPr>
          <w:rFonts w:eastAsia="MS Mincho"/>
          <w:lang w:eastAsia="ja-JP"/>
        </w:rPr>
        <w:t>biopharmaceutic</w:t>
      </w:r>
      <w:proofErr w:type="spellEnd"/>
      <w:r w:rsidRPr="00C636B9">
        <w:rPr>
          <w:rFonts w:eastAsia="MS Mincho"/>
          <w:lang w:eastAsia="ja-JP"/>
        </w:rPr>
        <w:t xml:space="preserve"> data (as applicable) submitted in support of this application have been evaluated in accordance with the Australian legislation, </w:t>
      </w:r>
      <w:proofErr w:type="spellStart"/>
      <w:r w:rsidRPr="00C636B9">
        <w:rPr>
          <w:rFonts w:eastAsia="MS Mincho"/>
          <w:lang w:eastAsia="ja-JP"/>
        </w:rPr>
        <w:t>pharmacopoeial</w:t>
      </w:r>
      <w:proofErr w:type="spellEnd"/>
      <w:r w:rsidRPr="00C636B9">
        <w:rPr>
          <w:rFonts w:eastAsia="MS Mincho"/>
          <w:lang w:eastAsia="ja-JP"/>
        </w:rPr>
        <w:t xml:space="preserve"> standards and relevant technical guidelines adopted by the TGA.</w:t>
      </w:r>
    </w:p>
    <w:p w:rsidR="00C636B9" w:rsidRPr="00C636B9" w:rsidRDefault="00FE4590" w:rsidP="00FE4590">
      <w:pPr>
        <w:autoSpaceDE w:val="0"/>
        <w:autoSpaceDN w:val="0"/>
        <w:adjustRightInd w:val="0"/>
        <w:rPr>
          <w:rFonts w:eastAsia="MS Mincho"/>
          <w:lang w:eastAsia="ja-JP"/>
        </w:rPr>
      </w:pPr>
      <w:r>
        <w:rPr>
          <w:rFonts w:eastAsia="MS Mincho"/>
          <w:lang w:eastAsia="ja-JP"/>
        </w:rPr>
        <w:t xml:space="preserve">The following evaluations were </w:t>
      </w:r>
      <w:r w:rsidR="000F6D03">
        <w:rPr>
          <w:rFonts w:eastAsia="MS Mincho"/>
          <w:lang w:eastAsia="ja-JP"/>
        </w:rPr>
        <w:t>completed</w:t>
      </w:r>
      <w:r w:rsidR="00C6684A">
        <w:rPr>
          <w:rFonts w:eastAsia="MS Mincho"/>
          <w:lang w:eastAsia="ja-JP"/>
        </w:rPr>
        <w:t>:</w:t>
      </w:r>
    </w:p>
    <w:p w:rsidR="00C636B9" w:rsidRPr="00FE4590" w:rsidRDefault="00411E91" w:rsidP="00FE4590">
      <w:pPr>
        <w:pStyle w:val="ListBullet"/>
      </w:pPr>
      <w:r>
        <w:t>Primary e</w:t>
      </w:r>
      <w:r w:rsidR="00C636B9" w:rsidRPr="00FE4590">
        <w:t>valuation</w:t>
      </w:r>
    </w:p>
    <w:p w:rsidR="00C636B9" w:rsidRPr="00FE4590" w:rsidRDefault="00C636B9" w:rsidP="00FE4590">
      <w:pPr>
        <w:pStyle w:val="ListBullet"/>
      </w:pPr>
      <w:r w:rsidRPr="00FE4590">
        <w:t xml:space="preserve">Endotoxin </w:t>
      </w:r>
      <w:r w:rsidR="00411E91">
        <w:t>s</w:t>
      </w:r>
      <w:r w:rsidRPr="00FE4590">
        <w:t>afety</w:t>
      </w:r>
    </w:p>
    <w:p w:rsidR="00C636B9" w:rsidRPr="00FE4590" w:rsidRDefault="00411E91" w:rsidP="00FE4590">
      <w:pPr>
        <w:pStyle w:val="ListBullet"/>
      </w:pPr>
      <w:r>
        <w:t xml:space="preserve">Viral </w:t>
      </w:r>
      <w:r w:rsidRPr="00411E91">
        <w:t xml:space="preserve">and </w:t>
      </w:r>
      <w:r>
        <w:t>t</w:t>
      </w:r>
      <w:r w:rsidRPr="00411E91">
        <w:t xml:space="preserve">ransmissible spongiform </w:t>
      </w:r>
      <w:proofErr w:type="spellStart"/>
      <w:r w:rsidRPr="00411E91">
        <w:t>encephalopathies</w:t>
      </w:r>
      <w:proofErr w:type="spellEnd"/>
      <w:r w:rsidRPr="00411E91">
        <w:t xml:space="preserve"> </w:t>
      </w:r>
      <w:r>
        <w:t>(</w:t>
      </w:r>
      <w:r w:rsidR="00C636B9" w:rsidRPr="00FE4590">
        <w:t>TSE</w:t>
      </w:r>
      <w:r>
        <w:t>)</w:t>
      </w:r>
      <w:r w:rsidR="00C636B9" w:rsidRPr="00FE4590">
        <w:t xml:space="preserve"> </w:t>
      </w:r>
      <w:r>
        <w:t>s</w:t>
      </w:r>
      <w:r w:rsidR="00C636B9" w:rsidRPr="00FE4590">
        <w:t>afety</w:t>
      </w:r>
    </w:p>
    <w:p w:rsidR="00C636B9" w:rsidRPr="00FE4590" w:rsidRDefault="00C636B9" w:rsidP="00FE4590">
      <w:pPr>
        <w:pStyle w:val="ListBullet"/>
      </w:pPr>
      <w:r w:rsidRPr="00FE4590">
        <w:t xml:space="preserve">Container </w:t>
      </w:r>
      <w:r w:rsidR="00411E91">
        <w:t>s</w:t>
      </w:r>
      <w:r w:rsidRPr="00FE4590">
        <w:t>afety</w:t>
      </w:r>
    </w:p>
    <w:p w:rsidR="00C636B9" w:rsidRPr="00FE4590" w:rsidRDefault="00C636B9" w:rsidP="00FE4590">
      <w:pPr>
        <w:pStyle w:val="ListBullet"/>
      </w:pPr>
      <w:r w:rsidRPr="00FE4590">
        <w:t>Sterility</w:t>
      </w:r>
    </w:p>
    <w:p w:rsidR="00C636B9" w:rsidRPr="00C636B9" w:rsidRDefault="007C3D8A" w:rsidP="00FE4590">
      <w:pPr>
        <w:pStyle w:val="Heading4"/>
        <w:rPr>
          <w:lang w:eastAsia="ja-JP"/>
        </w:rPr>
      </w:pPr>
      <w:r>
        <w:rPr>
          <w:lang w:eastAsia="ja-JP"/>
        </w:rPr>
        <w:t xml:space="preserve">Conclusions regarding </w:t>
      </w:r>
      <w:r w:rsidR="00411E91">
        <w:rPr>
          <w:lang w:eastAsia="ja-JP"/>
        </w:rPr>
        <w:t xml:space="preserve">manufacturing </w:t>
      </w:r>
      <w:r>
        <w:rPr>
          <w:lang w:eastAsia="ja-JP"/>
        </w:rPr>
        <w:t>and quality control</w:t>
      </w:r>
    </w:p>
    <w:p w:rsidR="00C636B9" w:rsidRPr="00C636B9" w:rsidRDefault="00C36C9D" w:rsidP="00C636B9">
      <w:pPr>
        <w:autoSpaceDE w:val="0"/>
        <w:autoSpaceDN w:val="0"/>
        <w:adjustRightInd w:val="0"/>
        <w:rPr>
          <w:rFonts w:eastAsia="MS Mincho"/>
          <w:lang w:eastAsia="ja-JP"/>
        </w:rPr>
      </w:pPr>
      <w:r>
        <w:rPr>
          <w:rFonts w:eastAsia="MS Mincho"/>
          <w:lang w:eastAsia="ja-JP"/>
        </w:rPr>
        <w:t xml:space="preserve">The sponsor’s responses to TGA requests for further information regarding manufacturing and quality aspects are satisfactory. </w:t>
      </w:r>
      <w:r w:rsidR="00C636B9" w:rsidRPr="00C636B9">
        <w:rPr>
          <w:rFonts w:eastAsia="MS Mincho"/>
          <w:lang w:eastAsia="ja-JP"/>
        </w:rPr>
        <w:t xml:space="preserve">All issues </w:t>
      </w:r>
      <w:r w:rsidR="007C3D8A">
        <w:rPr>
          <w:rFonts w:eastAsia="MS Mincho"/>
          <w:lang w:eastAsia="ja-JP"/>
        </w:rPr>
        <w:t xml:space="preserve">relating to </w:t>
      </w:r>
      <w:r w:rsidR="00411E91">
        <w:rPr>
          <w:rFonts w:eastAsia="MS Mincho"/>
          <w:lang w:eastAsia="ja-JP"/>
        </w:rPr>
        <w:t xml:space="preserve">manufacturing and </w:t>
      </w:r>
      <w:r w:rsidR="007C3D8A">
        <w:rPr>
          <w:rFonts w:eastAsia="MS Mincho"/>
          <w:lang w:eastAsia="ja-JP"/>
        </w:rPr>
        <w:t xml:space="preserve">quality aspects </w:t>
      </w:r>
      <w:r w:rsidR="00C636B9" w:rsidRPr="00C636B9">
        <w:rPr>
          <w:rFonts w:eastAsia="MS Mincho"/>
          <w:lang w:eastAsia="ja-JP"/>
        </w:rPr>
        <w:t>have been resolved.</w:t>
      </w:r>
    </w:p>
    <w:p w:rsidR="008E7846" w:rsidRDefault="008E7846" w:rsidP="008E7846">
      <w:pPr>
        <w:pStyle w:val="Heading3"/>
      </w:pPr>
      <w:bookmarkStart w:id="25" w:name="_Toc314842491"/>
      <w:bookmarkStart w:id="26" w:name="_Toc368569780"/>
      <w:proofErr w:type="spellStart"/>
      <w:r>
        <w:t>Biopharmaceutics</w:t>
      </w:r>
      <w:bookmarkEnd w:id="25"/>
      <w:bookmarkEnd w:id="26"/>
      <w:proofErr w:type="spellEnd"/>
    </w:p>
    <w:p w:rsidR="00C636B9" w:rsidRPr="00FE4590" w:rsidRDefault="00C6684A" w:rsidP="00C6684A">
      <w:pPr>
        <w:pStyle w:val="Heading4"/>
      </w:pPr>
      <w:r>
        <w:t>Bioavailability</w:t>
      </w:r>
    </w:p>
    <w:p w:rsidR="00C636B9" w:rsidRPr="00C636B9" w:rsidRDefault="00C636B9" w:rsidP="00C636B9">
      <w:r w:rsidRPr="00C636B9">
        <w:t>The application was supported by two direct bioequivalence studies:</w:t>
      </w:r>
    </w:p>
    <w:p w:rsidR="00C636B9" w:rsidRPr="0007247C" w:rsidRDefault="00C636B9" w:rsidP="0007247C">
      <w:pPr>
        <w:pStyle w:val="ListBullet"/>
      </w:pPr>
      <w:r w:rsidRPr="0007247C">
        <w:t xml:space="preserve">Study </w:t>
      </w:r>
      <w:r w:rsidR="0007247C">
        <w:t xml:space="preserve">EP06-102: </w:t>
      </w:r>
      <w:r w:rsidRPr="0007247C">
        <w:t xml:space="preserve">single 5 </w:t>
      </w:r>
      <w:proofErr w:type="spellStart"/>
      <w:r w:rsidRPr="0007247C">
        <w:t>μg</w:t>
      </w:r>
      <w:proofErr w:type="spellEnd"/>
      <w:r w:rsidRPr="0007247C">
        <w:t xml:space="preserve">/kg intravenous </w:t>
      </w:r>
      <w:r w:rsidR="00411E91">
        <w:t xml:space="preserve">(IV) </w:t>
      </w:r>
      <w:r w:rsidR="00C6684A">
        <w:t>doses</w:t>
      </w:r>
    </w:p>
    <w:p w:rsidR="00C636B9" w:rsidRPr="0007247C" w:rsidRDefault="00C636B9" w:rsidP="0007247C">
      <w:pPr>
        <w:pStyle w:val="ListBullet"/>
      </w:pPr>
      <w:r w:rsidRPr="0007247C">
        <w:t xml:space="preserve">Study </w:t>
      </w:r>
      <w:r w:rsidR="0007247C">
        <w:t xml:space="preserve">EP06-101: </w:t>
      </w:r>
      <w:r w:rsidRPr="0007247C">
        <w:t xml:space="preserve">multiple 10 μg/kg subcutaneous </w:t>
      </w:r>
      <w:r w:rsidR="00411E91">
        <w:t xml:space="preserve">(SC) </w:t>
      </w:r>
      <w:r w:rsidRPr="0007247C">
        <w:t>doses</w:t>
      </w:r>
    </w:p>
    <w:p w:rsidR="00C636B9" w:rsidRPr="00C636B9" w:rsidRDefault="00C636B9" w:rsidP="00C636B9">
      <w:r w:rsidRPr="00C636B9">
        <w:t xml:space="preserve">Pharmacokinetic </w:t>
      </w:r>
      <w:r w:rsidR="00411E91">
        <w:t xml:space="preserve">(PK) </w:t>
      </w:r>
      <w:r w:rsidRPr="00C636B9">
        <w:t>parameters were also measured in the two pharmacodynamic</w:t>
      </w:r>
      <w:r w:rsidR="00411E91">
        <w:t xml:space="preserve"> (PD)/</w:t>
      </w:r>
      <w:r w:rsidRPr="00C636B9">
        <w:t>dose-response studies:</w:t>
      </w:r>
    </w:p>
    <w:p w:rsidR="00C636B9" w:rsidRPr="0007247C" w:rsidRDefault="00C636B9" w:rsidP="0007247C">
      <w:pPr>
        <w:pStyle w:val="ListBullet"/>
      </w:pPr>
      <w:r w:rsidRPr="0007247C">
        <w:t>Study EP06-103</w:t>
      </w:r>
      <w:r w:rsidR="0007247C">
        <w:t xml:space="preserve">: </w:t>
      </w:r>
      <w:r w:rsidRPr="0007247C">
        <w:t xml:space="preserve">multiple </w:t>
      </w:r>
      <w:r w:rsidR="00411E91">
        <w:t xml:space="preserve">SC </w:t>
      </w:r>
      <w:r w:rsidRPr="0007247C">
        <w:t xml:space="preserve">doses (2.5 and 5 μg/kg) </w:t>
      </w:r>
    </w:p>
    <w:p w:rsidR="00C636B9" w:rsidRPr="0007247C" w:rsidRDefault="00C636B9" w:rsidP="0007247C">
      <w:pPr>
        <w:pStyle w:val="ListBullet"/>
      </w:pPr>
      <w:r w:rsidRPr="0007247C">
        <w:t>Study EP06-105</w:t>
      </w:r>
      <w:r w:rsidR="0007247C">
        <w:t xml:space="preserve">: </w:t>
      </w:r>
      <w:r w:rsidRPr="0007247C">
        <w:t xml:space="preserve">single </w:t>
      </w:r>
      <w:r w:rsidR="00411E91">
        <w:t xml:space="preserve">SC </w:t>
      </w:r>
      <w:r w:rsidRPr="0007247C">
        <w:t>doses (1 μg/kg)</w:t>
      </w:r>
    </w:p>
    <w:p w:rsidR="00C636B9" w:rsidRPr="0007247C" w:rsidRDefault="00C636B9" w:rsidP="0007247C">
      <w:r w:rsidRPr="0007247C">
        <w:lastRenderedPageBreak/>
        <w:t>(1 μg/kg is the recommended starting dose in a</w:t>
      </w:r>
      <w:r w:rsidR="00411E91">
        <w:t>n indication in patients with human immunodeficiency virus (</w:t>
      </w:r>
      <w:r w:rsidRPr="0007247C">
        <w:t>HIV)</w:t>
      </w:r>
      <w:r w:rsidR="009C0A06">
        <w:t>).</w:t>
      </w:r>
    </w:p>
    <w:p w:rsidR="00C636B9" w:rsidRPr="00C636B9" w:rsidRDefault="00C636B9" w:rsidP="00C636B9">
      <w:r w:rsidRPr="00C636B9">
        <w:t xml:space="preserve">There is </w:t>
      </w:r>
      <w:r w:rsidR="007C3D8A" w:rsidRPr="00C636B9">
        <w:t>endogenous</w:t>
      </w:r>
      <w:r w:rsidRPr="00C636B9">
        <w:t xml:space="preserve"> G-CSF, seen up to about the </w:t>
      </w:r>
      <w:r w:rsidR="007C3D8A">
        <w:t>limit of quantitation (</w:t>
      </w:r>
      <w:r w:rsidRPr="00C636B9">
        <w:t>LOQ</w:t>
      </w:r>
      <w:r w:rsidR="007C3D8A">
        <w:t>)</w:t>
      </w:r>
      <w:r w:rsidRPr="00C636B9">
        <w:t>. The repeat dose studies show markedly lower serum concentrations at later doses. This has been attributed to increasing numbers of neutrophils and their receptors.</w:t>
      </w:r>
    </w:p>
    <w:p w:rsidR="00C636B9" w:rsidRPr="00C636B9" w:rsidRDefault="00C636B9" w:rsidP="00C6684A">
      <w:pPr>
        <w:pStyle w:val="Heading5"/>
      </w:pPr>
      <w:r w:rsidRPr="00C636B9">
        <w:t>Analysis</w:t>
      </w:r>
    </w:p>
    <w:p w:rsidR="00C636B9" w:rsidRPr="00C636B9" w:rsidRDefault="00C636B9" w:rsidP="00C636B9">
      <w:r w:rsidRPr="00C636B9">
        <w:t>Filgrastim concentrations in human serum were quanti</w:t>
      </w:r>
      <w:r w:rsidR="009C0A06">
        <w:t>fied using a commercial human G</w:t>
      </w:r>
      <w:r w:rsidR="009C0A06">
        <w:noBreakHyphen/>
      </w:r>
      <w:r w:rsidRPr="00C636B9">
        <w:t xml:space="preserve">CSF enzyme immunoassay kit. It is not clear whether G-CSF or filgrastim standards were used in sample analysis. This </w:t>
      </w:r>
      <w:r w:rsidR="00A90B96">
        <w:t xml:space="preserve">was </w:t>
      </w:r>
      <w:r w:rsidRPr="00C636B9">
        <w:t>clarified</w:t>
      </w:r>
      <w:r w:rsidR="009C0A06">
        <w:t xml:space="preserve"> with the sponsor</w:t>
      </w:r>
      <w:r w:rsidR="00C6684A">
        <w:t>.</w:t>
      </w:r>
    </w:p>
    <w:p w:rsidR="00C636B9" w:rsidRPr="00C636B9" w:rsidRDefault="00C636B9" w:rsidP="00C636B9">
      <w:r w:rsidRPr="00C636B9">
        <w:t xml:space="preserve">Sandoz </w:t>
      </w:r>
      <w:r w:rsidR="00A90B96">
        <w:t xml:space="preserve">claims </w:t>
      </w:r>
      <w:r w:rsidRPr="00C636B9">
        <w:t>that the study results were confounded:</w:t>
      </w:r>
    </w:p>
    <w:p w:rsidR="00C636B9" w:rsidRPr="00A90B96" w:rsidRDefault="00C636B9" w:rsidP="00A90B96">
      <w:pPr>
        <w:ind w:left="425"/>
        <w:rPr>
          <w:i/>
        </w:rPr>
      </w:pPr>
      <w:r w:rsidRPr="00A90B96">
        <w:rPr>
          <w:i/>
        </w:rPr>
        <w:t>The administrati</w:t>
      </w:r>
      <w:r w:rsidR="00FA4B78" w:rsidRPr="00A90B96">
        <w:rPr>
          <w:i/>
        </w:rPr>
        <w:t>on of the drug products in all P</w:t>
      </w:r>
      <w:r w:rsidRPr="00A90B96">
        <w:rPr>
          <w:i/>
        </w:rPr>
        <w:t>hase I studies was based on the declared content of the filgrastim products (300 or 480 μg/0.5 mL). However, calculating the dose to be administered based on the declared content has some limitations which are due to:</w:t>
      </w:r>
    </w:p>
    <w:p w:rsidR="00C636B9" w:rsidRPr="00A90B96" w:rsidRDefault="00C636B9" w:rsidP="00A90B96">
      <w:pPr>
        <w:pStyle w:val="Numberbullet0"/>
        <w:ind w:left="850"/>
        <w:rPr>
          <w:i/>
        </w:rPr>
      </w:pPr>
      <w:r w:rsidRPr="00A90B96">
        <w:rPr>
          <w:i/>
        </w:rPr>
        <w:t>The variability of the drug product manufacturing process leading to deviations of the actual content of a single batch to the declared content.</w:t>
      </w:r>
    </w:p>
    <w:p w:rsidR="00C636B9" w:rsidRPr="00A90B96" w:rsidRDefault="00C636B9" w:rsidP="00A90B96">
      <w:pPr>
        <w:pStyle w:val="Numberbullet0"/>
        <w:ind w:left="850"/>
        <w:rPr>
          <w:i/>
        </w:rPr>
      </w:pPr>
      <w:r w:rsidRPr="00A90B96">
        <w:rPr>
          <w:i/>
        </w:rPr>
        <w:t xml:space="preserve">The content determination of the drug product which is done with RP-HPLC. Product related substances are however not included in this content determination, because the aim of the RP-HPLC is to quantify “pure” </w:t>
      </w:r>
      <w:proofErr w:type="spellStart"/>
      <w:r w:rsidRPr="00A90B96">
        <w:rPr>
          <w:i/>
        </w:rPr>
        <w:t>rhG</w:t>
      </w:r>
      <w:proofErr w:type="spellEnd"/>
      <w:r w:rsidRPr="00A90B96">
        <w:rPr>
          <w:i/>
        </w:rPr>
        <w:t xml:space="preserve">-CSF, i.e. </w:t>
      </w:r>
      <w:proofErr w:type="spellStart"/>
      <w:r w:rsidRPr="00A90B96">
        <w:rPr>
          <w:i/>
        </w:rPr>
        <w:t>rhG</w:t>
      </w:r>
      <w:proofErr w:type="spellEnd"/>
      <w:r w:rsidRPr="00A90B96">
        <w:rPr>
          <w:i/>
        </w:rPr>
        <w:t>-CSF without any degradation.</w:t>
      </w:r>
    </w:p>
    <w:p w:rsidR="00C636B9" w:rsidRPr="00A90B96" w:rsidRDefault="00C636B9" w:rsidP="00A90B96">
      <w:pPr>
        <w:ind w:left="425"/>
        <w:rPr>
          <w:i/>
        </w:rPr>
      </w:pPr>
      <w:r w:rsidRPr="00A90B96">
        <w:rPr>
          <w:i/>
        </w:rPr>
        <w:t xml:space="preserve">Both limitations of the administration by the declared content may result in a systematic error. The main shortfall is that </w:t>
      </w:r>
      <w:r w:rsidR="00A90B96" w:rsidRPr="00A90B96">
        <w:rPr>
          <w:i/>
        </w:rPr>
        <w:t xml:space="preserve">PK </w:t>
      </w:r>
      <w:r w:rsidR="0007247C" w:rsidRPr="00A90B96">
        <w:rPr>
          <w:i/>
        </w:rPr>
        <w:t>results are determined by analys</w:t>
      </w:r>
      <w:r w:rsidRPr="00A90B96">
        <w:rPr>
          <w:i/>
        </w:rPr>
        <w:t xml:space="preserve">ing G-CSF in serum with an </w:t>
      </w:r>
      <w:r w:rsidR="00A90B96" w:rsidRPr="00A90B96">
        <w:rPr>
          <w:i/>
        </w:rPr>
        <w:t xml:space="preserve">enzyme linked </w:t>
      </w:r>
      <w:proofErr w:type="spellStart"/>
      <w:r w:rsidR="00A90B96" w:rsidRPr="00A90B96">
        <w:rPr>
          <w:i/>
        </w:rPr>
        <w:t>immunosorbant</w:t>
      </w:r>
      <w:proofErr w:type="spellEnd"/>
      <w:r w:rsidR="00A90B96" w:rsidRPr="00A90B96">
        <w:rPr>
          <w:i/>
        </w:rPr>
        <w:t xml:space="preserve"> assay (</w:t>
      </w:r>
      <w:r w:rsidRPr="00A90B96">
        <w:rPr>
          <w:i/>
        </w:rPr>
        <w:t>ELISA</w:t>
      </w:r>
      <w:r w:rsidR="00A90B96" w:rsidRPr="00A90B96">
        <w:rPr>
          <w:i/>
        </w:rPr>
        <w:t>)</w:t>
      </w:r>
      <w:r w:rsidRPr="00A90B96">
        <w:rPr>
          <w:i/>
        </w:rPr>
        <w:t xml:space="preserve">. In contrast to RP-HPLC, the ELISA does not distinguish between </w:t>
      </w:r>
      <w:proofErr w:type="spellStart"/>
      <w:r w:rsidRPr="00A90B96">
        <w:rPr>
          <w:i/>
        </w:rPr>
        <w:t>rhG</w:t>
      </w:r>
      <w:proofErr w:type="spellEnd"/>
      <w:r w:rsidRPr="00A90B96">
        <w:rPr>
          <w:i/>
        </w:rPr>
        <w:t>-CSF and its product related variants. There was between 1.4% and 5.5% more ELISA detectable material administered with Neupogen than with EP2006.</w:t>
      </w:r>
      <w:r w:rsidRPr="00A90B96">
        <w:rPr>
          <w:b/>
          <w:i/>
        </w:rPr>
        <w:t xml:space="preserve"> </w:t>
      </w:r>
      <w:r w:rsidRPr="00A90B96">
        <w:rPr>
          <w:i/>
        </w:rPr>
        <w:t xml:space="preserve">This difference has been taken into account when comparing the </w:t>
      </w:r>
      <w:r w:rsidR="00A90B96" w:rsidRPr="00A90B96">
        <w:rPr>
          <w:i/>
        </w:rPr>
        <w:t xml:space="preserve">PK </w:t>
      </w:r>
      <w:r w:rsidRPr="00A90B96">
        <w:rPr>
          <w:i/>
        </w:rPr>
        <w:t>of both products in order to avoid a systematic error in the concentration rela</w:t>
      </w:r>
      <w:r w:rsidR="00C6684A">
        <w:rPr>
          <w:i/>
        </w:rPr>
        <w:t>ted pharmacokinetic parameters.</w:t>
      </w:r>
    </w:p>
    <w:p w:rsidR="00C636B9" w:rsidRPr="00C636B9" w:rsidRDefault="00C636B9" w:rsidP="00C6684A">
      <w:r w:rsidRPr="00C636B9">
        <w:t>Variability in the test and reference products is an intrinsic issue in all bioavailability studies. It is not normally co</w:t>
      </w:r>
      <w:r w:rsidR="00A90B96">
        <w:t>nsidered appropriate to potency-</w:t>
      </w:r>
      <w:r w:rsidR="00C6684A">
        <w:t>adjust the results.</w:t>
      </w:r>
    </w:p>
    <w:p w:rsidR="00C636B9" w:rsidRPr="00C636B9" w:rsidRDefault="00C636B9" w:rsidP="00C636B9">
      <w:r w:rsidRPr="00C636B9">
        <w:t>The selectivity of the ELISA to detect the physiologically relevant species is critical. The response of both test and reference would be expected to be the same. Again it is not clear that it is app</w:t>
      </w:r>
      <w:r w:rsidR="00C6684A">
        <w:t>ropriate to adjust the results.</w:t>
      </w:r>
    </w:p>
    <w:p w:rsidR="00C636B9" w:rsidRPr="00C636B9" w:rsidRDefault="00C636B9" w:rsidP="00C636B9">
      <w:r w:rsidRPr="00C636B9">
        <w:t xml:space="preserve">The bioavailability comparisons show lower mean exposure with the Sandoz product, outside standard bioequivalence in most cases for both AUC and </w:t>
      </w:r>
      <w:proofErr w:type="spellStart"/>
      <w:r w:rsidRPr="00C636B9">
        <w:t>C</w:t>
      </w:r>
      <w:r w:rsidRPr="00310B0D">
        <w:rPr>
          <w:vertAlign w:val="subscript"/>
        </w:rPr>
        <w:t>max</w:t>
      </w:r>
      <w:proofErr w:type="spellEnd"/>
      <w:r w:rsidRPr="00C636B9">
        <w:t>.</w:t>
      </w:r>
    </w:p>
    <w:p w:rsidR="00E77999" w:rsidRDefault="00E77999" w:rsidP="00C6684A">
      <w:pPr>
        <w:pStyle w:val="Heading6"/>
      </w:pPr>
      <w:r>
        <w:t>S</w:t>
      </w:r>
      <w:r w:rsidRPr="00E77999">
        <w:t>tudy EP06-103</w:t>
      </w:r>
    </w:p>
    <w:p w:rsidR="00C636B9" w:rsidRPr="00C636B9" w:rsidRDefault="00C636B9" w:rsidP="00C636B9">
      <w:r w:rsidRPr="00C636B9">
        <w:t xml:space="preserve">In </w:t>
      </w:r>
      <w:r w:rsidR="00E77999">
        <w:t>S</w:t>
      </w:r>
      <w:r w:rsidRPr="00C636B9">
        <w:t xml:space="preserve">tudy EP06-103 the products are reported to be bioequivalent with respect to AUC after the first dose and at steady state at both doses. </w:t>
      </w:r>
      <w:proofErr w:type="spellStart"/>
      <w:r w:rsidRPr="00C636B9">
        <w:t>C</w:t>
      </w:r>
      <w:r w:rsidRPr="00310B0D">
        <w:rPr>
          <w:vertAlign w:val="subscript"/>
        </w:rPr>
        <w:t>max</w:t>
      </w:r>
      <w:proofErr w:type="spellEnd"/>
      <w:r w:rsidRPr="00C636B9">
        <w:t xml:space="preserve"> was outside standard bioequivalence limits after the first dose for the 2.5 μg/kg dose (90%</w:t>
      </w:r>
      <w:r w:rsidR="00A90B96">
        <w:t xml:space="preserve"> confidence interval (</w:t>
      </w:r>
      <w:r w:rsidRPr="00C636B9">
        <w:t>CI</w:t>
      </w:r>
      <w:r w:rsidR="00A90B96">
        <w:t>)</w:t>
      </w:r>
      <w:r w:rsidRPr="00C636B9">
        <w:t xml:space="preserve"> 78.63</w:t>
      </w:r>
      <w:r w:rsidR="00A90B96">
        <w:noBreakHyphen/>
      </w:r>
      <w:r w:rsidRPr="00C636B9">
        <w:t>95.40%). Differences are larger at steady state</w:t>
      </w:r>
      <w:r w:rsidR="00A90B96">
        <w:t>.</w:t>
      </w:r>
    </w:p>
    <w:p w:rsidR="00C636B9" w:rsidRPr="00C636B9" w:rsidRDefault="0007247C" w:rsidP="00C6684A">
      <w:pPr>
        <w:pStyle w:val="Heading6"/>
      </w:pPr>
      <w:r>
        <w:t>Stud</w:t>
      </w:r>
      <w:r w:rsidRPr="00C6684A">
        <w:t>y</w:t>
      </w:r>
      <w:r>
        <w:t xml:space="preserve"> </w:t>
      </w:r>
      <w:r w:rsidR="00C636B9" w:rsidRPr="00C636B9">
        <w:t>EP06-105</w:t>
      </w:r>
    </w:p>
    <w:p w:rsidR="00C636B9" w:rsidRPr="00C636B9" w:rsidRDefault="00C636B9" w:rsidP="00C636B9">
      <w:r w:rsidRPr="00C636B9">
        <w:t xml:space="preserve">The sponsor’s </w:t>
      </w:r>
      <w:r w:rsidR="00E77999">
        <w:t xml:space="preserve">PK </w:t>
      </w:r>
      <w:r w:rsidRPr="00C636B9">
        <w:t>results from Study EP06-105 (single doses) again showed lower concentrations with the proposed generic injection. Nevertheless bioequivalence is claimed (b</w:t>
      </w:r>
      <w:r w:rsidR="00E77999">
        <w:t>ased on adjusted figures again).</w:t>
      </w:r>
    </w:p>
    <w:p w:rsidR="00C636B9" w:rsidRPr="00C636B9" w:rsidRDefault="00C636B9" w:rsidP="00C6684A">
      <w:pPr>
        <w:pStyle w:val="Heading5"/>
      </w:pPr>
      <w:r w:rsidRPr="00C636B9">
        <w:lastRenderedPageBreak/>
        <w:t xml:space="preserve">Reference </w:t>
      </w:r>
      <w:r w:rsidR="00E77999">
        <w:t>p</w:t>
      </w:r>
      <w:r w:rsidRPr="00C636B9">
        <w:t>roduct</w:t>
      </w:r>
    </w:p>
    <w:p w:rsidR="00C636B9" w:rsidRPr="00E77999" w:rsidRDefault="00C636B9" w:rsidP="00C636B9">
      <w:r w:rsidRPr="00C636B9">
        <w:t xml:space="preserve">These studies compared human dosing of the proposed </w:t>
      </w:r>
      <w:r w:rsidRPr="00E77999">
        <w:t xml:space="preserve">Zarzio products to European sourced Neupogen injections. Sandoz argues that European Neupogen and Australian Neupogen are the same. An </w:t>
      </w:r>
      <w:r w:rsidRPr="00E77999">
        <w:rPr>
          <w:i/>
        </w:rPr>
        <w:t>in vitro</w:t>
      </w:r>
      <w:r w:rsidRPr="00E77999">
        <w:t xml:space="preserve"> comparison of three Neupogen batches sourced in Australia and three batches sourced in European market was provided, using </w:t>
      </w:r>
      <w:r w:rsidRPr="00E77999">
        <w:rPr>
          <w:i/>
        </w:rPr>
        <w:t>in vitro</w:t>
      </w:r>
      <w:r w:rsidR="00C6684A">
        <w:t xml:space="preserve"> and biological activity tests.</w:t>
      </w:r>
    </w:p>
    <w:p w:rsidR="008E7846" w:rsidRDefault="008E7846" w:rsidP="008E7846">
      <w:pPr>
        <w:pStyle w:val="Heading3"/>
      </w:pPr>
      <w:bookmarkStart w:id="27" w:name="_Toc314842492"/>
      <w:bookmarkStart w:id="28" w:name="_Toc368569781"/>
      <w:r>
        <w:t>Advisory committee considerations</w:t>
      </w:r>
      <w:bookmarkEnd w:id="27"/>
      <w:bookmarkEnd w:id="28"/>
    </w:p>
    <w:p w:rsidR="00C636B9" w:rsidRPr="00C636B9" w:rsidRDefault="00C636B9" w:rsidP="0007247C">
      <w:r w:rsidRPr="00C636B9">
        <w:rPr>
          <w:bCs/>
        </w:rPr>
        <w:t xml:space="preserve">The application was considered at the </w:t>
      </w:r>
      <w:r w:rsidRPr="00C636B9">
        <w:t>146</w:t>
      </w:r>
      <w:r w:rsidRPr="00837764">
        <w:rPr>
          <w:vertAlign w:val="superscript"/>
        </w:rPr>
        <w:t>th</w:t>
      </w:r>
      <w:r w:rsidR="00837764">
        <w:t xml:space="preserve"> </w:t>
      </w:r>
      <w:r w:rsidRPr="00C636B9">
        <w:t xml:space="preserve">(2012/4) meeting of the Pharmaceutical Subcommittee (PSC) of the </w:t>
      </w:r>
      <w:r w:rsidR="00E77999">
        <w:t>Advisory Committee on Prescription Medicines (</w:t>
      </w:r>
      <w:r w:rsidRPr="00C636B9">
        <w:t>ACPM</w:t>
      </w:r>
      <w:r w:rsidR="00E77999">
        <w:t>). The PSC recommended (in part) the following</w:t>
      </w:r>
      <w:bookmarkStart w:id="29" w:name="OLE_LINK3"/>
      <w:bookmarkStart w:id="30" w:name="OLE_LINK4"/>
      <w:r w:rsidRPr="00C636B9">
        <w:t>:</w:t>
      </w:r>
    </w:p>
    <w:p w:rsidR="00C636B9" w:rsidRPr="00C636B9" w:rsidRDefault="00C636B9" w:rsidP="00B56DDF">
      <w:pPr>
        <w:pStyle w:val="Numberbullet0"/>
        <w:numPr>
          <w:ilvl w:val="0"/>
          <w:numId w:val="7"/>
        </w:numPr>
      </w:pPr>
      <w:r w:rsidRPr="00C636B9">
        <w:t xml:space="preserve">The PSC agreed </w:t>
      </w:r>
      <w:r w:rsidR="005C5FD7">
        <w:t xml:space="preserve">with the TGA evaluators </w:t>
      </w:r>
      <w:r w:rsidRPr="00C636B9">
        <w:t>that:</w:t>
      </w:r>
    </w:p>
    <w:p w:rsidR="00C636B9" w:rsidRPr="00C636B9" w:rsidRDefault="00C636B9" w:rsidP="00E77999">
      <w:pPr>
        <w:pStyle w:val="ListBullet"/>
      </w:pPr>
      <w:r w:rsidRPr="00C636B9">
        <w:t>Standard bioequivalence was not established between the products proposed for registration and the overseas sourced filgrastim products used as comparators in the bioequivalence studies provided in support of this submission.</w:t>
      </w:r>
    </w:p>
    <w:p w:rsidR="00C636B9" w:rsidRPr="00C636B9" w:rsidRDefault="00C636B9" w:rsidP="00E77999">
      <w:pPr>
        <w:pStyle w:val="ListBullet"/>
      </w:pPr>
      <w:r w:rsidRPr="00C636B9">
        <w:rPr>
          <w:bCs/>
        </w:rPr>
        <w:t>Although the overseas sourced products used as comparator in the bioequivalence studies provided were apparently comparable to the Australian innovator products, bioequivalence was however not demonstrated between these products. The PSC did not consider the use of these overseas sourced reference products acceptable unless they were identical to the Australian reference product.</w:t>
      </w:r>
    </w:p>
    <w:p w:rsidR="00C636B9" w:rsidRPr="00C636B9" w:rsidRDefault="00C636B9" w:rsidP="00E77999">
      <w:pPr>
        <w:pStyle w:val="ListBullet"/>
      </w:pPr>
      <w:r w:rsidRPr="00C636B9">
        <w:t xml:space="preserve">The </w:t>
      </w:r>
      <w:r w:rsidR="00E77999">
        <w:t xml:space="preserve">PK </w:t>
      </w:r>
      <w:r w:rsidRPr="00C636B9">
        <w:t>data were confounded by the problems relating to ELISA assay specificity. The PSC considered that it is not appropriate to potency adjust the results of the studies particularly in view of the fact that variability in the test and reference products is an intrinsic issue in all bioavailability studies.</w:t>
      </w:r>
    </w:p>
    <w:p w:rsidR="00C636B9" w:rsidRPr="00C636B9" w:rsidRDefault="00C636B9" w:rsidP="00E77999">
      <w:pPr>
        <w:pStyle w:val="ListBullet"/>
      </w:pPr>
      <w:r w:rsidRPr="00C636B9">
        <w:t>The half-life of filgrastim should be calculated using standard methods and the implication for the extrapolated portion of the AUC should be assessed.</w:t>
      </w:r>
    </w:p>
    <w:p w:rsidR="00C636B9" w:rsidRPr="00C636B9" w:rsidRDefault="00C636B9" w:rsidP="00E77999">
      <w:pPr>
        <w:pStyle w:val="Numberbullet0"/>
      </w:pPr>
      <w:r w:rsidRPr="00C636B9">
        <w:t>The PSC recommended that the attention of the Clinical Delegate and the ACPM should be drawn to these issues and that acceptance of the products should be on clinical grounds rather tha</w:t>
      </w:r>
      <w:r w:rsidR="00C6684A">
        <w:t>n on pharmacokinetic endpoints.</w:t>
      </w:r>
    </w:p>
    <w:p w:rsidR="008E7846" w:rsidRPr="008751DC" w:rsidRDefault="008E7846" w:rsidP="008E7846">
      <w:pPr>
        <w:pStyle w:val="Heading3"/>
      </w:pPr>
      <w:bookmarkStart w:id="31" w:name="_Toc247691509"/>
      <w:bookmarkStart w:id="32" w:name="_Toc314842493"/>
      <w:bookmarkStart w:id="33" w:name="_Toc368569782"/>
      <w:bookmarkEnd w:id="29"/>
      <w:bookmarkEnd w:id="30"/>
      <w:r>
        <w:t>Quality s</w:t>
      </w:r>
      <w:r w:rsidRPr="008751DC">
        <w:t>ummary</w:t>
      </w:r>
      <w:r>
        <w:t xml:space="preserve"> and conclusions</w:t>
      </w:r>
      <w:bookmarkEnd w:id="31"/>
      <w:bookmarkEnd w:id="32"/>
      <w:bookmarkEnd w:id="33"/>
    </w:p>
    <w:p w:rsidR="00A90B96" w:rsidRPr="00A90B96" w:rsidRDefault="00A90B96" w:rsidP="00C6684A">
      <w:pPr>
        <w:pStyle w:val="ListBullet"/>
      </w:pPr>
      <w:r w:rsidRPr="00A90B96">
        <w:t xml:space="preserve">There is no objection to the registration of </w:t>
      </w:r>
      <w:proofErr w:type="spellStart"/>
      <w:r w:rsidRPr="00A90B96">
        <w:t>Zarzio</w:t>
      </w:r>
      <w:proofErr w:type="spellEnd"/>
      <w:r w:rsidRPr="00A90B96">
        <w:t xml:space="preserve"> </w:t>
      </w:r>
      <w:proofErr w:type="spellStart"/>
      <w:r w:rsidRPr="00A90B96">
        <w:t>filgrastim</w:t>
      </w:r>
      <w:proofErr w:type="spellEnd"/>
      <w:r w:rsidRPr="00A90B96">
        <w:t xml:space="preserve"> (</w:t>
      </w:r>
      <w:proofErr w:type="spellStart"/>
      <w:r w:rsidRPr="00A90B96">
        <w:t>rbe</w:t>
      </w:r>
      <w:proofErr w:type="spellEnd"/>
      <w:r w:rsidRPr="00A90B96">
        <w:t xml:space="preserve">) 300 µg/0.5 </w:t>
      </w:r>
      <w:proofErr w:type="spellStart"/>
      <w:r w:rsidRPr="00A90B96">
        <w:t>mL</w:t>
      </w:r>
      <w:proofErr w:type="spellEnd"/>
      <w:r w:rsidRPr="00A90B96">
        <w:t xml:space="preserve"> and 480 µg/0.5 mL solution for injection pre-filled syringe on </w:t>
      </w:r>
      <w:r w:rsidR="00467786">
        <w:t xml:space="preserve">manufacturing and </w:t>
      </w:r>
      <w:r w:rsidRPr="00A90B96">
        <w:t>quality grounds</w:t>
      </w:r>
      <w:r w:rsidR="00467786">
        <w:t>,</w:t>
      </w:r>
      <w:r w:rsidRPr="00A90B96">
        <w:t xml:space="preserve"> provided that </w:t>
      </w:r>
      <w:proofErr w:type="spellStart"/>
      <w:r w:rsidRPr="00A90B96">
        <w:t>biopharmaceutics</w:t>
      </w:r>
      <w:proofErr w:type="spellEnd"/>
      <w:r w:rsidRPr="00A90B96">
        <w:t xml:space="preserve"> issues are resolved to the satisfaction of the evaluator.</w:t>
      </w:r>
    </w:p>
    <w:p w:rsidR="00A90B96" w:rsidRPr="00A90B96" w:rsidRDefault="00A90B96" w:rsidP="004214A5">
      <w:pPr>
        <w:pStyle w:val="ListBullet"/>
        <w:numPr>
          <w:ilvl w:val="0"/>
          <w:numId w:val="0"/>
        </w:numPr>
        <w:ind w:left="360"/>
      </w:pPr>
      <w:r w:rsidRPr="00A90B96">
        <w:t>Should the product be approved, conditions of registration regarding batch release testing by the TGA Office of Laboratories and Scientific Services (OLSS) should be applied.</w:t>
      </w:r>
    </w:p>
    <w:p w:rsidR="00C636B9" w:rsidRDefault="00C636B9" w:rsidP="004214A5">
      <w:pPr>
        <w:pStyle w:val="ListBullet"/>
      </w:pPr>
      <w:r w:rsidRPr="00C636B9">
        <w:t xml:space="preserve">Standard bioequivalence has </w:t>
      </w:r>
      <w:r w:rsidR="00FF5B2E" w:rsidRPr="00FF5B2E">
        <w:rPr>
          <w:bCs/>
        </w:rPr>
        <w:t xml:space="preserve">not </w:t>
      </w:r>
      <w:r w:rsidRPr="00C636B9">
        <w:t>been established.</w:t>
      </w:r>
      <w:r w:rsidR="000472C4">
        <w:t>*</w:t>
      </w:r>
      <w:r w:rsidR="00335EC0">
        <w:t xml:space="preserve"> Issues raised by the PSC (above) are drawn to the attention of the Delegate</w:t>
      </w:r>
      <w:r w:rsidR="0065370A">
        <w:t xml:space="preserve"> (see Delegate’s overview under </w:t>
      </w:r>
      <w:r w:rsidR="00FF5B2E" w:rsidRPr="00FF5B2E">
        <w:rPr>
          <w:i/>
          <w:iCs/>
        </w:rPr>
        <w:t>Overall conclusion and risk/benefit assessment</w:t>
      </w:r>
      <w:r w:rsidR="00DE117F" w:rsidRPr="00DE117F">
        <w:t xml:space="preserve">, </w:t>
      </w:r>
      <w:r w:rsidR="00DE117F">
        <w:t xml:space="preserve">section on </w:t>
      </w:r>
      <w:r w:rsidR="00FF5B2E" w:rsidRPr="00FF5B2E">
        <w:rPr>
          <w:i/>
          <w:iCs/>
        </w:rPr>
        <w:t>Quality</w:t>
      </w:r>
      <w:r w:rsidR="0065370A">
        <w:t>, below</w:t>
      </w:r>
      <w:r w:rsidR="00335EC0">
        <w:t>.</w:t>
      </w:r>
    </w:p>
    <w:p w:rsidR="006B5EC6" w:rsidRDefault="000472C4" w:rsidP="00C6684A">
      <w:r>
        <w:t>*In response to the Delegate’s request for advice on this matter, the Advisory Committee on Prescription Medicines accepted similarity of the EU and Australian products.</w:t>
      </w:r>
    </w:p>
    <w:p w:rsidR="008E7846" w:rsidRDefault="008E7846" w:rsidP="008E7846">
      <w:pPr>
        <w:pStyle w:val="Heading2"/>
      </w:pPr>
      <w:bookmarkStart w:id="34" w:name="_Toc196046439"/>
      <w:bookmarkStart w:id="35" w:name="_Toc247691510"/>
      <w:bookmarkStart w:id="36" w:name="_Toc314842494"/>
      <w:bookmarkStart w:id="37" w:name="_Toc368569783"/>
      <w:r>
        <w:lastRenderedPageBreak/>
        <w:t>III. Nonclinical</w:t>
      </w:r>
      <w:bookmarkEnd w:id="34"/>
      <w:r>
        <w:t xml:space="preserve"> findings</w:t>
      </w:r>
      <w:bookmarkEnd w:id="35"/>
      <w:bookmarkEnd w:id="36"/>
      <w:bookmarkEnd w:id="37"/>
    </w:p>
    <w:p w:rsidR="008E7846" w:rsidRDefault="008E7846" w:rsidP="008E7846">
      <w:pPr>
        <w:pStyle w:val="Heading3"/>
      </w:pPr>
      <w:bookmarkStart w:id="38" w:name="_Toc247691511"/>
      <w:bookmarkStart w:id="39" w:name="_Toc314842495"/>
      <w:bookmarkStart w:id="40" w:name="_Toc368569784"/>
      <w:r>
        <w:t>Introduction</w:t>
      </w:r>
      <w:bookmarkEnd w:id="38"/>
      <w:bookmarkEnd w:id="39"/>
      <w:bookmarkEnd w:id="40"/>
    </w:p>
    <w:p w:rsidR="008E5AB2" w:rsidRPr="008E5AB2" w:rsidRDefault="008E5AB2" w:rsidP="008E5AB2">
      <w:pPr>
        <w:rPr>
          <w:kern w:val="22"/>
        </w:rPr>
      </w:pPr>
      <w:bookmarkStart w:id="41" w:name="OLE_LINK1"/>
      <w:r w:rsidRPr="008E5AB2">
        <w:rPr>
          <w:kern w:val="22"/>
        </w:rPr>
        <w:t xml:space="preserve">Sandoz Pty Ltd has applied to register a new </w:t>
      </w:r>
      <w:proofErr w:type="spellStart"/>
      <w:r w:rsidRPr="008E5AB2">
        <w:rPr>
          <w:kern w:val="22"/>
        </w:rPr>
        <w:t>biosimilar</w:t>
      </w:r>
      <w:proofErr w:type="spellEnd"/>
      <w:r w:rsidRPr="008E5AB2">
        <w:rPr>
          <w:kern w:val="22"/>
        </w:rPr>
        <w:t xml:space="preserve"> product containing </w:t>
      </w:r>
      <w:proofErr w:type="spellStart"/>
      <w:r w:rsidRPr="008E5AB2">
        <w:rPr>
          <w:kern w:val="22"/>
        </w:rPr>
        <w:t>filgrastim</w:t>
      </w:r>
      <w:proofErr w:type="spellEnd"/>
      <w:r w:rsidRPr="008E5AB2">
        <w:rPr>
          <w:kern w:val="22"/>
        </w:rPr>
        <w:t xml:space="preserve"> as the active substance. </w:t>
      </w:r>
      <w:bookmarkEnd w:id="41"/>
      <w:r w:rsidRPr="008E5AB2">
        <w:rPr>
          <w:kern w:val="22"/>
        </w:rPr>
        <w:t>The proposed indications and dosages for Z</w:t>
      </w:r>
      <w:r w:rsidR="00F305F7">
        <w:rPr>
          <w:kern w:val="22"/>
        </w:rPr>
        <w:t xml:space="preserve">arzio </w:t>
      </w:r>
      <w:r w:rsidRPr="008E5AB2">
        <w:rPr>
          <w:kern w:val="22"/>
        </w:rPr>
        <w:t>are consistent with those for the innovator product, Neupogen.</w:t>
      </w:r>
    </w:p>
    <w:p w:rsidR="008E5AB2" w:rsidRPr="008E5AB2" w:rsidRDefault="008E5AB2" w:rsidP="00837764">
      <w:pPr>
        <w:pStyle w:val="Heading3"/>
        <w:rPr>
          <w:kern w:val="22"/>
        </w:rPr>
      </w:pPr>
      <w:bookmarkStart w:id="42" w:name="_Toc326845635"/>
      <w:bookmarkStart w:id="43" w:name="_Toc368569785"/>
      <w:r w:rsidRPr="008E5AB2">
        <w:rPr>
          <w:kern w:val="22"/>
        </w:rPr>
        <w:t>General comments</w:t>
      </w:r>
      <w:bookmarkEnd w:id="42"/>
      <w:bookmarkEnd w:id="43"/>
    </w:p>
    <w:p w:rsidR="00063DE3" w:rsidRDefault="008E5AB2" w:rsidP="008E5AB2">
      <w:pPr>
        <w:rPr>
          <w:kern w:val="22"/>
        </w:rPr>
      </w:pPr>
      <w:r w:rsidRPr="008E5AB2">
        <w:rPr>
          <w:kern w:val="22"/>
        </w:rPr>
        <w:t xml:space="preserve">The nonclinical data include one </w:t>
      </w:r>
      <w:r w:rsidRPr="008E5AB2">
        <w:rPr>
          <w:i/>
          <w:kern w:val="22"/>
        </w:rPr>
        <w:t>in vivo</w:t>
      </w:r>
      <w:r w:rsidR="00FA4B78">
        <w:rPr>
          <w:kern w:val="22"/>
        </w:rPr>
        <w:t xml:space="preserve"> </w:t>
      </w:r>
      <w:r w:rsidR="00063DE3">
        <w:rPr>
          <w:kern w:val="22"/>
        </w:rPr>
        <w:t xml:space="preserve">PD </w:t>
      </w:r>
      <w:r w:rsidR="00FA4B78">
        <w:rPr>
          <w:kern w:val="22"/>
        </w:rPr>
        <w:t xml:space="preserve">study, two 4 </w:t>
      </w:r>
      <w:r w:rsidRPr="008E5AB2">
        <w:rPr>
          <w:kern w:val="22"/>
        </w:rPr>
        <w:t xml:space="preserve">week repeat dose toxicity studies (with </w:t>
      </w:r>
      <w:proofErr w:type="spellStart"/>
      <w:r w:rsidRPr="008E5AB2">
        <w:rPr>
          <w:kern w:val="22"/>
        </w:rPr>
        <w:t>toxicokinetic</w:t>
      </w:r>
      <w:proofErr w:type="spellEnd"/>
      <w:r w:rsidRPr="008E5AB2">
        <w:rPr>
          <w:kern w:val="22"/>
        </w:rPr>
        <w:t xml:space="preserve"> data in one study) and one </w:t>
      </w:r>
      <w:proofErr w:type="spellStart"/>
      <w:r w:rsidRPr="008E5AB2">
        <w:rPr>
          <w:kern w:val="22"/>
        </w:rPr>
        <w:t>toxicokinetic</w:t>
      </w:r>
      <w:proofErr w:type="spellEnd"/>
      <w:r w:rsidRPr="008E5AB2">
        <w:rPr>
          <w:kern w:val="22"/>
        </w:rPr>
        <w:t xml:space="preserve"> study in rats</w:t>
      </w:r>
      <w:r w:rsidR="00063DE3">
        <w:rPr>
          <w:kern w:val="22"/>
        </w:rPr>
        <w:t>,</w:t>
      </w:r>
      <w:r w:rsidRPr="008E5AB2">
        <w:rPr>
          <w:kern w:val="22"/>
        </w:rPr>
        <w:t xml:space="preserve"> and a single</w:t>
      </w:r>
      <w:r w:rsidR="00063DE3">
        <w:rPr>
          <w:kern w:val="22"/>
        </w:rPr>
        <w:t xml:space="preserve"> </w:t>
      </w:r>
      <w:r w:rsidRPr="008E5AB2">
        <w:rPr>
          <w:kern w:val="22"/>
        </w:rPr>
        <w:t>dose local tolerance study in rabbits. The studies used Neupogen as a comparator, which is currently registered in Australia for the same indications as proposed for Z</w:t>
      </w:r>
      <w:r w:rsidR="00FA4B78" w:rsidRPr="008E5AB2">
        <w:rPr>
          <w:kern w:val="22"/>
        </w:rPr>
        <w:t>arzio</w:t>
      </w:r>
      <w:r w:rsidRPr="008E5AB2">
        <w:rPr>
          <w:kern w:val="22"/>
        </w:rPr>
        <w:t xml:space="preserve">. The choice of comparator was acceptable. Nonclinical studies submitted in support of the proposed product were </w:t>
      </w:r>
      <w:r w:rsidR="00FA4B78">
        <w:rPr>
          <w:kern w:val="22"/>
        </w:rPr>
        <w:t>compliant with Good Laboratory Practice (</w:t>
      </w:r>
      <w:r w:rsidRPr="008E5AB2">
        <w:rPr>
          <w:kern w:val="22"/>
        </w:rPr>
        <w:t>GLP</w:t>
      </w:r>
      <w:r w:rsidR="00FA4B78">
        <w:rPr>
          <w:kern w:val="22"/>
        </w:rPr>
        <w:t>)</w:t>
      </w:r>
      <w:r w:rsidRPr="008E5AB2">
        <w:rPr>
          <w:kern w:val="22"/>
        </w:rPr>
        <w:t xml:space="preserve"> </w:t>
      </w:r>
      <w:r w:rsidR="00FA4B78">
        <w:rPr>
          <w:kern w:val="22"/>
        </w:rPr>
        <w:t xml:space="preserve">principles </w:t>
      </w:r>
      <w:r w:rsidRPr="008E5AB2">
        <w:rPr>
          <w:kern w:val="22"/>
        </w:rPr>
        <w:t xml:space="preserve">and consistent with EU guidelines for a </w:t>
      </w:r>
      <w:proofErr w:type="spellStart"/>
      <w:r w:rsidRPr="008E5AB2">
        <w:rPr>
          <w:kern w:val="22"/>
        </w:rPr>
        <w:t>biosimilar</w:t>
      </w:r>
      <w:proofErr w:type="spellEnd"/>
      <w:r w:rsidRPr="008E5AB2">
        <w:rPr>
          <w:kern w:val="22"/>
        </w:rPr>
        <w:t xml:space="preserve"> product containing recombinant human granulocyte-colony stimulating factor (EMEA/CHMP/BMWP/31329/2005), which has been adopted by th</w:t>
      </w:r>
      <w:r w:rsidR="00C6684A">
        <w:rPr>
          <w:kern w:val="22"/>
        </w:rPr>
        <w:t>e TGA.</w:t>
      </w:r>
    </w:p>
    <w:p w:rsidR="008E5AB2" w:rsidRPr="008E5AB2" w:rsidRDefault="00FA4B78" w:rsidP="008E5AB2">
      <w:pPr>
        <w:rPr>
          <w:kern w:val="22"/>
        </w:rPr>
      </w:pPr>
      <w:r>
        <w:rPr>
          <w:kern w:val="22"/>
        </w:rPr>
        <w:t xml:space="preserve">All nonclinical studies </w:t>
      </w:r>
      <w:r w:rsidR="008E5AB2" w:rsidRPr="008E5AB2">
        <w:rPr>
          <w:kern w:val="22"/>
        </w:rPr>
        <w:t>apart from the local tolerance study used the SC route, although the proposed product is also indicated for IV administration. This is considered acceptable, as pharmacological and toxicological profiles of Z</w:t>
      </w:r>
      <w:r>
        <w:rPr>
          <w:kern w:val="22"/>
        </w:rPr>
        <w:t xml:space="preserve">arzio </w:t>
      </w:r>
      <w:r w:rsidR="008E5AB2" w:rsidRPr="008E5AB2">
        <w:rPr>
          <w:kern w:val="22"/>
        </w:rPr>
        <w:t>by the IV route are unlikely to be different from those of the comparator, Neupogen</w:t>
      </w:r>
      <w:r>
        <w:rPr>
          <w:kern w:val="22"/>
        </w:rPr>
        <w:t>:</w:t>
      </w:r>
      <w:r w:rsidR="008E5AB2" w:rsidRPr="008E5AB2">
        <w:rPr>
          <w:kern w:val="22"/>
        </w:rPr>
        <w:t xml:space="preserve"> if comparability of the two products ha</w:t>
      </w:r>
      <w:r>
        <w:rPr>
          <w:kern w:val="22"/>
        </w:rPr>
        <w:t xml:space="preserve">s </w:t>
      </w:r>
      <w:r w:rsidR="008E5AB2" w:rsidRPr="008E5AB2">
        <w:rPr>
          <w:kern w:val="22"/>
        </w:rPr>
        <w:t>been demonstrated by SC studies, additional IV studies are not expected to contribute greatly to the available nonclinical data.</w:t>
      </w:r>
    </w:p>
    <w:p w:rsidR="008E5AB2" w:rsidRPr="008E5AB2" w:rsidRDefault="008E5AB2" w:rsidP="00837764">
      <w:pPr>
        <w:pStyle w:val="Heading3"/>
        <w:rPr>
          <w:kern w:val="22"/>
        </w:rPr>
      </w:pPr>
      <w:bookmarkStart w:id="44" w:name="_Toc368569786"/>
      <w:r w:rsidRPr="008E5AB2">
        <w:rPr>
          <w:kern w:val="22"/>
        </w:rPr>
        <w:t>Pharmacology</w:t>
      </w:r>
      <w:bookmarkEnd w:id="44"/>
    </w:p>
    <w:p w:rsidR="008E5AB2" w:rsidRPr="008E5AB2" w:rsidRDefault="008E5AB2" w:rsidP="008E5AB2">
      <w:pPr>
        <w:rPr>
          <w:kern w:val="22"/>
        </w:rPr>
      </w:pPr>
      <w:r w:rsidRPr="008E5AB2">
        <w:rPr>
          <w:kern w:val="22"/>
        </w:rPr>
        <w:t xml:space="preserve">The </w:t>
      </w:r>
      <w:r w:rsidRPr="008E5AB2">
        <w:rPr>
          <w:i/>
          <w:kern w:val="22"/>
        </w:rPr>
        <w:t>in vivo</w:t>
      </w:r>
      <w:r w:rsidRPr="008E5AB2">
        <w:rPr>
          <w:kern w:val="22"/>
        </w:rPr>
        <w:t xml:space="preserve"> pharmacological activities of </w:t>
      </w:r>
      <w:r w:rsidR="00FA4B78">
        <w:rPr>
          <w:kern w:val="22"/>
        </w:rPr>
        <w:t xml:space="preserve">Zarzio compared with </w:t>
      </w:r>
      <w:r w:rsidRPr="008E5AB2">
        <w:rPr>
          <w:kern w:val="22"/>
        </w:rPr>
        <w:t>Neupogen w</w:t>
      </w:r>
      <w:r w:rsidR="00FA4B78">
        <w:rPr>
          <w:kern w:val="22"/>
        </w:rPr>
        <w:t xml:space="preserve">ere </w:t>
      </w:r>
      <w:r w:rsidRPr="008E5AB2">
        <w:rPr>
          <w:kern w:val="22"/>
        </w:rPr>
        <w:t xml:space="preserve">investigated in one study in normal and </w:t>
      </w:r>
      <w:proofErr w:type="spellStart"/>
      <w:r w:rsidRPr="008E5AB2">
        <w:rPr>
          <w:kern w:val="22"/>
        </w:rPr>
        <w:t>cyclophosphamide</w:t>
      </w:r>
      <w:proofErr w:type="spellEnd"/>
      <w:r w:rsidRPr="008E5AB2">
        <w:rPr>
          <w:kern w:val="22"/>
        </w:rPr>
        <w:t xml:space="preserve">-induced </w:t>
      </w:r>
      <w:proofErr w:type="spellStart"/>
      <w:r w:rsidRPr="008E5AB2">
        <w:rPr>
          <w:kern w:val="22"/>
        </w:rPr>
        <w:t>neutropenic</w:t>
      </w:r>
      <w:proofErr w:type="spellEnd"/>
      <w:r w:rsidRPr="008E5AB2">
        <w:rPr>
          <w:kern w:val="22"/>
        </w:rPr>
        <w:t xml:space="preserve"> rats. Daily SC doses of </w:t>
      </w:r>
      <w:r w:rsidR="00FA4B78" w:rsidRPr="00FA4B78">
        <w:rPr>
          <w:kern w:val="22"/>
        </w:rPr>
        <w:t xml:space="preserve">Zarzio </w:t>
      </w:r>
      <w:r w:rsidRPr="008E5AB2">
        <w:rPr>
          <w:kern w:val="22"/>
        </w:rPr>
        <w:t>or Neupogen were administer</w:t>
      </w:r>
      <w:r w:rsidR="00837764">
        <w:rPr>
          <w:kern w:val="22"/>
        </w:rPr>
        <w:t>ed to normal rats (10-160 µg/kg</w:t>
      </w:r>
      <w:r w:rsidRPr="008E5AB2">
        <w:rPr>
          <w:kern w:val="22"/>
        </w:rPr>
        <w:t xml:space="preserve">) and </w:t>
      </w:r>
      <w:proofErr w:type="spellStart"/>
      <w:r w:rsidRPr="008E5AB2">
        <w:rPr>
          <w:kern w:val="22"/>
        </w:rPr>
        <w:t>n</w:t>
      </w:r>
      <w:r w:rsidR="00C6684A">
        <w:rPr>
          <w:kern w:val="22"/>
        </w:rPr>
        <w:t>eutropenic</w:t>
      </w:r>
      <w:proofErr w:type="spellEnd"/>
      <w:r w:rsidR="00C6684A">
        <w:rPr>
          <w:kern w:val="22"/>
        </w:rPr>
        <w:t xml:space="preserve"> rats (30-100 µg/kg).</w:t>
      </w:r>
    </w:p>
    <w:p w:rsidR="008E5AB2" w:rsidRPr="008E5AB2" w:rsidRDefault="008E5AB2" w:rsidP="008E5AB2">
      <w:pPr>
        <w:rPr>
          <w:kern w:val="22"/>
        </w:rPr>
      </w:pPr>
      <w:r w:rsidRPr="008E5AB2">
        <w:rPr>
          <w:kern w:val="22"/>
        </w:rPr>
        <w:t xml:space="preserve">The neutrophil profile was similar following administration of </w:t>
      </w:r>
      <w:r w:rsidR="00FA4B78" w:rsidRPr="00FA4B78">
        <w:rPr>
          <w:kern w:val="22"/>
        </w:rPr>
        <w:t xml:space="preserve">Zarzio </w:t>
      </w:r>
      <w:r w:rsidRPr="008E5AB2">
        <w:rPr>
          <w:kern w:val="22"/>
        </w:rPr>
        <w:t>or Neupogen for both normal and neutropenic rats. The normal rats displayed significant dose-dependent increases in absolute neutrophil counts (ANC)</w:t>
      </w:r>
      <w:r w:rsidR="00FA4B78">
        <w:rPr>
          <w:kern w:val="22"/>
        </w:rPr>
        <w:t>,</w:t>
      </w:r>
      <w:r w:rsidRPr="008E5AB2">
        <w:rPr>
          <w:kern w:val="22"/>
        </w:rPr>
        <w:t xml:space="preserve"> peaking at the high dose on Day 5 for both </w:t>
      </w:r>
      <w:r w:rsidR="00FA4B78" w:rsidRPr="00FA4B78">
        <w:rPr>
          <w:kern w:val="22"/>
        </w:rPr>
        <w:t xml:space="preserve">Zarzio </w:t>
      </w:r>
      <w:r w:rsidRPr="008E5AB2">
        <w:rPr>
          <w:kern w:val="22"/>
        </w:rPr>
        <w:t>and Neupogen. The increase in ANC in neutropen</w:t>
      </w:r>
      <w:r w:rsidR="00063DE3">
        <w:rPr>
          <w:kern w:val="22"/>
        </w:rPr>
        <w:t>ic rats fluctuated, peaking at D</w:t>
      </w:r>
      <w:r w:rsidRPr="008E5AB2">
        <w:rPr>
          <w:kern w:val="22"/>
        </w:rPr>
        <w:t xml:space="preserve">ay 2 and 5 at all doses during the treatment period, but the changes in ANC were comparable for </w:t>
      </w:r>
      <w:r w:rsidR="00FA4B78" w:rsidRPr="00FA4B78">
        <w:rPr>
          <w:kern w:val="22"/>
        </w:rPr>
        <w:t xml:space="preserve">Zarzio </w:t>
      </w:r>
      <w:r w:rsidRPr="008E5AB2">
        <w:rPr>
          <w:kern w:val="22"/>
        </w:rPr>
        <w:t xml:space="preserve">and Neupogen. The area under the effect-time curve from the start of treatment to </w:t>
      </w:r>
      <w:r w:rsidR="00FA4B78">
        <w:rPr>
          <w:kern w:val="22"/>
        </w:rPr>
        <w:t>D</w:t>
      </w:r>
      <w:r w:rsidRPr="008E5AB2">
        <w:rPr>
          <w:kern w:val="22"/>
        </w:rPr>
        <w:t>ay 12</w:t>
      </w:r>
      <w:r w:rsidR="00FA4B78" w:rsidRPr="00FA4B78">
        <w:rPr>
          <w:kern w:val="22"/>
        </w:rPr>
        <w:t xml:space="preserve"> </w:t>
      </w:r>
      <w:r w:rsidR="00FA4B78">
        <w:rPr>
          <w:kern w:val="22"/>
        </w:rPr>
        <w:t>(</w:t>
      </w:r>
      <w:r w:rsidR="00FA4B78" w:rsidRPr="008E5AB2">
        <w:rPr>
          <w:kern w:val="22"/>
        </w:rPr>
        <w:t>AUEC</w:t>
      </w:r>
      <w:r w:rsidR="00FA4B78" w:rsidRPr="008E5AB2">
        <w:rPr>
          <w:kern w:val="22"/>
          <w:vertAlign w:val="subscript"/>
        </w:rPr>
        <w:t>0-12d</w:t>
      </w:r>
      <w:r w:rsidRPr="008E5AB2">
        <w:rPr>
          <w:kern w:val="22"/>
        </w:rPr>
        <w:t xml:space="preserve">) and </w:t>
      </w:r>
      <w:r w:rsidR="00FA4B78" w:rsidRPr="008E5AB2">
        <w:rPr>
          <w:kern w:val="22"/>
        </w:rPr>
        <w:t xml:space="preserve">maximum effect </w:t>
      </w:r>
      <w:r w:rsidRPr="008E5AB2">
        <w:rPr>
          <w:kern w:val="22"/>
        </w:rPr>
        <w:t>(</w:t>
      </w:r>
      <w:proofErr w:type="spellStart"/>
      <w:r w:rsidR="00FA4B78" w:rsidRPr="008E5AB2">
        <w:rPr>
          <w:kern w:val="22"/>
        </w:rPr>
        <w:t>E</w:t>
      </w:r>
      <w:r w:rsidR="00FA4B78" w:rsidRPr="008E5AB2">
        <w:rPr>
          <w:kern w:val="22"/>
          <w:vertAlign w:val="subscript"/>
        </w:rPr>
        <w:t>max</w:t>
      </w:r>
      <w:proofErr w:type="spellEnd"/>
      <w:r w:rsidRPr="008E5AB2">
        <w:rPr>
          <w:kern w:val="22"/>
        </w:rPr>
        <w:t>) for ANC were not significantly different for t</w:t>
      </w:r>
      <w:r w:rsidR="00C6684A">
        <w:rPr>
          <w:kern w:val="22"/>
        </w:rPr>
        <w:t xml:space="preserve">he two </w:t>
      </w:r>
      <w:proofErr w:type="spellStart"/>
      <w:r w:rsidR="00C6684A">
        <w:rPr>
          <w:kern w:val="22"/>
        </w:rPr>
        <w:t>filgrastim</w:t>
      </w:r>
      <w:proofErr w:type="spellEnd"/>
      <w:r w:rsidR="00C6684A">
        <w:rPr>
          <w:kern w:val="22"/>
        </w:rPr>
        <w:t xml:space="preserve"> formulations.</w:t>
      </w:r>
    </w:p>
    <w:p w:rsidR="008E5AB2" w:rsidRPr="005C5FD7" w:rsidRDefault="008E5AB2" w:rsidP="005C5FD7">
      <w:r w:rsidRPr="005C5FD7">
        <w:t xml:space="preserve">There were no significant changes in red blood cell counts, haemoglobin levels or </w:t>
      </w:r>
      <w:proofErr w:type="spellStart"/>
      <w:r w:rsidRPr="005C5FD7">
        <w:t>haematocrit</w:t>
      </w:r>
      <w:proofErr w:type="spellEnd"/>
      <w:r w:rsidRPr="005C5FD7">
        <w:t xml:space="preserve"> in normal and </w:t>
      </w:r>
      <w:r w:rsidR="00063DE3" w:rsidRPr="005C5FD7">
        <w:t>neutropenic</w:t>
      </w:r>
      <w:r w:rsidRPr="005C5FD7">
        <w:t xml:space="preserve"> rats treated with either product. Neutropenic rats displayed reductions in lymphocyte, </w:t>
      </w:r>
      <w:proofErr w:type="spellStart"/>
      <w:r w:rsidRPr="005C5FD7">
        <w:t>eosinophil</w:t>
      </w:r>
      <w:proofErr w:type="spellEnd"/>
      <w:r w:rsidRPr="005C5FD7">
        <w:t xml:space="preserve"> and </w:t>
      </w:r>
      <w:proofErr w:type="spellStart"/>
      <w:r w:rsidRPr="005C5FD7">
        <w:t>basophil</w:t>
      </w:r>
      <w:proofErr w:type="spellEnd"/>
      <w:r w:rsidRPr="005C5FD7">
        <w:t xml:space="preserve"> levels, and the two filgrastim products had minimal effects on these cells.</w:t>
      </w:r>
    </w:p>
    <w:p w:rsidR="008E5AB2" w:rsidRPr="008E5AB2" w:rsidRDefault="008E5AB2" w:rsidP="008E5AB2">
      <w:pPr>
        <w:rPr>
          <w:kern w:val="22"/>
        </w:rPr>
      </w:pPr>
      <w:r w:rsidRPr="008E5AB2">
        <w:rPr>
          <w:kern w:val="22"/>
        </w:rPr>
        <w:t xml:space="preserve">The </w:t>
      </w:r>
      <w:r w:rsidRPr="008E5AB2">
        <w:rPr>
          <w:i/>
          <w:kern w:val="22"/>
        </w:rPr>
        <w:t>in vivo</w:t>
      </w:r>
      <w:r w:rsidRPr="008E5AB2">
        <w:rPr>
          <w:kern w:val="22"/>
        </w:rPr>
        <w:t xml:space="preserve"> efficacy of filgrastim in normal rats was also demonstrated in the submitted repeat dose toxicity studies</w:t>
      </w:r>
      <w:r w:rsidR="00FA4B78">
        <w:rPr>
          <w:kern w:val="22"/>
        </w:rPr>
        <w:t>,</w:t>
      </w:r>
      <w:r w:rsidRPr="008E5AB2">
        <w:rPr>
          <w:kern w:val="22"/>
        </w:rPr>
        <w:t xml:space="preserve"> with similar neutrophil counts in </w:t>
      </w:r>
      <w:r w:rsidR="00FA4B78">
        <w:rPr>
          <w:kern w:val="22"/>
        </w:rPr>
        <w:t>Zarzio</w:t>
      </w:r>
      <w:r w:rsidRPr="008E5AB2">
        <w:rPr>
          <w:kern w:val="22"/>
        </w:rPr>
        <w:t xml:space="preserve"> and Neupogen-treated rats. Absolute neutrophil counts were rapidly and markedly increased at SC doses of 20-500 µg/kg/day (approximately 0.8-18 times the single dose clinical exposure </w:t>
      </w:r>
      <w:proofErr w:type="gramStart"/>
      <w:r w:rsidRPr="008E5AB2">
        <w:rPr>
          <w:kern w:val="22"/>
        </w:rPr>
        <w:t>at 10 µg/kg/day</w:t>
      </w:r>
      <w:proofErr w:type="gramEnd"/>
      <w:r w:rsidRPr="008E5AB2">
        <w:rPr>
          <w:kern w:val="22"/>
        </w:rPr>
        <w:t xml:space="preserve"> based on AUC). Increases in ANC were observed from Day 2 onwards (the first day of blood sampling), and neutrophil levels were similar to vehicle treated rats by the end of the recovery period (Day 71). These study outcomes are similar to </w:t>
      </w:r>
      <w:r w:rsidR="00310B0D">
        <w:rPr>
          <w:kern w:val="22"/>
        </w:rPr>
        <w:t xml:space="preserve">those for </w:t>
      </w:r>
      <w:r w:rsidRPr="008E5AB2">
        <w:rPr>
          <w:kern w:val="22"/>
        </w:rPr>
        <w:lastRenderedPageBreak/>
        <w:t xml:space="preserve">other approved </w:t>
      </w:r>
      <w:proofErr w:type="spellStart"/>
      <w:r w:rsidRPr="008E5AB2">
        <w:rPr>
          <w:kern w:val="22"/>
        </w:rPr>
        <w:t>filgrastim</w:t>
      </w:r>
      <w:proofErr w:type="spellEnd"/>
      <w:r w:rsidRPr="008E5AB2">
        <w:rPr>
          <w:kern w:val="22"/>
        </w:rPr>
        <w:t xml:space="preserve"> </w:t>
      </w:r>
      <w:proofErr w:type="spellStart"/>
      <w:r w:rsidRPr="008E5AB2">
        <w:rPr>
          <w:kern w:val="22"/>
        </w:rPr>
        <w:t>biosimilars</w:t>
      </w:r>
      <w:proofErr w:type="spellEnd"/>
      <w:r w:rsidRPr="008E5AB2">
        <w:rPr>
          <w:kern w:val="22"/>
        </w:rPr>
        <w:t xml:space="preserve">. The overall pattern of neutrophil levels throughout the treatment and observation periods was qualitatively and quantitatively similar for the two filgrastim products. These studies adequately compared the </w:t>
      </w:r>
      <w:r w:rsidRPr="008E5AB2">
        <w:rPr>
          <w:i/>
          <w:kern w:val="22"/>
        </w:rPr>
        <w:t>in vivo</w:t>
      </w:r>
      <w:r w:rsidRPr="008E5AB2">
        <w:rPr>
          <w:kern w:val="22"/>
        </w:rPr>
        <w:t xml:space="preserve"> </w:t>
      </w:r>
      <w:r w:rsidR="00310B0D">
        <w:rPr>
          <w:kern w:val="22"/>
        </w:rPr>
        <w:t xml:space="preserve">PD </w:t>
      </w:r>
      <w:r w:rsidRPr="008E5AB2">
        <w:rPr>
          <w:kern w:val="22"/>
        </w:rPr>
        <w:t xml:space="preserve">properties of </w:t>
      </w:r>
      <w:proofErr w:type="spellStart"/>
      <w:r w:rsidR="00E12695" w:rsidRPr="00E12695">
        <w:rPr>
          <w:kern w:val="22"/>
        </w:rPr>
        <w:t>Zarzio</w:t>
      </w:r>
      <w:proofErr w:type="spellEnd"/>
      <w:r w:rsidR="00E12695" w:rsidRPr="00E12695">
        <w:rPr>
          <w:kern w:val="22"/>
        </w:rPr>
        <w:t xml:space="preserve"> </w:t>
      </w:r>
      <w:r w:rsidR="00C6684A">
        <w:rPr>
          <w:kern w:val="22"/>
        </w:rPr>
        <w:t xml:space="preserve">and </w:t>
      </w:r>
      <w:proofErr w:type="spellStart"/>
      <w:r w:rsidR="00C6684A">
        <w:rPr>
          <w:kern w:val="22"/>
        </w:rPr>
        <w:t>Neupogen</w:t>
      </w:r>
      <w:proofErr w:type="spellEnd"/>
      <w:r w:rsidR="00C6684A">
        <w:rPr>
          <w:kern w:val="22"/>
        </w:rPr>
        <w:t>.</w:t>
      </w:r>
    </w:p>
    <w:p w:rsidR="008E5AB2" w:rsidRPr="008E5AB2" w:rsidRDefault="008E5AB2" w:rsidP="00837764">
      <w:pPr>
        <w:pStyle w:val="Heading3"/>
        <w:rPr>
          <w:kern w:val="22"/>
        </w:rPr>
      </w:pPr>
      <w:bookmarkStart w:id="45" w:name="_Toc201379593"/>
      <w:bookmarkStart w:id="46" w:name="_Toc368569787"/>
      <w:r w:rsidRPr="008E5AB2">
        <w:rPr>
          <w:kern w:val="22"/>
        </w:rPr>
        <w:t>Pharmacokinetics</w:t>
      </w:r>
      <w:bookmarkEnd w:id="45"/>
      <w:bookmarkEnd w:id="46"/>
    </w:p>
    <w:p w:rsidR="008E5AB2" w:rsidRPr="008E5AB2" w:rsidRDefault="008E5AB2" w:rsidP="00837764">
      <w:pPr>
        <w:pStyle w:val="Heading4"/>
        <w:rPr>
          <w:kern w:val="22"/>
        </w:rPr>
      </w:pPr>
      <w:bookmarkStart w:id="47" w:name="_Toc326845636"/>
      <w:r w:rsidRPr="008E5AB2">
        <w:rPr>
          <w:kern w:val="22"/>
        </w:rPr>
        <w:t>Absorption</w:t>
      </w:r>
      <w:bookmarkEnd w:id="47"/>
    </w:p>
    <w:p w:rsidR="008E5AB2" w:rsidRPr="008E5AB2" w:rsidRDefault="008E5AB2" w:rsidP="008E5AB2">
      <w:pPr>
        <w:rPr>
          <w:kern w:val="22"/>
        </w:rPr>
      </w:pPr>
      <w:r w:rsidRPr="008E5AB2">
        <w:rPr>
          <w:kern w:val="22"/>
        </w:rPr>
        <w:t xml:space="preserve">The </w:t>
      </w:r>
      <w:proofErr w:type="spellStart"/>
      <w:r w:rsidRPr="008E5AB2">
        <w:rPr>
          <w:kern w:val="22"/>
        </w:rPr>
        <w:t>toxicokinetic</w:t>
      </w:r>
      <w:proofErr w:type="spellEnd"/>
      <w:r w:rsidRPr="008E5AB2">
        <w:rPr>
          <w:kern w:val="22"/>
        </w:rPr>
        <w:t xml:space="preserve"> parameters of </w:t>
      </w:r>
      <w:proofErr w:type="spellStart"/>
      <w:r w:rsidRPr="008E5AB2">
        <w:rPr>
          <w:kern w:val="22"/>
        </w:rPr>
        <w:t>Zarzio</w:t>
      </w:r>
      <w:proofErr w:type="spellEnd"/>
      <w:r w:rsidRPr="008E5AB2">
        <w:rPr>
          <w:kern w:val="22"/>
        </w:rPr>
        <w:t xml:space="preserve"> and Neupogen following SC admini</w:t>
      </w:r>
      <w:r w:rsidR="00310B0D">
        <w:rPr>
          <w:kern w:val="22"/>
        </w:rPr>
        <w:t xml:space="preserve">stration were compared in a two </w:t>
      </w:r>
      <w:r w:rsidRPr="008E5AB2">
        <w:rPr>
          <w:kern w:val="22"/>
        </w:rPr>
        <w:t>wee</w:t>
      </w:r>
      <w:r w:rsidR="00310B0D">
        <w:rPr>
          <w:kern w:val="22"/>
        </w:rPr>
        <w:t xml:space="preserve">k study in male rats and a four </w:t>
      </w:r>
      <w:r w:rsidRPr="008E5AB2">
        <w:rPr>
          <w:kern w:val="22"/>
        </w:rPr>
        <w:t xml:space="preserve">week toxicity study in male and female rats. Absorption of both products was rapid; plasma </w:t>
      </w:r>
      <w:proofErr w:type="spellStart"/>
      <w:r w:rsidRPr="008E5AB2">
        <w:rPr>
          <w:kern w:val="22"/>
        </w:rPr>
        <w:t>C</w:t>
      </w:r>
      <w:r w:rsidRPr="008E5AB2">
        <w:rPr>
          <w:kern w:val="22"/>
          <w:vertAlign w:val="subscript"/>
        </w:rPr>
        <w:t>max</w:t>
      </w:r>
      <w:proofErr w:type="spellEnd"/>
      <w:r w:rsidRPr="008E5AB2">
        <w:rPr>
          <w:kern w:val="22"/>
        </w:rPr>
        <w:t xml:space="preserve"> values wer</w:t>
      </w:r>
      <w:r w:rsidR="00310B0D">
        <w:rPr>
          <w:kern w:val="22"/>
        </w:rPr>
        <w:t xml:space="preserve">e reached after 1-3 h. In the 2 </w:t>
      </w:r>
      <w:r w:rsidRPr="008E5AB2">
        <w:rPr>
          <w:kern w:val="22"/>
        </w:rPr>
        <w:t xml:space="preserve">week </w:t>
      </w:r>
      <w:proofErr w:type="spellStart"/>
      <w:r w:rsidRPr="008E5AB2">
        <w:rPr>
          <w:kern w:val="22"/>
        </w:rPr>
        <w:t>toxicokinetic</w:t>
      </w:r>
      <w:proofErr w:type="spellEnd"/>
      <w:r w:rsidRPr="008E5AB2">
        <w:rPr>
          <w:kern w:val="22"/>
        </w:rPr>
        <w:t xml:space="preserve"> study, </w:t>
      </w:r>
      <w:proofErr w:type="spellStart"/>
      <w:r w:rsidRPr="008E5AB2">
        <w:rPr>
          <w:kern w:val="22"/>
        </w:rPr>
        <w:t>C</w:t>
      </w:r>
      <w:r w:rsidRPr="008E5AB2">
        <w:rPr>
          <w:kern w:val="22"/>
          <w:vertAlign w:val="subscript"/>
        </w:rPr>
        <w:t>max</w:t>
      </w:r>
      <w:proofErr w:type="spellEnd"/>
      <w:r w:rsidRPr="008E5AB2">
        <w:rPr>
          <w:kern w:val="22"/>
        </w:rPr>
        <w:t xml:space="preserve"> and AUC values for Zarzio 20 µg/kg were approximately 2-fold higher than the values for Neupogen after the first </w:t>
      </w:r>
      <w:r w:rsidR="00310B0D">
        <w:rPr>
          <w:kern w:val="22"/>
        </w:rPr>
        <w:t>dose, and values for Zarzio on D</w:t>
      </w:r>
      <w:r w:rsidRPr="008E5AB2">
        <w:rPr>
          <w:kern w:val="22"/>
        </w:rPr>
        <w:t xml:space="preserve">ay 13 remained higher than those for Neupogen after the last dose; however, </w:t>
      </w:r>
      <w:proofErr w:type="spellStart"/>
      <w:r w:rsidRPr="008E5AB2">
        <w:rPr>
          <w:kern w:val="22"/>
        </w:rPr>
        <w:t>C</w:t>
      </w:r>
      <w:r w:rsidRPr="008E5AB2">
        <w:rPr>
          <w:kern w:val="22"/>
          <w:vertAlign w:val="subscript"/>
        </w:rPr>
        <w:t>max</w:t>
      </w:r>
      <w:proofErr w:type="spellEnd"/>
      <w:r w:rsidRPr="008E5AB2">
        <w:rPr>
          <w:kern w:val="22"/>
        </w:rPr>
        <w:t xml:space="preserve"> and AUC were comparable at the high dose (500 µg/kg) on both sampling days for th</w:t>
      </w:r>
      <w:r w:rsidR="00310B0D">
        <w:rPr>
          <w:kern w:val="22"/>
        </w:rPr>
        <w:t xml:space="preserve">e two formulations and in the 4 </w:t>
      </w:r>
      <w:r w:rsidRPr="008E5AB2">
        <w:rPr>
          <w:kern w:val="22"/>
        </w:rPr>
        <w:t xml:space="preserve">week toxicity study on </w:t>
      </w:r>
      <w:r w:rsidR="00310B0D">
        <w:rPr>
          <w:kern w:val="22"/>
        </w:rPr>
        <w:t>D</w:t>
      </w:r>
      <w:r w:rsidRPr="008E5AB2">
        <w:rPr>
          <w:kern w:val="22"/>
        </w:rPr>
        <w:t xml:space="preserve">ays 3, 14 and 28. </w:t>
      </w:r>
      <w:r w:rsidR="006B5EC6">
        <w:rPr>
          <w:kern w:val="22"/>
        </w:rPr>
        <w:t>The o</w:t>
      </w:r>
      <w:r w:rsidRPr="008E5AB2">
        <w:rPr>
          <w:kern w:val="22"/>
        </w:rPr>
        <w:t xml:space="preserve">verall plasma concentration </w:t>
      </w:r>
      <w:r w:rsidR="00A1081D">
        <w:rPr>
          <w:kern w:val="22"/>
        </w:rPr>
        <w:t xml:space="preserve">versus </w:t>
      </w:r>
      <w:r w:rsidR="006B5EC6">
        <w:rPr>
          <w:kern w:val="22"/>
        </w:rPr>
        <w:t>time profile</w:t>
      </w:r>
      <w:r w:rsidRPr="008E5AB2">
        <w:rPr>
          <w:kern w:val="22"/>
        </w:rPr>
        <w:t xml:space="preserve"> w</w:t>
      </w:r>
      <w:r w:rsidR="006B5EC6">
        <w:rPr>
          <w:kern w:val="22"/>
        </w:rPr>
        <w:t>as</w:t>
      </w:r>
      <w:r w:rsidRPr="008E5AB2">
        <w:rPr>
          <w:kern w:val="22"/>
        </w:rPr>
        <w:t xml:space="preserve"> similar for the two products.</w:t>
      </w:r>
    </w:p>
    <w:p w:rsidR="008E5AB2" w:rsidRPr="008E5AB2" w:rsidRDefault="008E5AB2" w:rsidP="00837764">
      <w:pPr>
        <w:pStyle w:val="Heading4"/>
        <w:rPr>
          <w:kern w:val="22"/>
        </w:rPr>
      </w:pPr>
      <w:bookmarkStart w:id="48" w:name="_Toc326845637"/>
      <w:r w:rsidRPr="008E5AB2">
        <w:rPr>
          <w:kern w:val="22"/>
        </w:rPr>
        <w:t>Relative exposure</w:t>
      </w:r>
      <w:bookmarkEnd w:id="48"/>
    </w:p>
    <w:p w:rsidR="008E5AB2" w:rsidRPr="008E5AB2" w:rsidRDefault="008E5AB2" w:rsidP="008E5AB2">
      <w:pPr>
        <w:rPr>
          <w:kern w:val="22"/>
        </w:rPr>
      </w:pPr>
      <w:r w:rsidRPr="008E5AB2">
        <w:rPr>
          <w:kern w:val="22"/>
        </w:rPr>
        <w:t>Exposure levels (AUC-based) of Zarzio and Neupogen in the submitt</w:t>
      </w:r>
      <w:r w:rsidR="00837764">
        <w:rPr>
          <w:kern w:val="22"/>
        </w:rPr>
        <w:t>ed repeat dose toxicity study (</w:t>
      </w:r>
      <w:r w:rsidRPr="008E5AB2">
        <w:rPr>
          <w:kern w:val="22"/>
        </w:rPr>
        <w:t>EP006-006) were compared with exposure data for both products in healthy human subjects in comparative clinical trials at 10 µg/kg SC. Recommended starting doses are within the range of 5-10 µg/kg/day by SC injection, IV or SC infusion for most indications</w:t>
      </w:r>
      <w:r w:rsidR="00016916">
        <w:rPr>
          <w:kern w:val="22"/>
        </w:rPr>
        <w:t>.</w:t>
      </w:r>
    </w:p>
    <w:p w:rsidR="008E5AB2" w:rsidRPr="008E5AB2" w:rsidRDefault="008E5AB2" w:rsidP="008E5AB2">
      <w:pPr>
        <w:rPr>
          <w:kern w:val="22"/>
        </w:rPr>
      </w:pPr>
      <w:r w:rsidRPr="008E5AB2">
        <w:rPr>
          <w:kern w:val="22"/>
        </w:rPr>
        <w:t>Pharmacokinetic data were available for single and multi-dose clinical trials; exposure comparisons were made based on exposure following a sing</w:t>
      </w:r>
      <w:r w:rsidR="00310B0D">
        <w:rPr>
          <w:kern w:val="22"/>
        </w:rPr>
        <w:t>le dose or multiple doses of 10 </w:t>
      </w:r>
      <w:r w:rsidRPr="008E5AB2">
        <w:rPr>
          <w:kern w:val="22"/>
        </w:rPr>
        <w:t>µg/kg SC injections daily for 7 days to human subjects (study EP06-101). Mean AUC</w:t>
      </w:r>
      <w:r w:rsidRPr="008E5AB2">
        <w:rPr>
          <w:kern w:val="22"/>
          <w:vertAlign w:val="subscript"/>
        </w:rPr>
        <w:t>0-24h</w:t>
      </w:r>
      <w:r w:rsidR="00310B0D">
        <w:rPr>
          <w:kern w:val="22"/>
        </w:rPr>
        <w:t xml:space="preserve"> values on</w:t>
      </w:r>
      <w:r w:rsidRPr="008E5AB2">
        <w:rPr>
          <w:kern w:val="22"/>
        </w:rPr>
        <w:t xml:space="preserve"> Day 3, 13 and 28 were used to calculate the exposure for rats</w:t>
      </w:r>
      <w:r w:rsidR="00310B0D">
        <w:rPr>
          <w:kern w:val="22"/>
        </w:rPr>
        <w:t>,</w:t>
      </w:r>
      <w:r w:rsidRPr="008E5AB2">
        <w:rPr>
          <w:kern w:val="22"/>
        </w:rPr>
        <w:t xml:space="preserve"> since the values were similar after a</w:t>
      </w:r>
      <w:r w:rsidR="00016916">
        <w:rPr>
          <w:kern w:val="22"/>
        </w:rPr>
        <w:t xml:space="preserve"> single dose or repeated doses.</w:t>
      </w:r>
    </w:p>
    <w:p w:rsidR="008E5AB2" w:rsidRPr="00B47C3C" w:rsidRDefault="00B47C3C" w:rsidP="00016916">
      <w:pPr>
        <w:pStyle w:val="TableTitle"/>
      </w:pPr>
      <w:proofErr w:type="gramStart"/>
      <w:r w:rsidRPr="00B47C3C">
        <w:t xml:space="preserve">Table </w:t>
      </w:r>
      <w:r w:rsidR="00EA04AA">
        <w:t>1</w:t>
      </w:r>
      <w:r w:rsidRPr="00B47C3C">
        <w:t>.</w:t>
      </w:r>
      <w:proofErr w:type="gramEnd"/>
      <w:r w:rsidRPr="00B47C3C">
        <w:t xml:space="preserve"> </w:t>
      </w:r>
      <w:r w:rsidR="008E5AB2" w:rsidRPr="00B47C3C">
        <w:t>Animal to human exposure ratios</w:t>
      </w:r>
    </w:p>
    <w:tbl>
      <w:tblPr>
        <w:tblStyle w:val="TableTGAblue"/>
        <w:tblW w:w="8927" w:type="dxa"/>
        <w:tblInd w:w="108" w:type="dxa"/>
        <w:tblLook w:val="01E0"/>
      </w:tblPr>
      <w:tblGrid>
        <w:gridCol w:w="853"/>
        <w:gridCol w:w="899"/>
        <w:gridCol w:w="1083"/>
        <w:gridCol w:w="658"/>
        <w:gridCol w:w="1266"/>
        <w:gridCol w:w="1385"/>
        <w:gridCol w:w="1401"/>
        <w:gridCol w:w="1382"/>
      </w:tblGrid>
      <w:tr w:rsidR="008E5AB2" w:rsidRPr="00B47C3C" w:rsidTr="005C5FD7">
        <w:trPr>
          <w:cnfStyle w:val="100000000000"/>
          <w:tblHeader/>
        </w:trPr>
        <w:tc>
          <w:tcPr>
            <w:tcW w:w="853" w:type="dxa"/>
            <w:vMerge w:val="restart"/>
            <w:hideMark/>
          </w:tcPr>
          <w:p w:rsidR="00FC6A28" w:rsidRPr="00B47C3C" w:rsidRDefault="008E5AB2" w:rsidP="005C5FD7">
            <w:pPr>
              <w:keepNext/>
              <w:spacing w:line="240" w:lineRule="auto"/>
              <w:ind w:left="0" w:right="0"/>
              <w:rPr>
                <w:kern w:val="22"/>
                <w:sz w:val="20"/>
                <w:szCs w:val="20"/>
              </w:rPr>
            </w:pPr>
            <w:r w:rsidRPr="00B47C3C">
              <w:rPr>
                <w:kern w:val="22"/>
                <w:sz w:val="20"/>
                <w:szCs w:val="20"/>
              </w:rPr>
              <w:t>Study no.</w:t>
            </w:r>
          </w:p>
        </w:tc>
        <w:tc>
          <w:tcPr>
            <w:tcW w:w="899" w:type="dxa"/>
            <w:vMerge w:val="restart"/>
            <w:hideMark/>
          </w:tcPr>
          <w:p w:rsidR="00FC6A28" w:rsidRPr="00B47C3C" w:rsidRDefault="008E5AB2" w:rsidP="005C5FD7">
            <w:pPr>
              <w:keepNext/>
              <w:spacing w:line="240" w:lineRule="auto"/>
              <w:ind w:left="0" w:right="0"/>
              <w:rPr>
                <w:kern w:val="22"/>
                <w:sz w:val="20"/>
                <w:szCs w:val="20"/>
              </w:rPr>
            </w:pPr>
            <w:r w:rsidRPr="00B47C3C">
              <w:rPr>
                <w:kern w:val="22"/>
                <w:sz w:val="20"/>
                <w:szCs w:val="20"/>
              </w:rPr>
              <w:t>Species</w:t>
            </w:r>
          </w:p>
        </w:tc>
        <w:tc>
          <w:tcPr>
            <w:tcW w:w="1083" w:type="dxa"/>
            <w:vMerge w:val="restart"/>
            <w:hideMark/>
          </w:tcPr>
          <w:p w:rsidR="008E5AB2" w:rsidRPr="00B47C3C" w:rsidRDefault="008E5AB2" w:rsidP="005C5FD7">
            <w:pPr>
              <w:keepNext/>
              <w:spacing w:line="240" w:lineRule="auto"/>
              <w:ind w:left="0" w:right="0"/>
              <w:rPr>
                <w:kern w:val="22"/>
                <w:sz w:val="20"/>
                <w:szCs w:val="20"/>
              </w:rPr>
            </w:pPr>
            <w:r w:rsidRPr="00B47C3C">
              <w:rPr>
                <w:kern w:val="22"/>
                <w:sz w:val="20"/>
                <w:szCs w:val="20"/>
              </w:rPr>
              <w:t>Dose</w:t>
            </w:r>
          </w:p>
          <w:p w:rsidR="00FC6A28" w:rsidRPr="00B47C3C" w:rsidRDefault="008E5AB2" w:rsidP="005C5FD7">
            <w:pPr>
              <w:keepNext/>
              <w:spacing w:line="240" w:lineRule="auto"/>
              <w:ind w:left="0" w:right="0"/>
              <w:rPr>
                <w:kern w:val="22"/>
                <w:sz w:val="20"/>
                <w:szCs w:val="20"/>
              </w:rPr>
            </w:pPr>
            <w:r w:rsidRPr="00B47C3C">
              <w:rPr>
                <w:kern w:val="22"/>
                <w:sz w:val="20"/>
                <w:szCs w:val="20"/>
              </w:rPr>
              <w:t>(µg/kg)</w:t>
            </w:r>
          </w:p>
        </w:tc>
        <w:tc>
          <w:tcPr>
            <w:tcW w:w="658" w:type="dxa"/>
            <w:vMerge w:val="restart"/>
            <w:hideMark/>
          </w:tcPr>
          <w:p w:rsidR="00FC6A28" w:rsidRPr="00B47C3C" w:rsidRDefault="008E5AB2" w:rsidP="005C5FD7">
            <w:pPr>
              <w:keepNext/>
              <w:spacing w:line="240" w:lineRule="auto"/>
              <w:ind w:left="0" w:right="0"/>
              <w:rPr>
                <w:kern w:val="22"/>
                <w:sz w:val="20"/>
                <w:szCs w:val="20"/>
              </w:rPr>
            </w:pPr>
            <w:r w:rsidRPr="00B47C3C">
              <w:rPr>
                <w:kern w:val="22"/>
                <w:sz w:val="20"/>
                <w:szCs w:val="20"/>
              </w:rPr>
              <w:t>Sex</w:t>
            </w:r>
          </w:p>
        </w:tc>
        <w:tc>
          <w:tcPr>
            <w:tcW w:w="2651" w:type="dxa"/>
            <w:gridSpan w:val="2"/>
            <w:hideMark/>
          </w:tcPr>
          <w:p w:rsidR="00FC6A28" w:rsidRPr="00B47C3C" w:rsidRDefault="008E5AB2" w:rsidP="005C5FD7">
            <w:pPr>
              <w:keepNext/>
              <w:spacing w:line="240" w:lineRule="auto"/>
              <w:ind w:left="0" w:right="0"/>
              <w:jc w:val="center"/>
              <w:rPr>
                <w:kern w:val="22"/>
                <w:sz w:val="20"/>
                <w:szCs w:val="20"/>
              </w:rPr>
            </w:pPr>
            <w:r w:rsidRPr="00B47C3C">
              <w:rPr>
                <w:kern w:val="22"/>
                <w:sz w:val="20"/>
                <w:szCs w:val="20"/>
              </w:rPr>
              <w:t>Zarzio</w:t>
            </w:r>
          </w:p>
        </w:tc>
        <w:tc>
          <w:tcPr>
            <w:tcW w:w="2783" w:type="dxa"/>
            <w:gridSpan w:val="2"/>
            <w:hideMark/>
          </w:tcPr>
          <w:p w:rsidR="00FC6A28" w:rsidRPr="00B47C3C" w:rsidRDefault="008E5AB2" w:rsidP="005C5FD7">
            <w:pPr>
              <w:keepNext/>
              <w:spacing w:line="240" w:lineRule="auto"/>
              <w:ind w:left="0" w:right="0"/>
              <w:jc w:val="center"/>
              <w:rPr>
                <w:kern w:val="22"/>
                <w:sz w:val="20"/>
                <w:szCs w:val="20"/>
              </w:rPr>
            </w:pPr>
            <w:r w:rsidRPr="00B47C3C">
              <w:rPr>
                <w:kern w:val="22"/>
                <w:sz w:val="20"/>
                <w:szCs w:val="20"/>
              </w:rPr>
              <w:t>Neupogen</w:t>
            </w:r>
          </w:p>
        </w:tc>
      </w:tr>
      <w:tr w:rsidR="00B47C3C" w:rsidRPr="00B47C3C" w:rsidTr="005C5FD7">
        <w:trPr>
          <w:cnfStyle w:val="100000000000"/>
          <w:tblHeader/>
        </w:trPr>
        <w:tc>
          <w:tcPr>
            <w:tcW w:w="853" w:type="dxa"/>
            <w:vMerge/>
            <w:hideMark/>
          </w:tcPr>
          <w:p w:rsidR="008E5AB2" w:rsidRPr="00B47C3C" w:rsidRDefault="008E5AB2" w:rsidP="005C5FD7">
            <w:pPr>
              <w:keepNext/>
              <w:spacing w:line="240" w:lineRule="auto"/>
              <w:ind w:left="0" w:right="0"/>
              <w:rPr>
                <w:kern w:val="22"/>
                <w:sz w:val="20"/>
                <w:szCs w:val="20"/>
              </w:rPr>
            </w:pPr>
          </w:p>
        </w:tc>
        <w:tc>
          <w:tcPr>
            <w:tcW w:w="0" w:type="auto"/>
            <w:vMerge/>
            <w:hideMark/>
          </w:tcPr>
          <w:p w:rsidR="008E5AB2" w:rsidRPr="00B47C3C" w:rsidRDefault="008E5AB2" w:rsidP="005C5FD7">
            <w:pPr>
              <w:keepNext/>
              <w:spacing w:line="240" w:lineRule="auto"/>
              <w:ind w:left="0" w:right="0"/>
              <w:rPr>
                <w:kern w:val="22"/>
                <w:sz w:val="20"/>
                <w:szCs w:val="20"/>
              </w:rPr>
            </w:pPr>
          </w:p>
        </w:tc>
        <w:tc>
          <w:tcPr>
            <w:tcW w:w="1083" w:type="dxa"/>
            <w:vMerge/>
            <w:hideMark/>
          </w:tcPr>
          <w:p w:rsidR="008E5AB2" w:rsidRPr="00B47C3C" w:rsidRDefault="008E5AB2" w:rsidP="005C5FD7">
            <w:pPr>
              <w:keepNext/>
              <w:spacing w:line="240" w:lineRule="auto"/>
              <w:ind w:left="0" w:right="0"/>
              <w:rPr>
                <w:kern w:val="22"/>
                <w:sz w:val="20"/>
                <w:szCs w:val="20"/>
              </w:rPr>
            </w:pPr>
          </w:p>
        </w:tc>
        <w:tc>
          <w:tcPr>
            <w:tcW w:w="658" w:type="dxa"/>
            <w:vMerge/>
            <w:hideMark/>
          </w:tcPr>
          <w:p w:rsidR="008E5AB2" w:rsidRPr="00B47C3C" w:rsidRDefault="008E5AB2" w:rsidP="005C5FD7">
            <w:pPr>
              <w:keepNext/>
              <w:spacing w:line="240" w:lineRule="auto"/>
              <w:ind w:left="0" w:right="0"/>
              <w:rPr>
                <w:kern w:val="22"/>
                <w:sz w:val="20"/>
                <w:szCs w:val="20"/>
              </w:rPr>
            </w:pPr>
          </w:p>
        </w:tc>
        <w:tc>
          <w:tcPr>
            <w:tcW w:w="1266" w:type="dxa"/>
            <w:hideMark/>
          </w:tcPr>
          <w:p w:rsidR="008E5AB2" w:rsidRPr="00B47C3C" w:rsidRDefault="008E5AB2" w:rsidP="005C5FD7">
            <w:pPr>
              <w:keepNext/>
              <w:spacing w:line="240" w:lineRule="auto"/>
              <w:ind w:left="0" w:right="0"/>
              <w:rPr>
                <w:kern w:val="22"/>
                <w:sz w:val="20"/>
                <w:szCs w:val="20"/>
              </w:rPr>
            </w:pPr>
            <w:r w:rsidRPr="00B47C3C">
              <w:rPr>
                <w:kern w:val="22"/>
                <w:sz w:val="20"/>
                <w:szCs w:val="20"/>
              </w:rPr>
              <w:t>AUC</w:t>
            </w:r>
            <w:r w:rsidRPr="00B47C3C">
              <w:rPr>
                <w:kern w:val="22"/>
                <w:sz w:val="20"/>
                <w:szCs w:val="20"/>
                <w:vertAlign w:val="subscript"/>
              </w:rPr>
              <w:t>0-24h</w:t>
            </w:r>
          </w:p>
          <w:p w:rsidR="00FC6A28" w:rsidRPr="00B47C3C" w:rsidRDefault="008E5AB2" w:rsidP="005C5FD7">
            <w:pPr>
              <w:keepNext/>
              <w:spacing w:line="240" w:lineRule="auto"/>
              <w:ind w:left="0" w:right="0"/>
              <w:rPr>
                <w:kern w:val="22"/>
                <w:sz w:val="20"/>
                <w:szCs w:val="20"/>
              </w:rPr>
            </w:pPr>
            <w:r w:rsidRPr="00B47C3C">
              <w:rPr>
                <w:kern w:val="22"/>
                <w:sz w:val="20"/>
                <w:szCs w:val="20"/>
              </w:rPr>
              <w:t>(</w:t>
            </w:r>
            <w:proofErr w:type="spellStart"/>
            <w:r w:rsidRPr="00B47C3C">
              <w:rPr>
                <w:kern w:val="22"/>
                <w:sz w:val="20"/>
                <w:szCs w:val="20"/>
              </w:rPr>
              <w:t>ng.h</w:t>
            </w:r>
            <w:proofErr w:type="spellEnd"/>
            <w:r w:rsidRPr="00B47C3C">
              <w:rPr>
                <w:kern w:val="22"/>
                <w:sz w:val="20"/>
                <w:szCs w:val="20"/>
              </w:rPr>
              <w:t>/</w:t>
            </w:r>
            <w:proofErr w:type="spellStart"/>
            <w:r w:rsidRPr="00B47C3C">
              <w:rPr>
                <w:kern w:val="22"/>
                <w:sz w:val="20"/>
                <w:szCs w:val="20"/>
              </w:rPr>
              <w:t>mL</w:t>
            </w:r>
            <w:proofErr w:type="spellEnd"/>
            <w:r w:rsidRPr="00B47C3C">
              <w:rPr>
                <w:kern w:val="22"/>
                <w:sz w:val="20"/>
                <w:szCs w:val="20"/>
              </w:rPr>
              <w:t>)</w:t>
            </w:r>
            <w:r w:rsidRPr="00B47C3C">
              <w:rPr>
                <w:kern w:val="22"/>
                <w:sz w:val="20"/>
                <w:szCs w:val="20"/>
                <w:vertAlign w:val="superscript"/>
              </w:rPr>
              <w:t>a</w:t>
            </w:r>
          </w:p>
        </w:tc>
        <w:tc>
          <w:tcPr>
            <w:tcW w:w="1385"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 xml:space="preserve">Exposure </w:t>
            </w:r>
            <w:proofErr w:type="spellStart"/>
            <w:r w:rsidRPr="00B47C3C">
              <w:rPr>
                <w:kern w:val="22"/>
                <w:sz w:val="20"/>
                <w:szCs w:val="20"/>
              </w:rPr>
              <w:t>margin</w:t>
            </w:r>
            <w:r w:rsidRPr="00B47C3C">
              <w:rPr>
                <w:kern w:val="22"/>
                <w:sz w:val="20"/>
                <w:szCs w:val="20"/>
                <w:vertAlign w:val="superscript"/>
              </w:rPr>
              <w:t>b</w:t>
            </w:r>
            <w:proofErr w:type="spellEnd"/>
          </w:p>
        </w:tc>
        <w:tc>
          <w:tcPr>
            <w:tcW w:w="1401" w:type="dxa"/>
            <w:hideMark/>
          </w:tcPr>
          <w:p w:rsidR="008E5AB2" w:rsidRPr="00B47C3C" w:rsidRDefault="008E5AB2" w:rsidP="005C5FD7">
            <w:pPr>
              <w:keepNext/>
              <w:spacing w:line="240" w:lineRule="auto"/>
              <w:ind w:left="0" w:right="0"/>
              <w:rPr>
                <w:kern w:val="22"/>
                <w:sz w:val="20"/>
                <w:szCs w:val="20"/>
                <w:vertAlign w:val="subscript"/>
              </w:rPr>
            </w:pPr>
            <w:r w:rsidRPr="00B47C3C">
              <w:rPr>
                <w:kern w:val="22"/>
                <w:sz w:val="20"/>
                <w:szCs w:val="20"/>
              </w:rPr>
              <w:t>AUC</w:t>
            </w:r>
            <w:r w:rsidRPr="00B47C3C">
              <w:rPr>
                <w:kern w:val="22"/>
                <w:sz w:val="20"/>
                <w:szCs w:val="20"/>
                <w:vertAlign w:val="subscript"/>
              </w:rPr>
              <w:t>024</w:t>
            </w:r>
          </w:p>
          <w:p w:rsidR="00FC6A28" w:rsidRPr="00B47C3C" w:rsidRDefault="008E5AB2" w:rsidP="005C5FD7">
            <w:pPr>
              <w:keepNext/>
              <w:spacing w:line="240" w:lineRule="auto"/>
              <w:ind w:left="0" w:right="0"/>
              <w:rPr>
                <w:kern w:val="22"/>
                <w:sz w:val="20"/>
                <w:szCs w:val="20"/>
              </w:rPr>
            </w:pPr>
            <w:r w:rsidRPr="00B47C3C">
              <w:rPr>
                <w:kern w:val="22"/>
                <w:sz w:val="20"/>
                <w:szCs w:val="20"/>
              </w:rPr>
              <w:t>(</w:t>
            </w:r>
            <w:proofErr w:type="spellStart"/>
            <w:r w:rsidRPr="00B47C3C">
              <w:rPr>
                <w:kern w:val="22"/>
                <w:sz w:val="20"/>
                <w:szCs w:val="20"/>
              </w:rPr>
              <w:t>ng.h</w:t>
            </w:r>
            <w:proofErr w:type="spellEnd"/>
            <w:r w:rsidRPr="00B47C3C">
              <w:rPr>
                <w:kern w:val="22"/>
                <w:sz w:val="20"/>
                <w:szCs w:val="20"/>
              </w:rPr>
              <w:t>/</w:t>
            </w:r>
            <w:proofErr w:type="spellStart"/>
            <w:r w:rsidRPr="00B47C3C">
              <w:rPr>
                <w:kern w:val="22"/>
                <w:sz w:val="20"/>
                <w:szCs w:val="20"/>
              </w:rPr>
              <w:t>mL</w:t>
            </w:r>
            <w:proofErr w:type="spellEnd"/>
            <w:r w:rsidRPr="00B47C3C">
              <w:rPr>
                <w:kern w:val="22"/>
                <w:sz w:val="20"/>
                <w:szCs w:val="20"/>
              </w:rPr>
              <w:t>)</w:t>
            </w:r>
            <w:r w:rsidRPr="00B47C3C">
              <w:rPr>
                <w:kern w:val="22"/>
                <w:sz w:val="20"/>
                <w:szCs w:val="20"/>
                <w:vertAlign w:val="superscript"/>
              </w:rPr>
              <w:t>a</w:t>
            </w:r>
          </w:p>
        </w:tc>
        <w:tc>
          <w:tcPr>
            <w:tcW w:w="1382" w:type="dxa"/>
            <w:hideMark/>
          </w:tcPr>
          <w:p w:rsidR="00FC6A28" w:rsidRPr="00B47C3C" w:rsidRDefault="008E5AB2" w:rsidP="005C5FD7">
            <w:pPr>
              <w:keepNext/>
              <w:spacing w:line="240" w:lineRule="auto"/>
              <w:ind w:left="0" w:right="0"/>
              <w:rPr>
                <w:kern w:val="22"/>
                <w:sz w:val="20"/>
                <w:szCs w:val="20"/>
                <w:vertAlign w:val="superscript"/>
              </w:rPr>
            </w:pPr>
            <w:r w:rsidRPr="00B47C3C">
              <w:rPr>
                <w:kern w:val="22"/>
                <w:sz w:val="20"/>
                <w:szCs w:val="20"/>
              </w:rPr>
              <w:t xml:space="preserve">Exposure </w:t>
            </w:r>
            <w:proofErr w:type="spellStart"/>
            <w:r w:rsidRPr="00B47C3C">
              <w:rPr>
                <w:kern w:val="22"/>
                <w:sz w:val="20"/>
                <w:szCs w:val="20"/>
              </w:rPr>
              <w:t>margin</w:t>
            </w:r>
            <w:r w:rsidRPr="00B47C3C">
              <w:rPr>
                <w:kern w:val="22"/>
                <w:sz w:val="20"/>
                <w:szCs w:val="20"/>
                <w:vertAlign w:val="superscript"/>
              </w:rPr>
              <w:t>b</w:t>
            </w:r>
            <w:proofErr w:type="spellEnd"/>
          </w:p>
        </w:tc>
      </w:tr>
      <w:tr w:rsidR="008E5AB2" w:rsidRPr="00B47C3C" w:rsidTr="005C5FD7">
        <w:tc>
          <w:tcPr>
            <w:tcW w:w="853" w:type="dxa"/>
            <w:vMerge w:val="restart"/>
            <w:hideMark/>
          </w:tcPr>
          <w:p w:rsidR="00FC6A28" w:rsidRPr="00B47C3C" w:rsidRDefault="008E5AB2" w:rsidP="005C5FD7">
            <w:pPr>
              <w:keepNext/>
              <w:spacing w:line="240" w:lineRule="auto"/>
              <w:ind w:left="0" w:right="0"/>
              <w:rPr>
                <w:kern w:val="22"/>
                <w:sz w:val="20"/>
                <w:szCs w:val="20"/>
              </w:rPr>
            </w:pPr>
            <w:r w:rsidRPr="00B47C3C">
              <w:rPr>
                <w:kern w:val="22"/>
                <w:sz w:val="20"/>
                <w:szCs w:val="20"/>
              </w:rPr>
              <w:t>EP06-006</w:t>
            </w:r>
          </w:p>
        </w:tc>
        <w:tc>
          <w:tcPr>
            <w:tcW w:w="899" w:type="dxa"/>
            <w:vMerge w:val="restart"/>
            <w:hideMark/>
          </w:tcPr>
          <w:p w:rsidR="00FC6A28" w:rsidRPr="00B47C3C" w:rsidRDefault="008E5AB2" w:rsidP="005C5FD7">
            <w:pPr>
              <w:keepNext/>
              <w:spacing w:line="240" w:lineRule="auto"/>
              <w:ind w:left="0" w:right="0"/>
              <w:rPr>
                <w:kern w:val="22"/>
                <w:sz w:val="20"/>
                <w:szCs w:val="20"/>
              </w:rPr>
            </w:pPr>
            <w:r w:rsidRPr="00B47C3C">
              <w:rPr>
                <w:kern w:val="22"/>
                <w:sz w:val="20"/>
                <w:szCs w:val="20"/>
              </w:rPr>
              <w:t>Rat</w:t>
            </w:r>
          </w:p>
        </w:tc>
        <w:tc>
          <w:tcPr>
            <w:tcW w:w="1083"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20</w:t>
            </w:r>
          </w:p>
        </w:tc>
        <w:tc>
          <w:tcPr>
            <w:tcW w:w="658"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M/F</w:t>
            </w:r>
          </w:p>
        </w:tc>
        <w:tc>
          <w:tcPr>
            <w:tcW w:w="1266"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258</w:t>
            </w:r>
            <w:r w:rsidRPr="00B47C3C">
              <w:rPr>
                <w:kern w:val="22"/>
                <w:sz w:val="20"/>
                <w:szCs w:val="20"/>
                <w:vertAlign w:val="superscript"/>
              </w:rPr>
              <w:t>c</w:t>
            </w:r>
          </w:p>
        </w:tc>
        <w:tc>
          <w:tcPr>
            <w:tcW w:w="1385"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0.3, 1.5</w:t>
            </w:r>
          </w:p>
        </w:tc>
        <w:tc>
          <w:tcPr>
            <w:tcW w:w="1401"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241</w:t>
            </w:r>
          </w:p>
        </w:tc>
        <w:tc>
          <w:tcPr>
            <w:tcW w:w="1382"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0.3, 1.2</w:t>
            </w:r>
          </w:p>
        </w:tc>
      </w:tr>
      <w:tr w:rsidR="008E5AB2" w:rsidRPr="00B47C3C" w:rsidTr="005C5FD7">
        <w:tc>
          <w:tcPr>
            <w:tcW w:w="853" w:type="dxa"/>
            <w:vMerge/>
            <w:hideMark/>
          </w:tcPr>
          <w:p w:rsidR="008E5AB2" w:rsidRPr="00B47C3C" w:rsidRDefault="008E5AB2" w:rsidP="005C5FD7">
            <w:pPr>
              <w:keepNext/>
              <w:spacing w:line="240" w:lineRule="auto"/>
              <w:ind w:left="0" w:right="0"/>
              <w:rPr>
                <w:kern w:val="22"/>
                <w:sz w:val="20"/>
                <w:szCs w:val="20"/>
              </w:rPr>
            </w:pPr>
          </w:p>
        </w:tc>
        <w:tc>
          <w:tcPr>
            <w:tcW w:w="0" w:type="auto"/>
            <w:vMerge/>
            <w:hideMark/>
          </w:tcPr>
          <w:p w:rsidR="008E5AB2" w:rsidRPr="00B47C3C" w:rsidRDefault="008E5AB2" w:rsidP="005C5FD7">
            <w:pPr>
              <w:keepNext/>
              <w:spacing w:line="240" w:lineRule="auto"/>
              <w:ind w:left="0" w:right="0"/>
              <w:rPr>
                <w:kern w:val="22"/>
                <w:sz w:val="20"/>
                <w:szCs w:val="20"/>
              </w:rPr>
            </w:pPr>
          </w:p>
        </w:tc>
        <w:tc>
          <w:tcPr>
            <w:tcW w:w="1083"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100</w:t>
            </w:r>
          </w:p>
        </w:tc>
        <w:tc>
          <w:tcPr>
            <w:tcW w:w="658"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M/F</w:t>
            </w:r>
          </w:p>
        </w:tc>
        <w:tc>
          <w:tcPr>
            <w:tcW w:w="1266"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1603</w:t>
            </w:r>
          </w:p>
        </w:tc>
        <w:tc>
          <w:tcPr>
            <w:tcW w:w="1385"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2, 9</w:t>
            </w:r>
          </w:p>
        </w:tc>
        <w:tc>
          <w:tcPr>
            <w:tcW w:w="1401"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NA</w:t>
            </w:r>
          </w:p>
        </w:tc>
        <w:tc>
          <w:tcPr>
            <w:tcW w:w="1382"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NA</w:t>
            </w:r>
          </w:p>
        </w:tc>
      </w:tr>
      <w:tr w:rsidR="008E5AB2" w:rsidRPr="00B47C3C" w:rsidTr="005C5FD7">
        <w:tc>
          <w:tcPr>
            <w:tcW w:w="853" w:type="dxa"/>
            <w:vMerge/>
            <w:hideMark/>
          </w:tcPr>
          <w:p w:rsidR="008E5AB2" w:rsidRPr="00B47C3C" w:rsidRDefault="008E5AB2" w:rsidP="005C5FD7">
            <w:pPr>
              <w:keepNext/>
              <w:spacing w:line="240" w:lineRule="auto"/>
              <w:ind w:left="0" w:right="0"/>
              <w:rPr>
                <w:kern w:val="22"/>
                <w:sz w:val="20"/>
                <w:szCs w:val="20"/>
              </w:rPr>
            </w:pPr>
          </w:p>
        </w:tc>
        <w:tc>
          <w:tcPr>
            <w:tcW w:w="0" w:type="auto"/>
            <w:vMerge/>
            <w:hideMark/>
          </w:tcPr>
          <w:p w:rsidR="008E5AB2" w:rsidRPr="00B47C3C" w:rsidRDefault="008E5AB2" w:rsidP="005C5FD7">
            <w:pPr>
              <w:keepNext/>
              <w:spacing w:line="240" w:lineRule="auto"/>
              <w:ind w:left="0" w:right="0"/>
              <w:rPr>
                <w:kern w:val="22"/>
                <w:sz w:val="20"/>
                <w:szCs w:val="20"/>
              </w:rPr>
            </w:pPr>
          </w:p>
        </w:tc>
        <w:tc>
          <w:tcPr>
            <w:tcW w:w="1083"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500</w:t>
            </w:r>
          </w:p>
        </w:tc>
        <w:tc>
          <w:tcPr>
            <w:tcW w:w="658" w:type="dxa"/>
            <w:hideMark/>
          </w:tcPr>
          <w:p w:rsidR="00FC6A28" w:rsidRPr="00B47C3C" w:rsidRDefault="008E5AB2" w:rsidP="005C5FD7">
            <w:pPr>
              <w:keepNext/>
              <w:spacing w:line="240" w:lineRule="auto"/>
              <w:ind w:left="0" w:right="0"/>
              <w:rPr>
                <w:b/>
                <w:kern w:val="22"/>
                <w:sz w:val="20"/>
                <w:szCs w:val="20"/>
              </w:rPr>
            </w:pPr>
            <w:r w:rsidRPr="00B47C3C">
              <w:rPr>
                <w:kern w:val="22"/>
                <w:sz w:val="20"/>
                <w:szCs w:val="20"/>
              </w:rPr>
              <w:t>M/F</w:t>
            </w:r>
          </w:p>
        </w:tc>
        <w:tc>
          <w:tcPr>
            <w:tcW w:w="1266" w:type="dxa"/>
            <w:hideMark/>
          </w:tcPr>
          <w:p w:rsidR="00FC6A28" w:rsidRPr="00B47C3C" w:rsidRDefault="008E5AB2" w:rsidP="005C5FD7">
            <w:pPr>
              <w:keepNext/>
              <w:spacing w:line="240" w:lineRule="auto"/>
              <w:ind w:left="0" w:right="0"/>
              <w:rPr>
                <w:b/>
                <w:kern w:val="22"/>
                <w:sz w:val="20"/>
                <w:szCs w:val="20"/>
              </w:rPr>
            </w:pPr>
            <w:r w:rsidRPr="00B47C3C">
              <w:rPr>
                <w:kern w:val="22"/>
                <w:sz w:val="20"/>
                <w:szCs w:val="20"/>
              </w:rPr>
              <w:t>9322</w:t>
            </w:r>
          </w:p>
        </w:tc>
        <w:tc>
          <w:tcPr>
            <w:tcW w:w="1385" w:type="dxa"/>
            <w:hideMark/>
          </w:tcPr>
          <w:p w:rsidR="00FC6A28" w:rsidRPr="00B47C3C" w:rsidRDefault="008E5AB2" w:rsidP="005C5FD7">
            <w:pPr>
              <w:keepNext/>
              <w:spacing w:line="240" w:lineRule="auto"/>
              <w:ind w:left="0" w:right="0"/>
              <w:rPr>
                <w:b/>
                <w:kern w:val="22"/>
                <w:sz w:val="20"/>
                <w:szCs w:val="20"/>
              </w:rPr>
            </w:pPr>
            <w:r w:rsidRPr="00B47C3C">
              <w:rPr>
                <w:kern w:val="22"/>
                <w:sz w:val="20"/>
                <w:szCs w:val="20"/>
              </w:rPr>
              <w:t>11, 53</w:t>
            </w:r>
          </w:p>
        </w:tc>
        <w:tc>
          <w:tcPr>
            <w:tcW w:w="1401" w:type="dxa"/>
            <w:hideMark/>
          </w:tcPr>
          <w:p w:rsidR="00FC6A28" w:rsidRPr="00B47C3C" w:rsidRDefault="008E5AB2" w:rsidP="005C5FD7">
            <w:pPr>
              <w:keepNext/>
              <w:spacing w:line="240" w:lineRule="auto"/>
              <w:ind w:left="0" w:right="0"/>
              <w:rPr>
                <w:b/>
                <w:kern w:val="22"/>
                <w:sz w:val="20"/>
                <w:szCs w:val="20"/>
              </w:rPr>
            </w:pPr>
            <w:r w:rsidRPr="00B47C3C">
              <w:rPr>
                <w:kern w:val="22"/>
                <w:sz w:val="20"/>
                <w:szCs w:val="20"/>
              </w:rPr>
              <w:t>9873</w:t>
            </w:r>
          </w:p>
        </w:tc>
        <w:tc>
          <w:tcPr>
            <w:tcW w:w="1382" w:type="dxa"/>
            <w:hideMark/>
          </w:tcPr>
          <w:p w:rsidR="00FC6A28" w:rsidRPr="00B47C3C" w:rsidRDefault="008E5AB2" w:rsidP="005C5FD7">
            <w:pPr>
              <w:keepNext/>
              <w:spacing w:line="240" w:lineRule="auto"/>
              <w:ind w:left="0" w:right="0"/>
              <w:rPr>
                <w:b/>
                <w:kern w:val="22"/>
                <w:sz w:val="20"/>
                <w:szCs w:val="20"/>
              </w:rPr>
            </w:pPr>
            <w:r w:rsidRPr="00B47C3C">
              <w:rPr>
                <w:kern w:val="22"/>
                <w:sz w:val="20"/>
                <w:szCs w:val="20"/>
              </w:rPr>
              <w:t>11, 51</w:t>
            </w:r>
          </w:p>
        </w:tc>
      </w:tr>
      <w:tr w:rsidR="008E5AB2" w:rsidRPr="00B47C3C" w:rsidTr="005C5FD7">
        <w:trPr>
          <w:cantSplit/>
        </w:trPr>
        <w:tc>
          <w:tcPr>
            <w:tcW w:w="853" w:type="dxa"/>
            <w:vMerge w:val="restart"/>
            <w:hideMark/>
          </w:tcPr>
          <w:p w:rsidR="00FC6A28" w:rsidRPr="00B47C3C" w:rsidRDefault="008E5AB2" w:rsidP="005C5FD7">
            <w:pPr>
              <w:keepNext/>
              <w:spacing w:line="240" w:lineRule="auto"/>
              <w:ind w:left="0" w:right="0"/>
              <w:rPr>
                <w:kern w:val="22"/>
                <w:sz w:val="20"/>
                <w:szCs w:val="20"/>
              </w:rPr>
            </w:pPr>
            <w:r w:rsidRPr="00B47C3C">
              <w:rPr>
                <w:kern w:val="22"/>
                <w:sz w:val="20"/>
                <w:szCs w:val="20"/>
              </w:rPr>
              <w:t>EP06-101</w:t>
            </w:r>
          </w:p>
        </w:tc>
        <w:tc>
          <w:tcPr>
            <w:tcW w:w="899" w:type="dxa"/>
            <w:vMerge w:val="restart"/>
            <w:hideMark/>
          </w:tcPr>
          <w:p w:rsidR="00FC6A28" w:rsidRPr="00B47C3C" w:rsidRDefault="008E5AB2" w:rsidP="005C5FD7">
            <w:pPr>
              <w:keepNext/>
              <w:spacing w:line="240" w:lineRule="auto"/>
              <w:ind w:left="0" w:right="0"/>
              <w:rPr>
                <w:kern w:val="22"/>
                <w:sz w:val="20"/>
                <w:szCs w:val="20"/>
              </w:rPr>
            </w:pPr>
            <w:r w:rsidRPr="00B47C3C">
              <w:rPr>
                <w:kern w:val="22"/>
                <w:sz w:val="20"/>
                <w:szCs w:val="20"/>
              </w:rPr>
              <w:t>Human</w:t>
            </w:r>
          </w:p>
        </w:tc>
        <w:tc>
          <w:tcPr>
            <w:tcW w:w="1083"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10</w:t>
            </w:r>
          </w:p>
        </w:tc>
        <w:tc>
          <w:tcPr>
            <w:tcW w:w="658"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M/F</w:t>
            </w:r>
          </w:p>
        </w:tc>
        <w:tc>
          <w:tcPr>
            <w:tcW w:w="1266"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840</w:t>
            </w:r>
            <w:r w:rsidRPr="00B47C3C">
              <w:rPr>
                <w:kern w:val="22"/>
                <w:sz w:val="20"/>
                <w:szCs w:val="20"/>
                <w:vertAlign w:val="superscript"/>
              </w:rPr>
              <w:t>d</w:t>
            </w:r>
          </w:p>
        </w:tc>
        <w:tc>
          <w:tcPr>
            <w:tcW w:w="1385"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NA</w:t>
            </w:r>
          </w:p>
        </w:tc>
        <w:tc>
          <w:tcPr>
            <w:tcW w:w="1401"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908</w:t>
            </w:r>
            <w:r w:rsidRPr="00B47C3C">
              <w:rPr>
                <w:kern w:val="22"/>
                <w:sz w:val="20"/>
                <w:szCs w:val="20"/>
                <w:vertAlign w:val="superscript"/>
              </w:rPr>
              <w:t>d</w:t>
            </w:r>
          </w:p>
        </w:tc>
        <w:tc>
          <w:tcPr>
            <w:tcW w:w="1382"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NA</w:t>
            </w:r>
          </w:p>
        </w:tc>
      </w:tr>
      <w:tr w:rsidR="008E5AB2" w:rsidRPr="00B47C3C" w:rsidTr="005C5FD7">
        <w:tc>
          <w:tcPr>
            <w:tcW w:w="853" w:type="dxa"/>
            <w:vMerge/>
            <w:hideMark/>
          </w:tcPr>
          <w:p w:rsidR="008E5AB2" w:rsidRPr="00B47C3C" w:rsidRDefault="008E5AB2" w:rsidP="005C5FD7">
            <w:pPr>
              <w:keepNext/>
              <w:spacing w:line="240" w:lineRule="auto"/>
              <w:ind w:left="0" w:right="0"/>
              <w:rPr>
                <w:kern w:val="22"/>
                <w:sz w:val="20"/>
                <w:szCs w:val="20"/>
              </w:rPr>
            </w:pPr>
          </w:p>
        </w:tc>
        <w:tc>
          <w:tcPr>
            <w:tcW w:w="0" w:type="auto"/>
            <w:vMerge/>
            <w:hideMark/>
          </w:tcPr>
          <w:p w:rsidR="008E5AB2" w:rsidRPr="00B47C3C" w:rsidRDefault="008E5AB2" w:rsidP="005C5FD7">
            <w:pPr>
              <w:keepNext/>
              <w:spacing w:line="240" w:lineRule="auto"/>
              <w:ind w:left="0" w:right="0"/>
              <w:rPr>
                <w:kern w:val="22"/>
                <w:sz w:val="20"/>
                <w:szCs w:val="20"/>
              </w:rPr>
            </w:pPr>
          </w:p>
        </w:tc>
        <w:tc>
          <w:tcPr>
            <w:tcW w:w="1083"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10</w:t>
            </w:r>
          </w:p>
        </w:tc>
        <w:tc>
          <w:tcPr>
            <w:tcW w:w="658"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M/F</w:t>
            </w:r>
          </w:p>
        </w:tc>
        <w:tc>
          <w:tcPr>
            <w:tcW w:w="1266"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175</w:t>
            </w:r>
            <w:r w:rsidRPr="00B47C3C">
              <w:rPr>
                <w:kern w:val="22"/>
                <w:sz w:val="20"/>
                <w:szCs w:val="20"/>
                <w:vertAlign w:val="superscript"/>
              </w:rPr>
              <w:t>e</w:t>
            </w:r>
          </w:p>
        </w:tc>
        <w:tc>
          <w:tcPr>
            <w:tcW w:w="1385"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NA</w:t>
            </w:r>
          </w:p>
        </w:tc>
        <w:tc>
          <w:tcPr>
            <w:tcW w:w="1401"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193</w:t>
            </w:r>
            <w:r w:rsidRPr="00B47C3C">
              <w:rPr>
                <w:kern w:val="22"/>
                <w:sz w:val="20"/>
                <w:szCs w:val="20"/>
                <w:vertAlign w:val="superscript"/>
              </w:rPr>
              <w:t>e</w:t>
            </w:r>
          </w:p>
        </w:tc>
        <w:tc>
          <w:tcPr>
            <w:tcW w:w="1382" w:type="dxa"/>
            <w:hideMark/>
          </w:tcPr>
          <w:p w:rsidR="00FC6A28" w:rsidRPr="00B47C3C" w:rsidRDefault="008E5AB2" w:rsidP="005C5FD7">
            <w:pPr>
              <w:keepNext/>
              <w:spacing w:line="240" w:lineRule="auto"/>
              <w:ind w:left="0" w:right="0"/>
              <w:rPr>
                <w:kern w:val="22"/>
                <w:sz w:val="20"/>
                <w:szCs w:val="20"/>
              </w:rPr>
            </w:pPr>
            <w:r w:rsidRPr="00B47C3C">
              <w:rPr>
                <w:kern w:val="22"/>
                <w:sz w:val="20"/>
                <w:szCs w:val="20"/>
              </w:rPr>
              <w:t>NA</w:t>
            </w:r>
          </w:p>
        </w:tc>
      </w:tr>
    </w:tbl>
    <w:p w:rsidR="008E5AB2" w:rsidRPr="00016916" w:rsidRDefault="008E5AB2" w:rsidP="00016916">
      <w:pPr>
        <w:pStyle w:val="TableDescription"/>
      </w:pPr>
      <w:r w:rsidRPr="00016916">
        <w:t xml:space="preserve">a, mean AUC values from day 1 to day 28 in rats since there was no significant difference between dosing days; b, exposure margin based on AUC (human AUC at steady state, single dose); c, aberrant value in female rats excluded; d, single dose; e, steady state; NA </w:t>
      </w:r>
      <w:r w:rsidR="00016916">
        <w:t>= not applicable.</w:t>
      </w:r>
    </w:p>
    <w:p w:rsidR="008E5AB2" w:rsidRPr="008E5AB2" w:rsidRDefault="008E5AB2" w:rsidP="008E5AB2">
      <w:pPr>
        <w:rPr>
          <w:b/>
          <w:kern w:val="22"/>
        </w:rPr>
      </w:pPr>
      <w:r w:rsidRPr="008E5AB2">
        <w:rPr>
          <w:kern w:val="22"/>
        </w:rPr>
        <w:t xml:space="preserve">The objective of the nonclinical studies was to compare the </w:t>
      </w:r>
      <w:proofErr w:type="spellStart"/>
      <w:r w:rsidRPr="008E5AB2">
        <w:rPr>
          <w:kern w:val="22"/>
        </w:rPr>
        <w:t>toxicokinetic</w:t>
      </w:r>
      <w:proofErr w:type="spellEnd"/>
      <w:r w:rsidRPr="008E5AB2">
        <w:rPr>
          <w:kern w:val="22"/>
        </w:rPr>
        <w:t xml:space="preserve"> and toxicities of the two products. AUC-based exposure margins generally indicated similar outcomes for both Zarzio and Neupogen products.</w:t>
      </w:r>
      <w:bookmarkStart w:id="49" w:name="_Toc201379595"/>
    </w:p>
    <w:p w:rsidR="008E5AB2" w:rsidRPr="008E5AB2" w:rsidRDefault="008E5AB2" w:rsidP="00837764">
      <w:pPr>
        <w:pStyle w:val="Heading3"/>
        <w:rPr>
          <w:kern w:val="22"/>
        </w:rPr>
      </w:pPr>
      <w:bookmarkStart w:id="50" w:name="_Toc368569788"/>
      <w:r w:rsidRPr="008E5AB2">
        <w:rPr>
          <w:kern w:val="22"/>
        </w:rPr>
        <w:lastRenderedPageBreak/>
        <w:t>Toxicology</w:t>
      </w:r>
      <w:bookmarkEnd w:id="50"/>
    </w:p>
    <w:p w:rsidR="008E5AB2" w:rsidRPr="008E5AB2" w:rsidRDefault="008E5AB2" w:rsidP="00837764">
      <w:pPr>
        <w:pStyle w:val="Heading4"/>
        <w:rPr>
          <w:kern w:val="22"/>
        </w:rPr>
      </w:pPr>
      <w:bookmarkStart w:id="51" w:name="_Toc326845638"/>
      <w:bookmarkEnd w:id="49"/>
      <w:r w:rsidRPr="008E5AB2">
        <w:rPr>
          <w:kern w:val="22"/>
        </w:rPr>
        <w:t>Repeat dose toxicity</w:t>
      </w:r>
      <w:bookmarkEnd w:id="51"/>
    </w:p>
    <w:p w:rsidR="008E5AB2" w:rsidRPr="008E5AB2" w:rsidRDefault="00310B0D" w:rsidP="008E5AB2">
      <w:pPr>
        <w:rPr>
          <w:kern w:val="22"/>
        </w:rPr>
      </w:pPr>
      <w:r>
        <w:rPr>
          <w:kern w:val="22"/>
        </w:rPr>
        <w:t xml:space="preserve">Two 4 </w:t>
      </w:r>
      <w:r w:rsidR="008E5AB2" w:rsidRPr="008E5AB2">
        <w:rPr>
          <w:kern w:val="22"/>
        </w:rPr>
        <w:t>week repeat dose SC studies in rats were conducted, with each study using a different buffer formulation (acetate or glutamate). These studies were designed adequately with high dose selection (500 µg/kg/day), which resulted in very larg</w:t>
      </w:r>
      <w:r w:rsidR="00837764">
        <w:rPr>
          <w:kern w:val="22"/>
        </w:rPr>
        <w:t>e increases in peripheral neutro</w:t>
      </w:r>
      <w:r w:rsidR="008E5AB2" w:rsidRPr="008E5AB2">
        <w:rPr>
          <w:kern w:val="22"/>
        </w:rPr>
        <w:t xml:space="preserve">phil and </w:t>
      </w:r>
      <w:r>
        <w:rPr>
          <w:kern w:val="22"/>
        </w:rPr>
        <w:t>white blood cell (</w:t>
      </w:r>
      <w:r w:rsidR="008E5AB2" w:rsidRPr="008E5AB2">
        <w:rPr>
          <w:kern w:val="22"/>
        </w:rPr>
        <w:t>WBC</w:t>
      </w:r>
      <w:r>
        <w:rPr>
          <w:kern w:val="22"/>
        </w:rPr>
        <w:t>)</w:t>
      </w:r>
      <w:r w:rsidR="00CD4693">
        <w:rPr>
          <w:kern w:val="22"/>
        </w:rPr>
        <w:t xml:space="preserve"> counts and </w:t>
      </w:r>
      <w:proofErr w:type="spellStart"/>
      <w:r w:rsidR="00CD4693">
        <w:rPr>
          <w:kern w:val="22"/>
        </w:rPr>
        <w:t>hindlimb</w:t>
      </w:r>
      <w:proofErr w:type="spellEnd"/>
      <w:r w:rsidR="00CD4693">
        <w:rPr>
          <w:kern w:val="22"/>
        </w:rPr>
        <w:t xml:space="preserve"> toxicity.</w:t>
      </w:r>
    </w:p>
    <w:p w:rsidR="008E5AB2" w:rsidRPr="008E5AB2" w:rsidRDefault="008E5AB2" w:rsidP="008E5AB2">
      <w:pPr>
        <w:rPr>
          <w:kern w:val="22"/>
        </w:rPr>
      </w:pPr>
      <w:r w:rsidRPr="008E5AB2">
        <w:rPr>
          <w:kern w:val="22"/>
        </w:rPr>
        <w:t>Filgrastim has been established as being p</w:t>
      </w:r>
      <w:r>
        <w:rPr>
          <w:kern w:val="22"/>
        </w:rPr>
        <w:t>harmacologically active in rats</w:t>
      </w:r>
      <w:r w:rsidRPr="008E5AB2">
        <w:rPr>
          <w:kern w:val="22"/>
        </w:rPr>
        <w:t>; therefore, assessment of filgrastim in one non-primate species is considered acceptable. Likewise, the indicated duration of clinical use</w:t>
      </w:r>
      <w:r w:rsidRPr="008E5AB2">
        <w:rPr>
          <w:kern w:val="22"/>
          <w:vertAlign w:val="superscript"/>
        </w:rPr>
        <w:footnoteReference w:id="2"/>
      </w:r>
      <w:r w:rsidRPr="008E5AB2">
        <w:rPr>
          <w:kern w:val="22"/>
        </w:rPr>
        <w:t xml:space="preserve"> may usually justify the need for a study of &gt;4 weeks duration. However, four weeks was considered an adequate duration for the pro</w:t>
      </w:r>
      <w:r>
        <w:rPr>
          <w:kern w:val="22"/>
        </w:rPr>
        <w:t>posed product</w:t>
      </w:r>
      <w:r w:rsidRPr="008E5AB2">
        <w:rPr>
          <w:kern w:val="22"/>
        </w:rPr>
        <w:t xml:space="preserve">. The studies were GLP compliant and </w:t>
      </w:r>
      <w:r w:rsidR="00310B0D">
        <w:rPr>
          <w:kern w:val="22"/>
        </w:rPr>
        <w:t>the design for both studies was</w:t>
      </w:r>
      <w:r w:rsidRPr="008E5AB2">
        <w:rPr>
          <w:kern w:val="22"/>
        </w:rPr>
        <w:t xml:space="preserve"> consistent with the relevant guideline for </w:t>
      </w:r>
      <w:proofErr w:type="spellStart"/>
      <w:r w:rsidRPr="008E5AB2">
        <w:rPr>
          <w:kern w:val="22"/>
        </w:rPr>
        <w:t>biosimilar</w:t>
      </w:r>
      <w:proofErr w:type="spellEnd"/>
      <w:r w:rsidRPr="008E5AB2">
        <w:rPr>
          <w:kern w:val="22"/>
        </w:rPr>
        <w:t xml:space="preserve"> products containing recombinant G-CSF.</w:t>
      </w:r>
    </w:p>
    <w:p w:rsidR="008E5AB2" w:rsidRPr="008E5AB2" w:rsidRDefault="008E5AB2" w:rsidP="008E5AB2">
      <w:pPr>
        <w:rPr>
          <w:kern w:val="22"/>
        </w:rPr>
      </w:pPr>
      <w:r w:rsidRPr="008E5AB2">
        <w:rPr>
          <w:kern w:val="22"/>
        </w:rPr>
        <w:t>The majority of findings occurred at all doses of Zarzi</w:t>
      </w:r>
      <w:r w:rsidR="00310B0D">
        <w:rPr>
          <w:kern w:val="22"/>
        </w:rPr>
        <w:t>o and Neupogen (20, 100 and 500 </w:t>
      </w:r>
      <w:r w:rsidRPr="008E5AB2">
        <w:rPr>
          <w:kern w:val="22"/>
        </w:rPr>
        <w:t xml:space="preserve">µg/kg; the lowest dose was less than the typical range of clinical exposures, based on AUC and µg/kg), and were consistent with the primary pharmacology of filgrastim, namely increased neutrophil and other </w:t>
      </w:r>
      <w:r w:rsidR="00310B0D">
        <w:rPr>
          <w:kern w:val="22"/>
        </w:rPr>
        <w:t xml:space="preserve">WBC </w:t>
      </w:r>
      <w:r w:rsidRPr="008E5AB2">
        <w:rPr>
          <w:kern w:val="22"/>
        </w:rPr>
        <w:t>parameters, and haematopoiesis in the spleen and myeloid hyperplasia in spleen, liver and bone marrow. The incidence and severity of findings were similar for Zarzio and Neupogen, consistent with the observed exposure levels.</w:t>
      </w:r>
    </w:p>
    <w:p w:rsidR="008E5AB2" w:rsidRPr="008E5AB2" w:rsidRDefault="008E5AB2" w:rsidP="008E5AB2">
      <w:pPr>
        <w:rPr>
          <w:kern w:val="22"/>
        </w:rPr>
      </w:pPr>
      <w:r w:rsidRPr="008E5AB2">
        <w:rPr>
          <w:kern w:val="22"/>
        </w:rPr>
        <w:t xml:space="preserve">Toxicity to the </w:t>
      </w:r>
      <w:proofErr w:type="spellStart"/>
      <w:r w:rsidRPr="008E5AB2">
        <w:rPr>
          <w:kern w:val="22"/>
        </w:rPr>
        <w:t>hindlimb</w:t>
      </w:r>
      <w:proofErr w:type="spellEnd"/>
      <w:r w:rsidRPr="008E5AB2">
        <w:rPr>
          <w:kern w:val="22"/>
        </w:rPr>
        <w:t xml:space="preserve"> was observed at high doses in male rats only. These finding</w:t>
      </w:r>
      <w:r w:rsidR="00310B0D">
        <w:rPr>
          <w:kern w:val="22"/>
        </w:rPr>
        <w:t xml:space="preserve">s were described as swelling (1 of </w:t>
      </w:r>
      <w:r w:rsidRPr="008E5AB2">
        <w:rPr>
          <w:kern w:val="22"/>
        </w:rPr>
        <w:t xml:space="preserve">15 </w:t>
      </w:r>
      <w:r w:rsidR="00310B0D">
        <w:rPr>
          <w:kern w:val="22"/>
        </w:rPr>
        <w:t xml:space="preserve">rats </w:t>
      </w:r>
      <w:r w:rsidRPr="008E5AB2">
        <w:rPr>
          <w:kern w:val="22"/>
        </w:rPr>
        <w:t xml:space="preserve">for Zarzio and 3/15 for Neupogen) with paralysis only observed in Neupogen-treated rats (3/15, the same rats that exhibited swelling). The sponsor provided limited discussion of these findings; however, toxicity to </w:t>
      </w:r>
      <w:proofErr w:type="spellStart"/>
      <w:r w:rsidRPr="008E5AB2">
        <w:rPr>
          <w:kern w:val="22"/>
        </w:rPr>
        <w:t>hindlimb</w:t>
      </w:r>
      <w:proofErr w:type="spellEnd"/>
      <w:r w:rsidRPr="008E5AB2">
        <w:rPr>
          <w:kern w:val="22"/>
        </w:rPr>
        <w:t xml:space="preserve"> is a known adverse effect of </w:t>
      </w:r>
      <w:proofErr w:type="spellStart"/>
      <w:r w:rsidRPr="008E5AB2">
        <w:rPr>
          <w:kern w:val="22"/>
        </w:rPr>
        <w:t>filgrastim</w:t>
      </w:r>
      <w:proofErr w:type="spellEnd"/>
      <w:r w:rsidRPr="008E5AB2">
        <w:rPr>
          <w:kern w:val="22"/>
        </w:rPr>
        <w:t xml:space="preserve"> treatment in</w:t>
      </w:r>
      <w:r w:rsidR="00CD4693">
        <w:rPr>
          <w:kern w:val="22"/>
        </w:rPr>
        <w:t xml:space="preserve"> rats.</w:t>
      </w:r>
    </w:p>
    <w:p w:rsidR="008E5AB2" w:rsidRPr="008E5AB2" w:rsidRDefault="008E5AB2" w:rsidP="00837764">
      <w:pPr>
        <w:pStyle w:val="Heading4"/>
        <w:rPr>
          <w:kern w:val="22"/>
        </w:rPr>
      </w:pPr>
      <w:bookmarkStart w:id="52" w:name="_Toc326845639"/>
      <w:r w:rsidRPr="008E5AB2">
        <w:rPr>
          <w:kern w:val="22"/>
        </w:rPr>
        <w:t>Immunogenicity</w:t>
      </w:r>
      <w:bookmarkEnd w:id="52"/>
    </w:p>
    <w:p w:rsidR="008E5AB2" w:rsidRPr="008E5AB2" w:rsidRDefault="008E5AB2" w:rsidP="008E5AB2">
      <w:pPr>
        <w:rPr>
          <w:kern w:val="22"/>
        </w:rPr>
      </w:pPr>
      <w:r w:rsidRPr="008E5AB2">
        <w:rPr>
          <w:kern w:val="22"/>
        </w:rPr>
        <w:t>Serum obtained from rats in the repeat dose toxicity study was analysed for anti-G-CSF antibodies; however, the sponsor did not provide any data for the neutralising ability of these antibodies (neutralising antibodies). As expected, rats with detectable antibodies were identified in all treatment groups, although there was no dose-response relationship in female rats for Zarzio. There was no significant difference in the imm</w:t>
      </w:r>
      <w:r w:rsidR="006B5EC6">
        <w:rPr>
          <w:kern w:val="22"/>
        </w:rPr>
        <w:t>unogenicity of the two products</w:t>
      </w:r>
      <w:r w:rsidRPr="008E5AB2">
        <w:rPr>
          <w:kern w:val="22"/>
        </w:rPr>
        <w:t xml:space="preserve"> based on the assays conducted.</w:t>
      </w:r>
    </w:p>
    <w:p w:rsidR="008E5AB2" w:rsidRPr="008E5AB2" w:rsidRDefault="008E5AB2" w:rsidP="00837764">
      <w:pPr>
        <w:pStyle w:val="Heading4"/>
        <w:rPr>
          <w:kern w:val="22"/>
        </w:rPr>
      </w:pPr>
      <w:bookmarkStart w:id="53" w:name="_Toc326845640"/>
      <w:bookmarkStart w:id="54" w:name="_Toc250641443"/>
      <w:r w:rsidRPr="008E5AB2">
        <w:rPr>
          <w:kern w:val="22"/>
        </w:rPr>
        <w:t>Local tolerance</w:t>
      </w:r>
      <w:bookmarkEnd w:id="53"/>
      <w:bookmarkEnd w:id="54"/>
    </w:p>
    <w:p w:rsidR="008E5AB2" w:rsidRPr="008E5AB2" w:rsidRDefault="008E5AB2" w:rsidP="008E5AB2">
      <w:pPr>
        <w:rPr>
          <w:kern w:val="22"/>
        </w:rPr>
      </w:pPr>
      <w:r w:rsidRPr="008E5AB2">
        <w:rPr>
          <w:kern w:val="22"/>
        </w:rPr>
        <w:t xml:space="preserve">The local toxicity of Zarzio was compared with Neupogen following administration of a single IV, SC, </w:t>
      </w:r>
      <w:r w:rsidR="00310B0D">
        <w:rPr>
          <w:kern w:val="22"/>
        </w:rPr>
        <w:t>intramuscular (</w:t>
      </w:r>
      <w:r w:rsidRPr="008E5AB2">
        <w:rPr>
          <w:kern w:val="22"/>
        </w:rPr>
        <w:t>IM</w:t>
      </w:r>
      <w:r w:rsidR="00310B0D">
        <w:rPr>
          <w:kern w:val="22"/>
        </w:rPr>
        <w:t>)</w:t>
      </w:r>
      <w:r w:rsidRPr="008E5AB2">
        <w:rPr>
          <w:kern w:val="22"/>
        </w:rPr>
        <w:t xml:space="preserve">, </w:t>
      </w:r>
      <w:proofErr w:type="spellStart"/>
      <w:r w:rsidRPr="008E5AB2">
        <w:rPr>
          <w:kern w:val="22"/>
        </w:rPr>
        <w:t>paravenous</w:t>
      </w:r>
      <w:proofErr w:type="spellEnd"/>
      <w:r w:rsidRPr="008E5AB2">
        <w:rPr>
          <w:kern w:val="22"/>
        </w:rPr>
        <w:t xml:space="preserve"> (PV)</w:t>
      </w:r>
      <w:r w:rsidR="00837764">
        <w:rPr>
          <w:kern w:val="22"/>
        </w:rPr>
        <w:t xml:space="preserve"> </w:t>
      </w:r>
      <w:r w:rsidRPr="008E5AB2">
        <w:rPr>
          <w:kern w:val="22"/>
        </w:rPr>
        <w:t xml:space="preserve">or intra-arterial (IA) dose of 480 µg in 0.5 mL to rabbits. IV administration </w:t>
      </w:r>
      <w:r w:rsidR="005C5FD7">
        <w:rPr>
          <w:kern w:val="22"/>
        </w:rPr>
        <w:t xml:space="preserve">of Zarzio and Neupogen was well </w:t>
      </w:r>
      <w:r w:rsidRPr="008E5AB2">
        <w:rPr>
          <w:kern w:val="22"/>
        </w:rPr>
        <w:t>tolerated in rabbits, with no irritation for 96 h post-dose. Administration of Zarzio, Neupogen or vehicle to rabbits resulted in no erythema or oedema formation. Isolated incidences of histopathology findings (</w:t>
      </w:r>
      <w:r w:rsidR="00310B0D">
        <w:rPr>
          <w:kern w:val="22"/>
        </w:rPr>
        <w:t xml:space="preserve">such as </w:t>
      </w:r>
      <w:r w:rsidRPr="008E5AB2">
        <w:rPr>
          <w:kern w:val="22"/>
        </w:rPr>
        <w:t xml:space="preserve">slight haemorrhages, slight serous inflammation, defect of </w:t>
      </w:r>
      <w:r w:rsidR="006B5EC6">
        <w:rPr>
          <w:kern w:val="22"/>
        </w:rPr>
        <w:t xml:space="preserve">the </w:t>
      </w:r>
      <w:r w:rsidRPr="008E5AB2">
        <w:rPr>
          <w:kern w:val="22"/>
        </w:rPr>
        <w:t>vessel wall, SC haemorrhages and coagulation thrombus) were observed in drug and saline treated rabbits by the SC and IM routes</w:t>
      </w:r>
      <w:r w:rsidR="005C5FD7">
        <w:rPr>
          <w:kern w:val="22"/>
        </w:rPr>
        <w:t>,</w:t>
      </w:r>
      <w:r w:rsidRPr="008E5AB2">
        <w:rPr>
          <w:kern w:val="22"/>
        </w:rPr>
        <w:t xml:space="preserve"> without a clear relationship to drug treatment. The incidence of in-life findings was simil</w:t>
      </w:r>
      <w:r w:rsidR="00CD4693">
        <w:rPr>
          <w:kern w:val="22"/>
        </w:rPr>
        <w:t xml:space="preserve">ar for </w:t>
      </w:r>
      <w:proofErr w:type="spellStart"/>
      <w:r w:rsidR="00CD4693">
        <w:rPr>
          <w:kern w:val="22"/>
        </w:rPr>
        <w:t>Zarzio</w:t>
      </w:r>
      <w:proofErr w:type="spellEnd"/>
      <w:r w:rsidR="00CD4693">
        <w:rPr>
          <w:kern w:val="22"/>
        </w:rPr>
        <w:t xml:space="preserve"> and </w:t>
      </w:r>
      <w:proofErr w:type="spellStart"/>
      <w:r w:rsidR="00CD4693">
        <w:rPr>
          <w:kern w:val="22"/>
        </w:rPr>
        <w:t>Neupogen</w:t>
      </w:r>
      <w:proofErr w:type="spellEnd"/>
      <w:r w:rsidR="00CD4693">
        <w:rPr>
          <w:kern w:val="22"/>
        </w:rPr>
        <w:t>.</w:t>
      </w:r>
    </w:p>
    <w:p w:rsidR="008E5AB2" w:rsidRPr="008E5AB2" w:rsidRDefault="008E5AB2" w:rsidP="008E5AB2">
      <w:pPr>
        <w:rPr>
          <w:kern w:val="22"/>
        </w:rPr>
      </w:pPr>
      <w:r w:rsidRPr="008E5AB2">
        <w:rPr>
          <w:kern w:val="22"/>
        </w:rPr>
        <w:t xml:space="preserve">Thus, Zarzio treatment by the SC or IV route </w:t>
      </w:r>
      <w:r w:rsidR="00310B0D" w:rsidRPr="008E5AB2">
        <w:rPr>
          <w:kern w:val="22"/>
        </w:rPr>
        <w:t xml:space="preserve">in rabbits </w:t>
      </w:r>
      <w:r w:rsidRPr="008E5AB2">
        <w:rPr>
          <w:kern w:val="22"/>
        </w:rPr>
        <w:t xml:space="preserve">resulted in a similar local toxicity profile </w:t>
      </w:r>
      <w:r w:rsidR="00310B0D" w:rsidRPr="00310B0D">
        <w:rPr>
          <w:kern w:val="22"/>
        </w:rPr>
        <w:t>compared with</w:t>
      </w:r>
      <w:r w:rsidR="00310B0D">
        <w:rPr>
          <w:i/>
          <w:kern w:val="22"/>
        </w:rPr>
        <w:t xml:space="preserve"> </w:t>
      </w:r>
      <w:proofErr w:type="spellStart"/>
      <w:r w:rsidR="00310B0D" w:rsidRPr="008E5AB2">
        <w:rPr>
          <w:kern w:val="22"/>
        </w:rPr>
        <w:t>Neupogen</w:t>
      </w:r>
      <w:proofErr w:type="spellEnd"/>
      <w:r w:rsidR="00310B0D">
        <w:rPr>
          <w:kern w:val="22"/>
        </w:rPr>
        <w:t>.</w:t>
      </w:r>
    </w:p>
    <w:p w:rsidR="008E7846" w:rsidRDefault="008E7846" w:rsidP="008E7846">
      <w:pPr>
        <w:pStyle w:val="Heading3"/>
      </w:pPr>
      <w:bookmarkStart w:id="55" w:name="_Toc247691515"/>
      <w:bookmarkStart w:id="56" w:name="_Toc314842499"/>
      <w:bookmarkStart w:id="57" w:name="_Toc368569789"/>
      <w:r>
        <w:lastRenderedPageBreak/>
        <w:t>Nonclinical summary and conclusions</w:t>
      </w:r>
      <w:bookmarkEnd w:id="55"/>
      <w:bookmarkEnd w:id="56"/>
      <w:bookmarkEnd w:id="57"/>
    </w:p>
    <w:p w:rsidR="008E5AB2" w:rsidRPr="008E5AB2" w:rsidRDefault="008E5AB2" w:rsidP="00AA4802">
      <w:pPr>
        <w:pStyle w:val="ListBullet"/>
      </w:pPr>
      <w:r w:rsidRPr="008E5AB2">
        <w:t xml:space="preserve">Nonclinical comparative studies submitted in support of the proposed </w:t>
      </w:r>
      <w:proofErr w:type="spellStart"/>
      <w:r w:rsidRPr="008E5AB2">
        <w:t>biosimilar</w:t>
      </w:r>
      <w:proofErr w:type="spellEnd"/>
      <w:r w:rsidRPr="008E5AB2">
        <w:t xml:space="preserve"> product included an </w:t>
      </w:r>
      <w:r w:rsidRPr="008E5AB2">
        <w:rPr>
          <w:i/>
        </w:rPr>
        <w:t xml:space="preserve">in vivo </w:t>
      </w:r>
      <w:r w:rsidR="00310B0D">
        <w:t xml:space="preserve">PD study, a </w:t>
      </w:r>
      <w:proofErr w:type="spellStart"/>
      <w:r w:rsidR="00310B0D">
        <w:t>toxicokinetic</w:t>
      </w:r>
      <w:proofErr w:type="spellEnd"/>
      <w:r w:rsidR="00310B0D">
        <w:t xml:space="preserve"> study, two 4 </w:t>
      </w:r>
      <w:r w:rsidRPr="008E5AB2">
        <w:t xml:space="preserve">week repeat dose SC toxicity studies in rats and a single dose SC, IV, IM, PV and IA local tolerance study in rabbits. The studies were GLP compliant and consistent with the EU guideline </w:t>
      </w:r>
      <w:r w:rsidRPr="007228A7">
        <w:rPr>
          <w:i/>
        </w:rPr>
        <w:t>Guidance on similar medicinal products containing recombinant granulocyte-colony stimulating factor</w:t>
      </w:r>
      <w:r w:rsidRPr="008E5AB2">
        <w:t>. Neupogen, which is registered in Australia, was used as</w:t>
      </w:r>
      <w:r w:rsidR="00CD4693">
        <w:t xml:space="preserve"> the comparator in all studies.</w:t>
      </w:r>
    </w:p>
    <w:p w:rsidR="008E5AB2" w:rsidRPr="008E5AB2" w:rsidRDefault="008E5AB2" w:rsidP="00AA4802">
      <w:pPr>
        <w:pStyle w:val="ListBullet"/>
      </w:pPr>
      <w:r w:rsidRPr="008E5AB2">
        <w:t xml:space="preserve">The </w:t>
      </w:r>
      <w:r w:rsidR="007228A7">
        <w:t xml:space="preserve">PD </w:t>
      </w:r>
      <w:r w:rsidRPr="008E5AB2">
        <w:t xml:space="preserve">properties of </w:t>
      </w:r>
      <w:r w:rsidR="007228A7">
        <w:t xml:space="preserve">Zarzio </w:t>
      </w:r>
      <w:r w:rsidRPr="008E5AB2">
        <w:t xml:space="preserve">and Neupogen were similar </w:t>
      </w:r>
      <w:r w:rsidRPr="008E5AB2">
        <w:rPr>
          <w:i/>
        </w:rPr>
        <w:t>in vivo</w:t>
      </w:r>
      <w:r w:rsidRPr="008E5AB2">
        <w:t xml:space="preserve"> in normal and neutropenic rats, at doses similar to and greater than exposure (extrapolated AUC) at the recommended clinical starting doses of 5-10 µg/kg.</w:t>
      </w:r>
    </w:p>
    <w:p w:rsidR="008E5AB2" w:rsidRPr="008E5AB2" w:rsidRDefault="008E5AB2" w:rsidP="00AA4802">
      <w:pPr>
        <w:pStyle w:val="ListBullet"/>
      </w:pPr>
      <w:r w:rsidRPr="008E5AB2">
        <w:t>The toxicity profiles of Z</w:t>
      </w:r>
      <w:r w:rsidR="007228A7">
        <w:t>arzio</w:t>
      </w:r>
      <w:r w:rsidRPr="008E5AB2">
        <w:t xml:space="preserve"> and Neupogen in two 4</w:t>
      </w:r>
      <w:r w:rsidR="007228A7">
        <w:t xml:space="preserve"> </w:t>
      </w:r>
      <w:r w:rsidRPr="008E5AB2">
        <w:t xml:space="preserve">week repeat dose SC study in rats were similar, and consistent with the primary pharmacology of the products (increased neutrophil and other </w:t>
      </w:r>
      <w:r w:rsidR="007228A7">
        <w:t xml:space="preserve">WBC </w:t>
      </w:r>
      <w:r w:rsidRPr="008E5AB2">
        <w:t xml:space="preserve">parameters, and haematopoiesis in the spleen and myeloid hyperplasia in spleen, liver and bone marrow). </w:t>
      </w:r>
      <w:proofErr w:type="spellStart"/>
      <w:r w:rsidRPr="008E5AB2">
        <w:t>Hindlimb</w:t>
      </w:r>
      <w:proofErr w:type="spellEnd"/>
      <w:r w:rsidRPr="008E5AB2">
        <w:t xml:space="preserve"> swelling, a known effect of filgrastim in rats, was observed in rats treated with Z</w:t>
      </w:r>
      <w:r w:rsidR="007228A7">
        <w:t>arzio</w:t>
      </w:r>
      <w:r w:rsidRPr="008E5AB2">
        <w:t xml:space="preserve"> or Neupogen. The incidence and severity of findings were similar for both Z</w:t>
      </w:r>
      <w:r w:rsidR="007228A7">
        <w:t xml:space="preserve">arzio </w:t>
      </w:r>
      <w:r w:rsidRPr="008E5AB2">
        <w:t>and Neupogen, which is consistent with the observed comparable exposure levels for the two formulations.</w:t>
      </w:r>
    </w:p>
    <w:p w:rsidR="008E5AB2" w:rsidRPr="008E5AB2" w:rsidRDefault="008E5AB2" w:rsidP="00AA4802">
      <w:pPr>
        <w:pStyle w:val="ListBullet"/>
      </w:pPr>
      <w:r w:rsidRPr="008E5AB2">
        <w:t>Secondary pharmacology, safety pharmacology, genotoxicity, carcinogenicity and reproductive toxicity studies were not conducted, which was considered accep</w:t>
      </w:r>
      <w:r w:rsidR="00CD4693">
        <w:t xml:space="preserve">table for a </w:t>
      </w:r>
      <w:proofErr w:type="spellStart"/>
      <w:r w:rsidR="00CD4693">
        <w:t>biosimilar</w:t>
      </w:r>
      <w:proofErr w:type="spellEnd"/>
      <w:r w:rsidR="00CD4693">
        <w:t xml:space="preserve"> product.</w:t>
      </w:r>
    </w:p>
    <w:p w:rsidR="008E5AB2" w:rsidRPr="008E5AB2" w:rsidRDefault="008E5AB2" w:rsidP="00AA4802">
      <w:pPr>
        <w:pStyle w:val="ListBullet"/>
      </w:pPr>
      <w:r w:rsidRPr="008E5AB2">
        <w:t>Z</w:t>
      </w:r>
      <w:r w:rsidR="007228A7">
        <w:t xml:space="preserve">arzio </w:t>
      </w:r>
      <w:r w:rsidRPr="008E5AB2">
        <w:t>and Neupogen treatment by SC, IV, PV, IA and IM routes resulted in similar toxicity profiles in rats.</w:t>
      </w:r>
    </w:p>
    <w:p w:rsidR="008E5AB2" w:rsidRPr="008E5AB2" w:rsidRDefault="008E5AB2" w:rsidP="00AA4802">
      <w:pPr>
        <w:pStyle w:val="ListBullet"/>
      </w:pPr>
      <w:r w:rsidRPr="008E5AB2">
        <w:t>There was no difference in the immunogenicity of the two products, based on formation of anti-</w:t>
      </w:r>
      <w:proofErr w:type="spellStart"/>
      <w:r w:rsidRPr="008E5AB2">
        <w:t>rhG</w:t>
      </w:r>
      <w:proofErr w:type="spellEnd"/>
      <w:r w:rsidRPr="008E5AB2">
        <w:t>-CSF antibodies in rats.</w:t>
      </w:r>
    </w:p>
    <w:p w:rsidR="007228A7" w:rsidRDefault="008E5AB2" w:rsidP="007228A7">
      <w:pPr>
        <w:pStyle w:val="ListBullet"/>
      </w:pPr>
      <w:r w:rsidRPr="008E5AB2">
        <w:t xml:space="preserve">The similarity of </w:t>
      </w:r>
      <w:r w:rsidR="007228A7">
        <w:t xml:space="preserve">Zarzio </w:t>
      </w:r>
      <w:r w:rsidRPr="008E5AB2">
        <w:t xml:space="preserve">and Neupogen has been adequately demonstrated in nonclinical studies, and there are therefore no nonclinical objections to the registration of </w:t>
      </w:r>
      <w:proofErr w:type="spellStart"/>
      <w:r w:rsidR="007228A7">
        <w:t>Zarzio</w:t>
      </w:r>
      <w:proofErr w:type="spellEnd"/>
      <w:r w:rsidR="007228A7">
        <w:t xml:space="preserve"> </w:t>
      </w:r>
      <w:r w:rsidR="00CD4693">
        <w:t>Sandoz.</w:t>
      </w:r>
    </w:p>
    <w:p w:rsidR="008E7846" w:rsidRDefault="007228A7" w:rsidP="007228A7">
      <w:pPr>
        <w:pStyle w:val="ListBullet"/>
      </w:pPr>
      <w:r>
        <w:t xml:space="preserve">Revisions to the nonclinical statements in the proposed PI were recommended. Details of these are </w:t>
      </w:r>
      <w:r w:rsidR="00CD4693">
        <w:t xml:space="preserve">beyond the scope of the </w:t>
      </w:r>
      <w:proofErr w:type="spellStart"/>
      <w:r w:rsidR="00CD4693">
        <w:t>AusPAR</w:t>
      </w:r>
      <w:proofErr w:type="spellEnd"/>
      <w:r w:rsidR="00CD4693">
        <w:t>.</w:t>
      </w:r>
    </w:p>
    <w:p w:rsidR="008E7846" w:rsidRPr="00254787" w:rsidRDefault="008E7846" w:rsidP="008E7846">
      <w:pPr>
        <w:pStyle w:val="Heading2"/>
      </w:pPr>
      <w:bookmarkStart w:id="58" w:name="_Toc196046462"/>
      <w:bookmarkStart w:id="59" w:name="_Toc247691516"/>
      <w:bookmarkStart w:id="60" w:name="_Toc314842500"/>
      <w:bookmarkStart w:id="61" w:name="_Toc368569790"/>
      <w:bookmarkStart w:id="62" w:name="_Toc163441353"/>
      <w:bookmarkStart w:id="63" w:name="_Toc163441348"/>
      <w:r>
        <w:t xml:space="preserve">IV. </w:t>
      </w:r>
      <w:r w:rsidRPr="00254787">
        <w:t>Clinical</w:t>
      </w:r>
      <w:bookmarkEnd w:id="58"/>
      <w:r>
        <w:t xml:space="preserve"> </w:t>
      </w:r>
      <w:r w:rsidR="003A7F6C">
        <w:t>f</w:t>
      </w:r>
      <w:r>
        <w:t>indings</w:t>
      </w:r>
      <w:bookmarkEnd w:id="59"/>
      <w:bookmarkEnd w:id="60"/>
      <w:bookmarkEnd w:id="61"/>
    </w:p>
    <w:p w:rsidR="00C80137" w:rsidRDefault="00C80137" w:rsidP="008E7846">
      <w:bookmarkStart w:id="64" w:name="_Toc196046463"/>
      <w:r w:rsidRPr="0071153F">
        <w:t>A summary of the clinical findings is presented in this section. Further details of these clinical findings can be found in Attachment 2.</w:t>
      </w:r>
    </w:p>
    <w:p w:rsidR="00BA6136" w:rsidRPr="0071153F" w:rsidRDefault="00BA6136" w:rsidP="008E7846">
      <w:r>
        <w:t xml:space="preserve">In the clinical findings sections, below, </w:t>
      </w:r>
      <w:r w:rsidR="005C5FD7">
        <w:t>the proposed product ‘</w:t>
      </w:r>
      <w:r w:rsidRPr="00BA6136">
        <w:t>Zarzio</w:t>
      </w:r>
      <w:r w:rsidR="005C5FD7">
        <w:t>’</w:t>
      </w:r>
      <w:r w:rsidRPr="00BA6136">
        <w:t xml:space="preserve"> </w:t>
      </w:r>
      <w:r>
        <w:t xml:space="preserve">is mainly </w:t>
      </w:r>
      <w:r w:rsidRPr="00BA6136">
        <w:t>referred to as EP2006</w:t>
      </w:r>
      <w:r>
        <w:t xml:space="preserve">, and the </w:t>
      </w:r>
      <w:r w:rsidRPr="00BA6136">
        <w:t xml:space="preserve">reference product </w:t>
      </w:r>
      <w:r>
        <w:t xml:space="preserve">is </w:t>
      </w:r>
      <w:r w:rsidRPr="00BA6136">
        <w:t>referred to as Neupogen.</w:t>
      </w:r>
    </w:p>
    <w:p w:rsidR="008E7846" w:rsidRDefault="008E7846" w:rsidP="008E7846">
      <w:pPr>
        <w:pStyle w:val="Heading3"/>
      </w:pPr>
      <w:bookmarkStart w:id="65" w:name="_Toc247691517"/>
      <w:bookmarkStart w:id="66" w:name="_Toc314842501"/>
      <w:bookmarkStart w:id="67" w:name="_Toc368569791"/>
      <w:r w:rsidRPr="00254787">
        <w:t>Introduction</w:t>
      </w:r>
      <w:bookmarkEnd w:id="64"/>
      <w:bookmarkEnd w:id="65"/>
      <w:bookmarkEnd w:id="66"/>
      <w:bookmarkEnd w:id="67"/>
    </w:p>
    <w:p w:rsidR="00EE228B" w:rsidRPr="00EE228B" w:rsidRDefault="00EE228B" w:rsidP="00EE228B">
      <w:r w:rsidRPr="00EE228B">
        <w:t xml:space="preserve">The proposed drug is </w:t>
      </w:r>
      <w:proofErr w:type="spellStart"/>
      <w:r w:rsidRPr="00EE228B">
        <w:t>rhG</w:t>
      </w:r>
      <w:proofErr w:type="spellEnd"/>
      <w:r w:rsidRPr="00EE228B">
        <w:t>-CSF (EP2006) and is claimed by the sponsor to be similar to the reference product Neupogen in terms o</w:t>
      </w:r>
      <w:r w:rsidR="002B6387">
        <w:t>f quality, safety and efficacy.</w:t>
      </w:r>
    </w:p>
    <w:p w:rsidR="00EE228B" w:rsidRPr="00EE228B" w:rsidRDefault="00EE228B" w:rsidP="00EE228B">
      <w:r w:rsidRPr="00EE228B">
        <w:t xml:space="preserve">The sponsor states that the development of EP2006 was in keeping with the regulatory requirements for similar biological medicinal </w:t>
      </w:r>
      <w:r w:rsidR="00C87094">
        <w:t>products as laid down in the EM</w:t>
      </w:r>
      <w:r w:rsidRPr="00EE228B">
        <w:t xml:space="preserve">A guidelines (EMEA/CHMP/42832/05, EMEA/CHMP/BWMP/31329/05). The objective of the clinical development program was to demonstrate </w:t>
      </w:r>
      <w:r w:rsidR="00C87094">
        <w:t xml:space="preserve">PK </w:t>
      </w:r>
      <w:r w:rsidRPr="00EE228B">
        <w:t xml:space="preserve">and </w:t>
      </w:r>
      <w:r w:rsidR="00C87094">
        <w:t xml:space="preserve">PD </w:t>
      </w:r>
      <w:r w:rsidRPr="00EE228B">
        <w:t>equivalence of EP2006 and Neupogen, safety of EP2006 and absence of anti-G-CSF antibodies.</w:t>
      </w:r>
    </w:p>
    <w:p w:rsidR="00EE228B" w:rsidRPr="00EE228B" w:rsidRDefault="00EE228B" w:rsidP="002B6387">
      <w:r w:rsidRPr="00EE228B">
        <w:lastRenderedPageBreak/>
        <w:t>The s</w:t>
      </w:r>
      <w:r w:rsidR="00C87094">
        <w:t>ubmission consisted of 4 Phase I</w:t>
      </w:r>
      <w:r w:rsidRPr="00EE228B">
        <w:t xml:space="preserve"> studies (Study EP06-101, EP06-102, EP06-10</w:t>
      </w:r>
      <w:r w:rsidR="00C87094">
        <w:t>3, and EP06-105) and one Phase III</w:t>
      </w:r>
      <w:r w:rsidRPr="00EE228B">
        <w:t xml:space="preserve"> s</w:t>
      </w:r>
      <w:r w:rsidR="00F26004">
        <w:t xml:space="preserve">tudy (EP06-301). See Figure </w:t>
      </w:r>
      <w:r w:rsidR="006B5EC6">
        <w:t>2</w:t>
      </w:r>
      <w:r w:rsidR="00F26004">
        <w:t xml:space="preserve">. </w:t>
      </w:r>
    </w:p>
    <w:p w:rsidR="00EE228B" w:rsidRPr="00EE228B" w:rsidRDefault="00C87094" w:rsidP="00C87094">
      <w:pPr>
        <w:keepNext/>
        <w:rPr>
          <w:b/>
        </w:rPr>
      </w:pPr>
      <w:proofErr w:type="gramStart"/>
      <w:r>
        <w:rPr>
          <w:b/>
        </w:rPr>
        <w:t>Figure 2</w:t>
      </w:r>
      <w:r w:rsidR="00EE228B" w:rsidRPr="00EE228B">
        <w:rPr>
          <w:b/>
        </w:rPr>
        <w:t>.</w:t>
      </w:r>
      <w:proofErr w:type="gramEnd"/>
      <w:r w:rsidR="00EE228B" w:rsidRPr="00EE228B">
        <w:rPr>
          <w:b/>
        </w:rPr>
        <w:t xml:space="preserve"> Overview of the clinical development program for EP2006</w:t>
      </w:r>
    </w:p>
    <w:p w:rsidR="00EE228B" w:rsidRPr="00EE228B" w:rsidRDefault="00EE228B" w:rsidP="002B6387">
      <w:r w:rsidRPr="00EE228B">
        <w:rPr>
          <w:noProof/>
          <w:lang w:eastAsia="en-AU"/>
        </w:rPr>
        <w:drawing>
          <wp:inline distT="0" distB="0" distL="0" distR="0">
            <wp:extent cx="5925820" cy="3274862"/>
            <wp:effectExtent l="19050" t="0" r="0" b="0"/>
            <wp:docPr id="5" name="Picture 3" descr="Figure 2. Overview of the clinical development program for EP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4173"/>
                    <a:stretch>
                      <a:fillRect/>
                    </a:stretch>
                  </pic:blipFill>
                  <pic:spPr bwMode="auto">
                    <a:xfrm>
                      <a:off x="0" y="0"/>
                      <a:ext cx="5925820" cy="3274862"/>
                    </a:xfrm>
                    <a:prstGeom prst="rect">
                      <a:avLst/>
                    </a:prstGeom>
                    <a:noFill/>
                    <a:ln w="9525">
                      <a:noFill/>
                      <a:miter lim="800000"/>
                      <a:headEnd/>
                      <a:tailEnd/>
                    </a:ln>
                  </pic:spPr>
                </pic:pic>
              </a:graphicData>
            </a:graphic>
          </wp:inline>
        </w:drawing>
      </w:r>
    </w:p>
    <w:p w:rsidR="00EE228B" w:rsidRPr="00EE228B" w:rsidRDefault="00EE228B" w:rsidP="00EE228B">
      <w:pPr>
        <w:pStyle w:val="Heading3"/>
      </w:pPr>
      <w:bookmarkStart w:id="68" w:name="_Toc363229836"/>
      <w:bookmarkStart w:id="69" w:name="_Toc368569792"/>
      <w:r w:rsidRPr="00EE228B">
        <w:t>Scope of the clinical dossier</w:t>
      </w:r>
      <w:bookmarkEnd w:id="68"/>
      <w:bookmarkEnd w:id="69"/>
    </w:p>
    <w:p w:rsidR="00EE228B" w:rsidRPr="00EE228B" w:rsidRDefault="00EE228B" w:rsidP="00EE228B">
      <w:r w:rsidRPr="00EE228B">
        <w:t>The submission contained the following clinical information:</w:t>
      </w:r>
    </w:p>
    <w:p w:rsidR="00EE228B" w:rsidRPr="00EE228B" w:rsidRDefault="002B6387" w:rsidP="00EE228B">
      <w:r>
        <w:t>Module 5</w:t>
      </w:r>
    </w:p>
    <w:p w:rsidR="00EE228B" w:rsidRPr="00EE228B" w:rsidRDefault="00EE228B" w:rsidP="00C87094">
      <w:pPr>
        <w:pStyle w:val="ListBullet"/>
      </w:pPr>
      <w:proofErr w:type="gramStart"/>
      <w:r w:rsidRPr="00EE228B">
        <w:t>clinical</w:t>
      </w:r>
      <w:proofErr w:type="gramEnd"/>
      <w:r w:rsidRPr="00EE228B">
        <w:t xml:space="preserve"> pharmacology studies, including Studies EP06-101 and EP06-102 that provided pharmacokinetic data and EP06-103 and EP06-105  that provided pharmacodynamic data.</w:t>
      </w:r>
    </w:p>
    <w:p w:rsidR="00EE228B" w:rsidRPr="00EE228B" w:rsidRDefault="00EE228B" w:rsidP="00C87094">
      <w:pPr>
        <w:pStyle w:val="ListBullet"/>
      </w:pPr>
      <w:r w:rsidRPr="00EE228B">
        <w:t>Study EP06-301</w:t>
      </w:r>
      <w:r w:rsidR="00CB32DD">
        <w:t xml:space="preserve"> </w:t>
      </w:r>
      <w:r w:rsidRPr="00EE228B">
        <w:t>provided efficacy/safety data.</w:t>
      </w:r>
    </w:p>
    <w:p w:rsidR="00EE228B" w:rsidRPr="00EE228B" w:rsidRDefault="00EE228B" w:rsidP="002B6387">
      <w:r w:rsidRPr="00EE228B">
        <w:t>Module 1</w:t>
      </w:r>
    </w:p>
    <w:p w:rsidR="00EE228B" w:rsidRPr="00EE228B" w:rsidRDefault="00EE228B" w:rsidP="002B6387">
      <w:pPr>
        <w:pStyle w:val="ListBullet"/>
      </w:pPr>
      <w:r w:rsidRPr="00EE228B">
        <w:t xml:space="preserve">Application letter, application form, draft Australian PI and </w:t>
      </w:r>
      <w:r w:rsidR="00C87094">
        <w:t>consumer Medicine Information (</w:t>
      </w:r>
      <w:r w:rsidRPr="00EE228B">
        <w:t>CMI</w:t>
      </w:r>
      <w:r w:rsidR="00C87094">
        <w:t>)</w:t>
      </w:r>
      <w:r w:rsidRPr="00EE228B">
        <w:t>, FDA-approved product label, European Summary of Product Characteristics</w:t>
      </w:r>
      <w:r w:rsidR="00C87094">
        <w:t xml:space="preserve"> (</w:t>
      </w:r>
      <w:proofErr w:type="spellStart"/>
      <w:r w:rsidR="00C87094">
        <w:t>SmPC</w:t>
      </w:r>
      <w:proofErr w:type="spellEnd"/>
      <w:r w:rsidR="00C87094">
        <w:t>)</w:t>
      </w:r>
      <w:r w:rsidR="002B6387">
        <w:t>,</w:t>
      </w:r>
    </w:p>
    <w:p w:rsidR="00EE228B" w:rsidRPr="00EE228B" w:rsidRDefault="00EE228B" w:rsidP="00EE228B">
      <w:r w:rsidRPr="00EE228B">
        <w:t>Module 2</w:t>
      </w:r>
    </w:p>
    <w:p w:rsidR="00EE228B" w:rsidRPr="00EE228B" w:rsidRDefault="00EE228B" w:rsidP="00C87094">
      <w:pPr>
        <w:pStyle w:val="ListBullet"/>
      </w:pPr>
      <w:r w:rsidRPr="00EE228B">
        <w:t xml:space="preserve">Clinical Overview, Summary of Clinical Efficacy, Summary of Clinical Safety and Literature references. </w:t>
      </w:r>
    </w:p>
    <w:p w:rsidR="00EE228B" w:rsidRPr="00EE228B" w:rsidRDefault="00EE228B" w:rsidP="00EE228B">
      <w:pPr>
        <w:pStyle w:val="Heading4"/>
      </w:pPr>
      <w:bookmarkStart w:id="70" w:name="_Toc363229837"/>
      <w:r w:rsidRPr="00EE228B">
        <w:t>Good clinical practice</w:t>
      </w:r>
      <w:bookmarkEnd w:id="70"/>
    </w:p>
    <w:p w:rsidR="008E7846" w:rsidRPr="00297B1D" w:rsidRDefault="00EE228B" w:rsidP="008E7846">
      <w:bookmarkStart w:id="71" w:name="_Toc241374282"/>
      <w:r w:rsidRPr="00EE228B">
        <w:t>The studies were conducted according to the principles enunciated in the Declaration of Helsinki, Good Clinical Practices (I</w:t>
      </w:r>
      <w:r w:rsidR="00C87094">
        <w:t xml:space="preserve">nternational </w:t>
      </w:r>
      <w:r w:rsidRPr="00EE228B">
        <w:t>C</w:t>
      </w:r>
      <w:r w:rsidR="00C87094">
        <w:t xml:space="preserve">onference on </w:t>
      </w:r>
      <w:r w:rsidRPr="00EE228B">
        <w:t>H</w:t>
      </w:r>
      <w:r w:rsidR="00C87094">
        <w:t>armonisation; ICH</w:t>
      </w:r>
      <w:r w:rsidRPr="00EE228B">
        <w:t>).</w:t>
      </w:r>
      <w:bookmarkEnd w:id="71"/>
    </w:p>
    <w:p w:rsidR="008E7846" w:rsidRPr="00254787" w:rsidRDefault="008E7846" w:rsidP="008E7846">
      <w:pPr>
        <w:pStyle w:val="Heading3"/>
      </w:pPr>
      <w:bookmarkStart w:id="72" w:name="_Toc196046464"/>
      <w:bookmarkStart w:id="73" w:name="_Toc247691518"/>
      <w:bookmarkStart w:id="74" w:name="_Toc314842502"/>
      <w:bookmarkStart w:id="75" w:name="_Toc368569793"/>
      <w:r w:rsidRPr="00254787">
        <w:t>Pharmacokinetics</w:t>
      </w:r>
      <w:bookmarkEnd w:id="62"/>
      <w:bookmarkEnd w:id="72"/>
      <w:bookmarkEnd w:id="73"/>
      <w:bookmarkEnd w:id="74"/>
      <w:bookmarkEnd w:id="75"/>
    </w:p>
    <w:p w:rsidR="00EE228B" w:rsidRPr="00EE228B" w:rsidRDefault="00EE228B" w:rsidP="00EE228B">
      <w:r w:rsidRPr="00EE228B">
        <w:t xml:space="preserve">The EMA guidelines specify that PK properties of similar biological medicinal products and the reference medicinal product should be compared in single dose cross-over studies </w:t>
      </w:r>
      <w:r w:rsidRPr="00EE228B">
        <w:lastRenderedPageBreak/>
        <w:t xml:space="preserve">using </w:t>
      </w:r>
      <w:r w:rsidR="00C87094">
        <w:t xml:space="preserve">SC </w:t>
      </w:r>
      <w:r w:rsidRPr="00EE228B">
        <w:t xml:space="preserve">and </w:t>
      </w:r>
      <w:r w:rsidR="00C87094">
        <w:t xml:space="preserve">IV </w:t>
      </w:r>
      <w:r w:rsidRPr="00EE228B">
        <w:t xml:space="preserve">administration. The primary PK parameter is AUC and the secondary PK parameters are </w:t>
      </w:r>
      <w:proofErr w:type="spellStart"/>
      <w:r w:rsidRPr="00EE228B">
        <w:t>C</w:t>
      </w:r>
      <w:r w:rsidRPr="00F26004">
        <w:rPr>
          <w:vertAlign w:val="subscript"/>
        </w:rPr>
        <w:t>max</w:t>
      </w:r>
      <w:proofErr w:type="spellEnd"/>
      <w:r w:rsidRPr="00EE228B">
        <w:t xml:space="preserve"> and </w:t>
      </w:r>
      <w:r w:rsidR="00C87094">
        <w:t>half life (</w:t>
      </w:r>
      <w:r w:rsidRPr="00EE228B">
        <w:t>T</w:t>
      </w:r>
      <w:r w:rsidR="00C87094">
        <w:t>½)</w:t>
      </w:r>
      <w:r w:rsidR="002B6387">
        <w:t>.</w:t>
      </w:r>
    </w:p>
    <w:p w:rsidR="00EE228B" w:rsidRPr="00EE228B" w:rsidRDefault="00EE228B" w:rsidP="00C87094">
      <w:pPr>
        <w:pStyle w:val="Heading4"/>
      </w:pPr>
      <w:bookmarkStart w:id="76" w:name="_Ref271017296"/>
      <w:bookmarkStart w:id="77" w:name="_Ref271018924"/>
      <w:bookmarkStart w:id="78" w:name="_Ref271018934"/>
      <w:bookmarkStart w:id="79" w:name="_Toc272414614"/>
      <w:bookmarkStart w:id="80" w:name="_Toc273018177"/>
      <w:bookmarkStart w:id="81" w:name="_Toc336593083"/>
      <w:bookmarkStart w:id="82" w:name="_Toc363229839"/>
      <w:r w:rsidRPr="00EE228B">
        <w:t>Studies</w:t>
      </w:r>
      <w:bookmarkEnd w:id="76"/>
      <w:bookmarkEnd w:id="77"/>
      <w:bookmarkEnd w:id="78"/>
      <w:r w:rsidRPr="00EE228B">
        <w:t xml:space="preserve"> providing pharmacokinetic data</w:t>
      </w:r>
      <w:bookmarkEnd w:id="79"/>
      <w:bookmarkEnd w:id="80"/>
      <w:bookmarkEnd w:id="81"/>
      <w:bookmarkEnd w:id="82"/>
    </w:p>
    <w:p w:rsidR="00EE228B" w:rsidRPr="00EE228B" w:rsidRDefault="00EE228B" w:rsidP="00EE228B">
      <w:r w:rsidRPr="00EE228B">
        <w:t xml:space="preserve">The objective of the </w:t>
      </w:r>
      <w:r w:rsidR="00C87094">
        <w:t xml:space="preserve">PK </w:t>
      </w:r>
      <w:r w:rsidRPr="00EE228B">
        <w:t xml:space="preserve">data provided in this </w:t>
      </w:r>
      <w:r w:rsidR="00C87094">
        <w:t xml:space="preserve">submission </w:t>
      </w:r>
      <w:r w:rsidRPr="00EE228B">
        <w:t>was to demonstrate bioequivalence between the test product (EP2006) and the reference product (Neupogen). This was the primary objective of the bioequivalence st</w:t>
      </w:r>
      <w:r w:rsidR="00C87094">
        <w:t>udies, Studies EP06-101 (10 µg/k</w:t>
      </w:r>
      <w:r w:rsidRPr="00EE228B">
        <w:t xml:space="preserve">g </w:t>
      </w:r>
      <w:r w:rsidR="00C87094">
        <w:t>SC</w:t>
      </w:r>
      <w:r w:rsidRPr="00EE228B">
        <w:t>) and EP06-102 (5</w:t>
      </w:r>
      <w:r w:rsidR="00C87094">
        <w:t xml:space="preserve"> </w:t>
      </w:r>
      <w:r w:rsidRPr="00EE228B">
        <w:t>µg/</w:t>
      </w:r>
      <w:r w:rsidR="00C87094">
        <w:t>k</w:t>
      </w:r>
      <w:r w:rsidRPr="00EE228B">
        <w:t>g IV). It was a secondary objective for the PD/</w:t>
      </w:r>
      <w:r w:rsidR="00C87094">
        <w:t>e</w:t>
      </w:r>
      <w:r w:rsidRPr="00EE228B">
        <w:t xml:space="preserve">fficacy </w:t>
      </w:r>
      <w:r w:rsidR="00C87094">
        <w:t>S</w:t>
      </w:r>
      <w:r w:rsidRPr="00EE228B">
        <w:t>tudies EP06-103 (5 µg/</w:t>
      </w:r>
      <w:r w:rsidR="00C87094">
        <w:t>k</w:t>
      </w:r>
      <w:r w:rsidRPr="00EE228B">
        <w:t>g and 2.5 µg/</w:t>
      </w:r>
      <w:r w:rsidR="00C87094">
        <w:t>k</w:t>
      </w:r>
      <w:r w:rsidRPr="00EE228B">
        <w:t xml:space="preserve">g </w:t>
      </w:r>
      <w:r w:rsidR="00C87094">
        <w:t>SC</w:t>
      </w:r>
      <w:r w:rsidRPr="00EE228B">
        <w:t>) and EP06-</w:t>
      </w:r>
      <w:r w:rsidR="00C87094">
        <w:t>105 (1 µg/k</w:t>
      </w:r>
      <w:r w:rsidRPr="00EE228B">
        <w:t xml:space="preserve">g </w:t>
      </w:r>
      <w:r w:rsidR="00C87094">
        <w:t>SC</w:t>
      </w:r>
      <w:r w:rsidR="002B6387">
        <w:t>).</w:t>
      </w:r>
    </w:p>
    <w:p w:rsidR="00EE228B" w:rsidRPr="00EE228B" w:rsidRDefault="00EE228B" w:rsidP="00EE228B">
      <w:r w:rsidRPr="00EE228B">
        <w:t>A cross-over design was chosen as the within-subject variability was expected to be smaller than the between-subject variability.</w:t>
      </w:r>
      <w:r w:rsidR="00C87094">
        <w:t xml:space="preserve"> </w:t>
      </w:r>
      <w:r w:rsidRPr="00EE228B">
        <w:t xml:space="preserve">The study summaries are listed </w:t>
      </w:r>
      <w:r w:rsidR="00F305F7">
        <w:t xml:space="preserve">in </w:t>
      </w:r>
      <w:r w:rsidR="00EA04AA">
        <w:t>Table 2</w:t>
      </w:r>
      <w:r w:rsidR="00C87094">
        <w:t>.</w:t>
      </w:r>
    </w:p>
    <w:p w:rsidR="00EE228B" w:rsidRPr="00EE228B" w:rsidRDefault="00EA04AA" w:rsidP="002B6387">
      <w:pPr>
        <w:pStyle w:val="TableTitle"/>
      </w:pPr>
      <w:proofErr w:type="gramStart"/>
      <w:r>
        <w:t>Table 2</w:t>
      </w:r>
      <w:r w:rsidR="00EE228B" w:rsidRPr="00EE228B">
        <w:t>.</w:t>
      </w:r>
      <w:proofErr w:type="gramEnd"/>
      <w:r w:rsidR="00EE228B" w:rsidRPr="00EE228B">
        <w:t xml:space="preserve"> Pharmacokinetics </w:t>
      </w:r>
      <w:r>
        <w:t>s</w:t>
      </w:r>
      <w:r w:rsidR="00EE228B" w:rsidRPr="00EE228B">
        <w:t xml:space="preserve">tudy </w:t>
      </w:r>
      <w:r>
        <w:t>s</w:t>
      </w:r>
      <w:r w:rsidR="00EE228B" w:rsidRPr="00EE228B">
        <w:t>ummaries</w:t>
      </w:r>
    </w:p>
    <w:tbl>
      <w:tblPr>
        <w:tblStyle w:val="TableTGAblue"/>
        <w:tblW w:w="0" w:type="auto"/>
        <w:tblLook w:val="04A0"/>
      </w:tblPr>
      <w:tblGrid>
        <w:gridCol w:w="1529"/>
        <w:gridCol w:w="1822"/>
        <w:gridCol w:w="1822"/>
        <w:gridCol w:w="1763"/>
        <w:gridCol w:w="1784"/>
      </w:tblGrid>
      <w:tr w:rsidR="00EE228B" w:rsidRPr="009B4260" w:rsidTr="002B6387">
        <w:trPr>
          <w:cnfStyle w:val="100000000000"/>
          <w:tblHeader/>
        </w:trPr>
        <w:tc>
          <w:tcPr>
            <w:tcW w:w="1668" w:type="dxa"/>
          </w:tcPr>
          <w:p w:rsidR="00EE228B" w:rsidRPr="009B4260" w:rsidRDefault="00EE228B" w:rsidP="009B4260">
            <w:pPr>
              <w:ind w:left="0" w:right="0"/>
              <w:rPr>
                <w:sz w:val="20"/>
                <w:szCs w:val="20"/>
              </w:rPr>
            </w:pPr>
            <w:r w:rsidRPr="009B4260">
              <w:rPr>
                <w:sz w:val="20"/>
                <w:szCs w:val="20"/>
              </w:rPr>
              <w:t>Study</w:t>
            </w:r>
          </w:p>
        </w:tc>
        <w:tc>
          <w:tcPr>
            <w:tcW w:w="1970" w:type="dxa"/>
          </w:tcPr>
          <w:p w:rsidR="00EE228B" w:rsidRPr="009B4260" w:rsidRDefault="00EE228B" w:rsidP="009B4260">
            <w:pPr>
              <w:ind w:left="0" w:right="0"/>
              <w:rPr>
                <w:sz w:val="20"/>
                <w:szCs w:val="20"/>
              </w:rPr>
            </w:pPr>
            <w:r w:rsidRPr="009B4260">
              <w:rPr>
                <w:sz w:val="20"/>
                <w:szCs w:val="20"/>
              </w:rPr>
              <w:t>EP06-101</w:t>
            </w:r>
          </w:p>
        </w:tc>
        <w:tc>
          <w:tcPr>
            <w:tcW w:w="1970" w:type="dxa"/>
          </w:tcPr>
          <w:p w:rsidR="00EE228B" w:rsidRPr="009B4260" w:rsidRDefault="00EE228B" w:rsidP="009B4260">
            <w:pPr>
              <w:ind w:left="0" w:right="0"/>
              <w:rPr>
                <w:sz w:val="20"/>
                <w:szCs w:val="20"/>
              </w:rPr>
            </w:pPr>
            <w:r w:rsidRPr="009B4260">
              <w:rPr>
                <w:sz w:val="20"/>
                <w:szCs w:val="20"/>
              </w:rPr>
              <w:t>EP06-102</w:t>
            </w:r>
          </w:p>
        </w:tc>
        <w:tc>
          <w:tcPr>
            <w:tcW w:w="1970" w:type="dxa"/>
          </w:tcPr>
          <w:p w:rsidR="00EE228B" w:rsidRPr="009B4260" w:rsidRDefault="00EE228B" w:rsidP="009B4260">
            <w:pPr>
              <w:ind w:left="0" w:right="0"/>
              <w:rPr>
                <w:sz w:val="20"/>
                <w:szCs w:val="20"/>
              </w:rPr>
            </w:pPr>
            <w:r w:rsidRPr="009B4260">
              <w:rPr>
                <w:sz w:val="20"/>
                <w:szCs w:val="20"/>
              </w:rPr>
              <w:t>EP06-103</w:t>
            </w:r>
          </w:p>
        </w:tc>
        <w:tc>
          <w:tcPr>
            <w:tcW w:w="1970" w:type="dxa"/>
          </w:tcPr>
          <w:p w:rsidR="00EE228B" w:rsidRPr="009B4260" w:rsidRDefault="00EE228B" w:rsidP="009B4260">
            <w:pPr>
              <w:ind w:left="0" w:right="0"/>
              <w:rPr>
                <w:sz w:val="20"/>
                <w:szCs w:val="20"/>
              </w:rPr>
            </w:pPr>
            <w:r w:rsidRPr="009B4260">
              <w:rPr>
                <w:sz w:val="20"/>
                <w:szCs w:val="20"/>
              </w:rPr>
              <w:t>EP06-105</w:t>
            </w:r>
          </w:p>
        </w:tc>
      </w:tr>
      <w:tr w:rsidR="00EE228B" w:rsidRPr="009B4260" w:rsidTr="00EE228B">
        <w:tc>
          <w:tcPr>
            <w:tcW w:w="1668" w:type="dxa"/>
          </w:tcPr>
          <w:p w:rsidR="00EE228B" w:rsidRPr="009B4260" w:rsidRDefault="00EE228B" w:rsidP="009B4260">
            <w:pPr>
              <w:ind w:left="0" w:right="0"/>
              <w:rPr>
                <w:sz w:val="20"/>
                <w:szCs w:val="20"/>
              </w:rPr>
            </w:pPr>
            <w:r w:rsidRPr="009B4260">
              <w:rPr>
                <w:sz w:val="20"/>
                <w:szCs w:val="20"/>
              </w:rPr>
              <w:t>Type of study</w:t>
            </w:r>
          </w:p>
        </w:tc>
        <w:tc>
          <w:tcPr>
            <w:tcW w:w="1970" w:type="dxa"/>
          </w:tcPr>
          <w:p w:rsidR="00EE228B" w:rsidRPr="009B4260" w:rsidRDefault="00EA04AA" w:rsidP="009B4260">
            <w:pPr>
              <w:ind w:left="0" w:right="0"/>
              <w:rPr>
                <w:sz w:val="20"/>
                <w:szCs w:val="20"/>
              </w:rPr>
            </w:pPr>
            <w:r w:rsidRPr="009B4260">
              <w:rPr>
                <w:sz w:val="20"/>
                <w:szCs w:val="20"/>
              </w:rPr>
              <w:t>Randomis</w:t>
            </w:r>
            <w:r w:rsidR="00EE228B" w:rsidRPr="009B4260">
              <w:rPr>
                <w:sz w:val="20"/>
                <w:szCs w:val="20"/>
              </w:rPr>
              <w:t>ed, double-blind, 2-way crossover</w:t>
            </w:r>
          </w:p>
        </w:tc>
        <w:tc>
          <w:tcPr>
            <w:tcW w:w="1970" w:type="dxa"/>
          </w:tcPr>
          <w:p w:rsidR="00EE228B" w:rsidRPr="009B4260" w:rsidRDefault="00EE228B" w:rsidP="009B4260">
            <w:pPr>
              <w:ind w:left="0" w:right="0"/>
              <w:rPr>
                <w:sz w:val="20"/>
                <w:szCs w:val="20"/>
              </w:rPr>
            </w:pPr>
            <w:r w:rsidRPr="009B4260">
              <w:rPr>
                <w:sz w:val="20"/>
                <w:szCs w:val="20"/>
              </w:rPr>
              <w:t>Randomised, double-blind, 2-way cross-over</w:t>
            </w:r>
          </w:p>
        </w:tc>
        <w:tc>
          <w:tcPr>
            <w:tcW w:w="1970" w:type="dxa"/>
          </w:tcPr>
          <w:p w:rsidR="00EE228B" w:rsidRPr="009B4260" w:rsidRDefault="00EE228B" w:rsidP="009B4260">
            <w:pPr>
              <w:ind w:left="0" w:right="0"/>
              <w:rPr>
                <w:sz w:val="20"/>
                <w:szCs w:val="20"/>
              </w:rPr>
            </w:pPr>
            <w:r w:rsidRPr="009B4260">
              <w:rPr>
                <w:sz w:val="20"/>
                <w:szCs w:val="20"/>
              </w:rPr>
              <w:t>Randomised, double-blind, 2-way cross-over with 2 dose groups</w:t>
            </w:r>
          </w:p>
        </w:tc>
        <w:tc>
          <w:tcPr>
            <w:tcW w:w="1970" w:type="dxa"/>
          </w:tcPr>
          <w:p w:rsidR="00EE228B" w:rsidRPr="009B4260" w:rsidRDefault="00EA04AA" w:rsidP="009B4260">
            <w:pPr>
              <w:ind w:left="0" w:right="0"/>
              <w:rPr>
                <w:sz w:val="20"/>
                <w:szCs w:val="20"/>
              </w:rPr>
            </w:pPr>
            <w:r w:rsidRPr="009B4260">
              <w:rPr>
                <w:sz w:val="20"/>
                <w:szCs w:val="20"/>
              </w:rPr>
              <w:t>Randomis</w:t>
            </w:r>
            <w:r w:rsidR="00EE228B" w:rsidRPr="009B4260">
              <w:rPr>
                <w:sz w:val="20"/>
                <w:szCs w:val="20"/>
              </w:rPr>
              <w:t>ed, double-blind, 2-way cross-over.</w:t>
            </w:r>
          </w:p>
        </w:tc>
      </w:tr>
      <w:tr w:rsidR="00EE228B" w:rsidRPr="009B4260" w:rsidTr="00EE228B">
        <w:tc>
          <w:tcPr>
            <w:tcW w:w="1668" w:type="dxa"/>
          </w:tcPr>
          <w:p w:rsidR="00EE228B" w:rsidRPr="009B4260" w:rsidRDefault="00EE228B" w:rsidP="009B4260">
            <w:pPr>
              <w:ind w:left="0" w:right="0"/>
              <w:rPr>
                <w:sz w:val="20"/>
                <w:szCs w:val="20"/>
              </w:rPr>
            </w:pPr>
            <w:r w:rsidRPr="009B4260">
              <w:rPr>
                <w:sz w:val="20"/>
                <w:szCs w:val="20"/>
              </w:rPr>
              <w:t>Study population</w:t>
            </w:r>
          </w:p>
        </w:tc>
        <w:tc>
          <w:tcPr>
            <w:tcW w:w="1970" w:type="dxa"/>
          </w:tcPr>
          <w:p w:rsidR="00EE228B" w:rsidRPr="009B4260" w:rsidRDefault="00EE228B" w:rsidP="009B4260">
            <w:pPr>
              <w:ind w:left="0" w:right="0"/>
              <w:rPr>
                <w:sz w:val="20"/>
                <w:szCs w:val="20"/>
              </w:rPr>
            </w:pPr>
            <w:r w:rsidRPr="009B4260">
              <w:rPr>
                <w:sz w:val="20"/>
                <w:szCs w:val="20"/>
              </w:rPr>
              <w:t>Healthy volunteers</w:t>
            </w:r>
          </w:p>
        </w:tc>
        <w:tc>
          <w:tcPr>
            <w:tcW w:w="1970" w:type="dxa"/>
          </w:tcPr>
          <w:p w:rsidR="00EE228B" w:rsidRPr="009B4260" w:rsidRDefault="00EE228B" w:rsidP="009B4260">
            <w:pPr>
              <w:ind w:left="0" w:right="0"/>
              <w:rPr>
                <w:sz w:val="20"/>
                <w:szCs w:val="20"/>
              </w:rPr>
            </w:pPr>
            <w:r w:rsidRPr="009B4260">
              <w:rPr>
                <w:sz w:val="20"/>
                <w:szCs w:val="20"/>
              </w:rPr>
              <w:t>Healthy volunteers</w:t>
            </w:r>
          </w:p>
        </w:tc>
        <w:tc>
          <w:tcPr>
            <w:tcW w:w="1970" w:type="dxa"/>
          </w:tcPr>
          <w:p w:rsidR="00EE228B" w:rsidRPr="009B4260" w:rsidRDefault="00EE228B" w:rsidP="009B4260">
            <w:pPr>
              <w:ind w:left="0" w:right="0"/>
              <w:rPr>
                <w:sz w:val="20"/>
                <w:szCs w:val="20"/>
              </w:rPr>
            </w:pPr>
            <w:r w:rsidRPr="009B4260">
              <w:rPr>
                <w:sz w:val="20"/>
                <w:szCs w:val="20"/>
              </w:rPr>
              <w:t>Healthy volunteers</w:t>
            </w:r>
          </w:p>
        </w:tc>
        <w:tc>
          <w:tcPr>
            <w:tcW w:w="1970" w:type="dxa"/>
          </w:tcPr>
          <w:p w:rsidR="00EE228B" w:rsidRPr="009B4260" w:rsidRDefault="00EE228B" w:rsidP="009B4260">
            <w:pPr>
              <w:ind w:left="0" w:right="0"/>
              <w:rPr>
                <w:sz w:val="20"/>
                <w:szCs w:val="20"/>
              </w:rPr>
            </w:pPr>
            <w:r w:rsidRPr="009B4260">
              <w:rPr>
                <w:sz w:val="20"/>
                <w:szCs w:val="20"/>
              </w:rPr>
              <w:t>Healthy volunteers</w:t>
            </w:r>
          </w:p>
        </w:tc>
      </w:tr>
      <w:tr w:rsidR="00EE228B" w:rsidRPr="009B4260" w:rsidTr="00EE228B">
        <w:tc>
          <w:tcPr>
            <w:tcW w:w="1668" w:type="dxa"/>
          </w:tcPr>
          <w:p w:rsidR="00EE228B" w:rsidRPr="009B4260" w:rsidRDefault="00EE228B" w:rsidP="009B4260">
            <w:pPr>
              <w:ind w:left="0" w:right="0"/>
              <w:rPr>
                <w:sz w:val="20"/>
                <w:szCs w:val="20"/>
              </w:rPr>
            </w:pPr>
            <w:r w:rsidRPr="009B4260">
              <w:rPr>
                <w:sz w:val="20"/>
                <w:szCs w:val="20"/>
              </w:rPr>
              <w:t>No. Of subjects</w:t>
            </w:r>
          </w:p>
        </w:tc>
        <w:tc>
          <w:tcPr>
            <w:tcW w:w="1970" w:type="dxa"/>
          </w:tcPr>
          <w:p w:rsidR="00EE228B" w:rsidRPr="009B4260" w:rsidRDefault="00EE228B" w:rsidP="009B4260">
            <w:pPr>
              <w:ind w:left="0" w:right="0"/>
              <w:rPr>
                <w:sz w:val="20"/>
                <w:szCs w:val="20"/>
              </w:rPr>
            </w:pPr>
            <w:r w:rsidRPr="009B4260">
              <w:rPr>
                <w:sz w:val="20"/>
                <w:szCs w:val="20"/>
              </w:rPr>
              <w:t>40</w:t>
            </w:r>
          </w:p>
        </w:tc>
        <w:tc>
          <w:tcPr>
            <w:tcW w:w="1970" w:type="dxa"/>
          </w:tcPr>
          <w:p w:rsidR="00EE228B" w:rsidRPr="009B4260" w:rsidRDefault="00EE228B" w:rsidP="009B4260">
            <w:pPr>
              <w:ind w:left="0" w:right="0"/>
              <w:rPr>
                <w:sz w:val="20"/>
                <w:szCs w:val="20"/>
              </w:rPr>
            </w:pPr>
            <w:r w:rsidRPr="009B4260">
              <w:rPr>
                <w:sz w:val="20"/>
                <w:szCs w:val="20"/>
              </w:rPr>
              <w:t>26</w:t>
            </w:r>
          </w:p>
        </w:tc>
        <w:tc>
          <w:tcPr>
            <w:tcW w:w="1970" w:type="dxa"/>
          </w:tcPr>
          <w:p w:rsidR="00EE228B" w:rsidRPr="009B4260" w:rsidRDefault="00EE228B" w:rsidP="009B4260">
            <w:pPr>
              <w:ind w:left="0" w:right="0"/>
              <w:rPr>
                <w:sz w:val="20"/>
                <w:szCs w:val="20"/>
              </w:rPr>
            </w:pPr>
            <w:r w:rsidRPr="009B4260">
              <w:rPr>
                <w:sz w:val="20"/>
                <w:szCs w:val="20"/>
              </w:rPr>
              <w:t>56</w:t>
            </w:r>
          </w:p>
        </w:tc>
        <w:tc>
          <w:tcPr>
            <w:tcW w:w="1970" w:type="dxa"/>
          </w:tcPr>
          <w:p w:rsidR="00EE228B" w:rsidRPr="009B4260" w:rsidRDefault="00EE228B" w:rsidP="009B4260">
            <w:pPr>
              <w:ind w:left="0" w:right="0"/>
              <w:rPr>
                <w:sz w:val="20"/>
                <w:szCs w:val="20"/>
              </w:rPr>
            </w:pPr>
            <w:r w:rsidRPr="009B4260">
              <w:rPr>
                <w:sz w:val="20"/>
                <w:szCs w:val="20"/>
              </w:rPr>
              <w:t>24</w:t>
            </w:r>
          </w:p>
        </w:tc>
      </w:tr>
      <w:tr w:rsidR="00EE228B" w:rsidRPr="009B4260" w:rsidTr="00EE228B">
        <w:tc>
          <w:tcPr>
            <w:tcW w:w="1668" w:type="dxa"/>
          </w:tcPr>
          <w:p w:rsidR="00EE228B" w:rsidRPr="009B4260" w:rsidRDefault="00EE228B" w:rsidP="009B4260">
            <w:pPr>
              <w:ind w:left="0" w:right="0"/>
              <w:rPr>
                <w:sz w:val="20"/>
                <w:szCs w:val="20"/>
              </w:rPr>
            </w:pPr>
            <w:r w:rsidRPr="009B4260">
              <w:rPr>
                <w:sz w:val="20"/>
                <w:szCs w:val="20"/>
              </w:rPr>
              <w:t>Age range of volunteers</w:t>
            </w:r>
          </w:p>
        </w:tc>
        <w:tc>
          <w:tcPr>
            <w:tcW w:w="1970" w:type="dxa"/>
          </w:tcPr>
          <w:p w:rsidR="00EE228B" w:rsidRPr="009B4260" w:rsidRDefault="00EE228B" w:rsidP="009B4260">
            <w:pPr>
              <w:ind w:left="0" w:right="0"/>
              <w:rPr>
                <w:sz w:val="20"/>
                <w:szCs w:val="20"/>
              </w:rPr>
            </w:pPr>
            <w:r w:rsidRPr="009B4260">
              <w:rPr>
                <w:sz w:val="20"/>
                <w:szCs w:val="20"/>
              </w:rPr>
              <w:t>Age range: 25-45 years</w:t>
            </w:r>
          </w:p>
        </w:tc>
        <w:tc>
          <w:tcPr>
            <w:tcW w:w="1970" w:type="dxa"/>
          </w:tcPr>
          <w:p w:rsidR="00EE228B" w:rsidRPr="009B4260" w:rsidRDefault="00EE228B" w:rsidP="009B4260">
            <w:pPr>
              <w:ind w:left="0" w:right="0"/>
              <w:rPr>
                <w:sz w:val="20"/>
                <w:szCs w:val="20"/>
              </w:rPr>
            </w:pPr>
            <w:r w:rsidRPr="009B4260">
              <w:rPr>
                <w:sz w:val="20"/>
                <w:szCs w:val="20"/>
              </w:rPr>
              <w:t>Age range: 23-39 years.</w:t>
            </w:r>
          </w:p>
        </w:tc>
        <w:tc>
          <w:tcPr>
            <w:tcW w:w="1970" w:type="dxa"/>
          </w:tcPr>
          <w:p w:rsidR="00EE228B" w:rsidRPr="009B4260" w:rsidRDefault="00EE228B" w:rsidP="009B4260">
            <w:pPr>
              <w:ind w:left="0" w:right="0"/>
              <w:rPr>
                <w:sz w:val="20"/>
                <w:szCs w:val="20"/>
              </w:rPr>
            </w:pPr>
            <w:r w:rsidRPr="009B4260">
              <w:rPr>
                <w:sz w:val="20"/>
                <w:szCs w:val="20"/>
              </w:rPr>
              <w:t>Age range: 21-54 years.</w:t>
            </w:r>
          </w:p>
        </w:tc>
        <w:tc>
          <w:tcPr>
            <w:tcW w:w="1970" w:type="dxa"/>
          </w:tcPr>
          <w:p w:rsidR="00EE228B" w:rsidRPr="009B4260" w:rsidRDefault="00EE228B" w:rsidP="009B4260">
            <w:pPr>
              <w:ind w:left="0" w:right="0"/>
              <w:rPr>
                <w:sz w:val="20"/>
                <w:szCs w:val="20"/>
              </w:rPr>
            </w:pPr>
            <w:r w:rsidRPr="009B4260">
              <w:rPr>
                <w:sz w:val="20"/>
                <w:szCs w:val="20"/>
              </w:rPr>
              <w:t>Age range: 21-53 years.</w:t>
            </w:r>
          </w:p>
        </w:tc>
      </w:tr>
      <w:tr w:rsidR="00EE228B" w:rsidRPr="009B4260" w:rsidTr="00EE228B">
        <w:tc>
          <w:tcPr>
            <w:tcW w:w="1668" w:type="dxa"/>
          </w:tcPr>
          <w:p w:rsidR="00EE228B" w:rsidRPr="009B4260" w:rsidRDefault="00EE228B" w:rsidP="009B4260">
            <w:pPr>
              <w:ind w:left="0" w:right="0"/>
              <w:rPr>
                <w:sz w:val="20"/>
                <w:szCs w:val="20"/>
              </w:rPr>
            </w:pPr>
            <w:r w:rsidRPr="009B4260">
              <w:rPr>
                <w:sz w:val="20"/>
                <w:szCs w:val="20"/>
              </w:rPr>
              <w:t>Sex/Race distribution</w:t>
            </w:r>
          </w:p>
        </w:tc>
        <w:tc>
          <w:tcPr>
            <w:tcW w:w="1970" w:type="dxa"/>
          </w:tcPr>
          <w:p w:rsidR="00EE228B" w:rsidRPr="009B4260" w:rsidRDefault="00EE228B" w:rsidP="009B4260">
            <w:pPr>
              <w:ind w:left="0" w:right="0"/>
              <w:rPr>
                <w:sz w:val="20"/>
                <w:szCs w:val="20"/>
              </w:rPr>
            </w:pPr>
            <w:r w:rsidRPr="009B4260">
              <w:rPr>
                <w:sz w:val="20"/>
                <w:szCs w:val="20"/>
              </w:rPr>
              <w:t>Race: 100% Caucasian</w:t>
            </w:r>
          </w:p>
          <w:p w:rsidR="00EE228B" w:rsidRPr="009B4260" w:rsidRDefault="00EE228B" w:rsidP="009B4260">
            <w:pPr>
              <w:ind w:left="0" w:right="0"/>
              <w:rPr>
                <w:sz w:val="20"/>
                <w:szCs w:val="20"/>
              </w:rPr>
            </w:pPr>
            <w:r w:rsidRPr="009B4260">
              <w:rPr>
                <w:sz w:val="20"/>
                <w:szCs w:val="20"/>
              </w:rPr>
              <w:t>Sex distribution:</w:t>
            </w:r>
          </w:p>
          <w:p w:rsidR="00EE228B" w:rsidRPr="009B4260" w:rsidRDefault="00EE228B" w:rsidP="009B4260">
            <w:pPr>
              <w:ind w:left="0" w:right="0"/>
              <w:rPr>
                <w:sz w:val="20"/>
                <w:szCs w:val="20"/>
              </w:rPr>
            </w:pPr>
            <w:r w:rsidRPr="009B4260">
              <w:rPr>
                <w:sz w:val="20"/>
                <w:szCs w:val="20"/>
              </w:rPr>
              <w:t>52.5% male and 47.5% female</w:t>
            </w:r>
          </w:p>
        </w:tc>
        <w:tc>
          <w:tcPr>
            <w:tcW w:w="1970" w:type="dxa"/>
          </w:tcPr>
          <w:p w:rsidR="00EE228B" w:rsidRPr="009B4260" w:rsidRDefault="00EE228B" w:rsidP="009B4260">
            <w:pPr>
              <w:ind w:left="0" w:right="0"/>
              <w:rPr>
                <w:sz w:val="20"/>
                <w:szCs w:val="20"/>
              </w:rPr>
            </w:pPr>
            <w:r w:rsidRPr="009B4260">
              <w:rPr>
                <w:sz w:val="20"/>
                <w:szCs w:val="20"/>
              </w:rPr>
              <w:t>Race: 100% Caucasian</w:t>
            </w:r>
          </w:p>
          <w:p w:rsidR="00EE228B" w:rsidRPr="009B4260" w:rsidRDefault="00EE228B" w:rsidP="009B4260">
            <w:pPr>
              <w:ind w:left="0" w:right="0"/>
              <w:rPr>
                <w:sz w:val="20"/>
                <w:szCs w:val="20"/>
              </w:rPr>
            </w:pPr>
            <w:r w:rsidRPr="009B4260">
              <w:rPr>
                <w:sz w:val="20"/>
                <w:szCs w:val="20"/>
              </w:rPr>
              <w:t>Sex distribution: 54% males and 46% female</w:t>
            </w:r>
          </w:p>
        </w:tc>
        <w:tc>
          <w:tcPr>
            <w:tcW w:w="1970" w:type="dxa"/>
          </w:tcPr>
          <w:p w:rsidR="00EE228B" w:rsidRPr="009B4260" w:rsidRDefault="00EE228B" w:rsidP="009B4260">
            <w:pPr>
              <w:ind w:left="0" w:right="0"/>
              <w:rPr>
                <w:sz w:val="20"/>
                <w:szCs w:val="20"/>
              </w:rPr>
            </w:pPr>
            <w:r w:rsidRPr="009B4260">
              <w:rPr>
                <w:sz w:val="20"/>
                <w:szCs w:val="20"/>
              </w:rPr>
              <w:t>Race: 100% Caucasian</w:t>
            </w:r>
          </w:p>
          <w:p w:rsidR="00EE228B" w:rsidRPr="009B4260" w:rsidRDefault="00EE228B" w:rsidP="009B4260">
            <w:pPr>
              <w:ind w:left="0" w:right="0"/>
              <w:rPr>
                <w:sz w:val="20"/>
                <w:szCs w:val="20"/>
              </w:rPr>
            </w:pPr>
            <w:r w:rsidRPr="009B4260">
              <w:rPr>
                <w:sz w:val="20"/>
                <w:szCs w:val="20"/>
              </w:rPr>
              <w:t>Sex distribution: 59% male and 41% female.</w:t>
            </w:r>
          </w:p>
        </w:tc>
        <w:tc>
          <w:tcPr>
            <w:tcW w:w="1970" w:type="dxa"/>
          </w:tcPr>
          <w:p w:rsidR="00EE228B" w:rsidRPr="009B4260" w:rsidRDefault="00EE228B" w:rsidP="009B4260">
            <w:pPr>
              <w:ind w:left="0" w:right="0"/>
              <w:rPr>
                <w:sz w:val="20"/>
                <w:szCs w:val="20"/>
              </w:rPr>
            </w:pPr>
            <w:r w:rsidRPr="009B4260">
              <w:rPr>
                <w:sz w:val="20"/>
                <w:szCs w:val="20"/>
              </w:rPr>
              <w:t>Race: 100% Caucasian.</w:t>
            </w:r>
          </w:p>
          <w:p w:rsidR="00EE228B" w:rsidRPr="009B4260" w:rsidRDefault="00EE228B" w:rsidP="009B4260">
            <w:pPr>
              <w:ind w:left="0" w:right="0"/>
              <w:rPr>
                <w:sz w:val="20"/>
                <w:szCs w:val="20"/>
              </w:rPr>
            </w:pPr>
            <w:r w:rsidRPr="009B4260">
              <w:rPr>
                <w:sz w:val="20"/>
                <w:szCs w:val="20"/>
              </w:rPr>
              <w:t>Sex distribution: 54% male and 46% female</w:t>
            </w:r>
          </w:p>
        </w:tc>
      </w:tr>
      <w:tr w:rsidR="00EE228B" w:rsidRPr="009B4260" w:rsidTr="00EE228B">
        <w:tc>
          <w:tcPr>
            <w:tcW w:w="1668" w:type="dxa"/>
          </w:tcPr>
          <w:p w:rsidR="00EE228B" w:rsidRPr="009B4260" w:rsidRDefault="00EE228B" w:rsidP="009B4260">
            <w:pPr>
              <w:ind w:left="0" w:right="0"/>
              <w:rPr>
                <w:sz w:val="20"/>
                <w:szCs w:val="20"/>
              </w:rPr>
            </w:pPr>
            <w:r w:rsidRPr="009B4260">
              <w:rPr>
                <w:sz w:val="20"/>
                <w:szCs w:val="20"/>
              </w:rPr>
              <w:t>Dose</w:t>
            </w:r>
          </w:p>
        </w:tc>
        <w:tc>
          <w:tcPr>
            <w:tcW w:w="1970" w:type="dxa"/>
          </w:tcPr>
          <w:p w:rsidR="00EE228B" w:rsidRPr="009B4260" w:rsidRDefault="00EE228B" w:rsidP="009B4260">
            <w:pPr>
              <w:ind w:left="0" w:right="0"/>
              <w:rPr>
                <w:sz w:val="20"/>
                <w:szCs w:val="20"/>
              </w:rPr>
            </w:pPr>
            <w:r w:rsidRPr="009B4260">
              <w:rPr>
                <w:sz w:val="20"/>
                <w:szCs w:val="20"/>
              </w:rPr>
              <w:t>10 µg/kg</w:t>
            </w:r>
          </w:p>
        </w:tc>
        <w:tc>
          <w:tcPr>
            <w:tcW w:w="1970" w:type="dxa"/>
          </w:tcPr>
          <w:p w:rsidR="00EE228B" w:rsidRPr="009B4260" w:rsidRDefault="00EE228B" w:rsidP="009B4260">
            <w:pPr>
              <w:ind w:left="0" w:right="0"/>
              <w:rPr>
                <w:sz w:val="20"/>
                <w:szCs w:val="20"/>
              </w:rPr>
            </w:pPr>
            <w:r w:rsidRPr="009B4260">
              <w:rPr>
                <w:sz w:val="20"/>
                <w:szCs w:val="20"/>
              </w:rPr>
              <w:t>5 µg/kg</w:t>
            </w:r>
          </w:p>
        </w:tc>
        <w:tc>
          <w:tcPr>
            <w:tcW w:w="1970" w:type="dxa"/>
          </w:tcPr>
          <w:p w:rsidR="00EE228B" w:rsidRPr="009B4260" w:rsidRDefault="00EE228B" w:rsidP="009B4260">
            <w:pPr>
              <w:ind w:left="0" w:right="0"/>
              <w:rPr>
                <w:sz w:val="20"/>
                <w:szCs w:val="20"/>
              </w:rPr>
            </w:pPr>
            <w:r w:rsidRPr="009B4260">
              <w:rPr>
                <w:sz w:val="20"/>
                <w:szCs w:val="20"/>
              </w:rPr>
              <w:t>2.5 or 5 µg/kg</w:t>
            </w:r>
          </w:p>
        </w:tc>
        <w:tc>
          <w:tcPr>
            <w:tcW w:w="1970" w:type="dxa"/>
          </w:tcPr>
          <w:p w:rsidR="00EE228B" w:rsidRPr="009B4260" w:rsidRDefault="00EE228B" w:rsidP="009B4260">
            <w:pPr>
              <w:ind w:left="0" w:right="0"/>
              <w:rPr>
                <w:sz w:val="20"/>
                <w:szCs w:val="20"/>
              </w:rPr>
            </w:pPr>
            <w:r w:rsidRPr="009B4260">
              <w:rPr>
                <w:sz w:val="20"/>
                <w:szCs w:val="20"/>
              </w:rPr>
              <w:t>1 µg/kg</w:t>
            </w:r>
          </w:p>
        </w:tc>
      </w:tr>
      <w:tr w:rsidR="00EE228B" w:rsidRPr="009B4260" w:rsidTr="00EE228B">
        <w:tc>
          <w:tcPr>
            <w:tcW w:w="1668" w:type="dxa"/>
          </w:tcPr>
          <w:p w:rsidR="00EE228B" w:rsidRPr="009B4260" w:rsidRDefault="00EE228B" w:rsidP="009B4260">
            <w:pPr>
              <w:ind w:left="0" w:right="0"/>
              <w:rPr>
                <w:sz w:val="20"/>
                <w:szCs w:val="20"/>
              </w:rPr>
            </w:pPr>
            <w:r w:rsidRPr="009B4260">
              <w:rPr>
                <w:sz w:val="20"/>
                <w:szCs w:val="20"/>
              </w:rPr>
              <w:t>Frequency of dosing</w:t>
            </w:r>
          </w:p>
        </w:tc>
        <w:tc>
          <w:tcPr>
            <w:tcW w:w="1970" w:type="dxa"/>
          </w:tcPr>
          <w:p w:rsidR="00EE228B" w:rsidRPr="009B4260" w:rsidRDefault="00EE228B" w:rsidP="009B4260">
            <w:pPr>
              <w:ind w:left="0" w:right="0"/>
              <w:rPr>
                <w:sz w:val="20"/>
                <w:szCs w:val="20"/>
              </w:rPr>
            </w:pPr>
            <w:r w:rsidRPr="009B4260">
              <w:rPr>
                <w:sz w:val="20"/>
                <w:szCs w:val="20"/>
              </w:rPr>
              <w:t xml:space="preserve">Daily </w:t>
            </w:r>
            <w:r w:rsidR="00F26004" w:rsidRPr="009B4260">
              <w:rPr>
                <w:sz w:val="20"/>
                <w:szCs w:val="20"/>
              </w:rPr>
              <w:t>SC</w:t>
            </w:r>
            <w:r w:rsidRPr="009B4260">
              <w:rPr>
                <w:sz w:val="20"/>
                <w:szCs w:val="20"/>
              </w:rPr>
              <w:t xml:space="preserve"> injections for seven days</w:t>
            </w:r>
          </w:p>
        </w:tc>
        <w:tc>
          <w:tcPr>
            <w:tcW w:w="1970" w:type="dxa"/>
          </w:tcPr>
          <w:p w:rsidR="00EE228B" w:rsidRPr="009B4260" w:rsidRDefault="00EE228B" w:rsidP="009B4260">
            <w:pPr>
              <w:ind w:left="0" w:right="0"/>
              <w:rPr>
                <w:sz w:val="20"/>
                <w:szCs w:val="20"/>
              </w:rPr>
            </w:pPr>
            <w:r w:rsidRPr="009B4260">
              <w:rPr>
                <w:sz w:val="20"/>
                <w:szCs w:val="20"/>
              </w:rPr>
              <w:t xml:space="preserve">Single </w:t>
            </w:r>
            <w:r w:rsidR="00F26004" w:rsidRPr="009B4260">
              <w:rPr>
                <w:sz w:val="20"/>
                <w:szCs w:val="20"/>
              </w:rPr>
              <w:t>IV</w:t>
            </w:r>
            <w:r w:rsidRPr="009B4260">
              <w:rPr>
                <w:sz w:val="20"/>
                <w:szCs w:val="20"/>
              </w:rPr>
              <w:t xml:space="preserve"> injection</w:t>
            </w:r>
          </w:p>
        </w:tc>
        <w:tc>
          <w:tcPr>
            <w:tcW w:w="1970" w:type="dxa"/>
          </w:tcPr>
          <w:p w:rsidR="00EE228B" w:rsidRPr="009B4260" w:rsidRDefault="00EE228B" w:rsidP="009B4260">
            <w:pPr>
              <w:ind w:left="0" w:right="0"/>
              <w:rPr>
                <w:sz w:val="20"/>
                <w:szCs w:val="20"/>
              </w:rPr>
            </w:pPr>
            <w:r w:rsidRPr="009B4260">
              <w:rPr>
                <w:sz w:val="20"/>
                <w:szCs w:val="20"/>
              </w:rPr>
              <w:t xml:space="preserve">Daily </w:t>
            </w:r>
            <w:r w:rsidR="00F26004" w:rsidRPr="009B4260">
              <w:rPr>
                <w:sz w:val="20"/>
                <w:szCs w:val="20"/>
              </w:rPr>
              <w:t>SC</w:t>
            </w:r>
            <w:r w:rsidRPr="009B4260">
              <w:rPr>
                <w:sz w:val="20"/>
                <w:szCs w:val="20"/>
              </w:rPr>
              <w:t xml:space="preserve"> injections for 7 days.</w:t>
            </w:r>
          </w:p>
        </w:tc>
        <w:tc>
          <w:tcPr>
            <w:tcW w:w="1970" w:type="dxa"/>
          </w:tcPr>
          <w:p w:rsidR="00EE228B" w:rsidRPr="009B4260" w:rsidRDefault="00EE228B" w:rsidP="009B4260">
            <w:pPr>
              <w:ind w:left="0" w:right="0"/>
              <w:rPr>
                <w:sz w:val="20"/>
                <w:szCs w:val="20"/>
              </w:rPr>
            </w:pPr>
            <w:r w:rsidRPr="009B4260">
              <w:rPr>
                <w:sz w:val="20"/>
                <w:szCs w:val="20"/>
              </w:rPr>
              <w:t xml:space="preserve">Single </w:t>
            </w:r>
            <w:r w:rsidR="00F26004" w:rsidRPr="009B4260">
              <w:rPr>
                <w:sz w:val="20"/>
                <w:szCs w:val="20"/>
              </w:rPr>
              <w:t>SC</w:t>
            </w:r>
            <w:r w:rsidRPr="009B4260">
              <w:rPr>
                <w:sz w:val="20"/>
                <w:szCs w:val="20"/>
              </w:rPr>
              <w:t xml:space="preserve"> injection</w:t>
            </w:r>
          </w:p>
        </w:tc>
      </w:tr>
      <w:tr w:rsidR="00EE228B" w:rsidRPr="009B4260" w:rsidTr="00F26004">
        <w:trPr>
          <w:cantSplit/>
        </w:trPr>
        <w:tc>
          <w:tcPr>
            <w:tcW w:w="1668" w:type="dxa"/>
          </w:tcPr>
          <w:p w:rsidR="00EE228B" w:rsidRPr="009B4260" w:rsidRDefault="00EE228B" w:rsidP="009B4260">
            <w:pPr>
              <w:ind w:left="0" w:right="0"/>
              <w:rPr>
                <w:sz w:val="20"/>
                <w:szCs w:val="20"/>
              </w:rPr>
            </w:pPr>
            <w:r w:rsidRPr="009B4260">
              <w:rPr>
                <w:sz w:val="20"/>
                <w:szCs w:val="20"/>
              </w:rPr>
              <w:t>Objectives</w:t>
            </w:r>
          </w:p>
        </w:tc>
        <w:tc>
          <w:tcPr>
            <w:tcW w:w="1970" w:type="dxa"/>
          </w:tcPr>
          <w:p w:rsidR="00EE228B" w:rsidRPr="009B4260" w:rsidRDefault="00EE228B" w:rsidP="009B4260">
            <w:pPr>
              <w:ind w:left="0" w:right="0"/>
              <w:rPr>
                <w:sz w:val="20"/>
                <w:szCs w:val="20"/>
              </w:rPr>
            </w:pPr>
            <w:r w:rsidRPr="009B4260">
              <w:rPr>
                <w:sz w:val="20"/>
                <w:szCs w:val="20"/>
              </w:rPr>
              <w:t>Primary: Evaluate PK bioequivalence</w:t>
            </w:r>
          </w:p>
          <w:p w:rsidR="00EE228B" w:rsidRPr="009B4260" w:rsidRDefault="00EE228B" w:rsidP="009B4260">
            <w:pPr>
              <w:ind w:left="0" w:right="0"/>
              <w:rPr>
                <w:sz w:val="20"/>
                <w:szCs w:val="20"/>
              </w:rPr>
            </w:pPr>
            <w:r w:rsidRPr="009B4260">
              <w:rPr>
                <w:sz w:val="20"/>
                <w:szCs w:val="20"/>
              </w:rPr>
              <w:t>Secondary: Compare PD, safety, local tolerance.</w:t>
            </w:r>
          </w:p>
        </w:tc>
        <w:tc>
          <w:tcPr>
            <w:tcW w:w="1970" w:type="dxa"/>
          </w:tcPr>
          <w:p w:rsidR="00EE228B" w:rsidRPr="009B4260" w:rsidRDefault="00EE228B" w:rsidP="009B4260">
            <w:pPr>
              <w:ind w:left="0" w:right="0"/>
              <w:rPr>
                <w:sz w:val="20"/>
                <w:szCs w:val="20"/>
              </w:rPr>
            </w:pPr>
            <w:r w:rsidRPr="009B4260">
              <w:rPr>
                <w:sz w:val="20"/>
                <w:szCs w:val="20"/>
              </w:rPr>
              <w:t>Primary: Evaluate PK bioequivalence</w:t>
            </w:r>
          </w:p>
          <w:p w:rsidR="00EE228B" w:rsidRPr="009B4260" w:rsidRDefault="00EE228B" w:rsidP="009B4260">
            <w:pPr>
              <w:ind w:left="0" w:right="0"/>
              <w:rPr>
                <w:sz w:val="20"/>
                <w:szCs w:val="20"/>
              </w:rPr>
            </w:pPr>
            <w:r w:rsidRPr="009B4260">
              <w:rPr>
                <w:sz w:val="20"/>
                <w:szCs w:val="20"/>
              </w:rPr>
              <w:t>Secondary: Compare PD and Safety</w:t>
            </w:r>
          </w:p>
        </w:tc>
        <w:tc>
          <w:tcPr>
            <w:tcW w:w="1970" w:type="dxa"/>
          </w:tcPr>
          <w:p w:rsidR="00EE228B" w:rsidRPr="009B4260" w:rsidRDefault="00EE228B" w:rsidP="009B4260">
            <w:pPr>
              <w:ind w:left="0" w:right="0"/>
              <w:rPr>
                <w:sz w:val="20"/>
                <w:szCs w:val="20"/>
              </w:rPr>
            </w:pPr>
            <w:r w:rsidRPr="009B4260">
              <w:rPr>
                <w:sz w:val="20"/>
                <w:szCs w:val="20"/>
              </w:rPr>
              <w:t>Primary: Evaluate PD equivalence. Secondary: Safety, local tolerance, PK</w:t>
            </w:r>
          </w:p>
        </w:tc>
        <w:tc>
          <w:tcPr>
            <w:tcW w:w="1970" w:type="dxa"/>
          </w:tcPr>
          <w:p w:rsidR="00EE228B" w:rsidRPr="009B4260" w:rsidRDefault="00EE228B" w:rsidP="009B4260">
            <w:pPr>
              <w:ind w:left="0" w:right="0"/>
              <w:rPr>
                <w:sz w:val="20"/>
                <w:szCs w:val="20"/>
              </w:rPr>
            </w:pPr>
            <w:r w:rsidRPr="009B4260">
              <w:rPr>
                <w:sz w:val="20"/>
                <w:szCs w:val="20"/>
              </w:rPr>
              <w:t>Primary: Evaluate PD equivalence.</w:t>
            </w:r>
          </w:p>
          <w:p w:rsidR="00EE228B" w:rsidRPr="009B4260" w:rsidRDefault="00EE228B" w:rsidP="009B4260">
            <w:pPr>
              <w:ind w:left="0" w:right="0"/>
              <w:rPr>
                <w:sz w:val="20"/>
                <w:szCs w:val="20"/>
              </w:rPr>
            </w:pPr>
            <w:r w:rsidRPr="009B4260">
              <w:rPr>
                <w:sz w:val="20"/>
                <w:szCs w:val="20"/>
              </w:rPr>
              <w:t xml:space="preserve">Secondary: Safety, local tolerance, PK. </w:t>
            </w:r>
          </w:p>
        </w:tc>
      </w:tr>
      <w:tr w:rsidR="00EE228B" w:rsidRPr="009B4260" w:rsidTr="00EE228B">
        <w:tc>
          <w:tcPr>
            <w:tcW w:w="1668" w:type="dxa"/>
          </w:tcPr>
          <w:p w:rsidR="00EE228B" w:rsidRPr="009B4260" w:rsidRDefault="00EE228B" w:rsidP="009B4260">
            <w:pPr>
              <w:ind w:left="0" w:right="0"/>
              <w:rPr>
                <w:sz w:val="20"/>
                <w:szCs w:val="20"/>
              </w:rPr>
            </w:pPr>
            <w:r w:rsidRPr="009B4260">
              <w:rPr>
                <w:sz w:val="20"/>
                <w:szCs w:val="20"/>
              </w:rPr>
              <w:t>Main PK results</w:t>
            </w:r>
          </w:p>
        </w:tc>
        <w:tc>
          <w:tcPr>
            <w:tcW w:w="1970" w:type="dxa"/>
          </w:tcPr>
          <w:p w:rsidR="00EE228B" w:rsidRPr="009B4260" w:rsidRDefault="00EE228B" w:rsidP="009B4260">
            <w:pPr>
              <w:ind w:left="0" w:right="0"/>
              <w:rPr>
                <w:sz w:val="20"/>
                <w:szCs w:val="20"/>
              </w:rPr>
            </w:pPr>
            <w:r w:rsidRPr="009B4260">
              <w:rPr>
                <w:sz w:val="20"/>
                <w:szCs w:val="20"/>
              </w:rPr>
              <w:t xml:space="preserve">Confirmatory analysis demonstrate that at 10µg/kg/day, EP2006 and </w:t>
            </w:r>
            <w:r w:rsidRPr="009B4260">
              <w:rPr>
                <w:sz w:val="20"/>
                <w:szCs w:val="20"/>
              </w:rPr>
              <w:lastRenderedPageBreak/>
              <w:t xml:space="preserve">Neupogen are bioequivalent within the predefined accepted criteria of 80-125% for the 90% confidence intervals of AUC and 75-133% confidence intervals of </w:t>
            </w:r>
            <w:proofErr w:type="spellStart"/>
            <w:r w:rsidRPr="009B4260">
              <w:rPr>
                <w:sz w:val="20"/>
                <w:szCs w:val="20"/>
              </w:rPr>
              <w:t>C</w:t>
            </w:r>
            <w:r w:rsidRPr="009B4260">
              <w:rPr>
                <w:sz w:val="20"/>
                <w:szCs w:val="20"/>
                <w:vertAlign w:val="subscript"/>
              </w:rPr>
              <w:t>max</w:t>
            </w:r>
            <w:proofErr w:type="spellEnd"/>
            <w:r w:rsidRPr="009B4260">
              <w:rPr>
                <w:sz w:val="20"/>
                <w:szCs w:val="20"/>
              </w:rPr>
              <w:t>, both after the first dose and at steady state.</w:t>
            </w:r>
          </w:p>
        </w:tc>
        <w:tc>
          <w:tcPr>
            <w:tcW w:w="1970" w:type="dxa"/>
          </w:tcPr>
          <w:p w:rsidR="00EE228B" w:rsidRPr="009B4260" w:rsidRDefault="00EE228B" w:rsidP="009B4260">
            <w:pPr>
              <w:ind w:left="0" w:right="0"/>
              <w:rPr>
                <w:sz w:val="20"/>
                <w:szCs w:val="20"/>
              </w:rPr>
            </w:pPr>
            <w:r w:rsidRPr="009B4260">
              <w:rPr>
                <w:sz w:val="20"/>
                <w:szCs w:val="20"/>
              </w:rPr>
              <w:lastRenderedPageBreak/>
              <w:t xml:space="preserve">Confirmatory analyses demonstrate that EP2006 is bioequivalent to </w:t>
            </w:r>
            <w:r w:rsidRPr="009B4260">
              <w:rPr>
                <w:sz w:val="20"/>
                <w:szCs w:val="20"/>
              </w:rPr>
              <w:lastRenderedPageBreak/>
              <w:t xml:space="preserve">Neupogen for both AUC and </w:t>
            </w:r>
            <w:proofErr w:type="spellStart"/>
            <w:r w:rsidRPr="009B4260">
              <w:rPr>
                <w:sz w:val="20"/>
                <w:szCs w:val="20"/>
              </w:rPr>
              <w:t>C</w:t>
            </w:r>
            <w:r w:rsidRPr="009B4260">
              <w:rPr>
                <w:sz w:val="20"/>
                <w:szCs w:val="20"/>
                <w:vertAlign w:val="subscript"/>
              </w:rPr>
              <w:t>max</w:t>
            </w:r>
            <w:proofErr w:type="spellEnd"/>
            <w:r w:rsidRPr="009B4260">
              <w:rPr>
                <w:sz w:val="20"/>
                <w:szCs w:val="20"/>
              </w:rPr>
              <w:t xml:space="preserve">. The 90% confidence intervals were within the pre-defined accepted range of 80-125% for AUC and 70-143% for </w:t>
            </w:r>
            <w:proofErr w:type="spellStart"/>
            <w:r w:rsidRPr="009B4260">
              <w:rPr>
                <w:sz w:val="20"/>
                <w:szCs w:val="20"/>
              </w:rPr>
              <w:t>C</w:t>
            </w:r>
            <w:r w:rsidRPr="009B4260">
              <w:rPr>
                <w:sz w:val="20"/>
                <w:szCs w:val="20"/>
                <w:vertAlign w:val="subscript"/>
              </w:rPr>
              <w:t>max</w:t>
            </w:r>
            <w:proofErr w:type="spellEnd"/>
            <w:r w:rsidRPr="009B4260">
              <w:rPr>
                <w:sz w:val="20"/>
                <w:szCs w:val="20"/>
              </w:rPr>
              <w:t>.</w:t>
            </w:r>
          </w:p>
        </w:tc>
        <w:tc>
          <w:tcPr>
            <w:tcW w:w="1970" w:type="dxa"/>
          </w:tcPr>
          <w:p w:rsidR="00EE228B" w:rsidRPr="009B4260" w:rsidRDefault="00EE228B" w:rsidP="009B4260">
            <w:pPr>
              <w:ind w:left="0" w:right="0"/>
              <w:rPr>
                <w:sz w:val="20"/>
                <w:szCs w:val="20"/>
              </w:rPr>
            </w:pPr>
            <w:r w:rsidRPr="009B4260">
              <w:rPr>
                <w:sz w:val="20"/>
                <w:szCs w:val="20"/>
              </w:rPr>
              <w:lastRenderedPageBreak/>
              <w:t xml:space="preserve">Descriptive analyses demonstrate that the 90% confidence </w:t>
            </w:r>
            <w:r w:rsidRPr="009B4260">
              <w:rPr>
                <w:sz w:val="20"/>
                <w:szCs w:val="20"/>
              </w:rPr>
              <w:lastRenderedPageBreak/>
              <w:t xml:space="preserve">intervals for all single-dose and multiple-dose AUCs were fully included within the conventional 80-125% criterion, as was the 90% CI for </w:t>
            </w:r>
            <w:proofErr w:type="spellStart"/>
            <w:r w:rsidRPr="009B4260">
              <w:rPr>
                <w:sz w:val="20"/>
                <w:szCs w:val="20"/>
              </w:rPr>
              <w:t>C</w:t>
            </w:r>
            <w:r w:rsidRPr="009B4260">
              <w:rPr>
                <w:sz w:val="20"/>
                <w:szCs w:val="20"/>
                <w:vertAlign w:val="subscript"/>
              </w:rPr>
              <w:t>max</w:t>
            </w:r>
            <w:proofErr w:type="spellEnd"/>
            <w:r w:rsidRPr="009B4260">
              <w:rPr>
                <w:sz w:val="20"/>
                <w:szCs w:val="20"/>
              </w:rPr>
              <w:t xml:space="preserve"> after a single dose </w:t>
            </w:r>
            <w:proofErr w:type="gramStart"/>
            <w:r w:rsidRPr="009B4260">
              <w:rPr>
                <w:sz w:val="20"/>
                <w:szCs w:val="20"/>
              </w:rPr>
              <w:t>of 5 µg/kg</w:t>
            </w:r>
            <w:proofErr w:type="gramEnd"/>
            <w:r w:rsidRPr="009B4260">
              <w:rPr>
                <w:sz w:val="20"/>
                <w:szCs w:val="20"/>
              </w:rPr>
              <w:t xml:space="preserve">. The CI for </w:t>
            </w:r>
            <w:proofErr w:type="spellStart"/>
            <w:r w:rsidRPr="009B4260">
              <w:rPr>
                <w:sz w:val="20"/>
                <w:szCs w:val="20"/>
              </w:rPr>
              <w:t>C</w:t>
            </w:r>
            <w:r w:rsidRPr="009B4260">
              <w:rPr>
                <w:sz w:val="20"/>
                <w:szCs w:val="20"/>
                <w:vertAlign w:val="subscript"/>
              </w:rPr>
              <w:t>max</w:t>
            </w:r>
            <w:proofErr w:type="spellEnd"/>
            <w:r w:rsidRPr="009B4260">
              <w:rPr>
                <w:sz w:val="20"/>
                <w:szCs w:val="20"/>
              </w:rPr>
              <w:t xml:space="preserve"> after a single dose </w:t>
            </w:r>
            <w:proofErr w:type="gramStart"/>
            <w:r w:rsidRPr="009B4260">
              <w:rPr>
                <w:sz w:val="20"/>
                <w:szCs w:val="20"/>
              </w:rPr>
              <w:t>of 2.5 µg/kg</w:t>
            </w:r>
            <w:proofErr w:type="gramEnd"/>
            <w:r w:rsidRPr="009B4260">
              <w:rPr>
                <w:sz w:val="20"/>
                <w:szCs w:val="20"/>
              </w:rPr>
              <w:t xml:space="preserve"> was within the boundaries of 75-133%. At 2.5 µg/kg and at 5 µg/kg (multiple dose) the CIs for </w:t>
            </w:r>
            <w:proofErr w:type="spellStart"/>
            <w:r w:rsidRPr="009B4260">
              <w:rPr>
                <w:sz w:val="20"/>
                <w:szCs w:val="20"/>
              </w:rPr>
              <w:t>C</w:t>
            </w:r>
            <w:r w:rsidRPr="009B4260">
              <w:rPr>
                <w:sz w:val="20"/>
                <w:szCs w:val="20"/>
                <w:vertAlign w:val="subscript"/>
              </w:rPr>
              <w:t>max</w:t>
            </w:r>
            <w:proofErr w:type="spellEnd"/>
            <w:r w:rsidRPr="009B4260">
              <w:rPr>
                <w:sz w:val="20"/>
                <w:szCs w:val="20"/>
              </w:rPr>
              <w:t xml:space="preserve"> were contained within the extended boundaries 70-143%.</w:t>
            </w:r>
          </w:p>
        </w:tc>
        <w:tc>
          <w:tcPr>
            <w:tcW w:w="1970" w:type="dxa"/>
          </w:tcPr>
          <w:p w:rsidR="00EE228B" w:rsidRPr="009B4260" w:rsidRDefault="00EE228B" w:rsidP="009B4260">
            <w:pPr>
              <w:ind w:left="0" w:right="0"/>
              <w:rPr>
                <w:sz w:val="20"/>
                <w:szCs w:val="20"/>
              </w:rPr>
            </w:pPr>
            <w:r w:rsidRPr="009B4260">
              <w:rPr>
                <w:sz w:val="20"/>
                <w:szCs w:val="20"/>
              </w:rPr>
              <w:lastRenderedPageBreak/>
              <w:t xml:space="preserve">Descriptive analyses demonstrate that EP2006 is bioequivalent to </w:t>
            </w:r>
            <w:r w:rsidRPr="009B4260">
              <w:rPr>
                <w:sz w:val="20"/>
                <w:szCs w:val="20"/>
              </w:rPr>
              <w:lastRenderedPageBreak/>
              <w:t xml:space="preserve">Neupogen for both AUC and </w:t>
            </w:r>
            <w:proofErr w:type="spellStart"/>
            <w:r w:rsidRPr="009B4260">
              <w:rPr>
                <w:sz w:val="20"/>
                <w:szCs w:val="20"/>
              </w:rPr>
              <w:t>C</w:t>
            </w:r>
            <w:r w:rsidRPr="009B4260">
              <w:rPr>
                <w:sz w:val="20"/>
                <w:szCs w:val="20"/>
                <w:vertAlign w:val="subscript"/>
              </w:rPr>
              <w:t>max</w:t>
            </w:r>
            <w:proofErr w:type="spellEnd"/>
            <w:r w:rsidRPr="009B4260">
              <w:rPr>
                <w:sz w:val="20"/>
                <w:szCs w:val="20"/>
              </w:rPr>
              <w:t>. The 90% confidence intervals were within the pre-defined acceptance range of 80-125%.</w:t>
            </w:r>
          </w:p>
        </w:tc>
      </w:tr>
    </w:tbl>
    <w:p w:rsidR="00EE228B" w:rsidRPr="00EE228B" w:rsidRDefault="00EE228B" w:rsidP="00EE228B">
      <w:pPr>
        <w:pStyle w:val="Heading4"/>
      </w:pPr>
      <w:bookmarkStart w:id="83" w:name="_Toc241374296"/>
      <w:bookmarkStart w:id="84" w:name="_Ref269982040"/>
      <w:bookmarkStart w:id="85" w:name="_Ref271018704"/>
      <w:bookmarkStart w:id="86" w:name="_Ref271018755"/>
      <w:bookmarkStart w:id="87" w:name="_Toc272414635"/>
      <w:bookmarkStart w:id="88" w:name="_Toc273018198"/>
      <w:bookmarkStart w:id="89" w:name="_Toc336593085"/>
      <w:bookmarkStart w:id="90" w:name="_Toc363229841"/>
      <w:r w:rsidRPr="00EE228B">
        <w:lastRenderedPageBreak/>
        <w:t>Evaluator’s overall conclusions on pharmacokinetics</w:t>
      </w:r>
      <w:bookmarkEnd w:id="83"/>
      <w:bookmarkEnd w:id="84"/>
      <w:bookmarkEnd w:id="85"/>
      <w:bookmarkEnd w:id="86"/>
      <w:bookmarkEnd w:id="87"/>
      <w:bookmarkEnd w:id="88"/>
      <w:bookmarkEnd w:id="89"/>
      <w:bookmarkEnd w:id="90"/>
    </w:p>
    <w:p w:rsidR="00EE228B" w:rsidRPr="00FB2770" w:rsidRDefault="00EE228B" w:rsidP="008E7846">
      <w:r w:rsidRPr="00EE228B">
        <w:t>Pharmacokinetic equivalence was demonstrated between EP2006 and N</w:t>
      </w:r>
      <w:r w:rsidR="00B85277">
        <w:t>eupogen by the Phase I studies.</w:t>
      </w:r>
    </w:p>
    <w:p w:rsidR="008E7846" w:rsidRDefault="008E7846" w:rsidP="008E7846">
      <w:pPr>
        <w:pStyle w:val="Heading3"/>
      </w:pPr>
      <w:bookmarkStart w:id="91" w:name="_Toc196046481"/>
      <w:bookmarkStart w:id="92" w:name="_Toc247691520"/>
      <w:bookmarkStart w:id="93" w:name="_Toc314842503"/>
      <w:bookmarkStart w:id="94" w:name="_Toc368569794"/>
      <w:r w:rsidRPr="00254787">
        <w:t>Pharmacodynamics</w:t>
      </w:r>
      <w:bookmarkEnd w:id="63"/>
      <w:bookmarkEnd w:id="91"/>
      <w:bookmarkEnd w:id="92"/>
      <w:bookmarkEnd w:id="93"/>
      <w:bookmarkEnd w:id="94"/>
    </w:p>
    <w:p w:rsidR="00EE228B" w:rsidRPr="00EE228B" w:rsidRDefault="00EE228B" w:rsidP="00EE228B">
      <w:r w:rsidRPr="00EE228B">
        <w:t>The objective of the studies was to compare the PD of EP2006 with Neupogen with respect to ANC and CD34</w:t>
      </w:r>
      <w:r w:rsidRPr="00BA6136">
        <w:rPr>
          <w:vertAlign w:val="superscript"/>
        </w:rPr>
        <w:t>+</w:t>
      </w:r>
      <w:r w:rsidRPr="00EE228B">
        <w:t xml:space="preserve"> cells. The </w:t>
      </w:r>
      <w:r w:rsidR="00F305F7">
        <w:t xml:space="preserve">PD </w:t>
      </w:r>
      <w:r w:rsidRPr="00EE228B">
        <w:t>response to EP2006, with respect to ANC and CD34</w:t>
      </w:r>
      <w:r w:rsidRPr="00F305F7">
        <w:rPr>
          <w:vertAlign w:val="superscript"/>
        </w:rPr>
        <w:t>+</w:t>
      </w:r>
      <w:r w:rsidRPr="00EE228B">
        <w:t xml:space="preserve"> cells, was provided by the Phase I</w:t>
      </w:r>
      <w:r w:rsidR="00F305F7">
        <w:t>,</w:t>
      </w:r>
      <w:r w:rsidRPr="00EE228B">
        <w:t xml:space="preserve"> pivotal comparative </w:t>
      </w:r>
      <w:r w:rsidR="00F305F7">
        <w:t>S</w:t>
      </w:r>
      <w:r w:rsidRPr="00EE228B">
        <w:t xml:space="preserve">tudy EP06-103, and the Phase I </w:t>
      </w:r>
      <w:r w:rsidR="00F305F7">
        <w:t>S</w:t>
      </w:r>
      <w:r w:rsidRPr="00EE228B">
        <w:t>tudies EP</w:t>
      </w:r>
      <w:r w:rsidR="00B85277">
        <w:t>06-101, EP06-102, and EP06-105.</w:t>
      </w:r>
    </w:p>
    <w:p w:rsidR="00EE228B" w:rsidRPr="00EE228B" w:rsidRDefault="00EE228B" w:rsidP="00EE228B">
      <w:r w:rsidRPr="00EE228B">
        <w:t>The results for ANC and CD34</w:t>
      </w:r>
      <w:r w:rsidRPr="00F305F7">
        <w:rPr>
          <w:vertAlign w:val="superscript"/>
        </w:rPr>
        <w:t>+</w:t>
      </w:r>
      <w:r w:rsidR="00F305F7">
        <w:t xml:space="preserve"> cells were summaris</w:t>
      </w:r>
      <w:r w:rsidRPr="00EE228B">
        <w:t xml:space="preserve">ed and tabulated. The </w:t>
      </w:r>
      <w:r w:rsidR="00F305F7">
        <w:t xml:space="preserve">PD </w:t>
      </w:r>
      <w:r w:rsidRPr="00EE228B">
        <w:t xml:space="preserve">parameter, the area under the ANC effect time curve (AUEC), was calculated from measured </w:t>
      </w:r>
      <w:proofErr w:type="spellStart"/>
      <w:r w:rsidRPr="00EE228B">
        <w:t>datapoints</w:t>
      </w:r>
      <w:proofErr w:type="spellEnd"/>
      <w:r w:rsidRPr="00EE228B">
        <w:t xml:space="preserve"> from the time of administration until last scheduled blood sampling using the </w:t>
      </w:r>
      <w:proofErr w:type="spellStart"/>
      <w:r w:rsidRPr="00EE228B">
        <w:t>WinNonlin</w:t>
      </w:r>
      <w:proofErr w:type="spellEnd"/>
      <w:r w:rsidRPr="00EE228B">
        <w:t xml:space="preserve"> program</w:t>
      </w:r>
      <w:r w:rsidR="00B85277">
        <w:t>.</w:t>
      </w:r>
    </w:p>
    <w:p w:rsidR="00EE228B" w:rsidRPr="00EE228B" w:rsidRDefault="00EE228B" w:rsidP="00EE228B">
      <w:r w:rsidRPr="00EE228B">
        <w:t xml:space="preserve">A high level of concordance was demonstrated in the PD responses between EP2006 and Neupogen in all the Phase I studies. The 95% </w:t>
      </w:r>
      <w:r w:rsidR="00F305F7">
        <w:t xml:space="preserve">CIs </w:t>
      </w:r>
      <w:r w:rsidRPr="00EE228B">
        <w:t xml:space="preserve">of the effect on AUEC of ANC in the pivotal study and the other Phase I studies were within the pre-defined equivalence boundaries. The results of the 95% </w:t>
      </w:r>
      <w:r w:rsidR="00F305F7">
        <w:t xml:space="preserve">CI </w:t>
      </w:r>
      <w:r w:rsidRPr="00EE228B">
        <w:t>for the secondary parameters also showed that EP</w:t>
      </w:r>
      <w:r w:rsidR="00B85277">
        <w:t xml:space="preserve">2006 is </w:t>
      </w:r>
      <w:proofErr w:type="spellStart"/>
      <w:r w:rsidR="00B85277">
        <w:t>biosimilar</w:t>
      </w:r>
      <w:proofErr w:type="spellEnd"/>
      <w:r w:rsidR="00B85277">
        <w:t xml:space="preserve"> to </w:t>
      </w:r>
      <w:proofErr w:type="spellStart"/>
      <w:r w:rsidR="00B85277">
        <w:t>Neupogen</w:t>
      </w:r>
      <w:proofErr w:type="spellEnd"/>
      <w:r w:rsidR="00B85277">
        <w:t>.</w:t>
      </w:r>
    </w:p>
    <w:p w:rsidR="00EE228B" w:rsidRPr="00EE228B" w:rsidRDefault="00EE228B" w:rsidP="00EE228B">
      <w:pPr>
        <w:pStyle w:val="Heading4"/>
      </w:pPr>
      <w:bookmarkStart w:id="95" w:name="_Toc336593087"/>
      <w:bookmarkStart w:id="96" w:name="_Toc363229843"/>
      <w:r w:rsidRPr="00EE228B">
        <w:t>Evaluator’s overall conclusions on pharmacodynamics</w:t>
      </w:r>
      <w:bookmarkEnd w:id="95"/>
      <w:bookmarkEnd w:id="96"/>
    </w:p>
    <w:p w:rsidR="008E7846" w:rsidRPr="00F26004" w:rsidRDefault="00EE228B" w:rsidP="00F26004">
      <w:r w:rsidRPr="00F26004">
        <w:t>The results confirmed that the ANC response to EP</w:t>
      </w:r>
      <w:r w:rsidR="00F305F7" w:rsidRPr="00F26004">
        <w:t xml:space="preserve">2006 at all doses between 1 µg/kg/day and </w:t>
      </w:r>
      <w:proofErr w:type="gramStart"/>
      <w:r w:rsidR="00F305F7" w:rsidRPr="00F26004">
        <w:t>10 µg/kg/day</w:t>
      </w:r>
      <w:r w:rsidR="00F26004" w:rsidRPr="00F26004">
        <w:t>,</w:t>
      </w:r>
      <w:r w:rsidRPr="00F26004">
        <w:t xml:space="preserve"> after </w:t>
      </w:r>
      <w:r w:rsidR="00F305F7" w:rsidRPr="00F26004">
        <w:t xml:space="preserve">SC </w:t>
      </w:r>
      <w:r w:rsidRPr="00F26004">
        <w:t xml:space="preserve">and </w:t>
      </w:r>
      <w:r w:rsidR="00F305F7" w:rsidRPr="00F26004">
        <w:t xml:space="preserve">IV </w:t>
      </w:r>
      <w:r w:rsidR="00F26004" w:rsidRPr="00F26004">
        <w:t>administration,</w:t>
      </w:r>
      <w:proofErr w:type="gramEnd"/>
      <w:r w:rsidR="00F26004" w:rsidRPr="00F26004">
        <w:t xml:space="preserve"> </w:t>
      </w:r>
      <w:r w:rsidRPr="00F26004">
        <w:t>was equivalent to the re</w:t>
      </w:r>
      <w:r w:rsidR="00B85277">
        <w:t xml:space="preserve">sponse with </w:t>
      </w:r>
      <w:proofErr w:type="spellStart"/>
      <w:r w:rsidR="00B85277">
        <w:t>Neupogen</w:t>
      </w:r>
      <w:proofErr w:type="spellEnd"/>
      <w:r w:rsidR="00B85277">
        <w:t xml:space="preserve"> treatment.</w:t>
      </w:r>
    </w:p>
    <w:p w:rsidR="008E7846" w:rsidRPr="00254787" w:rsidRDefault="008E7846" w:rsidP="008E7846">
      <w:pPr>
        <w:pStyle w:val="Heading3"/>
      </w:pPr>
      <w:bookmarkStart w:id="97" w:name="_Toc163441372"/>
      <w:bookmarkStart w:id="98" w:name="_Toc196046485"/>
      <w:bookmarkStart w:id="99" w:name="_Toc247691521"/>
      <w:bookmarkStart w:id="100" w:name="_Toc314842504"/>
      <w:bookmarkStart w:id="101" w:name="_Toc368569795"/>
      <w:r w:rsidRPr="00254787">
        <w:lastRenderedPageBreak/>
        <w:t>Efficacy</w:t>
      </w:r>
      <w:bookmarkEnd w:id="97"/>
      <w:bookmarkEnd w:id="98"/>
      <w:bookmarkEnd w:id="99"/>
      <w:bookmarkEnd w:id="100"/>
      <w:bookmarkEnd w:id="101"/>
    </w:p>
    <w:p w:rsidR="00EE228B" w:rsidRPr="00EE228B" w:rsidRDefault="00EE228B" w:rsidP="00EE228B">
      <w:bookmarkStart w:id="102" w:name="_Toc184439992"/>
      <w:bookmarkStart w:id="103" w:name="_Toc184440279"/>
      <w:bookmarkStart w:id="104" w:name="_Toc184444657"/>
      <w:bookmarkStart w:id="105" w:name="_Toc196046487"/>
      <w:r w:rsidRPr="00EE228B">
        <w:t xml:space="preserve">The </w:t>
      </w:r>
      <w:r w:rsidR="00F305F7">
        <w:t xml:space="preserve">PD </w:t>
      </w:r>
      <w:r w:rsidRPr="00EE228B">
        <w:t xml:space="preserve">response evaluation in healthy subjects is considered </w:t>
      </w:r>
      <w:r w:rsidR="00F305F7">
        <w:t>sufficient, according to the EM</w:t>
      </w:r>
      <w:r w:rsidRPr="00EE228B">
        <w:t xml:space="preserve">A guidelines, for establishing efficacy of </w:t>
      </w:r>
      <w:proofErr w:type="spellStart"/>
      <w:r w:rsidRPr="00EE228B">
        <w:t>biosimilar</w:t>
      </w:r>
      <w:proofErr w:type="spellEnd"/>
      <w:r w:rsidRPr="00EE228B">
        <w:t xml:space="preserve"> </w:t>
      </w:r>
      <w:proofErr w:type="spellStart"/>
      <w:r w:rsidRPr="00EE228B">
        <w:t>rhG</w:t>
      </w:r>
      <w:proofErr w:type="spellEnd"/>
      <w:r w:rsidRPr="00EE228B">
        <w:t>-CSF (EMEA/CHMP/BMWP/42832/2005 and EMEA/CHMP/BWMP/31329/2005). According to the guidelines, at least one PD biomarker should be considered as a surrogate marker for efficacy and the relationship between dose/exposure to the product and this surrogate marker should be well known. Also, therapy induced changes in the surrogate marker should explain changes in clinical outcome to a large extent. The ANC satisfies the requirements of a surrogate marker for efficacy. CD34</w:t>
      </w:r>
      <w:r w:rsidRPr="00F305F7">
        <w:rPr>
          <w:vertAlign w:val="superscript"/>
        </w:rPr>
        <w:t>+</w:t>
      </w:r>
      <w:r w:rsidRPr="00EE228B">
        <w:t xml:space="preserve"> was used as a secondary efficacy endpoint in some studies.</w:t>
      </w:r>
    </w:p>
    <w:p w:rsidR="00995E9E" w:rsidRDefault="00EE228B" w:rsidP="00EE228B">
      <w:pPr>
        <w:rPr>
          <w:highlight w:val="yellow"/>
        </w:rPr>
        <w:sectPr w:rsidR="00995E9E" w:rsidSect="00B452CE">
          <w:headerReference w:type="even" r:id="rId20"/>
          <w:headerReference w:type="default" r:id="rId21"/>
          <w:footerReference w:type="default" r:id="rId22"/>
          <w:headerReference w:type="first" r:id="rId23"/>
          <w:footerReference w:type="first" r:id="rId24"/>
          <w:pgSz w:w="11906" w:h="16838" w:code="9"/>
          <w:pgMar w:top="834" w:right="1701" w:bottom="1191" w:left="1701" w:header="907" w:footer="216" w:gutter="0"/>
          <w:cols w:space="708"/>
          <w:docGrid w:linePitch="360"/>
        </w:sectPr>
      </w:pPr>
      <w:r w:rsidRPr="00EE228B">
        <w:t>The studies that were considered pertinent for efficacy</w:t>
      </w:r>
      <w:r w:rsidR="00F305F7">
        <w:t xml:space="preserve"> included the Phase I studies (S</w:t>
      </w:r>
      <w:r w:rsidRPr="00EE228B">
        <w:t>tudies EP06-103, EP06-101, EP06-102, and EP06-105) and a Phase III study, Study EP06-301</w:t>
      </w:r>
      <w:r w:rsidRPr="00F305F7">
        <w:t xml:space="preserve">, and are summarised </w:t>
      </w:r>
      <w:r w:rsidR="00F305F7">
        <w:t xml:space="preserve">below </w:t>
      </w:r>
      <w:r w:rsidRPr="00F305F7">
        <w:t xml:space="preserve">in Table </w:t>
      </w:r>
      <w:r w:rsidR="00EA04AA">
        <w:t>3.</w:t>
      </w:r>
    </w:p>
    <w:p w:rsidR="00995E9E" w:rsidRPr="00995E9E" w:rsidRDefault="00EA04AA" w:rsidP="00F33E06">
      <w:pPr>
        <w:pStyle w:val="TableTitle"/>
      </w:pPr>
      <w:proofErr w:type="gramStart"/>
      <w:r>
        <w:lastRenderedPageBreak/>
        <w:t>Table 3</w:t>
      </w:r>
      <w:r w:rsidR="00995E9E" w:rsidRPr="00995E9E">
        <w:t>.</w:t>
      </w:r>
      <w:proofErr w:type="gramEnd"/>
      <w:r w:rsidR="00995E9E" w:rsidRPr="00995E9E">
        <w:t xml:space="preserve"> Studies pertinent to efficacy</w:t>
      </w:r>
    </w:p>
    <w:p w:rsidR="00995E9E" w:rsidRPr="00995E9E" w:rsidRDefault="00995E9E" w:rsidP="00F33E06">
      <w:r w:rsidRPr="00995E9E">
        <w:rPr>
          <w:noProof/>
          <w:lang w:eastAsia="en-AU"/>
        </w:rPr>
        <w:drawing>
          <wp:inline distT="0" distB="0" distL="0" distR="0">
            <wp:extent cx="8530783" cy="3944192"/>
            <wp:effectExtent l="19050" t="0" r="3617" b="0"/>
            <wp:docPr id="7" name="Picture 3" descr="Table 3. Studies pertinent to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8529431" cy="3943567"/>
                    </a:xfrm>
                    <a:prstGeom prst="rect">
                      <a:avLst/>
                    </a:prstGeom>
                    <a:noFill/>
                    <a:ln w="9525">
                      <a:noFill/>
                      <a:miter lim="800000"/>
                      <a:headEnd/>
                      <a:tailEnd/>
                    </a:ln>
                  </pic:spPr>
                </pic:pic>
              </a:graphicData>
            </a:graphic>
          </wp:inline>
        </w:drawing>
      </w:r>
    </w:p>
    <w:p w:rsidR="00995E9E" w:rsidRDefault="00995E9E" w:rsidP="00EE228B">
      <w:pPr>
        <w:sectPr w:rsidR="00995E9E" w:rsidSect="00995E9E">
          <w:footerReference w:type="default" r:id="rId26"/>
          <w:pgSz w:w="16838" w:h="11906" w:orient="landscape" w:code="9"/>
          <w:pgMar w:top="1701" w:right="834" w:bottom="1701" w:left="1191" w:header="907" w:footer="216" w:gutter="0"/>
          <w:cols w:space="708"/>
          <w:docGrid w:linePitch="360"/>
        </w:sectPr>
      </w:pPr>
    </w:p>
    <w:p w:rsidR="00995E9E" w:rsidRPr="00995E9E" w:rsidRDefault="00995E9E" w:rsidP="00995E9E">
      <w:pPr>
        <w:pStyle w:val="Heading4"/>
      </w:pPr>
      <w:bookmarkStart w:id="106" w:name="_Toc336593090"/>
      <w:bookmarkStart w:id="107" w:name="_Toc363229845"/>
      <w:r w:rsidRPr="00995E9E">
        <w:lastRenderedPageBreak/>
        <w:t>Evaluator’s overall conclusions on efficacy</w:t>
      </w:r>
      <w:bookmarkEnd w:id="106"/>
      <w:bookmarkEnd w:id="107"/>
    </w:p>
    <w:p w:rsidR="008E7846" w:rsidRDefault="00995E9E" w:rsidP="008E7846">
      <w:r w:rsidRPr="00995E9E">
        <w:t xml:space="preserve">The Phase I studies demonstrated similarity in efficacy of EP2006 with Neupogen. Efficacy in the Phase III study in breast cancer patients, in terms of reduction of the incidence of severe </w:t>
      </w:r>
      <w:r w:rsidR="00F305F7" w:rsidRPr="00995E9E">
        <w:t>neutropenia</w:t>
      </w:r>
      <w:r w:rsidRPr="00995E9E">
        <w:t xml:space="preserve"> and reduction in the duration of severe </w:t>
      </w:r>
      <w:r w:rsidR="00F305F7" w:rsidRPr="00995E9E">
        <w:t>neutropenia</w:t>
      </w:r>
      <w:r w:rsidRPr="00995E9E">
        <w:t>, was comparable with the efficacy of Neupogen when used in</w:t>
      </w:r>
      <w:r w:rsidR="00F33E06">
        <w:t xml:space="preserve"> combination with chemotherapy.</w:t>
      </w:r>
    </w:p>
    <w:p w:rsidR="008E7846" w:rsidRPr="002E238E" w:rsidRDefault="008E7846" w:rsidP="008E7846">
      <w:pPr>
        <w:pStyle w:val="Heading3"/>
      </w:pPr>
      <w:bookmarkStart w:id="108" w:name="_Toc163441378"/>
      <w:bookmarkStart w:id="109" w:name="_Toc196046495"/>
      <w:bookmarkStart w:id="110" w:name="_Toc247691522"/>
      <w:bookmarkStart w:id="111" w:name="_Toc314842505"/>
      <w:bookmarkStart w:id="112" w:name="_Toc368569796"/>
      <w:bookmarkEnd w:id="102"/>
      <w:bookmarkEnd w:id="103"/>
      <w:bookmarkEnd w:id="104"/>
      <w:bookmarkEnd w:id="105"/>
      <w:r w:rsidRPr="002E238E">
        <w:t>Safety</w:t>
      </w:r>
      <w:bookmarkEnd w:id="108"/>
      <w:bookmarkEnd w:id="109"/>
      <w:bookmarkEnd w:id="110"/>
      <w:bookmarkEnd w:id="111"/>
      <w:bookmarkEnd w:id="112"/>
    </w:p>
    <w:p w:rsidR="00995E9E" w:rsidRPr="00995E9E" w:rsidRDefault="00995E9E" w:rsidP="0071153F">
      <w:pPr>
        <w:pStyle w:val="Heading4"/>
      </w:pPr>
      <w:bookmarkStart w:id="113" w:name="_Toc272414659"/>
      <w:bookmarkStart w:id="114" w:name="_Toc273018222"/>
      <w:bookmarkStart w:id="115" w:name="_Toc336593092"/>
      <w:bookmarkStart w:id="116" w:name="_Toc363229847"/>
      <w:bookmarkStart w:id="117" w:name="_Toc184440288"/>
      <w:bookmarkStart w:id="118" w:name="_Toc184444666"/>
      <w:bookmarkStart w:id="119" w:name="_Toc196046496"/>
      <w:r w:rsidRPr="00995E9E">
        <w:t>Studies providing evaluable safety data</w:t>
      </w:r>
      <w:bookmarkEnd w:id="113"/>
      <w:bookmarkEnd w:id="114"/>
      <w:bookmarkEnd w:id="115"/>
      <w:bookmarkEnd w:id="116"/>
    </w:p>
    <w:p w:rsidR="00995E9E" w:rsidRPr="00995E9E" w:rsidRDefault="0071153F" w:rsidP="00995E9E">
      <w:pPr>
        <w:autoSpaceDE w:val="0"/>
        <w:autoSpaceDN w:val="0"/>
        <w:adjustRightInd w:val="0"/>
      </w:pPr>
      <w:r>
        <w:t xml:space="preserve">These are summarised in Table </w:t>
      </w:r>
      <w:r w:rsidR="00EA04AA">
        <w:t>4</w:t>
      </w:r>
      <w:r w:rsidR="00995E9E" w:rsidRPr="00995E9E">
        <w:t>, below.</w:t>
      </w:r>
    </w:p>
    <w:p w:rsidR="00995E9E" w:rsidRPr="00F305F7" w:rsidRDefault="00EA04AA" w:rsidP="00F33E06">
      <w:pPr>
        <w:pStyle w:val="TableTitle"/>
      </w:pPr>
      <w:proofErr w:type="gramStart"/>
      <w:r>
        <w:lastRenderedPageBreak/>
        <w:t>Table 4</w:t>
      </w:r>
      <w:r w:rsidR="00995E9E" w:rsidRPr="00F305F7">
        <w:t>.</w:t>
      </w:r>
      <w:proofErr w:type="gramEnd"/>
      <w:r w:rsidR="00995E9E" w:rsidRPr="00F305F7">
        <w:t xml:space="preserve"> Studies providing evaluable safety data</w:t>
      </w:r>
    </w:p>
    <w:p w:rsidR="00F33E06" w:rsidRDefault="00995E9E" w:rsidP="00F33E06">
      <w:pPr>
        <w:rPr>
          <w:b/>
        </w:rPr>
      </w:pPr>
      <w:r w:rsidRPr="00995E9E">
        <w:rPr>
          <w:noProof/>
          <w:lang w:eastAsia="en-AU"/>
        </w:rPr>
        <w:drawing>
          <wp:inline distT="0" distB="0" distL="0" distR="0">
            <wp:extent cx="5627079" cy="7931728"/>
            <wp:effectExtent l="19050" t="0" r="0" b="0"/>
            <wp:docPr id="9" name="Picture 2" descr="Table 4.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t="720"/>
                    <a:stretch>
                      <a:fillRect/>
                    </a:stretch>
                  </pic:blipFill>
                  <pic:spPr bwMode="auto">
                    <a:xfrm>
                      <a:off x="0" y="0"/>
                      <a:ext cx="5626336" cy="7930681"/>
                    </a:xfrm>
                    <a:prstGeom prst="rect">
                      <a:avLst/>
                    </a:prstGeom>
                    <a:noFill/>
                    <a:ln w="9525">
                      <a:noFill/>
                      <a:miter lim="800000"/>
                      <a:headEnd/>
                      <a:tailEnd/>
                    </a:ln>
                  </pic:spPr>
                </pic:pic>
              </a:graphicData>
            </a:graphic>
          </wp:inline>
        </w:drawing>
      </w:r>
    </w:p>
    <w:p w:rsidR="00F33E06" w:rsidRDefault="00F33E06">
      <w:pPr>
        <w:spacing w:before="0" w:after="200" w:line="0" w:lineRule="auto"/>
        <w:rPr>
          <w:b/>
        </w:rPr>
      </w:pPr>
      <w:r>
        <w:rPr>
          <w:b/>
        </w:rPr>
        <w:br w:type="page"/>
      </w:r>
    </w:p>
    <w:p w:rsidR="00995E9E" w:rsidRPr="00995E9E" w:rsidRDefault="00995E9E" w:rsidP="00F33E06">
      <w:pPr>
        <w:pStyle w:val="Heading4"/>
      </w:pPr>
      <w:bookmarkStart w:id="120" w:name="_Toc336593094"/>
      <w:bookmarkStart w:id="121" w:name="_Toc363229849"/>
      <w:r w:rsidRPr="00995E9E">
        <w:lastRenderedPageBreak/>
        <w:t>Evaluator’s overall conclusions on safety</w:t>
      </w:r>
      <w:bookmarkEnd w:id="120"/>
      <w:bookmarkEnd w:id="121"/>
    </w:p>
    <w:p w:rsidR="00995E9E" w:rsidRDefault="00995E9E" w:rsidP="00F33E06">
      <w:r w:rsidRPr="00995E9E">
        <w:t>The methods used to capture safety information were appropriate. The Phase I studies and the Phase III study have shown that the safety profile of EP2006 in healthy subjects and in patients with breast cancer treated with chemotherapy, was in keeping with the known safety profile of Neupogen.</w:t>
      </w:r>
    </w:p>
    <w:p w:rsidR="00995E9E" w:rsidRPr="00995E9E" w:rsidRDefault="00995E9E" w:rsidP="00995E9E">
      <w:pPr>
        <w:pStyle w:val="Heading4"/>
      </w:pPr>
      <w:bookmarkStart w:id="122" w:name="_Toc241374326"/>
      <w:bookmarkStart w:id="123" w:name="_Ref272333048"/>
      <w:bookmarkStart w:id="124" w:name="_Toc272414679"/>
      <w:bookmarkStart w:id="125" w:name="_Toc273018242"/>
      <w:bookmarkStart w:id="126" w:name="_Toc336593095"/>
      <w:bookmarkStart w:id="127" w:name="_Toc363229850"/>
      <w:r w:rsidRPr="00995E9E">
        <w:t>Post-marketing experience</w:t>
      </w:r>
      <w:bookmarkEnd w:id="122"/>
      <w:bookmarkEnd w:id="123"/>
      <w:bookmarkEnd w:id="124"/>
      <w:bookmarkEnd w:id="125"/>
      <w:bookmarkEnd w:id="126"/>
      <w:bookmarkEnd w:id="127"/>
    </w:p>
    <w:p w:rsidR="00995E9E" w:rsidRPr="00995E9E" w:rsidRDefault="00995E9E" w:rsidP="00F305F7">
      <w:pPr>
        <w:pStyle w:val="Heading5"/>
      </w:pPr>
      <w:bookmarkStart w:id="128" w:name="_Toc336593096"/>
      <w:bookmarkStart w:id="129" w:name="_Toc363229851"/>
      <w:r w:rsidRPr="00995E9E">
        <w:t>PSUR for Filgrastim</w:t>
      </w:r>
      <w:bookmarkEnd w:id="128"/>
      <w:bookmarkEnd w:id="129"/>
    </w:p>
    <w:p w:rsidR="00995E9E" w:rsidRPr="00995E9E" w:rsidRDefault="00995E9E" w:rsidP="00995E9E">
      <w:pPr>
        <w:autoSpaceDE w:val="0"/>
        <w:autoSpaceDN w:val="0"/>
        <w:adjustRightInd w:val="0"/>
      </w:pPr>
      <w:r w:rsidRPr="00995E9E">
        <w:t>In all</w:t>
      </w:r>
      <w:r w:rsidR="003C0998">
        <w:t>,</w:t>
      </w:r>
      <w:r w:rsidRPr="00995E9E">
        <w:t xml:space="preserve"> 4 </w:t>
      </w:r>
      <w:r w:rsidR="003C0998">
        <w:t>periodic safety update reports (</w:t>
      </w:r>
      <w:r w:rsidRPr="00995E9E">
        <w:t>PSURs</w:t>
      </w:r>
      <w:r w:rsidR="003C0998">
        <w:t>)</w:t>
      </w:r>
      <w:r w:rsidRPr="00995E9E">
        <w:t xml:space="preserve">, covering the period from 06/02/2009 to 31/01/11, were submitted. The </w:t>
      </w:r>
      <w:r w:rsidR="00335265">
        <w:t xml:space="preserve">potential risks </w:t>
      </w:r>
      <w:r w:rsidRPr="00995E9E">
        <w:t>that were first identified before first approval of Filgrastim on 6 February 2009 are listed below.</w:t>
      </w:r>
    </w:p>
    <w:p w:rsidR="00995E9E" w:rsidRPr="00F33E06" w:rsidRDefault="00995E9E" w:rsidP="00F33E06">
      <w:pPr>
        <w:pStyle w:val="ListBullet"/>
      </w:pPr>
      <w:r w:rsidRPr="00995E9E">
        <w:t>Sev</w:t>
      </w:r>
      <w:r w:rsidRPr="00F33E06">
        <w:t xml:space="preserve">ere </w:t>
      </w:r>
      <w:proofErr w:type="spellStart"/>
      <w:r w:rsidRPr="00F33E06">
        <w:t>splenomegaly</w:t>
      </w:r>
      <w:proofErr w:type="spellEnd"/>
      <w:r w:rsidRPr="00F33E06">
        <w:t xml:space="preserve"> / </w:t>
      </w:r>
      <w:proofErr w:type="spellStart"/>
      <w:r w:rsidRPr="00F33E06">
        <w:t>splenic</w:t>
      </w:r>
      <w:proofErr w:type="spellEnd"/>
      <w:r w:rsidRPr="00F33E06">
        <w:t xml:space="preserve"> rupture</w:t>
      </w:r>
    </w:p>
    <w:p w:rsidR="00995E9E" w:rsidRPr="00F33E06" w:rsidRDefault="00995E9E" w:rsidP="00F33E06">
      <w:pPr>
        <w:pStyle w:val="ListBullet"/>
      </w:pPr>
      <w:r w:rsidRPr="00F33E06">
        <w:t>Ser</w:t>
      </w:r>
      <w:r w:rsidR="00FE14DF" w:rsidRPr="00F33E06">
        <w:t>ious pulmonary adverse events: i</w:t>
      </w:r>
      <w:r w:rsidRPr="00F33E06">
        <w:t xml:space="preserve">nterstitial pneumonia, </w:t>
      </w:r>
      <w:r w:rsidR="00FE14DF" w:rsidRPr="00F33E06">
        <w:t>acute respiratory distress syndrome (</w:t>
      </w:r>
      <w:r w:rsidRPr="00F33E06">
        <w:t>ARDS</w:t>
      </w:r>
      <w:r w:rsidR="00FE14DF" w:rsidRPr="00F33E06">
        <w:t>)</w:t>
      </w:r>
    </w:p>
    <w:p w:rsidR="00995E9E" w:rsidRPr="00F33E06" w:rsidRDefault="00995E9E" w:rsidP="00F33E06">
      <w:pPr>
        <w:pStyle w:val="ListBullet"/>
      </w:pPr>
      <w:r w:rsidRPr="00F33E06">
        <w:t xml:space="preserve">Osteoporosis in </w:t>
      </w:r>
      <w:r w:rsidR="00FE14DF" w:rsidRPr="00F33E06">
        <w:t xml:space="preserve">severe chronic </w:t>
      </w:r>
      <w:proofErr w:type="spellStart"/>
      <w:r w:rsidR="00FE14DF" w:rsidRPr="00F33E06">
        <w:t>neutropenia</w:t>
      </w:r>
      <w:proofErr w:type="spellEnd"/>
      <w:r w:rsidR="00FE14DF" w:rsidRPr="00F33E06">
        <w:t xml:space="preserve"> (</w:t>
      </w:r>
      <w:r w:rsidRPr="00F33E06">
        <w:t>SCN</w:t>
      </w:r>
      <w:r w:rsidR="00FE14DF" w:rsidRPr="00F33E06">
        <w:t>)</w:t>
      </w:r>
      <w:r w:rsidRPr="00F33E06">
        <w:t xml:space="preserve"> patients</w:t>
      </w:r>
    </w:p>
    <w:p w:rsidR="00995E9E" w:rsidRPr="00F33E06" w:rsidRDefault="00995E9E" w:rsidP="00F33E06">
      <w:pPr>
        <w:pStyle w:val="ListBullet"/>
      </w:pPr>
      <w:r w:rsidRPr="00F33E06">
        <w:t xml:space="preserve">Transformation to </w:t>
      </w:r>
      <w:proofErr w:type="spellStart"/>
      <w:r w:rsidR="00FE14DF" w:rsidRPr="00F33E06">
        <w:t>myelodysplastic</w:t>
      </w:r>
      <w:proofErr w:type="spellEnd"/>
      <w:r w:rsidR="00FE14DF" w:rsidRPr="00F33E06">
        <w:t xml:space="preserve"> syndromes (</w:t>
      </w:r>
      <w:r w:rsidRPr="00F33E06">
        <w:t>MDS</w:t>
      </w:r>
      <w:r w:rsidR="00FE14DF" w:rsidRPr="00F33E06">
        <w:t>)</w:t>
      </w:r>
      <w:r w:rsidRPr="00F33E06">
        <w:t xml:space="preserve"> or leukaemia in SCN patients</w:t>
      </w:r>
    </w:p>
    <w:p w:rsidR="00995E9E" w:rsidRPr="00F33E06" w:rsidRDefault="00995E9E" w:rsidP="00F33E06">
      <w:pPr>
        <w:pStyle w:val="ListBullet"/>
      </w:pPr>
      <w:proofErr w:type="spellStart"/>
      <w:r w:rsidRPr="00F33E06">
        <w:t>Cutaneous</w:t>
      </w:r>
      <w:proofErr w:type="spellEnd"/>
      <w:r w:rsidRPr="00F33E06">
        <w:t xml:space="preserve"> </w:t>
      </w:r>
      <w:proofErr w:type="spellStart"/>
      <w:r w:rsidRPr="00F33E06">
        <w:t>vasculitis</w:t>
      </w:r>
      <w:proofErr w:type="spellEnd"/>
    </w:p>
    <w:p w:rsidR="00995E9E" w:rsidRPr="00F33E06" w:rsidRDefault="00995E9E" w:rsidP="00F33E06">
      <w:pPr>
        <w:pStyle w:val="ListBullet"/>
      </w:pPr>
      <w:r w:rsidRPr="00F33E06">
        <w:t>Exacerbation of rheumatoid arthritis and arthritic symptoms</w:t>
      </w:r>
    </w:p>
    <w:p w:rsidR="00995E9E" w:rsidRPr="00F33E06" w:rsidRDefault="00995E9E" w:rsidP="00F33E06">
      <w:pPr>
        <w:pStyle w:val="ListBullet"/>
      </w:pPr>
      <w:r w:rsidRPr="00F33E06">
        <w:t>Allergic reactions</w:t>
      </w:r>
    </w:p>
    <w:p w:rsidR="00995E9E" w:rsidRPr="00F33E06" w:rsidRDefault="00995E9E" w:rsidP="00F33E06">
      <w:pPr>
        <w:pStyle w:val="ListBullet"/>
      </w:pPr>
      <w:r w:rsidRPr="00F33E06">
        <w:t>Graft versus Host Disease in cancer patients</w:t>
      </w:r>
    </w:p>
    <w:p w:rsidR="00995E9E" w:rsidRPr="00F33E06" w:rsidRDefault="00995E9E" w:rsidP="00F33E06">
      <w:pPr>
        <w:pStyle w:val="ListBullet"/>
      </w:pPr>
      <w:r w:rsidRPr="00F33E06">
        <w:t xml:space="preserve">Graft versus Host Disease in recipients of </w:t>
      </w:r>
      <w:proofErr w:type="spellStart"/>
      <w:r w:rsidRPr="00F33E06">
        <w:t>allogeneic</w:t>
      </w:r>
      <w:proofErr w:type="spellEnd"/>
      <w:r w:rsidRPr="00F33E06">
        <w:t xml:space="preserve"> </w:t>
      </w:r>
      <w:r w:rsidR="00FE14DF" w:rsidRPr="00F33E06">
        <w:t>peripheral blood progenitor cells (</w:t>
      </w:r>
      <w:r w:rsidRPr="00F33E06">
        <w:t>PBPC</w:t>
      </w:r>
      <w:r w:rsidR="00FE14DF" w:rsidRPr="00F33E06">
        <w:t>)</w:t>
      </w:r>
      <w:r w:rsidRPr="00F33E06">
        <w:t xml:space="preserve"> mobilised with</w:t>
      </w:r>
      <w:r w:rsidR="0071153F" w:rsidRPr="00F33E06">
        <w:t xml:space="preserve"> </w:t>
      </w:r>
      <w:proofErr w:type="spellStart"/>
      <w:r w:rsidRPr="00F33E06">
        <w:t>filgrastim</w:t>
      </w:r>
      <w:proofErr w:type="spellEnd"/>
    </w:p>
    <w:p w:rsidR="00995E9E" w:rsidRPr="00F33E06" w:rsidRDefault="00995E9E" w:rsidP="00F33E06">
      <w:pPr>
        <w:pStyle w:val="ListBullet"/>
      </w:pPr>
      <w:r w:rsidRPr="00F33E06">
        <w:t>Immu</w:t>
      </w:r>
      <w:r w:rsidR="00FE14DF" w:rsidRPr="00F33E06">
        <w:t>n</w:t>
      </w:r>
      <w:r w:rsidRPr="00F33E06">
        <w:t>ogenicity (</w:t>
      </w:r>
      <w:r w:rsidR="00FE14DF" w:rsidRPr="00F33E06">
        <w:t>i</w:t>
      </w:r>
      <w:r w:rsidRPr="00F33E06">
        <w:t>ncidence and clinical implications of anti-GCSF antibodies)</w:t>
      </w:r>
    </w:p>
    <w:p w:rsidR="00995E9E" w:rsidRPr="00F33E06" w:rsidRDefault="00995E9E" w:rsidP="00F33E06">
      <w:pPr>
        <w:pStyle w:val="ListBullet"/>
      </w:pPr>
      <w:r w:rsidRPr="00F33E06">
        <w:t>Haematological malignancy in normal donors</w:t>
      </w:r>
    </w:p>
    <w:p w:rsidR="00995E9E" w:rsidRPr="00995E9E" w:rsidRDefault="00995E9E" w:rsidP="00F33E06">
      <w:r w:rsidRPr="00995E9E">
        <w:t>The sponsor states that the safety data received to date is in compliance with the safety information provided in the Company Core Data Sheet.</w:t>
      </w:r>
    </w:p>
    <w:p w:rsidR="008E7846" w:rsidRDefault="008E7846" w:rsidP="008E7846">
      <w:pPr>
        <w:pStyle w:val="Heading3"/>
      </w:pPr>
      <w:bookmarkStart w:id="130" w:name="_Toc255919423"/>
      <w:bookmarkStart w:id="131" w:name="_Toc241374329"/>
      <w:bookmarkStart w:id="132" w:name="_Toc270320087"/>
      <w:bookmarkStart w:id="133" w:name="_Toc314842506"/>
      <w:bookmarkStart w:id="134" w:name="_Toc368569797"/>
      <w:bookmarkStart w:id="135" w:name="_Toc163441387"/>
      <w:bookmarkEnd w:id="117"/>
      <w:bookmarkEnd w:id="118"/>
      <w:bookmarkEnd w:id="119"/>
      <w:r>
        <w:t>List of questions</w:t>
      </w:r>
      <w:bookmarkEnd w:id="130"/>
      <w:bookmarkEnd w:id="131"/>
      <w:bookmarkEnd w:id="132"/>
      <w:bookmarkEnd w:id="133"/>
      <w:bookmarkEnd w:id="134"/>
    </w:p>
    <w:p w:rsidR="008E7846" w:rsidRPr="0039105A" w:rsidRDefault="00995E9E" w:rsidP="00327883">
      <w:r>
        <w:t>There were no clinical questions.</w:t>
      </w:r>
    </w:p>
    <w:p w:rsidR="008E7846" w:rsidRPr="006E137C" w:rsidRDefault="008E7846" w:rsidP="008E7846">
      <w:pPr>
        <w:pStyle w:val="Heading3"/>
      </w:pPr>
      <w:bookmarkStart w:id="136" w:name="_Toc247691523"/>
      <w:bookmarkStart w:id="137" w:name="_Toc314842507"/>
      <w:bookmarkStart w:id="138" w:name="_Toc368569798"/>
      <w:bookmarkStart w:id="139" w:name="_Toc184440295"/>
      <w:bookmarkStart w:id="140" w:name="_Toc184444673"/>
      <w:bookmarkStart w:id="141" w:name="_Toc196046503"/>
      <w:bookmarkEnd w:id="135"/>
      <w:r>
        <w:t>Clinical summary and conclusions</w:t>
      </w:r>
      <w:bookmarkEnd w:id="136"/>
      <w:bookmarkEnd w:id="137"/>
      <w:bookmarkEnd w:id="138"/>
    </w:p>
    <w:p w:rsidR="00995E9E" w:rsidRPr="00995E9E" w:rsidRDefault="00995E9E" w:rsidP="00995E9E">
      <w:pPr>
        <w:autoSpaceDE w:val="0"/>
        <w:autoSpaceDN w:val="0"/>
        <w:adjustRightInd w:val="0"/>
      </w:pPr>
      <w:bookmarkStart w:id="142" w:name="_Toc196046504"/>
      <w:bookmarkStart w:id="143" w:name="_Toc163441390"/>
      <w:bookmarkEnd w:id="139"/>
      <w:bookmarkEnd w:id="140"/>
      <w:bookmarkEnd w:id="141"/>
      <w:r w:rsidRPr="00995E9E">
        <w:t>The application to register EP2006 (</w:t>
      </w:r>
      <w:r w:rsidR="00FE14DF">
        <w:t>Zarzio</w:t>
      </w:r>
      <w:r w:rsidR="00F26004">
        <w:t>), a s</w:t>
      </w:r>
      <w:r w:rsidRPr="00995E9E">
        <w:t xml:space="preserve">imilar </w:t>
      </w:r>
      <w:r w:rsidR="00F26004">
        <w:t>b</w:t>
      </w:r>
      <w:r w:rsidRPr="00995E9E">
        <w:t xml:space="preserve">iological </w:t>
      </w:r>
      <w:r w:rsidR="00F26004">
        <w:t>m</w:t>
      </w:r>
      <w:r w:rsidRPr="00995E9E">
        <w:t xml:space="preserve">edicinal </w:t>
      </w:r>
      <w:r w:rsidR="00F26004">
        <w:t>p</w:t>
      </w:r>
      <w:r w:rsidRPr="00995E9E">
        <w:t>roduct, is recommended for approval</w:t>
      </w:r>
      <w:r w:rsidR="00FE14DF">
        <w:t>.</w:t>
      </w:r>
    </w:p>
    <w:p w:rsidR="008E7846" w:rsidRPr="00E41208" w:rsidRDefault="008E7846" w:rsidP="00F33E06">
      <w:pPr>
        <w:pStyle w:val="Heading2"/>
      </w:pPr>
      <w:bookmarkStart w:id="144" w:name="_Toc247691524"/>
      <w:bookmarkStart w:id="145" w:name="_Toc314842508"/>
      <w:bookmarkStart w:id="146" w:name="_Toc368569799"/>
      <w:r w:rsidRPr="00E41208">
        <w:t xml:space="preserve">V. Pharmacovigilance </w:t>
      </w:r>
      <w:r>
        <w:t>f</w:t>
      </w:r>
      <w:r w:rsidRPr="00E41208">
        <w:t>indings</w:t>
      </w:r>
      <w:bookmarkEnd w:id="144"/>
      <w:bookmarkEnd w:id="145"/>
      <w:bookmarkEnd w:id="146"/>
    </w:p>
    <w:p w:rsidR="008E7846" w:rsidRDefault="00386150" w:rsidP="008E7846">
      <w:pPr>
        <w:pStyle w:val="Heading3"/>
        <w:rPr>
          <w:lang w:eastAsia="en-AU"/>
        </w:rPr>
      </w:pPr>
      <w:bookmarkStart w:id="147" w:name="_Toc247691526"/>
      <w:bookmarkStart w:id="148" w:name="_Toc314842509"/>
      <w:bookmarkStart w:id="149" w:name="_Toc368569800"/>
      <w:r>
        <w:rPr>
          <w:lang w:eastAsia="en-AU"/>
        </w:rPr>
        <w:t>Risk m</w:t>
      </w:r>
      <w:r w:rsidR="008E7846">
        <w:rPr>
          <w:lang w:eastAsia="en-AU"/>
        </w:rPr>
        <w:t xml:space="preserve">anagement </w:t>
      </w:r>
      <w:r>
        <w:rPr>
          <w:lang w:eastAsia="en-AU"/>
        </w:rPr>
        <w:t>p</w:t>
      </w:r>
      <w:r w:rsidR="008E7846">
        <w:rPr>
          <w:lang w:eastAsia="en-AU"/>
        </w:rPr>
        <w:t>lan</w:t>
      </w:r>
      <w:bookmarkEnd w:id="147"/>
      <w:bookmarkEnd w:id="148"/>
      <w:bookmarkEnd w:id="149"/>
    </w:p>
    <w:p w:rsidR="00514A8C" w:rsidRDefault="008E7846" w:rsidP="00F33E06">
      <w:pPr>
        <w:rPr>
          <w:lang w:eastAsia="en-AU"/>
        </w:rPr>
      </w:pPr>
      <w:r>
        <w:rPr>
          <w:lang w:eastAsia="en-AU"/>
        </w:rPr>
        <w:t xml:space="preserve">The sponsor submitted a Risk Management Plan </w:t>
      </w:r>
      <w:r w:rsidR="005E0E34">
        <w:rPr>
          <w:lang w:eastAsia="en-AU"/>
        </w:rPr>
        <w:t>(</w:t>
      </w:r>
      <w:r w:rsidR="005E0E34" w:rsidRPr="000C52D4">
        <w:rPr>
          <w:lang w:eastAsia="en-AU"/>
        </w:rPr>
        <w:t xml:space="preserve">EU-RMP Version 8.0 dated 18 Mar 2011 [data lock point 31 Jan 2011] with Australian Specific Annex </w:t>
      </w:r>
      <w:r w:rsidR="00514A8C">
        <w:rPr>
          <w:lang w:eastAsia="en-AU"/>
        </w:rPr>
        <w:t xml:space="preserve">(ASA) </w:t>
      </w:r>
      <w:r w:rsidR="005E0E34" w:rsidRPr="000C52D4">
        <w:rPr>
          <w:lang w:eastAsia="en-AU"/>
        </w:rPr>
        <w:t>dated 02 Feb 2012</w:t>
      </w:r>
      <w:r w:rsidR="005E0E34">
        <w:rPr>
          <w:lang w:eastAsia="en-AU"/>
        </w:rPr>
        <w:t xml:space="preserve">) </w:t>
      </w:r>
      <w:r>
        <w:rPr>
          <w:lang w:eastAsia="en-AU"/>
        </w:rPr>
        <w:t>which was reviewed by the TGA’s Office of Product Review (OPR)</w:t>
      </w:r>
      <w:r w:rsidR="00F33E06">
        <w:rPr>
          <w:lang w:eastAsia="en-AU"/>
        </w:rPr>
        <w:t>.</w:t>
      </w:r>
    </w:p>
    <w:p w:rsidR="000C52D4" w:rsidRPr="000C52D4" w:rsidRDefault="000C52D4" w:rsidP="000C52D4">
      <w:pPr>
        <w:rPr>
          <w:lang w:eastAsia="en-AU"/>
        </w:rPr>
      </w:pPr>
      <w:r w:rsidRPr="000C52D4">
        <w:rPr>
          <w:lang w:eastAsia="en-AU"/>
        </w:rPr>
        <w:lastRenderedPageBreak/>
        <w:t xml:space="preserve">The sponsor states in their application letter that an updated RMP will be available and submitted along with the sponsors’ response to </w:t>
      </w:r>
      <w:r w:rsidR="005E0E34">
        <w:rPr>
          <w:lang w:eastAsia="en-AU"/>
        </w:rPr>
        <w:t>the TGA request for further informati</w:t>
      </w:r>
      <w:r w:rsidR="00F33E06">
        <w:rPr>
          <w:lang w:eastAsia="en-AU"/>
        </w:rPr>
        <w:t>on during the evaluation phase.</w:t>
      </w:r>
    </w:p>
    <w:p w:rsidR="008E7846" w:rsidRDefault="003A7F6C" w:rsidP="008E7846">
      <w:pPr>
        <w:pStyle w:val="Heading4"/>
        <w:rPr>
          <w:lang w:eastAsia="en-AU"/>
        </w:rPr>
      </w:pPr>
      <w:r>
        <w:rPr>
          <w:lang w:eastAsia="en-AU"/>
        </w:rPr>
        <w:t>Safety s</w:t>
      </w:r>
      <w:r w:rsidR="008E7846">
        <w:rPr>
          <w:lang w:eastAsia="en-AU"/>
        </w:rPr>
        <w:t>pecification</w:t>
      </w:r>
    </w:p>
    <w:p w:rsidR="000C52D4" w:rsidRPr="000C52D4" w:rsidRDefault="000C52D4" w:rsidP="000C52D4">
      <w:pPr>
        <w:rPr>
          <w:lang w:eastAsia="en-AU"/>
        </w:rPr>
      </w:pPr>
      <w:r w:rsidRPr="000C52D4">
        <w:rPr>
          <w:lang w:eastAsia="en-AU"/>
        </w:rPr>
        <w:t>Subje</w:t>
      </w:r>
      <w:r w:rsidR="00514A8C">
        <w:rPr>
          <w:lang w:eastAsia="en-AU"/>
        </w:rPr>
        <w:t>ct to the evaluation of the non</w:t>
      </w:r>
      <w:r w:rsidRPr="000C52D4">
        <w:rPr>
          <w:lang w:eastAsia="en-AU"/>
        </w:rPr>
        <w:t xml:space="preserve">clinical aspects of the Safety Specification </w:t>
      </w:r>
      <w:r w:rsidR="00514A8C">
        <w:rPr>
          <w:lang w:eastAsia="en-AU"/>
        </w:rPr>
        <w:t xml:space="preserve">(SS) </w:t>
      </w:r>
      <w:r w:rsidRPr="000C52D4">
        <w:rPr>
          <w:lang w:eastAsia="en-AU"/>
        </w:rPr>
        <w:t xml:space="preserve">by the </w:t>
      </w:r>
      <w:r w:rsidR="00514A8C">
        <w:rPr>
          <w:lang w:eastAsia="en-AU"/>
        </w:rPr>
        <w:t xml:space="preserve">nonclinical </w:t>
      </w:r>
      <w:r w:rsidRPr="000C52D4">
        <w:rPr>
          <w:lang w:eastAsia="en-AU"/>
        </w:rPr>
        <w:t>area of the O</w:t>
      </w:r>
      <w:r w:rsidR="00514A8C">
        <w:rPr>
          <w:lang w:eastAsia="en-AU"/>
        </w:rPr>
        <w:t xml:space="preserve">ffice of </w:t>
      </w:r>
      <w:r w:rsidRPr="000C52D4">
        <w:rPr>
          <w:lang w:eastAsia="en-AU"/>
        </w:rPr>
        <w:t>S</w:t>
      </w:r>
      <w:r w:rsidR="00514A8C">
        <w:rPr>
          <w:lang w:eastAsia="en-AU"/>
        </w:rPr>
        <w:t xml:space="preserve">cientific </w:t>
      </w:r>
      <w:r w:rsidRPr="000C52D4">
        <w:rPr>
          <w:lang w:eastAsia="en-AU"/>
        </w:rPr>
        <w:t>E</w:t>
      </w:r>
      <w:r w:rsidR="00514A8C">
        <w:rPr>
          <w:lang w:eastAsia="en-AU"/>
        </w:rPr>
        <w:t xml:space="preserve">valuation </w:t>
      </w:r>
      <w:r w:rsidRPr="000C52D4">
        <w:rPr>
          <w:lang w:eastAsia="en-AU"/>
        </w:rPr>
        <w:t xml:space="preserve">and the clinical aspects of the </w:t>
      </w:r>
      <w:r w:rsidR="00514A8C">
        <w:rPr>
          <w:lang w:eastAsia="en-AU"/>
        </w:rPr>
        <w:t xml:space="preserve">SS </w:t>
      </w:r>
      <w:r w:rsidRPr="000C52D4">
        <w:rPr>
          <w:lang w:eastAsia="en-AU"/>
        </w:rPr>
        <w:t>by the O</w:t>
      </w:r>
      <w:r w:rsidR="00514A8C">
        <w:rPr>
          <w:lang w:eastAsia="en-AU"/>
        </w:rPr>
        <w:t xml:space="preserve">ffice of </w:t>
      </w:r>
      <w:r w:rsidRPr="000C52D4">
        <w:rPr>
          <w:lang w:eastAsia="en-AU"/>
        </w:rPr>
        <w:t>M</w:t>
      </w:r>
      <w:r w:rsidR="00514A8C">
        <w:rPr>
          <w:lang w:eastAsia="en-AU"/>
        </w:rPr>
        <w:t xml:space="preserve">edicines </w:t>
      </w:r>
      <w:r w:rsidRPr="000C52D4">
        <w:rPr>
          <w:lang w:eastAsia="en-AU"/>
        </w:rPr>
        <w:t>A</w:t>
      </w:r>
      <w:r w:rsidR="00514A8C">
        <w:rPr>
          <w:lang w:eastAsia="en-AU"/>
        </w:rPr>
        <w:t>uthorisation</w:t>
      </w:r>
      <w:r w:rsidRPr="000C52D4">
        <w:rPr>
          <w:lang w:eastAsia="en-AU"/>
        </w:rPr>
        <w:t>, the summary of the Ongoing Safety Concerns as specified by the sponsor is as follows</w:t>
      </w:r>
      <w:r w:rsidR="005E0E34">
        <w:rPr>
          <w:lang w:eastAsia="en-AU"/>
        </w:rPr>
        <w:t xml:space="preserve"> (Table </w:t>
      </w:r>
      <w:r w:rsidR="00EA04AA">
        <w:rPr>
          <w:lang w:eastAsia="en-AU"/>
        </w:rPr>
        <w:t>5</w:t>
      </w:r>
      <w:r w:rsidR="005E0E34">
        <w:rPr>
          <w:lang w:eastAsia="en-AU"/>
        </w:rPr>
        <w:t>)</w:t>
      </w:r>
      <w:r w:rsidRPr="000C52D4">
        <w:rPr>
          <w:lang w:eastAsia="en-AU"/>
        </w:rPr>
        <w:t>:</w:t>
      </w:r>
    </w:p>
    <w:p w:rsidR="000C52D4" w:rsidRPr="000C52D4" w:rsidRDefault="00EA04AA" w:rsidP="00F33E06">
      <w:pPr>
        <w:pStyle w:val="TableTitle"/>
        <w:rPr>
          <w:lang w:eastAsia="en-AU"/>
        </w:rPr>
      </w:pPr>
      <w:proofErr w:type="gramStart"/>
      <w:r>
        <w:rPr>
          <w:lang w:eastAsia="en-AU"/>
        </w:rPr>
        <w:t>Table 5</w:t>
      </w:r>
      <w:r w:rsidR="005E0E34">
        <w:rPr>
          <w:lang w:eastAsia="en-AU"/>
        </w:rPr>
        <w:t>.</w:t>
      </w:r>
      <w:proofErr w:type="gramEnd"/>
      <w:r w:rsidR="005E0E34">
        <w:rPr>
          <w:lang w:eastAsia="en-AU"/>
        </w:rPr>
        <w:t xml:space="preserve"> S</w:t>
      </w:r>
      <w:r w:rsidR="005E0E34" w:rsidRPr="005E0E34">
        <w:rPr>
          <w:lang w:eastAsia="en-AU"/>
        </w:rPr>
        <w:t>ummary of the Ongoing Safety Concerns</w:t>
      </w:r>
    </w:p>
    <w:tbl>
      <w:tblPr>
        <w:tblStyle w:val="TableTGAblue"/>
        <w:tblW w:w="8364" w:type="dxa"/>
        <w:tblInd w:w="108" w:type="dxa"/>
        <w:tblLook w:val="04A0"/>
      </w:tblPr>
      <w:tblGrid>
        <w:gridCol w:w="2552"/>
        <w:gridCol w:w="5812"/>
      </w:tblGrid>
      <w:tr w:rsidR="005E0E34" w:rsidRPr="00AA3CEB" w:rsidTr="00AA3CEB">
        <w:trPr>
          <w:cnfStyle w:val="100000000000"/>
          <w:cantSplit/>
        </w:trPr>
        <w:tc>
          <w:tcPr>
            <w:tcW w:w="2552" w:type="dxa"/>
            <w:vMerge w:val="restart"/>
            <w:tcBorders>
              <w:right w:val="single" w:sz="8" w:space="0" w:color="000000" w:themeColor="text1"/>
            </w:tcBorders>
            <w:shd w:val="clear" w:color="auto" w:fill="auto"/>
            <w:hideMark/>
          </w:tcPr>
          <w:p w:rsidR="005E0E34" w:rsidRPr="00AA3CEB" w:rsidRDefault="005E0E34" w:rsidP="000C52D4">
            <w:pPr>
              <w:rPr>
                <w:color w:val="auto"/>
                <w:sz w:val="20"/>
                <w:szCs w:val="20"/>
              </w:rPr>
            </w:pPr>
            <w:r w:rsidRPr="00AA3CEB">
              <w:rPr>
                <w:bCs/>
                <w:color w:val="auto"/>
                <w:sz w:val="20"/>
                <w:szCs w:val="20"/>
              </w:rPr>
              <w:t>Important identified risks</w:t>
            </w:r>
          </w:p>
        </w:tc>
        <w:tc>
          <w:tcPr>
            <w:tcW w:w="5812" w:type="dxa"/>
            <w:tcBorders>
              <w:left w:val="single" w:sz="8" w:space="0" w:color="000000" w:themeColor="text1"/>
            </w:tcBorders>
            <w:shd w:val="clear" w:color="auto" w:fill="auto"/>
            <w:hideMark/>
          </w:tcPr>
          <w:p w:rsidR="005E0E34" w:rsidRPr="00AA3CEB" w:rsidRDefault="005E0E34" w:rsidP="005E0E34">
            <w:pPr>
              <w:rPr>
                <w:b w:val="0"/>
                <w:color w:val="auto"/>
                <w:sz w:val="20"/>
                <w:szCs w:val="20"/>
              </w:rPr>
            </w:pPr>
            <w:r w:rsidRPr="00AA3CEB">
              <w:rPr>
                <w:b w:val="0"/>
                <w:color w:val="auto"/>
                <w:sz w:val="20"/>
                <w:szCs w:val="20"/>
              </w:rPr>
              <w:t xml:space="preserve">Severe </w:t>
            </w:r>
            <w:proofErr w:type="spellStart"/>
            <w:r w:rsidRPr="00AA3CEB">
              <w:rPr>
                <w:b w:val="0"/>
                <w:color w:val="auto"/>
                <w:sz w:val="20"/>
                <w:szCs w:val="20"/>
              </w:rPr>
              <w:t>splenomegaly</w:t>
            </w:r>
            <w:proofErr w:type="spellEnd"/>
            <w:r w:rsidRPr="00AA3CEB">
              <w:rPr>
                <w:b w:val="0"/>
                <w:color w:val="auto"/>
                <w:sz w:val="20"/>
                <w:szCs w:val="20"/>
              </w:rPr>
              <w:t>/</w:t>
            </w:r>
            <w:proofErr w:type="spellStart"/>
            <w:r w:rsidRPr="00AA3CEB">
              <w:rPr>
                <w:b w:val="0"/>
                <w:color w:val="auto"/>
                <w:sz w:val="20"/>
                <w:szCs w:val="20"/>
              </w:rPr>
              <w:t>splenic</w:t>
            </w:r>
            <w:proofErr w:type="spellEnd"/>
            <w:r w:rsidRPr="00AA3CEB">
              <w:rPr>
                <w:b w:val="0"/>
                <w:color w:val="auto"/>
                <w:sz w:val="20"/>
                <w:szCs w:val="20"/>
              </w:rPr>
              <w:t xml:space="preserve"> rupture</w:t>
            </w:r>
          </w:p>
        </w:tc>
      </w:tr>
      <w:tr w:rsidR="005E0E34" w:rsidRPr="00AA3CEB" w:rsidTr="00AA3CEB">
        <w:tc>
          <w:tcPr>
            <w:tcW w:w="2552" w:type="dxa"/>
            <w:vMerge/>
          </w:tcPr>
          <w:p w:rsidR="005E0E34" w:rsidRPr="00AA3CEB" w:rsidRDefault="005E0E34" w:rsidP="000C52D4">
            <w:pPr>
              <w:rPr>
                <w:sz w:val="20"/>
                <w:szCs w:val="20"/>
              </w:rPr>
            </w:pPr>
          </w:p>
        </w:tc>
        <w:tc>
          <w:tcPr>
            <w:tcW w:w="5812" w:type="dxa"/>
            <w:hideMark/>
          </w:tcPr>
          <w:p w:rsidR="005E0E34" w:rsidRPr="00AA3CEB" w:rsidRDefault="005E0E34" w:rsidP="000C52D4">
            <w:pPr>
              <w:rPr>
                <w:sz w:val="20"/>
                <w:szCs w:val="20"/>
              </w:rPr>
            </w:pPr>
            <w:r w:rsidRPr="00AA3CEB">
              <w:rPr>
                <w:sz w:val="20"/>
                <w:szCs w:val="20"/>
              </w:rPr>
              <w:t>Serious pulmonary adverse events: Interstitial pneumonia, Adult respiratory distress syndrome (ARDS)</w:t>
            </w:r>
          </w:p>
        </w:tc>
      </w:tr>
      <w:tr w:rsidR="005E0E34" w:rsidRPr="00AA3CEB" w:rsidTr="00AA3CEB">
        <w:tc>
          <w:tcPr>
            <w:tcW w:w="2552" w:type="dxa"/>
            <w:vMerge/>
          </w:tcPr>
          <w:p w:rsidR="005E0E34" w:rsidRPr="00AA3CEB" w:rsidRDefault="005E0E34" w:rsidP="000C52D4">
            <w:pPr>
              <w:rPr>
                <w:sz w:val="20"/>
                <w:szCs w:val="20"/>
              </w:rPr>
            </w:pPr>
          </w:p>
        </w:tc>
        <w:tc>
          <w:tcPr>
            <w:tcW w:w="5812" w:type="dxa"/>
            <w:hideMark/>
          </w:tcPr>
          <w:p w:rsidR="005E0E34" w:rsidRPr="00AA3CEB" w:rsidRDefault="005E0E34" w:rsidP="000C52D4">
            <w:pPr>
              <w:rPr>
                <w:sz w:val="20"/>
                <w:szCs w:val="20"/>
              </w:rPr>
            </w:pPr>
            <w:r w:rsidRPr="00AA3CEB">
              <w:rPr>
                <w:sz w:val="20"/>
                <w:szCs w:val="20"/>
              </w:rPr>
              <w:t xml:space="preserve">Osteoporosis in </w:t>
            </w:r>
            <w:r w:rsidRPr="00AA3CEB">
              <w:rPr>
                <w:bCs/>
                <w:sz w:val="20"/>
                <w:szCs w:val="20"/>
              </w:rPr>
              <w:t>severe chronic Neutropenia (SCN)</w:t>
            </w:r>
            <w:r w:rsidRPr="00AA3CEB">
              <w:rPr>
                <w:sz w:val="20"/>
                <w:szCs w:val="20"/>
              </w:rPr>
              <w:t xml:space="preserve"> patients</w:t>
            </w:r>
          </w:p>
        </w:tc>
      </w:tr>
      <w:tr w:rsidR="005E0E34" w:rsidRPr="00AA3CEB" w:rsidTr="00AA3CEB">
        <w:tc>
          <w:tcPr>
            <w:tcW w:w="2552" w:type="dxa"/>
            <w:vMerge/>
          </w:tcPr>
          <w:p w:rsidR="005E0E34" w:rsidRPr="00AA3CEB" w:rsidRDefault="005E0E34" w:rsidP="000C52D4">
            <w:pPr>
              <w:rPr>
                <w:sz w:val="20"/>
                <w:szCs w:val="20"/>
              </w:rPr>
            </w:pPr>
          </w:p>
        </w:tc>
        <w:tc>
          <w:tcPr>
            <w:tcW w:w="5812" w:type="dxa"/>
            <w:hideMark/>
          </w:tcPr>
          <w:p w:rsidR="005E0E34" w:rsidRPr="00AA3CEB" w:rsidRDefault="005E0E34" w:rsidP="000C52D4">
            <w:pPr>
              <w:rPr>
                <w:sz w:val="20"/>
                <w:szCs w:val="20"/>
              </w:rPr>
            </w:pPr>
            <w:r w:rsidRPr="00AA3CEB">
              <w:rPr>
                <w:sz w:val="20"/>
                <w:szCs w:val="20"/>
              </w:rPr>
              <w:t xml:space="preserve">Transformation to </w:t>
            </w:r>
            <w:proofErr w:type="spellStart"/>
            <w:r w:rsidRPr="00AA3CEB">
              <w:rPr>
                <w:sz w:val="20"/>
                <w:szCs w:val="20"/>
              </w:rPr>
              <w:t>myelodysplasia</w:t>
            </w:r>
            <w:proofErr w:type="spellEnd"/>
            <w:r w:rsidRPr="00AA3CEB">
              <w:rPr>
                <w:sz w:val="20"/>
                <w:szCs w:val="20"/>
              </w:rPr>
              <w:t xml:space="preserve"> or leukaemia in SCN patients</w:t>
            </w:r>
          </w:p>
        </w:tc>
      </w:tr>
      <w:tr w:rsidR="005E0E34" w:rsidRPr="00AA3CEB" w:rsidTr="00AA3CEB">
        <w:tc>
          <w:tcPr>
            <w:tcW w:w="2552" w:type="dxa"/>
            <w:vMerge/>
          </w:tcPr>
          <w:p w:rsidR="005E0E34" w:rsidRPr="00AA3CEB" w:rsidRDefault="005E0E34" w:rsidP="000C52D4">
            <w:pPr>
              <w:rPr>
                <w:sz w:val="20"/>
                <w:szCs w:val="20"/>
              </w:rPr>
            </w:pPr>
          </w:p>
        </w:tc>
        <w:tc>
          <w:tcPr>
            <w:tcW w:w="5812" w:type="dxa"/>
            <w:hideMark/>
          </w:tcPr>
          <w:p w:rsidR="005E0E34" w:rsidRPr="00AA3CEB" w:rsidRDefault="005E0E34" w:rsidP="000C52D4">
            <w:pPr>
              <w:rPr>
                <w:sz w:val="20"/>
                <w:szCs w:val="20"/>
              </w:rPr>
            </w:pPr>
            <w:proofErr w:type="spellStart"/>
            <w:r w:rsidRPr="00AA3CEB">
              <w:rPr>
                <w:sz w:val="20"/>
                <w:szCs w:val="20"/>
              </w:rPr>
              <w:t>Cutaneous</w:t>
            </w:r>
            <w:proofErr w:type="spellEnd"/>
            <w:r w:rsidRPr="00AA3CEB">
              <w:rPr>
                <w:sz w:val="20"/>
                <w:szCs w:val="20"/>
              </w:rPr>
              <w:t xml:space="preserve"> </w:t>
            </w:r>
            <w:proofErr w:type="spellStart"/>
            <w:r w:rsidRPr="00AA3CEB">
              <w:rPr>
                <w:sz w:val="20"/>
                <w:szCs w:val="20"/>
              </w:rPr>
              <w:t>vasculitis</w:t>
            </w:r>
            <w:proofErr w:type="spellEnd"/>
          </w:p>
        </w:tc>
      </w:tr>
      <w:tr w:rsidR="005E0E34" w:rsidRPr="00AA3CEB" w:rsidTr="00AA3CEB">
        <w:tc>
          <w:tcPr>
            <w:tcW w:w="2552" w:type="dxa"/>
            <w:vMerge/>
          </w:tcPr>
          <w:p w:rsidR="005E0E34" w:rsidRPr="00AA3CEB" w:rsidRDefault="005E0E34" w:rsidP="000C52D4">
            <w:pPr>
              <w:rPr>
                <w:sz w:val="20"/>
                <w:szCs w:val="20"/>
              </w:rPr>
            </w:pPr>
          </w:p>
        </w:tc>
        <w:tc>
          <w:tcPr>
            <w:tcW w:w="5812" w:type="dxa"/>
            <w:hideMark/>
          </w:tcPr>
          <w:p w:rsidR="005E0E34" w:rsidRPr="00AA3CEB" w:rsidRDefault="005E0E34" w:rsidP="000C52D4">
            <w:pPr>
              <w:rPr>
                <w:sz w:val="20"/>
                <w:szCs w:val="20"/>
              </w:rPr>
            </w:pPr>
            <w:r w:rsidRPr="00AA3CEB">
              <w:rPr>
                <w:sz w:val="20"/>
                <w:szCs w:val="20"/>
              </w:rPr>
              <w:t>Exacerbation of rheumatoid arthritis</w:t>
            </w:r>
          </w:p>
        </w:tc>
      </w:tr>
      <w:tr w:rsidR="005E0E34" w:rsidRPr="00AA3CEB" w:rsidTr="00AA3CEB">
        <w:tc>
          <w:tcPr>
            <w:tcW w:w="2552" w:type="dxa"/>
            <w:vMerge/>
          </w:tcPr>
          <w:p w:rsidR="005E0E34" w:rsidRPr="00AA3CEB" w:rsidRDefault="005E0E34" w:rsidP="000C52D4">
            <w:pPr>
              <w:rPr>
                <w:sz w:val="20"/>
                <w:szCs w:val="20"/>
              </w:rPr>
            </w:pPr>
          </w:p>
        </w:tc>
        <w:tc>
          <w:tcPr>
            <w:tcW w:w="5812" w:type="dxa"/>
            <w:hideMark/>
          </w:tcPr>
          <w:p w:rsidR="005E0E34" w:rsidRPr="00AA3CEB" w:rsidRDefault="005E0E34" w:rsidP="000C52D4">
            <w:pPr>
              <w:rPr>
                <w:sz w:val="20"/>
                <w:szCs w:val="20"/>
              </w:rPr>
            </w:pPr>
            <w:r w:rsidRPr="00AA3CEB">
              <w:rPr>
                <w:sz w:val="20"/>
                <w:szCs w:val="20"/>
              </w:rPr>
              <w:t>Sweet`s syndrome</w:t>
            </w:r>
          </w:p>
        </w:tc>
      </w:tr>
      <w:tr w:rsidR="005E0E34" w:rsidRPr="00AA3CEB" w:rsidTr="00AA3CEB">
        <w:tc>
          <w:tcPr>
            <w:tcW w:w="2552" w:type="dxa"/>
            <w:vMerge/>
          </w:tcPr>
          <w:p w:rsidR="005E0E34" w:rsidRPr="00AA3CEB" w:rsidRDefault="005E0E34" w:rsidP="000C52D4">
            <w:pPr>
              <w:rPr>
                <w:sz w:val="20"/>
                <w:szCs w:val="20"/>
              </w:rPr>
            </w:pPr>
          </w:p>
        </w:tc>
        <w:tc>
          <w:tcPr>
            <w:tcW w:w="5812" w:type="dxa"/>
            <w:hideMark/>
          </w:tcPr>
          <w:p w:rsidR="005E0E34" w:rsidRPr="00AA3CEB" w:rsidRDefault="005E0E34" w:rsidP="000C52D4">
            <w:pPr>
              <w:rPr>
                <w:sz w:val="20"/>
                <w:szCs w:val="20"/>
              </w:rPr>
            </w:pPr>
            <w:r w:rsidRPr="00AA3CEB">
              <w:rPr>
                <w:sz w:val="20"/>
                <w:szCs w:val="20"/>
              </w:rPr>
              <w:t>Allergic reactions</w:t>
            </w:r>
          </w:p>
        </w:tc>
      </w:tr>
      <w:tr w:rsidR="005E0E34" w:rsidRPr="00AA3CEB" w:rsidTr="00AA3CEB">
        <w:tc>
          <w:tcPr>
            <w:tcW w:w="2552" w:type="dxa"/>
            <w:vMerge/>
          </w:tcPr>
          <w:p w:rsidR="005E0E34" w:rsidRPr="00AA3CEB" w:rsidRDefault="005E0E34" w:rsidP="000C52D4">
            <w:pPr>
              <w:rPr>
                <w:sz w:val="20"/>
                <w:szCs w:val="20"/>
              </w:rPr>
            </w:pPr>
          </w:p>
        </w:tc>
        <w:tc>
          <w:tcPr>
            <w:tcW w:w="5812" w:type="dxa"/>
            <w:hideMark/>
          </w:tcPr>
          <w:p w:rsidR="005E0E34" w:rsidRPr="00AA3CEB" w:rsidRDefault="005E0E34" w:rsidP="000C52D4">
            <w:pPr>
              <w:rPr>
                <w:sz w:val="20"/>
                <w:szCs w:val="20"/>
              </w:rPr>
            </w:pPr>
            <w:r w:rsidRPr="00AA3CEB">
              <w:rPr>
                <w:sz w:val="20"/>
                <w:szCs w:val="20"/>
              </w:rPr>
              <w:t>Sickle cell crisis in patients with sickle cell disease</w:t>
            </w:r>
          </w:p>
        </w:tc>
      </w:tr>
      <w:tr w:rsidR="005E0E34" w:rsidRPr="00AA3CEB" w:rsidTr="00AA3CEB">
        <w:tc>
          <w:tcPr>
            <w:tcW w:w="2552" w:type="dxa"/>
            <w:vMerge/>
          </w:tcPr>
          <w:p w:rsidR="005E0E34" w:rsidRPr="00AA3CEB" w:rsidRDefault="005E0E34" w:rsidP="000C52D4">
            <w:pPr>
              <w:rPr>
                <w:sz w:val="20"/>
                <w:szCs w:val="20"/>
              </w:rPr>
            </w:pPr>
          </w:p>
        </w:tc>
        <w:tc>
          <w:tcPr>
            <w:tcW w:w="5812" w:type="dxa"/>
            <w:hideMark/>
          </w:tcPr>
          <w:p w:rsidR="005E0E34" w:rsidRPr="00AA3CEB" w:rsidRDefault="005E0E34" w:rsidP="000C52D4">
            <w:pPr>
              <w:rPr>
                <w:sz w:val="20"/>
                <w:szCs w:val="20"/>
              </w:rPr>
            </w:pPr>
            <w:r w:rsidRPr="00AA3CEB">
              <w:rPr>
                <w:sz w:val="20"/>
                <w:szCs w:val="20"/>
              </w:rPr>
              <w:t>Increased risk of Graft versus Host Disease</w:t>
            </w:r>
          </w:p>
        </w:tc>
      </w:tr>
      <w:tr w:rsidR="005E0E34" w:rsidRPr="00AA3CEB" w:rsidTr="00AA3CEB">
        <w:tc>
          <w:tcPr>
            <w:tcW w:w="2552" w:type="dxa"/>
            <w:vMerge w:val="restart"/>
            <w:hideMark/>
          </w:tcPr>
          <w:p w:rsidR="005E0E34" w:rsidRPr="00AA3CEB" w:rsidRDefault="005E0E34" w:rsidP="000C52D4">
            <w:pPr>
              <w:rPr>
                <w:sz w:val="20"/>
                <w:szCs w:val="20"/>
              </w:rPr>
            </w:pPr>
            <w:r w:rsidRPr="00AA3CEB">
              <w:rPr>
                <w:b/>
                <w:bCs/>
                <w:sz w:val="20"/>
                <w:szCs w:val="20"/>
              </w:rPr>
              <w:t>Important potential risks</w:t>
            </w:r>
          </w:p>
        </w:tc>
        <w:tc>
          <w:tcPr>
            <w:tcW w:w="5812" w:type="dxa"/>
            <w:hideMark/>
          </w:tcPr>
          <w:p w:rsidR="005E0E34" w:rsidRPr="00AA3CEB" w:rsidRDefault="005E0E34" w:rsidP="000C52D4">
            <w:pPr>
              <w:rPr>
                <w:sz w:val="20"/>
                <w:szCs w:val="20"/>
              </w:rPr>
            </w:pPr>
            <w:r w:rsidRPr="00AA3CEB">
              <w:rPr>
                <w:sz w:val="20"/>
                <w:szCs w:val="20"/>
              </w:rPr>
              <w:t>Immunogenicity (Incidence and clinical implications of anti-G- colony-stimulating factor antibodies)</w:t>
            </w:r>
          </w:p>
        </w:tc>
      </w:tr>
      <w:tr w:rsidR="005E0E34" w:rsidRPr="00AA3CEB" w:rsidTr="00AA3CEB">
        <w:tc>
          <w:tcPr>
            <w:tcW w:w="2552" w:type="dxa"/>
            <w:vMerge/>
          </w:tcPr>
          <w:p w:rsidR="005E0E34" w:rsidRPr="00AA3CEB" w:rsidRDefault="005E0E34" w:rsidP="000C52D4">
            <w:pPr>
              <w:rPr>
                <w:sz w:val="20"/>
                <w:szCs w:val="20"/>
              </w:rPr>
            </w:pPr>
          </w:p>
        </w:tc>
        <w:tc>
          <w:tcPr>
            <w:tcW w:w="5812" w:type="dxa"/>
            <w:hideMark/>
          </w:tcPr>
          <w:p w:rsidR="005E0E34" w:rsidRPr="00AA3CEB" w:rsidRDefault="005E0E34" w:rsidP="000C52D4">
            <w:pPr>
              <w:rPr>
                <w:sz w:val="20"/>
                <w:szCs w:val="20"/>
              </w:rPr>
            </w:pPr>
            <w:r w:rsidRPr="00AA3CEB">
              <w:rPr>
                <w:sz w:val="20"/>
                <w:szCs w:val="20"/>
              </w:rPr>
              <w:t>Haematological and lymphoid malignancy in normal donors</w:t>
            </w:r>
          </w:p>
        </w:tc>
      </w:tr>
      <w:tr w:rsidR="000C52D4" w:rsidRPr="00AA3CEB" w:rsidTr="00AA3CEB">
        <w:tc>
          <w:tcPr>
            <w:tcW w:w="2552" w:type="dxa"/>
            <w:hideMark/>
          </w:tcPr>
          <w:p w:rsidR="000C52D4" w:rsidRPr="00AA3CEB" w:rsidRDefault="000C52D4" w:rsidP="000C52D4">
            <w:pPr>
              <w:rPr>
                <w:sz w:val="20"/>
                <w:szCs w:val="20"/>
              </w:rPr>
            </w:pPr>
            <w:r w:rsidRPr="00AA3CEB">
              <w:rPr>
                <w:b/>
                <w:bCs/>
                <w:sz w:val="20"/>
                <w:szCs w:val="20"/>
              </w:rPr>
              <w:t>Important missing information</w:t>
            </w:r>
          </w:p>
        </w:tc>
        <w:tc>
          <w:tcPr>
            <w:tcW w:w="5812" w:type="dxa"/>
            <w:hideMark/>
          </w:tcPr>
          <w:p w:rsidR="000C52D4" w:rsidRPr="00AA3CEB" w:rsidRDefault="000C52D4" w:rsidP="000C52D4">
            <w:pPr>
              <w:rPr>
                <w:sz w:val="20"/>
                <w:szCs w:val="20"/>
              </w:rPr>
            </w:pPr>
            <w:r w:rsidRPr="00AA3CEB">
              <w:rPr>
                <w:sz w:val="20"/>
                <w:szCs w:val="20"/>
              </w:rPr>
              <w:t>Use during pregnancy and lactation</w:t>
            </w:r>
          </w:p>
        </w:tc>
      </w:tr>
    </w:tbl>
    <w:p w:rsidR="000C52D4" w:rsidRPr="000C52D4" w:rsidRDefault="000C52D4" w:rsidP="00F33E06">
      <w:pPr>
        <w:pStyle w:val="Heading5"/>
        <w:rPr>
          <w:lang w:eastAsia="en-AU"/>
        </w:rPr>
      </w:pPr>
      <w:r w:rsidRPr="000C52D4">
        <w:rPr>
          <w:lang w:eastAsia="en-AU"/>
        </w:rPr>
        <w:t>OPR reviewer comment:</w:t>
      </w:r>
    </w:p>
    <w:p w:rsidR="008E7846" w:rsidRDefault="000C52D4" w:rsidP="008E7846">
      <w:pPr>
        <w:rPr>
          <w:lang w:eastAsia="en-AU"/>
        </w:rPr>
      </w:pPr>
      <w:r w:rsidRPr="000C52D4">
        <w:rPr>
          <w:lang w:eastAsia="en-AU"/>
        </w:rPr>
        <w:t>It is recommended that the above summary of the Ongoing Safety Concerns is considered acceptable, unless additional concerns are raised</w:t>
      </w:r>
      <w:r w:rsidR="00514A8C">
        <w:rPr>
          <w:lang w:eastAsia="en-AU"/>
        </w:rPr>
        <w:t xml:space="preserve"> from the evaluation of the non</w:t>
      </w:r>
      <w:r w:rsidRPr="000C52D4">
        <w:rPr>
          <w:lang w:eastAsia="en-AU"/>
        </w:rPr>
        <w:t xml:space="preserve">clinical and clinical aspects of the </w:t>
      </w:r>
      <w:r w:rsidR="00F33E06">
        <w:rPr>
          <w:lang w:eastAsia="en-AU"/>
        </w:rPr>
        <w:t>SS.</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213C31" w:rsidRPr="00213C31" w:rsidRDefault="00213C31" w:rsidP="00213C31">
      <w:pPr>
        <w:rPr>
          <w:lang w:eastAsia="en-AU"/>
        </w:rPr>
      </w:pPr>
      <w:r w:rsidRPr="00213C31">
        <w:rPr>
          <w:lang w:eastAsia="en-AU"/>
        </w:rPr>
        <w:t>Routine pharmacovigilance is proposed for all safety concerns. In addition, additional pharmacovigilance activities are proposed and the sponsor states in the A</w:t>
      </w:r>
      <w:r w:rsidR="00514A8C">
        <w:rPr>
          <w:lang w:eastAsia="en-AU"/>
        </w:rPr>
        <w:t xml:space="preserve">SA </w:t>
      </w:r>
      <w:r w:rsidRPr="00213C31">
        <w:rPr>
          <w:lang w:eastAsia="en-AU"/>
        </w:rPr>
        <w:t>“</w:t>
      </w:r>
      <w:r w:rsidRPr="00213C31">
        <w:rPr>
          <w:i/>
          <w:lang w:eastAsia="en-AU"/>
        </w:rPr>
        <w:t>Sandoz believes that the collected safety data from the trials being conducted in the European Union would also be relevant for the patient population in Australia. The reports of these studies are part of the RMP package and will be provided to the TGA with the RMP updates”</w:t>
      </w:r>
      <w:r w:rsidRPr="00213C31">
        <w:rPr>
          <w:lang w:eastAsia="en-AU"/>
        </w:rPr>
        <w:t>.</w:t>
      </w:r>
    </w:p>
    <w:p w:rsidR="00213C31" w:rsidRPr="00213C31" w:rsidRDefault="00213C31" w:rsidP="00213C31">
      <w:pPr>
        <w:rPr>
          <w:lang w:eastAsia="en-AU"/>
        </w:rPr>
      </w:pPr>
      <w:r w:rsidRPr="00213C31">
        <w:rPr>
          <w:lang w:eastAsia="en-AU"/>
        </w:rPr>
        <w:lastRenderedPageBreak/>
        <w:t>All ongoing safety concerns, except ‘Sickle cell crisis in patients with sickle cell disease’, ‘</w:t>
      </w:r>
      <w:proofErr w:type="gramStart"/>
      <w:r w:rsidRPr="00213C31">
        <w:rPr>
          <w:lang w:eastAsia="en-AU"/>
        </w:rPr>
        <w:t>Increased</w:t>
      </w:r>
      <w:proofErr w:type="gramEnd"/>
      <w:r w:rsidRPr="00213C31">
        <w:rPr>
          <w:lang w:eastAsia="en-AU"/>
        </w:rPr>
        <w:t xml:space="preserve"> risk of Graft versus Host Disease’ and ‘Use during pregnancy and lactation’ have additional pharmacovigilance activities assigned. The sponsor states “</w:t>
      </w:r>
      <w:r w:rsidRPr="00213C31">
        <w:rPr>
          <w:i/>
          <w:lang w:eastAsia="en-AU"/>
        </w:rPr>
        <w:t>Patients with sickle cell disease would not be enrolled in the study with SCN patients (EP06-401) or the long-term safety data collection in healthy stem cell donors (EP06-501).</w:t>
      </w:r>
      <w:r w:rsidRPr="00213C31">
        <w:rPr>
          <w:lang w:eastAsia="en-AU"/>
        </w:rPr>
        <w:t>”</w:t>
      </w:r>
    </w:p>
    <w:p w:rsidR="00213C31" w:rsidRPr="003014C8" w:rsidRDefault="00A122EB" w:rsidP="003014C8">
      <w:r w:rsidRPr="003014C8">
        <w:t>The a</w:t>
      </w:r>
      <w:r w:rsidR="00213C31" w:rsidRPr="003014C8">
        <w:t>dditional pharmacovigilance activities proposed for Zarzio include the following:</w:t>
      </w:r>
    </w:p>
    <w:p w:rsidR="005E0E34" w:rsidRPr="003014C8" w:rsidRDefault="00213C31" w:rsidP="003014C8">
      <w:pPr>
        <w:pStyle w:val="ListBullet"/>
      </w:pPr>
      <w:r w:rsidRPr="003014C8">
        <w:t xml:space="preserve">Phase IV </w:t>
      </w:r>
      <w:r w:rsidR="00A122EB" w:rsidRPr="003014C8">
        <w:t xml:space="preserve">Study </w:t>
      </w:r>
      <w:r w:rsidRPr="003014C8">
        <w:t>EP06-401</w:t>
      </w:r>
      <w:r w:rsidR="003014C8" w:rsidRPr="003014C8">
        <w:t>,</w:t>
      </w:r>
      <w:r w:rsidRPr="003014C8">
        <w:t xml:space="preserve"> </w:t>
      </w:r>
      <w:r w:rsidR="003014C8" w:rsidRPr="003014C8">
        <w:t>to monitor immunogenicity and adverse events in SCN patients throughout the first 12 months of treatment with Zarzio.</w:t>
      </w:r>
    </w:p>
    <w:p w:rsidR="003014C8" w:rsidRPr="003014C8" w:rsidRDefault="00213C31" w:rsidP="003014C8">
      <w:pPr>
        <w:pStyle w:val="ListBullet"/>
      </w:pPr>
      <w:r w:rsidRPr="003014C8">
        <w:t xml:space="preserve">Safety follow-up of patients from </w:t>
      </w:r>
      <w:r w:rsidR="00A122EB" w:rsidRPr="003014C8">
        <w:t>S</w:t>
      </w:r>
      <w:r w:rsidRPr="003014C8">
        <w:t>tudy EP06-401</w:t>
      </w:r>
      <w:r w:rsidR="00A627E9">
        <w:t>.</w:t>
      </w:r>
      <w:r w:rsidR="003014C8" w:rsidRPr="003014C8">
        <w:t xml:space="preserve"> Patients who participated in EP06-401 will be observed for five years after first Zarzio treatment in order to collect long-term safety data.</w:t>
      </w:r>
    </w:p>
    <w:p w:rsidR="005E0E34" w:rsidRPr="003014C8" w:rsidRDefault="00213C31" w:rsidP="003014C8">
      <w:pPr>
        <w:pStyle w:val="ListBullet"/>
      </w:pPr>
      <w:r w:rsidRPr="003014C8">
        <w:t xml:space="preserve">Observational </w:t>
      </w:r>
      <w:r w:rsidR="00A122EB" w:rsidRPr="003014C8">
        <w:t>S</w:t>
      </w:r>
      <w:r w:rsidRPr="003014C8">
        <w:t>tudy EP06-501 in healthy stem cell donors</w:t>
      </w:r>
      <w:r w:rsidR="00A627E9">
        <w:t>.</w:t>
      </w:r>
      <w:r w:rsidR="003014C8" w:rsidRPr="003014C8">
        <w:t xml:space="preserve"> In this non-interventional study donors will be observed for up to 10 years after PBPC mobilisation allowing the assessment on adverse events that are suspected to be related to the mobili</w:t>
      </w:r>
      <w:r w:rsidR="005C5FD7">
        <w:t>s</w:t>
      </w:r>
      <w:r w:rsidR="003014C8" w:rsidRPr="003014C8">
        <w:t xml:space="preserve">ation with </w:t>
      </w:r>
      <w:proofErr w:type="spellStart"/>
      <w:r w:rsidR="003014C8" w:rsidRPr="003014C8">
        <w:t>Zarzio</w:t>
      </w:r>
      <w:proofErr w:type="spellEnd"/>
      <w:r w:rsidR="003014C8" w:rsidRPr="003014C8">
        <w:t>.</w:t>
      </w:r>
    </w:p>
    <w:p w:rsidR="005E0E34" w:rsidRPr="003014C8" w:rsidRDefault="00213C31" w:rsidP="003014C8">
      <w:pPr>
        <w:pStyle w:val="ListBullet"/>
      </w:pPr>
      <w:r w:rsidRPr="003014C8">
        <w:t xml:space="preserve">Safety follow-up of healthy subjects of Phase I </w:t>
      </w:r>
      <w:r w:rsidR="00A122EB" w:rsidRPr="003014C8">
        <w:t>S</w:t>
      </w:r>
      <w:r w:rsidRPr="003014C8">
        <w:t>tudy EP06-103</w:t>
      </w:r>
      <w:r w:rsidR="00A627E9">
        <w:t>.</w:t>
      </w:r>
      <w:r w:rsidR="003014C8" w:rsidRPr="003014C8">
        <w:t xml:space="preserve"> Former study subjects, who participated in the Phase I study in 2006, are b</w:t>
      </w:r>
      <w:r w:rsidR="003014C8">
        <w:t>eing observed for 5 years (2007</w:t>
      </w:r>
      <w:r w:rsidR="003014C8" w:rsidRPr="003014C8">
        <w:t>-2012) including detailed annual safety evaluations and laboratory assessments. Through this investigation the potential occurrence of any haematological and lymphoid malignancy in this population can be monitored within the observation period</w:t>
      </w:r>
      <w:r w:rsidR="00F33E06">
        <w:t>.</w:t>
      </w:r>
    </w:p>
    <w:p w:rsidR="008E7846" w:rsidRDefault="00213C31" w:rsidP="008E7846">
      <w:pPr>
        <w:rPr>
          <w:lang w:eastAsia="en-AU"/>
        </w:rPr>
      </w:pPr>
      <w:r w:rsidRPr="00213C31">
        <w:rPr>
          <w:bCs/>
          <w:lang w:eastAsia="en-AU"/>
        </w:rPr>
        <w:t xml:space="preserve">The proposed routine and ongoing additional pharmacovigilance studies are considered acceptable. It is expected that interim and final study reports will be provided to the TGA </w:t>
      </w:r>
      <w:r w:rsidRPr="00A122EB">
        <w:rPr>
          <w:bCs/>
          <w:i/>
          <w:lang w:eastAsia="en-AU"/>
        </w:rPr>
        <w:t xml:space="preserve">via </w:t>
      </w:r>
      <w:r w:rsidR="00F33E06">
        <w:rPr>
          <w:bCs/>
          <w:lang w:eastAsia="en-AU"/>
        </w:rPr>
        <w:t>PSURs or another mechanism.</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A122EB" w:rsidRPr="00213C31" w:rsidRDefault="00A627E9" w:rsidP="00A122EB">
      <w:pPr>
        <w:rPr>
          <w:lang w:eastAsia="en-AU"/>
        </w:rPr>
      </w:pPr>
      <w:bookmarkStart w:id="150" w:name="_Toc247691527"/>
      <w:r w:rsidRPr="00A627E9">
        <w:rPr>
          <w:lang w:eastAsia="en-AU"/>
        </w:rPr>
        <w:t>Routine risk minimisation activities</w:t>
      </w:r>
      <w:r>
        <w:rPr>
          <w:lang w:eastAsia="en-AU"/>
        </w:rPr>
        <w:t xml:space="preserve"> are proposed. </w:t>
      </w:r>
      <w:r w:rsidR="00A122EB" w:rsidRPr="00213C31">
        <w:rPr>
          <w:lang w:eastAsia="en-AU"/>
        </w:rPr>
        <w:t>No additional risk minimisation activities are proposed for Zarzio</w:t>
      </w:r>
      <w:r w:rsidR="00A122EB">
        <w:rPr>
          <w:lang w:eastAsia="en-AU"/>
        </w:rPr>
        <w:t>.</w:t>
      </w:r>
    </w:p>
    <w:p w:rsidR="00213C31" w:rsidRPr="00213C31" w:rsidRDefault="00213C31" w:rsidP="00213C31">
      <w:pPr>
        <w:rPr>
          <w:i/>
          <w:lang w:eastAsia="en-AU"/>
        </w:rPr>
      </w:pPr>
      <w:r w:rsidRPr="00213C31">
        <w:rPr>
          <w:lang w:eastAsia="en-AU"/>
        </w:rPr>
        <w:t>The sponsor provides the following conclusion:</w:t>
      </w:r>
      <w:r w:rsidR="00A122EB">
        <w:rPr>
          <w:lang w:eastAsia="en-AU"/>
        </w:rPr>
        <w:t xml:space="preserve"> </w:t>
      </w:r>
      <w:r w:rsidRPr="00213C31">
        <w:rPr>
          <w:i/>
          <w:lang w:eastAsia="en-AU"/>
        </w:rPr>
        <w:t>In view of the comparable safety profile of EP2006 to existing G-CSF products, and the routine risk minimi</w:t>
      </w:r>
      <w:r w:rsidR="00A122EB">
        <w:rPr>
          <w:i/>
          <w:lang w:eastAsia="en-AU"/>
        </w:rPr>
        <w:t>s</w:t>
      </w:r>
      <w:r w:rsidRPr="00213C31">
        <w:rPr>
          <w:i/>
          <w:lang w:eastAsia="en-AU"/>
        </w:rPr>
        <w:t xml:space="preserve">ation activities proposed, no </w:t>
      </w:r>
      <w:r w:rsidRPr="00213C31">
        <w:rPr>
          <w:bCs/>
          <w:i/>
          <w:lang w:eastAsia="en-AU"/>
        </w:rPr>
        <w:t xml:space="preserve">additional </w:t>
      </w:r>
      <w:r w:rsidRPr="00213C31">
        <w:rPr>
          <w:i/>
          <w:lang w:eastAsia="en-AU"/>
        </w:rPr>
        <w:t>risk minimisation activities have been considered to be necessary.</w:t>
      </w:r>
    </w:p>
    <w:p w:rsidR="00213C31" w:rsidRPr="00213C31" w:rsidRDefault="00213C31" w:rsidP="00F33E06">
      <w:pPr>
        <w:pStyle w:val="Heading5"/>
        <w:rPr>
          <w:lang w:eastAsia="en-AU"/>
        </w:rPr>
      </w:pPr>
      <w:r w:rsidRPr="00213C31">
        <w:rPr>
          <w:lang w:eastAsia="en-AU"/>
        </w:rPr>
        <w:t>OPR reviewer comment:</w:t>
      </w:r>
    </w:p>
    <w:p w:rsidR="00213C31" w:rsidRPr="00213C31" w:rsidRDefault="00213C31" w:rsidP="00213C31">
      <w:pPr>
        <w:rPr>
          <w:lang w:eastAsia="en-AU"/>
        </w:rPr>
      </w:pPr>
      <w:r w:rsidRPr="00213C31">
        <w:rPr>
          <w:lang w:eastAsia="en-AU"/>
        </w:rPr>
        <w:t>Routine risk minimisation activities (</w:t>
      </w:r>
      <w:r w:rsidR="00A122EB">
        <w:rPr>
          <w:lang w:eastAsia="en-AU"/>
        </w:rPr>
        <w:t xml:space="preserve">that is, </w:t>
      </w:r>
      <w:r w:rsidR="001E38B8">
        <w:rPr>
          <w:lang w:eastAsia="en-AU"/>
        </w:rPr>
        <w:t>P</w:t>
      </w:r>
      <w:r w:rsidRPr="00213C31">
        <w:rPr>
          <w:lang w:eastAsia="en-AU"/>
        </w:rPr>
        <w:t xml:space="preserve">roduct </w:t>
      </w:r>
      <w:r w:rsidR="001E38B8">
        <w:rPr>
          <w:lang w:eastAsia="en-AU"/>
        </w:rPr>
        <w:t>I</w:t>
      </w:r>
      <w:r w:rsidRPr="00213C31">
        <w:rPr>
          <w:lang w:eastAsia="en-AU"/>
        </w:rPr>
        <w:t>nformation) are considered acceptable to mitigate the risks associated with Zarzio.</w:t>
      </w:r>
    </w:p>
    <w:p w:rsidR="008E7846" w:rsidRDefault="00A122EB" w:rsidP="008E7846">
      <w:pPr>
        <w:rPr>
          <w:lang w:eastAsia="en-AU"/>
        </w:rPr>
      </w:pPr>
      <w:r>
        <w:rPr>
          <w:lang w:eastAsia="en-AU"/>
        </w:rPr>
        <w:t xml:space="preserve">Other recommended revisions to the PI are </w:t>
      </w:r>
      <w:r w:rsidR="00F33E06">
        <w:rPr>
          <w:lang w:eastAsia="en-AU"/>
        </w:rPr>
        <w:t xml:space="preserve">beyond the scope of the </w:t>
      </w:r>
      <w:proofErr w:type="spellStart"/>
      <w:r w:rsidR="00F33E06">
        <w:rPr>
          <w:lang w:eastAsia="en-AU"/>
        </w:rPr>
        <w:t>AusPAR</w:t>
      </w:r>
      <w:proofErr w:type="spellEnd"/>
      <w:r w:rsidR="00F33E06">
        <w:rPr>
          <w:lang w:eastAsia="en-AU"/>
        </w:rPr>
        <w:t>.</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213C31" w:rsidRPr="00213C31" w:rsidRDefault="00213C31" w:rsidP="00213C31">
      <w:pPr>
        <w:rPr>
          <w:lang w:eastAsia="en-AU"/>
        </w:rPr>
      </w:pPr>
      <w:r w:rsidRPr="00213C31">
        <w:rPr>
          <w:lang w:eastAsia="en-AU"/>
        </w:rPr>
        <w:t xml:space="preserve">The OPR provides these recommendations in the context that the submitted RMP is supportive to the application; and the draft product information and consumer medicine information documents should </w:t>
      </w:r>
      <w:r w:rsidR="003014C8">
        <w:rPr>
          <w:lang w:eastAsia="en-AU"/>
        </w:rPr>
        <w:t>not</w:t>
      </w:r>
      <w:r w:rsidRPr="00213C31">
        <w:rPr>
          <w:lang w:eastAsia="en-AU"/>
        </w:rPr>
        <w:t xml:space="preserve"> be revised until the Delegates Overview has been received:</w:t>
      </w:r>
    </w:p>
    <w:p w:rsidR="00213C31" w:rsidRPr="002C6841" w:rsidRDefault="00213C31" w:rsidP="00213C31">
      <w:pPr>
        <w:rPr>
          <w:lang w:eastAsia="en-AU"/>
        </w:rPr>
      </w:pPr>
      <w:r w:rsidRPr="002C6841">
        <w:rPr>
          <w:lang w:eastAsia="en-AU"/>
        </w:rPr>
        <w:t xml:space="preserve">It is recommended </w:t>
      </w:r>
      <w:r w:rsidR="00335265" w:rsidRPr="002C6841">
        <w:rPr>
          <w:lang w:eastAsia="en-AU"/>
        </w:rPr>
        <w:t xml:space="preserve">to </w:t>
      </w:r>
      <w:r w:rsidRPr="002C6841">
        <w:rPr>
          <w:lang w:eastAsia="en-AU"/>
        </w:rPr>
        <w:t>the Delegate:</w:t>
      </w:r>
    </w:p>
    <w:p w:rsidR="00213C31" w:rsidRPr="00213C31" w:rsidRDefault="00A627E9" w:rsidP="00B56DDF">
      <w:pPr>
        <w:numPr>
          <w:ilvl w:val="0"/>
          <w:numId w:val="6"/>
        </w:numPr>
        <w:rPr>
          <w:lang w:eastAsia="en-AU"/>
        </w:rPr>
      </w:pPr>
      <w:r>
        <w:rPr>
          <w:lang w:eastAsia="en-AU"/>
        </w:rPr>
        <w:t xml:space="preserve">Should this application be approved, </w:t>
      </w:r>
      <w:r w:rsidR="00213C31" w:rsidRPr="00213C31">
        <w:rPr>
          <w:lang w:eastAsia="en-AU"/>
        </w:rPr>
        <w:t xml:space="preserve">RMP Version 8.0, dated 18 Mar 2011 [data lock point 31 Jan 2011], and any future updates </w:t>
      </w:r>
      <w:r>
        <w:rPr>
          <w:lang w:eastAsia="en-AU"/>
        </w:rPr>
        <w:t xml:space="preserve">should be implemented </w:t>
      </w:r>
      <w:r w:rsidR="00213C31" w:rsidRPr="00213C31">
        <w:rPr>
          <w:lang w:eastAsia="en-AU"/>
        </w:rPr>
        <w:t>as a condition of registration.</w:t>
      </w:r>
    </w:p>
    <w:p w:rsidR="00213C31" w:rsidRPr="002C6841" w:rsidRDefault="00213C31" w:rsidP="001E38B8">
      <w:pPr>
        <w:keepNext/>
        <w:rPr>
          <w:lang w:eastAsia="en-AU"/>
        </w:rPr>
      </w:pPr>
      <w:r w:rsidRPr="002C6841">
        <w:rPr>
          <w:lang w:eastAsia="en-AU"/>
        </w:rPr>
        <w:lastRenderedPageBreak/>
        <w:t>It is recomm</w:t>
      </w:r>
      <w:r w:rsidR="003014C8" w:rsidRPr="002C6841">
        <w:rPr>
          <w:lang w:eastAsia="en-AU"/>
        </w:rPr>
        <w:t>ended that the s</w:t>
      </w:r>
      <w:r w:rsidR="002C6841">
        <w:rPr>
          <w:lang w:eastAsia="en-AU"/>
        </w:rPr>
        <w:t>ponsor:</w:t>
      </w:r>
    </w:p>
    <w:p w:rsidR="00213C31" w:rsidRPr="00213C31" w:rsidRDefault="00213C31" w:rsidP="00B56DDF">
      <w:pPr>
        <w:numPr>
          <w:ilvl w:val="0"/>
          <w:numId w:val="6"/>
        </w:numPr>
        <w:rPr>
          <w:bCs/>
          <w:lang w:eastAsia="en-AU"/>
        </w:rPr>
      </w:pPr>
      <w:r w:rsidRPr="00213C31">
        <w:rPr>
          <w:bCs/>
          <w:lang w:eastAsia="en-AU"/>
        </w:rPr>
        <w:t>Provide a full protocol/further study synopsis information for Saf</w:t>
      </w:r>
      <w:r w:rsidR="003014C8">
        <w:rPr>
          <w:bCs/>
          <w:lang w:eastAsia="en-AU"/>
        </w:rPr>
        <w:t>ety follow-up of patients from S</w:t>
      </w:r>
      <w:r w:rsidRPr="00213C31">
        <w:rPr>
          <w:bCs/>
          <w:lang w:eastAsia="en-AU"/>
        </w:rPr>
        <w:t xml:space="preserve">tudy EP06-401 </w:t>
      </w:r>
      <w:r w:rsidRPr="003014C8">
        <w:rPr>
          <w:bCs/>
          <w:i/>
          <w:lang w:eastAsia="en-AU"/>
        </w:rPr>
        <w:t>via</w:t>
      </w:r>
      <w:r w:rsidRPr="00213C31">
        <w:rPr>
          <w:bCs/>
          <w:lang w:eastAsia="en-AU"/>
        </w:rPr>
        <w:t xml:space="preserve"> the </w:t>
      </w:r>
      <w:r w:rsidR="003014C8" w:rsidRPr="003014C8">
        <w:rPr>
          <w:bCs/>
          <w:lang w:eastAsia="en-AU"/>
        </w:rPr>
        <w:t xml:space="preserve">Severe Chronic Neutropenia International Registry </w:t>
      </w:r>
      <w:r w:rsidR="003014C8">
        <w:rPr>
          <w:bCs/>
          <w:lang w:eastAsia="en-AU"/>
        </w:rPr>
        <w:t>(</w:t>
      </w:r>
      <w:r w:rsidRPr="00213C31">
        <w:rPr>
          <w:bCs/>
          <w:lang w:eastAsia="en-AU"/>
        </w:rPr>
        <w:t>SCNIR</w:t>
      </w:r>
      <w:r w:rsidR="003014C8">
        <w:rPr>
          <w:bCs/>
          <w:lang w:eastAsia="en-AU"/>
        </w:rPr>
        <w:t>)</w:t>
      </w:r>
      <w:r w:rsidRPr="00213C31">
        <w:rPr>
          <w:bCs/>
          <w:lang w:eastAsia="en-AU"/>
        </w:rPr>
        <w:t xml:space="preserve"> study including outcome measurements (primary and secondary), follow-up time</w:t>
      </w:r>
      <w:r w:rsidR="001E38B8">
        <w:rPr>
          <w:bCs/>
          <w:lang w:eastAsia="en-AU"/>
        </w:rPr>
        <w:t xml:space="preserve"> </w:t>
      </w:r>
      <w:r w:rsidRPr="00213C31">
        <w:rPr>
          <w:bCs/>
          <w:lang w:eastAsia="en-AU"/>
        </w:rPr>
        <w:t xml:space="preserve">points, estimated sample size and inclusion/exclusion criteria. </w:t>
      </w:r>
      <w:r w:rsidRPr="00213C31">
        <w:rPr>
          <w:lang w:eastAsia="en-AU"/>
        </w:rPr>
        <w:t>Study milestones for reporting to the TGA should also be confirmed.</w:t>
      </w:r>
    </w:p>
    <w:p w:rsidR="00213C31" w:rsidRPr="00213C31" w:rsidRDefault="00213C31" w:rsidP="00B56DDF">
      <w:pPr>
        <w:numPr>
          <w:ilvl w:val="0"/>
          <w:numId w:val="6"/>
        </w:numPr>
        <w:rPr>
          <w:lang w:eastAsia="en-AU"/>
        </w:rPr>
      </w:pPr>
      <w:r w:rsidRPr="00213C31">
        <w:rPr>
          <w:lang w:eastAsia="en-AU"/>
        </w:rPr>
        <w:t>Confirm if the 5</w:t>
      </w:r>
      <w:r w:rsidR="003014C8">
        <w:rPr>
          <w:lang w:eastAsia="en-AU"/>
        </w:rPr>
        <w:t xml:space="preserve"> </w:t>
      </w:r>
      <w:r w:rsidRPr="00213C31">
        <w:rPr>
          <w:lang w:eastAsia="en-AU"/>
        </w:rPr>
        <w:t>year final report for the s</w:t>
      </w:r>
      <w:r w:rsidRPr="00213C31">
        <w:rPr>
          <w:bCs/>
          <w:lang w:eastAsia="en-AU"/>
        </w:rPr>
        <w:t xml:space="preserve">afety follow-up of healthy subjects of Phase I </w:t>
      </w:r>
      <w:r w:rsidR="003014C8">
        <w:rPr>
          <w:bCs/>
          <w:lang w:eastAsia="en-AU"/>
        </w:rPr>
        <w:t>S</w:t>
      </w:r>
      <w:r w:rsidRPr="00213C31">
        <w:rPr>
          <w:bCs/>
          <w:lang w:eastAsia="en-AU"/>
        </w:rPr>
        <w:t xml:space="preserve">tudy EP06-103 is available. If so, provide this report and detail of any safety signals reported including the potential occurrence of any </w:t>
      </w:r>
      <w:r w:rsidRPr="00213C31">
        <w:rPr>
          <w:lang w:eastAsia="en-AU"/>
        </w:rPr>
        <w:t>haematological or lymphoid malignancy.</w:t>
      </w:r>
    </w:p>
    <w:p w:rsidR="00213C31" w:rsidRPr="00213C31" w:rsidRDefault="00213C31" w:rsidP="00B56DDF">
      <w:pPr>
        <w:numPr>
          <w:ilvl w:val="0"/>
          <w:numId w:val="6"/>
        </w:numPr>
        <w:rPr>
          <w:lang w:eastAsia="en-AU"/>
        </w:rPr>
      </w:pPr>
      <w:r w:rsidRPr="00213C31">
        <w:rPr>
          <w:lang w:eastAsia="en-AU"/>
        </w:rPr>
        <w:t xml:space="preserve">Provide a summary of updates/changes with the updated RMP proposed to be provided to the TGA </w:t>
      </w:r>
      <w:r w:rsidR="003014C8">
        <w:rPr>
          <w:lang w:eastAsia="en-AU"/>
        </w:rPr>
        <w:t>during the evaluation phase</w:t>
      </w:r>
      <w:r w:rsidRPr="00213C31">
        <w:rPr>
          <w:lang w:eastAsia="en-AU"/>
        </w:rPr>
        <w:t>.</w:t>
      </w:r>
    </w:p>
    <w:p w:rsidR="00017D8C" w:rsidRDefault="00017D8C" w:rsidP="00213C31">
      <w:pPr>
        <w:rPr>
          <w:lang w:eastAsia="en-AU"/>
        </w:rPr>
      </w:pPr>
      <w:r>
        <w:rPr>
          <w:lang w:eastAsia="en-AU"/>
        </w:rPr>
        <w:t xml:space="preserve">In response to the above recommendations, </w:t>
      </w:r>
      <w:r w:rsidR="003014C8">
        <w:rPr>
          <w:lang w:eastAsia="en-AU"/>
        </w:rPr>
        <w:t>the sponsor provided an updated RMP (</w:t>
      </w:r>
      <w:r w:rsidRPr="00017D8C">
        <w:rPr>
          <w:lang w:eastAsia="en-AU"/>
        </w:rPr>
        <w:t>EU RMP Version 9 dated 20-Mar-2012 [data lock point 31 January 2012] including Australian Specific Annex Version 2 dated 16-November-2012</w:t>
      </w:r>
      <w:r w:rsidR="003014C8">
        <w:rPr>
          <w:lang w:eastAsia="en-AU"/>
        </w:rPr>
        <w:t>)</w:t>
      </w:r>
      <w:r w:rsidR="00A627E9">
        <w:rPr>
          <w:lang w:eastAsia="en-AU"/>
        </w:rPr>
        <w:t xml:space="preserve">. </w:t>
      </w:r>
      <w:r w:rsidR="003014C8">
        <w:rPr>
          <w:lang w:eastAsia="en-AU"/>
        </w:rPr>
        <w:t>, which the OPR recommended should be implemented as a condition of registration, along with</w:t>
      </w:r>
      <w:r w:rsidRPr="00017D8C">
        <w:rPr>
          <w:lang w:eastAsia="en-AU"/>
        </w:rPr>
        <w:t xml:space="preserve"> any future updates</w:t>
      </w:r>
      <w:r w:rsidR="00A627E9">
        <w:rPr>
          <w:lang w:eastAsia="en-AU"/>
        </w:rPr>
        <w:t>, in the event the application is approved</w:t>
      </w:r>
      <w:r w:rsidR="003014C8">
        <w:rPr>
          <w:lang w:eastAsia="en-AU"/>
        </w:rPr>
        <w:t>.</w:t>
      </w:r>
    </w:p>
    <w:p w:rsidR="003014C8" w:rsidRDefault="003014C8" w:rsidP="00A627E9">
      <w:pPr>
        <w:rPr>
          <w:lang w:eastAsia="en-AU"/>
        </w:rPr>
      </w:pPr>
      <w:r>
        <w:rPr>
          <w:lang w:eastAsia="en-AU"/>
        </w:rPr>
        <w:t xml:space="preserve">The sponsor also provided </w:t>
      </w:r>
      <w:r w:rsidR="00A627E9" w:rsidRPr="003014C8">
        <w:t xml:space="preserve">an update of the ongoing </w:t>
      </w:r>
      <w:r w:rsidR="00A627E9">
        <w:t>P</w:t>
      </w:r>
      <w:r w:rsidR="00A627E9" w:rsidRPr="003014C8">
        <w:t xml:space="preserve">hase IV </w:t>
      </w:r>
      <w:r w:rsidR="00A627E9">
        <w:t>S</w:t>
      </w:r>
      <w:r w:rsidR="00A627E9" w:rsidRPr="003014C8">
        <w:t>tudy EP06-401 and proposed 5 year safety follow-up of patients from this study</w:t>
      </w:r>
      <w:r w:rsidR="00A627E9">
        <w:t xml:space="preserve">. There were no changes to the </w:t>
      </w:r>
      <w:r w:rsidRPr="003014C8">
        <w:t>S</w:t>
      </w:r>
      <w:r w:rsidR="00A627E9">
        <w:t>S or proposed (r</w:t>
      </w:r>
      <w:r w:rsidRPr="003014C8">
        <w:t>outine</w:t>
      </w:r>
      <w:r w:rsidR="00A627E9">
        <w:t>)</w:t>
      </w:r>
      <w:r w:rsidRPr="003014C8">
        <w:t xml:space="preserve"> risk minimisation activities</w:t>
      </w:r>
      <w:r>
        <w:t>.</w:t>
      </w:r>
    </w:p>
    <w:p w:rsidR="00A627E9" w:rsidRDefault="00A627E9" w:rsidP="00A627E9">
      <w:pPr>
        <w:pStyle w:val="Heading4"/>
      </w:pPr>
      <w:r>
        <w:t>Final conclusions and recommendation</w:t>
      </w:r>
    </w:p>
    <w:p w:rsidR="00A627E9" w:rsidRDefault="00A627E9" w:rsidP="003014C8">
      <w:r>
        <w:t>The RMP evaluator concluded that:</w:t>
      </w:r>
    </w:p>
    <w:p w:rsidR="008057A1" w:rsidRDefault="003014C8" w:rsidP="00A627E9">
      <w:pPr>
        <w:pStyle w:val="ListBullet"/>
      </w:pPr>
      <w:r>
        <w:t>There were no o</w:t>
      </w:r>
      <w:r w:rsidR="008057A1" w:rsidRPr="003014C8">
        <w:t>utstanding issues</w:t>
      </w:r>
      <w:r>
        <w:t xml:space="preserve"> with regard to the proposed RMP.</w:t>
      </w:r>
    </w:p>
    <w:p w:rsidR="00A627E9" w:rsidRDefault="00A627E9" w:rsidP="00A627E9">
      <w:pPr>
        <w:pStyle w:val="ListBullet"/>
      </w:pPr>
      <w:r>
        <w:t>I</w:t>
      </w:r>
      <w:r w:rsidRPr="00A627E9">
        <w:t>n the event the application is approved RMP (EU RMP Version 9 dated 20-Mar-2012 [data lock point 31 January 2012] including Australian Specific Annex Version 2 dated 16-November-2012)</w:t>
      </w:r>
      <w:r>
        <w:t xml:space="preserve"> </w:t>
      </w:r>
      <w:r w:rsidRPr="00A627E9">
        <w:t>should be implemented as a condition of registration, along with any future updates.</w:t>
      </w:r>
    </w:p>
    <w:p w:rsidR="00A627E9" w:rsidRPr="003014C8" w:rsidRDefault="0000568F" w:rsidP="00A627E9">
      <w:pPr>
        <w:pStyle w:val="ListBullet"/>
      </w:pPr>
      <w:r>
        <w:t xml:space="preserve">Usual post-registration requirement regarding the provision </w:t>
      </w:r>
      <w:r w:rsidR="00A627E9">
        <w:t>of PSURs</w:t>
      </w:r>
      <w:r>
        <w:t>,</w:t>
      </w:r>
      <w:r w:rsidR="00A627E9">
        <w:t xml:space="preserve"> in accordance with current Guidelines</w:t>
      </w:r>
      <w:r>
        <w:t xml:space="preserve">, should be </w:t>
      </w:r>
      <w:r w:rsidR="00A627E9">
        <w:t>implemented.</w:t>
      </w:r>
    </w:p>
    <w:p w:rsidR="008E7846" w:rsidRPr="00792A32" w:rsidRDefault="008E7846" w:rsidP="008E7846">
      <w:pPr>
        <w:pStyle w:val="Heading2"/>
      </w:pPr>
      <w:bookmarkStart w:id="151" w:name="_Toc314842510"/>
      <w:bookmarkStart w:id="152" w:name="_Toc368569801"/>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42"/>
      <w:bookmarkEnd w:id="150"/>
      <w:bookmarkEnd w:id="151"/>
      <w:bookmarkEnd w:id="152"/>
    </w:p>
    <w:p w:rsidR="008E7846" w:rsidRDefault="008E7846" w:rsidP="008E7846">
      <w:bookmarkStart w:id="153" w:name="_Toc247691528"/>
      <w:r>
        <w:t xml:space="preserve">The submission was summarised in the following </w:t>
      </w:r>
      <w:r w:rsidRPr="00EF5C48">
        <w:t xml:space="preserve">Delegate’s </w:t>
      </w:r>
      <w:r>
        <w:t>overview</w:t>
      </w:r>
      <w:r w:rsidRPr="00EF5C48">
        <w:t xml:space="preserve"> and recommendation</w:t>
      </w:r>
      <w:r>
        <w:t>s:</w:t>
      </w:r>
    </w:p>
    <w:p w:rsidR="006C2F80" w:rsidRPr="006C2F80" w:rsidRDefault="00227C84" w:rsidP="006C2F80">
      <w:proofErr w:type="spellStart"/>
      <w:r w:rsidRPr="006C2F80">
        <w:t>Filgrastim</w:t>
      </w:r>
      <w:proofErr w:type="spellEnd"/>
      <w:r w:rsidRPr="006C2F80">
        <w:t xml:space="preserve"> </w:t>
      </w:r>
      <w:proofErr w:type="spellStart"/>
      <w:proofErr w:type="gramStart"/>
      <w:r w:rsidRPr="006C2F80">
        <w:t>rbe</w:t>
      </w:r>
      <w:proofErr w:type="spellEnd"/>
      <w:proofErr w:type="gramEnd"/>
      <w:r w:rsidRPr="006C2F80">
        <w:t xml:space="preserve"> (</w:t>
      </w:r>
      <w:proofErr w:type="spellStart"/>
      <w:r w:rsidRPr="006C2F80">
        <w:t>Zarzio</w:t>
      </w:r>
      <w:proofErr w:type="spellEnd"/>
      <w:r w:rsidRPr="006C2F80">
        <w:t xml:space="preserve">) is human granulocyte colony stimulating factor (G-CSF) produced in </w:t>
      </w:r>
      <w:r w:rsidRPr="0071153F">
        <w:rPr>
          <w:i/>
        </w:rPr>
        <w:t>E.</w:t>
      </w:r>
      <w:r w:rsidR="005F6EC8" w:rsidRPr="0071153F">
        <w:rPr>
          <w:i/>
        </w:rPr>
        <w:t xml:space="preserve"> </w:t>
      </w:r>
      <w:r w:rsidRPr="0071153F">
        <w:rPr>
          <w:i/>
        </w:rPr>
        <w:t>coli</w:t>
      </w:r>
      <w:r w:rsidRPr="006C2F80">
        <w:t xml:space="preserve"> using recombinant DNA technology. It stimulates the production of white blood cells in the bone marrow.</w:t>
      </w:r>
      <w:r w:rsidR="007454CD">
        <w:t xml:space="preserve"> </w:t>
      </w:r>
      <w:r w:rsidRPr="006C2F80">
        <w:t xml:space="preserve">Registered SBMPs to </w:t>
      </w:r>
      <w:proofErr w:type="spellStart"/>
      <w:r w:rsidRPr="006C2F80">
        <w:t>Neupogen</w:t>
      </w:r>
      <w:proofErr w:type="spellEnd"/>
      <w:r w:rsidRPr="006C2F80">
        <w:t xml:space="preserve"> are </w:t>
      </w:r>
      <w:proofErr w:type="spellStart"/>
      <w:r w:rsidRPr="006C2F80">
        <w:t>Nivestim</w:t>
      </w:r>
      <w:proofErr w:type="spellEnd"/>
      <w:r w:rsidRPr="006C2F80">
        <w:t xml:space="preserve"> (</w:t>
      </w:r>
      <w:proofErr w:type="spellStart"/>
      <w:r w:rsidRPr="006C2F80">
        <w:t>Hospira</w:t>
      </w:r>
      <w:proofErr w:type="spellEnd"/>
      <w:r w:rsidRPr="006C2F80">
        <w:t xml:space="preserve">) and </w:t>
      </w:r>
      <w:proofErr w:type="spellStart"/>
      <w:r w:rsidRPr="006C2F80">
        <w:t>Tevagrastim</w:t>
      </w:r>
      <w:proofErr w:type="spellEnd"/>
      <w:r w:rsidRPr="006C2F80">
        <w:t xml:space="preserve"> (Aspen </w:t>
      </w:r>
      <w:proofErr w:type="spellStart"/>
      <w:r w:rsidRPr="006C2F80">
        <w:t>Pharmacare</w:t>
      </w:r>
      <w:proofErr w:type="spellEnd"/>
      <w:r w:rsidRPr="006C2F80">
        <w:t>).</w:t>
      </w:r>
    </w:p>
    <w:p w:rsidR="006C2F80" w:rsidRPr="006C2F80" w:rsidRDefault="00227C84" w:rsidP="006C2F80">
      <w:r w:rsidRPr="006C2F80">
        <w:t>The following European Medicines Agency (EMA) guidelines adopted by the TGA are relevant to this application:</w:t>
      </w:r>
    </w:p>
    <w:p w:rsidR="006C2F80" w:rsidRPr="006C2F80" w:rsidRDefault="00227C84" w:rsidP="0071153F">
      <w:pPr>
        <w:pStyle w:val="ListBullet"/>
      </w:pPr>
      <w:r w:rsidRPr="00AA3CEB">
        <w:rPr>
          <w:i/>
        </w:rPr>
        <w:t>Guideline on Similar Biological Medicinal Products containing Biotechnology-Derived Proteins as Active Substance: Non-Clinical and Clinical Issues</w:t>
      </w:r>
      <w:r w:rsidRPr="006C2F80">
        <w:t xml:space="preserve"> (EMEA/CHMP/BMWP/42832/2005) and</w:t>
      </w:r>
    </w:p>
    <w:p w:rsidR="006C2F80" w:rsidRPr="006C2F80" w:rsidRDefault="00227C84" w:rsidP="0071153F">
      <w:pPr>
        <w:pStyle w:val="ListBullet"/>
      </w:pPr>
      <w:r w:rsidRPr="00AA3CEB">
        <w:rPr>
          <w:i/>
        </w:rPr>
        <w:t>Annex Guidance on Similar Medicinal Products containing Recombinant Granulocyte-Colony Stimulating Factor</w:t>
      </w:r>
      <w:r w:rsidRPr="006C2F80">
        <w:t xml:space="preserve"> (EMEA/CHMP/BMWP/31329/2005).</w:t>
      </w:r>
    </w:p>
    <w:p w:rsidR="008E7846" w:rsidRDefault="008E7846" w:rsidP="008E7846">
      <w:pPr>
        <w:pStyle w:val="Heading3"/>
      </w:pPr>
      <w:bookmarkStart w:id="154" w:name="_Toc314842511"/>
      <w:bookmarkStart w:id="155" w:name="_Toc368569802"/>
      <w:r>
        <w:lastRenderedPageBreak/>
        <w:t>Quality</w:t>
      </w:r>
      <w:bookmarkEnd w:id="153"/>
      <w:bookmarkEnd w:id="154"/>
      <w:bookmarkEnd w:id="155"/>
    </w:p>
    <w:p w:rsidR="006C2F80" w:rsidRPr="006C2F80" w:rsidRDefault="00227C84" w:rsidP="006C2F80">
      <w:r w:rsidRPr="006C2F80">
        <w:t>The primary structure of Zarzio and Neupogen are essentially identical and the manufacturing in-process controls are appropriate.</w:t>
      </w:r>
    </w:p>
    <w:p w:rsidR="006C2F80" w:rsidRPr="006C2F80" w:rsidRDefault="00227C84" w:rsidP="006C2F80">
      <w:r w:rsidRPr="006C2F80">
        <w:t>The absolute bioavailability of filgrastim was approximately 50% after SC administration.</w:t>
      </w:r>
    </w:p>
    <w:p w:rsidR="000472C4" w:rsidRDefault="00227C84" w:rsidP="006C2F80">
      <w:r w:rsidRPr="006C2F80">
        <w:t xml:space="preserve">The bioequivalence of Zarzio and Neupogen was assessed after SC and IV doses in healthy volunteers. In the primary studies, EP06-101 (10 µg/kg/ day SC for 7 days) and EP06-102 (5 µg/kg IV single dose), the AUC and </w:t>
      </w:r>
      <w:proofErr w:type="spellStart"/>
      <w:r w:rsidRPr="006C2F80">
        <w:t>C</w:t>
      </w:r>
      <w:r w:rsidRPr="00F26004">
        <w:rPr>
          <w:vertAlign w:val="subscript"/>
        </w:rPr>
        <w:t>max</w:t>
      </w:r>
      <w:proofErr w:type="spellEnd"/>
      <w:r w:rsidRPr="006C2F80">
        <w:t xml:space="preserve"> ratios were within the standard 90% CI limits of 80-125%. However, since Neupogen was sourced from</w:t>
      </w:r>
      <w:r w:rsidRPr="00227C84">
        <w:t xml:space="preserve"> Europe and not shown to be bioequivalent to the Australian product and there were problems with the ELISA assay, </w:t>
      </w:r>
      <w:r w:rsidRPr="006C2F80">
        <w:t>the PSC concluded that bioequivalence between Zarzio and Neupogen had not been established and recommended that acceptance of Zarzio be based on clinical grounds.</w:t>
      </w:r>
      <w:r w:rsidR="000472C4">
        <w:t>*</w:t>
      </w:r>
    </w:p>
    <w:p w:rsidR="000472C4" w:rsidRDefault="00227C84" w:rsidP="000472C4">
      <w:r w:rsidRPr="006C2F80">
        <w:t xml:space="preserve">The </w:t>
      </w:r>
      <w:r w:rsidR="00AA3CEB">
        <w:t xml:space="preserve">manufacturing and quality </w:t>
      </w:r>
      <w:r w:rsidRPr="006C2F80">
        <w:t xml:space="preserve">evaluator recommended </w:t>
      </w:r>
      <w:r w:rsidR="000D3746">
        <w:t xml:space="preserve">post-registration </w:t>
      </w:r>
      <w:r w:rsidRPr="006C2F80">
        <w:t xml:space="preserve">batch release conditions to verify quality </w:t>
      </w:r>
      <w:r w:rsidR="0038104C">
        <w:t>and consistency of manufacture</w:t>
      </w:r>
      <w:r w:rsidRPr="006C2F80">
        <w:t>.</w:t>
      </w:r>
    </w:p>
    <w:p w:rsidR="006C2F80" w:rsidRPr="006C2F80" w:rsidRDefault="000472C4" w:rsidP="006C2F80">
      <w:r>
        <w:t>*</w:t>
      </w:r>
      <w:r w:rsidRPr="000472C4">
        <w:t>In response to the Delegate's request for advice on this matter, the ACPM accepted similarity of the EU and Australian products.</w:t>
      </w:r>
    </w:p>
    <w:p w:rsidR="008E7846" w:rsidRDefault="008E7846" w:rsidP="008E7846">
      <w:pPr>
        <w:pStyle w:val="Heading3"/>
      </w:pPr>
      <w:bookmarkStart w:id="156" w:name="_Toc314842512"/>
      <w:bookmarkStart w:id="157" w:name="_Toc368569803"/>
      <w:r>
        <w:t>Nonclinical</w:t>
      </w:r>
      <w:bookmarkEnd w:id="156"/>
      <w:bookmarkEnd w:id="157"/>
    </w:p>
    <w:p w:rsidR="00227C84" w:rsidRPr="006C2F80" w:rsidRDefault="00227C84" w:rsidP="006C2F80">
      <w:bookmarkStart w:id="158" w:name="_Toc247691530"/>
      <w:bookmarkStart w:id="159" w:name="_Toc314842513"/>
      <w:r w:rsidRPr="006C2F80">
        <w:t>Zarzio had comparable effects to Neupogen in</w:t>
      </w:r>
      <w:r w:rsidR="007454CD">
        <w:t xml:space="preserve"> a </w:t>
      </w:r>
      <w:r w:rsidR="00AA3CEB">
        <w:t xml:space="preserve">PD </w:t>
      </w:r>
      <w:r w:rsidR="007454CD">
        <w:t xml:space="preserve">study, two 4 </w:t>
      </w:r>
      <w:r w:rsidRPr="006C2F80">
        <w:t>week repeat dose SC toxicity studies and an immunogenicity study in rats and a local tolerance study in rabbits.</w:t>
      </w:r>
    </w:p>
    <w:p w:rsidR="00227C84" w:rsidRPr="006C2F80" w:rsidRDefault="00227C84" w:rsidP="006C2F80">
      <w:r w:rsidRPr="006C2F80">
        <w:t>The nonclinical evaluator supported registration.</w:t>
      </w:r>
    </w:p>
    <w:p w:rsidR="008E7846" w:rsidRDefault="008E7846" w:rsidP="00227C84">
      <w:pPr>
        <w:pStyle w:val="Heading3"/>
      </w:pPr>
      <w:bookmarkStart w:id="160" w:name="_Toc368569804"/>
      <w:r>
        <w:t>Clinical</w:t>
      </w:r>
      <w:bookmarkEnd w:id="158"/>
      <w:bookmarkEnd w:id="159"/>
      <w:bookmarkEnd w:id="160"/>
    </w:p>
    <w:p w:rsidR="006C2F80" w:rsidRDefault="00227C84" w:rsidP="006C2F80">
      <w:pPr>
        <w:pStyle w:val="Heading4"/>
      </w:pPr>
      <w:r w:rsidRPr="00227C84">
        <w:t>Pharmacokinetics</w:t>
      </w:r>
    </w:p>
    <w:p w:rsidR="006C2F80" w:rsidRPr="006C2F80" w:rsidRDefault="00227C84" w:rsidP="006C2F80">
      <w:r w:rsidRPr="006C2F80">
        <w:t xml:space="preserve">As well as the two primary studies of bioequivalence assessed by the chemistry evaluator, the clinical evaluator assessed two secondary studies, EP06-103 (2.5 and 5 µg/kg/day SC for 7 days) and EP06-105 (1 µg/kg SC single dose) in healthy volunteers. The secondary studies were supportive of the bioequivalence of Zarzio and Neupogen with respect to AUC and </w:t>
      </w:r>
      <w:proofErr w:type="spellStart"/>
      <w:r w:rsidRPr="006C2F80">
        <w:t>C</w:t>
      </w:r>
      <w:r w:rsidRPr="00F26004">
        <w:rPr>
          <w:vertAlign w:val="subscript"/>
        </w:rPr>
        <w:t>max</w:t>
      </w:r>
      <w:proofErr w:type="spellEnd"/>
      <w:r w:rsidRPr="006C2F80">
        <w:t>.</w:t>
      </w:r>
    </w:p>
    <w:p w:rsidR="006C2F80" w:rsidRDefault="00227C84" w:rsidP="006C2F80">
      <w:pPr>
        <w:pStyle w:val="Heading4"/>
      </w:pPr>
      <w:r w:rsidRPr="00227C84">
        <w:t>Pharmacodynamics</w:t>
      </w:r>
    </w:p>
    <w:p w:rsidR="006C2F80" w:rsidRPr="006C2F80" w:rsidRDefault="00227C84" w:rsidP="006C2F80">
      <w:r w:rsidRPr="006C2F80">
        <w:t xml:space="preserve">The four </w:t>
      </w:r>
      <w:r w:rsidR="007454CD">
        <w:t xml:space="preserve">PK </w:t>
      </w:r>
      <w:r w:rsidRPr="006C2F80">
        <w:t xml:space="preserve">studies also assessed the </w:t>
      </w:r>
      <w:r w:rsidR="007454CD">
        <w:t xml:space="preserve">PD </w:t>
      </w:r>
      <w:r w:rsidRPr="006C2F80">
        <w:t xml:space="preserve">equivalence of Zarzio and Neupogen. The secondary </w:t>
      </w:r>
      <w:r w:rsidR="007454CD">
        <w:t>PK S</w:t>
      </w:r>
      <w:r w:rsidRPr="006C2F80">
        <w:t xml:space="preserve">tudies EP06-103 and EP06-105 were the primary </w:t>
      </w:r>
      <w:r w:rsidR="007454CD">
        <w:t xml:space="preserve">PD </w:t>
      </w:r>
      <w:r w:rsidRPr="006C2F80">
        <w:t xml:space="preserve">studies. The equivalence measures were AUEC and </w:t>
      </w:r>
      <w:proofErr w:type="spellStart"/>
      <w:r w:rsidRPr="006C2F80">
        <w:t>E</w:t>
      </w:r>
      <w:r w:rsidRPr="00AA3CEB">
        <w:rPr>
          <w:vertAlign w:val="subscript"/>
        </w:rPr>
        <w:t>max</w:t>
      </w:r>
      <w:proofErr w:type="spellEnd"/>
      <w:r w:rsidRPr="006C2F80">
        <w:t xml:space="preserve"> for effects on ANC in all studies and CD34</w:t>
      </w:r>
      <w:r w:rsidRPr="007454CD">
        <w:rPr>
          <w:vertAlign w:val="superscript"/>
        </w:rPr>
        <w:t>+</w:t>
      </w:r>
      <w:r w:rsidRPr="006C2F80">
        <w:t xml:space="preserve"> cell count in EP06-10</w:t>
      </w:r>
      <w:r w:rsidR="007454CD">
        <w:t>1 and EP06-103. In the primary S</w:t>
      </w:r>
      <w:r w:rsidRPr="006C2F80">
        <w:t xml:space="preserve">tudy EP06-103, equivalence was concluded if the 95% </w:t>
      </w:r>
      <w:r w:rsidR="007454CD">
        <w:t xml:space="preserve">CIs </w:t>
      </w:r>
      <w:r w:rsidRPr="006C2F80">
        <w:t xml:space="preserve">for the ratio of the least-squares means of Zarzio to </w:t>
      </w:r>
      <w:proofErr w:type="spellStart"/>
      <w:r w:rsidRPr="006C2F80">
        <w:t>Neupogen</w:t>
      </w:r>
      <w:proofErr w:type="spellEnd"/>
      <w:r w:rsidRPr="006C2F80">
        <w:t xml:space="preserve"> AUEC and </w:t>
      </w:r>
      <w:proofErr w:type="spellStart"/>
      <w:r w:rsidRPr="006C2F80">
        <w:t>E</w:t>
      </w:r>
      <w:r w:rsidRPr="00AA3CEB">
        <w:rPr>
          <w:vertAlign w:val="subscript"/>
        </w:rPr>
        <w:t>max</w:t>
      </w:r>
      <w:proofErr w:type="spellEnd"/>
      <w:r w:rsidRPr="006C2F80">
        <w:t xml:space="preserve"> fell within the interval [0.8725, 1.1461] in dose group 1 (2.5 µg/kg) and [0.865, 1.1561] in dose group 2 (5 µg/kg) of EP06-103 and [0.80, 1.25] in EP06-105. In primary </w:t>
      </w:r>
      <w:r w:rsidR="007454CD">
        <w:t>S</w:t>
      </w:r>
      <w:r w:rsidRPr="006C2F80">
        <w:t xml:space="preserve">tudy EP06-105, equivalence was concluded if the 95% </w:t>
      </w:r>
      <w:r w:rsidR="007454CD">
        <w:t xml:space="preserve">CIs </w:t>
      </w:r>
      <w:r w:rsidRPr="006C2F80">
        <w:t xml:space="preserve">for the ratio of the least-squares means of Zarzio to </w:t>
      </w:r>
      <w:proofErr w:type="spellStart"/>
      <w:r w:rsidRPr="006C2F80">
        <w:t>Neupogen</w:t>
      </w:r>
      <w:proofErr w:type="spellEnd"/>
      <w:r w:rsidRPr="006C2F80">
        <w:t xml:space="preserve"> AUEC and </w:t>
      </w:r>
      <w:proofErr w:type="spellStart"/>
      <w:r w:rsidRPr="006C2F80">
        <w:t>E</w:t>
      </w:r>
      <w:r w:rsidRPr="00AA3CEB">
        <w:rPr>
          <w:vertAlign w:val="subscript"/>
        </w:rPr>
        <w:t>max</w:t>
      </w:r>
      <w:proofErr w:type="spellEnd"/>
      <w:r w:rsidRPr="006C2F80">
        <w:t xml:space="preserve"> fell within the interval [0.80, 1.25].</w:t>
      </w:r>
    </w:p>
    <w:p w:rsidR="006C2F80" w:rsidRPr="006C2F80" w:rsidRDefault="00227C84" w:rsidP="006C2F80">
      <w:r w:rsidRPr="006C2F80">
        <w:t>The primary studies assessed the equivalence of Zarzio a</w:t>
      </w:r>
      <w:r w:rsidR="007454CD">
        <w:t>nd Neupogen after SC doses. In S</w:t>
      </w:r>
      <w:r w:rsidRPr="006C2F80">
        <w:t xml:space="preserve">tudy EP06-103 (n=56, 28 in each group), Zarzio and Neupogen were equivalent with respect to ANC AUEC, ANC </w:t>
      </w:r>
      <w:proofErr w:type="spellStart"/>
      <w:r w:rsidRPr="006C2F80">
        <w:t>E</w:t>
      </w:r>
      <w:r w:rsidRPr="00AA3CEB">
        <w:rPr>
          <w:vertAlign w:val="subscript"/>
        </w:rPr>
        <w:t>max</w:t>
      </w:r>
      <w:proofErr w:type="spellEnd"/>
      <w:r w:rsidRPr="006C2F80">
        <w:t xml:space="preserve"> and CD34</w:t>
      </w:r>
      <w:r w:rsidRPr="007454CD">
        <w:rPr>
          <w:vertAlign w:val="superscript"/>
        </w:rPr>
        <w:t>+</w:t>
      </w:r>
      <w:r w:rsidRPr="006C2F80">
        <w:t xml:space="preserve"> cells AUEC but not CD34</w:t>
      </w:r>
      <w:r w:rsidRPr="007454CD">
        <w:rPr>
          <w:vertAlign w:val="superscript"/>
        </w:rPr>
        <w:t>+</w:t>
      </w:r>
      <w:r w:rsidRPr="006C2F80">
        <w:t xml:space="preserve"> cells </w:t>
      </w:r>
      <w:proofErr w:type="spellStart"/>
      <w:r w:rsidRPr="006C2F80">
        <w:t>E</w:t>
      </w:r>
      <w:r w:rsidRPr="00AA3CEB">
        <w:rPr>
          <w:vertAlign w:val="subscript"/>
        </w:rPr>
        <w:t>max</w:t>
      </w:r>
      <w:proofErr w:type="spellEnd"/>
      <w:r w:rsidRPr="006C2F80">
        <w:t xml:space="preserve"> following administration of either 2.5 µg/kg/day SC for 7 days (g</w:t>
      </w:r>
      <w:r w:rsidR="007454CD">
        <w:t>roup 1) or 5 µg/kg/day SC for 7 </w:t>
      </w:r>
      <w:r w:rsidRPr="006C2F80">
        <w:t>days (group 2). The r</w:t>
      </w:r>
      <w:r w:rsidR="007454CD">
        <w:t>esponse was dose-dependent. In S</w:t>
      </w:r>
      <w:r w:rsidRPr="006C2F80">
        <w:t xml:space="preserve">tudy EP06-105 (n=24), Zarzio </w:t>
      </w:r>
      <w:r w:rsidRPr="006C2F80">
        <w:lastRenderedPageBreak/>
        <w:t xml:space="preserve">and Neupogen were equivalent with respect to ANC AUEC and </w:t>
      </w:r>
      <w:proofErr w:type="spellStart"/>
      <w:r w:rsidRPr="006C2F80">
        <w:t>E</w:t>
      </w:r>
      <w:r w:rsidRPr="00AA3CEB">
        <w:rPr>
          <w:vertAlign w:val="subscript"/>
        </w:rPr>
        <w:t>m</w:t>
      </w:r>
      <w:r w:rsidR="007454CD" w:rsidRPr="00AA3CEB">
        <w:rPr>
          <w:vertAlign w:val="subscript"/>
        </w:rPr>
        <w:t>ax</w:t>
      </w:r>
      <w:proofErr w:type="spellEnd"/>
      <w:r w:rsidR="007454CD">
        <w:t xml:space="preserve"> following administration of </w:t>
      </w:r>
      <w:r w:rsidR="002C6841">
        <w:t>a single dose of 1 µg/kg SC.</w:t>
      </w:r>
    </w:p>
    <w:p w:rsidR="006C2F80" w:rsidRPr="006C2F80" w:rsidRDefault="007454CD" w:rsidP="006C2F80">
      <w:r>
        <w:t>The secondary SC S</w:t>
      </w:r>
      <w:r w:rsidR="00227C84" w:rsidRPr="006C2F80">
        <w:t>tudy EP06-101 was supportive of the equivalence of Zarzio and Neupogen with respect to effects on ANC and CD34</w:t>
      </w:r>
      <w:r w:rsidR="00227C84" w:rsidRPr="007454CD">
        <w:rPr>
          <w:vertAlign w:val="superscript"/>
        </w:rPr>
        <w:t>+</w:t>
      </w:r>
      <w:r w:rsidR="00227C84" w:rsidRPr="006C2F80">
        <w:t xml:space="preserve"> cells after admi</w:t>
      </w:r>
      <w:r>
        <w:t xml:space="preserve">nistration </w:t>
      </w:r>
      <w:proofErr w:type="gramStart"/>
      <w:r>
        <w:t>of 10 </w:t>
      </w:r>
      <w:r w:rsidR="00227C84" w:rsidRPr="006C2F80">
        <w:t>µg/kg/day SC</w:t>
      </w:r>
      <w:proofErr w:type="gramEnd"/>
      <w:r w:rsidR="00227C84" w:rsidRPr="006C2F80">
        <w:t xml:space="preserve"> for 7 days.</w:t>
      </w:r>
    </w:p>
    <w:p w:rsidR="006C2F80" w:rsidRPr="006C2F80" w:rsidRDefault="00227C84" w:rsidP="006C2F80">
      <w:r w:rsidRPr="006C2F80">
        <w:t xml:space="preserve">The secondary IV </w:t>
      </w:r>
      <w:r w:rsidR="007454CD">
        <w:t>S</w:t>
      </w:r>
      <w:r w:rsidRPr="006C2F80">
        <w:t xml:space="preserve">tudy EP06-102 (n=24) supported the equivalence of Zarzio and Neupogen with respect to ANC AUEC and </w:t>
      </w:r>
      <w:proofErr w:type="spellStart"/>
      <w:r w:rsidRPr="006C2F80">
        <w:t>E</w:t>
      </w:r>
      <w:r w:rsidRPr="00AA3CEB">
        <w:rPr>
          <w:vertAlign w:val="subscript"/>
        </w:rPr>
        <w:t>m</w:t>
      </w:r>
      <w:r w:rsidR="007454CD" w:rsidRPr="00AA3CEB">
        <w:rPr>
          <w:vertAlign w:val="subscript"/>
        </w:rPr>
        <w:t>ax</w:t>
      </w:r>
      <w:proofErr w:type="spellEnd"/>
      <w:r w:rsidR="007454CD">
        <w:t xml:space="preserve"> following administration of </w:t>
      </w:r>
      <w:r w:rsidRPr="006C2F80">
        <w:t>a single dose of 5 µg/kg IV.</w:t>
      </w:r>
    </w:p>
    <w:p w:rsidR="006C2F80" w:rsidRDefault="00227C84" w:rsidP="006C2F80">
      <w:pPr>
        <w:pStyle w:val="Heading4"/>
      </w:pPr>
      <w:r w:rsidRPr="00227C84">
        <w:t>Efficacy</w:t>
      </w:r>
    </w:p>
    <w:p w:rsidR="006C2F80" w:rsidRPr="006C2F80" w:rsidRDefault="00227C84" w:rsidP="006C2F80">
      <w:r w:rsidRPr="006C2F80">
        <w:t>The efficacy of Zarzio in the prophylaxis of severe neutropenia was demonstrated in patients with locally advanced and metastatic breast cancer being treated with chemotherapy in an uncontrolled trial (EP06-301). The patients were Caucasian women of median age 52 years, range 24-78 years. The chemotherapy was doxorubicin 60 mg/m</w:t>
      </w:r>
      <w:r w:rsidRPr="00EA5B90">
        <w:rPr>
          <w:vertAlign w:val="superscript"/>
        </w:rPr>
        <w:t>2</w:t>
      </w:r>
      <w:r w:rsidRPr="006C2F80">
        <w:t xml:space="preserve"> IV and docetaxel 75 mg/m</w:t>
      </w:r>
      <w:r w:rsidRPr="00EA5B90">
        <w:rPr>
          <w:vertAlign w:val="superscript"/>
        </w:rPr>
        <w:t>2</w:t>
      </w:r>
      <w:r w:rsidRPr="006C2F80">
        <w:t xml:space="preserve"> IV on </w:t>
      </w:r>
      <w:r w:rsidR="00EA5B90">
        <w:t>D</w:t>
      </w:r>
      <w:r w:rsidRPr="006C2F80">
        <w:t xml:space="preserve">ay 1 each 3 weeks for 4 cycles. Zarzio was given from </w:t>
      </w:r>
      <w:r w:rsidR="00EA5B90">
        <w:t>D</w:t>
      </w:r>
      <w:r w:rsidRPr="006C2F80">
        <w:t>ay 2 of each cycle for up to 14 days or until ANC reached 10 x 10</w:t>
      </w:r>
      <w:r w:rsidRPr="00EA5B90">
        <w:rPr>
          <w:vertAlign w:val="superscript"/>
        </w:rPr>
        <w:t>9</w:t>
      </w:r>
      <w:r w:rsidRPr="006C2F80">
        <w:t xml:space="preserve">/L. The dose was </w:t>
      </w:r>
      <w:proofErr w:type="gramStart"/>
      <w:r w:rsidRPr="006C2F80">
        <w:t>300</w:t>
      </w:r>
      <w:r w:rsidR="000D3746">
        <w:t> </w:t>
      </w:r>
      <w:r w:rsidRPr="006C2F80">
        <w:t>µg/day (weight &lt; 60 kg)</w:t>
      </w:r>
      <w:proofErr w:type="gramEnd"/>
      <w:r w:rsidRPr="006C2F80">
        <w:t xml:space="preserve"> or 480 µg/day (weight ≥ 60 kg) administered SC. The mean dose was 6.1 µg/kg/ day, range 3.7-8.4 µg/kg/day, and the mean exposur</w:t>
      </w:r>
      <w:r w:rsidR="0038104C">
        <w:t>e was 31 days, range 6-48 days</w:t>
      </w:r>
      <w:r w:rsidRPr="006C2F80">
        <w:t>.</w:t>
      </w:r>
    </w:p>
    <w:p w:rsidR="006C2F80" w:rsidRPr="006C2F80" w:rsidRDefault="00227C84" w:rsidP="006C2F80">
      <w:r w:rsidRPr="006C2F80">
        <w:t xml:space="preserve">The incidence of severe </w:t>
      </w:r>
      <w:r w:rsidR="00EA5B90">
        <w:t>neutropenia ranged from 47% in C</w:t>
      </w:r>
      <w:r w:rsidRPr="006C2F80">
        <w:t xml:space="preserve">ycle 1 to 18% in </w:t>
      </w:r>
      <w:r w:rsidR="00EA5B90">
        <w:t>C</w:t>
      </w:r>
      <w:r w:rsidRPr="006C2F80">
        <w:t>ycle 4 and the duration of severe neutr</w:t>
      </w:r>
      <w:r w:rsidR="0038104C">
        <w:t xml:space="preserve">openia was about 2 days (Table </w:t>
      </w:r>
      <w:r w:rsidR="00EA04AA">
        <w:t>6</w:t>
      </w:r>
      <w:r w:rsidRPr="006C2F80">
        <w:t>). The ANC nadir was at about day 7 after start of chemotherapy. The incidence of febrile neutropenia (ANC</w:t>
      </w:r>
      <w:r w:rsidR="00EA5B90">
        <w:t xml:space="preserve"> </w:t>
      </w:r>
      <w:r w:rsidRPr="006C2F80">
        <w:t>≤</w:t>
      </w:r>
      <w:r w:rsidR="00EA5B90">
        <w:t xml:space="preserve"> </w:t>
      </w:r>
      <w:r w:rsidRPr="006C2F80">
        <w:t>0.5</w:t>
      </w:r>
      <w:r w:rsidR="00EA5B90">
        <w:t xml:space="preserve"> </w:t>
      </w:r>
      <w:r w:rsidRPr="006C2F80">
        <w:t>x</w:t>
      </w:r>
      <w:r w:rsidR="00EA5B90">
        <w:t xml:space="preserve"> </w:t>
      </w:r>
      <w:r w:rsidRPr="006C2F80">
        <w:t>10</w:t>
      </w:r>
      <w:r w:rsidRPr="00EA5B90">
        <w:rPr>
          <w:vertAlign w:val="superscript"/>
        </w:rPr>
        <w:t>9</w:t>
      </w:r>
      <w:r w:rsidRPr="006C2F80">
        <w:t>/L and body temp</w:t>
      </w:r>
      <w:r w:rsidR="00EA5B90">
        <w:t xml:space="preserve"> </w:t>
      </w:r>
      <w:r w:rsidRPr="006C2F80">
        <w:t>≥</w:t>
      </w:r>
      <w:r w:rsidR="00EA5B90">
        <w:t xml:space="preserve"> </w:t>
      </w:r>
      <w:r w:rsidRPr="006C2F80">
        <w:t xml:space="preserve">38.2°C) was 7.6% in cycle 1 and 8.2% across all cycles and the incidence of infections 2.4% in </w:t>
      </w:r>
      <w:r w:rsidR="00EA5B90">
        <w:t>C</w:t>
      </w:r>
      <w:r w:rsidRPr="006C2F80">
        <w:t>ycle 1 and 8.8% across all cycles. The results were comparable to Neupogen in a similar population.</w:t>
      </w:r>
    </w:p>
    <w:p w:rsidR="00227C84" w:rsidRPr="00227C84" w:rsidRDefault="0038104C" w:rsidP="002C6841">
      <w:pPr>
        <w:pStyle w:val="TableTitle"/>
      </w:pPr>
      <w:proofErr w:type="gramStart"/>
      <w:r>
        <w:t xml:space="preserve">Table </w:t>
      </w:r>
      <w:r w:rsidR="00EA04AA">
        <w:t>6</w:t>
      </w:r>
      <w:r w:rsidR="00EA5B90">
        <w:t>.</w:t>
      </w:r>
      <w:proofErr w:type="gramEnd"/>
      <w:r w:rsidR="00EA5B90">
        <w:t xml:space="preserve"> Severe n</w:t>
      </w:r>
      <w:r w:rsidR="00227C84" w:rsidRPr="00227C84">
        <w:t xml:space="preserve">eutropenia in Trial EP06-301 </w:t>
      </w:r>
    </w:p>
    <w:tbl>
      <w:tblPr>
        <w:tblStyle w:val="TableTGAblue"/>
        <w:tblW w:w="0" w:type="auto"/>
        <w:tblInd w:w="250" w:type="dxa"/>
        <w:tblLook w:val="04A0"/>
      </w:tblPr>
      <w:tblGrid>
        <w:gridCol w:w="1592"/>
        <w:gridCol w:w="1843"/>
        <w:gridCol w:w="1985"/>
        <w:gridCol w:w="1842"/>
      </w:tblGrid>
      <w:tr w:rsidR="00227C84" w:rsidRPr="005F6EC8" w:rsidTr="002C6841">
        <w:trPr>
          <w:cnfStyle w:val="100000000000"/>
          <w:tblHeader/>
        </w:trPr>
        <w:tc>
          <w:tcPr>
            <w:tcW w:w="1592" w:type="dxa"/>
            <w:hideMark/>
          </w:tcPr>
          <w:p w:rsidR="00227C84" w:rsidRPr="002C6841" w:rsidRDefault="00227C84" w:rsidP="00227C84">
            <w:pPr>
              <w:rPr>
                <w:sz w:val="20"/>
                <w:szCs w:val="20"/>
              </w:rPr>
            </w:pPr>
            <w:r w:rsidRPr="002C6841">
              <w:rPr>
                <w:sz w:val="20"/>
                <w:szCs w:val="20"/>
              </w:rPr>
              <w:t>Cycle</w:t>
            </w:r>
          </w:p>
        </w:tc>
        <w:tc>
          <w:tcPr>
            <w:tcW w:w="1843" w:type="dxa"/>
            <w:hideMark/>
          </w:tcPr>
          <w:p w:rsidR="00227C84" w:rsidRPr="002C6841" w:rsidRDefault="00227C84" w:rsidP="00227C84">
            <w:pPr>
              <w:rPr>
                <w:sz w:val="20"/>
                <w:szCs w:val="20"/>
              </w:rPr>
            </w:pPr>
            <w:r w:rsidRPr="002C6841">
              <w:rPr>
                <w:sz w:val="20"/>
                <w:szCs w:val="20"/>
              </w:rPr>
              <w:t>Incidence</w:t>
            </w:r>
          </w:p>
        </w:tc>
        <w:tc>
          <w:tcPr>
            <w:tcW w:w="1985" w:type="dxa"/>
            <w:hideMark/>
          </w:tcPr>
          <w:p w:rsidR="00227C84" w:rsidRPr="002C6841" w:rsidRDefault="00227C84" w:rsidP="00227C84">
            <w:pPr>
              <w:rPr>
                <w:sz w:val="20"/>
                <w:szCs w:val="20"/>
              </w:rPr>
            </w:pPr>
            <w:r w:rsidRPr="002C6841">
              <w:rPr>
                <w:sz w:val="20"/>
                <w:szCs w:val="20"/>
              </w:rPr>
              <w:t>Duration</w:t>
            </w:r>
          </w:p>
          <w:p w:rsidR="00227C84" w:rsidRPr="002C6841" w:rsidRDefault="00227C84" w:rsidP="00227C84">
            <w:pPr>
              <w:rPr>
                <w:sz w:val="20"/>
                <w:szCs w:val="20"/>
              </w:rPr>
            </w:pPr>
            <w:r w:rsidRPr="002C6841">
              <w:rPr>
                <w:sz w:val="20"/>
                <w:szCs w:val="20"/>
              </w:rPr>
              <w:t>mean</w:t>
            </w:r>
            <w:r w:rsidR="00EA04AA" w:rsidRPr="002C6841">
              <w:rPr>
                <w:sz w:val="20"/>
                <w:szCs w:val="20"/>
              </w:rPr>
              <w:sym w:font="Symbol" w:char="F0B1"/>
            </w:r>
            <w:proofErr w:type="spellStart"/>
            <w:r w:rsidRPr="002C6841">
              <w:rPr>
                <w:sz w:val="20"/>
                <w:szCs w:val="20"/>
              </w:rPr>
              <w:t>sd</w:t>
            </w:r>
            <w:proofErr w:type="spellEnd"/>
          </w:p>
          <w:p w:rsidR="00227C84" w:rsidRPr="002C6841" w:rsidRDefault="00227C84" w:rsidP="00227C84">
            <w:pPr>
              <w:rPr>
                <w:sz w:val="20"/>
                <w:szCs w:val="20"/>
              </w:rPr>
            </w:pPr>
            <w:r w:rsidRPr="002C6841">
              <w:rPr>
                <w:sz w:val="20"/>
                <w:szCs w:val="20"/>
              </w:rPr>
              <w:t>days</w:t>
            </w:r>
            <w:r w:rsidRPr="002C6841">
              <w:rPr>
                <w:sz w:val="20"/>
                <w:szCs w:val="20"/>
                <w:vertAlign w:val="superscript"/>
              </w:rPr>
              <w:t>1</w:t>
            </w:r>
          </w:p>
        </w:tc>
        <w:tc>
          <w:tcPr>
            <w:tcW w:w="1842" w:type="dxa"/>
            <w:hideMark/>
          </w:tcPr>
          <w:p w:rsidR="00227C84" w:rsidRPr="002C6841" w:rsidRDefault="00227C84" w:rsidP="00227C84">
            <w:pPr>
              <w:rPr>
                <w:sz w:val="20"/>
                <w:szCs w:val="20"/>
              </w:rPr>
            </w:pPr>
            <w:r w:rsidRPr="002C6841">
              <w:rPr>
                <w:sz w:val="20"/>
                <w:szCs w:val="20"/>
              </w:rPr>
              <w:t>Recovery Time</w:t>
            </w:r>
          </w:p>
          <w:p w:rsidR="00227C84" w:rsidRPr="002C6841" w:rsidRDefault="00227C84" w:rsidP="00227C84">
            <w:pPr>
              <w:rPr>
                <w:sz w:val="20"/>
                <w:szCs w:val="20"/>
              </w:rPr>
            </w:pPr>
            <w:r w:rsidRPr="002C6841">
              <w:rPr>
                <w:sz w:val="20"/>
                <w:szCs w:val="20"/>
              </w:rPr>
              <w:t>mean</w:t>
            </w:r>
            <w:r w:rsidR="00EA04AA" w:rsidRPr="002C6841">
              <w:rPr>
                <w:sz w:val="20"/>
                <w:szCs w:val="20"/>
              </w:rPr>
              <w:sym w:font="Symbol" w:char="F0B1"/>
            </w:r>
            <w:proofErr w:type="spellStart"/>
            <w:r w:rsidRPr="002C6841">
              <w:rPr>
                <w:sz w:val="20"/>
                <w:szCs w:val="20"/>
              </w:rPr>
              <w:t>sd</w:t>
            </w:r>
            <w:proofErr w:type="spellEnd"/>
          </w:p>
          <w:p w:rsidR="00227C84" w:rsidRPr="002C6841" w:rsidRDefault="00227C84" w:rsidP="00227C84">
            <w:pPr>
              <w:rPr>
                <w:sz w:val="20"/>
                <w:szCs w:val="20"/>
              </w:rPr>
            </w:pPr>
            <w:r w:rsidRPr="002C6841">
              <w:rPr>
                <w:sz w:val="20"/>
                <w:szCs w:val="20"/>
              </w:rPr>
              <w:t>days</w:t>
            </w:r>
            <w:r w:rsidRPr="002C6841">
              <w:rPr>
                <w:sz w:val="20"/>
                <w:szCs w:val="20"/>
                <w:vertAlign w:val="superscript"/>
              </w:rPr>
              <w:t>2</w:t>
            </w:r>
          </w:p>
        </w:tc>
      </w:tr>
      <w:tr w:rsidR="00227C84" w:rsidRPr="005F6EC8" w:rsidTr="000D3746">
        <w:tc>
          <w:tcPr>
            <w:tcW w:w="1592" w:type="dxa"/>
            <w:hideMark/>
          </w:tcPr>
          <w:p w:rsidR="00227C84" w:rsidRPr="005F6EC8" w:rsidRDefault="00227C84" w:rsidP="00227C84">
            <w:pPr>
              <w:rPr>
                <w:sz w:val="20"/>
                <w:szCs w:val="20"/>
              </w:rPr>
            </w:pPr>
            <w:r w:rsidRPr="005F6EC8">
              <w:rPr>
                <w:sz w:val="20"/>
                <w:szCs w:val="20"/>
              </w:rPr>
              <w:t>1</w:t>
            </w:r>
          </w:p>
        </w:tc>
        <w:tc>
          <w:tcPr>
            <w:tcW w:w="1843" w:type="dxa"/>
            <w:hideMark/>
          </w:tcPr>
          <w:p w:rsidR="00227C84" w:rsidRPr="005F6EC8" w:rsidRDefault="00227C84" w:rsidP="00227C84">
            <w:pPr>
              <w:rPr>
                <w:sz w:val="20"/>
                <w:szCs w:val="20"/>
              </w:rPr>
            </w:pPr>
            <w:r w:rsidRPr="005F6EC8">
              <w:rPr>
                <w:sz w:val="20"/>
                <w:szCs w:val="20"/>
              </w:rPr>
              <w:t>80/170 (47%)</w:t>
            </w:r>
          </w:p>
        </w:tc>
        <w:tc>
          <w:tcPr>
            <w:tcW w:w="1985" w:type="dxa"/>
            <w:hideMark/>
          </w:tcPr>
          <w:p w:rsidR="00227C84" w:rsidRPr="005F6EC8" w:rsidRDefault="00227C84" w:rsidP="00227C84">
            <w:pPr>
              <w:rPr>
                <w:sz w:val="20"/>
                <w:szCs w:val="20"/>
              </w:rPr>
            </w:pPr>
            <w:r w:rsidRPr="005F6EC8">
              <w:rPr>
                <w:sz w:val="20"/>
                <w:szCs w:val="20"/>
              </w:rPr>
              <w:t>1.8±1.4</w:t>
            </w:r>
          </w:p>
        </w:tc>
        <w:tc>
          <w:tcPr>
            <w:tcW w:w="1842" w:type="dxa"/>
            <w:hideMark/>
          </w:tcPr>
          <w:p w:rsidR="00227C84" w:rsidRPr="005F6EC8" w:rsidRDefault="00227C84" w:rsidP="00227C84">
            <w:pPr>
              <w:rPr>
                <w:sz w:val="20"/>
                <w:szCs w:val="20"/>
              </w:rPr>
            </w:pPr>
            <w:r w:rsidRPr="005F6EC8">
              <w:rPr>
                <w:sz w:val="20"/>
                <w:szCs w:val="20"/>
              </w:rPr>
              <w:t>2.2±0.9</w:t>
            </w:r>
          </w:p>
        </w:tc>
      </w:tr>
      <w:tr w:rsidR="00227C84" w:rsidRPr="005F6EC8" w:rsidTr="000D3746">
        <w:tc>
          <w:tcPr>
            <w:tcW w:w="1592" w:type="dxa"/>
            <w:hideMark/>
          </w:tcPr>
          <w:p w:rsidR="00227C84" w:rsidRPr="005F6EC8" w:rsidRDefault="00227C84" w:rsidP="00227C84">
            <w:pPr>
              <w:rPr>
                <w:sz w:val="20"/>
                <w:szCs w:val="20"/>
              </w:rPr>
            </w:pPr>
            <w:r w:rsidRPr="005F6EC8">
              <w:rPr>
                <w:sz w:val="20"/>
                <w:szCs w:val="20"/>
              </w:rPr>
              <w:t>2</w:t>
            </w:r>
          </w:p>
        </w:tc>
        <w:tc>
          <w:tcPr>
            <w:tcW w:w="1843" w:type="dxa"/>
            <w:hideMark/>
          </w:tcPr>
          <w:p w:rsidR="00227C84" w:rsidRPr="005F6EC8" w:rsidRDefault="00227C84" w:rsidP="00227C84">
            <w:pPr>
              <w:rPr>
                <w:sz w:val="20"/>
                <w:szCs w:val="20"/>
              </w:rPr>
            </w:pPr>
            <w:r w:rsidRPr="005F6EC8">
              <w:rPr>
                <w:sz w:val="20"/>
                <w:szCs w:val="20"/>
              </w:rPr>
              <w:t>25/162 (15%)</w:t>
            </w:r>
          </w:p>
        </w:tc>
        <w:tc>
          <w:tcPr>
            <w:tcW w:w="1985" w:type="dxa"/>
            <w:hideMark/>
          </w:tcPr>
          <w:p w:rsidR="00227C84" w:rsidRPr="005F6EC8" w:rsidRDefault="00227C84" w:rsidP="00227C84">
            <w:pPr>
              <w:rPr>
                <w:sz w:val="20"/>
                <w:szCs w:val="20"/>
              </w:rPr>
            </w:pPr>
            <w:r w:rsidRPr="005F6EC8">
              <w:rPr>
                <w:sz w:val="20"/>
                <w:szCs w:val="20"/>
              </w:rPr>
              <w:t>1.3±0.5</w:t>
            </w:r>
          </w:p>
        </w:tc>
        <w:tc>
          <w:tcPr>
            <w:tcW w:w="1842" w:type="dxa"/>
            <w:hideMark/>
          </w:tcPr>
          <w:p w:rsidR="00227C84" w:rsidRPr="005F6EC8" w:rsidRDefault="00227C84" w:rsidP="00227C84">
            <w:pPr>
              <w:rPr>
                <w:sz w:val="20"/>
                <w:szCs w:val="20"/>
              </w:rPr>
            </w:pPr>
            <w:r w:rsidRPr="005F6EC8">
              <w:rPr>
                <w:sz w:val="20"/>
                <w:szCs w:val="20"/>
              </w:rPr>
              <w:t>1.8±0.6</w:t>
            </w:r>
          </w:p>
        </w:tc>
      </w:tr>
      <w:tr w:rsidR="00227C84" w:rsidRPr="005F6EC8" w:rsidTr="000D3746">
        <w:tc>
          <w:tcPr>
            <w:tcW w:w="1592" w:type="dxa"/>
            <w:hideMark/>
          </w:tcPr>
          <w:p w:rsidR="00227C84" w:rsidRPr="005F6EC8" w:rsidRDefault="00227C84" w:rsidP="00227C84">
            <w:pPr>
              <w:rPr>
                <w:sz w:val="20"/>
                <w:szCs w:val="20"/>
              </w:rPr>
            </w:pPr>
            <w:r w:rsidRPr="005F6EC8">
              <w:rPr>
                <w:sz w:val="20"/>
                <w:szCs w:val="20"/>
              </w:rPr>
              <w:t>3</w:t>
            </w:r>
          </w:p>
        </w:tc>
        <w:tc>
          <w:tcPr>
            <w:tcW w:w="1843" w:type="dxa"/>
            <w:hideMark/>
          </w:tcPr>
          <w:p w:rsidR="00227C84" w:rsidRPr="005F6EC8" w:rsidRDefault="00227C84" w:rsidP="00227C84">
            <w:pPr>
              <w:rPr>
                <w:sz w:val="20"/>
                <w:szCs w:val="20"/>
              </w:rPr>
            </w:pPr>
            <w:r w:rsidRPr="005F6EC8">
              <w:rPr>
                <w:sz w:val="20"/>
                <w:szCs w:val="20"/>
              </w:rPr>
              <w:t>33/159 (21%)</w:t>
            </w:r>
          </w:p>
        </w:tc>
        <w:tc>
          <w:tcPr>
            <w:tcW w:w="1985" w:type="dxa"/>
            <w:hideMark/>
          </w:tcPr>
          <w:p w:rsidR="00227C84" w:rsidRPr="005F6EC8" w:rsidRDefault="00227C84" w:rsidP="00227C84">
            <w:pPr>
              <w:rPr>
                <w:sz w:val="20"/>
                <w:szCs w:val="20"/>
              </w:rPr>
            </w:pPr>
            <w:r w:rsidRPr="005F6EC8">
              <w:rPr>
                <w:sz w:val="20"/>
                <w:szCs w:val="20"/>
              </w:rPr>
              <w:t>1.4±0.6</w:t>
            </w:r>
          </w:p>
        </w:tc>
        <w:tc>
          <w:tcPr>
            <w:tcW w:w="1842" w:type="dxa"/>
            <w:hideMark/>
          </w:tcPr>
          <w:p w:rsidR="00227C84" w:rsidRPr="005F6EC8" w:rsidRDefault="00227C84" w:rsidP="00227C84">
            <w:pPr>
              <w:rPr>
                <w:sz w:val="20"/>
                <w:szCs w:val="20"/>
              </w:rPr>
            </w:pPr>
            <w:r w:rsidRPr="005F6EC8">
              <w:rPr>
                <w:sz w:val="20"/>
                <w:szCs w:val="20"/>
              </w:rPr>
              <w:t>1.9±0.9</w:t>
            </w:r>
          </w:p>
        </w:tc>
      </w:tr>
      <w:tr w:rsidR="00227C84" w:rsidRPr="005F6EC8" w:rsidTr="000D3746">
        <w:tc>
          <w:tcPr>
            <w:tcW w:w="1592" w:type="dxa"/>
            <w:hideMark/>
          </w:tcPr>
          <w:p w:rsidR="00227C84" w:rsidRPr="005F6EC8" w:rsidRDefault="00227C84" w:rsidP="00227C84">
            <w:pPr>
              <w:rPr>
                <w:sz w:val="20"/>
                <w:szCs w:val="20"/>
              </w:rPr>
            </w:pPr>
            <w:r w:rsidRPr="005F6EC8">
              <w:rPr>
                <w:sz w:val="20"/>
                <w:szCs w:val="20"/>
              </w:rPr>
              <w:t>4</w:t>
            </w:r>
          </w:p>
        </w:tc>
        <w:tc>
          <w:tcPr>
            <w:tcW w:w="1843" w:type="dxa"/>
            <w:hideMark/>
          </w:tcPr>
          <w:p w:rsidR="00227C84" w:rsidRPr="005F6EC8" w:rsidRDefault="00227C84" w:rsidP="00227C84">
            <w:pPr>
              <w:rPr>
                <w:sz w:val="20"/>
                <w:szCs w:val="20"/>
              </w:rPr>
            </w:pPr>
            <w:r w:rsidRPr="005F6EC8">
              <w:rPr>
                <w:sz w:val="20"/>
                <w:szCs w:val="20"/>
              </w:rPr>
              <w:t>27/154 (18%)</w:t>
            </w:r>
          </w:p>
        </w:tc>
        <w:tc>
          <w:tcPr>
            <w:tcW w:w="1985" w:type="dxa"/>
            <w:hideMark/>
          </w:tcPr>
          <w:p w:rsidR="00227C84" w:rsidRPr="005F6EC8" w:rsidRDefault="00227C84" w:rsidP="00227C84">
            <w:pPr>
              <w:rPr>
                <w:sz w:val="20"/>
                <w:szCs w:val="20"/>
              </w:rPr>
            </w:pPr>
            <w:r w:rsidRPr="005F6EC8">
              <w:rPr>
                <w:sz w:val="20"/>
                <w:szCs w:val="20"/>
              </w:rPr>
              <w:t>1.7±0.6</w:t>
            </w:r>
          </w:p>
        </w:tc>
        <w:tc>
          <w:tcPr>
            <w:tcW w:w="1842" w:type="dxa"/>
            <w:hideMark/>
          </w:tcPr>
          <w:p w:rsidR="00227C84" w:rsidRPr="005F6EC8" w:rsidRDefault="00227C84" w:rsidP="00227C84">
            <w:pPr>
              <w:rPr>
                <w:sz w:val="20"/>
                <w:szCs w:val="20"/>
              </w:rPr>
            </w:pPr>
            <w:r w:rsidRPr="005F6EC8">
              <w:rPr>
                <w:sz w:val="20"/>
                <w:szCs w:val="20"/>
              </w:rPr>
              <w:t>2.1±0.8</w:t>
            </w:r>
          </w:p>
        </w:tc>
      </w:tr>
    </w:tbl>
    <w:p w:rsidR="00EA04AA" w:rsidRDefault="00227C84" w:rsidP="002C6841">
      <w:pPr>
        <w:pStyle w:val="TableDescription"/>
        <w:rPr>
          <w:vertAlign w:val="superscript"/>
        </w:rPr>
      </w:pPr>
      <w:proofErr w:type="gramStart"/>
      <w:r w:rsidRPr="000D3746">
        <w:rPr>
          <w:vertAlign w:val="superscript"/>
        </w:rPr>
        <w:t>1</w:t>
      </w:r>
      <w:r w:rsidRPr="000D3746">
        <w:t xml:space="preserve"> Number of consecutive days with ANC &lt; 0.5 x 10</w:t>
      </w:r>
      <w:r w:rsidRPr="000D3746">
        <w:rPr>
          <w:vertAlign w:val="superscript"/>
        </w:rPr>
        <w:t>9</w:t>
      </w:r>
      <w:r w:rsidRPr="000D3746">
        <w:t>/L.</w:t>
      </w:r>
      <w:proofErr w:type="gramEnd"/>
    </w:p>
    <w:p w:rsidR="006C2F80" w:rsidRPr="000D3746" w:rsidRDefault="00227C84" w:rsidP="002C6841">
      <w:pPr>
        <w:pStyle w:val="TableDescription"/>
      </w:pPr>
      <w:r w:rsidRPr="000D3746">
        <w:rPr>
          <w:vertAlign w:val="superscript"/>
        </w:rPr>
        <w:t>2</w:t>
      </w:r>
      <w:r w:rsidRPr="000D3746">
        <w:t xml:space="preserve"> Number of days from the first day with ANC &lt; 0.5 x 10</w:t>
      </w:r>
      <w:r w:rsidRPr="000D3746">
        <w:rPr>
          <w:vertAlign w:val="superscript"/>
        </w:rPr>
        <w:t>9</w:t>
      </w:r>
      <w:r w:rsidR="000D3746">
        <w:t xml:space="preserve">/L to the first day with ANC ≥ </w:t>
      </w:r>
      <w:r w:rsidRPr="000D3746">
        <w:t>1.0 x 10</w:t>
      </w:r>
      <w:r w:rsidRPr="000D3746">
        <w:rPr>
          <w:vertAlign w:val="superscript"/>
        </w:rPr>
        <w:t>9</w:t>
      </w:r>
      <w:r w:rsidRPr="000D3746">
        <w:t>/L.</w:t>
      </w:r>
    </w:p>
    <w:p w:rsidR="006C2F80" w:rsidRPr="006C2F80" w:rsidRDefault="00227C84" w:rsidP="002C6841">
      <w:r w:rsidRPr="006C2F80">
        <w:t>The E</w:t>
      </w:r>
      <w:r w:rsidR="00EA5B90">
        <w:t xml:space="preserve">MA </w:t>
      </w:r>
      <w:r w:rsidRPr="006C2F80">
        <w:t xml:space="preserve">accepted the uncontrolled trial together with the </w:t>
      </w:r>
      <w:r w:rsidR="00EA5B90">
        <w:t xml:space="preserve">PD </w:t>
      </w:r>
      <w:r w:rsidRPr="006C2F80">
        <w:t>studies in healthy volunteers as sufficient evidence of efficacy based on the following:</w:t>
      </w:r>
    </w:p>
    <w:p w:rsidR="00227C84" w:rsidRPr="006C2F80" w:rsidRDefault="00227C84" w:rsidP="000D3746">
      <w:pPr>
        <w:pStyle w:val="ListBullet"/>
      </w:pPr>
      <w:r w:rsidRPr="006C2F80">
        <w:t>The mechanism of action and pharmacological properties of recombinant hum</w:t>
      </w:r>
      <w:r w:rsidR="00EA5B90">
        <w:t>an G</w:t>
      </w:r>
      <w:r w:rsidR="00EA5B90">
        <w:noBreakHyphen/>
      </w:r>
      <w:r w:rsidRPr="006C2F80">
        <w:t xml:space="preserve">CSF are fundamentally the same in healthy volunteers and </w:t>
      </w:r>
      <w:r w:rsidR="00EA5B90" w:rsidRPr="006C2F80">
        <w:t>neutropenia</w:t>
      </w:r>
      <w:r w:rsidRPr="006C2F80">
        <w:t xml:space="preserve"> patients</w:t>
      </w:r>
    </w:p>
    <w:p w:rsidR="00227C84" w:rsidRPr="006C2F80" w:rsidRDefault="00227C84" w:rsidP="000D3746">
      <w:pPr>
        <w:pStyle w:val="ListBullet"/>
      </w:pPr>
      <w:r w:rsidRPr="006C2F80">
        <w:t xml:space="preserve">There was a dose-response relationship between the Zarzio dose and ANC response in one of the </w:t>
      </w:r>
      <w:r w:rsidR="00EA5B90">
        <w:t xml:space="preserve">PD </w:t>
      </w:r>
      <w:r w:rsidRPr="006C2F80">
        <w:t>studies (EP06-103) and</w:t>
      </w:r>
    </w:p>
    <w:p w:rsidR="006C2F80" w:rsidRPr="006C2F80" w:rsidRDefault="00227C84" w:rsidP="000D3746">
      <w:pPr>
        <w:pStyle w:val="ListBullet"/>
      </w:pPr>
      <w:r w:rsidRPr="006C2F80">
        <w:t>ANC is an acceptable surrogate marker.</w:t>
      </w:r>
    </w:p>
    <w:p w:rsidR="006C2F80" w:rsidRPr="006C2F80" w:rsidRDefault="00227C84" w:rsidP="006C2F80">
      <w:r w:rsidRPr="006C2F80">
        <w:lastRenderedPageBreak/>
        <w:t>Under the EU guidelines, efficacy in the prophylaxis of severe neutropenia is sufficient to extrapolate to the other indications since the mechanism of action is the same.</w:t>
      </w:r>
    </w:p>
    <w:p w:rsidR="006C2F80" w:rsidRDefault="00227C84" w:rsidP="006C2F80">
      <w:pPr>
        <w:pStyle w:val="Heading4"/>
      </w:pPr>
      <w:r w:rsidRPr="00227C84">
        <w:t>Safety</w:t>
      </w:r>
    </w:p>
    <w:p w:rsidR="006C2F80" w:rsidRPr="006C2F80" w:rsidRDefault="00227C84" w:rsidP="006C2F80">
      <w:r w:rsidRPr="006C2F80">
        <w:t>Safety data was available from the four pharmacological studies in healthy volunteers (n=146) and the study in patients receiving chemotherapy (n=170). The dose of Zarzio was 1-10 µg/kg/day for 1-7 days in healthy volunteers and 4-8 µg/kg/day for a mean of 31 days in patients. The safety of Zarzio was comparable with Neupogen. Musculoskeletal pain was common in both healthy volunteers and patients. Elevations of liver enzymes in patients are likely related to the disease and chemotherapy.</w:t>
      </w:r>
    </w:p>
    <w:p w:rsidR="00227C84" w:rsidRPr="006C2F80" w:rsidRDefault="00227C84" w:rsidP="006C2F80">
      <w:r w:rsidRPr="006C2F80">
        <w:t>Anti-</w:t>
      </w:r>
      <w:proofErr w:type="spellStart"/>
      <w:r w:rsidRPr="006C2F80">
        <w:t>rhG</w:t>
      </w:r>
      <w:proofErr w:type="spellEnd"/>
      <w:r w:rsidRPr="006C2F80">
        <w:t>-CSF antibodies were not detected. They were ass</w:t>
      </w:r>
      <w:r w:rsidR="0038104C">
        <w:t xml:space="preserve">essed at baseline and 10 weeks </w:t>
      </w:r>
      <w:r w:rsidRPr="006C2F80">
        <w:t>in three of the healthy volunteer trials</w:t>
      </w:r>
      <w:r w:rsidR="00EA5B90">
        <w:t>:</w:t>
      </w:r>
      <w:r w:rsidRPr="006C2F80">
        <w:t xml:space="preserve"> EP06-101, EP06-103 and EP06-105 (n=120)</w:t>
      </w:r>
      <w:r w:rsidR="00EA5B90">
        <w:t>;</w:t>
      </w:r>
      <w:r w:rsidRPr="006C2F80">
        <w:t xml:space="preserve"> and at baseli</w:t>
      </w:r>
      <w:r w:rsidR="00EA5B90">
        <w:t>ne and 3 months in the patient T</w:t>
      </w:r>
      <w:r w:rsidRPr="006C2F80">
        <w:t>rial EP06-301 (n=170).</w:t>
      </w:r>
    </w:p>
    <w:p w:rsidR="00227C84" w:rsidRPr="00227C84" w:rsidRDefault="00227C84" w:rsidP="00227C84">
      <w:pPr>
        <w:pStyle w:val="Heading5"/>
      </w:pPr>
      <w:r>
        <w:t>C</w:t>
      </w:r>
      <w:r w:rsidRPr="00227C84">
        <w:t xml:space="preserve">linical </w:t>
      </w:r>
      <w:r>
        <w:t xml:space="preserve">evaluator’s </w:t>
      </w:r>
      <w:r w:rsidRPr="00227C84">
        <w:t>recommendation</w:t>
      </w:r>
    </w:p>
    <w:p w:rsidR="008E7846" w:rsidRDefault="00227C84" w:rsidP="008E7846">
      <w:r w:rsidRPr="00227C84">
        <w:t>The evaluator supported registration.</w:t>
      </w:r>
    </w:p>
    <w:p w:rsidR="008E7846" w:rsidRDefault="00386150" w:rsidP="008E7846">
      <w:pPr>
        <w:pStyle w:val="Heading3"/>
        <w:rPr>
          <w:lang w:eastAsia="en-AU"/>
        </w:rPr>
      </w:pPr>
      <w:bookmarkStart w:id="161" w:name="_Toc314842514"/>
      <w:bookmarkStart w:id="162" w:name="_Toc368569805"/>
      <w:r>
        <w:rPr>
          <w:lang w:eastAsia="en-AU"/>
        </w:rPr>
        <w:t>Risk m</w:t>
      </w:r>
      <w:r w:rsidR="008E7846">
        <w:rPr>
          <w:lang w:eastAsia="en-AU"/>
        </w:rPr>
        <w:t xml:space="preserve">anagement </w:t>
      </w:r>
      <w:r>
        <w:rPr>
          <w:lang w:eastAsia="en-AU"/>
        </w:rPr>
        <w:t>p</w:t>
      </w:r>
      <w:r w:rsidR="008E7846">
        <w:rPr>
          <w:lang w:eastAsia="en-AU"/>
        </w:rPr>
        <w:t>lan</w:t>
      </w:r>
      <w:bookmarkEnd w:id="161"/>
      <w:bookmarkEnd w:id="162"/>
    </w:p>
    <w:p w:rsidR="006C2F80" w:rsidRPr="006C2F80" w:rsidRDefault="00227C84" w:rsidP="006C2F80">
      <w:r w:rsidRPr="006C2F80">
        <w:t xml:space="preserve">The nonclinical and clinical evaluators concluded that the safety profile of Zarzio was consistent with the known safety profile of Neupogen. Therefore, the </w:t>
      </w:r>
      <w:r w:rsidR="00EA5B90">
        <w:t xml:space="preserve">SS </w:t>
      </w:r>
      <w:r w:rsidRPr="006C2F80">
        <w:t>is adequate.</w:t>
      </w:r>
    </w:p>
    <w:p w:rsidR="00227C84" w:rsidRPr="006C2F80" w:rsidRDefault="00227C84" w:rsidP="006C2F80">
      <w:r w:rsidRPr="006C2F80">
        <w:t xml:space="preserve">The proposed </w:t>
      </w:r>
      <w:r w:rsidR="001A2FD9">
        <w:t xml:space="preserve">RMP </w:t>
      </w:r>
      <w:r w:rsidRPr="006C2F80">
        <w:t>was acceptable.</w:t>
      </w:r>
      <w:r w:rsidR="001A2FD9">
        <w:t xml:space="preserve"> </w:t>
      </w:r>
      <w:r w:rsidRPr="006C2F80">
        <w:t xml:space="preserve">The evaluator recommended the </w:t>
      </w:r>
      <w:r w:rsidR="00EA5B90">
        <w:t xml:space="preserve">implementation of the </w:t>
      </w:r>
      <w:r w:rsidR="001A2FD9">
        <w:t xml:space="preserve">latest </w:t>
      </w:r>
      <w:r w:rsidR="00EA5B90">
        <w:t xml:space="preserve">RMP </w:t>
      </w:r>
      <w:r w:rsidRPr="006C2F80">
        <w:t xml:space="preserve">and </w:t>
      </w:r>
      <w:r w:rsidR="001A2FD9">
        <w:t>provision</w:t>
      </w:r>
      <w:r w:rsidR="00EA5B90">
        <w:t xml:space="preserve"> </w:t>
      </w:r>
      <w:r w:rsidR="001A2FD9">
        <w:t xml:space="preserve">of </w:t>
      </w:r>
      <w:r w:rsidR="00EA5B90">
        <w:t xml:space="preserve">PRURs </w:t>
      </w:r>
      <w:r w:rsidRPr="006C2F80">
        <w:t>as conditions of registrati</w:t>
      </w:r>
      <w:r w:rsidR="0038104C">
        <w:t>on</w:t>
      </w:r>
      <w:r w:rsidRPr="006C2F80">
        <w:t>.</w:t>
      </w:r>
    </w:p>
    <w:p w:rsidR="008E7846" w:rsidRDefault="00AA0ED0" w:rsidP="008E7846">
      <w:pPr>
        <w:pStyle w:val="Heading3"/>
      </w:pPr>
      <w:bookmarkStart w:id="163" w:name="_Toc247691531"/>
      <w:bookmarkStart w:id="164" w:name="_Toc314842515"/>
      <w:bookmarkStart w:id="165" w:name="_Toc368569806"/>
      <w:bookmarkStart w:id="166" w:name="_Toc196046505"/>
      <w:bookmarkStart w:id="167" w:name="_Toc196046949"/>
      <w:r>
        <w:t>Risk-benefit a</w:t>
      </w:r>
      <w:r w:rsidR="008E7846">
        <w:t>nalysis</w:t>
      </w:r>
      <w:bookmarkEnd w:id="163"/>
      <w:bookmarkEnd w:id="164"/>
      <w:bookmarkEnd w:id="165"/>
    </w:p>
    <w:p w:rsidR="008E7846" w:rsidRDefault="008E7846" w:rsidP="008E7846">
      <w:pPr>
        <w:pStyle w:val="Heading4"/>
      </w:pPr>
      <w:r>
        <w:t xml:space="preserve">Delegate </w:t>
      </w:r>
      <w:r w:rsidR="00ED3CAD">
        <w:t>c</w:t>
      </w:r>
      <w:r>
        <w:t>onsiderations</w:t>
      </w:r>
    </w:p>
    <w:p w:rsidR="006C2F80" w:rsidRPr="006C2F80" w:rsidRDefault="00227C84" w:rsidP="006C2F80">
      <w:r w:rsidRPr="006C2F80">
        <w:t xml:space="preserve">Zarzio and Neupogen have similar </w:t>
      </w:r>
      <w:r w:rsidR="00EA5B90">
        <w:t xml:space="preserve">PK </w:t>
      </w:r>
      <w:r w:rsidRPr="006C2F80">
        <w:t xml:space="preserve">and </w:t>
      </w:r>
      <w:r w:rsidR="00EA5B90">
        <w:t xml:space="preserve">PD </w:t>
      </w:r>
      <w:r w:rsidRPr="006C2F80">
        <w:t xml:space="preserve">characteristics. However, it was not clear if the comparator Neupogen was the same as the Australian-registered product. There were also problems with the assay. Therefore, it was concluded that bioequivalence was </w:t>
      </w:r>
      <w:r w:rsidRPr="00AA3CEB">
        <w:t xml:space="preserve">not </w:t>
      </w:r>
      <w:r w:rsidRPr="006C2F80">
        <w:t>established.</w:t>
      </w:r>
    </w:p>
    <w:p w:rsidR="006C2F80" w:rsidRPr="00EA5B90" w:rsidRDefault="00EA5B90" w:rsidP="00EA5B90">
      <w:pPr>
        <w:rPr>
          <w:b/>
        </w:rPr>
      </w:pPr>
      <w:r w:rsidRPr="00EA5B90">
        <w:rPr>
          <w:b/>
        </w:rPr>
        <w:t xml:space="preserve">In the response to the Delegate’s overview, the </w:t>
      </w:r>
      <w:r w:rsidR="001E38B8">
        <w:rPr>
          <w:b/>
        </w:rPr>
        <w:t>sponsor wa</w:t>
      </w:r>
      <w:r w:rsidR="00227C84" w:rsidRPr="00EA5B90">
        <w:rPr>
          <w:b/>
        </w:rPr>
        <w:t xml:space="preserve">s requested to state if there are likely to be any differences between the Neupogen used in the trials and Australian-registered Neupogen and the basis of their assessment. If there are likely </w:t>
      </w:r>
      <w:r w:rsidR="001E38B8">
        <w:rPr>
          <w:b/>
        </w:rPr>
        <w:t>to be differences, the sponsor wa</w:t>
      </w:r>
      <w:r w:rsidR="00227C84" w:rsidRPr="00EA5B90">
        <w:rPr>
          <w:b/>
        </w:rPr>
        <w:t xml:space="preserve">s requested to comment on the likely impact on </w:t>
      </w:r>
      <w:r w:rsidRPr="00EA5B90">
        <w:rPr>
          <w:b/>
        </w:rPr>
        <w:t>PD</w:t>
      </w:r>
      <w:r w:rsidR="00227C84" w:rsidRPr="00EA5B90">
        <w:rPr>
          <w:b/>
        </w:rPr>
        <w:t>, efficacy and safety.</w:t>
      </w:r>
    </w:p>
    <w:p w:rsidR="006C2F80" w:rsidRPr="006C2F80" w:rsidRDefault="00227C84" w:rsidP="006C2F80">
      <w:r w:rsidRPr="006C2F80">
        <w:t xml:space="preserve">Pharmacodynamic equivalence based on ANC AUEC and </w:t>
      </w:r>
      <w:proofErr w:type="spellStart"/>
      <w:r w:rsidRPr="006C2F80">
        <w:t>E</w:t>
      </w:r>
      <w:r w:rsidRPr="00AA3CEB">
        <w:rPr>
          <w:vertAlign w:val="subscript"/>
        </w:rPr>
        <w:t>max</w:t>
      </w:r>
      <w:proofErr w:type="spellEnd"/>
      <w:r w:rsidRPr="006C2F80">
        <w:t xml:space="preserve"> was seen in all 4 trials. Equivalence on another measure, CD34</w:t>
      </w:r>
      <w:r w:rsidRPr="00EA5B90">
        <w:rPr>
          <w:vertAlign w:val="superscript"/>
        </w:rPr>
        <w:t>+</w:t>
      </w:r>
      <w:r w:rsidRPr="006C2F80">
        <w:t xml:space="preserve"> cells AUEC</w:t>
      </w:r>
      <w:r w:rsidR="00AA3CEB">
        <w:t>,</w:t>
      </w:r>
      <w:r w:rsidRPr="006C2F80">
        <w:t xml:space="preserve"> was seen in both the trials in which it was assessed (EP06-101, EP06-103) and CD34</w:t>
      </w:r>
      <w:r w:rsidRPr="00EA5B90">
        <w:rPr>
          <w:vertAlign w:val="superscript"/>
        </w:rPr>
        <w:t>+</w:t>
      </w:r>
      <w:r w:rsidRPr="006C2F80">
        <w:t xml:space="preserve"> cells </w:t>
      </w:r>
      <w:proofErr w:type="spellStart"/>
      <w:r w:rsidRPr="006C2F80">
        <w:t>E</w:t>
      </w:r>
      <w:r w:rsidRPr="00AA3CEB">
        <w:rPr>
          <w:vertAlign w:val="subscript"/>
        </w:rPr>
        <w:t>max</w:t>
      </w:r>
      <w:proofErr w:type="spellEnd"/>
      <w:r w:rsidRPr="006C2F80">
        <w:t xml:space="preserve"> in one of the two trials in which it was assessed (EP06-101). Therefore, it is likely that the effects of Zarzio and Neupogen on neutrophils and CD34</w:t>
      </w:r>
      <w:r w:rsidRPr="00EA5B90">
        <w:rPr>
          <w:vertAlign w:val="superscript"/>
        </w:rPr>
        <w:t>+</w:t>
      </w:r>
      <w:r w:rsidRPr="006C2F80">
        <w:t xml:space="preserve"> cells are similar (assuming no differences between the Neupogen used in the trials and Australian-registered Neupogen).</w:t>
      </w:r>
    </w:p>
    <w:p w:rsidR="006C2F80" w:rsidRPr="006C2F80" w:rsidRDefault="00227C84" w:rsidP="006C2F80">
      <w:r w:rsidRPr="006C2F80">
        <w:t xml:space="preserve">The efficacy of Zarzio in the prophylaxis of severe neutropenia in patients with breast cancer treated with chemotherapy was assessed in an uncontrolled trial (EP06-301). Based on comparison with available data for Neupogen, the efficacy of Zarzio and Neupogen appeared similar. The EU guideline specifies a controlled trial as the normal approach for the assessment of efficacy. However, there is scope for alternative approaches. The sponsor’s approach of an uncontrolled trial plus reliance on the </w:t>
      </w:r>
      <w:r w:rsidR="005E12B7">
        <w:t xml:space="preserve">PD </w:t>
      </w:r>
      <w:r w:rsidRPr="006C2F80">
        <w:t xml:space="preserve">data was accepted by the </w:t>
      </w:r>
      <w:r w:rsidR="005E12B7">
        <w:t>EMA</w:t>
      </w:r>
      <w:r w:rsidRPr="006C2F80">
        <w:t xml:space="preserve">. </w:t>
      </w:r>
      <w:r w:rsidR="005E12B7">
        <w:t xml:space="preserve">The Delegate </w:t>
      </w:r>
      <w:r w:rsidRPr="006C2F80">
        <w:t>accept</w:t>
      </w:r>
      <w:r w:rsidR="001E38B8">
        <w:t>ed</w:t>
      </w:r>
      <w:r w:rsidRPr="006C2F80">
        <w:t xml:space="preserve"> the alternative approach and conclude</w:t>
      </w:r>
      <w:r w:rsidR="001E38B8">
        <w:t>d</w:t>
      </w:r>
      <w:r w:rsidRPr="006C2F80">
        <w:t xml:space="preserve"> </w:t>
      </w:r>
      <w:r w:rsidRPr="006C2F80">
        <w:lastRenderedPageBreak/>
        <w:t xml:space="preserve">that the efficacy of Zarzio in the prophylaxis of severe </w:t>
      </w:r>
      <w:proofErr w:type="spellStart"/>
      <w:r w:rsidRPr="006C2F80">
        <w:t>neutropenia</w:t>
      </w:r>
      <w:proofErr w:type="spellEnd"/>
      <w:r w:rsidRPr="006C2F80">
        <w:t xml:space="preserve"> ha</w:t>
      </w:r>
      <w:r w:rsidR="001E38B8">
        <w:t>d</w:t>
      </w:r>
      <w:r w:rsidR="002C6841">
        <w:t xml:space="preserve"> been demonstrated.</w:t>
      </w:r>
    </w:p>
    <w:p w:rsidR="006C2F80" w:rsidRPr="006C2F80" w:rsidRDefault="00227C84" w:rsidP="006C2F80">
      <w:r w:rsidRPr="006C2F80">
        <w:t xml:space="preserve">The trial used a different dosage regimen for Zarzio than that recommended in the </w:t>
      </w:r>
      <w:r w:rsidR="005E12B7">
        <w:t>PI</w:t>
      </w:r>
      <w:r w:rsidRPr="006C2F80">
        <w:t>. However, this was not a significant issue since dosage is titrated to response.</w:t>
      </w:r>
    </w:p>
    <w:p w:rsidR="006C2F80" w:rsidRPr="006C2F80" w:rsidRDefault="0038104C" w:rsidP="006C2F80">
      <w:r>
        <w:t>The Delegate</w:t>
      </w:r>
      <w:r w:rsidR="00227C84" w:rsidRPr="006C2F80">
        <w:t xml:space="preserve"> support</w:t>
      </w:r>
      <w:r>
        <w:t>s</w:t>
      </w:r>
      <w:r w:rsidR="00227C84" w:rsidRPr="006C2F80">
        <w:t xml:space="preserve"> extrapolation of efficacy in prophylaxis of severe neutropenia to the other indications in accordance with the EU guidelines.</w:t>
      </w:r>
    </w:p>
    <w:p w:rsidR="006C2F80" w:rsidRPr="006C2F80" w:rsidRDefault="00227C84" w:rsidP="006C2F80">
      <w:r w:rsidRPr="006C2F80">
        <w:t xml:space="preserve">The safety and immunogenicity of Zarzio and Neupogen appeared similar based on data from the </w:t>
      </w:r>
      <w:r w:rsidR="005E12B7">
        <w:t xml:space="preserve">PD </w:t>
      </w:r>
      <w:r w:rsidRPr="006C2F80">
        <w:t>and efficacy studies. Exposure to Zarzio was low and there was no direct comparison of Zarzio with Neupogen in patients. Therefore, ongoing post-market monitoring will be important in confirming the comparability of Zarzio and Neupogen.</w:t>
      </w:r>
    </w:p>
    <w:p w:rsidR="0038104C" w:rsidRPr="006C2F80" w:rsidRDefault="002C6841" w:rsidP="0038104C">
      <w:pPr>
        <w:pStyle w:val="Heading4"/>
      </w:pPr>
      <w:r>
        <w:t>Proposed a</w:t>
      </w:r>
      <w:r w:rsidR="0038104C">
        <w:t>ction</w:t>
      </w:r>
    </w:p>
    <w:p w:rsidR="006C2F80" w:rsidRDefault="0038104C" w:rsidP="006C2F80">
      <w:r>
        <w:t xml:space="preserve">The Delegate </w:t>
      </w:r>
      <w:r w:rsidR="00227C84" w:rsidRPr="00227C84">
        <w:t>propose</w:t>
      </w:r>
      <w:r>
        <w:t>d</w:t>
      </w:r>
      <w:r w:rsidR="00227C84" w:rsidRPr="00227C84">
        <w:t xml:space="preserve"> to approve </w:t>
      </w:r>
      <w:proofErr w:type="spellStart"/>
      <w:r w:rsidR="00227C84" w:rsidRPr="00227C84">
        <w:t>filgrastim</w:t>
      </w:r>
      <w:proofErr w:type="spellEnd"/>
      <w:r w:rsidR="00227C84" w:rsidRPr="00227C84">
        <w:t xml:space="preserve"> </w:t>
      </w:r>
      <w:proofErr w:type="spellStart"/>
      <w:proofErr w:type="gramStart"/>
      <w:r w:rsidR="00227C84" w:rsidRPr="00227C84">
        <w:rPr>
          <w:i/>
        </w:rPr>
        <w:t>rbe</w:t>
      </w:r>
      <w:proofErr w:type="spellEnd"/>
      <w:proofErr w:type="gramEnd"/>
      <w:r w:rsidR="00227C84" w:rsidRPr="00227C84">
        <w:t xml:space="preserve"> injection (</w:t>
      </w:r>
      <w:proofErr w:type="spellStart"/>
      <w:r w:rsidR="00227C84" w:rsidRPr="00227C84">
        <w:t>Zarzio</w:t>
      </w:r>
      <w:proofErr w:type="spellEnd"/>
      <w:r w:rsidR="00227C84" w:rsidRPr="00227C84">
        <w:t>) for the same indications and dosage as those for Neupogen.</w:t>
      </w:r>
    </w:p>
    <w:p w:rsidR="006C2F80" w:rsidRDefault="00227C84" w:rsidP="0038104C">
      <w:pPr>
        <w:pStyle w:val="Heading5"/>
      </w:pPr>
      <w:r w:rsidRPr="00227C84">
        <w:t>Prop</w:t>
      </w:r>
      <w:r w:rsidR="0038104C">
        <w:t>osed conditions of registration</w:t>
      </w:r>
    </w:p>
    <w:p w:rsidR="006C2F80" w:rsidRDefault="005E12B7" w:rsidP="006C2F80">
      <w:r>
        <w:t>The proposed conditions of registration were as recommended by the RMP evaluator and the evaluators of the manufacturing and qual</w:t>
      </w:r>
      <w:r w:rsidR="002C6841">
        <w:t>ity aspects of this submission.</w:t>
      </w:r>
    </w:p>
    <w:p w:rsidR="0038104C" w:rsidRPr="0038104C" w:rsidRDefault="0038104C" w:rsidP="0038104C">
      <w:pPr>
        <w:pStyle w:val="Heading4"/>
      </w:pPr>
      <w:r w:rsidRPr="0038104C">
        <w:t>Request for ACPM advice</w:t>
      </w:r>
    </w:p>
    <w:p w:rsidR="0038104C" w:rsidRPr="0038104C" w:rsidRDefault="0038104C" w:rsidP="0038104C">
      <w:r w:rsidRPr="0038104C">
        <w:t xml:space="preserve">The Delegate proposed to seek general advice on this application from the ACPM, and requested advice and comment specifically with regards to the following </w:t>
      </w:r>
      <w:r w:rsidR="00E85449">
        <w:t>questions</w:t>
      </w:r>
      <w:r w:rsidRPr="0038104C">
        <w:t>:</w:t>
      </w:r>
    </w:p>
    <w:p w:rsidR="006C2F80" w:rsidRPr="006C2F80" w:rsidRDefault="00227C84" w:rsidP="00B56DDF">
      <w:pPr>
        <w:pStyle w:val="Numberbullet0"/>
        <w:numPr>
          <w:ilvl w:val="0"/>
          <w:numId w:val="5"/>
        </w:numPr>
      </w:pPr>
      <w:r w:rsidRPr="006C2F80">
        <w:t xml:space="preserve">Can the comparator Neupogen used in the trials be accepted as sufficiently similar to Australian-registered Neupogen to have no impact on the </w:t>
      </w:r>
      <w:r w:rsidR="009B2D1C">
        <w:t>PD</w:t>
      </w:r>
      <w:r w:rsidRPr="006C2F80">
        <w:t>, efficacy and safety conclusions?</w:t>
      </w:r>
    </w:p>
    <w:p w:rsidR="006C2F80" w:rsidRPr="006C2F80" w:rsidRDefault="00227C84" w:rsidP="006C2F80">
      <w:pPr>
        <w:pStyle w:val="Numberbullet0"/>
      </w:pPr>
      <w:r w:rsidRPr="006C2F80">
        <w:t xml:space="preserve">Has the efficacy of Zarzio in the prophylaxis of severe neutropenia been satisfactorily established based on the uncontrolled </w:t>
      </w:r>
      <w:r w:rsidR="009B2D1C">
        <w:t>T</w:t>
      </w:r>
      <w:r w:rsidRPr="006C2F80">
        <w:t xml:space="preserve">rial EP06-301 and the </w:t>
      </w:r>
      <w:r w:rsidR="009B2D1C">
        <w:t xml:space="preserve">PD </w:t>
      </w:r>
      <w:r w:rsidRPr="006C2F80">
        <w:t>trials?</w:t>
      </w:r>
    </w:p>
    <w:p w:rsidR="006C2F80" w:rsidRPr="006C2F80" w:rsidRDefault="00227C84" w:rsidP="006C2F80">
      <w:pPr>
        <w:pStyle w:val="Numberbullet0"/>
      </w:pPr>
      <w:r w:rsidRPr="006C2F80">
        <w:t>Can the efficacy of Zarzio in the prophylaxis of severe neutropenia be extrapolated to the other indications?</w:t>
      </w:r>
    </w:p>
    <w:p w:rsidR="00227C84" w:rsidRPr="006C2F80" w:rsidRDefault="00227C84" w:rsidP="006C2F80">
      <w:pPr>
        <w:pStyle w:val="Numberbullet0"/>
      </w:pPr>
      <w:r w:rsidRPr="006C2F80">
        <w:t>Is the benefit-risk balance of Zarzio favourable in the propose</w:t>
      </w:r>
      <w:r w:rsidR="00495515">
        <w:t>d indications?</w:t>
      </w:r>
    </w:p>
    <w:p w:rsidR="008E7846" w:rsidRDefault="008E7846" w:rsidP="008E7846">
      <w:pPr>
        <w:pStyle w:val="Heading4"/>
      </w:pPr>
      <w:r>
        <w:t xml:space="preserve">Response from </w:t>
      </w:r>
      <w:r w:rsidR="00495515">
        <w:t>s</w:t>
      </w:r>
      <w:r>
        <w:t>ponsor</w:t>
      </w:r>
    </w:p>
    <w:p w:rsidR="009B2D1C" w:rsidRPr="009B2D1C" w:rsidRDefault="009B2D1C" w:rsidP="009B2D1C">
      <w:r>
        <w:t xml:space="preserve">The sponsor’s response to matters raised in the Delegate’s overview </w:t>
      </w:r>
      <w:r w:rsidR="00F33DCF">
        <w:t xml:space="preserve">is </w:t>
      </w:r>
      <w:r w:rsidR="00AA3CEB">
        <w:t xml:space="preserve">below. </w:t>
      </w:r>
      <w:r w:rsidR="00AA3CEB" w:rsidRPr="00AA3CEB">
        <w:t xml:space="preserve">Zarzio is referred to as </w:t>
      </w:r>
      <w:r w:rsidR="00AA3CEB">
        <w:t>‘</w:t>
      </w:r>
      <w:r w:rsidR="00AA3CEB" w:rsidRPr="00AA3CEB">
        <w:t>Filgrastim Sandoz</w:t>
      </w:r>
      <w:r w:rsidR="00AA3CEB">
        <w:t>’</w:t>
      </w:r>
      <w:r w:rsidR="00AA3CEB" w:rsidRPr="00AA3CEB">
        <w:t xml:space="preserve"> or </w:t>
      </w:r>
      <w:r w:rsidR="00AA3CEB">
        <w:t>‘</w:t>
      </w:r>
      <w:r w:rsidR="00AA3CEB" w:rsidRPr="00AA3CEB">
        <w:t>EP2006</w:t>
      </w:r>
      <w:r w:rsidR="00AA3CEB">
        <w:t>’</w:t>
      </w:r>
      <w:r w:rsidR="00AA3CEB" w:rsidRPr="00AA3CEB">
        <w:t xml:space="preserve"> in this section</w:t>
      </w:r>
      <w:r w:rsidR="00495515">
        <w:t>.</w:t>
      </w:r>
    </w:p>
    <w:p w:rsidR="000C52D4" w:rsidRPr="00F33DCF" w:rsidRDefault="00617E03" w:rsidP="00F33DCF">
      <w:pPr>
        <w:rPr>
          <w:i/>
        </w:rPr>
      </w:pPr>
      <w:r w:rsidRPr="00F33DCF">
        <w:rPr>
          <w:i/>
        </w:rPr>
        <w:t xml:space="preserve">Delegate’s </w:t>
      </w:r>
      <w:r w:rsidR="00E85449" w:rsidRPr="00F33DCF">
        <w:rPr>
          <w:i/>
        </w:rPr>
        <w:t xml:space="preserve">Question </w:t>
      </w:r>
      <w:r w:rsidR="000C52D4" w:rsidRPr="00F33DCF">
        <w:rPr>
          <w:i/>
        </w:rPr>
        <w:t>1.</w:t>
      </w:r>
      <w:r w:rsidR="00E85449" w:rsidRPr="00F33DCF">
        <w:rPr>
          <w:i/>
        </w:rPr>
        <w:t xml:space="preserve"> </w:t>
      </w:r>
      <w:r w:rsidR="000C52D4" w:rsidRPr="00F33DCF">
        <w:rPr>
          <w:i/>
        </w:rPr>
        <w:t>Can the comparator Neupogen used in the trials be accepted as sufficiently similar to Australian-registered Neupogen to have no impact on the pharmacodynamics, efficacy and safety conclusions?</w:t>
      </w:r>
    </w:p>
    <w:p w:rsidR="000C52D4" w:rsidRPr="00495515" w:rsidRDefault="009B2D1C" w:rsidP="00495515">
      <w:pPr>
        <w:pStyle w:val="Heading5"/>
      </w:pPr>
      <w:r w:rsidRPr="00495515">
        <w:t>Sandoz c</w:t>
      </w:r>
      <w:r w:rsidR="000C52D4" w:rsidRPr="00495515">
        <w:t>omment</w:t>
      </w:r>
    </w:p>
    <w:p w:rsidR="000C52D4" w:rsidRPr="00685590" w:rsidRDefault="000C52D4" w:rsidP="00685590">
      <w:r w:rsidRPr="00685590">
        <w:t xml:space="preserve">In order to bridge clinical data gained using EU-licensed Neupogen also to </w:t>
      </w:r>
      <w:r w:rsidR="009B2D1C">
        <w:t>Australian (AU)</w:t>
      </w:r>
      <w:r w:rsidRPr="00685590">
        <w:t xml:space="preserve">-licensed </w:t>
      </w:r>
      <w:proofErr w:type="gramStart"/>
      <w:r w:rsidRPr="00685590">
        <w:t>Neupogen,</w:t>
      </w:r>
      <w:proofErr w:type="gramEnd"/>
      <w:r w:rsidRPr="00685590">
        <w:t xml:space="preserve"> Sandoz performed a comprehensive comparability study on physicochemical and biological level including EU-licensed Neupogen, AU-licensed Neupogen as well as Filgrastim Sandoz (EP2006).</w:t>
      </w:r>
    </w:p>
    <w:p w:rsidR="000C52D4" w:rsidRPr="00685590" w:rsidRDefault="000C52D4" w:rsidP="00685590">
      <w:r w:rsidRPr="00685590">
        <w:t>The following comparability setup was performed:</w:t>
      </w:r>
    </w:p>
    <w:p w:rsidR="000C52D4" w:rsidRPr="00E1682B" w:rsidRDefault="000C52D4" w:rsidP="00E1682B">
      <w:pPr>
        <w:pStyle w:val="ListBullet"/>
      </w:pPr>
      <w:r w:rsidRPr="00E1682B">
        <w:t xml:space="preserve">Three batches Filgrastim Sandoz were compared to three batches Neupogen AU as the reference </w:t>
      </w:r>
      <w:r w:rsidR="009B2D1C">
        <w:t>product. Both, the 300 μg/0.5 mL</w:t>
      </w:r>
      <w:r w:rsidRPr="00E1682B">
        <w:t xml:space="preserve"> and 480 μg/0.5 m</w:t>
      </w:r>
      <w:r w:rsidR="009B2D1C">
        <w:t>L</w:t>
      </w:r>
      <w:r w:rsidRPr="00E1682B">
        <w:t xml:space="preserve"> dosage forms were investigated.</w:t>
      </w:r>
    </w:p>
    <w:p w:rsidR="000C52D4" w:rsidRPr="00E1682B" w:rsidRDefault="000C52D4" w:rsidP="00E1682B">
      <w:pPr>
        <w:pStyle w:val="ListBullet"/>
      </w:pPr>
      <w:r w:rsidRPr="00E1682B">
        <w:lastRenderedPageBreak/>
        <w:t>The three batches Neupogen AU were compared with three batches Neupogen sourced from the European market (Neupogen EU). Again both, the 300 μg/0.5 m</w:t>
      </w:r>
      <w:r w:rsidR="009B2D1C">
        <w:t>L and 480 </w:t>
      </w:r>
      <w:r w:rsidRPr="00E1682B">
        <w:t>μg/0.5 m</w:t>
      </w:r>
      <w:r w:rsidR="009B2D1C">
        <w:t>L</w:t>
      </w:r>
      <w:r w:rsidRPr="00E1682B">
        <w:t xml:space="preserve"> dosage forms were investigated.</w:t>
      </w:r>
    </w:p>
    <w:p w:rsidR="000C52D4" w:rsidRPr="00685590" w:rsidRDefault="000C52D4" w:rsidP="009B2D1C">
      <w:pPr>
        <w:pStyle w:val="Heading6"/>
      </w:pPr>
      <w:r w:rsidRPr="00685590">
        <w:t>Results</w:t>
      </w:r>
    </w:p>
    <w:p w:rsidR="000C52D4" w:rsidRPr="00685590" w:rsidRDefault="009B2D1C" w:rsidP="00E1682B">
      <w:pPr>
        <w:pStyle w:val="ListBullet"/>
      </w:pPr>
      <w:r>
        <w:rPr>
          <w:i/>
        </w:rPr>
        <w:t>Physicochemical characteris</w:t>
      </w:r>
      <w:r w:rsidR="000C52D4" w:rsidRPr="00E1682B">
        <w:rPr>
          <w:i/>
        </w:rPr>
        <w:t>ation</w:t>
      </w:r>
      <w:r w:rsidR="000C52D4" w:rsidRPr="00685590">
        <w:t>: An array of state-of-the-art methods for physicochemical characteri</w:t>
      </w:r>
      <w:r>
        <w:t>s</w:t>
      </w:r>
      <w:r w:rsidR="000C52D4" w:rsidRPr="00685590">
        <w:t>ation demonstrates the identity of the active ingredient of Filgrastim Sandoz, of Neupogen AU and of Neupogen EU. Retention times of chromatographic methods on the level of peptides (Peptide map with UV detec</w:t>
      </w:r>
      <w:r>
        <w:t>tion) and on the intact level (size exclusion chromatography, r</w:t>
      </w:r>
      <w:r w:rsidR="000C52D4" w:rsidRPr="00685590">
        <w:t xml:space="preserve">eversed phase HPLC) showed highly comparable results between Filgrastim Sandoz, Neupogen AU and Neupogen EU. Mass spectrometric (MS) measurements of peptides after </w:t>
      </w:r>
      <w:proofErr w:type="spellStart"/>
      <w:r w:rsidR="000C52D4" w:rsidRPr="00685590">
        <w:t>proteolytic</w:t>
      </w:r>
      <w:proofErr w:type="spellEnd"/>
      <w:r w:rsidR="000C52D4" w:rsidRPr="00685590">
        <w:t xml:space="preserve"> digestion (Peptide map with MS detection) and MS measurements of the active ingredient were also highly comparable between Filgrastim Sandoz, Neupogen AU and Neupogen EU. Furthermore, migration rates of </w:t>
      </w:r>
      <w:proofErr w:type="spellStart"/>
      <w:r w:rsidR="000C52D4" w:rsidRPr="00685590">
        <w:t>electrophoretic</w:t>
      </w:r>
      <w:proofErr w:type="spellEnd"/>
      <w:r w:rsidR="000C52D4" w:rsidRPr="00685590">
        <w:t xml:space="preserve"> methods showed comparable results between Filgrastim Sandoz, Neupogen AU and Neupogen EU. The isot</w:t>
      </w:r>
      <w:r>
        <w:t xml:space="preserve">opic distribution of H/D and </w:t>
      </w:r>
      <w:r w:rsidRPr="009B2D1C">
        <w:rPr>
          <w:vertAlign w:val="superscript"/>
        </w:rPr>
        <w:t>18</w:t>
      </w:r>
      <w:r>
        <w:t>O</w:t>
      </w:r>
      <w:r w:rsidR="000C52D4" w:rsidRPr="00685590">
        <w:t>/</w:t>
      </w:r>
      <w:r w:rsidR="000C52D4" w:rsidRPr="009B2D1C">
        <w:rPr>
          <w:vertAlign w:val="superscript"/>
        </w:rPr>
        <w:t>16</w:t>
      </w:r>
      <w:r>
        <w:t>O</w:t>
      </w:r>
      <w:r w:rsidR="000C52D4" w:rsidRPr="00685590">
        <w:t xml:space="preserve"> were comparable between Neupogen sourced from AU and EU. One AU batch showed a slight variation in isotopic distribution, which may be attributed to seasonal variations of isotopic ratios.</w:t>
      </w:r>
    </w:p>
    <w:p w:rsidR="000C52D4" w:rsidRPr="00685590" w:rsidRDefault="000C52D4" w:rsidP="00E1682B">
      <w:pPr>
        <w:pStyle w:val="ListBullet"/>
      </w:pPr>
      <w:r w:rsidRPr="00E1682B">
        <w:rPr>
          <w:i/>
        </w:rPr>
        <w:t>Purity:</w:t>
      </w:r>
      <w:r w:rsidRPr="00685590">
        <w:t xml:space="preserve"> Purity of Filgrastim Sandoz, Neupogen AU, and Neupogen EU was assessed by size exclusion chromatography (SEC), IEF, and reversed-phase chromatography (RPC). In SEC of Filgrastim Sandoz, Neupogen AU, and Neupo</w:t>
      </w:r>
      <w:r w:rsidR="00617E03">
        <w:t>gen EU impurity levels of ≤ 0.1</w:t>
      </w:r>
      <w:r w:rsidRPr="00685590">
        <w:t>% were detected, indicating a high comparability between all three products. Neupogen AU and</w:t>
      </w:r>
      <w:r w:rsidR="001E38B8">
        <w:t xml:space="preserve"> </w:t>
      </w:r>
      <w:r w:rsidRPr="00685590">
        <w:t xml:space="preserve">Neupogen EU showed at least 3 minor bands (2-5%) in IEF gels, while for Filgrastim Sandoz 2 or fewer bands were detectable, which fits the acceptance criteria (not more bands than reference). In RPC impurity levels of up to 4.7 % were detected for Neupogen AU, up to 5.2 % for Neupogen EU and up to 2.1 % for Filgrastim Sandoz. </w:t>
      </w:r>
      <w:proofErr w:type="spellStart"/>
      <w:r w:rsidRPr="00685590">
        <w:t>Filgrastim</w:t>
      </w:r>
      <w:proofErr w:type="spellEnd"/>
      <w:r w:rsidRPr="00685590">
        <w:t xml:space="preserve"> Sandoz </w:t>
      </w:r>
      <w:proofErr w:type="spellStart"/>
      <w:r w:rsidRPr="00685590">
        <w:t>fulfills</w:t>
      </w:r>
      <w:proofErr w:type="spellEnd"/>
      <w:r w:rsidRPr="00685590">
        <w:t xml:space="preserve"> </w:t>
      </w:r>
      <w:r w:rsidRPr="00617E03">
        <w:t>the acceptance criteria for this parameter as a lower impurity level than for Neupo</w:t>
      </w:r>
      <w:r w:rsidR="009B2D1C" w:rsidRPr="00617E03">
        <w:t xml:space="preserve">gen AU and EU was observed. </w:t>
      </w:r>
      <w:proofErr w:type="gramStart"/>
      <w:r w:rsidR="00617E03" w:rsidRPr="00617E03">
        <w:t>sodium</w:t>
      </w:r>
      <w:proofErr w:type="gramEnd"/>
      <w:r w:rsidR="00617E03" w:rsidRPr="00617E03">
        <w:t xml:space="preserve"> </w:t>
      </w:r>
      <w:proofErr w:type="spellStart"/>
      <w:r w:rsidR="00617E03" w:rsidRPr="00617E03">
        <w:t>dodecyl</w:t>
      </w:r>
      <w:proofErr w:type="spellEnd"/>
      <w:r w:rsidR="00617E03" w:rsidRPr="00617E03">
        <w:t xml:space="preserve"> </w:t>
      </w:r>
      <w:proofErr w:type="spellStart"/>
      <w:r w:rsidR="00617E03">
        <w:t>sulfate-</w:t>
      </w:r>
      <w:r w:rsidR="00617E03" w:rsidRPr="00617E03">
        <w:t>polyacrylamide</w:t>
      </w:r>
      <w:proofErr w:type="spellEnd"/>
      <w:r w:rsidR="00617E03" w:rsidRPr="00617E03">
        <w:t xml:space="preserve"> gel electrophoresis (</w:t>
      </w:r>
      <w:r w:rsidR="009B2D1C" w:rsidRPr="00617E03">
        <w:t>SDS</w:t>
      </w:r>
      <w:r w:rsidR="009B2D1C" w:rsidRPr="00617E03">
        <w:noBreakHyphen/>
      </w:r>
      <w:r w:rsidRPr="00617E03">
        <w:t>PAGE</w:t>
      </w:r>
      <w:r w:rsidR="00617E03" w:rsidRPr="00617E03">
        <w:t>)</w:t>
      </w:r>
      <w:r w:rsidRPr="00617E03">
        <w:t xml:space="preserve"> showed the same major bands for</w:t>
      </w:r>
      <w:r w:rsidRPr="00685590">
        <w:t xml:space="preserve"> samples of Filgrastim Sandoz, Neupogen AU, and Neupogen EU, confirming the comparability of these products concerning the molecular size of their active ingredient. The number of bands detected by SDS-PAGE was very comparable between all three products, </w:t>
      </w:r>
      <w:r w:rsidR="009B2D1C">
        <w:t xml:space="preserve">that is, </w:t>
      </w:r>
      <w:r w:rsidRPr="00685590">
        <w:t>Filgrastim Sandoz, Neupogen AU, and Neupogen EU are highly comparable with respect to their impurity profile in SDS-PAGE.</w:t>
      </w:r>
    </w:p>
    <w:p w:rsidR="000C52D4" w:rsidRPr="00685590" w:rsidRDefault="005C5FD7" w:rsidP="00E1682B">
      <w:pPr>
        <w:pStyle w:val="ListBullet"/>
      </w:pPr>
      <w:r>
        <w:rPr>
          <w:i/>
        </w:rPr>
        <w:t>Biological characteris</w:t>
      </w:r>
      <w:r w:rsidR="000C52D4" w:rsidRPr="00E1682B">
        <w:rPr>
          <w:i/>
        </w:rPr>
        <w:t>ation</w:t>
      </w:r>
      <w:r w:rsidR="000C52D4" w:rsidRPr="00685590">
        <w:t xml:space="preserve">: All tested batches displayed comparable biological activity in an </w:t>
      </w:r>
      <w:r w:rsidR="000C52D4" w:rsidRPr="00617E03">
        <w:rPr>
          <w:i/>
        </w:rPr>
        <w:t>in</w:t>
      </w:r>
      <w:r w:rsidR="00617E03" w:rsidRPr="00617E03">
        <w:rPr>
          <w:i/>
        </w:rPr>
        <w:t xml:space="preserve"> </w:t>
      </w:r>
      <w:r w:rsidR="000C52D4" w:rsidRPr="00617E03">
        <w:rPr>
          <w:i/>
        </w:rPr>
        <w:t>vitro</w:t>
      </w:r>
      <w:r w:rsidR="000C52D4" w:rsidRPr="00685590">
        <w:t xml:space="preserve"> cell proliferation assay and showed the expected result in a western blot by binding to an antibody.</w:t>
      </w:r>
    </w:p>
    <w:p w:rsidR="000C52D4" w:rsidRPr="00685590" w:rsidRDefault="000C52D4" w:rsidP="00617E03">
      <w:pPr>
        <w:pStyle w:val="Heading6"/>
      </w:pPr>
      <w:r w:rsidRPr="00685590">
        <w:t>Conclusion</w:t>
      </w:r>
    </w:p>
    <w:p w:rsidR="000C52D4" w:rsidRPr="00685590" w:rsidRDefault="000C52D4" w:rsidP="00685590">
      <w:r w:rsidRPr="00685590">
        <w:t xml:space="preserve">Taken together, these results unambiguously demonstrate the comparability on the physicochemical level and at the level of biological activity of the reference product Neupogen AU with the reference product Neupogen EU as well as with Filgrastim Sandoz. The comparability of Neupogen AU and EU supports the bridging of the clinical data gained using EU-licensed Neupogen also to AU-licensed Neupogen, thus no impact on the </w:t>
      </w:r>
      <w:r w:rsidR="00617E03">
        <w:t>PD</w:t>
      </w:r>
      <w:r w:rsidRPr="00685590">
        <w:t>, efficacy and safety conclusion is to be expected.</w:t>
      </w:r>
    </w:p>
    <w:p w:rsidR="000C52D4" w:rsidRPr="00F33DCF" w:rsidRDefault="00617E03" w:rsidP="00F33DCF">
      <w:pPr>
        <w:keepNext/>
        <w:rPr>
          <w:i/>
        </w:rPr>
      </w:pPr>
      <w:r w:rsidRPr="00F33DCF">
        <w:rPr>
          <w:i/>
        </w:rPr>
        <w:lastRenderedPageBreak/>
        <w:t xml:space="preserve">Delegate’s </w:t>
      </w:r>
      <w:r w:rsidR="00E1682B" w:rsidRPr="00F33DCF">
        <w:rPr>
          <w:i/>
        </w:rPr>
        <w:t xml:space="preserve">Question </w:t>
      </w:r>
      <w:r w:rsidR="000C52D4" w:rsidRPr="00F33DCF">
        <w:rPr>
          <w:i/>
        </w:rPr>
        <w:t>2. Has the efficacy of Zarzio in the prophylaxis of severe neutropenia been satisfactorily established based on the uncontrolled trial EP06-301 and the pharmacodynamic trials?</w:t>
      </w:r>
    </w:p>
    <w:p w:rsidR="000C52D4" w:rsidRPr="00E1682B" w:rsidRDefault="000C52D4" w:rsidP="00F33DCF">
      <w:pPr>
        <w:pStyle w:val="Heading5"/>
      </w:pPr>
      <w:r w:rsidRPr="00E1682B">
        <w:t xml:space="preserve">Sandoz </w:t>
      </w:r>
      <w:r w:rsidR="00E1682B">
        <w:t>c</w:t>
      </w:r>
      <w:r w:rsidRPr="00E1682B">
        <w:t>omment:</w:t>
      </w:r>
    </w:p>
    <w:p w:rsidR="000C52D4" w:rsidRPr="00685590" w:rsidRDefault="000C52D4" w:rsidP="00F33DCF">
      <w:pPr>
        <w:pStyle w:val="Heading6"/>
      </w:pPr>
      <w:r w:rsidRPr="00685590">
        <w:t>Demonstration of similar efficacy in pharmacodynamic trials</w:t>
      </w:r>
    </w:p>
    <w:p w:rsidR="000C52D4" w:rsidRPr="00685590" w:rsidRDefault="000C52D4" w:rsidP="00685590">
      <w:r w:rsidRPr="00685590">
        <w:t xml:space="preserve">Sandoz holds the view that for the demonstration of clinical efficacy of a </w:t>
      </w:r>
      <w:proofErr w:type="spellStart"/>
      <w:r w:rsidRPr="00685590">
        <w:t>biosimilar</w:t>
      </w:r>
      <w:proofErr w:type="spellEnd"/>
      <w:r w:rsidRPr="00685590">
        <w:t xml:space="preserve"> </w:t>
      </w:r>
      <w:proofErr w:type="spellStart"/>
      <w:r w:rsidRPr="00685590">
        <w:t>filgrastim</w:t>
      </w:r>
      <w:proofErr w:type="spellEnd"/>
      <w:r w:rsidRPr="00685590">
        <w:t xml:space="preserve"> the PD response evaluation in healthy subjects can replace the</w:t>
      </w:r>
      <w:r w:rsidR="00617E03">
        <w:t xml:space="preserve"> standard model of comparative P</w:t>
      </w:r>
      <w:r w:rsidRPr="00685590">
        <w:t>hase III studies for establishing</w:t>
      </w:r>
      <w:r w:rsidR="00617E03">
        <w:t xml:space="preserve"> efficacy. Based on the physico</w:t>
      </w:r>
      <w:r w:rsidRPr="00685590">
        <w:t>chemical similarity between EP2006 (Zarzio) and the reference drug Neupogen, it is pertinent and consequent to direct clinical development towards comparative studies on PD endpoints and biomarkers.</w:t>
      </w:r>
    </w:p>
    <w:p w:rsidR="000C52D4" w:rsidRPr="00685590" w:rsidRDefault="000C52D4" w:rsidP="00685590">
      <w:r w:rsidRPr="00685590">
        <w:t xml:space="preserve">At least one PD marker should be considered accepted as a surrogate marker for efficacy and the relationship between dose/exposure to the product and this </w:t>
      </w:r>
      <w:r w:rsidR="00617E03">
        <w:t xml:space="preserve">surrogate marker should be well </w:t>
      </w:r>
      <w:r w:rsidRPr="00685590">
        <w:t>known. A PD marker may be considered a surrogate marker for efficacy, if therapy-induced changes of that marker can explain changes in clinical outcome to a large extent. Examples include ANC to assess the effect of filgrastim [EMEA/CHMP/31329/05].</w:t>
      </w:r>
    </w:p>
    <w:p w:rsidR="00E1682B" w:rsidRDefault="000C52D4" w:rsidP="00495515">
      <w:r w:rsidRPr="00685590">
        <w:t xml:space="preserve">The effects of filgrastim on ANC in terms of time to neutrophil recovery are accepted as the primary measure of efficacy in cancer patients undergoing </w:t>
      </w:r>
      <w:proofErr w:type="spellStart"/>
      <w:r w:rsidRPr="00685590">
        <w:t>myelosuppressive</w:t>
      </w:r>
      <w:proofErr w:type="spellEnd"/>
      <w:r w:rsidRPr="00685590">
        <w:t xml:space="preserve"> chemotherapy. ANC qualifies as a valid marker, as it essentially drives diagnosis (like grade of neutropenia), predicts prognosis (duration of severe neutropenia correlates with the r</w:t>
      </w:r>
      <w:r w:rsidR="00617E03">
        <w:t>isk of infection), and is utilis</w:t>
      </w:r>
      <w:r w:rsidRPr="00685590">
        <w:t xml:space="preserve">ed to monitor filgrastim treatment effects. Furthermore, </w:t>
      </w:r>
      <w:r w:rsidRPr="00617E03">
        <w:t xml:space="preserve">the mechanism of action and pharmacologic properties of filgrastim are fundamentally the same in healthy subjects and neutropenic patients, and the fact that bone marrow in healthy subjects, in contrast to </w:t>
      </w:r>
      <w:proofErr w:type="spellStart"/>
      <w:r w:rsidRPr="00617E03">
        <w:t>myelosuppressed</w:t>
      </w:r>
      <w:proofErr w:type="spellEnd"/>
      <w:r w:rsidRPr="00617E03">
        <w:t xml:space="preserve"> patients, is fully responsive to filgrastim</w:t>
      </w:r>
      <w:r w:rsidRPr="00685590">
        <w:t xml:space="preserve"> treatment</w:t>
      </w:r>
      <w:r w:rsidR="00E1682B">
        <w:t xml:space="preserve"> </w:t>
      </w:r>
      <w:r w:rsidRPr="00685590">
        <w:t>makes a healthy subject study a more sensitive model for the efficacy assessment of filgrastim than a chemother</w:t>
      </w:r>
      <w:r w:rsidR="00495515">
        <w:t>apy trial for the same purpose.</w:t>
      </w:r>
    </w:p>
    <w:p w:rsidR="000C52D4" w:rsidRPr="00685590" w:rsidRDefault="00E1682B" w:rsidP="00685590">
      <w:r w:rsidRPr="00E1682B">
        <w:t xml:space="preserve">In addition, it appears that the greatest inflation of any difference between originator and </w:t>
      </w:r>
      <w:proofErr w:type="spellStart"/>
      <w:r w:rsidRPr="00E1682B">
        <w:t>biosimilar</w:t>
      </w:r>
      <w:proofErr w:type="spellEnd"/>
      <w:r w:rsidRPr="00E1682B">
        <w:t xml:space="preserve"> </w:t>
      </w:r>
      <w:r w:rsidR="000C52D4" w:rsidRPr="00685590">
        <w:t xml:space="preserve">occurs when there are high levels of receptors relative to drug. This is the case in healthy subjects when compared to neutropenic patients. Thus, it is expected that differences observed in healthy subjects would not be visible in a population where the receptor number is low, </w:t>
      </w:r>
      <w:r w:rsidR="00617E03">
        <w:t xml:space="preserve">that is, </w:t>
      </w:r>
      <w:r w:rsidR="000C52D4" w:rsidRPr="00685590">
        <w:t xml:space="preserve">a neutropenic population, which is the target population of this drug. This underlines the point that healthy subjects are the most suitable and most sensitive population to show comparability between reference drug and </w:t>
      </w:r>
      <w:proofErr w:type="spellStart"/>
      <w:r w:rsidR="000C52D4" w:rsidRPr="00685590">
        <w:t>biosimilar</w:t>
      </w:r>
      <w:proofErr w:type="spellEnd"/>
      <w:r w:rsidR="000C52D4" w:rsidRPr="00685590">
        <w:t>.</w:t>
      </w:r>
      <w:r>
        <w:t xml:space="preserve"> </w:t>
      </w:r>
      <w:r w:rsidR="000C52D4" w:rsidRPr="00685590">
        <w:t xml:space="preserve">In consequence, Sandoz considers the </w:t>
      </w:r>
      <w:r w:rsidR="00617E03">
        <w:t>proper dose-response characteris</w:t>
      </w:r>
      <w:r w:rsidR="000C52D4" w:rsidRPr="00685590">
        <w:t>ation and the equivalence assessments conducted in comparative PD studies in healthy subjects sufficie</w:t>
      </w:r>
      <w:r w:rsidR="005C5FD7">
        <w:t>nt to support marketing authoris</w:t>
      </w:r>
      <w:r w:rsidR="000C52D4" w:rsidRPr="00685590">
        <w:t>ation from an efficacy perspective.</w:t>
      </w:r>
    </w:p>
    <w:p w:rsidR="000C52D4" w:rsidRPr="00685590" w:rsidRDefault="000C52D4" w:rsidP="00617E03">
      <w:pPr>
        <w:pStyle w:val="Heading6"/>
      </w:pPr>
      <w:r w:rsidRPr="00685590">
        <w:t>Safety profile of EP2006 and Neupogen</w:t>
      </w:r>
    </w:p>
    <w:p w:rsidR="000C52D4" w:rsidRPr="00685590" w:rsidRDefault="000C52D4" w:rsidP="00685590">
      <w:r w:rsidRPr="00685590">
        <w:t>In study EP06-301, the most frequently reported individual treatment emergent adverse events were leukopenia, neutropenia, nausea, alopecia, asthenia, and fatigue. These adverse events are typically expected for cancer patients receiving cytotoxic chemotherapy.</w:t>
      </w:r>
    </w:p>
    <w:p w:rsidR="000C52D4" w:rsidRPr="00685590" w:rsidRDefault="000C52D4" w:rsidP="00685590">
      <w:r w:rsidRPr="00685590">
        <w:t>Twenty patients (12%) of the EP06-301 study experienced 50 treatment emergent adverse events attributed to EP2006. These 50 events represented approximately 3% of all adverse events reported during the study. The most frequently reported treatment emergent adverse events attributed to EP2006 were musculoskeletal pain, and considerably less frequent changes of liver enzymes, asthenia or fatigue.</w:t>
      </w:r>
    </w:p>
    <w:p w:rsidR="000C52D4" w:rsidRPr="00685590" w:rsidRDefault="00617E03" w:rsidP="00685590">
      <w:r w:rsidRPr="00617E03">
        <w:t xml:space="preserve">The sponsor provided </w:t>
      </w:r>
      <w:r w:rsidR="000C52D4" w:rsidRPr="00617E03">
        <w:t>data</w:t>
      </w:r>
      <w:r w:rsidR="000C52D4" w:rsidRPr="00685590">
        <w:t xml:space="preserve"> </w:t>
      </w:r>
      <w:r>
        <w:t xml:space="preserve">from </w:t>
      </w:r>
      <w:r w:rsidR="000C52D4" w:rsidRPr="00685590">
        <w:t>the EP06-301 study concerning the safety profile of EP2006 compared with corresponding data from the studies of the Comparison Group. For this comparison the safety data are classified in the following categories:</w:t>
      </w:r>
    </w:p>
    <w:p w:rsidR="000C52D4" w:rsidRPr="00685590" w:rsidRDefault="000C52D4" w:rsidP="00E1682B">
      <w:pPr>
        <w:pStyle w:val="ListBullet"/>
      </w:pPr>
      <w:r w:rsidRPr="00685590">
        <w:lastRenderedPageBreak/>
        <w:t>Immunogenicity data</w:t>
      </w:r>
    </w:p>
    <w:p w:rsidR="000C52D4" w:rsidRPr="00685590" w:rsidRDefault="000C52D4" w:rsidP="00E1682B">
      <w:pPr>
        <w:pStyle w:val="ListBullet"/>
      </w:pPr>
      <w:r w:rsidRPr="00685590">
        <w:t>Most common adverse events associated with</w:t>
      </w:r>
      <w:r w:rsidR="00617E03">
        <w:t xml:space="preserve"> G-CSF treatment as defined in S</w:t>
      </w:r>
      <w:r w:rsidRPr="00685590">
        <w:t xml:space="preserve">tudy EP06-301, which are musculoskeletal pain, elevations in serum lactate </w:t>
      </w:r>
      <w:proofErr w:type="spellStart"/>
      <w:r w:rsidRPr="00685590">
        <w:t>dehydrogenase</w:t>
      </w:r>
      <w:proofErr w:type="spellEnd"/>
      <w:r w:rsidRPr="00685590">
        <w:t xml:space="preserve"> (LDH), alkaline </w:t>
      </w:r>
      <w:proofErr w:type="spellStart"/>
      <w:r w:rsidRPr="00685590">
        <w:t>phosphatase</w:t>
      </w:r>
      <w:proofErr w:type="spellEnd"/>
      <w:r w:rsidRPr="00685590">
        <w:t xml:space="preserve"> (AP), uric acid, and </w:t>
      </w:r>
      <w:proofErr w:type="spellStart"/>
      <w:r w:rsidRPr="00685590">
        <w:t>aspartate</w:t>
      </w:r>
      <w:proofErr w:type="spellEnd"/>
      <w:r w:rsidRPr="00685590">
        <w:t xml:space="preserve"> </w:t>
      </w:r>
      <w:proofErr w:type="spellStart"/>
      <w:r w:rsidRPr="00685590">
        <w:t>aminotransferase</w:t>
      </w:r>
      <w:proofErr w:type="spellEnd"/>
      <w:r w:rsidRPr="00685590">
        <w:t xml:space="preserve"> (AST)</w:t>
      </w:r>
    </w:p>
    <w:p w:rsidR="000C52D4" w:rsidRPr="00685590" w:rsidRDefault="00617E03" w:rsidP="00E1682B">
      <w:pPr>
        <w:pStyle w:val="ListBullet"/>
      </w:pPr>
      <w:r w:rsidRPr="00685590">
        <w:t>Haematological</w:t>
      </w:r>
      <w:r w:rsidR="000C52D4" w:rsidRPr="00685590">
        <w:t xml:space="preserve"> disorders: thrombocytopenia, </w:t>
      </w:r>
      <w:r w:rsidRPr="00685590">
        <w:t>anaemia</w:t>
      </w:r>
      <w:r w:rsidR="000C52D4" w:rsidRPr="00685590">
        <w:t xml:space="preserve"> (data for leukopenia/neutropenia will not be discussed separately, as the clinical relevant data on neutropenia are already discussed in the section above)</w:t>
      </w:r>
    </w:p>
    <w:p w:rsidR="000C52D4" w:rsidRPr="00685590" w:rsidRDefault="000C52D4" w:rsidP="00685590">
      <w:r w:rsidRPr="00E1682B">
        <w:rPr>
          <w:i/>
        </w:rPr>
        <w:t>Overall Conclusion:</w:t>
      </w:r>
      <w:r w:rsidRPr="00685590">
        <w:t xml:space="preserve"> Since EP2006 is </w:t>
      </w:r>
      <w:proofErr w:type="spellStart"/>
      <w:r w:rsidRPr="00685590">
        <w:t>pharmacokinetically</w:t>
      </w:r>
      <w:proofErr w:type="spellEnd"/>
      <w:r w:rsidRPr="00685590">
        <w:t xml:space="preserve"> and </w:t>
      </w:r>
      <w:proofErr w:type="spellStart"/>
      <w:r w:rsidRPr="00685590">
        <w:t>pharmacodynamically</w:t>
      </w:r>
      <w:proofErr w:type="spellEnd"/>
      <w:r w:rsidRPr="00685590">
        <w:t xml:space="preserve"> equivalent to Neupogen comparative efficacy and safety data between EP2006 and Neupogen can be obtained from two sources</w:t>
      </w:r>
      <w:r w:rsidR="00E1682B">
        <w:t>:</w:t>
      </w:r>
      <w:r w:rsidR="00617E03">
        <w:t xml:space="preserve"> a) comparative repeated dose </w:t>
      </w:r>
      <w:proofErr w:type="gramStart"/>
      <w:r w:rsidR="00617E03">
        <w:t>P</w:t>
      </w:r>
      <w:r w:rsidRPr="00685590">
        <w:t>hase</w:t>
      </w:r>
      <w:proofErr w:type="gramEnd"/>
      <w:r w:rsidRPr="00685590">
        <w:t xml:space="preserve"> I studies</w:t>
      </w:r>
      <w:r w:rsidR="00617E03">
        <w:t>,</w:t>
      </w:r>
      <w:r w:rsidRPr="00685590">
        <w:t xml:space="preserve"> and b) historical literature data.</w:t>
      </w:r>
    </w:p>
    <w:p w:rsidR="000C52D4" w:rsidRPr="00685590" w:rsidRDefault="000C52D4" w:rsidP="00685590">
      <w:r w:rsidRPr="00685590">
        <w:t xml:space="preserve">The head-to-head comparisons in healthy subjects treated for up to seven days, and the comparison between 170 breast cancer patients treated in </w:t>
      </w:r>
      <w:r w:rsidR="00617E03">
        <w:t>S</w:t>
      </w:r>
      <w:r w:rsidRPr="00685590">
        <w:t>tudy EP06-301 with literature data on Neupogen show similar efficacy and safety profiles after repeated administration for both G-CSF products.</w:t>
      </w:r>
    </w:p>
    <w:p w:rsidR="000C52D4" w:rsidRPr="00F33DCF" w:rsidRDefault="00617E03" w:rsidP="00F33DCF">
      <w:pPr>
        <w:rPr>
          <w:i/>
        </w:rPr>
      </w:pPr>
      <w:r w:rsidRPr="00F33DCF">
        <w:rPr>
          <w:i/>
        </w:rPr>
        <w:t xml:space="preserve">Delegate’s </w:t>
      </w:r>
      <w:r w:rsidR="00E1682B" w:rsidRPr="00F33DCF">
        <w:rPr>
          <w:i/>
        </w:rPr>
        <w:t xml:space="preserve">Question </w:t>
      </w:r>
      <w:r w:rsidR="000C52D4" w:rsidRPr="00F33DCF">
        <w:rPr>
          <w:i/>
        </w:rPr>
        <w:t>3. Can the efficacy of Zarzio in the prophylaxis of severe neutropenia be extrapolated to the other indications?</w:t>
      </w:r>
    </w:p>
    <w:p w:rsidR="000C52D4" w:rsidRPr="00E1682B" w:rsidRDefault="000C52D4" w:rsidP="00617E03">
      <w:pPr>
        <w:pStyle w:val="Heading5"/>
      </w:pPr>
      <w:r w:rsidRPr="00E1682B">
        <w:t xml:space="preserve">Sandoz </w:t>
      </w:r>
      <w:r w:rsidR="00E1682B" w:rsidRPr="00E1682B">
        <w:t>c</w:t>
      </w:r>
      <w:r w:rsidRPr="00E1682B">
        <w:t>omment</w:t>
      </w:r>
      <w:r w:rsidR="00495515">
        <w:t>:</w:t>
      </w:r>
    </w:p>
    <w:p w:rsidR="00E1682B" w:rsidRDefault="000C52D4" w:rsidP="00685590">
      <w:r w:rsidRPr="00685590">
        <w:t>Sandoz considers the mechanism of action of G-CSF (</w:t>
      </w:r>
      <w:r w:rsidR="00617E03">
        <w:t xml:space="preserve">that is, </w:t>
      </w:r>
      <w:r w:rsidRPr="00685590">
        <w:t>the interaction between filgrastim and the G</w:t>
      </w:r>
      <w:r w:rsidR="00617E03">
        <w:t>-</w:t>
      </w:r>
      <w:r w:rsidR="00617E03" w:rsidRPr="00617E03">
        <w:t xml:space="preserve">CSF receptor) as being the same across the below listed indications. Data presented in the dossier </w:t>
      </w:r>
      <w:r w:rsidRPr="00685590">
        <w:t xml:space="preserve">included clinical Phase I and III studies with the intention to investigate relevant endpoints for efficacy-related assessments, </w:t>
      </w:r>
      <w:r w:rsidR="00617E03">
        <w:t xml:space="preserve">that is, </w:t>
      </w:r>
      <w:r w:rsidRPr="00685590">
        <w:t>ANC monitoring for prophylaxis of neutropenia-related indications, as well as CD34</w:t>
      </w:r>
      <w:r w:rsidRPr="00617E03">
        <w:rPr>
          <w:vertAlign w:val="superscript"/>
        </w:rPr>
        <w:t>+</w:t>
      </w:r>
      <w:r w:rsidR="00617E03">
        <w:t xml:space="preserve"> monitoring for PBP</w:t>
      </w:r>
      <w:r w:rsidRPr="00685590">
        <w:t>C mobili</w:t>
      </w:r>
      <w:r w:rsidR="00617E03">
        <w:t>s</w:t>
      </w:r>
      <w:r w:rsidR="00495515">
        <w:t>ation-related indications.</w:t>
      </w:r>
    </w:p>
    <w:p w:rsidR="000C52D4" w:rsidRPr="00685590" w:rsidRDefault="000C52D4" w:rsidP="00685590">
      <w:r w:rsidRPr="00685590">
        <w:t>Indications where ANC related endpoints and assessments were presented in the dossier:</w:t>
      </w:r>
    </w:p>
    <w:p w:rsidR="000C52D4" w:rsidRPr="00685590" w:rsidRDefault="000C52D4" w:rsidP="00E1682B">
      <w:pPr>
        <w:pStyle w:val="ListBullet"/>
      </w:pPr>
      <w:r w:rsidRPr="00685590">
        <w:t>Decreasing the incidence of infection, as manifested by febrile neutropenia, in patients with non-myeloid malignancies receiving immunosuppressive anti-cancer drugs in doses not usually requiring bone marrow transplantation</w:t>
      </w:r>
    </w:p>
    <w:p w:rsidR="000C52D4" w:rsidRPr="00685590" w:rsidRDefault="000C52D4" w:rsidP="00E1682B">
      <w:pPr>
        <w:pStyle w:val="ListBullet"/>
      </w:pPr>
      <w:r w:rsidRPr="00685590">
        <w:t>Reducing the duration of neutropenia and clinical sequelae in patients undergoing induction and consolidation chemotherapy for acute myeloid leukaemia</w:t>
      </w:r>
    </w:p>
    <w:p w:rsidR="000C52D4" w:rsidRPr="00685590" w:rsidRDefault="000C52D4" w:rsidP="00E1682B">
      <w:pPr>
        <w:pStyle w:val="ListBullet"/>
      </w:pPr>
      <w:r w:rsidRPr="00685590">
        <w:t xml:space="preserve">In patients receiving </w:t>
      </w:r>
      <w:proofErr w:type="spellStart"/>
      <w:r w:rsidRPr="00685590">
        <w:t>myeloablative</w:t>
      </w:r>
      <w:proofErr w:type="spellEnd"/>
      <w:r w:rsidRPr="00685590">
        <w:t xml:space="preserve"> chemotherapy, reducing the duration of neutropenia and clinical </w:t>
      </w:r>
      <w:proofErr w:type="spellStart"/>
      <w:r w:rsidRPr="00685590">
        <w:t>sequelae</w:t>
      </w:r>
      <w:proofErr w:type="spellEnd"/>
      <w:r w:rsidRPr="00685590">
        <w:t xml:space="preserve"> following </w:t>
      </w:r>
      <w:proofErr w:type="spellStart"/>
      <w:r w:rsidRPr="00685590">
        <w:t>autologous</w:t>
      </w:r>
      <w:proofErr w:type="spellEnd"/>
      <w:r w:rsidRPr="00685590">
        <w:t xml:space="preserve"> or </w:t>
      </w:r>
      <w:proofErr w:type="spellStart"/>
      <w:r w:rsidRPr="00685590">
        <w:t>allogeneic</w:t>
      </w:r>
      <w:proofErr w:type="spellEnd"/>
      <w:r w:rsidRPr="00685590">
        <w:t xml:space="preserve"> bone marrow transplantation</w:t>
      </w:r>
    </w:p>
    <w:p w:rsidR="000C52D4" w:rsidRPr="00685590" w:rsidRDefault="000C52D4" w:rsidP="00E1682B">
      <w:pPr>
        <w:pStyle w:val="ListBullet"/>
      </w:pPr>
      <w:r w:rsidRPr="00685590">
        <w:t>Chronic administration to increase neutrophil counts and to reduce the incidence and duration of infections in patients with severe chronic neutropenia</w:t>
      </w:r>
    </w:p>
    <w:p w:rsidR="000C52D4" w:rsidRPr="00685590" w:rsidRDefault="000C52D4" w:rsidP="00E1682B">
      <w:pPr>
        <w:pStyle w:val="ListBullet"/>
      </w:pPr>
      <w:r w:rsidRPr="00685590">
        <w:t xml:space="preserve">In patients with HIV infection, for reversal of clinically significant neutropenia and subsequent maintenance of adequate neutrophil counts during treatment with antiviral and/or other </w:t>
      </w:r>
      <w:proofErr w:type="spellStart"/>
      <w:r w:rsidRPr="00685590">
        <w:t>myelosuppressive</w:t>
      </w:r>
      <w:proofErr w:type="spellEnd"/>
      <w:r w:rsidRPr="00685590">
        <w:t xml:space="preserve"> medications.</w:t>
      </w:r>
    </w:p>
    <w:p w:rsidR="000C52D4" w:rsidRPr="00685590" w:rsidRDefault="000C52D4" w:rsidP="00685590">
      <w:r w:rsidRPr="00685590">
        <w:t>Indications where CD34</w:t>
      </w:r>
      <w:r w:rsidRPr="00AF5841">
        <w:rPr>
          <w:vertAlign w:val="superscript"/>
        </w:rPr>
        <w:t>+</w:t>
      </w:r>
      <w:r w:rsidRPr="00685590">
        <w:t>-related endpoints and assessments were presented in the dossier:</w:t>
      </w:r>
    </w:p>
    <w:p w:rsidR="000C52D4" w:rsidRPr="00685590" w:rsidRDefault="000C52D4" w:rsidP="00E1682B">
      <w:pPr>
        <w:pStyle w:val="ListBullet"/>
      </w:pPr>
      <w:r w:rsidRPr="00685590">
        <w:t xml:space="preserve">Mobilising </w:t>
      </w:r>
      <w:proofErr w:type="spellStart"/>
      <w:r w:rsidRPr="00685590">
        <w:t>autologous</w:t>
      </w:r>
      <w:proofErr w:type="spellEnd"/>
      <w:r w:rsidRPr="00685590">
        <w:t xml:space="preserve"> </w:t>
      </w:r>
      <w:r w:rsidR="00AF5841">
        <w:t xml:space="preserve">PBPC </w:t>
      </w:r>
      <w:r w:rsidRPr="00685590">
        <w:t xml:space="preserve">alone, or following </w:t>
      </w:r>
      <w:proofErr w:type="spellStart"/>
      <w:r w:rsidRPr="00685590">
        <w:t>myelosuppressive</w:t>
      </w:r>
      <w:proofErr w:type="spellEnd"/>
      <w:r w:rsidRPr="00685590">
        <w:t xml:space="preserve"> chemotherapy, in order to accelerate neutrophil and platelet recovery by infusion of such cells after </w:t>
      </w:r>
      <w:proofErr w:type="spellStart"/>
      <w:r w:rsidRPr="00685590">
        <w:t>myeloablative</w:t>
      </w:r>
      <w:proofErr w:type="spellEnd"/>
      <w:r w:rsidRPr="00685590">
        <w:t xml:space="preserve"> or </w:t>
      </w:r>
      <w:proofErr w:type="spellStart"/>
      <w:r w:rsidRPr="00685590">
        <w:t>myelosuppressive</w:t>
      </w:r>
      <w:proofErr w:type="spellEnd"/>
      <w:r w:rsidRPr="00685590">
        <w:t xml:space="preserve"> therapy in patients with non-myeloid malignancies</w:t>
      </w:r>
    </w:p>
    <w:p w:rsidR="000C52D4" w:rsidRPr="00685590" w:rsidRDefault="000C52D4" w:rsidP="00E1682B">
      <w:pPr>
        <w:pStyle w:val="ListBullet"/>
      </w:pPr>
      <w:r w:rsidRPr="00685590">
        <w:t xml:space="preserve">Mobilising </w:t>
      </w:r>
      <w:r w:rsidR="00AF5841">
        <w:t>PBPC</w:t>
      </w:r>
      <w:r w:rsidRPr="00685590">
        <w:t xml:space="preserve">, in normal volunteers, for use in </w:t>
      </w:r>
      <w:proofErr w:type="spellStart"/>
      <w:r w:rsidRPr="00685590">
        <w:t>allogeneic</w:t>
      </w:r>
      <w:proofErr w:type="spellEnd"/>
      <w:r w:rsidRPr="00685590">
        <w:t xml:space="preserve"> </w:t>
      </w:r>
      <w:r w:rsidR="00AF5841">
        <w:t xml:space="preserve">PBPC </w:t>
      </w:r>
      <w:r w:rsidRPr="00685590">
        <w:t>transplantation</w:t>
      </w:r>
    </w:p>
    <w:p w:rsidR="000C52D4" w:rsidRPr="00685590" w:rsidRDefault="000C52D4" w:rsidP="00685590">
      <w:r w:rsidRPr="00685590">
        <w:lastRenderedPageBreak/>
        <w:t xml:space="preserve">G-CSF receptors are present in myeloid cells and peripheral neutrophils. G-CSF is a cytokine that produces mature neutrophils by stimulating proliferation and differentiation of </w:t>
      </w:r>
      <w:proofErr w:type="spellStart"/>
      <w:r w:rsidRPr="00685590">
        <w:t>neutrophilic</w:t>
      </w:r>
      <w:proofErr w:type="spellEnd"/>
      <w:r w:rsidRPr="00685590">
        <w:t xml:space="preserve"> precursors, and then acting on the produced mature neut</w:t>
      </w:r>
      <w:r w:rsidR="00AF5841">
        <w:t>rophils to promote their mobilis</w:t>
      </w:r>
      <w:r w:rsidRPr="00685590">
        <w:t>ation from the bone marrow pool to peripheral blood and to up-regulate neutrophil function by specifically binding to those receptors in bone marrow. Therefore, G-CSF is used to treat neutropenia with a variety of causes. G-CSF is also used in hematopoietic s</w:t>
      </w:r>
      <w:r w:rsidR="005C5FD7">
        <w:t>tem cell mobilis</w:t>
      </w:r>
      <w:r w:rsidRPr="00685590">
        <w:t>ation due to the fact that it induces migration of hematopoietic stem cells to peripheral blood.</w:t>
      </w:r>
    </w:p>
    <w:p w:rsidR="00AF5841" w:rsidRPr="00685590" w:rsidRDefault="000C52D4" w:rsidP="00AF5841">
      <w:r w:rsidRPr="00685590">
        <w:t>To further underline the sponsor’s opinion that it is justified to extrapolate the efficacy of EP2006 in the prophylaxis of severe neutropenia to all other indications</w:t>
      </w:r>
      <w:r w:rsidR="00AF5841">
        <w:t>,</w:t>
      </w:r>
      <w:r w:rsidRPr="00685590">
        <w:t xml:space="preserve"> </w:t>
      </w:r>
      <w:r w:rsidR="00AF5841">
        <w:t xml:space="preserve">the sponsor also provided </w:t>
      </w:r>
      <w:r w:rsidR="00AF5841" w:rsidRPr="00685590">
        <w:t>a detailed description of:</w:t>
      </w:r>
    </w:p>
    <w:p w:rsidR="00AF5841" w:rsidRPr="00685590" w:rsidRDefault="00AF5841" w:rsidP="00AF5841">
      <w:pPr>
        <w:pStyle w:val="Numberbullet2"/>
      </w:pPr>
      <w:r w:rsidRPr="00685590">
        <w:t>Phase I clinical study results to demonstrate equivalence of EP2006 and Neupogen in terms of ANC and CD34</w:t>
      </w:r>
      <w:r w:rsidRPr="00AF5841">
        <w:rPr>
          <w:vertAlign w:val="superscript"/>
        </w:rPr>
        <w:t>+</w:t>
      </w:r>
      <w:r w:rsidRPr="00685590">
        <w:t xml:space="preserve"> results, and</w:t>
      </w:r>
    </w:p>
    <w:p w:rsidR="00E1682B" w:rsidRDefault="00AF5841" w:rsidP="00AF5841">
      <w:pPr>
        <w:pStyle w:val="Numberbullet2"/>
      </w:pPr>
      <w:r w:rsidRPr="00685590">
        <w:t>a discussion of the relationship between the indications and the actions of G-CSF</w:t>
      </w:r>
    </w:p>
    <w:p w:rsidR="000C52D4" w:rsidRPr="00685590" w:rsidRDefault="00F33DCF" w:rsidP="00AF5841">
      <w:pPr>
        <w:pStyle w:val="Heading6"/>
      </w:pPr>
      <w:r>
        <w:t>Healthy subjects and</w:t>
      </w:r>
      <w:r w:rsidR="000C52D4" w:rsidRPr="00685590">
        <w:t xml:space="preserve"> Phase I clinical studies</w:t>
      </w:r>
    </w:p>
    <w:p w:rsidR="000C52D4" w:rsidRPr="00685590" w:rsidRDefault="000C52D4" w:rsidP="00685590">
      <w:r w:rsidRPr="00685590">
        <w:t>Sandoz performed two multiple-dose studies [EP06-101 and EP06-103] in 96 healthy subjects overall to compare the PK and/or PD properties of EP2006 and Neupogen. The doses applied in these studies were 2.5, 5 and 10 μg/kg/d</w:t>
      </w:r>
      <w:r w:rsidR="00AF5841">
        <w:t>ay</w:t>
      </w:r>
      <w:r w:rsidRPr="00685590">
        <w:t xml:space="preserve">. After 7 days of </w:t>
      </w:r>
      <w:r w:rsidR="00AF5841">
        <w:t xml:space="preserve">SC </w:t>
      </w:r>
      <w:r w:rsidRPr="00685590">
        <w:t>administration, both EP2006 and Neupogen exhibited a clear dose-dependent response. The mean EP2006 AUEC</w:t>
      </w:r>
      <w:r w:rsidRPr="00AF5841">
        <w:rPr>
          <w:vertAlign w:val="subscript"/>
        </w:rPr>
        <w:t>0-216 h</w:t>
      </w:r>
      <w:r w:rsidRPr="00685590">
        <w:t xml:space="preserve"> for ANC increased from 4.2 h x 10</w:t>
      </w:r>
      <w:r w:rsidRPr="00AF5841">
        <w:rPr>
          <w:vertAlign w:val="superscript"/>
        </w:rPr>
        <w:t>6</w:t>
      </w:r>
      <w:r w:rsidRPr="00685590">
        <w:t>/</w:t>
      </w:r>
      <w:proofErr w:type="spellStart"/>
      <w:r w:rsidRPr="00685590">
        <w:t>μ</w:t>
      </w:r>
      <w:r w:rsidR="00AF5841">
        <w:t>L</w:t>
      </w:r>
      <w:proofErr w:type="spellEnd"/>
      <w:r w:rsidRPr="00685590">
        <w:t xml:space="preserve"> for the 2.5 μg/kg group to 5.2 h x 10</w:t>
      </w:r>
      <w:r w:rsidRPr="00AF5841">
        <w:rPr>
          <w:vertAlign w:val="superscript"/>
        </w:rPr>
        <w:t>6</w:t>
      </w:r>
      <w:r w:rsidRPr="00685590">
        <w:t>/</w:t>
      </w:r>
      <w:proofErr w:type="spellStart"/>
      <w:r w:rsidRPr="00685590">
        <w:t>μ</w:t>
      </w:r>
      <w:r w:rsidR="00AF5841">
        <w:t>L</w:t>
      </w:r>
      <w:proofErr w:type="spellEnd"/>
      <w:r w:rsidRPr="00685590">
        <w:t xml:space="preserve"> for the 5 μg/kg dose </w:t>
      </w:r>
      <w:proofErr w:type="gramStart"/>
      <w:r w:rsidRPr="00685590">
        <w:t>group</w:t>
      </w:r>
      <w:proofErr w:type="gramEnd"/>
      <w:r w:rsidRPr="00685590">
        <w:t xml:space="preserve"> and to 6.5 h x 10</w:t>
      </w:r>
      <w:r w:rsidRPr="00AF5841">
        <w:rPr>
          <w:vertAlign w:val="superscript"/>
        </w:rPr>
        <w:t>6</w:t>
      </w:r>
      <w:r w:rsidRPr="00685590">
        <w:t>/</w:t>
      </w:r>
      <w:proofErr w:type="spellStart"/>
      <w:r w:rsidRPr="00685590">
        <w:t>μ</w:t>
      </w:r>
      <w:r w:rsidR="00AF5841">
        <w:t>L</w:t>
      </w:r>
      <w:proofErr w:type="spellEnd"/>
      <w:r w:rsidRPr="00685590">
        <w:t xml:space="preserve"> for the 10 μg/kg dose group. Results for Neupogen were practically identical (4.1, 5.2 and 6.5 h x 10</w:t>
      </w:r>
      <w:r w:rsidRPr="00AF5841">
        <w:rPr>
          <w:vertAlign w:val="superscript"/>
        </w:rPr>
        <w:t>6</w:t>
      </w:r>
      <w:r w:rsidRPr="00685590">
        <w:t>/</w:t>
      </w:r>
      <w:proofErr w:type="spellStart"/>
      <w:r w:rsidRPr="00685590">
        <w:t>μ</w:t>
      </w:r>
      <w:r w:rsidR="00AF5841">
        <w:t>L</w:t>
      </w:r>
      <w:proofErr w:type="spellEnd"/>
      <w:r w:rsidRPr="00685590">
        <w:t>). In two further studies, the effects on PK and PD after single</w:t>
      </w:r>
      <w:r w:rsidR="00E1682B">
        <w:t xml:space="preserve"> </w:t>
      </w:r>
      <w:r w:rsidR="00E1682B" w:rsidRPr="00E1682B">
        <w:t xml:space="preserve">administrations </w:t>
      </w:r>
      <w:proofErr w:type="gramStart"/>
      <w:r w:rsidR="00E1682B" w:rsidRPr="00E1682B">
        <w:t xml:space="preserve">of 5 μg/kg </w:t>
      </w:r>
      <w:r w:rsidR="00AF5841">
        <w:t xml:space="preserve">IV </w:t>
      </w:r>
      <w:r w:rsidR="00E1682B" w:rsidRPr="00E1682B">
        <w:t>(Study EP06-102)</w:t>
      </w:r>
      <w:proofErr w:type="gramEnd"/>
      <w:r w:rsidR="00E1682B" w:rsidRPr="00E1682B">
        <w:t xml:space="preserve"> and of 1 μg/kg </w:t>
      </w:r>
      <w:r w:rsidR="00AF5841">
        <w:t xml:space="preserve">SC </w:t>
      </w:r>
      <w:r w:rsidR="00E1682B" w:rsidRPr="00E1682B">
        <w:t xml:space="preserve">(Study EP06-105) of EP2006 and </w:t>
      </w:r>
      <w:r w:rsidRPr="00685590">
        <w:t>Neupogen were assessed and compared, leading again to an essentially identical response for both treatments.</w:t>
      </w:r>
    </w:p>
    <w:p w:rsidR="000C52D4" w:rsidRPr="00685590" w:rsidRDefault="000C52D4" w:rsidP="00685590">
      <w:r w:rsidRPr="00685590">
        <w:t>CD34</w:t>
      </w:r>
      <w:r w:rsidRPr="00AF5841">
        <w:rPr>
          <w:vertAlign w:val="superscript"/>
        </w:rPr>
        <w:t>+</w:t>
      </w:r>
      <w:r w:rsidRPr="00685590">
        <w:t xml:space="preserve"> cell counts were evaluated as a secondary parameter in the multiple-dose studies as well as in the single-dose </w:t>
      </w:r>
      <w:r w:rsidR="00AF5841">
        <w:t xml:space="preserve">IV </w:t>
      </w:r>
      <w:r w:rsidRPr="00685590">
        <w:t>study. There was a non-linear dose-dependent increase in the CD34</w:t>
      </w:r>
      <w:r w:rsidRPr="00AF5841">
        <w:rPr>
          <w:vertAlign w:val="superscript"/>
        </w:rPr>
        <w:t>+</w:t>
      </w:r>
      <w:r w:rsidRPr="00685590">
        <w:t xml:space="preserve"> AUEC as well as in the </w:t>
      </w:r>
      <w:proofErr w:type="spellStart"/>
      <w:r w:rsidRPr="00685590">
        <w:t>E</w:t>
      </w:r>
      <w:r w:rsidRPr="00AA3CEB">
        <w:rPr>
          <w:vertAlign w:val="subscript"/>
        </w:rPr>
        <w:t>max</w:t>
      </w:r>
      <w:proofErr w:type="spellEnd"/>
      <w:r w:rsidRPr="00685590">
        <w:t>. The results for EP2006 and Neupogen were practically identical.</w:t>
      </w:r>
    </w:p>
    <w:p w:rsidR="000C52D4" w:rsidRPr="00685590" w:rsidRDefault="00E1682B" w:rsidP="00A1068C">
      <w:pPr>
        <w:pStyle w:val="Heading6"/>
      </w:pPr>
      <w:r>
        <w:t>Summary</w:t>
      </w:r>
    </w:p>
    <w:p w:rsidR="000C52D4" w:rsidRPr="00685590" w:rsidRDefault="000C52D4" w:rsidP="00685590">
      <w:r w:rsidRPr="00685590">
        <w:t>Results shown for both ANC responses over time and CD34</w:t>
      </w:r>
      <w:r w:rsidRPr="00A1068C">
        <w:rPr>
          <w:vertAlign w:val="superscript"/>
        </w:rPr>
        <w:t>+</w:t>
      </w:r>
      <w:r w:rsidRPr="00685590">
        <w:t xml:space="preserve"> cell counts clearly demonstrate similar efficacy profiles for EP2006 compared with Neupogen regarding most relevant endpoints for prophylaxis of neutrop</w:t>
      </w:r>
      <w:r w:rsidR="00A1068C">
        <w:t>enia-related indications and PBPC mobilis</w:t>
      </w:r>
      <w:r w:rsidRPr="00685590">
        <w:t>ation-related indications.</w:t>
      </w:r>
    </w:p>
    <w:p w:rsidR="000C52D4" w:rsidRPr="00E1682B" w:rsidRDefault="000C52D4" w:rsidP="00A1068C">
      <w:pPr>
        <w:pStyle w:val="Heading5"/>
      </w:pPr>
      <w:r w:rsidRPr="00E1682B">
        <w:t>Brief description of the G-CSF effects in different indications</w:t>
      </w:r>
    </w:p>
    <w:p w:rsidR="000C52D4" w:rsidRPr="00E1682B" w:rsidRDefault="000C52D4" w:rsidP="00685590">
      <w:pPr>
        <w:rPr>
          <w:i/>
        </w:rPr>
      </w:pPr>
      <w:proofErr w:type="gramStart"/>
      <w:r w:rsidRPr="00E1682B">
        <w:rPr>
          <w:i/>
        </w:rPr>
        <w:t>Decreasing the incidence of infection, as manifested by febrile neutropenia, in patients with non- myeloid malignancies receiving immunosuppressive anti-cancer drugs in doses not usually requiring bone marrow transplantation.</w:t>
      </w:r>
      <w:proofErr w:type="gramEnd"/>
    </w:p>
    <w:p w:rsidR="000C52D4" w:rsidRPr="00685590" w:rsidRDefault="000C52D4" w:rsidP="00685590">
      <w:r w:rsidRPr="00685590">
        <w:t xml:space="preserve">In cancer chemotherapy, </w:t>
      </w:r>
      <w:proofErr w:type="spellStart"/>
      <w:r w:rsidRPr="00685590">
        <w:t>neutrophilic</w:t>
      </w:r>
      <w:proofErr w:type="spellEnd"/>
      <w:r w:rsidRPr="00685590">
        <w:t xml:space="preserve"> precursors and mature neutrophils that are in the process of differentiation and proliferation in bone marrow are damaged, resulting in a decrease in the number of neutrophils in peripheral blood. In such a disorder, administration of G-CSF promotes differentiation and proliferation of </w:t>
      </w:r>
      <w:proofErr w:type="spellStart"/>
      <w:r w:rsidRPr="00685590">
        <w:t>neutrophilic</w:t>
      </w:r>
      <w:proofErr w:type="spellEnd"/>
      <w:r w:rsidRPr="00685590">
        <w:t xml:space="preserve"> precursors that r</w:t>
      </w:r>
      <w:r w:rsidR="005C5FD7">
        <w:t>emain in bone marrow and mobilis</w:t>
      </w:r>
      <w:r w:rsidRPr="00685590">
        <w:t>ation of mature neutrophils to peripheral blood, which shortens the duration of the neutropenia.</w:t>
      </w:r>
    </w:p>
    <w:p w:rsidR="000C52D4" w:rsidRPr="00E1682B" w:rsidRDefault="000C52D4" w:rsidP="00685590">
      <w:pPr>
        <w:rPr>
          <w:i/>
        </w:rPr>
      </w:pPr>
      <w:r w:rsidRPr="00E1682B">
        <w:rPr>
          <w:i/>
        </w:rPr>
        <w:t xml:space="preserve">Reducing the duration of neutropenia and clinical sequelae in patients undergoing induction and consolidation chemotherapy for acute myeloid </w:t>
      </w:r>
      <w:r w:rsidR="00A1068C">
        <w:rPr>
          <w:i/>
        </w:rPr>
        <w:t>l</w:t>
      </w:r>
      <w:r w:rsidR="00A1068C" w:rsidRPr="00E1682B">
        <w:rPr>
          <w:i/>
        </w:rPr>
        <w:t>eukaemia</w:t>
      </w:r>
    </w:p>
    <w:p w:rsidR="000C52D4" w:rsidRPr="00685590" w:rsidRDefault="000C52D4" w:rsidP="00685590">
      <w:r w:rsidRPr="00685590">
        <w:lastRenderedPageBreak/>
        <w:t>In the genesis of acute myeloid leukaemia, an atypical clone of hematopoietic stem cells occurs as a result of an acquired genetic abnormality</w:t>
      </w:r>
      <w:r w:rsidR="00A1068C">
        <w:rPr>
          <w:rStyle w:val="FootnoteReference"/>
        </w:rPr>
        <w:footnoteReference w:id="3"/>
      </w:r>
      <w:r w:rsidRPr="00685590">
        <w:t xml:space="preserve">), which frequently leads to </w:t>
      </w:r>
      <w:r w:rsidR="00A1068C" w:rsidRPr="00685590">
        <w:t>leukaemia</w:t>
      </w:r>
      <w:r w:rsidRPr="00685590">
        <w:t xml:space="preserve"> as well as deformation of </w:t>
      </w:r>
      <w:proofErr w:type="spellStart"/>
      <w:r w:rsidRPr="00685590">
        <w:t>hematocytes</w:t>
      </w:r>
      <w:proofErr w:type="spellEnd"/>
      <w:r w:rsidRPr="00685590">
        <w:t xml:space="preserve"> and </w:t>
      </w:r>
      <w:proofErr w:type="spellStart"/>
      <w:r w:rsidRPr="00685590">
        <w:t>hematopenia</w:t>
      </w:r>
      <w:proofErr w:type="spellEnd"/>
      <w:r w:rsidRPr="00685590">
        <w:t>.</w:t>
      </w:r>
    </w:p>
    <w:p w:rsidR="000C52D4" w:rsidRPr="00685590" w:rsidRDefault="000C52D4" w:rsidP="00685590">
      <w:proofErr w:type="spellStart"/>
      <w:r w:rsidRPr="00685590">
        <w:t>Cytopenia</w:t>
      </w:r>
      <w:proofErr w:type="spellEnd"/>
      <w:r w:rsidRPr="00685590">
        <w:t xml:space="preserve"> in acute myeloid leukaemia is believed to be caused by ineffective </w:t>
      </w:r>
      <w:proofErr w:type="spellStart"/>
      <w:r w:rsidRPr="00685590">
        <w:t>hematopoiesis</w:t>
      </w:r>
      <w:proofErr w:type="spellEnd"/>
      <w:r w:rsidRPr="00685590">
        <w:t xml:space="preserve">. Bone marrow generally exhibits hyperplasia, and production of blood cells is up-regulated, but abnormal </w:t>
      </w:r>
      <w:proofErr w:type="spellStart"/>
      <w:r w:rsidRPr="00685590">
        <w:t>hematocytes</w:t>
      </w:r>
      <w:proofErr w:type="spellEnd"/>
      <w:r w:rsidRPr="00685590">
        <w:t xml:space="preserve"> produced in bone marrow are believed to die as a result of apoptosis before appearing in peripheral blood</w:t>
      </w:r>
      <w:r w:rsidR="00A1068C">
        <w:rPr>
          <w:rStyle w:val="FootnoteReference"/>
        </w:rPr>
        <w:footnoteReference w:id="4"/>
      </w:r>
      <w:r w:rsidRPr="00685590">
        <w:t>).</w:t>
      </w:r>
    </w:p>
    <w:p w:rsidR="000C52D4" w:rsidRPr="00685590" w:rsidRDefault="000C52D4" w:rsidP="00685590">
      <w:r w:rsidRPr="00685590">
        <w:t xml:space="preserve">However, atypical clones and normal hematopoietic stem cells coexist in actual cases of acute myeloid leukaemia. In such a disorder, therefore, administration of G-CSF can increase the neutrophil count in blood by promoting differentiation and proliferation of </w:t>
      </w:r>
      <w:proofErr w:type="spellStart"/>
      <w:r w:rsidRPr="00685590">
        <w:t>neu</w:t>
      </w:r>
      <w:r w:rsidR="005C5FD7">
        <w:t>trophilic</w:t>
      </w:r>
      <w:proofErr w:type="spellEnd"/>
      <w:r w:rsidR="005C5FD7">
        <w:t xml:space="preserve"> precursors and mobilis</w:t>
      </w:r>
      <w:r w:rsidRPr="00685590">
        <w:t>ation of mature neutrophils to peripheral blood.</w:t>
      </w:r>
    </w:p>
    <w:p w:rsidR="000C52D4" w:rsidRPr="00907B9B" w:rsidRDefault="000C52D4" w:rsidP="00685590">
      <w:pPr>
        <w:rPr>
          <w:i/>
        </w:rPr>
      </w:pPr>
      <w:r w:rsidRPr="00907B9B">
        <w:rPr>
          <w:i/>
        </w:rPr>
        <w:t xml:space="preserve">In patients receiving </w:t>
      </w:r>
      <w:proofErr w:type="spellStart"/>
      <w:r w:rsidRPr="00907B9B">
        <w:rPr>
          <w:i/>
        </w:rPr>
        <w:t>myeloablative</w:t>
      </w:r>
      <w:proofErr w:type="spellEnd"/>
      <w:r w:rsidRPr="00907B9B">
        <w:rPr>
          <w:i/>
        </w:rPr>
        <w:t xml:space="preserve"> chemotherapy, reducing the duration of neutropenia and clinical </w:t>
      </w:r>
      <w:proofErr w:type="spellStart"/>
      <w:r w:rsidRPr="00907B9B">
        <w:rPr>
          <w:i/>
        </w:rPr>
        <w:t>sequelae</w:t>
      </w:r>
      <w:proofErr w:type="spellEnd"/>
      <w:r w:rsidRPr="00907B9B">
        <w:rPr>
          <w:i/>
        </w:rPr>
        <w:t xml:space="preserve"> following </w:t>
      </w:r>
      <w:proofErr w:type="spellStart"/>
      <w:r w:rsidRPr="00907B9B">
        <w:rPr>
          <w:i/>
        </w:rPr>
        <w:t>autologous</w:t>
      </w:r>
      <w:proofErr w:type="spellEnd"/>
      <w:r w:rsidRPr="00907B9B">
        <w:rPr>
          <w:i/>
        </w:rPr>
        <w:t xml:space="preserve"> or </w:t>
      </w:r>
      <w:proofErr w:type="spellStart"/>
      <w:r w:rsidRPr="00907B9B">
        <w:rPr>
          <w:i/>
        </w:rPr>
        <w:t>allogeneic</w:t>
      </w:r>
      <w:proofErr w:type="spellEnd"/>
      <w:r w:rsidRPr="00907B9B">
        <w:rPr>
          <w:i/>
        </w:rPr>
        <w:t xml:space="preserve"> bone marrow transplantation</w:t>
      </w:r>
    </w:p>
    <w:p w:rsidR="000C52D4" w:rsidRPr="00685590" w:rsidRDefault="000C52D4" w:rsidP="00685590">
      <w:r w:rsidRPr="00685590">
        <w:t xml:space="preserve">Administration of G-CSF speeds recovery of the neutrophil count by promoting differentiation and proliferation of </w:t>
      </w:r>
      <w:proofErr w:type="spellStart"/>
      <w:r w:rsidRPr="00685590">
        <w:t>neu</w:t>
      </w:r>
      <w:r w:rsidR="00907B9B">
        <w:t>trophilic</w:t>
      </w:r>
      <w:proofErr w:type="spellEnd"/>
      <w:r w:rsidR="00907B9B">
        <w:t xml:space="preserve"> precursors and mobilis</w:t>
      </w:r>
      <w:r w:rsidRPr="00685590">
        <w:t xml:space="preserve">ation of mature neutrophils to peripheral blood after </w:t>
      </w:r>
      <w:proofErr w:type="spellStart"/>
      <w:r w:rsidRPr="00685590">
        <w:t>allogeneic</w:t>
      </w:r>
      <w:proofErr w:type="spellEnd"/>
      <w:r w:rsidRPr="00685590">
        <w:t xml:space="preserve"> stem cell transplantation.</w:t>
      </w:r>
    </w:p>
    <w:p w:rsidR="000C52D4" w:rsidRPr="009F7286" w:rsidRDefault="000C52D4" w:rsidP="00685590">
      <w:pPr>
        <w:rPr>
          <w:i/>
        </w:rPr>
      </w:pPr>
      <w:r w:rsidRPr="009F7286">
        <w:rPr>
          <w:i/>
        </w:rPr>
        <w:t>Chronic administration to increase neutrophil counts and to reduce the incidence and duration of infections in patients with severe chronic neutropenia</w:t>
      </w:r>
    </w:p>
    <w:p w:rsidR="009F7286" w:rsidRDefault="000C52D4" w:rsidP="00685590">
      <w:r w:rsidRPr="00685590">
        <w:t>In severe chronic neutropenia, neutropenia occurs as a result of an intrinsic defect in myeloid cells and</w:t>
      </w:r>
      <w:r w:rsidR="00907B9B">
        <w:t xml:space="preserve"> </w:t>
      </w:r>
      <w:r w:rsidRPr="00685590">
        <w:t xml:space="preserve">precursor cells. In the case of severe congenital </w:t>
      </w:r>
      <w:proofErr w:type="spellStart"/>
      <w:r w:rsidRPr="00685590">
        <w:t>neutropenia</w:t>
      </w:r>
      <w:proofErr w:type="spellEnd"/>
      <w:r w:rsidRPr="00685590">
        <w:t xml:space="preserve"> such as </w:t>
      </w:r>
      <w:proofErr w:type="spellStart"/>
      <w:r w:rsidRPr="00685590">
        <w:t>Kostmann</w:t>
      </w:r>
      <w:proofErr w:type="spellEnd"/>
      <w:r w:rsidRPr="00685590">
        <w:t xml:space="preserve"> syndrome, </w:t>
      </w:r>
      <w:proofErr w:type="spellStart"/>
      <w:r w:rsidRPr="00685590">
        <w:t>neutropenia</w:t>
      </w:r>
      <w:proofErr w:type="spellEnd"/>
      <w:r w:rsidRPr="00685590">
        <w:t xml:space="preserve"> occurs as a result of maturation of hematopoietic cells in bone marrow stopping at the </w:t>
      </w:r>
      <w:proofErr w:type="spellStart"/>
      <w:r w:rsidRPr="00685590">
        <w:t>promyelocyte</w:t>
      </w:r>
      <w:proofErr w:type="spellEnd"/>
      <w:r w:rsidRPr="00685590">
        <w:t xml:space="preserve"> stage</w:t>
      </w:r>
      <w:r w:rsidR="00907B9B">
        <w:rPr>
          <w:rStyle w:val="FootnoteReference"/>
        </w:rPr>
        <w:footnoteReference w:id="5"/>
      </w:r>
      <w:r w:rsidRPr="00685590">
        <w:t>) due to</w:t>
      </w:r>
      <w:r w:rsidR="00495515">
        <w:t xml:space="preserve"> an </w:t>
      </w:r>
      <w:proofErr w:type="spellStart"/>
      <w:r w:rsidR="00495515">
        <w:t>autosomal</w:t>
      </w:r>
      <w:proofErr w:type="spellEnd"/>
      <w:r w:rsidR="00495515">
        <w:t xml:space="preserve"> gene abnormality.</w:t>
      </w:r>
    </w:p>
    <w:p w:rsidR="000C52D4" w:rsidRPr="009F7286" w:rsidRDefault="009F7286" w:rsidP="00685590">
      <w:pPr>
        <w:rPr>
          <w:i/>
        </w:rPr>
      </w:pPr>
      <w:r w:rsidRPr="009F7286">
        <w:rPr>
          <w:i/>
        </w:rPr>
        <w:t xml:space="preserve">In patients with HIV infection, for reversal of </w:t>
      </w:r>
      <w:proofErr w:type="spellStart"/>
      <w:r w:rsidRPr="009F7286">
        <w:rPr>
          <w:i/>
        </w:rPr>
        <w:t>clinicalIy</w:t>
      </w:r>
      <w:proofErr w:type="spellEnd"/>
      <w:r w:rsidRPr="009F7286">
        <w:rPr>
          <w:i/>
        </w:rPr>
        <w:t xml:space="preserve"> significant </w:t>
      </w:r>
      <w:proofErr w:type="spellStart"/>
      <w:r w:rsidRPr="009F7286">
        <w:rPr>
          <w:i/>
        </w:rPr>
        <w:t>neutropenia</w:t>
      </w:r>
      <w:proofErr w:type="spellEnd"/>
      <w:r w:rsidRPr="009F7286">
        <w:rPr>
          <w:i/>
        </w:rPr>
        <w:t xml:space="preserve"> and subsequent </w:t>
      </w:r>
      <w:r w:rsidR="000C52D4" w:rsidRPr="009F7286">
        <w:rPr>
          <w:i/>
        </w:rPr>
        <w:t xml:space="preserve">maintenance of adequate neutrophil counts during treatment with antiviral and/or other </w:t>
      </w:r>
      <w:proofErr w:type="spellStart"/>
      <w:r w:rsidR="000C52D4" w:rsidRPr="009F7286">
        <w:rPr>
          <w:i/>
        </w:rPr>
        <w:t>myelosuppressive</w:t>
      </w:r>
      <w:proofErr w:type="spellEnd"/>
      <w:r w:rsidR="000C52D4" w:rsidRPr="009F7286">
        <w:rPr>
          <w:i/>
        </w:rPr>
        <w:t xml:space="preserve"> medications</w:t>
      </w:r>
    </w:p>
    <w:p w:rsidR="000C52D4" w:rsidRPr="00685590" w:rsidRDefault="000C52D4" w:rsidP="00685590">
      <w:r w:rsidRPr="00685590">
        <w:t>In the case of HIV infection, the neutrophil count decreases when production of neutrophils is impaired, and treatment of the HIV infection becomes more difficult when neutrophils are further damaged due to antiviral agents, which cause bone-marrow depression.</w:t>
      </w:r>
    </w:p>
    <w:p w:rsidR="000C52D4" w:rsidRPr="00685590" w:rsidRDefault="000C52D4" w:rsidP="00685590">
      <w:r w:rsidRPr="00685590">
        <w:t xml:space="preserve">In such a disorder, administration of G-CSF promotes differentiation and proliferation of </w:t>
      </w:r>
      <w:proofErr w:type="spellStart"/>
      <w:r w:rsidRPr="00685590">
        <w:t>neutrophilic</w:t>
      </w:r>
      <w:proofErr w:type="spellEnd"/>
      <w:r w:rsidRPr="00685590">
        <w:t xml:space="preserve"> precursors that remain in bone marrow and mobili</w:t>
      </w:r>
      <w:r w:rsidR="00907B9B">
        <w:t>s</w:t>
      </w:r>
      <w:r w:rsidRPr="00685590">
        <w:t>ation of mature neutrophils to peripheral blood, which not only helps prevent opportunistic infections but also allows for an increase in the dose and intensity of antiviral agents.</w:t>
      </w:r>
    </w:p>
    <w:p w:rsidR="000C52D4" w:rsidRPr="009F7286" w:rsidRDefault="000C52D4" w:rsidP="00685590">
      <w:pPr>
        <w:rPr>
          <w:i/>
        </w:rPr>
      </w:pPr>
      <w:r w:rsidRPr="009F7286">
        <w:rPr>
          <w:i/>
        </w:rPr>
        <w:t xml:space="preserve">Mobilising </w:t>
      </w:r>
      <w:proofErr w:type="spellStart"/>
      <w:r w:rsidRPr="009F7286">
        <w:rPr>
          <w:i/>
        </w:rPr>
        <w:t>autologous</w:t>
      </w:r>
      <w:proofErr w:type="spellEnd"/>
      <w:r w:rsidRPr="009F7286">
        <w:rPr>
          <w:i/>
        </w:rPr>
        <w:t xml:space="preserve"> </w:t>
      </w:r>
      <w:r w:rsidR="00907B9B">
        <w:rPr>
          <w:i/>
        </w:rPr>
        <w:t xml:space="preserve">PBPC </w:t>
      </w:r>
      <w:r w:rsidRPr="009F7286">
        <w:rPr>
          <w:i/>
        </w:rPr>
        <w:t xml:space="preserve">alone, or following </w:t>
      </w:r>
      <w:proofErr w:type="spellStart"/>
      <w:r w:rsidRPr="009F7286">
        <w:rPr>
          <w:i/>
        </w:rPr>
        <w:t>myelosuppressive</w:t>
      </w:r>
      <w:proofErr w:type="spellEnd"/>
      <w:r w:rsidRPr="009F7286">
        <w:rPr>
          <w:i/>
        </w:rPr>
        <w:t xml:space="preserve"> chemotherapy, in order to accelerate neutrophil and platelet recovery by infusion of such cells after </w:t>
      </w:r>
      <w:proofErr w:type="spellStart"/>
      <w:r w:rsidRPr="009F7286">
        <w:rPr>
          <w:i/>
        </w:rPr>
        <w:t>myeloablative</w:t>
      </w:r>
      <w:proofErr w:type="spellEnd"/>
      <w:r w:rsidRPr="009F7286">
        <w:rPr>
          <w:i/>
        </w:rPr>
        <w:t xml:space="preserve"> or </w:t>
      </w:r>
      <w:proofErr w:type="spellStart"/>
      <w:r w:rsidRPr="009F7286">
        <w:rPr>
          <w:i/>
        </w:rPr>
        <w:t>myelosuppressive</w:t>
      </w:r>
      <w:proofErr w:type="spellEnd"/>
      <w:r w:rsidRPr="009F7286">
        <w:rPr>
          <w:i/>
        </w:rPr>
        <w:t xml:space="preserve"> therapy in patients with non-myeloid malignancies</w:t>
      </w:r>
      <w:r w:rsidR="00907B9B">
        <w:rPr>
          <w:i/>
        </w:rPr>
        <w:t>.</w:t>
      </w:r>
      <w:r w:rsidRPr="009F7286">
        <w:rPr>
          <w:i/>
        </w:rPr>
        <w:t xml:space="preserve"> Mobilising </w:t>
      </w:r>
      <w:proofErr w:type="gramStart"/>
      <w:r w:rsidR="00907B9B">
        <w:rPr>
          <w:i/>
        </w:rPr>
        <w:t xml:space="preserve">PBPC </w:t>
      </w:r>
      <w:r w:rsidRPr="009F7286">
        <w:rPr>
          <w:i/>
        </w:rPr>
        <w:t xml:space="preserve"> in</w:t>
      </w:r>
      <w:proofErr w:type="gramEnd"/>
      <w:r w:rsidRPr="009F7286">
        <w:rPr>
          <w:i/>
        </w:rPr>
        <w:t xml:space="preserve"> normal volunteers, for use in </w:t>
      </w:r>
      <w:proofErr w:type="spellStart"/>
      <w:r w:rsidRPr="009F7286">
        <w:rPr>
          <w:i/>
        </w:rPr>
        <w:t>allogeneic</w:t>
      </w:r>
      <w:proofErr w:type="spellEnd"/>
      <w:r w:rsidRPr="009F7286">
        <w:rPr>
          <w:i/>
        </w:rPr>
        <w:t xml:space="preserve"> peripheral blood progenitor cell transplantation</w:t>
      </w:r>
    </w:p>
    <w:p w:rsidR="000C52D4" w:rsidRPr="00685590" w:rsidRDefault="000C52D4" w:rsidP="00685590">
      <w:r w:rsidRPr="00685590">
        <w:t xml:space="preserve">Release of hematopoietic stem cells attached to </w:t>
      </w:r>
      <w:proofErr w:type="spellStart"/>
      <w:r w:rsidRPr="00685590">
        <w:t>stromal</w:t>
      </w:r>
      <w:proofErr w:type="spellEnd"/>
      <w:r w:rsidRPr="00685590">
        <w:t xml:space="preserve"> cells and the extracellular matrix in myeloid tissue, migration to blood vessels, and invasion of blood vessels are necessary for hematopoietic stem cells poo</w:t>
      </w:r>
      <w:r w:rsidR="00907B9B">
        <w:t>led in bone marrow to be mobilis</w:t>
      </w:r>
      <w:r w:rsidRPr="00685590">
        <w:t xml:space="preserve">ed to peripheral blood. The mechanism by which hematopoietic stem cells in blood are released by G-CSF has been investigated to date. G-CSF does not act directly on </w:t>
      </w:r>
      <w:proofErr w:type="spellStart"/>
      <w:r w:rsidRPr="00685590">
        <w:t>hemopoietic</w:t>
      </w:r>
      <w:proofErr w:type="spellEnd"/>
      <w:r w:rsidRPr="00685590">
        <w:t xml:space="preserve"> stem (precursor) cells. Rather, it has been reported that protease released by neutrophils in bone marrow </w:t>
      </w:r>
      <w:r w:rsidRPr="00685590">
        <w:lastRenderedPageBreak/>
        <w:t xml:space="preserve">that has been activated by administration of G-CSF inhibits adhesion factor-mediated binding of hematopoietic stem cells and hematopoietic supportive tissue and controls </w:t>
      </w:r>
      <w:proofErr w:type="spellStart"/>
      <w:r w:rsidRPr="00685590">
        <w:t>chemotactic</w:t>
      </w:r>
      <w:proofErr w:type="spellEnd"/>
      <w:r w:rsidRPr="00685590">
        <w:t xml:space="preserve"> factors, which promote per</w:t>
      </w:r>
      <w:r w:rsidR="005C5FD7">
        <w:t>ipheral blood mobilis</w:t>
      </w:r>
      <w:r w:rsidRPr="00685590">
        <w:t>ation of hematopoietic stem cells from bone marrow</w:t>
      </w:r>
      <w:r w:rsidR="00907B9B">
        <w:rPr>
          <w:rStyle w:val="FootnoteReference"/>
        </w:rPr>
        <w:footnoteReference w:id="6"/>
      </w:r>
      <w:r w:rsidR="00907B9B" w:rsidRPr="00907B9B">
        <w:rPr>
          <w:vertAlign w:val="superscript"/>
        </w:rPr>
        <w:t>,</w:t>
      </w:r>
      <w:r w:rsidR="00907B9B">
        <w:t xml:space="preserve"> </w:t>
      </w:r>
      <w:r w:rsidR="00907B9B">
        <w:rPr>
          <w:rStyle w:val="FootnoteReference"/>
        </w:rPr>
        <w:footnoteReference w:id="7"/>
      </w:r>
      <w:r w:rsidR="00907B9B" w:rsidRPr="00907B9B">
        <w:rPr>
          <w:vertAlign w:val="superscript"/>
        </w:rPr>
        <w:t>,</w:t>
      </w:r>
      <w:r w:rsidR="00907B9B">
        <w:t xml:space="preserve"> </w:t>
      </w:r>
      <w:r w:rsidR="00907B9B">
        <w:rPr>
          <w:rStyle w:val="FootnoteReference"/>
        </w:rPr>
        <w:footnoteReference w:id="8"/>
      </w:r>
      <w:r w:rsidRPr="00685590">
        <w:t>).</w:t>
      </w:r>
    </w:p>
    <w:p w:rsidR="000C52D4" w:rsidRPr="00685590" w:rsidRDefault="000C52D4" w:rsidP="00685590">
      <w:r w:rsidRPr="00685590">
        <w:t>In conclusion, Sandoz considers the mec</w:t>
      </w:r>
      <w:r w:rsidR="00907B9B">
        <w:t xml:space="preserve">hanism of action of G-CSF (that is, </w:t>
      </w:r>
      <w:r w:rsidRPr="00685590">
        <w:t>interaction between filgrastim and the G-CSF receptor) as being the same across all indications. The Phase I studies conducted in the most sensitive setting (healthy volunteers with responsive bone marrow) provided extensive data to show that the treatment effects of EP2006 and Neupogen on the clinically relevant (PD) parameters ANC and CD34</w:t>
      </w:r>
      <w:r w:rsidRPr="00907B9B">
        <w:rPr>
          <w:vertAlign w:val="superscript"/>
        </w:rPr>
        <w:t>+</w:t>
      </w:r>
      <w:r w:rsidRPr="00685590">
        <w:t xml:space="preserve"> are highly comparable and that therefore similar effects for both treatments can be expected in all indications for which Neupogen is approved. The data provided is therefore considered sufficient to extrapolate to the other indications.</w:t>
      </w:r>
    </w:p>
    <w:p w:rsidR="009F7286" w:rsidRPr="00F33DCF" w:rsidRDefault="00907B9B" w:rsidP="00F33DCF">
      <w:pPr>
        <w:rPr>
          <w:i/>
        </w:rPr>
      </w:pPr>
      <w:r w:rsidRPr="00F33DCF">
        <w:rPr>
          <w:i/>
        </w:rPr>
        <w:t xml:space="preserve">Delegate’s </w:t>
      </w:r>
      <w:r w:rsidR="009F7286" w:rsidRPr="00F33DCF">
        <w:rPr>
          <w:i/>
        </w:rPr>
        <w:t xml:space="preserve">Question </w:t>
      </w:r>
      <w:r w:rsidR="000C52D4" w:rsidRPr="00F33DCF">
        <w:rPr>
          <w:i/>
        </w:rPr>
        <w:t xml:space="preserve">4. Is the benefit-risk balance of Zarzio </w:t>
      </w:r>
      <w:r w:rsidR="00F33DCF" w:rsidRPr="00F33DCF">
        <w:rPr>
          <w:i/>
        </w:rPr>
        <w:t>favourable</w:t>
      </w:r>
      <w:r w:rsidR="000C52D4" w:rsidRPr="00F33DCF">
        <w:rPr>
          <w:i/>
        </w:rPr>
        <w:t xml:space="preserve"> in the proposed indications? </w:t>
      </w:r>
    </w:p>
    <w:p w:rsidR="000C52D4" w:rsidRPr="009F7286" w:rsidRDefault="000C52D4" w:rsidP="00907B9B">
      <w:pPr>
        <w:pStyle w:val="Heading5"/>
      </w:pPr>
      <w:r w:rsidRPr="009F7286">
        <w:t xml:space="preserve">Sandoz </w:t>
      </w:r>
      <w:r w:rsidR="009F7286" w:rsidRPr="009F7286">
        <w:t>c</w:t>
      </w:r>
      <w:r w:rsidRPr="009F7286">
        <w:t>omment</w:t>
      </w:r>
      <w:r w:rsidR="00495515">
        <w:t>:</w:t>
      </w:r>
    </w:p>
    <w:p w:rsidR="000C52D4" w:rsidRPr="00685590" w:rsidRDefault="000C52D4" w:rsidP="00685590">
      <w:r w:rsidRPr="00685590">
        <w:t>During the PSUR review period, the efficacy of filgrastim in the approved indications has been further confirmed based on published clinical data and reviews. PSUR JP5, cover</w:t>
      </w:r>
      <w:r w:rsidR="00907B9B">
        <w:t>ing the period from 01 Feb 2011–</w:t>
      </w:r>
      <w:r w:rsidRPr="00685590">
        <w:t xml:space="preserve">31 Jan 2012 </w:t>
      </w:r>
      <w:r w:rsidR="00907B9B">
        <w:t>is provided</w:t>
      </w:r>
      <w:r w:rsidRPr="00685590">
        <w:t>.</w:t>
      </w:r>
    </w:p>
    <w:p w:rsidR="000C52D4" w:rsidRPr="00685590" w:rsidRDefault="000C52D4" w:rsidP="00685590">
      <w:r w:rsidRPr="00685590">
        <w:t xml:space="preserve">The safety profile of the compound remains in line with the previous cumulative experience and the safety information provided in the reference safety information for filgrastim. This confirms the overall </w:t>
      </w:r>
      <w:r w:rsidR="00907B9B" w:rsidRPr="00685590">
        <w:t>favourable</w:t>
      </w:r>
      <w:r w:rsidRPr="00685590">
        <w:t xml:space="preserve"> benefit risk assessment for filgrastim.</w:t>
      </w:r>
    </w:p>
    <w:p w:rsidR="008E7846" w:rsidRDefault="000C52D4" w:rsidP="008E7846">
      <w:r w:rsidRPr="00685590">
        <w:t>As a condition of registration in Australia, PSURs as well as RMPs will be provided in line with the E</w:t>
      </w:r>
      <w:r w:rsidR="00907B9B">
        <w:t xml:space="preserve">U </w:t>
      </w:r>
      <w:r w:rsidRPr="00685590">
        <w:t xml:space="preserve">reference dates and frequency according to ICH E2C (R2) </w:t>
      </w:r>
      <w:r w:rsidRPr="00907B9B">
        <w:rPr>
          <w:i/>
        </w:rPr>
        <w:t>Guideline on Periodic Benefit-Risk Evaluation Reports and Module VII of the EMA Guideline on Good Pharmacovigilance (GPV) Practices relating to Periodic Safety Update Reports</w:t>
      </w:r>
      <w:r w:rsidRPr="00685590">
        <w:t xml:space="preserve"> </w:t>
      </w:r>
      <w:r w:rsidRPr="00907B9B">
        <w:rPr>
          <w:i/>
        </w:rPr>
        <w:t>(PSURs)</w:t>
      </w:r>
      <w:r w:rsidRPr="00685590">
        <w:t>.</w:t>
      </w:r>
    </w:p>
    <w:p w:rsidR="008E7846" w:rsidRDefault="00495515" w:rsidP="008E7846">
      <w:pPr>
        <w:pStyle w:val="Heading4"/>
      </w:pPr>
      <w:r>
        <w:t>Advisory c</w:t>
      </w:r>
      <w:r w:rsidR="008E7846">
        <w:t xml:space="preserve">ommittee </w:t>
      </w:r>
      <w:r>
        <w:t>c</w:t>
      </w:r>
      <w:r w:rsidR="008E7846">
        <w:t>onsiderations</w:t>
      </w:r>
    </w:p>
    <w:p w:rsidR="008E7846" w:rsidRDefault="008E7846" w:rsidP="008E7846">
      <w:pPr>
        <w:rPr>
          <w:bCs/>
        </w:rPr>
      </w:pPr>
      <w:r>
        <w:rPr>
          <w:bCs/>
        </w:rPr>
        <w:t>The Advisory Committee on Prescription Medicines (</w:t>
      </w:r>
      <w:r w:rsidRPr="001C5DFC">
        <w:rPr>
          <w:bCs/>
        </w:rPr>
        <w:t>AC</w:t>
      </w:r>
      <w:r>
        <w:rPr>
          <w:bCs/>
        </w:rPr>
        <w:t>PM)</w:t>
      </w:r>
      <w:r w:rsidR="00506F4A">
        <w:rPr>
          <w:bCs/>
        </w:rPr>
        <w:t>,</w:t>
      </w:r>
      <w:r>
        <w:rPr>
          <w:bCs/>
        </w:rPr>
        <w:t xml:space="preserve"> having considered the evaluations and the Delegate’s overview,</w:t>
      </w:r>
      <w:r w:rsidRPr="001C5DFC">
        <w:rPr>
          <w:bCs/>
        </w:rPr>
        <w:t xml:space="preserve"> </w:t>
      </w:r>
      <w:r>
        <w:rPr>
          <w:bCs/>
        </w:rPr>
        <w:t>as well as the sponsor’s response to these documents, advised the following:</w:t>
      </w:r>
    </w:p>
    <w:p w:rsidR="00BF7BC8" w:rsidRPr="00BF7BC8" w:rsidRDefault="00BF7BC8" w:rsidP="00BF7BC8">
      <w:pPr>
        <w:rPr>
          <w:b/>
          <w:bCs/>
          <w:lang w:val="en-GB"/>
        </w:rPr>
      </w:pPr>
      <w:r w:rsidRPr="00BF7BC8">
        <w:rPr>
          <w:bCs/>
          <w:lang w:val="en-GB"/>
        </w:rPr>
        <w:t>The ACPM, taking into account the submitted evidence of efficacy, safet</w:t>
      </w:r>
      <w:r>
        <w:rPr>
          <w:bCs/>
          <w:lang w:val="en-GB"/>
        </w:rPr>
        <w:t>y and quality, agreed with the D</w:t>
      </w:r>
      <w:r w:rsidRPr="00BF7BC8">
        <w:rPr>
          <w:bCs/>
          <w:lang w:val="en-GB"/>
        </w:rPr>
        <w:t xml:space="preserve">elegate and considered these products to have an overall positive benefit–risk profile for the same indications and dosage as those for </w:t>
      </w:r>
      <w:proofErr w:type="spellStart"/>
      <w:r w:rsidRPr="00BF7BC8">
        <w:rPr>
          <w:bCs/>
          <w:lang w:val="en-GB"/>
        </w:rPr>
        <w:t>Neupogen</w:t>
      </w:r>
      <w:proofErr w:type="spellEnd"/>
      <w:r w:rsidR="00495515">
        <w:rPr>
          <w:b/>
          <w:bCs/>
          <w:lang w:val="en-GB"/>
        </w:rPr>
        <w:t>.</w:t>
      </w:r>
    </w:p>
    <w:p w:rsidR="00BF7BC8" w:rsidRPr="00BF7BC8" w:rsidRDefault="00BF7BC8" w:rsidP="00495515">
      <w:pPr>
        <w:pStyle w:val="Heading5"/>
        <w:rPr>
          <w:lang w:val="en-GB"/>
        </w:rPr>
      </w:pPr>
      <w:r w:rsidRPr="00BF7BC8">
        <w:rPr>
          <w:lang w:val="en-GB"/>
        </w:rPr>
        <w:t>Proposed conditions of registration:</w:t>
      </w:r>
    </w:p>
    <w:p w:rsidR="00BF7BC8" w:rsidRPr="00BF7BC8" w:rsidRDefault="00BF7BC8" w:rsidP="00BF7BC8">
      <w:r>
        <w:t>The ACPM agreed with the D</w:t>
      </w:r>
      <w:r w:rsidRPr="00BF7BC8">
        <w:t>elegate on the proposed condit</w:t>
      </w:r>
      <w:r w:rsidR="00495515">
        <w:t>ions of registration including;</w:t>
      </w:r>
    </w:p>
    <w:p w:rsidR="00BF7BC8" w:rsidRPr="00BF7BC8" w:rsidRDefault="00BF7BC8" w:rsidP="00BF7BC8">
      <w:pPr>
        <w:pStyle w:val="ListBullet"/>
      </w:pPr>
      <w:r w:rsidRPr="00BF7BC8">
        <w:t>the need for agreement on regular batch testing</w:t>
      </w:r>
    </w:p>
    <w:p w:rsidR="00BF7BC8" w:rsidRPr="00BF7BC8" w:rsidRDefault="00BF7BC8" w:rsidP="00BF7BC8">
      <w:r w:rsidRPr="00BF7BC8">
        <w:t>The ACPM advised that the implementation by the sponsor of the recommendations outlined above to the satisfaction of the TGA, in addition to the evidence of efficacy and safety provided would support the safe and e</w:t>
      </w:r>
      <w:r w:rsidR="00495515">
        <w:t>ffective use of these products.</w:t>
      </w:r>
    </w:p>
    <w:p w:rsidR="008E7846" w:rsidRPr="002E238E" w:rsidRDefault="008E7846" w:rsidP="008E7846">
      <w:pPr>
        <w:pStyle w:val="Heading3"/>
      </w:pPr>
      <w:bookmarkStart w:id="168" w:name="_Toc247691532"/>
      <w:bookmarkStart w:id="169" w:name="_Toc314842516"/>
      <w:bookmarkStart w:id="170" w:name="_Toc368569807"/>
      <w:bookmarkEnd w:id="143"/>
      <w:bookmarkEnd w:id="166"/>
      <w:bookmarkEnd w:id="167"/>
      <w:r>
        <w:lastRenderedPageBreak/>
        <w:t>Outcome</w:t>
      </w:r>
      <w:bookmarkEnd w:id="168"/>
      <w:bookmarkEnd w:id="169"/>
      <w:bookmarkEnd w:id="170"/>
    </w:p>
    <w:p w:rsidR="008E7846" w:rsidRPr="00BF54BE" w:rsidRDefault="008E7846" w:rsidP="00BF54BE">
      <w:r w:rsidRPr="00BF54BE">
        <w:t xml:space="preserve">Based on a review of quality, safety and efficacy, TGA approved the registration of </w:t>
      </w:r>
      <w:r w:rsidR="00BF54BE">
        <w:t>Zarzio</w:t>
      </w:r>
      <w:r w:rsidR="00BF54BE" w:rsidRPr="00BF54BE">
        <w:t xml:space="preserve"> solution for injection containing </w:t>
      </w:r>
      <w:proofErr w:type="spellStart"/>
      <w:r w:rsidR="00BF54BE" w:rsidRPr="00BF54BE">
        <w:t>filgrastim</w:t>
      </w:r>
      <w:proofErr w:type="spellEnd"/>
      <w:r w:rsidR="00BF54BE" w:rsidRPr="00BF54BE">
        <w:t xml:space="preserve"> </w:t>
      </w:r>
      <w:proofErr w:type="spellStart"/>
      <w:proofErr w:type="gramStart"/>
      <w:r w:rsidR="00BF54BE" w:rsidRPr="00BF54BE">
        <w:t>rbe</w:t>
      </w:r>
      <w:proofErr w:type="spellEnd"/>
      <w:proofErr w:type="gramEnd"/>
      <w:r w:rsidR="00BF54BE" w:rsidRPr="00BF54BE">
        <w:t xml:space="preserve"> 300</w:t>
      </w:r>
      <w:r w:rsidR="00BF54BE">
        <w:t xml:space="preserve"> µ</w:t>
      </w:r>
      <w:r w:rsidR="00BF54BE" w:rsidRPr="00BF54BE">
        <w:t>g/0.5</w:t>
      </w:r>
      <w:r w:rsidR="00BF54BE">
        <w:t xml:space="preserve"> </w:t>
      </w:r>
      <w:proofErr w:type="spellStart"/>
      <w:r w:rsidR="00BF54BE" w:rsidRPr="00BF54BE">
        <w:t>mL</w:t>
      </w:r>
      <w:proofErr w:type="spellEnd"/>
      <w:r w:rsidR="00BF54BE" w:rsidRPr="00BF54BE">
        <w:t xml:space="preserve"> and</w:t>
      </w:r>
      <w:r w:rsidR="00BF54BE">
        <w:t xml:space="preserve"> </w:t>
      </w:r>
      <w:r w:rsidR="00BF54BE" w:rsidRPr="00BF54BE">
        <w:t>480</w:t>
      </w:r>
      <w:r w:rsidR="00BF54BE">
        <w:t xml:space="preserve"> µ</w:t>
      </w:r>
      <w:r w:rsidR="00BF54BE" w:rsidRPr="00BF54BE">
        <w:t>g/0.5</w:t>
      </w:r>
      <w:r w:rsidR="00BF54BE">
        <w:t xml:space="preserve"> </w:t>
      </w:r>
      <w:r w:rsidR="00BF54BE" w:rsidRPr="00BF54BE">
        <w:t>mL prefilled syringe</w:t>
      </w:r>
      <w:r w:rsidR="00BF54BE">
        <w:t>, for the following indica</w:t>
      </w:r>
      <w:r w:rsidR="00495515">
        <w:t>tions:</w:t>
      </w:r>
    </w:p>
    <w:p w:rsidR="00BF54BE" w:rsidRPr="001A2FD9" w:rsidRDefault="00BF54BE" w:rsidP="001A2FD9">
      <w:pPr>
        <w:ind w:left="720"/>
        <w:rPr>
          <w:i/>
        </w:rPr>
      </w:pPr>
      <w:r w:rsidRPr="001A2FD9">
        <w:rPr>
          <w:i/>
        </w:rPr>
        <w:t xml:space="preserve">Zarzio is indicated to decrease the incidence of infection, as manifested by febrile neutropenia, in patients with non-myeloid malignancies receiving </w:t>
      </w:r>
      <w:proofErr w:type="spellStart"/>
      <w:r w:rsidRPr="001A2FD9">
        <w:rPr>
          <w:i/>
        </w:rPr>
        <w:t>myelosuppressive</w:t>
      </w:r>
      <w:proofErr w:type="spellEnd"/>
      <w:r w:rsidRPr="001A2FD9">
        <w:rPr>
          <w:i/>
        </w:rPr>
        <w:t xml:space="preserve"> anticancer drugs in doses not usually requiring bone marrow transplantation.</w:t>
      </w:r>
    </w:p>
    <w:p w:rsidR="00BF54BE" w:rsidRPr="001A2FD9" w:rsidRDefault="00BF54BE" w:rsidP="001A2FD9">
      <w:pPr>
        <w:ind w:left="720"/>
        <w:rPr>
          <w:i/>
        </w:rPr>
      </w:pPr>
      <w:r w:rsidRPr="001A2FD9">
        <w:rPr>
          <w:i/>
        </w:rPr>
        <w:t xml:space="preserve">Zarzio is indicated for reducing the duration of neutropenia and clinical sequelae in patients undergoing induction and consolidation chemotherapy for acute myeloid </w:t>
      </w:r>
      <w:proofErr w:type="spellStart"/>
      <w:r w:rsidRPr="001A2FD9">
        <w:rPr>
          <w:i/>
        </w:rPr>
        <w:t>Ieukaemia</w:t>
      </w:r>
      <w:proofErr w:type="spellEnd"/>
      <w:r w:rsidRPr="001A2FD9">
        <w:rPr>
          <w:i/>
        </w:rPr>
        <w:t>.</w:t>
      </w:r>
    </w:p>
    <w:p w:rsidR="00BF54BE" w:rsidRPr="001A2FD9" w:rsidRDefault="00BF54BE" w:rsidP="001A2FD9">
      <w:pPr>
        <w:ind w:left="720"/>
        <w:rPr>
          <w:i/>
        </w:rPr>
      </w:pPr>
      <w:r w:rsidRPr="001A2FD9">
        <w:rPr>
          <w:i/>
        </w:rPr>
        <w:t xml:space="preserve">Zarzio is indicated for the mobilisation of </w:t>
      </w:r>
      <w:proofErr w:type="spellStart"/>
      <w:r w:rsidRPr="001A2FD9">
        <w:rPr>
          <w:i/>
        </w:rPr>
        <w:t>autologous</w:t>
      </w:r>
      <w:proofErr w:type="spellEnd"/>
      <w:r w:rsidRPr="001A2FD9">
        <w:rPr>
          <w:i/>
        </w:rPr>
        <w:t xml:space="preserve"> peripheral blood progenitor cells alone, or following </w:t>
      </w:r>
      <w:proofErr w:type="spellStart"/>
      <w:r w:rsidRPr="001A2FD9">
        <w:rPr>
          <w:i/>
        </w:rPr>
        <w:t>myelosuppressive</w:t>
      </w:r>
      <w:proofErr w:type="spellEnd"/>
      <w:r w:rsidRPr="001A2FD9">
        <w:rPr>
          <w:i/>
        </w:rPr>
        <w:t xml:space="preserve"> chemotherapy, in order to accelerate neutrophil and platelet recovery by infusion of such cells after </w:t>
      </w:r>
      <w:proofErr w:type="spellStart"/>
      <w:r w:rsidRPr="001A2FD9">
        <w:rPr>
          <w:i/>
        </w:rPr>
        <w:t>myeloablative</w:t>
      </w:r>
      <w:proofErr w:type="spellEnd"/>
      <w:r w:rsidRPr="001A2FD9">
        <w:rPr>
          <w:i/>
        </w:rPr>
        <w:t xml:space="preserve"> or </w:t>
      </w:r>
      <w:proofErr w:type="spellStart"/>
      <w:r w:rsidRPr="001A2FD9">
        <w:rPr>
          <w:i/>
        </w:rPr>
        <w:t>myelosuppressive</w:t>
      </w:r>
      <w:proofErr w:type="spellEnd"/>
      <w:r w:rsidRPr="001A2FD9">
        <w:rPr>
          <w:i/>
        </w:rPr>
        <w:t xml:space="preserve"> therapy in patients with non-myeloid malignancies.</w:t>
      </w:r>
    </w:p>
    <w:p w:rsidR="00BF54BE" w:rsidRPr="001A2FD9" w:rsidRDefault="00BF54BE" w:rsidP="001A2FD9">
      <w:pPr>
        <w:ind w:left="720"/>
        <w:rPr>
          <w:i/>
        </w:rPr>
      </w:pPr>
      <w:r w:rsidRPr="001A2FD9">
        <w:rPr>
          <w:i/>
        </w:rPr>
        <w:t xml:space="preserve">Zarzio is indicated for the mobilisation of peripheral blood progenitor cells, in normal volunteers, for use in </w:t>
      </w:r>
      <w:proofErr w:type="spellStart"/>
      <w:r w:rsidRPr="001A2FD9">
        <w:rPr>
          <w:i/>
        </w:rPr>
        <w:t>allogeneic</w:t>
      </w:r>
      <w:proofErr w:type="spellEnd"/>
      <w:r w:rsidRPr="001A2FD9">
        <w:rPr>
          <w:i/>
        </w:rPr>
        <w:t xml:space="preserve"> peripheral blood progenitor cell transplantation.</w:t>
      </w:r>
    </w:p>
    <w:p w:rsidR="00BF54BE" w:rsidRPr="001A2FD9" w:rsidRDefault="00BF54BE" w:rsidP="001A2FD9">
      <w:pPr>
        <w:ind w:left="720"/>
        <w:rPr>
          <w:i/>
        </w:rPr>
      </w:pPr>
      <w:r w:rsidRPr="001A2FD9">
        <w:rPr>
          <w:i/>
        </w:rPr>
        <w:t xml:space="preserve">In patients receiving </w:t>
      </w:r>
      <w:proofErr w:type="spellStart"/>
      <w:r w:rsidRPr="001A2FD9">
        <w:rPr>
          <w:i/>
        </w:rPr>
        <w:t>myeloablative</w:t>
      </w:r>
      <w:proofErr w:type="spellEnd"/>
      <w:r w:rsidRPr="001A2FD9">
        <w:rPr>
          <w:i/>
        </w:rPr>
        <w:t xml:space="preserve"> chemotherapy, </w:t>
      </w:r>
      <w:proofErr w:type="spellStart"/>
      <w:r w:rsidRPr="001A2FD9">
        <w:rPr>
          <w:i/>
        </w:rPr>
        <w:t>Zarzio</w:t>
      </w:r>
      <w:proofErr w:type="spellEnd"/>
      <w:r w:rsidRPr="001A2FD9">
        <w:rPr>
          <w:i/>
        </w:rPr>
        <w:t xml:space="preserve"> is indicated for reducing the duration of neutropenia and clinical </w:t>
      </w:r>
      <w:proofErr w:type="spellStart"/>
      <w:r w:rsidRPr="001A2FD9">
        <w:rPr>
          <w:i/>
        </w:rPr>
        <w:t>sequelae</w:t>
      </w:r>
      <w:proofErr w:type="spellEnd"/>
      <w:r w:rsidRPr="001A2FD9">
        <w:rPr>
          <w:i/>
        </w:rPr>
        <w:t xml:space="preserve"> following </w:t>
      </w:r>
      <w:proofErr w:type="spellStart"/>
      <w:r w:rsidRPr="001A2FD9">
        <w:rPr>
          <w:i/>
        </w:rPr>
        <w:t>autologous</w:t>
      </w:r>
      <w:proofErr w:type="spellEnd"/>
      <w:r w:rsidRPr="001A2FD9">
        <w:rPr>
          <w:i/>
        </w:rPr>
        <w:t xml:space="preserve"> or </w:t>
      </w:r>
      <w:proofErr w:type="spellStart"/>
      <w:r w:rsidRPr="001A2FD9">
        <w:rPr>
          <w:i/>
        </w:rPr>
        <w:t>allogeneic</w:t>
      </w:r>
      <w:proofErr w:type="spellEnd"/>
      <w:r w:rsidRPr="001A2FD9">
        <w:rPr>
          <w:i/>
        </w:rPr>
        <w:t xml:space="preserve"> bone marrow transplantation.</w:t>
      </w:r>
    </w:p>
    <w:p w:rsidR="00BF54BE" w:rsidRPr="001A2FD9" w:rsidRDefault="00BF54BE" w:rsidP="001A2FD9">
      <w:pPr>
        <w:ind w:left="720"/>
        <w:rPr>
          <w:i/>
        </w:rPr>
      </w:pPr>
      <w:r w:rsidRPr="001A2FD9">
        <w:rPr>
          <w:i/>
        </w:rPr>
        <w:t>Zarzio is indicated for chronic administration to increase neutrophil counts and to reduce the incidence and duration of infections in patients with severe chronic neutropenia.</w:t>
      </w:r>
    </w:p>
    <w:p w:rsidR="00AA7172" w:rsidRPr="001A2FD9" w:rsidRDefault="00BF54BE" w:rsidP="001A2FD9">
      <w:pPr>
        <w:ind w:left="720"/>
        <w:rPr>
          <w:i/>
        </w:rPr>
      </w:pPr>
      <w:r w:rsidRPr="001A2FD9">
        <w:rPr>
          <w:i/>
        </w:rPr>
        <w:t xml:space="preserve">Zarzio is indicated in patients with HIV infection, for reversal of </w:t>
      </w:r>
      <w:proofErr w:type="spellStart"/>
      <w:r w:rsidRPr="001A2FD9">
        <w:rPr>
          <w:i/>
        </w:rPr>
        <w:t>clinicalIy</w:t>
      </w:r>
      <w:proofErr w:type="spellEnd"/>
      <w:r w:rsidRPr="001A2FD9">
        <w:rPr>
          <w:i/>
        </w:rPr>
        <w:t xml:space="preserve"> significant </w:t>
      </w:r>
      <w:proofErr w:type="spellStart"/>
      <w:r w:rsidRPr="001A2FD9">
        <w:rPr>
          <w:i/>
        </w:rPr>
        <w:t>neutropenia</w:t>
      </w:r>
      <w:proofErr w:type="spellEnd"/>
      <w:r w:rsidRPr="001A2FD9">
        <w:rPr>
          <w:i/>
        </w:rPr>
        <w:t xml:space="preserve"> and subsequent maintenance of adequate neutrophil counts during treatment with antiviral and/or other </w:t>
      </w:r>
      <w:proofErr w:type="spellStart"/>
      <w:r w:rsidRPr="001A2FD9">
        <w:rPr>
          <w:i/>
        </w:rPr>
        <w:t>myelosuppressive</w:t>
      </w:r>
      <w:proofErr w:type="spellEnd"/>
      <w:r w:rsidRPr="001A2FD9">
        <w:rPr>
          <w:i/>
        </w:rPr>
        <w:t xml:space="preserve"> medications.</w:t>
      </w:r>
    </w:p>
    <w:p w:rsidR="00AA7172" w:rsidRPr="00AA7172" w:rsidRDefault="00BF54BE" w:rsidP="00495515">
      <w:pPr>
        <w:pStyle w:val="Heading4"/>
      </w:pPr>
      <w:r>
        <w:t>Specific conditions applying to these therapeutic goods</w:t>
      </w:r>
    </w:p>
    <w:p w:rsidR="00F33DCF" w:rsidRDefault="00AA7172" w:rsidP="00F33DCF">
      <w:pPr>
        <w:pStyle w:val="ListBullet"/>
      </w:pPr>
      <w:r w:rsidRPr="003A442B">
        <w:t>Implement</w:t>
      </w:r>
      <w:r w:rsidR="001A2FD9">
        <w:t>ation of</w:t>
      </w:r>
      <w:r w:rsidRPr="003A442B">
        <w:t xml:space="preserve"> E</w:t>
      </w:r>
      <w:r w:rsidR="001A2FD9">
        <w:t xml:space="preserve">U RMP </w:t>
      </w:r>
      <w:r w:rsidRPr="003A442B">
        <w:t xml:space="preserve">Version 9 dated 20 March 20 12 </w:t>
      </w:r>
      <w:r w:rsidR="00227C84" w:rsidRPr="003A442B">
        <w:t>(data lock point 31 January 20</w:t>
      </w:r>
      <w:r w:rsidRPr="003A442B">
        <w:t>12) and any future updates agreed with the TGA Office of Product Review.</w:t>
      </w:r>
    </w:p>
    <w:p w:rsidR="002739EB" w:rsidRPr="003A442B" w:rsidRDefault="002739EB" w:rsidP="00F33DCF">
      <w:pPr>
        <w:pStyle w:val="ListBullet"/>
      </w:pPr>
      <w:r w:rsidRPr="003A442B">
        <w:t>Batch Release</w:t>
      </w:r>
      <w:r w:rsidR="00BB6785">
        <w:t>:</w:t>
      </w:r>
      <w:r w:rsidR="00F33DCF">
        <w:t xml:space="preserve"> </w:t>
      </w:r>
      <w:r w:rsidRPr="003A442B">
        <w:t xml:space="preserve">All independent batches of </w:t>
      </w:r>
      <w:proofErr w:type="spellStart"/>
      <w:r w:rsidRPr="003A442B">
        <w:t>Z</w:t>
      </w:r>
      <w:r w:rsidR="001A2FD9">
        <w:t>arzio</w:t>
      </w:r>
      <w:proofErr w:type="spellEnd"/>
      <w:r w:rsidR="001A2FD9">
        <w:t xml:space="preserve"> </w:t>
      </w:r>
      <w:r w:rsidRPr="003A442B">
        <w:t>(</w:t>
      </w:r>
      <w:proofErr w:type="spellStart"/>
      <w:r w:rsidRPr="003A442B">
        <w:t>filgrastim</w:t>
      </w:r>
      <w:proofErr w:type="spellEnd"/>
      <w:r w:rsidRPr="003A442B">
        <w:t xml:space="preserve"> (</w:t>
      </w:r>
      <w:proofErr w:type="spellStart"/>
      <w:r w:rsidRPr="003A442B">
        <w:t>rbe</w:t>
      </w:r>
      <w:proofErr w:type="spellEnd"/>
      <w:r w:rsidRPr="003A442B">
        <w:t xml:space="preserve">)) 300 µg/0.5 </w:t>
      </w:r>
      <w:proofErr w:type="spellStart"/>
      <w:r w:rsidRPr="003A442B">
        <w:t>mL</w:t>
      </w:r>
      <w:proofErr w:type="spellEnd"/>
      <w:r w:rsidRPr="003A442B">
        <w:t xml:space="preserve"> solution for injection pre-filled syringe and 480 µg/0.5 mL solution for injection pre-filled syringe imported into Australia are not to be released for sale until samples and/or the manufacturer’s release data have been assessed and endors</w:t>
      </w:r>
      <w:r w:rsidR="00495515">
        <w:t>ed for release by the TGA OLSS.</w:t>
      </w:r>
    </w:p>
    <w:p w:rsidR="008E7846" w:rsidRDefault="00495515" w:rsidP="008E7846">
      <w:pPr>
        <w:pStyle w:val="Heading2"/>
      </w:pPr>
      <w:bookmarkStart w:id="171" w:name="_Toc247691533"/>
      <w:bookmarkStart w:id="172" w:name="_Toc314842517"/>
      <w:bookmarkStart w:id="173" w:name="_Toc368569808"/>
      <w:proofErr w:type="gramStart"/>
      <w:r>
        <w:t>Attachment 1.</w:t>
      </w:r>
      <w:proofErr w:type="gramEnd"/>
      <w:r>
        <w:t xml:space="preserve"> </w:t>
      </w:r>
      <w:r w:rsidR="008E7846">
        <w:t xml:space="preserve">Product </w:t>
      </w:r>
      <w:r w:rsidR="00AA0ED0">
        <w:t>I</w:t>
      </w:r>
      <w:r w:rsidR="008E7846">
        <w:t>nformation</w:t>
      </w:r>
      <w:bookmarkEnd w:id="171"/>
      <w:bookmarkEnd w:id="172"/>
      <w:bookmarkEnd w:id="173"/>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8" w:history="1">
        <w:r w:rsidR="00722B57" w:rsidRPr="00625A6E">
          <w:rPr>
            <w:rStyle w:val="Hyperlink"/>
          </w:rPr>
          <w:t>http://www.tga.gov.au/hp/information-medicines-pi.htm</w:t>
        </w:r>
      </w:hyperlink>
      <w:hyperlink w:history="1"/>
      <w:r w:rsidR="008F6943">
        <w:rPr>
          <w:color w:val="000000"/>
          <w:lang w:eastAsia="en-AU"/>
        </w:rPr>
        <w:t>&gt;.</w:t>
      </w:r>
    </w:p>
    <w:p w:rsidR="006C2F80" w:rsidRDefault="00C80137" w:rsidP="00C80137">
      <w:pPr>
        <w:pStyle w:val="Heading2"/>
        <w:rPr>
          <w:lang w:eastAsia="en-AU"/>
        </w:rPr>
      </w:pPr>
      <w:bookmarkStart w:id="174" w:name="_Toc368569809"/>
      <w:proofErr w:type="gramStart"/>
      <w:r>
        <w:rPr>
          <w:lang w:eastAsia="en-AU"/>
        </w:rPr>
        <w:t>Attachment 2.</w:t>
      </w:r>
      <w:proofErr w:type="gramEnd"/>
      <w:r>
        <w:rPr>
          <w:lang w:eastAsia="en-AU"/>
        </w:rPr>
        <w:t xml:space="preserve"> Extract from the Clinical Evaluation Report</w:t>
      </w:r>
      <w:bookmarkEnd w:id="174"/>
    </w:p>
    <w:p w:rsidR="00C80137" w:rsidRPr="001D043B" w:rsidRDefault="00C80137" w:rsidP="003A7F6C">
      <w:pPr>
        <w:pStyle w:val="TableTitle"/>
        <w:sectPr w:rsidR="00C80137" w:rsidRPr="001D043B" w:rsidSect="00B452CE">
          <w:footerReference w:type="default" r:id="rId29"/>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0"/>
      <w:headerReference w:type="default" r:id="rId31"/>
      <w:footerReference w:type="default" r:id="rId32"/>
      <w:headerReference w:type="first" r:id="rId33"/>
      <w:footerReference w:type="first" r:id="rId3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841" w:rsidRDefault="002C6841" w:rsidP="00C40A36">
      <w:pPr>
        <w:spacing w:after="0"/>
      </w:pPr>
      <w:r>
        <w:separator/>
      </w:r>
    </w:p>
  </w:endnote>
  <w:endnote w:type="continuationSeparator" w:id="0">
    <w:p w:rsidR="002C6841" w:rsidRDefault="002C6841"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2C6841" w:rsidRPr="00487162" w:rsidTr="0053625B">
      <w:trPr>
        <w:trHeight w:val="269"/>
      </w:trPr>
      <w:tc>
        <w:tcPr>
          <w:tcW w:w="7938" w:type="dxa"/>
          <w:tcMar>
            <w:top w:w="142" w:type="dxa"/>
            <w:bottom w:w="0" w:type="dxa"/>
          </w:tcMar>
        </w:tcPr>
        <w:p w:rsidR="002C6841" w:rsidRPr="00487162" w:rsidRDefault="002C6841" w:rsidP="00B72BB8">
          <w:pPr>
            <w:pStyle w:val="Footer"/>
          </w:pPr>
          <w:r w:rsidRPr="00487162">
            <w:t>AusPAR</w:t>
          </w:r>
          <w:r>
            <w:t>:</w:t>
          </w:r>
          <w:r w:rsidRPr="00487162">
            <w:t xml:space="preserve"> </w:t>
          </w:r>
          <w:proofErr w:type="spellStart"/>
          <w:r w:rsidRPr="000D0A6D">
            <w:t>Z</w:t>
          </w:r>
          <w:r>
            <w:t>arzio</w:t>
          </w:r>
          <w:proofErr w:type="spellEnd"/>
          <w:r>
            <w:t>;</w:t>
          </w:r>
          <w:r w:rsidRPr="000D0A6D">
            <w:t xml:space="preserve"> </w:t>
          </w:r>
          <w:proofErr w:type="spellStart"/>
          <w:r w:rsidRPr="000D0A6D">
            <w:t>Filgrastim</w:t>
          </w:r>
          <w:proofErr w:type="spellEnd"/>
          <w:r w:rsidRPr="000D0A6D">
            <w:t xml:space="preserve"> </w:t>
          </w:r>
          <w:r>
            <w:t>(</w:t>
          </w:r>
          <w:proofErr w:type="spellStart"/>
          <w:r w:rsidRPr="000D0A6D">
            <w:t>rbe</w:t>
          </w:r>
          <w:proofErr w:type="spellEnd"/>
          <w:r>
            <w:t>); Sandoz Pty Ltd;</w:t>
          </w:r>
          <w:r w:rsidRPr="000D0A6D">
            <w:t xml:space="preserve"> </w:t>
          </w:r>
          <w:r>
            <w:t>PM-</w:t>
          </w:r>
          <w:r w:rsidRPr="000D0A6D">
            <w:t>2011-03860-3-4</w:t>
          </w:r>
          <w:r>
            <w:t xml:space="preserve"> </w:t>
          </w:r>
          <w:r>
            <w:br/>
          </w:r>
          <w:r w:rsidRPr="00487162">
            <w:t>Date of Finalisation</w:t>
          </w:r>
          <w:r>
            <w:t xml:space="preserve"> 3 October 2013</w:t>
          </w:r>
        </w:p>
      </w:tc>
      <w:tc>
        <w:tcPr>
          <w:tcW w:w="923" w:type="dxa"/>
          <w:tcMar>
            <w:top w:w="142" w:type="dxa"/>
            <w:bottom w:w="0" w:type="dxa"/>
          </w:tcMar>
        </w:tcPr>
        <w:p w:rsidR="002C6841" w:rsidRPr="00487162" w:rsidRDefault="002C6841" w:rsidP="00D855D4">
          <w:pPr>
            <w:pStyle w:val="Footer"/>
            <w:jc w:val="right"/>
          </w:pPr>
          <w:r w:rsidRPr="00487162">
            <w:t xml:space="preserve">Page </w:t>
          </w:r>
          <w:r>
            <w:t>2</w:t>
          </w:r>
          <w:r w:rsidRPr="00487162">
            <w:t xml:space="preserve"> of </w:t>
          </w:r>
          <w:fldSimple w:instr=" NUMPAGES  \* Arabic ">
            <w:r w:rsidR="00FB12B6">
              <w:rPr>
                <w:noProof/>
              </w:rPr>
              <w:t>38</w:t>
            </w:r>
          </w:fldSimple>
        </w:p>
      </w:tc>
    </w:tr>
  </w:tbl>
  <w:p w:rsidR="002C6841" w:rsidRDefault="002C6841"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6946"/>
      <w:gridCol w:w="1915"/>
    </w:tblGrid>
    <w:tr w:rsidR="002C6841" w:rsidRPr="00487162" w:rsidTr="000D0A6D">
      <w:trPr>
        <w:trHeight w:val="269"/>
      </w:trPr>
      <w:tc>
        <w:tcPr>
          <w:tcW w:w="6946" w:type="dxa"/>
          <w:tcMar>
            <w:top w:w="142" w:type="dxa"/>
            <w:bottom w:w="0" w:type="dxa"/>
          </w:tcMar>
        </w:tcPr>
        <w:p w:rsidR="002C6841" w:rsidRPr="00487162" w:rsidRDefault="002C6841" w:rsidP="00B72BB8">
          <w:pPr>
            <w:pStyle w:val="Footer"/>
          </w:pPr>
          <w:r w:rsidRPr="000D0A6D">
            <w:t xml:space="preserve">AusPAR: </w:t>
          </w:r>
          <w:proofErr w:type="spellStart"/>
          <w:r w:rsidRPr="000D0A6D">
            <w:t>Zarzio</w:t>
          </w:r>
          <w:proofErr w:type="spellEnd"/>
          <w:r w:rsidRPr="000D0A6D">
            <w:t xml:space="preserve">; </w:t>
          </w:r>
          <w:proofErr w:type="spellStart"/>
          <w:r w:rsidRPr="000D0A6D">
            <w:t>Filgrastim</w:t>
          </w:r>
          <w:proofErr w:type="spellEnd"/>
          <w:r w:rsidRPr="000D0A6D">
            <w:t xml:space="preserve"> </w:t>
          </w:r>
          <w:r>
            <w:t>(</w:t>
          </w:r>
          <w:proofErr w:type="spellStart"/>
          <w:r w:rsidRPr="000D0A6D">
            <w:t>rbe</w:t>
          </w:r>
          <w:proofErr w:type="spellEnd"/>
          <w:r>
            <w:t>)</w:t>
          </w:r>
          <w:r w:rsidRPr="000D0A6D">
            <w:t>; Sa</w:t>
          </w:r>
          <w:r>
            <w:t>ndoz Pty Ltd; PM-2011-03860-3-4</w:t>
          </w:r>
          <w:r w:rsidRPr="000D0A6D">
            <w:br/>
            <w:t>Date of Finalisation</w:t>
          </w:r>
          <w:r>
            <w:t xml:space="preserve"> 3 October 2013</w:t>
          </w:r>
        </w:p>
      </w:tc>
      <w:tc>
        <w:tcPr>
          <w:tcW w:w="1915" w:type="dxa"/>
          <w:tcMar>
            <w:top w:w="142" w:type="dxa"/>
            <w:bottom w:w="0" w:type="dxa"/>
          </w:tcMar>
        </w:tcPr>
        <w:p w:rsidR="002C6841" w:rsidRPr="00487162" w:rsidRDefault="002C6841" w:rsidP="00E45619">
          <w:pPr>
            <w:pStyle w:val="Footer"/>
            <w:jc w:val="right"/>
          </w:pPr>
          <w:r w:rsidRPr="00487162">
            <w:t xml:space="preserve">Page </w:t>
          </w:r>
          <w:fldSimple w:instr="PAGE">
            <w:r w:rsidR="00FB12B6">
              <w:rPr>
                <w:noProof/>
              </w:rPr>
              <w:t>18</w:t>
            </w:r>
          </w:fldSimple>
          <w:r w:rsidRPr="00487162">
            <w:t xml:space="preserve"> of </w:t>
          </w:r>
          <w:fldSimple w:instr=" NUMPAGES  \* Arabic ">
            <w:r w:rsidR="00FB12B6">
              <w:rPr>
                <w:noProof/>
              </w:rPr>
              <w:t>38</w:t>
            </w:r>
          </w:fldSimple>
        </w:p>
      </w:tc>
    </w:tr>
  </w:tbl>
  <w:p w:rsidR="002C6841" w:rsidRDefault="002C6841"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2C6841" w:rsidRPr="00487162" w:rsidTr="00E45619">
      <w:trPr>
        <w:trHeight w:val="269"/>
      </w:trPr>
      <w:tc>
        <w:tcPr>
          <w:tcW w:w="4519" w:type="dxa"/>
          <w:tcBorders>
            <w:top w:val="single" w:sz="4" w:space="0" w:color="auto"/>
          </w:tcBorders>
          <w:tcMar>
            <w:top w:w="142" w:type="dxa"/>
            <w:bottom w:w="0" w:type="dxa"/>
          </w:tcMar>
        </w:tcPr>
        <w:p w:rsidR="002C6841" w:rsidRPr="00487162" w:rsidRDefault="002C6841" w:rsidP="00FE1DEE">
          <w:pPr>
            <w:pStyle w:val="Footer"/>
          </w:pPr>
          <w:r w:rsidRPr="00487162">
            <w:t>Document title, Part #, Section # - Section title</w:t>
          </w:r>
        </w:p>
        <w:p w:rsidR="002C6841" w:rsidRPr="00487162" w:rsidRDefault="002C6841" w:rsidP="00FE1DEE">
          <w:pPr>
            <w:pStyle w:val="Footer"/>
          </w:pPr>
          <w:r w:rsidRPr="00487162">
            <w:t>V1.0 October 2010</w:t>
          </w:r>
        </w:p>
      </w:tc>
      <w:tc>
        <w:tcPr>
          <w:tcW w:w="4342" w:type="dxa"/>
          <w:tcBorders>
            <w:top w:val="single" w:sz="4" w:space="0" w:color="auto"/>
          </w:tcBorders>
          <w:tcMar>
            <w:top w:w="142" w:type="dxa"/>
            <w:bottom w:w="0" w:type="dxa"/>
          </w:tcMar>
        </w:tcPr>
        <w:p w:rsidR="002C6841" w:rsidRPr="00487162" w:rsidRDefault="002C6841"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2C6841" w:rsidRDefault="002C684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29" w:type="dxa"/>
      <w:tblBorders>
        <w:top w:val="single" w:sz="4" w:space="0" w:color="auto"/>
      </w:tblBorders>
      <w:tblLayout w:type="fixed"/>
      <w:tblCellMar>
        <w:top w:w="170" w:type="dxa"/>
        <w:left w:w="0" w:type="dxa"/>
        <w:bottom w:w="170" w:type="dxa"/>
        <w:right w:w="0" w:type="dxa"/>
      </w:tblCellMar>
      <w:tblLook w:val="04A0"/>
    </w:tblPr>
    <w:tblGrid>
      <w:gridCol w:w="11468"/>
      <w:gridCol w:w="3161"/>
    </w:tblGrid>
    <w:tr w:rsidR="002C6841" w:rsidRPr="00487162" w:rsidTr="00F33E06">
      <w:trPr>
        <w:trHeight w:val="191"/>
      </w:trPr>
      <w:tc>
        <w:tcPr>
          <w:tcW w:w="11468" w:type="dxa"/>
          <w:tcMar>
            <w:top w:w="142" w:type="dxa"/>
            <w:bottom w:w="0" w:type="dxa"/>
          </w:tcMar>
        </w:tcPr>
        <w:p w:rsidR="002C6841" w:rsidRPr="00487162" w:rsidRDefault="002C6841" w:rsidP="00B72BB8">
          <w:pPr>
            <w:pStyle w:val="Footer"/>
          </w:pPr>
          <w:proofErr w:type="spellStart"/>
          <w:r w:rsidRPr="000D0A6D">
            <w:t>AusPAR</w:t>
          </w:r>
          <w:proofErr w:type="spellEnd"/>
          <w:r w:rsidRPr="000D0A6D">
            <w:t xml:space="preserve">: </w:t>
          </w:r>
          <w:proofErr w:type="spellStart"/>
          <w:r w:rsidRPr="000D0A6D">
            <w:t>Zarzio</w:t>
          </w:r>
          <w:proofErr w:type="spellEnd"/>
          <w:r w:rsidRPr="000D0A6D">
            <w:t xml:space="preserve">; </w:t>
          </w:r>
          <w:proofErr w:type="spellStart"/>
          <w:r w:rsidRPr="000D0A6D">
            <w:t>Filgrastim</w:t>
          </w:r>
          <w:proofErr w:type="spellEnd"/>
          <w:r w:rsidRPr="000D0A6D">
            <w:t xml:space="preserve"> </w:t>
          </w:r>
          <w:r>
            <w:t>(</w:t>
          </w:r>
          <w:proofErr w:type="spellStart"/>
          <w:r w:rsidRPr="000D0A6D">
            <w:t>rbe</w:t>
          </w:r>
          <w:proofErr w:type="spellEnd"/>
          <w:r>
            <w:t>)</w:t>
          </w:r>
          <w:r w:rsidRPr="000D0A6D">
            <w:t>; Sa</w:t>
          </w:r>
          <w:r>
            <w:t>ndoz Pty Ltd; PM-2011-03860-3-4</w:t>
          </w:r>
          <w:r w:rsidRPr="000D0A6D">
            <w:br/>
            <w:t>Date of Finalisation</w:t>
          </w:r>
          <w:r>
            <w:t xml:space="preserve"> 3 October 2013</w:t>
          </w:r>
        </w:p>
      </w:tc>
      <w:tc>
        <w:tcPr>
          <w:tcW w:w="3161" w:type="dxa"/>
          <w:tcMar>
            <w:top w:w="142" w:type="dxa"/>
            <w:bottom w:w="0" w:type="dxa"/>
          </w:tcMar>
        </w:tcPr>
        <w:p w:rsidR="002C6841" w:rsidRPr="00487162" w:rsidRDefault="002C6841" w:rsidP="00E45619">
          <w:pPr>
            <w:pStyle w:val="Footer"/>
            <w:jc w:val="right"/>
          </w:pPr>
          <w:r w:rsidRPr="00487162">
            <w:t xml:space="preserve">Page </w:t>
          </w:r>
          <w:fldSimple w:instr="PAGE">
            <w:r>
              <w:rPr>
                <w:noProof/>
              </w:rPr>
              <w:t>20</w:t>
            </w:r>
          </w:fldSimple>
          <w:r w:rsidRPr="00487162">
            <w:t xml:space="preserve"> of </w:t>
          </w:r>
          <w:fldSimple w:instr=" NUMPAGES  \* Arabic ">
            <w:r>
              <w:rPr>
                <w:noProof/>
              </w:rPr>
              <w:t>38</w:t>
            </w:r>
          </w:fldSimple>
        </w:p>
      </w:tc>
    </w:tr>
  </w:tbl>
  <w:p w:rsidR="002C6841" w:rsidRDefault="002C6841"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6946"/>
      <w:gridCol w:w="1915"/>
    </w:tblGrid>
    <w:tr w:rsidR="002C6841" w:rsidRPr="00487162" w:rsidTr="000D0A6D">
      <w:trPr>
        <w:trHeight w:val="269"/>
      </w:trPr>
      <w:tc>
        <w:tcPr>
          <w:tcW w:w="6946" w:type="dxa"/>
          <w:tcMar>
            <w:top w:w="142" w:type="dxa"/>
            <w:bottom w:w="0" w:type="dxa"/>
          </w:tcMar>
        </w:tcPr>
        <w:p w:rsidR="002C6841" w:rsidRPr="00487162" w:rsidRDefault="002C6841" w:rsidP="00B72BB8">
          <w:pPr>
            <w:pStyle w:val="Footer"/>
          </w:pPr>
          <w:proofErr w:type="spellStart"/>
          <w:r w:rsidRPr="000D0A6D">
            <w:t>AusPAR</w:t>
          </w:r>
          <w:proofErr w:type="spellEnd"/>
          <w:r w:rsidRPr="000D0A6D">
            <w:t xml:space="preserve">: </w:t>
          </w:r>
          <w:proofErr w:type="spellStart"/>
          <w:r w:rsidRPr="000D0A6D">
            <w:t>Zarzio</w:t>
          </w:r>
          <w:proofErr w:type="spellEnd"/>
          <w:r w:rsidRPr="000D0A6D">
            <w:t xml:space="preserve">; </w:t>
          </w:r>
          <w:proofErr w:type="spellStart"/>
          <w:r w:rsidRPr="000D0A6D">
            <w:t>Filgrastim</w:t>
          </w:r>
          <w:proofErr w:type="spellEnd"/>
          <w:r w:rsidRPr="000D0A6D">
            <w:t xml:space="preserve"> </w:t>
          </w:r>
          <w:r>
            <w:t>(</w:t>
          </w:r>
          <w:proofErr w:type="spellStart"/>
          <w:r w:rsidRPr="000D0A6D">
            <w:t>rbe</w:t>
          </w:r>
          <w:proofErr w:type="spellEnd"/>
          <w:r>
            <w:t>)</w:t>
          </w:r>
          <w:r w:rsidRPr="000D0A6D">
            <w:t>; Sa</w:t>
          </w:r>
          <w:r>
            <w:t>ndoz Pty Ltd; PM-2011-03860-3-4</w:t>
          </w:r>
          <w:r w:rsidRPr="000D0A6D">
            <w:br/>
            <w:t>Date of Finalisation</w:t>
          </w:r>
          <w:r>
            <w:t xml:space="preserve"> 3 October 2013</w:t>
          </w:r>
        </w:p>
      </w:tc>
      <w:tc>
        <w:tcPr>
          <w:tcW w:w="1915" w:type="dxa"/>
          <w:tcMar>
            <w:top w:w="142" w:type="dxa"/>
            <w:bottom w:w="0" w:type="dxa"/>
          </w:tcMar>
        </w:tcPr>
        <w:p w:rsidR="002C6841" w:rsidRPr="00487162" w:rsidRDefault="002C6841" w:rsidP="00E45619">
          <w:pPr>
            <w:pStyle w:val="Footer"/>
            <w:jc w:val="right"/>
          </w:pPr>
          <w:r w:rsidRPr="00487162">
            <w:t xml:space="preserve">Page </w:t>
          </w:r>
          <w:fldSimple w:instr="PAGE">
            <w:r w:rsidR="00FB12B6">
              <w:rPr>
                <w:noProof/>
              </w:rPr>
              <w:t>28</w:t>
            </w:r>
          </w:fldSimple>
          <w:r w:rsidRPr="00487162">
            <w:t xml:space="preserve"> of </w:t>
          </w:r>
          <w:fldSimple w:instr=" NUMPAGES  \* Arabic ">
            <w:r w:rsidR="00FB12B6">
              <w:rPr>
                <w:noProof/>
              </w:rPr>
              <w:t>38</w:t>
            </w:r>
          </w:fldSimple>
        </w:p>
      </w:tc>
    </w:tr>
  </w:tbl>
  <w:p w:rsidR="002C6841" w:rsidRDefault="002C6841"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2C6841" w:rsidRPr="00487162" w:rsidTr="00E45619">
              <w:trPr>
                <w:trHeight w:hRule="exact" w:val="704"/>
              </w:trPr>
              <w:tc>
                <w:tcPr>
                  <w:tcW w:w="9175" w:type="dxa"/>
                </w:tcPr>
                <w:p w:rsidR="002C6841" w:rsidRPr="00487162" w:rsidRDefault="002C6841" w:rsidP="008E7846">
                  <w:pPr>
                    <w:pStyle w:val="TGASignoff"/>
                  </w:pPr>
                  <w:r w:rsidRPr="00487162">
                    <w:t>Therapeutic Goods Administration</w:t>
                  </w:r>
                </w:p>
              </w:tc>
            </w:tr>
            <w:tr w:rsidR="002C6841" w:rsidRPr="00487162" w:rsidTr="00E45619">
              <w:trPr>
                <w:trHeight w:val="1221"/>
              </w:trPr>
              <w:tc>
                <w:tcPr>
                  <w:tcW w:w="9175" w:type="dxa"/>
                  <w:tcMar>
                    <w:top w:w="28" w:type="dxa"/>
                  </w:tcMar>
                </w:tcPr>
                <w:p w:rsidR="002C6841" w:rsidRPr="00487162" w:rsidRDefault="002C6841" w:rsidP="00E45619">
                  <w:pPr>
                    <w:pStyle w:val="Address"/>
                  </w:pPr>
                  <w:r w:rsidRPr="00487162">
                    <w:t>PO Box 100 Woden ACT 2606 Australia</w:t>
                  </w:r>
                </w:p>
                <w:p w:rsidR="002C6841" w:rsidRPr="00487162" w:rsidRDefault="002C6841"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2C6841" w:rsidRPr="004C239D" w:rsidRDefault="002C6841" w:rsidP="004C239D">
                  <w:pPr>
                    <w:pStyle w:val="Address"/>
                    <w:spacing w:line="260" w:lineRule="atLeast"/>
                    <w:rPr>
                      <w:b/>
                      <w:color w:val="0000FF"/>
                      <w:u w:val="single"/>
                    </w:rPr>
                  </w:pPr>
                  <w:hyperlink r:id="rId2" w:history="1">
                    <w:r w:rsidRPr="00607888">
                      <w:rPr>
                        <w:rStyle w:val="Hyperlink"/>
                        <w:b/>
                      </w:rPr>
                      <w:t>http://www.tga.gov.au</w:t>
                    </w:r>
                  </w:hyperlink>
                </w:p>
              </w:tc>
            </w:tr>
          </w:tbl>
          <w:p w:rsidR="002C6841" w:rsidRDefault="002C6841"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2C6841" w:rsidTr="0010601F">
      <w:trPr>
        <w:trHeight w:val="108"/>
      </w:trPr>
      <w:tc>
        <w:tcPr>
          <w:tcW w:w="8875" w:type="dxa"/>
          <w:gridSpan w:val="2"/>
          <w:tcBorders>
            <w:bottom w:val="single" w:sz="4" w:space="0" w:color="auto"/>
          </w:tcBorders>
          <w:tcMar>
            <w:right w:w="284" w:type="dxa"/>
          </w:tcMar>
        </w:tcPr>
        <w:p w:rsidR="002C6841" w:rsidRDefault="002C6841" w:rsidP="006E08B3">
          <w:pPr>
            <w:pStyle w:val="Heading3"/>
          </w:pPr>
          <w:r>
            <w:t>Copyright</w:t>
          </w:r>
        </w:p>
        <w:p w:rsidR="002C6841" w:rsidRDefault="002C6841" w:rsidP="006E08B3">
          <w:r>
            <w:rPr>
              <w:rFonts w:cs="Arial"/>
            </w:rPr>
            <w:t>©</w:t>
          </w:r>
          <w:r>
            <w:t xml:space="preserve"> Commonwealth of Australia [add year]</w:t>
          </w:r>
        </w:p>
        <w:p w:rsidR="002C6841" w:rsidRDefault="002C684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C6841" w:rsidRDefault="002C6841" w:rsidP="006E08B3">
          <w:pPr>
            <w:pStyle w:val="Heading3"/>
          </w:pPr>
          <w:r>
            <w:t>Confidentiality</w:t>
          </w:r>
        </w:p>
        <w:p w:rsidR="002C6841" w:rsidRDefault="002C684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C6841" w:rsidRDefault="002C6841" w:rsidP="006E08B3">
          <w:r>
            <w:t>For submission made by individuals, all personal details, other than your name, will be removed from your submission before it is published on the TGA’s Internet site.</w:t>
          </w:r>
        </w:p>
        <w:p w:rsidR="002C6841" w:rsidRDefault="002C684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C6841" w:rsidTr="0010601F">
      <w:trPr>
        <w:trHeight w:val="417"/>
      </w:trPr>
      <w:tc>
        <w:tcPr>
          <w:tcW w:w="4519" w:type="dxa"/>
          <w:tcBorders>
            <w:top w:val="single" w:sz="4" w:space="0" w:color="auto"/>
          </w:tcBorders>
          <w:tcMar>
            <w:top w:w="142" w:type="dxa"/>
            <w:bottom w:w="0" w:type="dxa"/>
          </w:tcMar>
        </w:tcPr>
        <w:p w:rsidR="002C6841" w:rsidRDefault="002C6841" w:rsidP="006E08B3">
          <w:r>
            <w:t>Document title, Part #, Section # - Section title</w:t>
          </w:r>
        </w:p>
        <w:p w:rsidR="002C6841" w:rsidRDefault="002C6841" w:rsidP="006E08B3">
          <w:r>
            <w:t>V1.0 October 2010</w:t>
          </w:r>
        </w:p>
      </w:tc>
      <w:tc>
        <w:tcPr>
          <w:tcW w:w="4356" w:type="dxa"/>
          <w:tcBorders>
            <w:top w:val="single" w:sz="4" w:space="0" w:color="auto"/>
          </w:tcBorders>
          <w:tcMar>
            <w:top w:w="142" w:type="dxa"/>
            <w:bottom w:w="0" w:type="dxa"/>
          </w:tcMar>
        </w:tcPr>
        <w:p w:rsidR="002C6841" w:rsidRDefault="002C6841"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2C6841" w:rsidRDefault="002C684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841" w:rsidRDefault="002C6841" w:rsidP="00C40A36">
      <w:pPr>
        <w:spacing w:after="0"/>
      </w:pPr>
      <w:r>
        <w:separator/>
      </w:r>
    </w:p>
  </w:footnote>
  <w:footnote w:type="continuationSeparator" w:id="0">
    <w:p w:rsidR="002C6841" w:rsidRDefault="002C6841" w:rsidP="00C40A36">
      <w:pPr>
        <w:spacing w:after="0"/>
      </w:pPr>
      <w:r>
        <w:continuationSeparator/>
      </w:r>
    </w:p>
  </w:footnote>
  <w:footnote w:id="1">
    <w:p w:rsidR="002C6841" w:rsidRPr="00F036F9" w:rsidRDefault="002C6841" w:rsidP="00B56DDF">
      <w:pPr>
        <w:pStyle w:val="FootnoteText"/>
      </w:pPr>
      <w:r w:rsidRPr="00F036F9">
        <w:rPr>
          <w:vertAlign w:val="superscript"/>
        </w:rPr>
        <w:footnoteRef/>
      </w:r>
      <w:r>
        <w:t xml:space="preserve"> </w:t>
      </w:r>
      <w:proofErr w:type="spellStart"/>
      <w:proofErr w:type="gramStart"/>
      <w:r w:rsidRPr="00F036F9">
        <w:t>rbe</w:t>
      </w:r>
      <w:proofErr w:type="spellEnd"/>
      <w:proofErr w:type="gramEnd"/>
      <w:r w:rsidRPr="00F036F9">
        <w:t xml:space="preserve"> denotes </w:t>
      </w:r>
      <w:r>
        <w:t>‘r</w:t>
      </w:r>
      <w:r w:rsidRPr="00F036F9">
        <w:t>ecom</w:t>
      </w:r>
      <w:r>
        <w:t>binant b</w:t>
      </w:r>
      <w:r w:rsidRPr="00F036F9">
        <w:t xml:space="preserve">acteria </w:t>
      </w:r>
      <w:r w:rsidRPr="00F036F9">
        <w:rPr>
          <w:i/>
        </w:rPr>
        <w:t>E. coli</w:t>
      </w:r>
      <w:r>
        <w:t>’</w:t>
      </w:r>
      <w:r w:rsidRPr="00F036F9">
        <w:t xml:space="preserve"> and</w:t>
      </w:r>
      <w:r>
        <w:t xml:space="preserve"> </w:t>
      </w:r>
      <w:r w:rsidRPr="00F036F9">
        <w:t>indicates production from bacteria (</w:t>
      </w:r>
      <w:r w:rsidRPr="00F036F9">
        <w:rPr>
          <w:i/>
        </w:rPr>
        <w:t>E.</w:t>
      </w:r>
      <w:r>
        <w:rPr>
          <w:i/>
        </w:rPr>
        <w:t xml:space="preserve"> </w:t>
      </w:r>
      <w:r w:rsidRPr="00F036F9">
        <w:rPr>
          <w:i/>
        </w:rPr>
        <w:t>coli</w:t>
      </w:r>
      <w:r w:rsidRPr="00F036F9">
        <w:t>) genetically modified by recombinant DNA technology</w:t>
      </w:r>
      <w:r>
        <w:t>.</w:t>
      </w:r>
    </w:p>
  </w:footnote>
  <w:footnote w:id="2">
    <w:p w:rsidR="002C6841" w:rsidRPr="00310B0D" w:rsidRDefault="002C6841" w:rsidP="00B56DDF">
      <w:pPr>
        <w:pStyle w:val="FootnoteText"/>
        <w:rPr>
          <w:rFonts w:asciiTheme="minorHAnsi" w:hAnsiTheme="minorHAnsi"/>
        </w:rPr>
      </w:pPr>
      <w:r w:rsidRPr="00310B0D">
        <w:rPr>
          <w:rStyle w:val="FootnoteReference"/>
        </w:rPr>
        <w:footnoteRef/>
      </w:r>
      <w:r w:rsidRPr="00310B0D">
        <w:t xml:space="preserve"> Some indications require chronic treatment with Filgrastim; according to the PI, however a definitive time period of usage is not stated.</w:t>
      </w:r>
    </w:p>
  </w:footnote>
  <w:footnote w:id="3">
    <w:p w:rsidR="002C6841" w:rsidRPr="00907B9B" w:rsidRDefault="002C6841" w:rsidP="00B56DDF">
      <w:pPr>
        <w:pStyle w:val="FootnoteText"/>
      </w:pPr>
      <w:r w:rsidRPr="00907B9B">
        <w:rPr>
          <w:rStyle w:val="FootnoteReference"/>
        </w:rPr>
        <w:footnoteRef/>
      </w:r>
      <w:r w:rsidRPr="00907B9B">
        <w:t xml:space="preserve"> </w:t>
      </w:r>
      <w:proofErr w:type="gramStart"/>
      <w:r w:rsidRPr="00907B9B">
        <w:t xml:space="preserve">Heaney M. L. and </w:t>
      </w:r>
      <w:proofErr w:type="spellStart"/>
      <w:r w:rsidRPr="00907B9B">
        <w:t>Golde</w:t>
      </w:r>
      <w:proofErr w:type="spellEnd"/>
      <w:r w:rsidRPr="00907B9B">
        <w:t xml:space="preserve"> D.W. </w:t>
      </w:r>
      <w:proofErr w:type="spellStart"/>
      <w:r w:rsidRPr="00907B9B">
        <w:t>Myelodysplasia</w:t>
      </w:r>
      <w:proofErr w:type="spellEnd"/>
      <w:r w:rsidRPr="00907B9B">
        <w:t>.</w:t>
      </w:r>
      <w:proofErr w:type="gramEnd"/>
      <w:r w:rsidRPr="00907B9B">
        <w:t xml:space="preserve"> </w:t>
      </w:r>
      <w:r w:rsidRPr="00C65C30">
        <w:rPr>
          <w:i/>
          <w:iCs/>
        </w:rPr>
        <w:t>New England Journal of Medicine</w:t>
      </w:r>
      <w:r w:rsidR="00495515">
        <w:t>; 340 (21): 1649-1660, 1999</w:t>
      </w:r>
    </w:p>
  </w:footnote>
  <w:footnote w:id="4">
    <w:p w:rsidR="002C6841" w:rsidRPr="00907B9B" w:rsidRDefault="002C6841" w:rsidP="00B56DDF">
      <w:pPr>
        <w:pStyle w:val="FootnoteText"/>
      </w:pPr>
      <w:r w:rsidRPr="00907B9B">
        <w:rPr>
          <w:rStyle w:val="FootnoteReference"/>
        </w:rPr>
        <w:footnoteRef/>
      </w:r>
      <w:r w:rsidRPr="00907B9B">
        <w:t xml:space="preserve"> </w:t>
      </w:r>
      <w:proofErr w:type="spellStart"/>
      <w:r w:rsidRPr="00907B9B">
        <w:t>Raza</w:t>
      </w:r>
      <w:proofErr w:type="spellEnd"/>
      <w:r w:rsidRPr="00907B9B">
        <w:t xml:space="preserve"> A., Gezer S., </w:t>
      </w:r>
      <w:proofErr w:type="spellStart"/>
      <w:r w:rsidRPr="00907B9B">
        <w:t>Mundle</w:t>
      </w:r>
      <w:proofErr w:type="spellEnd"/>
      <w:r w:rsidRPr="00907B9B">
        <w:t xml:space="preserve"> S., </w:t>
      </w:r>
      <w:proofErr w:type="spellStart"/>
      <w:r w:rsidRPr="00907B9B">
        <w:t>Gao</w:t>
      </w:r>
      <w:proofErr w:type="spellEnd"/>
      <w:r w:rsidRPr="00907B9B">
        <w:t xml:space="preserve"> X., </w:t>
      </w:r>
      <w:proofErr w:type="spellStart"/>
      <w:r w:rsidRPr="00907B9B">
        <w:t>Alvi</w:t>
      </w:r>
      <w:proofErr w:type="spellEnd"/>
      <w:r w:rsidRPr="00907B9B">
        <w:t xml:space="preserve"> S., </w:t>
      </w:r>
      <w:proofErr w:type="spellStart"/>
      <w:r w:rsidRPr="00907B9B">
        <w:t>Borok</w:t>
      </w:r>
      <w:proofErr w:type="spellEnd"/>
      <w:r w:rsidRPr="00907B9B">
        <w:t xml:space="preserve"> R., </w:t>
      </w:r>
      <w:r w:rsidRPr="00C65C30">
        <w:rPr>
          <w:i/>
          <w:iCs/>
        </w:rPr>
        <w:t>et al</w:t>
      </w:r>
      <w:r w:rsidRPr="00907B9B">
        <w:t xml:space="preserve">. Apoptosis in bone marrow biopsy samples involving </w:t>
      </w:r>
      <w:proofErr w:type="spellStart"/>
      <w:r w:rsidRPr="00907B9B">
        <w:t>stromal</w:t>
      </w:r>
      <w:proofErr w:type="spellEnd"/>
      <w:r w:rsidRPr="00907B9B">
        <w:t xml:space="preserve"> and hematopoietic cells in 50 patients with </w:t>
      </w:r>
      <w:proofErr w:type="spellStart"/>
      <w:r w:rsidRPr="00907B9B">
        <w:t>myelodysplastic</w:t>
      </w:r>
      <w:proofErr w:type="spellEnd"/>
      <w:r w:rsidRPr="00907B9B">
        <w:t xml:space="preserve"> syndromes. </w:t>
      </w:r>
      <w:proofErr w:type="gramStart"/>
      <w:r w:rsidRPr="00C65C30">
        <w:rPr>
          <w:i/>
          <w:iCs/>
        </w:rPr>
        <w:t>Blood</w:t>
      </w:r>
      <w:r w:rsidR="00495515">
        <w:t>.</w:t>
      </w:r>
      <w:proofErr w:type="gramEnd"/>
      <w:r w:rsidR="00495515">
        <w:t xml:space="preserve"> 86 (1): 268-276, 1999</w:t>
      </w:r>
    </w:p>
  </w:footnote>
  <w:footnote w:id="5">
    <w:p w:rsidR="002C6841" w:rsidRPr="00907B9B" w:rsidRDefault="002C6841" w:rsidP="00B56DDF">
      <w:pPr>
        <w:pStyle w:val="FootnoteText"/>
      </w:pPr>
      <w:r w:rsidRPr="00907B9B">
        <w:rPr>
          <w:rStyle w:val="FootnoteReference"/>
        </w:rPr>
        <w:footnoteRef/>
      </w:r>
      <w:r w:rsidRPr="00907B9B">
        <w:t xml:space="preserve"> </w:t>
      </w:r>
      <w:proofErr w:type="spellStart"/>
      <w:proofErr w:type="gramStart"/>
      <w:r w:rsidRPr="00907B9B">
        <w:t>Zeidler</w:t>
      </w:r>
      <w:proofErr w:type="spellEnd"/>
      <w:r w:rsidRPr="00907B9B">
        <w:t xml:space="preserve"> C. and </w:t>
      </w:r>
      <w:proofErr w:type="spellStart"/>
      <w:r w:rsidRPr="00907B9B">
        <w:t>Welte</w:t>
      </w:r>
      <w:proofErr w:type="spellEnd"/>
      <w:r w:rsidRPr="00907B9B">
        <w:t xml:space="preserve"> K. </w:t>
      </w:r>
      <w:proofErr w:type="spellStart"/>
      <w:r w:rsidRPr="00907B9B">
        <w:t>Kostman</w:t>
      </w:r>
      <w:proofErr w:type="spellEnd"/>
      <w:r w:rsidRPr="00907B9B">
        <w:t xml:space="preserve"> syndrome and severe congenital neutropenia.</w:t>
      </w:r>
      <w:proofErr w:type="gramEnd"/>
      <w:r>
        <w:t xml:space="preserve"> </w:t>
      </w:r>
      <w:r w:rsidRPr="00C65C30">
        <w:rPr>
          <w:i/>
          <w:iCs/>
        </w:rPr>
        <w:t xml:space="preserve">Seminars in </w:t>
      </w:r>
      <w:proofErr w:type="spellStart"/>
      <w:r w:rsidRPr="00C65C30">
        <w:rPr>
          <w:i/>
          <w:iCs/>
        </w:rPr>
        <w:t>Hematology</w:t>
      </w:r>
      <w:proofErr w:type="spellEnd"/>
      <w:r w:rsidRPr="00907B9B">
        <w:t xml:space="preserve"> 39 (2): 82-88, 2002</w:t>
      </w:r>
    </w:p>
  </w:footnote>
  <w:footnote w:id="6">
    <w:p w:rsidR="002C6841" w:rsidRPr="00907B9B" w:rsidRDefault="002C6841" w:rsidP="00B56DDF">
      <w:pPr>
        <w:pStyle w:val="FootnoteText"/>
      </w:pPr>
      <w:r w:rsidRPr="00907B9B">
        <w:rPr>
          <w:rStyle w:val="FootnoteReference"/>
        </w:rPr>
        <w:footnoteRef/>
      </w:r>
      <w:r w:rsidRPr="00907B9B">
        <w:t xml:space="preserve"> Levesque J.P., Takamatsu Y., Nilsson S.K., </w:t>
      </w:r>
      <w:proofErr w:type="spellStart"/>
      <w:r w:rsidRPr="00907B9B">
        <w:t>Haylock</w:t>
      </w:r>
      <w:proofErr w:type="spellEnd"/>
      <w:r w:rsidRPr="00907B9B">
        <w:t xml:space="preserve"> D.N., Simmons P.J. Vascular call adhesion molecule-1 (CD106) is cleaved by neutrophil proteases in the bone marrow following hematopoietic progenitor cell mobilization by granulocyte colony-stimulating factor. </w:t>
      </w:r>
      <w:proofErr w:type="gramStart"/>
      <w:r w:rsidRPr="00F33DCF">
        <w:rPr>
          <w:i/>
        </w:rPr>
        <w:t>Blood</w:t>
      </w:r>
      <w:r w:rsidRPr="00907B9B">
        <w:t>.</w:t>
      </w:r>
      <w:proofErr w:type="gramEnd"/>
      <w:r w:rsidRPr="00907B9B">
        <w:t xml:space="preserve"> 98 (5): 1289-1297, 2001</w:t>
      </w:r>
      <w:r>
        <w:t>.</w:t>
      </w:r>
    </w:p>
  </w:footnote>
  <w:footnote w:id="7">
    <w:p w:rsidR="002C6841" w:rsidRPr="00907B9B" w:rsidRDefault="002C6841" w:rsidP="00B56DDF">
      <w:pPr>
        <w:pStyle w:val="FootnoteText"/>
      </w:pPr>
      <w:r w:rsidRPr="00907B9B">
        <w:rPr>
          <w:rStyle w:val="FootnoteReference"/>
        </w:rPr>
        <w:footnoteRef/>
      </w:r>
      <w:r w:rsidRPr="00907B9B">
        <w:t xml:space="preserve"> Imamura R., Miyamoto T., Yoshimoto G., </w:t>
      </w:r>
      <w:proofErr w:type="spellStart"/>
      <w:r w:rsidRPr="00907B9B">
        <w:t>Kamezaki</w:t>
      </w:r>
      <w:proofErr w:type="spellEnd"/>
      <w:r w:rsidRPr="00907B9B">
        <w:t xml:space="preserve"> K., Ishikawa F., </w:t>
      </w:r>
      <w:proofErr w:type="spellStart"/>
      <w:r w:rsidRPr="00907B9B">
        <w:t>Henzan</w:t>
      </w:r>
      <w:proofErr w:type="spellEnd"/>
      <w:r w:rsidRPr="00907B9B">
        <w:t xml:space="preserve"> H. </w:t>
      </w:r>
      <w:r w:rsidRPr="00C65C30">
        <w:rPr>
          <w:i/>
          <w:iCs/>
        </w:rPr>
        <w:t>et al</w:t>
      </w:r>
      <w:r w:rsidRPr="00907B9B">
        <w:t xml:space="preserve">. Mobilization of human lymphoid progenitors after treatment with Granulocyte colony-stimulating factor. </w:t>
      </w:r>
      <w:proofErr w:type="gramStart"/>
      <w:r w:rsidRPr="00F33DCF">
        <w:rPr>
          <w:i/>
        </w:rPr>
        <w:t>The journal of immunology</w:t>
      </w:r>
      <w:r w:rsidRPr="00907B9B">
        <w:t>.</w:t>
      </w:r>
      <w:proofErr w:type="gramEnd"/>
      <w:r w:rsidRPr="00907B9B">
        <w:t xml:space="preserve"> 175: 2647-2654, 2005</w:t>
      </w:r>
      <w:r>
        <w:t>.</w:t>
      </w:r>
    </w:p>
  </w:footnote>
  <w:footnote w:id="8">
    <w:p w:rsidR="002C6841" w:rsidRPr="00907B9B" w:rsidRDefault="002C6841" w:rsidP="00B56DDF">
      <w:pPr>
        <w:pStyle w:val="FootnoteText"/>
      </w:pPr>
      <w:r w:rsidRPr="00907B9B">
        <w:rPr>
          <w:rStyle w:val="FootnoteReference"/>
        </w:rPr>
        <w:footnoteRef/>
      </w:r>
      <w:r w:rsidRPr="00907B9B">
        <w:t xml:space="preserve"> Petit I., </w:t>
      </w:r>
      <w:proofErr w:type="spellStart"/>
      <w:r w:rsidRPr="00907B9B">
        <w:t>Szyper-Kravitz</w:t>
      </w:r>
      <w:proofErr w:type="spellEnd"/>
      <w:r w:rsidRPr="00907B9B">
        <w:t xml:space="preserve"> M., </w:t>
      </w:r>
      <w:proofErr w:type="spellStart"/>
      <w:r w:rsidRPr="00907B9B">
        <w:t>Nagler</w:t>
      </w:r>
      <w:proofErr w:type="spellEnd"/>
      <w:r w:rsidRPr="00907B9B">
        <w:t xml:space="preserve"> A., </w:t>
      </w:r>
      <w:proofErr w:type="spellStart"/>
      <w:r w:rsidRPr="00907B9B">
        <w:t>Lahav</w:t>
      </w:r>
      <w:proofErr w:type="spellEnd"/>
      <w:r w:rsidRPr="00907B9B">
        <w:t xml:space="preserve"> M., </w:t>
      </w:r>
      <w:proofErr w:type="spellStart"/>
      <w:r w:rsidRPr="00907B9B">
        <w:t>Peled</w:t>
      </w:r>
      <w:proofErr w:type="spellEnd"/>
      <w:r w:rsidRPr="00907B9B">
        <w:t xml:space="preserve"> A., </w:t>
      </w:r>
      <w:proofErr w:type="spellStart"/>
      <w:r w:rsidRPr="00907B9B">
        <w:t>Habler</w:t>
      </w:r>
      <w:proofErr w:type="spellEnd"/>
      <w:r w:rsidRPr="00907B9B">
        <w:t xml:space="preserve"> L. </w:t>
      </w:r>
      <w:r w:rsidRPr="00C65C30">
        <w:rPr>
          <w:i/>
          <w:iCs/>
        </w:rPr>
        <w:t>et al</w:t>
      </w:r>
      <w:r w:rsidRPr="00907B9B">
        <w:t xml:space="preserve">. G-CSF induces stem cell mobilization by decreasing bone marrow SDF-1 and up-regulating CXCR4. </w:t>
      </w:r>
      <w:r w:rsidRPr="00F33DCF">
        <w:rPr>
          <w:i/>
        </w:rPr>
        <w:t>Nature Immunology</w:t>
      </w:r>
      <w:r w:rsidRPr="00907B9B">
        <w:t xml:space="preserve"> 3: 687-694, 2002</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41" w:rsidRDefault="002C6841"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41" w:rsidRDefault="002C6841">
    <w:pPr>
      <w:rPr>
        <w:noProof/>
        <w:lang w:eastAsia="en-AU"/>
      </w:rPr>
    </w:pPr>
    <w:r w:rsidRPr="00B72BB8">
      <w:rPr>
        <w:noProof/>
        <w:lang w:eastAsia="en-AU"/>
      </w:rPr>
      <w:drawing>
        <wp:anchor distT="0" distB="0" distL="114300" distR="114300" simplePos="0" relativeHeight="251659264"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C6841" w:rsidRDefault="002C6841"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41" w:rsidRDefault="002C684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41" w:rsidRDefault="002C6841">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41" w:rsidRDefault="002C6841">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41" w:rsidRDefault="002C684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41" w:rsidRDefault="002C6841"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41" w:rsidRDefault="002C6841" w:rsidP="006E08B3">
    <w:r>
      <w:t>Therapeutic Goods Administration</w:t>
    </w:r>
  </w:p>
  <w:p w:rsidR="002C6841" w:rsidRDefault="002C6841"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662ACF2"/>
    <w:lvl w:ilvl="0">
      <w:start w:val="1"/>
      <w:numFmt w:val="decimal"/>
      <w:lvlText w:val="%1."/>
      <w:lvlJc w:val="left"/>
      <w:pPr>
        <w:tabs>
          <w:tab w:val="num" w:pos="1492"/>
        </w:tabs>
        <w:ind w:left="1492" w:hanging="360"/>
      </w:pPr>
    </w:lvl>
  </w:abstractNum>
  <w:abstractNum w:abstractNumId="1">
    <w:nsid w:val="FFFFFF7D"/>
    <w:multiLevelType w:val="singleLevel"/>
    <w:tmpl w:val="205CE968"/>
    <w:lvl w:ilvl="0">
      <w:start w:val="1"/>
      <w:numFmt w:val="decimal"/>
      <w:lvlText w:val="%1."/>
      <w:lvlJc w:val="left"/>
      <w:pPr>
        <w:tabs>
          <w:tab w:val="num" w:pos="1209"/>
        </w:tabs>
        <w:ind w:left="1209" w:hanging="360"/>
      </w:pPr>
    </w:lvl>
  </w:abstractNum>
  <w:abstractNum w:abstractNumId="2">
    <w:nsid w:val="FFFFFF7E"/>
    <w:multiLevelType w:val="singleLevel"/>
    <w:tmpl w:val="2430A590"/>
    <w:lvl w:ilvl="0">
      <w:start w:val="1"/>
      <w:numFmt w:val="decimal"/>
      <w:lvlText w:val="%1."/>
      <w:lvlJc w:val="left"/>
      <w:pPr>
        <w:tabs>
          <w:tab w:val="num" w:pos="926"/>
        </w:tabs>
        <w:ind w:left="926" w:hanging="360"/>
      </w:pPr>
    </w:lvl>
  </w:abstractNum>
  <w:abstractNum w:abstractNumId="3">
    <w:nsid w:val="FFFFFF7F"/>
    <w:multiLevelType w:val="singleLevel"/>
    <w:tmpl w:val="860E6F16"/>
    <w:lvl w:ilvl="0">
      <w:start w:val="1"/>
      <w:numFmt w:val="decimal"/>
      <w:lvlText w:val="%1."/>
      <w:lvlJc w:val="left"/>
      <w:pPr>
        <w:tabs>
          <w:tab w:val="num" w:pos="643"/>
        </w:tabs>
        <w:ind w:left="643" w:hanging="360"/>
      </w:pPr>
    </w:lvl>
  </w:abstractNum>
  <w:abstractNum w:abstractNumId="4">
    <w:nsid w:val="FFFFFF80"/>
    <w:multiLevelType w:val="singleLevel"/>
    <w:tmpl w:val="56B498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BCA0C8A"/>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7B4CB56C"/>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553643F6"/>
    <w:multiLevelType w:val="hybridMultilevel"/>
    <w:tmpl w:val="7BC84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6"/>
  </w:num>
  <w:num w:numId="11">
    <w:abstractNumId w:val="3"/>
  </w:num>
  <w:num w:numId="12">
    <w:abstractNumId w:val="2"/>
  </w:num>
  <w:num w:numId="13">
    <w:abstractNumId w:val="1"/>
  </w:num>
  <w:num w:numId="14">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proofState w:spelling="clean" w:grammar="clean"/>
  <w:stylePaneFormatFilter w:val="1004"/>
  <w:stylePaneSortMethod w:val="0000"/>
  <w:defaultTabStop w:val="720"/>
  <w:drawingGridHorizontalSpacing w:val="110"/>
  <w:displayHorizontalDrawingGridEvery w:val="2"/>
  <w:characterSpacingControl w:val="doNotCompress"/>
  <w:hdrShapeDefaults>
    <o:shapedefaults v:ext="edit" spidmax="51202">
      <o:colormenu v:ext="edit" fillcolor="none [3206]"/>
    </o:shapedefaults>
  </w:hdrShapeDefaults>
  <w:footnotePr>
    <w:footnote w:id="-1"/>
    <w:footnote w:id="0"/>
  </w:footnotePr>
  <w:endnotePr>
    <w:endnote w:id="-1"/>
    <w:endnote w:id="0"/>
  </w:endnotePr>
  <w:compat/>
  <w:rsids>
    <w:rsidRoot w:val="0013521A"/>
    <w:rsid w:val="00002031"/>
    <w:rsid w:val="00004734"/>
    <w:rsid w:val="0000568F"/>
    <w:rsid w:val="00006B22"/>
    <w:rsid w:val="0001276A"/>
    <w:rsid w:val="00016916"/>
    <w:rsid w:val="00017D8C"/>
    <w:rsid w:val="000246AE"/>
    <w:rsid w:val="00025C67"/>
    <w:rsid w:val="000472C4"/>
    <w:rsid w:val="00055294"/>
    <w:rsid w:val="0005559E"/>
    <w:rsid w:val="00063DE3"/>
    <w:rsid w:val="0007247C"/>
    <w:rsid w:val="00077775"/>
    <w:rsid w:val="00090471"/>
    <w:rsid w:val="00096AA7"/>
    <w:rsid w:val="000A3AED"/>
    <w:rsid w:val="000B3532"/>
    <w:rsid w:val="000B3A75"/>
    <w:rsid w:val="000C52D4"/>
    <w:rsid w:val="000C690F"/>
    <w:rsid w:val="000D0A6D"/>
    <w:rsid w:val="000D1295"/>
    <w:rsid w:val="000D3746"/>
    <w:rsid w:val="000D391B"/>
    <w:rsid w:val="000D3D6D"/>
    <w:rsid w:val="000D4FC7"/>
    <w:rsid w:val="000D6489"/>
    <w:rsid w:val="000F4869"/>
    <w:rsid w:val="000F5B42"/>
    <w:rsid w:val="000F6D03"/>
    <w:rsid w:val="000F6E6F"/>
    <w:rsid w:val="0010601F"/>
    <w:rsid w:val="0010788A"/>
    <w:rsid w:val="00107A31"/>
    <w:rsid w:val="00110EA5"/>
    <w:rsid w:val="00112F56"/>
    <w:rsid w:val="00125318"/>
    <w:rsid w:val="001305A2"/>
    <w:rsid w:val="00133238"/>
    <w:rsid w:val="0013521A"/>
    <w:rsid w:val="001402A3"/>
    <w:rsid w:val="001412F8"/>
    <w:rsid w:val="0014197B"/>
    <w:rsid w:val="001447CD"/>
    <w:rsid w:val="001516B1"/>
    <w:rsid w:val="00154EBB"/>
    <w:rsid w:val="00156316"/>
    <w:rsid w:val="00162D14"/>
    <w:rsid w:val="00165389"/>
    <w:rsid w:val="00171712"/>
    <w:rsid w:val="0017693F"/>
    <w:rsid w:val="0018110E"/>
    <w:rsid w:val="00181684"/>
    <w:rsid w:val="001843C6"/>
    <w:rsid w:val="001850E0"/>
    <w:rsid w:val="001A2158"/>
    <w:rsid w:val="001A2FD9"/>
    <w:rsid w:val="001A4F1F"/>
    <w:rsid w:val="001A525F"/>
    <w:rsid w:val="001B09F9"/>
    <w:rsid w:val="001B6448"/>
    <w:rsid w:val="001E07CF"/>
    <w:rsid w:val="001E38B8"/>
    <w:rsid w:val="001E59F1"/>
    <w:rsid w:val="001F49EB"/>
    <w:rsid w:val="001F6CBA"/>
    <w:rsid w:val="00201D4E"/>
    <w:rsid w:val="00206FDE"/>
    <w:rsid w:val="002076C9"/>
    <w:rsid w:val="00213C31"/>
    <w:rsid w:val="00220B8A"/>
    <w:rsid w:val="002257F3"/>
    <w:rsid w:val="00227C84"/>
    <w:rsid w:val="00233456"/>
    <w:rsid w:val="002339A5"/>
    <w:rsid w:val="0023751F"/>
    <w:rsid w:val="00252364"/>
    <w:rsid w:val="00257848"/>
    <w:rsid w:val="00267FF3"/>
    <w:rsid w:val="0027084A"/>
    <w:rsid w:val="002730A9"/>
    <w:rsid w:val="002739EB"/>
    <w:rsid w:val="00286434"/>
    <w:rsid w:val="00286C59"/>
    <w:rsid w:val="00291957"/>
    <w:rsid w:val="002942D1"/>
    <w:rsid w:val="0029501A"/>
    <w:rsid w:val="002B1638"/>
    <w:rsid w:val="002B6387"/>
    <w:rsid w:val="002C6841"/>
    <w:rsid w:val="002E4C9A"/>
    <w:rsid w:val="002F11F8"/>
    <w:rsid w:val="002F3F56"/>
    <w:rsid w:val="002F44B5"/>
    <w:rsid w:val="002F7E35"/>
    <w:rsid w:val="003014C8"/>
    <w:rsid w:val="00310B0D"/>
    <w:rsid w:val="00311AC0"/>
    <w:rsid w:val="0032583B"/>
    <w:rsid w:val="00327883"/>
    <w:rsid w:val="00335265"/>
    <w:rsid w:val="00335504"/>
    <w:rsid w:val="00335EC0"/>
    <w:rsid w:val="003521E8"/>
    <w:rsid w:val="003728F3"/>
    <w:rsid w:val="0037496E"/>
    <w:rsid w:val="0038104C"/>
    <w:rsid w:val="0038229D"/>
    <w:rsid w:val="00386150"/>
    <w:rsid w:val="003874CE"/>
    <w:rsid w:val="00390900"/>
    <w:rsid w:val="003A442B"/>
    <w:rsid w:val="003A7F6C"/>
    <w:rsid w:val="003B4D60"/>
    <w:rsid w:val="003B7E39"/>
    <w:rsid w:val="003C0998"/>
    <w:rsid w:val="003C58DC"/>
    <w:rsid w:val="003D1E62"/>
    <w:rsid w:val="003E2486"/>
    <w:rsid w:val="003E3208"/>
    <w:rsid w:val="003F0B04"/>
    <w:rsid w:val="003F3291"/>
    <w:rsid w:val="0040134E"/>
    <w:rsid w:val="0040702C"/>
    <w:rsid w:val="00411E91"/>
    <w:rsid w:val="004214A5"/>
    <w:rsid w:val="00440A2D"/>
    <w:rsid w:val="004564A7"/>
    <w:rsid w:val="004617BF"/>
    <w:rsid w:val="00463658"/>
    <w:rsid w:val="00467786"/>
    <w:rsid w:val="004722CC"/>
    <w:rsid w:val="0049192C"/>
    <w:rsid w:val="004936E4"/>
    <w:rsid w:val="00494E60"/>
    <w:rsid w:val="00495515"/>
    <w:rsid w:val="00497487"/>
    <w:rsid w:val="004B7B76"/>
    <w:rsid w:val="004C239D"/>
    <w:rsid w:val="004C2DCA"/>
    <w:rsid w:val="004D7DD5"/>
    <w:rsid w:val="004F0F38"/>
    <w:rsid w:val="00501921"/>
    <w:rsid w:val="00506F4A"/>
    <w:rsid w:val="00514A8C"/>
    <w:rsid w:val="00530354"/>
    <w:rsid w:val="0053625B"/>
    <w:rsid w:val="005434C6"/>
    <w:rsid w:val="00543B39"/>
    <w:rsid w:val="00550096"/>
    <w:rsid w:val="00557FF9"/>
    <w:rsid w:val="00576378"/>
    <w:rsid w:val="00577130"/>
    <w:rsid w:val="00577945"/>
    <w:rsid w:val="00577E38"/>
    <w:rsid w:val="00580FA4"/>
    <w:rsid w:val="00585322"/>
    <w:rsid w:val="005857C6"/>
    <w:rsid w:val="00592F6E"/>
    <w:rsid w:val="00593AD1"/>
    <w:rsid w:val="005A68B6"/>
    <w:rsid w:val="005C5570"/>
    <w:rsid w:val="005C5FD7"/>
    <w:rsid w:val="005C79A4"/>
    <w:rsid w:val="005D5442"/>
    <w:rsid w:val="005E0E34"/>
    <w:rsid w:val="005E12B7"/>
    <w:rsid w:val="005F6EC8"/>
    <w:rsid w:val="00603F32"/>
    <w:rsid w:val="00617E03"/>
    <w:rsid w:val="00625A6E"/>
    <w:rsid w:val="00632398"/>
    <w:rsid w:val="00640FC3"/>
    <w:rsid w:val="00642020"/>
    <w:rsid w:val="0065337B"/>
    <w:rsid w:val="0065370A"/>
    <w:rsid w:val="0065419D"/>
    <w:rsid w:val="006548F6"/>
    <w:rsid w:val="006604D8"/>
    <w:rsid w:val="00664A5B"/>
    <w:rsid w:val="00671987"/>
    <w:rsid w:val="006763D2"/>
    <w:rsid w:val="00680C08"/>
    <w:rsid w:val="00685590"/>
    <w:rsid w:val="006931B1"/>
    <w:rsid w:val="006A15C0"/>
    <w:rsid w:val="006B0B20"/>
    <w:rsid w:val="006B5EC6"/>
    <w:rsid w:val="006C2F80"/>
    <w:rsid w:val="006C3E2A"/>
    <w:rsid w:val="006C642F"/>
    <w:rsid w:val="006D03E5"/>
    <w:rsid w:val="006D5D3E"/>
    <w:rsid w:val="006E08B3"/>
    <w:rsid w:val="006F17AC"/>
    <w:rsid w:val="006F572E"/>
    <w:rsid w:val="007046D6"/>
    <w:rsid w:val="00705DB0"/>
    <w:rsid w:val="0071153F"/>
    <w:rsid w:val="00712F20"/>
    <w:rsid w:val="00716C7E"/>
    <w:rsid w:val="007228A7"/>
    <w:rsid w:val="00722B57"/>
    <w:rsid w:val="0074253D"/>
    <w:rsid w:val="0074429B"/>
    <w:rsid w:val="007454CD"/>
    <w:rsid w:val="007615BC"/>
    <w:rsid w:val="00762F05"/>
    <w:rsid w:val="007652FF"/>
    <w:rsid w:val="00770EF1"/>
    <w:rsid w:val="00773EF7"/>
    <w:rsid w:val="00774E1D"/>
    <w:rsid w:val="0077675A"/>
    <w:rsid w:val="00780355"/>
    <w:rsid w:val="00785721"/>
    <w:rsid w:val="00793A59"/>
    <w:rsid w:val="007A08B0"/>
    <w:rsid w:val="007B6E9F"/>
    <w:rsid w:val="007C1216"/>
    <w:rsid w:val="007C1AF7"/>
    <w:rsid w:val="007C3D8A"/>
    <w:rsid w:val="007F1CE3"/>
    <w:rsid w:val="00804BB4"/>
    <w:rsid w:val="008057A1"/>
    <w:rsid w:val="00805D27"/>
    <w:rsid w:val="00821776"/>
    <w:rsid w:val="008321F5"/>
    <w:rsid w:val="00832369"/>
    <w:rsid w:val="00834660"/>
    <w:rsid w:val="00836BC2"/>
    <w:rsid w:val="00837764"/>
    <w:rsid w:val="00855858"/>
    <w:rsid w:val="0085641B"/>
    <w:rsid w:val="00857136"/>
    <w:rsid w:val="00876F8C"/>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E55F0"/>
    <w:rsid w:val="008E5AB2"/>
    <w:rsid w:val="008E7846"/>
    <w:rsid w:val="008F1CCC"/>
    <w:rsid w:val="008F2967"/>
    <w:rsid w:val="008F6943"/>
    <w:rsid w:val="00902A21"/>
    <w:rsid w:val="00907B9B"/>
    <w:rsid w:val="00920330"/>
    <w:rsid w:val="009219D7"/>
    <w:rsid w:val="00922D53"/>
    <w:rsid w:val="00923B70"/>
    <w:rsid w:val="00924482"/>
    <w:rsid w:val="00930237"/>
    <w:rsid w:val="0094033B"/>
    <w:rsid w:val="00946EA5"/>
    <w:rsid w:val="00963C08"/>
    <w:rsid w:val="00981873"/>
    <w:rsid w:val="0098585A"/>
    <w:rsid w:val="00995E9E"/>
    <w:rsid w:val="009A4CED"/>
    <w:rsid w:val="009A690D"/>
    <w:rsid w:val="009B1D12"/>
    <w:rsid w:val="009B2D1C"/>
    <w:rsid w:val="009B416B"/>
    <w:rsid w:val="009B4260"/>
    <w:rsid w:val="009C0A06"/>
    <w:rsid w:val="009C4BD5"/>
    <w:rsid w:val="009D7B77"/>
    <w:rsid w:val="009E0BB0"/>
    <w:rsid w:val="009E3FBB"/>
    <w:rsid w:val="009F7286"/>
    <w:rsid w:val="00A031E0"/>
    <w:rsid w:val="00A102E4"/>
    <w:rsid w:val="00A1068C"/>
    <w:rsid w:val="00A1081D"/>
    <w:rsid w:val="00A122EB"/>
    <w:rsid w:val="00A12C42"/>
    <w:rsid w:val="00A14DF7"/>
    <w:rsid w:val="00A3246D"/>
    <w:rsid w:val="00A36FA7"/>
    <w:rsid w:val="00A475B7"/>
    <w:rsid w:val="00A47AF7"/>
    <w:rsid w:val="00A47C3E"/>
    <w:rsid w:val="00A50226"/>
    <w:rsid w:val="00A60BAD"/>
    <w:rsid w:val="00A627E9"/>
    <w:rsid w:val="00A74CD4"/>
    <w:rsid w:val="00A84E36"/>
    <w:rsid w:val="00A90B96"/>
    <w:rsid w:val="00A964D1"/>
    <w:rsid w:val="00AA0ED0"/>
    <w:rsid w:val="00AA3CEB"/>
    <w:rsid w:val="00AA4802"/>
    <w:rsid w:val="00AA7172"/>
    <w:rsid w:val="00AC2B40"/>
    <w:rsid w:val="00AC2BB2"/>
    <w:rsid w:val="00AC2C3C"/>
    <w:rsid w:val="00AC512D"/>
    <w:rsid w:val="00AD0083"/>
    <w:rsid w:val="00AD240B"/>
    <w:rsid w:val="00AE65EB"/>
    <w:rsid w:val="00AE67A7"/>
    <w:rsid w:val="00AF1D94"/>
    <w:rsid w:val="00AF5841"/>
    <w:rsid w:val="00AF60C5"/>
    <w:rsid w:val="00B009C6"/>
    <w:rsid w:val="00B01548"/>
    <w:rsid w:val="00B21D29"/>
    <w:rsid w:val="00B23D1A"/>
    <w:rsid w:val="00B25034"/>
    <w:rsid w:val="00B33588"/>
    <w:rsid w:val="00B33863"/>
    <w:rsid w:val="00B37D17"/>
    <w:rsid w:val="00B4175E"/>
    <w:rsid w:val="00B452CE"/>
    <w:rsid w:val="00B47C3C"/>
    <w:rsid w:val="00B54C25"/>
    <w:rsid w:val="00B56DDF"/>
    <w:rsid w:val="00B72BB8"/>
    <w:rsid w:val="00B7601C"/>
    <w:rsid w:val="00B76B91"/>
    <w:rsid w:val="00B77EB1"/>
    <w:rsid w:val="00B811C6"/>
    <w:rsid w:val="00B85277"/>
    <w:rsid w:val="00B855B0"/>
    <w:rsid w:val="00B92E08"/>
    <w:rsid w:val="00BA6136"/>
    <w:rsid w:val="00BB6785"/>
    <w:rsid w:val="00BB6FF6"/>
    <w:rsid w:val="00BC622A"/>
    <w:rsid w:val="00BE0A78"/>
    <w:rsid w:val="00BE79F0"/>
    <w:rsid w:val="00BF046D"/>
    <w:rsid w:val="00BF1190"/>
    <w:rsid w:val="00BF54BE"/>
    <w:rsid w:val="00BF5D04"/>
    <w:rsid w:val="00BF7BC8"/>
    <w:rsid w:val="00C1164D"/>
    <w:rsid w:val="00C16861"/>
    <w:rsid w:val="00C36C9D"/>
    <w:rsid w:val="00C404A6"/>
    <w:rsid w:val="00C40A36"/>
    <w:rsid w:val="00C44419"/>
    <w:rsid w:val="00C45E7B"/>
    <w:rsid w:val="00C471B1"/>
    <w:rsid w:val="00C53310"/>
    <w:rsid w:val="00C6316B"/>
    <w:rsid w:val="00C634A9"/>
    <w:rsid w:val="00C636B9"/>
    <w:rsid w:val="00C64586"/>
    <w:rsid w:val="00C65C30"/>
    <w:rsid w:val="00C6684A"/>
    <w:rsid w:val="00C70D53"/>
    <w:rsid w:val="00C73D0B"/>
    <w:rsid w:val="00C772FF"/>
    <w:rsid w:val="00C80137"/>
    <w:rsid w:val="00C801AF"/>
    <w:rsid w:val="00C80256"/>
    <w:rsid w:val="00C87094"/>
    <w:rsid w:val="00CB32DD"/>
    <w:rsid w:val="00CB6BC0"/>
    <w:rsid w:val="00CC1B7C"/>
    <w:rsid w:val="00CC727F"/>
    <w:rsid w:val="00CD4693"/>
    <w:rsid w:val="00CF15C3"/>
    <w:rsid w:val="00CF2B6F"/>
    <w:rsid w:val="00CF58B6"/>
    <w:rsid w:val="00D017ED"/>
    <w:rsid w:val="00D040D3"/>
    <w:rsid w:val="00D04C65"/>
    <w:rsid w:val="00D224FE"/>
    <w:rsid w:val="00D6493E"/>
    <w:rsid w:val="00D7301E"/>
    <w:rsid w:val="00D83AE1"/>
    <w:rsid w:val="00D855D4"/>
    <w:rsid w:val="00D861FB"/>
    <w:rsid w:val="00D93466"/>
    <w:rsid w:val="00DA1124"/>
    <w:rsid w:val="00DB75B7"/>
    <w:rsid w:val="00DC6E02"/>
    <w:rsid w:val="00DE02AE"/>
    <w:rsid w:val="00DE117F"/>
    <w:rsid w:val="00DF1D7F"/>
    <w:rsid w:val="00DF4BE4"/>
    <w:rsid w:val="00E02FB4"/>
    <w:rsid w:val="00E12695"/>
    <w:rsid w:val="00E1682B"/>
    <w:rsid w:val="00E20571"/>
    <w:rsid w:val="00E235F7"/>
    <w:rsid w:val="00E23659"/>
    <w:rsid w:val="00E239D4"/>
    <w:rsid w:val="00E26130"/>
    <w:rsid w:val="00E40B22"/>
    <w:rsid w:val="00E45619"/>
    <w:rsid w:val="00E4588F"/>
    <w:rsid w:val="00E46DA3"/>
    <w:rsid w:val="00E51BB1"/>
    <w:rsid w:val="00E624A5"/>
    <w:rsid w:val="00E7344E"/>
    <w:rsid w:val="00E77999"/>
    <w:rsid w:val="00E85449"/>
    <w:rsid w:val="00EA04AA"/>
    <w:rsid w:val="00EA5B90"/>
    <w:rsid w:val="00EB0798"/>
    <w:rsid w:val="00EB40AD"/>
    <w:rsid w:val="00EB586E"/>
    <w:rsid w:val="00EB5FC8"/>
    <w:rsid w:val="00ED3CAD"/>
    <w:rsid w:val="00ED5A41"/>
    <w:rsid w:val="00EE1DE8"/>
    <w:rsid w:val="00EE228B"/>
    <w:rsid w:val="00F033EC"/>
    <w:rsid w:val="00F036F9"/>
    <w:rsid w:val="00F04F68"/>
    <w:rsid w:val="00F12670"/>
    <w:rsid w:val="00F14B27"/>
    <w:rsid w:val="00F26004"/>
    <w:rsid w:val="00F27182"/>
    <w:rsid w:val="00F305F7"/>
    <w:rsid w:val="00F3148D"/>
    <w:rsid w:val="00F325C5"/>
    <w:rsid w:val="00F32FE0"/>
    <w:rsid w:val="00F33DCF"/>
    <w:rsid w:val="00F33E06"/>
    <w:rsid w:val="00F35298"/>
    <w:rsid w:val="00F47333"/>
    <w:rsid w:val="00F47E37"/>
    <w:rsid w:val="00F53C07"/>
    <w:rsid w:val="00F54B65"/>
    <w:rsid w:val="00F60D79"/>
    <w:rsid w:val="00F640B6"/>
    <w:rsid w:val="00F80E40"/>
    <w:rsid w:val="00F848D9"/>
    <w:rsid w:val="00FA4B78"/>
    <w:rsid w:val="00FA5B82"/>
    <w:rsid w:val="00FA639E"/>
    <w:rsid w:val="00FA76B1"/>
    <w:rsid w:val="00FB12B6"/>
    <w:rsid w:val="00FC25E4"/>
    <w:rsid w:val="00FC4EF7"/>
    <w:rsid w:val="00FC6A28"/>
    <w:rsid w:val="00FE14DF"/>
    <w:rsid w:val="00FE1DEE"/>
    <w:rsid w:val="00FE4590"/>
    <w:rsid w:val="00FF2126"/>
    <w:rsid w:val="00FF5755"/>
    <w:rsid w:val="00FF5B2E"/>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56DD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876F8C"/>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Normal"/>
    <w:qFormat/>
    <w:rsid w:val="00016916"/>
    <w:pPr>
      <w:keepNext/>
      <w:spacing w:before="0" w:after="0" w:line="240" w:lineRule="auto"/>
    </w:pPr>
    <w:rPr>
      <w:kern w:val="22"/>
      <w:sz w:val="18"/>
      <w:szCs w:val="18"/>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qFormat/>
    <w:rsid w:val="00227C84"/>
    <w:pPr>
      <w:spacing w:before="0" w:after="0" w:line="240" w:lineRule="auto"/>
      <w:ind w:left="720"/>
      <w:contextualSpacing/>
    </w:pPr>
    <w:rPr>
      <w:rFonts w:ascii="Times New Roman" w:eastAsia="MS Mincho" w:hAnsi="Times New Roman"/>
      <w:sz w:val="24"/>
      <w:szCs w:val="20"/>
      <w:lang w:eastAsia="ja-JP"/>
    </w:rPr>
  </w:style>
  <w:style w:type="paragraph" w:styleId="DocumentMap">
    <w:name w:val="Document Map"/>
    <w:basedOn w:val="Normal"/>
    <w:link w:val="DocumentMapChar"/>
    <w:uiPriority w:val="99"/>
    <w:semiHidden/>
    <w:unhideWhenUsed/>
    <w:rsid w:val="008E5AB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E5AB2"/>
    <w:rPr>
      <w:rFonts w:ascii="Tahoma" w:eastAsia="Cambria" w:hAnsi="Tahoma" w:cs="Tahoma"/>
      <w:sz w:val="16"/>
      <w:szCs w:val="16"/>
    </w:rPr>
  </w:style>
  <w:style w:type="paragraph" w:styleId="FootnoteText">
    <w:name w:val="footnote text"/>
    <w:basedOn w:val="Normal"/>
    <w:link w:val="FootnoteTextChar"/>
    <w:uiPriority w:val="99"/>
    <w:unhideWhenUsed/>
    <w:rsid w:val="00B56DDF"/>
    <w:pPr>
      <w:spacing w:before="0" w:after="0" w:line="240" w:lineRule="auto"/>
    </w:pPr>
    <w:rPr>
      <w:sz w:val="18"/>
      <w:szCs w:val="18"/>
    </w:rPr>
  </w:style>
  <w:style w:type="character" w:customStyle="1" w:styleId="FootnoteTextChar">
    <w:name w:val="Footnote Text Char"/>
    <w:basedOn w:val="DefaultParagraphFont"/>
    <w:link w:val="FootnoteText"/>
    <w:uiPriority w:val="99"/>
    <w:rsid w:val="00B56DDF"/>
    <w:rPr>
      <w:rFonts w:ascii="Cambria" w:eastAsia="Cambria" w:hAnsi="Cambria" w:cs="Times New Roman"/>
      <w:sz w:val="18"/>
      <w:szCs w:val="18"/>
    </w:rPr>
  </w:style>
  <w:style w:type="character" w:styleId="FootnoteReference">
    <w:name w:val="footnote reference"/>
    <w:basedOn w:val="DefaultParagraphFont"/>
    <w:semiHidden/>
    <w:unhideWhenUsed/>
    <w:rsid w:val="008E5AB2"/>
    <w:rPr>
      <w:vertAlign w:val="superscript"/>
    </w:rPr>
  </w:style>
</w:styles>
</file>

<file path=word/webSettings.xml><?xml version="1.0" encoding="utf-8"?>
<w:webSettings xmlns:r="http://schemas.openxmlformats.org/officeDocument/2006/relationships" xmlns:w="http://schemas.openxmlformats.org/wordprocessingml/2006/main">
  <w:divs>
    <w:div w:id="80570942">
      <w:bodyDiv w:val="1"/>
      <w:marLeft w:val="0"/>
      <w:marRight w:val="0"/>
      <w:marTop w:val="0"/>
      <w:marBottom w:val="0"/>
      <w:divBdr>
        <w:top w:val="none" w:sz="0" w:space="0" w:color="auto"/>
        <w:left w:val="none" w:sz="0" w:space="0" w:color="auto"/>
        <w:bottom w:val="none" w:sz="0" w:space="0" w:color="auto"/>
        <w:right w:val="none" w:sz="0" w:space="0" w:color="auto"/>
      </w:divBdr>
    </w:div>
    <w:div w:id="113452884">
      <w:bodyDiv w:val="1"/>
      <w:marLeft w:val="0"/>
      <w:marRight w:val="0"/>
      <w:marTop w:val="0"/>
      <w:marBottom w:val="0"/>
      <w:divBdr>
        <w:top w:val="none" w:sz="0" w:space="0" w:color="auto"/>
        <w:left w:val="none" w:sz="0" w:space="0" w:color="auto"/>
        <w:bottom w:val="none" w:sz="0" w:space="0" w:color="auto"/>
        <w:right w:val="none" w:sz="0" w:space="0" w:color="auto"/>
      </w:divBdr>
    </w:div>
    <w:div w:id="332340293">
      <w:bodyDiv w:val="1"/>
      <w:marLeft w:val="0"/>
      <w:marRight w:val="0"/>
      <w:marTop w:val="0"/>
      <w:marBottom w:val="0"/>
      <w:divBdr>
        <w:top w:val="none" w:sz="0" w:space="0" w:color="auto"/>
        <w:left w:val="none" w:sz="0" w:space="0" w:color="auto"/>
        <w:bottom w:val="none" w:sz="0" w:space="0" w:color="auto"/>
        <w:right w:val="none" w:sz="0" w:space="0" w:color="auto"/>
      </w:divBdr>
    </w:div>
    <w:div w:id="364137202">
      <w:bodyDiv w:val="1"/>
      <w:marLeft w:val="0"/>
      <w:marRight w:val="0"/>
      <w:marTop w:val="0"/>
      <w:marBottom w:val="0"/>
      <w:divBdr>
        <w:top w:val="none" w:sz="0" w:space="0" w:color="auto"/>
        <w:left w:val="none" w:sz="0" w:space="0" w:color="auto"/>
        <w:bottom w:val="none" w:sz="0" w:space="0" w:color="auto"/>
        <w:right w:val="none" w:sz="0" w:space="0" w:color="auto"/>
      </w:divBdr>
    </w:div>
    <w:div w:id="402292381">
      <w:bodyDiv w:val="1"/>
      <w:marLeft w:val="0"/>
      <w:marRight w:val="0"/>
      <w:marTop w:val="0"/>
      <w:marBottom w:val="0"/>
      <w:divBdr>
        <w:top w:val="none" w:sz="0" w:space="0" w:color="auto"/>
        <w:left w:val="none" w:sz="0" w:space="0" w:color="auto"/>
        <w:bottom w:val="none" w:sz="0" w:space="0" w:color="auto"/>
        <w:right w:val="none" w:sz="0" w:space="0" w:color="auto"/>
      </w:divBdr>
    </w:div>
    <w:div w:id="464663969">
      <w:bodyDiv w:val="1"/>
      <w:marLeft w:val="0"/>
      <w:marRight w:val="0"/>
      <w:marTop w:val="0"/>
      <w:marBottom w:val="0"/>
      <w:divBdr>
        <w:top w:val="none" w:sz="0" w:space="0" w:color="auto"/>
        <w:left w:val="none" w:sz="0" w:space="0" w:color="auto"/>
        <w:bottom w:val="none" w:sz="0" w:space="0" w:color="auto"/>
        <w:right w:val="none" w:sz="0" w:space="0" w:color="auto"/>
      </w:divBdr>
    </w:div>
    <w:div w:id="512885788">
      <w:bodyDiv w:val="1"/>
      <w:marLeft w:val="0"/>
      <w:marRight w:val="0"/>
      <w:marTop w:val="0"/>
      <w:marBottom w:val="0"/>
      <w:divBdr>
        <w:top w:val="none" w:sz="0" w:space="0" w:color="auto"/>
        <w:left w:val="none" w:sz="0" w:space="0" w:color="auto"/>
        <w:bottom w:val="none" w:sz="0" w:space="0" w:color="auto"/>
        <w:right w:val="none" w:sz="0" w:space="0" w:color="auto"/>
      </w:divBdr>
    </w:div>
    <w:div w:id="519005426">
      <w:bodyDiv w:val="1"/>
      <w:marLeft w:val="0"/>
      <w:marRight w:val="0"/>
      <w:marTop w:val="0"/>
      <w:marBottom w:val="0"/>
      <w:divBdr>
        <w:top w:val="none" w:sz="0" w:space="0" w:color="auto"/>
        <w:left w:val="none" w:sz="0" w:space="0" w:color="auto"/>
        <w:bottom w:val="none" w:sz="0" w:space="0" w:color="auto"/>
        <w:right w:val="none" w:sz="0" w:space="0" w:color="auto"/>
      </w:divBdr>
    </w:div>
    <w:div w:id="554974214">
      <w:bodyDiv w:val="1"/>
      <w:marLeft w:val="0"/>
      <w:marRight w:val="0"/>
      <w:marTop w:val="0"/>
      <w:marBottom w:val="0"/>
      <w:divBdr>
        <w:top w:val="none" w:sz="0" w:space="0" w:color="auto"/>
        <w:left w:val="none" w:sz="0" w:space="0" w:color="auto"/>
        <w:bottom w:val="none" w:sz="0" w:space="0" w:color="auto"/>
        <w:right w:val="none" w:sz="0" w:space="0" w:color="auto"/>
      </w:divBdr>
    </w:div>
    <w:div w:id="583074788">
      <w:bodyDiv w:val="1"/>
      <w:marLeft w:val="0"/>
      <w:marRight w:val="0"/>
      <w:marTop w:val="0"/>
      <w:marBottom w:val="0"/>
      <w:divBdr>
        <w:top w:val="none" w:sz="0" w:space="0" w:color="auto"/>
        <w:left w:val="none" w:sz="0" w:space="0" w:color="auto"/>
        <w:bottom w:val="none" w:sz="0" w:space="0" w:color="auto"/>
        <w:right w:val="none" w:sz="0" w:space="0" w:color="auto"/>
      </w:divBdr>
    </w:div>
    <w:div w:id="628634485">
      <w:bodyDiv w:val="1"/>
      <w:marLeft w:val="0"/>
      <w:marRight w:val="0"/>
      <w:marTop w:val="0"/>
      <w:marBottom w:val="0"/>
      <w:divBdr>
        <w:top w:val="none" w:sz="0" w:space="0" w:color="auto"/>
        <w:left w:val="none" w:sz="0" w:space="0" w:color="auto"/>
        <w:bottom w:val="none" w:sz="0" w:space="0" w:color="auto"/>
        <w:right w:val="none" w:sz="0" w:space="0" w:color="auto"/>
      </w:divBdr>
    </w:div>
    <w:div w:id="661856077">
      <w:bodyDiv w:val="1"/>
      <w:marLeft w:val="0"/>
      <w:marRight w:val="0"/>
      <w:marTop w:val="0"/>
      <w:marBottom w:val="0"/>
      <w:divBdr>
        <w:top w:val="none" w:sz="0" w:space="0" w:color="auto"/>
        <w:left w:val="none" w:sz="0" w:space="0" w:color="auto"/>
        <w:bottom w:val="none" w:sz="0" w:space="0" w:color="auto"/>
        <w:right w:val="none" w:sz="0" w:space="0" w:color="auto"/>
      </w:divBdr>
    </w:div>
    <w:div w:id="692154123">
      <w:bodyDiv w:val="1"/>
      <w:marLeft w:val="0"/>
      <w:marRight w:val="0"/>
      <w:marTop w:val="0"/>
      <w:marBottom w:val="0"/>
      <w:divBdr>
        <w:top w:val="none" w:sz="0" w:space="0" w:color="auto"/>
        <w:left w:val="none" w:sz="0" w:space="0" w:color="auto"/>
        <w:bottom w:val="none" w:sz="0" w:space="0" w:color="auto"/>
        <w:right w:val="none" w:sz="0" w:space="0" w:color="auto"/>
      </w:divBdr>
    </w:div>
    <w:div w:id="701903159">
      <w:bodyDiv w:val="1"/>
      <w:marLeft w:val="0"/>
      <w:marRight w:val="0"/>
      <w:marTop w:val="0"/>
      <w:marBottom w:val="0"/>
      <w:divBdr>
        <w:top w:val="none" w:sz="0" w:space="0" w:color="auto"/>
        <w:left w:val="none" w:sz="0" w:space="0" w:color="auto"/>
        <w:bottom w:val="none" w:sz="0" w:space="0" w:color="auto"/>
        <w:right w:val="none" w:sz="0" w:space="0" w:color="auto"/>
      </w:divBdr>
    </w:div>
    <w:div w:id="768236423">
      <w:bodyDiv w:val="1"/>
      <w:marLeft w:val="0"/>
      <w:marRight w:val="0"/>
      <w:marTop w:val="0"/>
      <w:marBottom w:val="0"/>
      <w:divBdr>
        <w:top w:val="none" w:sz="0" w:space="0" w:color="auto"/>
        <w:left w:val="none" w:sz="0" w:space="0" w:color="auto"/>
        <w:bottom w:val="none" w:sz="0" w:space="0" w:color="auto"/>
        <w:right w:val="none" w:sz="0" w:space="0" w:color="auto"/>
      </w:divBdr>
    </w:div>
    <w:div w:id="804851888">
      <w:bodyDiv w:val="1"/>
      <w:marLeft w:val="0"/>
      <w:marRight w:val="0"/>
      <w:marTop w:val="0"/>
      <w:marBottom w:val="0"/>
      <w:divBdr>
        <w:top w:val="none" w:sz="0" w:space="0" w:color="auto"/>
        <w:left w:val="none" w:sz="0" w:space="0" w:color="auto"/>
        <w:bottom w:val="none" w:sz="0" w:space="0" w:color="auto"/>
        <w:right w:val="none" w:sz="0" w:space="0" w:color="auto"/>
      </w:divBdr>
    </w:div>
    <w:div w:id="854732068">
      <w:bodyDiv w:val="1"/>
      <w:marLeft w:val="0"/>
      <w:marRight w:val="0"/>
      <w:marTop w:val="0"/>
      <w:marBottom w:val="0"/>
      <w:divBdr>
        <w:top w:val="none" w:sz="0" w:space="0" w:color="auto"/>
        <w:left w:val="none" w:sz="0" w:space="0" w:color="auto"/>
        <w:bottom w:val="none" w:sz="0" w:space="0" w:color="auto"/>
        <w:right w:val="none" w:sz="0" w:space="0" w:color="auto"/>
      </w:divBdr>
    </w:div>
    <w:div w:id="958728744">
      <w:bodyDiv w:val="1"/>
      <w:marLeft w:val="0"/>
      <w:marRight w:val="0"/>
      <w:marTop w:val="0"/>
      <w:marBottom w:val="0"/>
      <w:divBdr>
        <w:top w:val="none" w:sz="0" w:space="0" w:color="auto"/>
        <w:left w:val="none" w:sz="0" w:space="0" w:color="auto"/>
        <w:bottom w:val="none" w:sz="0" w:space="0" w:color="auto"/>
        <w:right w:val="none" w:sz="0" w:space="0" w:color="auto"/>
      </w:divBdr>
    </w:div>
    <w:div w:id="972947883">
      <w:bodyDiv w:val="1"/>
      <w:marLeft w:val="0"/>
      <w:marRight w:val="0"/>
      <w:marTop w:val="0"/>
      <w:marBottom w:val="0"/>
      <w:divBdr>
        <w:top w:val="none" w:sz="0" w:space="0" w:color="auto"/>
        <w:left w:val="none" w:sz="0" w:space="0" w:color="auto"/>
        <w:bottom w:val="none" w:sz="0" w:space="0" w:color="auto"/>
        <w:right w:val="none" w:sz="0" w:space="0" w:color="auto"/>
      </w:divBdr>
    </w:div>
    <w:div w:id="1044595035">
      <w:bodyDiv w:val="1"/>
      <w:marLeft w:val="0"/>
      <w:marRight w:val="0"/>
      <w:marTop w:val="0"/>
      <w:marBottom w:val="0"/>
      <w:divBdr>
        <w:top w:val="none" w:sz="0" w:space="0" w:color="auto"/>
        <w:left w:val="none" w:sz="0" w:space="0" w:color="auto"/>
        <w:bottom w:val="none" w:sz="0" w:space="0" w:color="auto"/>
        <w:right w:val="none" w:sz="0" w:space="0" w:color="auto"/>
      </w:divBdr>
    </w:div>
    <w:div w:id="1127624694">
      <w:bodyDiv w:val="1"/>
      <w:marLeft w:val="0"/>
      <w:marRight w:val="0"/>
      <w:marTop w:val="0"/>
      <w:marBottom w:val="0"/>
      <w:divBdr>
        <w:top w:val="none" w:sz="0" w:space="0" w:color="auto"/>
        <w:left w:val="none" w:sz="0" w:space="0" w:color="auto"/>
        <w:bottom w:val="none" w:sz="0" w:space="0" w:color="auto"/>
        <w:right w:val="none" w:sz="0" w:space="0" w:color="auto"/>
      </w:divBdr>
    </w:div>
    <w:div w:id="1128888852">
      <w:bodyDiv w:val="1"/>
      <w:marLeft w:val="0"/>
      <w:marRight w:val="0"/>
      <w:marTop w:val="0"/>
      <w:marBottom w:val="0"/>
      <w:divBdr>
        <w:top w:val="none" w:sz="0" w:space="0" w:color="auto"/>
        <w:left w:val="none" w:sz="0" w:space="0" w:color="auto"/>
        <w:bottom w:val="none" w:sz="0" w:space="0" w:color="auto"/>
        <w:right w:val="none" w:sz="0" w:space="0" w:color="auto"/>
      </w:divBdr>
    </w:div>
    <w:div w:id="1164199355">
      <w:bodyDiv w:val="1"/>
      <w:marLeft w:val="0"/>
      <w:marRight w:val="0"/>
      <w:marTop w:val="0"/>
      <w:marBottom w:val="0"/>
      <w:divBdr>
        <w:top w:val="none" w:sz="0" w:space="0" w:color="auto"/>
        <w:left w:val="none" w:sz="0" w:space="0" w:color="auto"/>
        <w:bottom w:val="none" w:sz="0" w:space="0" w:color="auto"/>
        <w:right w:val="none" w:sz="0" w:space="0" w:color="auto"/>
      </w:divBdr>
    </w:div>
    <w:div w:id="1169102804">
      <w:bodyDiv w:val="1"/>
      <w:marLeft w:val="0"/>
      <w:marRight w:val="0"/>
      <w:marTop w:val="0"/>
      <w:marBottom w:val="0"/>
      <w:divBdr>
        <w:top w:val="none" w:sz="0" w:space="0" w:color="auto"/>
        <w:left w:val="none" w:sz="0" w:space="0" w:color="auto"/>
        <w:bottom w:val="none" w:sz="0" w:space="0" w:color="auto"/>
        <w:right w:val="none" w:sz="0" w:space="0" w:color="auto"/>
      </w:divBdr>
    </w:div>
    <w:div w:id="1244099707">
      <w:bodyDiv w:val="1"/>
      <w:marLeft w:val="0"/>
      <w:marRight w:val="0"/>
      <w:marTop w:val="0"/>
      <w:marBottom w:val="0"/>
      <w:divBdr>
        <w:top w:val="none" w:sz="0" w:space="0" w:color="auto"/>
        <w:left w:val="none" w:sz="0" w:space="0" w:color="auto"/>
        <w:bottom w:val="none" w:sz="0" w:space="0" w:color="auto"/>
        <w:right w:val="none" w:sz="0" w:space="0" w:color="auto"/>
      </w:divBdr>
    </w:div>
    <w:div w:id="1293633672">
      <w:bodyDiv w:val="1"/>
      <w:marLeft w:val="0"/>
      <w:marRight w:val="0"/>
      <w:marTop w:val="0"/>
      <w:marBottom w:val="0"/>
      <w:divBdr>
        <w:top w:val="none" w:sz="0" w:space="0" w:color="auto"/>
        <w:left w:val="none" w:sz="0" w:space="0" w:color="auto"/>
        <w:bottom w:val="none" w:sz="0" w:space="0" w:color="auto"/>
        <w:right w:val="none" w:sz="0" w:space="0" w:color="auto"/>
      </w:divBdr>
    </w:div>
    <w:div w:id="1308125758">
      <w:bodyDiv w:val="1"/>
      <w:marLeft w:val="0"/>
      <w:marRight w:val="0"/>
      <w:marTop w:val="0"/>
      <w:marBottom w:val="0"/>
      <w:divBdr>
        <w:top w:val="none" w:sz="0" w:space="0" w:color="auto"/>
        <w:left w:val="none" w:sz="0" w:space="0" w:color="auto"/>
        <w:bottom w:val="none" w:sz="0" w:space="0" w:color="auto"/>
        <w:right w:val="none" w:sz="0" w:space="0" w:color="auto"/>
      </w:divBdr>
    </w:div>
    <w:div w:id="1325623162">
      <w:bodyDiv w:val="1"/>
      <w:marLeft w:val="0"/>
      <w:marRight w:val="0"/>
      <w:marTop w:val="0"/>
      <w:marBottom w:val="0"/>
      <w:divBdr>
        <w:top w:val="none" w:sz="0" w:space="0" w:color="auto"/>
        <w:left w:val="none" w:sz="0" w:space="0" w:color="auto"/>
        <w:bottom w:val="none" w:sz="0" w:space="0" w:color="auto"/>
        <w:right w:val="none" w:sz="0" w:space="0" w:color="auto"/>
      </w:divBdr>
    </w:div>
    <w:div w:id="1382561201">
      <w:bodyDiv w:val="1"/>
      <w:marLeft w:val="0"/>
      <w:marRight w:val="0"/>
      <w:marTop w:val="0"/>
      <w:marBottom w:val="0"/>
      <w:divBdr>
        <w:top w:val="none" w:sz="0" w:space="0" w:color="auto"/>
        <w:left w:val="none" w:sz="0" w:space="0" w:color="auto"/>
        <w:bottom w:val="none" w:sz="0" w:space="0" w:color="auto"/>
        <w:right w:val="none" w:sz="0" w:space="0" w:color="auto"/>
      </w:divBdr>
    </w:div>
    <w:div w:id="1399401006">
      <w:bodyDiv w:val="1"/>
      <w:marLeft w:val="0"/>
      <w:marRight w:val="0"/>
      <w:marTop w:val="0"/>
      <w:marBottom w:val="0"/>
      <w:divBdr>
        <w:top w:val="none" w:sz="0" w:space="0" w:color="auto"/>
        <w:left w:val="none" w:sz="0" w:space="0" w:color="auto"/>
        <w:bottom w:val="none" w:sz="0" w:space="0" w:color="auto"/>
        <w:right w:val="none" w:sz="0" w:space="0" w:color="auto"/>
      </w:divBdr>
    </w:div>
    <w:div w:id="1457017693">
      <w:bodyDiv w:val="1"/>
      <w:marLeft w:val="0"/>
      <w:marRight w:val="0"/>
      <w:marTop w:val="0"/>
      <w:marBottom w:val="0"/>
      <w:divBdr>
        <w:top w:val="none" w:sz="0" w:space="0" w:color="auto"/>
        <w:left w:val="none" w:sz="0" w:space="0" w:color="auto"/>
        <w:bottom w:val="none" w:sz="0" w:space="0" w:color="auto"/>
        <w:right w:val="none" w:sz="0" w:space="0" w:color="auto"/>
      </w:divBdr>
    </w:div>
    <w:div w:id="1490436795">
      <w:bodyDiv w:val="1"/>
      <w:marLeft w:val="0"/>
      <w:marRight w:val="0"/>
      <w:marTop w:val="0"/>
      <w:marBottom w:val="0"/>
      <w:divBdr>
        <w:top w:val="none" w:sz="0" w:space="0" w:color="auto"/>
        <w:left w:val="none" w:sz="0" w:space="0" w:color="auto"/>
        <w:bottom w:val="none" w:sz="0" w:space="0" w:color="auto"/>
        <w:right w:val="none" w:sz="0" w:space="0" w:color="auto"/>
      </w:divBdr>
    </w:div>
    <w:div w:id="1505970123">
      <w:bodyDiv w:val="1"/>
      <w:marLeft w:val="0"/>
      <w:marRight w:val="0"/>
      <w:marTop w:val="0"/>
      <w:marBottom w:val="0"/>
      <w:divBdr>
        <w:top w:val="none" w:sz="0" w:space="0" w:color="auto"/>
        <w:left w:val="none" w:sz="0" w:space="0" w:color="auto"/>
        <w:bottom w:val="none" w:sz="0" w:space="0" w:color="auto"/>
        <w:right w:val="none" w:sz="0" w:space="0" w:color="auto"/>
      </w:divBdr>
    </w:div>
    <w:div w:id="1677919266">
      <w:bodyDiv w:val="1"/>
      <w:marLeft w:val="0"/>
      <w:marRight w:val="0"/>
      <w:marTop w:val="0"/>
      <w:marBottom w:val="0"/>
      <w:divBdr>
        <w:top w:val="none" w:sz="0" w:space="0" w:color="auto"/>
        <w:left w:val="none" w:sz="0" w:space="0" w:color="auto"/>
        <w:bottom w:val="none" w:sz="0" w:space="0" w:color="auto"/>
        <w:right w:val="none" w:sz="0" w:space="0" w:color="auto"/>
      </w:divBdr>
    </w:div>
    <w:div w:id="1748382180">
      <w:bodyDiv w:val="1"/>
      <w:marLeft w:val="0"/>
      <w:marRight w:val="0"/>
      <w:marTop w:val="0"/>
      <w:marBottom w:val="0"/>
      <w:divBdr>
        <w:top w:val="none" w:sz="0" w:space="0" w:color="auto"/>
        <w:left w:val="none" w:sz="0" w:space="0" w:color="auto"/>
        <w:bottom w:val="none" w:sz="0" w:space="0" w:color="auto"/>
        <w:right w:val="none" w:sz="0" w:space="0" w:color="auto"/>
      </w:divBdr>
    </w:div>
    <w:div w:id="1759790195">
      <w:bodyDiv w:val="1"/>
      <w:marLeft w:val="0"/>
      <w:marRight w:val="0"/>
      <w:marTop w:val="0"/>
      <w:marBottom w:val="0"/>
      <w:divBdr>
        <w:top w:val="none" w:sz="0" w:space="0" w:color="auto"/>
        <w:left w:val="none" w:sz="0" w:space="0" w:color="auto"/>
        <w:bottom w:val="none" w:sz="0" w:space="0" w:color="auto"/>
        <w:right w:val="none" w:sz="0" w:space="0" w:color="auto"/>
      </w:divBdr>
    </w:div>
    <w:div w:id="1793475390">
      <w:bodyDiv w:val="1"/>
      <w:marLeft w:val="0"/>
      <w:marRight w:val="0"/>
      <w:marTop w:val="0"/>
      <w:marBottom w:val="0"/>
      <w:divBdr>
        <w:top w:val="none" w:sz="0" w:space="0" w:color="auto"/>
        <w:left w:val="none" w:sz="0" w:space="0" w:color="auto"/>
        <w:bottom w:val="none" w:sz="0" w:space="0" w:color="auto"/>
        <w:right w:val="none" w:sz="0" w:space="0" w:color="auto"/>
      </w:divBdr>
    </w:div>
    <w:div w:id="1802724928">
      <w:bodyDiv w:val="1"/>
      <w:marLeft w:val="0"/>
      <w:marRight w:val="0"/>
      <w:marTop w:val="0"/>
      <w:marBottom w:val="0"/>
      <w:divBdr>
        <w:top w:val="none" w:sz="0" w:space="0" w:color="auto"/>
        <w:left w:val="none" w:sz="0" w:space="0" w:color="auto"/>
        <w:bottom w:val="none" w:sz="0" w:space="0" w:color="auto"/>
        <w:right w:val="none" w:sz="0" w:space="0" w:color="auto"/>
      </w:divBdr>
    </w:div>
    <w:div w:id="1821657629">
      <w:bodyDiv w:val="1"/>
      <w:marLeft w:val="0"/>
      <w:marRight w:val="0"/>
      <w:marTop w:val="0"/>
      <w:marBottom w:val="0"/>
      <w:divBdr>
        <w:top w:val="none" w:sz="0" w:space="0" w:color="auto"/>
        <w:left w:val="none" w:sz="0" w:space="0" w:color="auto"/>
        <w:bottom w:val="none" w:sz="0" w:space="0" w:color="auto"/>
        <w:right w:val="none" w:sz="0" w:space="0" w:color="auto"/>
      </w:divBdr>
    </w:div>
    <w:div w:id="1890413416">
      <w:bodyDiv w:val="1"/>
      <w:marLeft w:val="0"/>
      <w:marRight w:val="0"/>
      <w:marTop w:val="0"/>
      <w:marBottom w:val="0"/>
      <w:divBdr>
        <w:top w:val="none" w:sz="0" w:space="0" w:color="auto"/>
        <w:left w:val="none" w:sz="0" w:space="0" w:color="auto"/>
        <w:bottom w:val="none" w:sz="0" w:space="0" w:color="auto"/>
        <w:right w:val="none" w:sz="0" w:space="0" w:color="auto"/>
      </w:divBdr>
    </w:div>
    <w:div w:id="2015765404">
      <w:bodyDiv w:val="1"/>
      <w:marLeft w:val="0"/>
      <w:marRight w:val="0"/>
      <w:marTop w:val="0"/>
      <w:marBottom w:val="0"/>
      <w:divBdr>
        <w:top w:val="none" w:sz="0" w:space="0" w:color="auto"/>
        <w:left w:val="none" w:sz="0" w:space="0" w:color="auto"/>
        <w:bottom w:val="none" w:sz="0" w:space="0" w:color="auto"/>
        <w:right w:val="none" w:sz="0" w:space="0" w:color="auto"/>
      </w:divBdr>
    </w:div>
    <w:div w:id="2040927557">
      <w:bodyDiv w:val="1"/>
      <w:marLeft w:val="0"/>
      <w:marRight w:val="0"/>
      <w:marTop w:val="0"/>
      <w:marBottom w:val="0"/>
      <w:divBdr>
        <w:top w:val="none" w:sz="0" w:space="0" w:color="auto"/>
        <w:left w:val="none" w:sz="0" w:space="0" w:color="auto"/>
        <w:bottom w:val="none" w:sz="0" w:space="0" w:color="auto"/>
        <w:right w:val="none" w:sz="0" w:space="0" w:color="auto"/>
      </w:divBdr>
    </w:div>
    <w:div w:id="2074962583">
      <w:bodyDiv w:val="1"/>
      <w:marLeft w:val="0"/>
      <w:marRight w:val="0"/>
      <w:marTop w:val="0"/>
      <w:marBottom w:val="0"/>
      <w:divBdr>
        <w:top w:val="none" w:sz="0" w:space="0" w:color="auto"/>
        <w:left w:val="none" w:sz="0" w:space="0" w:color="auto"/>
        <w:bottom w:val="none" w:sz="0" w:space="0" w:color="auto"/>
        <w:right w:val="none" w:sz="0" w:space="0" w:color="auto"/>
      </w:divBdr>
    </w:div>
    <w:div w:id="210340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yperlink" Target="http://www.tga.gov.au/hp/information-medicines-pi.htm" TargetMode="External"/><Relationship Id="rId18" Type="http://schemas.openxmlformats.org/officeDocument/2006/relationships/image" Target="media/image3.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ema.europa.eu/docs/en_GB/document_library/Scientific_guideline/2009/09/WC500003955.pdf" TargetMode="External"/><Relationship Id="rId25" Type="http://schemas.openxmlformats.org/officeDocument/2006/relationships/image" Target="media/image5.emf"/><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ema.europa.eu/docs/en_GB/document_library/Scientific_guideline/2009/09/WC500003963.pdf" TargetMode="External"/><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tga.gov.au/pdf/euguide/bwp4934805en.pdf" TargetMode="External"/><Relationship Id="rId23" Type="http://schemas.openxmlformats.org/officeDocument/2006/relationships/header" Target="header5.xml"/><Relationship Id="rId28" Type="http://schemas.openxmlformats.org/officeDocument/2006/relationships/hyperlink" Target="http://www.tga.gov.au/hp/information-medicines-pi.htm"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yperlink" Target="http://www.tga.gov.au/pdf/euguide/chmp043704final.pdf"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header" Target="header6.xml"/><Relationship Id="rId35" Type="http://schemas.openxmlformats.org/officeDocument/2006/relationships/fontTable" Target="fontTable.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4DF72-36B4-4D02-95C4-E43863F2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38</Pages>
  <Words>12821</Words>
  <Characters>73082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85732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Filgrastim (rbe)</dc:title>
  <dc:subject>prescription medicine regulation</dc:subject>
  <dc:creator>Therapeutic Goods Administration</dc:creator>
  <cp:keywords>auspar, prescription, medicine, assessment, regulation, australia, filgrastin (rbe), zarzio, sandoz</cp:keywords>
  <cp:lastModifiedBy>Sheppard, Fran</cp:lastModifiedBy>
  <cp:revision>21</cp:revision>
  <cp:lastPrinted>2010-12-20T22:59:00Z</cp:lastPrinted>
  <dcterms:created xsi:type="dcterms:W3CDTF">2013-10-03T02:15:00Z</dcterms:created>
  <dcterms:modified xsi:type="dcterms:W3CDTF">2013-10-29T00:11:00Z</dcterms:modified>
</cp:coreProperties>
</file>