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7C" w:rsidRPr="00CA4638" w:rsidRDefault="00911E64" w:rsidP="000738BC">
      <w:pPr>
        <w:tabs>
          <w:tab w:val="left" w:pos="8222"/>
        </w:tabs>
        <w:jc w:val="both"/>
        <w:rPr>
          <w:color w:val="3366FF"/>
          <w:sz w:val="24"/>
          <w:szCs w:val="24"/>
        </w:rPr>
      </w:pPr>
      <w:r w:rsidRPr="00CA4638">
        <w:rPr>
          <w:color w:val="3366FF"/>
          <w:sz w:val="24"/>
          <w:szCs w:val="24"/>
        </w:rPr>
        <w:t xml:space="preserve"> </w:t>
      </w:r>
    </w:p>
    <w:p w:rsidR="00012E50" w:rsidRPr="00C17D3C" w:rsidRDefault="00012E50" w:rsidP="00554384">
      <w:pPr>
        <w:pStyle w:val="Title"/>
        <w:rPr>
          <w:szCs w:val="24"/>
        </w:rPr>
      </w:pPr>
      <w:r w:rsidRPr="00C17D3C">
        <w:rPr>
          <w:szCs w:val="24"/>
        </w:rPr>
        <w:t>PRODUCT INFORMATION</w:t>
      </w:r>
    </w:p>
    <w:p w:rsidR="006A4197" w:rsidRPr="00C17D3C" w:rsidRDefault="006A4197" w:rsidP="00554384">
      <w:pPr>
        <w:pStyle w:val="Title"/>
        <w:rPr>
          <w:szCs w:val="24"/>
        </w:rPr>
      </w:pPr>
      <w:r w:rsidRPr="00C17D3C">
        <w:rPr>
          <w:szCs w:val="24"/>
        </w:rPr>
        <w:t>ZARZIO</w:t>
      </w:r>
      <w:r w:rsidRPr="00C17D3C">
        <w:rPr>
          <w:szCs w:val="24"/>
          <w:vertAlign w:val="superscript"/>
        </w:rPr>
        <w:t>®</w:t>
      </w:r>
      <w:r w:rsidRPr="00C17D3C">
        <w:rPr>
          <w:szCs w:val="24"/>
        </w:rPr>
        <w:t xml:space="preserve"> 300μg/0.5mL and 480μg/0.5mL</w:t>
      </w:r>
    </w:p>
    <w:p w:rsidR="006A4197" w:rsidRPr="00CA4638" w:rsidRDefault="006A4197" w:rsidP="00554384">
      <w:pPr>
        <w:pStyle w:val="Title"/>
        <w:rPr>
          <w:szCs w:val="24"/>
        </w:rPr>
      </w:pPr>
      <w:proofErr w:type="gramStart"/>
      <w:r w:rsidRPr="00C17D3C">
        <w:rPr>
          <w:szCs w:val="24"/>
        </w:rPr>
        <w:t>solution</w:t>
      </w:r>
      <w:proofErr w:type="gramEnd"/>
      <w:r w:rsidRPr="00C17D3C">
        <w:rPr>
          <w:szCs w:val="24"/>
        </w:rPr>
        <w:t xml:space="preserve"> for injection (pre-filled syringes)</w:t>
      </w:r>
    </w:p>
    <w:p w:rsidR="00F22BCA" w:rsidRPr="00CA4638" w:rsidRDefault="00F22BCA" w:rsidP="000738BC">
      <w:pPr>
        <w:jc w:val="both"/>
        <w:rPr>
          <w:b/>
          <w:sz w:val="24"/>
          <w:szCs w:val="24"/>
        </w:rPr>
      </w:pPr>
    </w:p>
    <w:p w:rsidR="00F22BCA" w:rsidRPr="00CA4638" w:rsidRDefault="00F22BCA" w:rsidP="000738BC">
      <w:pPr>
        <w:jc w:val="both"/>
        <w:rPr>
          <w:b/>
          <w:sz w:val="24"/>
          <w:szCs w:val="24"/>
        </w:rPr>
      </w:pPr>
    </w:p>
    <w:p w:rsidR="00F22BCA" w:rsidRPr="00CA4638" w:rsidRDefault="00F22BCA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N</w:t>
      </w:r>
      <w:r w:rsidR="001E2D56" w:rsidRPr="00CA4638">
        <w:rPr>
          <w:szCs w:val="24"/>
        </w:rPr>
        <w:t>AME OF THE MEDICINE</w:t>
      </w:r>
      <w:r w:rsidR="009957E1" w:rsidRPr="00CA4638">
        <w:rPr>
          <w:szCs w:val="24"/>
        </w:rPr>
        <w:t xml:space="preserve"> </w:t>
      </w:r>
    </w:p>
    <w:p w:rsidR="006F6CB4" w:rsidRPr="00CA4638" w:rsidRDefault="006F6CB4" w:rsidP="000738BC">
      <w:pPr>
        <w:jc w:val="both"/>
        <w:rPr>
          <w:i/>
          <w:sz w:val="24"/>
          <w:szCs w:val="24"/>
        </w:rPr>
      </w:pPr>
    </w:p>
    <w:p w:rsidR="00CA4C52" w:rsidRPr="00CA4638" w:rsidRDefault="00CA4C52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(</w:t>
      </w:r>
      <w:proofErr w:type="spellStart"/>
      <w:proofErr w:type="gramStart"/>
      <w:r w:rsidRPr="00CA4638">
        <w:rPr>
          <w:sz w:val="24"/>
          <w:szCs w:val="24"/>
        </w:rPr>
        <w:t>rbe</w:t>
      </w:r>
      <w:proofErr w:type="spellEnd"/>
      <w:proofErr w:type="gramEnd"/>
      <w:r w:rsidRPr="00CA4638">
        <w:rPr>
          <w:sz w:val="24"/>
          <w:szCs w:val="24"/>
        </w:rPr>
        <w:t>). A Recombinant Human Granulocyte Colony Stimulating Factor (</w:t>
      </w:r>
      <w:proofErr w:type="spellStart"/>
      <w:r w:rsidRPr="00CA4638">
        <w:rPr>
          <w:sz w:val="24"/>
          <w:szCs w:val="24"/>
        </w:rPr>
        <w:t>rmetHuG</w:t>
      </w:r>
      <w:proofErr w:type="spellEnd"/>
      <w:r w:rsidRPr="00CA4638">
        <w:rPr>
          <w:sz w:val="24"/>
          <w:szCs w:val="24"/>
        </w:rPr>
        <w:t xml:space="preserve">-CSF) derived from </w:t>
      </w:r>
      <w:r w:rsidRPr="00E84874">
        <w:rPr>
          <w:i/>
          <w:sz w:val="24"/>
          <w:szCs w:val="24"/>
        </w:rPr>
        <w:t>E. coli</w:t>
      </w:r>
      <w:r w:rsidRPr="00CA4638">
        <w:rPr>
          <w:sz w:val="24"/>
          <w:szCs w:val="24"/>
        </w:rPr>
        <w:t>.</w:t>
      </w:r>
    </w:p>
    <w:p w:rsidR="00CA4C52" w:rsidRPr="00CA4638" w:rsidRDefault="00CA4C52" w:rsidP="000738BC">
      <w:pPr>
        <w:jc w:val="both"/>
        <w:rPr>
          <w:sz w:val="24"/>
          <w:szCs w:val="24"/>
        </w:rPr>
      </w:pPr>
    </w:p>
    <w:p w:rsidR="002532E3" w:rsidRPr="00CA4638" w:rsidRDefault="00C111DF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>Chemical</w:t>
      </w:r>
      <w:r w:rsidR="002E3BD7" w:rsidRPr="00CA4638">
        <w:rPr>
          <w:sz w:val="24"/>
          <w:szCs w:val="24"/>
        </w:rPr>
        <w:t xml:space="preserve"> name</w:t>
      </w:r>
      <w:r w:rsidR="002532E3" w:rsidRPr="00CA4638">
        <w:rPr>
          <w:sz w:val="24"/>
          <w:szCs w:val="24"/>
        </w:rPr>
        <w:t xml:space="preserve">: </w:t>
      </w:r>
      <w:r w:rsidR="002532E3" w:rsidRPr="00E84874">
        <w:rPr>
          <w:i/>
          <w:sz w:val="24"/>
          <w:szCs w:val="24"/>
        </w:rPr>
        <w:t>N-(L</w:t>
      </w:r>
      <w:r w:rsidR="002532E3" w:rsidRPr="00CA4638">
        <w:rPr>
          <w:sz w:val="24"/>
          <w:szCs w:val="24"/>
        </w:rPr>
        <w:t>-</w:t>
      </w:r>
      <w:proofErr w:type="spellStart"/>
      <w:r w:rsidR="002532E3" w:rsidRPr="00CA4638">
        <w:rPr>
          <w:sz w:val="24"/>
          <w:szCs w:val="24"/>
        </w:rPr>
        <w:t>Methionyl</w:t>
      </w:r>
      <w:proofErr w:type="spellEnd"/>
      <w:r w:rsidR="002532E3" w:rsidRPr="00CA4638">
        <w:rPr>
          <w:sz w:val="24"/>
          <w:szCs w:val="24"/>
        </w:rPr>
        <w:t xml:space="preserve">) granulocyte colony-stimulating factor; recombinant </w:t>
      </w:r>
      <w:proofErr w:type="spellStart"/>
      <w:r w:rsidR="005D709D">
        <w:rPr>
          <w:sz w:val="24"/>
          <w:szCs w:val="24"/>
        </w:rPr>
        <w:t>methionylated</w:t>
      </w:r>
      <w:proofErr w:type="spellEnd"/>
      <w:r w:rsidR="005D709D" w:rsidRPr="00CA4638">
        <w:rPr>
          <w:sz w:val="24"/>
          <w:szCs w:val="24"/>
        </w:rPr>
        <w:t xml:space="preserve"> </w:t>
      </w:r>
      <w:r w:rsidR="002532E3" w:rsidRPr="00CA4638">
        <w:rPr>
          <w:sz w:val="24"/>
          <w:szCs w:val="24"/>
        </w:rPr>
        <w:t>human Granulocyte Colony-Stimulating Factor</w:t>
      </w:r>
      <w:r w:rsidR="00CA4C52" w:rsidRPr="00CA4638">
        <w:rPr>
          <w:sz w:val="24"/>
          <w:szCs w:val="24"/>
        </w:rPr>
        <w:t>.</w:t>
      </w:r>
    </w:p>
    <w:p w:rsidR="002E3BD7" w:rsidRPr="00CA4638" w:rsidRDefault="002E3BD7" w:rsidP="000738BC">
      <w:pPr>
        <w:jc w:val="both"/>
        <w:rPr>
          <w:sz w:val="24"/>
          <w:szCs w:val="24"/>
        </w:rPr>
      </w:pPr>
    </w:p>
    <w:p w:rsidR="008F54CB" w:rsidRPr="00CA4638" w:rsidRDefault="008F54CB" w:rsidP="000738BC">
      <w:pPr>
        <w:pStyle w:val="Heading1"/>
        <w:jc w:val="both"/>
        <w:rPr>
          <w:b w:val="0"/>
          <w:szCs w:val="24"/>
          <w:lang w:val="en-US"/>
        </w:rPr>
      </w:pPr>
      <w:r w:rsidRPr="00CA4638">
        <w:rPr>
          <w:b w:val="0"/>
          <w:szCs w:val="24"/>
          <w:lang w:val="en-US"/>
        </w:rPr>
        <w:t>CAS Number: 121181-53-1</w:t>
      </w:r>
    </w:p>
    <w:p w:rsidR="000E60EC" w:rsidRPr="00CA4638" w:rsidRDefault="000E60EC" w:rsidP="000738BC">
      <w:pPr>
        <w:pStyle w:val="Heading1"/>
        <w:tabs>
          <w:tab w:val="left" w:pos="4943"/>
        </w:tabs>
        <w:jc w:val="both"/>
        <w:rPr>
          <w:szCs w:val="24"/>
          <w:lang w:val="en-US"/>
        </w:rPr>
      </w:pPr>
    </w:p>
    <w:p w:rsidR="002532E3" w:rsidRPr="00CA4638" w:rsidRDefault="002532E3" w:rsidP="000738BC">
      <w:pPr>
        <w:pStyle w:val="Heading1"/>
        <w:jc w:val="both"/>
        <w:rPr>
          <w:b w:val="0"/>
          <w:szCs w:val="24"/>
          <w:lang w:val="en-US"/>
        </w:rPr>
      </w:pPr>
      <w:r w:rsidRPr="00CA4638">
        <w:rPr>
          <w:b w:val="0"/>
          <w:szCs w:val="24"/>
          <w:lang w:val="en-US"/>
        </w:rPr>
        <w:t>Amino acid structure (primary sequence) of r-</w:t>
      </w:r>
      <w:proofErr w:type="spellStart"/>
      <w:r w:rsidRPr="00CA4638">
        <w:rPr>
          <w:b w:val="0"/>
          <w:szCs w:val="24"/>
          <w:lang w:val="en-US"/>
        </w:rPr>
        <w:t>metHuG</w:t>
      </w:r>
      <w:proofErr w:type="spellEnd"/>
      <w:r w:rsidRPr="00CA4638">
        <w:rPr>
          <w:b w:val="0"/>
          <w:szCs w:val="24"/>
          <w:lang w:val="en-US"/>
        </w:rPr>
        <w:t>-CSF</w:t>
      </w:r>
    </w:p>
    <w:p w:rsidR="002532E3" w:rsidRPr="00CA4638" w:rsidRDefault="002532E3" w:rsidP="000738BC">
      <w:pPr>
        <w:jc w:val="both"/>
        <w:rPr>
          <w:sz w:val="24"/>
          <w:szCs w:val="24"/>
          <w:lang w:val="en-US"/>
        </w:rPr>
      </w:pPr>
    </w:p>
    <w:p w:rsidR="00BC1A09" w:rsidRPr="00CA4638" w:rsidRDefault="002532E3" w:rsidP="000738BC">
      <w:pPr>
        <w:pStyle w:val="Heading1"/>
        <w:tabs>
          <w:tab w:val="left" w:pos="4943"/>
        </w:tabs>
        <w:jc w:val="both"/>
        <w:rPr>
          <w:szCs w:val="24"/>
          <w:lang w:val="en-US"/>
        </w:rPr>
      </w:pPr>
      <w:r w:rsidRPr="00CA4638">
        <w:rPr>
          <w:noProof/>
          <w:szCs w:val="24"/>
          <w:lang w:eastAsia="en-AU"/>
        </w:rPr>
        <w:drawing>
          <wp:inline distT="0" distB="0" distL="0" distR="0">
            <wp:extent cx="5274310" cy="3372389"/>
            <wp:effectExtent l="19050" t="0" r="2540" b="0"/>
            <wp:docPr id="2" name="Picture 2" descr="Amino acid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26B" w:rsidRPr="00CA4638" w:rsidRDefault="0004226B" w:rsidP="000738BC">
      <w:pPr>
        <w:jc w:val="both"/>
        <w:rPr>
          <w:sz w:val="24"/>
          <w:szCs w:val="24"/>
          <w:lang w:val="en-US"/>
        </w:rPr>
      </w:pPr>
    </w:p>
    <w:p w:rsidR="0004226B" w:rsidRPr="00CA4638" w:rsidRDefault="0004226B" w:rsidP="000738BC">
      <w:pPr>
        <w:jc w:val="both"/>
        <w:rPr>
          <w:sz w:val="24"/>
          <w:szCs w:val="24"/>
          <w:lang w:val="en-US"/>
        </w:rPr>
      </w:pPr>
    </w:p>
    <w:p w:rsidR="00F22BCA" w:rsidRPr="00CA4638" w:rsidRDefault="00F22BCA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D</w:t>
      </w:r>
      <w:r w:rsidR="001E2D56" w:rsidRPr="00CA4638">
        <w:rPr>
          <w:szCs w:val="24"/>
        </w:rPr>
        <w:t>ESCRIPTION</w:t>
      </w:r>
    </w:p>
    <w:p w:rsidR="00EA2643" w:rsidRPr="00CA4638" w:rsidRDefault="00EA2643" w:rsidP="000738BC">
      <w:pPr>
        <w:jc w:val="both"/>
        <w:rPr>
          <w:i/>
          <w:color w:val="3366FF"/>
          <w:sz w:val="24"/>
          <w:szCs w:val="24"/>
        </w:rPr>
      </w:pPr>
    </w:p>
    <w:p w:rsidR="004830CA" w:rsidRPr="00CA4638" w:rsidRDefault="005733E8" w:rsidP="000738BC">
      <w:pPr>
        <w:jc w:val="both"/>
        <w:rPr>
          <w:sz w:val="24"/>
          <w:szCs w:val="24"/>
        </w:rPr>
      </w:pPr>
      <w:proofErr w:type="spellStart"/>
      <w:r w:rsidRPr="00CA4638">
        <w:rPr>
          <w:sz w:val="24"/>
          <w:szCs w:val="24"/>
        </w:rPr>
        <w:t>Zarzio</w:t>
      </w:r>
      <w:proofErr w:type="spellEnd"/>
      <w:r w:rsidR="0059523A" w:rsidRPr="00CA4638">
        <w:rPr>
          <w:b/>
          <w:bCs/>
          <w:sz w:val="24"/>
          <w:szCs w:val="24"/>
          <w:vertAlign w:val="superscript"/>
          <w:lang w:val="en-US"/>
        </w:rPr>
        <w:t>®</w:t>
      </w:r>
      <w:r w:rsidR="004830CA" w:rsidRPr="00CA4638">
        <w:rPr>
          <w:sz w:val="24"/>
          <w:szCs w:val="24"/>
        </w:rPr>
        <w:t xml:space="preserve"> is a 175 amino acid protein manufactured by recombinant DNA technology.</w:t>
      </w:r>
    </w:p>
    <w:p w:rsidR="004830CA" w:rsidRPr="00CA4638" w:rsidRDefault="00873058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It </w:t>
      </w:r>
      <w:r w:rsidR="004830CA" w:rsidRPr="00CA4638">
        <w:rPr>
          <w:sz w:val="24"/>
          <w:szCs w:val="24"/>
        </w:rPr>
        <w:t xml:space="preserve">is produced by </w:t>
      </w:r>
      <w:r w:rsidR="004830CA" w:rsidRPr="00B84D78">
        <w:rPr>
          <w:i/>
          <w:sz w:val="24"/>
          <w:szCs w:val="24"/>
        </w:rPr>
        <w:t>Escherichia coli</w:t>
      </w:r>
      <w:r w:rsidR="004830CA" w:rsidRPr="00CA4638">
        <w:rPr>
          <w:sz w:val="24"/>
          <w:szCs w:val="24"/>
        </w:rPr>
        <w:t xml:space="preserve"> bacteria into which has been inserted the</w:t>
      </w:r>
      <w:r w:rsidR="003D29D0" w:rsidRPr="00CA4638">
        <w:rPr>
          <w:sz w:val="24"/>
          <w:szCs w:val="24"/>
        </w:rPr>
        <w:t xml:space="preserve"> </w:t>
      </w:r>
      <w:r w:rsidR="004830CA" w:rsidRPr="00CA4638">
        <w:rPr>
          <w:sz w:val="24"/>
          <w:szCs w:val="24"/>
        </w:rPr>
        <w:t>human granulocyte colony stimulating factor gene. It has a molecular weight of 18,800</w:t>
      </w:r>
      <w:r w:rsidR="003D29D0" w:rsidRPr="00CA4638">
        <w:rPr>
          <w:sz w:val="24"/>
          <w:szCs w:val="24"/>
        </w:rPr>
        <w:t xml:space="preserve"> </w:t>
      </w:r>
      <w:proofErr w:type="spellStart"/>
      <w:r w:rsidR="004830CA" w:rsidRPr="00CA4638">
        <w:rPr>
          <w:sz w:val="24"/>
          <w:szCs w:val="24"/>
        </w:rPr>
        <w:t>daltons</w:t>
      </w:r>
      <w:proofErr w:type="spellEnd"/>
      <w:r w:rsidR="004830CA" w:rsidRPr="00CA4638">
        <w:rPr>
          <w:sz w:val="24"/>
          <w:szCs w:val="24"/>
        </w:rPr>
        <w:t xml:space="preserve">. </w:t>
      </w:r>
      <w:proofErr w:type="spellStart"/>
      <w:r w:rsidR="005733E8" w:rsidRPr="00CA4638">
        <w:rPr>
          <w:sz w:val="24"/>
          <w:szCs w:val="24"/>
        </w:rPr>
        <w:t>Zarzio</w:t>
      </w:r>
      <w:proofErr w:type="spellEnd"/>
      <w:r w:rsidR="003C615C" w:rsidRPr="00CA4638">
        <w:rPr>
          <w:b/>
          <w:bCs/>
          <w:sz w:val="24"/>
          <w:szCs w:val="24"/>
          <w:vertAlign w:val="superscript"/>
          <w:lang w:val="en-US"/>
        </w:rPr>
        <w:t>®</w:t>
      </w:r>
      <w:r w:rsidR="004830CA" w:rsidRPr="00CA4638">
        <w:rPr>
          <w:sz w:val="24"/>
          <w:szCs w:val="24"/>
        </w:rPr>
        <w:t xml:space="preserve"> is </w:t>
      </w:r>
      <w:proofErr w:type="spellStart"/>
      <w:r w:rsidR="004830CA" w:rsidRPr="00CA4638">
        <w:rPr>
          <w:sz w:val="24"/>
          <w:szCs w:val="24"/>
        </w:rPr>
        <w:t>unglycosylated</w:t>
      </w:r>
      <w:proofErr w:type="spellEnd"/>
      <w:r w:rsidR="004830CA" w:rsidRPr="00CA4638">
        <w:rPr>
          <w:sz w:val="24"/>
          <w:szCs w:val="24"/>
        </w:rPr>
        <w:t xml:space="preserve"> and contains an N-terminal </w:t>
      </w:r>
      <w:proofErr w:type="spellStart"/>
      <w:r w:rsidR="004830CA" w:rsidRPr="00CA4638">
        <w:rPr>
          <w:sz w:val="24"/>
          <w:szCs w:val="24"/>
        </w:rPr>
        <w:t>methionine</w:t>
      </w:r>
      <w:proofErr w:type="spellEnd"/>
      <w:r w:rsidR="004830CA" w:rsidRPr="00CA4638">
        <w:rPr>
          <w:sz w:val="24"/>
          <w:szCs w:val="24"/>
        </w:rPr>
        <w:t xml:space="preserve"> necessary</w:t>
      </w:r>
      <w:r w:rsidR="003D29D0" w:rsidRPr="00CA4638">
        <w:rPr>
          <w:sz w:val="24"/>
          <w:szCs w:val="24"/>
        </w:rPr>
        <w:t xml:space="preserve"> </w:t>
      </w:r>
      <w:r w:rsidR="004830CA" w:rsidRPr="00CA4638">
        <w:rPr>
          <w:sz w:val="24"/>
          <w:szCs w:val="24"/>
        </w:rPr>
        <w:t xml:space="preserve">for expression in </w:t>
      </w:r>
      <w:r w:rsidR="004830CA" w:rsidRPr="004F5333">
        <w:rPr>
          <w:i/>
          <w:sz w:val="24"/>
          <w:szCs w:val="24"/>
        </w:rPr>
        <w:t>E coli</w:t>
      </w:r>
      <w:r w:rsidR="004830CA" w:rsidRPr="00CA4638">
        <w:rPr>
          <w:sz w:val="24"/>
          <w:szCs w:val="24"/>
        </w:rPr>
        <w:t>.</w:t>
      </w:r>
    </w:p>
    <w:p w:rsidR="00B1641A" w:rsidRPr="00CA4638" w:rsidRDefault="00B1641A" w:rsidP="000738BC">
      <w:pPr>
        <w:jc w:val="both"/>
        <w:rPr>
          <w:sz w:val="24"/>
          <w:szCs w:val="24"/>
        </w:rPr>
      </w:pPr>
    </w:p>
    <w:p w:rsidR="00411900" w:rsidRPr="00CA4638" w:rsidRDefault="003D29D0" w:rsidP="007D133F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CA4638">
        <w:rPr>
          <w:sz w:val="24"/>
          <w:szCs w:val="24"/>
        </w:rPr>
        <w:t>Zarzio</w:t>
      </w:r>
      <w:proofErr w:type="spellEnd"/>
      <w:r w:rsidR="0059523A" w:rsidRPr="00CA4638">
        <w:rPr>
          <w:b/>
          <w:bCs/>
          <w:sz w:val="24"/>
          <w:szCs w:val="24"/>
          <w:vertAlign w:val="superscript"/>
          <w:lang w:val="en-US"/>
        </w:rPr>
        <w:t>®</w:t>
      </w:r>
      <w:r w:rsidR="004830CA" w:rsidRPr="00CA4638">
        <w:rPr>
          <w:sz w:val="24"/>
          <w:szCs w:val="24"/>
        </w:rPr>
        <w:t xml:space="preserve"> is a sterile, clear, </w:t>
      </w:r>
      <w:proofErr w:type="gramStart"/>
      <w:r w:rsidR="001B152B" w:rsidRPr="00CA4638">
        <w:rPr>
          <w:sz w:val="24"/>
          <w:szCs w:val="24"/>
        </w:rPr>
        <w:t>colourless</w:t>
      </w:r>
      <w:proofErr w:type="gramEnd"/>
      <w:r w:rsidR="001B152B" w:rsidRPr="00CA4638">
        <w:rPr>
          <w:sz w:val="24"/>
          <w:szCs w:val="24"/>
        </w:rPr>
        <w:t xml:space="preserve"> to slightly yellowish, preservative-free liquid for </w:t>
      </w:r>
      <w:proofErr w:type="spellStart"/>
      <w:r w:rsidR="001B152B" w:rsidRPr="00CA4638">
        <w:rPr>
          <w:sz w:val="24"/>
          <w:szCs w:val="24"/>
        </w:rPr>
        <w:t>parenteral</w:t>
      </w:r>
      <w:proofErr w:type="spellEnd"/>
      <w:r w:rsidR="001B152B" w:rsidRPr="00CA4638">
        <w:rPr>
          <w:sz w:val="24"/>
          <w:szCs w:val="24"/>
        </w:rPr>
        <w:t xml:space="preserve"> administration</w:t>
      </w:r>
      <w:r w:rsidR="004830CA" w:rsidRPr="00CA4638">
        <w:rPr>
          <w:sz w:val="24"/>
          <w:szCs w:val="24"/>
        </w:rPr>
        <w:t xml:space="preserve">. </w:t>
      </w:r>
    </w:p>
    <w:p w:rsidR="004830CA" w:rsidRPr="00CA4638" w:rsidRDefault="008D7885" w:rsidP="000738BC">
      <w:pPr>
        <w:jc w:val="both"/>
        <w:rPr>
          <w:sz w:val="24"/>
          <w:szCs w:val="24"/>
        </w:rPr>
      </w:pPr>
      <w:proofErr w:type="spellStart"/>
      <w:r w:rsidRPr="00CA4638">
        <w:rPr>
          <w:sz w:val="24"/>
          <w:szCs w:val="24"/>
        </w:rPr>
        <w:lastRenderedPageBreak/>
        <w:t>Filgrastim</w:t>
      </w:r>
      <w:proofErr w:type="spellEnd"/>
      <w:r w:rsidRPr="00CA4638">
        <w:rPr>
          <w:sz w:val="24"/>
          <w:szCs w:val="24"/>
        </w:rPr>
        <w:t xml:space="preserve"> </w:t>
      </w:r>
      <w:r w:rsidR="00020631" w:rsidRPr="00CA4638">
        <w:rPr>
          <w:sz w:val="24"/>
          <w:szCs w:val="24"/>
        </w:rPr>
        <w:t>i</w:t>
      </w:r>
      <w:r w:rsidR="004830CA" w:rsidRPr="00CA4638">
        <w:rPr>
          <w:sz w:val="24"/>
          <w:szCs w:val="24"/>
        </w:rPr>
        <w:t xml:space="preserve">s available in single use pre-filled syringes. The syringes contain either </w:t>
      </w:r>
      <w:r w:rsidR="004830CA" w:rsidRPr="00A33624">
        <w:rPr>
          <w:sz w:val="24"/>
          <w:szCs w:val="24"/>
        </w:rPr>
        <w:t xml:space="preserve">300 </w:t>
      </w:r>
      <w:proofErr w:type="spellStart"/>
      <w:r w:rsidR="004830CA" w:rsidRPr="00A33624">
        <w:rPr>
          <w:sz w:val="24"/>
          <w:szCs w:val="24"/>
        </w:rPr>
        <w:t>μg</w:t>
      </w:r>
      <w:proofErr w:type="spellEnd"/>
      <w:r w:rsidR="004830CA" w:rsidRPr="00A33624">
        <w:rPr>
          <w:sz w:val="24"/>
          <w:szCs w:val="24"/>
        </w:rPr>
        <w:t xml:space="preserve"> or</w:t>
      </w:r>
      <w:r w:rsidR="003D29D0" w:rsidRPr="00A33624">
        <w:rPr>
          <w:sz w:val="24"/>
          <w:szCs w:val="24"/>
        </w:rPr>
        <w:t xml:space="preserve"> </w:t>
      </w:r>
      <w:r w:rsidR="004830CA" w:rsidRPr="00A33624">
        <w:rPr>
          <w:sz w:val="24"/>
          <w:szCs w:val="24"/>
        </w:rPr>
        <w:t xml:space="preserve">480 </w:t>
      </w:r>
      <w:proofErr w:type="spellStart"/>
      <w:r w:rsidR="004830CA" w:rsidRPr="00A33624">
        <w:rPr>
          <w:sz w:val="24"/>
          <w:szCs w:val="24"/>
        </w:rPr>
        <w:t>μg</w:t>
      </w:r>
      <w:proofErr w:type="spellEnd"/>
      <w:r w:rsidR="004830CA" w:rsidRPr="00CA4638">
        <w:rPr>
          <w:sz w:val="24"/>
          <w:szCs w:val="24"/>
        </w:rPr>
        <w:t xml:space="preserve"> </w:t>
      </w:r>
      <w:proofErr w:type="spellStart"/>
      <w:r w:rsidR="004830CA" w:rsidRPr="00CA4638">
        <w:rPr>
          <w:sz w:val="24"/>
          <w:szCs w:val="24"/>
        </w:rPr>
        <w:t>filgrastim</w:t>
      </w:r>
      <w:proofErr w:type="spellEnd"/>
      <w:r w:rsidR="004830CA" w:rsidRPr="00CA4638">
        <w:rPr>
          <w:sz w:val="24"/>
          <w:szCs w:val="24"/>
        </w:rPr>
        <w:t xml:space="preserve"> at a fill volume of 0.5 </w:t>
      </w:r>
      <w:proofErr w:type="spellStart"/>
      <w:r w:rsidR="004830CA" w:rsidRPr="00CA4638">
        <w:rPr>
          <w:sz w:val="24"/>
          <w:szCs w:val="24"/>
        </w:rPr>
        <w:t>mL.</w:t>
      </w:r>
      <w:proofErr w:type="spellEnd"/>
    </w:p>
    <w:p w:rsidR="0094703E" w:rsidRDefault="0094703E" w:rsidP="000738BC">
      <w:pPr>
        <w:jc w:val="both"/>
        <w:rPr>
          <w:sz w:val="24"/>
          <w:szCs w:val="24"/>
        </w:rPr>
      </w:pPr>
    </w:p>
    <w:p w:rsidR="004830CA" w:rsidRPr="00CA4638" w:rsidRDefault="004830CA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The specific activity of </w:t>
      </w:r>
      <w:proofErr w:type="spellStart"/>
      <w:r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by in vitro proliferative cell assay is 1 x 10</w:t>
      </w:r>
      <w:r w:rsidRPr="0094703E">
        <w:rPr>
          <w:sz w:val="24"/>
          <w:szCs w:val="24"/>
          <w:vertAlign w:val="superscript"/>
        </w:rPr>
        <w:t>8</w:t>
      </w:r>
      <w:r w:rsidRPr="00CA4638">
        <w:rPr>
          <w:sz w:val="24"/>
          <w:szCs w:val="24"/>
        </w:rPr>
        <w:t xml:space="preserve"> IU/mg when</w:t>
      </w:r>
      <w:r w:rsidR="003D29D0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assayed against the WHO international standard for granulocyte colony stimulating</w:t>
      </w:r>
      <w:r w:rsidR="003D29D0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factor, 88/502. The clinical significance of this in vitro potency assignment is unknown.</w:t>
      </w:r>
    </w:p>
    <w:p w:rsidR="00AB5628" w:rsidRPr="00CA4638" w:rsidRDefault="00AB5628" w:rsidP="000738BC">
      <w:pPr>
        <w:jc w:val="both"/>
        <w:rPr>
          <w:sz w:val="24"/>
          <w:szCs w:val="24"/>
        </w:rPr>
      </w:pPr>
    </w:p>
    <w:p w:rsidR="00F228B8" w:rsidRPr="00CA4638" w:rsidRDefault="00F228B8" w:rsidP="000738B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CA4638">
        <w:rPr>
          <w:sz w:val="24"/>
          <w:szCs w:val="24"/>
          <w:u w:val="single"/>
        </w:rPr>
        <w:t>Composition</w:t>
      </w:r>
    </w:p>
    <w:p w:rsidR="0034419B" w:rsidRPr="00CA4638" w:rsidRDefault="0034419B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Excipients: The pre-filled syringes contain: </w:t>
      </w:r>
      <w:proofErr w:type="spellStart"/>
      <w:r w:rsidRPr="00CA4638">
        <w:rPr>
          <w:sz w:val="24"/>
          <w:szCs w:val="24"/>
        </w:rPr>
        <w:t>glutamic</w:t>
      </w:r>
      <w:proofErr w:type="spellEnd"/>
      <w:r w:rsidRPr="00CA4638">
        <w:rPr>
          <w:sz w:val="24"/>
          <w:szCs w:val="24"/>
        </w:rPr>
        <w:t xml:space="preserve"> acid, </w:t>
      </w:r>
      <w:proofErr w:type="spellStart"/>
      <w:r w:rsidRPr="00CA4638">
        <w:rPr>
          <w:sz w:val="24"/>
          <w:szCs w:val="24"/>
        </w:rPr>
        <w:t>sorbitol</w:t>
      </w:r>
      <w:proofErr w:type="spellEnd"/>
      <w:r w:rsidRPr="00CA4638">
        <w:rPr>
          <w:sz w:val="24"/>
          <w:szCs w:val="24"/>
        </w:rPr>
        <w:t xml:space="preserve">, </w:t>
      </w:r>
      <w:proofErr w:type="spellStart"/>
      <w:r w:rsidRPr="00CA4638">
        <w:rPr>
          <w:sz w:val="24"/>
          <w:szCs w:val="24"/>
        </w:rPr>
        <w:t>polysorbate</w:t>
      </w:r>
      <w:proofErr w:type="spellEnd"/>
      <w:r w:rsidRPr="00CA4638">
        <w:rPr>
          <w:sz w:val="24"/>
          <w:szCs w:val="24"/>
        </w:rPr>
        <w:t xml:space="preserve"> 80,</w:t>
      </w:r>
      <w:r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</w:rPr>
        <w:t>sodium hydroxide (for pH adjustment), and water for injections.</w:t>
      </w:r>
    </w:p>
    <w:p w:rsidR="0034419B" w:rsidRPr="00CA4638" w:rsidRDefault="0034419B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7B23" w:rsidRPr="00CA4638" w:rsidRDefault="0034419B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CA4638">
        <w:rPr>
          <w:sz w:val="24"/>
          <w:szCs w:val="24"/>
        </w:rPr>
        <w:t>Zarzio</w:t>
      </w:r>
      <w:proofErr w:type="spellEnd"/>
      <w:r w:rsidRPr="00CA4638">
        <w:rPr>
          <w:sz w:val="24"/>
          <w:szCs w:val="24"/>
        </w:rPr>
        <w:t xml:space="preserve"> </w:t>
      </w:r>
      <w:r w:rsidR="00947B23" w:rsidRPr="00CA4638">
        <w:rPr>
          <w:sz w:val="24"/>
          <w:szCs w:val="24"/>
        </w:rPr>
        <w:t>bulk solution contain</w:t>
      </w:r>
      <w:r w:rsidRPr="00CA4638">
        <w:rPr>
          <w:sz w:val="24"/>
          <w:szCs w:val="24"/>
        </w:rPr>
        <w:t>s</w:t>
      </w:r>
      <w:r w:rsidR="00947B23" w:rsidRPr="00CA4638">
        <w:rPr>
          <w:sz w:val="24"/>
          <w:szCs w:val="24"/>
        </w:rPr>
        <w:t xml:space="preserve"> 1.5 – 2.5 mg/ml </w:t>
      </w:r>
      <w:proofErr w:type="spellStart"/>
      <w:r w:rsidR="00947B23" w:rsidRPr="00CA4638">
        <w:rPr>
          <w:sz w:val="24"/>
          <w:szCs w:val="24"/>
        </w:rPr>
        <w:t>rh</w:t>
      </w:r>
      <w:proofErr w:type="spellEnd"/>
      <w:r w:rsidR="00947B23" w:rsidRPr="00CA4638">
        <w:rPr>
          <w:sz w:val="24"/>
          <w:szCs w:val="24"/>
        </w:rPr>
        <w:t xml:space="preserve"> G-CSF,</w:t>
      </w:r>
      <w:r w:rsidR="00BC7420" w:rsidRPr="00CA4638">
        <w:rPr>
          <w:sz w:val="24"/>
          <w:szCs w:val="24"/>
        </w:rPr>
        <w:t xml:space="preserve"> </w:t>
      </w:r>
      <w:r w:rsidR="00947B23" w:rsidRPr="00CA4638">
        <w:rPr>
          <w:sz w:val="24"/>
          <w:szCs w:val="24"/>
        </w:rPr>
        <w:t xml:space="preserve">10 </w:t>
      </w:r>
      <w:proofErr w:type="spellStart"/>
      <w:r w:rsidR="00947B23" w:rsidRPr="00CA4638">
        <w:rPr>
          <w:sz w:val="24"/>
          <w:szCs w:val="24"/>
        </w:rPr>
        <w:t>mM</w:t>
      </w:r>
      <w:proofErr w:type="spellEnd"/>
      <w:r w:rsidR="00947B23" w:rsidRPr="00CA4638">
        <w:rPr>
          <w:sz w:val="24"/>
          <w:szCs w:val="24"/>
        </w:rPr>
        <w:t xml:space="preserve"> </w:t>
      </w:r>
      <w:r w:rsidR="00DB2065" w:rsidRPr="00CA4638">
        <w:rPr>
          <w:sz w:val="24"/>
          <w:szCs w:val="24"/>
        </w:rPr>
        <w:t>g</w:t>
      </w:r>
      <w:r w:rsidR="00947B23" w:rsidRPr="00CA4638">
        <w:rPr>
          <w:sz w:val="24"/>
          <w:szCs w:val="24"/>
        </w:rPr>
        <w:t xml:space="preserve">lutamic acid, 5% </w:t>
      </w:r>
      <w:r w:rsidR="00DB2065" w:rsidRPr="00CA4638">
        <w:rPr>
          <w:sz w:val="24"/>
          <w:szCs w:val="24"/>
        </w:rPr>
        <w:t>s</w:t>
      </w:r>
      <w:r w:rsidR="00947B23" w:rsidRPr="00CA4638">
        <w:rPr>
          <w:sz w:val="24"/>
          <w:szCs w:val="24"/>
        </w:rPr>
        <w:t>orbitol, adjusted to pH 4.4 with sodium hydroxide</w:t>
      </w:r>
      <w:r w:rsidRPr="00CA4638">
        <w:rPr>
          <w:sz w:val="24"/>
          <w:szCs w:val="24"/>
        </w:rPr>
        <w:t>.</w:t>
      </w:r>
    </w:p>
    <w:p w:rsidR="006A0530" w:rsidRPr="00CA4638" w:rsidRDefault="006A0530" w:rsidP="000738BC">
      <w:pPr>
        <w:jc w:val="both"/>
        <w:rPr>
          <w:i/>
          <w:sz w:val="24"/>
          <w:szCs w:val="24"/>
        </w:rPr>
      </w:pPr>
    </w:p>
    <w:p w:rsidR="006F6CB4" w:rsidRPr="00CA4638" w:rsidRDefault="00F22BCA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P</w:t>
      </w:r>
      <w:r w:rsidR="001E2D56" w:rsidRPr="00CA4638">
        <w:rPr>
          <w:szCs w:val="24"/>
        </w:rPr>
        <w:t>HARMACOLOGY</w:t>
      </w:r>
    </w:p>
    <w:p w:rsidR="006A0530" w:rsidRPr="00CA4638" w:rsidRDefault="006A0530" w:rsidP="000738BC">
      <w:pPr>
        <w:jc w:val="both"/>
        <w:rPr>
          <w:sz w:val="24"/>
          <w:szCs w:val="24"/>
        </w:rPr>
      </w:pPr>
    </w:p>
    <w:p w:rsidR="00A76AFF" w:rsidRPr="00CC59B2" w:rsidRDefault="00A76AFF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C59B2">
        <w:rPr>
          <w:b/>
          <w:bCs/>
          <w:sz w:val="24"/>
          <w:szCs w:val="24"/>
          <w:lang w:val="en-US"/>
        </w:rPr>
        <w:t>Pharmaco</w:t>
      </w:r>
      <w:r w:rsidR="00B229BD" w:rsidRPr="00CC59B2">
        <w:rPr>
          <w:b/>
          <w:bCs/>
          <w:sz w:val="24"/>
          <w:szCs w:val="24"/>
          <w:lang w:val="en-US"/>
        </w:rPr>
        <w:t>dynamic</w:t>
      </w:r>
      <w:r w:rsidRPr="00CC59B2">
        <w:rPr>
          <w:b/>
          <w:bCs/>
          <w:sz w:val="24"/>
          <w:szCs w:val="24"/>
          <w:lang w:val="en-US"/>
        </w:rPr>
        <w:t xml:space="preserve">s </w:t>
      </w:r>
    </w:p>
    <w:p w:rsidR="00A76AFF" w:rsidRDefault="00A76AFF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2F2B39" w:rsidRPr="00F60DC4" w:rsidRDefault="002F2B39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60DC4">
        <w:rPr>
          <w:b/>
          <w:i/>
          <w:sz w:val="24"/>
          <w:szCs w:val="24"/>
        </w:rPr>
        <w:t>Colony Stimulating Factors</w:t>
      </w:r>
    </w:p>
    <w:p w:rsidR="004B1BF7" w:rsidRPr="00884EE8" w:rsidRDefault="004B1BF7" w:rsidP="000738B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F2B39" w:rsidRPr="00CA4638" w:rsidRDefault="002F2B39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Colony stimulating factors are glycoproteins which act on </w:t>
      </w:r>
      <w:proofErr w:type="spellStart"/>
      <w:r w:rsidRPr="00CA4638">
        <w:rPr>
          <w:sz w:val="24"/>
          <w:szCs w:val="24"/>
        </w:rPr>
        <w:t>haemopoietic</w:t>
      </w:r>
      <w:proofErr w:type="spellEnd"/>
      <w:r w:rsidRPr="00CA4638">
        <w:rPr>
          <w:sz w:val="24"/>
          <w:szCs w:val="24"/>
        </w:rPr>
        <w:t xml:space="preserve"> cells by</w:t>
      </w:r>
      <w:r w:rsidR="008242E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binding to specific cell surface receptors and stimulating proliferation, differentiation</w:t>
      </w:r>
      <w:r w:rsidR="008242E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commitment and some end-cell functional activation.</w:t>
      </w:r>
    </w:p>
    <w:p w:rsidR="002F2B39" w:rsidRPr="00CA4638" w:rsidRDefault="002F2B39" w:rsidP="000738BC">
      <w:pPr>
        <w:jc w:val="both"/>
        <w:rPr>
          <w:sz w:val="24"/>
          <w:szCs w:val="24"/>
        </w:rPr>
      </w:pPr>
    </w:p>
    <w:p w:rsidR="002F2B39" w:rsidRPr="00CA4638" w:rsidRDefault="002F2B39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Endogenous </w:t>
      </w:r>
      <w:proofErr w:type="spellStart"/>
      <w:r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</w:t>
      </w:r>
      <w:r w:rsidR="00946EE2">
        <w:rPr>
          <w:sz w:val="24"/>
          <w:szCs w:val="24"/>
        </w:rPr>
        <w:t xml:space="preserve">(i.e. granulocyte-colony stimulating factor) </w:t>
      </w:r>
      <w:r w:rsidRPr="00CA4638">
        <w:rPr>
          <w:sz w:val="24"/>
          <w:szCs w:val="24"/>
        </w:rPr>
        <w:t>is a lineage-specific colony stimulating factor with selectivity</w:t>
      </w:r>
      <w:r w:rsidR="008242E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for the neutrophil lineage. </w:t>
      </w:r>
      <w:proofErr w:type="spellStart"/>
      <w:r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is not species specific and has been shown to</w:t>
      </w:r>
      <w:r w:rsidR="008242E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primarily affect neutrophil progenitor proliferation, differentiation and selected </w:t>
      </w:r>
      <w:r w:rsidR="001B152B" w:rsidRPr="00CA4638">
        <w:rPr>
          <w:sz w:val="24"/>
          <w:szCs w:val="24"/>
        </w:rPr>
        <w:t>end cell</w:t>
      </w:r>
      <w:r w:rsidR="008242E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functional activation (including enhanced phagocytic ability, priming of the</w:t>
      </w:r>
      <w:r w:rsidR="008242E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cellular metabolism associated with respiratory burst, antibody dependent killing and</w:t>
      </w:r>
      <w:r w:rsidR="008242E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the increased expression of some functions associated with cell surface antigens).</w:t>
      </w:r>
    </w:p>
    <w:p w:rsidR="002F2B39" w:rsidRPr="00CA4638" w:rsidRDefault="002F2B39" w:rsidP="000738BC">
      <w:pPr>
        <w:jc w:val="both"/>
        <w:rPr>
          <w:sz w:val="24"/>
          <w:szCs w:val="24"/>
          <w:lang w:val="en-US"/>
        </w:rPr>
      </w:pPr>
    </w:p>
    <w:p w:rsidR="001D597F" w:rsidRPr="00F60DC4" w:rsidRDefault="001D597F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60DC4">
        <w:rPr>
          <w:b/>
          <w:i/>
          <w:sz w:val="24"/>
          <w:szCs w:val="24"/>
        </w:rPr>
        <w:t>Preclinical Studies</w:t>
      </w:r>
    </w:p>
    <w:p w:rsidR="004B1BF7" w:rsidRPr="00884EE8" w:rsidRDefault="004B1BF7" w:rsidP="000738B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D597F" w:rsidRPr="00CA4638" w:rsidRDefault="001D597F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The results of all preclinical studies indicate that the pharmacologic effects of </w:t>
      </w:r>
      <w:proofErr w:type="spellStart"/>
      <w:r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are consistent with its predominant role as a regulator of neutrophil production and function.</w:t>
      </w:r>
    </w:p>
    <w:p w:rsidR="001D597F" w:rsidRDefault="001D597F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411C" w:rsidRPr="00CA4638" w:rsidRDefault="0033411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D597F" w:rsidRPr="007C3809" w:rsidRDefault="001D597F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148D2">
        <w:rPr>
          <w:b/>
          <w:i/>
          <w:sz w:val="24"/>
          <w:szCs w:val="24"/>
        </w:rPr>
        <w:t xml:space="preserve">Comparability of </w:t>
      </w:r>
      <w:proofErr w:type="spellStart"/>
      <w:r w:rsidR="00044434" w:rsidRPr="00E148D2">
        <w:rPr>
          <w:b/>
          <w:i/>
          <w:sz w:val="24"/>
          <w:szCs w:val="24"/>
        </w:rPr>
        <w:t>Zarzio</w:t>
      </w:r>
      <w:proofErr w:type="spellEnd"/>
      <w:r w:rsidR="00570F89" w:rsidRPr="00E148D2">
        <w:rPr>
          <w:b/>
          <w:i/>
          <w:sz w:val="24"/>
          <w:szCs w:val="24"/>
          <w:vertAlign w:val="superscript"/>
          <w:lang w:val="en-US"/>
        </w:rPr>
        <w:t>®</w:t>
      </w:r>
      <w:r w:rsidRPr="00E148D2">
        <w:rPr>
          <w:b/>
          <w:i/>
          <w:sz w:val="24"/>
          <w:szCs w:val="24"/>
        </w:rPr>
        <w:t xml:space="preserve"> with </w:t>
      </w:r>
      <w:proofErr w:type="spellStart"/>
      <w:r w:rsidRPr="00E148D2">
        <w:rPr>
          <w:b/>
          <w:i/>
          <w:sz w:val="24"/>
          <w:szCs w:val="24"/>
        </w:rPr>
        <w:t>Neupogen</w:t>
      </w:r>
      <w:proofErr w:type="spellEnd"/>
      <w:r w:rsidR="00570F89" w:rsidRPr="00E148D2">
        <w:rPr>
          <w:b/>
          <w:i/>
          <w:sz w:val="24"/>
          <w:szCs w:val="24"/>
          <w:vertAlign w:val="superscript"/>
          <w:lang w:val="en-US"/>
        </w:rPr>
        <w:t>®</w:t>
      </w:r>
    </w:p>
    <w:p w:rsidR="00044434" w:rsidRPr="00CA4638" w:rsidRDefault="0004443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207301" w:rsidRDefault="00207301" w:rsidP="00627726">
      <w:pPr>
        <w:pStyle w:val="Default"/>
        <w:jc w:val="both"/>
        <w:rPr>
          <w:color w:val="auto"/>
          <w:lang w:val="en-AU"/>
        </w:rPr>
      </w:pPr>
    </w:p>
    <w:p w:rsidR="00627726" w:rsidRDefault="00627726" w:rsidP="00627726">
      <w:pPr>
        <w:pStyle w:val="Default"/>
        <w:jc w:val="both"/>
        <w:rPr>
          <w:color w:val="auto"/>
          <w:lang w:val="en-AU"/>
        </w:rPr>
      </w:pPr>
      <w:r>
        <w:rPr>
          <w:color w:val="auto"/>
          <w:lang w:val="en-AU"/>
        </w:rPr>
        <w:t xml:space="preserve">The effects of </w:t>
      </w:r>
      <w:proofErr w:type="spellStart"/>
      <w:r>
        <w:rPr>
          <w:color w:val="auto"/>
          <w:lang w:val="en-AU"/>
        </w:rPr>
        <w:t>Zarzio</w:t>
      </w:r>
      <w:proofErr w:type="spellEnd"/>
      <w:r>
        <w:rPr>
          <w:color w:val="auto"/>
          <w:lang w:val="en-AU"/>
        </w:rPr>
        <w:t xml:space="preserve"> and </w:t>
      </w:r>
      <w:proofErr w:type="spellStart"/>
      <w:r>
        <w:rPr>
          <w:color w:val="auto"/>
          <w:lang w:val="en-AU"/>
        </w:rPr>
        <w:t>Neupogen</w:t>
      </w:r>
      <w:proofErr w:type="spellEnd"/>
      <w:r>
        <w:rPr>
          <w:color w:val="auto"/>
          <w:lang w:val="en-AU"/>
        </w:rPr>
        <w:t xml:space="preserve"> on absolute neutrophil count (ANC) were comparable in healthy volunteers following 1, 2.5 and 5 µg/kg SC in randomised, double-blind, crossover studies (Table 3A &amp; B and 4). Effects on ANC were also comparable following a single 5 µg/kg intravenous (IV) dose and 10 µg/kg/day subcutaneous (SC) for 7 days in secondary studies. Effects on CD34</w:t>
      </w:r>
      <w:r w:rsidRPr="0031707E">
        <w:rPr>
          <w:color w:val="auto"/>
          <w:vertAlign w:val="superscript"/>
          <w:lang w:val="en-AU"/>
        </w:rPr>
        <w:t>+</w:t>
      </w:r>
      <w:r>
        <w:rPr>
          <w:color w:val="auto"/>
          <w:lang w:val="en-AU"/>
        </w:rPr>
        <w:t xml:space="preserve"> cells were comparable after 2.5 and </w:t>
      </w:r>
      <w:proofErr w:type="gramStart"/>
      <w:r>
        <w:rPr>
          <w:color w:val="auto"/>
          <w:lang w:val="en-AU"/>
        </w:rPr>
        <w:t>5 µg/kg SC (Tables 3A &amp; B)</w:t>
      </w:r>
      <w:proofErr w:type="gramEnd"/>
      <w:r>
        <w:rPr>
          <w:color w:val="auto"/>
          <w:lang w:val="en-AU"/>
        </w:rPr>
        <w:t>.</w:t>
      </w:r>
    </w:p>
    <w:p w:rsidR="00627726" w:rsidRDefault="00627726" w:rsidP="00627726">
      <w:pPr>
        <w:pStyle w:val="Default"/>
        <w:jc w:val="both"/>
        <w:rPr>
          <w:color w:val="auto"/>
          <w:lang w:val="en-AU"/>
        </w:rPr>
      </w:pPr>
    </w:p>
    <w:p w:rsidR="00627726" w:rsidRDefault="00627726" w:rsidP="00627726">
      <w:pPr>
        <w:pStyle w:val="Default"/>
        <w:jc w:val="both"/>
        <w:rPr>
          <w:sz w:val="20"/>
          <w:szCs w:val="20"/>
        </w:rPr>
      </w:pPr>
      <w:r w:rsidRPr="00D64FC0">
        <w:rPr>
          <w:b/>
          <w:sz w:val="20"/>
          <w:szCs w:val="20"/>
        </w:rPr>
        <w:lastRenderedPageBreak/>
        <w:t>Table 3A:</w:t>
      </w:r>
      <w:r w:rsidRPr="00D64FC0">
        <w:rPr>
          <w:sz w:val="20"/>
          <w:szCs w:val="20"/>
        </w:rPr>
        <w:t xml:space="preserve"> </w:t>
      </w:r>
      <w:proofErr w:type="spellStart"/>
      <w:r w:rsidRPr="00D64FC0">
        <w:rPr>
          <w:sz w:val="20"/>
          <w:szCs w:val="20"/>
        </w:rPr>
        <w:t>Pharmacodynamic</w:t>
      </w:r>
      <w:proofErr w:type="spellEnd"/>
      <w:r w:rsidRPr="00D64FC0">
        <w:rPr>
          <w:sz w:val="20"/>
          <w:szCs w:val="20"/>
        </w:rPr>
        <w:t xml:space="preserve"> Analysis of Study EP06-103 Dose Group 1 – 2.5 µg/kg/d SC for 7 days (n=28)</w:t>
      </w:r>
    </w:p>
    <w:p w:rsidR="00627726" w:rsidRPr="0018171D" w:rsidRDefault="00627726" w:rsidP="00627726">
      <w:pPr>
        <w:pStyle w:val="Default"/>
        <w:jc w:val="both"/>
        <w:rPr>
          <w:color w:val="auto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27726" w:rsidTr="001D13A0">
        <w:tc>
          <w:tcPr>
            <w:tcW w:w="1704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Parameter</w:t>
            </w:r>
          </w:p>
        </w:tc>
        <w:tc>
          <w:tcPr>
            <w:tcW w:w="3408" w:type="dxa"/>
            <w:gridSpan w:val="2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Geometric Mean</w:t>
            </w:r>
          </w:p>
        </w:tc>
        <w:tc>
          <w:tcPr>
            <w:tcW w:w="1705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Ratio %</w:t>
            </w:r>
          </w:p>
        </w:tc>
        <w:tc>
          <w:tcPr>
            <w:tcW w:w="1705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90 % CI</w:t>
            </w:r>
          </w:p>
        </w:tc>
      </w:tr>
      <w:tr w:rsidR="00627726" w:rsidTr="001D13A0">
        <w:tc>
          <w:tcPr>
            <w:tcW w:w="1704" w:type="dxa"/>
            <w:vMerge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Zarzio</w:t>
            </w:r>
            <w:proofErr w:type="spellEnd"/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Neupogen</w:t>
            </w:r>
            <w:proofErr w:type="spellEnd"/>
          </w:p>
        </w:tc>
        <w:tc>
          <w:tcPr>
            <w:tcW w:w="1705" w:type="dxa"/>
            <w:vMerge/>
          </w:tcPr>
          <w:p w:rsidR="00627726" w:rsidRPr="00D64FC0" w:rsidRDefault="00627726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627726" w:rsidRPr="00D64FC0" w:rsidRDefault="00627726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7726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  <w:lang w:val="fr-FR"/>
              </w:rPr>
            </w:pPr>
            <w:r w:rsidRPr="00D64FC0">
              <w:rPr>
                <w:sz w:val="20"/>
                <w:szCs w:val="20"/>
                <w:lang w:val="fr-FR"/>
              </w:rPr>
              <w:t>ANC AUEC</w:t>
            </w:r>
            <w:r w:rsidRPr="00D64FC0">
              <w:rPr>
                <w:sz w:val="20"/>
                <w:szCs w:val="20"/>
                <w:vertAlign w:val="subscript"/>
                <w:lang w:val="fr-FR"/>
              </w:rPr>
              <w:t>0-216h</w:t>
            </w:r>
            <w:r w:rsidRPr="00D64FC0">
              <w:rPr>
                <w:sz w:val="20"/>
                <w:szCs w:val="20"/>
                <w:lang w:val="fr-FR"/>
              </w:rPr>
              <w:t xml:space="preserve"> h.10</w:t>
            </w:r>
            <w:r w:rsidRPr="00D64FC0">
              <w:rPr>
                <w:sz w:val="20"/>
                <w:szCs w:val="20"/>
                <w:vertAlign w:val="superscript"/>
                <w:lang w:val="fr-FR"/>
              </w:rPr>
              <w:t>9</w:t>
            </w:r>
            <w:r w:rsidRPr="00D64FC0">
              <w:rPr>
                <w:sz w:val="20"/>
                <w:szCs w:val="20"/>
                <w:lang w:val="fr-FR"/>
              </w:rPr>
              <w:t>L)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4224.0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4134.5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102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[99, 105]</w:t>
            </w:r>
          </w:p>
        </w:tc>
      </w:tr>
      <w:tr w:rsidR="00627726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 xml:space="preserve">ANC </w:t>
            </w:r>
            <w:proofErr w:type="spellStart"/>
            <w:r w:rsidRPr="00D64FC0">
              <w:rPr>
                <w:sz w:val="20"/>
                <w:szCs w:val="20"/>
              </w:rPr>
              <w:t>E</w:t>
            </w:r>
            <w:r w:rsidRPr="00D64FC0">
              <w:rPr>
                <w:sz w:val="20"/>
                <w:szCs w:val="20"/>
                <w:vertAlign w:val="subscript"/>
              </w:rPr>
              <w:t>max,ss</w:t>
            </w:r>
            <w:proofErr w:type="spellEnd"/>
            <w:r w:rsidRPr="00D64FC0">
              <w:rPr>
                <w:sz w:val="20"/>
                <w:szCs w:val="20"/>
              </w:rPr>
              <w:t xml:space="preserve"> 10</w:t>
            </w:r>
            <w:r w:rsidRPr="00D64FC0">
              <w:rPr>
                <w:sz w:val="20"/>
                <w:szCs w:val="20"/>
                <w:vertAlign w:val="superscript"/>
              </w:rPr>
              <w:t>9</w:t>
            </w:r>
            <w:r w:rsidRPr="00D64FC0">
              <w:rPr>
                <w:sz w:val="20"/>
                <w:szCs w:val="20"/>
              </w:rPr>
              <w:t>/L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38.7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39.7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98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[93, 102]</w:t>
            </w:r>
          </w:p>
        </w:tc>
      </w:tr>
      <w:tr w:rsidR="00627726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 xml:space="preserve">CD34+ </w:t>
            </w:r>
            <w:r w:rsidRPr="00D64FC0">
              <w:rPr>
                <w:sz w:val="20"/>
                <w:szCs w:val="20"/>
                <w:lang w:val="fr-FR"/>
              </w:rPr>
              <w:t>AUEC</w:t>
            </w:r>
            <w:r w:rsidRPr="00D64FC0">
              <w:rPr>
                <w:sz w:val="20"/>
                <w:szCs w:val="20"/>
                <w:vertAlign w:val="subscript"/>
                <w:lang w:val="fr-FR"/>
              </w:rPr>
              <w:t>0-216h</w:t>
            </w:r>
            <w:r w:rsidRPr="00D64FC0">
              <w:rPr>
                <w:sz w:val="20"/>
                <w:szCs w:val="20"/>
                <w:lang w:val="fr-FR"/>
              </w:rPr>
              <w:t xml:space="preserve"> h.10</w:t>
            </w:r>
            <w:r w:rsidRPr="00D64FC0">
              <w:rPr>
                <w:sz w:val="20"/>
                <w:szCs w:val="20"/>
                <w:vertAlign w:val="superscript"/>
                <w:lang w:val="fr-FR"/>
              </w:rPr>
              <w:t>6</w:t>
            </w:r>
            <w:r w:rsidRPr="00D64FC0">
              <w:rPr>
                <w:sz w:val="20"/>
                <w:szCs w:val="20"/>
                <w:lang w:val="fr-FR"/>
              </w:rPr>
              <w:t>L)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2815.1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2694.0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104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[97, 113]</w:t>
            </w:r>
          </w:p>
        </w:tc>
      </w:tr>
      <w:tr w:rsidR="00627726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 xml:space="preserve">CD34+ </w:t>
            </w:r>
            <w:proofErr w:type="spellStart"/>
            <w:r w:rsidRPr="00D64FC0">
              <w:rPr>
                <w:sz w:val="20"/>
                <w:szCs w:val="20"/>
              </w:rPr>
              <w:t>E</w:t>
            </w:r>
            <w:r w:rsidRPr="00D64FC0">
              <w:rPr>
                <w:sz w:val="20"/>
                <w:szCs w:val="20"/>
                <w:vertAlign w:val="subscript"/>
              </w:rPr>
              <w:t>max,ss</w:t>
            </w:r>
            <w:proofErr w:type="spellEnd"/>
            <w:r w:rsidRPr="00D64FC0">
              <w:rPr>
                <w:sz w:val="20"/>
                <w:szCs w:val="20"/>
                <w:vertAlign w:val="subscript"/>
              </w:rPr>
              <w:t xml:space="preserve"> </w:t>
            </w:r>
            <w:r w:rsidRPr="00D64FC0">
              <w:rPr>
                <w:sz w:val="20"/>
                <w:szCs w:val="20"/>
              </w:rPr>
              <w:t>10</w:t>
            </w:r>
            <w:r w:rsidRPr="00D64FC0">
              <w:rPr>
                <w:sz w:val="20"/>
                <w:szCs w:val="20"/>
                <w:vertAlign w:val="superscript"/>
              </w:rPr>
              <w:t>6</w:t>
            </w:r>
            <w:r w:rsidRPr="00D64FC0">
              <w:rPr>
                <w:sz w:val="20"/>
                <w:szCs w:val="20"/>
              </w:rPr>
              <w:t>/L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33.2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31.4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106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[97, 116]</w:t>
            </w:r>
          </w:p>
        </w:tc>
      </w:tr>
    </w:tbl>
    <w:p w:rsidR="00627726" w:rsidRDefault="00627726" w:rsidP="00627726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 xml:space="preserve">ANC: absolute neutrophil count: AUEC: area under the effect-time curve. </w:t>
      </w:r>
      <w:proofErr w:type="spellStart"/>
      <w:r>
        <w:rPr>
          <w:color w:val="auto"/>
          <w:sz w:val="20"/>
          <w:szCs w:val="20"/>
          <w:lang w:val="en-AU"/>
        </w:rPr>
        <w:t>E</w:t>
      </w:r>
      <w:r w:rsidRPr="002D5F29">
        <w:rPr>
          <w:color w:val="auto"/>
          <w:sz w:val="20"/>
          <w:szCs w:val="20"/>
          <w:vertAlign w:val="subscript"/>
          <w:lang w:val="en-AU"/>
        </w:rPr>
        <w:t>max</w:t>
      </w:r>
      <w:proofErr w:type="spellEnd"/>
      <w:r>
        <w:rPr>
          <w:color w:val="auto"/>
          <w:sz w:val="20"/>
          <w:szCs w:val="20"/>
          <w:lang w:val="en-AU"/>
        </w:rPr>
        <w:t>: maximal effect.</w:t>
      </w:r>
    </w:p>
    <w:p w:rsidR="00627726" w:rsidRDefault="00627726" w:rsidP="00627726">
      <w:pPr>
        <w:pStyle w:val="Default"/>
        <w:jc w:val="both"/>
        <w:rPr>
          <w:color w:val="auto"/>
          <w:sz w:val="20"/>
          <w:szCs w:val="20"/>
          <w:lang w:val="en-AU"/>
        </w:rPr>
      </w:pPr>
    </w:p>
    <w:p w:rsidR="00627726" w:rsidRDefault="00627726" w:rsidP="00627726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5C68B0">
        <w:rPr>
          <w:b/>
          <w:color w:val="auto"/>
          <w:sz w:val="20"/>
          <w:szCs w:val="20"/>
          <w:lang w:val="en-AU"/>
        </w:rPr>
        <w:t>Table 3B:</w:t>
      </w:r>
      <w:r>
        <w:rPr>
          <w:color w:val="auto"/>
          <w:sz w:val="20"/>
          <w:szCs w:val="20"/>
          <w:lang w:val="en-AU"/>
        </w:rPr>
        <w:t xml:space="preserve"> </w:t>
      </w:r>
      <w:proofErr w:type="spellStart"/>
      <w:r>
        <w:rPr>
          <w:color w:val="auto"/>
          <w:sz w:val="20"/>
          <w:szCs w:val="20"/>
          <w:lang w:val="en-AU"/>
        </w:rPr>
        <w:t>Pharmacodynamic</w:t>
      </w:r>
      <w:proofErr w:type="spellEnd"/>
      <w:r>
        <w:rPr>
          <w:color w:val="auto"/>
          <w:sz w:val="20"/>
          <w:szCs w:val="20"/>
          <w:lang w:val="en-AU"/>
        </w:rPr>
        <w:t xml:space="preserve"> Analysis of Study EP06-103 Dose Group 2 – 5µg/kg/d SC for 7 days (n=28) </w:t>
      </w:r>
    </w:p>
    <w:p w:rsidR="00627726" w:rsidRPr="000253FE" w:rsidRDefault="00627726" w:rsidP="00627726">
      <w:pPr>
        <w:pStyle w:val="Default"/>
        <w:jc w:val="both"/>
        <w:rPr>
          <w:color w:val="auto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27726" w:rsidRPr="00D64FC0" w:rsidTr="001D13A0">
        <w:tc>
          <w:tcPr>
            <w:tcW w:w="1704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Parameter</w:t>
            </w:r>
          </w:p>
        </w:tc>
        <w:tc>
          <w:tcPr>
            <w:tcW w:w="3408" w:type="dxa"/>
            <w:gridSpan w:val="2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Geometric Mean</w:t>
            </w:r>
          </w:p>
        </w:tc>
        <w:tc>
          <w:tcPr>
            <w:tcW w:w="1705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Ratio %</w:t>
            </w:r>
          </w:p>
        </w:tc>
        <w:tc>
          <w:tcPr>
            <w:tcW w:w="1705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90 % CI</w:t>
            </w:r>
          </w:p>
        </w:tc>
      </w:tr>
      <w:tr w:rsidR="00627726" w:rsidRPr="00D64FC0" w:rsidTr="001D13A0">
        <w:tc>
          <w:tcPr>
            <w:tcW w:w="1704" w:type="dxa"/>
            <w:vMerge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Zarzio</w:t>
            </w:r>
            <w:proofErr w:type="spellEnd"/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Neupogen</w:t>
            </w:r>
            <w:proofErr w:type="spellEnd"/>
          </w:p>
        </w:tc>
        <w:tc>
          <w:tcPr>
            <w:tcW w:w="1705" w:type="dxa"/>
            <w:vMerge/>
          </w:tcPr>
          <w:p w:rsidR="00627726" w:rsidRPr="00D64FC0" w:rsidRDefault="00627726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627726" w:rsidRPr="00D64FC0" w:rsidRDefault="00627726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7726" w:rsidRPr="00D64FC0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  <w:lang w:val="fr-FR"/>
              </w:rPr>
            </w:pPr>
            <w:r w:rsidRPr="00D64FC0">
              <w:rPr>
                <w:sz w:val="20"/>
                <w:szCs w:val="20"/>
                <w:lang w:val="fr-FR"/>
              </w:rPr>
              <w:t>ANC AUEC</w:t>
            </w:r>
            <w:r w:rsidRPr="00D64FC0">
              <w:rPr>
                <w:sz w:val="20"/>
                <w:szCs w:val="20"/>
                <w:vertAlign w:val="subscript"/>
                <w:lang w:val="fr-FR"/>
              </w:rPr>
              <w:t>0-216h</w:t>
            </w:r>
            <w:r w:rsidRPr="00D64FC0">
              <w:rPr>
                <w:sz w:val="20"/>
                <w:szCs w:val="20"/>
                <w:lang w:val="fr-FR"/>
              </w:rPr>
              <w:t xml:space="preserve"> h.10</w:t>
            </w:r>
            <w:r w:rsidRPr="00D64FC0">
              <w:rPr>
                <w:sz w:val="20"/>
                <w:szCs w:val="20"/>
                <w:vertAlign w:val="superscript"/>
                <w:lang w:val="fr-FR"/>
              </w:rPr>
              <w:t>9</w:t>
            </w:r>
            <w:r w:rsidRPr="00D64FC0">
              <w:rPr>
                <w:sz w:val="20"/>
                <w:szCs w:val="20"/>
                <w:lang w:val="fr-FR"/>
              </w:rPr>
              <w:t>L)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5191.8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5176.8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[98, 103]</w:t>
            </w:r>
          </w:p>
        </w:tc>
      </w:tr>
      <w:tr w:rsidR="00627726" w:rsidRPr="00D64FC0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 xml:space="preserve">ANC </w:t>
            </w:r>
            <w:proofErr w:type="spellStart"/>
            <w:r w:rsidRPr="00D64FC0">
              <w:rPr>
                <w:sz w:val="20"/>
                <w:szCs w:val="20"/>
              </w:rPr>
              <w:t>E</w:t>
            </w:r>
            <w:r w:rsidRPr="00D64FC0">
              <w:rPr>
                <w:sz w:val="20"/>
                <w:szCs w:val="20"/>
                <w:vertAlign w:val="subscript"/>
              </w:rPr>
              <w:t>max,ss</w:t>
            </w:r>
            <w:proofErr w:type="spellEnd"/>
            <w:r w:rsidRPr="00D64FC0">
              <w:rPr>
                <w:sz w:val="20"/>
                <w:szCs w:val="20"/>
              </w:rPr>
              <w:t xml:space="preserve"> 10</w:t>
            </w:r>
            <w:r w:rsidRPr="00D64FC0">
              <w:rPr>
                <w:sz w:val="20"/>
                <w:szCs w:val="20"/>
                <w:vertAlign w:val="superscript"/>
              </w:rPr>
              <w:t>9</w:t>
            </w:r>
            <w:r w:rsidRPr="00D64FC0">
              <w:rPr>
                <w:sz w:val="20"/>
                <w:szCs w:val="20"/>
              </w:rPr>
              <w:t>/L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56.1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58.1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97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[93, 101]</w:t>
            </w:r>
          </w:p>
        </w:tc>
      </w:tr>
      <w:tr w:rsidR="00627726" w:rsidRPr="00D64FC0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 xml:space="preserve">CD34+ </w:t>
            </w:r>
            <w:r w:rsidRPr="00D64FC0">
              <w:rPr>
                <w:sz w:val="20"/>
                <w:szCs w:val="20"/>
                <w:lang w:val="fr-FR"/>
              </w:rPr>
              <w:t>AUEC</w:t>
            </w:r>
            <w:r w:rsidRPr="00D64FC0">
              <w:rPr>
                <w:sz w:val="20"/>
                <w:szCs w:val="20"/>
                <w:vertAlign w:val="subscript"/>
                <w:lang w:val="fr-FR"/>
              </w:rPr>
              <w:t>0-216h</w:t>
            </w:r>
            <w:r w:rsidRPr="00D64FC0">
              <w:rPr>
                <w:sz w:val="20"/>
                <w:szCs w:val="20"/>
                <w:lang w:val="fr-FR"/>
              </w:rPr>
              <w:t xml:space="preserve"> h.10</w:t>
            </w:r>
            <w:r w:rsidRPr="00D64FC0">
              <w:rPr>
                <w:sz w:val="20"/>
                <w:szCs w:val="20"/>
                <w:vertAlign w:val="superscript"/>
                <w:lang w:val="fr-FR"/>
              </w:rPr>
              <w:t>6</w:t>
            </w:r>
            <w:r w:rsidRPr="00D64FC0">
              <w:rPr>
                <w:sz w:val="20"/>
                <w:szCs w:val="20"/>
                <w:lang w:val="fr-FR"/>
              </w:rPr>
              <w:t>L)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2885.5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2898.3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99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[87, 113]</w:t>
            </w:r>
          </w:p>
        </w:tc>
      </w:tr>
      <w:tr w:rsidR="00627726" w:rsidRPr="00D64FC0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 xml:space="preserve">CD34+ </w:t>
            </w:r>
            <w:proofErr w:type="spellStart"/>
            <w:r w:rsidRPr="00D64FC0">
              <w:rPr>
                <w:sz w:val="20"/>
                <w:szCs w:val="20"/>
              </w:rPr>
              <w:t>E</w:t>
            </w:r>
            <w:r w:rsidRPr="00D64FC0">
              <w:rPr>
                <w:sz w:val="20"/>
                <w:szCs w:val="20"/>
                <w:vertAlign w:val="subscript"/>
              </w:rPr>
              <w:t>max,ss</w:t>
            </w:r>
            <w:proofErr w:type="spellEnd"/>
            <w:r w:rsidRPr="00D64FC0">
              <w:rPr>
                <w:sz w:val="20"/>
                <w:szCs w:val="20"/>
                <w:vertAlign w:val="subscript"/>
              </w:rPr>
              <w:t xml:space="preserve"> </w:t>
            </w:r>
            <w:r w:rsidRPr="00D64FC0">
              <w:rPr>
                <w:sz w:val="20"/>
                <w:szCs w:val="20"/>
              </w:rPr>
              <w:t>10</w:t>
            </w:r>
            <w:r w:rsidRPr="00D64FC0">
              <w:rPr>
                <w:sz w:val="20"/>
                <w:szCs w:val="20"/>
                <w:vertAlign w:val="superscript"/>
              </w:rPr>
              <w:t>6</w:t>
            </w:r>
            <w:r w:rsidRPr="00D64FC0">
              <w:rPr>
                <w:sz w:val="20"/>
                <w:szCs w:val="20"/>
              </w:rPr>
              <w:t>/L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37.0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37.2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99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[84, 117]</w:t>
            </w:r>
          </w:p>
        </w:tc>
      </w:tr>
    </w:tbl>
    <w:p w:rsidR="00627726" w:rsidRDefault="00627726" w:rsidP="00627726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 xml:space="preserve">ANC: absolute neutrophil count: AUEC: area under the effect-time curve. </w:t>
      </w:r>
      <w:proofErr w:type="spellStart"/>
      <w:r>
        <w:rPr>
          <w:color w:val="auto"/>
          <w:sz w:val="20"/>
          <w:szCs w:val="20"/>
          <w:lang w:val="en-AU"/>
        </w:rPr>
        <w:t>E</w:t>
      </w:r>
      <w:r w:rsidRPr="002D5F29">
        <w:rPr>
          <w:color w:val="auto"/>
          <w:sz w:val="20"/>
          <w:szCs w:val="20"/>
          <w:vertAlign w:val="subscript"/>
          <w:lang w:val="en-AU"/>
        </w:rPr>
        <w:t>max</w:t>
      </w:r>
      <w:proofErr w:type="spellEnd"/>
      <w:r>
        <w:rPr>
          <w:color w:val="auto"/>
          <w:sz w:val="20"/>
          <w:szCs w:val="20"/>
          <w:lang w:val="en-AU"/>
        </w:rPr>
        <w:t>: maximal effect.</w:t>
      </w:r>
    </w:p>
    <w:p w:rsidR="00627726" w:rsidRDefault="00627726" w:rsidP="00627726">
      <w:pPr>
        <w:pStyle w:val="Default"/>
        <w:jc w:val="both"/>
        <w:rPr>
          <w:color w:val="auto"/>
          <w:sz w:val="20"/>
          <w:szCs w:val="20"/>
          <w:lang w:val="en-AU"/>
        </w:rPr>
      </w:pPr>
    </w:p>
    <w:p w:rsidR="00627726" w:rsidRDefault="00627726" w:rsidP="00627726">
      <w:pPr>
        <w:pStyle w:val="Default"/>
        <w:jc w:val="both"/>
      </w:pPr>
    </w:p>
    <w:p w:rsidR="00627726" w:rsidRPr="00CA4638" w:rsidRDefault="00627726" w:rsidP="00627726">
      <w:pPr>
        <w:pStyle w:val="Default"/>
        <w:jc w:val="both"/>
      </w:pPr>
      <w:r w:rsidRPr="005C68B0">
        <w:rPr>
          <w:b/>
          <w:sz w:val="20"/>
          <w:szCs w:val="20"/>
        </w:rPr>
        <w:t>Table 4:</w:t>
      </w:r>
      <w:r w:rsidRPr="002F7CAA">
        <w:rPr>
          <w:sz w:val="20"/>
          <w:szCs w:val="20"/>
        </w:rPr>
        <w:t xml:space="preserve">  </w:t>
      </w:r>
      <w:proofErr w:type="spellStart"/>
      <w:r w:rsidRPr="002F7CAA">
        <w:rPr>
          <w:color w:val="auto"/>
          <w:sz w:val="20"/>
          <w:szCs w:val="20"/>
          <w:lang w:val="en-AU"/>
        </w:rPr>
        <w:t>Phar</w:t>
      </w:r>
      <w:r>
        <w:rPr>
          <w:color w:val="auto"/>
          <w:sz w:val="20"/>
          <w:szCs w:val="20"/>
          <w:lang w:val="en-AU"/>
        </w:rPr>
        <w:t>macodynamic</w:t>
      </w:r>
      <w:proofErr w:type="spellEnd"/>
      <w:r>
        <w:rPr>
          <w:color w:val="auto"/>
          <w:sz w:val="20"/>
          <w:szCs w:val="20"/>
          <w:lang w:val="en-AU"/>
        </w:rPr>
        <w:t xml:space="preserve"> Analysis of Study EP06-105 (n=24) – Single Dose 1 µg/kg SC</w:t>
      </w:r>
    </w:p>
    <w:p w:rsidR="00627726" w:rsidRDefault="00627726" w:rsidP="00627726">
      <w:pPr>
        <w:pStyle w:val="Default"/>
        <w:jc w:val="both"/>
        <w:rPr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27726" w:rsidTr="001D13A0">
        <w:tc>
          <w:tcPr>
            <w:tcW w:w="1704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Parameter</w:t>
            </w:r>
          </w:p>
        </w:tc>
        <w:tc>
          <w:tcPr>
            <w:tcW w:w="3408" w:type="dxa"/>
            <w:gridSpan w:val="2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Geometric Mean</w:t>
            </w:r>
          </w:p>
        </w:tc>
        <w:tc>
          <w:tcPr>
            <w:tcW w:w="1705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Ratio %</w:t>
            </w:r>
          </w:p>
        </w:tc>
        <w:tc>
          <w:tcPr>
            <w:tcW w:w="1705" w:type="dxa"/>
            <w:vMerge w:val="restart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90 % CI</w:t>
            </w:r>
          </w:p>
        </w:tc>
      </w:tr>
      <w:tr w:rsidR="00627726" w:rsidTr="001D13A0">
        <w:tc>
          <w:tcPr>
            <w:tcW w:w="1704" w:type="dxa"/>
            <w:vMerge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Zarzio</w:t>
            </w:r>
            <w:proofErr w:type="spellEnd"/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Neupogen</w:t>
            </w:r>
            <w:proofErr w:type="spellEnd"/>
          </w:p>
        </w:tc>
        <w:tc>
          <w:tcPr>
            <w:tcW w:w="1705" w:type="dxa"/>
            <w:vMerge/>
          </w:tcPr>
          <w:p w:rsidR="00627726" w:rsidRPr="00D64FC0" w:rsidRDefault="00627726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627726" w:rsidRPr="00D64FC0" w:rsidRDefault="00627726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7726" w:rsidRPr="002D5F29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  <w:lang w:val="fr-FR"/>
              </w:rPr>
            </w:pPr>
            <w:r w:rsidRPr="00D64FC0">
              <w:rPr>
                <w:sz w:val="20"/>
                <w:szCs w:val="20"/>
                <w:lang w:val="fr-FR"/>
              </w:rPr>
              <w:t>ANC AUEC</w:t>
            </w:r>
            <w:r>
              <w:rPr>
                <w:sz w:val="20"/>
                <w:szCs w:val="20"/>
                <w:vertAlign w:val="subscript"/>
                <w:lang w:val="fr-FR"/>
              </w:rPr>
              <w:t>0-120</w:t>
            </w:r>
            <w:r w:rsidRPr="00D64FC0">
              <w:rPr>
                <w:sz w:val="20"/>
                <w:szCs w:val="20"/>
                <w:vertAlign w:val="subscript"/>
                <w:lang w:val="fr-FR"/>
              </w:rPr>
              <w:t>h</w:t>
            </w:r>
            <w:r w:rsidRPr="00D64FC0">
              <w:rPr>
                <w:sz w:val="20"/>
                <w:szCs w:val="20"/>
                <w:lang w:val="fr-FR"/>
              </w:rPr>
              <w:t xml:space="preserve"> h.10</w:t>
            </w:r>
            <w:r w:rsidRPr="00D64FC0">
              <w:rPr>
                <w:sz w:val="20"/>
                <w:szCs w:val="20"/>
                <w:vertAlign w:val="superscript"/>
                <w:lang w:val="fr-FR"/>
              </w:rPr>
              <w:t>9</w:t>
            </w:r>
            <w:r w:rsidRPr="00D64FC0">
              <w:rPr>
                <w:sz w:val="20"/>
                <w:szCs w:val="20"/>
                <w:lang w:val="fr-FR"/>
              </w:rPr>
              <w:t>L)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740.8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725.0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102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[97, 108]</w:t>
            </w:r>
          </w:p>
        </w:tc>
      </w:tr>
      <w:tr w:rsidR="00627726" w:rsidTr="001D13A0"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 xml:space="preserve">ANC </w:t>
            </w:r>
            <w:proofErr w:type="spellStart"/>
            <w:r w:rsidRPr="00D64FC0">
              <w:rPr>
                <w:sz w:val="20"/>
                <w:szCs w:val="20"/>
              </w:rPr>
              <w:t>E</w:t>
            </w:r>
            <w:r w:rsidRPr="00D64FC0">
              <w:rPr>
                <w:sz w:val="20"/>
                <w:szCs w:val="20"/>
                <w:vertAlign w:val="subscript"/>
              </w:rPr>
              <w:t>max,ss</w:t>
            </w:r>
            <w:proofErr w:type="spellEnd"/>
            <w:r w:rsidRPr="00D64FC0">
              <w:rPr>
                <w:sz w:val="20"/>
                <w:szCs w:val="20"/>
              </w:rPr>
              <w:t xml:space="preserve"> 10</w:t>
            </w:r>
            <w:r w:rsidRPr="00D64FC0">
              <w:rPr>
                <w:sz w:val="20"/>
                <w:szCs w:val="20"/>
                <w:vertAlign w:val="superscript"/>
              </w:rPr>
              <w:t>9</w:t>
            </w:r>
            <w:r w:rsidRPr="00D64FC0">
              <w:rPr>
                <w:sz w:val="20"/>
                <w:szCs w:val="20"/>
              </w:rPr>
              <w:t>/L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19.9</w:t>
            </w:r>
          </w:p>
        </w:tc>
        <w:tc>
          <w:tcPr>
            <w:tcW w:w="1704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20.0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705" w:type="dxa"/>
          </w:tcPr>
          <w:p w:rsidR="00627726" w:rsidRPr="00D64FC0" w:rsidRDefault="00627726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[94, 105]</w:t>
            </w:r>
          </w:p>
        </w:tc>
      </w:tr>
    </w:tbl>
    <w:p w:rsidR="00627726" w:rsidRDefault="00627726" w:rsidP="00627726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 xml:space="preserve">ANC: absolute neutrophil count: AUEC: area under the effect-time curve. </w:t>
      </w:r>
      <w:proofErr w:type="spellStart"/>
      <w:r>
        <w:rPr>
          <w:color w:val="auto"/>
          <w:sz w:val="20"/>
          <w:szCs w:val="20"/>
          <w:lang w:val="en-AU"/>
        </w:rPr>
        <w:t>E</w:t>
      </w:r>
      <w:r w:rsidRPr="002D5F29">
        <w:rPr>
          <w:color w:val="auto"/>
          <w:sz w:val="20"/>
          <w:szCs w:val="20"/>
          <w:vertAlign w:val="subscript"/>
          <w:lang w:val="en-AU"/>
        </w:rPr>
        <w:t>max</w:t>
      </w:r>
      <w:proofErr w:type="spellEnd"/>
      <w:r>
        <w:rPr>
          <w:color w:val="auto"/>
          <w:sz w:val="20"/>
          <w:szCs w:val="20"/>
          <w:lang w:val="en-AU"/>
        </w:rPr>
        <w:t>: maximal effect.</w:t>
      </w:r>
    </w:p>
    <w:p w:rsidR="00627726" w:rsidRDefault="00627726" w:rsidP="00627726">
      <w:pPr>
        <w:pStyle w:val="Default"/>
        <w:jc w:val="both"/>
        <w:rPr>
          <w:b/>
          <w:sz w:val="20"/>
          <w:szCs w:val="20"/>
        </w:rPr>
      </w:pPr>
    </w:p>
    <w:p w:rsidR="00627726" w:rsidRDefault="00627726" w:rsidP="0062772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627726" w:rsidRPr="008C52AE" w:rsidRDefault="00627726" w:rsidP="00627726">
      <w:pPr>
        <w:pStyle w:val="Default"/>
        <w:jc w:val="both"/>
      </w:pPr>
      <w:r w:rsidRPr="008C52AE">
        <w:t>Anti-</w:t>
      </w:r>
      <w:proofErr w:type="spellStart"/>
      <w:r w:rsidRPr="008C52AE">
        <w:t>rhG</w:t>
      </w:r>
      <w:proofErr w:type="spellEnd"/>
      <w:r w:rsidRPr="008C52AE">
        <w:t xml:space="preserve">-CSF antibodies were assessed at baseline and at a follow-up visit after dosing but not detected in any of the healthy subjects participating in the Phase I trials. </w:t>
      </w:r>
    </w:p>
    <w:p w:rsidR="00726B2A" w:rsidRPr="005E1FB8" w:rsidRDefault="00726B2A" w:rsidP="000738B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A9713F" w:rsidRDefault="00A9713F" w:rsidP="000738B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F5554">
        <w:rPr>
          <w:b/>
          <w:sz w:val="24"/>
          <w:szCs w:val="24"/>
        </w:rPr>
        <w:t>Pharmacokinetics</w:t>
      </w:r>
    </w:p>
    <w:p w:rsidR="00BF5554" w:rsidRPr="00BF5554" w:rsidRDefault="00BF5554" w:rsidP="000738B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A9713F" w:rsidRPr="00CA4638" w:rsidRDefault="00A9713F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In normal volunteers, serum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concentrations declined</w:t>
      </w:r>
      <w:r w:rsidR="00D3037E" w:rsidRPr="00CA4638">
        <w:rPr>
          <w:sz w:val="24"/>
          <w:szCs w:val="24"/>
        </w:rPr>
        <w:t xml:space="preserve"> </w:t>
      </w:r>
      <w:proofErr w:type="spellStart"/>
      <w:r w:rsidRPr="00CA4638">
        <w:rPr>
          <w:sz w:val="24"/>
          <w:szCs w:val="24"/>
        </w:rPr>
        <w:t>monoexponentially</w:t>
      </w:r>
      <w:proofErr w:type="spellEnd"/>
      <w:r w:rsidRPr="00CA4638">
        <w:rPr>
          <w:sz w:val="24"/>
          <w:szCs w:val="24"/>
        </w:rPr>
        <w:t xml:space="preserve"> following a single intravenous (IV) infusion, exhibiting a half-life of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approximately 3 hours. Clearance and volume of distribution averaged 0.6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mL/minute/kg and 163 mL/kg. Following a single </w:t>
      </w:r>
      <w:r w:rsidR="00F5017B">
        <w:rPr>
          <w:sz w:val="24"/>
          <w:szCs w:val="24"/>
        </w:rPr>
        <w:t>SC</w:t>
      </w:r>
      <w:r w:rsidR="00F5017B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injection, peak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serum concentrations of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occurred at approximately 4 to 6 hours. The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absorption phase can be fitted to either a zero-order or a first-order model whereas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the elimination phase observed a </w:t>
      </w:r>
      <w:proofErr w:type="spellStart"/>
      <w:r w:rsidRPr="00CA4638">
        <w:rPr>
          <w:sz w:val="24"/>
          <w:szCs w:val="24"/>
        </w:rPr>
        <w:t>monoexponential</w:t>
      </w:r>
      <w:proofErr w:type="spellEnd"/>
      <w:r w:rsidRPr="00CA4638">
        <w:rPr>
          <w:sz w:val="24"/>
          <w:szCs w:val="24"/>
        </w:rPr>
        <w:t xml:space="preserve"> decline. No </w:t>
      </w:r>
      <w:proofErr w:type="gramStart"/>
      <w:r w:rsidRPr="00CA4638">
        <w:rPr>
          <w:sz w:val="24"/>
          <w:szCs w:val="24"/>
        </w:rPr>
        <w:t>difference in half</w:t>
      </w:r>
      <w:r w:rsidR="00D04EDD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lives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were</w:t>
      </w:r>
      <w:proofErr w:type="gramEnd"/>
      <w:r w:rsidRPr="00CA4638">
        <w:rPr>
          <w:sz w:val="24"/>
          <w:szCs w:val="24"/>
        </w:rPr>
        <w:t xml:space="preserve"> observed following IV and SC doses. The bioavailability was estimated to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be approximately 50% following SC administration.</w:t>
      </w:r>
    </w:p>
    <w:p w:rsidR="00AA5115" w:rsidRPr="00CA4638" w:rsidRDefault="00AA5115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713F" w:rsidRPr="00CA4638" w:rsidRDefault="00A9713F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In cancer patients, clearance and volume of distribution of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were found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to be lower than in normal volunteers, averaging approximately 0.12 to 0.34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mL/minute/kg and 56 to 127 mL/kg, respectively. However, the elimination half-life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appeared to be similar when compared to normal volunteers, averaging 3 to 4 hours.</w:t>
      </w:r>
    </w:p>
    <w:p w:rsidR="00AA5115" w:rsidRPr="00CA4638" w:rsidRDefault="00A9713F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Following a single SC injection of 3.45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 xml:space="preserve">/kg and 11.5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>/kg, peak serum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concentrations occurred at approximately 4 to 5 hours and averaged </w:t>
      </w:r>
      <w:proofErr w:type="gramStart"/>
      <w:r w:rsidRPr="00CA4638">
        <w:rPr>
          <w:sz w:val="24"/>
          <w:szCs w:val="24"/>
        </w:rPr>
        <w:t xml:space="preserve">4 </w:t>
      </w:r>
      <w:proofErr w:type="spellStart"/>
      <w:r w:rsidRPr="00CA4638">
        <w:rPr>
          <w:sz w:val="24"/>
          <w:szCs w:val="24"/>
        </w:rPr>
        <w:t>ng</w:t>
      </w:r>
      <w:proofErr w:type="spellEnd"/>
      <w:r w:rsidRPr="00CA4638">
        <w:rPr>
          <w:sz w:val="24"/>
          <w:szCs w:val="24"/>
        </w:rPr>
        <w:t>/</w:t>
      </w:r>
      <w:proofErr w:type="spellStart"/>
      <w:r w:rsidRPr="00CA4638">
        <w:rPr>
          <w:sz w:val="24"/>
          <w:szCs w:val="24"/>
        </w:rPr>
        <w:t>mL</w:t>
      </w:r>
      <w:proofErr w:type="spellEnd"/>
      <w:proofErr w:type="gramEnd"/>
      <w:r w:rsidRPr="00CA4638">
        <w:rPr>
          <w:sz w:val="24"/>
          <w:szCs w:val="24"/>
        </w:rPr>
        <w:t xml:space="preserve"> and 49</w:t>
      </w:r>
      <w:r w:rsidR="00D3037E" w:rsidRPr="00CA4638">
        <w:rPr>
          <w:sz w:val="24"/>
          <w:szCs w:val="24"/>
        </w:rPr>
        <w:t xml:space="preserve"> </w:t>
      </w:r>
      <w:proofErr w:type="spellStart"/>
      <w:r w:rsidRPr="00CA4638">
        <w:rPr>
          <w:sz w:val="24"/>
          <w:szCs w:val="24"/>
        </w:rPr>
        <w:t>ng</w:t>
      </w:r>
      <w:proofErr w:type="spellEnd"/>
      <w:r w:rsidRPr="00CA4638">
        <w:rPr>
          <w:sz w:val="24"/>
          <w:szCs w:val="24"/>
        </w:rPr>
        <w:t>/</w:t>
      </w:r>
      <w:proofErr w:type="spellStart"/>
      <w:r w:rsidRPr="00CA4638">
        <w:rPr>
          <w:sz w:val="24"/>
          <w:szCs w:val="24"/>
        </w:rPr>
        <w:t>mL.</w:t>
      </w:r>
      <w:proofErr w:type="spellEnd"/>
      <w:r w:rsidRPr="00CA4638">
        <w:rPr>
          <w:sz w:val="24"/>
          <w:szCs w:val="24"/>
        </w:rPr>
        <w:t xml:space="preserve"> Continuous SC infusions of 23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 xml:space="preserve">/kg of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over 24 hours in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cancer patients resulted in a steady-state concentration of approximately 50 (30 to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70) </w:t>
      </w:r>
      <w:proofErr w:type="spellStart"/>
      <w:r w:rsidRPr="00CA4638">
        <w:rPr>
          <w:sz w:val="24"/>
          <w:szCs w:val="24"/>
        </w:rPr>
        <w:t>ng</w:t>
      </w:r>
      <w:proofErr w:type="spellEnd"/>
      <w:r w:rsidRPr="00CA4638">
        <w:rPr>
          <w:sz w:val="24"/>
          <w:szCs w:val="24"/>
        </w:rPr>
        <w:t>/</w:t>
      </w:r>
      <w:proofErr w:type="spellStart"/>
      <w:r w:rsidRPr="00CA4638">
        <w:rPr>
          <w:sz w:val="24"/>
          <w:szCs w:val="24"/>
        </w:rPr>
        <w:t>mL.</w:t>
      </w:r>
      <w:proofErr w:type="spellEnd"/>
      <w:r w:rsidRPr="00CA4638">
        <w:rPr>
          <w:sz w:val="24"/>
          <w:szCs w:val="24"/>
        </w:rPr>
        <w:t xml:space="preserve"> No evidence of drug accumulation was observed over 11 to 20 days of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continuous infusion. When a single </w:t>
      </w:r>
      <w:r w:rsidR="00F5017B" w:rsidRPr="00CA4638">
        <w:rPr>
          <w:sz w:val="24"/>
          <w:szCs w:val="24"/>
        </w:rPr>
        <w:t xml:space="preserve">intravenous </w:t>
      </w:r>
      <w:r w:rsidRPr="00CA4638">
        <w:rPr>
          <w:sz w:val="24"/>
          <w:szCs w:val="24"/>
        </w:rPr>
        <w:t xml:space="preserve">dose </w:t>
      </w:r>
      <w:proofErr w:type="gramStart"/>
      <w:r w:rsidRPr="00CA4638">
        <w:rPr>
          <w:sz w:val="24"/>
          <w:szCs w:val="24"/>
        </w:rPr>
        <w:t xml:space="preserve">(1.73 to 69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>/kg)</w:t>
      </w:r>
      <w:proofErr w:type="gramEnd"/>
      <w:r w:rsidRPr="00CA4638">
        <w:rPr>
          <w:sz w:val="24"/>
          <w:szCs w:val="24"/>
        </w:rPr>
        <w:t xml:space="preserve"> was administered to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cancer patients, the area under the serum concentration-time curves increased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proportional to the dose. Serum concentrations of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were found to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decrease in paediatric cancer patients who were dosed </w:t>
      </w:r>
      <w:proofErr w:type="gramStart"/>
      <w:r w:rsidRPr="00CA4638">
        <w:rPr>
          <w:sz w:val="24"/>
          <w:szCs w:val="24"/>
        </w:rPr>
        <w:t xml:space="preserve">at 5 to 15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>/kg/day</w:t>
      </w:r>
      <w:proofErr w:type="gramEnd"/>
      <w:r w:rsidRPr="00CA4638">
        <w:rPr>
          <w:sz w:val="24"/>
          <w:szCs w:val="24"/>
        </w:rPr>
        <w:t xml:space="preserve"> for 10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days. The decrease of serum concentrations may be associated with a change in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the clearance of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due to increasing neutrophil counts.</w:t>
      </w:r>
      <w:r w:rsidR="00D3037E" w:rsidRPr="00CA4638">
        <w:rPr>
          <w:sz w:val="24"/>
          <w:szCs w:val="24"/>
        </w:rPr>
        <w:t xml:space="preserve"> </w:t>
      </w:r>
    </w:p>
    <w:p w:rsidR="00AA5115" w:rsidRPr="00CA4638" w:rsidRDefault="00AA5115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713F" w:rsidRPr="00CA4638" w:rsidRDefault="00A9713F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Subcutaneous injections of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solutions containing either </w:t>
      </w:r>
      <w:proofErr w:type="spellStart"/>
      <w:r w:rsidRPr="00CA4638">
        <w:rPr>
          <w:sz w:val="24"/>
          <w:szCs w:val="24"/>
        </w:rPr>
        <w:t>sorbitol</w:t>
      </w:r>
      <w:proofErr w:type="spellEnd"/>
      <w:r w:rsidRPr="00CA4638">
        <w:rPr>
          <w:sz w:val="24"/>
          <w:szCs w:val="24"/>
        </w:rPr>
        <w:t xml:space="preserve"> or</w:t>
      </w:r>
      <w:r w:rsidR="00D3037E" w:rsidRPr="00CA4638">
        <w:rPr>
          <w:sz w:val="24"/>
          <w:szCs w:val="24"/>
        </w:rPr>
        <w:t xml:space="preserve"> </w:t>
      </w:r>
      <w:proofErr w:type="spellStart"/>
      <w:r w:rsidRPr="00CA4638">
        <w:rPr>
          <w:sz w:val="24"/>
          <w:szCs w:val="24"/>
        </w:rPr>
        <w:t>mannitol</w:t>
      </w:r>
      <w:proofErr w:type="spellEnd"/>
      <w:r w:rsidRPr="00CA4638">
        <w:rPr>
          <w:sz w:val="24"/>
          <w:szCs w:val="24"/>
        </w:rPr>
        <w:t xml:space="preserve"> resulted in similar pharmacokinetic profiles and response in ANC. When a single 5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>/kg SC dose was administered to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normal subjects using 3 concentrations of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solution (300, 600 and 960</w:t>
      </w:r>
      <w:r w:rsidR="00D3037E" w:rsidRPr="00CA4638">
        <w:rPr>
          <w:sz w:val="24"/>
          <w:szCs w:val="24"/>
        </w:rPr>
        <w:t xml:space="preserve">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>/</w:t>
      </w:r>
      <w:proofErr w:type="spellStart"/>
      <w:r w:rsidRPr="00CA4638">
        <w:rPr>
          <w:sz w:val="24"/>
          <w:szCs w:val="24"/>
        </w:rPr>
        <w:t>mL</w:t>
      </w:r>
      <w:proofErr w:type="spellEnd"/>
      <w:r w:rsidRPr="00CA4638">
        <w:rPr>
          <w:sz w:val="24"/>
          <w:szCs w:val="24"/>
        </w:rPr>
        <w:t>), the 3 concentrations were found to be equivalent in elevating ANC.</w:t>
      </w:r>
    </w:p>
    <w:p w:rsidR="00A9713F" w:rsidRPr="00CA4638" w:rsidRDefault="00A9713F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>Although increased maximum serum concentration and area under the serum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 xml:space="preserve">concentration curve were observed with increasing </w:t>
      </w:r>
      <w:proofErr w:type="spellStart"/>
      <w:r w:rsidR="00D3037E" w:rsidRPr="00CA4638">
        <w:rPr>
          <w:sz w:val="24"/>
          <w:szCs w:val="24"/>
        </w:rPr>
        <w:t>filgrastim</w:t>
      </w:r>
      <w:proofErr w:type="spellEnd"/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concentrations,</w:t>
      </w:r>
      <w:r w:rsidR="00D3037E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these pharmacokinetic differences did not correlate with biological response.</w:t>
      </w:r>
    </w:p>
    <w:p w:rsidR="00F03CE2" w:rsidRPr="00CA4638" w:rsidRDefault="00F03CE2" w:rsidP="000738BC">
      <w:pPr>
        <w:jc w:val="both"/>
        <w:rPr>
          <w:sz w:val="24"/>
          <w:szCs w:val="24"/>
          <w:lang w:val="en-US"/>
        </w:rPr>
      </w:pPr>
    </w:p>
    <w:p w:rsidR="00B1474B" w:rsidRDefault="00B1474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EA6859" w:rsidRPr="00F5017B" w:rsidRDefault="00EA6859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5017B">
        <w:rPr>
          <w:b/>
          <w:i/>
          <w:sz w:val="24"/>
          <w:szCs w:val="24"/>
        </w:rPr>
        <w:t xml:space="preserve">Comparability of </w:t>
      </w:r>
      <w:proofErr w:type="spellStart"/>
      <w:r w:rsidRPr="00F5017B">
        <w:rPr>
          <w:b/>
          <w:i/>
          <w:sz w:val="24"/>
          <w:szCs w:val="24"/>
        </w:rPr>
        <w:t>Zarzio</w:t>
      </w:r>
      <w:proofErr w:type="spellEnd"/>
      <w:r w:rsidRPr="00F5017B">
        <w:rPr>
          <w:b/>
          <w:i/>
          <w:sz w:val="24"/>
          <w:szCs w:val="24"/>
          <w:vertAlign w:val="superscript"/>
          <w:lang w:val="en-US"/>
        </w:rPr>
        <w:t>®</w:t>
      </w:r>
      <w:r w:rsidRPr="00F5017B">
        <w:rPr>
          <w:b/>
          <w:i/>
          <w:sz w:val="24"/>
          <w:szCs w:val="24"/>
        </w:rPr>
        <w:t xml:space="preserve"> with </w:t>
      </w:r>
      <w:proofErr w:type="spellStart"/>
      <w:r w:rsidRPr="00F5017B">
        <w:rPr>
          <w:b/>
          <w:i/>
          <w:sz w:val="24"/>
          <w:szCs w:val="24"/>
        </w:rPr>
        <w:t>Neupogen</w:t>
      </w:r>
      <w:proofErr w:type="spellEnd"/>
      <w:r w:rsidRPr="00F5017B">
        <w:rPr>
          <w:b/>
          <w:i/>
          <w:sz w:val="24"/>
          <w:szCs w:val="24"/>
          <w:vertAlign w:val="superscript"/>
          <w:lang w:val="en-US"/>
        </w:rPr>
        <w:t>®</w:t>
      </w: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0046C3" w:rsidRPr="005C68B0" w:rsidRDefault="000046C3" w:rsidP="000046C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68B0">
        <w:rPr>
          <w:sz w:val="24"/>
          <w:szCs w:val="24"/>
        </w:rPr>
        <w:t xml:space="preserve">The pharmacokinetic profiles of </w:t>
      </w:r>
      <w:proofErr w:type="spellStart"/>
      <w:r w:rsidRPr="005C68B0">
        <w:rPr>
          <w:sz w:val="24"/>
          <w:szCs w:val="24"/>
        </w:rPr>
        <w:t>Zarzio</w:t>
      </w:r>
      <w:proofErr w:type="spellEnd"/>
      <w:r w:rsidRPr="005C68B0">
        <w:rPr>
          <w:sz w:val="24"/>
          <w:szCs w:val="24"/>
        </w:rPr>
        <w:t xml:space="preserve"> and </w:t>
      </w:r>
      <w:proofErr w:type="spellStart"/>
      <w:r w:rsidRPr="005C68B0">
        <w:rPr>
          <w:sz w:val="24"/>
          <w:szCs w:val="24"/>
        </w:rPr>
        <w:t>Neupogen</w:t>
      </w:r>
      <w:proofErr w:type="spellEnd"/>
      <w:r w:rsidRPr="005C68B0">
        <w:rPr>
          <w:sz w:val="24"/>
          <w:szCs w:val="24"/>
        </w:rPr>
        <w:t xml:space="preserve"> were comparable in healthy volunteers following IV and SC administration in randomised, double-blind, crossover studies (Tables 5 and 6).</w:t>
      </w:r>
    </w:p>
    <w:p w:rsidR="000046C3" w:rsidRDefault="000046C3" w:rsidP="000046C3">
      <w:pPr>
        <w:pStyle w:val="Default"/>
        <w:jc w:val="both"/>
        <w:rPr>
          <w:color w:val="auto"/>
          <w:u w:val="single"/>
          <w:lang w:val="en-AU"/>
        </w:rPr>
      </w:pPr>
    </w:p>
    <w:p w:rsidR="000046C3" w:rsidRDefault="000046C3" w:rsidP="000046C3">
      <w:pPr>
        <w:pStyle w:val="Default"/>
        <w:jc w:val="both"/>
        <w:rPr>
          <w:b/>
          <w:color w:val="auto"/>
          <w:sz w:val="20"/>
          <w:szCs w:val="20"/>
          <w:lang w:val="en-AU"/>
        </w:rPr>
      </w:pPr>
    </w:p>
    <w:p w:rsidR="000046C3" w:rsidRDefault="000046C3" w:rsidP="000046C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2348E8">
        <w:rPr>
          <w:b/>
          <w:color w:val="auto"/>
          <w:sz w:val="20"/>
          <w:szCs w:val="20"/>
          <w:lang w:val="en-AU"/>
        </w:rPr>
        <w:t xml:space="preserve">Table </w:t>
      </w:r>
      <w:r>
        <w:rPr>
          <w:b/>
          <w:color w:val="auto"/>
          <w:sz w:val="20"/>
          <w:szCs w:val="20"/>
          <w:lang w:val="en-AU"/>
        </w:rPr>
        <w:t>5:</w:t>
      </w:r>
      <w:r w:rsidRPr="002348E8">
        <w:rPr>
          <w:color w:val="auto"/>
          <w:sz w:val="20"/>
          <w:szCs w:val="20"/>
          <w:lang w:val="en-AU"/>
        </w:rPr>
        <w:t xml:space="preserve"> Pharmacokinetic </w:t>
      </w:r>
      <w:r>
        <w:rPr>
          <w:color w:val="auto"/>
          <w:sz w:val="20"/>
          <w:szCs w:val="20"/>
          <w:lang w:val="en-AU"/>
        </w:rPr>
        <w:t>A</w:t>
      </w:r>
      <w:r w:rsidRPr="002348E8">
        <w:rPr>
          <w:color w:val="auto"/>
          <w:sz w:val="20"/>
          <w:szCs w:val="20"/>
          <w:lang w:val="en-AU"/>
        </w:rPr>
        <w:t xml:space="preserve">nalysis </w:t>
      </w:r>
      <w:r>
        <w:rPr>
          <w:color w:val="auto"/>
          <w:sz w:val="20"/>
          <w:szCs w:val="20"/>
          <w:lang w:val="en-AU"/>
        </w:rPr>
        <w:t>of Study EP06-101 (n=32) – 10 µg/kg/d SC for 7 days</w:t>
      </w:r>
    </w:p>
    <w:p w:rsidR="000046C3" w:rsidRDefault="000046C3" w:rsidP="000046C3">
      <w:pPr>
        <w:pStyle w:val="Default"/>
        <w:jc w:val="both"/>
        <w:rPr>
          <w:color w:val="auto"/>
        </w:rPr>
      </w:pPr>
    </w:p>
    <w:tbl>
      <w:tblPr>
        <w:tblStyle w:val="TableGrid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0046C3" w:rsidTr="001D13A0">
        <w:tc>
          <w:tcPr>
            <w:tcW w:w="1704" w:type="dxa"/>
            <w:vMerge w:val="restart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Parameter</w:t>
            </w:r>
          </w:p>
        </w:tc>
        <w:tc>
          <w:tcPr>
            <w:tcW w:w="3408" w:type="dxa"/>
            <w:gridSpan w:val="2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Geometric Mean</w:t>
            </w:r>
          </w:p>
        </w:tc>
        <w:tc>
          <w:tcPr>
            <w:tcW w:w="1705" w:type="dxa"/>
            <w:vMerge w:val="restart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Ratio %</w:t>
            </w:r>
          </w:p>
        </w:tc>
        <w:tc>
          <w:tcPr>
            <w:tcW w:w="1705" w:type="dxa"/>
            <w:vMerge w:val="restart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90 % CI</w:t>
            </w:r>
          </w:p>
        </w:tc>
      </w:tr>
      <w:tr w:rsidR="000046C3" w:rsidTr="001D13A0">
        <w:tc>
          <w:tcPr>
            <w:tcW w:w="1704" w:type="dxa"/>
            <w:vMerge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Zarzio</w:t>
            </w:r>
            <w:proofErr w:type="spellEnd"/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Neupogen</w:t>
            </w:r>
            <w:proofErr w:type="spellEnd"/>
          </w:p>
        </w:tc>
        <w:tc>
          <w:tcPr>
            <w:tcW w:w="1705" w:type="dxa"/>
            <w:vMerge/>
          </w:tcPr>
          <w:p w:rsidR="000046C3" w:rsidRPr="00D64FC0" w:rsidRDefault="000046C3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046C3" w:rsidRPr="00D64FC0" w:rsidRDefault="000046C3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46C3" w:rsidTr="001D13A0"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>AUC</w:t>
            </w:r>
            <w:r w:rsidRPr="00D64FC0">
              <w:rPr>
                <w:sz w:val="20"/>
                <w:szCs w:val="20"/>
                <w:vertAlign w:val="subscript"/>
              </w:rPr>
              <w:t>0-24h</w:t>
            </w:r>
            <w:r w:rsidRPr="00D64FC0">
              <w:rPr>
                <w:sz w:val="20"/>
                <w:szCs w:val="20"/>
              </w:rPr>
              <w:t xml:space="preserve"> (</w:t>
            </w:r>
            <w:proofErr w:type="spellStart"/>
            <w:r w:rsidRPr="00D64FC0">
              <w:rPr>
                <w:sz w:val="20"/>
                <w:szCs w:val="20"/>
              </w:rPr>
              <w:t>ng•h</w:t>
            </w:r>
            <w:proofErr w:type="spellEnd"/>
            <w:r w:rsidRPr="00D64FC0">
              <w:rPr>
                <w:sz w:val="20"/>
                <w:szCs w:val="20"/>
              </w:rPr>
              <w:t>/</w:t>
            </w:r>
            <w:proofErr w:type="spellStart"/>
            <w:r w:rsidRPr="00D64FC0">
              <w:rPr>
                <w:sz w:val="20"/>
                <w:szCs w:val="20"/>
              </w:rPr>
              <w:t>mL</w:t>
            </w:r>
            <w:proofErr w:type="spellEnd"/>
            <w:r w:rsidRPr="00D64FC0">
              <w:rPr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828.1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908.1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92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[88, 96]</w:t>
            </w:r>
          </w:p>
        </w:tc>
      </w:tr>
      <w:tr w:rsidR="000046C3" w:rsidTr="001D13A0"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>AUC</w:t>
            </w:r>
            <w:r w:rsidRPr="00D64FC0">
              <w:rPr>
                <w:sz w:val="20"/>
                <w:szCs w:val="20"/>
                <w:vertAlign w:val="subscript"/>
              </w:rPr>
              <w:t xml:space="preserve">144-168h </w:t>
            </w:r>
            <w:r w:rsidRPr="00D64FC0">
              <w:rPr>
                <w:sz w:val="20"/>
                <w:szCs w:val="20"/>
              </w:rPr>
              <w:t>(</w:t>
            </w:r>
            <w:proofErr w:type="spellStart"/>
            <w:r w:rsidRPr="00D64FC0">
              <w:rPr>
                <w:sz w:val="20"/>
                <w:szCs w:val="20"/>
              </w:rPr>
              <w:t>ng•h</w:t>
            </w:r>
            <w:proofErr w:type="spellEnd"/>
            <w:r w:rsidRPr="00D64FC0">
              <w:rPr>
                <w:sz w:val="20"/>
                <w:szCs w:val="20"/>
              </w:rPr>
              <w:t>/</w:t>
            </w:r>
            <w:proofErr w:type="spellStart"/>
            <w:r w:rsidRPr="00D64FC0">
              <w:rPr>
                <w:sz w:val="20"/>
                <w:szCs w:val="20"/>
              </w:rPr>
              <w:t>mL</w:t>
            </w:r>
            <w:proofErr w:type="spellEnd"/>
            <w:r w:rsidRPr="00D64FC0">
              <w:rPr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172.9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193.1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[83, 96]</w:t>
            </w:r>
          </w:p>
        </w:tc>
      </w:tr>
      <w:tr w:rsidR="000046C3" w:rsidTr="001D13A0"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>C</w:t>
            </w:r>
            <w:r w:rsidRPr="00D64FC0">
              <w:rPr>
                <w:sz w:val="20"/>
                <w:szCs w:val="20"/>
                <w:vertAlign w:val="subscript"/>
              </w:rPr>
              <w:t xml:space="preserve">max,0-24h </w:t>
            </w:r>
            <w:r w:rsidRPr="00D64FC0">
              <w:rPr>
                <w:sz w:val="20"/>
                <w:szCs w:val="20"/>
              </w:rPr>
              <w:t>(</w:t>
            </w:r>
            <w:proofErr w:type="spellStart"/>
            <w:r w:rsidRPr="00D64FC0">
              <w:rPr>
                <w:sz w:val="20"/>
                <w:szCs w:val="20"/>
              </w:rPr>
              <w:t>ng</w:t>
            </w:r>
            <w:proofErr w:type="spellEnd"/>
            <w:r w:rsidRPr="00D64FC0">
              <w:rPr>
                <w:sz w:val="20"/>
                <w:szCs w:val="20"/>
              </w:rPr>
              <w:t>/</w:t>
            </w:r>
            <w:proofErr w:type="spellStart"/>
            <w:r w:rsidRPr="00D64FC0">
              <w:rPr>
                <w:sz w:val="20"/>
                <w:szCs w:val="20"/>
              </w:rPr>
              <w:t>mL</w:t>
            </w:r>
            <w:proofErr w:type="spellEnd"/>
            <w:r w:rsidRPr="00D64FC0">
              <w:rPr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96.4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110.3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88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[81, 94]</w:t>
            </w:r>
          </w:p>
        </w:tc>
      </w:tr>
      <w:tr w:rsidR="000046C3" w:rsidTr="001D13A0"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>C</w:t>
            </w:r>
            <w:r w:rsidRPr="00D64FC0">
              <w:rPr>
                <w:sz w:val="20"/>
                <w:szCs w:val="20"/>
                <w:vertAlign w:val="subscript"/>
              </w:rPr>
              <w:t xml:space="preserve">max,144-216h </w:t>
            </w:r>
            <w:r w:rsidRPr="00D64FC0">
              <w:rPr>
                <w:sz w:val="20"/>
                <w:szCs w:val="20"/>
              </w:rPr>
              <w:t>(</w:t>
            </w:r>
            <w:proofErr w:type="spellStart"/>
            <w:r w:rsidRPr="00D64FC0">
              <w:rPr>
                <w:sz w:val="20"/>
                <w:szCs w:val="20"/>
              </w:rPr>
              <w:t>ng</w:t>
            </w:r>
            <w:proofErr w:type="spellEnd"/>
            <w:r w:rsidRPr="00D64FC0">
              <w:rPr>
                <w:sz w:val="20"/>
                <w:szCs w:val="20"/>
              </w:rPr>
              <w:t>/</w:t>
            </w:r>
            <w:proofErr w:type="spellStart"/>
            <w:r w:rsidRPr="00D64FC0">
              <w:rPr>
                <w:sz w:val="20"/>
                <w:szCs w:val="20"/>
              </w:rPr>
              <w:t>mL</w:t>
            </w:r>
            <w:proofErr w:type="spellEnd"/>
            <w:r w:rsidRPr="00D64FC0">
              <w:rPr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34.5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39.1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88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[81, 97]</w:t>
            </w:r>
          </w:p>
        </w:tc>
      </w:tr>
    </w:tbl>
    <w:p w:rsidR="000046C3" w:rsidRDefault="000046C3" w:rsidP="000046C3">
      <w:pPr>
        <w:pStyle w:val="Default"/>
        <w:jc w:val="both"/>
        <w:rPr>
          <w:color w:val="auto"/>
        </w:rPr>
      </w:pPr>
    </w:p>
    <w:p w:rsidR="00B1474B" w:rsidRDefault="00B1474B" w:rsidP="000046C3">
      <w:pPr>
        <w:pStyle w:val="Default"/>
        <w:jc w:val="both"/>
        <w:rPr>
          <w:color w:val="auto"/>
        </w:rPr>
      </w:pPr>
    </w:p>
    <w:p w:rsidR="000046C3" w:rsidRDefault="000046C3" w:rsidP="000046C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2348E8">
        <w:rPr>
          <w:b/>
          <w:color w:val="auto"/>
          <w:sz w:val="20"/>
          <w:szCs w:val="20"/>
          <w:lang w:val="en-AU"/>
        </w:rPr>
        <w:t xml:space="preserve">Table </w:t>
      </w:r>
      <w:r>
        <w:rPr>
          <w:b/>
          <w:color w:val="auto"/>
          <w:sz w:val="20"/>
          <w:szCs w:val="20"/>
          <w:lang w:val="en-AU"/>
        </w:rPr>
        <w:t>6:</w:t>
      </w:r>
      <w:r w:rsidRPr="002348E8">
        <w:rPr>
          <w:color w:val="auto"/>
          <w:sz w:val="20"/>
          <w:szCs w:val="20"/>
          <w:lang w:val="en-AU"/>
        </w:rPr>
        <w:t xml:space="preserve"> Pharmacokinetic </w:t>
      </w:r>
      <w:r>
        <w:rPr>
          <w:color w:val="auto"/>
          <w:sz w:val="20"/>
          <w:szCs w:val="20"/>
          <w:lang w:val="en-AU"/>
        </w:rPr>
        <w:t>A</w:t>
      </w:r>
      <w:r w:rsidRPr="002348E8">
        <w:rPr>
          <w:color w:val="auto"/>
          <w:sz w:val="20"/>
          <w:szCs w:val="20"/>
          <w:lang w:val="en-AU"/>
        </w:rPr>
        <w:t xml:space="preserve">nalysis </w:t>
      </w:r>
      <w:r>
        <w:rPr>
          <w:color w:val="auto"/>
          <w:sz w:val="20"/>
          <w:szCs w:val="20"/>
          <w:lang w:val="en-AU"/>
        </w:rPr>
        <w:t>of Study EP06-102 (n=24) – Single Dose 5 µg/kg</w:t>
      </w:r>
    </w:p>
    <w:p w:rsidR="000046C3" w:rsidRDefault="000046C3" w:rsidP="000046C3">
      <w:pPr>
        <w:pStyle w:val="Default"/>
        <w:jc w:val="both"/>
        <w:rPr>
          <w:color w:val="auto"/>
        </w:rPr>
      </w:pPr>
    </w:p>
    <w:tbl>
      <w:tblPr>
        <w:tblStyle w:val="TableGrid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0046C3" w:rsidTr="001D13A0">
        <w:tc>
          <w:tcPr>
            <w:tcW w:w="1704" w:type="dxa"/>
            <w:vMerge w:val="restart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Parameter</w:t>
            </w:r>
          </w:p>
        </w:tc>
        <w:tc>
          <w:tcPr>
            <w:tcW w:w="3408" w:type="dxa"/>
            <w:gridSpan w:val="2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Geometric Mean</w:t>
            </w:r>
          </w:p>
        </w:tc>
        <w:tc>
          <w:tcPr>
            <w:tcW w:w="1705" w:type="dxa"/>
            <w:vMerge w:val="restart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Ratio %</w:t>
            </w:r>
          </w:p>
        </w:tc>
        <w:tc>
          <w:tcPr>
            <w:tcW w:w="1705" w:type="dxa"/>
            <w:vMerge w:val="restart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90 % CI</w:t>
            </w:r>
          </w:p>
        </w:tc>
      </w:tr>
      <w:tr w:rsidR="000046C3" w:rsidTr="001D13A0">
        <w:tc>
          <w:tcPr>
            <w:tcW w:w="1704" w:type="dxa"/>
            <w:vMerge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Zarzio</w:t>
            </w:r>
            <w:proofErr w:type="spellEnd"/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Neupogen</w:t>
            </w:r>
            <w:proofErr w:type="spellEnd"/>
          </w:p>
        </w:tc>
        <w:tc>
          <w:tcPr>
            <w:tcW w:w="1705" w:type="dxa"/>
            <w:vMerge/>
          </w:tcPr>
          <w:p w:rsidR="000046C3" w:rsidRPr="00D64FC0" w:rsidRDefault="000046C3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046C3" w:rsidRPr="00D64FC0" w:rsidRDefault="000046C3" w:rsidP="001D13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046C3" w:rsidRPr="002D5F29" w:rsidTr="001D13A0"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>AUC</w:t>
            </w:r>
            <w:r w:rsidRPr="00D64FC0">
              <w:rPr>
                <w:sz w:val="20"/>
                <w:szCs w:val="20"/>
                <w:vertAlign w:val="subscript"/>
              </w:rPr>
              <w:t>0-24h</w:t>
            </w:r>
            <w:r w:rsidRPr="00D64FC0">
              <w:rPr>
                <w:sz w:val="20"/>
                <w:szCs w:val="20"/>
              </w:rPr>
              <w:t xml:space="preserve"> (</w:t>
            </w:r>
            <w:proofErr w:type="spellStart"/>
            <w:r w:rsidRPr="00D64FC0">
              <w:rPr>
                <w:sz w:val="20"/>
                <w:szCs w:val="20"/>
              </w:rPr>
              <w:t>ng•h</w:t>
            </w:r>
            <w:proofErr w:type="spellEnd"/>
            <w:r w:rsidRPr="00D64FC0">
              <w:rPr>
                <w:sz w:val="20"/>
                <w:szCs w:val="20"/>
              </w:rPr>
              <w:t>/</w:t>
            </w:r>
            <w:proofErr w:type="spellStart"/>
            <w:r w:rsidRPr="00D64FC0">
              <w:rPr>
                <w:sz w:val="20"/>
                <w:szCs w:val="20"/>
              </w:rPr>
              <w:t>mL</w:t>
            </w:r>
            <w:proofErr w:type="spellEnd"/>
            <w:r w:rsidRPr="00D64FC0">
              <w:rPr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599.1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634.2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94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[92, 97]</w:t>
            </w:r>
          </w:p>
        </w:tc>
      </w:tr>
      <w:tr w:rsidR="000046C3" w:rsidTr="001D13A0"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rPr>
                <w:color w:val="auto"/>
                <w:sz w:val="20"/>
                <w:szCs w:val="20"/>
              </w:rPr>
            </w:pPr>
            <w:r w:rsidRPr="00D64FC0">
              <w:rPr>
                <w:sz w:val="20"/>
                <w:szCs w:val="20"/>
              </w:rPr>
              <w:t>AUC</w:t>
            </w:r>
            <w:r w:rsidRPr="00D64FC0">
              <w:rPr>
                <w:sz w:val="20"/>
                <w:szCs w:val="20"/>
                <w:vertAlign w:val="subscript"/>
              </w:rPr>
              <w:t xml:space="preserve">144-168h </w:t>
            </w:r>
            <w:r w:rsidRPr="00D64FC0">
              <w:rPr>
                <w:sz w:val="20"/>
                <w:szCs w:val="20"/>
              </w:rPr>
              <w:t>(</w:t>
            </w:r>
            <w:proofErr w:type="spellStart"/>
            <w:r w:rsidRPr="00D64FC0">
              <w:rPr>
                <w:sz w:val="20"/>
                <w:szCs w:val="20"/>
              </w:rPr>
              <w:t>ng•h</w:t>
            </w:r>
            <w:proofErr w:type="spellEnd"/>
            <w:r w:rsidRPr="00D64FC0">
              <w:rPr>
                <w:sz w:val="20"/>
                <w:szCs w:val="20"/>
              </w:rPr>
              <w:t>/</w:t>
            </w:r>
            <w:proofErr w:type="spellStart"/>
            <w:r w:rsidRPr="00D64FC0">
              <w:rPr>
                <w:sz w:val="20"/>
                <w:szCs w:val="20"/>
              </w:rPr>
              <w:t>mL</w:t>
            </w:r>
            <w:proofErr w:type="spellEnd"/>
            <w:r w:rsidRPr="00D64FC0">
              <w:rPr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176.7</w:t>
            </w:r>
          </w:p>
        </w:tc>
        <w:tc>
          <w:tcPr>
            <w:tcW w:w="1704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188.7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94</w:t>
            </w:r>
          </w:p>
        </w:tc>
        <w:tc>
          <w:tcPr>
            <w:tcW w:w="1705" w:type="dxa"/>
          </w:tcPr>
          <w:p w:rsidR="000046C3" w:rsidRPr="00D64FC0" w:rsidRDefault="000046C3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[91, 97]</w:t>
            </w:r>
          </w:p>
        </w:tc>
      </w:tr>
    </w:tbl>
    <w:p w:rsidR="003C0FFF" w:rsidRPr="00CA4638" w:rsidRDefault="003C0FFF" w:rsidP="000738B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6A0530" w:rsidRPr="00CA4638" w:rsidRDefault="000E60EC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C</w:t>
      </w:r>
      <w:r w:rsidR="001E2D56" w:rsidRPr="00CA4638">
        <w:rPr>
          <w:szCs w:val="24"/>
        </w:rPr>
        <w:t>LINICAL TRIALS</w:t>
      </w:r>
    </w:p>
    <w:p w:rsidR="006A0530" w:rsidRPr="00CA4638" w:rsidRDefault="006A0530" w:rsidP="000738BC">
      <w:pPr>
        <w:jc w:val="both"/>
        <w:rPr>
          <w:sz w:val="24"/>
          <w:szCs w:val="24"/>
        </w:rPr>
      </w:pPr>
    </w:p>
    <w:p w:rsidR="00603B74" w:rsidRPr="00C04EB5" w:rsidRDefault="00603B74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C04EB5">
        <w:rPr>
          <w:b/>
          <w:i/>
          <w:sz w:val="24"/>
          <w:szCs w:val="24"/>
        </w:rPr>
        <w:t xml:space="preserve">Cancer Patients Receiving </w:t>
      </w:r>
      <w:proofErr w:type="spellStart"/>
      <w:r w:rsidRPr="00C04EB5">
        <w:rPr>
          <w:b/>
          <w:i/>
          <w:sz w:val="24"/>
          <w:szCs w:val="24"/>
        </w:rPr>
        <w:t>Myelosuppressive</w:t>
      </w:r>
      <w:proofErr w:type="spellEnd"/>
      <w:r w:rsidRPr="00C04EB5">
        <w:rPr>
          <w:b/>
          <w:i/>
          <w:sz w:val="24"/>
          <w:szCs w:val="24"/>
        </w:rPr>
        <w:t xml:space="preserve"> Chemotherapy</w:t>
      </w:r>
    </w:p>
    <w:p w:rsidR="00603B74" w:rsidRPr="00CA4638" w:rsidRDefault="00603B74" w:rsidP="000738BC">
      <w:pPr>
        <w:jc w:val="both"/>
        <w:rPr>
          <w:sz w:val="24"/>
          <w:szCs w:val="24"/>
        </w:rPr>
      </w:pPr>
    </w:p>
    <w:p w:rsidR="00603B74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all clinical studies, administration of </w:t>
      </w:r>
      <w:proofErr w:type="spellStart"/>
      <w:r w:rsidR="004A4FFF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Pr="00CA4638">
        <w:rPr>
          <w:sz w:val="24"/>
          <w:szCs w:val="24"/>
          <w:lang w:val="en-US"/>
        </w:rPr>
        <w:t xml:space="preserve"> resulted in a dose-dependent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rise in neutrophil counts. Following termination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602DD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therapy, circulating</w:t>
      </w:r>
      <w:r w:rsidR="000A72AB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neutrophil</w:t>
      </w:r>
      <w:proofErr w:type="spellEnd"/>
      <w:r w:rsidRPr="00CA4638">
        <w:rPr>
          <w:sz w:val="24"/>
          <w:szCs w:val="24"/>
          <w:lang w:val="en-US"/>
        </w:rPr>
        <w:t xml:space="preserve"> counts declined by 50% within 1 to 2 days and to pretreatment levels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within 1 to 7 days. Isolated neutrophils displayed normal phagocytic and chemotactic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activity in vitro.</w:t>
      </w:r>
    </w:p>
    <w:p w:rsidR="00C66B0B" w:rsidRPr="00CA4638" w:rsidRDefault="00C66B0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 study of the effects of </w:t>
      </w:r>
      <w:proofErr w:type="spellStart"/>
      <w:r w:rsidR="004A4FFF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="00602DD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in patients with carcinoma of the </w:t>
      </w:r>
      <w:proofErr w:type="spellStart"/>
      <w:r w:rsidRPr="00CA4638">
        <w:rPr>
          <w:sz w:val="24"/>
          <w:szCs w:val="24"/>
          <w:lang w:val="en-US"/>
        </w:rPr>
        <w:t>urothelium</w:t>
      </w:r>
      <w:proofErr w:type="spellEnd"/>
      <w:r w:rsidRPr="00CA4638">
        <w:rPr>
          <w:sz w:val="24"/>
          <w:szCs w:val="24"/>
          <w:lang w:val="en-US"/>
        </w:rPr>
        <w:t>,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repeated daily IV dosing with </w:t>
      </w:r>
      <w:proofErr w:type="spellStart"/>
      <w:r w:rsidR="001632F0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="00602DD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resulted in a linear dose-dependent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increase in circulating neutrophil counts over the dose range of 1 to 70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/kg/day.</w:t>
      </w: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effects of </w:t>
      </w:r>
      <w:proofErr w:type="spellStart"/>
      <w:r w:rsidR="001632F0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Pr="00CA4638">
        <w:rPr>
          <w:sz w:val="24"/>
          <w:szCs w:val="24"/>
          <w:lang w:val="en-US"/>
        </w:rPr>
        <w:t xml:space="preserve"> therapy reversed within 24 hours of the termination of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administration and neutrophil counts returned to baseline, in most cases, within 4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days.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a phase 1 study of patients with a variety of malignancies, including lymphoma,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multiple myeloma and adenocarcinoma of the lung, breast and colon, </w:t>
      </w:r>
      <w:proofErr w:type="spellStart"/>
      <w:r w:rsidR="00C66B0B" w:rsidRPr="00CA4638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induced a dose-dependent increase in neutrophil counts. This increase in neutrophil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counts was observed whether </w:t>
      </w:r>
      <w:proofErr w:type="spellStart"/>
      <w:r w:rsidR="00710885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Pr="00CA4638">
        <w:rPr>
          <w:sz w:val="24"/>
          <w:szCs w:val="24"/>
          <w:lang w:val="en-US"/>
        </w:rPr>
        <w:t xml:space="preserve"> was administered intravenously (1 to 70</w:t>
      </w:r>
      <w:r w:rsidR="000A72AB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 twice daily), subcutaneously (1 to 3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 once daily) or by continuous SC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infusion (3 to 11 </w:t>
      </w:r>
      <w:proofErr w:type="spellStart"/>
      <w:r w:rsidRPr="00644577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/kg/day).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These results were consistent with a phase 1 study of patients with small cell lung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cancer who were administered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prior to chemotherapy. All patients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responded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(1 to 45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/kg/day), given for 5 days, with a </w:t>
      </w:r>
      <w:r w:rsidR="004A05B5" w:rsidRPr="00CA4638">
        <w:rPr>
          <w:sz w:val="24"/>
          <w:szCs w:val="24"/>
          <w:lang w:val="en-US"/>
        </w:rPr>
        <w:t>dose dependent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increase in median neutrophil count from a baseline of 9.5 x 10</w:t>
      </w:r>
      <w:r w:rsidRPr="00C14DDE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to a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maximum response of 43 x 10</w:t>
      </w:r>
      <w:r w:rsidRPr="00C14DDE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/L.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>, double-blind, placebo-controlled phase 3 study of small cell lung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cancer patients receiving combination chemotherapy (</w:t>
      </w:r>
      <w:proofErr w:type="spellStart"/>
      <w:r w:rsidRPr="00CA4638">
        <w:rPr>
          <w:sz w:val="24"/>
          <w:szCs w:val="24"/>
          <w:lang w:val="en-US"/>
        </w:rPr>
        <w:t>cyclophosphamide</w:t>
      </w:r>
      <w:proofErr w:type="spellEnd"/>
      <w:r w:rsidRPr="00CA4638">
        <w:rPr>
          <w:sz w:val="24"/>
          <w:szCs w:val="24"/>
          <w:lang w:val="en-US"/>
        </w:rPr>
        <w:t>,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doxorubicin and </w:t>
      </w:r>
      <w:proofErr w:type="spellStart"/>
      <w:r w:rsidR="00710885">
        <w:rPr>
          <w:sz w:val="24"/>
          <w:szCs w:val="24"/>
          <w:lang w:val="en-US"/>
        </w:rPr>
        <w:t>et</w:t>
      </w:r>
      <w:r w:rsidR="004A05B5" w:rsidRPr="00CA4638">
        <w:rPr>
          <w:sz w:val="24"/>
          <w:szCs w:val="24"/>
          <w:lang w:val="en-US"/>
        </w:rPr>
        <w:t>op</w:t>
      </w:r>
      <w:r w:rsidR="00710885">
        <w:rPr>
          <w:sz w:val="24"/>
          <w:szCs w:val="24"/>
          <w:lang w:val="en-US"/>
        </w:rPr>
        <w:t>o</w:t>
      </w:r>
      <w:r w:rsidR="004A05B5" w:rsidRPr="00CA4638">
        <w:rPr>
          <w:sz w:val="24"/>
          <w:szCs w:val="24"/>
          <w:lang w:val="en-US"/>
        </w:rPr>
        <w:t>side</w:t>
      </w:r>
      <w:proofErr w:type="spellEnd"/>
      <w:r w:rsidRPr="00CA4638">
        <w:rPr>
          <w:sz w:val="24"/>
          <w:szCs w:val="24"/>
          <w:lang w:val="en-US"/>
        </w:rPr>
        <w:t xml:space="preserve">), treatment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resulted in clinically and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statistically significant reductions in both the incidence and duration of infection, as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manifested by febrile neutropenia. The incidence, severity and duration of severe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neutropenia (ANC &lt; 0.5 x 10</w:t>
      </w:r>
      <w:r w:rsidRPr="00842762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following chemotherapy were all significantly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reduced, as were the requirements for in-patient </w:t>
      </w:r>
      <w:proofErr w:type="spellStart"/>
      <w:r w:rsidRPr="00CA4638">
        <w:rPr>
          <w:sz w:val="24"/>
          <w:szCs w:val="24"/>
          <w:lang w:val="en-US"/>
        </w:rPr>
        <w:t>hospitalisation</w:t>
      </w:r>
      <w:proofErr w:type="spellEnd"/>
      <w:r w:rsidRPr="00CA4638">
        <w:rPr>
          <w:sz w:val="24"/>
          <w:szCs w:val="24"/>
          <w:lang w:val="en-US"/>
        </w:rPr>
        <w:t xml:space="preserve"> and antibiotic use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(see ADVERSE REACTIONS). With other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regimens (</w:t>
      </w:r>
      <w:proofErr w:type="spellStart"/>
      <w:r w:rsidRPr="00CA4638">
        <w:rPr>
          <w:sz w:val="24"/>
          <w:szCs w:val="24"/>
          <w:lang w:val="en-US"/>
        </w:rPr>
        <w:t>eg</w:t>
      </w:r>
      <w:proofErr w:type="spellEnd"/>
      <w:r w:rsidRPr="00CA4638">
        <w:rPr>
          <w:sz w:val="24"/>
          <w:szCs w:val="24"/>
          <w:lang w:val="en-US"/>
        </w:rPr>
        <w:t>, M-VAC,</w:t>
      </w:r>
      <w:r w:rsidR="000A72AB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melphalan</w:t>
      </w:r>
      <w:proofErr w:type="spellEnd"/>
      <w:r w:rsidRPr="00CA4638">
        <w:rPr>
          <w:sz w:val="24"/>
          <w:szCs w:val="24"/>
          <w:lang w:val="en-US"/>
        </w:rPr>
        <w:t>), a dose-dependent increase in neutrophil counts was observed, as well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as a decrease in the duration of severe neutropenia.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>, double-blind, placebo-controlled phase 3 study of patients with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acute myeloid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 xml:space="preserve"> (AML), the median duration of neutropenia (ANC &lt; 0.5 x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10</w:t>
      </w:r>
      <w:r w:rsidRPr="00E157C5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during the first induction cycle was significantly reduced, from 19 days in the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placebo group to 14 days in the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group. The duration of </w:t>
      </w:r>
      <w:proofErr w:type="spellStart"/>
      <w:r w:rsidRPr="00CA4638">
        <w:rPr>
          <w:sz w:val="24"/>
          <w:szCs w:val="24"/>
          <w:lang w:val="en-US"/>
        </w:rPr>
        <w:t>hospitalisation</w:t>
      </w:r>
      <w:proofErr w:type="spellEnd"/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during induction therapy was also significantly reduced in the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group,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from 29 days to 23 days, as were the duration of fever and incidence of IV antibiotic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use. </w:t>
      </w:r>
      <w:proofErr w:type="spellStart"/>
      <w:r w:rsidR="004A05B5" w:rsidRPr="00CA4638">
        <w:rPr>
          <w:sz w:val="24"/>
          <w:szCs w:val="24"/>
        </w:rPr>
        <w:t>Filgrastim</w:t>
      </w:r>
      <w:proofErr w:type="spellEnd"/>
      <w:r w:rsidRPr="00CA4638">
        <w:rPr>
          <w:sz w:val="24"/>
          <w:szCs w:val="24"/>
        </w:rPr>
        <w:t xml:space="preserve"> had a similar impact on the durations of neutropenia,</w:t>
      </w:r>
      <w:r w:rsidR="000A72AB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hospitalisation, fever and IV antibiotic use in subsequent cycles of chemotherapy.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The absolute monocyte count was reported to increase in a dose-dependent manner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in most patients receiving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 The percentage of monocytes in the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differential count was within the normal range. In all studies to date, absolute counts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of both</w:t>
      </w:r>
      <w:r w:rsidRPr="00CA4638">
        <w:rPr>
          <w:sz w:val="24"/>
          <w:szCs w:val="24"/>
        </w:rPr>
        <w:t xml:space="preserve"> </w:t>
      </w:r>
      <w:proofErr w:type="spellStart"/>
      <w:r w:rsidR="004A05B5" w:rsidRPr="00CA4638">
        <w:rPr>
          <w:sz w:val="24"/>
          <w:szCs w:val="24"/>
        </w:rPr>
        <w:t>eosinophils</w:t>
      </w:r>
      <w:proofErr w:type="spellEnd"/>
      <w:r w:rsidRPr="00CA4638">
        <w:rPr>
          <w:sz w:val="24"/>
          <w:szCs w:val="24"/>
          <w:lang w:val="en-US"/>
        </w:rPr>
        <w:t xml:space="preserve"> and </w:t>
      </w:r>
      <w:proofErr w:type="spellStart"/>
      <w:r w:rsidRPr="00CA4638">
        <w:rPr>
          <w:sz w:val="24"/>
          <w:szCs w:val="24"/>
          <w:lang w:val="en-US"/>
        </w:rPr>
        <w:t>basophils</w:t>
      </w:r>
      <w:proofErr w:type="spellEnd"/>
      <w:r w:rsidRPr="00CA4638">
        <w:rPr>
          <w:sz w:val="24"/>
          <w:szCs w:val="24"/>
          <w:lang w:val="en-US"/>
        </w:rPr>
        <w:t xml:space="preserve"> were within the normal range following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administration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 Small non-dose-dependent increases in lymphocyte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counts following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 have been reported in normal subjects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and cancer patients.</w:t>
      </w:r>
    </w:p>
    <w:p w:rsidR="000E60EC" w:rsidRPr="00CA4638" w:rsidRDefault="000E60EC" w:rsidP="000738BC">
      <w:pPr>
        <w:jc w:val="both"/>
        <w:rPr>
          <w:sz w:val="24"/>
          <w:szCs w:val="24"/>
          <w:lang w:val="en-US"/>
        </w:rPr>
      </w:pPr>
    </w:p>
    <w:p w:rsidR="00603B74" w:rsidRPr="00C04EB5" w:rsidRDefault="00603B74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C04EB5">
        <w:rPr>
          <w:b/>
          <w:i/>
          <w:sz w:val="24"/>
          <w:szCs w:val="24"/>
        </w:rPr>
        <w:t>Peripheral Blood Progenitor Cell (PBPC) Collection and Therapy</w:t>
      </w:r>
    </w:p>
    <w:p w:rsidR="00DD258C" w:rsidRPr="00DD258C" w:rsidRDefault="00DD258C" w:rsidP="000738BC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u w:val="single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Use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, either alone, or after chemotherapy, </w:t>
      </w:r>
      <w:proofErr w:type="spellStart"/>
      <w:r w:rsidRPr="00CA4638">
        <w:rPr>
          <w:sz w:val="24"/>
          <w:szCs w:val="24"/>
          <w:lang w:val="en-US"/>
        </w:rPr>
        <w:t>mobilises</w:t>
      </w:r>
      <w:proofErr w:type="spellEnd"/>
      <w:r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haemopoietic</w:t>
      </w:r>
      <w:proofErr w:type="spellEnd"/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progenitor cells into the peripheral blood. These peripheral blood progenitor cells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(PBPCs) may be harvested and infused after high-dose chemotherapy, either in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place of, or in addition to bone marrow transplantation. Infusion of PBPCs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accelerates the rate of neutrophil and platelet recovery reducing the risk of</w:t>
      </w:r>
      <w:r w:rsidR="000A72AB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haemorrhagic</w:t>
      </w:r>
      <w:proofErr w:type="spellEnd"/>
      <w:r w:rsidRPr="00CA4638">
        <w:rPr>
          <w:sz w:val="24"/>
          <w:szCs w:val="24"/>
          <w:lang w:val="en-US"/>
        </w:rPr>
        <w:t xml:space="preserve"> complications and the need for platelet transfusions.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phase 3 study of patients with Hodgkin’s disease or non-Hodgkin’s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lymphoma undergoing </w:t>
      </w:r>
      <w:proofErr w:type="spellStart"/>
      <w:r w:rsidRPr="00CA4638">
        <w:rPr>
          <w:sz w:val="24"/>
          <w:szCs w:val="24"/>
          <w:lang w:val="en-US"/>
        </w:rPr>
        <w:t>myeloablative</w:t>
      </w:r>
      <w:proofErr w:type="spellEnd"/>
      <w:r w:rsidRPr="00CA4638">
        <w:rPr>
          <w:sz w:val="24"/>
          <w:szCs w:val="24"/>
          <w:lang w:val="en-US"/>
        </w:rPr>
        <w:t xml:space="preserve"> chemotherapy, 27 patients received </w:t>
      </w:r>
      <w:proofErr w:type="spellStart"/>
      <w:r w:rsidRPr="00CA4638">
        <w:rPr>
          <w:sz w:val="24"/>
          <w:szCs w:val="24"/>
          <w:lang w:val="en-US"/>
        </w:rPr>
        <w:t>autologous</w:t>
      </w:r>
      <w:proofErr w:type="spellEnd"/>
      <w:r w:rsidR="000A72AB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r w:rsidRPr="00CA4638">
        <w:rPr>
          <w:sz w:val="24"/>
          <w:szCs w:val="24"/>
          <w:lang w:val="en-US"/>
        </w:rPr>
        <w:t>-mobilised</w:t>
      </w:r>
      <w:proofErr w:type="spellEnd"/>
      <w:r w:rsidRPr="00CA4638">
        <w:rPr>
          <w:sz w:val="24"/>
          <w:szCs w:val="24"/>
          <w:lang w:val="en-US"/>
        </w:rPr>
        <w:t xml:space="preserve"> peripheral blood progenitor cell transplantation (PBPCT)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followed by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and 31 patients received autologous bone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marrow transplantation (ABMT) followed by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/kg/day. Patients</w:t>
      </w:r>
      <w:r w:rsidR="000A72AB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to the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r w:rsidRPr="00CA4638">
        <w:rPr>
          <w:sz w:val="24"/>
          <w:szCs w:val="24"/>
          <w:lang w:val="en-US"/>
        </w:rPr>
        <w:t>-mobilised</w:t>
      </w:r>
      <w:proofErr w:type="spellEnd"/>
      <w:r w:rsidRPr="00CA4638">
        <w:rPr>
          <w:sz w:val="24"/>
          <w:szCs w:val="24"/>
          <w:lang w:val="en-US"/>
        </w:rPr>
        <w:t xml:space="preserve"> PBPCT group compared to the ABMT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group had significantly fewer median days of platelet transfusions (6 </w:t>
      </w:r>
      <w:r w:rsidR="004A05B5" w:rsidRPr="00CA4638">
        <w:rPr>
          <w:sz w:val="24"/>
          <w:szCs w:val="24"/>
          <w:lang w:val="en-US"/>
        </w:rPr>
        <w:t>vs.</w:t>
      </w:r>
      <w:r w:rsidRPr="00CA4638">
        <w:rPr>
          <w:sz w:val="24"/>
          <w:szCs w:val="24"/>
          <w:lang w:val="en-US"/>
        </w:rPr>
        <w:t xml:space="preserve"> 10 days), a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significantly shorter median time to a sustained platelet count &gt; 20 x 10</w:t>
      </w:r>
      <w:r w:rsidRPr="002F44AE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 (16 </w:t>
      </w:r>
      <w:r w:rsidR="004A05B5" w:rsidRPr="00CA4638">
        <w:rPr>
          <w:sz w:val="24"/>
          <w:szCs w:val="24"/>
          <w:lang w:val="en-US"/>
        </w:rPr>
        <w:t>vs.</w:t>
      </w:r>
      <w:r w:rsidRPr="00CA4638">
        <w:rPr>
          <w:sz w:val="24"/>
          <w:szCs w:val="24"/>
          <w:lang w:val="en-US"/>
        </w:rPr>
        <w:t xml:space="preserve"> 23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days), a significantly shorter median time to recovery of a sustained ANC </w:t>
      </w:r>
      <w:r w:rsidR="009542F4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0.5 x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10</w:t>
      </w:r>
      <w:r w:rsidRPr="002F44AE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 (11 </w:t>
      </w:r>
      <w:r w:rsidR="004A05B5" w:rsidRPr="00CA4638">
        <w:rPr>
          <w:sz w:val="24"/>
          <w:szCs w:val="24"/>
          <w:lang w:val="en-US"/>
        </w:rPr>
        <w:t>vs.</w:t>
      </w:r>
      <w:r w:rsidRPr="00CA4638">
        <w:rPr>
          <w:sz w:val="24"/>
          <w:szCs w:val="24"/>
          <w:lang w:val="en-US"/>
        </w:rPr>
        <w:t xml:space="preserve"> 14 days) and a significantly shorter duration of </w:t>
      </w:r>
      <w:proofErr w:type="spellStart"/>
      <w:r w:rsidRPr="00CA4638">
        <w:rPr>
          <w:sz w:val="24"/>
          <w:szCs w:val="24"/>
          <w:lang w:val="en-US"/>
        </w:rPr>
        <w:t>hospitalisation</w:t>
      </w:r>
      <w:proofErr w:type="spellEnd"/>
      <w:r w:rsidRPr="00CA4638">
        <w:rPr>
          <w:sz w:val="24"/>
          <w:szCs w:val="24"/>
          <w:lang w:val="en-US"/>
        </w:rPr>
        <w:t xml:space="preserve"> (17 </w:t>
      </w:r>
      <w:r w:rsidR="004A05B5" w:rsidRPr="00CA4638">
        <w:rPr>
          <w:sz w:val="24"/>
          <w:szCs w:val="24"/>
          <w:lang w:val="en-US"/>
        </w:rPr>
        <w:t>vs.</w:t>
      </w:r>
      <w:r w:rsidRPr="00CA4638">
        <w:rPr>
          <w:sz w:val="24"/>
          <w:szCs w:val="24"/>
          <w:lang w:val="en-US"/>
        </w:rPr>
        <w:t xml:space="preserve"> 23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days).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all clinical trials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the</w:t>
      </w:r>
      <w:r w:rsidRPr="00CA4638">
        <w:rPr>
          <w:sz w:val="24"/>
          <w:szCs w:val="24"/>
        </w:rPr>
        <w:t xml:space="preserve"> mobilisation</w:t>
      </w:r>
      <w:r w:rsidRPr="00CA4638">
        <w:rPr>
          <w:sz w:val="24"/>
          <w:szCs w:val="24"/>
          <w:lang w:val="en-US"/>
        </w:rPr>
        <w:t xml:space="preserve"> of PBPCs,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(5 to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24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/kg/day) was administered following infusion of the cells until a sustainable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ANC (</w:t>
      </w:r>
      <w:r w:rsidR="00380E08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0.5 x 10</w:t>
      </w:r>
      <w:r w:rsidRPr="002F44AE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was reached.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Overall, infusion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r w:rsidRPr="00CA4638">
        <w:rPr>
          <w:sz w:val="24"/>
          <w:szCs w:val="24"/>
          <w:lang w:val="en-US"/>
        </w:rPr>
        <w:t>-mobilised</w:t>
      </w:r>
      <w:proofErr w:type="spellEnd"/>
      <w:r w:rsidRPr="00CA4638">
        <w:rPr>
          <w:sz w:val="24"/>
          <w:szCs w:val="24"/>
          <w:lang w:val="en-US"/>
        </w:rPr>
        <w:t xml:space="preserve"> PBPCs, supported by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post-transplantation, provided rapid and sustained</w:t>
      </w:r>
      <w:r w:rsidRPr="00CA4638">
        <w:rPr>
          <w:sz w:val="24"/>
          <w:szCs w:val="24"/>
        </w:rPr>
        <w:t xml:space="preserve"> </w:t>
      </w:r>
      <w:proofErr w:type="spellStart"/>
      <w:r w:rsidRPr="00CA4638">
        <w:rPr>
          <w:sz w:val="24"/>
          <w:szCs w:val="24"/>
        </w:rPr>
        <w:t>haematologic</w:t>
      </w:r>
      <w:proofErr w:type="spellEnd"/>
      <w:r w:rsidRPr="00CA4638">
        <w:rPr>
          <w:sz w:val="24"/>
          <w:szCs w:val="24"/>
          <w:lang w:val="en-US"/>
        </w:rPr>
        <w:t xml:space="preserve"> recovery. </w:t>
      </w:r>
      <w:r w:rsidR="004A05B5" w:rsidRPr="00CA4638">
        <w:rPr>
          <w:sz w:val="24"/>
          <w:szCs w:val="24"/>
          <w:lang w:val="en-US"/>
        </w:rPr>
        <w:t>Long-term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(approximately 100 days) follow-up </w:t>
      </w:r>
      <w:proofErr w:type="spellStart"/>
      <w:r w:rsidRPr="00CA4638">
        <w:rPr>
          <w:sz w:val="24"/>
          <w:szCs w:val="24"/>
          <w:lang w:val="en-US"/>
        </w:rPr>
        <w:t>haematology</w:t>
      </w:r>
      <w:proofErr w:type="spellEnd"/>
      <w:r w:rsidRPr="00CA4638">
        <w:rPr>
          <w:sz w:val="24"/>
          <w:szCs w:val="24"/>
          <w:lang w:val="en-US"/>
        </w:rPr>
        <w:t xml:space="preserve"> data from patients treated with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autologous PBPCT alone or in combination with bone marrow was compared to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historical data from patients treated with ABMT alone. This retrospective analysis</w:t>
      </w:r>
      <w:r w:rsidR="000A72A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indicated that engraftment is durable</w:t>
      </w:r>
    </w:p>
    <w:p w:rsidR="000A72AB" w:rsidRPr="00CA4638" w:rsidRDefault="000A72A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trial comparing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r w:rsidRPr="00CA4638">
        <w:rPr>
          <w:sz w:val="24"/>
          <w:szCs w:val="24"/>
          <w:lang w:val="en-US"/>
        </w:rPr>
        <w:t>-mobilised</w:t>
      </w:r>
      <w:proofErr w:type="spellEnd"/>
      <w:r w:rsidRPr="00CA4638">
        <w:rPr>
          <w:sz w:val="24"/>
          <w:szCs w:val="24"/>
          <w:lang w:val="en-US"/>
        </w:rPr>
        <w:t xml:space="preserve"> allogeneic PBPCT with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allogeneic BMT in patients with acute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 xml:space="preserve">, chronic </w:t>
      </w:r>
      <w:proofErr w:type="spellStart"/>
      <w:r w:rsidRPr="00CA4638">
        <w:rPr>
          <w:sz w:val="24"/>
          <w:szCs w:val="24"/>
          <w:lang w:val="en-US"/>
        </w:rPr>
        <w:t>myelogenous</w:t>
      </w:r>
      <w:proofErr w:type="spellEnd"/>
      <w:r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 xml:space="preserve"> or</w:t>
      </w:r>
      <w:r w:rsidR="006A6CC3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myelodysplastic</w:t>
      </w:r>
      <w:proofErr w:type="spellEnd"/>
      <w:r w:rsidRPr="00CA4638">
        <w:rPr>
          <w:sz w:val="24"/>
          <w:szCs w:val="24"/>
          <w:lang w:val="en-US"/>
        </w:rPr>
        <w:t xml:space="preserve"> syndrome,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was given at 10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to 163 healthy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volunteers for 4 to 5 days followed by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beginning on day 5. Another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166 healthy volunteers donated bone marrow. The number of CD34</w:t>
      </w:r>
      <w:r w:rsidRPr="00127ED7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 in the</w:t>
      </w:r>
      <w:r w:rsidR="006A6CC3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product was generally sufficient to support a transplant, with over 80%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of donors achieving the target yield of 4 x 10</w:t>
      </w:r>
      <w:r w:rsidRPr="0054712C">
        <w:rPr>
          <w:sz w:val="24"/>
          <w:szCs w:val="24"/>
          <w:vertAlign w:val="superscript"/>
          <w:lang w:val="en-US"/>
        </w:rPr>
        <w:t>6</w:t>
      </w:r>
      <w:r w:rsidRPr="00CA4638">
        <w:rPr>
          <w:sz w:val="24"/>
          <w:szCs w:val="24"/>
          <w:lang w:val="en-US"/>
        </w:rPr>
        <w:t>/kg recipient bodyweight. In the vast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majority of donors (95%) sufficient PBPCs (2 x 10</w:t>
      </w:r>
      <w:r w:rsidRPr="00127ED7">
        <w:rPr>
          <w:sz w:val="24"/>
          <w:szCs w:val="24"/>
          <w:vertAlign w:val="superscript"/>
          <w:lang w:val="en-US"/>
        </w:rPr>
        <w:t>6</w:t>
      </w:r>
      <w:r w:rsidRPr="00CA4638">
        <w:rPr>
          <w:sz w:val="24"/>
          <w:szCs w:val="24"/>
          <w:lang w:val="en-US"/>
        </w:rPr>
        <w:t xml:space="preserve"> CD34</w:t>
      </w:r>
      <w:r w:rsidRPr="00127ED7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cells/kg of recipient) were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obtained in </w:t>
      </w:r>
      <w:r w:rsidR="00127ED7">
        <w:rPr>
          <w:sz w:val="24"/>
          <w:szCs w:val="24"/>
          <w:lang w:val="en-US"/>
        </w:rPr>
        <w:t>≤</w:t>
      </w:r>
      <w:r w:rsidRPr="00CA4638">
        <w:rPr>
          <w:sz w:val="24"/>
          <w:szCs w:val="24"/>
          <w:lang w:val="en-US"/>
        </w:rPr>
        <w:t xml:space="preserve"> 2 </w:t>
      </w:r>
      <w:proofErr w:type="spellStart"/>
      <w:r w:rsidRPr="00CA4638">
        <w:rPr>
          <w:sz w:val="24"/>
          <w:szCs w:val="24"/>
          <w:lang w:val="en-US"/>
        </w:rPr>
        <w:t>leukaphereses</w:t>
      </w:r>
      <w:proofErr w:type="spellEnd"/>
      <w:r w:rsidRPr="00CA4638">
        <w:rPr>
          <w:sz w:val="24"/>
          <w:szCs w:val="24"/>
          <w:lang w:val="en-US"/>
        </w:rPr>
        <w:t>. The median number of CD34</w:t>
      </w:r>
      <w:r w:rsidRPr="00127ED7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 in the</w:t>
      </w:r>
      <w:r w:rsidR="006A6CC3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product (5.8 x 10</w:t>
      </w:r>
      <w:r w:rsidRPr="00127ED7">
        <w:rPr>
          <w:sz w:val="24"/>
          <w:szCs w:val="24"/>
          <w:vertAlign w:val="superscript"/>
          <w:lang w:val="en-US"/>
        </w:rPr>
        <w:t>6</w:t>
      </w:r>
      <w:r w:rsidRPr="00CA4638">
        <w:rPr>
          <w:sz w:val="24"/>
          <w:szCs w:val="24"/>
          <w:lang w:val="en-US"/>
        </w:rPr>
        <w:t>/kg) was higher than that of bone marrow product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(2.7 x 10</w:t>
      </w:r>
      <w:r w:rsidRPr="007B0ED0">
        <w:rPr>
          <w:sz w:val="24"/>
          <w:szCs w:val="24"/>
          <w:vertAlign w:val="superscript"/>
          <w:lang w:val="en-US"/>
        </w:rPr>
        <w:t>6</w:t>
      </w:r>
      <w:r w:rsidRPr="00CA4638">
        <w:rPr>
          <w:sz w:val="24"/>
          <w:szCs w:val="24"/>
          <w:lang w:val="en-US"/>
        </w:rPr>
        <w:t>/kg); however, the product from both procedures was sufficient to allow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each recipient to receive a transplant. Following transplant, all recipients received</w:t>
      </w:r>
      <w:r w:rsidR="006A6CC3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at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until neutrophil recovery (up to 28 days). Recipients of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allogeneic PBPC had a shorter median time to platelet recovery of </w:t>
      </w:r>
      <w:r w:rsidR="00380E08">
        <w:rPr>
          <w:sz w:val="24"/>
          <w:szCs w:val="24"/>
          <w:lang w:val="en-US"/>
        </w:rPr>
        <w:t xml:space="preserve">≥ </w:t>
      </w:r>
      <w:r w:rsidRPr="00CA4638">
        <w:rPr>
          <w:sz w:val="24"/>
          <w:szCs w:val="24"/>
          <w:lang w:val="en-US"/>
        </w:rPr>
        <w:t>20</w:t>
      </w:r>
      <w:r w:rsidR="00454930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x 10</w:t>
      </w:r>
      <w:r w:rsidRPr="00454930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 (15 </w:t>
      </w:r>
      <w:r w:rsidR="004A05B5" w:rsidRPr="00CA4638">
        <w:rPr>
          <w:sz w:val="24"/>
          <w:szCs w:val="24"/>
          <w:lang w:val="en-US"/>
        </w:rPr>
        <w:t>vs.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20 days) and shorter median time to ANC recovery of </w:t>
      </w:r>
      <w:r w:rsidR="00380E08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0.5 x 10</w:t>
      </w:r>
      <w:r w:rsidRPr="00127ED7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 (12 </w:t>
      </w:r>
      <w:r w:rsidR="004A05B5" w:rsidRPr="00CA4638">
        <w:rPr>
          <w:sz w:val="24"/>
          <w:szCs w:val="24"/>
          <w:lang w:val="en-US"/>
        </w:rPr>
        <w:t>vs.</w:t>
      </w:r>
      <w:r w:rsidRPr="00CA4638">
        <w:rPr>
          <w:sz w:val="24"/>
          <w:szCs w:val="24"/>
          <w:lang w:val="en-US"/>
        </w:rPr>
        <w:t xml:space="preserve"> 15 days).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There was no difference in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 xml:space="preserve"> free survival at a median follow-up of 12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months.</w:t>
      </w:r>
    </w:p>
    <w:p w:rsidR="006A6CC3" w:rsidRDefault="006A6CC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B1474B" w:rsidRDefault="00B1474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B1474B" w:rsidRPr="00CA4638" w:rsidRDefault="00B1474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04EB5" w:rsidRDefault="00603B74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C04EB5">
        <w:rPr>
          <w:b/>
          <w:i/>
          <w:sz w:val="24"/>
          <w:szCs w:val="24"/>
        </w:rPr>
        <w:t xml:space="preserve">Patients </w:t>
      </w:r>
      <w:r w:rsidR="006D6516" w:rsidRPr="00C04EB5">
        <w:rPr>
          <w:b/>
          <w:i/>
          <w:sz w:val="24"/>
          <w:szCs w:val="24"/>
        </w:rPr>
        <w:t>with</w:t>
      </w:r>
      <w:r w:rsidRPr="00C04EB5">
        <w:rPr>
          <w:b/>
          <w:i/>
          <w:sz w:val="24"/>
          <w:szCs w:val="24"/>
        </w:rPr>
        <w:t xml:space="preserve"> Severe Chronic Neutropenia (SCN)</w:t>
      </w:r>
    </w:p>
    <w:p w:rsidR="008C663E" w:rsidRPr="008C663E" w:rsidRDefault="008C663E" w:rsidP="000738BC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u w:val="single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>, controlled, open-label phase 3 trial of 123 patients with idiopathic,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cyclic and congenital neutropenia, untreated patients had a median ANC of 0.21 x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10</w:t>
      </w:r>
      <w:r w:rsidRPr="00F86D45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/L.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was adjusted to maintain the median ANC between 1.5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and 10 x 10</w:t>
      </w:r>
      <w:r w:rsidRPr="00F86D45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/L. A complete response was seen in 88% of patients (defined as a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median ANC </w:t>
      </w:r>
      <w:r w:rsidR="000D51AF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1.5 x 10</w:t>
      </w:r>
      <w:r w:rsidRPr="00F86D45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/L) over 5 months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 Overall, the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response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for all patients was observed in 1 to 2 weeks. The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median ANC after 5 months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for all patients was 7.46 x 10</w:t>
      </w:r>
      <w:r w:rsidRPr="00F86D45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(range 0.03 to 30.88 x 10</w:t>
      </w:r>
      <w:r w:rsidRPr="00F86D45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/L). In general, patients with congenital </w:t>
      </w:r>
      <w:proofErr w:type="spellStart"/>
      <w:r w:rsidRPr="00CA4638">
        <w:rPr>
          <w:sz w:val="24"/>
          <w:szCs w:val="24"/>
          <w:lang w:val="en-US"/>
        </w:rPr>
        <w:t>neutropenia</w:t>
      </w:r>
      <w:proofErr w:type="spellEnd"/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responded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with lower median ANC than patients with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idiopathic or cyclic neutropenia.</w:t>
      </w:r>
    </w:p>
    <w:p w:rsidR="006A6CC3" w:rsidRPr="00CA4638" w:rsidRDefault="006A6CC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A6CC3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Overall, daily treatment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resulted in clinically and statistically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significant reductions in the incidence and duration of fever, infections and</w:t>
      </w:r>
      <w:r w:rsidR="006A6CC3" w:rsidRPr="00CA4638">
        <w:rPr>
          <w:sz w:val="24"/>
          <w:szCs w:val="24"/>
          <w:lang w:val="en-US"/>
        </w:rPr>
        <w:t xml:space="preserve"> </w:t>
      </w:r>
      <w:r w:rsidR="004A05B5" w:rsidRPr="00CA4638">
        <w:rPr>
          <w:sz w:val="24"/>
          <w:szCs w:val="24"/>
          <w:lang w:val="en-US"/>
        </w:rPr>
        <w:t>or pharyngeal</w:t>
      </w:r>
      <w:r w:rsidR="00863021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ulcers. As a result, there also were substantial decreases in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requirements for antibiotic use and </w:t>
      </w:r>
      <w:proofErr w:type="spellStart"/>
      <w:r w:rsidRPr="00CA4638">
        <w:rPr>
          <w:sz w:val="24"/>
          <w:szCs w:val="24"/>
          <w:lang w:val="en-US"/>
        </w:rPr>
        <w:t>hospitalisation</w:t>
      </w:r>
      <w:proofErr w:type="spellEnd"/>
      <w:r w:rsidRPr="00CA4638">
        <w:rPr>
          <w:sz w:val="24"/>
          <w:szCs w:val="24"/>
          <w:lang w:val="en-US"/>
        </w:rPr>
        <w:t>. Additionally, patients treated with</w:t>
      </w:r>
      <w:r w:rsidR="006A6CC3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reported fewer episodes of</w:t>
      </w:r>
      <w:r w:rsidRPr="00CA4638">
        <w:rPr>
          <w:sz w:val="24"/>
          <w:szCs w:val="24"/>
          <w:lang w:val="en-TT"/>
        </w:rPr>
        <w:t xml:space="preserve"> diarrhoea</w:t>
      </w:r>
      <w:r w:rsidRPr="00CA4638">
        <w:rPr>
          <w:sz w:val="24"/>
          <w:szCs w:val="24"/>
          <w:lang w:val="en-US"/>
        </w:rPr>
        <w:t>, nausea, fatigue and sore throat.</w:t>
      </w:r>
      <w:r w:rsidR="006A6CC3" w:rsidRPr="00CA4638">
        <w:rPr>
          <w:sz w:val="24"/>
          <w:szCs w:val="24"/>
          <w:lang w:val="en-US"/>
        </w:rPr>
        <w:t xml:space="preserve"> </w:t>
      </w:r>
    </w:p>
    <w:p w:rsidR="006A6CC3" w:rsidRPr="00CA4638" w:rsidRDefault="006A6CC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04EB5" w:rsidRDefault="00603B74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C04EB5">
        <w:rPr>
          <w:b/>
          <w:i/>
          <w:sz w:val="24"/>
          <w:szCs w:val="24"/>
        </w:rPr>
        <w:t xml:space="preserve">Patients </w:t>
      </w:r>
      <w:r w:rsidR="00C4561A" w:rsidRPr="00C04EB5">
        <w:rPr>
          <w:b/>
          <w:i/>
          <w:sz w:val="24"/>
          <w:szCs w:val="24"/>
        </w:rPr>
        <w:t>with</w:t>
      </w:r>
      <w:r w:rsidRPr="00C04EB5">
        <w:rPr>
          <w:b/>
          <w:i/>
          <w:sz w:val="24"/>
          <w:szCs w:val="24"/>
        </w:rPr>
        <w:t xml:space="preserve"> HIV Infection</w:t>
      </w:r>
    </w:p>
    <w:p w:rsidR="00C4561A" w:rsidRPr="00C4561A" w:rsidRDefault="00C4561A" w:rsidP="000738BC">
      <w:pPr>
        <w:autoSpaceDE w:val="0"/>
        <w:autoSpaceDN w:val="0"/>
        <w:adjustRightInd w:val="0"/>
        <w:jc w:val="both"/>
        <w:rPr>
          <w:sz w:val="24"/>
          <w:szCs w:val="24"/>
          <w:u w:val="single"/>
          <w:lang w:val="en-US"/>
        </w:rPr>
      </w:pPr>
    </w:p>
    <w:p w:rsidR="00603B74" w:rsidRPr="00CA4638" w:rsidRDefault="000F48CF" w:rsidP="000F48C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0F48CF">
        <w:rPr>
          <w:sz w:val="24"/>
          <w:szCs w:val="24"/>
          <w:lang w:val="en-US"/>
        </w:rPr>
        <w:t>In an open-label, non-comparative study involving 200 HIV-positive patients with</w:t>
      </w:r>
      <w:r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neutropenia (ANC &lt; 1.0 x 10</w:t>
      </w:r>
      <w:r w:rsidR="00603B74" w:rsidRPr="00F86D45">
        <w:rPr>
          <w:sz w:val="24"/>
          <w:szCs w:val="24"/>
          <w:vertAlign w:val="superscript"/>
          <w:lang w:val="en-US"/>
        </w:rPr>
        <w:t>9</w:t>
      </w:r>
      <w:r w:rsidR="00603B74" w:rsidRPr="00CA4638">
        <w:rPr>
          <w:sz w:val="24"/>
          <w:szCs w:val="24"/>
          <w:lang w:val="en-US"/>
        </w:rPr>
        <w:t xml:space="preserve">/L),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603B74" w:rsidRPr="00CA4638">
        <w:rPr>
          <w:sz w:val="24"/>
          <w:szCs w:val="24"/>
          <w:lang w:val="en-US"/>
        </w:rPr>
        <w:t xml:space="preserve"> reversed the </w:t>
      </w:r>
      <w:proofErr w:type="spellStart"/>
      <w:r w:rsidR="00603B74" w:rsidRPr="00CA4638">
        <w:rPr>
          <w:sz w:val="24"/>
          <w:szCs w:val="24"/>
          <w:lang w:val="en-US"/>
        </w:rPr>
        <w:t>neutropenia</w:t>
      </w:r>
      <w:proofErr w:type="spellEnd"/>
      <w:r w:rsidR="00603B74" w:rsidRPr="00CA4638">
        <w:rPr>
          <w:sz w:val="24"/>
          <w:szCs w:val="24"/>
          <w:lang w:val="en-US"/>
        </w:rPr>
        <w:t xml:space="preserve"> in 98% of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patients (ANC </w:t>
      </w:r>
      <w:r w:rsidR="000D51AF">
        <w:rPr>
          <w:sz w:val="24"/>
          <w:szCs w:val="24"/>
          <w:lang w:val="en-US"/>
        </w:rPr>
        <w:t>≥</w:t>
      </w:r>
      <w:r w:rsidR="00603B74" w:rsidRPr="00CA4638">
        <w:rPr>
          <w:sz w:val="24"/>
          <w:szCs w:val="24"/>
          <w:lang w:val="en-US"/>
        </w:rPr>
        <w:t xml:space="preserve"> 2.0 x 10</w:t>
      </w:r>
      <w:r w:rsidR="00603B74" w:rsidRPr="00F86D45">
        <w:rPr>
          <w:sz w:val="24"/>
          <w:szCs w:val="24"/>
          <w:vertAlign w:val="superscript"/>
          <w:lang w:val="en-US"/>
        </w:rPr>
        <w:t>9</w:t>
      </w:r>
      <w:r w:rsidR="00603B74" w:rsidRPr="00CA4638">
        <w:rPr>
          <w:sz w:val="24"/>
          <w:szCs w:val="24"/>
          <w:lang w:val="en-US"/>
        </w:rPr>
        <w:t>/L) with a median time to reversal of 2 days (range 1 to 16)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and a median dose of 1 </w:t>
      </w:r>
      <w:proofErr w:type="spellStart"/>
      <w:r w:rsidR="00603B74" w:rsidRPr="00CA4638">
        <w:rPr>
          <w:sz w:val="24"/>
          <w:szCs w:val="24"/>
          <w:lang w:val="en-US"/>
        </w:rPr>
        <w:t>μg</w:t>
      </w:r>
      <w:proofErr w:type="spellEnd"/>
      <w:r w:rsidR="00603B74" w:rsidRPr="00CA4638">
        <w:rPr>
          <w:sz w:val="24"/>
          <w:szCs w:val="24"/>
          <w:lang w:val="en-US"/>
        </w:rPr>
        <w:t>/kg/day (range 0.5 to 10). Ninety-six percent of patients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achieved reversal of neutropenia with a dose of </w:t>
      </w:r>
      <w:r w:rsidR="000D51AF">
        <w:rPr>
          <w:sz w:val="24"/>
          <w:szCs w:val="24"/>
          <w:lang w:val="en-US"/>
        </w:rPr>
        <w:t>≤</w:t>
      </w:r>
      <w:r w:rsidR="00603B74" w:rsidRPr="00CA4638">
        <w:rPr>
          <w:sz w:val="24"/>
          <w:szCs w:val="24"/>
          <w:lang w:val="en-US"/>
        </w:rPr>
        <w:t xml:space="preserve"> 300 </w:t>
      </w:r>
      <w:proofErr w:type="spellStart"/>
      <w:r w:rsidR="00603B74" w:rsidRPr="00CA4638">
        <w:rPr>
          <w:sz w:val="24"/>
          <w:szCs w:val="24"/>
          <w:lang w:val="en-US"/>
        </w:rPr>
        <w:t>μg</w:t>
      </w:r>
      <w:proofErr w:type="spellEnd"/>
      <w:r w:rsidR="00603B74" w:rsidRPr="00CA4638">
        <w:rPr>
          <w:sz w:val="24"/>
          <w:szCs w:val="24"/>
          <w:lang w:val="en-US"/>
        </w:rPr>
        <w:t>/day. Normal ANCs were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then maintained with a median dose frequency of 3 times 300 </w:t>
      </w:r>
      <w:proofErr w:type="spellStart"/>
      <w:r w:rsidR="00603B74" w:rsidRPr="00CA4638">
        <w:rPr>
          <w:sz w:val="24"/>
          <w:szCs w:val="24"/>
          <w:lang w:val="en-US"/>
        </w:rPr>
        <w:t>μg</w:t>
      </w:r>
      <w:proofErr w:type="spellEnd"/>
      <w:r w:rsidR="00603B74" w:rsidRPr="00CA4638">
        <w:rPr>
          <w:sz w:val="24"/>
          <w:szCs w:val="24"/>
          <w:lang w:val="en-US"/>
        </w:rPr>
        <w:t xml:space="preserve"> vials/week (range 1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to 7). </w:t>
      </w:r>
      <w:proofErr w:type="spellStart"/>
      <w:r w:rsidR="00603B74" w:rsidRPr="00CA4638">
        <w:rPr>
          <w:sz w:val="24"/>
          <w:szCs w:val="24"/>
          <w:lang w:val="en-US"/>
        </w:rPr>
        <w:t>Ganciclovir</w:t>
      </w:r>
      <w:proofErr w:type="spellEnd"/>
      <w:r w:rsidR="00603B74" w:rsidRPr="00CA4638">
        <w:rPr>
          <w:sz w:val="24"/>
          <w:szCs w:val="24"/>
          <w:lang w:val="en-US"/>
        </w:rPr>
        <w:t xml:space="preserve">, </w:t>
      </w:r>
      <w:proofErr w:type="spellStart"/>
      <w:r w:rsidR="00603B74" w:rsidRPr="00CA4638">
        <w:rPr>
          <w:sz w:val="24"/>
          <w:szCs w:val="24"/>
          <w:lang w:val="en-US"/>
        </w:rPr>
        <w:t>zidovudine</w:t>
      </w:r>
      <w:proofErr w:type="spellEnd"/>
      <w:r w:rsidR="00603B74" w:rsidRPr="00CA4638">
        <w:rPr>
          <w:sz w:val="24"/>
          <w:szCs w:val="24"/>
          <w:lang w:val="en-US"/>
        </w:rPr>
        <w:t>, co-</w:t>
      </w:r>
      <w:proofErr w:type="spellStart"/>
      <w:r w:rsidR="00603B74" w:rsidRPr="00CA4638">
        <w:rPr>
          <w:sz w:val="24"/>
          <w:szCs w:val="24"/>
          <w:lang w:val="en-US"/>
        </w:rPr>
        <w:t>trimoxazole</w:t>
      </w:r>
      <w:proofErr w:type="spellEnd"/>
      <w:r w:rsidR="00603B74" w:rsidRPr="00CA4638">
        <w:rPr>
          <w:sz w:val="24"/>
          <w:szCs w:val="24"/>
          <w:lang w:val="en-US"/>
        </w:rPr>
        <w:t xml:space="preserve"> and</w:t>
      </w:r>
      <w:r w:rsidR="00603B74" w:rsidRPr="00CA4638">
        <w:rPr>
          <w:sz w:val="24"/>
          <w:szCs w:val="24"/>
        </w:rPr>
        <w:t xml:space="preserve"> </w:t>
      </w:r>
      <w:proofErr w:type="spellStart"/>
      <w:r w:rsidR="00603B74" w:rsidRPr="00CA4638">
        <w:rPr>
          <w:sz w:val="24"/>
          <w:szCs w:val="24"/>
        </w:rPr>
        <w:t>pyrimethamine</w:t>
      </w:r>
      <w:proofErr w:type="spellEnd"/>
      <w:r w:rsidR="00603B74" w:rsidRPr="00CA4638">
        <w:rPr>
          <w:sz w:val="24"/>
          <w:szCs w:val="24"/>
          <w:lang w:val="en-US"/>
        </w:rPr>
        <w:t xml:space="preserve"> were the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medications most frequently considered to be causing </w:t>
      </w:r>
      <w:proofErr w:type="spellStart"/>
      <w:r w:rsidR="00603B74" w:rsidRPr="00CA4638">
        <w:rPr>
          <w:sz w:val="24"/>
          <w:szCs w:val="24"/>
          <w:lang w:val="en-US"/>
        </w:rPr>
        <w:t>neutropenia</w:t>
      </w:r>
      <w:proofErr w:type="spellEnd"/>
      <w:r w:rsidR="00603B74" w:rsidRPr="00CA4638">
        <w:rPr>
          <w:sz w:val="24"/>
          <w:szCs w:val="24"/>
          <w:lang w:val="en-US"/>
        </w:rPr>
        <w:t xml:space="preserve"> and 83% of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patients received 1 or more of these on-study. During the study, 84% of these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patients were able to increase or maintain dosing of these 4 medications or add them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to their therapy. The number of these 4 medications received per patient increased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by more than 20% (from 0.98 to 1.18) during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603B74" w:rsidRPr="00CA4638">
        <w:rPr>
          <w:sz w:val="24"/>
          <w:szCs w:val="24"/>
          <w:lang w:val="en-US"/>
        </w:rPr>
        <w:t xml:space="preserve"> therapy. The median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duration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603B74" w:rsidRPr="00CA4638">
        <w:rPr>
          <w:sz w:val="24"/>
          <w:szCs w:val="24"/>
          <w:lang w:val="en-US"/>
        </w:rPr>
        <w:t xml:space="preserve"> treatment was 191 days (range 2 to 815). One hundred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fifty-three patients received long-term maintenance therapy (</w:t>
      </w:r>
      <w:r w:rsidR="000D51AF">
        <w:rPr>
          <w:sz w:val="24"/>
          <w:szCs w:val="24"/>
          <w:lang w:val="en-US"/>
        </w:rPr>
        <w:t>&gt;</w:t>
      </w:r>
      <w:r w:rsidR="00603B74" w:rsidRPr="00CA4638">
        <w:rPr>
          <w:sz w:val="24"/>
          <w:szCs w:val="24"/>
          <w:lang w:val="en-US"/>
        </w:rPr>
        <w:t xml:space="preserve"> 58 days) and the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frequency of dosing was similar to that in the first 30 days of maintenance therapy</w:t>
      </w:r>
      <w:r w:rsidR="006A6CC3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(71% of patients were receiving 2 to 3 vials per week).</w:t>
      </w:r>
    </w:p>
    <w:p w:rsidR="006A6CC3" w:rsidRPr="00CA4638" w:rsidRDefault="006A6CC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603B7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Overall, in patients with HIV infection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rapidly reverses </w:t>
      </w:r>
      <w:proofErr w:type="spellStart"/>
      <w:r w:rsidRPr="00CA4638">
        <w:rPr>
          <w:sz w:val="24"/>
          <w:szCs w:val="24"/>
          <w:lang w:val="en-US"/>
        </w:rPr>
        <w:t>neutropenia</w:t>
      </w:r>
      <w:proofErr w:type="spellEnd"/>
      <w:r w:rsidRPr="00CA4638">
        <w:rPr>
          <w:sz w:val="24"/>
          <w:szCs w:val="24"/>
          <w:lang w:val="en-US"/>
        </w:rPr>
        <w:t xml:space="preserve"> and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is subsequently able to maintain normal neutrophil counts during chronic</w:t>
      </w:r>
      <w:r w:rsidR="006A6CC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administration.</w:t>
      </w:r>
    </w:p>
    <w:p w:rsidR="00BC1A09" w:rsidRPr="00CA4638" w:rsidRDefault="00BC1A09" w:rsidP="000738BC">
      <w:pPr>
        <w:jc w:val="both"/>
        <w:rPr>
          <w:sz w:val="24"/>
          <w:szCs w:val="24"/>
          <w:lang w:val="en-US"/>
        </w:rPr>
      </w:pPr>
    </w:p>
    <w:p w:rsidR="00276E0C" w:rsidRPr="00C04EB5" w:rsidRDefault="00276E0C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41632E">
        <w:rPr>
          <w:b/>
          <w:i/>
          <w:sz w:val="24"/>
          <w:szCs w:val="24"/>
        </w:rPr>
        <w:t xml:space="preserve">Comparability of </w:t>
      </w:r>
      <w:proofErr w:type="spellStart"/>
      <w:r w:rsidRPr="0041632E">
        <w:rPr>
          <w:b/>
          <w:i/>
          <w:sz w:val="24"/>
          <w:szCs w:val="24"/>
        </w:rPr>
        <w:t>Zarzio</w:t>
      </w:r>
      <w:proofErr w:type="spellEnd"/>
      <w:r w:rsidRPr="0041632E">
        <w:rPr>
          <w:b/>
          <w:i/>
          <w:sz w:val="24"/>
          <w:szCs w:val="24"/>
        </w:rPr>
        <w:t xml:space="preserve">® with </w:t>
      </w:r>
      <w:proofErr w:type="spellStart"/>
      <w:r w:rsidRPr="0041632E">
        <w:rPr>
          <w:b/>
          <w:i/>
          <w:sz w:val="24"/>
          <w:szCs w:val="24"/>
        </w:rPr>
        <w:t>Neupogen</w:t>
      </w:r>
      <w:proofErr w:type="spellEnd"/>
      <w:r w:rsidRPr="0041632E">
        <w:rPr>
          <w:b/>
          <w:i/>
          <w:sz w:val="24"/>
          <w:szCs w:val="24"/>
        </w:rPr>
        <w:t>®</w:t>
      </w:r>
    </w:p>
    <w:p w:rsidR="00276E0C" w:rsidRPr="00CA4638" w:rsidRDefault="00276E0C" w:rsidP="000738BC">
      <w:pPr>
        <w:jc w:val="both"/>
        <w:rPr>
          <w:sz w:val="24"/>
          <w:szCs w:val="24"/>
        </w:rPr>
      </w:pPr>
    </w:p>
    <w:p w:rsidR="003D0B32" w:rsidRDefault="003D0B32" w:rsidP="003D0B32">
      <w:pPr>
        <w:pStyle w:val="Default"/>
        <w:jc w:val="both"/>
        <w:rPr>
          <w:color w:val="auto"/>
        </w:rPr>
      </w:pPr>
      <w:r>
        <w:rPr>
          <w:color w:val="auto"/>
        </w:rPr>
        <w:t xml:space="preserve">The efficacy of </w:t>
      </w:r>
      <w:proofErr w:type="spellStart"/>
      <w:r>
        <w:rPr>
          <w:color w:val="auto"/>
        </w:rPr>
        <w:t>Zarzio</w:t>
      </w:r>
      <w:proofErr w:type="spellEnd"/>
      <w:r>
        <w:rPr>
          <w:color w:val="auto"/>
        </w:rPr>
        <w:t xml:space="preserve"> in the prophylaxis of severe neutropenia was demonstrated in patients with breast cancer being treated with chemotherapy in a single-arm trial (EP06-301). The patients were Caucasian woman of median age 52 years, range 24-78 years. The chemotherapy was doxorubicin 60 mg/m</w:t>
      </w:r>
      <w:r w:rsidRPr="00D64FC0">
        <w:rPr>
          <w:color w:val="auto"/>
          <w:vertAlign w:val="superscript"/>
        </w:rPr>
        <w:t>2</w:t>
      </w:r>
      <w:r>
        <w:rPr>
          <w:color w:val="auto"/>
        </w:rPr>
        <w:t xml:space="preserve"> IV and </w:t>
      </w:r>
      <w:proofErr w:type="spellStart"/>
      <w:r>
        <w:rPr>
          <w:color w:val="auto"/>
        </w:rPr>
        <w:t>docetaxel</w:t>
      </w:r>
      <w:proofErr w:type="spellEnd"/>
      <w:r>
        <w:rPr>
          <w:color w:val="auto"/>
        </w:rPr>
        <w:t xml:space="preserve"> 75 mg/m</w:t>
      </w:r>
      <w:r w:rsidRPr="00D64FC0">
        <w:rPr>
          <w:color w:val="auto"/>
          <w:vertAlign w:val="superscript"/>
        </w:rPr>
        <w:t>2</w:t>
      </w:r>
      <w:r>
        <w:rPr>
          <w:color w:val="auto"/>
        </w:rPr>
        <w:t xml:space="preserve"> IV on day 1 each 3 weeks for 4 cycles. </w:t>
      </w:r>
      <w:proofErr w:type="spellStart"/>
      <w:r>
        <w:rPr>
          <w:color w:val="auto"/>
        </w:rPr>
        <w:t>Zarzio</w:t>
      </w:r>
      <w:proofErr w:type="spellEnd"/>
      <w:r>
        <w:rPr>
          <w:color w:val="auto"/>
        </w:rPr>
        <w:t xml:space="preserve"> was given from day 2 of each cycle for up to 14 days or until ANC reached 10 x 10</w:t>
      </w:r>
      <w:r w:rsidRPr="00D64FC0">
        <w:rPr>
          <w:color w:val="auto"/>
          <w:vertAlign w:val="superscript"/>
        </w:rPr>
        <w:t>9</w:t>
      </w:r>
      <w:r>
        <w:rPr>
          <w:color w:val="auto"/>
        </w:rPr>
        <w:t xml:space="preserve">/L. The dose was 300 µg/day (weight &lt; 60 kg) or 480 µg/day (weight ≥ 60 kg) administered SC. The mean dose of </w:t>
      </w:r>
      <w:proofErr w:type="spellStart"/>
      <w:r>
        <w:rPr>
          <w:color w:val="auto"/>
        </w:rPr>
        <w:t>Zarzio</w:t>
      </w:r>
      <w:proofErr w:type="spellEnd"/>
      <w:r>
        <w:rPr>
          <w:color w:val="auto"/>
        </w:rPr>
        <w:t xml:space="preserve"> was 6.1 µg/kg/day, range 3.7-8.4 µg/kg/day and the mean exposure 31 days, range 6-48 days.</w:t>
      </w:r>
    </w:p>
    <w:p w:rsidR="003D0B32" w:rsidRDefault="003D0B32" w:rsidP="003D0B32">
      <w:pPr>
        <w:pStyle w:val="Default"/>
        <w:jc w:val="both"/>
        <w:rPr>
          <w:color w:val="auto"/>
        </w:rPr>
      </w:pPr>
    </w:p>
    <w:p w:rsidR="003D0B32" w:rsidRDefault="003D0B32" w:rsidP="003D0B32">
      <w:pPr>
        <w:pStyle w:val="Default"/>
        <w:jc w:val="both"/>
        <w:rPr>
          <w:color w:val="auto"/>
        </w:rPr>
      </w:pPr>
      <w:r>
        <w:rPr>
          <w:color w:val="auto"/>
        </w:rPr>
        <w:t xml:space="preserve">The incidence and duration of severe neutropenia for each cycle are shown in Table 7. The </w:t>
      </w:r>
      <w:proofErr w:type="spellStart"/>
      <w:r>
        <w:rPr>
          <w:color w:val="auto"/>
        </w:rPr>
        <w:t>mean±sd</w:t>
      </w:r>
      <w:proofErr w:type="spellEnd"/>
      <w:r>
        <w:rPr>
          <w:color w:val="auto"/>
        </w:rPr>
        <w:t xml:space="preserve"> time to ANC nadir </w:t>
      </w:r>
      <w:r w:rsidRPr="00CC73DC">
        <w:rPr>
          <w:color w:val="auto"/>
        </w:rPr>
        <w:t>in cycle 1 was 6.3±0.7</w:t>
      </w:r>
      <w:r>
        <w:rPr>
          <w:color w:val="auto"/>
        </w:rPr>
        <w:t>. The incidence of febrile neutropenia (ANC≤0.5x10</w:t>
      </w:r>
      <w:r w:rsidRPr="00D64FC0">
        <w:rPr>
          <w:color w:val="auto"/>
          <w:vertAlign w:val="superscript"/>
        </w:rPr>
        <w:t>9</w:t>
      </w:r>
      <w:r>
        <w:rPr>
          <w:color w:val="auto"/>
        </w:rPr>
        <w:t xml:space="preserve">/L and body temp≥38.2°C) was 7.6% in cycle 1 and </w:t>
      </w:r>
      <w:r w:rsidRPr="00CC73DC">
        <w:rPr>
          <w:color w:val="auto"/>
        </w:rPr>
        <w:t>8.2%</w:t>
      </w:r>
      <w:r>
        <w:rPr>
          <w:color w:val="auto"/>
        </w:rPr>
        <w:t xml:space="preserve"> across all cycles, and the incidence of infections 2.4% in cycle 1 and 8.8% across all cycles. The </w:t>
      </w:r>
      <w:proofErr w:type="spellStart"/>
      <w:r>
        <w:rPr>
          <w:color w:val="auto"/>
        </w:rPr>
        <w:t>Zarzio</w:t>
      </w:r>
      <w:proofErr w:type="spellEnd"/>
      <w:r>
        <w:rPr>
          <w:color w:val="auto"/>
        </w:rPr>
        <w:t xml:space="preserve"> results were comparable to available data for </w:t>
      </w:r>
      <w:proofErr w:type="spellStart"/>
      <w:r>
        <w:rPr>
          <w:color w:val="auto"/>
        </w:rPr>
        <w:t>Neupogen</w:t>
      </w:r>
      <w:proofErr w:type="spellEnd"/>
      <w:r>
        <w:rPr>
          <w:color w:val="auto"/>
        </w:rPr>
        <w:t xml:space="preserve"> in a similar population.</w:t>
      </w:r>
    </w:p>
    <w:p w:rsidR="003D0B32" w:rsidRDefault="003D0B32" w:rsidP="003D0B32">
      <w:pPr>
        <w:pStyle w:val="Default"/>
        <w:jc w:val="both"/>
        <w:rPr>
          <w:color w:val="auto"/>
        </w:rPr>
      </w:pPr>
    </w:p>
    <w:p w:rsidR="003D0B32" w:rsidRPr="00A27C70" w:rsidRDefault="003D0B32" w:rsidP="003D0B32">
      <w:pPr>
        <w:pStyle w:val="Default"/>
        <w:jc w:val="both"/>
        <w:rPr>
          <w:color w:val="auto"/>
        </w:rPr>
      </w:pPr>
      <w:r w:rsidRPr="00A27C70">
        <w:rPr>
          <w:b/>
          <w:color w:val="auto"/>
          <w:sz w:val="20"/>
          <w:szCs w:val="20"/>
          <w:lang w:val="en-AU"/>
        </w:rPr>
        <w:t>Table 7:</w:t>
      </w:r>
      <w:r w:rsidRPr="00D64FC0">
        <w:rPr>
          <w:b/>
          <w:color w:val="auto"/>
          <w:sz w:val="20"/>
          <w:szCs w:val="20"/>
          <w:lang w:val="en-AU"/>
        </w:rPr>
        <w:t xml:space="preserve"> </w:t>
      </w:r>
      <w:r w:rsidRPr="00A27C70">
        <w:rPr>
          <w:color w:val="auto"/>
          <w:sz w:val="20"/>
          <w:szCs w:val="20"/>
          <w:lang w:val="en-AU"/>
        </w:rPr>
        <w:t>Severe Neutropenia in Trial EP06-301</w:t>
      </w:r>
    </w:p>
    <w:p w:rsidR="003D0B32" w:rsidRDefault="003D0B32" w:rsidP="003D0B32">
      <w:pPr>
        <w:pStyle w:val="Default"/>
        <w:jc w:val="both"/>
        <w:rPr>
          <w:color w:val="auto"/>
        </w:rPr>
      </w:pPr>
    </w:p>
    <w:tbl>
      <w:tblPr>
        <w:tblStyle w:val="TableGrid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D0B32" w:rsidRPr="00D64FC0" w:rsidTr="001D13A0"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Cycle</w:t>
            </w:r>
          </w:p>
        </w:tc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Incidence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Duration</w:t>
            </w:r>
          </w:p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mean±sd</w:t>
            </w:r>
            <w:proofErr w:type="spellEnd"/>
          </w:p>
          <w:p w:rsidR="003D0B32" w:rsidRPr="00D64FC0" w:rsidRDefault="003D0B32" w:rsidP="001D13A0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D64FC0">
              <w:rPr>
                <w:i/>
                <w:color w:val="auto"/>
                <w:sz w:val="20"/>
                <w:szCs w:val="20"/>
              </w:rPr>
              <w:t>days</w:t>
            </w:r>
            <w:r w:rsidRPr="00D64FC0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Recovery Time</w:t>
            </w:r>
          </w:p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64FC0">
              <w:rPr>
                <w:color w:val="auto"/>
                <w:sz w:val="20"/>
                <w:szCs w:val="20"/>
              </w:rPr>
              <w:t>mean±sd</w:t>
            </w:r>
            <w:proofErr w:type="spellEnd"/>
          </w:p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i/>
                <w:color w:val="auto"/>
                <w:sz w:val="20"/>
                <w:szCs w:val="20"/>
              </w:rPr>
              <w:t>days</w:t>
            </w:r>
            <w:r w:rsidRPr="00D64FC0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</w:tr>
      <w:tr w:rsidR="003D0B32" w:rsidRPr="00D64FC0" w:rsidTr="001D13A0"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80/170 (47%)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1.8±1.4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2.2±0.9</w:t>
            </w:r>
          </w:p>
        </w:tc>
      </w:tr>
      <w:tr w:rsidR="003D0B32" w:rsidRPr="00D64FC0" w:rsidTr="001D13A0"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25/162 (15%)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1.3±0.5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1.8±0.6</w:t>
            </w:r>
          </w:p>
        </w:tc>
      </w:tr>
      <w:tr w:rsidR="003D0B32" w:rsidRPr="00D64FC0" w:rsidTr="001D13A0"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33/159 (21%)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1.4±0.6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1.9±0.9</w:t>
            </w:r>
          </w:p>
        </w:tc>
      </w:tr>
      <w:tr w:rsidR="003D0B32" w:rsidRPr="00D64FC0" w:rsidTr="001D13A0"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130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27/154 (18%)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1.7±0.6</w:t>
            </w:r>
          </w:p>
        </w:tc>
        <w:tc>
          <w:tcPr>
            <w:tcW w:w="2131" w:type="dxa"/>
          </w:tcPr>
          <w:p w:rsidR="003D0B32" w:rsidRPr="00D64FC0" w:rsidRDefault="003D0B32" w:rsidP="001D13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4FC0">
              <w:rPr>
                <w:color w:val="auto"/>
                <w:sz w:val="20"/>
                <w:szCs w:val="20"/>
              </w:rPr>
              <w:t>2.1±0.8</w:t>
            </w:r>
          </w:p>
        </w:tc>
      </w:tr>
    </w:tbl>
    <w:p w:rsidR="003D0B32" w:rsidRDefault="003D0B32" w:rsidP="003D0B32">
      <w:pPr>
        <w:pStyle w:val="Default"/>
        <w:jc w:val="both"/>
        <w:rPr>
          <w:color w:val="auto"/>
          <w:sz w:val="20"/>
          <w:szCs w:val="20"/>
        </w:rPr>
      </w:pPr>
      <w:r w:rsidRPr="00D64FC0">
        <w:rPr>
          <w:color w:val="auto"/>
          <w:sz w:val="20"/>
          <w:szCs w:val="20"/>
          <w:vertAlign w:val="superscript"/>
        </w:rPr>
        <w:t>1</w:t>
      </w:r>
      <w:r>
        <w:rPr>
          <w:color w:val="auto"/>
          <w:sz w:val="20"/>
          <w:szCs w:val="20"/>
        </w:rPr>
        <w:t xml:space="preserve"> Number of consecutive days with ANC &lt; 0.5 x 10</w:t>
      </w:r>
      <w:r w:rsidRPr="00D64FC0">
        <w:rPr>
          <w:color w:val="auto"/>
          <w:sz w:val="20"/>
          <w:szCs w:val="20"/>
          <w:vertAlign w:val="superscript"/>
        </w:rPr>
        <w:t>9</w:t>
      </w:r>
      <w:r>
        <w:rPr>
          <w:color w:val="auto"/>
          <w:sz w:val="20"/>
          <w:szCs w:val="20"/>
        </w:rPr>
        <w:t>/L.</w:t>
      </w:r>
    </w:p>
    <w:p w:rsidR="003D0B32" w:rsidRPr="00D64FC0" w:rsidRDefault="003D0B32" w:rsidP="003D0B32">
      <w:pPr>
        <w:pStyle w:val="Default"/>
        <w:jc w:val="both"/>
        <w:rPr>
          <w:color w:val="auto"/>
          <w:sz w:val="20"/>
          <w:szCs w:val="20"/>
        </w:rPr>
      </w:pPr>
      <w:r w:rsidRPr="00D64FC0">
        <w:rPr>
          <w:color w:val="auto"/>
          <w:sz w:val="20"/>
          <w:szCs w:val="20"/>
          <w:vertAlign w:val="superscript"/>
        </w:rPr>
        <w:t>2</w:t>
      </w:r>
      <w:r>
        <w:rPr>
          <w:color w:val="auto"/>
          <w:sz w:val="20"/>
          <w:szCs w:val="20"/>
        </w:rPr>
        <w:t xml:space="preserve"> Number of days from the first day</w:t>
      </w:r>
      <w:r w:rsidRPr="00D64FC0">
        <w:rPr>
          <w:color w:val="auto"/>
          <w:sz w:val="20"/>
          <w:szCs w:val="20"/>
        </w:rPr>
        <w:t xml:space="preserve"> with </w:t>
      </w:r>
      <w:r w:rsidRPr="00D64FC0">
        <w:rPr>
          <w:sz w:val="20"/>
          <w:szCs w:val="20"/>
        </w:rPr>
        <w:t>ANC &lt; 0.5 x 10</w:t>
      </w:r>
      <w:r w:rsidRPr="00D64FC0">
        <w:rPr>
          <w:sz w:val="20"/>
          <w:szCs w:val="20"/>
          <w:vertAlign w:val="superscript"/>
        </w:rPr>
        <w:t>9</w:t>
      </w:r>
      <w:r w:rsidRPr="00D64FC0">
        <w:rPr>
          <w:sz w:val="20"/>
          <w:szCs w:val="20"/>
        </w:rPr>
        <w:t>/L to the first day with ANC ≥ 1.0 x 10</w:t>
      </w:r>
      <w:r w:rsidRPr="00D64FC0">
        <w:rPr>
          <w:sz w:val="20"/>
          <w:szCs w:val="20"/>
          <w:vertAlign w:val="superscript"/>
        </w:rPr>
        <w:t>9</w:t>
      </w:r>
      <w:r w:rsidRPr="00D64FC0">
        <w:rPr>
          <w:sz w:val="20"/>
          <w:szCs w:val="20"/>
        </w:rPr>
        <w:t>/L.</w:t>
      </w:r>
    </w:p>
    <w:p w:rsidR="003D0B32" w:rsidRDefault="003D0B32" w:rsidP="003D0B32">
      <w:pPr>
        <w:pStyle w:val="Default"/>
        <w:jc w:val="both"/>
        <w:rPr>
          <w:color w:val="auto"/>
        </w:rPr>
      </w:pPr>
    </w:p>
    <w:p w:rsidR="003D0B32" w:rsidRDefault="003D0B32" w:rsidP="003D0B32">
      <w:pPr>
        <w:pStyle w:val="Default"/>
        <w:jc w:val="both"/>
        <w:rPr>
          <w:color w:val="auto"/>
        </w:rPr>
      </w:pPr>
    </w:p>
    <w:p w:rsidR="003D0B32" w:rsidRPr="003D0B32" w:rsidRDefault="003D0B32" w:rsidP="003D0B32">
      <w:pPr>
        <w:pStyle w:val="Heading1"/>
        <w:jc w:val="both"/>
        <w:rPr>
          <w:b w:val="0"/>
          <w:szCs w:val="24"/>
          <w:lang w:val="en-US"/>
        </w:rPr>
      </w:pPr>
      <w:r w:rsidRPr="003D0B32">
        <w:rPr>
          <w:b w:val="0"/>
          <w:szCs w:val="24"/>
          <w:lang w:val="en-US"/>
        </w:rPr>
        <w:t xml:space="preserve">Based on </w:t>
      </w:r>
      <w:r>
        <w:rPr>
          <w:b w:val="0"/>
          <w:szCs w:val="24"/>
          <w:lang w:val="en-US"/>
        </w:rPr>
        <w:t xml:space="preserve">the available </w:t>
      </w:r>
      <w:r w:rsidRPr="003D0B32">
        <w:rPr>
          <w:b w:val="0"/>
          <w:szCs w:val="24"/>
          <w:lang w:val="en-US"/>
        </w:rPr>
        <w:t>data, the safety profile</w:t>
      </w:r>
      <w:r>
        <w:rPr>
          <w:b w:val="0"/>
          <w:szCs w:val="24"/>
          <w:lang w:val="en-US"/>
        </w:rPr>
        <w:t>s</w:t>
      </w:r>
      <w:r w:rsidRPr="003D0B32">
        <w:rPr>
          <w:b w:val="0"/>
          <w:szCs w:val="24"/>
          <w:lang w:val="en-US"/>
        </w:rPr>
        <w:t xml:space="preserve"> of </w:t>
      </w:r>
      <w:proofErr w:type="spellStart"/>
      <w:r w:rsidRPr="003D0B32">
        <w:rPr>
          <w:b w:val="0"/>
          <w:szCs w:val="24"/>
          <w:lang w:val="en-US"/>
        </w:rPr>
        <w:t>Zarzio</w:t>
      </w:r>
      <w:proofErr w:type="spellEnd"/>
      <w:r w:rsidRPr="003D0B32">
        <w:rPr>
          <w:b w:val="0"/>
          <w:szCs w:val="24"/>
          <w:lang w:val="en-US"/>
        </w:rPr>
        <w:t xml:space="preserve"> </w:t>
      </w:r>
      <w:r>
        <w:rPr>
          <w:b w:val="0"/>
          <w:szCs w:val="24"/>
          <w:lang w:val="en-US"/>
        </w:rPr>
        <w:t xml:space="preserve">and </w:t>
      </w:r>
      <w:proofErr w:type="spellStart"/>
      <w:r w:rsidRPr="003D0B32">
        <w:rPr>
          <w:b w:val="0"/>
          <w:szCs w:val="24"/>
          <w:lang w:val="en-US"/>
        </w:rPr>
        <w:t>Neupogen</w:t>
      </w:r>
      <w:proofErr w:type="spellEnd"/>
      <w:r>
        <w:rPr>
          <w:b w:val="0"/>
          <w:szCs w:val="24"/>
          <w:lang w:val="en-US"/>
        </w:rPr>
        <w:t xml:space="preserve"> are comparable</w:t>
      </w:r>
      <w:r w:rsidRPr="003D0B32">
        <w:rPr>
          <w:b w:val="0"/>
          <w:szCs w:val="24"/>
          <w:lang w:val="en-US"/>
        </w:rPr>
        <w:t>.</w:t>
      </w:r>
    </w:p>
    <w:p w:rsidR="00276E0C" w:rsidRPr="00CA4638" w:rsidRDefault="00276E0C" w:rsidP="000738BC">
      <w:pPr>
        <w:jc w:val="both"/>
        <w:rPr>
          <w:sz w:val="24"/>
          <w:szCs w:val="24"/>
          <w:lang w:val="en-US"/>
        </w:rPr>
      </w:pPr>
    </w:p>
    <w:p w:rsidR="00F22BCA" w:rsidRPr="00CA4638" w:rsidRDefault="00F22BCA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I</w:t>
      </w:r>
      <w:r w:rsidR="001E2D56" w:rsidRPr="00CA4638">
        <w:rPr>
          <w:szCs w:val="24"/>
        </w:rPr>
        <w:t>NDICATIONS</w:t>
      </w:r>
    </w:p>
    <w:p w:rsidR="006F6CB4" w:rsidRPr="00CA4638" w:rsidRDefault="006F6CB4" w:rsidP="000738BC">
      <w:pPr>
        <w:jc w:val="both"/>
        <w:rPr>
          <w:i/>
          <w:color w:val="3366FF"/>
          <w:sz w:val="24"/>
          <w:szCs w:val="24"/>
        </w:rPr>
      </w:pPr>
    </w:p>
    <w:p w:rsidR="00DB5F93" w:rsidRDefault="00131EF2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131EF2">
        <w:rPr>
          <w:sz w:val="24"/>
          <w:szCs w:val="24"/>
        </w:rPr>
        <w:t>Zarzio</w:t>
      </w:r>
      <w:proofErr w:type="spellEnd"/>
      <w:r w:rsidRPr="00131EF2">
        <w:rPr>
          <w:sz w:val="24"/>
          <w:szCs w:val="24"/>
          <w:vertAlign w:val="superscript"/>
          <w:lang w:val="en-US"/>
        </w:rPr>
        <w:t>®</w:t>
      </w:r>
      <w:r>
        <w:rPr>
          <w:sz w:val="24"/>
          <w:szCs w:val="24"/>
          <w:vertAlign w:val="superscript"/>
          <w:lang w:val="en-US"/>
        </w:rPr>
        <w:t xml:space="preserve"> </w:t>
      </w:r>
      <w:r w:rsidR="00603B74" w:rsidRPr="00131EF2">
        <w:rPr>
          <w:sz w:val="24"/>
          <w:szCs w:val="24"/>
          <w:lang w:val="en-US"/>
        </w:rPr>
        <w:t>is indicated to decrease the incidence of infection, as manifested by</w:t>
      </w:r>
      <w:r w:rsidR="004157D1" w:rsidRPr="00131EF2">
        <w:rPr>
          <w:sz w:val="24"/>
          <w:szCs w:val="24"/>
          <w:lang w:val="en-US"/>
        </w:rPr>
        <w:t xml:space="preserve"> </w:t>
      </w:r>
      <w:r w:rsidR="00603B74" w:rsidRPr="00131EF2">
        <w:rPr>
          <w:sz w:val="24"/>
          <w:szCs w:val="24"/>
          <w:lang w:val="en-US"/>
        </w:rPr>
        <w:t>febrile</w:t>
      </w:r>
      <w:r w:rsidR="00603B74" w:rsidRPr="00CA4638">
        <w:rPr>
          <w:sz w:val="24"/>
          <w:szCs w:val="24"/>
          <w:lang w:val="en-US"/>
        </w:rPr>
        <w:t xml:space="preserve"> neutropenia, in patients with non-myeloid malignancies receiving</w:t>
      </w:r>
      <w:r w:rsidR="004157D1" w:rsidRPr="00CA4638">
        <w:rPr>
          <w:sz w:val="24"/>
          <w:szCs w:val="24"/>
          <w:lang w:val="en-US"/>
        </w:rPr>
        <w:t xml:space="preserve"> </w:t>
      </w:r>
      <w:proofErr w:type="spellStart"/>
      <w:r w:rsidR="00603B74" w:rsidRPr="00CA4638">
        <w:rPr>
          <w:sz w:val="24"/>
          <w:szCs w:val="24"/>
          <w:lang w:val="en-US"/>
        </w:rPr>
        <w:t>myelosuppressive</w:t>
      </w:r>
      <w:proofErr w:type="spellEnd"/>
      <w:r w:rsidR="00603B74" w:rsidRPr="00CA4638">
        <w:rPr>
          <w:sz w:val="24"/>
          <w:szCs w:val="24"/>
          <w:lang w:val="en-US"/>
        </w:rPr>
        <w:t xml:space="preserve"> anti-cancer drugs in doses not usually requiring bone marrow</w:t>
      </w:r>
      <w:r w:rsidR="004157D1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transplantation.</w:t>
      </w:r>
      <w:r w:rsidR="004157D1" w:rsidRPr="00CA4638">
        <w:rPr>
          <w:sz w:val="24"/>
          <w:szCs w:val="24"/>
          <w:lang w:val="en-US"/>
        </w:rPr>
        <w:t xml:space="preserve"> </w:t>
      </w:r>
    </w:p>
    <w:p w:rsidR="00871C6C" w:rsidRDefault="00871C6C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57D1" w:rsidRPr="00CA4638" w:rsidRDefault="009879B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131EF2">
        <w:rPr>
          <w:sz w:val="24"/>
          <w:szCs w:val="24"/>
        </w:rPr>
        <w:t>Zarzio</w:t>
      </w:r>
      <w:proofErr w:type="spellEnd"/>
      <w:r w:rsidRPr="00131EF2">
        <w:rPr>
          <w:sz w:val="24"/>
          <w:szCs w:val="24"/>
          <w:vertAlign w:val="superscript"/>
          <w:lang w:val="en-US"/>
        </w:rPr>
        <w:t>®</w:t>
      </w:r>
      <w:r w:rsidR="00603B74" w:rsidRPr="00CA4638">
        <w:rPr>
          <w:sz w:val="24"/>
          <w:szCs w:val="24"/>
          <w:lang w:val="en-US"/>
        </w:rPr>
        <w:t xml:space="preserve"> is indicated for reducing the duration of </w:t>
      </w:r>
      <w:proofErr w:type="spellStart"/>
      <w:r w:rsidR="00603B74" w:rsidRPr="00CA4638">
        <w:rPr>
          <w:sz w:val="24"/>
          <w:szCs w:val="24"/>
          <w:lang w:val="en-US"/>
        </w:rPr>
        <w:t>neutropenia</w:t>
      </w:r>
      <w:proofErr w:type="spellEnd"/>
      <w:r w:rsidR="00603B74" w:rsidRPr="00CA4638">
        <w:rPr>
          <w:sz w:val="24"/>
          <w:szCs w:val="24"/>
          <w:lang w:val="en-US"/>
        </w:rPr>
        <w:t xml:space="preserve"> and clinical</w:t>
      </w:r>
      <w:r w:rsidR="004157D1" w:rsidRPr="00CA4638">
        <w:rPr>
          <w:sz w:val="24"/>
          <w:szCs w:val="24"/>
          <w:lang w:val="en-US"/>
        </w:rPr>
        <w:t xml:space="preserve"> </w:t>
      </w:r>
      <w:proofErr w:type="spellStart"/>
      <w:r w:rsidR="00603B74" w:rsidRPr="00CA4638">
        <w:rPr>
          <w:sz w:val="24"/>
          <w:szCs w:val="24"/>
          <w:lang w:val="en-US"/>
        </w:rPr>
        <w:t>sequelae</w:t>
      </w:r>
      <w:proofErr w:type="spellEnd"/>
      <w:r w:rsidR="00603B74" w:rsidRPr="00CA4638">
        <w:rPr>
          <w:sz w:val="24"/>
          <w:szCs w:val="24"/>
          <w:lang w:val="en-US"/>
        </w:rPr>
        <w:t xml:space="preserve"> in patients undergoing induction and consolidation chemotherapy for acute</w:t>
      </w:r>
      <w:r w:rsidR="004157D1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myeloid </w:t>
      </w:r>
      <w:proofErr w:type="spellStart"/>
      <w:r w:rsidR="00603B74" w:rsidRPr="00CA4638">
        <w:rPr>
          <w:sz w:val="24"/>
          <w:szCs w:val="24"/>
          <w:lang w:val="en-US"/>
        </w:rPr>
        <w:t>leukaemia</w:t>
      </w:r>
      <w:proofErr w:type="spellEnd"/>
      <w:r w:rsidR="00603B74" w:rsidRPr="00CA4638">
        <w:rPr>
          <w:sz w:val="24"/>
          <w:szCs w:val="24"/>
          <w:lang w:val="en-US"/>
        </w:rPr>
        <w:t>.</w:t>
      </w:r>
      <w:r w:rsidR="004157D1" w:rsidRPr="00CA4638">
        <w:rPr>
          <w:sz w:val="24"/>
          <w:szCs w:val="24"/>
          <w:lang w:val="en-US"/>
        </w:rPr>
        <w:t xml:space="preserve"> </w:t>
      </w:r>
    </w:p>
    <w:p w:rsidR="004157D1" w:rsidRPr="00CA4638" w:rsidRDefault="004157D1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03B74" w:rsidRPr="00CA4638" w:rsidRDefault="009879B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131EF2">
        <w:rPr>
          <w:sz w:val="24"/>
          <w:szCs w:val="24"/>
        </w:rPr>
        <w:t>Zarzio</w:t>
      </w:r>
      <w:proofErr w:type="spellEnd"/>
      <w:r w:rsidRPr="00131EF2">
        <w:rPr>
          <w:sz w:val="24"/>
          <w:szCs w:val="24"/>
          <w:vertAlign w:val="superscript"/>
          <w:lang w:val="en-US"/>
        </w:rPr>
        <w:t>®</w:t>
      </w:r>
      <w:r w:rsidR="00603B74" w:rsidRPr="00CA4638">
        <w:rPr>
          <w:sz w:val="24"/>
          <w:szCs w:val="24"/>
          <w:lang w:val="en-US"/>
        </w:rPr>
        <w:t xml:space="preserve">is indicated for the </w:t>
      </w:r>
      <w:proofErr w:type="spellStart"/>
      <w:r w:rsidR="00603B74" w:rsidRPr="00CA4638">
        <w:rPr>
          <w:sz w:val="24"/>
          <w:szCs w:val="24"/>
          <w:lang w:val="en-US"/>
        </w:rPr>
        <w:t>mobilisation</w:t>
      </w:r>
      <w:proofErr w:type="spellEnd"/>
      <w:r w:rsidR="00603B74" w:rsidRPr="00CA4638">
        <w:rPr>
          <w:sz w:val="24"/>
          <w:szCs w:val="24"/>
          <w:lang w:val="en-US"/>
        </w:rPr>
        <w:t xml:space="preserve"> of </w:t>
      </w:r>
      <w:proofErr w:type="spellStart"/>
      <w:r w:rsidR="00603B74" w:rsidRPr="00CA4638">
        <w:rPr>
          <w:sz w:val="24"/>
          <w:szCs w:val="24"/>
          <w:lang w:val="en-US"/>
        </w:rPr>
        <w:t>autologous</w:t>
      </w:r>
      <w:proofErr w:type="spellEnd"/>
      <w:r w:rsidR="00603B74" w:rsidRPr="00CA4638">
        <w:rPr>
          <w:sz w:val="24"/>
          <w:szCs w:val="24"/>
          <w:lang w:val="en-US"/>
        </w:rPr>
        <w:t xml:space="preserve"> peripheral blood</w:t>
      </w:r>
      <w:r w:rsidR="004157D1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 xml:space="preserve">progenitor cells alone, or following </w:t>
      </w:r>
      <w:proofErr w:type="spellStart"/>
      <w:r w:rsidR="00603B74" w:rsidRPr="00CA4638">
        <w:rPr>
          <w:sz w:val="24"/>
          <w:szCs w:val="24"/>
          <w:lang w:val="en-US"/>
        </w:rPr>
        <w:t>myelosuppressive</w:t>
      </w:r>
      <w:proofErr w:type="spellEnd"/>
      <w:r w:rsidR="00603B74" w:rsidRPr="00CA4638">
        <w:rPr>
          <w:sz w:val="24"/>
          <w:szCs w:val="24"/>
          <w:lang w:val="en-US"/>
        </w:rPr>
        <w:t xml:space="preserve"> chemotherapy, in order to</w:t>
      </w:r>
      <w:r w:rsidR="004157D1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accelerate neutrophil and platelet recovery by infusion of such cells after</w:t>
      </w:r>
      <w:r w:rsidR="004157D1" w:rsidRPr="00CA4638">
        <w:rPr>
          <w:sz w:val="24"/>
          <w:szCs w:val="24"/>
          <w:lang w:val="en-US"/>
        </w:rPr>
        <w:t xml:space="preserve"> </w:t>
      </w:r>
      <w:proofErr w:type="spellStart"/>
      <w:r w:rsidR="00603B74" w:rsidRPr="00CA4638">
        <w:rPr>
          <w:sz w:val="24"/>
          <w:szCs w:val="24"/>
          <w:lang w:val="en-US"/>
        </w:rPr>
        <w:t>myeloablative</w:t>
      </w:r>
      <w:proofErr w:type="spellEnd"/>
      <w:r w:rsidR="00603B74" w:rsidRPr="00CA4638">
        <w:rPr>
          <w:sz w:val="24"/>
          <w:szCs w:val="24"/>
          <w:lang w:val="en-US"/>
        </w:rPr>
        <w:t xml:space="preserve"> or </w:t>
      </w:r>
      <w:proofErr w:type="spellStart"/>
      <w:r w:rsidR="00603B74" w:rsidRPr="00CA4638">
        <w:rPr>
          <w:sz w:val="24"/>
          <w:szCs w:val="24"/>
          <w:lang w:val="en-US"/>
        </w:rPr>
        <w:t>myelosuppressive</w:t>
      </w:r>
      <w:proofErr w:type="spellEnd"/>
      <w:r w:rsidR="00603B74" w:rsidRPr="00CA4638">
        <w:rPr>
          <w:sz w:val="24"/>
          <w:szCs w:val="24"/>
          <w:lang w:val="en-US"/>
        </w:rPr>
        <w:t xml:space="preserve"> therapy in patients with non-myeloid</w:t>
      </w:r>
      <w:r w:rsidR="004157D1" w:rsidRPr="00CA4638">
        <w:rPr>
          <w:sz w:val="24"/>
          <w:szCs w:val="24"/>
          <w:lang w:val="en-US"/>
        </w:rPr>
        <w:t xml:space="preserve"> </w:t>
      </w:r>
      <w:r w:rsidR="00603B74" w:rsidRPr="00CA4638">
        <w:rPr>
          <w:sz w:val="24"/>
          <w:szCs w:val="24"/>
          <w:lang w:val="en-US"/>
        </w:rPr>
        <w:t>malignancies.</w:t>
      </w:r>
      <w:r w:rsidR="004157D1" w:rsidRPr="00CA4638">
        <w:rPr>
          <w:sz w:val="24"/>
          <w:szCs w:val="24"/>
          <w:lang w:val="en-US"/>
        </w:rPr>
        <w:t xml:space="preserve"> </w:t>
      </w:r>
    </w:p>
    <w:p w:rsidR="004157D1" w:rsidRPr="00CA4638" w:rsidRDefault="004157D1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F0E10" w:rsidRPr="00CA4638" w:rsidRDefault="009879B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131EF2">
        <w:rPr>
          <w:sz w:val="24"/>
          <w:szCs w:val="24"/>
        </w:rPr>
        <w:t>Zarzio</w:t>
      </w:r>
      <w:proofErr w:type="spellEnd"/>
      <w:r w:rsidRPr="00131EF2">
        <w:rPr>
          <w:sz w:val="24"/>
          <w:szCs w:val="24"/>
          <w:vertAlign w:val="superscript"/>
          <w:lang w:val="en-US"/>
        </w:rPr>
        <w:t>®</w:t>
      </w:r>
      <w:r w:rsidR="00FF0E10" w:rsidRPr="00CA4638">
        <w:rPr>
          <w:sz w:val="24"/>
          <w:szCs w:val="24"/>
          <w:lang w:val="en-US"/>
        </w:rPr>
        <w:t xml:space="preserve"> is indicated for the </w:t>
      </w:r>
      <w:proofErr w:type="spellStart"/>
      <w:r w:rsidR="00FF0E10" w:rsidRPr="00CA4638">
        <w:rPr>
          <w:sz w:val="24"/>
          <w:szCs w:val="24"/>
          <w:lang w:val="en-US"/>
        </w:rPr>
        <w:t>mobilisation</w:t>
      </w:r>
      <w:proofErr w:type="spellEnd"/>
      <w:r w:rsidR="00FF0E10" w:rsidRPr="00CA4638">
        <w:rPr>
          <w:sz w:val="24"/>
          <w:szCs w:val="24"/>
          <w:lang w:val="en-US"/>
        </w:rPr>
        <w:t xml:space="preserve"> of peripheral blood progenitor cells, in</w:t>
      </w:r>
      <w:r w:rsidR="00DF56A2" w:rsidRPr="00CA4638">
        <w:rPr>
          <w:sz w:val="24"/>
          <w:szCs w:val="24"/>
          <w:lang w:val="en-US"/>
        </w:rPr>
        <w:t xml:space="preserve"> </w:t>
      </w:r>
      <w:r w:rsidR="00FF0E10" w:rsidRPr="00CA4638">
        <w:rPr>
          <w:sz w:val="24"/>
          <w:szCs w:val="24"/>
          <w:lang w:val="en-US"/>
        </w:rPr>
        <w:t>normal volunteers, for use in allogeneic peripheral blood progenitor cell</w:t>
      </w:r>
      <w:r w:rsidR="00DF56A2" w:rsidRPr="00CA4638">
        <w:rPr>
          <w:sz w:val="24"/>
          <w:szCs w:val="24"/>
          <w:lang w:val="en-US"/>
        </w:rPr>
        <w:t xml:space="preserve"> </w:t>
      </w:r>
      <w:r w:rsidR="00FF0E10" w:rsidRPr="00CA4638">
        <w:rPr>
          <w:sz w:val="24"/>
          <w:szCs w:val="24"/>
          <w:lang w:val="en-US"/>
        </w:rPr>
        <w:t>transplantation.</w:t>
      </w:r>
    </w:p>
    <w:p w:rsidR="00DF56A2" w:rsidRPr="00CA4638" w:rsidRDefault="00DF56A2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F0E10" w:rsidRPr="00CA4638" w:rsidRDefault="00FF0E1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patients receiving </w:t>
      </w:r>
      <w:proofErr w:type="spellStart"/>
      <w:r w:rsidRPr="00CA4638">
        <w:rPr>
          <w:sz w:val="24"/>
          <w:szCs w:val="24"/>
          <w:lang w:val="en-US"/>
        </w:rPr>
        <w:t>myeloablative</w:t>
      </w:r>
      <w:proofErr w:type="spellEnd"/>
      <w:r w:rsidRPr="00CA4638">
        <w:rPr>
          <w:sz w:val="24"/>
          <w:szCs w:val="24"/>
          <w:lang w:val="en-US"/>
        </w:rPr>
        <w:t xml:space="preserve"> chemotherapy, </w:t>
      </w:r>
      <w:proofErr w:type="spellStart"/>
      <w:r w:rsidR="009879BB" w:rsidRPr="00131EF2">
        <w:rPr>
          <w:sz w:val="24"/>
          <w:szCs w:val="24"/>
        </w:rPr>
        <w:t>Zarzio</w:t>
      </w:r>
      <w:proofErr w:type="spellEnd"/>
      <w:r w:rsidR="009879BB" w:rsidRPr="00131EF2">
        <w:rPr>
          <w:sz w:val="24"/>
          <w:szCs w:val="24"/>
          <w:vertAlign w:val="superscript"/>
          <w:lang w:val="en-US"/>
        </w:rPr>
        <w:t>®</w:t>
      </w:r>
      <w:r w:rsidRPr="00CA4638">
        <w:rPr>
          <w:sz w:val="24"/>
          <w:szCs w:val="24"/>
          <w:lang w:val="en-US"/>
        </w:rPr>
        <w:t xml:space="preserve"> is indicated for</w:t>
      </w:r>
      <w:r w:rsidR="00DF56A2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reducing the duration of </w:t>
      </w:r>
      <w:proofErr w:type="spellStart"/>
      <w:r w:rsidRPr="00CA4638">
        <w:rPr>
          <w:sz w:val="24"/>
          <w:szCs w:val="24"/>
          <w:lang w:val="en-US"/>
        </w:rPr>
        <w:t>neutropenia</w:t>
      </w:r>
      <w:proofErr w:type="spellEnd"/>
      <w:r w:rsidRPr="00CA4638">
        <w:rPr>
          <w:sz w:val="24"/>
          <w:szCs w:val="24"/>
          <w:lang w:val="en-US"/>
        </w:rPr>
        <w:t xml:space="preserve"> and clinical </w:t>
      </w:r>
      <w:proofErr w:type="spellStart"/>
      <w:r w:rsidRPr="00CA4638">
        <w:rPr>
          <w:sz w:val="24"/>
          <w:szCs w:val="24"/>
          <w:lang w:val="en-US"/>
        </w:rPr>
        <w:t>sequelae</w:t>
      </w:r>
      <w:proofErr w:type="spellEnd"/>
      <w:r w:rsidRPr="00CA4638">
        <w:rPr>
          <w:sz w:val="24"/>
          <w:szCs w:val="24"/>
          <w:lang w:val="en-US"/>
        </w:rPr>
        <w:t xml:space="preserve"> following </w:t>
      </w:r>
      <w:proofErr w:type="spellStart"/>
      <w:r w:rsidRPr="00CA4638">
        <w:rPr>
          <w:sz w:val="24"/>
          <w:szCs w:val="24"/>
          <w:lang w:val="en-US"/>
        </w:rPr>
        <w:t>autologous</w:t>
      </w:r>
      <w:proofErr w:type="spellEnd"/>
      <w:r w:rsidRPr="00CA4638">
        <w:rPr>
          <w:sz w:val="24"/>
          <w:szCs w:val="24"/>
          <w:lang w:val="en-US"/>
        </w:rPr>
        <w:t xml:space="preserve"> or</w:t>
      </w:r>
      <w:r w:rsidR="00DF56A2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allogeneic bone marrow transplantation.</w:t>
      </w:r>
    </w:p>
    <w:p w:rsidR="00DF56A2" w:rsidRPr="00CA4638" w:rsidRDefault="00DF56A2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F0E10" w:rsidRPr="00CA4638" w:rsidRDefault="009879B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131EF2">
        <w:rPr>
          <w:sz w:val="24"/>
          <w:szCs w:val="24"/>
        </w:rPr>
        <w:t>Zarzio</w:t>
      </w:r>
      <w:proofErr w:type="spellEnd"/>
      <w:r w:rsidRPr="00131EF2">
        <w:rPr>
          <w:sz w:val="24"/>
          <w:szCs w:val="24"/>
          <w:vertAlign w:val="superscript"/>
          <w:lang w:val="en-US"/>
        </w:rPr>
        <w:t>®</w:t>
      </w:r>
      <w:r w:rsidR="00FF0E10" w:rsidRPr="00CA4638">
        <w:rPr>
          <w:sz w:val="24"/>
          <w:szCs w:val="24"/>
          <w:lang w:val="en-US"/>
        </w:rPr>
        <w:t xml:space="preserve"> is indicated for chronic administration to increase neutrophil counts</w:t>
      </w:r>
      <w:r w:rsidR="00DF56A2" w:rsidRPr="00CA4638">
        <w:rPr>
          <w:sz w:val="24"/>
          <w:szCs w:val="24"/>
          <w:lang w:val="en-US"/>
        </w:rPr>
        <w:t xml:space="preserve"> </w:t>
      </w:r>
      <w:r w:rsidR="00FF0E10" w:rsidRPr="00CA4638">
        <w:rPr>
          <w:sz w:val="24"/>
          <w:szCs w:val="24"/>
          <w:lang w:val="en-US"/>
        </w:rPr>
        <w:t>and to reduce the incidence and duration of infections in patients with severe chronic</w:t>
      </w:r>
      <w:r w:rsidR="00DF56A2" w:rsidRPr="00CA4638">
        <w:rPr>
          <w:sz w:val="24"/>
          <w:szCs w:val="24"/>
          <w:lang w:val="en-US"/>
        </w:rPr>
        <w:t xml:space="preserve"> </w:t>
      </w:r>
      <w:r w:rsidR="00FF0E10" w:rsidRPr="00CA4638">
        <w:rPr>
          <w:sz w:val="24"/>
          <w:szCs w:val="24"/>
          <w:lang w:val="en-US"/>
        </w:rPr>
        <w:t>neutropenia.</w:t>
      </w:r>
    </w:p>
    <w:p w:rsidR="00DF56A2" w:rsidRPr="00CA4638" w:rsidRDefault="00DF56A2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22BCA" w:rsidRPr="00CA4638" w:rsidRDefault="009879BB" w:rsidP="000738BC">
      <w:pPr>
        <w:autoSpaceDE w:val="0"/>
        <w:autoSpaceDN w:val="0"/>
        <w:adjustRightInd w:val="0"/>
        <w:jc w:val="both"/>
        <w:rPr>
          <w:i/>
          <w:color w:val="3366FF"/>
          <w:sz w:val="24"/>
          <w:szCs w:val="24"/>
          <w:lang w:val="en-US"/>
        </w:rPr>
      </w:pPr>
      <w:proofErr w:type="spellStart"/>
      <w:r w:rsidRPr="00131EF2">
        <w:rPr>
          <w:sz w:val="24"/>
          <w:szCs w:val="24"/>
        </w:rPr>
        <w:t>Zarzio</w:t>
      </w:r>
      <w:proofErr w:type="spellEnd"/>
      <w:r w:rsidRPr="00131EF2">
        <w:rPr>
          <w:sz w:val="24"/>
          <w:szCs w:val="24"/>
          <w:vertAlign w:val="superscript"/>
          <w:lang w:val="en-US"/>
        </w:rPr>
        <w:t>®</w:t>
      </w:r>
      <w:r w:rsidR="00FF0E10" w:rsidRPr="00CA4638">
        <w:rPr>
          <w:sz w:val="24"/>
          <w:szCs w:val="24"/>
          <w:lang w:val="en-US"/>
        </w:rPr>
        <w:t xml:space="preserve"> is indicated in patients with HIV infection, for reversal of clinically</w:t>
      </w:r>
      <w:r w:rsidR="00DF56A2" w:rsidRPr="00CA4638">
        <w:rPr>
          <w:sz w:val="24"/>
          <w:szCs w:val="24"/>
          <w:lang w:val="en-US"/>
        </w:rPr>
        <w:t xml:space="preserve"> </w:t>
      </w:r>
      <w:r w:rsidR="00FF0E10" w:rsidRPr="00CA4638">
        <w:rPr>
          <w:sz w:val="24"/>
          <w:szCs w:val="24"/>
          <w:lang w:val="en-US"/>
        </w:rPr>
        <w:t>significant neutropenia and subsequent maintenance of adequate neutrophil counts</w:t>
      </w:r>
      <w:r w:rsidR="00DF56A2" w:rsidRPr="00CA4638">
        <w:rPr>
          <w:sz w:val="24"/>
          <w:szCs w:val="24"/>
          <w:lang w:val="en-US"/>
        </w:rPr>
        <w:t xml:space="preserve"> </w:t>
      </w:r>
      <w:r w:rsidR="00FF0E10" w:rsidRPr="00CA4638">
        <w:rPr>
          <w:sz w:val="24"/>
          <w:szCs w:val="24"/>
          <w:lang w:val="en-US"/>
        </w:rPr>
        <w:t xml:space="preserve">during treatment with antiviral and/or other </w:t>
      </w:r>
      <w:proofErr w:type="spellStart"/>
      <w:r w:rsidR="00FF0E10" w:rsidRPr="00CA4638">
        <w:rPr>
          <w:sz w:val="24"/>
          <w:szCs w:val="24"/>
          <w:lang w:val="en-US"/>
        </w:rPr>
        <w:t>myelosuppressive</w:t>
      </w:r>
      <w:proofErr w:type="spellEnd"/>
      <w:r w:rsidR="00FF0E10" w:rsidRPr="00CA4638">
        <w:rPr>
          <w:sz w:val="24"/>
          <w:szCs w:val="24"/>
          <w:lang w:val="en-US"/>
        </w:rPr>
        <w:t xml:space="preserve"> medications.</w:t>
      </w:r>
      <w:r w:rsidR="00DF56A2" w:rsidRPr="00CA4638">
        <w:rPr>
          <w:sz w:val="24"/>
          <w:szCs w:val="24"/>
          <w:lang w:val="en-US"/>
        </w:rPr>
        <w:t xml:space="preserve"> </w:t>
      </w:r>
    </w:p>
    <w:p w:rsidR="008706E2" w:rsidRPr="00CA4638" w:rsidRDefault="008706E2" w:rsidP="000738BC">
      <w:pPr>
        <w:jc w:val="both"/>
        <w:rPr>
          <w:b/>
          <w:sz w:val="24"/>
          <w:szCs w:val="24"/>
          <w:lang w:val="en-US"/>
        </w:rPr>
      </w:pPr>
    </w:p>
    <w:p w:rsidR="00F22BCA" w:rsidRPr="00CA4638" w:rsidRDefault="00F22BCA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C</w:t>
      </w:r>
      <w:r w:rsidR="001E2D56" w:rsidRPr="00CA4638">
        <w:rPr>
          <w:szCs w:val="24"/>
        </w:rPr>
        <w:t>ONTRAINDICATIONS</w:t>
      </w:r>
    </w:p>
    <w:p w:rsidR="006F6CB4" w:rsidRPr="00CA4638" w:rsidRDefault="006F6CB4" w:rsidP="000738BC">
      <w:pPr>
        <w:jc w:val="both"/>
        <w:rPr>
          <w:b/>
          <w:sz w:val="24"/>
          <w:szCs w:val="24"/>
          <w:lang w:val="en-US"/>
        </w:rPr>
      </w:pPr>
    </w:p>
    <w:p w:rsidR="00FF0E10" w:rsidRPr="00CA4638" w:rsidRDefault="007B19ED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="00FF0E10" w:rsidRPr="00CA4638">
        <w:rPr>
          <w:sz w:val="24"/>
          <w:szCs w:val="24"/>
          <w:lang w:val="en-US"/>
        </w:rPr>
        <w:t xml:space="preserve"> is contraindicated in patients with known hypersensitivity to </w:t>
      </w:r>
      <w:r w:rsidR="00FF0E10" w:rsidRPr="00CA4638">
        <w:rPr>
          <w:i/>
          <w:iCs/>
          <w:sz w:val="24"/>
          <w:szCs w:val="24"/>
          <w:lang w:val="en-US"/>
        </w:rPr>
        <w:t xml:space="preserve">E </w:t>
      </w:r>
      <w:r w:rsidR="004A05B5" w:rsidRPr="00CA4638">
        <w:rPr>
          <w:i/>
          <w:iCs/>
          <w:sz w:val="24"/>
          <w:szCs w:val="24"/>
          <w:lang w:val="en-US"/>
        </w:rPr>
        <w:t>coli</w:t>
      </w:r>
      <w:r w:rsidR="004A05B5" w:rsidRPr="00CA4638">
        <w:rPr>
          <w:sz w:val="24"/>
          <w:szCs w:val="24"/>
          <w:lang w:val="en-US"/>
        </w:rPr>
        <w:t xml:space="preserve"> derived</w:t>
      </w:r>
      <w:r>
        <w:rPr>
          <w:sz w:val="24"/>
          <w:szCs w:val="24"/>
          <w:lang w:val="en-US"/>
        </w:rPr>
        <w:t xml:space="preserve"> </w:t>
      </w:r>
      <w:r w:rsidR="00FF0E10" w:rsidRPr="00CA4638">
        <w:rPr>
          <w:sz w:val="24"/>
          <w:szCs w:val="24"/>
          <w:lang w:val="en-US"/>
        </w:rPr>
        <w:t xml:space="preserve">products, </w:t>
      </w:r>
      <w:proofErr w:type="spellStart"/>
      <w:r w:rsidR="00FF0E10" w:rsidRPr="00CA4638">
        <w:rPr>
          <w:sz w:val="24"/>
          <w:szCs w:val="24"/>
          <w:lang w:val="en-US"/>
        </w:rPr>
        <w:t>filgrastim</w:t>
      </w:r>
      <w:proofErr w:type="spellEnd"/>
      <w:r w:rsidR="00FF0E10" w:rsidRPr="00CA4638">
        <w:rPr>
          <w:sz w:val="24"/>
          <w:szCs w:val="24"/>
          <w:lang w:val="en-US"/>
        </w:rPr>
        <w:t>, or any other component of the product.</w:t>
      </w:r>
    </w:p>
    <w:p w:rsidR="00F22BCA" w:rsidRPr="00CA4638" w:rsidRDefault="00F22BCA" w:rsidP="000738BC">
      <w:pPr>
        <w:jc w:val="both"/>
        <w:rPr>
          <w:b/>
          <w:sz w:val="24"/>
          <w:szCs w:val="24"/>
          <w:lang w:val="en-US"/>
        </w:rPr>
      </w:pPr>
    </w:p>
    <w:p w:rsidR="00E712F6" w:rsidRPr="00CA4638" w:rsidRDefault="00E712F6" w:rsidP="00E712F6">
      <w:pPr>
        <w:pStyle w:val="Heading1"/>
        <w:jc w:val="both"/>
        <w:rPr>
          <w:szCs w:val="24"/>
        </w:rPr>
      </w:pPr>
      <w:r w:rsidRPr="00CA4638">
        <w:rPr>
          <w:szCs w:val="24"/>
        </w:rPr>
        <w:t>PRECAUTIONS</w:t>
      </w:r>
    </w:p>
    <w:p w:rsidR="00322A45" w:rsidRPr="00CA4638" w:rsidRDefault="00322A45" w:rsidP="000738BC">
      <w:pPr>
        <w:jc w:val="both"/>
        <w:rPr>
          <w:b/>
          <w:sz w:val="24"/>
          <w:szCs w:val="24"/>
          <w:lang w:val="en-US"/>
        </w:rPr>
      </w:pPr>
    </w:p>
    <w:p w:rsidR="003B61C9" w:rsidRPr="003B61C9" w:rsidRDefault="003B61C9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  <w:lang w:val="en-US"/>
        </w:rPr>
      </w:pPr>
      <w:r w:rsidRPr="003B61C9">
        <w:rPr>
          <w:b/>
          <w:i/>
          <w:sz w:val="24"/>
          <w:szCs w:val="24"/>
          <w:lang w:val="en-US"/>
        </w:rPr>
        <w:t>Substitutability</w:t>
      </w:r>
    </w:p>
    <w:p w:rsidR="003B61C9" w:rsidRPr="003B61C9" w:rsidRDefault="003B61C9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B61C9">
        <w:rPr>
          <w:sz w:val="24"/>
          <w:szCs w:val="24"/>
          <w:lang w:val="en-US"/>
        </w:rPr>
        <w:t xml:space="preserve">This product has been shown to be comparable with </w:t>
      </w:r>
      <w:proofErr w:type="spellStart"/>
      <w:r w:rsidRPr="003B61C9">
        <w:rPr>
          <w:sz w:val="24"/>
          <w:szCs w:val="24"/>
          <w:lang w:val="en-US"/>
        </w:rPr>
        <w:t>Neupogen</w:t>
      </w:r>
      <w:proofErr w:type="spellEnd"/>
      <w:r w:rsidRPr="003B61C9">
        <w:rPr>
          <w:sz w:val="24"/>
          <w:szCs w:val="24"/>
          <w:lang w:val="en-US"/>
        </w:rPr>
        <w:t xml:space="preserve"> (</w:t>
      </w:r>
      <w:proofErr w:type="spellStart"/>
      <w:r w:rsidRPr="003B61C9">
        <w:rPr>
          <w:sz w:val="24"/>
          <w:szCs w:val="24"/>
          <w:lang w:val="en-US"/>
        </w:rPr>
        <w:t>filgrastim</w:t>
      </w:r>
      <w:proofErr w:type="spellEnd"/>
      <w:r w:rsidRPr="003B61C9">
        <w:rPr>
          <w:sz w:val="24"/>
          <w:szCs w:val="24"/>
          <w:lang w:val="en-US"/>
        </w:rPr>
        <w:t xml:space="preserve"> </w:t>
      </w:r>
      <w:proofErr w:type="spellStart"/>
      <w:r w:rsidRPr="003B61C9">
        <w:rPr>
          <w:sz w:val="24"/>
          <w:szCs w:val="24"/>
          <w:lang w:val="en-US"/>
        </w:rPr>
        <w:t>rbe</w:t>
      </w:r>
      <w:proofErr w:type="spellEnd"/>
      <w:r w:rsidRPr="003B61C9">
        <w:rPr>
          <w:sz w:val="24"/>
          <w:szCs w:val="24"/>
          <w:lang w:val="en-US"/>
        </w:rPr>
        <w:t>). Substitution should only take place under the supervision of a medical practitioner. The product is not interchangeable by the dispensing pharmacist.</w:t>
      </w:r>
    </w:p>
    <w:p w:rsidR="003B61C9" w:rsidRDefault="003B61C9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  <w:lang w:val="en-US"/>
        </w:rPr>
      </w:pPr>
    </w:p>
    <w:p w:rsidR="003B61C9" w:rsidRDefault="003B61C9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3B61C9">
        <w:rPr>
          <w:b/>
          <w:i/>
          <w:sz w:val="24"/>
          <w:szCs w:val="24"/>
        </w:rPr>
        <w:t xml:space="preserve">Splenic rupture </w:t>
      </w:r>
    </w:p>
    <w:p w:rsidR="003B61C9" w:rsidRPr="003B61C9" w:rsidRDefault="003B61C9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:rsidR="00322A45" w:rsidRPr="00CA4638" w:rsidRDefault="00322A4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Splenic rupture has been reported in both healthy donors and patients with cancer</w:t>
      </w:r>
      <w:r w:rsidR="0064533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following administration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; some of these cases were fatal. Left upper</w:t>
      </w:r>
      <w:r w:rsidR="0064533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abdominal pain and/or shoulder tip pain accompanied by rapid increase in spleen</w:t>
      </w:r>
      <w:r w:rsidR="0064533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size should be carefully monitored due to the rare but serious risk of splenic rupture.</w:t>
      </w:r>
    </w:p>
    <w:p w:rsidR="00645338" w:rsidRPr="00CA4638" w:rsidRDefault="00645338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22A45" w:rsidRPr="0071438A" w:rsidRDefault="00322A45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71438A">
        <w:rPr>
          <w:b/>
          <w:i/>
          <w:sz w:val="24"/>
          <w:szCs w:val="24"/>
        </w:rPr>
        <w:t xml:space="preserve">Patients </w:t>
      </w:r>
      <w:r w:rsidR="009B726E" w:rsidRPr="0071438A">
        <w:rPr>
          <w:b/>
          <w:i/>
          <w:sz w:val="24"/>
          <w:szCs w:val="24"/>
        </w:rPr>
        <w:t>with</w:t>
      </w:r>
      <w:r w:rsidRPr="0071438A">
        <w:rPr>
          <w:b/>
          <w:i/>
          <w:sz w:val="24"/>
          <w:szCs w:val="24"/>
        </w:rPr>
        <w:t xml:space="preserve"> Sickle Cell Disease</w:t>
      </w:r>
    </w:p>
    <w:p w:rsidR="009B726E" w:rsidRPr="009B726E" w:rsidRDefault="009B726E" w:rsidP="000738BC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u w:val="single"/>
          <w:lang w:val="en-US"/>
        </w:rPr>
      </w:pPr>
    </w:p>
    <w:p w:rsidR="00322A45" w:rsidRPr="00CA4638" w:rsidRDefault="00322A4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Clinicians should exercise caution and monitor patients accordingly when</w:t>
      </w:r>
      <w:r w:rsidR="0064533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administering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to patients with sickle cell disease because of the</w:t>
      </w:r>
      <w:r w:rsidR="0064533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reported association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with sickle cell crisis (in some cases fatal).</w:t>
      </w:r>
    </w:p>
    <w:p w:rsidR="00322A45" w:rsidRPr="00CA4638" w:rsidRDefault="00322A4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Use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patients with sickle cell disease should be considered </w:t>
      </w:r>
      <w:r w:rsidR="004A05B5" w:rsidRPr="00CA4638">
        <w:rPr>
          <w:sz w:val="24"/>
          <w:szCs w:val="24"/>
          <w:lang w:val="en-US"/>
        </w:rPr>
        <w:t>only after</w:t>
      </w:r>
      <w:r w:rsidRPr="00CA4638">
        <w:rPr>
          <w:sz w:val="24"/>
          <w:szCs w:val="24"/>
          <w:lang w:val="en-US"/>
        </w:rPr>
        <w:t xml:space="preserve"> careful evaluation of the potential risks and benefits.</w:t>
      </w:r>
    </w:p>
    <w:p w:rsidR="00645338" w:rsidRPr="00CA4638" w:rsidRDefault="00645338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B1474B" w:rsidRDefault="00B1474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322A45" w:rsidRPr="0071438A" w:rsidRDefault="00322A45" w:rsidP="000738B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71438A">
        <w:rPr>
          <w:b/>
          <w:i/>
          <w:sz w:val="24"/>
          <w:szCs w:val="24"/>
        </w:rPr>
        <w:t xml:space="preserve">Patients </w:t>
      </w:r>
      <w:r w:rsidR="005B12D3" w:rsidRPr="0071438A">
        <w:rPr>
          <w:b/>
          <w:i/>
          <w:sz w:val="24"/>
          <w:szCs w:val="24"/>
        </w:rPr>
        <w:t>with</w:t>
      </w:r>
      <w:r w:rsidRPr="0071438A">
        <w:rPr>
          <w:b/>
          <w:i/>
          <w:sz w:val="24"/>
          <w:szCs w:val="24"/>
        </w:rPr>
        <w:t xml:space="preserve"> Severe Chronic </w:t>
      </w:r>
      <w:proofErr w:type="spellStart"/>
      <w:r w:rsidRPr="0071438A">
        <w:rPr>
          <w:b/>
          <w:i/>
          <w:sz w:val="24"/>
          <w:szCs w:val="24"/>
        </w:rPr>
        <w:t>Neutropenia</w:t>
      </w:r>
      <w:proofErr w:type="spellEnd"/>
    </w:p>
    <w:p w:rsidR="005B12D3" w:rsidRPr="009B726E" w:rsidRDefault="005B12D3" w:rsidP="000738BC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u w:val="single"/>
          <w:lang w:val="en-US"/>
        </w:rPr>
      </w:pPr>
    </w:p>
    <w:p w:rsidR="00322A45" w:rsidRPr="00CA4638" w:rsidRDefault="00322A4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Cytogenetic abnormalities, transformation to </w:t>
      </w:r>
      <w:proofErr w:type="spellStart"/>
      <w:r w:rsidRPr="00CA4638">
        <w:rPr>
          <w:sz w:val="24"/>
          <w:szCs w:val="24"/>
          <w:lang w:val="en-US"/>
        </w:rPr>
        <w:t>myelodysplasia</w:t>
      </w:r>
      <w:proofErr w:type="spellEnd"/>
      <w:r w:rsidRPr="00CA4638">
        <w:rPr>
          <w:sz w:val="24"/>
          <w:szCs w:val="24"/>
          <w:lang w:val="en-US"/>
        </w:rPr>
        <w:t xml:space="preserve"> (MDS) and AML have</w:t>
      </w:r>
      <w:r w:rsidR="006955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been observed in patients treated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SCN. </w:t>
      </w:r>
      <w:proofErr w:type="spellStart"/>
      <w:r w:rsidRPr="00CA4638">
        <w:rPr>
          <w:sz w:val="24"/>
          <w:szCs w:val="24"/>
          <w:lang w:val="en-US"/>
        </w:rPr>
        <w:t>Myelodysplasia</w:t>
      </w:r>
      <w:proofErr w:type="spellEnd"/>
      <w:r w:rsidRPr="00CA4638">
        <w:rPr>
          <w:sz w:val="24"/>
          <w:szCs w:val="24"/>
          <w:lang w:val="en-US"/>
        </w:rPr>
        <w:t xml:space="preserve"> and</w:t>
      </w:r>
      <w:r w:rsidR="006955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AML have been reported to occur in the natural history of SCN without cytokine</w:t>
      </w:r>
      <w:r w:rsidR="006955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therapy. Based on available data including a </w:t>
      </w:r>
      <w:proofErr w:type="spellStart"/>
      <w:r w:rsidRPr="00CA4638">
        <w:rPr>
          <w:sz w:val="24"/>
          <w:szCs w:val="24"/>
          <w:lang w:val="en-US"/>
        </w:rPr>
        <w:t>postmarketing</w:t>
      </w:r>
      <w:proofErr w:type="spellEnd"/>
      <w:r w:rsidRPr="00CA4638">
        <w:rPr>
          <w:sz w:val="24"/>
          <w:szCs w:val="24"/>
          <w:lang w:val="en-US"/>
        </w:rPr>
        <w:t xml:space="preserve"> surveillance study, the</w:t>
      </w:r>
      <w:r w:rsidR="006955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risk of developing MDS and AML appears to be confined to the subset of patients</w:t>
      </w:r>
      <w:r w:rsidR="006955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with congenital neutropenia (see ADVERSE REACTIONS). Abnormal </w:t>
      </w:r>
      <w:proofErr w:type="spellStart"/>
      <w:r w:rsidRPr="00CA4638">
        <w:rPr>
          <w:sz w:val="24"/>
          <w:szCs w:val="24"/>
          <w:lang w:val="en-US"/>
        </w:rPr>
        <w:t>cytogenetics</w:t>
      </w:r>
      <w:proofErr w:type="spellEnd"/>
      <w:r w:rsidR="006955B4" w:rsidRPr="00CA4638">
        <w:rPr>
          <w:sz w:val="24"/>
          <w:szCs w:val="24"/>
          <w:lang w:val="en-US"/>
        </w:rPr>
        <w:t xml:space="preserve"> </w:t>
      </w:r>
      <w:r w:rsidR="001B152B" w:rsidRPr="00CA4638">
        <w:rPr>
          <w:sz w:val="24"/>
          <w:szCs w:val="24"/>
          <w:lang w:val="en-US"/>
        </w:rPr>
        <w:t>has</w:t>
      </w:r>
      <w:r w:rsidRPr="00CA4638">
        <w:rPr>
          <w:sz w:val="24"/>
          <w:szCs w:val="24"/>
          <w:lang w:val="en-US"/>
        </w:rPr>
        <w:t xml:space="preserve"> been associated with the development of myeloid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>. The effect of</w:t>
      </w:r>
      <w:r w:rsidR="006955B4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on the development of abnormal </w:t>
      </w:r>
      <w:proofErr w:type="spellStart"/>
      <w:r w:rsidRPr="00CA4638">
        <w:rPr>
          <w:sz w:val="24"/>
          <w:szCs w:val="24"/>
          <w:lang w:val="en-US"/>
        </w:rPr>
        <w:t>cytogenetics</w:t>
      </w:r>
      <w:proofErr w:type="spellEnd"/>
      <w:r w:rsidRPr="00CA4638">
        <w:rPr>
          <w:sz w:val="24"/>
          <w:szCs w:val="24"/>
          <w:lang w:val="en-US"/>
        </w:rPr>
        <w:t xml:space="preserve"> and the effect of</w:t>
      </w:r>
      <w:r w:rsidR="006955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continued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 in patients with abnormal </w:t>
      </w:r>
      <w:proofErr w:type="spellStart"/>
      <w:r w:rsidRPr="00CA4638">
        <w:rPr>
          <w:sz w:val="24"/>
          <w:szCs w:val="24"/>
          <w:lang w:val="en-US"/>
        </w:rPr>
        <w:t>cytogenetics</w:t>
      </w:r>
      <w:proofErr w:type="spellEnd"/>
      <w:r w:rsidRPr="00CA4638">
        <w:rPr>
          <w:sz w:val="24"/>
          <w:szCs w:val="24"/>
          <w:lang w:val="en-US"/>
        </w:rPr>
        <w:t xml:space="preserve"> or</w:t>
      </w:r>
      <w:r w:rsidR="006955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MDS are unknown. If a patient with SCN develops abnormal </w:t>
      </w:r>
      <w:proofErr w:type="spellStart"/>
      <w:r w:rsidRPr="00CA4638">
        <w:rPr>
          <w:sz w:val="24"/>
          <w:szCs w:val="24"/>
          <w:lang w:val="en-US"/>
        </w:rPr>
        <w:t>cytogenetics</w:t>
      </w:r>
      <w:proofErr w:type="spellEnd"/>
      <w:r w:rsidRPr="00CA4638">
        <w:rPr>
          <w:sz w:val="24"/>
          <w:szCs w:val="24"/>
          <w:lang w:val="en-US"/>
        </w:rPr>
        <w:t xml:space="preserve"> or MDS,</w:t>
      </w:r>
      <w:r w:rsidR="006955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the risks and benefits of continuing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 carefully considered.</w:t>
      </w:r>
    </w:p>
    <w:p w:rsidR="007D6721" w:rsidRPr="00D17E43" w:rsidRDefault="007D6721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</w:p>
    <w:p w:rsidR="008D708D" w:rsidRPr="008D708D" w:rsidRDefault="008D708D" w:rsidP="009E3B97">
      <w:pPr>
        <w:autoSpaceDE w:val="0"/>
        <w:autoSpaceDN w:val="0"/>
        <w:adjustRightInd w:val="0"/>
        <w:rPr>
          <w:b/>
          <w:sz w:val="24"/>
          <w:szCs w:val="24"/>
          <w:lang w:val="en-US"/>
        </w:rPr>
      </w:pPr>
      <w:r w:rsidRPr="008D708D">
        <w:rPr>
          <w:b/>
          <w:sz w:val="24"/>
          <w:szCs w:val="24"/>
          <w:lang w:val="en-US"/>
        </w:rPr>
        <w:t xml:space="preserve">Adult Respiratory Distress Syndrome </w:t>
      </w:r>
    </w:p>
    <w:p w:rsidR="008D708D" w:rsidRDefault="008D708D" w:rsidP="009E3B97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9E3B97" w:rsidRDefault="00515D3A" w:rsidP="009E3B97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There have been occasional reports of the occurrence of adult respiratory distress</w:t>
      </w:r>
      <w:r w:rsidR="0044606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syndrome (ARDS) in patients receiving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 The onset of pulmonary</w:t>
      </w:r>
      <w:r w:rsidR="0044606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signs, such as cough, fever and dyspnea in association with radiological signs </w:t>
      </w:r>
      <w:r w:rsidR="009E3B97" w:rsidRPr="00CA4638">
        <w:rPr>
          <w:sz w:val="24"/>
          <w:szCs w:val="24"/>
          <w:lang w:val="en-US"/>
        </w:rPr>
        <w:t>of</w:t>
      </w:r>
      <w:r w:rsidR="009E3B97" w:rsidRPr="009E3B97">
        <w:rPr>
          <w:sz w:val="24"/>
          <w:szCs w:val="24"/>
          <w:lang w:val="en-US"/>
        </w:rPr>
        <w:t xml:space="preserve"> pulmonary infiltrates and deterioration in pulmonary function may be preliminary</w:t>
      </w:r>
      <w:r w:rsidR="009E3B97">
        <w:rPr>
          <w:sz w:val="24"/>
          <w:szCs w:val="24"/>
          <w:lang w:val="en-US"/>
        </w:rPr>
        <w:t xml:space="preserve"> </w:t>
      </w:r>
      <w:r w:rsidR="009E3B97" w:rsidRPr="009E3B97">
        <w:rPr>
          <w:sz w:val="24"/>
          <w:szCs w:val="24"/>
          <w:lang w:val="en-US"/>
        </w:rPr>
        <w:t>signs leading to respiratory failure or ARDS.</w:t>
      </w:r>
    </w:p>
    <w:p w:rsidR="009E3B97" w:rsidRPr="009E3B97" w:rsidRDefault="009E3B97" w:rsidP="009E3B97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8D708D" w:rsidRPr="008D708D" w:rsidRDefault="008D708D" w:rsidP="000738BC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 w:rsidRPr="008D708D">
        <w:rPr>
          <w:b/>
          <w:sz w:val="24"/>
          <w:szCs w:val="24"/>
          <w:lang w:val="en-US"/>
        </w:rPr>
        <w:t>Malignant Potential</w:t>
      </w:r>
    </w:p>
    <w:p w:rsidR="008D708D" w:rsidRDefault="008D708D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As with other </w:t>
      </w:r>
      <w:proofErr w:type="spellStart"/>
      <w:r w:rsidRPr="00CA4638">
        <w:rPr>
          <w:sz w:val="24"/>
          <w:szCs w:val="24"/>
          <w:lang w:val="en-US"/>
        </w:rPr>
        <w:t>haematopoietic</w:t>
      </w:r>
      <w:proofErr w:type="spellEnd"/>
      <w:r w:rsidRPr="00CA4638">
        <w:rPr>
          <w:sz w:val="24"/>
          <w:szCs w:val="24"/>
          <w:lang w:val="en-US"/>
        </w:rPr>
        <w:t xml:space="preserve"> growth factors, granulocyte colony stimulating factor</w:t>
      </w:r>
      <w:r w:rsidR="0044606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(G-CSF) has shown </w:t>
      </w:r>
      <w:r w:rsidRPr="00CA4638">
        <w:rPr>
          <w:i/>
          <w:iCs/>
          <w:sz w:val="24"/>
          <w:szCs w:val="24"/>
          <w:lang w:val="en-US"/>
        </w:rPr>
        <w:t xml:space="preserve">in vitro </w:t>
      </w:r>
      <w:r w:rsidRPr="00CA4638">
        <w:rPr>
          <w:sz w:val="24"/>
          <w:szCs w:val="24"/>
          <w:lang w:val="en-US"/>
        </w:rPr>
        <w:t>stimulating properties on human endothelial cells. G</w:t>
      </w:r>
      <w:r w:rsidR="005841B6">
        <w:rPr>
          <w:sz w:val="24"/>
          <w:szCs w:val="24"/>
          <w:lang w:val="en-US"/>
        </w:rPr>
        <w:t>-</w:t>
      </w:r>
      <w:r w:rsidRPr="00CA4638">
        <w:rPr>
          <w:sz w:val="24"/>
          <w:szCs w:val="24"/>
          <w:lang w:val="en-US"/>
        </w:rPr>
        <w:t>CSF</w:t>
      </w:r>
      <w:r w:rsidR="0044606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can promote growth of myeloid cells, including malignant cells, </w:t>
      </w:r>
      <w:r w:rsidRPr="00CA4638">
        <w:rPr>
          <w:i/>
          <w:iCs/>
          <w:sz w:val="24"/>
          <w:szCs w:val="24"/>
          <w:lang w:val="en-US"/>
        </w:rPr>
        <w:t>in vitro</w:t>
      </w:r>
      <w:r w:rsidRPr="00CA4638">
        <w:rPr>
          <w:sz w:val="24"/>
          <w:szCs w:val="24"/>
          <w:lang w:val="en-US"/>
        </w:rPr>
        <w:t>, and</w:t>
      </w:r>
      <w:r w:rsidR="0044606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similar effects may be seen on some non-myeloid cells </w:t>
      </w:r>
      <w:r w:rsidRPr="00CA4638">
        <w:rPr>
          <w:i/>
          <w:iCs/>
          <w:sz w:val="24"/>
          <w:szCs w:val="24"/>
          <w:lang w:val="en-US"/>
        </w:rPr>
        <w:t>in vitro</w:t>
      </w:r>
      <w:r w:rsidRPr="00CA4638">
        <w:rPr>
          <w:sz w:val="24"/>
          <w:szCs w:val="24"/>
          <w:lang w:val="en-US"/>
        </w:rPr>
        <w:t>.</w:t>
      </w:r>
    </w:p>
    <w:p w:rsidR="00446065" w:rsidRPr="00CA4638" w:rsidRDefault="0044606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446065" w:rsidRPr="00CA4638" w:rsidRDefault="0044606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Use in </w:t>
      </w:r>
      <w:proofErr w:type="spellStart"/>
      <w:r w:rsidRPr="00CA4638">
        <w:rPr>
          <w:b/>
          <w:bCs/>
          <w:sz w:val="24"/>
          <w:szCs w:val="24"/>
          <w:lang w:val="en-US"/>
        </w:rPr>
        <w:t>Myelodysplasia</w:t>
      </w:r>
      <w:proofErr w:type="spellEnd"/>
      <w:r w:rsidRPr="00CA4638">
        <w:rPr>
          <w:b/>
          <w:bCs/>
          <w:sz w:val="24"/>
          <w:szCs w:val="24"/>
          <w:lang w:val="en-US"/>
        </w:rPr>
        <w:t xml:space="preserve"> and </w:t>
      </w:r>
      <w:proofErr w:type="spellStart"/>
      <w:r w:rsidRPr="00CA4638">
        <w:rPr>
          <w:b/>
          <w:bCs/>
          <w:sz w:val="24"/>
          <w:szCs w:val="24"/>
          <w:lang w:val="en-US"/>
        </w:rPr>
        <w:t>Leukaemia</w:t>
      </w:r>
      <w:proofErr w:type="spellEnd"/>
    </w:p>
    <w:p w:rsidR="003D3701" w:rsidRPr="00CA4638" w:rsidRDefault="003D3701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safety and efficacy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 in patients with MDS or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chronic myeloid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 xml:space="preserve"> receiving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chemotherapy without stem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cell support have not been established.</w:t>
      </w:r>
    </w:p>
    <w:p w:rsidR="003D3701" w:rsidRDefault="003D3701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studies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patients undergoing chemotherapy for AML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demonstrate no stimulation of disease as measured by remission rate, relapse and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survival.</w:t>
      </w:r>
    </w:p>
    <w:p w:rsidR="00C458C5" w:rsidRPr="00CA4638" w:rsidRDefault="00C458C5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B1474B" w:rsidRDefault="00B1474B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br w:type="page"/>
      </w: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 xml:space="preserve">Cancer Patients Receiving </w:t>
      </w:r>
      <w:proofErr w:type="spellStart"/>
      <w:r w:rsidRPr="00CA4638">
        <w:rPr>
          <w:b/>
          <w:bCs/>
          <w:i/>
          <w:iCs/>
          <w:sz w:val="24"/>
          <w:szCs w:val="24"/>
          <w:lang w:val="en-US"/>
        </w:rPr>
        <w:t>Myelosuppressive</w:t>
      </w:r>
      <w:proofErr w:type="spellEnd"/>
      <w:r w:rsidRPr="00CA4638">
        <w:rPr>
          <w:b/>
          <w:bCs/>
          <w:i/>
          <w:iCs/>
          <w:sz w:val="24"/>
          <w:szCs w:val="24"/>
          <w:lang w:val="en-US"/>
        </w:rPr>
        <w:t xml:space="preserve"> Chemotherapy</w:t>
      </w:r>
    </w:p>
    <w:p w:rsidR="003D3701" w:rsidRPr="00CA4638" w:rsidRDefault="003D3701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Concurrent Use </w:t>
      </w:r>
      <w:r w:rsidR="00F56AFF" w:rsidRPr="00CA4638">
        <w:rPr>
          <w:b/>
          <w:bCs/>
          <w:sz w:val="24"/>
          <w:szCs w:val="24"/>
          <w:lang w:val="en-US"/>
        </w:rPr>
        <w:t>with</w:t>
      </w:r>
      <w:r w:rsidRPr="00CA4638">
        <w:rPr>
          <w:b/>
          <w:bCs/>
          <w:sz w:val="24"/>
          <w:szCs w:val="24"/>
          <w:lang w:val="en-US"/>
        </w:rPr>
        <w:t xml:space="preserve"> Chemotherapy and Radiotherapy</w:t>
      </w:r>
    </w:p>
    <w:p w:rsidR="003D3701" w:rsidRPr="00CA4638" w:rsidRDefault="003D3701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safety and efficacy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given concurrently with cytotoxic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 have not been established. Because of the potential sensitivity of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rapidly dividing myeloid cells to cytotoxic chemotherapy, the use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is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not recommended in the period 24 hours before to 24 hours after the administration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of chemotherapy (see DOSAGE AND ADMINISTRATION).</w:t>
      </w:r>
    </w:p>
    <w:p w:rsidR="00C458C5" w:rsidRPr="00CA4638" w:rsidRDefault="00C458C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No controlled study has been done to examine the combination of</w:t>
      </w:r>
      <w:r w:rsidR="00C458C5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chemoradiotherapy</w:t>
      </w:r>
      <w:proofErr w:type="spellEnd"/>
      <w:r w:rsidRPr="00CA4638">
        <w:rPr>
          <w:sz w:val="24"/>
          <w:szCs w:val="24"/>
          <w:lang w:val="en-US"/>
        </w:rPr>
        <w:t xml:space="preserve"> and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on platelet count in a suitable oncology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setting. Therefore, until more definitive data are available, simultaneous use of</w:t>
      </w:r>
      <w:r w:rsidR="00C458C5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with </w:t>
      </w:r>
      <w:proofErr w:type="spellStart"/>
      <w:r w:rsidRPr="00CA4638">
        <w:rPr>
          <w:sz w:val="24"/>
          <w:szCs w:val="24"/>
          <w:lang w:val="en-US"/>
        </w:rPr>
        <w:t>chemoradiation</w:t>
      </w:r>
      <w:proofErr w:type="spellEnd"/>
      <w:r w:rsidRPr="00CA4638">
        <w:rPr>
          <w:sz w:val="24"/>
          <w:szCs w:val="24"/>
          <w:lang w:val="en-US"/>
        </w:rPr>
        <w:t xml:space="preserve"> should be undertaken with caution.</w:t>
      </w:r>
    </w:p>
    <w:p w:rsidR="00C458C5" w:rsidRPr="00CA4638" w:rsidRDefault="00C458C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Leukocytosis</w:t>
      </w:r>
    </w:p>
    <w:p w:rsidR="00CD4DBA" w:rsidRPr="00CA4638" w:rsidRDefault="00CD4DB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White blood cell (WBC) counts of 100 x 10</w:t>
      </w:r>
      <w:r w:rsidRPr="00CD4DBA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or greater were observed in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approximately 2% of patients receiving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at doses above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/kg/day.</w:t>
      </w: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There were no reports of adverse events associated with this degree of leukocytosis.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 order to avoid the potential complications of excessive leukocytosis, a full blood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count (FBC) is recommended twice per week during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(see</w:t>
      </w:r>
      <w:r w:rsidR="00C458C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LABORATORY MONITORING, SICKLE CELL DISEASE).</w:t>
      </w:r>
    </w:p>
    <w:p w:rsidR="00C458C5" w:rsidRPr="00CA4638" w:rsidRDefault="00C458C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Premature Discontinuation of </w:t>
      </w:r>
      <w:proofErr w:type="spellStart"/>
      <w:r w:rsidR="008D7885" w:rsidRPr="00CA4638">
        <w:rPr>
          <w:b/>
          <w:bCs/>
          <w:sz w:val="24"/>
          <w:szCs w:val="24"/>
          <w:lang w:val="en-US"/>
        </w:rPr>
        <w:t>filgrastim</w:t>
      </w:r>
      <w:proofErr w:type="spellEnd"/>
      <w:r w:rsidRPr="00CA4638">
        <w:rPr>
          <w:b/>
          <w:bCs/>
          <w:sz w:val="24"/>
          <w:szCs w:val="24"/>
          <w:lang w:val="en-US"/>
        </w:rPr>
        <w:t xml:space="preserve"> Therapy</w:t>
      </w:r>
    </w:p>
    <w:p w:rsidR="00CD4DBA" w:rsidRPr="00CA4638" w:rsidRDefault="00CD4DB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A transient increase in neutrophil counts is typically seen 1 to 2 days after initiation of</w:t>
      </w:r>
      <w:r w:rsidR="004765F7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 However, for a sustained therapeutic response,</w:t>
      </w:r>
      <w:r w:rsidR="004765F7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should be continued until the post nadir ANC reaches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10 x 10</w:t>
      </w:r>
      <w:r w:rsidRPr="00CD4DBA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/L. Therefore, the premature discontinuation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therapy, prior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to the time of recovery from the expected neutrophil nadir, is generally not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recommended (see DOSAGE AND ADMINISTRATION).</w:t>
      </w:r>
    </w:p>
    <w:p w:rsidR="004765F7" w:rsidRPr="00CA4638" w:rsidRDefault="004765F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Other</w:t>
      </w:r>
    </w:p>
    <w:p w:rsidR="00DB5741" w:rsidRPr="00CA4638" w:rsidRDefault="00DB5741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studies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 following chemotherapy, most reported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side effects were consistent with those usually seen as a result of cytotoxic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 (see ADVERSE REACTIONS). Because of the potential of receiving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higher doses of chemotherapy (</w:t>
      </w:r>
      <w:r w:rsidR="004A05B5" w:rsidRPr="00CA4638">
        <w:rPr>
          <w:sz w:val="24"/>
          <w:szCs w:val="24"/>
          <w:lang w:val="en-US"/>
        </w:rPr>
        <w:t>i.e.</w:t>
      </w:r>
      <w:r w:rsidRPr="00CA4638">
        <w:rPr>
          <w:sz w:val="24"/>
          <w:szCs w:val="24"/>
          <w:lang w:val="en-US"/>
        </w:rPr>
        <w:t>, full doses on the prescribed schedule for a longer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period), the patient may be at greater risk of thrombocytopenia which should be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monitored carefully. </w:t>
      </w:r>
      <w:proofErr w:type="spellStart"/>
      <w:r w:rsidRPr="00CA4638">
        <w:rPr>
          <w:sz w:val="24"/>
          <w:szCs w:val="24"/>
          <w:lang w:val="en-US"/>
        </w:rPr>
        <w:t>Anaemia</w:t>
      </w:r>
      <w:proofErr w:type="spellEnd"/>
      <w:r w:rsidRPr="00CA4638">
        <w:rPr>
          <w:sz w:val="24"/>
          <w:szCs w:val="24"/>
          <w:lang w:val="en-US"/>
        </w:rPr>
        <w:t xml:space="preserve"> and non-</w:t>
      </w:r>
      <w:proofErr w:type="spellStart"/>
      <w:r w:rsidRPr="00CA4638">
        <w:rPr>
          <w:sz w:val="24"/>
          <w:szCs w:val="24"/>
          <w:lang w:val="en-US"/>
        </w:rPr>
        <w:t>haematological</w:t>
      </w:r>
      <w:proofErr w:type="spellEnd"/>
      <w:r w:rsidRPr="00CA4638">
        <w:rPr>
          <w:sz w:val="24"/>
          <w:szCs w:val="24"/>
          <w:lang w:val="en-US"/>
        </w:rPr>
        <w:t xml:space="preserve"> consequences of increased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 doses (please refer to the prescribing information of the specific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chemotherapy agents used) also may occur. Regular monitoring of the </w:t>
      </w:r>
      <w:proofErr w:type="spellStart"/>
      <w:r w:rsidRPr="00CA4638">
        <w:rPr>
          <w:sz w:val="24"/>
          <w:szCs w:val="24"/>
          <w:lang w:val="en-US"/>
        </w:rPr>
        <w:t>haematocrit</w:t>
      </w:r>
      <w:proofErr w:type="spellEnd"/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and platelet count is recommended. Furthermore, care should be exercised in the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administration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conjunction with drugs known to lower the platelet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count and in the presence of moderate or severe organ impairment.</w:t>
      </w: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Thrombocytopenia may be more severe than normal in later courses of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chemotherapy.</w:t>
      </w:r>
    </w:p>
    <w:p w:rsidR="005841B6" w:rsidRDefault="005841B6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use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r w:rsidRPr="00CA4638">
        <w:rPr>
          <w:sz w:val="24"/>
          <w:szCs w:val="24"/>
          <w:lang w:val="en-US"/>
        </w:rPr>
        <w:t>-mobilised</w:t>
      </w:r>
      <w:proofErr w:type="spellEnd"/>
      <w:r w:rsidRPr="00CA4638">
        <w:rPr>
          <w:sz w:val="24"/>
          <w:szCs w:val="24"/>
          <w:lang w:val="en-US"/>
        </w:rPr>
        <w:t xml:space="preserve"> PBPCs has been shown to reduce the depth and</w:t>
      </w:r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duration of thrombocytopenia following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or </w:t>
      </w:r>
      <w:proofErr w:type="spellStart"/>
      <w:r w:rsidRPr="00CA4638">
        <w:rPr>
          <w:sz w:val="24"/>
          <w:szCs w:val="24"/>
          <w:lang w:val="en-US"/>
        </w:rPr>
        <w:t>myeloablative</w:t>
      </w:r>
      <w:proofErr w:type="spellEnd"/>
      <w:r w:rsidR="004765F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chemotherapy.</w:t>
      </w:r>
    </w:p>
    <w:p w:rsidR="004765F7" w:rsidRPr="00CA4638" w:rsidRDefault="004765F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46AD0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Peripheral Blood Progenitor Cell Collection and Therapy</w:t>
      </w:r>
      <w:r w:rsidR="007D5DC7" w:rsidRPr="00CA4638">
        <w:rPr>
          <w:b/>
          <w:bCs/>
          <w:i/>
          <w:iCs/>
          <w:sz w:val="24"/>
          <w:szCs w:val="24"/>
          <w:lang w:val="en-US"/>
        </w:rPr>
        <w:t xml:space="preserve"> </w:t>
      </w:r>
    </w:p>
    <w:p w:rsidR="00146AD0" w:rsidRDefault="00146AD0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proofErr w:type="spellStart"/>
      <w:r w:rsidRPr="00CA4638">
        <w:rPr>
          <w:b/>
          <w:bCs/>
          <w:sz w:val="24"/>
          <w:szCs w:val="24"/>
          <w:lang w:val="en-US"/>
        </w:rPr>
        <w:t>Mobilisation</w:t>
      </w:r>
      <w:proofErr w:type="spellEnd"/>
    </w:p>
    <w:p w:rsidR="00146AD0" w:rsidRPr="00CA4638" w:rsidRDefault="00146AD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There are no prospectively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comparisons of the 2 recommended</w:t>
      </w:r>
      <w:r w:rsidR="007D5DC7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methods (</w:t>
      </w: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alone, or in combination with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="007D5DC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chemotherapy) within the same patient population. The degree of variation between</w:t>
      </w:r>
      <w:r w:rsidR="007D5DC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both different patient groups and results of laboratory assays of CD34</w:t>
      </w:r>
      <w:r w:rsidRPr="00146AD0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 means</w:t>
      </w:r>
      <w:r w:rsidR="007D5DC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that direct comparison between different studies is difficult and an optimum method</w:t>
      </w:r>
      <w:r w:rsidR="007D5DC7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can not</w:t>
      </w:r>
      <w:proofErr w:type="spellEnd"/>
      <w:r w:rsidRPr="00CA4638">
        <w:rPr>
          <w:sz w:val="24"/>
          <w:szCs w:val="24"/>
          <w:lang w:val="en-US"/>
        </w:rPr>
        <w:t xml:space="preserve"> yet be recommended. The choice of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method should be</w:t>
      </w:r>
      <w:r w:rsidR="007D5DC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considered in relation to the overall objectives of treatment for an individual patient.</w:t>
      </w:r>
    </w:p>
    <w:p w:rsidR="007D5DC7" w:rsidRPr="00CA4638" w:rsidRDefault="007D5DC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Assessment of Progenitor Cell Yields</w:t>
      </w:r>
    </w:p>
    <w:p w:rsidR="00FB2E32" w:rsidRPr="00CA4638" w:rsidRDefault="00FB2E32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assessing the number of progenitor cells harvested in patients treated with</w:t>
      </w:r>
      <w:r w:rsidR="002C13BE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, particular attention should be paid to the method of quantitation. The</w:t>
      </w:r>
      <w:r w:rsidR="002C13B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results of flow </w:t>
      </w:r>
      <w:proofErr w:type="spellStart"/>
      <w:r w:rsidRPr="00CA4638">
        <w:rPr>
          <w:sz w:val="24"/>
          <w:szCs w:val="24"/>
          <w:lang w:val="en-US"/>
        </w:rPr>
        <w:t>cytometric</w:t>
      </w:r>
      <w:proofErr w:type="spellEnd"/>
      <w:r w:rsidRPr="00CA4638">
        <w:rPr>
          <w:sz w:val="24"/>
          <w:szCs w:val="24"/>
          <w:lang w:val="en-US"/>
        </w:rPr>
        <w:t xml:space="preserve"> analysis of CD34</w:t>
      </w:r>
      <w:r w:rsidRPr="00FB2E32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 numbers vary depending on the</w:t>
      </w:r>
      <w:r w:rsidR="002C13B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precise methodology used. Recommendations for minimum acceptable progenitor</w:t>
      </w:r>
      <w:r w:rsidR="002C13B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cell yield based on studies using methods other than that of the reporting laboratory</w:t>
      </w:r>
      <w:r w:rsidR="002C13B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need to be interpreted with caution.</w:t>
      </w:r>
    </w:p>
    <w:p w:rsidR="002C13BE" w:rsidRPr="00CA4638" w:rsidRDefault="002C13B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Statistical analysis of the relationship between the number of CD34</w:t>
      </w:r>
      <w:r w:rsidRPr="00FB2E32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 infused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and the rate of platelet recovery after high-dose chemotherapy indicates a complex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but continuous relationship, with the probability of more rapid platelet recovery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increasing as the CD34</w:t>
      </w:r>
      <w:r w:rsidRPr="00B05430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 yield increases.</w:t>
      </w:r>
    </w:p>
    <w:p w:rsidR="005841B6" w:rsidRDefault="005841B6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Currently, the minimum acceptable yield of CD34</w:t>
      </w:r>
      <w:r w:rsidRPr="004F21EF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 is not well defined. The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recommendation of a minimum yield of </w:t>
      </w:r>
      <w:r w:rsidR="004F21EF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2 x 10</w:t>
      </w:r>
      <w:r w:rsidRPr="004F21EF">
        <w:rPr>
          <w:sz w:val="24"/>
          <w:szCs w:val="24"/>
          <w:vertAlign w:val="superscript"/>
          <w:lang w:val="en-US"/>
        </w:rPr>
        <w:t>6</w:t>
      </w:r>
      <w:r w:rsidRPr="00CA4638">
        <w:rPr>
          <w:sz w:val="24"/>
          <w:szCs w:val="24"/>
          <w:lang w:val="en-US"/>
        </w:rPr>
        <w:t xml:space="preserve"> CD34</w:t>
      </w:r>
      <w:r w:rsidRPr="004F21EF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cells/kg is based on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published experience resulting in adequate </w:t>
      </w:r>
      <w:proofErr w:type="spellStart"/>
      <w:r w:rsidRPr="00CA4638">
        <w:rPr>
          <w:sz w:val="24"/>
          <w:szCs w:val="24"/>
          <w:lang w:val="en-US"/>
        </w:rPr>
        <w:t>haematologic</w:t>
      </w:r>
      <w:proofErr w:type="spellEnd"/>
      <w:r w:rsidRPr="00CA4638">
        <w:rPr>
          <w:sz w:val="24"/>
          <w:szCs w:val="24"/>
          <w:lang w:val="en-US"/>
        </w:rPr>
        <w:t xml:space="preserve"> reconstitution.</w:t>
      </w:r>
    </w:p>
    <w:p w:rsidR="00B22A8F" w:rsidRPr="00CA4638" w:rsidRDefault="00B22A8F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Prior Exposure to Cytotoxic Agents</w:t>
      </w:r>
    </w:p>
    <w:p w:rsidR="00A45947" w:rsidRPr="00CA4638" w:rsidRDefault="00A45947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Patients who have undergone very extensive prior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therapy may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not show sufficient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of PBPCs to achieve the recommended minimum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yield (</w:t>
      </w:r>
      <w:r w:rsidR="00A45947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2 x 10</w:t>
      </w:r>
      <w:r w:rsidRPr="00A45947">
        <w:rPr>
          <w:sz w:val="24"/>
          <w:szCs w:val="24"/>
          <w:vertAlign w:val="superscript"/>
          <w:lang w:val="en-US"/>
        </w:rPr>
        <w:t>6</w:t>
      </w:r>
      <w:r w:rsidRPr="00CA4638">
        <w:rPr>
          <w:sz w:val="24"/>
          <w:szCs w:val="24"/>
          <w:lang w:val="en-US"/>
        </w:rPr>
        <w:t xml:space="preserve"> CD34</w:t>
      </w:r>
      <w:r w:rsidRPr="00A45947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cells/kg) or acceleration of platelet recovery, to the same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degree. When PBPC transplantation is envisaged it is advisable to plan the stem cell</w:t>
      </w:r>
      <w:r w:rsidR="00B22A8F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procedure early in the treatment course of the patient. Particular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attention should be paid to the number of progenitor cells </w:t>
      </w:r>
      <w:proofErr w:type="spellStart"/>
      <w:r w:rsidRPr="00CA4638">
        <w:rPr>
          <w:sz w:val="24"/>
          <w:szCs w:val="24"/>
          <w:lang w:val="en-US"/>
        </w:rPr>
        <w:t>mobilised</w:t>
      </w:r>
      <w:proofErr w:type="spellEnd"/>
      <w:r w:rsidRPr="00CA4638">
        <w:rPr>
          <w:sz w:val="24"/>
          <w:szCs w:val="24"/>
          <w:lang w:val="en-US"/>
        </w:rPr>
        <w:t xml:space="preserve"> in such patients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i/>
          <w:iCs/>
          <w:sz w:val="24"/>
          <w:szCs w:val="24"/>
          <w:lang w:val="en-US"/>
        </w:rPr>
        <w:t xml:space="preserve">before </w:t>
      </w:r>
      <w:r w:rsidRPr="00CA4638">
        <w:rPr>
          <w:sz w:val="24"/>
          <w:szCs w:val="24"/>
          <w:lang w:val="en-US"/>
        </w:rPr>
        <w:t>the administration of high-dose chemotherapy.</w:t>
      </w:r>
    </w:p>
    <w:p w:rsidR="00B22A8F" w:rsidRPr="00CA4638" w:rsidRDefault="00B22A8F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one phase 2 study in heavily pretreated patients with acute lymphoblastic</w:t>
      </w:r>
      <w:r w:rsidR="00B22A8F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>, non-Hodgkin’s lymphoma or Hodgkin’s disease, no increased yield of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progenitor cells was demonstrated by increasing the dose of </w:t>
      </w: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beyond that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recommended.</w:t>
      </w:r>
    </w:p>
    <w:p w:rsidR="00A203E0" w:rsidRPr="00CA4638" w:rsidRDefault="00A203E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If yields are inadequate, as measured by the criterion above, alternative forms of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treatment not requiring progenitor cell support should be considered.</w:t>
      </w:r>
    </w:p>
    <w:p w:rsidR="00A203E0" w:rsidRDefault="00A203E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Some cytotoxic agents exhibit particular toxicities to the </w:t>
      </w:r>
      <w:proofErr w:type="spellStart"/>
      <w:r w:rsidRPr="00CA4638">
        <w:rPr>
          <w:sz w:val="24"/>
          <w:szCs w:val="24"/>
          <w:lang w:val="en-US"/>
        </w:rPr>
        <w:t>haemopoietic</w:t>
      </w:r>
      <w:proofErr w:type="spellEnd"/>
      <w:r w:rsidRPr="00CA4638">
        <w:rPr>
          <w:sz w:val="24"/>
          <w:szCs w:val="24"/>
          <w:lang w:val="en-US"/>
        </w:rPr>
        <w:t xml:space="preserve"> progenitor pool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and may adversely affect progenitor cell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. Agents such as </w:t>
      </w:r>
      <w:proofErr w:type="spellStart"/>
      <w:r w:rsidRPr="00CA4638">
        <w:rPr>
          <w:sz w:val="24"/>
          <w:szCs w:val="24"/>
          <w:lang w:val="en-US"/>
        </w:rPr>
        <w:t>melphalan</w:t>
      </w:r>
      <w:proofErr w:type="spellEnd"/>
      <w:r w:rsidRPr="00CA4638">
        <w:rPr>
          <w:sz w:val="24"/>
          <w:szCs w:val="24"/>
          <w:lang w:val="en-US"/>
        </w:rPr>
        <w:t>,</w:t>
      </w:r>
      <w:r w:rsidR="00B22A8F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carmustine</w:t>
      </w:r>
      <w:proofErr w:type="spellEnd"/>
      <w:r w:rsidRPr="00CA4638">
        <w:rPr>
          <w:sz w:val="24"/>
          <w:szCs w:val="24"/>
          <w:lang w:val="en-US"/>
        </w:rPr>
        <w:t xml:space="preserve"> (BCNU) and carboplatin, when administered over prolonged periods prior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to attempts at progenitor cell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>, may reduce progenitor cell yield.</w:t>
      </w: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Nevertheless, the administration of </w:t>
      </w:r>
      <w:proofErr w:type="spellStart"/>
      <w:r w:rsidRPr="00CA4638">
        <w:rPr>
          <w:sz w:val="24"/>
          <w:szCs w:val="24"/>
          <w:lang w:val="en-US"/>
        </w:rPr>
        <w:t>melphalan</w:t>
      </w:r>
      <w:proofErr w:type="spellEnd"/>
      <w:r w:rsidRPr="00CA4638">
        <w:rPr>
          <w:sz w:val="24"/>
          <w:szCs w:val="24"/>
          <w:lang w:val="en-US"/>
        </w:rPr>
        <w:t xml:space="preserve">, </w:t>
      </w:r>
      <w:proofErr w:type="spellStart"/>
      <w:r w:rsidRPr="00CA4638">
        <w:rPr>
          <w:sz w:val="24"/>
          <w:szCs w:val="24"/>
          <w:lang w:val="en-US"/>
        </w:rPr>
        <w:t>carboplatin</w:t>
      </w:r>
      <w:proofErr w:type="spellEnd"/>
      <w:r w:rsidRPr="00CA4638">
        <w:rPr>
          <w:sz w:val="24"/>
          <w:szCs w:val="24"/>
          <w:lang w:val="en-US"/>
        </w:rPr>
        <w:t xml:space="preserve"> or BCNU together with</w:t>
      </w:r>
      <w:r w:rsidR="00A203E0">
        <w:rPr>
          <w:sz w:val="24"/>
          <w:szCs w:val="24"/>
          <w:lang w:val="en-US"/>
        </w:rPr>
        <w:t xml:space="preserve"> </w:t>
      </w:r>
      <w:proofErr w:type="spellStart"/>
      <w:r w:rsidR="000C10AB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has been shown to be effective for progenitor cell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>.</w:t>
      </w:r>
    </w:p>
    <w:p w:rsidR="00B22A8F" w:rsidRPr="00CA4638" w:rsidRDefault="00B22A8F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Leukocytosis</w:t>
      </w:r>
    </w:p>
    <w:p w:rsidR="000C10AB" w:rsidRPr="00CA4638" w:rsidRDefault="000C10AB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During the period of administration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PBPC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in cancer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patients, discontinuation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is appropriate if the leukocyte count rises</w:t>
      </w:r>
      <w:r w:rsidR="00B22A8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to &gt; 100 x 10</w:t>
      </w:r>
      <w:r w:rsidRPr="003D3A9C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/L. (See SICKLE CELL DISEASE).</w:t>
      </w:r>
    </w:p>
    <w:p w:rsidR="00B22A8F" w:rsidRPr="00CA4638" w:rsidRDefault="00B22A8F" w:rsidP="000738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</w:rPr>
        <w:t>Tumour</w:t>
      </w:r>
      <w:r w:rsidRPr="00CA4638">
        <w:rPr>
          <w:b/>
          <w:bCs/>
          <w:sz w:val="24"/>
          <w:szCs w:val="24"/>
          <w:lang w:val="en-US"/>
        </w:rPr>
        <w:t xml:space="preserve"> Contamination of Bone Marrow and </w:t>
      </w:r>
      <w:proofErr w:type="spellStart"/>
      <w:r w:rsidRPr="00CA4638">
        <w:rPr>
          <w:b/>
          <w:bCs/>
          <w:sz w:val="24"/>
          <w:szCs w:val="24"/>
          <w:lang w:val="en-US"/>
        </w:rPr>
        <w:t>Leukapheresis</w:t>
      </w:r>
      <w:proofErr w:type="spellEnd"/>
      <w:r w:rsidRPr="00CA4638">
        <w:rPr>
          <w:b/>
          <w:bCs/>
          <w:sz w:val="24"/>
          <w:szCs w:val="24"/>
          <w:lang w:val="en-US"/>
        </w:rPr>
        <w:t xml:space="preserve"> Products</w:t>
      </w:r>
    </w:p>
    <w:p w:rsidR="000C10AB" w:rsidRPr="00CA4638" w:rsidRDefault="000C10AB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Some studies of patient bone marrow and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products have</w:t>
      </w:r>
      <w:r w:rsidR="00D5351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demonstrated the presence of malignant cells. While the possibility exists for </w:t>
      </w:r>
      <w:r w:rsidR="004A05B5" w:rsidRPr="00CA4638">
        <w:rPr>
          <w:sz w:val="24"/>
          <w:szCs w:val="24"/>
          <w:lang w:val="en-US"/>
        </w:rPr>
        <w:t>tumor</w:t>
      </w:r>
      <w:r w:rsidR="00D5351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cells to be released from the marrow during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of PBPCs and subsequently</w:t>
      </w:r>
      <w:r w:rsidR="00D5351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collected in the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product, in most of the studies,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products</w:t>
      </w:r>
      <w:r w:rsidR="00D5351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appear to be less contaminated than bone marrow from the same patient. The effect</w:t>
      </w:r>
      <w:r w:rsidR="00D5351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of reinfusion of </w:t>
      </w:r>
      <w:r w:rsidR="004A05B5" w:rsidRPr="00CA4638">
        <w:rPr>
          <w:sz w:val="24"/>
          <w:szCs w:val="24"/>
          <w:lang w:val="en-US"/>
        </w:rPr>
        <w:t>tumor</w:t>
      </w:r>
      <w:r w:rsidRPr="00CA4638">
        <w:rPr>
          <w:sz w:val="24"/>
          <w:szCs w:val="24"/>
          <w:lang w:val="en-US"/>
        </w:rPr>
        <w:t xml:space="preserve"> cells has not been well studied and the limited data available</w:t>
      </w:r>
      <w:r w:rsidR="00D5351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are inconclusive.</w:t>
      </w:r>
    </w:p>
    <w:p w:rsidR="00D53518" w:rsidRPr="00CA4638" w:rsidRDefault="00D53518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Normal Donors Undergoing Peripheral Blood Progenitor Cell </w:t>
      </w:r>
      <w:proofErr w:type="spellStart"/>
      <w:r w:rsidRPr="00CA4638">
        <w:rPr>
          <w:b/>
          <w:bCs/>
          <w:sz w:val="24"/>
          <w:szCs w:val="24"/>
          <w:lang w:val="en-US"/>
        </w:rPr>
        <w:t>Mobilisation</w:t>
      </w:r>
      <w:proofErr w:type="spellEnd"/>
    </w:p>
    <w:p w:rsidR="002000F0" w:rsidRPr="00CA4638" w:rsidRDefault="002000F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E16EB3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of PBPC does not provide a direct clinical benefit to normal donors and</w:t>
      </w:r>
      <w:r w:rsidR="00FC156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should only be considered for the purposes of allogeneic stem cell transplantation.</w:t>
      </w:r>
      <w:r w:rsidR="00FC156D" w:rsidRPr="00CA4638">
        <w:rPr>
          <w:sz w:val="24"/>
          <w:szCs w:val="24"/>
          <w:lang w:val="en-US"/>
        </w:rPr>
        <w:t xml:space="preserve"> </w:t>
      </w: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PBPC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should be considered only in donors who meet normal clinical and</w:t>
      </w:r>
      <w:r w:rsidR="00FC156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laboratory eligibility criteria for stem cell donation with special attention to</w:t>
      </w:r>
      <w:r w:rsidR="00FC156D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haematological</w:t>
      </w:r>
      <w:proofErr w:type="spellEnd"/>
      <w:r w:rsidRPr="00CA4638">
        <w:rPr>
          <w:sz w:val="24"/>
          <w:szCs w:val="24"/>
          <w:lang w:val="en-US"/>
        </w:rPr>
        <w:t xml:space="preserve"> values and infectious disease.</w:t>
      </w:r>
    </w:p>
    <w:p w:rsidR="00FC156D" w:rsidRPr="00CA4638" w:rsidRDefault="00FC156D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E16EB3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safety and efficacy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has not been assessed in normal donors</w:t>
      </w:r>
      <w:r w:rsidR="00FC156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&lt; 16 years or &gt; 60 years.</w:t>
      </w:r>
      <w:r w:rsidR="002000F0">
        <w:rPr>
          <w:sz w:val="24"/>
          <w:szCs w:val="24"/>
          <w:lang w:val="en-US"/>
        </w:rPr>
        <w:t xml:space="preserve"> </w:t>
      </w: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Transient thrombocytopenia (platelets &lt; 100 x 10</w:t>
      </w:r>
      <w:r w:rsidRPr="002000F0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/L) following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FC156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administration and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was observed in 35% of subjects studied. Among</w:t>
      </w:r>
      <w:r w:rsidR="00FC156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these, 2 cases of platelets &lt; 50 x 10</w:t>
      </w:r>
      <w:r w:rsidRPr="002000F0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were reported and attributed to the</w:t>
      </w:r>
      <w:r w:rsidR="00FC156D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procedure.</w:t>
      </w:r>
    </w:p>
    <w:p w:rsidR="00E16EB3" w:rsidRDefault="00E16EB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If more than 1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is required, particular attention should be paid to donors</w:t>
      </w:r>
      <w:r w:rsidR="00FC156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with platelets &lt; 100 x 10</w:t>
      </w:r>
      <w:r w:rsidRPr="00865EB3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 prior to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; in general </w:t>
      </w:r>
      <w:proofErr w:type="spellStart"/>
      <w:r w:rsidRPr="00CA4638">
        <w:rPr>
          <w:sz w:val="24"/>
          <w:szCs w:val="24"/>
          <w:lang w:val="en-US"/>
        </w:rPr>
        <w:t>apheresis</w:t>
      </w:r>
      <w:proofErr w:type="spellEnd"/>
      <w:r w:rsidRPr="00CA4638">
        <w:rPr>
          <w:sz w:val="24"/>
          <w:szCs w:val="24"/>
          <w:lang w:val="en-US"/>
        </w:rPr>
        <w:t xml:space="preserve"> should not be</w:t>
      </w:r>
      <w:r w:rsidR="00FC156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performed if platelets are &lt; 75 x 10</w:t>
      </w:r>
      <w:r w:rsidRPr="002000F0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/L.</w:t>
      </w: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should not be performed in donors who are </w:t>
      </w:r>
      <w:proofErr w:type="spellStart"/>
      <w:r w:rsidRPr="00CA4638">
        <w:rPr>
          <w:sz w:val="24"/>
          <w:szCs w:val="24"/>
          <w:lang w:val="en-US"/>
        </w:rPr>
        <w:t>anticoagulated</w:t>
      </w:r>
      <w:proofErr w:type="spellEnd"/>
      <w:r w:rsidRPr="00CA4638">
        <w:rPr>
          <w:sz w:val="24"/>
          <w:szCs w:val="24"/>
          <w:lang w:val="en-US"/>
        </w:rPr>
        <w:t xml:space="preserve"> or who</w:t>
      </w:r>
      <w:r w:rsidR="00FC156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have known defects in </w:t>
      </w:r>
      <w:proofErr w:type="spellStart"/>
      <w:r w:rsidRPr="00CA4638">
        <w:rPr>
          <w:sz w:val="24"/>
          <w:szCs w:val="24"/>
          <w:lang w:val="en-US"/>
        </w:rPr>
        <w:t>haemostasis</w:t>
      </w:r>
      <w:proofErr w:type="spellEnd"/>
      <w:r w:rsidRPr="00CA4638">
        <w:rPr>
          <w:sz w:val="24"/>
          <w:szCs w:val="24"/>
          <w:lang w:val="en-US"/>
        </w:rPr>
        <w:t>.</w:t>
      </w:r>
    </w:p>
    <w:p w:rsidR="006F0A9C" w:rsidRDefault="006F0A9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EA5348" w:rsidRDefault="006F0A9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="00515D3A" w:rsidRPr="00CA4638">
        <w:rPr>
          <w:sz w:val="24"/>
          <w:szCs w:val="24"/>
          <w:lang w:val="en-US"/>
        </w:rPr>
        <w:t xml:space="preserve"> administration should be discontinued or its dosage should be reduced</w:t>
      </w:r>
      <w:r w:rsidR="00FC156D" w:rsidRPr="00CA4638">
        <w:rPr>
          <w:sz w:val="24"/>
          <w:szCs w:val="24"/>
          <w:lang w:val="en-US"/>
        </w:rPr>
        <w:t xml:space="preserve"> </w:t>
      </w:r>
      <w:r w:rsidR="00515D3A" w:rsidRPr="00CA4638">
        <w:rPr>
          <w:sz w:val="24"/>
          <w:szCs w:val="24"/>
          <w:lang w:val="en-US"/>
        </w:rPr>
        <w:t>if the leukocyte counts rise to &gt; 100 x 10</w:t>
      </w:r>
      <w:r w:rsidR="00515D3A" w:rsidRPr="002000F0">
        <w:rPr>
          <w:sz w:val="24"/>
          <w:szCs w:val="24"/>
          <w:vertAlign w:val="superscript"/>
          <w:lang w:val="en-US"/>
        </w:rPr>
        <w:t>9</w:t>
      </w:r>
      <w:r w:rsidR="00515D3A" w:rsidRPr="00CA4638">
        <w:rPr>
          <w:sz w:val="24"/>
          <w:szCs w:val="24"/>
          <w:lang w:val="en-US"/>
        </w:rPr>
        <w:t>/L.</w:t>
      </w:r>
      <w:r w:rsidR="00FC156D" w:rsidRPr="00CA4638">
        <w:rPr>
          <w:sz w:val="24"/>
          <w:szCs w:val="24"/>
          <w:lang w:val="en-US"/>
        </w:rPr>
        <w:t xml:space="preserve"> </w:t>
      </w:r>
    </w:p>
    <w:p w:rsidR="00E16EB3" w:rsidRDefault="00E16EB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Donors who receive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PBPC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should be monitored until</w:t>
      </w:r>
      <w:r w:rsidR="00FC156D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haematological</w:t>
      </w:r>
      <w:proofErr w:type="spellEnd"/>
      <w:r w:rsidRPr="00CA4638">
        <w:rPr>
          <w:sz w:val="24"/>
          <w:szCs w:val="24"/>
          <w:lang w:val="en-US"/>
        </w:rPr>
        <w:t xml:space="preserve"> indices return to normal.</w:t>
      </w:r>
    </w:p>
    <w:p w:rsidR="00E16EB3" w:rsidRDefault="00E16EB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Insertion of a central venous catheter should be avoided where possible, and</w:t>
      </w:r>
      <w:r w:rsidR="00843E0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therefore consideration should be given to the adequacy of venous access when</w:t>
      </w:r>
      <w:r w:rsidR="00843E0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selecting donors.</w:t>
      </w:r>
    </w:p>
    <w:p w:rsidR="00843E01" w:rsidRPr="00CA4638" w:rsidRDefault="00843E01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Long-term safety follow-up of donors is ongoing. For up to 4 years, there have been</w:t>
      </w:r>
      <w:r w:rsidR="00843E0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no reports of abnormal </w:t>
      </w:r>
      <w:proofErr w:type="spellStart"/>
      <w:r w:rsidRPr="00CA4638">
        <w:rPr>
          <w:sz w:val="24"/>
          <w:szCs w:val="24"/>
          <w:lang w:val="en-US"/>
        </w:rPr>
        <w:t>haematopoiesis</w:t>
      </w:r>
      <w:proofErr w:type="spellEnd"/>
      <w:r w:rsidRPr="00CA4638">
        <w:rPr>
          <w:sz w:val="24"/>
          <w:szCs w:val="24"/>
          <w:lang w:val="en-US"/>
        </w:rPr>
        <w:t xml:space="preserve"> in normal donors. Nevertheless, a risk of</w:t>
      </w:r>
      <w:r w:rsidR="00843E0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promotion of a malignant myeloid clone </w:t>
      </w:r>
      <w:proofErr w:type="spellStart"/>
      <w:r w:rsidRPr="00CA4638">
        <w:rPr>
          <w:sz w:val="24"/>
          <w:szCs w:val="24"/>
          <w:lang w:val="en-US"/>
        </w:rPr>
        <w:t>can not</w:t>
      </w:r>
      <w:proofErr w:type="spellEnd"/>
      <w:r w:rsidRPr="00CA4638">
        <w:rPr>
          <w:sz w:val="24"/>
          <w:szCs w:val="24"/>
          <w:lang w:val="en-US"/>
        </w:rPr>
        <w:t xml:space="preserve"> be excluded. It is recommended that</w:t>
      </w:r>
      <w:r w:rsidR="00843E0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the </w:t>
      </w:r>
      <w:proofErr w:type="spellStart"/>
      <w:r w:rsidRPr="00CA4638">
        <w:rPr>
          <w:sz w:val="24"/>
          <w:szCs w:val="24"/>
          <w:lang w:val="en-US"/>
        </w:rPr>
        <w:t>apheresis</w:t>
      </w:r>
      <w:proofErr w:type="spellEnd"/>
      <w:r w:rsidRPr="00CA4638">
        <w:rPr>
          <w:sz w:val="24"/>
          <w:szCs w:val="24"/>
          <w:lang w:val="en-US"/>
        </w:rPr>
        <w:t xml:space="preserve"> centre perform a systematic record and tracking of the stem cell</w:t>
      </w:r>
      <w:r w:rsidR="00843E0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donors to ensure monitoring of long-term safety.</w:t>
      </w:r>
    </w:p>
    <w:p w:rsidR="00843E01" w:rsidRPr="00CA4638" w:rsidRDefault="00843E01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There have been rare cases of splenic rupture reported in healthy donors following</w:t>
      </w:r>
      <w:r w:rsidR="00A0243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administration of G-CSFs. In donors experiencing left upper abdominal pain and/or</w:t>
      </w:r>
      <w:r w:rsidR="00A0243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shoulder tip pain and rapid increase in spleen size, the risk of splenic rupture should</w:t>
      </w:r>
      <w:r w:rsidR="00A0243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be considered and carefully monitored.</w:t>
      </w:r>
    </w:p>
    <w:p w:rsidR="005D047C" w:rsidRDefault="005D047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normal donors, pulmonary adverse events (</w:t>
      </w:r>
      <w:proofErr w:type="spellStart"/>
      <w:r w:rsidRPr="00CA4638">
        <w:rPr>
          <w:sz w:val="24"/>
          <w:szCs w:val="24"/>
          <w:lang w:val="en-US"/>
        </w:rPr>
        <w:t>haemoptysis</w:t>
      </w:r>
      <w:proofErr w:type="spellEnd"/>
      <w:r w:rsidRPr="00CA4638">
        <w:rPr>
          <w:sz w:val="24"/>
          <w:szCs w:val="24"/>
          <w:lang w:val="en-US"/>
        </w:rPr>
        <w:t>, pulmonary infiltrates)</w:t>
      </w:r>
      <w:r w:rsidR="00A0243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have been reported very rarely (&lt; 0.01%).</w:t>
      </w:r>
    </w:p>
    <w:p w:rsidR="00A0243B" w:rsidRPr="00CA4638" w:rsidRDefault="00A0243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Recipients of Allogeneic Peripheral Blood Progenitor Stem Cells </w:t>
      </w:r>
      <w:proofErr w:type="spellStart"/>
      <w:r w:rsidRPr="00CA4638">
        <w:rPr>
          <w:b/>
          <w:bCs/>
          <w:sz w:val="24"/>
          <w:szCs w:val="24"/>
          <w:lang w:val="en-US"/>
        </w:rPr>
        <w:t>Mobilised</w:t>
      </w:r>
      <w:proofErr w:type="spellEnd"/>
      <w:r w:rsidR="00930364">
        <w:rPr>
          <w:b/>
          <w:bCs/>
          <w:sz w:val="24"/>
          <w:szCs w:val="24"/>
          <w:lang w:val="en-US"/>
        </w:rPr>
        <w:t xml:space="preserve"> </w:t>
      </w:r>
      <w:r w:rsidR="003B5481">
        <w:rPr>
          <w:b/>
          <w:bCs/>
          <w:sz w:val="24"/>
          <w:szCs w:val="24"/>
          <w:lang w:val="en-US"/>
        </w:rPr>
        <w:t>w</w:t>
      </w:r>
      <w:r w:rsidRPr="00CA4638">
        <w:rPr>
          <w:b/>
          <w:bCs/>
          <w:sz w:val="24"/>
          <w:szCs w:val="24"/>
          <w:lang w:val="en-US"/>
        </w:rPr>
        <w:t xml:space="preserve">ith </w:t>
      </w:r>
      <w:proofErr w:type="spellStart"/>
      <w:r w:rsidR="008D7885" w:rsidRPr="00CA4638">
        <w:rPr>
          <w:b/>
          <w:bCs/>
          <w:sz w:val="24"/>
          <w:szCs w:val="24"/>
          <w:lang w:val="en-US"/>
        </w:rPr>
        <w:t>filgrastim</w:t>
      </w:r>
      <w:proofErr w:type="spellEnd"/>
    </w:p>
    <w:p w:rsidR="00B12D8D" w:rsidRPr="00CA4638" w:rsidRDefault="00B12D8D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Current data indicate that immunological interactions between the allogeneic PBPC</w:t>
      </w:r>
      <w:r w:rsidR="004E3CD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graft and the recipient may be associated with an increased risk of acute and chronic</w:t>
      </w:r>
      <w:r w:rsidR="004E3CD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Graft versus Host Disease (</w:t>
      </w:r>
      <w:proofErr w:type="spellStart"/>
      <w:r w:rsidRPr="00CA4638">
        <w:rPr>
          <w:sz w:val="24"/>
          <w:szCs w:val="24"/>
          <w:lang w:val="en-US"/>
        </w:rPr>
        <w:t>GvHD</w:t>
      </w:r>
      <w:proofErr w:type="spellEnd"/>
      <w:r w:rsidRPr="00CA4638">
        <w:rPr>
          <w:sz w:val="24"/>
          <w:szCs w:val="24"/>
          <w:lang w:val="en-US"/>
        </w:rPr>
        <w:t>) when compared with bone marrow</w:t>
      </w:r>
      <w:r w:rsidR="004E3CD1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transplantation.</w:t>
      </w:r>
    </w:p>
    <w:p w:rsidR="004E3CD1" w:rsidRPr="00CA4638" w:rsidRDefault="004E3CD1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B1474B" w:rsidRDefault="00B1474B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br w:type="page"/>
      </w: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Patients With Severe Chronic Neutropenia</w:t>
      </w:r>
    </w:p>
    <w:p w:rsidR="00B12D8D" w:rsidRPr="00CA4638" w:rsidRDefault="00B12D8D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Diagnosis of SCN</w:t>
      </w:r>
    </w:p>
    <w:p w:rsidR="00E16EB3" w:rsidRDefault="00E16EB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Care should be taken to confirm the diagnosis of SCN, which may be difficult to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distinguish from MDS, before initiating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 The safety and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efficacy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the treatment of neutropenia or pancytopenia due to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other </w:t>
      </w:r>
      <w:proofErr w:type="spellStart"/>
      <w:r w:rsidRPr="00CA4638">
        <w:rPr>
          <w:sz w:val="24"/>
          <w:szCs w:val="24"/>
          <w:lang w:val="en-US"/>
        </w:rPr>
        <w:t>haemopoietic</w:t>
      </w:r>
      <w:proofErr w:type="spellEnd"/>
      <w:r w:rsidRPr="00CA4638">
        <w:rPr>
          <w:sz w:val="24"/>
          <w:szCs w:val="24"/>
          <w:lang w:val="en-US"/>
        </w:rPr>
        <w:t xml:space="preserve"> disorders (</w:t>
      </w:r>
      <w:proofErr w:type="spellStart"/>
      <w:r w:rsidRPr="00CA4638">
        <w:rPr>
          <w:sz w:val="24"/>
          <w:szCs w:val="24"/>
          <w:lang w:val="en-US"/>
        </w:rPr>
        <w:t>eg</w:t>
      </w:r>
      <w:proofErr w:type="spellEnd"/>
      <w:r w:rsidRPr="00CA4638">
        <w:rPr>
          <w:sz w:val="24"/>
          <w:szCs w:val="24"/>
          <w:lang w:val="en-US"/>
        </w:rPr>
        <w:t xml:space="preserve">, </w:t>
      </w:r>
      <w:proofErr w:type="spellStart"/>
      <w:r w:rsidRPr="00CA4638">
        <w:rPr>
          <w:sz w:val="24"/>
          <w:szCs w:val="24"/>
          <w:lang w:val="en-US"/>
        </w:rPr>
        <w:t>myelodysplastic</w:t>
      </w:r>
      <w:proofErr w:type="spellEnd"/>
      <w:r w:rsidRPr="00CA4638">
        <w:rPr>
          <w:sz w:val="24"/>
          <w:szCs w:val="24"/>
          <w:lang w:val="en-US"/>
        </w:rPr>
        <w:t xml:space="preserve"> disorders or myeloid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>)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have not been established.</w:t>
      </w:r>
    </w:p>
    <w:p w:rsidR="00B12D8D" w:rsidRDefault="00B12D8D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It is, therefore, essential that serial FBCs with differential and platelet counts and an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evaluation of bone marrow morphology and karyotype be performed prior to initiation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 The use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prior to diagnostic confirmation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of SCN may mask neutropenia as a diagnostic sign of a disease process other than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SCN and prevent adequate evaluation and appropriate treatment of the underlying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condition causing the neutropenia.</w:t>
      </w:r>
    </w:p>
    <w:p w:rsidR="00ED49D8" w:rsidRPr="00CA4638" w:rsidRDefault="00ED49D8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Patients With HIV Infection</w:t>
      </w:r>
    </w:p>
    <w:p w:rsidR="00F4297D" w:rsidRPr="00CA4638" w:rsidRDefault="00F4297D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Risks Associated With Increased Doses of </w:t>
      </w:r>
      <w:proofErr w:type="spellStart"/>
      <w:r w:rsidRPr="00CA4638">
        <w:rPr>
          <w:b/>
          <w:bCs/>
          <w:sz w:val="24"/>
          <w:szCs w:val="24"/>
          <w:lang w:val="en-US"/>
        </w:rPr>
        <w:t>Myelosuppressive</w:t>
      </w:r>
      <w:proofErr w:type="spellEnd"/>
      <w:r w:rsidRPr="00CA4638">
        <w:rPr>
          <w:b/>
          <w:bCs/>
          <w:sz w:val="24"/>
          <w:szCs w:val="24"/>
          <w:lang w:val="en-US"/>
        </w:rPr>
        <w:t xml:space="preserve"> Medications</w:t>
      </w:r>
    </w:p>
    <w:p w:rsidR="00F4297D" w:rsidRPr="00CA4638" w:rsidRDefault="00F4297D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Treatment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alone does not preclude thrombocytopenia and</w:t>
      </w:r>
      <w:r w:rsidR="00ED49D8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anaemia</w:t>
      </w:r>
      <w:proofErr w:type="spellEnd"/>
      <w:r w:rsidRPr="00CA4638">
        <w:rPr>
          <w:sz w:val="24"/>
          <w:szCs w:val="24"/>
          <w:lang w:val="en-US"/>
        </w:rPr>
        <w:t xml:space="preserve"> due to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medications. As a result of the potential to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receive higher doses or a greater number of medications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therapy,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the patient may be at higher risk of developing thrombocytopenia and </w:t>
      </w:r>
      <w:proofErr w:type="spellStart"/>
      <w:r w:rsidRPr="00CA4638">
        <w:rPr>
          <w:sz w:val="24"/>
          <w:szCs w:val="24"/>
          <w:lang w:val="en-US"/>
        </w:rPr>
        <w:t>anaemia</w:t>
      </w:r>
      <w:proofErr w:type="spellEnd"/>
      <w:r w:rsidRPr="00CA4638">
        <w:rPr>
          <w:sz w:val="24"/>
          <w:szCs w:val="24"/>
          <w:lang w:val="en-US"/>
        </w:rPr>
        <w:t>.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Regular monitoring of blood counts is recommended (see LABORATORY</w:t>
      </w:r>
      <w:r w:rsidR="00ED49D8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MONITORING: PATIENTS WITH HIV INFECTION).</w:t>
      </w:r>
    </w:p>
    <w:p w:rsidR="00ED49D8" w:rsidRPr="00CA4638" w:rsidRDefault="00ED49D8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Infections and Malignancies Causing </w:t>
      </w:r>
      <w:proofErr w:type="spellStart"/>
      <w:r w:rsidRPr="00CA4638">
        <w:rPr>
          <w:b/>
          <w:bCs/>
          <w:sz w:val="24"/>
          <w:szCs w:val="24"/>
          <w:lang w:val="en-US"/>
        </w:rPr>
        <w:t>Myelosuppression</w:t>
      </w:r>
      <w:proofErr w:type="spellEnd"/>
    </w:p>
    <w:p w:rsidR="002A1E8B" w:rsidRDefault="002A1E8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Neutropenia may also be due to bone marrow infiltrating opportunistic infections such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as </w:t>
      </w:r>
      <w:r w:rsidRPr="00CA4638">
        <w:rPr>
          <w:i/>
          <w:iCs/>
          <w:sz w:val="24"/>
          <w:szCs w:val="24"/>
          <w:lang w:val="en-US"/>
        </w:rPr>
        <w:t xml:space="preserve">Mycobacterium </w:t>
      </w:r>
      <w:proofErr w:type="spellStart"/>
      <w:r w:rsidRPr="00CA4638">
        <w:rPr>
          <w:i/>
          <w:iCs/>
          <w:sz w:val="24"/>
          <w:szCs w:val="24"/>
          <w:lang w:val="en-US"/>
        </w:rPr>
        <w:t>avium</w:t>
      </w:r>
      <w:proofErr w:type="spellEnd"/>
      <w:r w:rsidRPr="00CA4638">
        <w:rPr>
          <w:i/>
          <w:iCs/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complex or malignancies such as lymphoma. In patients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with known bone marrow infiltrating infection or malignancy, consideration should be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given to appropriate therapy for treatment of the underlying condition. The effects of</w:t>
      </w:r>
      <w:r w:rsidR="00B725D3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on </w:t>
      </w:r>
      <w:proofErr w:type="spellStart"/>
      <w:r w:rsidRPr="00CA4638">
        <w:rPr>
          <w:sz w:val="24"/>
          <w:szCs w:val="24"/>
          <w:lang w:val="en-US"/>
        </w:rPr>
        <w:t>neutropenia</w:t>
      </w:r>
      <w:proofErr w:type="spellEnd"/>
      <w:r w:rsidRPr="00CA4638">
        <w:rPr>
          <w:sz w:val="24"/>
          <w:szCs w:val="24"/>
          <w:lang w:val="en-US"/>
        </w:rPr>
        <w:t xml:space="preserve"> due to bone marrow infiltrating infection or malignancy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have not been well established.</w:t>
      </w:r>
    </w:p>
    <w:p w:rsidR="00B725D3" w:rsidRPr="00CA4638" w:rsidRDefault="00B725D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F4297D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  <w:r w:rsidRPr="00F4297D">
        <w:rPr>
          <w:b/>
          <w:bCs/>
          <w:sz w:val="24"/>
          <w:szCs w:val="24"/>
          <w:u w:val="single"/>
          <w:lang w:val="en-US"/>
        </w:rPr>
        <w:t>Laboratory Monitoring</w:t>
      </w:r>
    </w:p>
    <w:p w:rsidR="00F4297D" w:rsidRPr="00CA4638" w:rsidRDefault="00F4297D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 xml:space="preserve">Cancer Patients Receiving </w:t>
      </w:r>
      <w:proofErr w:type="spellStart"/>
      <w:r w:rsidRPr="00CA4638">
        <w:rPr>
          <w:b/>
          <w:bCs/>
          <w:i/>
          <w:iCs/>
          <w:sz w:val="24"/>
          <w:szCs w:val="24"/>
          <w:lang w:val="en-US"/>
        </w:rPr>
        <w:t>Myelosuppressive</w:t>
      </w:r>
      <w:proofErr w:type="spellEnd"/>
      <w:r w:rsidRPr="00CA4638">
        <w:rPr>
          <w:b/>
          <w:bCs/>
          <w:i/>
          <w:iCs/>
          <w:sz w:val="24"/>
          <w:szCs w:val="24"/>
          <w:lang w:val="en-US"/>
        </w:rPr>
        <w:t xml:space="preserve"> Chemotherapy</w:t>
      </w:r>
    </w:p>
    <w:p w:rsidR="00F4297D" w:rsidRPr="00CA4638" w:rsidRDefault="00F4297D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An FBC, </w:t>
      </w:r>
      <w:proofErr w:type="spellStart"/>
      <w:r w:rsidRPr="00CA4638">
        <w:rPr>
          <w:sz w:val="24"/>
          <w:szCs w:val="24"/>
          <w:lang w:val="en-US"/>
        </w:rPr>
        <w:t>haematocrit</w:t>
      </w:r>
      <w:proofErr w:type="spellEnd"/>
      <w:r w:rsidRPr="00CA4638">
        <w:rPr>
          <w:sz w:val="24"/>
          <w:szCs w:val="24"/>
          <w:lang w:val="en-US"/>
        </w:rPr>
        <w:t xml:space="preserve"> and platelet count should be obtained prior to chemotherapy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and at regular intervals (twice per week) during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 Following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cytotoxic chemotherapy, the neutrophil nadir occurred earlier during cycles when</w:t>
      </w:r>
      <w:r w:rsidR="00B725D3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was administered and WBC differentials demonstrated a left shift,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including the appearance of </w:t>
      </w:r>
      <w:proofErr w:type="spellStart"/>
      <w:r w:rsidRPr="00CA4638">
        <w:rPr>
          <w:sz w:val="24"/>
          <w:szCs w:val="24"/>
          <w:lang w:val="en-US"/>
        </w:rPr>
        <w:t>promyelocytes</w:t>
      </w:r>
      <w:proofErr w:type="spellEnd"/>
      <w:r w:rsidRPr="00CA4638">
        <w:rPr>
          <w:sz w:val="24"/>
          <w:szCs w:val="24"/>
          <w:lang w:val="en-US"/>
        </w:rPr>
        <w:t xml:space="preserve"> and </w:t>
      </w:r>
      <w:proofErr w:type="spellStart"/>
      <w:r w:rsidRPr="00CA4638">
        <w:rPr>
          <w:sz w:val="24"/>
          <w:szCs w:val="24"/>
          <w:lang w:val="en-US"/>
        </w:rPr>
        <w:t>myeloblasts</w:t>
      </w:r>
      <w:proofErr w:type="spellEnd"/>
      <w:r w:rsidRPr="00CA4638">
        <w:rPr>
          <w:sz w:val="24"/>
          <w:szCs w:val="24"/>
          <w:lang w:val="en-US"/>
        </w:rPr>
        <w:t>. In addition, the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duration of severe neutropenia was reduced and was followed by an accelerated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recovery in the neutrophil counts. Therefore, regular monitoring of WBC counts,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particularly at the time of the recovery from the post chemotherapy nadir is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recommended in order to avoid excessive leukocytosis (see DOSAGE AND</w:t>
      </w:r>
      <w:r w:rsidR="00B725D3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ADMINISTRATION).</w:t>
      </w:r>
    </w:p>
    <w:p w:rsidR="00B725D3" w:rsidRPr="00CA4638" w:rsidRDefault="00B725D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Peripheral Blood Progenitor Cell Collection and Therapy</w:t>
      </w:r>
    </w:p>
    <w:p w:rsidR="00F4297D" w:rsidRPr="00CA4638" w:rsidRDefault="00F4297D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F4297D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After 4 days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treatment for PBPC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, </w:t>
      </w:r>
      <w:proofErr w:type="spellStart"/>
      <w:r w:rsidRPr="00CA4638">
        <w:rPr>
          <w:sz w:val="24"/>
          <w:szCs w:val="24"/>
          <w:lang w:val="en-US"/>
        </w:rPr>
        <w:t>neutrophil</w:t>
      </w:r>
      <w:proofErr w:type="spellEnd"/>
      <w:r w:rsidRPr="00CA4638">
        <w:rPr>
          <w:sz w:val="24"/>
          <w:szCs w:val="24"/>
          <w:lang w:val="en-US"/>
        </w:rPr>
        <w:t xml:space="preserve"> counts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should be monitored. Frequent complete blood counts and platelet counts are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recommended following infusion of PBPCs, at least 3 times per week until</w:t>
      </w:r>
      <w:r w:rsidR="009F2759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haemopoietic</w:t>
      </w:r>
      <w:proofErr w:type="spellEnd"/>
      <w:r w:rsidRPr="00CA4638">
        <w:rPr>
          <w:sz w:val="24"/>
          <w:szCs w:val="24"/>
          <w:lang w:val="en-US"/>
        </w:rPr>
        <w:t xml:space="preserve"> recovery.</w:t>
      </w:r>
      <w:r w:rsidR="009F2759" w:rsidRPr="00CA4638">
        <w:rPr>
          <w:sz w:val="24"/>
          <w:szCs w:val="24"/>
          <w:lang w:val="en-US"/>
        </w:rPr>
        <w:t xml:space="preserve"> </w:t>
      </w:r>
    </w:p>
    <w:p w:rsidR="00E16EB3" w:rsidRDefault="00E16EB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and </w:t>
      </w:r>
      <w:proofErr w:type="spellStart"/>
      <w:r w:rsidRPr="00CA4638">
        <w:rPr>
          <w:sz w:val="24"/>
          <w:szCs w:val="24"/>
          <w:lang w:val="en-US"/>
        </w:rPr>
        <w:t>apheresis</w:t>
      </w:r>
      <w:proofErr w:type="spellEnd"/>
      <w:r w:rsidRPr="00CA4638">
        <w:rPr>
          <w:sz w:val="24"/>
          <w:szCs w:val="24"/>
          <w:lang w:val="en-US"/>
        </w:rPr>
        <w:t xml:space="preserve"> procedures should be performed in collaboration with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 oncology-</w:t>
      </w:r>
      <w:proofErr w:type="spellStart"/>
      <w:r w:rsidRPr="00CA4638">
        <w:rPr>
          <w:sz w:val="24"/>
          <w:szCs w:val="24"/>
          <w:lang w:val="en-US"/>
        </w:rPr>
        <w:t>haematology</w:t>
      </w:r>
      <w:proofErr w:type="spellEnd"/>
      <w:r w:rsidRPr="00CA4638">
        <w:rPr>
          <w:sz w:val="24"/>
          <w:szCs w:val="24"/>
          <w:lang w:val="en-US"/>
        </w:rPr>
        <w:t xml:space="preserve"> centre with acceptable experience in this field and where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the monitoring of </w:t>
      </w:r>
      <w:proofErr w:type="spellStart"/>
      <w:r w:rsidRPr="00CA4638">
        <w:rPr>
          <w:sz w:val="24"/>
          <w:szCs w:val="24"/>
          <w:lang w:val="en-US"/>
        </w:rPr>
        <w:t>haemopoietic</w:t>
      </w:r>
      <w:proofErr w:type="spellEnd"/>
      <w:r w:rsidRPr="00CA4638">
        <w:rPr>
          <w:sz w:val="24"/>
          <w:szCs w:val="24"/>
          <w:lang w:val="en-US"/>
        </w:rPr>
        <w:t xml:space="preserve"> progenitor cells can be appropriately performed and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interpreted (see PRECAUTIONS: PERIPHERAL BLOOD PROGENITOR CELL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COLLECTION AND THERAPY).</w:t>
      </w:r>
    </w:p>
    <w:p w:rsidR="009F2759" w:rsidRPr="00CA4638" w:rsidRDefault="009F2759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 xml:space="preserve">Patients </w:t>
      </w:r>
      <w:r w:rsidR="00D801DB" w:rsidRPr="00CA4638">
        <w:rPr>
          <w:b/>
          <w:bCs/>
          <w:i/>
          <w:iCs/>
          <w:sz w:val="24"/>
          <w:szCs w:val="24"/>
          <w:lang w:val="en-US"/>
        </w:rPr>
        <w:t>w</w:t>
      </w:r>
      <w:r w:rsidRPr="00CA4638">
        <w:rPr>
          <w:b/>
          <w:bCs/>
          <w:i/>
          <w:iCs/>
          <w:sz w:val="24"/>
          <w:szCs w:val="24"/>
          <w:lang w:val="en-US"/>
        </w:rPr>
        <w:t>ith Severe Chronic Neutropenia</w:t>
      </w:r>
    </w:p>
    <w:p w:rsidR="00F4297D" w:rsidRPr="00CA4638" w:rsidRDefault="00F4297D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During the initial 4 weeks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and for 2 weeks following any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dose adjustment, an FBC with differential count should be performed twice weekly.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Once a patient is clinically stable, an FBC with differential count and platelet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determination should be performed monthly during the first year of treatment.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Thereafter, if clinically stable, routine monitoring with regular FBCs (</w:t>
      </w:r>
      <w:proofErr w:type="spellStart"/>
      <w:r w:rsidR="004A05B5" w:rsidRPr="00CA4638">
        <w:rPr>
          <w:sz w:val="24"/>
          <w:szCs w:val="24"/>
          <w:lang w:val="en-US"/>
        </w:rPr>
        <w:t>ie</w:t>
      </w:r>
      <w:proofErr w:type="spellEnd"/>
      <w:r w:rsidR="004A05B5" w:rsidRPr="00CA4638">
        <w:rPr>
          <w:sz w:val="24"/>
          <w:szCs w:val="24"/>
          <w:lang w:val="en-US"/>
        </w:rPr>
        <w:t>.</w:t>
      </w:r>
      <w:r w:rsidRPr="00CA4638">
        <w:rPr>
          <w:sz w:val="24"/>
          <w:szCs w:val="24"/>
          <w:lang w:val="en-US"/>
        </w:rPr>
        <w:t>, as clinically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indicated but at least quarterly) is recommended. Additionally, for those patients with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congenital neutropenia, annual bone marrow and cytogenetic evaluations should be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performed throughout the duration of treatment (see </w:t>
      </w:r>
      <w:r w:rsidR="00285769" w:rsidRPr="00A34BBA">
        <w:rPr>
          <w:sz w:val="24"/>
          <w:szCs w:val="24"/>
          <w:lang w:val="en-US"/>
        </w:rPr>
        <w:t>PRECAUTIONS</w:t>
      </w:r>
      <w:r w:rsidRPr="00CA4638">
        <w:rPr>
          <w:sz w:val="24"/>
          <w:szCs w:val="24"/>
          <w:lang w:val="en-US"/>
        </w:rPr>
        <w:t>, ADVERSE</w:t>
      </w:r>
      <w:r w:rsidR="009F275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REACTIONS).</w:t>
      </w:r>
    </w:p>
    <w:p w:rsidR="009F2759" w:rsidRPr="00CA4638" w:rsidRDefault="009F2759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clinical trials, the following laboratory results were observed:</w:t>
      </w:r>
    </w:p>
    <w:p w:rsidR="00515D3A" w:rsidRPr="00F4297D" w:rsidRDefault="00515D3A" w:rsidP="000738B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4297D">
        <w:rPr>
          <w:sz w:val="24"/>
          <w:szCs w:val="24"/>
          <w:lang w:val="en-US"/>
        </w:rPr>
        <w:t>Cyclic fluctuations in the neutrophil counts were frequently observed in</w:t>
      </w:r>
      <w:r w:rsidR="00F4297D" w:rsidRPr="00F4297D">
        <w:rPr>
          <w:sz w:val="24"/>
          <w:szCs w:val="24"/>
          <w:lang w:val="en-US"/>
        </w:rPr>
        <w:t xml:space="preserve"> </w:t>
      </w:r>
      <w:r w:rsidRPr="00F4297D">
        <w:rPr>
          <w:sz w:val="24"/>
          <w:szCs w:val="24"/>
          <w:lang w:val="en-US"/>
        </w:rPr>
        <w:t>patients with congenital or idiopathic neutropenia after initiation of</w:t>
      </w:r>
      <w:r w:rsidR="00F4297D" w:rsidRPr="00F4297D">
        <w:rPr>
          <w:sz w:val="24"/>
          <w:szCs w:val="24"/>
          <w:lang w:val="en-US"/>
        </w:rPr>
        <w:t xml:space="preserve"> </w:t>
      </w:r>
      <w:proofErr w:type="spellStart"/>
      <w:r w:rsidR="008D7885" w:rsidRPr="00F4297D">
        <w:rPr>
          <w:sz w:val="24"/>
          <w:szCs w:val="24"/>
          <w:lang w:val="en-US"/>
        </w:rPr>
        <w:t>filgrastim</w:t>
      </w:r>
      <w:proofErr w:type="spellEnd"/>
      <w:r w:rsidRPr="00F4297D">
        <w:rPr>
          <w:sz w:val="24"/>
          <w:szCs w:val="24"/>
          <w:lang w:val="en-US"/>
        </w:rPr>
        <w:t xml:space="preserve"> therapy.</w:t>
      </w:r>
    </w:p>
    <w:p w:rsidR="00515D3A" w:rsidRPr="00F4297D" w:rsidRDefault="00515D3A" w:rsidP="000738B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4297D">
        <w:rPr>
          <w:sz w:val="24"/>
          <w:szCs w:val="24"/>
          <w:lang w:val="en-US"/>
        </w:rPr>
        <w:t>Platelet counts were generally at the upper limits of normal prior to</w:t>
      </w:r>
      <w:r w:rsidR="00F4297D" w:rsidRPr="00F4297D">
        <w:rPr>
          <w:sz w:val="24"/>
          <w:szCs w:val="24"/>
          <w:lang w:val="en-US"/>
        </w:rPr>
        <w:t xml:space="preserve"> </w:t>
      </w:r>
      <w:proofErr w:type="spellStart"/>
      <w:r w:rsidR="008D7885" w:rsidRPr="00F4297D">
        <w:rPr>
          <w:sz w:val="24"/>
          <w:szCs w:val="24"/>
          <w:lang w:val="en-US"/>
        </w:rPr>
        <w:t>filgrastim</w:t>
      </w:r>
      <w:proofErr w:type="spellEnd"/>
      <w:r w:rsidRPr="00F4297D">
        <w:rPr>
          <w:sz w:val="24"/>
          <w:szCs w:val="24"/>
          <w:lang w:val="en-US"/>
        </w:rPr>
        <w:t xml:space="preserve"> therapy. With </w:t>
      </w:r>
      <w:proofErr w:type="spellStart"/>
      <w:r w:rsidR="008D7885" w:rsidRPr="00F4297D">
        <w:rPr>
          <w:sz w:val="24"/>
          <w:szCs w:val="24"/>
          <w:lang w:val="en-US"/>
        </w:rPr>
        <w:t>filgrastim</w:t>
      </w:r>
      <w:proofErr w:type="spellEnd"/>
      <w:r w:rsidRPr="00F4297D">
        <w:rPr>
          <w:sz w:val="24"/>
          <w:szCs w:val="24"/>
          <w:lang w:val="en-US"/>
        </w:rPr>
        <w:t xml:space="preserve"> therapy, platelet counts decreased</w:t>
      </w:r>
      <w:r w:rsidR="00F4297D" w:rsidRPr="00F4297D">
        <w:rPr>
          <w:sz w:val="24"/>
          <w:szCs w:val="24"/>
          <w:lang w:val="en-US"/>
        </w:rPr>
        <w:t xml:space="preserve"> </w:t>
      </w:r>
      <w:r w:rsidRPr="00F4297D">
        <w:rPr>
          <w:sz w:val="24"/>
          <w:szCs w:val="24"/>
          <w:lang w:val="en-US"/>
        </w:rPr>
        <w:t>but generally remained within normal limits (see ADVERSE REACTIONS).</w:t>
      </w:r>
    </w:p>
    <w:p w:rsidR="00515D3A" w:rsidRPr="00F4297D" w:rsidRDefault="00515D3A" w:rsidP="000738B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4297D">
        <w:rPr>
          <w:sz w:val="24"/>
          <w:szCs w:val="24"/>
          <w:lang w:val="en-US"/>
        </w:rPr>
        <w:t>Early myeloid forms were noted in peripheral blood in most patients, including</w:t>
      </w:r>
      <w:r w:rsidR="00F4297D" w:rsidRPr="00F4297D">
        <w:rPr>
          <w:sz w:val="24"/>
          <w:szCs w:val="24"/>
          <w:lang w:val="en-US"/>
        </w:rPr>
        <w:t xml:space="preserve"> </w:t>
      </w:r>
      <w:r w:rsidRPr="00F4297D">
        <w:rPr>
          <w:sz w:val="24"/>
          <w:szCs w:val="24"/>
          <w:lang w:val="en-US"/>
        </w:rPr>
        <w:t xml:space="preserve">the appearance of </w:t>
      </w:r>
      <w:proofErr w:type="spellStart"/>
      <w:r w:rsidRPr="00F4297D">
        <w:rPr>
          <w:sz w:val="24"/>
          <w:szCs w:val="24"/>
          <w:lang w:val="en-US"/>
        </w:rPr>
        <w:t>metamyelocytes</w:t>
      </w:r>
      <w:proofErr w:type="spellEnd"/>
      <w:r w:rsidRPr="00F4297D">
        <w:rPr>
          <w:sz w:val="24"/>
          <w:szCs w:val="24"/>
          <w:lang w:val="en-US"/>
        </w:rPr>
        <w:t xml:space="preserve"> and </w:t>
      </w:r>
      <w:proofErr w:type="spellStart"/>
      <w:r w:rsidRPr="00F4297D">
        <w:rPr>
          <w:sz w:val="24"/>
          <w:szCs w:val="24"/>
          <w:lang w:val="en-US"/>
        </w:rPr>
        <w:t>myelocytes</w:t>
      </w:r>
      <w:proofErr w:type="spellEnd"/>
      <w:r w:rsidRPr="00F4297D">
        <w:rPr>
          <w:sz w:val="24"/>
          <w:szCs w:val="24"/>
          <w:lang w:val="en-US"/>
        </w:rPr>
        <w:t xml:space="preserve">. </w:t>
      </w:r>
      <w:proofErr w:type="spellStart"/>
      <w:r w:rsidRPr="00F4297D">
        <w:rPr>
          <w:sz w:val="24"/>
          <w:szCs w:val="24"/>
          <w:lang w:val="en-US"/>
        </w:rPr>
        <w:t>Promyelocytes</w:t>
      </w:r>
      <w:proofErr w:type="spellEnd"/>
      <w:r w:rsidRPr="00F4297D">
        <w:rPr>
          <w:sz w:val="24"/>
          <w:szCs w:val="24"/>
          <w:lang w:val="en-US"/>
        </w:rPr>
        <w:t xml:space="preserve"> and</w:t>
      </w:r>
      <w:r w:rsidR="00F4297D" w:rsidRPr="00F4297D">
        <w:rPr>
          <w:sz w:val="24"/>
          <w:szCs w:val="24"/>
          <w:lang w:val="en-US"/>
        </w:rPr>
        <w:t xml:space="preserve"> </w:t>
      </w:r>
      <w:proofErr w:type="spellStart"/>
      <w:r w:rsidRPr="00F4297D">
        <w:rPr>
          <w:sz w:val="24"/>
          <w:szCs w:val="24"/>
          <w:lang w:val="en-US"/>
        </w:rPr>
        <w:t>myeloblasts</w:t>
      </w:r>
      <w:proofErr w:type="spellEnd"/>
      <w:r w:rsidRPr="00F4297D">
        <w:rPr>
          <w:sz w:val="24"/>
          <w:szCs w:val="24"/>
          <w:lang w:val="en-US"/>
        </w:rPr>
        <w:t xml:space="preserve"> were noted in some patients.</w:t>
      </w:r>
    </w:p>
    <w:p w:rsidR="00515D3A" w:rsidRPr="00F4297D" w:rsidRDefault="00515D3A" w:rsidP="000738B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4297D">
        <w:rPr>
          <w:sz w:val="24"/>
          <w:szCs w:val="24"/>
          <w:lang w:val="en-US"/>
        </w:rPr>
        <w:t>Relative increases were occasionally noted in the number of circulating</w:t>
      </w:r>
      <w:r w:rsidR="00F4297D" w:rsidRPr="00F4297D">
        <w:rPr>
          <w:sz w:val="24"/>
          <w:szCs w:val="24"/>
          <w:lang w:val="en-US"/>
        </w:rPr>
        <w:t xml:space="preserve"> </w:t>
      </w:r>
      <w:proofErr w:type="spellStart"/>
      <w:r w:rsidRPr="00F4297D">
        <w:rPr>
          <w:sz w:val="24"/>
          <w:szCs w:val="24"/>
          <w:lang w:val="en-US"/>
        </w:rPr>
        <w:t>eosinophils</w:t>
      </w:r>
      <w:proofErr w:type="spellEnd"/>
      <w:r w:rsidRPr="00F4297D">
        <w:rPr>
          <w:sz w:val="24"/>
          <w:szCs w:val="24"/>
          <w:lang w:val="en-US"/>
        </w:rPr>
        <w:t xml:space="preserve"> and </w:t>
      </w:r>
      <w:proofErr w:type="spellStart"/>
      <w:r w:rsidRPr="00F4297D">
        <w:rPr>
          <w:sz w:val="24"/>
          <w:szCs w:val="24"/>
          <w:lang w:val="en-US"/>
        </w:rPr>
        <w:t>basophils</w:t>
      </w:r>
      <w:proofErr w:type="spellEnd"/>
      <w:r w:rsidRPr="00F4297D">
        <w:rPr>
          <w:sz w:val="24"/>
          <w:szCs w:val="24"/>
          <w:lang w:val="en-US"/>
        </w:rPr>
        <w:t>. No consistent increases were observed with</w:t>
      </w:r>
      <w:r w:rsidR="00F4297D" w:rsidRPr="00F4297D">
        <w:rPr>
          <w:sz w:val="24"/>
          <w:szCs w:val="24"/>
          <w:lang w:val="en-US"/>
        </w:rPr>
        <w:t xml:space="preserve"> </w:t>
      </w:r>
      <w:proofErr w:type="spellStart"/>
      <w:r w:rsidR="008D7885" w:rsidRPr="00F4297D">
        <w:rPr>
          <w:sz w:val="24"/>
          <w:szCs w:val="24"/>
          <w:lang w:val="en-US"/>
        </w:rPr>
        <w:t>filgrastim</w:t>
      </w:r>
      <w:proofErr w:type="spellEnd"/>
      <w:r w:rsidRPr="00F4297D">
        <w:rPr>
          <w:sz w:val="24"/>
          <w:szCs w:val="24"/>
          <w:lang w:val="en-US"/>
        </w:rPr>
        <w:t xml:space="preserve"> therapy.</w:t>
      </w:r>
    </w:p>
    <w:p w:rsidR="00C9246C" w:rsidRPr="00CA4638" w:rsidRDefault="00C9246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B1474B" w:rsidRDefault="00B1474B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br w:type="page"/>
      </w: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 xml:space="preserve">Patients </w:t>
      </w:r>
      <w:r w:rsidR="00D801DB" w:rsidRPr="00CA4638">
        <w:rPr>
          <w:b/>
          <w:bCs/>
          <w:i/>
          <w:iCs/>
          <w:sz w:val="24"/>
          <w:szCs w:val="24"/>
          <w:lang w:val="en-US"/>
        </w:rPr>
        <w:t>w</w:t>
      </w:r>
      <w:r w:rsidRPr="00CA4638">
        <w:rPr>
          <w:b/>
          <w:bCs/>
          <w:i/>
          <w:iCs/>
          <w:sz w:val="24"/>
          <w:szCs w:val="24"/>
          <w:lang w:val="en-US"/>
        </w:rPr>
        <w:t>ith HIV Infection</w:t>
      </w:r>
    </w:p>
    <w:p w:rsidR="00242D82" w:rsidRPr="00CA4638" w:rsidRDefault="00242D82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Absolute neutrophil count should be monitored closely, especially during the first few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weeks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 Some patients may respond very rapidly with a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considerable increase in neutrophil count after initial doses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 It is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recommended that the ANC is measured daily for the first 2 to 3 days of</w:t>
      </w:r>
      <w:r w:rsidR="00F7123E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administration. Thereafter, it is recommended that the ANC is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measured at least twice per week for the first 2 weeks and subsequently once per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week or once every other week during maintenance therapy. During intermittent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dosing with 300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, there will be wide fluctuations in the patient’s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ANC over time. In order to determine a patient’s trough or nadir ANC, it is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recommended that blood samples for ANC measurement are obtained immediately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prior to any scheduled dosing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</w:t>
      </w:r>
    </w:p>
    <w:p w:rsidR="00F7123E" w:rsidRPr="00CA4638" w:rsidRDefault="00F7123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A341EA" w:rsidRPr="00A341EA" w:rsidRDefault="00A341EA" w:rsidP="00A341EA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  <w:r w:rsidRPr="00A341EA">
        <w:rPr>
          <w:b/>
          <w:bCs/>
          <w:sz w:val="24"/>
          <w:szCs w:val="24"/>
          <w:u w:val="single"/>
          <w:lang w:val="en-US"/>
        </w:rPr>
        <w:t>Carcinogenicity</w:t>
      </w:r>
      <w:r w:rsidR="00736290">
        <w:rPr>
          <w:b/>
          <w:bCs/>
          <w:sz w:val="24"/>
          <w:szCs w:val="24"/>
          <w:u w:val="single"/>
          <w:lang w:val="en-US"/>
        </w:rPr>
        <w:t xml:space="preserve"> and </w:t>
      </w:r>
      <w:r w:rsidRPr="00A341E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A341EA">
        <w:rPr>
          <w:b/>
          <w:bCs/>
          <w:sz w:val="24"/>
          <w:szCs w:val="24"/>
          <w:u w:val="single"/>
          <w:lang w:val="en-US"/>
        </w:rPr>
        <w:t>Genotoxicity</w:t>
      </w:r>
      <w:proofErr w:type="spellEnd"/>
    </w:p>
    <w:p w:rsidR="00A341EA" w:rsidRPr="00242D82" w:rsidRDefault="00A341E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</w:p>
    <w:p w:rsidR="0017380D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carcinogenic potential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has not been studied. In either the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presence or absence of a drug enzyme </w:t>
      </w:r>
      <w:proofErr w:type="spellStart"/>
      <w:r w:rsidRPr="00CA4638">
        <w:rPr>
          <w:sz w:val="24"/>
          <w:szCs w:val="24"/>
          <w:lang w:val="en-US"/>
        </w:rPr>
        <w:t>metabolising</w:t>
      </w:r>
      <w:proofErr w:type="spellEnd"/>
      <w:r w:rsidRPr="00CA4638">
        <w:rPr>
          <w:sz w:val="24"/>
          <w:szCs w:val="24"/>
          <w:lang w:val="en-US"/>
        </w:rPr>
        <w:t xml:space="preserve"> system,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failed to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induce chromosomal aberrations (in Chinese hamster lung cells in vitro) or bacterial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gene mutations. </w:t>
      </w:r>
      <w:proofErr w:type="spellStart"/>
      <w:r w:rsidR="00B94C1F" w:rsidRPr="00CA4638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Pr="00CA4638">
        <w:rPr>
          <w:sz w:val="24"/>
          <w:szCs w:val="24"/>
          <w:lang w:val="en-US"/>
        </w:rPr>
        <w:t xml:space="preserve"> was negative in an </w:t>
      </w:r>
      <w:r w:rsidRPr="009B2285">
        <w:rPr>
          <w:i/>
          <w:sz w:val="24"/>
          <w:szCs w:val="24"/>
          <w:lang w:val="en-US"/>
        </w:rPr>
        <w:t>in vivo</w:t>
      </w:r>
      <w:r w:rsidRPr="00CA4638">
        <w:rPr>
          <w:sz w:val="24"/>
          <w:szCs w:val="24"/>
          <w:lang w:val="en-US"/>
        </w:rPr>
        <w:t xml:space="preserve"> mouse </w:t>
      </w:r>
      <w:r w:rsidR="00707066">
        <w:rPr>
          <w:sz w:val="24"/>
          <w:szCs w:val="24"/>
          <w:lang w:val="en-US"/>
        </w:rPr>
        <w:t>micronucleus</w:t>
      </w:r>
      <w:r w:rsidR="0070706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test.</w:t>
      </w:r>
      <w:r w:rsidR="00F7123E" w:rsidRPr="00CA4638">
        <w:rPr>
          <w:sz w:val="24"/>
          <w:szCs w:val="24"/>
          <w:lang w:val="en-US"/>
        </w:rPr>
        <w:t xml:space="preserve"> </w:t>
      </w:r>
    </w:p>
    <w:p w:rsidR="0017380D" w:rsidRDefault="0017380D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7380D" w:rsidRDefault="0017380D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Effect on </w:t>
      </w:r>
      <w:r w:rsidRPr="00242D82">
        <w:rPr>
          <w:b/>
          <w:bCs/>
          <w:sz w:val="24"/>
          <w:szCs w:val="24"/>
          <w:u w:val="single"/>
          <w:lang w:val="en-US"/>
        </w:rPr>
        <w:t>Fertility</w:t>
      </w:r>
      <w:r w:rsidRPr="00CA4638">
        <w:rPr>
          <w:sz w:val="24"/>
          <w:szCs w:val="24"/>
          <w:lang w:val="en-US"/>
        </w:rPr>
        <w:t xml:space="preserve"> </w:t>
      </w:r>
    </w:p>
    <w:p w:rsidR="008E3A01" w:rsidRDefault="008E3A01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17380D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="00515D3A" w:rsidRPr="00CA4638">
        <w:rPr>
          <w:sz w:val="24"/>
          <w:szCs w:val="24"/>
          <w:lang w:val="en-US"/>
        </w:rPr>
        <w:t xml:space="preserve"> had no observed</w:t>
      </w:r>
      <w:r w:rsidR="00F7123E" w:rsidRPr="00CA4638">
        <w:rPr>
          <w:sz w:val="24"/>
          <w:szCs w:val="24"/>
          <w:lang w:val="en-US"/>
        </w:rPr>
        <w:t xml:space="preserve"> </w:t>
      </w:r>
      <w:r w:rsidR="00515D3A" w:rsidRPr="00CA4638">
        <w:rPr>
          <w:sz w:val="24"/>
          <w:szCs w:val="24"/>
          <w:lang w:val="en-US"/>
        </w:rPr>
        <w:t xml:space="preserve">effect on the fertility of male or female rats, or gestation at doses up to 500 </w:t>
      </w:r>
      <w:proofErr w:type="spellStart"/>
      <w:r w:rsidR="00515D3A" w:rsidRPr="00CA4638">
        <w:rPr>
          <w:sz w:val="24"/>
          <w:szCs w:val="24"/>
          <w:lang w:val="en-US"/>
        </w:rPr>
        <w:t>μg</w:t>
      </w:r>
      <w:proofErr w:type="spellEnd"/>
      <w:r w:rsidR="00515D3A" w:rsidRPr="00CA4638">
        <w:rPr>
          <w:sz w:val="24"/>
          <w:szCs w:val="24"/>
          <w:lang w:val="en-US"/>
        </w:rPr>
        <w:t>/kg.</w:t>
      </w:r>
      <w:r w:rsidR="00F7123E" w:rsidRPr="00CA4638">
        <w:rPr>
          <w:sz w:val="24"/>
          <w:szCs w:val="24"/>
          <w:lang w:val="en-US"/>
        </w:rPr>
        <w:t xml:space="preserve"> </w:t>
      </w:r>
      <w:r w:rsidR="00515D3A" w:rsidRPr="00CA4638">
        <w:rPr>
          <w:sz w:val="24"/>
          <w:szCs w:val="24"/>
          <w:lang w:val="en-US"/>
        </w:rPr>
        <w:t>No human data are available.</w:t>
      </w:r>
    </w:p>
    <w:p w:rsidR="00F7123E" w:rsidRPr="00CA4638" w:rsidRDefault="00F7123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  <w:r w:rsidRPr="004135E4">
        <w:rPr>
          <w:b/>
          <w:bCs/>
          <w:sz w:val="24"/>
          <w:szCs w:val="24"/>
          <w:u w:val="single"/>
          <w:lang w:val="en-US"/>
        </w:rPr>
        <w:t>Use in Pregnancy</w:t>
      </w:r>
    </w:p>
    <w:p w:rsidR="008E3A01" w:rsidRPr="004135E4" w:rsidRDefault="008E3A01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</w:p>
    <w:p w:rsidR="00515D3A" w:rsidRPr="008E3A01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sz w:val="24"/>
          <w:szCs w:val="24"/>
          <w:lang w:val="en-US"/>
        </w:rPr>
      </w:pPr>
      <w:r w:rsidRPr="008E3A01">
        <w:rPr>
          <w:b/>
          <w:bCs/>
          <w:i/>
          <w:sz w:val="24"/>
          <w:szCs w:val="24"/>
          <w:lang w:val="en-US"/>
        </w:rPr>
        <w:t>Pregnancy Category B3</w:t>
      </w:r>
    </w:p>
    <w:p w:rsidR="00A938F0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There are no studies of the use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pregnant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women. However, there are cases in the literature where the </w:t>
      </w:r>
      <w:proofErr w:type="spellStart"/>
      <w:r w:rsidRPr="00CA4638">
        <w:rPr>
          <w:sz w:val="24"/>
          <w:szCs w:val="24"/>
          <w:lang w:val="en-US"/>
        </w:rPr>
        <w:t>transplacental</w:t>
      </w:r>
      <w:proofErr w:type="spellEnd"/>
      <w:r w:rsidRPr="00CA4638">
        <w:rPr>
          <w:sz w:val="24"/>
          <w:szCs w:val="24"/>
          <w:lang w:val="en-US"/>
        </w:rPr>
        <w:t xml:space="preserve"> passage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has been demonstrated. </w:t>
      </w:r>
      <w:proofErr w:type="spellStart"/>
      <w:r w:rsidR="00A938F0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not be used during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pregnancy unless the potential benefit outweig</w:t>
      </w:r>
      <w:r w:rsidR="00EA34D8">
        <w:rPr>
          <w:sz w:val="24"/>
          <w:szCs w:val="24"/>
          <w:lang w:val="en-US"/>
        </w:rPr>
        <w:t>hs the potential risk to the f</w:t>
      </w:r>
      <w:r w:rsidR="006D6CFB">
        <w:rPr>
          <w:sz w:val="24"/>
          <w:szCs w:val="24"/>
          <w:lang w:val="en-US"/>
        </w:rPr>
        <w:t>e</w:t>
      </w:r>
      <w:r w:rsidRPr="00CA4638">
        <w:rPr>
          <w:sz w:val="24"/>
          <w:szCs w:val="24"/>
          <w:lang w:val="en-US"/>
        </w:rPr>
        <w:t>tus.</w:t>
      </w:r>
      <w:r w:rsidR="00F7123E" w:rsidRPr="00CA4638">
        <w:rPr>
          <w:sz w:val="24"/>
          <w:szCs w:val="24"/>
          <w:lang w:val="en-US"/>
        </w:rPr>
        <w:t xml:space="preserve"> </w:t>
      </w:r>
    </w:p>
    <w:p w:rsidR="00A938F0" w:rsidRDefault="00A938F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Reproductive studies in pregnant rats have shown that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was not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associated with lethal, </w:t>
      </w:r>
      <w:proofErr w:type="spellStart"/>
      <w:r w:rsidRPr="00CA4638">
        <w:rPr>
          <w:sz w:val="24"/>
          <w:szCs w:val="24"/>
          <w:lang w:val="en-US"/>
        </w:rPr>
        <w:t>teratogenic</w:t>
      </w:r>
      <w:proofErr w:type="spellEnd"/>
      <w:r w:rsidRPr="00CA4638">
        <w:rPr>
          <w:sz w:val="24"/>
          <w:szCs w:val="24"/>
          <w:lang w:val="en-US"/>
        </w:rPr>
        <w:t xml:space="preserve"> or </w:t>
      </w:r>
      <w:r w:rsidR="004A05B5" w:rsidRPr="00CA4638">
        <w:rPr>
          <w:sz w:val="24"/>
          <w:szCs w:val="24"/>
          <w:lang w:val="en-US"/>
        </w:rPr>
        <w:t>behavioral</w:t>
      </w:r>
      <w:r w:rsidRPr="00CA4638">
        <w:rPr>
          <w:sz w:val="24"/>
          <w:szCs w:val="24"/>
          <w:lang w:val="en-US"/>
        </w:rPr>
        <w:t xml:space="preserve"> effects on f</w:t>
      </w:r>
      <w:r w:rsidR="006D6CFB">
        <w:rPr>
          <w:sz w:val="24"/>
          <w:szCs w:val="24"/>
          <w:lang w:val="en-US"/>
        </w:rPr>
        <w:t>e</w:t>
      </w:r>
      <w:r w:rsidRPr="00CA4638">
        <w:rPr>
          <w:sz w:val="24"/>
          <w:szCs w:val="24"/>
          <w:lang w:val="en-US"/>
        </w:rPr>
        <w:t>tuses when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administered by daily IV injection during the period of organogenesis at dose levels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up to 575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/kg/day. The administration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to pregnant rabbits during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the period of organogenesis at doses of 20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IV or greater was associated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with an increased incidence of embryonic loss, urogenital bleeding and decreased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food consumption. External abnormalities were not observed in the </w:t>
      </w:r>
      <w:r w:rsidR="00707066" w:rsidRPr="00CA4638">
        <w:rPr>
          <w:sz w:val="24"/>
          <w:szCs w:val="24"/>
          <w:lang w:val="en-US"/>
        </w:rPr>
        <w:t>fetuses</w:t>
      </w:r>
      <w:r w:rsidRPr="00CA4638">
        <w:rPr>
          <w:sz w:val="24"/>
          <w:szCs w:val="24"/>
          <w:lang w:val="en-US"/>
        </w:rPr>
        <w:t xml:space="preserve"> of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treated does, but there was a significant increase in the incidence of fusion of</w:t>
      </w:r>
      <w:r w:rsidR="00F7123E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sternebrae</w:t>
      </w:r>
      <w:proofErr w:type="spellEnd"/>
      <w:r w:rsidRPr="00CA4638">
        <w:rPr>
          <w:sz w:val="24"/>
          <w:szCs w:val="24"/>
          <w:lang w:val="en-US"/>
        </w:rPr>
        <w:t xml:space="preserve"> at an 80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/kg/day dose. The administration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to pregnant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rabbits at a dose of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IV was not associated with observable adverse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effects to the doe or f</w:t>
      </w:r>
      <w:r w:rsidR="006D6CFB">
        <w:rPr>
          <w:sz w:val="24"/>
          <w:szCs w:val="24"/>
          <w:lang w:val="en-US"/>
        </w:rPr>
        <w:t>e</w:t>
      </w:r>
      <w:r w:rsidRPr="00CA4638">
        <w:rPr>
          <w:sz w:val="24"/>
          <w:szCs w:val="24"/>
          <w:lang w:val="en-US"/>
        </w:rPr>
        <w:t>tus.</w:t>
      </w:r>
    </w:p>
    <w:p w:rsidR="00F7123E" w:rsidRPr="00CA4638" w:rsidRDefault="00F7123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  <w:r w:rsidRPr="00A938F0">
        <w:rPr>
          <w:b/>
          <w:bCs/>
          <w:sz w:val="24"/>
          <w:szCs w:val="24"/>
          <w:u w:val="single"/>
          <w:lang w:val="en-US"/>
        </w:rPr>
        <w:t>Use in Lactation</w:t>
      </w:r>
    </w:p>
    <w:p w:rsidR="00A938F0" w:rsidRPr="00A938F0" w:rsidRDefault="00A938F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It is not known whether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is excreted in human milk. Because many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drugs are excreted in human milk, caution should be exercised in the use of</w:t>
      </w:r>
      <w:r w:rsidR="00F7123E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nursing women.</w:t>
      </w:r>
    </w:p>
    <w:p w:rsidR="00F7123E" w:rsidRPr="00CA4638" w:rsidRDefault="00F7123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  <w:proofErr w:type="spellStart"/>
      <w:r w:rsidRPr="00A938F0">
        <w:rPr>
          <w:b/>
          <w:bCs/>
          <w:sz w:val="24"/>
          <w:szCs w:val="24"/>
          <w:u w:val="single"/>
          <w:lang w:val="en-US"/>
        </w:rPr>
        <w:t>Paediatric</w:t>
      </w:r>
      <w:proofErr w:type="spellEnd"/>
      <w:r w:rsidRPr="00A938F0">
        <w:rPr>
          <w:b/>
          <w:bCs/>
          <w:sz w:val="24"/>
          <w:szCs w:val="24"/>
          <w:u w:val="single"/>
          <w:lang w:val="en-US"/>
        </w:rPr>
        <w:t xml:space="preserve"> Use</w:t>
      </w:r>
    </w:p>
    <w:p w:rsidR="00A938F0" w:rsidRPr="00A938F0" w:rsidRDefault="00A938F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</w:p>
    <w:p w:rsidR="006C2634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Long-term follow-up data are available from a </w:t>
      </w:r>
      <w:proofErr w:type="spellStart"/>
      <w:r w:rsidRPr="00CA4638">
        <w:rPr>
          <w:sz w:val="24"/>
          <w:szCs w:val="24"/>
          <w:lang w:val="en-US"/>
        </w:rPr>
        <w:t>postmarketing</w:t>
      </w:r>
      <w:proofErr w:type="spellEnd"/>
      <w:r w:rsidRPr="00CA4638">
        <w:rPr>
          <w:sz w:val="24"/>
          <w:szCs w:val="24"/>
          <w:lang w:val="en-US"/>
        </w:rPr>
        <w:t xml:space="preserve"> surveillance study in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SCN patients including 32 infants, 200 children and 68 adolescents. The data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suggest that height and weight are not adversely affected in </w:t>
      </w:r>
      <w:r w:rsidR="004A05B5" w:rsidRPr="00CA4638">
        <w:rPr>
          <w:sz w:val="24"/>
          <w:szCs w:val="24"/>
          <w:lang w:val="en-US"/>
        </w:rPr>
        <w:t>pediatric</w:t>
      </w:r>
      <w:r w:rsidRPr="00CA4638">
        <w:rPr>
          <w:sz w:val="24"/>
          <w:szCs w:val="24"/>
          <w:lang w:val="en-US"/>
        </w:rPr>
        <w:t xml:space="preserve"> patients who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received up to 5 years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treatment. Limited data from patients who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were followed in a phase 3 study to assess the safety and efficacy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 SCN for 1.5 years did not suggest alterations in sexual maturation or endocrine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function.</w:t>
      </w:r>
      <w:r w:rsidR="00F7123E" w:rsidRPr="00CA4638">
        <w:rPr>
          <w:sz w:val="24"/>
          <w:szCs w:val="24"/>
          <w:lang w:val="en-US"/>
        </w:rPr>
        <w:t xml:space="preserve"> </w:t>
      </w:r>
    </w:p>
    <w:p w:rsidR="006C2634" w:rsidRDefault="006C263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Paediatric</w:t>
      </w:r>
      <w:proofErr w:type="spellEnd"/>
      <w:r w:rsidRPr="00CA4638">
        <w:rPr>
          <w:sz w:val="24"/>
          <w:szCs w:val="24"/>
          <w:lang w:val="en-US"/>
        </w:rPr>
        <w:t xml:space="preserve"> patients with congenital types of </w:t>
      </w:r>
      <w:proofErr w:type="spellStart"/>
      <w:r w:rsidRPr="00CA4638">
        <w:rPr>
          <w:sz w:val="24"/>
          <w:szCs w:val="24"/>
          <w:lang w:val="en-US"/>
        </w:rPr>
        <w:t>neutropenia</w:t>
      </w:r>
      <w:proofErr w:type="spellEnd"/>
      <w:r w:rsidRPr="00CA4638">
        <w:rPr>
          <w:sz w:val="24"/>
          <w:szCs w:val="24"/>
          <w:lang w:val="en-US"/>
        </w:rPr>
        <w:t xml:space="preserve"> (</w:t>
      </w:r>
      <w:proofErr w:type="spellStart"/>
      <w:r w:rsidRPr="00CA4638">
        <w:rPr>
          <w:sz w:val="24"/>
          <w:szCs w:val="24"/>
          <w:lang w:val="en-US"/>
        </w:rPr>
        <w:t>Kostmann’s</w:t>
      </w:r>
      <w:proofErr w:type="spellEnd"/>
      <w:r w:rsidRPr="00CA4638">
        <w:rPr>
          <w:sz w:val="24"/>
          <w:szCs w:val="24"/>
          <w:lang w:val="en-US"/>
        </w:rPr>
        <w:t xml:space="preserve"> syndrome,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congenital </w:t>
      </w:r>
      <w:proofErr w:type="spellStart"/>
      <w:r w:rsidRPr="00CA4638">
        <w:rPr>
          <w:sz w:val="24"/>
          <w:szCs w:val="24"/>
          <w:lang w:val="en-US"/>
        </w:rPr>
        <w:t>agranulocytosis</w:t>
      </w:r>
      <w:proofErr w:type="spellEnd"/>
      <w:r w:rsidRPr="00CA4638">
        <w:rPr>
          <w:sz w:val="24"/>
          <w:szCs w:val="24"/>
          <w:lang w:val="en-US"/>
        </w:rPr>
        <w:t xml:space="preserve">, or </w:t>
      </w:r>
      <w:proofErr w:type="spellStart"/>
      <w:r w:rsidRPr="00CA4638">
        <w:rPr>
          <w:sz w:val="24"/>
          <w:szCs w:val="24"/>
          <w:lang w:val="en-US"/>
        </w:rPr>
        <w:t>Schwachman</w:t>
      </w:r>
      <w:proofErr w:type="spellEnd"/>
      <w:r w:rsidRPr="00CA4638">
        <w:rPr>
          <w:sz w:val="24"/>
          <w:szCs w:val="24"/>
          <w:lang w:val="en-US"/>
        </w:rPr>
        <w:t>-Diamond syndrome) have developed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cytogenetic abnormalities and have undergone transformation to MDS and AML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while receiving chronic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treatment. The relationship of these events to</w:t>
      </w:r>
      <w:r w:rsidR="00F7123E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 is unknown (see </w:t>
      </w:r>
      <w:r w:rsidR="00285769">
        <w:rPr>
          <w:sz w:val="24"/>
          <w:szCs w:val="24"/>
          <w:lang w:val="en-US"/>
        </w:rPr>
        <w:t>PRECAUTIONS</w:t>
      </w:r>
      <w:r w:rsidRPr="00CA4638">
        <w:rPr>
          <w:sz w:val="24"/>
          <w:szCs w:val="24"/>
          <w:lang w:val="en-US"/>
        </w:rPr>
        <w:t>, ADVERSE</w:t>
      </w:r>
      <w:r w:rsidR="00F7123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REACTIONS).</w:t>
      </w:r>
    </w:p>
    <w:p w:rsidR="00471438" w:rsidRDefault="00471438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Although use in children with AML is not excluded, published experience is limited</w:t>
      </w:r>
      <w:r w:rsidR="00CD056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and safety has not been clearly established.</w:t>
      </w:r>
    </w:p>
    <w:p w:rsidR="00F7123E" w:rsidRPr="00CA4638" w:rsidRDefault="00F7123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36DEA" w:rsidRDefault="00136DEA" w:rsidP="00136DEA">
      <w:pPr>
        <w:pStyle w:val="Heading1"/>
        <w:jc w:val="both"/>
        <w:rPr>
          <w:szCs w:val="24"/>
        </w:rPr>
      </w:pPr>
      <w:r w:rsidRPr="00136DEA">
        <w:rPr>
          <w:szCs w:val="24"/>
        </w:rPr>
        <w:t>INTERACTIONS WITH OTHER MEDICINES</w:t>
      </w:r>
    </w:p>
    <w:p w:rsidR="00446E28" w:rsidRPr="00446E28" w:rsidRDefault="00446E28" w:rsidP="00446E28"/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Increased </w:t>
      </w:r>
      <w:proofErr w:type="spellStart"/>
      <w:r w:rsidRPr="00CA4638">
        <w:rPr>
          <w:sz w:val="24"/>
          <w:szCs w:val="24"/>
          <w:lang w:val="en-US"/>
        </w:rPr>
        <w:t>haematopoietic</w:t>
      </w:r>
      <w:proofErr w:type="spellEnd"/>
      <w:r w:rsidRPr="00CA4638">
        <w:rPr>
          <w:sz w:val="24"/>
          <w:szCs w:val="24"/>
          <w:lang w:val="en-US"/>
        </w:rPr>
        <w:t xml:space="preserve"> activity of the bone marrow in response to growth factor</w:t>
      </w:r>
      <w:r w:rsidR="00CD056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therapy has been associated with transient positive bone imaging changes. This</w:t>
      </w:r>
      <w:r w:rsidR="00CD056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should be considered when interpreting bone-imaging results.</w:t>
      </w:r>
    </w:p>
    <w:p w:rsidR="004612BC" w:rsidRPr="00CA4638" w:rsidRDefault="004612BC" w:rsidP="000738BC">
      <w:pPr>
        <w:jc w:val="both"/>
        <w:rPr>
          <w:sz w:val="24"/>
          <w:szCs w:val="24"/>
          <w:u w:val="single"/>
        </w:rPr>
      </w:pPr>
    </w:p>
    <w:p w:rsidR="00F22BCA" w:rsidRPr="00CA4638" w:rsidRDefault="00F22BCA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A</w:t>
      </w:r>
      <w:r w:rsidR="001E2D56" w:rsidRPr="00CA4638">
        <w:rPr>
          <w:szCs w:val="24"/>
        </w:rPr>
        <w:t>DVERSE EFFECTS</w:t>
      </w:r>
    </w:p>
    <w:p w:rsidR="00474B39" w:rsidRPr="00CA4638" w:rsidRDefault="00474B39" w:rsidP="000738BC">
      <w:pPr>
        <w:jc w:val="both"/>
        <w:rPr>
          <w:sz w:val="24"/>
          <w:szCs w:val="24"/>
        </w:rPr>
      </w:pPr>
    </w:p>
    <w:p w:rsidR="00515D3A" w:rsidRDefault="00515D3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 xml:space="preserve">Cancer Patients Receiving </w:t>
      </w:r>
      <w:proofErr w:type="spellStart"/>
      <w:r w:rsidRPr="00CA4638">
        <w:rPr>
          <w:b/>
          <w:bCs/>
          <w:i/>
          <w:iCs/>
          <w:sz w:val="24"/>
          <w:szCs w:val="24"/>
          <w:lang w:val="en-US"/>
        </w:rPr>
        <w:t>Myelosuppressive</w:t>
      </w:r>
      <w:proofErr w:type="spellEnd"/>
      <w:r w:rsidRPr="00CA4638">
        <w:rPr>
          <w:b/>
          <w:bCs/>
          <w:i/>
          <w:iCs/>
          <w:sz w:val="24"/>
          <w:szCs w:val="24"/>
          <w:lang w:val="en-US"/>
        </w:rPr>
        <w:t xml:space="preserve"> Chemotherapy</w:t>
      </w:r>
    </w:p>
    <w:p w:rsidR="002D2FB6" w:rsidRPr="00CA4638" w:rsidRDefault="002D2FB6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clinical trials involving over 200 patients receiving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following </w:t>
      </w:r>
      <w:proofErr w:type="spellStart"/>
      <w:r w:rsidRPr="00CA4638">
        <w:rPr>
          <w:sz w:val="24"/>
          <w:szCs w:val="24"/>
          <w:lang w:val="en-US"/>
        </w:rPr>
        <w:t>cytotoxic</w:t>
      </w:r>
      <w:proofErr w:type="spellEnd"/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chemotherapy, most adverse experiences were the </w:t>
      </w:r>
      <w:proofErr w:type="spellStart"/>
      <w:r w:rsidRPr="00CA4638">
        <w:rPr>
          <w:sz w:val="24"/>
          <w:szCs w:val="24"/>
          <w:lang w:val="en-US"/>
        </w:rPr>
        <w:t>sequelae</w:t>
      </w:r>
      <w:proofErr w:type="spellEnd"/>
      <w:r w:rsidRPr="00CA4638">
        <w:rPr>
          <w:sz w:val="24"/>
          <w:szCs w:val="24"/>
          <w:lang w:val="en-US"/>
        </w:rPr>
        <w:t xml:space="preserve"> of the underlying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malignancy or cytotoxic chemotherapy. In all phase 2/3 trials, medullary bone pain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was the only consistently observed adverse reaction attributed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therapy, reported in 24% of patients. This bone pain was generally reported to be of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mild-to-moderate severity and could be controlled in most patients with non-narcotic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analgesics. Infrequently, bone pain was severe enough to require narcotic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analgesics. Bone pain was reported more frequently in patients treated with higher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doses (20 to 100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/kg/day) administered intravenously and less frequently in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 treated with lower SC doses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(3 to 10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/kg/day).</w:t>
      </w:r>
    </w:p>
    <w:p w:rsidR="00FD5207" w:rsidRDefault="00FD520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15D3A" w:rsidRPr="00CA4638" w:rsidRDefault="00515D3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the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, double-blind, placebo-controlled trial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following combination chemotherapy in patients with small cell lung cancer, the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following adverse events were reported to be possibly, probably, or definitely related</w:t>
      </w:r>
      <w:r w:rsidR="00E20B9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to the double-blind study medication (placebo or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at 4 to 8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/kg/day):</w:t>
      </w:r>
    </w:p>
    <w:p w:rsidR="00F22BCA" w:rsidRPr="0031385D" w:rsidRDefault="00F22BCA" w:rsidP="0031385D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tbl>
      <w:tblPr>
        <w:tblW w:w="8046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3627"/>
        <w:gridCol w:w="2008"/>
        <w:gridCol w:w="2411"/>
      </w:tblGrid>
      <w:tr w:rsidR="00447A0A" w:rsidRPr="00163B04" w:rsidTr="00C62328">
        <w:trPr>
          <w:trHeight w:val="283"/>
        </w:trPr>
        <w:tc>
          <w:tcPr>
            <w:tcW w:w="8046" w:type="dxa"/>
            <w:gridSpan w:val="3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447A0A" w:rsidRPr="00163B04" w:rsidRDefault="00447A0A" w:rsidP="006A1E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163B04">
              <w:rPr>
                <w:b/>
                <w:bCs/>
                <w:color w:val="000000"/>
                <w:lang w:val="en-US"/>
              </w:rPr>
              <w:t>Clinical Adverse Events by Body System Reported to be Related to Double-blind</w:t>
            </w:r>
          </w:p>
        </w:tc>
      </w:tr>
      <w:tr w:rsidR="00447A0A" w:rsidRPr="00163B04" w:rsidTr="00C62328">
        <w:trPr>
          <w:trHeight w:val="328"/>
        </w:trPr>
        <w:tc>
          <w:tcPr>
            <w:tcW w:w="8046" w:type="dxa"/>
            <w:gridSpan w:val="3"/>
            <w:tcBorders>
              <w:left w:val="single" w:sz="7" w:space="0" w:color="000000"/>
              <w:right w:val="single" w:sz="7" w:space="0" w:color="000000"/>
            </w:tcBorders>
          </w:tcPr>
          <w:p w:rsidR="00447A0A" w:rsidRPr="00163B04" w:rsidRDefault="00447A0A" w:rsidP="006A1E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163B04">
              <w:rPr>
                <w:b/>
                <w:bCs/>
                <w:color w:val="000000"/>
                <w:lang w:val="en-US"/>
              </w:rPr>
              <w:t>Study Medication</w:t>
            </w:r>
          </w:p>
        </w:tc>
      </w:tr>
      <w:tr w:rsidR="00447A0A" w:rsidRPr="00163B04" w:rsidTr="00C62328">
        <w:trPr>
          <w:trHeight w:val="533"/>
        </w:trPr>
        <w:tc>
          <w:tcPr>
            <w:tcW w:w="8046" w:type="dxa"/>
            <w:gridSpan w:val="3"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:rsidR="00447A0A" w:rsidRPr="00163B04" w:rsidRDefault="00C62328" w:rsidP="00163B04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="00447A0A" w:rsidRPr="00163B04">
              <w:rPr>
                <w:color w:val="000000"/>
                <w:lang w:val="en-US"/>
              </w:rPr>
              <w:t xml:space="preserve">% of Patients with Reported Events </w:t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="00447A0A" w:rsidRPr="00163B04">
              <w:rPr>
                <w:color w:val="000000"/>
                <w:lang w:val="en-US"/>
              </w:rPr>
              <w:t xml:space="preserve">Placebo </w:t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ab/>
            </w:r>
            <w:proofErr w:type="spellStart"/>
            <w:r w:rsidR="00163B04" w:rsidRPr="00163B04">
              <w:rPr>
                <w:lang w:val="en-US"/>
              </w:rPr>
              <w:t>Filgrastim</w:t>
            </w:r>
            <w:proofErr w:type="spellEnd"/>
            <w:r w:rsidR="00447A0A" w:rsidRPr="00163B04">
              <w:rPr>
                <w:color w:val="000000"/>
                <w:lang w:val="en-US"/>
              </w:rPr>
              <w:t xml:space="preserve"> </w:t>
            </w:r>
          </w:p>
        </w:tc>
      </w:tr>
      <w:tr w:rsidR="00447A0A" w:rsidRPr="00163B04" w:rsidTr="00C62328">
        <w:trPr>
          <w:trHeight w:val="395"/>
        </w:trPr>
        <w:tc>
          <w:tcPr>
            <w:tcW w:w="80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Body System </w:t>
            </w:r>
            <w:r w:rsidR="00C62328" w:rsidRPr="00163B04">
              <w:rPr>
                <w:color w:val="000000"/>
                <w:lang w:val="en-US"/>
              </w:rPr>
              <w:tab/>
            </w:r>
            <w:r w:rsidR="00C62328" w:rsidRPr="00163B04">
              <w:rPr>
                <w:color w:val="000000"/>
                <w:lang w:val="en-US"/>
              </w:rPr>
              <w:tab/>
            </w:r>
            <w:r w:rsidR="00C62328" w:rsidRPr="00163B04">
              <w:rPr>
                <w:color w:val="000000"/>
                <w:lang w:val="en-US"/>
              </w:rPr>
              <w:tab/>
            </w:r>
            <w:r w:rsidR="00C62328" w:rsidRPr="00163B04">
              <w:rPr>
                <w:color w:val="000000"/>
                <w:lang w:val="en-US"/>
              </w:rPr>
              <w:tab/>
            </w:r>
            <w:r w:rsidR="00C62328"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 xml:space="preserve">N = 68 </w:t>
            </w:r>
            <w:r w:rsidR="00C62328" w:rsidRPr="00163B04">
              <w:rPr>
                <w:color w:val="000000"/>
                <w:lang w:val="en-US"/>
              </w:rPr>
              <w:tab/>
            </w:r>
            <w:r w:rsidR="00C62328" w:rsidRPr="00163B04">
              <w:rPr>
                <w:color w:val="000000"/>
                <w:lang w:val="en-US"/>
              </w:rPr>
              <w:tab/>
            </w:r>
            <w:r w:rsidR="00C62328" w:rsidRPr="00163B04">
              <w:rPr>
                <w:color w:val="000000"/>
                <w:lang w:val="en-US"/>
              </w:rPr>
              <w:tab/>
            </w:r>
            <w:r w:rsidRPr="00163B04">
              <w:rPr>
                <w:color w:val="000000"/>
                <w:lang w:val="en-US"/>
              </w:rPr>
              <w:t xml:space="preserve">N = 69 </w:t>
            </w:r>
          </w:p>
        </w:tc>
      </w:tr>
      <w:tr w:rsidR="00447A0A" w:rsidRPr="00163B04" w:rsidTr="00C62328">
        <w:trPr>
          <w:trHeight w:val="245"/>
        </w:trPr>
        <w:tc>
          <w:tcPr>
            <w:tcW w:w="3627" w:type="dxa"/>
            <w:tcBorders>
              <w:top w:val="single" w:sz="5" w:space="0" w:color="000000"/>
              <w:left w:val="single" w:sz="7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Musculoskeletal </w:t>
            </w:r>
          </w:p>
        </w:tc>
        <w:tc>
          <w:tcPr>
            <w:tcW w:w="2008" w:type="dxa"/>
            <w:tcBorders>
              <w:top w:val="single" w:sz="5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1.5 </w:t>
            </w:r>
          </w:p>
        </w:tc>
        <w:tc>
          <w:tcPr>
            <w:tcW w:w="2411" w:type="dxa"/>
            <w:tcBorders>
              <w:top w:val="single" w:sz="5" w:space="0" w:color="000000"/>
              <w:right w:val="single" w:sz="7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12.0 </w:t>
            </w:r>
          </w:p>
        </w:tc>
      </w:tr>
      <w:tr w:rsidR="00447A0A" w:rsidRPr="00163B04" w:rsidTr="00C62328">
        <w:trPr>
          <w:trHeight w:val="283"/>
        </w:trPr>
        <w:tc>
          <w:tcPr>
            <w:tcW w:w="3627" w:type="dxa"/>
            <w:tcBorders>
              <w:left w:val="single" w:sz="7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Integumentary </w:t>
            </w:r>
          </w:p>
        </w:tc>
        <w:tc>
          <w:tcPr>
            <w:tcW w:w="2008" w:type="dxa"/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6.0 </w:t>
            </w:r>
          </w:p>
        </w:tc>
        <w:tc>
          <w:tcPr>
            <w:tcW w:w="2411" w:type="dxa"/>
            <w:tcBorders>
              <w:right w:val="single" w:sz="7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6.0 </w:t>
            </w:r>
          </w:p>
        </w:tc>
      </w:tr>
      <w:tr w:rsidR="00447A0A" w:rsidRPr="00163B04" w:rsidTr="00C62328">
        <w:trPr>
          <w:trHeight w:val="240"/>
        </w:trPr>
        <w:tc>
          <w:tcPr>
            <w:tcW w:w="3627" w:type="dxa"/>
            <w:tcBorders>
              <w:lef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Body as a Whole </w:t>
            </w:r>
          </w:p>
        </w:tc>
        <w:tc>
          <w:tcPr>
            <w:tcW w:w="2008" w:type="dxa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5.0 </w:t>
            </w:r>
          </w:p>
        </w:tc>
        <w:tc>
          <w:tcPr>
            <w:tcW w:w="2411" w:type="dxa"/>
            <w:tcBorders>
              <w:righ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4.3 </w:t>
            </w:r>
          </w:p>
        </w:tc>
      </w:tr>
      <w:tr w:rsidR="00447A0A" w:rsidRPr="00163B04" w:rsidTr="00C62328">
        <w:trPr>
          <w:trHeight w:val="240"/>
        </w:trPr>
        <w:tc>
          <w:tcPr>
            <w:tcW w:w="3627" w:type="dxa"/>
            <w:tcBorders>
              <w:lef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Neurologic/Psychiatric </w:t>
            </w:r>
          </w:p>
        </w:tc>
        <w:tc>
          <w:tcPr>
            <w:tcW w:w="2008" w:type="dxa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3.0 </w:t>
            </w:r>
          </w:p>
        </w:tc>
        <w:tc>
          <w:tcPr>
            <w:tcW w:w="2411" w:type="dxa"/>
            <w:tcBorders>
              <w:righ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4.3 </w:t>
            </w:r>
          </w:p>
        </w:tc>
      </w:tr>
      <w:tr w:rsidR="00447A0A" w:rsidRPr="00163B04" w:rsidTr="00C62328">
        <w:trPr>
          <w:trHeight w:val="240"/>
        </w:trPr>
        <w:tc>
          <w:tcPr>
            <w:tcW w:w="3627" w:type="dxa"/>
            <w:tcBorders>
              <w:lef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Respiratory </w:t>
            </w:r>
          </w:p>
        </w:tc>
        <w:tc>
          <w:tcPr>
            <w:tcW w:w="2008" w:type="dxa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1.5 </w:t>
            </w:r>
          </w:p>
        </w:tc>
        <w:tc>
          <w:tcPr>
            <w:tcW w:w="2411" w:type="dxa"/>
            <w:tcBorders>
              <w:righ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3.0 </w:t>
            </w:r>
          </w:p>
        </w:tc>
      </w:tr>
      <w:tr w:rsidR="00447A0A" w:rsidRPr="00163B04" w:rsidTr="00C62328">
        <w:trPr>
          <w:trHeight w:val="210"/>
        </w:trPr>
        <w:tc>
          <w:tcPr>
            <w:tcW w:w="3627" w:type="dxa"/>
            <w:tcBorders>
              <w:lef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Vascular Disorders </w:t>
            </w:r>
          </w:p>
        </w:tc>
        <w:tc>
          <w:tcPr>
            <w:tcW w:w="2008" w:type="dxa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1.5 </w:t>
            </w:r>
          </w:p>
        </w:tc>
        <w:tc>
          <w:tcPr>
            <w:tcW w:w="2411" w:type="dxa"/>
            <w:tcBorders>
              <w:righ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3.0 </w:t>
            </w:r>
          </w:p>
        </w:tc>
      </w:tr>
      <w:tr w:rsidR="00447A0A" w:rsidRPr="00163B04" w:rsidTr="00C62328">
        <w:trPr>
          <w:trHeight w:val="240"/>
        </w:trPr>
        <w:tc>
          <w:tcPr>
            <w:tcW w:w="3627" w:type="dxa"/>
            <w:tcBorders>
              <w:left w:val="single" w:sz="7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Local Reaction </w:t>
            </w:r>
          </w:p>
        </w:tc>
        <w:tc>
          <w:tcPr>
            <w:tcW w:w="2008" w:type="dxa"/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1.5 </w:t>
            </w:r>
          </w:p>
        </w:tc>
        <w:tc>
          <w:tcPr>
            <w:tcW w:w="2411" w:type="dxa"/>
            <w:tcBorders>
              <w:right w:val="single" w:sz="7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1.4 </w:t>
            </w:r>
          </w:p>
        </w:tc>
      </w:tr>
      <w:tr w:rsidR="00447A0A" w:rsidRPr="00163B04" w:rsidTr="00C62328">
        <w:trPr>
          <w:trHeight w:val="270"/>
        </w:trPr>
        <w:tc>
          <w:tcPr>
            <w:tcW w:w="3627" w:type="dxa"/>
            <w:tcBorders>
              <w:left w:val="single" w:sz="7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Thrombocytopenia/Coagulation </w:t>
            </w:r>
          </w:p>
        </w:tc>
        <w:tc>
          <w:tcPr>
            <w:tcW w:w="2008" w:type="dxa"/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2.9 </w:t>
            </w:r>
          </w:p>
        </w:tc>
        <w:tc>
          <w:tcPr>
            <w:tcW w:w="2411" w:type="dxa"/>
            <w:tcBorders>
              <w:right w:val="single" w:sz="7" w:space="0" w:color="000000"/>
            </w:tcBorders>
            <w:vAlign w:val="center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NR </w:t>
            </w:r>
          </w:p>
        </w:tc>
      </w:tr>
      <w:tr w:rsidR="00447A0A" w:rsidRPr="00163B04" w:rsidTr="00C62328">
        <w:trPr>
          <w:trHeight w:val="240"/>
        </w:trPr>
        <w:tc>
          <w:tcPr>
            <w:tcW w:w="3627" w:type="dxa"/>
            <w:tcBorders>
              <w:lef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Autonomic Nervous System </w:t>
            </w:r>
          </w:p>
        </w:tc>
        <w:tc>
          <w:tcPr>
            <w:tcW w:w="2008" w:type="dxa"/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NR </w:t>
            </w:r>
          </w:p>
        </w:tc>
        <w:tc>
          <w:tcPr>
            <w:tcW w:w="2411" w:type="dxa"/>
            <w:tcBorders>
              <w:righ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1.4 </w:t>
            </w:r>
          </w:p>
        </w:tc>
      </w:tr>
      <w:tr w:rsidR="00447A0A" w:rsidRPr="00163B04" w:rsidTr="00C62328">
        <w:trPr>
          <w:trHeight w:val="230"/>
        </w:trPr>
        <w:tc>
          <w:tcPr>
            <w:tcW w:w="3627" w:type="dxa"/>
            <w:tcBorders>
              <w:left w:val="single" w:sz="7" w:space="0" w:color="000000"/>
              <w:bottom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Special Senses </w:t>
            </w:r>
          </w:p>
        </w:tc>
        <w:tc>
          <w:tcPr>
            <w:tcW w:w="2008" w:type="dxa"/>
            <w:tcBorders>
              <w:bottom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NR </w:t>
            </w:r>
          </w:p>
        </w:tc>
        <w:tc>
          <w:tcPr>
            <w:tcW w:w="2411" w:type="dxa"/>
            <w:tcBorders>
              <w:bottom w:val="single" w:sz="7" w:space="0" w:color="000000"/>
              <w:right w:val="single" w:sz="7" w:space="0" w:color="000000"/>
            </w:tcBorders>
          </w:tcPr>
          <w:p w:rsidR="00447A0A" w:rsidRPr="00163B04" w:rsidRDefault="00447A0A" w:rsidP="00447A0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63B04">
              <w:rPr>
                <w:color w:val="000000"/>
                <w:lang w:val="en-US"/>
              </w:rPr>
              <w:t xml:space="preserve">1.4 </w:t>
            </w:r>
          </w:p>
        </w:tc>
      </w:tr>
    </w:tbl>
    <w:p w:rsidR="00447A0A" w:rsidRPr="00163B04" w:rsidRDefault="00447A0A" w:rsidP="00447A0A">
      <w:pPr>
        <w:autoSpaceDE w:val="0"/>
        <w:autoSpaceDN w:val="0"/>
        <w:adjustRightInd w:val="0"/>
        <w:rPr>
          <w:lang w:val="en-US"/>
        </w:rPr>
      </w:pPr>
      <w:r w:rsidRPr="00163B04">
        <w:rPr>
          <w:lang w:val="en-US"/>
        </w:rPr>
        <w:t>NR = not reported</w:t>
      </w:r>
    </w:p>
    <w:p w:rsidR="00515D3A" w:rsidRPr="00CA4638" w:rsidRDefault="00515D3A" w:rsidP="000738BC">
      <w:pPr>
        <w:jc w:val="both"/>
        <w:rPr>
          <w:sz w:val="24"/>
          <w:szCs w:val="24"/>
          <w:lang w:val="en-US"/>
        </w:rPr>
      </w:pPr>
    </w:p>
    <w:p w:rsidR="00653857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this study, there were no serious, life-threatening or fatal adverse reactions</w:t>
      </w:r>
      <w:r w:rsidR="00B506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attributed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 Specifically, there were no reports of flu-like</w:t>
      </w:r>
      <w:r w:rsidR="00B506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symptoms, </w:t>
      </w:r>
      <w:proofErr w:type="spellStart"/>
      <w:r w:rsidRPr="00CA4638">
        <w:rPr>
          <w:sz w:val="24"/>
          <w:szCs w:val="24"/>
          <w:lang w:val="en-US"/>
        </w:rPr>
        <w:t>pleuritis</w:t>
      </w:r>
      <w:proofErr w:type="spellEnd"/>
      <w:r w:rsidRPr="00CA4638">
        <w:rPr>
          <w:sz w:val="24"/>
          <w:szCs w:val="24"/>
          <w:lang w:val="en-US"/>
        </w:rPr>
        <w:t xml:space="preserve">, </w:t>
      </w:r>
      <w:proofErr w:type="spellStart"/>
      <w:r w:rsidRPr="00CA4638">
        <w:rPr>
          <w:sz w:val="24"/>
          <w:szCs w:val="24"/>
          <w:lang w:val="en-US"/>
        </w:rPr>
        <w:t>pericarditis</w:t>
      </w:r>
      <w:proofErr w:type="spellEnd"/>
      <w:r w:rsidRPr="00CA4638">
        <w:rPr>
          <w:sz w:val="24"/>
          <w:szCs w:val="24"/>
          <w:lang w:val="en-US"/>
        </w:rPr>
        <w:t xml:space="preserve"> or other major systemic reactions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</w:t>
      </w:r>
      <w:r w:rsidR="00B50687" w:rsidRPr="00CA4638">
        <w:rPr>
          <w:sz w:val="24"/>
          <w:szCs w:val="24"/>
          <w:lang w:val="en-US"/>
        </w:rPr>
        <w:t xml:space="preserve"> </w:t>
      </w: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Spontaneously reversible elevations in uric acid, lactate dehydrogenase and alkaline</w:t>
      </w:r>
      <w:r w:rsidR="00B506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phosphatase occurred in 26% to 56% of patients receiving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following</w:t>
      </w:r>
      <w:r w:rsidR="00B50687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cytotoxic</w:t>
      </w:r>
      <w:proofErr w:type="spellEnd"/>
      <w:r w:rsidRPr="00CA4638">
        <w:rPr>
          <w:sz w:val="24"/>
          <w:szCs w:val="24"/>
          <w:lang w:val="en-US"/>
        </w:rPr>
        <w:t xml:space="preserve"> chemotherapy. These elevations were not reported to be associated with</w:t>
      </w:r>
      <w:r w:rsidR="00B506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clinical adverse events.</w:t>
      </w:r>
    </w:p>
    <w:p w:rsidR="00B50687" w:rsidRPr="00CA4638" w:rsidRDefault="00B5068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occurrence of stomatitis and </w:t>
      </w:r>
      <w:r w:rsidR="004A05B5" w:rsidRPr="00CA4638">
        <w:rPr>
          <w:sz w:val="24"/>
          <w:szCs w:val="24"/>
          <w:lang w:val="en-US"/>
        </w:rPr>
        <w:t>diarrhea</w:t>
      </w:r>
      <w:r w:rsidRPr="00CA4638">
        <w:rPr>
          <w:sz w:val="24"/>
          <w:szCs w:val="24"/>
          <w:lang w:val="en-US"/>
        </w:rPr>
        <w:t xml:space="preserve"> in patients receiving allogeneic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transplants is consistent with the use of </w:t>
      </w:r>
      <w:proofErr w:type="spellStart"/>
      <w:r w:rsidRPr="00CA4638">
        <w:rPr>
          <w:sz w:val="24"/>
          <w:szCs w:val="24"/>
          <w:lang w:val="en-US"/>
        </w:rPr>
        <w:t>myeloablative</w:t>
      </w:r>
      <w:proofErr w:type="spellEnd"/>
      <w:r w:rsidRPr="00CA4638">
        <w:rPr>
          <w:sz w:val="24"/>
          <w:szCs w:val="24"/>
          <w:lang w:val="en-US"/>
        </w:rPr>
        <w:t xml:space="preserve"> chemotherapy. In a study of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70 patients undergoing allogeneic bone marrow transplantation in which 33 patients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were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to the placebo group and 37 to the </w:t>
      </w: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group, the incidence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and severity of </w:t>
      </w:r>
      <w:proofErr w:type="spellStart"/>
      <w:r w:rsidR="004A05B5" w:rsidRPr="00CA4638">
        <w:rPr>
          <w:sz w:val="24"/>
          <w:szCs w:val="24"/>
          <w:lang w:val="en-US"/>
        </w:rPr>
        <w:t>diarrh</w:t>
      </w:r>
      <w:r w:rsidR="00F3693B">
        <w:rPr>
          <w:sz w:val="24"/>
          <w:szCs w:val="24"/>
          <w:lang w:val="en-US"/>
        </w:rPr>
        <w:t>o</w:t>
      </w:r>
      <w:r w:rsidR="004A05B5" w:rsidRPr="00CA4638">
        <w:rPr>
          <w:sz w:val="24"/>
          <w:szCs w:val="24"/>
          <w:lang w:val="en-US"/>
        </w:rPr>
        <w:t>ea</w:t>
      </w:r>
      <w:proofErr w:type="spellEnd"/>
      <w:r w:rsidRPr="00CA4638">
        <w:rPr>
          <w:sz w:val="24"/>
          <w:szCs w:val="24"/>
          <w:lang w:val="en-US"/>
        </w:rPr>
        <w:t xml:space="preserve"> and </w:t>
      </w:r>
      <w:proofErr w:type="spellStart"/>
      <w:r w:rsidRPr="00CA4638">
        <w:rPr>
          <w:sz w:val="24"/>
          <w:szCs w:val="24"/>
          <w:lang w:val="en-US"/>
        </w:rPr>
        <w:t>stomatitis</w:t>
      </w:r>
      <w:proofErr w:type="spellEnd"/>
      <w:r w:rsidRPr="00CA4638">
        <w:rPr>
          <w:sz w:val="24"/>
          <w:szCs w:val="24"/>
          <w:lang w:val="en-US"/>
        </w:rPr>
        <w:t xml:space="preserve"> increased from the pre- to the post-transplant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period in both the placebo and </w:t>
      </w: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treated patients. Prior to transplantation, 12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to the placebo group and 6 patients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to </w:t>
      </w: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reported moderate-to-severe </w:t>
      </w:r>
      <w:proofErr w:type="spellStart"/>
      <w:r w:rsidR="004A05B5" w:rsidRPr="00CA4638">
        <w:rPr>
          <w:sz w:val="24"/>
          <w:szCs w:val="24"/>
          <w:lang w:val="en-US"/>
        </w:rPr>
        <w:t>diarrh</w:t>
      </w:r>
      <w:r w:rsidR="00F3693B">
        <w:rPr>
          <w:sz w:val="24"/>
          <w:szCs w:val="24"/>
          <w:lang w:val="en-US"/>
        </w:rPr>
        <w:t>o</w:t>
      </w:r>
      <w:r w:rsidR="004A05B5" w:rsidRPr="00CA4638">
        <w:rPr>
          <w:sz w:val="24"/>
          <w:szCs w:val="24"/>
          <w:lang w:val="en-US"/>
        </w:rPr>
        <w:t>ea</w:t>
      </w:r>
      <w:proofErr w:type="spellEnd"/>
      <w:r w:rsidRPr="00CA4638">
        <w:rPr>
          <w:sz w:val="24"/>
          <w:szCs w:val="24"/>
          <w:lang w:val="en-US"/>
        </w:rPr>
        <w:t>. Following transplantation, the incidence of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moderate-to-severe </w:t>
      </w:r>
      <w:r w:rsidR="004A05B5" w:rsidRPr="00CA4638">
        <w:rPr>
          <w:sz w:val="24"/>
          <w:szCs w:val="24"/>
          <w:lang w:val="en-US"/>
        </w:rPr>
        <w:t>diarrhea</w:t>
      </w:r>
      <w:r w:rsidRPr="00CA4638">
        <w:rPr>
          <w:sz w:val="24"/>
          <w:szCs w:val="24"/>
          <w:lang w:val="en-US"/>
        </w:rPr>
        <w:t xml:space="preserve"> increased to 23 and 14 patients respectively. No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patients in either group experienced moderate or severe stomatitis prior to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transplantation, while after transplantation, 19 patients in the placebo group and 8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 in the </w:t>
      </w: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group reported moderate-to-severe stomatitis.</w:t>
      </w:r>
    </w:p>
    <w:p w:rsidR="008E004F" w:rsidRPr="00CA4638" w:rsidRDefault="008E004F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236D84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>, double-blind, placebo-controlled phase 3 study of patients with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AML, there were 3 patients reported to have developed ARDS during the study (2</w:t>
      </w:r>
      <w:r w:rsidR="008E004F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, 1 placebo). This is a rare but expected event in this patient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population, and all 3 patients had </w:t>
      </w:r>
      <w:proofErr w:type="spellStart"/>
      <w:r w:rsidRPr="00CA4638">
        <w:rPr>
          <w:sz w:val="24"/>
          <w:szCs w:val="24"/>
          <w:lang w:val="en-US"/>
        </w:rPr>
        <w:t>recognised</w:t>
      </w:r>
      <w:proofErr w:type="spellEnd"/>
      <w:r w:rsidRPr="00CA4638">
        <w:rPr>
          <w:sz w:val="24"/>
          <w:szCs w:val="24"/>
          <w:lang w:val="en-US"/>
        </w:rPr>
        <w:t xml:space="preserve"> predisposing factors. As a causal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relationship between the development of ARDS and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treatment has not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been established, and as multiple risk factors are often present, any decision to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discontinue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this setting should be based on the overall assessment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of contributing factors.</w:t>
      </w:r>
      <w:r w:rsidR="008E004F" w:rsidRPr="00CA4638">
        <w:rPr>
          <w:sz w:val="24"/>
          <w:szCs w:val="24"/>
          <w:lang w:val="en-US"/>
        </w:rPr>
        <w:t xml:space="preserve"> </w:t>
      </w:r>
    </w:p>
    <w:p w:rsidR="00236D84" w:rsidRDefault="00236D8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Extremely rare cases of capillary leak syndrome have been reported.</w:t>
      </w:r>
    </w:p>
    <w:p w:rsidR="00332B2A" w:rsidRPr="00CA4638" w:rsidRDefault="00332B2A" w:rsidP="000738BC">
      <w:pPr>
        <w:jc w:val="both"/>
        <w:rPr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Rare cases (</w:t>
      </w:r>
      <w:r w:rsidR="00FB5482">
        <w:rPr>
          <w:sz w:val="24"/>
          <w:szCs w:val="24"/>
          <w:lang w:val="en-US"/>
        </w:rPr>
        <w:t xml:space="preserve">≥ </w:t>
      </w:r>
      <w:r w:rsidRPr="00CA4638">
        <w:rPr>
          <w:sz w:val="24"/>
          <w:szCs w:val="24"/>
          <w:lang w:val="en-US"/>
        </w:rPr>
        <w:t xml:space="preserve">0.01% and </w:t>
      </w:r>
      <w:r w:rsidR="00FB5482">
        <w:rPr>
          <w:sz w:val="24"/>
          <w:szCs w:val="24"/>
          <w:lang w:val="en-US"/>
        </w:rPr>
        <w:t>&lt;</w:t>
      </w:r>
      <w:r w:rsidR="009221C3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0.1%) of Sweet’s syndrome (acute febrile </w:t>
      </w:r>
      <w:proofErr w:type="spellStart"/>
      <w:r w:rsidRPr="00CA4638">
        <w:rPr>
          <w:sz w:val="24"/>
          <w:szCs w:val="24"/>
          <w:lang w:val="en-US"/>
        </w:rPr>
        <w:t>dermatosis</w:t>
      </w:r>
      <w:proofErr w:type="spellEnd"/>
      <w:r w:rsidRPr="00CA4638">
        <w:rPr>
          <w:sz w:val="24"/>
          <w:szCs w:val="24"/>
          <w:lang w:val="en-US"/>
        </w:rPr>
        <w:t>)</w:t>
      </w:r>
      <w:r w:rsidR="008E004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have been reported.</w:t>
      </w:r>
    </w:p>
    <w:p w:rsidR="009221C3" w:rsidRPr="00CA4638" w:rsidRDefault="009221C3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Very rare (estimated 0.03 cases per 100,000 exposures [0.00003%]) events of</w:t>
      </w:r>
      <w:r w:rsidR="008E004F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pseudogout</w:t>
      </w:r>
      <w:proofErr w:type="spellEnd"/>
      <w:r w:rsidRPr="00CA4638">
        <w:rPr>
          <w:sz w:val="24"/>
          <w:szCs w:val="24"/>
          <w:lang w:val="en-US"/>
        </w:rPr>
        <w:t xml:space="preserve"> have been reported in patients with cancer treated with </w:t>
      </w: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</w:t>
      </w:r>
    </w:p>
    <w:p w:rsidR="00332B2A" w:rsidRPr="00CA4638" w:rsidRDefault="00332B2A" w:rsidP="000738BC">
      <w:pPr>
        <w:jc w:val="both"/>
        <w:rPr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Chronic Administration</w:t>
      </w:r>
    </w:p>
    <w:p w:rsidR="005E5E70" w:rsidRPr="00CA4638" w:rsidRDefault="005E5E7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9D0624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With chronic administration, clinical splenomegaly has been reported in 30% of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patients. Less frequently observed adverse events included exacerbation of some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pre-existing skin disorders (</w:t>
      </w:r>
      <w:proofErr w:type="spellStart"/>
      <w:r w:rsidRPr="00CA4638">
        <w:rPr>
          <w:sz w:val="24"/>
          <w:szCs w:val="24"/>
          <w:lang w:val="en-US"/>
        </w:rPr>
        <w:t>eg</w:t>
      </w:r>
      <w:proofErr w:type="spellEnd"/>
      <w:r w:rsidRPr="00CA4638">
        <w:rPr>
          <w:sz w:val="24"/>
          <w:szCs w:val="24"/>
          <w:lang w:val="en-US"/>
        </w:rPr>
        <w:t xml:space="preserve">, psoriasis), </w:t>
      </w:r>
      <w:proofErr w:type="spellStart"/>
      <w:r w:rsidRPr="00CA4638">
        <w:rPr>
          <w:sz w:val="24"/>
          <w:szCs w:val="24"/>
          <w:lang w:val="en-US"/>
        </w:rPr>
        <w:t>cutaneous</w:t>
      </w:r>
      <w:proofErr w:type="spellEnd"/>
      <w:r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vasculitis</w:t>
      </w:r>
      <w:proofErr w:type="spellEnd"/>
      <w:r w:rsidRPr="00CA4638">
        <w:rPr>
          <w:sz w:val="24"/>
          <w:szCs w:val="24"/>
          <w:lang w:val="en-US"/>
        </w:rPr>
        <w:t xml:space="preserve"> (</w:t>
      </w:r>
      <w:proofErr w:type="spellStart"/>
      <w:r w:rsidRPr="00CA4638">
        <w:rPr>
          <w:sz w:val="24"/>
          <w:szCs w:val="24"/>
          <w:lang w:val="en-US"/>
        </w:rPr>
        <w:t>leukocytoclastic</w:t>
      </w:r>
      <w:proofErr w:type="spellEnd"/>
      <w:r w:rsidRPr="00CA4638">
        <w:rPr>
          <w:sz w:val="24"/>
          <w:szCs w:val="24"/>
          <w:lang w:val="en-US"/>
        </w:rPr>
        <w:t>),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alopecia, </w:t>
      </w:r>
      <w:proofErr w:type="spellStart"/>
      <w:r w:rsidRPr="00CA4638">
        <w:rPr>
          <w:sz w:val="24"/>
          <w:szCs w:val="24"/>
          <w:lang w:val="en-US"/>
        </w:rPr>
        <w:t>haematuria</w:t>
      </w:r>
      <w:proofErr w:type="spellEnd"/>
      <w:r w:rsidRPr="00CA4638">
        <w:rPr>
          <w:sz w:val="24"/>
          <w:szCs w:val="24"/>
          <w:lang w:val="en-US"/>
        </w:rPr>
        <w:t>/</w:t>
      </w:r>
      <w:proofErr w:type="spellStart"/>
      <w:r w:rsidRPr="00CA4638">
        <w:rPr>
          <w:sz w:val="24"/>
          <w:szCs w:val="24"/>
          <w:lang w:val="en-US"/>
        </w:rPr>
        <w:t>proteinuria</w:t>
      </w:r>
      <w:proofErr w:type="spellEnd"/>
      <w:r w:rsidRPr="00CA4638">
        <w:rPr>
          <w:sz w:val="24"/>
          <w:szCs w:val="24"/>
          <w:lang w:val="en-US"/>
        </w:rPr>
        <w:t>, thrombocytopenia (platelets &lt; 50 x 10</w:t>
      </w:r>
      <w:r w:rsidRPr="009D0624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and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osteoporosis. Patients receiving chronic treatment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monitored periodically for the appearance of these conditions.</w:t>
      </w:r>
      <w:r w:rsidR="00E32C87" w:rsidRPr="00CA4638">
        <w:rPr>
          <w:sz w:val="24"/>
          <w:szCs w:val="24"/>
          <w:lang w:val="en-US"/>
        </w:rPr>
        <w:t xml:space="preserve"> </w:t>
      </w:r>
    </w:p>
    <w:p w:rsidR="009D0624" w:rsidRDefault="009D062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679A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No evidence of interaction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with other drugs was observed in the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course of clinical trials (see PRECAUTIONS: CONCURRENT USE WITH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 AND RADIOTHERAPY). Since commercial introduction of</w:t>
      </w:r>
      <w:r w:rsidR="00E32C87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there have been rare reports (&lt; 1 in 100,000 administrations) of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symptoms suggestive of allergic-type reactions such as anaphylaxis, dyspnea,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hypotension, skin rash, and </w:t>
      </w:r>
      <w:proofErr w:type="spellStart"/>
      <w:r w:rsidRPr="00CA4638">
        <w:rPr>
          <w:sz w:val="24"/>
          <w:szCs w:val="24"/>
          <w:lang w:val="en-US"/>
        </w:rPr>
        <w:t>urticaria</w:t>
      </w:r>
      <w:proofErr w:type="spellEnd"/>
      <w:r w:rsidRPr="00CA4638">
        <w:rPr>
          <w:sz w:val="24"/>
          <w:szCs w:val="24"/>
          <w:lang w:val="en-US"/>
        </w:rPr>
        <w:t>, but in which an immune component has not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been demonstrated. Approximately half occurred following the initial dose; reactions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occurred more frequently with IV administration. Symptoms recurred in some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 </w:t>
      </w:r>
      <w:proofErr w:type="spellStart"/>
      <w:r w:rsidRPr="00CA4638">
        <w:rPr>
          <w:sz w:val="24"/>
          <w:szCs w:val="24"/>
          <w:lang w:val="en-US"/>
        </w:rPr>
        <w:t>rechallenged</w:t>
      </w:r>
      <w:proofErr w:type="spellEnd"/>
      <w:r w:rsidRPr="00CA4638">
        <w:rPr>
          <w:sz w:val="24"/>
          <w:szCs w:val="24"/>
          <w:lang w:val="en-US"/>
        </w:rPr>
        <w:t>. There have been rare reports (&lt; 1 in 500,000 administrations)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of </w:t>
      </w:r>
      <w:proofErr w:type="spellStart"/>
      <w:r w:rsidRPr="00CA4638">
        <w:rPr>
          <w:sz w:val="24"/>
          <w:szCs w:val="24"/>
          <w:lang w:val="en-US"/>
        </w:rPr>
        <w:t>cutaneous</w:t>
      </w:r>
      <w:proofErr w:type="spellEnd"/>
      <w:r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vasculitis</w:t>
      </w:r>
      <w:proofErr w:type="spellEnd"/>
      <w:r w:rsidRPr="00CA4638">
        <w:rPr>
          <w:sz w:val="24"/>
          <w:szCs w:val="24"/>
          <w:lang w:val="en-US"/>
        </w:rPr>
        <w:t xml:space="preserve">. </w:t>
      </w:r>
      <w:proofErr w:type="spellStart"/>
      <w:r w:rsidR="009D0624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 permanently discontinued in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patients who experience a serious allergic reaction.</w:t>
      </w:r>
      <w:r w:rsidR="00E32C87" w:rsidRPr="00CA4638">
        <w:rPr>
          <w:sz w:val="24"/>
          <w:szCs w:val="24"/>
          <w:lang w:val="en-US"/>
        </w:rPr>
        <w:t xml:space="preserve"> </w:t>
      </w:r>
    </w:p>
    <w:p w:rsidR="005679A8" w:rsidRDefault="005679A8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chronically treated patients, including some who have received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daily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for almost 2 years, there has been no evidence of the development of antibodies to</w:t>
      </w:r>
      <w:r w:rsidR="00E32C87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or a blunted or diminished response over time.</w:t>
      </w:r>
    </w:p>
    <w:p w:rsidR="00332B2A" w:rsidRPr="00CA4638" w:rsidRDefault="00332B2A" w:rsidP="000738BC">
      <w:pPr>
        <w:jc w:val="both"/>
        <w:rPr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Peripheral Blood Progenitor Cell Collection and Therapy</w:t>
      </w:r>
    </w:p>
    <w:p w:rsidR="007A43C2" w:rsidRPr="00CA4638" w:rsidRDefault="007A43C2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332B2A" w:rsidRDefault="008B55BE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proofErr w:type="spellStart"/>
      <w:r w:rsidRPr="00CA4638">
        <w:rPr>
          <w:b/>
          <w:bCs/>
          <w:sz w:val="24"/>
          <w:szCs w:val="24"/>
          <w:lang w:val="en-US"/>
        </w:rPr>
        <w:t>F</w:t>
      </w:r>
      <w:r w:rsidR="008D7885" w:rsidRPr="00CA4638">
        <w:rPr>
          <w:b/>
          <w:bCs/>
          <w:sz w:val="24"/>
          <w:szCs w:val="24"/>
          <w:lang w:val="en-US"/>
        </w:rPr>
        <w:t>ilgrastim</w:t>
      </w:r>
      <w:r w:rsidR="00332B2A" w:rsidRPr="00CA4638">
        <w:rPr>
          <w:b/>
          <w:bCs/>
          <w:sz w:val="24"/>
          <w:szCs w:val="24"/>
          <w:lang w:val="en-US"/>
        </w:rPr>
        <w:t>-mobilised</w:t>
      </w:r>
      <w:proofErr w:type="spellEnd"/>
      <w:r w:rsidR="00332B2A" w:rsidRPr="00CA463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32B2A" w:rsidRPr="00CA4638">
        <w:rPr>
          <w:b/>
          <w:bCs/>
          <w:sz w:val="24"/>
          <w:szCs w:val="24"/>
          <w:lang w:val="en-US"/>
        </w:rPr>
        <w:t>Autologous</w:t>
      </w:r>
      <w:proofErr w:type="spellEnd"/>
      <w:r w:rsidR="00332B2A" w:rsidRPr="00CA4638">
        <w:rPr>
          <w:b/>
          <w:bCs/>
          <w:sz w:val="24"/>
          <w:szCs w:val="24"/>
          <w:lang w:val="en-US"/>
        </w:rPr>
        <w:t xml:space="preserve"> PBPC Collection</w:t>
      </w:r>
    </w:p>
    <w:p w:rsidR="007A43C2" w:rsidRPr="00CA4638" w:rsidRDefault="007A43C2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clinical trials, 126 patients have received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of PBPCs.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During the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period, adverse events related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consisted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primarily of mild-to-moderate musculoskeletal symptoms, reported in 44% of patients.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These symptoms were predominantly events of medullary bone pain (38%).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Headache was reported related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7% of patients. Mild-to-moderate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transient increases in alkaline phosphatase levels were reported related to</w:t>
      </w:r>
      <w:r w:rsidR="00E32C87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21% of the patients who had serum chemistries evaluated during</w:t>
      </w:r>
      <w:r w:rsidR="00E32C87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the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phase.</w:t>
      </w:r>
    </w:p>
    <w:p w:rsidR="00E32C87" w:rsidRPr="00CA4638" w:rsidRDefault="00E32C8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All patients had increases in neutrophil counts consistent with the biological effects of</w:t>
      </w:r>
      <w:r w:rsidR="00DD6C45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 Two patients had a WBC count greater than 100 x 10</w:t>
      </w:r>
      <w:r w:rsidRPr="00BD645C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with WBC</w:t>
      </w:r>
      <w:r w:rsidR="00DD6C4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count increases during the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period ranging from 16.7 to 138 x 10</w:t>
      </w:r>
      <w:r w:rsidRPr="00BD645C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</w:t>
      </w:r>
      <w:r w:rsidR="00DD6C4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above baseline. Eighty-eight percent of patients had an increase in WBC count</w:t>
      </w:r>
      <w:r w:rsidR="00DD6C4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between 10 and 70 x 10</w:t>
      </w:r>
      <w:r w:rsidRPr="00AE12BB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 above baseline. No clinical </w:t>
      </w:r>
      <w:proofErr w:type="spellStart"/>
      <w:r w:rsidRPr="00CA4638">
        <w:rPr>
          <w:sz w:val="24"/>
          <w:szCs w:val="24"/>
          <w:lang w:val="en-US"/>
        </w:rPr>
        <w:t>sequelae</w:t>
      </w:r>
      <w:proofErr w:type="spellEnd"/>
      <w:r w:rsidRPr="00CA4638">
        <w:rPr>
          <w:sz w:val="24"/>
          <w:szCs w:val="24"/>
          <w:lang w:val="en-US"/>
        </w:rPr>
        <w:t xml:space="preserve"> were associated</w:t>
      </w:r>
      <w:r w:rsidR="00DD6C4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with any grade of leukocytosis.</w:t>
      </w:r>
    </w:p>
    <w:p w:rsidR="00F3693B" w:rsidRDefault="00F3693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Sixty-five percent of patients had downward shifts in </w:t>
      </w:r>
      <w:proofErr w:type="spellStart"/>
      <w:r w:rsidRPr="00CA4638">
        <w:rPr>
          <w:sz w:val="24"/>
          <w:szCs w:val="24"/>
          <w:lang w:val="en-US"/>
        </w:rPr>
        <w:t>haemoglobin</w:t>
      </w:r>
      <w:proofErr w:type="spellEnd"/>
      <w:r w:rsidRPr="00CA4638">
        <w:rPr>
          <w:sz w:val="24"/>
          <w:szCs w:val="24"/>
          <w:lang w:val="en-US"/>
        </w:rPr>
        <w:t>, which were</w:t>
      </w:r>
      <w:r w:rsidR="00DD6C4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generally mild-to-moderate (59%) and 97% of patients had decreases in platelet</w:t>
      </w:r>
      <w:r w:rsidR="00DD6C4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counts related to the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procedure. Only 2 patients had platelet counts</w:t>
      </w:r>
      <w:r w:rsidR="00DD6C4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less than 50 x 10</w:t>
      </w:r>
      <w:r w:rsidRPr="00256148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/L.</w:t>
      </w:r>
    </w:p>
    <w:p w:rsidR="00DD6C45" w:rsidRPr="00CA4638" w:rsidRDefault="00DD6C4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Allogeneic Peripheral Blood Progenitor Cell </w:t>
      </w:r>
      <w:proofErr w:type="spellStart"/>
      <w:r w:rsidRPr="00CA4638">
        <w:rPr>
          <w:b/>
          <w:bCs/>
          <w:sz w:val="24"/>
          <w:szCs w:val="24"/>
          <w:lang w:val="en-US"/>
        </w:rPr>
        <w:t>Mobilisation</w:t>
      </w:r>
      <w:proofErr w:type="spellEnd"/>
      <w:r w:rsidRPr="00CA4638">
        <w:rPr>
          <w:b/>
          <w:bCs/>
          <w:sz w:val="24"/>
          <w:szCs w:val="24"/>
          <w:lang w:val="en-US"/>
        </w:rPr>
        <w:t xml:space="preserve"> in Normal Donors</w:t>
      </w:r>
    </w:p>
    <w:p w:rsidR="009F4D56" w:rsidRPr="00CA4638" w:rsidRDefault="009F4D56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A93D6C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The most commonly reported adverse event was mild-to-moderate transient</w:t>
      </w:r>
      <w:r w:rsidR="00916A9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musculoskeletal pain. Leukocytosis (WBC </w:t>
      </w:r>
      <w:r w:rsidR="009F4D56">
        <w:rPr>
          <w:sz w:val="24"/>
          <w:szCs w:val="24"/>
          <w:lang w:val="en-US"/>
        </w:rPr>
        <w:t>&gt;</w:t>
      </w:r>
      <w:r w:rsidRPr="00CA4638">
        <w:rPr>
          <w:sz w:val="24"/>
          <w:szCs w:val="24"/>
          <w:lang w:val="en-US"/>
        </w:rPr>
        <w:t xml:space="preserve"> 50 x 10</w:t>
      </w:r>
      <w:r w:rsidRPr="009F4D56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was observed in 41% of</w:t>
      </w:r>
      <w:r w:rsidR="00916A9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donors and transient thrombocytopenia (platelets </w:t>
      </w:r>
      <w:r w:rsidR="009F4D56">
        <w:rPr>
          <w:sz w:val="24"/>
          <w:szCs w:val="24"/>
          <w:lang w:val="en-US"/>
        </w:rPr>
        <w:t>&lt;</w:t>
      </w:r>
      <w:r w:rsidRPr="00CA4638">
        <w:rPr>
          <w:sz w:val="24"/>
          <w:szCs w:val="24"/>
          <w:lang w:val="en-US"/>
        </w:rPr>
        <w:t xml:space="preserve"> 100 x 10</w:t>
      </w:r>
      <w:r w:rsidRPr="009F4D56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following</w:t>
      </w:r>
      <w:r w:rsidR="00916A99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and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was observed in 35% of donors.</w:t>
      </w:r>
      <w:r w:rsidR="00916A99" w:rsidRPr="00CA4638">
        <w:rPr>
          <w:sz w:val="24"/>
          <w:szCs w:val="24"/>
          <w:lang w:val="en-US"/>
        </w:rPr>
        <w:t xml:space="preserve"> </w:t>
      </w:r>
    </w:p>
    <w:p w:rsidR="00A93D6C" w:rsidRDefault="00A93D6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A93D6C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Transient, minor increases in alkaline phosphatase, LDH, AST and uric acid have</w:t>
      </w:r>
      <w:r w:rsidR="00916A9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been reported in normal donors receiving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; these were without clinical</w:t>
      </w:r>
      <w:r w:rsidR="00916A99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sequelae</w:t>
      </w:r>
      <w:proofErr w:type="spellEnd"/>
      <w:r w:rsidRPr="00CA4638">
        <w:rPr>
          <w:sz w:val="24"/>
          <w:szCs w:val="24"/>
          <w:lang w:val="en-US"/>
        </w:rPr>
        <w:t>.</w:t>
      </w:r>
      <w:r w:rsidR="00916A99" w:rsidRPr="00CA4638">
        <w:rPr>
          <w:sz w:val="24"/>
          <w:szCs w:val="24"/>
          <w:lang w:val="en-US"/>
        </w:rPr>
        <w:t xml:space="preserve"> </w:t>
      </w:r>
    </w:p>
    <w:p w:rsidR="00A93D6C" w:rsidRDefault="00A93D6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Exacerbation of arthritic symptoms has been observed very rarely.</w:t>
      </w:r>
    </w:p>
    <w:p w:rsidR="00332B2A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Symptoms suggestive of severe allergic reactions have been reported very rarely.</w:t>
      </w:r>
      <w:r w:rsidR="00916A9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Headaches, believed to be caused by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, have been reported in PBPC</w:t>
      </w:r>
      <w:r w:rsidR="00916A9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donor studies.</w:t>
      </w:r>
    </w:p>
    <w:p w:rsidR="00A93D6C" w:rsidRPr="00CA4638" w:rsidRDefault="00A93D6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A93D6C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There have been rare cases of splenic rupture reported in normal donors receiving</w:t>
      </w:r>
      <w:r w:rsidR="00916A9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G-CSFs (see PRECAUTIONS).</w:t>
      </w:r>
      <w:r w:rsidR="00916A99" w:rsidRPr="00CA4638">
        <w:rPr>
          <w:sz w:val="24"/>
          <w:szCs w:val="24"/>
          <w:lang w:val="en-US"/>
        </w:rPr>
        <w:t xml:space="preserve"> </w:t>
      </w:r>
    </w:p>
    <w:p w:rsidR="00A93D6C" w:rsidRDefault="00A93D6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3693B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Extremely rare cases of capillary leak syndrome have been reported.</w:t>
      </w:r>
      <w:r w:rsidR="00916A99" w:rsidRPr="00CA4638">
        <w:rPr>
          <w:sz w:val="24"/>
          <w:szCs w:val="24"/>
          <w:lang w:val="en-US"/>
        </w:rPr>
        <w:t xml:space="preserve"> </w:t>
      </w:r>
    </w:p>
    <w:p w:rsidR="00F3693B" w:rsidRDefault="00F3693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normal donors, pulmonary adverse events (</w:t>
      </w:r>
      <w:proofErr w:type="spellStart"/>
      <w:r w:rsidRPr="00CA4638">
        <w:rPr>
          <w:sz w:val="24"/>
          <w:szCs w:val="24"/>
          <w:lang w:val="en-US"/>
        </w:rPr>
        <w:t>haemoptysis</w:t>
      </w:r>
      <w:proofErr w:type="spellEnd"/>
      <w:r w:rsidRPr="00CA4638">
        <w:rPr>
          <w:sz w:val="24"/>
          <w:szCs w:val="24"/>
          <w:lang w:val="en-US"/>
        </w:rPr>
        <w:t>, pulmonary infiltrates)</w:t>
      </w:r>
      <w:r w:rsidR="00916A99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have been reported very rarely (&lt; 0.01%).</w:t>
      </w:r>
    </w:p>
    <w:p w:rsidR="00916A99" w:rsidRPr="00CA4638" w:rsidRDefault="00916A99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 xml:space="preserve">PBPC Transplantation Supported by </w:t>
      </w:r>
      <w:proofErr w:type="spellStart"/>
      <w:r w:rsidR="008D7885" w:rsidRPr="00CA4638">
        <w:rPr>
          <w:b/>
          <w:bCs/>
          <w:sz w:val="24"/>
          <w:szCs w:val="24"/>
          <w:lang w:val="en-US"/>
        </w:rPr>
        <w:t>filgrastim</w:t>
      </w:r>
      <w:proofErr w:type="spellEnd"/>
    </w:p>
    <w:p w:rsidR="00E01A9F" w:rsidRPr="00CA4638" w:rsidRDefault="00E01A9F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During the period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 post infusion of </w:t>
      </w:r>
      <w:proofErr w:type="spellStart"/>
      <w:r w:rsidRPr="00CA4638">
        <w:rPr>
          <w:sz w:val="24"/>
          <w:szCs w:val="24"/>
          <w:lang w:val="en-US"/>
        </w:rPr>
        <w:t>autologous</w:t>
      </w:r>
      <w:proofErr w:type="spellEnd"/>
      <w:r w:rsidRPr="00CA4638">
        <w:rPr>
          <w:sz w:val="24"/>
          <w:szCs w:val="24"/>
          <w:lang w:val="en-US"/>
        </w:rPr>
        <w:t xml:space="preserve"> PBPCs,</w:t>
      </w:r>
      <w:r w:rsidR="00F03CF5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was administered to 110 patients as supportive therapy and adverse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events were consistent with those expected after high-dose chemotherapy. Mild-</w:t>
      </w:r>
      <w:r w:rsidR="004A05B5" w:rsidRPr="00CA4638">
        <w:rPr>
          <w:sz w:val="24"/>
          <w:szCs w:val="24"/>
          <w:lang w:val="en-US"/>
        </w:rPr>
        <w:t>to moderate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musculoskeletal pain was the most frequently reported adverse event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related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, reported in 15% of patients. In patients receiving allogeneic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PBPCs, a similar incidence of musculoskeletal pain was reported.</w:t>
      </w:r>
    </w:p>
    <w:p w:rsidR="00F03CF5" w:rsidRPr="00CA4638" w:rsidRDefault="00F03CF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Patients With Severe Chronic Neutropenia</w:t>
      </w:r>
    </w:p>
    <w:p w:rsidR="00E01A9F" w:rsidRPr="00CA4638" w:rsidRDefault="00E01A9F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9E62E9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safety and efficacy of chronic daily administration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patients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with SCN have been established in phase 1/2 clinical trials of 74 patients treated for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up to 3 years and in a phase 3 trial of 123 patients treated for up to 2 years.</w:t>
      </w:r>
      <w:r w:rsidR="00F03CF5" w:rsidRPr="00CA4638">
        <w:rPr>
          <w:sz w:val="24"/>
          <w:szCs w:val="24"/>
          <w:lang w:val="en-US"/>
        </w:rPr>
        <w:t xml:space="preserve"> </w:t>
      </w:r>
    </w:p>
    <w:p w:rsidR="009E62E9" w:rsidRDefault="009E62E9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Mild-to-moderate bone pain was reported in approximately 33% of patients in clinical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trials. This symptom was readily controlled with mild analgesics. General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musculoskeletal pain was also noted in higher frequency in patients treated with</w:t>
      </w:r>
      <w:r w:rsidR="00F03CF5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 Palpable splenomegaly was observed in approximately 30% of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patients. Abdominal or flank pain was seen infrequently and thrombocytopenia (&lt; 50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x 10</w:t>
      </w:r>
      <w:r w:rsidRPr="009E62E9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was noted in 12% of patients with palpable spleens. Less than 3% of all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 underwent </w:t>
      </w:r>
      <w:proofErr w:type="spellStart"/>
      <w:r w:rsidRPr="00CA4638">
        <w:rPr>
          <w:sz w:val="24"/>
          <w:szCs w:val="24"/>
          <w:lang w:val="en-US"/>
        </w:rPr>
        <w:t>splenectomy</w:t>
      </w:r>
      <w:proofErr w:type="spellEnd"/>
      <w:r w:rsidRPr="00CA4638">
        <w:rPr>
          <w:sz w:val="24"/>
          <w:szCs w:val="24"/>
          <w:lang w:val="en-US"/>
        </w:rPr>
        <w:t xml:space="preserve"> and most of these had a </w:t>
      </w:r>
      <w:proofErr w:type="spellStart"/>
      <w:r w:rsidRPr="00CA4638">
        <w:rPr>
          <w:sz w:val="24"/>
          <w:szCs w:val="24"/>
          <w:lang w:val="en-US"/>
        </w:rPr>
        <w:t>prestudy</w:t>
      </w:r>
      <w:proofErr w:type="spellEnd"/>
      <w:r w:rsidRPr="00CA4638">
        <w:rPr>
          <w:sz w:val="24"/>
          <w:szCs w:val="24"/>
          <w:lang w:val="en-US"/>
        </w:rPr>
        <w:t xml:space="preserve"> history of</w:t>
      </w:r>
      <w:r w:rsidR="00F03CF5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splenomegaly</w:t>
      </w:r>
      <w:proofErr w:type="spellEnd"/>
      <w:r w:rsidRPr="00CA4638">
        <w:rPr>
          <w:sz w:val="24"/>
          <w:szCs w:val="24"/>
          <w:lang w:val="en-US"/>
        </w:rPr>
        <w:t>. Less than 6% of patients had thrombocytopenia (&lt; 50 x 10</w:t>
      </w:r>
      <w:r w:rsidRPr="009E62E9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during</w:t>
      </w:r>
      <w:r w:rsidR="00F03CF5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therapy, most of whom had a </w:t>
      </w:r>
      <w:proofErr w:type="spellStart"/>
      <w:r w:rsidRPr="00CA4638">
        <w:rPr>
          <w:sz w:val="24"/>
          <w:szCs w:val="24"/>
          <w:lang w:val="en-US"/>
        </w:rPr>
        <w:t>prestudy</w:t>
      </w:r>
      <w:proofErr w:type="spellEnd"/>
      <w:r w:rsidRPr="00CA4638">
        <w:rPr>
          <w:sz w:val="24"/>
          <w:szCs w:val="24"/>
          <w:lang w:val="en-US"/>
        </w:rPr>
        <w:t xml:space="preserve"> history. In most cases,</w:t>
      </w:r>
      <w:r w:rsidR="00F03CF5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thrombocytopenia was managed by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dose reduction or interruption.</w:t>
      </w:r>
    </w:p>
    <w:p w:rsidR="00F03CF5" w:rsidRPr="00CA4638" w:rsidRDefault="00F03CF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0660FC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There were no associated serious </w:t>
      </w:r>
      <w:proofErr w:type="spellStart"/>
      <w:r w:rsidRPr="00CA4638">
        <w:rPr>
          <w:sz w:val="24"/>
          <w:szCs w:val="24"/>
          <w:lang w:val="en-US"/>
        </w:rPr>
        <w:t>haemorrhagic</w:t>
      </w:r>
      <w:proofErr w:type="spellEnd"/>
      <w:r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sequelae</w:t>
      </w:r>
      <w:proofErr w:type="spellEnd"/>
      <w:r w:rsidRPr="00CA4638">
        <w:rPr>
          <w:sz w:val="24"/>
          <w:szCs w:val="24"/>
          <w:lang w:val="en-US"/>
        </w:rPr>
        <w:t xml:space="preserve"> in these patients.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Epistaxis was noted in 15% of patients treated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but was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associated with thrombocytopenia in 2% of patients. </w:t>
      </w:r>
      <w:proofErr w:type="spellStart"/>
      <w:r w:rsidRPr="00CA4638">
        <w:rPr>
          <w:sz w:val="24"/>
          <w:szCs w:val="24"/>
          <w:lang w:val="en-US"/>
        </w:rPr>
        <w:t>Anaemia</w:t>
      </w:r>
      <w:proofErr w:type="spellEnd"/>
      <w:r w:rsidRPr="00CA4638">
        <w:rPr>
          <w:sz w:val="24"/>
          <w:szCs w:val="24"/>
          <w:lang w:val="en-US"/>
        </w:rPr>
        <w:t xml:space="preserve"> was reported in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approximately 10% of patients, but in most cases appeared to be related to frequent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diagnostic phlebotomy, chronic illness or concomitant medications.</w:t>
      </w:r>
      <w:r w:rsidR="00C462FE" w:rsidRPr="00CA4638">
        <w:rPr>
          <w:sz w:val="24"/>
          <w:szCs w:val="24"/>
          <w:lang w:val="en-US"/>
        </w:rPr>
        <w:t xml:space="preserve"> </w:t>
      </w:r>
    </w:p>
    <w:p w:rsidR="000660FC" w:rsidRDefault="000660F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Cytogenetic abnormalities, transformation to MDS and AML have been observed in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 treated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SCN (see </w:t>
      </w:r>
      <w:r w:rsidR="00285769">
        <w:rPr>
          <w:sz w:val="24"/>
          <w:szCs w:val="24"/>
          <w:lang w:val="en-US"/>
        </w:rPr>
        <w:t>PRECAUTIONS</w:t>
      </w:r>
      <w:r w:rsidRPr="00CA4638">
        <w:rPr>
          <w:sz w:val="24"/>
          <w:szCs w:val="24"/>
          <w:lang w:val="en-US"/>
        </w:rPr>
        <w:t>: PATIENTS WITH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SEVERE CHRONIC NEUTROPENIA, PAEDIATRIC USE). Based on analysis of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data from a </w:t>
      </w:r>
      <w:proofErr w:type="spellStart"/>
      <w:r w:rsidRPr="00CA4638">
        <w:rPr>
          <w:sz w:val="24"/>
          <w:szCs w:val="24"/>
          <w:lang w:val="en-US"/>
        </w:rPr>
        <w:t>postmarketing</w:t>
      </w:r>
      <w:proofErr w:type="spellEnd"/>
      <w:r w:rsidRPr="00CA4638">
        <w:rPr>
          <w:sz w:val="24"/>
          <w:szCs w:val="24"/>
          <w:lang w:val="en-US"/>
        </w:rPr>
        <w:t xml:space="preserve"> surveillance study of 531 SCN patients with an average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follow-up of 4.0 years, the risk of developing these abnormalities (cytogenetic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abnormalities, MDS and AML) appears to be confined to the subset of patients with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congenital neutropenia. A life-table analysis of these data revealed that the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cumulative risk of developing </w:t>
      </w:r>
      <w:proofErr w:type="spellStart"/>
      <w:r w:rsidRPr="00CA4638">
        <w:rPr>
          <w:sz w:val="24"/>
          <w:szCs w:val="24"/>
          <w:lang w:val="en-US"/>
        </w:rPr>
        <w:t>leukaemia</w:t>
      </w:r>
      <w:proofErr w:type="spellEnd"/>
      <w:r w:rsidRPr="00CA4638">
        <w:rPr>
          <w:sz w:val="24"/>
          <w:szCs w:val="24"/>
          <w:lang w:val="en-US"/>
        </w:rPr>
        <w:t xml:space="preserve"> or MDS by the end of the 8</w:t>
      </w:r>
      <w:r w:rsidRPr="00323421">
        <w:rPr>
          <w:sz w:val="24"/>
          <w:szCs w:val="24"/>
          <w:vertAlign w:val="superscript"/>
          <w:lang w:val="en-US"/>
        </w:rPr>
        <w:t>th</w:t>
      </w:r>
      <w:r w:rsidRPr="00CA4638">
        <w:rPr>
          <w:sz w:val="24"/>
          <w:szCs w:val="24"/>
          <w:lang w:val="en-US"/>
        </w:rPr>
        <w:t xml:space="preserve"> year of</w:t>
      </w:r>
      <w:r w:rsidR="00C462FE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treatment in a patient with congenital neutropenia was 16.5% which is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 annual rate of approximately 2%.</w:t>
      </w:r>
    </w:p>
    <w:p w:rsidR="00C462FE" w:rsidRPr="00CA4638" w:rsidRDefault="00C462F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C462FE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Cytogenetic abnormalities, including </w:t>
      </w:r>
      <w:proofErr w:type="spellStart"/>
      <w:r w:rsidRPr="00CA4638">
        <w:rPr>
          <w:sz w:val="24"/>
          <w:szCs w:val="24"/>
          <w:lang w:val="en-US"/>
        </w:rPr>
        <w:t>monosomy</w:t>
      </w:r>
      <w:proofErr w:type="spellEnd"/>
      <w:r w:rsidRPr="00CA4638">
        <w:rPr>
          <w:sz w:val="24"/>
          <w:szCs w:val="24"/>
          <w:lang w:val="en-US"/>
        </w:rPr>
        <w:t xml:space="preserve"> 7, have been reported in patients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treated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who had previously documented normal cytogenetic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evaluations. It is unknown whether the development of cytogenetic abnormalities,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MDS or AML is related to chronic daily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 or to the natural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history of SCN. It is also unknown if the rate of conversion in patients who have not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received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is different from that of patients who have received</w:t>
      </w:r>
      <w:r w:rsidR="00C462FE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 Routine monitoring through regular FBCs is recommended for all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SCN patients. Additionally, annual bone marrow and cytogenetic evaluations are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recommended in all patients with congenital neutropenia (see LABORATORY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MONITORING).</w:t>
      </w:r>
      <w:r w:rsidR="00C462FE" w:rsidRPr="00CA4638">
        <w:rPr>
          <w:sz w:val="24"/>
          <w:szCs w:val="24"/>
          <w:lang w:val="en-US"/>
        </w:rPr>
        <w:t xml:space="preserve"> </w:t>
      </w:r>
    </w:p>
    <w:p w:rsidR="00C462FE" w:rsidRPr="00CA4638" w:rsidRDefault="00C462F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Other adverse events infrequently observed and possibly related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therapy were: injection site reaction, headache, hepatomegaly, arthralgia,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osteoporosis, rash, alopecia, </w:t>
      </w:r>
      <w:proofErr w:type="spellStart"/>
      <w:r w:rsidRPr="00CA4638">
        <w:rPr>
          <w:sz w:val="24"/>
          <w:szCs w:val="24"/>
          <w:lang w:val="en-US"/>
        </w:rPr>
        <w:t>cutaneous</w:t>
      </w:r>
      <w:proofErr w:type="spellEnd"/>
      <w:r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vasculitis</w:t>
      </w:r>
      <w:proofErr w:type="spellEnd"/>
      <w:r w:rsidRPr="00CA4638">
        <w:rPr>
          <w:sz w:val="24"/>
          <w:szCs w:val="24"/>
          <w:lang w:val="en-US"/>
        </w:rPr>
        <w:t xml:space="preserve"> and </w:t>
      </w:r>
      <w:proofErr w:type="spellStart"/>
      <w:r w:rsidRPr="00CA4638">
        <w:rPr>
          <w:sz w:val="24"/>
          <w:szCs w:val="24"/>
          <w:lang w:val="en-US"/>
        </w:rPr>
        <w:t>haematuria</w:t>
      </w:r>
      <w:proofErr w:type="spellEnd"/>
      <w:r w:rsidRPr="00CA4638">
        <w:rPr>
          <w:sz w:val="24"/>
          <w:szCs w:val="24"/>
          <w:lang w:val="en-US"/>
        </w:rPr>
        <w:t>/</w:t>
      </w:r>
      <w:proofErr w:type="spellStart"/>
      <w:r w:rsidRPr="00CA4638">
        <w:rPr>
          <w:sz w:val="24"/>
          <w:szCs w:val="24"/>
          <w:lang w:val="en-US"/>
        </w:rPr>
        <w:t>proteinuria</w:t>
      </w:r>
      <w:proofErr w:type="spellEnd"/>
      <w:r w:rsidRPr="00CA4638">
        <w:rPr>
          <w:sz w:val="24"/>
          <w:szCs w:val="24"/>
          <w:lang w:val="en-US"/>
        </w:rPr>
        <w:t>.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 receiving chronic treatment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 monitored</w:t>
      </w:r>
      <w:r w:rsidR="00C462FE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periodically for the appearance of these conditions.</w:t>
      </w:r>
    </w:p>
    <w:p w:rsidR="00C462FE" w:rsidRDefault="001A0A8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1A0A8C">
        <w:rPr>
          <w:sz w:val="24"/>
          <w:szCs w:val="24"/>
          <w:lang w:val="en-US"/>
        </w:rPr>
        <w:t xml:space="preserve">In </w:t>
      </w:r>
      <w:proofErr w:type="spellStart"/>
      <w:r w:rsidRPr="001A0A8C">
        <w:rPr>
          <w:sz w:val="24"/>
          <w:szCs w:val="24"/>
          <w:lang w:val="en-US"/>
        </w:rPr>
        <w:t>postmarketing</w:t>
      </w:r>
      <w:proofErr w:type="spellEnd"/>
      <w:r w:rsidRPr="001A0A8C">
        <w:rPr>
          <w:sz w:val="24"/>
          <w:szCs w:val="24"/>
          <w:lang w:val="en-US"/>
        </w:rPr>
        <w:t xml:space="preserve"> experience, common cases of decreased bone density and osteoporosis have been reported in </w:t>
      </w:r>
      <w:proofErr w:type="spellStart"/>
      <w:r w:rsidRPr="001A0A8C">
        <w:rPr>
          <w:sz w:val="24"/>
          <w:szCs w:val="24"/>
          <w:lang w:val="en-US"/>
        </w:rPr>
        <w:t>paediatric</w:t>
      </w:r>
      <w:proofErr w:type="spellEnd"/>
      <w:r w:rsidRPr="001A0A8C">
        <w:rPr>
          <w:sz w:val="24"/>
          <w:szCs w:val="24"/>
          <w:lang w:val="en-US"/>
        </w:rPr>
        <w:t xml:space="preserve"> patients with SCN receiving chronic treatment with </w:t>
      </w: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Pr="001A0A8C">
        <w:rPr>
          <w:sz w:val="24"/>
          <w:szCs w:val="24"/>
          <w:lang w:val="en-US"/>
        </w:rPr>
        <w:t>.</w:t>
      </w:r>
    </w:p>
    <w:p w:rsidR="001A0A8C" w:rsidRPr="00CA4638" w:rsidRDefault="001A0A8C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Patients With HIV Infection</w:t>
      </w:r>
    </w:p>
    <w:p w:rsidR="00BB58F1" w:rsidRPr="00CA4638" w:rsidRDefault="00BB58F1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3 clinical studies involving a total of 244 HIV-positive patients, the only adverse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events that were consistently considered related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administration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were musculoskeletal pain, predominantly mild-to-moderate bone pain and myalgia.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 the largest of the 3 studies involving 200 patients, the event rate was 12%. This is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consistent with the 14% incidence of musculoskeletal pain reported in clinical trials in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other indications where doses of 0.35 to 11.5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were used. The incidence of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severe musculoskeletal pain (3%) was identical to that reported in clinical trials in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other indications.</w:t>
      </w:r>
    </w:p>
    <w:p w:rsidR="00C241AD" w:rsidRPr="00CA4638" w:rsidRDefault="00C241AD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a small study of 24 patients, there were 7 reports of treatment-related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splenomegaly, but in a larger study of 200 patients, there were no such reports. In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 former study, no baseline measurements of spleen size were made for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comparison with on-study measurements. In all cases, splenomegaly was mild or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moderate on physical examination and the clinical course was benign; no patients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had a diagnosis of </w:t>
      </w:r>
      <w:proofErr w:type="spellStart"/>
      <w:r w:rsidRPr="00CA4638">
        <w:rPr>
          <w:sz w:val="24"/>
          <w:szCs w:val="24"/>
          <w:lang w:val="en-US"/>
        </w:rPr>
        <w:t>hypersplenism</w:t>
      </w:r>
      <w:proofErr w:type="spellEnd"/>
      <w:r w:rsidRPr="00CA4638">
        <w:rPr>
          <w:sz w:val="24"/>
          <w:szCs w:val="24"/>
          <w:lang w:val="en-US"/>
        </w:rPr>
        <w:t xml:space="preserve"> and no patients underwent </w:t>
      </w:r>
      <w:proofErr w:type="spellStart"/>
      <w:r w:rsidRPr="00CA4638">
        <w:rPr>
          <w:sz w:val="24"/>
          <w:szCs w:val="24"/>
          <w:lang w:val="en-US"/>
        </w:rPr>
        <w:t>splenectomy</w:t>
      </w:r>
      <w:proofErr w:type="spellEnd"/>
      <w:r w:rsidRPr="00CA4638">
        <w:rPr>
          <w:sz w:val="24"/>
          <w:szCs w:val="24"/>
          <w:lang w:val="en-US"/>
        </w:rPr>
        <w:t>. As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splenic enlargement is a common finding in patients with HIV infection and is present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to varying degrees in most patients with AIDS, the relationship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treatment is unclear.</w:t>
      </w:r>
    </w:p>
    <w:p w:rsidR="00DC5BEF" w:rsidRPr="00CA4638" w:rsidRDefault="00DC5BEF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An analysis was performed on viral load data, as measured by HIV-1 RNA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polymerase chain reaction (PCR), from a controlled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study of</w:t>
      </w:r>
      <w:r w:rsidR="00DC5BEF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the prevention of grade 4 neutropenia. No clinically or statistically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significant differences were seen between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treated groups and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untreated groups for changes in viral load over a 24-week period. However, since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 study was not powered to show equivalence between the groups, the possibility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that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affects HIV-1 replication </w:t>
      </w:r>
      <w:proofErr w:type="spellStart"/>
      <w:r w:rsidRPr="00CA4638">
        <w:rPr>
          <w:sz w:val="24"/>
          <w:szCs w:val="24"/>
          <w:lang w:val="en-US"/>
        </w:rPr>
        <w:t>can not</w:t>
      </w:r>
      <w:proofErr w:type="spellEnd"/>
      <w:r w:rsidRPr="00CA4638">
        <w:rPr>
          <w:sz w:val="24"/>
          <w:szCs w:val="24"/>
          <w:lang w:val="en-US"/>
        </w:rPr>
        <w:t xml:space="preserve"> be excluded. There was also no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detrimental effect on immunological markers, which is important in a population of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patients in whom a decline in CD4+ T-lymphocyte count is expected. There were no</w:t>
      </w:r>
      <w:r w:rsidR="00DC5BE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safety concerns with long-term administration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this setting.</w:t>
      </w:r>
    </w:p>
    <w:p w:rsidR="00F22BCA" w:rsidRPr="00CA4638" w:rsidRDefault="001E2D56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DOSAGE AND ADMINISTRATION</w:t>
      </w:r>
    </w:p>
    <w:p w:rsidR="006F6CB4" w:rsidRPr="00CA4638" w:rsidRDefault="006F6CB4" w:rsidP="000738BC">
      <w:pPr>
        <w:jc w:val="both"/>
        <w:rPr>
          <w:b/>
          <w:sz w:val="24"/>
          <w:szCs w:val="24"/>
        </w:rPr>
      </w:pPr>
    </w:p>
    <w:p w:rsidR="00FF50EF" w:rsidRPr="00CA4638" w:rsidRDefault="00FF50EF" w:rsidP="00FF50EF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*In order to improve the traceability of granulocyte colony stimulating factors (G</w:t>
      </w:r>
      <w:r>
        <w:rPr>
          <w:sz w:val="24"/>
          <w:szCs w:val="24"/>
          <w:lang w:val="en-US"/>
        </w:rPr>
        <w:t>-</w:t>
      </w:r>
      <w:r w:rsidRPr="00CA4638">
        <w:rPr>
          <w:sz w:val="24"/>
          <w:szCs w:val="24"/>
          <w:lang w:val="en-US"/>
        </w:rPr>
        <w:t>CSFs), the trade name of the administered product should be clearly recorded in the patient file.</w:t>
      </w:r>
    </w:p>
    <w:p w:rsidR="00FF50EF" w:rsidRDefault="00FF50EF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332B2A" w:rsidRDefault="00332B2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Cancer Patients Receiving Standard-dose Cytotoxic Chemotherapy or</w:t>
      </w:r>
      <w:r w:rsidR="00F3693B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CA4638">
        <w:rPr>
          <w:b/>
          <w:bCs/>
          <w:i/>
          <w:iCs/>
          <w:sz w:val="24"/>
          <w:szCs w:val="24"/>
          <w:lang w:val="en-US"/>
        </w:rPr>
        <w:t xml:space="preserve">Induction/Consolidation Chemotherapy for Acute Myeloid </w:t>
      </w:r>
      <w:proofErr w:type="spellStart"/>
      <w:r w:rsidRPr="00CA4638">
        <w:rPr>
          <w:b/>
          <w:bCs/>
          <w:i/>
          <w:iCs/>
          <w:sz w:val="24"/>
          <w:szCs w:val="24"/>
          <w:lang w:val="en-US"/>
        </w:rPr>
        <w:t>Leukaemia</w:t>
      </w:r>
      <w:proofErr w:type="spellEnd"/>
    </w:p>
    <w:p w:rsidR="004843A4" w:rsidRPr="00CA4638" w:rsidRDefault="004843A4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4843A4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adults and children receiving induction/consolidation chemotherapy for AML, the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recommended starting dose is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administered as a single daily SC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injection.</w:t>
      </w:r>
      <w:r w:rsidR="006A0A7F" w:rsidRPr="00CA4638">
        <w:rPr>
          <w:sz w:val="24"/>
          <w:szCs w:val="24"/>
          <w:lang w:val="en-US"/>
        </w:rPr>
        <w:t xml:space="preserve"> </w:t>
      </w:r>
    </w:p>
    <w:p w:rsidR="004843A4" w:rsidRDefault="004843A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3693B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patients with non-myeloid malignancies receiving standard-dose cytotoxic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chemotherapy, the recommended starting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is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/kg/day,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administered as a single daily SC injection or short IV infusion (over 15 to 30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minutes). In phase 3 trials efficacy was observed at doses of 4 to 8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/kg/day.</w:t>
      </w:r>
      <w:r w:rsidR="006A0A7F" w:rsidRPr="00CA4638">
        <w:rPr>
          <w:sz w:val="24"/>
          <w:szCs w:val="24"/>
          <w:lang w:val="en-US"/>
        </w:rPr>
        <w:t xml:space="preserve"> </w:t>
      </w:r>
    </w:p>
    <w:p w:rsidR="00F3693B" w:rsidRDefault="00F3693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F3693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="00332B2A" w:rsidRPr="00CA4638">
        <w:rPr>
          <w:sz w:val="24"/>
          <w:szCs w:val="24"/>
          <w:lang w:val="en-US"/>
        </w:rPr>
        <w:t xml:space="preserve"> should not be administered in the period 24 hours before to 24 hours</w:t>
      </w:r>
      <w:r w:rsidR="006A0A7F" w:rsidRPr="00CA4638">
        <w:rPr>
          <w:sz w:val="24"/>
          <w:szCs w:val="24"/>
          <w:lang w:val="en-US"/>
        </w:rPr>
        <w:t xml:space="preserve"> </w:t>
      </w:r>
      <w:r w:rsidR="00332B2A" w:rsidRPr="00CA4638">
        <w:rPr>
          <w:sz w:val="24"/>
          <w:szCs w:val="24"/>
          <w:lang w:val="en-US"/>
        </w:rPr>
        <w:t>after the administration of chemotherapy (see PRECAUTIONS).</w:t>
      </w:r>
    </w:p>
    <w:p w:rsidR="006A0A7F" w:rsidRPr="00CA4638" w:rsidRDefault="006A0A7F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duration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needed to attenuate chemotherapy-induced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neutropenia may be dependent on the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potential of the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 regimen employed. In patients with non-myeloid malignancies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receiving standard-dose </w:t>
      </w:r>
      <w:proofErr w:type="spellStart"/>
      <w:r w:rsidRPr="00CA4638">
        <w:rPr>
          <w:sz w:val="24"/>
          <w:szCs w:val="24"/>
          <w:lang w:val="en-US"/>
        </w:rPr>
        <w:t>cytotoxic</w:t>
      </w:r>
      <w:proofErr w:type="spellEnd"/>
      <w:r w:rsidRPr="00CA4638">
        <w:rPr>
          <w:sz w:val="24"/>
          <w:szCs w:val="24"/>
          <w:lang w:val="en-US"/>
        </w:rPr>
        <w:t xml:space="preserve"> chemotherapy,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administered daily for up to 2 weeks, until the ANC has reached 10 x 10</w:t>
      </w:r>
      <w:r w:rsidRPr="004843A4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following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 expected chemotherapy-induced neutrophil nadir. In patients with AML receiving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induction or consolidation chemotherapy,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 administered daily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until the ANC has reached &gt; 1.0 x 109/L for 3 consecutive days or &gt; 10 x 10</w:t>
      </w:r>
      <w:r w:rsidRPr="004843A4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for 1</w:t>
      </w:r>
      <w:r w:rsidR="006A0A7F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day following the expected chemotherapy-induced neutrophil nadir.</w:t>
      </w:r>
    </w:p>
    <w:p w:rsidR="006A0A7F" w:rsidRPr="00CA4638" w:rsidRDefault="006A0A7F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9A1355" w:rsidRPr="00CA4638" w:rsidRDefault="00332B2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Patients With Non-myeloid Malignancies Receiving High-dose Cytotoxic</w:t>
      </w:r>
      <w:r w:rsidR="009A1355">
        <w:rPr>
          <w:b/>
          <w:bCs/>
          <w:i/>
          <w:iCs/>
          <w:sz w:val="24"/>
          <w:szCs w:val="24"/>
          <w:lang w:val="en-US"/>
        </w:rPr>
        <w:t xml:space="preserve"> </w:t>
      </w:r>
    </w:p>
    <w:p w:rsidR="00332B2A" w:rsidRDefault="00332B2A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Chemotherapy With Autologous or Allogeneic Bone Marrow or Peripheral</w:t>
      </w:r>
      <w:r w:rsidR="009A1355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CA4638">
        <w:rPr>
          <w:b/>
          <w:bCs/>
          <w:i/>
          <w:iCs/>
          <w:sz w:val="24"/>
          <w:szCs w:val="24"/>
          <w:lang w:val="en-US"/>
        </w:rPr>
        <w:t>Blood Progenitor Cell Transplantation</w:t>
      </w:r>
    </w:p>
    <w:p w:rsidR="009A1355" w:rsidRPr="00CA4638" w:rsidRDefault="009A1355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recommended starting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is 10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given by</w:t>
      </w:r>
      <w:r w:rsidR="008E2E5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continuous SC infusion or by IV infusion over 4 to 24 hours.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</w:t>
      </w:r>
      <w:r w:rsidR="008E2E5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diluted in 25 to 50 mL of 5% glucose solution. The first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</w:t>
      </w:r>
      <w:r w:rsidR="008E2E5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be administered not less than 24 hours following cytotoxic chemotherapy and within</w:t>
      </w:r>
      <w:r w:rsidR="008E2E5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24 hours of bone marrow or PBPC infusion.</w:t>
      </w:r>
    </w:p>
    <w:p w:rsidR="001C06B5" w:rsidRPr="00CA4638" w:rsidRDefault="001C06B5" w:rsidP="000738BC">
      <w:pPr>
        <w:jc w:val="both"/>
        <w:rPr>
          <w:b/>
          <w:sz w:val="24"/>
          <w:szCs w:val="24"/>
          <w:lang w:val="en-US"/>
        </w:rPr>
      </w:pPr>
    </w:p>
    <w:p w:rsidR="00B1474B" w:rsidRDefault="00B147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Once the neutrophil nadir has been passed, the daily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</w:t>
      </w:r>
      <w:r w:rsidR="008E2E5D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be titrated against the neutrophil response as follows:</w:t>
      </w:r>
    </w:p>
    <w:p w:rsidR="00332B2A" w:rsidRPr="00CA4638" w:rsidRDefault="00332B2A" w:rsidP="000738BC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US"/>
        </w:rPr>
      </w:pPr>
    </w:p>
    <w:tbl>
      <w:tblPr>
        <w:tblW w:w="8040" w:type="dxa"/>
        <w:tblInd w:w="10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4253"/>
        <w:gridCol w:w="3787"/>
      </w:tblGrid>
      <w:tr w:rsidR="00332B2A" w:rsidRPr="00E51462" w:rsidTr="00E601E5">
        <w:trPr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332B2A" w:rsidRPr="00E51462" w:rsidRDefault="00332B2A" w:rsidP="000738B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E51462">
              <w:rPr>
                <w:bCs/>
                <w:color w:val="000000"/>
                <w:lang w:val="en-US"/>
              </w:rPr>
              <w:t xml:space="preserve">Neutrophil Count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332B2A" w:rsidRPr="00E51462" w:rsidRDefault="005F78EA" w:rsidP="000738B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proofErr w:type="spellStart"/>
            <w:r w:rsidRPr="00E51462">
              <w:rPr>
                <w:bCs/>
                <w:color w:val="000000"/>
                <w:lang w:val="en-US"/>
              </w:rPr>
              <w:t>F</w:t>
            </w:r>
            <w:r w:rsidR="008D7885" w:rsidRPr="00E51462">
              <w:rPr>
                <w:bCs/>
                <w:color w:val="000000"/>
                <w:lang w:val="en-US"/>
              </w:rPr>
              <w:t>ilgrastim</w:t>
            </w:r>
            <w:proofErr w:type="spellEnd"/>
            <w:r w:rsidR="00332B2A" w:rsidRPr="00E51462">
              <w:rPr>
                <w:bCs/>
                <w:color w:val="000000"/>
                <w:lang w:val="en-US"/>
              </w:rPr>
              <w:t xml:space="preserve"> Dose Adjustment </w:t>
            </w:r>
          </w:p>
        </w:tc>
      </w:tr>
      <w:tr w:rsidR="00F54014" w:rsidRPr="00E51462" w:rsidTr="00E601E5">
        <w:trPr>
          <w:trHeight w:val="56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F54014" w:rsidRPr="00E51462" w:rsidRDefault="00F54014" w:rsidP="000738B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/>
              </w:rPr>
            </w:pPr>
            <w:r w:rsidRPr="00E51462">
              <w:rPr>
                <w:color w:val="000000"/>
                <w:lang w:val="en-US"/>
              </w:rPr>
              <w:t>When ANC &gt; 1.0 x 10</w:t>
            </w:r>
            <w:r w:rsidRPr="006A1D7F">
              <w:rPr>
                <w:color w:val="000000"/>
                <w:vertAlign w:val="superscript"/>
                <w:lang w:val="en-US"/>
              </w:rPr>
              <w:t>9</w:t>
            </w:r>
            <w:r w:rsidRPr="00E51462">
              <w:rPr>
                <w:color w:val="000000"/>
                <w:lang w:val="en-US"/>
              </w:rPr>
              <w:t xml:space="preserve">/L for 3 consecutive days </w:t>
            </w:r>
          </w:p>
        </w:tc>
        <w:tc>
          <w:tcPr>
            <w:tcW w:w="3787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F54014" w:rsidRPr="00E51462" w:rsidRDefault="00F54014" w:rsidP="000738B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/>
              </w:rPr>
            </w:pPr>
            <w:r w:rsidRPr="00E51462">
              <w:rPr>
                <w:color w:val="000000"/>
                <w:lang w:val="en-US"/>
              </w:rPr>
              <w:t xml:space="preserve">Reduce to 5 </w:t>
            </w:r>
            <w:proofErr w:type="spellStart"/>
            <w:r w:rsidRPr="00E51462">
              <w:rPr>
                <w:color w:val="000000"/>
                <w:lang w:val="en-US"/>
              </w:rPr>
              <w:t>μg</w:t>
            </w:r>
            <w:proofErr w:type="spellEnd"/>
            <w:r w:rsidRPr="00E51462">
              <w:rPr>
                <w:color w:val="000000"/>
                <w:lang w:val="en-US"/>
              </w:rPr>
              <w:t>/kg/day (</w:t>
            </w:r>
            <w:r w:rsidRPr="00B411A1">
              <w:rPr>
                <w:color w:val="000000"/>
                <w:vertAlign w:val="superscript"/>
                <w:lang w:val="en-US"/>
              </w:rPr>
              <w:t>§</w:t>
            </w:r>
            <w:r w:rsidRPr="00E51462">
              <w:rPr>
                <w:color w:val="000000"/>
                <w:lang w:val="en-US"/>
              </w:rPr>
              <w:t>see below)</w:t>
            </w:r>
          </w:p>
        </w:tc>
      </w:tr>
      <w:tr w:rsidR="00F54014" w:rsidRPr="00E51462" w:rsidTr="00E601E5">
        <w:trPr>
          <w:trHeight w:val="210"/>
        </w:trPr>
        <w:tc>
          <w:tcPr>
            <w:tcW w:w="4253" w:type="dxa"/>
            <w:tcBorders>
              <w:left w:val="single" w:sz="4" w:space="0" w:color="auto"/>
              <w:right w:val="single" w:sz="7" w:space="0" w:color="000000"/>
            </w:tcBorders>
          </w:tcPr>
          <w:p w:rsidR="00F54014" w:rsidRPr="00E51462" w:rsidRDefault="00F54014" w:rsidP="000738B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51462">
              <w:rPr>
                <w:color w:val="000000"/>
                <w:lang w:val="en-US"/>
              </w:rPr>
              <w:t>Then, if ANC remains &gt; 1.0 x 10</w:t>
            </w:r>
            <w:r w:rsidRPr="006A1D7F">
              <w:rPr>
                <w:color w:val="000000"/>
                <w:vertAlign w:val="superscript"/>
                <w:lang w:val="en-US"/>
              </w:rPr>
              <w:t>9</w:t>
            </w:r>
            <w:r w:rsidRPr="00E51462">
              <w:rPr>
                <w:color w:val="000000"/>
                <w:lang w:val="en-US"/>
              </w:rPr>
              <w:t xml:space="preserve">/L for 3 </w:t>
            </w:r>
          </w:p>
        </w:tc>
        <w:tc>
          <w:tcPr>
            <w:tcW w:w="3787" w:type="dxa"/>
            <w:tcBorders>
              <w:left w:val="single" w:sz="7" w:space="0" w:color="000000"/>
              <w:right w:val="single" w:sz="4" w:space="0" w:color="auto"/>
            </w:tcBorders>
          </w:tcPr>
          <w:p w:rsidR="00F54014" w:rsidRPr="00E51462" w:rsidRDefault="00F54014" w:rsidP="000738B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E51462">
              <w:rPr>
                <w:color w:val="000000"/>
                <w:lang w:val="en-US"/>
              </w:rPr>
              <w:t xml:space="preserve">Discontinue </w:t>
            </w:r>
            <w:proofErr w:type="spellStart"/>
            <w:r w:rsidR="008D7885" w:rsidRPr="00E51462">
              <w:rPr>
                <w:color w:val="000000"/>
                <w:lang w:val="en-US"/>
              </w:rPr>
              <w:t>filgrastim</w:t>
            </w:r>
            <w:proofErr w:type="spellEnd"/>
            <w:r w:rsidRPr="00E51462">
              <w:rPr>
                <w:color w:val="000000"/>
                <w:lang w:val="en-US"/>
              </w:rPr>
              <w:t xml:space="preserve"> </w:t>
            </w:r>
          </w:p>
        </w:tc>
      </w:tr>
      <w:tr w:rsidR="00F54014" w:rsidRPr="00E51462" w:rsidTr="00E601E5">
        <w:trPr>
          <w:trHeight w:val="51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F54014" w:rsidRPr="00E51462" w:rsidRDefault="00F54014" w:rsidP="000738B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51462">
              <w:rPr>
                <w:color w:val="000000"/>
                <w:lang w:val="en-US"/>
              </w:rPr>
              <w:t xml:space="preserve">consecutive days </w:t>
            </w:r>
          </w:p>
        </w:tc>
        <w:tc>
          <w:tcPr>
            <w:tcW w:w="3787" w:type="dxa"/>
            <w:tcBorders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F54014" w:rsidRPr="00E51462" w:rsidRDefault="00F54014" w:rsidP="000738B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</w:p>
        </w:tc>
      </w:tr>
      <w:tr w:rsidR="00F54014" w:rsidRPr="00E51462" w:rsidTr="00E601E5">
        <w:trPr>
          <w:trHeight w:val="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F54014" w:rsidRPr="00E51462" w:rsidRDefault="00F54014" w:rsidP="000738B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E51462">
              <w:rPr>
                <w:color w:val="000000"/>
                <w:lang w:val="en-US"/>
              </w:rPr>
              <w:t>If ANC decreases to &lt; 1.0 x 10</w:t>
            </w:r>
            <w:r w:rsidRPr="006A1D7F">
              <w:rPr>
                <w:color w:val="000000"/>
                <w:vertAlign w:val="superscript"/>
                <w:lang w:val="en-US"/>
              </w:rPr>
              <w:t>9</w:t>
            </w:r>
            <w:r w:rsidRPr="00E51462">
              <w:rPr>
                <w:color w:val="000000"/>
                <w:lang w:val="en-US"/>
              </w:rPr>
              <w:t xml:space="preserve">/L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F54014" w:rsidRPr="00E51462" w:rsidRDefault="00F54014" w:rsidP="000738BC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E51462">
              <w:rPr>
                <w:color w:val="000000"/>
                <w:lang w:val="en-US"/>
              </w:rPr>
              <w:t xml:space="preserve">Resume at 5 </w:t>
            </w:r>
            <w:proofErr w:type="spellStart"/>
            <w:r w:rsidRPr="00E51462">
              <w:rPr>
                <w:color w:val="000000"/>
                <w:lang w:val="en-US"/>
              </w:rPr>
              <w:t>μg</w:t>
            </w:r>
            <w:proofErr w:type="spellEnd"/>
            <w:r w:rsidRPr="00E51462">
              <w:rPr>
                <w:color w:val="000000"/>
                <w:lang w:val="en-US"/>
              </w:rPr>
              <w:t xml:space="preserve">/kg/day </w:t>
            </w:r>
          </w:p>
        </w:tc>
      </w:tr>
    </w:tbl>
    <w:p w:rsidR="00720040" w:rsidRPr="00B411A1" w:rsidRDefault="00B411A1" w:rsidP="00B411A1">
      <w:pPr>
        <w:autoSpaceDE w:val="0"/>
        <w:autoSpaceDN w:val="0"/>
        <w:adjustRightInd w:val="0"/>
        <w:ind w:left="170" w:hanging="170"/>
        <w:jc w:val="both"/>
        <w:rPr>
          <w:lang w:val="en-US"/>
        </w:rPr>
      </w:pPr>
      <w:r w:rsidRPr="00B411A1">
        <w:rPr>
          <w:color w:val="000000"/>
          <w:vertAlign w:val="superscript"/>
          <w:lang w:val="en-US"/>
        </w:rPr>
        <w:t>§</w:t>
      </w:r>
      <w:r>
        <w:rPr>
          <w:color w:val="000000"/>
          <w:vertAlign w:val="superscript"/>
          <w:lang w:val="en-US"/>
        </w:rPr>
        <w:t xml:space="preserve"> </w:t>
      </w:r>
      <w:r w:rsidR="00720040" w:rsidRPr="00B411A1">
        <w:rPr>
          <w:lang w:val="en-US"/>
        </w:rPr>
        <w:t>If the ANC decreases to &lt; 1.0 x 10</w:t>
      </w:r>
      <w:r w:rsidR="00720040" w:rsidRPr="00B411A1">
        <w:rPr>
          <w:vertAlign w:val="superscript"/>
          <w:lang w:val="en-US"/>
        </w:rPr>
        <w:t>9</w:t>
      </w:r>
      <w:r w:rsidR="00720040" w:rsidRPr="00B411A1">
        <w:rPr>
          <w:lang w:val="en-US"/>
        </w:rPr>
        <w:t xml:space="preserve">/L at any time during the 5 </w:t>
      </w:r>
      <w:proofErr w:type="spellStart"/>
      <w:r w:rsidR="00720040" w:rsidRPr="00B411A1">
        <w:rPr>
          <w:lang w:val="en-US"/>
        </w:rPr>
        <w:t>μg</w:t>
      </w:r>
      <w:proofErr w:type="spellEnd"/>
      <w:r w:rsidR="00720040" w:rsidRPr="00B411A1">
        <w:rPr>
          <w:lang w:val="en-US"/>
        </w:rPr>
        <w:t>/kg/day administration,</w:t>
      </w:r>
      <w:r w:rsidR="00446499" w:rsidRPr="00B411A1">
        <w:rPr>
          <w:lang w:val="en-US"/>
        </w:rPr>
        <w:t xml:space="preserve"> </w:t>
      </w:r>
      <w:proofErr w:type="spellStart"/>
      <w:r w:rsidR="008D7885" w:rsidRPr="00B411A1">
        <w:rPr>
          <w:lang w:val="en-US"/>
        </w:rPr>
        <w:t>filgrastim</w:t>
      </w:r>
      <w:proofErr w:type="spellEnd"/>
      <w:r w:rsidR="00720040" w:rsidRPr="00B411A1">
        <w:rPr>
          <w:lang w:val="en-US"/>
        </w:rPr>
        <w:t xml:space="preserve"> should be increased to 10 </w:t>
      </w:r>
      <w:proofErr w:type="spellStart"/>
      <w:r w:rsidR="00720040" w:rsidRPr="00B411A1">
        <w:rPr>
          <w:lang w:val="en-US"/>
        </w:rPr>
        <w:t>μg</w:t>
      </w:r>
      <w:proofErr w:type="spellEnd"/>
      <w:r w:rsidR="00720040" w:rsidRPr="00B411A1">
        <w:rPr>
          <w:lang w:val="en-US"/>
        </w:rPr>
        <w:t>/kg/day, and the above steps should then be followed.</w:t>
      </w:r>
      <w:r w:rsidR="00447022" w:rsidRPr="00B411A1">
        <w:rPr>
          <w:lang w:val="en-US"/>
        </w:rPr>
        <w:t xml:space="preserve"> </w:t>
      </w:r>
      <w:r w:rsidR="00720040" w:rsidRPr="00B411A1">
        <w:rPr>
          <w:lang w:val="en-US"/>
        </w:rPr>
        <w:t>ANC = absolute neutrophil count</w:t>
      </w: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Patients With Myeloid Malignancies Receiving High-dose Cytotoxic</w:t>
      </w:r>
      <w:r w:rsidR="00431179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CA4638">
        <w:rPr>
          <w:b/>
          <w:bCs/>
          <w:i/>
          <w:iCs/>
          <w:sz w:val="24"/>
          <w:szCs w:val="24"/>
          <w:lang w:val="en-US"/>
        </w:rPr>
        <w:t>Chemotherapy With Autologous or Allogeneic Bone Marrow or Peripheral</w:t>
      </w:r>
      <w:r w:rsidR="00431179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CA4638">
        <w:rPr>
          <w:b/>
          <w:bCs/>
          <w:i/>
          <w:iCs/>
          <w:sz w:val="24"/>
          <w:szCs w:val="24"/>
          <w:lang w:val="en-US"/>
        </w:rPr>
        <w:t>Blood Progenitor Cell Transplantation</w:t>
      </w:r>
    </w:p>
    <w:p w:rsidR="00431179" w:rsidRPr="00CA4638" w:rsidRDefault="00431179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Following transplant, the recommended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to be given to the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recipient is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/kg/day until </w:t>
      </w:r>
      <w:proofErr w:type="spellStart"/>
      <w:r w:rsidRPr="00CA4638">
        <w:rPr>
          <w:sz w:val="24"/>
          <w:szCs w:val="24"/>
          <w:lang w:val="en-US"/>
        </w:rPr>
        <w:t>neutrophil</w:t>
      </w:r>
      <w:proofErr w:type="spellEnd"/>
      <w:r w:rsidRPr="00CA4638">
        <w:rPr>
          <w:sz w:val="24"/>
          <w:szCs w:val="24"/>
          <w:lang w:val="en-US"/>
        </w:rPr>
        <w:t xml:space="preserve"> recovery (up to 28 days). When given post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transplantation, the first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 administered at least 24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hours after cytotoxic chemotherapy and at least 24 hours after infusion of bone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marrow or PBPCs.</w:t>
      </w:r>
    </w:p>
    <w:p w:rsidR="002A14B4" w:rsidRPr="00CA4638" w:rsidRDefault="002A14B4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Autologous Peripheral Blood Progenitor Cell Collection and Therapy</w:t>
      </w:r>
    </w:p>
    <w:p w:rsidR="00431179" w:rsidRPr="00CA4638" w:rsidRDefault="00431179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recommended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PBPC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when used alone is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10 </w:t>
      </w:r>
      <w:proofErr w:type="spellStart"/>
      <w:r w:rsidRPr="00F047E6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given as a single daily SC injection or a continuous 24 hour infusion.</w:t>
      </w:r>
      <w:r w:rsidR="002A14B4" w:rsidRPr="00CA4638">
        <w:rPr>
          <w:sz w:val="24"/>
          <w:szCs w:val="24"/>
          <w:lang w:val="en-US"/>
        </w:rPr>
        <w:t xml:space="preserve"> </w:t>
      </w:r>
      <w:proofErr w:type="spellStart"/>
      <w:r w:rsidR="00090ACE" w:rsidRPr="00CA4638">
        <w:rPr>
          <w:sz w:val="24"/>
          <w:szCs w:val="24"/>
          <w:lang w:val="en-US"/>
        </w:rPr>
        <w:t>F</w:t>
      </w:r>
      <w:r w:rsidR="008D7885" w:rsidRPr="00CA4638">
        <w:rPr>
          <w:sz w:val="24"/>
          <w:szCs w:val="24"/>
          <w:lang w:val="en-US"/>
        </w:rPr>
        <w:t>ilgrastim</w:t>
      </w:r>
      <w:proofErr w:type="spellEnd"/>
      <w:r w:rsidRPr="00CA4638">
        <w:rPr>
          <w:sz w:val="24"/>
          <w:szCs w:val="24"/>
          <w:lang w:val="en-US"/>
        </w:rPr>
        <w:t xml:space="preserve"> therapy should be given for at least 4 days before the first</w:t>
      </w:r>
      <w:r w:rsidR="002A14B4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procedure and should be continued through to the day of the last</w:t>
      </w:r>
      <w:r w:rsidR="002A14B4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procedure. Collections should be commenced on day 5 and continued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on consecutive days until the desired yield of </w:t>
      </w:r>
      <w:proofErr w:type="spellStart"/>
      <w:r w:rsidRPr="00CA4638">
        <w:rPr>
          <w:sz w:val="24"/>
          <w:szCs w:val="24"/>
          <w:lang w:val="en-US"/>
        </w:rPr>
        <w:t>haemopoietic</w:t>
      </w:r>
      <w:proofErr w:type="spellEnd"/>
      <w:r w:rsidRPr="00CA4638">
        <w:rPr>
          <w:sz w:val="24"/>
          <w:szCs w:val="24"/>
          <w:lang w:val="en-US"/>
        </w:rPr>
        <w:t xml:space="preserve"> progenitor cells is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obtained. For PBPCs </w:t>
      </w:r>
      <w:proofErr w:type="spellStart"/>
      <w:r w:rsidRPr="00CA4638">
        <w:rPr>
          <w:sz w:val="24"/>
          <w:szCs w:val="24"/>
          <w:lang w:val="en-US"/>
        </w:rPr>
        <w:t>mobilised</w:t>
      </w:r>
      <w:proofErr w:type="spellEnd"/>
      <w:r w:rsidRPr="00CA4638">
        <w:rPr>
          <w:sz w:val="24"/>
          <w:szCs w:val="24"/>
          <w:lang w:val="en-US"/>
        </w:rPr>
        <w:t xml:space="preserve">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alone, a schedule of</w:t>
      </w:r>
      <w:r w:rsidR="002A14B4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collections on days 5, 6 and 7 of a 7-day treatment regimen has been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found to be effective. In some patients with extensive prior chemotherapy, additional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daily doses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may be required to support additional </w:t>
      </w:r>
      <w:proofErr w:type="spellStart"/>
      <w:r w:rsidRPr="00CA4638">
        <w:rPr>
          <w:sz w:val="24"/>
          <w:szCs w:val="24"/>
          <w:lang w:val="en-US"/>
        </w:rPr>
        <w:t>leukaphereses</w:t>
      </w:r>
      <w:proofErr w:type="spellEnd"/>
      <w:r w:rsidRPr="00CA4638">
        <w:rPr>
          <w:sz w:val="24"/>
          <w:szCs w:val="24"/>
          <w:lang w:val="en-US"/>
        </w:rPr>
        <w:t xml:space="preserve"> to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reach the desired target yield of cells (see PRECAUTIONS: PERIPHERAL BLOOD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PROGENITOR CELL COLLECTION AND THERAPY: PRIOR EXPOSURE TO</w:t>
      </w:r>
      <w:r w:rsidR="002A14B4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CYTOTOXIC AGENTS).</w:t>
      </w:r>
    </w:p>
    <w:p w:rsidR="00332B2A" w:rsidRPr="00CA4638" w:rsidRDefault="00332B2A" w:rsidP="000738BC">
      <w:pPr>
        <w:jc w:val="both"/>
        <w:rPr>
          <w:b/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recommended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PBPC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after</w:t>
      </w:r>
      <w:r w:rsidR="002A14B4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chemotherapy is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given daily by SC injection from 24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hours after completion of chemotherapy until the expected neutrophil nadir is passed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and the neutrophil count has recovered to the normal range.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should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be commenced during the period when the ANC rises from &lt; 0.5 x 10</w:t>
      </w:r>
      <w:r w:rsidRPr="001D6F83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to &gt; 5.0 x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10</w:t>
      </w:r>
      <w:r w:rsidRPr="004D2CFF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/L.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collection should be repeated on consecutive days until an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adequate number of progenitor cells is obtained (see PRECAUTIONS: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PERIPHERAL BLOOD PROGENITOR CELL COLLECTION AND THERAPY: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PRIOR EXPOSURE TO CYTOTOXIC AGENTS).</w:t>
      </w:r>
    </w:p>
    <w:p w:rsidR="00431179" w:rsidRDefault="00431179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all clinical trials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for the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of PBPCs,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was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administered following infusion of the collected cells. In the </w:t>
      </w:r>
      <w:proofErr w:type="spellStart"/>
      <w:r w:rsidRPr="00CA4638">
        <w:rPr>
          <w:sz w:val="24"/>
          <w:szCs w:val="24"/>
          <w:lang w:val="en-US"/>
        </w:rPr>
        <w:t>randomised</w:t>
      </w:r>
      <w:proofErr w:type="spellEnd"/>
      <w:r w:rsidRPr="00CA4638">
        <w:rPr>
          <w:sz w:val="24"/>
          <w:szCs w:val="24"/>
          <w:lang w:val="en-US"/>
        </w:rPr>
        <w:t xml:space="preserve"> phase 3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study, patients received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post-transplantation until a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sustainable ANC (&gt; 0.5 x 10</w:t>
      </w:r>
      <w:r w:rsidRPr="00431179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 was reached (see CLINICAL PHARMACOLOGY: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PHARMACOLOGICAL EFFECTS: PERIPHERAL BLOOD PROGENITOR CELL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COLLECTION AND THERAPY). When given post-transplantation, the first dose of</w:t>
      </w:r>
      <w:r w:rsidR="00B2102B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 administered at least 24 hours after cytotoxic chemotherapy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and at least 24 hours after infusion of PBPCs.</w:t>
      </w:r>
    </w:p>
    <w:p w:rsidR="00332B2A" w:rsidRPr="00CA4638" w:rsidRDefault="00332B2A" w:rsidP="000738BC">
      <w:pPr>
        <w:jc w:val="both"/>
        <w:rPr>
          <w:b/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Allogeneic Peripheral Blood Progenitor Cell Collection From Normal Donors</w:t>
      </w:r>
    </w:p>
    <w:p w:rsidR="00431179" w:rsidRPr="00CA4638" w:rsidRDefault="00431179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B2102B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For PBPC </w:t>
      </w:r>
      <w:proofErr w:type="spellStart"/>
      <w:r w:rsidRPr="00CA4638">
        <w:rPr>
          <w:sz w:val="24"/>
          <w:szCs w:val="24"/>
          <w:lang w:val="en-US"/>
        </w:rPr>
        <w:t>mobilisation</w:t>
      </w:r>
      <w:proofErr w:type="spellEnd"/>
      <w:r w:rsidRPr="00CA4638">
        <w:rPr>
          <w:sz w:val="24"/>
          <w:szCs w:val="24"/>
          <w:lang w:val="en-US"/>
        </w:rPr>
        <w:t xml:space="preserve"> in normal donors,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should be administered at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10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/kg/day subcutaneously for 4 to 5 consecutive days. </w:t>
      </w:r>
      <w:proofErr w:type="spellStart"/>
      <w:r w:rsidRPr="00CA4638">
        <w:rPr>
          <w:sz w:val="24"/>
          <w:szCs w:val="24"/>
          <w:lang w:val="en-US"/>
        </w:rPr>
        <w:t>Leukapheresis</w:t>
      </w:r>
      <w:proofErr w:type="spellEnd"/>
      <w:r w:rsidRPr="00CA4638">
        <w:rPr>
          <w:sz w:val="24"/>
          <w:szCs w:val="24"/>
          <w:lang w:val="en-US"/>
        </w:rPr>
        <w:t xml:space="preserve"> should be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started on day 5 and daily collections continued on day 6 in order to collect a target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yield of 4 x 10</w:t>
      </w:r>
      <w:r w:rsidRPr="00431179">
        <w:rPr>
          <w:sz w:val="24"/>
          <w:szCs w:val="24"/>
          <w:vertAlign w:val="superscript"/>
          <w:lang w:val="en-US"/>
        </w:rPr>
        <w:t>6</w:t>
      </w:r>
      <w:r w:rsidRPr="00CA4638">
        <w:rPr>
          <w:sz w:val="24"/>
          <w:szCs w:val="24"/>
          <w:lang w:val="en-US"/>
        </w:rPr>
        <w:t xml:space="preserve"> CD34</w:t>
      </w:r>
      <w:r w:rsidRPr="00431179">
        <w:rPr>
          <w:sz w:val="24"/>
          <w:szCs w:val="24"/>
          <w:vertAlign w:val="superscript"/>
          <w:lang w:val="en-US"/>
        </w:rPr>
        <w:t>+</w:t>
      </w:r>
      <w:r w:rsidRPr="00CA4638">
        <w:rPr>
          <w:sz w:val="24"/>
          <w:szCs w:val="24"/>
          <w:lang w:val="en-US"/>
        </w:rPr>
        <w:t xml:space="preserve"> cells/kg recipient bodyweight.</w:t>
      </w:r>
      <w:r w:rsidR="00B2102B" w:rsidRPr="00CA4638">
        <w:rPr>
          <w:sz w:val="24"/>
          <w:szCs w:val="24"/>
          <w:lang w:val="en-US"/>
        </w:rPr>
        <w:t xml:space="preserve"> </w:t>
      </w:r>
    </w:p>
    <w:p w:rsidR="00B2102B" w:rsidRPr="00CA4638" w:rsidRDefault="00B2102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Patients With Severe Chronic Neutropenia</w:t>
      </w:r>
    </w:p>
    <w:p w:rsidR="00C37F27" w:rsidRPr="00CA4638" w:rsidRDefault="00C37F27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Diagnosis of SCN</w:t>
      </w:r>
    </w:p>
    <w:p w:rsidR="00C37F27" w:rsidRPr="00CA4638" w:rsidRDefault="00C37F27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0023F1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Care should be taken to confirm the diagnosis of SCN, which may be difficult to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distinguish from MDS, before initiating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</w:t>
      </w:r>
      <w:r w:rsidR="00B2102B" w:rsidRPr="00CA4638">
        <w:rPr>
          <w:sz w:val="24"/>
          <w:szCs w:val="24"/>
          <w:lang w:val="en-US"/>
        </w:rPr>
        <w:t xml:space="preserve"> </w:t>
      </w:r>
    </w:p>
    <w:p w:rsidR="000023F1" w:rsidRDefault="000023F1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It is essential that serial FBCs with differential and platelet </w:t>
      </w:r>
      <w:r w:rsidR="004A05B5" w:rsidRPr="00CA4638">
        <w:rPr>
          <w:sz w:val="24"/>
          <w:szCs w:val="24"/>
          <w:lang w:val="en-US"/>
        </w:rPr>
        <w:t>counts</w:t>
      </w:r>
      <w:r w:rsidRPr="00CA4638">
        <w:rPr>
          <w:sz w:val="24"/>
          <w:szCs w:val="24"/>
          <w:lang w:val="en-US"/>
        </w:rPr>
        <w:t xml:space="preserve"> and an evaluation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of bone marrow morphology and karyotype be performed prior to initiation of</w:t>
      </w:r>
      <w:r w:rsidR="00B2102B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therapy.</w:t>
      </w:r>
    </w:p>
    <w:p w:rsidR="00332B2A" w:rsidRPr="00CA4638" w:rsidRDefault="00332B2A" w:rsidP="000738BC">
      <w:pPr>
        <w:jc w:val="both"/>
        <w:rPr>
          <w:b/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Starting Dose</w:t>
      </w:r>
    </w:p>
    <w:p w:rsidR="004D3935" w:rsidRPr="00CA4638" w:rsidRDefault="004D3935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Congenital Neutropenia</w:t>
      </w:r>
      <w:r w:rsidRPr="00CA4638">
        <w:rPr>
          <w:sz w:val="24"/>
          <w:szCs w:val="24"/>
          <w:lang w:val="en-US"/>
        </w:rPr>
        <w:t xml:space="preserve">: The recommended daily starting dose is 12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subcutaneously every day (single or divided doses).</w:t>
      </w:r>
    </w:p>
    <w:p w:rsidR="004D3935" w:rsidRDefault="004D3935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Idiopathic or Cyclic Neutropenia</w:t>
      </w:r>
      <w:r w:rsidRPr="00CA4638">
        <w:rPr>
          <w:sz w:val="24"/>
          <w:szCs w:val="24"/>
          <w:lang w:val="en-US"/>
        </w:rPr>
        <w:t xml:space="preserve">: The recommended daily starting dose is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subcutaneously every day (single or divided doses).</w:t>
      </w:r>
    </w:p>
    <w:p w:rsidR="004D3935" w:rsidRDefault="004D393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Pr="00CA4638" w:rsidRDefault="004D393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CA4638">
        <w:rPr>
          <w:sz w:val="24"/>
          <w:szCs w:val="24"/>
          <w:lang w:val="en-US"/>
        </w:rPr>
        <w:t>Filgrastim</w:t>
      </w:r>
      <w:proofErr w:type="spellEnd"/>
      <w:r w:rsidR="00720040" w:rsidRPr="00CA4638">
        <w:rPr>
          <w:sz w:val="24"/>
          <w:szCs w:val="24"/>
          <w:lang w:val="en-US"/>
        </w:rPr>
        <w:t xml:space="preserve"> may be administered subcutaneously as a single daily injection to</w:t>
      </w:r>
      <w:r w:rsidR="00B2102B" w:rsidRPr="00CA4638">
        <w:rPr>
          <w:sz w:val="24"/>
          <w:szCs w:val="24"/>
          <w:lang w:val="en-US"/>
        </w:rPr>
        <w:t xml:space="preserve"> </w:t>
      </w:r>
      <w:r w:rsidR="00720040" w:rsidRPr="00CA4638">
        <w:rPr>
          <w:sz w:val="24"/>
          <w:szCs w:val="24"/>
          <w:lang w:val="en-US"/>
        </w:rPr>
        <w:t>increase and sustain the average neutrophil count above 1.5 x 10</w:t>
      </w:r>
      <w:r w:rsidR="00720040" w:rsidRPr="006542D9">
        <w:rPr>
          <w:sz w:val="24"/>
          <w:szCs w:val="24"/>
          <w:vertAlign w:val="superscript"/>
          <w:lang w:val="en-US"/>
        </w:rPr>
        <w:t>9</w:t>
      </w:r>
      <w:r w:rsidR="00720040" w:rsidRPr="00CA4638">
        <w:rPr>
          <w:sz w:val="24"/>
          <w:szCs w:val="24"/>
          <w:lang w:val="en-US"/>
        </w:rPr>
        <w:t>/L. Chronic daily</w:t>
      </w:r>
      <w:r w:rsidR="00B2102B" w:rsidRPr="00CA4638">
        <w:rPr>
          <w:sz w:val="24"/>
          <w:szCs w:val="24"/>
          <w:lang w:val="en-US"/>
        </w:rPr>
        <w:t xml:space="preserve"> </w:t>
      </w:r>
      <w:r w:rsidR="00720040" w:rsidRPr="00CA4638">
        <w:rPr>
          <w:sz w:val="24"/>
          <w:szCs w:val="24"/>
          <w:lang w:val="en-US"/>
        </w:rPr>
        <w:t>administration is required to maintain an adequate neutrophil count. After 1 to 2</w:t>
      </w:r>
      <w:r w:rsidR="00B2102B" w:rsidRPr="00CA4638">
        <w:rPr>
          <w:sz w:val="24"/>
          <w:szCs w:val="24"/>
          <w:lang w:val="en-US"/>
        </w:rPr>
        <w:t xml:space="preserve"> </w:t>
      </w:r>
      <w:r w:rsidR="00720040" w:rsidRPr="00CA4638">
        <w:rPr>
          <w:sz w:val="24"/>
          <w:szCs w:val="24"/>
          <w:lang w:val="en-US"/>
        </w:rPr>
        <w:t>weeks of therapy, the initial dose may be doubled or halved. Subsequently, the dose</w:t>
      </w:r>
      <w:r w:rsidR="00B2102B" w:rsidRPr="00CA4638">
        <w:rPr>
          <w:sz w:val="24"/>
          <w:szCs w:val="24"/>
          <w:lang w:val="en-US"/>
        </w:rPr>
        <w:t xml:space="preserve"> </w:t>
      </w:r>
      <w:r w:rsidR="00720040" w:rsidRPr="00CA4638">
        <w:rPr>
          <w:sz w:val="24"/>
          <w:szCs w:val="24"/>
          <w:lang w:val="en-US"/>
        </w:rPr>
        <w:t>may be individually adjusted not more than every 1 to 2 weeks to maintain the</w:t>
      </w:r>
      <w:r w:rsidR="00B2102B" w:rsidRPr="00CA4638">
        <w:rPr>
          <w:sz w:val="24"/>
          <w:szCs w:val="24"/>
          <w:lang w:val="en-US"/>
        </w:rPr>
        <w:t xml:space="preserve"> </w:t>
      </w:r>
      <w:r w:rsidR="00720040" w:rsidRPr="00CA4638">
        <w:rPr>
          <w:sz w:val="24"/>
          <w:szCs w:val="24"/>
          <w:lang w:val="en-US"/>
        </w:rPr>
        <w:t>average neutrophil count between 1.5 and 10 x 10</w:t>
      </w:r>
      <w:r w:rsidR="00720040" w:rsidRPr="006542D9">
        <w:rPr>
          <w:sz w:val="24"/>
          <w:szCs w:val="24"/>
          <w:vertAlign w:val="superscript"/>
          <w:lang w:val="en-US"/>
        </w:rPr>
        <w:t>9</w:t>
      </w:r>
      <w:r w:rsidR="00720040" w:rsidRPr="00CA4638">
        <w:rPr>
          <w:sz w:val="24"/>
          <w:szCs w:val="24"/>
          <w:lang w:val="en-US"/>
        </w:rPr>
        <w:t>/L. The dose should be reduced</w:t>
      </w:r>
      <w:r w:rsidR="00B2102B" w:rsidRPr="00CA4638">
        <w:rPr>
          <w:sz w:val="24"/>
          <w:szCs w:val="24"/>
          <w:lang w:val="en-US"/>
        </w:rPr>
        <w:t xml:space="preserve"> </w:t>
      </w:r>
      <w:r w:rsidR="00720040" w:rsidRPr="00CA4638">
        <w:rPr>
          <w:sz w:val="24"/>
          <w:szCs w:val="24"/>
          <w:lang w:val="en-US"/>
        </w:rPr>
        <w:t>if the ANC is persistently above 10 x 10</w:t>
      </w:r>
      <w:r w:rsidR="00720040" w:rsidRPr="006542D9">
        <w:rPr>
          <w:sz w:val="24"/>
          <w:szCs w:val="24"/>
          <w:vertAlign w:val="superscript"/>
          <w:lang w:val="en-US"/>
        </w:rPr>
        <w:t>9</w:t>
      </w:r>
      <w:r w:rsidR="00720040" w:rsidRPr="00CA4638">
        <w:rPr>
          <w:sz w:val="24"/>
          <w:szCs w:val="24"/>
          <w:lang w:val="en-US"/>
        </w:rPr>
        <w:t>/L for 1 to 2 weeks.</w:t>
      </w:r>
    </w:p>
    <w:p w:rsidR="004D3935" w:rsidRDefault="004D393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clinical trials, 97% of patients who responded to treatment with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were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treated at doses </w:t>
      </w:r>
      <w:r w:rsidR="00BF0A90">
        <w:rPr>
          <w:sz w:val="24"/>
          <w:szCs w:val="24"/>
          <w:lang w:val="en-US"/>
        </w:rPr>
        <w:t>≤</w:t>
      </w:r>
      <w:r w:rsidRPr="00CA4638">
        <w:rPr>
          <w:sz w:val="24"/>
          <w:szCs w:val="24"/>
          <w:lang w:val="en-US"/>
        </w:rPr>
        <w:t xml:space="preserve"> 24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/kg/day. In the SCN </w:t>
      </w:r>
      <w:proofErr w:type="spellStart"/>
      <w:r w:rsidRPr="00CA4638">
        <w:rPr>
          <w:sz w:val="24"/>
          <w:szCs w:val="24"/>
          <w:lang w:val="en-US"/>
        </w:rPr>
        <w:t>postmarketing</w:t>
      </w:r>
      <w:proofErr w:type="spellEnd"/>
      <w:r w:rsidRPr="00CA4638">
        <w:rPr>
          <w:sz w:val="24"/>
          <w:szCs w:val="24"/>
          <w:lang w:val="en-US"/>
        </w:rPr>
        <w:t xml:space="preserve"> surveillance study, the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reported median daily doses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were: 6.0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 (congenital</w:t>
      </w:r>
      <w:r w:rsidR="00B2102B" w:rsidRPr="00CA4638">
        <w:rPr>
          <w:sz w:val="24"/>
          <w:szCs w:val="24"/>
          <w:lang w:val="en-US"/>
        </w:rPr>
        <w:t xml:space="preserve"> </w:t>
      </w:r>
      <w:proofErr w:type="spellStart"/>
      <w:r w:rsidRPr="00CA4638">
        <w:rPr>
          <w:sz w:val="24"/>
          <w:szCs w:val="24"/>
          <w:lang w:val="en-US"/>
        </w:rPr>
        <w:t>neutropenia</w:t>
      </w:r>
      <w:proofErr w:type="spellEnd"/>
      <w:r w:rsidRPr="00CA4638">
        <w:rPr>
          <w:sz w:val="24"/>
          <w:szCs w:val="24"/>
          <w:lang w:val="en-US"/>
        </w:rPr>
        <w:t xml:space="preserve">), 2.1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 (cyclic </w:t>
      </w:r>
      <w:proofErr w:type="spellStart"/>
      <w:r w:rsidRPr="00CA4638">
        <w:rPr>
          <w:sz w:val="24"/>
          <w:szCs w:val="24"/>
          <w:lang w:val="en-US"/>
        </w:rPr>
        <w:t>neutropenia</w:t>
      </w:r>
      <w:proofErr w:type="spellEnd"/>
      <w:r w:rsidRPr="00CA4638">
        <w:rPr>
          <w:sz w:val="24"/>
          <w:szCs w:val="24"/>
          <w:lang w:val="en-US"/>
        </w:rPr>
        <w:t xml:space="preserve">), and 1.2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 (idiopathic </w:t>
      </w:r>
      <w:proofErr w:type="spellStart"/>
      <w:r w:rsidRPr="00CA4638">
        <w:rPr>
          <w:sz w:val="24"/>
          <w:szCs w:val="24"/>
          <w:lang w:val="en-US"/>
        </w:rPr>
        <w:t>neutropenia</w:t>
      </w:r>
      <w:proofErr w:type="spellEnd"/>
      <w:r w:rsidRPr="00CA4638">
        <w:rPr>
          <w:sz w:val="24"/>
          <w:szCs w:val="24"/>
          <w:lang w:val="en-US"/>
        </w:rPr>
        <w:t>).</w:t>
      </w: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In rare instances, patients with congenital neutropenia have required doses of</w:t>
      </w:r>
      <w:r w:rsidR="00B2102B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</w:t>
      </w:r>
      <w:r w:rsidR="00BF0A90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100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/kg/day.</w:t>
      </w:r>
    </w:p>
    <w:p w:rsidR="00720040" w:rsidRPr="00CA4638" w:rsidRDefault="00720040" w:rsidP="000738BC">
      <w:pPr>
        <w:jc w:val="both"/>
        <w:rPr>
          <w:b/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A4638">
        <w:rPr>
          <w:b/>
          <w:bCs/>
          <w:i/>
          <w:iCs/>
          <w:sz w:val="24"/>
          <w:szCs w:val="24"/>
          <w:lang w:val="en-US"/>
        </w:rPr>
        <w:t>Patients With HIV Infection</w:t>
      </w:r>
    </w:p>
    <w:p w:rsidR="00D31A83" w:rsidRPr="00CA4638" w:rsidRDefault="00D31A83" w:rsidP="000738B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For Reversal of Neutropenia</w:t>
      </w:r>
    </w:p>
    <w:p w:rsidR="00D31A83" w:rsidRPr="00CA4638" w:rsidRDefault="00D31A83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6927AA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recommended starting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is 1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administered daily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by SC injection with titration up to a maximum of 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until a normal neutrophil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count is reached and can be maintained (ANC </w:t>
      </w:r>
      <w:r w:rsidR="00D31A83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2.0 x 10</w:t>
      </w:r>
      <w:r w:rsidRPr="004432AF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/L). In clinical studies, 96%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of patients responded 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at these doses, achieving reversal of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neutropenia in a median of 2 days.</w:t>
      </w:r>
      <w:r w:rsidR="00214496" w:rsidRPr="00CA4638">
        <w:rPr>
          <w:sz w:val="24"/>
          <w:szCs w:val="24"/>
          <w:lang w:val="en-US"/>
        </w:rPr>
        <w:t xml:space="preserve"> </w:t>
      </w:r>
    </w:p>
    <w:p w:rsidR="006927AA" w:rsidRDefault="006927AA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a small number of patients (2%), doses of up to 10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were required to</w:t>
      </w:r>
      <w:r w:rsidR="00B2102B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achieve reversal of neutropenia.</w:t>
      </w:r>
      <w:r w:rsidR="00B2102B" w:rsidRPr="00CA4638">
        <w:rPr>
          <w:sz w:val="24"/>
          <w:szCs w:val="24"/>
          <w:lang w:val="en-US"/>
        </w:rPr>
        <w:t xml:space="preserve"> </w:t>
      </w:r>
    </w:p>
    <w:p w:rsidR="00B2102B" w:rsidRPr="00CA4638" w:rsidRDefault="00B2102B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  <w:r w:rsidRPr="00CA4638">
        <w:rPr>
          <w:b/>
          <w:bCs/>
          <w:sz w:val="24"/>
          <w:szCs w:val="24"/>
          <w:lang w:val="en-US"/>
        </w:rPr>
        <w:t>For Maintaining Neutrophil Counts</w:t>
      </w:r>
    </w:p>
    <w:p w:rsidR="009B21B8" w:rsidRPr="00CA4638" w:rsidRDefault="009B21B8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n-US"/>
        </w:rPr>
      </w:pPr>
    </w:p>
    <w:p w:rsidR="00720040" w:rsidRPr="00CA4638" w:rsidRDefault="00720040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>When reversal of neutropenia has been achieved, the minimal effective dose of</w:t>
      </w:r>
      <w:r w:rsidR="00214496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to maintain a normal neutrophil count should be established. Initial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dose adjustment to 3 times weekly dosing with 300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/day by SC injection is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recommended. Further dose adjustment may be necessary, as determined by the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patient’s ANC, to maintain the neutrophil count at </w:t>
      </w:r>
      <w:r w:rsidR="00BC3537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2.0 x 10</w:t>
      </w:r>
      <w:r w:rsidRPr="00D070C9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/L. In clinical studies,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dosing with 300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/day on 1 to 7 days per week was required to maintain the ANC </w:t>
      </w:r>
      <w:r w:rsidR="003D4B9A">
        <w:rPr>
          <w:sz w:val="24"/>
          <w:szCs w:val="24"/>
          <w:lang w:val="en-US"/>
        </w:rPr>
        <w:t>≥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2.0 x 10</w:t>
      </w:r>
      <w:r w:rsidRPr="000023F1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/L, with the median dose frequency being 3 days per week. Long-term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administration may be required to maintain the ANC </w:t>
      </w:r>
      <w:r w:rsidR="00BC3537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2.0 x 10</w:t>
      </w:r>
      <w:r w:rsidRPr="00D070C9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 xml:space="preserve">/L.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dosing should be reduced and then stopped if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medication is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discontinued and there is no recurrence of neutropenia.</w:t>
      </w:r>
    </w:p>
    <w:p w:rsidR="00720040" w:rsidRPr="00CA4638" w:rsidRDefault="00720040" w:rsidP="000738BC">
      <w:pPr>
        <w:jc w:val="both"/>
        <w:rPr>
          <w:b/>
          <w:sz w:val="24"/>
          <w:szCs w:val="24"/>
          <w:lang w:val="en-US"/>
        </w:rPr>
      </w:pPr>
    </w:p>
    <w:p w:rsidR="00720040" w:rsidRDefault="00720040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  <w:r w:rsidRPr="00DB5ADD">
        <w:rPr>
          <w:b/>
          <w:bCs/>
          <w:sz w:val="24"/>
          <w:szCs w:val="24"/>
          <w:u w:val="single"/>
          <w:lang w:val="en-US"/>
        </w:rPr>
        <w:t xml:space="preserve">Dilution </w:t>
      </w:r>
    </w:p>
    <w:p w:rsidR="00DB5ADD" w:rsidRDefault="00DB5ADD" w:rsidP="000738B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</w:p>
    <w:p w:rsidR="00C16CC5" w:rsidRPr="00C16CC5" w:rsidRDefault="00C16CC5" w:rsidP="00C16CC5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16CC5">
        <w:rPr>
          <w:sz w:val="24"/>
          <w:szCs w:val="24"/>
          <w:lang w:val="en-US"/>
        </w:rPr>
        <w:t xml:space="preserve">If required, </w:t>
      </w:r>
      <w:proofErr w:type="spellStart"/>
      <w:r w:rsidRPr="00CA4638">
        <w:rPr>
          <w:sz w:val="24"/>
          <w:szCs w:val="24"/>
        </w:rPr>
        <w:t>Zarzio</w:t>
      </w:r>
      <w:proofErr w:type="spellEnd"/>
      <w:r w:rsidRPr="00CA4638">
        <w:rPr>
          <w:sz w:val="24"/>
          <w:szCs w:val="24"/>
          <w:vertAlign w:val="superscript"/>
        </w:rPr>
        <w:t>®</w:t>
      </w:r>
      <w:r w:rsidRPr="00C16CC5">
        <w:rPr>
          <w:sz w:val="24"/>
          <w:szCs w:val="24"/>
          <w:lang w:val="en-US"/>
        </w:rPr>
        <w:t xml:space="preserve"> may be diluted in 5% glucose</w:t>
      </w:r>
      <w:r w:rsidR="002242B7">
        <w:rPr>
          <w:sz w:val="24"/>
          <w:szCs w:val="24"/>
          <w:lang w:val="en-US"/>
        </w:rPr>
        <w:t>.</w:t>
      </w:r>
      <w:r w:rsidRPr="00C16CC5">
        <w:rPr>
          <w:sz w:val="24"/>
          <w:szCs w:val="24"/>
        </w:rPr>
        <w:t xml:space="preserve"> </w:t>
      </w:r>
      <w:proofErr w:type="spellStart"/>
      <w:r w:rsidRPr="00CA4638">
        <w:rPr>
          <w:sz w:val="24"/>
          <w:szCs w:val="24"/>
        </w:rPr>
        <w:t>Zarzio</w:t>
      </w:r>
      <w:proofErr w:type="spellEnd"/>
      <w:r w:rsidRPr="00CA4638">
        <w:rPr>
          <w:sz w:val="24"/>
          <w:szCs w:val="24"/>
          <w:vertAlign w:val="superscript"/>
        </w:rPr>
        <w:t>®</w:t>
      </w:r>
      <w:r w:rsidRPr="00C16CC5">
        <w:rPr>
          <w:sz w:val="24"/>
          <w:szCs w:val="24"/>
          <w:lang w:val="en-US"/>
        </w:rPr>
        <w:t>diluted to</w:t>
      </w:r>
      <w:r>
        <w:rPr>
          <w:sz w:val="24"/>
          <w:szCs w:val="24"/>
          <w:lang w:val="en-US"/>
        </w:rPr>
        <w:t xml:space="preserve"> </w:t>
      </w:r>
      <w:r w:rsidRPr="00C16CC5">
        <w:rPr>
          <w:sz w:val="24"/>
          <w:szCs w:val="24"/>
          <w:lang w:val="en-US"/>
        </w:rPr>
        <w:t xml:space="preserve">concentrations </w:t>
      </w:r>
      <w:proofErr w:type="gramStart"/>
      <w:r w:rsidRPr="00C16CC5">
        <w:rPr>
          <w:sz w:val="24"/>
          <w:szCs w:val="24"/>
          <w:lang w:val="en-US"/>
        </w:rPr>
        <w:t xml:space="preserve">below 15 </w:t>
      </w:r>
      <w:proofErr w:type="spellStart"/>
      <w:r w:rsidRPr="00C16CC5">
        <w:rPr>
          <w:sz w:val="24"/>
          <w:szCs w:val="24"/>
          <w:lang w:val="en-US"/>
        </w:rPr>
        <w:t>μg</w:t>
      </w:r>
      <w:proofErr w:type="spellEnd"/>
      <w:r w:rsidRPr="00C16CC5">
        <w:rPr>
          <w:sz w:val="24"/>
          <w:szCs w:val="24"/>
          <w:lang w:val="en-US"/>
        </w:rPr>
        <w:t>/</w:t>
      </w:r>
      <w:proofErr w:type="spellStart"/>
      <w:r w:rsidRPr="00C16CC5">
        <w:rPr>
          <w:sz w:val="24"/>
          <w:szCs w:val="24"/>
          <w:lang w:val="en-US"/>
        </w:rPr>
        <w:t>mL</w:t>
      </w:r>
      <w:proofErr w:type="spellEnd"/>
      <w:proofErr w:type="gramEnd"/>
      <w:r w:rsidRPr="00C16CC5">
        <w:rPr>
          <w:sz w:val="24"/>
          <w:szCs w:val="24"/>
          <w:lang w:val="en-US"/>
        </w:rPr>
        <w:t xml:space="preserve"> should be protected from adsorption to plastic</w:t>
      </w:r>
      <w:r>
        <w:rPr>
          <w:sz w:val="24"/>
          <w:szCs w:val="24"/>
          <w:lang w:val="en-US"/>
        </w:rPr>
        <w:t xml:space="preserve"> </w:t>
      </w:r>
      <w:r w:rsidRPr="00C16CC5">
        <w:rPr>
          <w:sz w:val="24"/>
          <w:szCs w:val="24"/>
          <w:lang w:val="en-US"/>
        </w:rPr>
        <w:t>materials by addition of Albumin (Human) to a final concentration of 2 mg/</w:t>
      </w:r>
      <w:proofErr w:type="spellStart"/>
      <w:r w:rsidRPr="00C16CC5">
        <w:rPr>
          <w:sz w:val="24"/>
          <w:szCs w:val="24"/>
          <w:lang w:val="en-US"/>
        </w:rPr>
        <w:t>mL.</w:t>
      </w:r>
      <w:proofErr w:type="spellEnd"/>
      <w:r w:rsidRPr="00C16CC5">
        <w:rPr>
          <w:sz w:val="24"/>
          <w:szCs w:val="24"/>
          <w:lang w:val="en-US"/>
        </w:rPr>
        <w:t xml:space="preserve"> When</w:t>
      </w:r>
      <w:r>
        <w:rPr>
          <w:sz w:val="24"/>
          <w:szCs w:val="24"/>
          <w:lang w:val="en-US"/>
        </w:rPr>
        <w:t xml:space="preserve"> </w:t>
      </w:r>
      <w:r w:rsidRPr="00C16CC5">
        <w:rPr>
          <w:sz w:val="24"/>
          <w:szCs w:val="24"/>
          <w:lang w:val="en-US"/>
        </w:rPr>
        <w:t xml:space="preserve">diluted in 5% glucose or 5% glucose plus Albumin (Human), </w:t>
      </w:r>
      <w:proofErr w:type="spellStart"/>
      <w:r w:rsidRPr="00CA4638">
        <w:rPr>
          <w:sz w:val="24"/>
          <w:szCs w:val="24"/>
        </w:rPr>
        <w:t>Zarzio</w:t>
      </w:r>
      <w:proofErr w:type="spellEnd"/>
      <w:r w:rsidRPr="00CA4638">
        <w:rPr>
          <w:sz w:val="24"/>
          <w:szCs w:val="24"/>
          <w:vertAlign w:val="superscript"/>
        </w:rPr>
        <w:t>®</w:t>
      </w:r>
      <w:r w:rsidRPr="00C16CC5">
        <w:rPr>
          <w:sz w:val="24"/>
          <w:szCs w:val="24"/>
          <w:lang w:val="en-US"/>
        </w:rPr>
        <w:t xml:space="preserve"> is</w:t>
      </w:r>
      <w:r>
        <w:rPr>
          <w:sz w:val="24"/>
          <w:szCs w:val="24"/>
          <w:lang w:val="en-US"/>
        </w:rPr>
        <w:t xml:space="preserve"> </w:t>
      </w:r>
      <w:r w:rsidRPr="00C16CC5">
        <w:rPr>
          <w:sz w:val="24"/>
          <w:szCs w:val="24"/>
          <w:lang w:val="en-US"/>
        </w:rPr>
        <w:t>compatible with glass and a variety of plastics including PVC, polyolefin and</w:t>
      </w:r>
      <w:r>
        <w:rPr>
          <w:sz w:val="24"/>
          <w:szCs w:val="24"/>
          <w:lang w:val="en-US"/>
        </w:rPr>
        <w:t xml:space="preserve"> </w:t>
      </w:r>
      <w:r w:rsidRPr="00C16CC5">
        <w:rPr>
          <w:sz w:val="24"/>
          <w:szCs w:val="24"/>
          <w:lang w:val="en-US"/>
        </w:rPr>
        <w:t>polypropylene.</w:t>
      </w:r>
    </w:p>
    <w:p w:rsidR="00C16CC5" w:rsidRDefault="00C16CC5" w:rsidP="00C16CC5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C16CC5" w:rsidRDefault="00C16CC5" w:rsidP="00C16CC5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4053F4">
        <w:rPr>
          <w:sz w:val="24"/>
          <w:szCs w:val="24"/>
          <w:lang w:val="en-US"/>
        </w:rPr>
        <w:t xml:space="preserve">Dilution to a final concentration of less than </w:t>
      </w:r>
      <w:r w:rsidR="008B55BE" w:rsidRPr="004053F4">
        <w:rPr>
          <w:sz w:val="24"/>
          <w:szCs w:val="24"/>
          <w:lang w:val="en-US"/>
        </w:rPr>
        <w:t>2</w:t>
      </w:r>
      <w:r w:rsidRPr="004053F4">
        <w:rPr>
          <w:sz w:val="24"/>
          <w:szCs w:val="24"/>
          <w:lang w:val="en-US"/>
        </w:rPr>
        <w:t xml:space="preserve"> </w:t>
      </w:r>
      <w:proofErr w:type="spellStart"/>
      <w:r w:rsidRPr="004053F4">
        <w:rPr>
          <w:sz w:val="24"/>
          <w:szCs w:val="24"/>
          <w:lang w:val="en-US"/>
        </w:rPr>
        <w:t>μg</w:t>
      </w:r>
      <w:proofErr w:type="spellEnd"/>
      <w:r w:rsidRPr="004053F4">
        <w:rPr>
          <w:sz w:val="24"/>
          <w:szCs w:val="24"/>
          <w:lang w:val="en-US"/>
        </w:rPr>
        <w:t>/</w:t>
      </w:r>
      <w:proofErr w:type="spellStart"/>
      <w:r w:rsidRPr="004053F4">
        <w:rPr>
          <w:sz w:val="24"/>
          <w:szCs w:val="24"/>
          <w:lang w:val="en-US"/>
        </w:rPr>
        <w:t>mL</w:t>
      </w:r>
      <w:proofErr w:type="spellEnd"/>
      <w:r w:rsidRPr="004053F4">
        <w:rPr>
          <w:sz w:val="24"/>
          <w:szCs w:val="24"/>
          <w:lang w:val="en-US"/>
        </w:rPr>
        <w:t xml:space="preserve"> </w:t>
      </w:r>
      <w:proofErr w:type="spellStart"/>
      <w:r w:rsidRPr="004053F4">
        <w:rPr>
          <w:sz w:val="24"/>
          <w:szCs w:val="24"/>
          <w:lang w:val="en-US"/>
        </w:rPr>
        <w:t>filgrastim</w:t>
      </w:r>
      <w:proofErr w:type="spellEnd"/>
      <w:r w:rsidRPr="004053F4">
        <w:rPr>
          <w:sz w:val="24"/>
          <w:szCs w:val="24"/>
          <w:lang w:val="en-US"/>
        </w:rPr>
        <w:t xml:space="preserve"> is not recommended</w:t>
      </w:r>
      <w:r w:rsidRPr="00C16CC5">
        <w:rPr>
          <w:sz w:val="24"/>
          <w:szCs w:val="24"/>
          <w:lang w:val="en-US"/>
        </w:rPr>
        <w:t xml:space="preserve"> at</w:t>
      </w:r>
      <w:r>
        <w:rPr>
          <w:sz w:val="24"/>
          <w:szCs w:val="24"/>
          <w:lang w:val="en-US"/>
        </w:rPr>
        <w:t xml:space="preserve"> </w:t>
      </w:r>
      <w:r w:rsidRPr="00C16CC5">
        <w:rPr>
          <w:sz w:val="24"/>
          <w:szCs w:val="24"/>
          <w:lang w:val="en-US"/>
        </w:rPr>
        <w:t>any time. Do not dilute with saline at any time; product may precipitate. Infusion</w:t>
      </w:r>
      <w:r>
        <w:rPr>
          <w:sz w:val="24"/>
          <w:szCs w:val="24"/>
          <w:lang w:val="en-US"/>
        </w:rPr>
        <w:t xml:space="preserve"> </w:t>
      </w:r>
      <w:r w:rsidRPr="00C16CC5">
        <w:rPr>
          <w:sz w:val="24"/>
          <w:szCs w:val="24"/>
          <w:lang w:val="en-US"/>
        </w:rPr>
        <w:t>should be complete within 24 hours of the sterile dilution and transfer.</w:t>
      </w:r>
      <w:r>
        <w:rPr>
          <w:sz w:val="24"/>
          <w:szCs w:val="24"/>
          <w:lang w:val="en-US"/>
        </w:rPr>
        <w:t xml:space="preserve"> </w:t>
      </w:r>
    </w:p>
    <w:p w:rsidR="00C16CC5" w:rsidRDefault="00C16CC5" w:rsidP="00C16CC5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9B2D9B" w:rsidRDefault="009B2D9B" w:rsidP="009B2D9B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7062CD">
        <w:rPr>
          <w:sz w:val="24"/>
          <w:szCs w:val="24"/>
          <w:lang w:val="en-US"/>
        </w:rPr>
        <w:t>To reduce microbiological hazard, the solution should be administered as soon as practicable after dilution. If storage is necessary, hold at 2°- 8°C for a total time not more than 24 hours after dilution</w:t>
      </w:r>
      <w:r>
        <w:rPr>
          <w:sz w:val="24"/>
          <w:szCs w:val="24"/>
          <w:lang w:val="en-US"/>
        </w:rPr>
        <w:t>.</w:t>
      </w:r>
    </w:p>
    <w:p w:rsidR="00C16CC5" w:rsidRDefault="00C16CC5" w:rsidP="00C16CC5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16CC5">
        <w:rPr>
          <w:sz w:val="24"/>
          <w:szCs w:val="24"/>
          <w:lang w:val="en-US"/>
        </w:rPr>
        <w:t xml:space="preserve">Prior to injection, </w:t>
      </w:r>
      <w:proofErr w:type="spellStart"/>
      <w:r w:rsidRPr="00CA4638">
        <w:rPr>
          <w:sz w:val="24"/>
          <w:szCs w:val="24"/>
        </w:rPr>
        <w:t>Zarzio</w:t>
      </w:r>
      <w:proofErr w:type="spellEnd"/>
      <w:r w:rsidRPr="00CA4638">
        <w:rPr>
          <w:sz w:val="24"/>
          <w:szCs w:val="24"/>
          <w:vertAlign w:val="superscript"/>
        </w:rPr>
        <w:t>®</w:t>
      </w:r>
      <w:r w:rsidRPr="00C16CC5">
        <w:rPr>
          <w:sz w:val="24"/>
          <w:szCs w:val="24"/>
          <w:lang w:val="en-US"/>
        </w:rPr>
        <w:t xml:space="preserve"> may be allowed to reach room temperature.</w:t>
      </w:r>
      <w:r>
        <w:rPr>
          <w:sz w:val="24"/>
          <w:szCs w:val="24"/>
          <w:lang w:val="en-US"/>
        </w:rPr>
        <w:t xml:space="preserve"> </w:t>
      </w:r>
    </w:p>
    <w:p w:rsidR="00C16CC5" w:rsidRDefault="00C16CC5" w:rsidP="00C16CC5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C16CC5" w:rsidRPr="00C16CC5" w:rsidRDefault="00C16CC5" w:rsidP="00C16CC5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16CC5">
        <w:rPr>
          <w:sz w:val="24"/>
          <w:szCs w:val="24"/>
          <w:lang w:val="en-US"/>
        </w:rPr>
        <w:t>Parenteral drug products should be inspected visually for particulate matter and</w:t>
      </w:r>
      <w:r>
        <w:rPr>
          <w:sz w:val="24"/>
          <w:szCs w:val="24"/>
          <w:lang w:val="en-US"/>
        </w:rPr>
        <w:t xml:space="preserve"> </w:t>
      </w:r>
      <w:proofErr w:type="spellStart"/>
      <w:r w:rsidRPr="00C16CC5">
        <w:rPr>
          <w:sz w:val="24"/>
          <w:szCs w:val="24"/>
          <w:lang w:val="en-US"/>
        </w:rPr>
        <w:t>discolouration</w:t>
      </w:r>
      <w:proofErr w:type="spellEnd"/>
      <w:r w:rsidRPr="00C16CC5">
        <w:rPr>
          <w:sz w:val="24"/>
          <w:szCs w:val="24"/>
          <w:lang w:val="en-US"/>
        </w:rPr>
        <w:t xml:space="preserve"> prior to administration, whenever solution and container permit. If</w:t>
      </w:r>
      <w:r>
        <w:rPr>
          <w:sz w:val="24"/>
          <w:szCs w:val="24"/>
          <w:lang w:val="en-US"/>
        </w:rPr>
        <w:t xml:space="preserve"> </w:t>
      </w:r>
      <w:r w:rsidRPr="00C16CC5">
        <w:rPr>
          <w:sz w:val="24"/>
          <w:szCs w:val="24"/>
          <w:lang w:val="en-US"/>
        </w:rPr>
        <w:t xml:space="preserve">particulates or </w:t>
      </w:r>
      <w:proofErr w:type="spellStart"/>
      <w:r w:rsidRPr="00C16CC5">
        <w:rPr>
          <w:sz w:val="24"/>
          <w:szCs w:val="24"/>
          <w:lang w:val="en-US"/>
        </w:rPr>
        <w:t>discolouration</w:t>
      </w:r>
      <w:proofErr w:type="spellEnd"/>
      <w:r w:rsidRPr="00C16CC5">
        <w:rPr>
          <w:sz w:val="24"/>
          <w:szCs w:val="24"/>
          <w:lang w:val="en-US"/>
        </w:rPr>
        <w:t xml:space="preserve"> are observed, the container should not be used.</w:t>
      </w:r>
    </w:p>
    <w:p w:rsidR="00C16CC5" w:rsidRDefault="00C16CC5" w:rsidP="00C16CC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en-US"/>
        </w:rPr>
      </w:pPr>
    </w:p>
    <w:p w:rsidR="002F6539" w:rsidRPr="002F6539" w:rsidRDefault="002A3275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2F6539">
        <w:rPr>
          <w:sz w:val="24"/>
          <w:szCs w:val="24"/>
          <w:lang w:val="en-US"/>
        </w:rPr>
        <w:t>Filgrastim</w:t>
      </w:r>
      <w:proofErr w:type="spellEnd"/>
      <w:r w:rsidR="00720040" w:rsidRPr="002F6539">
        <w:rPr>
          <w:sz w:val="24"/>
          <w:szCs w:val="24"/>
          <w:lang w:val="en-US"/>
        </w:rPr>
        <w:t xml:space="preserve"> </w:t>
      </w:r>
      <w:r w:rsidR="007062CD" w:rsidRPr="007062CD">
        <w:rPr>
          <w:sz w:val="24"/>
          <w:szCs w:val="24"/>
          <w:lang w:val="en-US"/>
        </w:rPr>
        <w:t xml:space="preserve">is for single use in one patient only. Discard any </w:t>
      </w:r>
      <w:r w:rsidR="007E13AD" w:rsidRPr="007062CD">
        <w:rPr>
          <w:sz w:val="24"/>
          <w:szCs w:val="24"/>
          <w:lang w:val="en-US"/>
        </w:rPr>
        <w:t>residue</w:t>
      </w:r>
      <w:r w:rsidR="00720040" w:rsidRPr="002F6539">
        <w:rPr>
          <w:sz w:val="24"/>
          <w:szCs w:val="24"/>
          <w:lang w:val="en-US"/>
        </w:rPr>
        <w:t>.</w:t>
      </w:r>
      <w:r w:rsidR="00214496" w:rsidRPr="002F6539">
        <w:rPr>
          <w:sz w:val="24"/>
          <w:szCs w:val="24"/>
          <w:lang w:val="en-US"/>
        </w:rPr>
        <w:t xml:space="preserve"> </w:t>
      </w:r>
    </w:p>
    <w:p w:rsidR="00F22BCA" w:rsidRPr="00CA4638" w:rsidRDefault="00F22BCA" w:rsidP="000738BC">
      <w:pPr>
        <w:jc w:val="both"/>
        <w:rPr>
          <w:sz w:val="24"/>
          <w:szCs w:val="24"/>
          <w:u w:val="single"/>
        </w:rPr>
      </w:pPr>
    </w:p>
    <w:p w:rsidR="00F22BCA" w:rsidRPr="00CA4638" w:rsidRDefault="00F22BCA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O</w:t>
      </w:r>
      <w:r w:rsidR="001E2D56" w:rsidRPr="00CA4638">
        <w:rPr>
          <w:szCs w:val="24"/>
        </w:rPr>
        <w:t>VERDOSAGE</w:t>
      </w:r>
    </w:p>
    <w:p w:rsidR="006F6CB4" w:rsidRPr="00CA4638" w:rsidRDefault="006F6CB4" w:rsidP="000738BC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  <w:lang w:val="en-US"/>
        </w:rPr>
      </w:pPr>
    </w:p>
    <w:p w:rsidR="008E31E8" w:rsidRPr="00CA4638" w:rsidRDefault="008E31E8" w:rsidP="000738BC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  <w:lang w:val="en-US"/>
        </w:rPr>
      </w:pPr>
      <w:r w:rsidRPr="00CA4638">
        <w:rPr>
          <w:color w:val="000000"/>
          <w:sz w:val="24"/>
          <w:szCs w:val="24"/>
          <w:lang w:val="en-US"/>
        </w:rPr>
        <w:t>Contact the Poisons</w:t>
      </w:r>
      <w:r w:rsidR="00B42C3A" w:rsidRPr="00CA4638">
        <w:rPr>
          <w:color w:val="000000"/>
          <w:sz w:val="24"/>
          <w:szCs w:val="24"/>
          <w:lang w:val="en-US"/>
        </w:rPr>
        <w:t xml:space="preserve"> Information Centre on </w:t>
      </w:r>
      <w:r w:rsidR="00B734BE" w:rsidRPr="00CA4638">
        <w:rPr>
          <w:color w:val="000000"/>
          <w:sz w:val="24"/>
          <w:szCs w:val="24"/>
          <w:lang w:val="en-US"/>
        </w:rPr>
        <w:t xml:space="preserve">(telephone Australia </w:t>
      </w:r>
      <w:r w:rsidR="00B42C3A" w:rsidRPr="00CA4638">
        <w:rPr>
          <w:color w:val="000000"/>
          <w:sz w:val="24"/>
          <w:szCs w:val="24"/>
          <w:lang w:val="en-US"/>
        </w:rPr>
        <w:t xml:space="preserve">13 11 26 or </w:t>
      </w:r>
      <w:r w:rsidR="00B42C3A" w:rsidRPr="00CA4638">
        <w:rPr>
          <w:bCs/>
          <w:color w:val="000000"/>
          <w:sz w:val="24"/>
          <w:szCs w:val="24"/>
          <w:lang w:val="en-US"/>
        </w:rPr>
        <w:t>New Zealand 0800 POISON or 0800 764766</w:t>
      </w:r>
      <w:r w:rsidR="00B734BE" w:rsidRPr="00CA4638">
        <w:rPr>
          <w:bCs/>
          <w:color w:val="000000"/>
          <w:sz w:val="24"/>
          <w:szCs w:val="24"/>
          <w:lang w:val="en-US"/>
        </w:rPr>
        <w:t>)</w:t>
      </w:r>
      <w:r w:rsidR="00B42C3A" w:rsidRPr="00CA4638">
        <w:rPr>
          <w:b/>
          <w:bCs/>
          <w:color w:val="0000FF"/>
          <w:sz w:val="24"/>
          <w:szCs w:val="24"/>
          <w:lang w:val="en-US"/>
        </w:rPr>
        <w:t xml:space="preserve"> </w:t>
      </w:r>
      <w:r w:rsidRPr="00CA4638">
        <w:rPr>
          <w:color w:val="000000"/>
          <w:sz w:val="24"/>
          <w:szCs w:val="24"/>
          <w:lang w:val="en-US"/>
        </w:rPr>
        <w:t>for advice on management</w:t>
      </w:r>
      <w:r w:rsidR="00895F5C" w:rsidRPr="00CA4638">
        <w:rPr>
          <w:color w:val="000000"/>
          <w:sz w:val="24"/>
          <w:szCs w:val="24"/>
          <w:lang w:val="en-US"/>
        </w:rPr>
        <w:t xml:space="preserve"> </w:t>
      </w:r>
      <w:r w:rsidRPr="00CA4638">
        <w:rPr>
          <w:color w:val="000000"/>
          <w:sz w:val="24"/>
          <w:szCs w:val="24"/>
          <w:lang w:val="en-US"/>
        </w:rPr>
        <w:t>of overdose.</w:t>
      </w:r>
    </w:p>
    <w:p w:rsidR="008E31E8" w:rsidRPr="00CA4638" w:rsidRDefault="008E31E8" w:rsidP="000738BC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  <w:lang w:val="en-US"/>
        </w:rPr>
      </w:pPr>
    </w:p>
    <w:p w:rsidR="005429B7" w:rsidRPr="00CA4638" w:rsidRDefault="005429B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The maximum tolerated dose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has not been determined. </w:t>
      </w:r>
      <w:r w:rsidR="004A05B5" w:rsidRPr="00CA4638">
        <w:rPr>
          <w:sz w:val="24"/>
          <w:szCs w:val="24"/>
          <w:lang w:val="en-US"/>
        </w:rPr>
        <w:t>Twenty-seven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patients have been treated at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doses of </w:t>
      </w:r>
      <w:r w:rsidR="00FA2DFB">
        <w:rPr>
          <w:sz w:val="24"/>
          <w:szCs w:val="24"/>
          <w:lang w:val="en-US"/>
        </w:rPr>
        <w:t>≥</w:t>
      </w:r>
      <w:r w:rsidRPr="00CA4638">
        <w:rPr>
          <w:sz w:val="24"/>
          <w:szCs w:val="24"/>
          <w:lang w:val="en-US"/>
        </w:rPr>
        <w:t xml:space="preserve"> 69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/kg/day. Of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those, 6 patients have been treated at 115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>/kg/day with no toxic effects attributable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to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>. Efficacy has been demonstrated using much lower doses (doses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 xml:space="preserve">of 4 to 8 </w:t>
      </w:r>
      <w:proofErr w:type="spellStart"/>
      <w:r w:rsidRPr="00CA4638">
        <w:rPr>
          <w:sz w:val="24"/>
          <w:szCs w:val="24"/>
          <w:lang w:val="en-US"/>
        </w:rPr>
        <w:t>μg</w:t>
      </w:r>
      <w:proofErr w:type="spellEnd"/>
      <w:r w:rsidRPr="00CA4638">
        <w:rPr>
          <w:sz w:val="24"/>
          <w:szCs w:val="24"/>
          <w:lang w:val="en-US"/>
        </w:rPr>
        <w:t xml:space="preserve">/kg/day showed efficacy in the phase 3 study). Doses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which increase the ANC beyond 10 x 10</w:t>
      </w:r>
      <w:r w:rsidRPr="00C873A7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may not result in any additional clinical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benefit.</w:t>
      </w:r>
    </w:p>
    <w:p w:rsidR="00214496" w:rsidRPr="00CA4638" w:rsidRDefault="00214496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429B7" w:rsidRPr="00CA4638" w:rsidRDefault="005429B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clinical trials of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in cancer patients receiving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chemotherapy, WBC counts &gt; 100 x 10</w:t>
      </w:r>
      <w:r w:rsidRPr="00FA2DFB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have been reported in less than 5% of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patients, but were not associated with any reported adverse clinical effects.</w:t>
      </w:r>
    </w:p>
    <w:p w:rsidR="00214496" w:rsidRPr="00CA4638" w:rsidRDefault="00214496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429B7" w:rsidRPr="00CA4638" w:rsidRDefault="005429B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It is recommended, to avoid the potential risks of excessive </w:t>
      </w:r>
      <w:proofErr w:type="spellStart"/>
      <w:r w:rsidRPr="00CA4638">
        <w:rPr>
          <w:sz w:val="24"/>
          <w:szCs w:val="24"/>
          <w:lang w:val="en-US"/>
        </w:rPr>
        <w:t>leukocytosis</w:t>
      </w:r>
      <w:proofErr w:type="spellEnd"/>
      <w:r w:rsidRPr="00CA4638">
        <w:rPr>
          <w:sz w:val="24"/>
          <w:szCs w:val="24"/>
          <w:lang w:val="en-US"/>
        </w:rPr>
        <w:t>, that</w:t>
      </w:r>
      <w:r w:rsidR="00214496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should be discontinued if the ANC surpasses 10 x 10</w:t>
      </w:r>
      <w:r w:rsidRPr="00FA2DFB">
        <w:rPr>
          <w:sz w:val="24"/>
          <w:szCs w:val="24"/>
          <w:vertAlign w:val="superscript"/>
          <w:lang w:val="en-US"/>
        </w:rPr>
        <w:t>9</w:t>
      </w:r>
      <w:r w:rsidRPr="00CA4638">
        <w:rPr>
          <w:sz w:val="24"/>
          <w:szCs w:val="24"/>
          <w:lang w:val="en-US"/>
        </w:rPr>
        <w:t>/L after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the chemotherapy-induced ANC nadir has occurred.</w:t>
      </w:r>
    </w:p>
    <w:p w:rsidR="006436CE" w:rsidRDefault="006436CE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5429B7" w:rsidRPr="00CA4638" w:rsidRDefault="005429B7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A4638">
        <w:rPr>
          <w:sz w:val="24"/>
          <w:szCs w:val="24"/>
          <w:lang w:val="en-US"/>
        </w:rPr>
        <w:t xml:space="preserve">In cancer patients receiving </w:t>
      </w:r>
      <w:proofErr w:type="spellStart"/>
      <w:r w:rsidRPr="00CA4638">
        <w:rPr>
          <w:sz w:val="24"/>
          <w:szCs w:val="24"/>
          <w:lang w:val="en-US"/>
        </w:rPr>
        <w:t>myelosuppressive</w:t>
      </w:r>
      <w:proofErr w:type="spellEnd"/>
      <w:r w:rsidRPr="00CA4638">
        <w:rPr>
          <w:sz w:val="24"/>
          <w:szCs w:val="24"/>
          <w:lang w:val="en-US"/>
        </w:rPr>
        <w:t xml:space="preserve"> chemotherapy, discontinuation of</w:t>
      </w:r>
      <w:r w:rsidR="00214496" w:rsidRPr="00CA4638">
        <w:rPr>
          <w:sz w:val="24"/>
          <w:szCs w:val="24"/>
          <w:lang w:val="en-US"/>
        </w:rPr>
        <w:t xml:space="preserve"> </w:t>
      </w:r>
      <w:proofErr w:type="spellStart"/>
      <w:r w:rsidR="008D7885" w:rsidRPr="00CA4638">
        <w:rPr>
          <w:sz w:val="24"/>
          <w:szCs w:val="24"/>
          <w:lang w:val="en-US"/>
        </w:rPr>
        <w:t>filgrastim</w:t>
      </w:r>
      <w:proofErr w:type="spellEnd"/>
      <w:r w:rsidRPr="00CA4638">
        <w:rPr>
          <w:sz w:val="24"/>
          <w:szCs w:val="24"/>
          <w:lang w:val="en-US"/>
        </w:rPr>
        <w:t xml:space="preserve"> therapy usually results in a 50% decrease in circulating neutrophils</w:t>
      </w:r>
      <w:r w:rsidR="00214496" w:rsidRPr="00CA4638">
        <w:rPr>
          <w:sz w:val="24"/>
          <w:szCs w:val="24"/>
          <w:lang w:val="en-US"/>
        </w:rPr>
        <w:t xml:space="preserve"> </w:t>
      </w:r>
      <w:r w:rsidRPr="00CA4638">
        <w:rPr>
          <w:sz w:val="24"/>
          <w:szCs w:val="24"/>
          <w:lang w:val="en-US"/>
        </w:rPr>
        <w:t>within 1 to 2 days, with a return to pretreatment levels in 1 to 7 days.</w:t>
      </w:r>
    </w:p>
    <w:p w:rsidR="00000186" w:rsidRPr="00CA4638" w:rsidRDefault="00000186" w:rsidP="000738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0C7F61" w:rsidRPr="00CA4638" w:rsidRDefault="000C7F61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 xml:space="preserve">STORAGE </w:t>
      </w:r>
    </w:p>
    <w:p w:rsidR="000C7F61" w:rsidRPr="00CA4638" w:rsidRDefault="000C7F61" w:rsidP="000738BC">
      <w:pPr>
        <w:jc w:val="both"/>
        <w:rPr>
          <w:sz w:val="24"/>
          <w:szCs w:val="24"/>
        </w:rPr>
      </w:pPr>
    </w:p>
    <w:p w:rsidR="00523C57" w:rsidRDefault="00D21CF1" w:rsidP="00002BD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CA4638">
        <w:rPr>
          <w:sz w:val="24"/>
          <w:szCs w:val="24"/>
        </w:rPr>
        <w:t>Zarzio</w:t>
      </w:r>
      <w:proofErr w:type="spellEnd"/>
      <w:r w:rsidR="00F11FB6" w:rsidRPr="00CA4638">
        <w:rPr>
          <w:sz w:val="24"/>
          <w:szCs w:val="24"/>
          <w:vertAlign w:val="superscript"/>
        </w:rPr>
        <w:t>®</w:t>
      </w:r>
      <w:r w:rsidR="00F11FB6" w:rsidRPr="00CA4638">
        <w:rPr>
          <w:sz w:val="24"/>
          <w:szCs w:val="24"/>
        </w:rPr>
        <w:t xml:space="preserve"> should</w:t>
      </w:r>
      <w:r w:rsidR="00C97D45" w:rsidRPr="00CA4638">
        <w:rPr>
          <w:sz w:val="24"/>
          <w:szCs w:val="24"/>
        </w:rPr>
        <w:t xml:space="preserve"> be stored in a refrigerator at 2 – 8 ºC</w:t>
      </w:r>
      <w:r w:rsidR="005C1765" w:rsidRPr="00CA4638">
        <w:rPr>
          <w:sz w:val="24"/>
          <w:szCs w:val="24"/>
        </w:rPr>
        <w:t xml:space="preserve"> (protected from light</w:t>
      </w:r>
      <w:r w:rsidR="00523C57" w:rsidRPr="00CA4638">
        <w:rPr>
          <w:sz w:val="24"/>
          <w:szCs w:val="24"/>
        </w:rPr>
        <w:t xml:space="preserve">). </w:t>
      </w:r>
    </w:p>
    <w:p w:rsidR="004E4847" w:rsidRDefault="004E4847" w:rsidP="00002B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3B61" w:rsidRDefault="00B535B8" w:rsidP="00B535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36D5">
        <w:rPr>
          <w:sz w:val="24"/>
          <w:szCs w:val="24"/>
        </w:rPr>
        <w:t>A single period of e</w:t>
      </w:r>
      <w:r w:rsidR="00002BD8" w:rsidRPr="001636D5">
        <w:rPr>
          <w:sz w:val="24"/>
          <w:szCs w:val="24"/>
        </w:rPr>
        <w:t xml:space="preserve">xposure to room temperature (25°C) for up to </w:t>
      </w:r>
      <w:r w:rsidR="00AA0AB9">
        <w:rPr>
          <w:sz w:val="24"/>
          <w:szCs w:val="24"/>
        </w:rPr>
        <w:t xml:space="preserve"> </w:t>
      </w:r>
      <w:r w:rsidR="00C702E5" w:rsidRPr="001636D5">
        <w:rPr>
          <w:sz w:val="24"/>
          <w:szCs w:val="24"/>
        </w:rPr>
        <w:t>72 hours</w:t>
      </w:r>
      <w:r w:rsidR="00002BD8" w:rsidRPr="001636D5">
        <w:rPr>
          <w:sz w:val="24"/>
          <w:szCs w:val="24"/>
        </w:rPr>
        <w:t>,</w:t>
      </w:r>
      <w:r w:rsidR="00523C57" w:rsidRPr="001636D5">
        <w:rPr>
          <w:sz w:val="24"/>
          <w:szCs w:val="24"/>
        </w:rPr>
        <w:t xml:space="preserve"> </w:t>
      </w:r>
      <w:r w:rsidR="00523C57" w:rsidRPr="004C7018">
        <w:rPr>
          <w:sz w:val="24"/>
          <w:szCs w:val="24"/>
        </w:rPr>
        <w:t xml:space="preserve">does not adversely affect the stability of </w:t>
      </w:r>
      <w:proofErr w:type="spellStart"/>
      <w:r w:rsidR="00523C57" w:rsidRPr="004C7018">
        <w:rPr>
          <w:sz w:val="24"/>
          <w:szCs w:val="24"/>
        </w:rPr>
        <w:t>Filgrastim</w:t>
      </w:r>
      <w:proofErr w:type="spellEnd"/>
      <w:r w:rsidR="00523C57" w:rsidRPr="00CA4638">
        <w:rPr>
          <w:sz w:val="24"/>
          <w:szCs w:val="24"/>
        </w:rPr>
        <w:t>.</w:t>
      </w:r>
      <w:r w:rsidR="00CC2C27" w:rsidRPr="00CA4638">
        <w:rPr>
          <w:sz w:val="24"/>
          <w:szCs w:val="24"/>
        </w:rPr>
        <w:t xml:space="preserve"> </w:t>
      </w:r>
    </w:p>
    <w:p w:rsidR="00BF27A1" w:rsidRPr="00CA4638" w:rsidRDefault="00BF27A1" w:rsidP="00002B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638">
        <w:rPr>
          <w:sz w:val="24"/>
          <w:szCs w:val="24"/>
        </w:rPr>
        <w:t>Avoid vigorous shaking.</w:t>
      </w:r>
    </w:p>
    <w:p w:rsidR="004E4847" w:rsidRPr="00CA4638" w:rsidRDefault="004E4847" w:rsidP="00002B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27A1" w:rsidRDefault="00BF27A1" w:rsidP="00002BD8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2F6539">
        <w:rPr>
          <w:sz w:val="24"/>
          <w:szCs w:val="24"/>
          <w:lang w:val="en-US"/>
        </w:rPr>
        <w:t>Filgrastim</w:t>
      </w:r>
      <w:proofErr w:type="spellEnd"/>
      <w:r w:rsidRPr="002F6539">
        <w:rPr>
          <w:sz w:val="24"/>
          <w:szCs w:val="24"/>
          <w:lang w:val="en-US"/>
        </w:rPr>
        <w:t xml:space="preserve">  </w:t>
      </w:r>
      <w:r w:rsidR="00B22AD7">
        <w:rPr>
          <w:sz w:val="24"/>
          <w:szCs w:val="24"/>
          <w:lang w:val="en-US"/>
        </w:rPr>
        <w:t>is for single</w:t>
      </w:r>
      <w:r w:rsidRPr="002F6539">
        <w:rPr>
          <w:sz w:val="24"/>
          <w:szCs w:val="24"/>
          <w:lang w:val="en-US"/>
        </w:rPr>
        <w:t xml:space="preserve"> use </w:t>
      </w:r>
      <w:r w:rsidR="00C72B50">
        <w:rPr>
          <w:sz w:val="24"/>
          <w:szCs w:val="24"/>
          <w:lang w:val="en-US"/>
        </w:rPr>
        <w:t>in one patient</w:t>
      </w:r>
      <w:r w:rsidR="00630099">
        <w:rPr>
          <w:sz w:val="24"/>
          <w:szCs w:val="24"/>
          <w:lang w:val="en-US"/>
        </w:rPr>
        <w:t xml:space="preserve"> only</w:t>
      </w:r>
      <w:r w:rsidR="00B22AD7">
        <w:rPr>
          <w:sz w:val="24"/>
          <w:szCs w:val="24"/>
          <w:lang w:val="en-US"/>
        </w:rPr>
        <w:t>.</w:t>
      </w:r>
      <w:r w:rsidR="00C72B50">
        <w:rPr>
          <w:sz w:val="24"/>
          <w:szCs w:val="24"/>
          <w:lang w:val="en-US"/>
        </w:rPr>
        <w:t xml:space="preserve"> </w:t>
      </w:r>
      <w:r w:rsidR="00630099" w:rsidRPr="002F6539">
        <w:rPr>
          <w:sz w:val="24"/>
          <w:szCs w:val="24"/>
          <w:lang w:val="en-US"/>
        </w:rPr>
        <w:t>Discard</w:t>
      </w:r>
      <w:r w:rsidR="00B22AD7">
        <w:rPr>
          <w:sz w:val="24"/>
          <w:szCs w:val="24"/>
          <w:lang w:val="en-US"/>
        </w:rPr>
        <w:t xml:space="preserve"> any </w:t>
      </w:r>
      <w:r w:rsidRPr="002F6539">
        <w:rPr>
          <w:sz w:val="24"/>
          <w:szCs w:val="24"/>
          <w:lang w:val="en-US"/>
        </w:rPr>
        <w:t xml:space="preserve">residue. </w:t>
      </w:r>
    </w:p>
    <w:p w:rsidR="0044243E" w:rsidRPr="002F6539" w:rsidRDefault="0044243E" w:rsidP="00002BD8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44243E" w:rsidRDefault="0044243E" w:rsidP="0044243E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7062CD">
        <w:rPr>
          <w:sz w:val="24"/>
          <w:szCs w:val="24"/>
          <w:lang w:val="en-US"/>
        </w:rPr>
        <w:t>To reduce microbiological hazard, the solution should be administered as soon as practicable after dilution. If storage is necessary, hold at 2°- 8°C for a total time not more than 24 hours after dilution</w:t>
      </w:r>
      <w:r>
        <w:rPr>
          <w:sz w:val="24"/>
          <w:szCs w:val="24"/>
          <w:lang w:val="en-US"/>
        </w:rPr>
        <w:t>.</w:t>
      </w:r>
    </w:p>
    <w:p w:rsidR="000C7F61" w:rsidRPr="0044243E" w:rsidRDefault="000C7F61" w:rsidP="000738BC">
      <w:pPr>
        <w:jc w:val="both"/>
        <w:rPr>
          <w:sz w:val="24"/>
          <w:szCs w:val="24"/>
        </w:rPr>
      </w:pPr>
    </w:p>
    <w:p w:rsidR="00B60C5F" w:rsidRPr="00CA4638" w:rsidRDefault="00F22BCA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P</w:t>
      </w:r>
      <w:r w:rsidR="001E2D56" w:rsidRPr="00CA4638">
        <w:rPr>
          <w:szCs w:val="24"/>
        </w:rPr>
        <w:t xml:space="preserve">RESENTATION </w:t>
      </w:r>
    </w:p>
    <w:p w:rsidR="006F6CB4" w:rsidRPr="00C16D6C" w:rsidRDefault="006F6CB4" w:rsidP="00C16D6C">
      <w:pPr>
        <w:jc w:val="both"/>
        <w:rPr>
          <w:sz w:val="24"/>
          <w:szCs w:val="24"/>
        </w:rPr>
      </w:pPr>
    </w:p>
    <w:p w:rsidR="005B4F3F" w:rsidRPr="00CA4638" w:rsidRDefault="005B4F3F" w:rsidP="000738BC">
      <w:pPr>
        <w:jc w:val="both"/>
        <w:rPr>
          <w:sz w:val="24"/>
          <w:szCs w:val="24"/>
        </w:rPr>
      </w:pPr>
      <w:proofErr w:type="spellStart"/>
      <w:r w:rsidRPr="00CA4638">
        <w:rPr>
          <w:sz w:val="24"/>
          <w:szCs w:val="24"/>
        </w:rPr>
        <w:t>Zarzio</w:t>
      </w:r>
      <w:proofErr w:type="spellEnd"/>
      <w:r w:rsidRPr="00CA4638">
        <w:rPr>
          <w:sz w:val="24"/>
          <w:szCs w:val="24"/>
          <w:vertAlign w:val="superscript"/>
        </w:rPr>
        <w:t>®</w:t>
      </w:r>
      <w:r w:rsidRPr="00CA4638">
        <w:rPr>
          <w:sz w:val="24"/>
          <w:szCs w:val="24"/>
        </w:rPr>
        <w:t xml:space="preserve"> 300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 xml:space="preserve">/0.5 </w:t>
      </w:r>
      <w:proofErr w:type="spellStart"/>
      <w:r w:rsidRPr="00CA4638">
        <w:rPr>
          <w:sz w:val="24"/>
          <w:szCs w:val="24"/>
        </w:rPr>
        <w:t>mL</w:t>
      </w:r>
      <w:proofErr w:type="spellEnd"/>
      <w:r w:rsidRPr="00CA4638">
        <w:rPr>
          <w:sz w:val="24"/>
          <w:szCs w:val="24"/>
        </w:rPr>
        <w:t xml:space="preserve"> solution for injection:  </w:t>
      </w:r>
      <w:proofErr w:type="spellStart"/>
      <w:r w:rsidRPr="00CA4638">
        <w:rPr>
          <w:sz w:val="24"/>
          <w:szCs w:val="24"/>
        </w:rPr>
        <w:t>Colorless</w:t>
      </w:r>
      <w:proofErr w:type="spellEnd"/>
      <w:r w:rsidRPr="00CA4638">
        <w:rPr>
          <w:sz w:val="24"/>
          <w:szCs w:val="24"/>
        </w:rPr>
        <w:t xml:space="preserve"> to slightly yellowish </w:t>
      </w:r>
      <w:r w:rsidR="00F6238E" w:rsidRPr="00CA4638">
        <w:rPr>
          <w:sz w:val="24"/>
          <w:szCs w:val="24"/>
        </w:rPr>
        <w:t xml:space="preserve">solution, </w:t>
      </w:r>
      <w:r w:rsidR="001B152B" w:rsidRPr="00CA4638">
        <w:rPr>
          <w:sz w:val="24"/>
          <w:szCs w:val="24"/>
        </w:rPr>
        <w:t>containing</w:t>
      </w:r>
      <w:r w:rsidRPr="00CA4638">
        <w:rPr>
          <w:sz w:val="24"/>
          <w:szCs w:val="24"/>
        </w:rPr>
        <w:t xml:space="preserve"> 300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 xml:space="preserve"> (30 MU) in 0.5 mL pre-filled syringe.</w:t>
      </w:r>
    </w:p>
    <w:p w:rsidR="005B4F3F" w:rsidRPr="00CA4638" w:rsidRDefault="005B4F3F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>Pack of 1</w:t>
      </w:r>
      <w:r w:rsidR="00A434CF" w:rsidRPr="00A434CF">
        <w:rPr>
          <w:sz w:val="24"/>
          <w:szCs w:val="24"/>
          <w:vertAlign w:val="superscript"/>
        </w:rPr>
        <w:t>*</w:t>
      </w:r>
      <w:r w:rsidRPr="00CA4638">
        <w:rPr>
          <w:sz w:val="24"/>
          <w:szCs w:val="24"/>
        </w:rPr>
        <w:t>, 5</w:t>
      </w:r>
      <w:r w:rsidR="00A434CF" w:rsidRPr="00A434CF">
        <w:rPr>
          <w:sz w:val="24"/>
          <w:szCs w:val="24"/>
          <w:vertAlign w:val="superscript"/>
        </w:rPr>
        <w:t>*</w:t>
      </w:r>
      <w:r w:rsidRPr="00CA4638">
        <w:rPr>
          <w:sz w:val="24"/>
          <w:szCs w:val="24"/>
        </w:rPr>
        <w:t xml:space="preserve"> and 10</w:t>
      </w:r>
    </w:p>
    <w:p w:rsidR="005B4F3F" w:rsidRPr="00CA4638" w:rsidRDefault="005B4F3F" w:rsidP="000738BC">
      <w:pPr>
        <w:jc w:val="both"/>
        <w:rPr>
          <w:sz w:val="24"/>
          <w:szCs w:val="24"/>
        </w:rPr>
      </w:pPr>
    </w:p>
    <w:p w:rsidR="005B4F3F" w:rsidRPr="00CA4638" w:rsidRDefault="005B4F3F" w:rsidP="005B4F3F">
      <w:pPr>
        <w:jc w:val="both"/>
        <w:rPr>
          <w:sz w:val="24"/>
          <w:szCs w:val="24"/>
        </w:rPr>
      </w:pPr>
      <w:proofErr w:type="spellStart"/>
      <w:r w:rsidRPr="00CA4638">
        <w:rPr>
          <w:sz w:val="24"/>
          <w:szCs w:val="24"/>
        </w:rPr>
        <w:t>Zarzio</w:t>
      </w:r>
      <w:proofErr w:type="spellEnd"/>
      <w:r w:rsidRPr="00CA4638">
        <w:rPr>
          <w:sz w:val="24"/>
          <w:szCs w:val="24"/>
          <w:vertAlign w:val="superscript"/>
        </w:rPr>
        <w:t>®</w:t>
      </w:r>
      <w:r w:rsidRPr="00CA4638">
        <w:rPr>
          <w:sz w:val="24"/>
          <w:szCs w:val="24"/>
        </w:rPr>
        <w:t xml:space="preserve"> 480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 xml:space="preserve"> /0.5 mL solution for injection:  </w:t>
      </w:r>
      <w:proofErr w:type="spellStart"/>
      <w:r w:rsidRPr="00CA4638">
        <w:rPr>
          <w:sz w:val="24"/>
          <w:szCs w:val="24"/>
        </w:rPr>
        <w:t>Colorless</w:t>
      </w:r>
      <w:proofErr w:type="spellEnd"/>
      <w:r w:rsidRPr="00CA4638">
        <w:rPr>
          <w:sz w:val="24"/>
          <w:szCs w:val="24"/>
        </w:rPr>
        <w:t xml:space="preserve"> to slightly yellowish </w:t>
      </w:r>
      <w:r w:rsidR="00F6238E" w:rsidRPr="00CA4638">
        <w:rPr>
          <w:sz w:val="24"/>
          <w:szCs w:val="24"/>
        </w:rPr>
        <w:t xml:space="preserve">solution, </w:t>
      </w:r>
      <w:r w:rsidR="001B152B" w:rsidRPr="00CA4638">
        <w:rPr>
          <w:sz w:val="24"/>
          <w:szCs w:val="24"/>
        </w:rPr>
        <w:t>containing</w:t>
      </w:r>
      <w:r w:rsidRPr="00CA4638">
        <w:rPr>
          <w:sz w:val="24"/>
          <w:szCs w:val="24"/>
        </w:rPr>
        <w:t xml:space="preserve"> 480 </w:t>
      </w:r>
      <w:proofErr w:type="spellStart"/>
      <w:r w:rsidRPr="00CA4638">
        <w:rPr>
          <w:sz w:val="24"/>
          <w:szCs w:val="24"/>
        </w:rPr>
        <w:t>μg</w:t>
      </w:r>
      <w:proofErr w:type="spellEnd"/>
      <w:r w:rsidRPr="00CA4638">
        <w:rPr>
          <w:sz w:val="24"/>
          <w:szCs w:val="24"/>
        </w:rPr>
        <w:t xml:space="preserve"> (48 MU) in 0.5 mL pre-filled syringe.</w:t>
      </w:r>
    </w:p>
    <w:p w:rsidR="00CC092E" w:rsidRPr="00CA4638" w:rsidRDefault="00CC092E" w:rsidP="00CC092E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>Pack of 1</w:t>
      </w:r>
      <w:r w:rsidR="00A434CF" w:rsidRPr="00A434CF">
        <w:rPr>
          <w:sz w:val="24"/>
          <w:szCs w:val="24"/>
          <w:vertAlign w:val="superscript"/>
        </w:rPr>
        <w:t>*</w:t>
      </w:r>
      <w:r w:rsidRPr="00CA4638">
        <w:rPr>
          <w:sz w:val="24"/>
          <w:szCs w:val="24"/>
        </w:rPr>
        <w:t>, 5</w:t>
      </w:r>
      <w:r w:rsidR="00A434CF" w:rsidRPr="00A434CF">
        <w:rPr>
          <w:sz w:val="24"/>
          <w:szCs w:val="24"/>
          <w:vertAlign w:val="superscript"/>
        </w:rPr>
        <w:t>*</w:t>
      </w:r>
      <w:r w:rsidRPr="00CA4638">
        <w:rPr>
          <w:sz w:val="24"/>
          <w:szCs w:val="24"/>
        </w:rPr>
        <w:t xml:space="preserve"> and 10</w:t>
      </w:r>
    </w:p>
    <w:p w:rsidR="00A434CF" w:rsidRPr="00FE076E" w:rsidRDefault="00A434CF" w:rsidP="00A434CF">
      <w:pPr>
        <w:jc w:val="both"/>
        <w:rPr>
          <w:sz w:val="24"/>
          <w:szCs w:val="24"/>
        </w:rPr>
      </w:pPr>
      <w:r w:rsidRPr="00FE076E">
        <w:rPr>
          <w:sz w:val="24"/>
          <w:szCs w:val="24"/>
        </w:rPr>
        <w:t>* Not currently marketed in Australia</w:t>
      </w:r>
    </w:p>
    <w:p w:rsidR="00A434CF" w:rsidRPr="006E4FCB" w:rsidRDefault="00A434CF" w:rsidP="000738BC">
      <w:pPr>
        <w:jc w:val="both"/>
        <w:rPr>
          <w:sz w:val="24"/>
          <w:szCs w:val="24"/>
          <w:lang w:val="en-US"/>
        </w:rPr>
      </w:pPr>
    </w:p>
    <w:p w:rsidR="00F22BCA" w:rsidRPr="00CA4638" w:rsidRDefault="00B60C5F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N</w:t>
      </w:r>
      <w:r w:rsidR="001E2D56" w:rsidRPr="00CA4638">
        <w:rPr>
          <w:szCs w:val="24"/>
        </w:rPr>
        <w:t>AME AND ADDRESS OF THE SPONSOR</w:t>
      </w:r>
    </w:p>
    <w:p w:rsidR="006F6CB4" w:rsidRPr="00CA4638" w:rsidRDefault="006F6CB4" w:rsidP="000738BC">
      <w:pPr>
        <w:jc w:val="both"/>
        <w:rPr>
          <w:b/>
          <w:sz w:val="24"/>
          <w:szCs w:val="24"/>
        </w:rPr>
      </w:pPr>
    </w:p>
    <w:p w:rsidR="00F22BCA" w:rsidRPr="00CA4638" w:rsidRDefault="009C3874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>Sandoz</w:t>
      </w:r>
      <w:r w:rsidR="00F22BCA" w:rsidRPr="00CA4638">
        <w:rPr>
          <w:sz w:val="24"/>
          <w:szCs w:val="24"/>
        </w:rPr>
        <w:t xml:space="preserve"> Pty Ltd</w:t>
      </w:r>
    </w:p>
    <w:p w:rsidR="00FA303C" w:rsidRPr="00CA4638" w:rsidRDefault="00FA303C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>ABN 60</w:t>
      </w:r>
      <w:r w:rsidR="00DE72FB" w:rsidRPr="00CA4638">
        <w:rPr>
          <w:sz w:val="24"/>
          <w:szCs w:val="24"/>
        </w:rPr>
        <w:t xml:space="preserve"> 07</w:t>
      </w:r>
      <w:r w:rsidRPr="00CA4638">
        <w:rPr>
          <w:sz w:val="24"/>
          <w:szCs w:val="24"/>
        </w:rPr>
        <w:t>5</w:t>
      </w:r>
      <w:r w:rsidR="00DE72FB" w:rsidRPr="00CA4638">
        <w:rPr>
          <w:sz w:val="24"/>
          <w:szCs w:val="24"/>
        </w:rPr>
        <w:t xml:space="preserve"> </w:t>
      </w:r>
      <w:r w:rsidRPr="00CA4638">
        <w:rPr>
          <w:sz w:val="24"/>
          <w:szCs w:val="24"/>
        </w:rPr>
        <w:t>449 553</w:t>
      </w:r>
    </w:p>
    <w:p w:rsidR="00F22BCA" w:rsidRPr="00CA4638" w:rsidRDefault="001A6D9D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>19</w:t>
      </w:r>
      <w:r w:rsidR="00F22BCA" w:rsidRPr="00CA4638">
        <w:rPr>
          <w:sz w:val="24"/>
          <w:szCs w:val="24"/>
        </w:rPr>
        <w:t xml:space="preserve"> Harris Street</w:t>
      </w:r>
    </w:p>
    <w:p w:rsidR="00F22BCA" w:rsidRPr="00CA4638" w:rsidRDefault="00F22BCA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>Pyrmont NSW 2009</w:t>
      </w:r>
    </w:p>
    <w:p w:rsidR="001A6D9D" w:rsidRPr="00CA4638" w:rsidRDefault="001A6D9D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>Australia</w:t>
      </w:r>
    </w:p>
    <w:p w:rsidR="001A6D9D" w:rsidRPr="00CA4638" w:rsidRDefault="001A6D9D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>Tel: 1800 634 500</w:t>
      </w:r>
    </w:p>
    <w:p w:rsidR="00BC1A09" w:rsidRPr="00CA4638" w:rsidRDefault="00BC1A09" w:rsidP="000738BC">
      <w:pPr>
        <w:jc w:val="both"/>
        <w:rPr>
          <w:sz w:val="24"/>
          <w:szCs w:val="24"/>
        </w:rPr>
      </w:pPr>
    </w:p>
    <w:p w:rsidR="00B60C5F" w:rsidRPr="00CA4638" w:rsidRDefault="00B60C5F" w:rsidP="000738BC">
      <w:pPr>
        <w:pStyle w:val="Heading1"/>
        <w:jc w:val="both"/>
        <w:rPr>
          <w:szCs w:val="24"/>
        </w:rPr>
      </w:pPr>
      <w:r w:rsidRPr="00CA4638">
        <w:rPr>
          <w:szCs w:val="24"/>
        </w:rPr>
        <w:t>P</w:t>
      </w:r>
      <w:r w:rsidR="001E2D56" w:rsidRPr="00CA4638">
        <w:rPr>
          <w:szCs w:val="24"/>
        </w:rPr>
        <w:t>OISON SCHEDULE OF THE MEDICINE</w:t>
      </w:r>
    </w:p>
    <w:p w:rsidR="006F6CB4" w:rsidRPr="00CA4638" w:rsidRDefault="006F6CB4" w:rsidP="000738BC">
      <w:pPr>
        <w:jc w:val="both"/>
        <w:rPr>
          <w:sz w:val="24"/>
          <w:szCs w:val="24"/>
        </w:rPr>
      </w:pPr>
    </w:p>
    <w:p w:rsidR="00FA303C" w:rsidRPr="00CA4638" w:rsidRDefault="00FA303C" w:rsidP="000738BC">
      <w:pPr>
        <w:jc w:val="both"/>
        <w:rPr>
          <w:sz w:val="24"/>
          <w:szCs w:val="24"/>
        </w:rPr>
      </w:pPr>
      <w:r w:rsidRPr="00CA4638">
        <w:rPr>
          <w:sz w:val="24"/>
          <w:szCs w:val="24"/>
        </w:rPr>
        <w:t xml:space="preserve">Schedule 4 – Prescription </w:t>
      </w:r>
      <w:r w:rsidR="007C03BC" w:rsidRPr="00CA4638">
        <w:rPr>
          <w:sz w:val="24"/>
          <w:szCs w:val="24"/>
        </w:rPr>
        <w:t xml:space="preserve">Only </w:t>
      </w:r>
      <w:r w:rsidRPr="00CA4638">
        <w:rPr>
          <w:sz w:val="24"/>
          <w:szCs w:val="24"/>
        </w:rPr>
        <w:t>Medicine</w:t>
      </w:r>
    </w:p>
    <w:p w:rsidR="006F6CB4" w:rsidRPr="00CA4638" w:rsidRDefault="006F6CB4" w:rsidP="000738BC">
      <w:pPr>
        <w:jc w:val="both"/>
        <w:rPr>
          <w:sz w:val="24"/>
          <w:szCs w:val="24"/>
        </w:rPr>
      </w:pPr>
    </w:p>
    <w:p w:rsidR="00EC0FAD" w:rsidRPr="00CA4638" w:rsidRDefault="00F22BCA" w:rsidP="000738BC">
      <w:pPr>
        <w:jc w:val="both"/>
        <w:rPr>
          <w:b/>
          <w:sz w:val="24"/>
          <w:szCs w:val="24"/>
        </w:rPr>
      </w:pPr>
      <w:r w:rsidRPr="00CA4638">
        <w:rPr>
          <w:b/>
          <w:sz w:val="24"/>
          <w:szCs w:val="24"/>
        </w:rPr>
        <w:t xml:space="preserve">Date of </w:t>
      </w:r>
      <w:r w:rsidR="004612BC" w:rsidRPr="00CA4638">
        <w:rPr>
          <w:b/>
          <w:sz w:val="24"/>
          <w:szCs w:val="24"/>
        </w:rPr>
        <w:t>first inclusion in the Australian Register of Therapeutic Goods (the ARTG)</w:t>
      </w:r>
      <w:r w:rsidRPr="00CA4638">
        <w:rPr>
          <w:b/>
          <w:sz w:val="24"/>
          <w:szCs w:val="24"/>
        </w:rPr>
        <w:t xml:space="preserve">: </w:t>
      </w:r>
      <w:r w:rsidR="00597E88" w:rsidRPr="00597E88">
        <w:rPr>
          <w:sz w:val="24"/>
          <w:szCs w:val="24"/>
        </w:rPr>
        <w:t>0</w:t>
      </w:r>
      <w:r w:rsidR="00597E88" w:rsidRPr="00597E88">
        <w:rPr>
          <w:sz w:val="24"/>
          <w:szCs w:val="24"/>
          <w:lang w:val="en-US"/>
        </w:rPr>
        <w:t>7/05/2013</w:t>
      </w:r>
      <w:bookmarkStart w:id="0" w:name="_GoBack"/>
      <w:bookmarkEnd w:id="0"/>
    </w:p>
    <w:sectPr w:rsidR="00EC0FAD" w:rsidRPr="00CA4638" w:rsidSect="00CE3450">
      <w:headerReference w:type="even" r:id="rId9"/>
      <w:headerReference w:type="default" r:id="rId10"/>
      <w:footerReference w:type="default" r:id="rId11"/>
      <w:pgSz w:w="11906" w:h="16838" w:code="9"/>
      <w:pgMar w:top="776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62" w:rsidRDefault="00E22E62">
      <w:r>
        <w:separator/>
      </w:r>
    </w:p>
  </w:endnote>
  <w:endnote w:type="continuationSeparator" w:id="0">
    <w:p w:rsidR="00E22E62" w:rsidRDefault="00E22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B9" w:rsidRDefault="00AA0AB9" w:rsidP="001C06B5">
    <w:pPr>
      <w:pStyle w:val="Footer"/>
      <w:pBdr>
        <w:top w:val="single" w:sz="4" w:space="1" w:color="auto"/>
      </w:pBdr>
      <w:ind w:right="-94"/>
      <w:rPr>
        <w:i/>
        <w:lang w:val="en-US"/>
      </w:rPr>
    </w:pPr>
    <w:r>
      <w:rPr>
        <w:i/>
        <w:lang w:val="en-US"/>
      </w:rPr>
      <w:t>Sandoz Pty Ltd</w:t>
    </w:r>
    <w:r>
      <w:rPr>
        <w:i/>
        <w:lang w:val="en-US"/>
      </w:rPr>
      <w:tab/>
    </w:r>
    <w:r>
      <w:rPr>
        <w:i/>
        <w:lang w:val="en-US"/>
      </w:rPr>
      <w:tab/>
      <w:t>Version 0</w:t>
    </w:r>
    <w:r w:rsidR="008B42E8">
      <w:rPr>
        <w:i/>
        <w:lang w:val="en-US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62" w:rsidRDefault="00E22E62">
      <w:r>
        <w:separator/>
      </w:r>
    </w:p>
  </w:footnote>
  <w:footnote w:type="continuationSeparator" w:id="0">
    <w:p w:rsidR="00E22E62" w:rsidRDefault="00E22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B9" w:rsidRDefault="00FB786E" w:rsidP="007F4A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0A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0AB9" w:rsidRDefault="00AA0AB9" w:rsidP="007F4A7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B9" w:rsidRPr="007F4A71" w:rsidRDefault="00FB786E" w:rsidP="007F4A71">
    <w:pPr>
      <w:pStyle w:val="Header"/>
      <w:framePr w:wrap="around" w:vAnchor="text" w:hAnchor="margin" w:xAlign="right" w:y="1"/>
      <w:rPr>
        <w:rStyle w:val="PageNumber"/>
        <w:i/>
      </w:rPr>
    </w:pPr>
    <w:r w:rsidRPr="007F4A71">
      <w:rPr>
        <w:rStyle w:val="PageNumber"/>
        <w:i/>
      </w:rPr>
      <w:fldChar w:fldCharType="begin"/>
    </w:r>
    <w:r w:rsidR="00AA0AB9" w:rsidRPr="007F4A71">
      <w:rPr>
        <w:rStyle w:val="PageNumber"/>
        <w:i/>
      </w:rPr>
      <w:instrText xml:space="preserve">PAGE  </w:instrText>
    </w:r>
    <w:r w:rsidRPr="007F4A71">
      <w:rPr>
        <w:rStyle w:val="PageNumber"/>
        <w:i/>
      </w:rPr>
      <w:fldChar w:fldCharType="separate"/>
    </w:r>
    <w:r w:rsidR="00CE6E24">
      <w:rPr>
        <w:rStyle w:val="PageNumber"/>
        <w:i/>
        <w:noProof/>
      </w:rPr>
      <w:t>1</w:t>
    </w:r>
    <w:r w:rsidRPr="007F4A71">
      <w:rPr>
        <w:rStyle w:val="PageNumber"/>
        <w:i/>
      </w:rPr>
      <w:fldChar w:fldCharType="end"/>
    </w:r>
  </w:p>
  <w:p w:rsidR="0033411C" w:rsidRPr="0033411C" w:rsidRDefault="0033411C" w:rsidP="00334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4F2E0"/>
      <w:spacing w:before="40" w:after="40"/>
      <w:rPr>
        <w:rFonts w:ascii="Cambria" w:hAnsi="Cambria"/>
        <w:b/>
      </w:rPr>
    </w:pPr>
    <w:r w:rsidRPr="0033411C">
      <w:rPr>
        <w:rFonts w:ascii="Cambria" w:hAnsi="Cambria"/>
        <w:b/>
      </w:rPr>
      <w:t xml:space="preserve">Attachment 1: Product information for </w:t>
    </w:r>
    <w:proofErr w:type="spellStart"/>
    <w:r w:rsidRPr="0033411C">
      <w:rPr>
        <w:rFonts w:ascii="Cambria" w:hAnsi="Cambria"/>
        <w:b/>
      </w:rPr>
      <w:t>AusPAR</w:t>
    </w:r>
    <w:proofErr w:type="spellEnd"/>
    <w:r w:rsidRPr="0033411C">
      <w:rPr>
        <w:rFonts w:ascii="Cambria" w:hAnsi="Cambria"/>
        <w:b/>
      </w:rPr>
      <w:t xml:space="preserve">: </w:t>
    </w:r>
    <w:proofErr w:type="spellStart"/>
    <w:r w:rsidRPr="0033411C">
      <w:rPr>
        <w:rFonts w:ascii="Cambria" w:hAnsi="Cambria"/>
        <w:b/>
      </w:rPr>
      <w:t>Zarzio</w:t>
    </w:r>
    <w:proofErr w:type="spellEnd"/>
    <w:r w:rsidRPr="0033411C">
      <w:rPr>
        <w:rFonts w:ascii="Cambria" w:hAnsi="Cambria"/>
        <w:b/>
      </w:rPr>
      <w:t xml:space="preserve">; </w:t>
    </w:r>
    <w:proofErr w:type="spellStart"/>
    <w:r w:rsidRPr="0033411C">
      <w:rPr>
        <w:rFonts w:ascii="Cambria" w:hAnsi="Cambria"/>
        <w:b/>
      </w:rPr>
      <w:t>Filgrastim</w:t>
    </w:r>
    <w:proofErr w:type="spellEnd"/>
    <w:r w:rsidRPr="0033411C">
      <w:rPr>
        <w:rFonts w:ascii="Cambria" w:hAnsi="Cambria"/>
        <w:b/>
      </w:rPr>
      <w:t xml:space="preserve"> (</w:t>
    </w:r>
    <w:proofErr w:type="spellStart"/>
    <w:r w:rsidRPr="0033411C">
      <w:rPr>
        <w:rFonts w:ascii="Cambria" w:hAnsi="Cambria"/>
        <w:b/>
      </w:rPr>
      <w:t>rbe</w:t>
    </w:r>
    <w:proofErr w:type="spellEnd"/>
    <w:r w:rsidRPr="0033411C">
      <w:rPr>
        <w:rFonts w:ascii="Cambria" w:hAnsi="Cambria"/>
        <w:b/>
      </w:rPr>
      <w:t>); Sandoz Pty Ltd; PM-2011-03860-3-4 Date of Finalisation 3 October 2013</w:t>
    </w:r>
    <w:r w:rsidRPr="0033411C">
      <w:rPr>
        <w:rFonts w:ascii="Cambria" w:hAnsi="Cambria"/>
        <w:b/>
      </w:rPr>
      <w:t xml:space="preserve">. This Product Information was approved at the time this </w:t>
    </w:r>
    <w:proofErr w:type="spellStart"/>
    <w:r w:rsidRPr="0033411C">
      <w:rPr>
        <w:rFonts w:ascii="Cambria" w:hAnsi="Cambria"/>
        <w:b/>
      </w:rPr>
      <w:t>AusPAR</w:t>
    </w:r>
    <w:proofErr w:type="spellEnd"/>
    <w:r w:rsidRPr="0033411C">
      <w:rPr>
        <w:rFonts w:ascii="Cambria" w:hAnsi="Cambria"/>
        <w:b/>
      </w:rPr>
      <w:t xml:space="preserve"> was published.</w:t>
    </w:r>
  </w:p>
  <w:p w:rsidR="0033411C" w:rsidRDefault="0033411C" w:rsidP="00914252">
    <w:pPr>
      <w:pStyle w:val="Header"/>
      <w:ind w:right="360"/>
      <w:rPr>
        <w:i/>
      </w:rPr>
    </w:pPr>
  </w:p>
  <w:p w:rsidR="00AA0AB9" w:rsidRPr="00AF0F18" w:rsidRDefault="00AA0AB9" w:rsidP="00914252">
    <w:pPr>
      <w:pStyle w:val="Header"/>
      <w:ind w:right="360"/>
      <w:rPr>
        <w:i/>
        <w:color w:val="0000FF"/>
      </w:rPr>
    </w:pPr>
    <w:r w:rsidRPr="00AF0F18">
      <w:rPr>
        <w:i/>
      </w:rPr>
      <w:t>Product Information</w:t>
    </w:r>
    <w:r w:rsidRPr="00AF0F18">
      <w:rPr>
        <w:rStyle w:val="PageNumber"/>
        <w:i/>
      </w:rPr>
      <w:t xml:space="preserve">                                                                                                                     Page</w:t>
    </w:r>
  </w:p>
  <w:p w:rsidR="00AA0AB9" w:rsidRPr="00AF0F18" w:rsidRDefault="00AA0AB9" w:rsidP="00AF0F18">
    <w:pPr>
      <w:autoSpaceDE w:val="0"/>
      <w:autoSpaceDN w:val="0"/>
      <w:adjustRightInd w:val="0"/>
      <w:rPr>
        <w:i/>
      </w:rPr>
    </w:pPr>
    <w:proofErr w:type="spellStart"/>
    <w:r w:rsidRPr="00AF0F18">
      <w:rPr>
        <w:i/>
      </w:rPr>
      <w:t>Zarzio</w:t>
    </w:r>
    <w:proofErr w:type="spellEnd"/>
    <w:r w:rsidRPr="00AF0F18">
      <w:rPr>
        <w:b/>
        <w:bCs/>
        <w:lang w:val="en-US"/>
      </w:rPr>
      <w:t xml:space="preserve"> </w:t>
    </w:r>
    <w:r w:rsidRPr="00AF0F18">
      <w:rPr>
        <w:b/>
        <w:bCs/>
        <w:vertAlign w:val="superscript"/>
        <w:lang w:val="en-US"/>
      </w:rPr>
      <w:t>®</w:t>
    </w:r>
    <w:r w:rsidRPr="00AF0F18">
      <w:rPr>
        <w:b/>
        <w:bCs/>
        <w:lang w:val="en-US"/>
      </w:rPr>
      <w:t xml:space="preserve"> </w:t>
    </w:r>
    <w:r w:rsidRPr="00AF0F18">
      <w:rPr>
        <w:i/>
      </w:rPr>
      <w:t>300μg/0.5mL and 480μg/0.5mL solution for injection (pre-filled syringes)</w:t>
    </w:r>
  </w:p>
  <w:p w:rsidR="00AA0AB9" w:rsidRPr="00AF0F18" w:rsidRDefault="00FB786E" w:rsidP="00914252">
    <w:pPr>
      <w:pStyle w:val="Header"/>
      <w:ind w:right="360"/>
      <w:rPr>
        <w:i/>
      </w:rPr>
    </w:pPr>
    <w:r w:rsidRPr="00FB786E">
      <w:rPr>
        <w:i/>
        <w:noProof/>
        <w:lang w:val="en-US" w:eastAsia="zh-CN"/>
      </w:rPr>
      <w:pict>
        <v:line id="Line 2" o:spid="_x0000_s1433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3.55pt" to="421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Z4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vliB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" o:allowincell="f"/>
      </w:pict>
    </w:r>
    <w:r w:rsidR="002B1C2A">
      <w:rPr>
        <w:i/>
      </w:rPr>
      <w:t>0</w:t>
    </w:r>
    <w:r w:rsidR="00F8497B">
      <w:rPr>
        <w:i/>
      </w:rPr>
      <w:t>1</w:t>
    </w:r>
    <w:r w:rsidR="00AA0AB9">
      <w:rPr>
        <w:i/>
      </w:rPr>
      <w:t>/201</w:t>
    </w:r>
    <w:r w:rsidR="002B1C2A">
      <w:rPr>
        <w:i/>
      </w:rPr>
      <w:t>3</w:t>
    </w:r>
  </w:p>
  <w:p w:rsidR="00AA0AB9" w:rsidRDefault="00AA0A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AC94D8"/>
    <w:multiLevelType w:val="hybridMultilevel"/>
    <w:tmpl w:val="2EFF16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ACFC7B3"/>
    <w:multiLevelType w:val="hybridMultilevel"/>
    <w:tmpl w:val="69F211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B582A77"/>
    <w:multiLevelType w:val="hybridMultilevel"/>
    <w:tmpl w:val="7166D4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B68D3C"/>
    <w:multiLevelType w:val="hybridMultilevel"/>
    <w:tmpl w:val="AB5B9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9F38FD1"/>
    <w:multiLevelType w:val="hybridMultilevel"/>
    <w:tmpl w:val="DA023C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1BE1340"/>
    <w:multiLevelType w:val="hybridMultilevel"/>
    <w:tmpl w:val="D156CF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653CDD2"/>
    <w:multiLevelType w:val="hybridMultilevel"/>
    <w:tmpl w:val="08D4B2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FC510CD"/>
    <w:multiLevelType w:val="hybridMultilevel"/>
    <w:tmpl w:val="4182CE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8246C89"/>
    <w:multiLevelType w:val="hybridMultilevel"/>
    <w:tmpl w:val="3C82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EF56D4"/>
    <w:multiLevelType w:val="singleLevel"/>
    <w:tmpl w:val="9D5098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0A65AA22"/>
    <w:multiLevelType w:val="hybridMultilevel"/>
    <w:tmpl w:val="A48200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EBE4F8C"/>
    <w:multiLevelType w:val="hybridMultilevel"/>
    <w:tmpl w:val="F7EE2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67EAC0"/>
    <w:multiLevelType w:val="hybridMultilevel"/>
    <w:tmpl w:val="70252A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ABC3B05"/>
    <w:multiLevelType w:val="singleLevel"/>
    <w:tmpl w:val="C57C9E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6E2D688"/>
    <w:multiLevelType w:val="hybridMultilevel"/>
    <w:tmpl w:val="86C384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150B05D"/>
    <w:multiLevelType w:val="hybridMultilevel"/>
    <w:tmpl w:val="7ACB82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D613C56"/>
    <w:multiLevelType w:val="hybridMultilevel"/>
    <w:tmpl w:val="D4FC638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2262632"/>
    <w:multiLevelType w:val="hybridMultilevel"/>
    <w:tmpl w:val="07E2BE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753791C"/>
    <w:multiLevelType w:val="hybridMultilevel"/>
    <w:tmpl w:val="16180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1"/>
  </w:num>
  <w:num w:numId="5">
    <w:abstractNumId w:val="18"/>
  </w:num>
  <w:num w:numId="6">
    <w:abstractNumId w:val="8"/>
  </w:num>
  <w:num w:numId="7">
    <w:abstractNumId w:val="14"/>
  </w:num>
  <w:num w:numId="8">
    <w:abstractNumId w:val="0"/>
  </w:num>
  <w:num w:numId="9">
    <w:abstractNumId w:val="1"/>
  </w:num>
  <w:num w:numId="10">
    <w:abstractNumId w:val="15"/>
  </w:num>
  <w:num w:numId="11">
    <w:abstractNumId w:val="2"/>
  </w:num>
  <w:num w:numId="12">
    <w:abstractNumId w:val="6"/>
  </w:num>
  <w:num w:numId="13">
    <w:abstractNumId w:val="10"/>
  </w:num>
  <w:num w:numId="14">
    <w:abstractNumId w:val="16"/>
  </w:num>
  <w:num w:numId="15">
    <w:abstractNumId w:val="3"/>
  </w:num>
  <w:num w:numId="16">
    <w:abstractNumId w:val="7"/>
  </w:num>
  <w:num w:numId="17">
    <w:abstractNumId w:val="5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5699F"/>
    <w:rsid w:val="00000186"/>
    <w:rsid w:val="000023F1"/>
    <w:rsid w:val="00002BD8"/>
    <w:rsid w:val="000046C3"/>
    <w:rsid w:val="00012E50"/>
    <w:rsid w:val="00012EEC"/>
    <w:rsid w:val="00020631"/>
    <w:rsid w:val="00021B34"/>
    <w:rsid w:val="0002297D"/>
    <w:rsid w:val="0002430E"/>
    <w:rsid w:val="00024CD4"/>
    <w:rsid w:val="000275CB"/>
    <w:rsid w:val="0002784E"/>
    <w:rsid w:val="00037DC4"/>
    <w:rsid w:val="0004226B"/>
    <w:rsid w:val="000433C7"/>
    <w:rsid w:val="00044434"/>
    <w:rsid w:val="000447BA"/>
    <w:rsid w:val="00044C23"/>
    <w:rsid w:val="000454E7"/>
    <w:rsid w:val="00046A69"/>
    <w:rsid w:val="0005043F"/>
    <w:rsid w:val="000523BF"/>
    <w:rsid w:val="00054775"/>
    <w:rsid w:val="000601BC"/>
    <w:rsid w:val="00062595"/>
    <w:rsid w:val="00063E7A"/>
    <w:rsid w:val="00065149"/>
    <w:rsid w:val="000656B1"/>
    <w:rsid w:val="000660FC"/>
    <w:rsid w:val="00067295"/>
    <w:rsid w:val="00070EC7"/>
    <w:rsid w:val="000717CB"/>
    <w:rsid w:val="0007288B"/>
    <w:rsid w:val="000738BC"/>
    <w:rsid w:val="00073C55"/>
    <w:rsid w:val="00086DEF"/>
    <w:rsid w:val="00086EB6"/>
    <w:rsid w:val="00087A43"/>
    <w:rsid w:val="000906E7"/>
    <w:rsid w:val="00090ACE"/>
    <w:rsid w:val="00091CA9"/>
    <w:rsid w:val="0009253A"/>
    <w:rsid w:val="000956BF"/>
    <w:rsid w:val="0009697C"/>
    <w:rsid w:val="000A44D0"/>
    <w:rsid w:val="000A486A"/>
    <w:rsid w:val="000A4CF9"/>
    <w:rsid w:val="000A72AB"/>
    <w:rsid w:val="000B1AE3"/>
    <w:rsid w:val="000B3A13"/>
    <w:rsid w:val="000B3F7E"/>
    <w:rsid w:val="000C10AB"/>
    <w:rsid w:val="000C7F61"/>
    <w:rsid w:val="000D0847"/>
    <w:rsid w:val="000D278E"/>
    <w:rsid w:val="000D29A5"/>
    <w:rsid w:val="000D4973"/>
    <w:rsid w:val="000D51AF"/>
    <w:rsid w:val="000E0850"/>
    <w:rsid w:val="000E2732"/>
    <w:rsid w:val="000E2ACA"/>
    <w:rsid w:val="000E41F1"/>
    <w:rsid w:val="000E52FC"/>
    <w:rsid w:val="000E60EC"/>
    <w:rsid w:val="000F3B9A"/>
    <w:rsid w:val="000F4546"/>
    <w:rsid w:val="000F48CF"/>
    <w:rsid w:val="000F62DC"/>
    <w:rsid w:val="00100089"/>
    <w:rsid w:val="00101096"/>
    <w:rsid w:val="00102ED2"/>
    <w:rsid w:val="00104AB9"/>
    <w:rsid w:val="00107389"/>
    <w:rsid w:val="00110AC7"/>
    <w:rsid w:val="00115A03"/>
    <w:rsid w:val="00116C50"/>
    <w:rsid w:val="00123C95"/>
    <w:rsid w:val="001253BD"/>
    <w:rsid w:val="00127ED7"/>
    <w:rsid w:val="001302B5"/>
    <w:rsid w:val="00131EF2"/>
    <w:rsid w:val="00132933"/>
    <w:rsid w:val="00134149"/>
    <w:rsid w:val="00135D76"/>
    <w:rsid w:val="00136DEA"/>
    <w:rsid w:val="001408FB"/>
    <w:rsid w:val="001430A8"/>
    <w:rsid w:val="00143A15"/>
    <w:rsid w:val="00143BB1"/>
    <w:rsid w:val="00144ABA"/>
    <w:rsid w:val="001450EB"/>
    <w:rsid w:val="00146177"/>
    <w:rsid w:val="00146AD0"/>
    <w:rsid w:val="00150ECD"/>
    <w:rsid w:val="00151AF2"/>
    <w:rsid w:val="001562F6"/>
    <w:rsid w:val="001628BA"/>
    <w:rsid w:val="001632F0"/>
    <w:rsid w:val="001636D5"/>
    <w:rsid w:val="00163B04"/>
    <w:rsid w:val="00170D87"/>
    <w:rsid w:val="0017380D"/>
    <w:rsid w:val="00173A25"/>
    <w:rsid w:val="001754C4"/>
    <w:rsid w:val="0017715C"/>
    <w:rsid w:val="00187FC2"/>
    <w:rsid w:val="001A0836"/>
    <w:rsid w:val="001A0A8C"/>
    <w:rsid w:val="001A52C4"/>
    <w:rsid w:val="001A60C0"/>
    <w:rsid w:val="001A6D00"/>
    <w:rsid w:val="001A6D9D"/>
    <w:rsid w:val="001A6FD0"/>
    <w:rsid w:val="001B152B"/>
    <w:rsid w:val="001B5052"/>
    <w:rsid w:val="001C06B5"/>
    <w:rsid w:val="001C1225"/>
    <w:rsid w:val="001C3050"/>
    <w:rsid w:val="001C53A9"/>
    <w:rsid w:val="001D13A0"/>
    <w:rsid w:val="001D2386"/>
    <w:rsid w:val="001D597F"/>
    <w:rsid w:val="001D60EC"/>
    <w:rsid w:val="001D6743"/>
    <w:rsid w:val="001D6F83"/>
    <w:rsid w:val="001E05CF"/>
    <w:rsid w:val="001E2D56"/>
    <w:rsid w:val="001F18C9"/>
    <w:rsid w:val="001F3270"/>
    <w:rsid w:val="001F77F3"/>
    <w:rsid w:val="001F798A"/>
    <w:rsid w:val="002000F0"/>
    <w:rsid w:val="00200363"/>
    <w:rsid w:val="002015E3"/>
    <w:rsid w:val="002058FE"/>
    <w:rsid w:val="002060E8"/>
    <w:rsid w:val="00206DA5"/>
    <w:rsid w:val="00207301"/>
    <w:rsid w:val="00207C95"/>
    <w:rsid w:val="00207E42"/>
    <w:rsid w:val="00207EBA"/>
    <w:rsid w:val="002113ED"/>
    <w:rsid w:val="00211DF5"/>
    <w:rsid w:val="002139D4"/>
    <w:rsid w:val="00213D84"/>
    <w:rsid w:val="00214496"/>
    <w:rsid w:val="002160FE"/>
    <w:rsid w:val="00221664"/>
    <w:rsid w:val="00223279"/>
    <w:rsid w:val="002242B7"/>
    <w:rsid w:val="00225DF2"/>
    <w:rsid w:val="00230B36"/>
    <w:rsid w:val="00230E82"/>
    <w:rsid w:val="00230E90"/>
    <w:rsid w:val="002348E8"/>
    <w:rsid w:val="00236D84"/>
    <w:rsid w:val="0024195C"/>
    <w:rsid w:val="0024260D"/>
    <w:rsid w:val="00242D82"/>
    <w:rsid w:val="00242DAE"/>
    <w:rsid w:val="0024399D"/>
    <w:rsid w:val="00245B72"/>
    <w:rsid w:val="0025009E"/>
    <w:rsid w:val="002522C7"/>
    <w:rsid w:val="002532E3"/>
    <w:rsid w:val="0025374A"/>
    <w:rsid w:val="002544DC"/>
    <w:rsid w:val="00256148"/>
    <w:rsid w:val="002561A8"/>
    <w:rsid w:val="0025699F"/>
    <w:rsid w:val="00256A4E"/>
    <w:rsid w:val="002668CD"/>
    <w:rsid w:val="00274A90"/>
    <w:rsid w:val="002752C5"/>
    <w:rsid w:val="00276E0C"/>
    <w:rsid w:val="00277717"/>
    <w:rsid w:val="00281210"/>
    <w:rsid w:val="00282872"/>
    <w:rsid w:val="00285769"/>
    <w:rsid w:val="00285BBC"/>
    <w:rsid w:val="002864D0"/>
    <w:rsid w:val="00291B9A"/>
    <w:rsid w:val="0029637F"/>
    <w:rsid w:val="002A14B4"/>
    <w:rsid w:val="002A1E8B"/>
    <w:rsid w:val="002A30BE"/>
    <w:rsid w:val="002A3275"/>
    <w:rsid w:val="002A51AB"/>
    <w:rsid w:val="002A5872"/>
    <w:rsid w:val="002A5D94"/>
    <w:rsid w:val="002A6640"/>
    <w:rsid w:val="002A6FAC"/>
    <w:rsid w:val="002B1935"/>
    <w:rsid w:val="002B1C2A"/>
    <w:rsid w:val="002B3C92"/>
    <w:rsid w:val="002B636C"/>
    <w:rsid w:val="002B6458"/>
    <w:rsid w:val="002C09F6"/>
    <w:rsid w:val="002C13BE"/>
    <w:rsid w:val="002C1CE4"/>
    <w:rsid w:val="002C3CD6"/>
    <w:rsid w:val="002C62C7"/>
    <w:rsid w:val="002D2FB6"/>
    <w:rsid w:val="002D646A"/>
    <w:rsid w:val="002E3BD7"/>
    <w:rsid w:val="002E4743"/>
    <w:rsid w:val="002E7122"/>
    <w:rsid w:val="002F0435"/>
    <w:rsid w:val="002F23C0"/>
    <w:rsid w:val="002F2B39"/>
    <w:rsid w:val="002F44AE"/>
    <w:rsid w:val="002F4C2B"/>
    <w:rsid w:val="002F6539"/>
    <w:rsid w:val="002F65FF"/>
    <w:rsid w:val="002F7CAA"/>
    <w:rsid w:val="0030125A"/>
    <w:rsid w:val="003075FB"/>
    <w:rsid w:val="0030779A"/>
    <w:rsid w:val="00312E95"/>
    <w:rsid w:val="0031385D"/>
    <w:rsid w:val="0031707E"/>
    <w:rsid w:val="003202CF"/>
    <w:rsid w:val="00322A45"/>
    <w:rsid w:val="00323421"/>
    <w:rsid w:val="00326499"/>
    <w:rsid w:val="00330FCF"/>
    <w:rsid w:val="00332B2A"/>
    <w:rsid w:val="0033411C"/>
    <w:rsid w:val="00340BD6"/>
    <w:rsid w:val="003410BE"/>
    <w:rsid w:val="003440E9"/>
    <w:rsid w:val="0034419B"/>
    <w:rsid w:val="003504A7"/>
    <w:rsid w:val="0035171A"/>
    <w:rsid w:val="00352193"/>
    <w:rsid w:val="0035238E"/>
    <w:rsid w:val="003539D2"/>
    <w:rsid w:val="00356BD3"/>
    <w:rsid w:val="0036088C"/>
    <w:rsid w:val="003619FE"/>
    <w:rsid w:val="00370C31"/>
    <w:rsid w:val="0037269A"/>
    <w:rsid w:val="00374CAA"/>
    <w:rsid w:val="00375D2D"/>
    <w:rsid w:val="00376335"/>
    <w:rsid w:val="00380E08"/>
    <w:rsid w:val="00385027"/>
    <w:rsid w:val="00390825"/>
    <w:rsid w:val="00390947"/>
    <w:rsid w:val="0039301B"/>
    <w:rsid w:val="003957B5"/>
    <w:rsid w:val="00395DDD"/>
    <w:rsid w:val="003A1D29"/>
    <w:rsid w:val="003A6727"/>
    <w:rsid w:val="003B1EC7"/>
    <w:rsid w:val="003B2A24"/>
    <w:rsid w:val="003B5481"/>
    <w:rsid w:val="003B61C9"/>
    <w:rsid w:val="003C0FFF"/>
    <w:rsid w:val="003C1196"/>
    <w:rsid w:val="003C3CDA"/>
    <w:rsid w:val="003C615C"/>
    <w:rsid w:val="003C6B3C"/>
    <w:rsid w:val="003C6D80"/>
    <w:rsid w:val="003D0B32"/>
    <w:rsid w:val="003D29D0"/>
    <w:rsid w:val="003D3701"/>
    <w:rsid w:val="003D3A9C"/>
    <w:rsid w:val="003D4B9A"/>
    <w:rsid w:val="003E068D"/>
    <w:rsid w:val="003E27B1"/>
    <w:rsid w:val="003E4952"/>
    <w:rsid w:val="003E52BE"/>
    <w:rsid w:val="003F49C8"/>
    <w:rsid w:val="00400813"/>
    <w:rsid w:val="004053F4"/>
    <w:rsid w:val="00411900"/>
    <w:rsid w:val="004129E6"/>
    <w:rsid w:val="004135E4"/>
    <w:rsid w:val="00413ABC"/>
    <w:rsid w:val="004157D1"/>
    <w:rsid w:val="004158E7"/>
    <w:rsid w:val="0041632E"/>
    <w:rsid w:val="0042612E"/>
    <w:rsid w:val="00430DE4"/>
    <w:rsid w:val="00431179"/>
    <w:rsid w:val="00432935"/>
    <w:rsid w:val="004403D7"/>
    <w:rsid w:val="0044243E"/>
    <w:rsid w:val="004432AF"/>
    <w:rsid w:val="0044601F"/>
    <w:rsid w:val="00446065"/>
    <w:rsid w:val="00446499"/>
    <w:rsid w:val="00446E28"/>
    <w:rsid w:val="00447022"/>
    <w:rsid w:val="00447A0A"/>
    <w:rsid w:val="0045446D"/>
    <w:rsid w:val="004546CF"/>
    <w:rsid w:val="00454930"/>
    <w:rsid w:val="00456C5E"/>
    <w:rsid w:val="0045728D"/>
    <w:rsid w:val="004612BC"/>
    <w:rsid w:val="004621F8"/>
    <w:rsid w:val="00464352"/>
    <w:rsid w:val="00471438"/>
    <w:rsid w:val="00471649"/>
    <w:rsid w:val="004719CA"/>
    <w:rsid w:val="004743D6"/>
    <w:rsid w:val="00474B39"/>
    <w:rsid w:val="004765F7"/>
    <w:rsid w:val="004815F8"/>
    <w:rsid w:val="004830CA"/>
    <w:rsid w:val="004843A4"/>
    <w:rsid w:val="00486FDB"/>
    <w:rsid w:val="00495FCC"/>
    <w:rsid w:val="004A05B5"/>
    <w:rsid w:val="004A0DE5"/>
    <w:rsid w:val="004A2364"/>
    <w:rsid w:val="004A295D"/>
    <w:rsid w:val="004A4FFF"/>
    <w:rsid w:val="004A56E6"/>
    <w:rsid w:val="004B1BF7"/>
    <w:rsid w:val="004B3018"/>
    <w:rsid w:val="004B3700"/>
    <w:rsid w:val="004B39C2"/>
    <w:rsid w:val="004B440B"/>
    <w:rsid w:val="004B59BD"/>
    <w:rsid w:val="004C0E8E"/>
    <w:rsid w:val="004C3685"/>
    <w:rsid w:val="004C4F87"/>
    <w:rsid w:val="004C7018"/>
    <w:rsid w:val="004C7185"/>
    <w:rsid w:val="004D189F"/>
    <w:rsid w:val="004D2CFF"/>
    <w:rsid w:val="004D3935"/>
    <w:rsid w:val="004D4451"/>
    <w:rsid w:val="004D4683"/>
    <w:rsid w:val="004E3168"/>
    <w:rsid w:val="004E3CD1"/>
    <w:rsid w:val="004E4847"/>
    <w:rsid w:val="004F21EF"/>
    <w:rsid w:val="004F5333"/>
    <w:rsid w:val="004F6A12"/>
    <w:rsid w:val="00500919"/>
    <w:rsid w:val="005016EB"/>
    <w:rsid w:val="00501E3B"/>
    <w:rsid w:val="00507480"/>
    <w:rsid w:val="0051023E"/>
    <w:rsid w:val="005131C5"/>
    <w:rsid w:val="00514E65"/>
    <w:rsid w:val="00515D3A"/>
    <w:rsid w:val="005175ED"/>
    <w:rsid w:val="00523C57"/>
    <w:rsid w:val="00524528"/>
    <w:rsid w:val="00525E1A"/>
    <w:rsid w:val="00525F8C"/>
    <w:rsid w:val="005420A8"/>
    <w:rsid w:val="005429B7"/>
    <w:rsid w:val="005436FC"/>
    <w:rsid w:val="0054432E"/>
    <w:rsid w:val="0054712C"/>
    <w:rsid w:val="005506D3"/>
    <w:rsid w:val="0055284C"/>
    <w:rsid w:val="00554384"/>
    <w:rsid w:val="005603EF"/>
    <w:rsid w:val="005629FD"/>
    <w:rsid w:val="00565E0B"/>
    <w:rsid w:val="00566074"/>
    <w:rsid w:val="00566133"/>
    <w:rsid w:val="005677C3"/>
    <w:rsid w:val="005679A8"/>
    <w:rsid w:val="00567DEA"/>
    <w:rsid w:val="00570D64"/>
    <w:rsid w:val="00570F89"/>
    <w:rsid w:val="005733E8"/>
    <w:rsid w:val="00575FC9"/>
    <w:rsid w:val="00577473"/>
    <w:rsid w:val="005778A8"/>
    <w:rsid w:val="0058018F"/>
    <w:rsid w:val="00584080"/>
    <w:rsid w:val="005841B6"/>
    <w:rsid w:val="00585923"/>
    <w:rsid w:val="005902A0"/>
    <w:rsid w:val="00590A74"/>
    <w:rsid w:val="0059523A"/>
    <w:rsid w:val="00597E88"/>
    <w:rsid w:val="005A27B7"/>
    <w:rsid w:val="005A573C"/>
    <w:rsid w:val="005A67A0"/>
    <w:rsid w:val="005B12D3"/>
    <w:rsid w:val="005B278F"/>
    <w:rsid w:val="005B441B"/>
    <w:rsid w:val="005B4F3F"/>
    <w:rsid w:val="005B65B7"/>
    <w:rsid w:val="005B6A7B"/>
    <w:rsid w:val="005C1765"/>
    <w:rsid w:val="005C2248"/>
    <w:rsid w:val="005C53C6"/>
    <w:rsid w:val="005C5B3E"/>
    <w:rsid w:val="005C60E0"/>
    <w:rsid w:val="005D047C"/>
    <w:rsid w:val="005D1219"/>
    <w:rsid w:val="005D1599"/>
    <w:rsid w:val="005D3B67"/>
    <w:rsid w:val="005D5EF5"/>
    <w:rsid w:val="005D709D"/>
    <w:rsid w:val="005D77DF"/>
    <w:rsid w:val="005D7FC9"/>
    <w:rsid w:val="005E0B53"/>
    <w:rsid w:val="005E0E18"/>
    <w:rsid w:val="005E122F"/>
    <w:rsid w:val="005E1FB8"/>
    <w:rsid w:val="005E2A6A"/>
    <w:rsid w:val="005E5E70"/>
    <w:rsid w:val="005E6E2B"/>
    <w:rsid w:val="005F0230"/>
    <w:rsid w:val="005F52B8"/>
    <w:rsid w:val="005F7018"/>
    <w:rsid w:val="005F78EA"/>
    <w:rsid w:val="005F7A74"/>
    <w:rsid w:val="00601175"/>
    <w:rsid w:val="00602DD8"/>
    <w:rsid w:val="00602E69"/>
    <w:rsid w:val="00603B3A"/>
    <w:rsid w:val="00603B74"/>
    <w:rsid w:val="00604DD0"/>
    <w:rsid w:val="00607E7C"/>
    <w:rsid w:val="006124FA"/>
    <w:rsid w:val="00614827"/>
    <w:rsid w:val="00616A4B"/>
    <w:rsid w:val="00617E06"/>
    <w:rsid w:val="00617FE7"/>
    <w:rsid w:val="0062149C"/>
    <w:rsid w:val="0062771F"/>
    <w:rsid w:val="00627726"/>
    <w:rsid w:val="00627BA4"/>
    <w:rsid w:val="00630099"/>
    <w:rsid w:val="00632B0A"/>
    <w:rsid w:val="00633FB1"/>
    <w:rsid w:val="00635198"/>
    <w:rsid w:val="006431CD"/>
    <w:rsid w:val="006436CE"/>
    <w:rsid w:val="00644577"/>
    <w:rsid w:val="00644D1F"/>
    <w:rsid w:val="00645338"/>
    <w:rsid w:val="006472BD"/>
    <w:rsid w:val="00650B20"/>
    <w:rsid w:val="00653857"/>
    <w:rsid w:val="006542D9"/>
    <w:rsid w:val="00662D49"/>
    <w:rsid w:val="00663500"/>
    <w:rsid w:val="00665B63"/>
    <w:rsid w:val="00672132"/>
    <w:rsid w:val="00676028"/>
    <w:rsid w:val="0067737A"/>
    <w:rsid w:val="006842E2"/>
    <w:rsid w:val="00685488"/>
    <w:rsid w:val="006906E6"/>
    <w:rsid w:val="006918C6"/>
    <w:rsid w:val="006927AA"/>
    <w:rsid w:val="006955B4"/>
    <w:rsid w:val="006958EE"/>
    <w:rsid w:val="00695A24"/>
    <w:rsid w:val="0069710C"/>
    <w:rsid w:val="006A0530"/>
    <w:rsid w:val="006A0A7F"/>
    <w:rsid w:val="006A1149"/>
    <w:rsid w:val="006A1D7F"/>
    <w:rsid w:val="006A1EDB"/>
    <w:rsid w:val="006A2E6D"/>
    <w:rsid w:val="006A3038"/>
    <w:rsid w:val="006A4197"/>
    <w:rsid w:val="006A4321"/>
    <w:rsid w:val="006A476A"/>
    <w:rsid w:val="006A6CC3"/>
    <w:rsid w:val="006B25BB"/>
    <w:rsid w:val="006B34A4"/>
    <w:rsid w:val="006B70C0"/>
    <w:rsid w:val="006C0E9B"/>
    <w:rsid w:val="006C2634"/>
    <w:rsid w:val="006D4D7E"/>
    <w:rsid w:val="006D6516"/>
    <w:rsid w:val="006D6CFB"/>
    <w:rsid w:val="006E3011"/>
    <w:rsid w:val="006E3362"/>
    <w:rsid w:val="006E4FCB"/>
    <w:rsid w:val="006E6382"/>
    <w:rsid w:val="006F0A9C"/>
    <w:rsid w:val="006F1120"/>
    <w:rsid w:val="006F3A9D"/>
    <w:rsid w:val="006F41D3"/>
    <w:rsid w:val="006F5B46"/>
    <w:rsid w:val="006F6CB4"/>
    <w:rsid w:val="00700910"/>
    <w:rsid w:val="007053EF"/>
    <w:rsid w:val="007062CD"/>
    <w:rsid w:val="0070638A"/>
    <w:rsid w:val="00707066"/>
    <w:rsid w:val="007070E8"/>
    <w:rsid w:val="00707BC3"/>
    <w:rsid w:val="00710885"/>
    <w:rsid w:val="00711F74"/>
    <w:rsid w:val="0071438A"/>
    <w:rsid w:val="00720040"/>
    <w:rsid w:val="0072009D"/>
    <w:rsid w:val="00720DF5"/>
    <w:rsid w:val="00726B2A"/>
    <w:rsid w:val="00726F5A"/>
    <w:rsid w:val="00726FCA"/>
    <w:rsid w:val="00730036"/>
    <w:rsid w:val="00732912"/>
    <w:rsid w:val="00736290"/>
    <w:rsid w:val="0073711C"/>
    <w:rsid w:val="00737240"/>
    <w:rsid w:val="00737438"/>
    <w:rsid w:val="007379C0"/>
    <w:rsid w:val="00737B55"/>
    <w:rsid w:val="00737EF7"/>
    <w:rsid w:val="007400C5"/>
    <w:rsid w:val="00740C2A"/>
    <w:rsid w:val="00740CB3"/>
    <w:rsid w:val="00742BB4"/>
    <w:rsid w:val="0074378A"/>
    <w:rsid w:val="007523AA"/>
    <w:rsid w:val="0075395D"/>
    <w:rsid w:val="0075643E"/>
    <w:rsid w:val="0075660B"/>
    <w:rsid w:val="00761557"/>
    <w:rsid w:val="0076356A"/>
    <w:rsid w:val="00763D43"/>
    <w:rsid w:val="007701DB"/>
    <w:rsid w:val="007724C2"/>
    <w:rsid w:val="00772E29"/>
    <w:rsid w:val="00775058"/>
    <w:rsid w:val="00780084"/>
    <w:rsid w:val="007801B5"/>
    <w:rsid w:val="007819A1"/>
    <w:rsid w:val="00783F87"/>
    <w:rsid w:val="00785D9D"/>
    <w:rsid w:val="00786B4B"/>
    <w:rsid w:val="0078725C"/>
    <w:rsid w:val="007937DF"/>
    <w:rsid w:val="00793AE3"/>
    <w:rsid w:val="0079662E"/>
    <w:rsid w:val="007A3358"/>
    <w:rsid w:val="007A3639"/>
    <w:rsid w:val="007A43C2"/>
    <w:rsid w:val="007A7DFC"/>
    <w:rsid w:val="007B0AC5"/>
    <w:rsid w:val="007B0ED0"/>
    <w:rsid w:val="007B19ED"/>
    <w:rsid w:val="007B60B4"/>
    <w:rsid w:val="007B7534"/>
    <w:rsid w:val="007C03BC"/>
    <w:rsid w:val="007C1DDC"/>
    <w:rsid w:val="007C3809"/>
    <w:rsid w:val="007C53A1"/>
    <w:rsid w:val="007D133F"/>
    <w:rsid w:val="007D32A2"/>
    <w:rsid w:val="007D5DC7"/>
    <w:rsid w:val="007D6721"/>
    <w:rsid w:val="007D6F11"/>
    <w:rsid w:val="007E13AD"/>
    <w:rsid w:val="007E4DA9"/>
    <w:rsid w:val="007E4EA9"/>
    <w:rsid w:val="007E502C"/>
    <w:rsid w:val="007F0116"/>
    <w:rsid w:val="007F4A71"/>
    <w:rsid w:val="007F6CFB"/>
    <w:rsid w:val="00805D9D"/>
    <w:rsid w:val="0080640F"/>
    <w:rsid w:val="00814401"/>
    <w:rsid w:val="008206C0"/>
    <w:rsid w:val="00823651"/>
    <w:rsid w:val="008242EE"/>
    <w:rsid w:val="0082465D"/>
    <w:rsid w:val="00827C90"/>
    <w:rsid w:val="00842762"/>
    <w:rsid w:val="00843E01"/>
    <w:rsid w:val="0084785E"/>
    <w:rsid w:val="00847BA1"/>
    <w:rsid w:val="00850109"/>
    <w:rsid w:val="0085210A"/>
    <w:rsid w:val="008542F6"/>
    <w:rsid w:val="00856A92"/>
    <w:rsid w:val="00857EEF"/>
    <w:rsid w:val="00860F75"/>
    <w:rsid w:val="00863021"/>
    <w:rsid w:val="00864A82"/>
    <w:rsid w:val="00865E03"/>
    <w:rsid w:val="00865EB3"/>
    <w:rsid w:val="008706E2"/>
    <w:rsid w:val="00870B56"/>
    <w:rsid w:val="00871C6C"/>
    <w:rsid w:val="00873058"/>
    <w:rsid w:val="00874218"/>
    <w:rsid w:val="00875033"/>
    <w:rsid w:val="008751F4"/>
    <w:rsid w:val="00884EE8"/>
    <w:rsid w:val="008851A6"/>
    <w:rsid w:val="00890322"/>
    <w:rsid w:val="0089246C"/>
    <w:rsid w:val="00894D46"/>
    <w:rsid w:val="00895328"/>
    <w:rsid w:val="00895F5C"/>
    <w:rsid w:val="008A0B39"/>
    <w:rsid w:val="008A278E"/>
    <w:rsid w:val="008A2824"/>
    <w:rsid w:val="008A3D9E"/>
    <w:rsid w:val="008A55D2"/>
    <w:rsid w:val="008A5F84"/>
    <w:rsid w:val="008A6410"/>
    <w:rsid w:val="008A760F"/>
    <w:rsid w:val="008B15A7"/>
    <w:rsid w:val="008B207F"/>
    <w:rsid w:val="008B42E8"/>
    <w:rsid w:val="008B55BE"/>
    <w:rsid w:val="008B566E"/>
    <w:rsid w:val="008C52AE"/>
    <w:rsid w:val="008C663E"/>
    <w:rsid w:val="008D0181"/>
    <w:rsid w:val="008D5B2B"/>
    <w:rsid w:val="008D6CFF"/>
    <w:rsid w:val="008D708D"/>
    <w:rsid w:val="008D7885"/>
    <w:rsid w:val="008E004F"/>
    <w:rsid w:val="008E0DF8"/>
    <w:rsid w:val="008E2E5D"/>
    <w:rsid w:val="008E31E8"/>
    <w:rsid w:val="008E3A01"/>
    <w:rsid w:val="008E642B"/>
    <w:rsid w:val="008F046B"/>
    <w:rsid w:val="008F1D01"/>
    <w:rsid w:val="008F2A84"/>
    <w:rsid w:val="008F42D9"/>
    <w:rsid w:val="008F4439"/>
    <w:rsid w:val="008F54CB"/>
    <w:rsid w:val="008F6991"/>
    <w:rsid w:val="00904A7C"/>
    <w:rsid w:val="00907FE4"/>
    <w:rsid w:val="00911E64"/>
    <w:rsid w:val="0091240C"/>
    <w:rsid w:val="00914252"/>
    <w:rsid w:val="00914DAF"/>
    <w:rsid w:val="00916A99"/>
    <w:rsid w:val="0092033E"/>
    <w:rsid w:val="009221C3"/>
    <w:rsid w:val="00924149"/>
    <w:rsid w:val="00930364"/>
    <w:rsid w:val="00931FCD"/>
    <w:rsid w:val="00932F76"/>
    <w:rsid w:val="00934696"/>
    <w:rsid w:val="009355EA"/>
    <w:rsid w:val="00946EE2"/>
    <w:rsid w:val="0094703E"/>
    <w:rsid w:val="00947B23"/>
    <w:rsid w:val="009510F1"/>
    <w:rsid w:val="009521A3"/>
    <w:rsid w:val="00953B44"/>
    <w:rsid w:val="00953BC8"/>
    <w:rsid w:val="009542F4"/>
    <w:rsid w:val="0096073B"/>
    <w:rsid w:val="0096200B"/>
    <w:rsid w:val="009715BB"/>
    <w:rsid w:val="00975076"/>
    <w:rsid w:val="009757AB"/>
    <w:rsid w:val="00976E43"/>
    <w:rsid w:val="00977A61"/>
    <w:rsid w:val="00982EBB"/>
    <w:rsid w:val="00983F11"/>
    <w:rsid w:val="00984BE7"/>
    <w:rsid w:val="009879BB"/>
    <w:rsid w:val="009919F9"/>
    <w:rsid w:val="00993F0C"/>
    <w:rsid w:val="009957E1"/>
    <w:rsid w:val="009961B2"/>
    <w:rsid w:val="009A0695"/>
    <w:rsid w:val="009A1355"/>
    <w:rsid w:val="009A660C"/>
    <w:rsid w:val="009B21B8"/>
    <w:rsid w:val="009B2285"/>
    <w:rsid w:val="009B2D9B"/>
    <w:rsid w:val="009B726E"/>
    <w:rsid w:val="009C0450"/>
    <w:rsid w:val="009C3874"/>
    <w:rsid w:val="009C3B59"/>
    <w:rsid w:val="009C687A"/>
    <w:rsid w:val="009C6F56"/>
    <w:rsid w:val="009D0624"/>
    <w:rsid w:val="009D461F"/>
    <w:rsid w:val="009E3B97"/>
    <w:rsid w:val="009E62E9"/>
    <w:rsid w:val="009E7E34"/>
    <w:rsid w:val="009F2499"/>
    <w:rsid w:val="009F2759"/>
    <w:rsid w:val="009F4D56"/>
    <w:rsid w:val="009F5C40"/>
    <w:rsid w:val="009F7135"/>
    <w:rsid w:val="00A0243B"/>
    <w:rsid w:val="00A03EA1"/>
    <w:rsid w:val="00A03EC6"/>
    <w:rsid w:val="00A0426D"/>
    <w:rsid w:val="00A06225"/>
    <w:rsid w:val="00A10262"/>
    <w:rsid w:val="00A102AA"/>
    <w:rsid w:val="00A10877"/>
    <w:rsid w:val="00A158FF"/>
    <w:rsid w:val="00A203E0"/>
    <w:rsid w:val="00A20B65"/>
    <w:rsid w:val="00A24AFC"/>
    <w:rsid w:val="00A30227"/>
    <w:rsid w:val="00A31CFB"/>
    <w:rsid w:val="00A325A6"/>
    <w:rsid w:val="00A33624"/>
    <w:rsid w:val="00A33939"/>
    <w:rsid w:val="00A341EA"/>
    <w:rsid w:val="00A34BBA"/>
    <w:rsid w:val="00A434CF"/>
    <w:rsid w:val="00A45947"/>
    <w:rsid w:val="00A51127"/>
    <w:rsid w:val="00A511E5"/>
    <w:rsid w:val="00A57793"/>
    <w:rsid w:val="00A60C5A"/>
    <w:rsid w:val="00A60D41"/>
    <w:rsid w:val="00A619C4"/>
    <w:rsid w:val="00A656D9"/>
    <w:rsid w:val="00A67CB8"/>
    <w:rsid w:val="00A7423F"/>
    <w:rsid w:val="00A7457B"/>
    <w:rsid w:val="00A76AFF"/>
    <w:rsid w:val="00A823C0"/>
    <w:rsid w:val="00A83B07"/>
    <w:rsid w:val="00A856CA"/>
    <w:rsid w:val="00A931AC"/>
    <w:rsid w:val="00A938F0"/>
    <w:rsid w:val="00A93D6C"/>
    <w:rsid w:val="00A956B2"/>
    <w:rsid w:val="00A9713F"/>
    <w:rsid w:val="00A97CC3"/>
    <w:rsid w:val="00AA0AB9"/>
    <w:rsid w:val="00AA13C9"/>
    <w:rsid w:val="00AA2CCC"/>
    <w:rsid w:val="00AA368C"/>
    <w:rsid w:val="00AA491F"/>
    <w:rsid w:val="00AA5115"/>
    <w:rsid w:val="00AA74DA"/>
    <w:rsid w:val="00AA78E8"/>
    <w:rsid w:val="00AB4840"/>
    <w:rsid w:val="00AB5628"/>
    <w:rsid w:val="00AC3EC3"/>
    <w:rsid w:val="00AC4640"/>
    <w:rsid w:val="00AC74F8"/>
    <w:rsid w:val="00AD644B"/>
    <w:rsid w:val="00AD6636"/>
    <w:rsid w:val="00AE0667"/>
    <w:rsid w:val="00AE067B"/>
    <w:rsid w:val="00AE12BB"/>
    <w:rsid w:val="00AE1538"/>
    <w:rsid w:val="00AE25A0"/>
    <w:rsid w:val="00AE414D"/>
    <w:rsid w:val="00AE58E7"/>
    <w:rsid w:val="00AE77FE"/>
    <w:rsid w:val="00AF005D"/>
    <w:rsid w:val="00AF0F18"/>
    <w:rsid w:val="00AF56FC"/>
    <w:rsid w:val="00B05335"/>
    <w:rsid w:val="00B05430"/>
    <w:rsid w:val="00B058C7"/>
    <w:rsid w:val="00B11C87"/>
    <w:rsid w:val="00B12D8D"/>
    <w:rsid w:val="00B13E2A"/>
    <w:rsid w:val="00B1474B"/>
    <w:rsid w:val="00B151CF"/>
    <w:rsid w:val="00B1641A"/>
    <w:rsid w:val="00B16E59"/>
    <w:rsid w:val="00B20750"/>
    <w:rsid w:val="00B2102B"/>
    <w:rsid w:val="00B2223C"/>
    <w:rsid w:val="00B229BD"/>
    <w:rsid w:val="00B22A8F"/>
    <w:rsid w:val="00B22AD7"/>
    <w:rsid w:val="00B22CEE"/>
    <w:rsid w:val="00B24289"/>
    <w:rsid w:val="00B2513B"/>
    <w:rsid w:val="00B305B4"/>
    <w:rsid w:val="00B33D31"/>
    <w:rsid w:val="00B37BE0"/>
    <w:rsid w:val="00B411A1"/>
    <w:rsid w:val="00B42C3A"/>
    <w:rsid w:val="00B42D72"/>
    <w:rsid w:val="00B4636E"/>
    <w:rsid w:val="00B465DE"/>
    <w:rsid w:val="00B50687"/>
    <w:rsid w:val="00B511C8"/>
    <w:rsid w:val="00B51CEF"/>
    <w:rsid w:val="00B535B8"/>
    <w:rsid w:val="00B545D2"/>
    <w:rsid w:val="00B57159"/>
    <w:rsid w:val="00B572DE"/>
    <w:rsid w:val="00B577A5"/>
    <w:rsid w:val="00B57950"/>
    <w:rsid w:val="00B60C5F"/>
    <w:rsid w:val="00B62334"/>
    <w:rsid w:val="00B63A51"/>
    <w:rsid w:val="00B65AF1"/>
    <w:rsid w:val="00B725D3"/>
    <w:rsid w:val="00B734BE"/>
    <w:rsid w:val="00B802F2"/>
    <w:rsid w:val="00B81D1C"/>
    <w:rsid w:val="00B823B1"/>
    <w:rsid w:val="00B828C9"/>
    <w:rsid w:val="00B83668"/>
    <w:rsid w:val="00B84274"/>
    <w:rsid w:val="00B84D78"/>
    <w:rsid w:val="00B9050B"/>
    <w:rsid w:val="00B94C1F"/>
    <w:rsid w:val="00B96055"/>
    <w:rsid w:val="00B9609B"/>
    <w:rsid w:val="00B96468"/>
    <w:rsid w:val="00B9749A"/>
    <w:rsid w:val="00BB230A"/>
    <w:rsid w:val="00BB2A09"/>
    <w:rsid w:val="00BB3B61"/>
    <w:rsid w:val="00BB4DC2"/>
    <w:rsid w:val="00BB58F1"/>
    <w:rsid w:val="00BB5E86"/>
    <w:rsid w:val="00BB6441"/>
    <w:rsid w:val="00BB6B6F"/>
    <w:rsid w:val="00BC1A09"/>
    <w:rsid w:val="00BC20C6"/>
    <w:rsid w:val="00BC33DD"/>
    <w:rsid w:val="00BC3537"/>
    <w:rsid w:val="00BC7384"/>
    <w:rsid w:val="00BC7420"/>
    <w:rsid w:val="00BD645C"/>
    <w:rsid w:val="00BE2E00"/>
    <w:rsid w:val="00BE40A1"/>
    <w:rsid w:val="00BE53DD"/>
    <w:rsid w:val="00BF0A90"/>
    <w:rsid w:val="00BF26D1"/>
    <w:rsid w:val="00BF27A1"/>
    <w:rsid w:val="00BF4F83"/>
    <w:rsid w:val="00BF5554"/>
    <w:rsid w:val="00BF664D"/>
    <w:rsid w:val="00C003CD"/>
    <w:rsid w:val="00C02034"/>
    <w:rsid w:val="00C048A1"/>
    <w:rsid w:val="00C04EB5"/>
    <w:rsid w:val="00C111DF"/>
    <w:rsid w:val="00C13193"/>
    <w:rsid w:val="00C14DDE"/>
    <w:rsid w:val="00C15B27"/>
    <w:rsid w:val="00C16455"/>
    <w:rsid w:val="00C167AC"/>
    <w:rsid w:val="00C16CC5"/>
    <w:rsid w:val="00C16D6C"/>
    <w:rsid w:val="00C17D3C"/>
    <w:rsid w:val="00C21EB2"/>
    <w:rsid w:val="00C23FF2"/>
    <w:rsid w:val="00C241AD"/>
    <w:rsid w:val="00C24D9A"/>
    <w:rsid w:val="00C261A6"/>
    <w:rsid w:val="00C313D6"/>
    <w:rsid w:val="00C3185D"/>
    <w:rsid w:val="00C32A2F"/>
    <w:rsid w:val="00C3360D"/>
    <w:rsid w:val="00C342C2"/>
    <w:rsid w:val="00C37F27"/>
    <w:rsid w:val="00C447AE"/>
    <w:rsid w:val="00C4561A"/>
    <w:rsid w:val="00C458C5"/>
    <w:rsid w:val="00C462FE"/>
    <w:rsid w:val="00C473F4"/>
    <w:rsid w:val="00C47D11"/>
    <w:rsid w:val="00C62328"/>
    <w:rsid w:val="00C628ED"/>
    <w:rsid w:val="00C66B0B"/>
    <w:rsid w:val="00C702E5"/>
    <w:rsid w:val="00C72B50"/>
    <w:rsid w:val="00C74F91"/>
    <w:rsid w:val="00C8011E"/>
    <w:rsid w:val="00C841F6"/>
    <w:rsid w:val="00C869CA"/>
    <w:rsid w:val="00C87158"/>
    <w:rsid w:val="00C873A7"/>
    <w:rsid w:val="00C91FE6"/>
    <w:rsid w:val="00C9246C"/>
    <w:rsid w:val="00C93746"/>
    <w:rsid w:val="00C93EB2"/>
    <w:rsid w:val="00C97D45"/>
    <w:rsid w:val="00CA1204"/>
    <w:rsid w:val="00CA37F6"/>
    <w:rsid w:val="00CA4638"/>
    <w:rsid w:val="00CA4C52"/>
    <w:rsid w:val="00CA5F1F"/>
    <w:rsid w:val="00CA765C"/>
    <w:rsid w:val="00CB3CCE"/>
    <w:rsid w:val="00CB62C0"/>
    <w:rsid w:val="00CB757F"/>
    <w:rsid w:val="00CB7C5E"/>
    <w:rsid w:val="00CC092E"/>
    <w:rsid w:val="00CC2C27"/>
    <w:rsid w:val="00CC3194"/>
    <w:rsid w:val="00CC59B2"/>
    <w:rsid w:val="00CC73DC"/>
    <w:rsid w:val="00CD0569"/>
    <w:rsid w:val="00CD4DBA"/>
    <w:rsid w:val="00CD5F15"/>
    <w:rsid w:val="00CD6AF8"/>
    <w:rsid w:val="00CE16E1"/>
    <w:rsid w:val="00CE3450"/>
    <w:rsid w:val="00CE6E24"/>
    <w:rsid w:val="00CE73CC"/>
    <w:rsid w:val="00CE74EE"/>
    <w:rsid w:val="00CF1013"/>
    <w:rsid w:val="00CF10C0"/>
    <w:rsid w:val="00CF412E"/>
    <w:rsid w:val="00CF4202"/>
    <w:rsid w:val="00CF62ED"/>
    <w:rsid w:val="00D00F61"/>
    <w:rsid w:val="00D010EC"/>
    <w:rsid w:val="00D028B9"/>
    <w:rsid w:val="00D04144"/>
    <w:rsid w:val="00D0438F"/>
    <w:rsid w:val="00D04EDD"/>
    <w:rsid w:val="00D04F12"/>
    <w:rsid w:val="00D05B3D"/>
    <w:rsid w:val="00D06042"/>
    <w:rsid w:val="00D070C9"/>
    <w:rsid w:val="00D07AA0"/>
    <w:rsid w:val="00D104B1"/>
    <w:rsid w:val="00D106FB"/>
    <w:rsid w:val="00D12880"/>
    <w:rsid w:val="00D167F9"/>
    <w:rsid w:val="00D17E43"/>
    <w:rsid w:val="00D21CF1"/>
    <w:rsid w:val="00D221A5"/>
    <w:rsid w:val="00D23C28"/>
    <w:rsid w:val="00D2599C"/>
    <w:rsid w:val="00D2662F"/>
    <w:rsid w:val="00D3037E"/>
    <w:rsid w:val="00D31A83"/>
    <w:rsid w:val="00D31C77"/>
    <w:rsid w:val="00D32D47"/>
    <w:rsid w:val="00D330A2"/>
    <w:rsid w:val="00D37724"/>
    <w:rsid w:val="00D4112E"/>
    <w:rsid w:val="00D4260C"/>
    <w:rsid w:val="00D44400"/>
    <w:rsid w:val="00D46328"/>
    <w:rsid w:val="00D505D9"/>
    <w:rsid w:val="00D509AE"/>
    <w:rsid w:val="00D510B6"/>
    <w:rsid w:val="00D5314C"/>
    <w:rsid w:val="00D53518"/>
    <w:rsid w:val="00D64B10"/>
    <w:rsid w:val="00D66029"/>
    <w:rsid w:val="00D71AC6"/>
    <w:rsid w:val="00D736B4"/>
    <w:rsid w:val="00D76585"/>
    <w:rsid w:val="00D801DB"/>
    <w:rsid w:val="00D84B58"/>
    <w:rsid w:val="00D8538C"/>
    <w:rsid w:val="00D8579D"/>
    <w:rsid w:val="00D87832"/>
    <w:rsid w:val="00DA001D"/>
    <w:rsid w:val="00DA1464"/>
    <w:rsid w:val="00DA14B1"/>
    <w:rsid w:val="00DA26DF"/>
    <w:rsid w:val="00DA41C3"/>
    <w:rsid w:val="00DB2065"/>
    <w:rsid w:val="00DB39CE"/>
    <w:rsid w:val="00DB3C39"/>
    <w:rsid w:val="00DB3D6C"/>
    <w:rsid w:val="00DB5741"/>
    <w:rsid w:val="00DB5ADD"/>
    <w:rsid w:val="00DB5F93"/>
    <w:rsid w:val="00DB6CE9"/>
    <w:rsid w:val="00DC0108"/>
    <w:rsid w:val="00DC4DB9"/>
    <w:rsid w:val="00DC5BEF"/>
    <w:rsid w:val="00DC61A9"/>
    <w:rsid w:val="00DD19F7"/>
    <w:rsid w:val="00DD1A52"/>
    <w:rsid w:val="00DD258C"/>
    <w:rsid w:val="00DD6C45"/>
    <w:rsid w:val="00DD767D"/>
    <w:rsid w:val="00DD7E2B"/>
    <w:rsid w:val="00DE72FB"/>
    <w:rsid w:val="00DE7329"/>
    <w:rsid w:val="00DF134F"/>
    <w:rsid w:val="00DF392F"/>
    <w:rsid w:val="00DF3FA7"/>
    <w:rsid w:val="00DF56A2"/>
    <w:rsid w:val="00DF7623"/>
    <w:rsid w:val="00E01A9F"/>
    <w:rsid w:val="00E032CE"/>
    <w:rsid w:val="00E038D9"/>
    <w:rsid w:val="00E039DD"/>
    <w:rsid w:val="00E11CE7"/>
    <w:rsid w:val="00E126FA"/>
    <w:rsid w:val="00E148D2"/>
    <w:rsid w:val="00E157C5"/>
    <w:rsid w:val="00E15DFB"/>
    <w:rsid w:val="00E16EB3"/>
    <w:rsid w:val="00E20B9B"/>
    <w:rsid w:val="00E22952"/>
    <w:rsid w:val="00E22E62"/>
    <w:rsid w:val="00E23C91"/>
    <w:rsid w:val="00E261D3"/>
    <w:rsid w:val="00E26501"/>
    <w:rsid w:val="00E30B93"/>
    <w:rsid w:val="00E32C87"/>
    <w:rsid w:val="00E36107"/>
    <w:rsid w:val="00E3640A"/>
    <w:rsid w:val="00E4583E"/>
    <w:rsid w:val="00E51462"/>
    <w:rsid w:val="00E516B0"/>
    <w:rsid w:val="00E52B7C"/>
    <w:rsid w:val="00E532FE"/>
    <w:rsid w:val="00E536E6"/>
    <w:rsid w:val="00E547BB"/>
    <w:rsid w:val="00E563A8"/>
    <w:rsid w:val="00E601E5"/>
    <w:rsid w:val="00E6127E"/>
    <w:rsid w:val="00E63185"/>
    <w:rsid w:val="00E6514C"/>
    <w:rsid w:val="00E712F6"/>
    <w:rsid w:val="00E72C1E"/>
    <w:rsid w:val="00E768A4"/>
    <w:rsid w:val="00E77CF8"/>
    <w:rsid w:val="00E77D09"/>
    <w:rsid w:val="00E803D4"/>
    <w:rsid w:val="00E80A9F"/>
    <w:rsid w:val="00E80F19"/>
    <w:rsid w:val="00E825AD"/>
    <w:rsid w:val="00E84874"/>
    <w:rsid w:val="00E857C8"/>
    <w:rsid w:val="00E86756"/>
    <w:rsid w:val="00E93594"/>
    <w:rsid w:val="00E95A52"/>
    <w:rsid w:val="00E96E38"/>
    <w:rsid w:val="00E97F8E"/>
    <w:rsid w:val="00EA0A4E"/>
    <w:rsid w:val="00EA17C9"/>
    <w:rsid w:val="00EA2643"/>
    <w:rsid w:val="00EA322A"/>
    <w:rsid w:val="00EA34D8"/>
    <w:rsid w:val="00EA5348"/>
    <w:rsid w:val="00EA6859"/>
    <w:rsid w:val="00EB21F5"/>
    <w:rsid w:val="00EB245A"/>
    <w:rsid w:val="00EB24F4"/>
    <w:rsid w:val="00EB3064"/>
    <w:rsid w:val="00EB43B3"/>
    <w:rsid w:val="00EB7907"/>
    <w:rsid w:val="00EC0122"/>
    <w:rsid w:val="00EC04B4"/>
    <w:rsid w:val="00EC0FAD"/>
    <w:rsid w:val="00EC12C5"/>
    <w:rsid w:val="00EC2BD4"/>
    <w:rsid w:val="00EC4517"/>
    <w:rsid w:val="00EC7127"/>
    <w:rsid w:val="00ED2E56"/>
    <w:rsid w:val="00ED314C"/>
    <w:rsid w:val="00ED322A"/>
    <w:rsid w:val="00ED49D8"/>
    <w:rsid w:val="00ED5D30"/>
    <w:rsid w:val="00ED749B"/>
    <w:rsid w:val="00EE064E"/>
    <w:rsid w:val="00EE6925"/>
    <w:rsid w:val="00EE72D6"/>
    <w:rsid w:val="00EF0C2E"/>
    <w:rsid w:val="00EF22A4"/>
    <w:rsid w:val="00EF3AD4"/>
    <w:rsid w:val="00EF3E27"/>
    <w:rsid w:val="00EF68FE"/>
    <w:rsid w:val="00F02F0A"/>
    <w:rsid w:val="00F03CE2"/>
    <w:rsid w:val="00F03CF5"/>
    <w:rsid w:val="00F047E6"/>
    <w:rsid w:val="00F0587F"/>
    <w:rsid w:val="00F05B0B"/>
    <w:rsid w:val="00F07229"/>
    <w:rsid w:val="00F11FB6"/>
    <w:rsid w:val="00F1530C"/>
    <w:rsid w:val="00F1594D"/>
    <w:rsid w:val="00F20E14"/>
    <w:rsid w:val="00F2237B"/>
    <w:rsid w:val="00F228B8"/>
    <w:rsid w:val="00F22BCA"/>
    <w:rsid w:val="00F271E5"/>
    <w:rsid w:val="00F27B1E"/>
    <w:rsid w:val="00F322AC"/>
    <w:rsid w:val="00F33C1F"/>
    <w:rsid w:val="00F3693B"/>
    <w:rsid w:val="00F36E4A"/>
    <w:rsid w:val="00F379E3"/>
    <w:rsid w:val="00F4154F"/>
    <w:rsid w:val="00F42053"/>
    <w:rsid w:val="00F4297D"/>
    <w:rsid w:val="00F44F69"/>
    <w:rsid w:val="00F46076"/>
    <w:rsid w:val="00F5017B"/>
    <w:rsid w:val="00F52009"/>
    <w:rsid w:val="00F54014"/>
    <w:rsid w:val="00F54567"/>
    <w:rsid w:val="00F55326"/>
    <w:rsid w:val="00F56AFF"/>
    <w:rsid w:val="00F60DC4"/>
    <w:rsid w:val="00F6238E"/>
    <w:rsid w:val="00F7027B"/>
    <w:rsid w:val="00F70EFA"/>
    <w:rsid w:val="00F711A1"/>
    <w:rsid w:val="00F7123E"/>
    <w:rsid w:val="00F7256D"/>
    <w:rsid w:val="00F76087"/>
    <w:rsid w:val="00F77BA3"/>
    <w:rsid w:val="00F8054C"/>
    <w:rsid w:val="00F811E1"/>
    <w:rsid w:val="00F8497B"/>
    <w:rsid w:val="00F8542C"/>
    <w:rsid w:val="00F859D7"/>
    <w:rsid w:val="00F86D45"/>
    <w:rsid w:val="00F8736E"/>
    <w:rsid w:val="00F93592"/>
    <w:rsid w:val="00F96381"/>
    <w:rsid w:val="00FA1C6B"/>
    <w:rsid w:val="00FA29F6"/>
    <w:rsid w:val="00FA2DFB"/>
    <w:rsid w:val="00FA303C"/>
    <w:rsid w:val="00FA322E"/>
    <w:rsid w:val="00FA49F7"/>
    <w:rsid w:val="00FA75ED"/>
    <w:rsid w:val="00FB2E32"/>
    <w:rsid w:val="00FB3907"/>
    <w:rsid w:val="00FB3FE3"/>
    <w:rsid w:val="00FB5482"/>
    <w:rsid w:val="00FB6635"/>
    <w:rsid w:val="00FB786E"/>
    <w:rsid w:val="00FC0C40"/>
    <w:rsid w:val="00FC156D"/>
    <w:rsid w:val="00FC3E21"/>
    <w:rsid w:val="00FC57F2"/>
    <w:rsid w:val="00FD0F24"/>
    <w:rsid w:val="00FD5207"/>
    <w:rsid w:val="00FD7F58"/>
    <w:rsid w:val="00FE076E"/>
    <w:rsid w:val="00FE2584"/>
    <w:rsid w:val="00FE4AFE"/>
    <w:rsid w:val="00FF0E10"/>
    <w:rsid w:val="00FF50EF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6E"/>
    <w:rPr>
      <w:lang w:val="en-AU"/>
    </w:rPr>
  </w:style>
  <w:style w:type="paragraph" w:styleId="Heading1">
    <w:name w:val="heading 1"/>
    <w:basedOn w:val="Normal"/>
    <w:next w:val="Normal"/>
    <w:qFormat/>
    <w:rsid w:val="00FB786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B786E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FB786E"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FB786E"/>
    <w:pPr>
      <w:keepNext/>
      <w:outlineLvl w:val="3"/>
    </w:pPr>
    <w:rPr>
      <w:i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F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B786E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FB786E"/>
    <w:pPr>
      <w:jc w:val="center"/>
    </w:pPr>
    <w:rPr>
      <w:b/>
      <w:sz w:val="24"/>
    </w:rPr>
  </w:style>
  <w:style w:type="paragraph" w:styleId="BodyText">
    <w:name w:val="Body Text"/>
    <w:basedOn w:val="Normal"/>
    <w:rsid w:val="00FB786E"/>
    <w:rPr>
      <w:i/>
      <w:sz w:val="24"/>
    </w:rPr>
  </w:style>
  <w:style w:type="paragraph" w:styleId="Header">
    <w:name w:val="header"/>
    <w:basedOn w:val="Normal"/>
    <w:rsid w:val="00FB78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B78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786E"/>
  </w:style>
  <w:style w:type="paragraph" w:styleId="BalloonText">
    <w:name w:val="Balloon Text"/>
    <w:basedOn w:val="Normal"/>
    <w:semiHidden/>
    <w:rsid w:val="0073003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07E7C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Default">
    <w:name w:val="Default"/>
    <w:rsid w:val="008F54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499"/>
    <w:pPr>
      <w:ind w:left="720"/>
      <w:contextualSpacing/>
    </w:pPr>
  </w:style>
  <w:style w:type="paragraph" w:customStyle="1" w:styleId="Char1Char">
    <w:name w:val="Char1 Char"/>
    <w:basedOn w:val="Normal"/>
    <w:rsid w:val="00BB230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ext">
    <w:name w:val="Text"/>
    <w:basedOn w:val="Normal"/>
    <w:link w:val="TextChar"/>
    <w:rsid w:val="009919F9"/>
    <w:pPr>
      <w:spacing w:before="120"/>
      <w:jc w:val="both"/>
    </w:pPr>
    <w:rPr>
      <w:rFonts w:eastAsia="MS Mincho"/>
      <w:sz w:val="24"/>
      <w:lang w:val="en-US"/>
    </w:rPr>
  </w:style>
  <w:style w:type="character" w:styleId="Hyperlink">
    <w:name w:val="Hyperlink"/>
    <w:semiHidden/>
    <w:rsid w:val="009919F9"/>
    <w:rPr>
      <w:color w:val="0000FF"/>
      <w:u w:val="single"/>
    </w:rPr>
  </w:style>
  <w:style w:type="character" w:customStyle="1" w:styleId="TextChar">
    <w:name w:val="Text Char"/>
    <w:link w:val="Text"/>
    <w:rsid w:val="009919F9"/>
    <w:rPr>
      <w:rFonts w:eastAsia="MS Mincho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F58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paragraph" w:customStyle="1" w:styleId="Table">
    <w:name w:val="Table"/>
    <w:basedOn w:val="Normal"/>
    <w:link w:val="TableChar"/>
    <w:rsid w:val="00FD7F58"/>
    <w:pPr>
      <w:keepLines/>
      <w:tabs>
        <w:tab w:val="left" w:pos="284"/>
      </w:tabs>
      <w:spacing w:before="40" w:after="20"/>
    </w:pPr>
    <w:rPr>
      <w:rFonts w:ascii="Arial" w:eastAsia="MS Mincho" w:hAnsi="Arial"/>
      <w:szCs w:val="24"/>
      <w:lang w:val="en-US"/>
    </w:rPr>
  </w:style>
  <w:style w:type="paragraph" w:customStyle="1" w:styleId="Legend">
    <w:name w:val="Legend"/>
    <w:basedOn w:val="Table"/>
    <w:link w:val="LegendChar"/>
    <w:rsid w:val="00FD7F58"/>
  </w:style>
  <w:style w:type="character" w:customStyle="1" w:styleId="TableChar">
    <w:name w:val="Table Char"/>
    <w:link w:val="Table"/>
    <w:rsid w:val="00FD7F58"/>
    <w:rPr>
      <w:rFonts w:ascii="Arial" w:eastAsia="MS Mincho" w:hAnsi="Arial"/>
      <w:szCs w:val="24"/>
    </w:rPr>
  </w:style>
  <w:style w:type="character" w:customStyle="1" w:styleId="LegendChar">
    <w:name w:val="Legend Char"/>
    <w:link w:val="Legend"/>
    <w:rsid w:val="00FD7F58"/>
    <w:rPr>
      <w:rFonts w:ascii="Arial" w:eastAsia="MS Mincho" w:hAnsi="Arial"/>
      <w:szCs w:val="24"/>
    </w:rPr>
  </w:style>
  <w:style w:type="paragraph" w:customStyle="1" w:styleId="Char1Char0">
    <w:name w:val="Char1 Char"/>
    <w:basedOn w:val="Normal"/>
    <w:rsid w:val="008542F6"/>
    <w:pPr>
      <w:spacing w:after="160" w:line="240" w:lineRule="exact"/>
    </w:pPr>
    <w:rPr>
      <w:rFonts w:ascii="Verdana" w:hAnsi="Verdana" w:cs="Verdan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3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4CF"/>
  </w:style>
  <w:style w:type="character" w:customStyle="1" w:styleId="CommentTextChar">
    <w:name w:val="Comment Text Char"/>
    <w:basedOn w:val="DefaultParagraphFont"/>
    <w:link w:val="CommentText"/>
    <w:uiPriority w:val="99"/>
    <w:rsid w:val="00A434CF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4CF"/>
    <w:rPr>
      <w:b/>
      <w:bCs/>
      <w:lang w:val="en-AU"/>
    </w:rPr>
  </w:style>
  <w:style w:type="table" w:styleId="TableGrid">
    <w:name w:val="Table Grid"/>
    <w:basedOn w:val="TableNormal"/>
    <w:uiPriority w:val="59"/>
    <w:rsid w:val="00627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C52A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F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i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3003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07E7C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Default">
    <w:name w:val="Default"/>
    <w:rsid w:val="008F54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499"/>
    <w:pPr>
      <w:ind w:left="720"/>
      <w:contextualSpacing/>
    </w:pPr>
  </w:style>
  <w:style w:type="paragraph" w:customStyle="1" w:styleId="Char1Char">
    <w:name w:val="Char1 Char"/>
    <w:basedOn w:val="Normal"/>
    <w:rsid w:val="00BB230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ext">
    <w:name w:val="Text"/>
    <w:basedOn w:val="Normal"/>
    <w:link w:val="TextChar"/>
    <w:rsid w:val="009919F9"/>
    <w:pPr>
      <w:spacing w:before="120"/>
      <w:jc w:val="both"/>
    </w:pPr>
    <w:rPr>
      <w:rFonts w:eastAsia="MS Mincho"/>
      <w:sz w:val="24"/>
      <w:lang w:val="en-US"/>
    </w:rPr>
  </w:style>
  <w:style w:type="character" w:styleId="Hyperlink">
    <w:name w:val="Hyperlink"/>
    <w:semiHidden/>
    <w:rsid w:val="009919F9"/>
    <w:rPr>
      <w:color w:val="0000FF"/>
      <w:u w:val="single"/>
    </w:rPr>
  </w:style>
  <w:style w:type="character" w:customStyle="1" w:styleId="TextChar">
    <w:name w:val="Text Char"/>
    <w:link w:val="Text"/>
    <w:rsid w:val="009919F9"/>
    <w:rPr>
      <w:rFonts w:eastAsia="MS Mincho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F58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paragraph" w:customStyle="1" w:styleId="Table">
    <w:name w:val="Table"/>
    <w:basedOn w:val="Normal"/>
    <w:link w:val="TableChar"/>
    <w:rsid w:val="00FD7F58"/>
    <w:pPr>
      <w:keepLines/>
      <w:tabs>
        <w:tab w:val="left" w:pos="284"/>
      </w:tabs>
      <w:spacing w:before="40" w:after="20"/>
    </w:pPr>
    <w:rPr>
      <w:rFonts w:ascii="Arial" w:eastAsia="MS Mincho" w:hAnsi="Arial"/>
      <w:szCs w:val="24"/>
      <w:lang w:val="en-US"/>
    </w:rPr>
  </w:style>
  <w:style w:type="paragraph" w:customStyle="1" w:styleId="Legend">
    <w:name w:val="Legend"/>
    <w:basedOn w:val="Table"/>
    <w:link w:val="LegendChar"/>
    <w:rsid w:val="00FD7F58"/>
  </w:style>
  <w:style w:type="character" w:customStyle="1" w:styleId="TableChar">
    <w:name w:val="Table Char"/>
    <w:link w:val="Table"/>
    <w:rsid w:val="00FD7F58"/>
    <w:rPr>
      <w:rFonts w:ascii="Arial" w:eastAsia="MS Mincho" w:hAnsi="Arial"/>
      <w:szCs w:val="24"/>
    </w:rPr>
  </w:style>
  <w:style w:type="character" w:customStyle="1" w:styleId="LegendChar">
    <w:name w:val="Legend Char"/>
    <w:link w:val="Legend"/>
    <w:rsid w:val="00FD7F58"/>
    <w:rPr>
      <w:rFonts w:ascii="Arial" w:eastAsia="MS Mincho" w:hAnsi="Arial"/>
      <w:szCs w:val="24"/>
    </w:rPr>
  </w:style>
  <w:style w:type="paragraph" w:customStyle="1" w:styleId="Char1Char0">
    <w:name w:val="Char1 Char"/>
    <w:basedOn w:val="Normal"/>
    <w:rsid w:val="008542F6"/>
    <w:pPr>
      <w:spacing w:after="160" w:line="240" w:lineRule="exact"/>
    </w:pPr>
    <w:rPr>
      <w:rFonts w:ascii="Verdana" w:hAnsi="Verdana" w:cs="Verdan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3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4CF"/>
  </w:style>
  <w:style w:type="character" w:customStyle="1" w:styleId="CommentTextChar">
    <w:name w:val="Comment Text Char"/>
    <w:basedOn w:val="DefaultParagraphFont"/>
    <w:link w:val="CommentText"/>
    <w:uiPriority w:val="99"/>
    <w:rsid w:val="00A434CF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4CF"/>
    <w:rPr>
      <w:b/>
      <w:bCs/>
      <w:lang w:val="en-AU"/>
    </w:rPr>
  </w:style>
  <w:style w:type="table" w:styleId="TableGrid">
    <w:name w:val="Table Grid"/>
    <w:basedOn w:val="TableNormal"/>
    <w:uiPriority w:val="59"/>
    <w:rsid w:val="00627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C52AE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CA62-0D92-4CAB-B905-48C1AAD3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10118</Words>
  <Characters>58803</Characters>
  <Application>Microsoft Office Word</Application>
  <DocSecurity>0</DocSecurity>
  <Lines>1278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INFORMATION</vt:lpstr>
    </vt:vector>
  </TitlesOfParts>
  <Company>Hexal Australia Pty. Ltd.</Company>
  <LinksUpToDate>false</LinksUpToDate>
  <CharactersWithSpaces>68301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Zarzio</dc:title>
  <dc:subject>prescription medicine regulation</dc:subject>
  <dc:creator>Sandoz Pty Ltd</dc:creator>
  <cp:keywords>pi, product information, prescription, medicine, regulation, australia, zarzio, filgrastim (rbe)</cp:keywords>
  <cp:lastModifiedBy>Sheppard, Fran</cp:lastModifiedBy>
  <cp:revision>5</cp:revision>
  <cp:lastPrinted>2012-10-26T00:27:00Z</cp:lastPrinted>
  <dcterms:created xsi:type="dcterms:W3CDTF">2013-05-08T00:39:00Z</dcterms:created>
  <dcterms:modified xsi:type="dcterms:W3CDTF">2013-10-29T00:54:00Z</dcterms:modified>
</cp:coreProperties>
</file>