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1B0B74" w14:paraId="5B9FD407" w14:textId="77777777" w:rsidTr="00BF1190">
        <w:trPr>
          <w:trHeight w:val="1863"/>
        </w:trPr>
        <w:tc>
          <w:tcPr>
            <w:tcW w:w="3652" w:type="dxa"/>
            <w:tcBorders>
              <w:top w:val="nil"/>
              <w:left w:val="nil"/>
              <w:bottom w:val="nil"/>
              <w:right w:val="nil"/>
            </w:tcBorders>
          </w:tcPr>
          <w:p w14:paraId="1D0B754D" w14:textId="13C2F89B" w:rsidR="008E7846" w:rsidRPr="001B0B74" w:rsidRDefault="00B51D49" w:rsidP="00131434">
            <w:pPr>
              <w:rPr>
                <w:rFonts w:ascii="Arial" w:hAnsi="Arial" w:cs="Arial"/>
                <w:b/>
                <w:color w:val="002C47"/>
                <w:sz w:val="36"/>
                <w:szCs w:val="36"/>
              </w:rPr>
            </w:pPr>
            <w:r w:rsidRPr="001B0B74">
              <w:rPr>
                <w:rFonts w:ascii="Arial" w:hAnsi="Arial" w:cs="Arial"/>
                <w:b/>
                <w:color w:val="002C47"/>
                <w:sz w:val="36"/>
                <w:szCs w:val="36"/>
              </w:rPr>
              <w:t>May</w:t>
            </w:r>
            <w:r w:rsidR="00131434" w:rsidRPr="001B0B74">
              <w:rPr>
                <w:rFonts w:ascii="Arial" w:hAnsi="Arial" w:cs="Arial"/>
                <w:b/>
                <w:color w:val="002C47"/>
                <w:sz w:val="36"/>
                <w:szCs w:val="36"/>
              </w:rPr>
              <w:t xml:space="preserve">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1B0B74" w14:paraId="1BE01CAE" w14:textId="77777777" w:rsidTr="0032583B">
        <w:trPr>
          <w:trHeight w:val="868"/>
        </w:trPr>
        <w:tc>
          <w:tcPr>
            <w:tcW w:w="9079" w:type="dxa"/>
          </w:tcPr>
          <w:p w14:paraId="1D95EE35" w14:textId="4BA645C5" w:rsidR="0032583B" w:rsidRPr="001B0B74" w:rsidRDefault="0032583B" w:rsidP="00C623F1">
            <w:pPr>
              <w:pStyle w:val="Title"/>
              <w:rPr>
                <w:color w:val="FFFFFF" w:themeColor="background1"/>
              </w:rPr>
            </w:pPr>
            <w:r w:rsidRPr="001B0B74">
              <w:rPr>
                <w:color w:val="FFFFFF" w:themeColor="background1"/>
              </w:rPr>
              <w:t>Australia</w:t>
            </w:r>
            <w:r w:rsidR="00131434" w:rsidRPr="001B0B74">
              <w:rPr>
                <w:color w:val="FFFFFF" w:themeColor="background1"/>
              </w:rPr>
              <w:t xml:space="preserve">n Public Assessment Report for </w:t>
            </w:r>
            <w:r w:rsidR="00C623F1">
              <w:rPr>
                <w:color w:val="FFFFFF" w:themeColor="background1"/>
              </w:rPr>
              <w:t>F</w:t>
            </w:r>
            <w:r w:rsidR="00131434" w:rsidRPr="001B0B74">
              <w:rPr>
                <w:color w:val="FFFFFF" w:themeColor="background1"/>
              </w:rPr>
              <w:t>ilgotinib maleate</w:t>
            </w:r>
          </w:p>
        </w:tc>
      </w:tr>
      <w:tr w:rsidR="0032583B" w:rsidRPr="001B0B74" w14:paraId="783159DA" w14:textId="77777777" w:rsidTr="0032583B">
        <w:tc>
          <w:tcPr>
            <w:tcW w:w="9079" w:type="dxa"/>
          </w:tcPr>
          <w:p w14:paraId="7FB9063D" w14:textId="1AC1C766" w:rsidR="0032583B" w:rsidRPr="001B0B74" w:rsidRDefault="00131434" w:rsidP="00131434">
            <w:pPr>
              <w:pStyle w:val="Subtitle"/>
              <w:rPr>
                <w:color w:val="FFFFFF" w:themeColor="background1"/>
              </w:rPr>
            </w:pPr>
            <w:r w:rsidRPr="001B0B74">
              <w:rPr>
                <w:color w:val="FFFFFF" w:themeColor="background1"/>
              </w:rPr>
              <w:t>Proprietary Product Name: Jyseleca</w:t>
            </w:r>
          </w:p>
        </w:tc>
      </w:tr>
      <w:tr w:rsidR="0032583B" w:rsidRPr="001B0B74" w14:paraId="76441DE7" w14:textId="77777777" w:rsidTr="0032583B">
        <w:trPr>
          <w:trHeight w:val="486"/>
        </w:trPr>
        <w:tc>
          <w:tcPr>
            <w:tcW w:w="9079" w:type="dxa"/>
          </w:tcPr>
          <w:p w14:paraId="1850FE9A" w14:textId="77777777" w:rsidR="0032583B" w:rsidRPr="001B0B74" w:rsidRDefault="00460036" w:rsidP="0032583B">
            <w:pPr>
              <w:pStyle w:val="Subtitle"/>
              <w:rPr>
                <w:color w:val="FFFFFF" w:themeColor="background1"/>
              </w:rPr>
            </w:pPr>
            <w:r w:rsidRPr="001B0B74">
              <w:rPr>
                <w:color w:val="FFFFFF" w:themeColor="background1"/>
              </w:rPr>
              <w:t xml:space="preserve">Sponsor: </w:t>
            </w:r>
            <w:r w:rsidR="00131434" w:rsidRPr="001B0B74">
              <w:rPr>
                <w:color w:val="FFFFFF" w:themeColor="background1"/>
              </w:rPr>
              <w:t>Gilead Sciences Pty Ltd</w:t>
            </w:r>
          </w:p>
        </w:tc>
      </w:tr>
    </w:tbl>
    <w:p w14:paraId="2E3C1D75" w14:textId="77777777" w:rsidR="008E7846" w:rsidRPr="001B0B74" w:rsidRDefault="008E7846" w:rsidP="0085156D">
      <w:r w:rsidRPr="001B0B74">
        <w:br w:type="page"/>
      </w:r>
    </w:p>
    <w:p w14:paraId="5342D2C4" w14:textId="77777777" w:rsidR="008E7846" w:rsidRPr="001B0B74" w:rsidRDefault="008E7846" w:rsidP="008E7846">
      <w:pPr>
        <w:pStyle w:val="NonTOCHeading2"/>
      </w:pPr>
      <w:r w:rsidRPr="001B0B74">
        <w:lastRenderedPageBreak/>
        <w:t>About the Therapeutic Goods Administration (TGA)</w:t>
      </w:r>
    </w:p>
    <w:p w14:paraId="459C8B0F" w14:textId="77777777" w:rsidR="008E7846" w:rsidRPr="001B0B74" w:rsidRDefault="008E7846" w:rsidP="008E7846">
      <w:pPr>
        <w:pStyle w:val="ListBullet"/>
        <w:numPr>
          <w:ilvl w:val="0"/>
          <w:numId w:val="3"/>
        </w:numPr>
        <w:ind w:left="357" w:hanging="357"/>
      </w:pPr>
      <w:r w:rsidRPr="001B0B74">
        <w:t xml:space="preserve">The Therapeutic Goods Administration (TGA) is </w:t>
      </w:r>
      <w:r w:rsidR="00E624A5" w:rsidRPr="001B0B74">
        <w:t xml:space="preserve">part </w:t>
      </w:r>
      <w:r w:rsidRPr="001B0B74">
        <w:t>of the Australian Government Department of Health and is responsible for regulating medicines and medical devices.</w:t>
      </w:r>
    </w:p>
    <w:p w14:paraId="218FA0D5" w14:textId="77777777" w:rsidR="008E7846" w:rsidRPr="001B0B74" w:rsidRDefault="00C80137" w:rsidP="008E7846">
      <w:pPr>
        <w:pStyle w:val="ListBullet"/>
        <w:numPr>
          <w:ilvl w:val="0"/>
          <w:numId w:val="3"/>
        </w:numPr>
        <w:ind w:left="357" w:hanging="357"/>
      </w:pPr>
      <w:r w:rsidRPr="001B0B74">
        <w:t xml:space="preserve">The </w:t>
      </w:r>
      <w:r w:rsidR="008E7846" w:rsidRPr="001B0B74">
        <w:t xml:space="preserve">TGA administers the </w:t>
      </w:r>
      <w:r w:rsidR="008E7846" w:rsidRPr="001B0B74">
        <w:rPr>
          <w:i/>
        </w:rPr>
        <w:t>Therapeutic Goods Act 1989</w:t>
      </w:r>
      <w:r w:rsidR="00785717" w:rsidRPr="001B0B74">
        <w:rPr>
          <w:i/>
        </w:rPr>
        <w:t xml:space="preserve"> </w:t>
      </w:r>
      <w:r w:rsidR="00785717" w:rsidRPr="001B0B74">
        <w:t>(the Act)</w:t>
      </w:r>
      <w:r w:rsidR="008E7846" w:rsidRPr="001B0B74">
        <w:t>, applying a risk management approach designed to ensure therapeutic goods supplied in Australia meet acceptable standards of quality, safety and efficacy (performance) when necessary.</w:t>
      </w:r>
    </w:p>
    <w:p w14:paraId="1E19D1D0" w14:textId="77777777" w:rsidR="008E7846" w:rsidRPr="001B0B74" w:rsidRDefault="008E7846" w:rsidP="008E7846">
      <w:pPr>
        <w:pStyle w:val="ListBullet"/>
        <w:numPr>
          <w:ilvl w:val="0"/>
          <w:numId w:val="3"/>
        </w:numPr>
        <w:ind w:left="357" w:hanging="357"/>
      </w:pPr>
      <w:r w:rsidRPr="001B0B74">
        <w:t>The work of the TGA is based on applying scientific and clinical expertise to decision-making, to ensure that the benefits to consumers outweigh any risks associated with the use of medicines and medical devices.</w:t>
      </w:r>
    </w:p>
    <w:p w14:paraId="5F92E882" w14:textId="77777777" w:rsidR="008E7846" w:rsidRPr="001B0B74" w:rsidRDefault="008E7846" w:rsidP="008E7846">
      <w:pPr>
        <w:pStyle w:val="ListBullet"/>
        <w:numPr>
          <w:ilvl w:val="0"/>
          <w:numId w:val="3"/>
        </w:numPr>
        <w:ind w:left="357" w:hanging="357"/>
      </w:pPr>
      <w:r w:rsidRPr="001B0B74">
        <w:t>The TGA relies on the public, healthcare professionals and industry to report problems with medicines or medical devices. TGA investigates reports received by it to determine any necessary regulatory action.</w:t>
      </w:r>
    </w:p>
    <w:p w14:paraId="21EEBC2A" w14:textId="54BDD4E8" w:rsidR="00441C3F" w:rsidRPr="001B0B74" w:rsidRDefault="008E7846" w:rsidP="00441C3F">
      <w:pPr>
        <w:pStyle w:val="ListBullet"/>
        <w:numPr>
          <w:ilvl w:val="0"/>
          <w:numId w:val="3"/>
        </w:numPr>
        <w:ind w:left="357" w:hanging="357"/>
      </w:pPr>
      <w:r w:rsidRPr="001B0B74">
        <w:t xml:space="preserve">To report a problem with a medicine or medical device, please see the information on </w:t>
      </w:r>
      <w:r w:rsidR="00441C3F" w:rsidRPr="001B0B74">
        <w:t>the TGA website &lt;</w:t>
      </w:r>
      <w:hyperlink r:id="rId8" w:history="1">
        <w:r w:rsidR="00441C3F" w:rsidRPr="001B0B74">
          <w:rPr>
            <w:rStyle w:val="Hyperlink"/>
          </w:rPr>
          <w:t>https://www.tga.gov.au</w:t>
        </w:r>
      </w:hyperlink>
      <w:r w:rsidR="00441C3F" w:rsidRPr="001B0B74">
        <w:t>&gt;.</w:t>
      </w:r>
    </w:p>
    <w:p w14:paraId="5EB5512D" w14:textId="77777777" w:rsidR="008E7846" w:rsidRPr="001B0B74" w:rsidRDefault="008E7846" w:rsidP="00875A6B">
      <w:pPr>
        <w:pStyle w:val="NonTOCHeading2"/>
      </w:pPr>
      <w:r w:rsidRPr="001B0B74">
        <w:t>About AusPARs</w:t>
      </w:r>
    </w:p>
    <w:p w14:paraId="6CF814D8" w14:textId="77777777" w:rsidR="008E7846" w:rsidRPr="001B0B74" w:rsidRDefault="008E7846" w:rsidP="008E7846">
      <w:pPr>
        <w:pStyle w:val="ListBullet"/>
        <w:numPr>
          <w:ilvl w:val="0"/>
          <w:numId w:val="3"/>
        </w:numPr>
        <w:ind w:left="357" w:hanging="357"/>
      </w:pPr>
      <w:r w:rsidRPr="001B0B74">
        <w:t>An Australian Public Assessment Re</w:t>
      </w:r>
      <w:r w:rsidR="00133A1B" w:rsidRPr="001B0B74">
        <w:t>port</w:t>
      </w:r>
      <w:r w:rsidRPr="001B0B74">
        <w:t xml:space="preserve"> (AusPAR) provides information about the evaluation of a prescription medicine and the considerations that led the TGA to approve or not approve a pr</w:t>
      </w:r>
      <w:r w:rsidR="00441C3F" w:rsidRPr="001B0B74">
        <w:t>escription medicine submission.</w:t>
      </w:r>
    </w:p>
    <w:p w14:paraId="04449916" w14:textId="77777777" w:rsidR="008E7846" w:rsidRPr="001B0B74" w:rsidRDefault="008E7846" w:rsidP="008E7846">
      <w:pPr>
        <w:pStyle w:val="ListBullet"/>
        <w:numPr>
          <w:ilvl w:val="0"/>
          <w:numId w:val="3"/>
        </w:numPr>
        <w:ind w:left="357" w:hanging="357"/>
      </w:pPr>
      <w:r w:rsidRPr="001B0B74">
        <w:t>AusPARs are prepared and published by the TGA.</w:t>
      </w:r>
    </w:p>
    <w:p w14:paraId="56B182C9" w14:textId="77777777" w:rsidR="008E7846" w:rsidRPr="001B0B74" w:rsidRDefault="008E7846" w:rsidP="008E7846">
      <w:pPr>
        <w:pStyle w:val="ListBullet"/>
        <w:numPr>
          <w:ilvl w:val="0"/>
          <w:numId w:val="3"/>
        </w:numPr>
        <w:ind w:left="357" w:hanging="357"/>
      </w:pPr>
      <w:r w:rsidRPr="001B0B74">
        <w:t>An AusPAR is prepared for submissions that relate to new chemical entities, generic medicines, major variations and extensions of indications.</w:t>
      </w:r>
    </w:p>
    <w:p w14:paraId="72F32FC9" w14:textId="77777777" w:rsidR="008E7846" w:rsidRPr="001B0B74" w:rsidRDefault="008E7846" w:rsidP="008E7846">
      <w:pPr>
        <w:pStyle w:val="ListBullet"/>
        <w:numPr>
          <w:ilvl w:val="0"/>
          <w:numId w:val="3"/>
        </w:numPr>
        <w:ind w:left="357" w:hanging="357"/>
      </w:pPr>
      <w:r w:rsidRPr="001B0B74">
        <w:t>An AusPAR is a static document</w:t>
      </w:r>
      <w:r w:rsidR="00133A1B" w:rsidRPr="001B0B74">
        <w:t>;</w:t>
      </w:r>
      <w:r w:rsidRPr="001B0B74">
        <w:t xml:space="preserve"> it provide</w:t>
      </w:r>
      <w:r w:rsidR="00133A1B" w:rsidRPr="001B0B74">
        <w:t>s</w:t>
      </w:r>
      <w:r w:rsidRPr="001B0B74">
        <w:t xml:space="preserve"> information that relates to a submission at a particular point in time.</w:t>
      </w:r>
    </w:p>
    <w:p w14:paraId="767D18E5" w14:textId="77777777" w:rsidR="00B452CE" w:rsidRPr="001B0B74" w:rsidRDefault="008E7846" w:rsidP="00FF5755">
      <w:pPr>
        <w:pStyle w:val="ListBullet"/>
        <w:numPr>
          <w:ilvl w:val="0"/>
          <w:numId w:val="3"/>
        </w:numPr>
        <w:ind w:left="357" w:hanging="357"/>
      </w:pPr>
      <w:r w:rsidRPr="001B0B74">
        <w:t>A new AusPAR will be developed to reflect changes to indications and/or major variations to a prescription medicine subject to evaluation by the TGA.</w:t>
      </w:r>
    </w:p>
    <w:p w14:paraId="3830F22B" w14:textId="77777777" w:rsidR="00924482" w:rsidRPr="001B0B74" w:rsidRDefault="00924482" w:rsidP="00F54B65">
      <w:pPr>
        <w:pStyle w:val="LegalSubheading"/>
        <w:spacing w:before="3120"/>
      </w:pPr>
      <w:r w:rsidRPr="001B0B74">
        <w:t>Copyright</w:t>
      </w:r>
    </w:p>
    <w:p w14:paraId="48C72187" w14:textId="119DABDE" w:rsidR="00924482" w:rsidRPr="001B0B74" w:rsidRDefault="00924482" w:rsidP="00924482">
      <w:pPr>
        <w:pStyle w:val="LegalCopy"/>
      </w:pPr>
      <w:r w:rsidRPr="001B0B74">
        <w:rPr>
          <w:rFonts w:cs="Arial"/>
          <w:lang w:val="en-GB"/>
        </w:rPr>
        <w:t>© Commonwealth of Australia 20</w:t>
      </w:r>
      <w:r w:rsidR="00460036" w:rsidRPr="001B0B74">
        <w:rPr>
          <w:rFonts w:cs="Arial"/>
          <w:lang w:val="en-GB"/>
        </w:rPr>
        <w:t>2</w:t>
      </w:r>
      <w:r w:rsidR="00324E45" w:rsidRPr="001B0B74">
        <w:rPr>
          <w:rFonts w:cs="Arial"/>
          <w:lang w:val="en-GB"/>
        </w:rPr>
        <w:t>1</w:t>
      </w:r>
      <w:r w:rsidRPr="001B0B74">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B0B74">
        <w:rPr>
          <w:rFonts w:cs="Arial"/>
          <w:i/>
          <w:lang w:val="en-GB"/>
        </w:rPr>
        <w:t>Copyright Act 1968</w:t>
      </w:r>
      <w:r w:rsidRPr="001B0B74">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B0B74">
          <w:rPr>
            <w:rStyle w:val="Hyperlink"/>
            <w:rFonts w:cs="Arial"/>
            <w:lang w:val="en-GB"/>
          </w:rPr>
          <w:t>tga.copyright@tga.gov.au</w:t>
        </w:r>
      </w:hyperlink>
      <w:r w:rsidRPr="001B0B74">
        <w:rPr>
          <w:rFonts w:cs="Arial"/>
        </w:rPr>
        <w:t>&gt;.</w:t>
      </w:r>
    </w:p>
    <w:p w14:paraId="1A5E23F1" w14:textId="77777777" w:rsidR="00924482" w:rsidRPr="001B0B74" w:rsidRDefault="00924482" w:rsidP="00924482">
      <w:pPr>
        <w:pStyle w:val="LegalCopy"/>
        <w:sectPr w:rsidR="00924482" w:rsidRPr="001B0B74"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28959D9C" w14:textId="77777777" w:rsidR="0089635C" w:rsidRPr="001B0B74" w:rsidRDefault="0089635C" w:rsidP="0010788A">
          <w:pPr>
            <w:pStyle w:val="Contents"/>
          </w:pPr>
          <w:r w:rsidRPr="001B0B74">
            <w:t>Contents</w:t>
          </w:r>
        </w:p>
        <w:p w14:paraId="376B31CF" w14:textId="2012FA9D" w:rsidR="00AB05AB" w:rsidRDefault="00C525A2">
          <w:pPr>
            <w:pStyle w:val="TOC1"/>
            <w:rPr>
              <w:rFonts w:asciiTheme="minorHAnsi" w:eastAsiaTheme="minorEastAsia" w:hAnsiTheme="minorHAnsi" w:cstheme="minorBidi"/>
              <w:b w:val="0"/>
              <w:noProof/>
              <w:sz w:val="22"/>
              <w:lang w:eastAsia="en-AU"/>
            </w:rPr>
          </w:pPr>
          <w:r w:rsidRPr="001B0B74">
            <w:fldChar w:fldCharType="begin"/>
          </w:r>
          <w:r w:rsidRPr="001B0B74">
            <w:instrText xml:space="preserve"> TOC \h \z \t "Heading 2,1,Heading 3,2" </w:instrText>
          </w:r>
          <w:r w:rsidRPr="001B0B74">
            <w:fldChar w:fldCharType="separate"/>
          </w:r>
          <w:hyperlink w:anchor="_Toc72750574" w:history="1">
            <w:r w:rsidR="00AB05AB" w:rsidRPr="00B11810">
              <w:rPr>
                <w:rStyle w:val="Hyperlink"/>
                <w:noProof/>
              </w:rPr>
              <w:t>List of abbreviations</w:t>
            </w:r>
            <w:r w:rsidR="00AB05AB">
              <w:rPr>
                <w:noProof/>
                <w:webHidden/>
              </w:rPr>
              <w:tab/>
            </w:r>
            <w:r w:rsidR="00AB05AB">
              <w:rPr>
                <w:noProof/>
                <w:webHidden/>
              </w:rPr>
              <w:fldChar w:fldCharType="begin"/>
            </w:r>
            <w:r w:rsidR="00AB05AB">
              <w:rPr>
                <w:noProof/>
                <w:webHidden/>
              </w:rPr>
              <w:instrText xml:space="preserve"> PAGEREF _Toc72750574 \h </w:instrText>
            </w:r>
            <w:r w:rsidR="00AB05AB">
              <w:rPr>
                <w:noProof/>
                <w:webHidden/>
              </w:rPr>
            </w:r>
            <w:r w:rsidR="00AB05AB">
              <w:rPr>
                <w:noProof/>
                <w:webHidden/>
              </w:rPr>
              <w:fldChar w:fldCharType="separate"/>
            </w:r>
            <w:r w:rsidR="00AB05AB">
              <w:rPr>
                <w:noProof/>
                <w:webHidden/>
              </w:rPr>
              <w:t>4</w:t>
            </w:r>
            <w:r w:rsidR="00AB05AB">
              <w:rPr>
                <w:noProof/>
                <w:webHidden/>
              </w:rPr>
              <w:fldChar w:fldCharType="end"/>
            </w:r>
          </w:hyperlink>
        </w:p>
        <w:p w14:paraId="2662A5AC" w14:textId="66639D19" w:rsidR="00AB05AB" w:rsidRDefault="003E2223">
          <w:pPr>
            <w:pStyle w:val="TOC1"/>
            <w:rPr>
              <w:rFonts w:asciiTheme="minorHAnsi" w:eastAsiaTheme="minorEastAsia" w:hAnsiTheme="minorHAnsi" w:cstheme="minorBidi"/>
              <w:b w:val="0"/>
              <w:noProof/>
              <w:sz w:val="22"/>
              <w:lang w:eastAsia="en-AU"/>
            </w:rPr>
          </w:pPr>
          <w:hyperlink w:anchor="_Toc72750575" w:history="1">
            <w:r w:rsidR="00AB05AB" w:rsidRPr="00B11810">
              <w:rPr>
                <w:rStyle w:val="Hyperlink"/>
                <w:noProof/>
              </w:rPr>
              <w:t>I. Introduction to product submission</w:t>
            </w:r>
            <w:r w:rsidR="00AB05AB">
              <w:rPr>
                <w:noProof/>
                <w:webHidden/>
              </w:rPr>
              <w:tab/>
            </w:r>
            <w:r w:rsidR="00AB05AB">
              <w:rPr>
                <w:noProof/>
                <w:webHidden/>
              </w:rPr>
              <w:fldChar w:fldCharType="begin"/>
            </w:r>
            <w:r w:rsidR="00AB05AB">
              <w:rPr>
                <w:noProof/>
                <w:webHidden/>
              </w:rPr>
              <w:instrText xml:space="preserve"> PAGEREF _Toc72750575 \h </w:instrText>
            </w:r>
            <w:r w:rsidR="00AB05AB">
              <w:rPr>
                <w:noProof/>
                <w:webHidden/>
              </w:rPr>
            </w:r>
            <w:r w:rsidR="00AB05AB">
              <w:rPr>
                <w:noProof/>
                <w:webHidden/>
              </w:rPr>
              <w:fldChar w:fldCharType="separate"/>
            </w:r>
            <w:r w:rsidR="00AB05AB">
              <w:rPr>
                <w:noProof/>
                <w:webHidden/>
              </w:rPr>
              <w:t>8</w:t>
            </w:r>
            <w:r w:rsidR="00AB05AB">
              <w:rPr>
                <w:noProof/>
                <w:webHidden/>
              </w:rPr>
              <w:fldChar w:fldCharType="end"/>
            </w:r>
          </w:hyperlink>
        </w:p>
        <w:p w14:paraId="317A784C" w14:textId="5003652F" w:rsidR="00AB05AB" w:rsidRDefault="003E2223">
          <w:pPr>
            <w:pStyle w:val="TOC2"/>
            <w:rPr>
              <w:rFonts w:asciiTheme="minorHAnsi" w:eastAsiaTheme="minorEastAsia" w:hAnsiTheme="minorHAnsi" w:cstheme="minorBidi"/>
              <w:b w:val="0"/>
              <w:noProof/>
              <w:sz w:val="22"/>
              <w:lang w:eastAsia="en-AU"/>
            </w:rPr>
          </w:pPr>
          <w:hyperlink w:anchor="_Toc72750576" w:history="1">
            <w:r w:rsidR="00AB05AB" w:rsidRPr="00B11810">
              <w:rPr>
                <w:rStyle w:val="Hyperlink"/>
                <w:noProof/>
                <w:lang w:eastAsia="en-AU"/>
              </w:rPr>
              <w:t>Submission details</w:t>
            </w:r>
            <w:r w:rsidR="00AB05AB">
              <w:rPr>
                <w:noProof/>
                <w:webHidden/>
              </w:rPr>
              <w:tab/>
            </w:r>
            <w:r w:rsidR="00AB05AB">
              <w:rPr>
                <w:noProof/>
                <w:webHidden/>
              </w:rPr>
              <w:fldChar w:fldCharType="begin"/>
            </w:r>
            <w:r w:rsidR="00AB05AB">
              <w:rPr>
                <w:noProof/>
                <w:webHidden/>
              </w:rPr>
              <w:instrText xml:space="preserve"> PAGEREF _Toc72750576 \h </w:instrText>
            </w:r>
            <w:r w:rsidR="00AB05AB">
              <w:rPr>
                <w:noProof/>
                <w:webHidden/>
              </w:rPr>
            </w:r>
            <w:r w:rsidR="00AB05AB">
              <w:rPr>
                <w:noProof/>
                <w:webHidden/>
              </w:rPr>
              <w:fldChar w:fldCharType="separate"/>
            </w:r>
            <w:r w:rsidR="00AB05AB">
              <w:rPr>
                <w:noProof/>
                <w:webHidden/>
              </w:rPr>
              <w:t>8</w:t>
            </w:r>
            <w:r w:rsidR="00AB05AB">
              <w:rPr>
                <w:noProof/>
                <w:webHidden/>
              </w:rPr>
              <w:fldChar w:fldCharType="end"/>
            </w:r>
          </w:hyperlink>
        </w:p>
        <w:p w14:paraId="4265DA05" w14:textId="763CD8BC" w:rsidR="00AB05AB" w:rsidRDefault="003E2223">
          <w:pPr>
            <w:pStyle w:val="TOC2"/>
            <w:rPr>
              <w:rFonts w:asciiTheme="minorHAnsi" w:eastAsiaTheme="minorEastAsia" w:hAnsiTheme="minorHAnsi" w:cstheme="minorBidi"/>
              <w:b w:val="0"/>
              <w:noProof/>
              <w:sz w:val="22"/>
              <w:lang w:eastAsia="en-AU"/>
            </w:rPr>
          </w:pPr>
          <w:hyperlink w:anchor="_Toc72750577" w:history="1">
            <w:r w:rsidR="00AB05AB" w:rsidRPr="00B11810">
              <w:rPr>
                <w:rStyle w:val="Hyperlink"/>
                <w:noProof/>
              </w:rPr>
              <w:t>Product background</w:t>
            </w:r>
            <w:r w:rsidR="00AB05AB">
              <w:rPr>
                <w:noProof/>
                <w:webHidden/>
              </w:rPr>
              <w:tab/>
            </w:r>
            <w:r w:rsidR="00AB05AB">
              <w:rPr>
                <w:noProof/>
                <w:webHidden/>
              </w:rPr>
              <w:fldChar w:fldCharType="begin"/>
            </w:r>
            <w:r w:rsidR="00AB05AB">
              <w:rPr>
                <w:noProof/>
                <w:webHidden/>
              </w:rPr>
              <w:instrText xml:space="preserve"> PAGEREF _Toc72750577 \h </w:instrText>
            </w:r>
            <w:r w:rsidR="00AB05AB">
              <w:rPr>
                <w:noProof/>
                <w:webHidden/>
              </w:rPr>
            </w:r>
            <w:r w:rsidR="00AB05AB">
              <w:rPr>
                <w:noProof/>
                <w:webHidden/>
              </w:rPr>
              <w:fldChar w:fldCharType="separate"/>
            </w:r>
            <w:r w:rsidR="00AB05AB">
              <w:rPr>
                <w:noProof/>
                <w:webHidden/>
              </w:rPr>
              <w:t>9</w:t>
            </w:r>
            <w:r w:rsidR="00AB05AB">
              <w:rPr>
                <w:noProof/>
                <w:webHidden/>
              </w:rPr>
              <w:fldChar w:fldCharType="end"/>
            </w:r>
          </w:hyperlink>
        </w:p>
        <w:p w14:paraId="5869C68F" w14:textId="5F2FD827" w:rsidR="00AB05AB" w:rsidRDefault="003E2223">
          <w:pPr>
            <w:pStyle w:val="TOC2"/>
            <w:rPr>
              <w:rFonts w:asciiTheme="minorHAnsi" w:eastAsiaTheme="minorEastAsia" w:hAnsiTheme="minorHAnsi" w:cstheme="minorBidi"/>
              <w:b w:val="0"/>
              <w:noProof/>
              <w:sz w:val="22"/>
              <w:lang w:eastAsia="en-AU"/>
            </w:rPr>
          </w:pPr>
          <w:hyperlink w:anchor="_Toc72750578" w:history="1">
            <w:r w:rsidR="00AB05AB" w:rsidRPr="00B11810">
              <w:rPr>
                <w:rStyle w:val="Hyperlink"/>
                <w:noProof/>
              </w:rPr>
              <w:t>Regulatory status</w:t>
            </w:r>
            <w:r w:rsidR="00AB05AB">
              <w:rPr>
                <w:noProof/>
                <w:webHidden/>
              </w:rPr>
              <w:tab/>
            </w:r>
            <w:r w:rsidR="00AB05AB">
              <w:rPr>
                <w:noProof/>
                <w:webHidden/>
              </w:rPr>
              <w:fldChar w:fldCharType="begin"/>
            </w:r>
            <w:r w:rsidR="00AB05AB">
              <w:rPr>
                <w:noProof/>
                <w:webHidden/>
              </w:rPr>
              <w:instrText xml:space="preserve"> PAGEREF _Toc72750578 \h </w:instrText>
            </w:r>
            <w:r w:rsidR="00AB05AB">
              <w:rPr>
                <w:noProof/>
                <w:webHidden/>
              </w:rPr>
            </w:r>
            <w:r w:rsidR="00AB05AB">
              <w:rPr>
                <w:noProof/>
                <w:webHidden/>
              </w:rPr>
              <w:fldChar w:fldCharType="separate"/>
            </w:r>
            <w:r w:rsidR="00AB05AB">
              <w:rPr>
                <w:noProof/>
                <w:webHidden/>
              </w:rPr>
              <w:t>10</w:t>
            </w:r>
            <w:r w:rsidR="00AB05AB">
              <w:rPr>
                <w:noProof/>
                <w:webHidden/>
              </w:rPr>
              <w:fldChar w:fldCharType="end"/>
            </w:r>
          </w:hyperlink>
        </w:p>
        <w:p w14:paraId="6CF3467F" w14:textId="32947209" w:rsidR="00AB05AB" w:rsidRDefault="003E2223">
          <w:pPr>
            <w:pStyle w:val="TOC1"/>
            <w:rPr>
              <w:rFonts w:asciiTheme="minorHAnsi" w:eastAsiaTheme="minorEastAsia" w:hAnsiTheme="minorHAnsi" w:cstheme="minorBidi"/>
              <w:b w:val="0"/>
              <w:noProof/>
              <w:sz w:val="22"/>
              <w:lang w:eastAsia="en-AU"/>
            </w:rPr>
          </w:pPr>
          <w:hyperlink w:anchor="_Toc72750579" w:history="1">
            <w:r w:rsidR="00AB05AB" w:rsidRPr="00B11810">
              <w:rPr>
                <w:rStyle w:val="Hyperlink"/>
                <w:noProof/>
              </w:rPr>
              <w:t>II. Registration timeline</w:t>
            </w:r>
            <w:r w:rsidR="00AB05AB">
              <w:rPr>
                <w:noProof/>
                <w:webHidden/>
              </w:rPr>
              <w:tab/>
            </w:r>
            <w:r w:rsidR="00AB05AB">
              <w:rPr>
                <w:noProof/>
                <w:webHidden/>
              </w:rPr>
              <w:fldChar w:fldCharType="begin"/>
            </w:r>
            <w:r w:rsidR="00AB05AB">
              <w:rPr>
                <w:noProof/>
                <w:webHidden/>
              </w:rPr>
              <w:instrText xml:space="preserve"> PAGEREF _Toc72750579 \h </w:instrText>
            </w:r>
            <w:r w:rsidR="00AB05AB">
              <w:rPr>
                <w:noProof/>
                <w:webHidden/>
              </w:rPr>
            </w:r>
            <w:r w:rsidR="00AB05AB">
              <w:rPr>
                <w:noProof/>
                <w:webHidden/>
              </w:rPr>
              <w:fldChar w:fldCharType="separate"/>
            </w:r>
            <w:r w:rsidR="00AB05AB">
              <w:rPr>
                <w:noProof/>
                <w:webHidden/>
              </w:rPr>
              <w:t>11</w:t>
            </w:r>
            <w:r w:rsidR="00AB05AB">
              <w:rPr>
                <w:noProof/>
                <w:webHidden/>
              </w:rPr>
              <w:fldChar w:fldCharType="end"/>
            </w:r>
          </w:hyperlink>
        </w:p>
        <w:p w14:paraId="4BE45B37" w14:textId="4E7299FB" w:rsidR="00AB05AB" w:rsidRDefault="003E2223">
          <w:pPr>
            <w:pStyle w:val="TOC1"/>
            <w:rPr>
              <w:rFonts w:asciiTheme="minorHAnsi" w:eastAsiaTheme="minorEastAsia" w:hAnsiTheme="minorHAnsi" w:cstheme="minorBidi"/>
              <w:b w:val="0"/>
              <w:noProof/>
              <w:sz w:val="22"/>
              <w:lang w:eastAsia="en-AU"/>
            </w:rPr>
          </w:pPr>
          <w:hyperlink w:anchor="_Toc72750580" w:history="1">
            <w:r w:rsidR="00AB05AB" w:rsidRPr="00B11810">
              <w:rPr>
                <w:rStyle w:val="Hyperlink"/>
                <w:noProof/>
              </w:rPr>
              <w:t>III. Submission overview and risk/benefit assessment</w:t>
            </w:r>
            <w:r w:rsidR="00AB05AB">
              <w:rPr>
                <w:noProof/>
                <w:webHidden/>
              </w:rPr>
              <w:tab/>
            </w:r>
            <w:r w:rsidR="00AB05AB">
              <w:rPr>
                <w:noProof/>
                <w:webHidden/>
              </w:rPr>
              <w:fldChar w:fldCharType="begin"/>
            </w:r>
            <w:r w:rsidR="00AB05AB">
              <w:rPr>
                <w:noProof/>
                <w:webHidden/>
              </w:rPr>
              <w:instrText xml:space="preserve"> PAGEREF _Toc72750580 \h </w:instrText>
            </w:r>
            <w:r w:rsidR="00AB05AB">
              <w:rPr>
                <w:noProof/>
                <w:webHidden/>
              </w:rPr>
            </w:r>
            <w:r w:rsidR="00AB05AB">
              <w:rPr>
                <w:noProof/>
                <w:webHidden/>
              </w:rPr>
              <w:fldChar w:fldCharType="separate"/>
            </w:r>
            <w:r w:rsidR="00AB05AB">
              <w:rPr>
                <w:noProof/>
                <w:webHidden/>
              </w:rPr>
              <w:t>12</w:t>
            </w:r>
            <w:r w:rsidR="00AB05AB">
              <w:rPr>
                <w:noProof/>
                <w:webHidden/>
              </w:rPr>
              <w:fldChar w:fldCharType="end"/>
            </w:r>
          </w:hyperlink>
        </w:p>
        <w:p w14:paraId="128C282C" w14:textId="5F1F58FC" w:rsidR="00AB05AB" w:rsidRDefault="003E2223">
          <w:pPr>
            <w:pStyle w:val="TOC2"/>
            <w:rPr>
              <w:rFonts w:asciiTheme="minorHAnsi" w:eastAsiaTheme="minorEastAsia" w:hAnsiTheme="minorHAnsi" w:cstheme="minorBidi"/>
              <w:b w:val="0"/>
              <w:noProof/>
              <w:sz w:val="22"/>
              <w:lang w:eastAsia="en-AU"/>
            </w:rPr>
          </w:pPr>
          <w:hyperlink w:anchor="_Toc72750581" w:history="1">
            <w:r w:rsidR="00AB05AB" w:rsidRPr="00B11810">
              <w:rPr>
                <w:rStyle w:val="Hyperlink"/>
                <w:noProof/>
              </w:rPr>
              <w:t>Quality</w:t>
            </w:r>
            <w:r w:rsidR="00AB05AB">
              <w:rPr>
                <w:noProof/>
                <w:webHidden/>
              </w:rPr>
              <w:tab/>
            </w:r>
            <w:r w:rsidR="00AB05AB">
              <w:rPr>
                <w:noProof/>
                <w:webHidden/>
              </w:rPr>
              <w:fldChar w:fldCharType="begin"/>
            </w:r>
            <w:r w:rsidR="00AB05AB">
              <w:rPr>
                <w:noProof/>
                <w:webHidden/>
              </w:rPr>
              <w:instrText xml:space="preserve"> PAGEREF _Toc72750581 \h </w:instrText>
            </w:r>
            <w:r w:rsidR="00AB05AB">
              <w:rPr>
                <w:noProof/>
                <w:webHidden/>
              </w:rPr>
            </w:r>
            <w:r w:rsidR="00AB05AB">
              <w:rPr>
                <w:noProof/>
                <w:webHidden/>
              </w:rPr>
              <w:fldChar w:fldCharType="separate"/>
            </w:r>
            <w:r w:rsidR="00AB05AB">
              <w:rPr>
                <w:noProof/>
                <w:webHidden/>
              </w:rPr>
              <w:t>12</w:t>
            </w:r>
            <w:r w:rsidR="00AB05AB">
              <w:rPr>
                <w:noProof/>
                <w:webHidden/>
              </w:rPr>
              <w:fldChar w:fldCharType="end"/>
            </w:r>
          </w:hyperlink>
        </w:p>
        <w:p w14:paraId="25EDD5A3" w14:textId="742C78C1" w:rsidR="00AB05AB" w:rsidRDefault="003E2223">
          <w:pPr>
            <w:pStyle w:val="TOC2"/>
            <w:rPr>
              <w:rFonts w:asciiTheme="minorHAnsi" w:eastAsiaTheme="minorEastAsia" w:hAnsiTheme="minorHAnsi" w:cstheme="minorBidi"/>
              <w:b w:val="0"/>
              <w:noProof/>
              <w:sz w:val="22"/>
              <w:lang w:eastAsia="en-AU"/>
            </w:rPr>
          </w:pPr>
          <w:hyperlink w:anchor="_Toc72750582" w:history="1">
            <w:r w:rsidR="00AB05AB" w:rsidRPr="00B11810">
              <w:rPr>
                <w:rStyle w:val="Hyperlink"/>
                <w:noProof/>
              </w:rPr>
              <w:t>Nonclinical</w:t>
            </w:r>
            <w:r w:rsidR="00AB05AB">
              <w:rPr>
                <w:noProof/>
                <w:webHidden/>
              </w:rPr>
              <w:tab/>
            </w:r>
            <w:r w:rsidR="00AB05AB">
              <w:rPr>
                <w:noProof/>
                <w:webHidden/>
              </w:rPr>
              <w:fldChar w:fldCharType="begin"/>
            </w:r>
            <w:r w:rsidR="00AB05AB">
              <w:rPr>
                <w:noProof/>
                <w:webHidden/>
              </w:rPr>
              <w:instrText xml:space="preserve"> PAGEREF _Toc72750582 \h </w:instrText>
            </w:r>
            <w:r w:rsidR="00AB05AB">
              <w:rPr>
                <w:noProof/>
                <w:webHidden/>
              </w:rPr>
            </w:r>
            <w:r w:rsidR="00AB05AB">
              <w:rPr>
                <w:noProof/>
                <w:webHidden/>
              </w:rPr>
              <w:fldChar w:fldCharType="separate"/>
            </w:r>
            <w:r w:rsidR="00AB05AB">
              <w:rPr>
                <w:noProof/>
                <w:webHidden/>
              </w:rPr>
              <w:t>13</w:t>
            </w:r>
            <w:r w:rsidR="00AB05AB">
              <w:rPr>
                <w:noProof/>
                <w:webHidden/>
              </w:rPr>
              <w:fldChar w:fldCharType="end"/>
            </w:r>
          </w:hyperlink>
        </w:p>
        <w:p w14:paraId="302983CA" w14:textId="3C35779F" w:rsidR="00AB05AB" w:rsidRDefault="003E2223">
          <w:pPr>
            <w:pStyle w:val="TOC2"/>
            <w:rPr>
              <w:rFonts w:asciiTheme="minorHAnsi" w:eastAsiaTheme="minorEastAsia" w:hAnsiTheme="minorHAnsi" w:cstheme="minorBidi"/>
              <w:b w:val="0"/>
              <w:noProof/>
              <w:sz w:val="22"/>
              <w:lang w:eastAsia="en-AU"/>
            </w:rPr>
          </w:pPr>
          <w:hyperlink w:anchor="_Toc72750583" w:history="1">
            <w:r w:rsidR="00AB05AB" w:rsidRPr="00B11810">
              <w:rPr>
                <w:rStyle w:val="Hyperlink"/>
                <w:noProof/>
              </w:rPr>
              <w:t>Clinical</w:t>
            </w:r>
            <w:r w:rsidR="00AB05AB">
              <w:rPr>
                <w:noProof/>
                <w:webHidden/>
              </w:rPr>
              <w:tab/>
            </w:r>
            <w:r w:rsidR="00AB05AB">
              <w:rPr>
                <w:noProof/>
                <w:webHidden/>
              </w:rPr>
              <w:fldChar w:fldCharType="begin"/>
            </w:r>
            <w:r w:rsidR="00AB05AB">
              <w:rPr>
                <w:noProof/>
                <w:webHidden/>
              </w:rPr>
              <w:instrText xml:space="preserve"> PAGEREF _Toc72750583 \h </w:instrText>
            </w:r>
            <w:r w:rsidR="00AB05AB">
              <w:rPr>
                <w:noProof/>
                <w:webHidden/>
              </w:rPr>
            </w:r>
            <w:r w:rsidR="00AB05AB">
              <w:rPr>
                <w:noProof/>
                <w:webHidden/>
              </w:rPr>
              <w:fldChar w:fldCharType="separate"/>
            </w:r>
            <w:r w:rsidR="00AB05AB">
              <w:rPr>
                <w:noProof/>
                <w:webHidden/>
              </w:rPr>
              <w:t>15</w:t>
            </w:r>
            <w:r w:rsidR="00AB05AB">
              <w:rPr>
                <w:noProof/>
                <w:webHidden/>
              </w:rPr>
              <w:fldChar w:fldCharType="end"/>
            </w:r>
          </w:hyperlink>
        </w:p>
        <w:p w14:paraId="43B1B15A" w14:textId="38DCD874" w:rsidR="00AB05AB" w:rsidRDefault="003E2223">
          <w:pPr>
            <w:pStyle w:val="TOC2"/>
            <w:rPr>
              <w:rFonts w:asciiTheme="minorHAnsi" w:eastAsiaTheme="minorEastAsia" w:hAnsiTheme="minorHAnsi" w:cstheme="minorBidi"/>
              <w:b w:val="0"/>
              <w:noProof/>
              <w:sz w:val="22"/>
              <w:lang w:eastAsia="en-AU"/>
            </w:rPr>
          </w:pPr>
          <w:hyperlink w:anchor="_Toc72750584" w:history="1">
            <w:r w:rsidR="00AB05AB" w:rsidRPr="00B11810">
              <w:rPr>
                <w:rStyle w:val="Hyperlink"/>
                <w:noProof/>
                <w:lang w:eastAsia="en-AU"/>
              </w:rPr>
              <w:t>Risk management plan</w:t>
            </w:r>
            <w:r w:rsidR="00AB05AB">
              <w:rPr>
                <w:noProof/>
                <w:webHidden/>
              </w:rPr>
              <w:tab/>
            </w:r>
            <w:r w:rsidR="00AB05AB">
              <w:rPr>
                <w:noProof/>
                <w:webHidden/>
              </w:rPr>
              <w:fldChar w:fldCharType="begin"/>
            </w:r>
            <w:r w:rsidR="00AB05AB">
              <w:rPr>
                <w:noProof/>
                <w:webHidden/>
              </w:rPr>
              <w:instrText xml:space="preserve"> PAGEREF _Toc72750584 \h </w:instrText>
            </w:r>
            <w:r w:rsidR="00AB05AB">
              <w:rPr>
                <w:noProof/>
                <w:webHidden/>
              </w:rPr>
            </w:r>
            <w:r w:rsidR="00AB05AB">
              <w:rPr>
                <w:noProof/>
                <w:webHidden/>
              </w:rPr>
              <w:fldChar w:fldCharType="separate"/>
            </w:r>
            <w:r w:rsidR="00AB05AB">
              <w:rPr>
                <w:noProof/>
                <w:webHidden/>
              </w:rPr>
              <w:t>30</w:t>
            </w:r>
            <w:r w:rsidR="00AB05AB">
              <w:rPr>
                <w:noProof/>
                <w:webHidden/>
              </w:rPr>
              <w:fldChar w:fldCharType="end"/>
            </w:r>
          </w:hyperlink>
        </w:p>
        <w:p w14:paraId="12EDA2CA" w14:textId="1537A4D1" w:rsidR="00AB05AB" w:rsidRDefault="003E2223">
          <w:pPr>
            <w:pStyle w:val="TOC2"/>
            <w:rPr>
              <w:rFonts w:asciiTheme="minorHAnsi" w:eastAsiaTheme="minorEastAsia" w:hAnsiTheme="minorHAnsi" w:cstheme="minorBidi"/>
              <w:b w:val="0"/>
              <w:noProof/>
              <w:sz w:val="22"/>
              <w:lang w:eastAsia="en-AU"/>
            </w:rPr>
          </w:pPr>
          <w:hyperlink w:anchor="_Toc72750585" w:history="1">
            <w:r w:rsidR="00AB05AB" w:rsidRPr="00B11810">
              <w:rPr>
                <w:rStyle w:val="Hyperlink"/>
                <w:noProof/>
              </w:rPr>
              <w:t>Risk-benefit analysis</w:t>
            </w:r>
            <w:r w:rsidR="00AB05AB">
              <w:rPr>
                <w:noProof/>
                <w:webHidden/>
              </w:rPr>
              <w:tab/>
            </w:r>
            <w:r w:rsidR="00AB05AB">
              <w:rPr>
                <w:noProof/>
                <w:webHidden/>
              </w:rPr>
              <w:fldChar w:fldCharType="begin"/>
            </w:r>
            <w:r w:rsidR="00AB05AB">
              <w:rPr>
                <w:noProof/>
                <w:webHidden/>
              </w:rPr>
              <w:instrText xml:space="preserve"> PAGEREF _Toc72750585 \h </w:instrText>
            </w:r>
            <w:r w:rsidR="00AB05AB">
              <w:rPr>
                <w:noProof/>
                <w:webHidden/>
              </w:rPr>
            </w:r>
            <w:r w:rsidR="00AB05AB">
              <w:rPr>
                <w:noProof/>
                <w:webHidden/>
              </w:rPr>
              <w:fldChar w:fldCharType="separate"/>
            </w:r>
            <w:r w:rsidR="00AB05AB">
              <w:rPr>
                <w:noProof/>
                <w:webHidden/>
              </w:rPr>
              <w:t>32</w:t>
            </w:r>
            <w:r w:rsidR="00AB05AB">
              <w:rPr>
                <w:noProof/>
                <w:webHidden/>
              </w:rPr>
              <w:fldChar w:fldCharType="end"/>
            </w:r>
          </w:hyperlink>
        </w:p>
        <w:p w14:paraId="418AD1BC" w14:textId="4D2C6E75" w:rsidR="00AB05AB" w:rsidRDefault="003E2223">
          <w:pPr>
            <w:pStyle w:val="TOC2"/>
            <w:rPr>
              <w:rFonts w:asciiTheme="minorHAnsi" w:eastAsiaTheme="minorEastAsia" w:hAnsiTheme="minorHAnsi" w:cstheme="minorBidi"/>
              <w:b w:val="0"/>
              <w:noProof/>
              <w:sz w:val="22"/>
              <w:lang w:eastAsia="en-AU"/>
            </w:rPr>
          </w:pPr>
          <w:hyperlink w:anchor="_Toc72750586" w:history="1">
            <w:r w:rsidR="00AB05AB" w:rsidRPr="00B11810">
              <w:rPr>
                <w:rStyle w:val="Hyperlink"/>
                <w:noProof/>
              </w:rPr>
              <w:t>Outcome</w:t>
            </w:r>
            <w:r w:rsidR="00AB05AB">
              <w:rPr>
                <w:noProof/>
                <w:webHidden/>
              </w:rPr>
              <w:tab/>
            </w:r>
            <w:r w:rsidR="00AB05AB">
              <w:rPr>
                <w:noProof/>
                <w:webHidden/>
              </w:rPr>
              <w:fldChar w:fldCharType="begin"/>
            </w:r>
            <w:r w:rsidR="00AB05AB">
              <w:rPr>
                <w:noProof/>
                <w:webHidden/>
              </w:rPr>
              <w:instrText xml:space="preserve"> PAGEREF _Toc72750586 \h </w:instrText>
            </w:r>
            <w:r w:rsidR="00AB05AB">
              <w:rPr>
                <w:noProof/>
                <w:webHidden/>
              </w:rPr>
            </w:r>
            <w:r w:rsidR="00AB05AB">
              <w:rPr>
                <w:noProof/>
                <w:webHidden/>
              </w:rPr>
              <w:fldChar w:fldCharType="separate"/>
            </w:r>
            <w:r w:rsidR="00AB05AB">
              <w:rPr>
                <w:noProof/>
                <w:webHidden/>
              </w:rPr>
              <w:t>38</w:t>
            </w:r>
            <w:r w:rsidR="00AB05AB">
              <w:rPr>
                <w:noProof/>
                <w:webHidden/>
              </w:rPr>
              <w:fldChar w:fldCharType="end"/>
            </w:r>
          </w:hyperlink>
        </w:p>
        <w:p w14:paraId="162EC360" w14:textId="1D21DEC0" w:rsidR="003A7F6C" w:rsidRPr="001B0B74" w:rsidRDefault="00C525A2" w:rsidP="00B811C6">
          <w:pPr>
            <w:pStyle w:val="TOC2"/>
          </w:pPr>
          <w:r w:rsidRPr="001B0B74">
            <w:fldChar w:fldCharType="end"/>
          </w:r>
        </w:p>
      </w:sdtContent>
    </w:sdt>
    <w:bookmarkStart w:id="2" w:name="_Toc314842482" w:displacedByCustomXml="prev"/>
    <w:p w14:paraId="1B09EDE1" w14:textId="77777777" w:rsidR="00FD119B" w:rsidRPr="001B0B74" w:rsidRDefault="00FD119B">
      <w:pPr>
        <w:spacing w:before="0" w:after="200" w:line="0" w:lineRule="auto"/>
      </w:pPr>
      <w:r w:rsidRPr="001B0B74">
        <w:br w:type="page"/>
      </w:r>
    </w:p>
    <w:p w14:paraId="66F78676" w14:textId="77777777" w:rsidR="00FD119B" w:rsidRPr="001B0B74" w:rsidRDefault="00324E45" w:rsidP="004F0C4A">
      <w:pPr>
        <w:pStyle w:val="Heading2"/>
      </w:pPr>
      <w:bookmarkStart w:id="3" w:name="_Toc351716269"/>
      <w:bookmarkStart w:id="4" w:name="_Toc351718881"/>
      <w:bookmarkStart w:id="5" w:name="_Toc355338616"/>
      <w:bookmarkStart w:id="6" w:name="_Toc356306144"/>
      <w:bookmarkStart w:id="7" w:name="_Toc72750574"/>
      <w:r w:rsidRPr="001B0B74">
        <w:t>List of</w:t>
      </w:r>
      <w:r w:rsidR="00FD119B" w:rsidRPr="001B0B74">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1B0B74" w14:paraId="28942EC2" w14:textId="77777777" w:rsidTr="00B534D8">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40EE3FC6" w14:textId="77777777" w:rsidR="00FD119B" w:rsidRPr="001B0B74" w:rsidRDefault="00FD119B" w:rsidP="00CC27A9">
            <w:r w:rsidRPr="001B0B74">
              <w:t>Abbreviation</w:t>
            </w:r>
          </w:p>
        </w:tc>
        <w:tc>
          <w:tcPr>
            <w:tcW w:w="6604" w:type="dxa"/>
            <w:tcBorders>
              <w:top w:val="single" w:sz="4" w:space="0" w:color="auto"/>
              <w:left w:val="single" w:sz="4" w:space="0" w:color="auto"/>
              <w:bottom w:val="single" w:sz="4" w:space="0" w:color="auto"/>
              <w:right w:val="single" w:sz="4" w:space="0" w:color="auto"/>
            </w:tcBorders>
          </w:tcPr>
          <w:p w14:paraId="0F115FC8" w14:textId="77777777" w:rsidR="00FD119B" w:rsidRPr="001B0B74" w:rsidRDefault="00FD119B" w:rsidP="00CC27A9">
            <w:r w:rsidRPr="001B0B74">
              <w:t>Meaning</w:t>
            </w:r>
          </w:p>
        </w:tc>
      </w:tr>
      <w:tr w:rsidR="00460036" w:rsidRPr="001B0B74" w14:paraId="466D2640" w14:textId="77777777" w:rsidTr="00B534D8">
        <w:tc>
          <w:tcPr>
            <w:tcW w:w="1890" w:type="dxa"/>
            <w:tcBorders>
              <w:top w:val="single" w:sz="4" w:space="0" w:color="auto"/>
            </w:tcBorders>
          </w:tcPr>
          <w:p w14:paraId="57D29DAB" w14:textId="77777777" w:rsidR="00460036" w:rsidRPr="001B0B74" w:rsidRDefault="00460036" w:rsidP="00CC27A9">
            <w:r w:rsidRPr="001B0B74">
              <w:t>ACM</w:t>
            </w:r>
          </w:p>
        </w:tc>
        <w:tc>
          <w:tcPr>
            <w:tcW w:w="6604" w:type="dxa"/>
            <w:tcBorders>
              <w:top w:val="single" w:sz="4" w:space="0" w:color="auto"/>
            </w:tcBorders>
          </w:tcPr>
          <w:p w14:paraId="45F7971E" w14:textId="77777777" w:rsidR="00460036" w:rsidRPr="001B0B74" w:rsidRDefault="00460036" w:rsidP="00CC27A9">
            <w:r w:rsidRPr="001B0B74">
              <w:t>Advisory Committee on Medicines</w:t>
            </w:r>
          </w:p>
        </w:tc>
      </w:tr>
      <w:tr w:rsidR="00460036" w:rsidRPr="001B0B74" w14:paraId="35D981CB" w14:textId="77777777" w:rsidTr="00B534D8">
        <w:tc>
          <w:tcPr>
            <w:tcW w:w="1890" w:type="dxa"/>
          </w:tcPr>
          <w:p w14:paraId="6461429C" w14:textId="77777777" w:rsidR="00460036" w:rsidRPr="001B0B74" w:rsidRDefault="00460036" w:rsidP="00CC27A9">
            <w:r w:rsidRPr="001B0B74">
              <w:t>ARTG</w:t>
            </w:r>
          </w:p>
        </w:tc>
        <w:tc>
          <w:tcPr>
            <w:tcW w:w="6604" w:type="dxa"/>
          </w:tcPr>
          <w:p w14:paraId="024540F4" w14:textId="77777777" w:rsidR="00460036" w:rsidRPr="001B0B74" w:rsidRDefault="00460036" w:rsidP="00CC27A9">
            <w:r w:rsidRPr="001B0B74">
              <w:t>Australian Register of Therapeutic Goods</w:t>
            </w:r>
          </w:p>
        </w:tc>
      </w:tr>
      <w:tr w:rsidR="002006C3" w:rsidRPr="001B0B74" w14:paraId="3C930246" w14:textId="77777777" w:rsidTr="00B534D8">
        <w:tc>
          <w:tcPr>
            <w:tcW w:w="1890" w:type="dxa"/>
          </w:tcPr>
          <w:p w14:paraId="74552894" w14:textId="77777777" w:rsidR="002006C3" w:rsidRPr="001B0B74" w:rsidRDefault="002006C3" w:rsidP="00CC27A9">
            <w:r w:rsidRPr="001B0B74">
              <w:t>ACR</w:t>
            </w:r>
          </w:p>
        </w:tc>
        <w:tc>
          <w:tcPr>
            <w:tcW w:w="6604" w:type="dxa"/>
          </w:tcPr>
          <w:p w14:paraId="0202B2D3" w14:textId="77777777" w:rsidR="002006C3" w:rsidRPr="001B0B74" w:rsidRDefault="002006C3" w:rsidP="00CC27A9">
            <w:r w:rsidRPr="001B0B74">
              <w:t>American College of Rheumatology</w:t>
            </w:r>
          </w:p>
        </w:tc>
      </w:tr>
      <w:tr w:rsidR="00330B2B" w:rsidRPr="001B0B74" w14:paraId="07E10DD3" w14:textId="77777777" w:rsidTr="00B534D8">
        <w:tc>
          <w:tcPr>
            <w:tcW w:w="1890" w:type="dxa"/>
          </w:tcPr>
          <w:p w14:paraId="7A86E15A" w14:textId="5BEF2B88" w:rsidR="00330B2B" w:rsidRPr="001B0B74" w:rsidRDefault="00330B2B" w:rsidP="00CC27A9">
            <w:r w:rsidRPr="001B0B74">
              <w:t>ACR20</w:t>
            </w:r>
          </w:p>
        </w:tc>
        <w:tc>
          <w:tcPr>
            <w:tcW w:w="6604" w:type="dxa"/>
          </w:tcPr>
          <w:p w14:paraId="238030E9" w14:textId="7DA9B0E5" w:rsidR="00330B2B" w:rsidRPr="001B0B74" w:rsidRDefault="00330B2B" w:rsidP="00CC27A9">
            <w:r w:rsidRPr="001B0B74">
              <w:t>American College of Rheumatology 20% improvement</w:t>
            </w:r>
          </w:p>
        </w:tc>
      </w:tr>
      <w:tr w:rsidR="002006C3" w:rsidRPr="001B0B74" w14:paraId="471D1951" w14:textId="77777777" w:rsidTr="00B534D8">
        <w:tc>
          <w:tcPr>
            <w:tcW w:w="1890" w:type="dxa"/>
          </w:tcPr>
          <w:p w14:paraId="6ECB050E" w14:textId="77777777" w:rsidR="002006C3" w:rsidRPr="001B0B74" w:rsidRDefault="002006C3" w:rsidP="00CC27A9">
            <w:r w:rsidRPr="001B0B74">
              <w:t>AE</w:t>
            </w:r>
          </w:p>
        </w:tc>
        <w:tc>
          <w:tcPr>
            <w:tcW w:w="6604" w:type="dxa"/>
          </w:tcPr>
          <w:p w14:paraId="7D8DE1D1" w14:textId="119F77BA" w:rsidR="002006C3" w:rsidRPr="001B0B74" w:rsidRDefault="002006C3" w:rsidP="00CC27A9">
            <w:r w:rsidRPr="001B0B74">
              <w:t xml:space="preserve">Adverse </w:t>
            </w:r>
            <w:r w:rsidR="00A35445" w:rsidRPr="001B0B74">
              <w:t>e</w:t>
            </w:r>
            <w:r w:rsidRPr="001B0B74">
              <w:t>vent</w:t>
            </w:r>
          </w:p>
        </w:tc>
      </w:tr>
      <w:tr w:rsidR="00BF23C4" w:rsidRPr="001B0B74" w14:paraId="7EAE0948" w14:textId="77777777" w:rsidTr="00B534D8">
        <w:tc>
          <w:tcPr>
            <w:tcW w:w="1890" w:type="dxa"/>
          </w:tcPr>
          <w:p w14:paraId="4042E9F3" w14:textId="48D4F099" w:rsidR="00BF23C4" w:rsidRPr="001B0B74" w:rsidRDefault="00BF23C4" w:rsidP="00CC27A9">
            <w:r w:rsidRPr="001B0B74">
              <w:t>API</w:t>
            </w:r>
          </w:p>
        </w:tc>
        <w:tc>
          <w:tcPr>
            <w:tcW w:w="6604" w:type="dxa"/>
          </w:tcPr>
          <w:p w14:paraId="6215F03C" w14:textId="059CA1AF" w:rsidR="00BF23C4" w:rsidRPr="001B0B74" w:rsidRDefault="00BF23C4" w:rsidP="00CC27A9">
            <w:r w:rsidRPr="001B0B74">
              <w:t>Active pharmaceutical ingredient</w:t>
            </w:r>
          </w:p>
        </w:tc>
      </w:tr>
      <w:tr w:rsidR="00836295" w:rsidRPr="001B0B74" w14:paraId="0688415E" w14:textId="77777777" w:rsidTr="00B534D8">
        <w:tc>
          <w:tcPr>
            <w:tcW w:w="1890" w:type="dxa"/>
          </w:tcPr>
          <w:p w14:paraId="1392A184" w14:textId="6824B787" w:rsidR="00836295" w:rsidRPr="001B0B74" w:rsidRDefault="00836295" w:rsidP="00CC27A9">
            <w:r w:rsidRPr="001B0B74">
              <w:t>ASA</w:t>
            </w:r>
          </w:p>
        </w:tc>
        <w:tc>
          <w:tcPr>
            <w:tcW w:w="6604" w:type="dxa"/>
          </w:tcPr>
          <w:p w14:paraId="7B4AFAE6" w14:textId="0059D76A" w:rsidR="00836295" w:rsidRPr="001B0B74" w:rsidRDefault="00836295" w:rsidP="00CC27A9">
            <w:r w:rsidRPr="001B0B74">
              <w:t>Australian-specific Annex</w:t>
            </w:r>
          </w:p>
        </w:tc>
      </w:tr>
      <w:tr w:rsidR="006703B9" w:rsidRPr="001B0B74" w14:paraId="209454B7" w14:textId="77777777" w:rsidTr="00B534D8">
        <w:tc>
          <w:tcPr>
            <w:tcW w:w="1890" w:type="dxa"/>
          </w:tcPr>
          <w:p w14:paraId="42612526" w14:textId="77777777" w:rsidR="006703B9" w:rsidRPr="001B0B74" w:rsidRDefault="006703B9" w:rsidP="00CC27A9">
            <w:r w:rsidRPr="001B0B74">
              <w:t>ATP</w:t>
            </w:r>
          </w:p>
        </w:tc>
        <w:tc>
          <w:tcPr>
            <w:tcW w:w="6604" w:type="dxa"/>
          </w:tcPr>
          <w:p w14:paraId="23DAEBC9" w14:textId="77777777" w:rsidR="006703B9" w:rsidRPr="001B0B74" w:rsidRDefault="006703B9" w:rsidP="00CC27A9">
            <w:r w:rsidRPr="001B0B74">
              <w:t>Adenosine triphosphate</w:t>
            </w:r>
          </w:p>
        </w:tc>
      </w:tr>
      <w:tr w:rsidR="002006C3" w:rsidRPr="001B0B74" w14:paraId="0D85AA76" w14:textId="77777777" w:rsidTr="00B534D8">
        <w:tc>
          <w:tcPr>
            <w:tcW w:w="1890" w:type="dxa"/>
          </w:tcPr>
          <w:p w14:paraId="7582AA06" w14:textId="102EC815" w:rsidR="002006C3" w:rsidRPr="001B0B74" w:rsidRDefault="002006C3" w:rsidP="00CC27A9">
            <w:r w:rsidRPr="001B0B74">
              <w:t>AUC</w:t>
            </w:r>
          </w:p>
        </w:tc>
        <w:tc>
          <w:tcPr>
            <w:tcW w:w="6604" w:type="dxa"/>
          </w:tcPr>
          <w:p w14:paraId="30C19534" w14:textId="039F5505" w:rsidR="002006C3" w:rsidRPr="001B0B74" w:rsidRDefault="00B9543D" w:rsidP="00CC27A9">
            <w:r w:rsidRPr="001B0B74">
              <w:t>Area under the plasma concentration time curve</w:t>
            </w:r>
          </w:p>
        </w:tc>
      </w:tr>
      <w:tr w:rsidR="00277252" w:rsidRPr="001B0B74" w14:paraId="7D8331CC" w14:textId="77777777" w:rsidTr="00B534D8">
        <w:tc>
          <w:tcPr>
            <w:tcW w:w="1890" w:type="dxa"/>
          </w:tcPr>
          <w:p w14:paraId="0C368A7F" w14:textId="753A8B58" w:rsidR="00277252" w:rsidRPr="001B0B74" w:rsidRDefault="00277252" w:rsidP="00CC27A9">
            <w:r w:rsidRPr="001B0B74">
              <w:t>AUC</w:t>
            </w:r>
            <w:r w:rsidRPr="001B0B74">
              <w:rPr>
                <w:vertAlign w:val="subscript"/>
              </w:rPr>
              <w:t>eff</w:t>
            </w:r>
          </w:p>
        </w:tc>
        <w:tc>
          <w:tcPr>
            <w:tcW w:w="6604" w:type="dxa"/>
          </w:tcPr>
          <w:p w14:paraId="236BE6D5" w14:textId="31AC313E" w:rsidR="00277252" w:rsidRPr="001B0B74" w:rsidRDefault="00277252" w:rsidP="00CC27A9">
            <w:r w:rsidRPr="001B0B74">
              <w:t xml:space="preserve">Effective </w:t>
            </w:r>
            <w:r w:rsidR="00D42005" w:rsidRPr="001B0B74">
              <w:t>area under the plasma concentration time curve</w:t>
            </w:r>
          </w:p>
        </w:tc>
      </w:tr>
      <w:tr w:rsidR="003759EE" w:rsidRPr="001B0B74" w14:paraId="6DA88985" w14:textId="77777777" w:rsidTr="00B534D8">
        <w:tc>
          <w:tcPr>
            <w:tcW w:w="1890" w:type="dxa"/>
          </w:tcPr>
          <w:p w14:paraId="205AD6DD" w14:textId="2C77472A" w:rsidR="003759EE" w:rsidRPr="001B0B74" w:rsidRDefault="003759EE" w:rsidP="00CC27A9">
            <w:r w:rsidRPr="001B0B74">
              <w:t>AUC</w:t>
            </w:r>
            <w:r w:rsidRPr="001B0B74">
              <w:rPr>
                <w:vertAlign w:val="subscript"/>
              </w:rPr>
              <w:t>tau</w:t>
            </w:r>
          </w:p>
        </w:tc>
        <w:tc>
          <w:tcPr>
            <w:tcW w:w="6604" w:type="dxa"/>
          </w:tcPr>
          <w:p w14:paraId="57F1ADE2" w14:textId="606A0F52" w:rsidR="003759EE" w:rsidRPr="001B0B74" w:rsidRDefault="003759EE" w:rsidP="003759EE">
            <w:r w:rsidRPr="001B0B74">
              <w:t>Area under the plasma concentration time curve over a dosing interval</w:t>
            </w:r>
          </w:p>
        </w:tc>
      </w:tr>
      <w:tr w:rsidR="00C70639" w:rsidRPr="001B0B74" w14:paraId="28E32672" w14:textId="77777777" w:rsidTr="00B534D8">
        <w:tc>
          <w:tcPr>
            <w:tcW w:w="1890" w:type="dxa"/>
          </w:tcPr>
          <w:p w14:paraId="5BE917AE" w14:textId="77777777" w:rsidR="00C70639" w:rsidRPr="001B0B74" w:rsidRDefault="00C70639" w:rsidP="00CC27A9">
            <w:r w:rsidRPr="001B0B74">
              <w:t>bDMARD</w:t>
            </w:r>
          </w:p>
        </w:tc>
        <w:tc>
          <w:tcPr>
            <w:tcW w:w="6604" w:type="dxa"/>
          </w:tcPr>
          <w:p w14:paraId="183E4B80" w14:textId="77777777" w:rsidR="00C70639" w:rsidRPr="001B0B74" w:rsidRDefault="00545804" w:rsidP="00CC27A9">
            <w:r w:rsidRPr="001B0B74">
              <w:t>Biological disease modifying anti-rheumatic drug</w:t>
            </w:r>
          </w:p>
        </w:tc>
      </w:tr>
      <w:tr w:rsidR="002006C3" w:rsidRPr="001B0B74" w14:paraId="6B310F48" w14:textId="77777777" w:rsidTr="00B534D8">
        <w:tc>
          <w:tcPr>
            <w:tcW w:w="1890" w:type="dxa"/>
          </w:tcPr>
          <w:p w14:paraId="2D46BF0E" w14:textId="77777777" w:rsidR="002006C3" w:rsidRPr="001B0B74" w:rsidRDefault="002006C3" w:rsidP="00CC27A9">
            <w:r w:rsidRPr="001B0B74">
              <w:t>CCP</w:t>
            </w:r>
          </w:p>
        </w:tc>
        <w:tc>
          <w:tcPr>
            <w:tcW w:w="6604" w:type="dxa"/>
          </w:tcPr>
          <w:p w14:paraId="0E1C352F" w14:textId="28021A7F" w:rsidR="002006C3" w:rsidRPr="001B0B74" w:rsidRDefault="002006C3" w:rsidP="00CC27A9">
            <w:r w:rsidRPr="001B0B74">
              <w:t xml:space="preserve">Cyclic </w:t>
            </w:r>
            <w:r w:rsidR="00CB2BCB" w:rsidRPr="001B0B74">
              <w:t>citrullinated peptide</w:t>
            </w:r>
          </w:p>
        </w:tc>
      </w:tr>
      <w:tr w:rsidR="006F07C0" w:rsidRPr="001B0B74" w14:paraId="51EDC862" w14:textId="77777777" w:rsidTr="00B534D8">
        <w:tc>
          <w:tcPr>
            <w:tcW w:w="1890" w:type="dxa"/>
          </w:tcPr>
          <w:p w14:paraId="0BB54021" w14:textId="5F4E0F9F" w:rsidR="006F07C0" w:rsidRPr="001B0B74" w:rsidRDefault="006F07C0" w:rsidP="00CC27A9">
            <w:r w:rsidRPr="001B0B74">
              <w:t>CES</w:t>
            </w:r>
          </w:p>
        </w:tc>
        <w:tc>
          <w:tcPr>
            <w:tcW w:w="6604" w:type="dxa"/>
          </w:tcPr>
          <w:p w14:paraId="4369EE75" w14:textId="4A0FB6B8" w:rsidR="006F07C0" w:rsidRPr="001B0B74" w:rsidRDefault="006F07C0" w:rsidP="00CC27A9">
            <w:r w:rsidRPr="001B0B74">
              <w:t>Carboxylesterase</w:t>
            </w:r>
          </w:p>
        </w:tc>
      </w:tr>
      <w:tr w:rsidR="004B39B1" w:rsidRPr="001B0B74" w14:paraId="03D08CE6" w14:textId="77777777" w:rsidTr="00B534D8">
        <w:tc>
          <w:tcPr>
            <w:tcW w:w="1890" w:type="dxa"/>
          </w:tcPr>
          <w:p w14:paraId="47E8A0B6" w14:textId="3AE5EEA6" w:rsidR="004B39B1" w:rsidRPr="001B0B74" w:rsidRDefault="004B39B1" w:rsidP="00CC27A9">
            <w:r w:rsidRPr="001B0B74">
              <w:t>CHMP</w:t>
            </w:r>
          </w:p>
        </w:tc>
        <w:tc>
          <w:tcPr>
            <w:tcW w:w="6604" w:type="dxa"/>
          </w:tcPr>
          <w:p w14:paraId="426A51CA" w14:textId="12B4679E" w:rsidR="004B39B1" w:rsidRPr="001B0B74" w:rsidRDefault="004B39B1" w:rsidP="00CC27A9">
            <w:r w:rsidRPr="001B0B74">
              <w:t>Committee for Medicinal Products for Human use</w:t>
            </w:r>
            <w:r w:rsidR="00A35445" w:rsidRPr="001B0B74">
              <w:t xml:space="preserve"> (European Union)</w:t>
            </w:r>
          </w:p>
        </w:tc>
      </w:tr>
      <w:tr w:rsidR="002006C3" w:rsidRPr="001B0B74" w14:paraId="0A852D74" w14:textId="77777777" w:rsidTr="00B534D8">
        <w:tc>
          <w:tcPr>
            <w:tcW w:w="1890" w:type="dxa"/>
          </w:tcPr>
          <w:p w14:paraId="3A37574D" w14:textId="1B3291C0" w:rsidR="002006C3" w:rsidRPr="001B0B74" w:rsidRDefault="002006C3" w:rsidP="00CC27A9">
            <w:r w:rsidRPr="001B0B74">
              <w:t>CI</w:t>
            </w:r>
          </w:p>
        </w:tc>
        <w:tc>
          <w:tcPr>
            <w:tcW w:w="6604" w:type="dxa"/>
          </w:tcPr>
          <w:p w14:paraId="781CF8E4" w14:textId="77777777" w:rsidR="002006C3" w:rsidRPr="001B0B74" w:rsidRDefault="002006C3" w:rsidP="00CC27A9">
            <w:r w:rsidRPr="001B0B74">
              <w:t>Confidence interval</w:t>
            </w:r>
          </w:p>
        </w:tc>
      </w:tr>
      <w:tr w:rsidR="002006C3" w:rsidRPr="001B0B74" w14:paraId="7F29FA3F" w14:textId="77777777" w:rsidTr="00B534D8">
        <w:tc>
          <w:tcPr>
            <w:tcW w:w="1890" w:type="dxa"/>
          </w:tcPr>
          <w:p w14:paraId="322D80E6" w14:textId="77777777" w:rsidR="002006C3" w:rsidRPr="001B0B74" w:rsidRDefault="002006C3" w:rsidP="00CC27A9">
            <w:r w:rsidRPr="001B0B74">
              <w:t>C</w:t>
            </w:r>
            <w:r w:rsidRPr="001B0B74">
              <w:rPr>
                <w:vertAlign w:val="subscript"/>
              </w:rPr>
              <w:t>max</w:t>
            </w:r>
          </w:p>
        </w:tc>
        <w:tc>
          <w:tcPr>
            <w:tcW w:w="6604" w:type="dxa"/>
          </w:tcPr>
          <w:p w14:paraId="16B6D585" w14:textId="2D5AA5E1" w:rsidR="002006C3" w:rsidRPr="001B0B74" w:rsidRDefault="00B9543D" w:rsidP="00CC27A9">
            <w:r w:rsidRPr="001B0B74">
              <w:t>Maximum plasma concentration</w:t>
            </w:r>
          </w:p>
        </w:tc>
      </w:tr>
      <w:tr w:rsidR="006F07C0" w:rsidRPr="001B0B74" w14:paraId="5E19F485" w14:textId="77777777" w:rsidTr="00B534D8">
        <w:tc>
          <w:tcPr>
            <w:tcW w:w="1890" w:type="dxa"/>
          </w:tcPr>
          <w:p w14:paraId="0C9AF2BB" w14:textId="7EF3FE60" w:rsidR="006F07C0" w:rsidRPr="001B0B74" w:rsidRDefault="006F07C0" w:rsidP="00CC27A9">
            <w:r w:rsidRPr="001B0B74">
              <w:t>CNS</w:t>
            </w:r>
          </w:p>
        </w:tc>
        <w:tc>
          <w:tcPr>
            <w:tcW w:w="6604" w:type="dxa"/>
          </w:tcPr>
          <w:p w14:paraId="2F5EACDA" w14:textId="1F602AED" w:rsidR="006F07C0" w:rsidRPr="001B0B74" w:rsidRDefault="006F07C0" w:rsidP="00CC27A9">
            <w:r w:rsidRPr="001B0B74">
              <w:t>Central nervous system</w:t>
            </w:r>
          </w:p>
        </w:tc>
      </w:tr>
      <w:tr w:rsidR="002006C3" w:rsidRPr="001B0B74" w14:paraId="7D832A72" w14:textId="77777777" w:rsidTr="00B534D8">
        <w:tc>
          <w:tcPr>
            <w:tcW w:w="1890" w:type="dxa"/>
          </w:tcPr>
          <w:p w14:paraId="0872462A" w14:textId="77777777" w:rsidR="002006C3" w:rsidRPr="001B0B74" w:rsidRDefault="002006C3" w:rsidP="00CC27A9">
            <w:r w:rsidRPr="001B0B74">
              <w:t>CPK</w:t>
            </w:r>
          </w:p>
        </w:tc>
        <w:tc>
          <w:tcPr>
            <w:tcW w:w="6604" w:type="dxa"/>
          </w:tcPr>
          <w:p w14:paraId="22FA75BA" w14:textId="1FC215A9" w:rsidR="002006C3" w:rsidRPr="001B0B74" w:rsidRDefault="002006C3" w:rsidP="00CC27A9">
            <w:r w:rsidRPr="001B0B74">
              <w:t xml:space="preserve">Creatine </w:t>
            </w:r>
            <w:r w:rsidR="00BF7F37" w:rsidRPr="001B0B74">
              <w:t>phosphokinase</w:t>
            </w:r>
          </w:p>
        </w:tc>
      </w:tr>
      <w:tr w:rsidR="008570B2" w:rsidRPr="001B0B74" w14:paraId="216E8C56" w14:textId="77777777" w:rsidTr="00B534D8">
        <w:tc>
          <w:tcPr>
            <w:tcW w:w="1890" w:type="dxa"/>
          </w:tcPr>
          <w:p w14:paraId="2C005B5D" w14:textId="77777777" w:rsidR="008570B2" w:rsidRPr="001B0B74" w:rsidRDefault="008570B2" w:rsidP="00CC27A9">
            <w:r w:rsidRPr="001B0B74">
              <w:t>CPMP</w:t>
            </w:r>
          </w:p>
        </w:tc>
        <w:tc>
          <w:tcPr>
            <w:tcW w:w="6604" w:type="dxa"/>
          </w:tcPr>
          <w:p w14:paraId="24BDD3AE" w14:textId="7DED1AA1" w:rsidR="008570B2" w:rsidRPr="001B0B74" w:rsidRDefault="008570B2" w:rsidP="00CC27A9">
            <w:r w:rsidRPr="001B0B74">
              <w:t>Committee for Proprietary Medicinal Products</w:t>
            </w:r>
            <w:r w:rsidR="00A35445" w:rsidRPr="001B0B74">
              <w:t xml:space="preserve"> (European Union)</w:t>
            </w:r>
            <w:r w:rsidRPr="001B0B74">
              <w:t>, now CHMP (Committee for Medicinal Products for Human Use)</w:t>
            </w:r>
          </w:p>
        </w:tc>
      </w:tr>
      <w:tr w:rsidR="002006C3" w:rsidRPr="001B0B74" w14:paraId="300302F8" w14:textId="77777777" w:rsidTr="00B534D8">
        <w:tc>
          <w:tcPr>
            <w:tcW w:w="1890" w:type="dxa"/>
          </w:tcPr>
          <w:p w14:paraId="290A75B7" w14:textId="204CD8F4" w:rsidR="002006C3" w:rsidRPr="001B0B74" w:rsidRDefault="002006C3" w:rsidP="00CC27A9">
            <w:r w:rsidRPr="001B0B74">
              <w:t>CrCL</w:t>
            </w:r>
          </w:p>
        </w:tc>
        <w:tc>
          <w:tcPr>
            <w:tcW w:w="6604" w:type="dxa"/>
          </w:tcPr>
          <w:p w14:paraId="1152C959" w14:textId="188D5C47" w:rsidR="002006C3" w:rsidRPr="001B0B74" w:rsidRDefault="002006C3" w:rsidP="00CC27A9">
            <w:r w:rsidRPr="001B0B74">
              <w:t xml:space="preserve">Creatinine </w:t>
            </w:r>
            <w:r w:rsidR="00123D23" w:rsidRPr="001B0B74">
              <w:t>clearance</w:t>
            </w:r>
          </w:p>
        </w:tc>
      </w:tr>
      <w:tr w:rsidR="002006C3" w:rsidRPr="001B0B74" w14:paraId="0A306243" w14:textId="77777777" w:rsidTr="00B534D8">
        <w:tc>
          <w:tcPr>
            <w:tcW w:w="1890" w:type="dxa"/>
          </w:tcPr>
          <w:p w14:paraId="1FE6A244" w14:textId="77777777" w:rsidR="002006C3" w:rsidRPr="001B0B74" w:rsidRDefault="002006C3" w:rsidP="00CC27A9">
            <w:r w:rsidRPr="001B0B74">
              <w:t>CRP</w:t>
            </w:r>
          </w:p>
        </w:tc>
        <w:tc>
          <w:tcPr>
            <w:tcW w:w="6604" w:type="dxa"/>
          </w:tcPr>
          <w:p w14:paraId="6DEBCD50" w14:textId="2ECCFF29" w:rsidR="002006C3" w:rsidRPr="001B0B74" w:rsidRDefault="002006C3" w:rsidP="00CC27A9">
            <w:r w:rsidRPr="001B0B74">
              <w:t>C-</w:t>
            </w:r>
            <w:r w:rsidR="00CB2BCB" w:rsidRPr="001B0B74">
              <w:t>reactive protein</w:t>
            </w:r>
          </w:p>
        </w:tc>
      </w:tr>
      <w:tr w:rsidR="00784E59" w:rsidRPr="001B0B74" w14:paraId="53EE0C0D" w14:textId="77777777" w:rsidTr="00B534D8">
        <w:tc>
          <w:tcPr>
            <w:tcW w:w="1890" w:type="dxa"/>
          </w:tcPr>
          <w:p w14:paraId="523F586F" w14:textId="77777777" w:rsidR="00784E59" w:rsidRPr="001B0B74" w:rsidRDefault="00784E59" w:rsidP="00CC27A9">
            <w:r w:rsidRPr="001B0B74">
              <w:t>csDMARD</w:t>
            </w:r>
          </w:p>
        </w:tc>
        <w:tc>
          <w:tcPr>
            <w:tcW w:w="6604" w:type="dxa"/>
          </w:tcPr>
          <w:p w14:paraId="63306DB8" w14:textId="77777777" w:rsidR="00784E59" w:rsidRPr="001B0B74" w:rsidRDefault="00784E59" w:rsidP="00CC27A9">
            <w:r w:rsidRPr="001B0B74">
              <w:t>Conventional synthetic disease modifying anti-rheumatic drug</w:t>
            </w:r>
          </w:p>
        </w:tc>
      </w:tr>
      <w:tr w:rsidR="003759EE" w:rsidRPr="001B0B74" w14:paraId="7B242396" w14:textId="77777777" w:rsidTr="00B534D8">
        <w:tc>
          <w:tcPr>
            <w:tcW w:w="1890" w:type="dxa"/>
          </w:tcPr>
          <w:p w14:paraId="17B2FD49" w14:textId="708068C9" w:rsidR="003759EE" w:rsidRPr="001B0B74" w:rsidRDefault="003759EE" w:rsidP="00CC27A9">
            <w:r w:rsidRPr="001B0B74">
              <w:t>C</w:t>
            </w:r>
            <w:r w:rsidRPr="001B0B74">
              <w:rPr>
                <w:vertAlign w:val="subscript"/>
              </w:rPr>
              <w:t>tau</w:t>
            </w:r>
          </w:p>
        </w:tc>
        <w:tc>
          <w:tcPr>
            <w:tcW w:w="6604" w:type="dxa"/>
          </w:tcPr>
          <w:p w14:paraId="48AB9FF4" w14:textId="179D3EFA" w:rsidR="003759EE" w:rsidRPr="001B0B74" w:rsidRDefault="003759EE" w:rsidP="00CC27A9">
            <w:r w:rsidRPr="001B0B74">
              <w:t>Trough concentration</w:t>
            </w:r>
          </w:p>
        </w:tc>
      </w:tr>
      <w:tr w:rsidR="002006C3" w:rsidRPr="001B0B74" w14:paraId="0F1733E0" w14:textId="77777777" w:rsidTr="00B534D8">
        <w:tc>
          <w:tcPr>
            <w:tcW w:w="1890" w:type="dxa"/>
          </w:tcPr>
          <w:p w14:paraId="12BD9DAE" w14:textId="77777777" w:rsidR="002006C3" w:rsidRPr="001B0B74" w:rsidRDefault="002006C3" w:rsidP="00CC27A9">
            <w:r w:rsidRPr="001B0B74">
              <w:t>DAS</w:t>
            </w:r>
          </w:p>
        </w:tc>
        <w:tc>
          <w:tcPr>
            <w:tcW w:w="6604" w:type="dxa"/>
          </w:tcPr>
          <w:p w14:paraId="0F56C6D9" w14:textId="77777777" w:rsidR="002006C3" w:rsidRPr="001B0B74" w:rsidRDefault="002006C3" w:rsidP="00CC27A9">
            <w:r w:rsidRPr="001B0B74">
              <w:t>Disease Activity Score</w:t>
            </w:r>
          </w:p>
        </w:tc>
      </w:tr>
      <w:tr w:rsidR="00836295" w:rsidRPr="001B0B74" w14:paraId="779EE395" w14:textId="77777777" w:rsidTr="00B534D8">
        <w:tc>
          <w:tcPr>
            <w:tcW w:w="1890" w:type="dxa"/>
          </w:tcPr>
          <w:p w14:paraId="59E4A480" w14:textId="50C72CE6" w:rsidR="00836295" w:rsidRPr="001B0B74" w:rsidRDefault="00836295" w:rsidP="00CC27A9">
            <w:r w:rsidRPr="001B0B74">
              <w:t>DLP</w:t>
            </w:r>
          </w:p>
        </w:tc>
        <w:tc>
          <w:tcPr>
            <w:tcW w:w="6604" w:type="dxa"/>
          </w:tcPr>
          <w:p w14:paraId="3387B105" w14:textId="786A29A6" w:rsidR="00836295" w:rsidRPr="001B0B74" w:rsidRDefault="00836295" w:rsidP="00CC27A9">
            <w:r w:rsidRPr="001B0B74">
              <w:t>Data lock point</w:t>
            </w:r>
          </w:p>
        </w:tc>
      </w:tr>
      <w:tr w:rsidR="002006C3" w:rsidRPr="001B0B74" w14:paraId="53A067D8" w14:textId="77777777" w:rsidTr="00B534D8">
        <w:tc>
          <w:tcPr>
            <w:tcW w:w="1890" w:type="dxa"/>
          </w:tcPr>
          <w:p w14:paraId="082DBEF8" w14:textId="77777777" w:rsidR="002006C3" w:rsidRPr="001B0B74" w:rsidRDefault="002006C3" w:rsidP="00CC27A9">
            <w:r w:rsidRPr="001B0B74">
              <w:t>DMARD</w:t>
            </w:r>
          </w:p>
        </w:tc>
        <w:tc>
          <w:tcPr>
            <w:tcW w:w="6604" w:type="dxa"/>
          </w:tcPr>
          <w:p w14:paraId="5E03D21C" w14:textId="77777777" w:rsidR="002006C3" w:rsidRPr="001B0B74" w:rsidRDefault="002006C3" w:rsidP="00CC27A9">
            <w:r w:rsidRPr="001B0B74">
              <w:t xml:space="preserve">Disease </w:t>
            </w:r>
            <w:r w:rsidR="00784E59" w:rsidRPr="001B0B74">
              <w:t>modifying anti-rheumatic drug</w:t>
            </w:r>
          </w:p>
        </w:tc>
      </w:tr>
      <w:tr w:rsidR="00971315" w:rsidRPr="001B0B74" w14:paraId="54ECD1EB" w14:textId="77777777" w:rsidTr="00B534D8">
        <w:tc>
          <w:tcPr>
            <w:tcW w:w="1890" w:type="dxa"/>
          </w:tcPr>
          <w:p w14:paraId="4BBCA3FB" w14:textId="77777777" w:rsidR="00971315" w:rsidRPr="001B0B74" w:rsidRDefault="00971315" w:rsidP="00CC27A9">
            <w:r w:rsidRPr="001B0B74">
              <w:t>DNA</w:t>
            </w:r>
          </w:p>
        </w:tc>
        <w:tc>
          <w:tcPr>
            <w:tcW w:w="6604" w:type="dxa"/>
          </w:tcPr>
          <w:p w14:paraId="1EEBBE36" w14:textId="77777777" w:rsidR="00971315" w:rsidRPr="001B0B74" w:rsidRDefault="00971315" w:rsidP="00CC27A9">
            <w:r w:rsidRPr="001B0B74">
              <w:t>Deoxyribonucleic acid</w:t>
            </w:r>
          </w:p>
        </w:tc>
      </w:tr>
      <w:tr w:rsidR="00274A3D" w:rsidRPr="001B0B74" w14:paraId="6CF3B55D" w14:textId="77777777" w:rsidTr="00B534D8">
        <w:tc>
          <w:tcPr>
            <w:tcW w:w="1890" w:type="dxa"/>
          </w:tcPr>
          <w:p w14:paraId="023EEAC0" w14:textId="795E63F1" w:rsidR="00274A3D" w:rsidRPr="001B0B74" w:rsidRDefault="00274A3D" w:rsidP="00CC27A9">
            <w:r w:rsidRPr="001B0B74">
              <w:t>DVT</w:t>
            </w:r>
          </w:p>
        </w:tc>
        <w:tc>
          <w:tcPr>
            <w:tcW w:w="6604" w:type="dxa"/>
          </w:tcPr>
          <w:p w14:paraId="42C07921" w14:textId="7D60F4AB" w:rsidR="00274A3D" w:rsidRPr="001B0B74" w:rsidRDefault="00274A3D" w:rsidP="00CC27A9">
            <w:r w:rsidRPr="001B0B74">
              <w:t>Deep vein thrombosis</w:t>
            </w:r>
          </w:p>
        </w:tc>
      </w:tr>
      <w:tr w:rsidR="002006C3" w:rsidRPr="001B0B74" w14:paraId="1D37834D" w14:textId="77777777" w:rsidTr="00B534D8">
        <w:tc>
          <w:tcPr>
            <w:tcW w:w="1890" w:type="dxa"/>
          </w:tcPr>
          <w:p w14:paraId="1C3DF5F8" w14:textId="77777777" w:rsidR="002006C3" w:rsidRPr="001B0B74" w:rsidRDefault="002006C3" w:rsidP="00CC27A9">
            <w:r w:rsidRPr="001B0B74">
              <w:t>EAIR</w:t>
            </w:r>
          </w:p>
        </w:tc>
        <w:tc>
          <w:tcPr>
            <w:tcW w:w="6604" w:type="dxa"/>
          </w:tcPr>
          <w:p w14:paraId="1011FD85" w14:textId="0FBD5616" w:rsidR="002006C3" w:rsidRPr="001B0B74" w:rsidRDefault="00854A42" w:rsidP="00CC27A9">
            <w:r w:rsidRPr="001B0B74">
              <w:t>Exposure adjusted incidence rate</w:t>
            </w:r>
          </w:p>
        </w:tc>
      </w:tr>
      <w:tr w:rsidR="00B534D8" w:rsidRPr="001B0B74" w14:paraId="351D235C" w14:textId="77777777" w:rsidTr="00B534D8">
        <w:tc>
          <w:tcPr>
            <w:tcW w:w="1890" w:type="dxa"/>
          </w:tcPr>
          <w:p w14:paraId="2DBD8A30" w14:textId="483DCA3E" w:rsidR="00B534D8" w:rsidRPr="001B0B74" w:rsidRDefault="00B534D8" w:rsidP="00CC27A9">
            <w:r w:rsidRPr="001B0B74">
              <w:t>eGFR</w:t>
            </w:r>
          </w:p>
        </w:tc>
        <w:tc>
          <w:tcPr>
            <w:tcW w:w="6604" w:type="dxa"/>
          </w:tcPr>
          <w:p w14:paraId="5B6B0EA1" w14:textId="69582063" w:rsidR="00B534D8" w:rsidRPr="001B0B74" w:rsidRDefault="00B534D8" w:rsidP="00B534D8">
            <w:r w:rsidRPr="001B0B74">
              <w:t>Estimated glomerular filtration rate</w:t>
            </w:r>
          </w:p>
        </w:tc>
      </w:tr>
      <w:tr w:rsidR="00CC53EC" w:rsidRPr="001B0B74" w14:paraId="5CFA315E" w14:textId="77777777" w:rsidTr="00B534D8">
        <w:tc>
          <w:tcPr>
            <w:tcW w:w="1890" w:type="dxa"/>
          </w:tcPr>
          <w:p w14:paraId="0B48D221" w14:textId="6BB06088" w:rsidR="00CC53EC" w:rsidRPr="001B0B74" w:rsidRDefault="00CC53EC" w:rsidP="00CC27A9">
            <w:r w:rsidRPr="001B0B74">
              <w:t>EMA</w:t>
            </w:r>
          </w:p>
        </w:tc>
        <w:tc>
          <w:tcPr>
            <w:tcW w:w="6604" w:type="dxa"/>
          </w:tcPr>
          <w:p w14:paraId="03B1F46A" w14:textId="5CFC401A" w:rsidR="00CC53EC" w:rsidRPr="001B0B74" w:rsidRDefault="00CC53EC" w:rsidP="00CC27A9">
            <w:r w:rsidRPr="001B0B74">
              <w:t>European Medicines Agency</w:t>
            </w:r>
          </w:p>
        </w:tc>
      </w:tr>
      <w:tr w:rsidR="008570B2" w:rsidRPr="001B0B74" w14:paraId="75ACC6D3" w14:textId="77777777" w:rsidTr="00B534D8">
        <w:tc>
          <w:tcPr>
            <w:tcW w:w="1890" w:type="dxa"/>
          </w:tcPr>
          <w:p w14:paraId="03930A67" w14:textId="77777777" w:rsidR="008570B2" w:rsidRPr="001B0B74" w:rsidRDefault="008570B2" w:rsidP="00CC27A9">
            <w:r w:rsidRPr="001B0B74">
              <w:t>EMEA</w:t>
            </w:r>
          </w:p>
        </w:tc>
        <w:tc>
          <w:tcPr>
            <w:tcW w:w="6604" w:type="dxa"/>
          </w:tcPr>
          <w:p w14:paraId="3B02CE2F" w14:textId="77777777" w:rsidR="008570B2" w:rsidRPr="001B0B74" w:rsidRDefault="008570B2" w:rsidP="00CC27A9">
            <w:r w:rsidRPr="001B0B74">
              <w:t>European Medicines Evaluation Agency (European Union)</w:t>
            </w:r>
          </w:p>
        </w:tc>
      </w:tr>
      <w:tr w:rsidR="00155455" w:rsidRPr="001B0B74" w14:paraId="73B205F3" w14:textId="77777777" w:rsidTr="00B534D8">
        <w:tc>
          <w:tcPr>
            <w:tcW w:w="1890" w:type="dxa"/>
          </w:tcPr>
          <w:p w14:paraId="332A2B21" w14:textId="20E2F928" w:rsidR="00155455" w:rsidRPr="001B0B74" w:rsidRDefault="00155455" w:rsidP="00CC27A9">
            <w:r w:rsidRPr="001B0B74">
              <w:t>EPAR</w:t>
            </w:r>
          </w:p>
        </w:tc>
        <w:tc>
          <w:tcPr>
            <w:tcW w:w="6604" w:type="dxa"/>
          </w:tcPr>
          <w:p w14:paraId="73C55099" w14:textId="13A4BC8D" w:rsidR="00155455" w:rsidRPr="001B0B74" w:rsidRDefault="00155455" w:rsidP="00CC27A9">
            <w:r w:rsidRPr="001B0B74">
              <w:t>European public assessment report</w:t>
            </w:r>
          </w:p>
        </w:tc>
      </w:tr>
      <w:tr w:rsidR="0055754A" w:rsidRPr="001B0B74" w14:paraId="5AD55CAF" w14:textId="77777777" w:rsidTr="00B534D8">
        <w:tc>
          <w:tcPr>
            <w:tcW w:w="1890" w:type="dxa"/>
          </w:tcPr>
          <w:p w14:paraId="735EAD83" w14:textId="0F76012C" w:rsidR="0055754A" w:rsidRPr="001B0B74" w:rsidRDefault="0055754A" w:rsidP="00CC27A9">
            <w:r w:rsidRPr="001B0B74">
              <w:t>ERAUC</w:t>
            </w:r>
          </w:p>
        </w:tc>
        <w:tc>
          <w:tcPr>
            <w:tcW w:w="6604" w:type="dxa"/>
          </w:tcPr>
          <w:p w14:paraId="12337327" w14:textId="2621B59B" w:rsidR="0055754A" w:rsidRPr="001B0B74" w:rsidRDefault="0055754A" w:rsidP="0055754A">
            <w:r w:rsidRPr="001B0B74">
              <w:t>Exposure ration based on area under the plasma concentration time curve</w:t>
            </w:r>
          </w:p>
        </w:tc>
      </w:tr>
      <w:tr w:rsidR="001510F4" w:rsidRPr="001B0B74" w14:paraId="67DD03E3" w14:textId="77777777" w:rsidTr="00B534D8">
        <w:tc>
          <w:tcPr>
            <w:tcW w:w="1890" w:type="dxa"/>
          </w:tcPr>
          <w:p w14:paraId="1E2E48F5" w14:textId="77777777" w:rsidR="001510F4" w:rsidRPr="001B0B74" w:rsidRDefault="001510F4" w:rsidP="00CC27A9">
            <w:r w:rsidRPr="001B0B74">
              <w:t>EU</w:t>
            </w:r>
          </w:p>
        </w:tc>
        <w:tc>
          <w:tcPr>
            <w:tcW w:w="6604" w:type="dxa"/>
          </w:tcPr>
          <w:p w14:paraId="70B19639" w14:textId="77777777" w:rsidR="001510F4" w:rsidRPr="001B0B74" w:rsidRDefault="001510F4" w:rsidP="00CC27A9">
            <w:r w:rsidRPr="001B0B74">
              <w:t>European Union</w:t>
            </w:r>
          </w:p>
        </w:tc>
      </w:tr>
      <w:tr w:rsidR="002006C3" w:rsidRPr="001B0B74" w14:paraId="73867290" w14:textId="77777777" w:rsidTr="00B534D8">
        <w:tc>
          <w:tcPr>
            <w:tcW w:w="1890" w:type="dxa"/>
          </w:tcPr>
          <w:p w14:paraId="24EB0CFC" w14:textId="77777777" w:rsidR="002006C3" w:rsidRPr="001B0B74" w:rsidRDefault="002006C3" w:rsidP="00CC27A9">
            <w:r w:rsidRPr="001B0B74">
              <w:t>EULAR</w:t>
            </w:r>
          </w:p>
        </w:tc>
        <w:tc>
          <w:tcPr>
            <w:tcW w:w="6604" w:type="dxa"/>
          </w:tcPr>
          <w:p w14:paraId="685DDA23" w14:textId="77777777" w:rsidR="002006C3" w:rsidRPr="001B0B74" w:rsidRDefault="002006C3" w:rsidP="00CC27A9">
            <w:r w:rsidRPr="001B0B74">
              <w:t>European League Against Rheumatism</w:t>
            </w:r>
          </w:p>
        </w:tc>
      </w:tr>
      <w:tr w:rsidR="002006C3" w:rsidRPr="001B0B74" w14:paraId="31956277" w14:textId="77777777" w:rsidTr="00B534D8">
        <w:tc>
          <w:tcPr>
            <w:tcW w:w="1890" w:type="dxa"/>
          </w:tcPr>
          <w:p w14:paraId="35378DAC" w14:textId="77777777" w:rsidR="002006C3" w:rsidRPr="001B0B74" w:rsidRDefault="002006C3" w:rsidP="00CC27A9">
            <w:r w:rsidRPr="001B0B74">
              <w:t>FDA</w:t>
            </w:r>
          </w:p>
        </w:tc>
        <w:tc>
          <w:tcPr>
            <w:tcW w:w="6604" w:type="dxa"/>
          </w:tcPr>
          <w:p w14:paraId="2F42D295" w14:textId="53BDAAF7" w:rsidR="002006C3" w:rsidRPr="001B0B74" w:rsidRDefault="002006C3" w:rsidP="00CC27A9">
            <w:r w:rsidRPr="001B0B74">
              <w:t>Food and Drug Administration (US</w:t>
            </w:r>
            <w:r w:rsidR="0002465E" w:rsidRPr="001B0B74">
              <w:t>A</w:t>
            </w:r>
            <w:r w:rsidRPr="001B0B74">
              <w:t>)</w:t>
            </w:r>
          </w:p>
        </w:tc>
      </w:tr>
      <w:tr w:rsidR="00932332" w:rsidRPr="001B0B74" w14:paraId="129516D2" w14:textId="77777777" w:rsidTr="00B534D8">
        <w:tc>
          <w:tcPr>
            <w:tcW w:w="1890" w:type="dxa"/>
          </w:tcPr>
          <w:p w14:paraId="6CD0A35F" w14:textId="12D1FF51" w:rsidR="00932332" w:rsidRPr="001B0B74" w:rsidRDefault="00932332" w:rsidP="00CC27A9">
            <w:r w:rsidRPr="001B0B74">
              <w:t>GLP</w:t>
            </w:r>
          </w:p>
        </w:tc>
        <w:tc>
          <w:tcPr>
            <w:tcW w:w="6604" w:type="dxa"/>
          </w:tcPr>
          <w:p w14:paraId="1B186987" w14:textId="58F1FAFC" w:rsidR="00932332" w:rsidRPr="001B0B74" w:rsidRDefault="00932332" w:rsidP="00CC27A9">
            <w:r w:rsidRPr="001B0B74">
              <w:t>Good Laboratory Practice</w:t>
            </w:r>
          </w:p>
        </w:tc>
      </w:tr>
      <w:tr w:rsidR="009368E7" w:rsidRPr="001B0B74" w14:paraId="6E89CA2C" w14:textId="77777777" w:rsidTr="00B534D8">
        <w:tc>
          <w:tcPr>
            <w:tcW w:w="1890" w:type="dxa"/>
          </w:tcPr>
          <w:p w14:paraId="06F10AD3" w14:textId="40233AE8" w:rsidR="009368E7" w:rsidRPr="001B0B74" w:rsidRDefault="009368E7" w:rsidP="00CC27A9">
            <w:r w:rsidRPr="001B0B74">
              <w:t>GMP</w:t>
            </w:r>
          </w:p>
        </w:tc>
        <w:tc>
          <w:tcPr>
            <w:tcW w:w="6604" w:type="dxa"/>
          </w:tcPr>
          <w:p w14:paraId="68390536" w14:textId="2EFD6D46" w:rsidR="009368E7" w:rsidRPr="001B0B74" w:rsidRDefault="009368E7" w:rsidP="00CC27A9">
            <w:r w:rsidRPr="001B0B74">
              <w:t>Good Manufacturing Practice(s)</w:t>
            </w:r>
          </w:p>
        </w:tc>
      </w:tr>
      <w:tr w:rsidR="00AE63CA" w:rsidRPr="001B0B74" w14:paraId="17C2FBE3" w14:textId="77777777" w:rsidTr="00B534D8">
        <w:tc>
          <w:tcPr>
            <w:tcW w:w="1890" w:type="dxa"/>
          </w:tcPr>
          <w:p w14:paraId="34D862AE" w14:textId="6EB54F7B" w:rsidR="00AE63CA" w:rsidRPr="001B0B74" w:rsidRDefault="00AE63CA" w:rsidP="00CC27A9">
            <w:r w:rsidRPr="001B0B74">
              <w:t>GSI</w:t>
            </w:r>
          </w:p>
        </w:tc>
        <w:tc>
          <w:tcPr>
            <w:tcW w:w="6604" w:type="dxa"/>
          </w:tcPr>
          <w:p w14:paraId="6C4E6D46" w14:textId="76EFF073" w:rsidR="00AE63CA" w:rsidRPr="001B0B74" w:rsidRDefault="00AE63CA" w:rsidP="00CC27A9">
            <w:r w:rsidRPr="001B0B74">
              <w:t>Gilead Sciences, Inc.</w:t>
            </w:r>
          </w:p>
        </w:tc>
      </w:tr>
      <w:tr w:rsidR="002006C3" w:rsidRPr="001B0B74" w14:paraId="4995CC32" w14:textId="77777777" w:rsidTr="00B534D8">
        <w:tc>
          <w:tcPr>
            <w:tcW w:w="1890" w:type="dxa"/>
          </w:tcPr>
          <w:p w14:paraId="18A5AFD2" w14:textId="180589B9" w:rsidR="002006C3" w:rsidRPr="001B0B74" w:rsidRDefault="009549F0" w:rsidP="00CC27A9">
            <w:r w:rsidRPr="001B0B74">
              <w:t>HAQ-DI</w:t>
            </w:r>
          </w:p>
        </w:tc>
        <w:tc>
          <w:tcPr>
            <w:tcW w:w="6604" w:type="dxa"/>
          </w:tcPr>
          <w:p w14:paraId="2756D77E" w14:textId="77777777" w:rsidR="002006C3" w:rsidRPr="001B0B74" w:rsidRDefault="002006C3" w:rsidP="00CC27A9">
            <w:r w:rsidRPr="001B0B74">
              <w:t>Health Assessment Questionnaire – Disability Index</w:t>
            </w:r>
          </w:p>
        </w:tc>
      </w:tr>
      <w:tr w:rsidR="00553EED" w:rsidRPr="001B0B74" w14:paraId="3BCCFD45" w14:textId="77777777" w:rsidTr="00B534D8">
        <w:tc>
          <w:tcPr>
            <w:tcW w:w="1890" w:type="dxa"/>
          </w:tcPr>
          <w:p w14:paraId="0B044CAD" w14:textId="64FF6AF2" w:rsidR="00553EED" w:rsidRPr="001B0B74" w:rsidRDefault="00553EED" w:rsidP="00CC27A9">
            <w:r w:rsidRPr="001B0B74">
              <w:t>HBV</w:t>
            </w:r>
          </w:p>
        </w:tc>
        <w:tc>
          <w:tcPr>
            <w:tcW w:w="6604" w:type="dxa"/>
          </w:tcPr>
          <w:p w14:paraId="3EFE45EA" w14:textId="0233C353" w:rsidR="00553EED" w:rsidRPr="001B0B74" w:rsidRDefault="00553EED" w:rsidP="00CC27A9">
            <w:r w:rsidRPr="001B0B74">
              <w:t>Hepatitis B virus</w:t>
            </w:r>
          </w:p>
        </w:tc>
      </w:tr>
      <w:tr w:rsidR="002006C3" w:rsidRPr="001B0B74" w14:paraId="6121381B" w14:textId="77777777" w:rsidTr="00B534D8">
        <w:tc>
          <w:tcPr>
            <w:tcW w:w="1890" w:type="dxa"/>
          </w:tcPr>
          <w:p w14:paraId="3DCCBF95" w14:textId="77777777" w:rsidR="002006C3" w:rsidRPr="001B0B74" w:rsidRDefault="002006C3" w:rsidP="00CC27A9">
            <w:r w:rsidRPr="001B0B74">
              <w:t>IL</w:t>
            </w:r>
          </w:p>
        </w:tc>
        <w:tc>
          <w:tcPr>
            <w:tcW w:w="6604" w:type="dxa"/>
          </w:tcPr>
          <w:p w14:paraId="72DE9C5B" w14:textId="77777777" w:rsidR="002006C3" w:rsidRPr="001B0B74" w:rsidRDefault="002006C3" w:rsidP="00CC27A9">
            <w:r w:rsidRPr="001B0B74">
              <w:t>Interleukin</w:t>
            </w:r>
          </w:p>
        </w:tc>
      </w:tr>
      <w:tr w:rsidR="00DF0A5F" w:rsidRPr="001B0B74" w14:paraId="4B09CBE0" w14:textId="77777777" w:rsidTr="00B534D8">
        <w:tc>
          <w:tcPr>
            <w:tcW w:w="1890" w:type="dxa"/>
          </w:tcPr>
          <w:p w14:paraId="2BBEA4C9" w14:textId="77777777" w:rsidR="00DF0A5F" w:rsidRPr="001B0B74" w:rsidRDefault="00DF0A5F" w:rsidP="00CC27A9">
            <w:r w:rsidRPr="001B0B74">
              <w:t>JAK</w:t>
            </w:r>
          </w:p>
        </w:tc>
        <w:tc>
          <w:tcPr>
            <w:tcW w:w="6604" w:type="dxa"/>
          </w:tcPr>
          <w:p w14:paraId="4BC476AE" w14:textId="6F074D59" w:rsidR="00DF0A5F" w:rsidRPr="001B0B74" w:rsidRDefault="00DF0A5F" w:rsidP="00CC27A9">
            <w:r w:rsidRPr="001B0B74">
              <w:t xml:space="preserve">Janus </w:t>
            </w:r>
            <w:r w:rsidR="00EC5393" w:rsidRPr="001B0B74">
              <w:t>k</w:t>
            </w:r>
            <w:r w:rsidRPr="001B0B74">
              <w:t>inase</w:t>
            </w:r>
          </w:p>
        </w:tc>
      </w:tr>
      <w:tr w:rsidR="00274A3D" w:rsidRPr="001B0B74" w14:paraId="29527742" w14:textId="77777777" w:rsidTr="00B534D8">
        <w:tc>
          <w:tcPr>
            <w:tcW w:w="1890" w:type="dxa"/>
          </w:tcPr>
          <w:p w14:paraId="446D54D2" w14:textId="74C13E17" w:rsidR="00274A3D" w:rsidRPr="001B0B74" w:rsidRDefault="00274A3D" w:rsidP="00CC27A9">
            <w:r w:rsidRPr="001B0B74">
              <w:t>LDL</w:t>
            </w:r>
          </w:p>
        </w:tc>
        <w:tc>
          <w:tcPr>
            <w:tcW w:w="6604" w:type="dxa"/>
          </w:tcPr>
          <w:p w14:paraId="315BC99E" w14:textId="4FB89EA7" w:rsidR="00274A3D" w:rsidRPr="001B0B74" w:rsidRDefault="00274A3D" w:rsidP="00CC27A9">
            <w:r w:rsidRPr="001B0B74">
              <w:t>Low density lipoprotein</w:t>
            </w:r>
          </w:p>
        </w:tc>
      </w:tr>
      <w:tr w:rsidR="00182528" w:rsidRPr="001B0B74" w14:paraId="2A8804B4" w14:textId="77777777" w:rsidTr="00B534D8">
        <w:tc>
          <w:tcPr>
            <w:tcW w:w="1890" w:type="dxa"/>
          </w:tcPr>
          <w:p w14:paraId="76D4149D" w14:textId="03512964" w:rsidR="00182528" w:rsidRPr="001B0B74" w:rsidRDefault="00182528" w:rsidP="00CC27A9">
            <w:r w:rsidRPr="001B0B74">
              <w:t>LK</w:t>
            </w:r>
          </w:p>
        </w:tc>
        <w:tc>
          <w:tcPr>
            <w:tcW w:w="6604" w:type="dxa"/>
          </w:tcPr>
          <w:p w14:paraId="4127AF97" w14:textId="4EBB3ED9" w:rsidR="00182528" w:rsidRPr="001B0B74" w:rsidRDefault="00182528" w:rsidP="00CC27A9">
            <w:r w:rsidRPr="001B0B74">
              <w:t>Liver kinase</w:t>
            </w:r>
          </w:p>
        </w:tc>
      </w:tr>
      <w:tr w:rsidR="00BA2843" w:rsidRPr="001B0B74" w14:paraId="731368BC" w14:textId="77777777" w:rsidTr="00B534D8">
        <w:tc>
          <w:tcPr>
            <w:tcW w:w="1890" w:type="dxa"/>
          </w:tcPr>
          <w:p w14:paraId="47E54D98" w14:textId="62100A90" w:rsidR="00BA2843" w:rsidRPr="001B0B74" w:rsidRDefault="00BA2843" w:rsidP="00CC27A9">
            <w:r w:rsidRPr="001B0B74">
              <w:t>MACE</w:t>
            </w:r>
          </w:p>
        </w:tc>
        <w:tc>
          <w:tcPr>
            <w:tcW w:w="6604" w:type="dxa"/>
          </w:tcPr>
          <w:p w14:paraId="42DEA958" w14:textId="225EC8D5" w:rsidR="00BA2843" w:rsidRPr="001B0B74" w:rsidRDefault="00BA2843" w:rsidP="00BA2843">
            <w:r w:rsidRPr="001B0B74">
              <w:t>Major adverse cardiovascular event(s)</w:t>
            </w:r>
          </w:p>
        </w:tc>
      </w:tr>
      <w:tr w:rsidR="002006C3" w:rsidRPr="001B0B74" w14:paraId="104137F2" w14:textId="77777777" w:rsidTr="00B534D8">
        <w:tc>
          <w:tcPr>
            <w:tcW w:w="1890" w:type="dxa"/>
          </w:tcPr>
          <w:p w14:paraId="27E5D350" w14:textId="77777777" w:rsidR="002006C3" w:rsidRPr="001B0B74" w:rsidRDefault="002006C3" w:rsidP="00CC27A9">
            <w:r w:rsidRPr="001B0B74">
              <w:t>mTSS</w:t>
            </w:r>
          </w:p>
        </w:tc>
        <w:tc>
          <w:tcPr>
            <w:tcW w:w="6604" w:type="dxa"/>
          </w:tcPr>
          <w:p w14:paraId="36E87E47" w14:textId="5489315C" w:rsidR="002006C3" w:rsidRPr="001B0B74" w:rsidRDefault="00B534D8" w:rsidP="00CC27A9">
            <w:r w:rsidRPr="001B0B74">
              <w:t>M</w:t>
            </w:r>
            <w:r w:rsidR="002006C3" w:rsidRPr="001B0B74">
              <w:t>odified Total Sharp Score</w:t>
            </w:r>
          </w:p>
        </w:tc>
      </w:tr>
      <w:tr w:rsidR="002006C3" w:rsidRPr="001B0B74" w14:paraId="784F3E21" w14:textId="77777777" w:rsidTr="00B534D8">
        <w:tc>
          <w:tcPr>
            <w:tcW w:w="1890" w:type="dxa"/>
          </w:tcPr>
          <w:p w14:paraId="310C03B3" w14:textId="77777777" w:rsidR="002006C3" w:rsidRPr="001B0B74" w:rsidRDefault="002006C3" w:rsidP="00CC27A9">
            <w:r w:rsidRPr="001B0B74">
              <w:t>MTX</w:t>
            </w:r>
          </w:p>
        </w:tc>
        <w:tc>
          <w:tcPr>
            <w:tcW w:w="6604" w:type="dxa"/>
          </w:tcPr>
          <w:p w14:paraId="34F6BA20" w14:textId="77777777" w:rsidR="002006C3" w:rsidRPr="001B0B74" w:rsidRDefault="002006C3" w:rsidP="00CC27A9">
            <w:r w:rsidRPr="001B0B74">
              <w:t>Methotrexate</w:t>
            </w:r>
          </w:p>
        </w:tc>
      </w:tr>
      <w:tr w:rsidR="00274A3D" w:rsidRPr="001B0B74" w14:paraId="06483C00" w14:textId="77777777" w:rsidTr="00B534D8">
        <w:tc>
          <w:tcPr>
            <w:tcW w:w="1890" w:type="dxa"/>
          </w:tcPr>
          <w:p w14:paraId="61A8102C" w14:textId="4BCEE302" w:rsidR="00274A3D" w:rsidRPr="001B0B74" w:rsidRDefault="00274A3D" w:rsidP="00CC27A9">
            <w:r w:rsidRPr="001B0B74">
              <w:t>NMSC</w:t>
            </w:r>
          </w:p>
        </w:tc>
        <w:tc>
          <w:tcPr>
            <w:tcW w:w="6604" w:type="dxa"/>
          </w:tcPr>
          <w:p w14:paraId="07814BDE" w14:textId="01422BEF" w:rsidR="00274A3D" w:rsidRPr="001B0B74" w:rsidRDefault="00274A3D" w:rsidP="00274A3D">
            <w:r w:rsidRPr="001B0B74">
              <w:t>Non-melanoma skin cancer</w:t>
            </w:r>
          </w:p>
        </w:tc>
      </w:tr>
      <w:tr w:rsidR="002006C3" w:rsidRPr="001B0B74" w14:paraId="3E4AC7FC" w14:textId="77777777" w:rsidTr="00B534D8">
        <w:tc>
          <w:tcPr>
            <w:tcW w:w="1890" w:type="dxa"/>
          </w:tcPr>
          <w:p w14:paraId="46E2C195" w14:textId="77777777" w:rsidR="002006C3" w:rsidRPr="001B0B74" w:rsidRDefault="002006C3" w:rsidP="00CC27A9">
            <w:r w:rsidRPr="001B0B74">
              <w:t>NSAID</w:t>
            </w:r>
          </w:p>
        </w:tc>
        <w:tc>
          <w:tcPr>
            <w:tcW w:w="6604" w:type="dxa"/>
          </w:tcPr>
          <w:p w14:paraId="0429450D" w14:textId="329751D7" w:rsidR="002006C3" w:rsidRPr="001B0B74" w:rsidRDefault="002006C3" w:rsidP="00CC27A9">
            <w:r w:rsidRPr="001B0B74">
              <w:t>Non-</w:t>
            </w:r>
            <w:r w:rsidR="00581A19" w:rsidRPr="001B0B74">
              <w:t>steroidal anti-inflammatory drug</w:t>
            </w:r>
          </w:p>
        </w:tc>
      </w:tr>
      <w:tr w:rsidR="00182528" w:rsidRPr="001B0B74" w14:paraId="113C921D" w14:textId="77777777" w:rsidTr="00B534D8">
        <w:tc>
          <w:tcPr>
            <w:tcW w:w="1890" w:type="dxa"/>
          </w:tcPr>
          <w:p w14:paraId="6AB1458A" w14:textId="1829B7B8" w:rsidR="00182528" w:rsidRPr="001B0B74" w:rsidRDefault="00182528" w:rsidP="00CC27A9">
            <w:r w:rsidRPr="001B0B74">
              <w:t>PAR</w:t>
            </w:r>
          </w:p>
        </w:tc>
        <w:tc>
          <w:tcPr>
            <w:tcW w:w="6604" w:type="dxa"/>
          </w:tcPr>
          <w:p w14:paraId="2DC59D9E" w14:textId="0E05CC4D" w:rsidR="00182528" w:rsidRPr="001B0B74" w:rsidRDefault="00182528" w:rsidP="00CC27A9">
            <w:r w:rsidRPr="001B0B74">
              <w:t>Prostate apoptosis response</w:t>
            </w:r>
          </w:p>
        </w:tc>
      </w:tr>
      <w:tr w:rsidR="002006C3" w:rsidRPr="001B0B74" w14:paraId="7623FB24" w14:textId="77777777" w:rsidTr="00B534D8">
        <w:tc>
          <w:tcPr>
            <w:tcW w:w="1890" w:type="dxa"/>
          </w:tcPr>
          <w:p w14:paraId="76D1405D" w14:textId="38FCB958" w:rsidR="002006C3" w:rsidRPr="001B0B74" w:rsidRDefault="00B84EDB" w:rsidP="00CC27A9">
            <w:r w:rsidRPr="001B0B74">
              <w:t>PD</w:t>
            </w:r>
          </w:p>
        </w:tc>
        <w:tc>
          <w:tcPr>
            <w:tcW w:w="6604" w:type="dxa"/>
          </w:tcPr>
          <w:p w14:paraId="549F1636" w14:textId="6A55A05C" w:rsidR="002006C3" w:rsidRPr="001B0B74" w:rsidRDefault="002006C3" w:rsidP="00CC27A9">
            <w:r w:rsidRPr="001B0B74">
              <w:t>Pharmacodynamic</w:t>
            </w:r>
            <w:r w:rsidR="00B84EDB" w:rsidRPr="001B0B74">
              <w:t>(s)</w:t>
            </w:r>
          </w:p>
        </w:tc>
      </w:tr>
      <w:tr w:rsidR="00274A3D" w:rsidRPr="001B0B74" w14:paraId="2A331DE0" w14:textId="77777777" w:rsidTr="00B534D8">
        <w:tc>
          <w:tcPr>
            <w:tcW w:w="1890" w:type="dxa"/>
          </w:tcPr>
          <w:p w14:paraId="3ECED93E" w14:textId="64BCE094" w:rsidR="00274A3D" w:rsidRPr="001B0B74" w:rsidRDefault="00274A3D" w:rsidP="00CC27A9">
            <w:r w:rsidRPr="001B0B74">
              <w:t>PE</w:t>
            </w:r>
          </w:p>
        </w:tc>
        <w:tc>
          <w:tcPr>
            <w:tcW w:w="6604" w:type="dxa"/>
          </w:tcPr>
          <w:p w14:paraId="207100A9" w14:textId="5AACAC66" w:rsidR="00274A3D" w:rsidRPr="001B0B74" w:rsidRDefault="00274A3D" w:rsidP="00CC27A9">
            <w:r w:rsidRPr="001B0B74">
              <w:t>Pulmonary embolism</w:t>
            </w:r>
          </w:p>
        </w:tc>
      </w:tr>
      <w:tr w:rsidR="002006C3" w:rsidRPr="001B0B74" w14:paraId="13E9F043" w14:textId="77777777" w:rsidTr="00B534D8">
        <w:tc>
          <w:tcPr>
            <w:tcW w:w="1890" w:type="dxa"/>
          </w:tcPr>
          <w:p w14:paraId="5D669900" w14:textId="77777777" w:rsidR="002006C3" w:rsidRPr="001B0B74" w:rsidRDefault="002006C3" w:rsidP="00CC27A9">
            <w:r w:rsidRPr="001B0B74">
              <w:t>P-gp</w:t>
            </w:r>
          </w:p>
        </w:tc>
        <w:tc>
          <w:tcPr>
            <w:tcW w:w="6604" w:type="dxa"/>
          </w:tcPr>
          <w:p w14:paraId="440877D5" w14:textId="77777777" w:rsidR="002006C3" w:rsidRPr="001B0B74" w:rsidRDefault="002006C3" w:rsidP="00CC27A9">
            <w:r w:rsidRPr="001B0B74">
              <w:t>P-glycoprotein</w:t>
            </w:r>
          </w:p>
        </w:tc>
      </w:tr>
      <w:tr w:rsidR="002006C3" w:rsidRPr="001B0B74" w14:paraId="19944182" w14:textId="77777777" w:rsidTr="00B534D8">
        <w:tc>
          <w:tcPr>
            <w:tcW w:w="1890" w:type="dxa"/>
          </w:tcPr>
          <w:p w14:paraId="10B2F191" w14:textId="77777777" w:rsidR="002006C3" w:rsidRPr="001B0B74" w:rsidRDefault="002006C3" w:rsidP="00CC27A9">
            <w:r w:rsidRPr="001B0B74">
              <w:t>PK</w:t>
            </w:r>
          </w:p>
        </w:tc>
        <w:tc>
          <w:tcPr>
            <w:tcW w:w="6604" w:type="dxa"/>
          </w:tcPr>
          <w:p w14:paraId="3BE9F622" w14:textId="3802A6D1" w:rsidR="002006C3" w:rsidRPr="001B0B74" w:rsidRDefault="00A72D14" w:rsidP="00CC27A9">
            <w:r w:rsidRPr="001B0B74">
              <w:t>Pharmacokinetic(s)</w:t>
            </w:r>
          </w:p>
        </w:tc>
      </w:tr>
      <w:tr w:rsidR="00553EED" w:rsidRPr="001B0B74" w14:paraId="228AC799" w14:textId="77777777" w:rsidTr="00B534D8">
        <w:tc>
          <w:tcPr>
            <w:tcW w:w="1890" w:type="dxa"/>
          </w:tcPr>
          <w:p w14:paraId="6D802547" w14:textId="2BF25DA7" w:rsidR="00553EED" w:rsidRPr="001B0B74" w:rsidRDefault="00553EED" w:rsidP="00CC27A9">
            <w:r w:rsidRPr="001B0B74">
              <w:t>PO</w:t>
            </w:r>
          </w:p>
        </w:tc>
        <w:tc>
          <w:tcPr>
            <w:tcW w:w="6604" w:type="dxa"/>
          </w:tcPr>
          <w:p w14:paraId="6823052F" w14:textId="18EE7C89" w:rsidR="00553EED" w:rsidRPr="001B0B74" w:rsidRDefault="00A522B6" w:rsidP="00CC27A9">
            <w:r w:rsidRPr="001B0B74">
              <w:t>Oral</w:t>
            </w:r>
            <w:r w:rsidR="00553EED" w:rsidRPr="001B0B74">
              <w:t xml:space="preserve"> (Latin: </w:t>
            </w:r>
            <w:r w:rsidR="00553EED" w:rsidRPr="001B0B74">
              <w:rPr>
                <w:i/>
              </w:rPr>
              <w:t>per os</w:t>
            </w:r>
            <w:r w:rsidR="00553EED" w:rsidRPr="001B0B74">
              <w:t>)</w:t>
            </w:r>
          </w:p>
        </w:tc>
      </w:tr>
      <w:tr w:rsidR="002006C3" w:rsidRPr="001B0B74" w14:paraId="12AEACD1" w14:textId="77777777" w:rsidTr="00B534D8">
        <w:tc>
          <w:tcPr>
            <w:tcW w:w="1890" w:type="dxa"/>
          </w:tcPr>
          <w:p w14:paraId="67A1D2D2" w14:textId="5D1E9825" w:rsidR="002006C3" w:rsidRPr="001B0B74" w:rsidRDefault="003C7D20" w:rsidP="00CC27A9">
            <w:r w:rsidRPr="001B0B74">
              <w:t>Pop</w:t>
            </w:r>
            <w:r w:rsidR="002006C3" w:rsidRPr="001B0B74">
              <w:t>PK</w:t>
            </w:r>
          </w:p>
        </w:tc>
        <w:tc>
          <w:tcPr>
            <w:tcW w:w="6604" w:type="dxa"/>
          </w:tcPr>
          <w:p w14:paraId="46219DC7" w14:textId="236CB629" w:rsidR="002006C3" w:rsidRPr="001B0B74" w:rsidRDefault="00277252" w:rsidP="00CC27A9">
            <w:r w:rsidRPr="001B0B74">
              <w:t>Population p</w:t>
            </w:r>
            <w:r w:rsidR="002006C3" w:rsidRPr="001B0B74">
              <w:t>harmacokinetic</w:t>
            </w:r>
            <w:r w:rsidRPr="001B0B74">
              <w:t>(s)</w:t>
            </w:r>
          </w:p>
        </w:tc>
      </w:tr>
      <w:tr w:rsidR="002006C3" w:rsidRPr="001B0B74" w14:paraId="79079069" w14:textId="77777777" w:rsidTr="00B534D8">
        <w:tc>
          <w:tcPr>
            <w:tcW w:w="1890" w:type="dxa"/>
          </w:tcPr>
          <w:p w14:paraId="46AADCEF" w14:textId="77777777" w:rsidR="002006C3" w:rsidRPr="001B0B74" w:rsidRDefault="002006C3" w:rsidP="00CC27A9">
            <w:r w:rsidRPr="001B0B74">
              <w:t>PY</w:t>
            </w:r>
          </w:p>
        </w:tc>
        <w:tc>
          <w:tcPr>
            <w:tcW w:w="6604" w:type="dxa"/>
          </w:tcPr>
          <w:p w14:paraId="23EA929F" w14:textId="0C225F93" w:rsidR="002006C3" w:rsidRPr="001B0B74" w:rsidRDefault="000713C0" w:rsidP="00CC27A9">
            <w:r w:rsidRPr="001B0B74">
              <w:t>Patient year(s)</w:t>
            </w:r>
          </w:p>
        </w:tc>
      </w:tr>
      <w:tr w:rsidR="000713C0" w:rsidRPr="001B0B74" w14:paraId="79D53BD6" w14:textId="77777777" w:rsidTr="00B534D8">
        <w:tc>
          <w:tcPr>
            <w:tcW w:w="1890" w:type="dxa"/>
          </w:tcPr>
          <w:p w14:paraId="7E8AC7ED" w14:textId="106F06CE" w:rsidR="000713C0" w:rsidRPr="001B0B74" w:rsidRDefault="000713C0" w:rsidP="00CC27A9">
            <w:r w:rsidRPr="001B0B74">
              <w:t>PYE</w:t>
            </w:r>
          </w:p>
        </w:tc>
        <w:tc>
          <w:tcPr>
            <w:tcW w:w="6604" w:type="dxa"/>
          </w:tcPr>
          <w:p w14:paraId="2D24DA3E" w14:textId="21CC1F87" w:rsidR="000713C0" w:rsidRPr="001B0B74" w:rsidRDefault="000713C0" w:rsidP="00CC27A9">
            <w:r w:rsidRPr="001B0B74">
              <w:t>Patient year(s) of exposure</w:t>
            </w:r>
          </w:p>
        </w:tc>
      </w:tr>
      <w:tr w:rsidR="006F07C0" w:rsidRPr="001B0B74" w14:paraId="469A0E0A" w14:textId="77777777" w:rsidTr="00B534D8">
        <w:tc>
          <w:tcPr>
            <w:tcW w:w="1890" w:type="dxa"/>
          </w:tcPr>
          <w:p w14:paraId="4930CBB2" w14:textId="5D4A48E6" w:rsidR="006F07C0" w:rsidRPr="001B0B74" w:rsidRDefault="006F07C0" w:rsidP="00CC27A9">
            <w:r w:rsidRPr="001B0B74">
              <w:t>QTc</w:t>
            </w:r>
          </w:p>
        </w:tc>
        <w:tc>
          <w:tcPr>
            <w:tcW w:w="6604" w:type="dxa"/>
          </w:tcPr>
          <w:p w14:paraId="70033877" w14:textId="2574E1F8" w:rsidR="006F07C0" w:rsidRPr="001B0B74" w:rsidRDefault="006F07C0" w:rsidP="00CC27A9">
            <w:r w:rsidRPr="001B0B74">
              <w:t>Corrected QT interval</w:t>
            </w:r>
          </w:p>
        </w:tc>
      </w:tr>
      <w:tr w:rsidR="002006C3" w:rsidRPr="001B0B74" w14:paraId="09CD276F" w14:textId="77777777" w:rsidTr="00B534D8">
        <w:tc>
          <w:tcPr>
            <w:tcW w:w="1890" w:type="dxa"/>
          </w:tcPr>
          <w:p w14:paraId="323C0441" w14:textId="77777777" w:rsidR="002006C3" w:rsidRPr="001B0B74" w:rsidRDefault="002006C3" w:rsidP="00CC27A9">
            <w:r w:rsidRPr="001B0B74">
              <w:t>RA</w:t>
            </w:r>
          </w:p>
        </w:tc>
        <w:tc>
          <w:tcPr>
            <w:tcW w:w="6604" w:type="dxa"/>
          </w:tcPr>
          <w:p w14:paraId="437C120C" w14:textId="398EF5FC" w:rsidR="002006C3" w:rsidRPr="001B0B74" w:rsidRDefault="002006C3" w:rsidP="00CC27A9">
            <w:r w:rsidRPr="001B0B74">
              <w:t xml:space="preserve">Rheumatoid </w:t>
            </w:r>
            <w:r w:rsidR="00FE1B47" w:rsidRPr="001B0B74">
              <w:t>arthritis</w:t>
            </w:r>
          </w:p>
        </w:tc>
      </w:tr>
      <w:tr w:rsidR="002006C3" w:rsidRPr="001B0B74" w14:paraId="70FF5CDF" w14:textId="77777777" w:rsidTr="00B534D8">
        <w:tc>
          <w:tcPr>
            <w:tcW w:w="1890" w:type="dxa"/>
          </w:tcPr>
          <w:p w14:paraId="1E6E9555" w14:textId="77777777" w:rsidR="002006C3" w:rsidRPr="001B0B74" w:rsidRDefault="002006C3" w:rsidP="00CC27A9">
            <w:r w:rsidRPr="001B0B74">
              <w:t>RF</w:t>
            </w:r>
          </w:p>
        </w:tc>
        <w:tc>
          <w:tcPr>
            <w:tcW w:w="6604" w:type="dxa"/>
          </w:tcPr>
          <w:p w14:paraId="1363A6B6" w14:textId="2902D317" w:rsidR="002006C3" w:rsidRPr="001B0B74" w:rsidRDefault="002006C3" w:rsidP="00CC27A9">
            <w:r w:rsidRPr="001B0B74">
              <w:t xml:space="preserve">Rheumatoid </w:t>
            </w:r>
            <w:r w:rsidR="00CB2BCB" w:rsidRPr="001B0B74">
              <w:t>factor</w:t>
            </w:r>
          </w:p>
        </w:tc>
      </w:tr>
      <w:tr w:rsidR="00D74B8A" w:rsidRPr="001B0B74" w14:paraId="32FBD2B0" w14:textId="77777777" w:rsidTr="00B534D8">
        <w:tc>
          <w:tcPr>
            <w:tcW w:w="1890" w:type="dxa"/>
          </w:tcPr>
          <w:p w14:paraId="636FBA44" w14:textId="2421D671" w:rsidR="00D74B8A" w:rsidRPr="001B0B74" w:rsidRDefault="00D74B8A" w:rsidP="00CC27A9">
            <w:r w:rsidRPr="001B0B74">
              <w:t>RH</w:t>
            </w:r>
          </w:p>
        </w:tc>
        <w:tc>
          <w:tcPr>
            <w:tcW w:w="6604" w:type="dxa"/>
          </w:tcPr>
          <w:p w14:paraId="50499C3E" w14:textId="7D2B019F" w:rsidR="00D74B8A" w:rsidRPr="001B0B74" w:rsidRDefault="00D74B8A" w:rsidP="00CC27A9">
            <w:r w:rsidRPr="001B0B74">
              <w:t>Relative humidity</w:t>
            </w:r>
          </w:p>
        </w:tc>
      </w:tr>
      <w:tr w:rsidR="0055754A" w:rsidRPr="001B0B74" w14:paraId="07C3FA21" w14:textId="77777777" w:rsidTr="00B534D8">
        <w:tc>
          <w:tcPr>
            <w:tcW w:w="1890" w:type="dxa"/>
          </w:tcPr>
          <w:p w14:paraId="18E1B7C8" w14:textId="4ED9D170" w:rsidR="0055754A" w:rsidRPr="001B0B74" w:rsidRDefault="0055754A" w:rsidP="00CC27A9">
            <w:r w:rsidRPr="001B0B74">
              <w:t>RIOK</w:t>
            </w:r>
          </w:p>
        </w:tc>
        <w:tc>
          <w:tcPr>
            <w:tcW w:w="6604" w:type="dxa"/>
          </w:tcPr>
          <w:p w14:paraId="265436B8" w14:textId="4A9EE9CC" w:rsidR="0055754A" w:rsidRPr="001B0B74" w:rsidRDefault="0055754A" w:rsidP="0055754A">
            <w:r w:rsidRPr="001B0B74">
              <w:t>Serine/threonine protein kinases</w:t>
            </w:r>
          </w:p>
        </w:tc>
      </w:tr>
      <w:tr w:rsidR="00A72D14" w:rsidRPr="001B0B74" w14:paraId="132103A1" w14:textId="77777777" w:rsidTr="00B534D8">
        <w:tc>
          <w:tcPr>
            <w:tcW w:w="1890" w:type="dxa"/>
          </w:tcPr>
          <w:p w14:paraId="3D54BD5A" w14:textId="6EBB1E1C" w:rsidR="00A72D14" w:rsidRPr="001B0B74" w:rsidRDefault="00A72D14" w:rsidP="00CC27A9">
            <w:r w:rsidRPr="001B0B74">
              <w:t>RMP</w:t>
            </w:r>
          </w:p>
        </w:tc>
        <w:tc>
          <w:tcPr>
            <w:tcW w:w="6604" w:type="dxa"/>
          </w:tcPr>
          <w:p w14:paraId="76F0E8D4" w14:textId="5AF26744" w:rsidR="00A72D14" w:rsidRPr="001B0B74" w:rsidRDefault="00A72D14" w:rsidP="00CC27A9">
            <w:r w:rsidRPr="001B0B74">
              <w:t>Risk management plan</w:t>
            </w:r>
          </w:p>
        </w:tc>
      </w:tr>
      <w:tr w:rsidR="00B534D8" w:rsidRPr="001B0B74" w14:paraId="570A0AA4" w14:textId="77777777" w:rsidTr="00B534D8">
        <w:tc>
          <w:tcPr>
            <w:tcW w:w="1890" w:type="dxa"/>
          </w:tcPr>
          <w:p w14:paraId="294B9348" w14:textId="023E0E82" w:rsidR="00B534D8" w:rsidRPr="001B0B74" w:rsidRDefault="00B534D8" w:rsidP="00CC27A9">
            <w:r w:rsidRPr="001B0B74">
              <w:t>SmPC</w:t>
            </w:r>
          </w:p>
        </w:tc>
        <w:tc>
          <w:tcPr>
            <w:tcW w:w="6604" w:type="dxa"/>
          </w:tcPr>
          <w:p w14:paraId="535DF843" w14:textId="2485C9A9" w:rsidR="00B534D8" w:rsidRPr="001B0B74" w:rsidRDefault="00B534D8" w:rsidP="00B534D8">
            <w:r w:rsidRPr="001B0B74">
              <w:t>Summary of Product Characteristics</w:t>
            </w:r>
          </w:p>
        </w:tc>
      </w:tr>
      <w:tr w:rsidR="00182528" w:rsidRPr="001B0B74" w14:paraId="581E938B" w14:textId="77777777" w:rsidTr="00B534D8">
        <w:tc>
          <w:tcPr>
            <w:tcW w:w="1890" w:type="dxa"/>
          </w:tcPr>
          <w:p w14:paraId="13D5775C" w14:textId="1318DCC0" w:rsidR="00182528" w:rsidRPr="001B0B74" w:rsidRDefault="00182528" w:rsidP="00CC27A9">
            <w:r w:rsidRPr="001B0B74">
              <w:t>SRPK</w:t>
            </w:r>
          </w:p>
        </w:tc>
        <w:tc>
          <w:tcPr>
            <w:tcW w:w="6604" w:type="dxa"/>
          </w:tcPr>
          <w:p w14:paraId="7F50C18F" w14:textId="53C63B3A" w:rsidR="00182528" w:rsidRPr="001B0B74" w:rsidRDefault="00182528" w:rsidP="00CC27A9">
            <w:r w:rsidRPr="001B0B74">
              <w:t>Serine/threonine protein kinases</w:t>
            </w:r>
          </w:p>
        </w:tc>
      </w:tr>
      <w:tr w:rsidR="002006C3" w:rsidRPr="001B0B74" w14:paraId="06423495" w14:textId="77777777" w:rsidTr="00B534D8">
        <w:tc>
          <w:tcPr>
            <w:tcW w:w="1890" w:type="dxa"/>
          </w:tcPr>
          <w:p w14:paraId="2EEDDE5E" w14:textId="77777777" w:rsidR="002006C3" w:rsidRPr="001B0B74" w:rsidRDefault="002006C3" w:rsidP="00CC27A9">
            <w:r w:rsidRPr="001B0B74">
              <w:t>STAT</w:t>
            </w:r>
          </w:p>
        </w:tc>
        <w:tc>
          <w:tcPr>
            <w:tcW w:w="6604" w:type="dxa"/>
          </w:tcPr>
          <w:p w14:paraId="7678758A" w14:textId="77777777" w:rsidR="002006C3" w:rsidRPr="001B0B74" w:rsidRDefault="00971315" w:rsidP="00CC27A9">
            <w:r w:rsidRPr="001B0B74">
              <w:t>Signal transducer and activator of transcription</w:t>
            </w:r>
          </w:p>
        </w:tc>
      </w:tr>
      <w:tr w:rsidR="00182528" w:rsidRPr="001B0B74" w14:paraId="48A81387" w14:textId="77777777" w:rsidTr="00B534D8">
        <w:tc>
          <w:tcPr>
            <w:tcW w:w="1890" w:type="dxa"/>
          </w:tcPr>
          <w:p w14:paraId="44E79E6E" w14:textId="53E2F592" w:rsidR="00182528" w:rsidRPr="001B0B74" w:rsidRDefault="00182528" w:rsidP="00CC27A9">
            <w:r w:rsidRPr="001B0B74">
              <w:t>STK</w:t>
            </w:r>
          </w:p>
        </w:tc>
        <w:tc>
          <w:tcPr>
            <w:tcW w:w="6604" w:type="dxa"/>
          </w:tcPr>
          <w:p w14:paraId="04B5AC85" w14:textId="6DBE99BC" w:rsidR="00182528" w:rsidRPr="001B0B74" w:rsidRDefault="00182528" w:rsidP="00CC27A9">
            <w:r w:rsidRPr="001B0B74">
              <w:t>Serine/threonine kinase</w:t>
            </w:r>
          </w:p>
        </w:tc>
      </w:tr>
      <w:tr w:rsidR="008D3962" w:rsidRPr="001B0B74" w14:paraId="035A1112" w14:textId="77777777" w:rsidTr="00B534D8">
        <w:tc>
          <w:tcPr>
            <w:tcW w:w="1890" w:type="dxa"/>
          </w:tcPr>
          <w:p w14:paraId="7AF2109B" w14:textId="4D8136F0" w:rsidR="008D3962" w:rsidRPr="001B0B74" w:rsidRDefault="008D3962" w:rsidP="00CC27A9">
            <w:r w:rsidRPr="001B0B74">
              <w:t>T</w:t>
            </w:r>
            <w:r w:rsidRPr="001B0B74">
              <w:rPr>
                <w:vertAlign w:val="subscript"/>
              </w:rPr>
              <w:t>1/2</w:t>
            </w:r>
          </w:p>
        </w:tc>
        <w:tc>
          <w:tcPr>
            <w:tcW w:w="6604" w:type="dxa"/>
          </w:tcPr>
          <w:p w14:paraId="3373FA67" w14:textId="7290CFA3" w:rsidR="008D3962" w:rsidRPr="001B0B74" w:rsidRDefault="008D3962" w:rsidP="008D3962">
            <w:r w:rsidRPr="001B0B74">
              <w:t>Terminal drug half life</w:t>
            </w:r>
          </w:p>
        </w:tc>
      </w:tr>
      <w:tr w:rsidR="002006C3" w:rsidRPr="001B0B74" w14:paraId="0B79B05E" w14:textId="77777777" w:rsidTr="00B534D8">
        <w:tc>
          <w:tcPr>
            <w:tcW w:w="1890" w:type="dxa"/>
          </w:tcPr>
          <w:p w14:paraId="34E7FEF0" w14:textId="77777777" w:rsidR="002006C3" w:rsidRPr="001B0B74" w:rsidRDefault="002006C3" w:rsidP="00CC27A9">
            <w:r w:rsidRPr="001B0B74">
              <w:t>TB</w:t>
            </w:r>
          </w:p>
        </w:tc>
        <w:tc>
          <w:tcPr>
            <w:tcW w:w="6604" w:type="dxa"/>
          </w:tcPr>
          <w:p w14:paraId="432C099D" w14:textId="77777777" w:rsidR="002006C3" w:rsidRPr="001B0B74" w:rsidRDefault="002006C3" w:rsidP="00CC27A9">
            <w:r w:rsidRPr="001B0B74">
              <w:t>Tuberculosis</w:t>
            </w:r>
          </w:p>
        </w:tc>
      </w:tr>
      <w:tr w:rsidR="00B9543D" w:rsidRPr="001B0B74" w14:paraId="1B121E7F" w14:textId="77777777" w:rsidTr="00B534D8">
        <w:tc>
          <w:tcPr>
            <w:tcW w:w="1890" w:type="dxa"/>
          </w:tcPr>
          <w:p w14:paraId="594590C3" w14:textId="1DF623FC" w:rsidR="00B9543D" w:rsidRPr="001B0B74" w:rsidRDefault="00B9543D" w:rsidP="00CC27A9">
            <w:r w:rsidRPr="001B0B74">
              <w:t>Tmax</w:t>
            </w:r>
          </w:p>
        </w:tc>
        <w:tc>
          <w:tcPr>
            <w:tcW w:w="6604" w:type="dxa"/>
          </w:tcPr>
          <w:p w14:paraId="5CCF62E7" w14:textId="71B0584B" w:rsidR="00B9543D" w:rsidRPr="001B0B74" w:rsidRDefault="00B9543D" w:rsidP="00CC27A9">
            <w:r w:rsidRPr="001B0B74">
              <w:t>Time at maximum concentration</w:t>
            </w:r>
          </w:p>
        </w:tc>
      </w:tr>
      <w:tr w:rsidR="002006C3" w:rsidRPr="001B0B74" w14:paraId="1E80555D" w14:textId="77777777" w:rsidTr="00B534D8">
        <w:tc>
          <w:tcPr>
            <w:tcW w:w="1890" w:type="dxa"/>
          </w:tcPr>
          <w:p w14:paraId="566FC1F1" w14:textId="77777777" w:rsidR="002006C3" w:rsidRPr="001B0B74" w:rsidRDefault="002006C3" w:rsidP="00CC27A9">
            <w:r w:rsidRPr="001B0B74">
              <w:t>TNF</w:t>
            </w:r>
          </w:p>
        </w:tc>
        <w:tc>
          <w:tcPr>
            <w:tcW w:w="6604" w:type="dxa"/>
          </w:tcPr>
          <w:p w14:paraId="18701272" w14:textId="77777777" w:rsidR="002006C3" w:rsidRPr="001B0B74" w:rsidRDefault="002006C3" w:rsidP="00CC27A9">
            <w:r w:rsidRPr="001B0B74">
              <w:t>Tumour</w:t>
            </w:r>
            <w:r w:rsidR="00AB1AC5" w:rsidRPr="001B0B74">
              <w:t xml:space="preserve"> necrosis factor</w:t>
            </w:r>
          </w:p>
        </w:tc>
      </w:tr>
      <w:tr w:rsidR="00C70639" w:rsidRPr="001B0B74" w14:paraId="1E3350BF" w14:textId="77777777" w:rsidTr="00B534D8">
        <w:tc>
          <w:tcPr>
            <w:tcW w:w="1890" w:type="dxa"/>
          </w:tcPr>
          <w:p w14:paraId="3C57A23C" w14:textId="77777777" w:rsidR="00C70639" w:rsidRPr="001B0B74" w:rsidRDefault="00C70639" w:rsidP="00CC27A9">
            <w:r w:rsidRPr="001B0B74">
              <w:t>tsDMARD</w:t>
            </w:r>
          </w:p>
        </w:tc>
        <w:tc>
          <w:tcPr>
            <w:tcW w:w="6604" w:type="dxa"/>
          </w:tcPr>
          <w:p w14:paraId="08F79C49" w14:textId="77777777" w:rsidR="00C70639" w:rsidRPr="001B0B74" w:rsidRDefault="00545804" w:rsidP="00CC27A9">
            <w:r w:rsidRPr="001B0B74">
              <w:t>Targeted synthetic disease modifying anti-rheumatic drug</w:t>
            </w:r>
          </w:p>
        </w:tc>
      </w:tr>
      <w:tr w:rsidR="00D45411" w:rsidRPr="001B0B74" w14:paraId="07D5259D" w14:textId="77777777" w:rsidTr="00B534D8">
        <w:tc>
          <w:tcPr>
            <w:tcW w:w="1890" w:type="dxa"/>
          </w:tcPr>
          <w:p w14:paraId="31AD7A04" w14:textId="77777777" w:rsidR="00D45411" w:rsidRPr="001B0B74" w:rsidRDefault="00D45411" w:rsidP="00CC27A9">
            <w:r w:rsidRPr="001B0B74">
              <w:t>TYK</w:t>
            </w:r>
          </w:p>
        </w:tc>
        <w:tc>
          <w:tcPr>
            <w:tcW w:w="6604" w:type="dxa"/>
          </w:tcPr>
          <w:p w14:paraId="672EC1FE" w14:textId="77777777" w:rsidR="00D45411" w:rsidRPr="001B0B74" w:rsidRDefault="00D45411" w:rsidP="00CC27A9">
            <w:r w:rsidRPr="001B0B74">
              <w:t>Tyrosine kinase</w:t>
            </w:r>
          </w:p>
        </w:tc>
      </w:tr>
      <w:tr w:rsidR="00553EED" w:rsidRPr="001B0B74" w14:paraId="591CA758" w14:textId="77777777" w:rsidTr="00B534D8">
        <w:tc>
          <w:tcPr>
            <w:tcW w:w="1890" w:type="dxa"/>
          </w:tcPr>
          <w:p w14:paraId="1FC63841" w14:textId="50458A0F" w:rsidR="00553EED" w:rsidRPr="001B0B74" w:rsidRDefault="00553EED" w:rsidP="00CC27A9">
            <w:r w:rsidRPr="001B0B74">
              <w:t>URTI</w:t>
            </w:r>
          </w:p>
        </w:tc>
        <w:tc>
          <w:tcPr>
            <w:tcW w:w="6604" w:type="dxa"/>
          </w:tcPr>
          <w:p w14:paraId="1268CA11" w14:textId="62639AA0" w:rsidR="00553EED" w:rsidRPr="001B0B74" w:rsidRDefault="00553EED" w:rsidP="00CC27A9">
            <w:r w:rsidRPr="001B0B74">
              <w:t>Upper respiratory tract infection</w:t>
            </w:r>
          </w:p>
        </w:tc>
      </w:tr>
      <w:tr w:rsidR="00CC27A9" w:rsidRPr="001B0B74" w14:paraId="1BE7E875" w14:textId="77777777" w:rsidTr="00B534D8">
        <w:tc>
          <w:tcPr>
            <w:tcW w:w="1890" w:type="dxa"/>
          </w:tcPr>
          <w:p w14:paraId="42991E5B" w14:textId="4F59B152" w:rsidR="00CC27A9" w:rsidRPr="001B0B74" w:rsidRDefault="00CC27A9" w:rsidP="00CC27A9">
            <w:r w:rsidRPr="001B0B74">
              <w:t>USA</w:t>
            </w:r>
          </w:p>
        </w:tc>
        <w:tc>
          <w:tcPr>
            <w:tcW w:w="6604" w:type="dxa"/>
          </w:tcPr>
          <w:p w14:paraId="072E7269" w14:textId="699C1B33" w:rsidR="00CC27A9" w:rsidRPr="001B0B74" w:rsidRDefault="00CC27A9" w:rsidP="00CC27A9">
            <w:r w:rsidRPr="001B0B74">
              <w:t>United States of America</w:t>
            </w:r>
          </w:p>
        </w:tc>
      </w:tr>
      <w:tr w:rsidR="00CC53EC" w:rsidRPr="001B0B74" w14:paraId="65CEDC14" w14:textId="77777777" w:rsidTr="00B534D8">
        <w:tc>
          <w:tcPr>
            <w:tcW w:w="1890" w:type="dxa"/>
          </w:tcPr>
          <w:p w14:paraId="436108F7" w14:textId="0D74D2D0" w:rsidR="00CC53EC" w:rsidRPr="001B0B74" w:rsidRDefault="00CC53EC" w:rsidP="00CC27A9">
            <w:r w:rsidRPr="001B0B74">
              <w:t>VEGF</w:t>
            </w:r>
          </w:p>
        </w:tc>
        <w:tc>
          <w:tcPr>
            <w:tcW w:w="6604" w:type="dxa"/>
          </w:tcPr>
          <w:p w14:paraId="7CA1C9FD" w14:textId="1126FC12" w:rsidR="00CC53EC" w:rsidRPr="001B0B74" w:rsidRDefault="00CC53EC" w:rsidP="00CC27A9">
            <w:r w:rsidRPr="001B0B74">
              <w:t>Vascular endothelial growth factor</w:t>
            </w:r>
          </w:p>
        </w:tc>
      </w:tr>
      <w:tr w:rsidR="002006C3" w:rsidRPr="001B0B74" w14:paraId="67D1BE61" w14:textId="77777777" w:rsidTr="00B534D8">
        <w:tc>
          <w:tcPr>
            <w:tcW w:w="1890" w:type="dxa"/>
          </w:tcPr>
          <w:p w14:paraId="4859B16F" w14:textId="08049E1C" w:rsidR="002006C3" w:rsidRPr="001B0B74" w:rsidRDefault="00087FD2" w:rsidP="00CC27A9">
            <w:r w:rsidRPr="001B0B74">
              <w:t>VTE</w:t>
            </w:r>
          </w:p>
        </w:tc>
        <w:tc>
          <w:tcPr>
            <w:tcW w:w="6604" w:type="dxa"/>
          </w:tcPr>
          <w:p w14:paraId="33F8B8AE" w14:textId="4A9B7C40" w:rsidR="002006C3" w:rsidRPr="001B0B74" w:rsidRDefault="002006C3" w:rsidP="00CC27A9">
            <w:r w:rsidRPr="001B0B74">
              <w:t xml:space="preserve">Venous </w:t>
            </w:r>
            <w:r w:rsidR="00087FD2" w:rsidRPr="001B0B74">
              <w:t>thromboembolism</w:t>
            </w:r>
          </w:p>
        </w:tc>
      </w:tr>
    </w:tbl>
    <w:p w14:paraId="748180E7" w14:textId="77777777" w:rsidR="00FD119B" w:rsidRPr="001B0B74" w:rsidRDefault="00FD119B" w:rsidP="00FD119B">
      <w:pPr>
        <w:spacing w:before="0" w:after="200" w:line="0" w:lineRule="auto"/>
        <w:rPr>
          <w:b/>
          <w:i/>
          <w:sz w:val="24"/>
          <w:szCs w:val="24"/>
        </w:rPr>
      </w:pPr>
      <w:r w:rsidRPr="001B0B74">
        <w:rPr>
          <w:b/>
          <w:i/>
          <w:sz w:val="24"/>
          <w:szCs w:val="24"/>
        </w:rPr>
        <w:br w:type="page"/>
      </w:r>
    </w:p>
    <w:p w14:paraId="273B0CD0" w14:textId="77777777" w:rsidR="008E7846" w:rsidRPr="001B0B74" w:rsidRDefault="00F53C07" w:rsidP="008E7846">
      <w:pPr>
        <w:pStyle w:val="Heading2"/>
      </w:pPr>
      <w:bookmarkStart w:id="8" w:name="_Toc72750575"/>
      <w:r w:rsidRPr="001B0B74">
        <w:t>I.</w:t>
      </w:r>
      <w:r w:rsidR="008E7846" w:rsidRPr="001B0B74">
        <w:t xml:space="preserve"> Introduction to product submission</w:t>
      </w:r>
      <w:bookmarkEnd w:id="8"/>
      <w:bookmarkEnd w:id="2"/>
      <w:bookmarkEnd w:id="0"/>
    </w:p>
    <w:p w14:paraId="1F675ACF" w14:textId="77777777" w:rsidR="008E7846" w:rsidRPr="001B0B74" w:rsidRDefault="008E7846" w:rsidP="008E7846">
      <w:pPr>
        <w:pStyle w:val="Heading3"/>
        <w:rPr>
          <w:lang w:eastAsia="en-AU"/>
        </w:rPr>
      </w:pPr>
      <w:bookmarkStart w:id="9" w:name="_Toc247691502"/>
      <w:bookmarkStart w:id="10" w:name="_Toc314842483"/>
      <w:bookmarkStart w:id="11" w:name="_Toc72750576"/>
      <w:r w:rsidRPr="001B0B74">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1B0B74" w14:paraId="30F408C5" w14:textId="77777777" w:rsidTr="003735BC">
        <w:tc>
          <w:tcPr>
            <w:tcW w:w="2907" w:type="dxa"/>
          </w:tcPr>
          <w:p w14:paraId="5B138978" w14:textId="77777777" w:rsidR="008E7846" w:rsidRPr="001B0B74" w:rsidRDefault="001B5C90" w:rsidP="001B5C90">
            <w:pPr>
              <w:rPr>
                <w:i/>
              </w:rPr>
            </w:pPr>
            <w:r w:rsidRPr="001B0B74">
              <w:rPr>
                <w:i/>
              </w:rPr>
              <w:t>Type of s</w:t>
            </w:r>
            <w:r w:rsidR="008E7846" w:rsidRPr="001B0B74">
              <w:rPr>
                <w:i/>
              </w:rPr>
              <w:t>ubmission</w:t>
            </w:r>
            <w:r w:rsidRPr="001B0B74">
              <w:rPr>
                <w:i/>
              </w:rPr>
              <w:t>:</w:t>
            </w:r>
          </w:p>
        </w:tc>
        <w:tc>
          <w:tcPr>
            <w:tcW w:w="6307" w:type="dxa"/>
          </w:tcPr>
          <w:p w14:paraId="178DAB5F" w14:textId="77777777" w:rsidR="008E7846" w:rsidRPr="001B0B74" w:rsidRDefault="008E7846" w:rsidP="00131434">
            <w:r w:rsidRPr="001B0B74">
              <w:t xml:space="preserve">New </w:t>
            </w:r>
            <w:r w:rsidR="001B5C90" w:rsidRPr="001B0B74">
              <w:t>c</w:t>
            </w:r>
            <w:r w:rsidRPr="001B0B74">
              <w:t xml:space="preserve">hemical </w:t>
            </w:r>
            <w:r w:rsidR="001B5C90" w:rsidRPr="001B0B74">
              <w:t>e</w:t>
            </w:r>
            <w:r w:rsidR="00131434" w:rsidRPr="001B0B74">
              <w:t>ntity</w:t>
            </w:r>
          </w:p>
        </w:tc>
      </w:tr>
      <w:tr w:rsidR="00460036" w:rsidRPr="001B0B74" w14:paraId="1B702DB7" w14:textId="77777777" w:rsidTr="003735BC">
        <w:tc>
          <w:tcPr>
            <w:tcW w:w="2907" w:type="dxa"/>
          </w:tcPr>
          <w:p w14:paraId="1D013C52" w14:textId="77777777" w:rsidR="00460036" w:rsidRPr="001B0B74" w:rsidRDefault="00460036" w:rsidP="0082593F">
            <w:pPr>
              <w:rPr>
                <w:i/>
              </w:rPr>
            </w:pPr>
            <w:r w:rsidRPr="001B0B74">
              <w:rPr>
                <w:i/>
              </w:rPr>
              <w:t>Product name:</w:t>
            </w:r>
          </w:p>
        </w:tc>
        <w:tc>
          <w:tcPr>
            <w:tcW w:w="6307" w:type="dxa"/>
          </w:tcPr>
          <w:p w14:paraId="5373C598" w14:textId="22675EC5" w:rsidR="00460036" w:rsidRPr="001B0B74" w:rsidRDefault="00131434" w:rsidP="001B5C90">
            <w:r w:rsidRPr="001B0B74">
              <w:t>Jyseleca</w:t>
            </w:r>
          </w:p>
        </w:tc>
      </w:tr>
      <w:tr w:rsidR="00460036" w:rsidRPr="001B0B74" w14:paraId="3D8CC222" w14:textId="77777777" w:rsidTr="003735BC">
        <w:tc>
          <w:tcPr>
            <w:tcW w:w="2907" w:type="dxa"/>
          </w:tcPr>
          <w:p w14:paraId="3996829F" w14:textId="77777777" w:rsidR="00460036" w:rsidRPr="001B0B74" w:rsidRDefault="00460036" w:rsidP="0082593F">
            <w:pPr>
              <w:rPr>
                <w:i/>
              </w:rPr>
            </w:pPr>
            <w:r w:rsidRPr="001B0B74">
              <w:rPr>
                <w:i/>
              </w:rPr>
              <w:t>Active ingredient:</w:t>
            </w:r>
          </w:p>
        </w:tc>
        <w:tc>
          <w:tcPr>
            <w:tcW w:w="6307" w:type="dxa"/>
          </w:tcPr>
          <w:p w14:paraId="5E1DEFFE" w14:textId="77777777" w:rsidR="00460036" w:rsidRPr="001B0B74" w:rsidRDefault="00131434" w:rsidP="001B5C90">
            <w:r w:rsidRPr="001B0B74">
              <w:t>Filgotinib maleate</w:t>
            </w:r>
          </w:p>
        </w:tc>
      </w:tr>
      <w:tr w:rsidR="008E7846" w:rsidRPr="001B0B74" w14:paraId="158B92C1" w14:textId="77777777" w:rsidTr="003735BC">
        <w:tc>
          <w:tcPr>
            <w:tcW w:w="2907" w:type="dxa"/>
          </w:tcPr>
          <w:p w14:paraId="5C006A8A" w14:textId="77777777" w:rsidR="008E7846" w:rsidRPr="001B0B74" w:rsidRDefault="008E7846" w:rsidP="003D1E62">
            <w:r w:rsidRPr="001B0B74">
              <w:rPr>
                <w:i/>
              </w:rPr>
              <w:t>Decision</w:t>
            </w:r>
            <w:r w:rsidRPr="001B0B74">
              <w:t>:</w:t>
            </w:r>
          </w:p>
        </w:tc>
        <w:tc>
          <w:tcPr>
            <w:tcW w:w="6307" w:type="dxa"/>
          </w:tcPr>
          <w:p w14:paraId="17042852" w14:textId="77777777" w:rsidR="008E7846" w:rsidRPr="001B0B74" w:rsidRDefault="00460036" w:rsidP="001B5C90">
            <w:r w:rsidRPr="001B0B74">
              <w:t>Withdrawn</w:t>
            </w:r>
          </w:p>
        </w:tc>
      </w:tr>
      <w:tr w:rsidR="008E7846" w:rsidRPr="001B0B74" w14:paraId="1AB85A6E" w14:textId="77777777" w:rsidTr="003735BC">
        <w:tc>
          <w:tcPr>
            <w:tcW w:w="2907" w:type="dxa"/>
          </w:tcPr>
          <w:p w14:paraId="2689BC19" w14:textId="77777777" w:rsidR="008E7846" w:rsidRPr="001B0B74" w:rsidRDefault="008E7846" w:rsidP="001B5C90">
            <w:pPr>
              <w:rPr>
                <w:i/>
              </w:rPr>
            </w:pPr>
            <w:r w:rsidRPr="001B0B74">
              <w:rPr>
                <w:i/>
              </w:rPr>
              <w:t xml:space="preserve">Date of </w:t>
            </w:r>
            <w:r w:rsidR="001B5C90" w:rsidRPr="001B0B74">
              <w:rPr>
                <w:i/>
              </w:rPr>
              <w:t>d</w:t>
            </w:r>
            <w:r w:rsidRPr="001B0B74">
              <w:rPr>
                <w:i/>
              </w:rPr>
              <w:t>ecision:</w:t>
            </w:r>
          </w:p>
        </w:tc>
        <w:tc>
          <w:tcPr>
            <w:tcW w:w="6307" w:type="dxa"/>
          </w:tcPr>
          <w:p w14:paraId="0D01D796" w14:textId="77777777" w:rsidR="008E7846" w:rsidRPr="001B0B74" w:rsidRDefault="0082593F" w:rsidP="0082593F">
            <w:r w:rsidRPr="001B0B74">
              <w:t>Not applicable</w:t>
            </w:r>
          </w:p>
        </w:tc>
      </w:tr>
      <w:tr w:rsidR="00ED2922" w:rsidRPr="001B0B74" w14:paraId="19A567B1" w14:textId="77777777" w:rsidTr="003735BC">
        <w:tc>
          <w:tcPr>
            <w:tcW w:w="2907" w:type="dxa"/>
          </w:tcPr>
          <w:p w14:paraId="2D71E5A2" w14:textId="77777777" w:rsidR="00ED2922" w:rsidRPr="001B0B74" w:rsidRDefault="00ED2922" w:rsidP="001B5C90">
            <w:pPr>
              <w:rPr>
                <w:i/>
              </w:rPr>
            </w:pPr>
            <w:r w:rsidRPr="001B0B74">
              <w:rPr>
                <w:i/>
              </w:rPr>
              <w:t>Date of entry onto ARTG</w:t>
            </w:r>
            <w:r w:rsidR="00500337" w:rsidRPr="001B0B74">
              <w:rPr>
                <w:i/>
              </w:rPr>
              <w:t>:</w:t>
            </w:r>
          </w:p>
        </w:tc>
        <w:tc>
          <w:tcPr>
            <w:tcW w:w="6307" w:type="dxa"/>
          </w:tcPr>
          <w:p w14:paraId="0583501F" w14:textId="77777777" w:rsidR="00ED2922" w:rsidRPr="001B0B74" w:rsidRDefault="0082593F" w:rsidP="00D153D8">
            <w:pPr>
              <w:rPr>
                <w:i/>
              </w:rPr>
            </w:pPr>
            <w:r w:rsidRPr="001B0B74">
              <w:t>Not applicable</w:t>
            </w:r>
          </w:p>
        </w:tc>
      </w:tr>
      <w:tr w:rsidR="00500337" w:rsidRPr="001B0B74" w14:paraId="11D68C88" w14:textId="77777777" w:rsidTr="003735BC">
        <w:tc>
          <w:tcPr>
            <w:tcW w:w="2907" w:type="dxa"/>
          </w:tcPr>
          <w:p w14:paraId="7987AE24" w14:textId="77777777" w:rsidR="00500337" w:rsidRPr="001B0B74" w:rsidRDefault="00500337" w:rsidP="0082593F">
            <w:pPr>
              <w:rPr>
                <w:i/>
              </w:rPr>
            </w:pPr>
            <w:r w:rsidRPr="001B0B74">
              <w:rPr>
                <w:i/>
              </w:rPr>
              <w:t>ARTG number:</w:t>
            </w:r>
          </w:p>
        </w:tc>
        <w:tc>
          <w:tcPr>
            <w:tcW w:w="6307" w:type="dxa"/>
          </w:tcPr>
          <w:p w14:paraId="653087CC" w14:textId="77777777" w:rsidR="00500337" w:rsidRPr="001B0B74" w:rsidRDefault="0082593F" w:rsidP="00EC463D">
            <w:r w:rsidRPr="001B0B74">
              <w:t>Not applicable</w:t>
            </w:r>
          </w:p>
        </w:tc>
      </w:tr>
      <w:tr w:rsidR="003735BC" w:rsidRPr="001B0B74" w14:paraId="606EA0D1" w14:textId="77777777" w:rsidTr="003735BC">
        <w:tc>
          <w:tcPr>
            <w:tcW w:w="2907" w:type="dxa"/>
          </w:tcPr>
          <w:p w14:paraId="6ED9F4B3" w14:textId="77777777" w:rsidR="003735BC" w:rsidRPr="001B0B74" w:rsidRDefault="00FA5069" w:rsidP="001B5C90">
            <w:pPr>
              <w:rPr>
                <w:i/>
              </w:rPr>
            </w:pPr>
            <w:r w:rsidRPr="001B0B74">
              <w:rPr>
                <w:rFonts w:ascii="Wingdings 3" w:hAnsi="Wingdings 3"/>
                <w:sz w:val="34"/>
                <w:szCs w:val="34"/>
                <w:lang w:eastAsia="en-AU"/>
              </w:rPr>
              <w:t></w:t>
            </w:r>
            <w:r w:rsidR="003735BC" w:rsidRPr="001B0B74">
              <w:rPr>
                <w:i/>
              </w:rPr>
              <w:t>Black Triangle Scheme</w:t>
            </w:r>
            <w:r w:rsidR="004C4FBE" w:rsidRPr="001B0B74">
              <w:rPr>
                <w:i/>
              </w:rPr>
              <w:t>:</w:t>
            </w:r>
            <w:r w:rsidR="00460036" w:rsidRPr="001B0B74">
              <w:rPr>
                <w:rStyle w:val="FootnoteReference"/>
                <w:i/>
              </w:rPr>
              <w:footnoteReference w:id="1"/>
            </w:r>
          </w:p>
        </w:tc>
        <w:tc>
          <w:tcPr>
            <w:tcW w:w="6307" w:type="dxa"/>
          </w:tcPr>
          <w:p w14:paraId="3A8D792E" w14:textId="77777777" w:rsidR="003735BC" w:rsidRPr="001B0B74" w:rsidRDefault="0082593F" w:rsidP="003735BC">
            <w:r w:rsidRPr="001B0B74">
              <w:t>Not applicable</w:t>
            </w:r>
          </w:p>
        </w:tc>
      </w:tr>
      <w:tr w:rsidR="008E7846" w:rsidRPr="001B0B74" w14:paraId="12AC63EF" w14:textId="77777777" w:rsidTr="00BF1190">
        <w:tc>
          <w:tcPr>
            <w:tcW w:w="2907" w:type="dxa"/>
          </w:tcPr>
          <w:p w14:paraId="0F1C5A3B" w14:textId="77777777" w:rsidR="008E7846" w:rsidRPr="001B0B74" w:rsidRDefault="008E7846" w:rsidP="001B5C90">
            <w:pPr>
              <w:rPr>
                <w:i/>
              </w:rPr>
            </w:pPr>
            <w:r w:rsidRPr="001B0B74">
              <w:rPr>
                <w:i/>
              </w:rPr>
              <w:t xml:space="preserve">Sponsor’s </w:t>
            </w:r>
            <w:r w:rsidR="001B5C90" w:rsidRPr="001B0B74">
              <w:rPr>
                <w:i/>
              </w:rPr>
              <w:t>n</w:t>
            </w:r>
            <w:r w:rsidRPr="001B0B74">
              <w:rPr>
                <w:i/>
              </w:rPr>
              <w:t xml:space="preserve">ame and </w:t>
            </w:r>
            <w:r w:rsidR="001B5C90" w:rsidRPr="001B0B74">
              <w:rPr>
                <w:i/>
              </w:rPr>
              <w:t>a</w:t>
            </w:r>
            <w:r w:rsidRPr="001B0B74">
              <w:rPr>
                <w:i/>
              </w:rPr>
              <w:t>ddress:</w:t>
            </w:r>
          </w:p>
        </w:tc>
        <w:tc>
          <w:tcPr>
            <w:tcW w:w="6307" w:type="dxa"/>
          </w:tcPr>
          <w:p w14:paraId="4DBE36EA" w14:textId="77777777" w:rsidR="00134D44" w:rsidRPr="001B0B74" w:rsidRDefault="00134D44" w:rsidP="00134D44">
            <w:r w:rsidRPr="001B0B74">
              <w:t>Gilead Sciences Pty Ltd</w:t>
            </w:r>
          </w:p>
          <w:p w14:paraId="154D92AA" w14:textId="77777777" w:rsidR="00D61FDA" w:rsidRPr="001B0B74" w:rsidRDefault="00D61FDA" w:rsidP="00134D44">
            <w:r w:rsidRPr="001B0B74">
              <w:t>Level 6, 417 St Kilda Road,</w:t>
            </w:r>
          </w:p>
          <w:p w14:paraId="5C004D90" w14:textId="77777777" w:rsidR="008E7846" w:rsidRPr="001B0B74" w:rsidRDefault="00134D44" w:rsidP="00134D44">
            <w:r w:rsidRPr="001B0B74">
              <w:t>Melbourne, 3004</w:t>
            </w:r>
          </w:p>
        </w:tc>
      </w:tr>
      <w:tr w:rsidR="008E7846" w:rsidRPr="001B0B74" w14:paraId="2F753ECB" w14:textId="77777777" w:rsidTr="00BF1190">
        <w:tc>
          <w:tcPr>
            <w:tcW w:w="2907" w:type="dxa"/>
          </w:tcPr>
          <w:p w14:paraId="7A827A66" w14:textId="77777777" w:rsidR="008E7846" w:rsidRPr="001B0B74" w:rsidRDefault="001B5C90" w:rsidP="0082593F">
            <w:pPr>
              <w:rPr>
                <w:i/>
              </w:rPr>
            </w:pPr>
            <w:r w:rsidRPr="001B0B74">
              <w:rPr>
                <w:i/>
              </w:rPr>
              <w:t>Dose form:</w:t>
            </w:r>
          </w:p>
        </w:tc>
        <w:tc>
          <w:tcPr>
            <w:tcW w:w="6307" w:type="dxa"/>
          </w:tcPr>
          <w:p w14:paraId="7A9E8C31" w14:textId="77777777" w:rsidR="008E7846" w:rsidRPr="001B0B74" w:rsidRDefault="0082593F" w:rsidP="00784E59">
            <w:r w:rsidRPr="001B0B74">
              <w:t>Film</w:t>
            </w:r>
            <w:r w:rsidR="00784E59" w:rsidRPr="001B0B74">
              <w:t xml:space="preserve"> </w:t>
            </w:r>
            <w:r w:rsidRPr="001B0B74">
              <w:t>coated tablet</w:t>
            </w:r>
          </w:p>
        </w:tc>
      </w:tr>
      <w:tr w:rsidR="008E7846" w:rsidRPr="001B0B74" w14:paraId="061E8EB6" w14:textId="77777777" w:rsidTr="00BF1190">
        <w:tc>
          <w:tcPr>
            <w:tcW w:w="2907" w:type="dxa"/>
          </w:tcPr>
          <w:p w14:paraId="3FF6C97D" w14:textId="77777777" w:rsidR="008E7846" w:rsidRPr="001B0B74" w:rsidRDefault="00324E45" w:rsidP="0082593F">
            <w:pPr>
              <w:rPr>
                <w:i/>
              </w:rPr>
            </w:pPr>
            <w:r w:rsidRPr="001B0B74">
              <w:rPr>
                <w:i/>
              </w:rPr>
              <w:t>Strengths:</w:t>
            </w:r>
          </w:p>
        </w:tc>
        <w:tc>
          <w:tcPr>
            <w:tcW w:w="6307" w:type="dxa"/>
          </w:tcPr>
          <w:p w14:paraId="799C8EC8" w14:textId="77777777" w:rsidR="008E7846" w:rsidRPr="001B0B74" w:rsidRDefault="0082593F" w:rsidP="00D61FDA">
            <w:r w:rsidRPr="001B0B74">
              <w:t>100</w:t>
            </w:r>
            <w:r w:rsidR="00D61FDA" w:rsidRPr="001B0B74">
              <w:t> </w:t>
            </w:r>
            <w:r w:rsidRPr="001B0B74">
              <w:t>mg and 200</w:t>
            </w:r>
            <w:r w:rsidR="00D61FDA" w:rsidRPr="001B0B74">
              <w:t> </w:t>
            </w:r>
            <w:r w:rsidRPr="001B0B74">
              <w:t>mg</w:t>
            </w:r>
          </w:p>
        </w:tc>
      </w:tr>
      <w:tr w:rsidR="008E7846" w:rsidRPr="001B0B74" w14:paraId="4B63AF62" w14:textId="77777777" w:rsidTr="00BF1190">
        <w:tc>
          <w:tcPr>
            <w:tcW w:w="2907" w:type="dxa"/>
          </w:tcPr>
          <w:p w14:paraId="5D559FED" w14:textId="77777777" w:rsidR="008E7846" w:rsidRPr="001B0B74" w:rsidRDefault="008E7846" w:rsidP="00802C77">
            <w:pPr>
              <w:rPr>
                <w:i/>
              </w:rPr>
            </w:pPr>
            <w:r w:rsidRPr="001B0B74">
              <w:rPr>
                <w:i/>
              </w:rPr>
              <w:t>Container:</w:t>
            </w:r>
          </w:p>
        </w:tc>
        <w:tc>
          <w:tcPr>
            <w:tcW w:w="6307" w:type="dxa"/>
          </w:tcPr>
          <w:p w14:paraId="38E52FB3" w14:textId="77777777" w:rsidR="008E7846" w:rsidRPr="001B0B74" w:rsidRDefault="00802C77" w:rsidP="00E45619">
            <w:r w:rsidRPr="001B0B74">
              <w:t>Bottle</w:t>
            </w:r>
          </w:p>
        </w:tc>
      </w:tr>
      <w:tr w:rsidR="008E7846" w:rsidRPr="001B0B74" w14:paraId="736A7E53" w14:textId="77777777" w:rsidTr="00BF1190">
        <w:tc>
          <w:tcPr>
            <w:tcW w:w="2907" w:type="dxa"/>
          </w:tcPr>
          <w:p w14:paraId="4A4C15C6" w14:textId="77777777" w:rsidR="008E7846" w:rsidRPr="001B0B74" w:rsidRDefault="008E7846" w:rsidP="00802C77">
            <w:pPr>
              <w:rPr>
                <w:i/>
              </w:rPr>
            </w:pPr>
            <w:r w:rsidRPr="001B0B74">
              <w:rPr>
                <w:i/>
              </w:rPr>
              <w:t>Pack size:</w:t>
            </w:r>
          </w:p>
        </w:tc>
        <w:tc>
          <w:tcPr>
            <w:tcW w:w="6307" w:type="dxa"/>
          </w:tcPr>
          <w:p w14:paraId="63EC183B" w14:textId="77777777" w:rsidR="008E7846" w:rsidRPr="001B0B74" w:rsidRDefault="00802C77" w:rsidP="00E45619">
            <w:r w:rsidRPr="001B0B74">
              <w:t>30</w:t>
            </w:r>
          </w:p>
        </w:tc>
      </w:tr>
      <w:tr w:rsidR="008E7846" w:rsidRPr="001B0B74" w14:paraId="64F8E2D0" w14:textId="77777777" w:rsidTr="00BF1190">
        <w:tc>
          <w:tcPr>
            <w:tcW w:w="2907" w:type="dxa"/>
          </w:tcPr>
          <w:p w14:paraId="577D2FC3" w14:textId="77777777" w:rsidR="008E7846" w:rsidRPr="001B0B74" w:rsidRDefault="008E7846" w:rsidP="001B5C90">
            <w:pPr>
              <w:rPr>
                <w:i/>
              </w:rPr>
            </w:pPr>
            <w:r w:rsidRPr="001B0B74">
              <w:rPr>
                <w:i/>
              </w:rPr>
              <w:t xml:space="preserve">Approved </w:t>
            </w:r>
            <w:r w:rsidR="001B5C90" w:rsidRPr="001B0B74">
              <w:rPr>
                <w:i/>
              </w:rPr>
              <w:t>t</w:t>
            </w:r>
            <w:r w:rsidRPr="001B0B74">
              <w:rPr>
                <w:i/>
              </w:rPr>
              <w:t>herapeutic use:</w:t>
            </w:r>
          </w:p>
        </w:tc>
        <w:tc>
          <w:tcPr>
            <w:tcW w:w="6307" w:type="dxa"/>
          </w:tcPr>
          <w:p w14:paraId="789E1E2F" w14:textId="77777777" w:rsidR="008E7846" w:rsidRPr="001B0B74" w:rsidRDefault="0082593F" w:rsidP="00E45619">
            <w:pPr>
              <w:rPr>
                <w:rFonts w:eastAsia="MS Mincho"/>
                <w:lang w:eastAsia="ja-JP"/>
              </w:rPr>
            </w:pPr>
            <w:r w:rsidRPr="001B0B74">
              <w:t>Not applicable</w:t>
            </w:r>
          </w:p>
        </w:tc>
      </w:tr>
      <w:tr w:rsidR="008E7846" w:rsidRPr="001B0B74" w14:paraId="5D12C6A2" w14:textId="77777777" w:rsidTr="00BF1190">
        <w:tc>
          <w:tcPr>
            <w:tcW w:w="2907" w:type="dxa"/>
          </w:tcPr>
          <w:p w14:paraId="3B223B93" w14:textId="77777777" w:rsidR="008E7846" w:rsidRPr="001B0B74" w:rsidRDefault="008E7846" w:rsidP="00802C77">
            <w:pPr>
              <w:rPr>
                <w:i/>
              </w:rPr>
            </w:pPr>
            <w:r w:rsidRPr="001B0B74">
              <w:rPr>
                <w:i/>
              </w:rPr>
              <w:t>Route of administration:</w:t>
            </w:r>
          </w:p>
        </w:tc>
        <w:tc>
          <w:tcPr>
            <w:tcW w:w="6307" w:type="dxa"/>
          </w:tcPr>
          <w:p w14:paraId="2B545377" w14:textId="77777777" w:rsidR="008E7846" w:rsidRPr="001B0B74" w:rsidRDefault="00802C77" w:rsidP="00E45619">
            <w:r w:rsidRPr="001B0B74">
              <w:t>Oral</w:t>
            </w:r>
          </w:p>
        </w:tc>
      </w:tr>
      <w:tr w:rsidR="008E7846" w:rsidRPr="001B0B74" w14:paraId="2CF384F2" w14:textId="77777777" w:rsidTr="00BF1190">
        <w:tc>
          <w:tcPr>
            <w:tcW w:w="2907" w:type="dxa"/>
          </w:tcPr>
          <w:p w14:paraId="345B1CDA" w14:textId="77777777" w:rsidR="008E7846" w:rsidRPr="001B0B74" w:rsidRDefault="008E7846" w:rsidP="00E45619">
            <w:pPr>
              <w:rPr>
                <w:i/>
              </w:rPr>
            </w:pPr>
            <w:r w:rsidRPr="001B0B74">
              <w:rPr>
                <w:i/>
              </w:rPr>
              <w:t>Dosage:</w:t>
            </w:r>
          </w:p>
        </w:tc>
        <w:tc>
          <w:tcPr>
            <w:tcW w:w="6307" w:type="dxa"/>
          </w:tcPr>
          <w:p w14:paraId="266EB588" w14:textId="5E48B9B2" w:rsidR="00802C77" w:rsidRPr="001B0B74" w:rsidRDefault="00802C77" w:rsidP="00802C77">
            <w:r w:rsidRPr="001B0B74">
              <w:t xml:space="preserve">The recommended dose of </w:t>
            </w:r>
            <w:r w:rsidR="00D61FDA" w:rsidRPr="001B0B74">
              <w:t>Jyseleca</w:t>
            </w:r>
            <w:r w:rsidRPr="001B0B74">
              <w:t xml:space="preserve"> for adult patients with rheumatoid arthritis (RA)</w:t>
            </w:r>
            <w:r w:rsidR="00103EEB" w:rsidRPr="001B0B74">
              <w:t xml:space="preserve"> is 200 mg once daily. A dose of 100 </w:t>
            </w:r>
            <w:r w:rsidRPr="001B0B74">
              <w:t xml:space="preserve">mg of </w:t>
            </w:r>
            <w:r w:rsidR="00D61FDA" w:rsidRPr="001B0B74">
              <w:t>Jyseleca</w:t>
            </w:r>
            <w:r w:rsidRPr="001B0B74">
              <w:t xml:space="preserve"> </w:t>
            </w:r>
            <w:r w:rsidR="00CD74BB" w:rsidRPr="001B0B74">
              <w:t xml:space="preserve">once daily </w:t>
            </w:r>
            <w:r w:rsidRPr="001B0B74">
              <w:t>is recommended for patients</w:t>
            </w:r>
            <w:r w:rsidR="00103EEB" w:rsidRPr="001B0B74">
              <w:t xml:space="preserve"> with moderate (eGFR 30 to &lt; 60 mL/min/1.73 </w:t>
            </w:r>
            <w:r w:rsidRPr="001B0B74">
              <w:t>m</w:t>
            </w:r>
            <w:r w:rsidRPr="001B0B74">
              <w:rPr>
                <w:vertAlign w:val="superscript"/>
              </w:rPr>
              <w:t>2</w:t>
            </w:r>
            <w:r w:rsidRPr="001B0B74">
              <w:t>) or severe re</w:t>
            </w:r>
            <w:r w:rsidR="00103EEB" w:rsidRPr="001B0B74">
              <w:t>nal impairment (eGFR 15 to &lt; 30 mL/min/1.73 </w:t>
            </w:r>
            <w:r w:rsidRPr="001B0B74">
              <w:t>m</w:t>
            </w:r>
            <w:r w:rsidRPr="001B0B74">
              <w:rPr>
                <w:vertAlign w:val="superscript"/>
              </w:rPr>
              <w:t>2</w:t>
            </w:r>
            <w:r w:rsidRPr="001B0B74">
              <w:t xml:space="preserve">). </w:t>
            </w:r>
            <w:r w:rsidR="00D61FDA" w:rsidRPr="001B0B74">
              <w:t>Jyseleca</w:t>
            </w:r>
            <w:r w:rsidRPr="001B0B74">
              <w:t xml:space="preserve"> may be used as monotherapy or in combination with </w:t>
            </w:r>
            <w:r w:rsidR="00103EEB" w:rsidRPr="001B0B74">
              <w:t>methotrexate</w:t>
            </w:r>
            <w:r w:rsidRPr="001B0B74">
              <w:t xml:space="preserve"> or other </w:t>
            </w:r>
            <w:r w:rsidR="00784E59" w:rsidRPr="001B0B74">
              <w:t>conventional synthetic disease modifying anti-rheumatic drugs (</w:t>
            </w:r>
            <w:r w:rsidRPr="001B0B74">
              <w:t>csDMARDs</w:t>
            </w:r>
            <w:r w:rsidR="00784E59" w:rsidRPr="001B0B74">
              <w:t>)</w:t>
            </w:r>
            <w:r w:rsidRPr="001B0B74">
              <w:t>.</w:t>
            </w:r>
          </w:p>
          <w:p w14:paraId="0036F030" w14:textId="4BE75DED" w:rsidR="00802C77" w:rsidRPr="001B0B74" w:rsidRDefault="00802C77" w:rsidP="00802C77">
            <w:r w:rsidRPr="001B0B74">
              <w:t>No dose adjustment is required for elderly patients. Clinical studies includ</w:t>
            </w:r>
            <w:r w:rsidR="00784E59" w:rsidRPr="001B0B74">
              <w:t>ed 722 patients with RA aged 65 </w:t>
            </w:r>
            <w:r w:rsidRPr="001B0B74">
              <w:t xml:space="preserve">years and over who received </w:t>
            </w:r>
            <w:r w:rsidR="00D61FDA" w:rsidRPr="001B0B74">
              <w:t>Jyseleca</w:t>
            </w:r>
            <w:r w:rsidRPr="001B0B74">
              <w:t xml:space="preserve"> (N</w:t>
            </w:r>
            <w:r w:rsidR="00784E59" w:rsidRPr="001B0B74">
              <w:t xml:space="preserve"> </w:t>
            </w:r>
            <w:r w:rsidRPr="001B0B74">
              <w:t>=</w:t>
            </w:r>
            <w:r w:rsidR="00784E59" w:rsidRPr="001B0B74">
              <w:t xml:space="preserve"> </w:t>
            </w:r>
            <w:r w:rsidRPr="001B0B74">
              <w:t xml:space="preserve">405 received </w:t>
            </w:r>
            <w:r w:rsidR="00D61FDA" w:rsidRPr="001B0B74">
              <w:t>Jyseleca</w:t>
            </w:r>
            <w:r w:rsidR="00784E59" w:rsidRPr="001B0B74">
              <w:t xml:space="preserve"> 200 </w:t>
            </w:r>
            <w:r w:rsidRPr="001B0B74">
              <w:t xml:space="preserve">mg </w:t>
            </w:r>
            <w:r w:rsidR="00CD74BB" w:rsidRPr="001B0B74">
              <w:t>once daily</w:t>
            </w:r>
            <w:r w:rsidRPr="001B0B74">
              <w:t xml:space="preserve"> and N</w:t>
            </w:r>
            <w:r w:rsidR="00784E59" w:rsidRPr="001B0B74">
              <w:t xml:space="preserve"> </w:t>
            </w:r>
            <w:r w:rsidRPr="001B0B74">
              <w:t>=</w:t>
            </w:r>
            <w:r w:rsidR="00784E59" w:rsidRPr="001B0B74">
              <w:t xml:space="preserve"> </w:t>
            </w:r>
            <w:r w:rsidRPr="001B0B74">
              <w:t xml:space="preserve">317 received </w:t>
            </w:r>
            <w:r w:rsidR="00D61FDA" w:rsidRPr="001B0B74">
              <w:t>Jyseleca</w:t>
            </w:r>
            <w:r w:rsidR="00784E59" w:rsidRPr="001B0B74">
              <w:t xml:space="preserve"> 100 </w:t>
            </w:r>
            <w:r w:rsidRPr="001B0B74">
              <w:t xml:space="preserve">mg </w:t>
            </w:r>
            <w:r w:rsidR="00CD74BB" w:rsidRPr="001B0B74">
              <w:t>once daily</w:t>
            </w:r>
            <w:r w:rsidRPr="001B0B74">
              <w:t xml:space="preserve">). No differences in safety or efficacy have been observed between elderly </w:t>
            </w:r>
            <w:r w:rsidR="00784E59" w:rsidRPr="001B0B74">
              <w:t>patients and those less than 65 </w:t>
            </w:r>
            <w:r w:rsidRPr="001B0B74">
              <w:t>years of age. There are l</w:t>
            </w:r>
            <w:r w:rsidR="00784E59" w:rsidRPr="001B0B74">
              <w:t>imited data in patients aged 75 </w:t>
            </w:r>
            <w:r w:rsidRPr="001B0B74">
              <w:t>years and older.</w:t>
            </w:r>
          </w:p>
          <w:p w14:paraId="56A90361" w14:textId="77777777" w:rsidR="00460036" w:rsidRPr="001B0B74" w:rsidRDefault="00460036" w:rsidP="00E45619">
            <w:r w:rsidRPr="001B0B74">
              <w:t>For further information regarding dosage, refer to the Product Information.</w:t>
            </w:r>
          </w:p>
        </w:tc>
      </w:tr>
      <w:tr w:rsidR="00460036" w:rsidRPr="001B0B74" w14:paraId="0FD31667" w14:textId="77777777" w:rsidTr="00BF1190">
        <w:tc>
          <w:tcPr>
            <w:tcW w:w="2907" w:type="dxa"/>
          </w:tcPr>
          <w:p w14:paraId="153FFE93" w14:textId="77777777" w:rsidR="00460036" w:rsidRPr="001B0B74" w:rsidRDefault="00460036" w:rsidP="00E45619">
            <w:pPr>
              <w:rPr>
                <w:i/>
              </w:rPr>
            </w:pPr>
            <w:r w:rsidRPr="001B0B74">
              <w:rPr>
                <w:i/>
              </w:rPr>
              <w:t>Pregnancy category:</w:t>
            </w:r>
          </w:p>
        </w:tc>
        <w:tc>
          <w:tcPr>
            <w:tcW w:w="6307" w:type="dxa"/>
          </w:tcPr>
          <w:p w14:paraId="53160BE4" w14:textId="77777777" w:rsidR="00460036" w:rsidRPr="001B0B74" w:rsidRDefault="0082593F" w:rsidP="0082593F">
            <w:r w:rsidRPr="001B0B74">
              <w:t>Not applicable</w:t>
            </w:r>
          </w:p>
        </w:tc>
      </w:tr>
    </w:tbl>
    <w:p w14:paraId="300F2876" w14:textId="77777777" w:rsidR="008E7846" w:rsidRPr="001B0B74" w:rsidRDefault="008E7846" w:rsidP="008E7846">
      <w:pPr>
        <w:pStyle w:val="Heading3"/>
      </w:pPr>
      <w:bookmarkStart w:id="12" w:name="_Toc247691503"/>
      <w:bookmarkStart w:id="13" w:name="_Toc314842484"/>
      <w:bookmarkStart w:id="14" w:name="_Toc72750577"/>
      <w:r w:rsidRPr="001B0B74">
        <w:t>Product background</w:t>
      </w:r>
      <w:bookmarkEnd w:id="12"/>
      <w:bookmarkEnd w:id="13"/>
      <w:bookmarkEnd w:id="14"/>
    </w:p>
    <w:p w14:paraId="509015CD" w14:textId="47C60375" w:rsidR="008E7846" w:rsidRPr="001B0B74" w:rsidRDefault="00250271" w:rsidP="00940A89">
      <w:r w:rsidRPr="001B0B74">
        <w:t>This AusPA</w:t>
      </w:r>
      <w:r w:rsidR="00131434" w:rsidRPr="001B0B74">
        <w:t xml:space="preserve">R describes the application by Gilead Sciences Pty Ltd (the sponsor) to register Jyseleca </w:t>
      </w:r>
      <w:r w:rsidRPr="001B0B74">
        <w:t>(</w:t>
      </w:r>
      <w:r w:rsidR="00131434" w:rsidRPr="001B0B74">
        <w:t>filgotinib</w:t>
      </w:r>
      <w:r w:rsidR="00FF0A31" w:rsidRPr="001B0B74">
        <w:t xml:space="preserve"> </w:t>
      </w:r>
      <w:r w:rsidR="00131434" w:rsidRPr="001B0B74">
        <w:t>maleate</w:t>
      </w:r>
      <w:r w:rsidRPr="001B0B74">
        <w:t xml:space="preserve">) </w:t>
      </w:r>
      <w:r w:rsidR="00131434" w:rsidRPr="001B0B74">
        <w:t>100</w:t>
      </w:r>
      <w:r w:rsidR="00784E59" w:rsidRPr="001B0B74">
        <w:t> </w:t>
      </w:r>
      <w:r w:rsidR="00131434" w:rsidRPr="001B0B74">
        <w:t>mg and 200</w:t>
      </w:r>
      <w:r w:rsidR="00784E59" w:rsidRPr="001B0B74">
        <w:t> </w:t>
      </w:r>
      <w:r w:rsidR="00131434" w:rsidRPr="001B0B74">
        <w:t>mg</w:t>
      </w:r>
      <w:r w:rsidRPr="001B0B74">
        <w:t xml:space="preserve">, </w:t>
      </w:r>
      <w:r w:rsidR="00131434" w:rsidRPr="001B0B74">
        <w:t>film</w:t>
      </w:r>
      <w:r w:rsidR="00784E59" w:rsidRPr="001B0B74">
        <w:t xml:space="preserve"> </w:t>
      </w:r>
      <w:r w:rsidR="00131434" w:rsidRPr="001B0B74">
        <w:t>coated tablet</w:t>
      </w:r>
      <w:r w:rsidRPr="001B0B74">
        <w:t xml:space="preserve"> for th</w:t>
      </w:r>
      <w:r w:rsidR="00131434" w:rsidRPr="001B0B74">
        <w:t>e following proposed indication</w:t>
      </w:r>
      <w:r w:rsidR="00CF5DAD" w:rsidRPr="001B0B74">
        <w:t>:</w:t>
      </w:r>
    </w:p>
    <w:p w14:paraId="42A138A2" w14:textId="77777777" w:rsidR="00A511B3" w:rsidRPr="001B0B74" w:rsidRDefault="00D61FDA" w:rsidP="00A511B3">
      <w:pPr>
        <w:ind w:left="720"/>
        <w:rPr>
          <w:i/>
        </w:rPr>
      </w:pPr>
      <w:r w:rsidRPr="001B0B74">
        <w:rPr>
          <w:i/>
        </w:rPr>
        <w:t>Jyseleca</w:t>
      </w:r>
      <w:r w:rsidR="00A511B3" w:rsidRPr="001B0B74">
        <w:rPr>
          <w:i/>
        </w:rPr>
        <w:t xml:space="preserve"> is indicated for the treatment of adult patients with moderately to severely active rheumatoid arthritis (RA). It may be used as monotherapy, or in combination with methotrexate (MTX) or other conventional synthetic DMARDs (csDMARDs).</w:t>
      </w:r>
    </w:p>
    <w:p w14:paraId="3E066C8D" w14:textId="0AAD7B7F" w:rsidR="009670BB" w:rsidRPr="001B0B74" w:rsidRDefault="00A35445" w:rsidP="00680D63">
      <w:r w:rsidRPr="001B0B74">
        <w:t>Rheumatoid arthritis</w:t>
      </w:r>
      <w:r w:rsidR="0034361C" w:rsidRPr="001B0B74">
        <w:t xml:space="preserve"> (RA)</w:t>
      </w:r>
      <w:r w:rsidR="009670BB" w:rsidRPr="001B0B74">
        <w:t xml:space="preserve"> is an autoimmune systemic inflammatory disorder of unknown aetiology that typically presents as a bilateral symmetrical polyarthropathy of the peripheral synovial joints, but may also present as a monoarthritis, or with non-specific systemic features including myalgia, fatigue, low grade fever and weight loss before progressing to a more typical polyarthritis. As RA progresses, it may involve more proximal joints and be associated with a number of systemic a</w:t>
      </w:r>
      <w:r w:rsidR="00680D63" w:rsidRPr="001B0B74">
        <w:t>nd non-articular manifestations</w:t>
      </w:r>
      <w:r w:rsidR="009670BB" w:rsidRPr="001B0B74">
        <w:t>. The initial symptoms and signs are typically joint pain and swelling, morning joint stiffness and decreased grip strength. Progression results in disabling joint deformities within 10 to 20</w:t>
      </w:r>
      <w:r w:rsidR="00680D63" w:rsidRPr="001B0B74">
        <w:t> </w:t>
      </w:r>
      <w:r w:rsidR="009670BB" w:rsidRPr="001B0B74">
        <w:t>years. The prevalence of RA is about 1%, with women more commonly affected than men.</w:t>
      </w:r>
    </w:p>
    <w:p w14:paraId="6506B207" w14:textId="442B739E" w:rsidR="00690C60" w:rsidRPr="001B0B74" w:rsidRDefault="009670BB" w:rsidP="009670BB">
      <w:r w:rsidRPr="001B0B74">
        <w:t>Early detection and treatment of RA with disease</w:t>
      </w:r>
      <w:r w:rsidR="00A10408" w:rsidRPr="001B0B74">
        <w:t xml:space="preserve"> </w:t>
      </w:r>
      <w:r w:rsidRPr="001B0B74">
        <w:t xml:space="preserve">modifying therapy is critical to control symptoms, normalise physical function, enable participation in social and work activities, prevent joint damage and minimise cardiovascular complications. Drug treatment options for RA include </w:t>
      </w:r>
      <w:r w:rsidR="00E973D5" w:rsidRPr="001B0B74">
        <w:t>many otherwise unrelated agents that together are categorised as disease-modifying anti-rheumatic drugs (DMARDs)</w:t>
      </w:r>
      <w:r w:rsidR="00690C60" w:rsidRPr="001B0B74">
        <w:t xml:space="preserve">. DMARDs can be subcategorised into </w:t>
      </w:r>
      <w:r w:rsidR="0082608C" w:rsidRPr="001B0B74">
        <w:t>i) </w:t>
      </w:r>
      <w:r w:rsidR="00690C60" w:rsidRPr="001B0B74">
        <w:t>synthetic DMARDs (sDMARDs), itself divided into conventional synthetic DMARDs (csDMARDs) and targeted synthetic DMARDs (tsDMARDs); and</w:t>
      </w:r>
      <w:r w:rsidR="0082608C" w:rsidRPr="001B0B74">
        <w:t xml:space="preserve"> ii) the</w:t>
      </w:r>
      <w:r w:rsidR="00690C60" w:rsidRPr="001B0B74">
        <w:t xml:space="preserve"> biological DMARDs (bDMARDs).</w:t>
      </w:r>
    </w:p>
    <w:p w14:paraId="177F44ED" w14:textId="579EAF74" w:rsidR="009670BB" w:rsidRPr="001B0B74" w:rsidRDefault="0082608C" w:rsidP="009670BB">
      <w:r w:rsidRPr="001B0B74">
        <w:t xml:space="preserve">The </w:t>
      </w:r>
      <w:r w:rsidR="009670BB" w:rsidRPr="001B0B74">
        <w:t>most frequently</w:t>
      </w:r>
      <w:r w:rsidRPr="001B0B74">
        <w:t xml:space="preserve"> used csDMARD is</w:t>
      </w:r>
      <w:r w:rsidR="009670BB" w:rsidRPr="001B0B74">
        <w:t xml:space="preserve"> </w:t>
      </w:r>
      <w:r w:rsidR="00E973D5" w:rsidRPr="001B0B74">
        <w:t>methotrexate</w:t>
      </w:r>
      <w:r w:rsidR="009670BB" w:rsidRPr="001B0B74">
        <w:t>,</w:t>
      </w:r>
      <w:r w:rsidR="00E973D5" w:rsidRPr="001B0B74">
        <w:t xml:space="preserve"> but</w:t>
      </w:r>
      <w:r w:rsidR="009670BB" w:rsidRPr="001B0B74">
        <w:t xml:space="preserve"> </w:t>
      </w:r>
      <w:r w:rsidRPr="001B0B74">
        <w:t xml:space="preserve">others include </w:t>
      </w:r>
      <w:r w:rsidR="009670BB" w:rsidRPr="001B0B74">
        <w:t xml:space="preserve">sulfasalazine, </w:t>
      </w:r>
      <w:r w:rsidR="00A10408" w:rsidRPr="001B0B74">
        <w:t>hydroxychloroquine</w:t>
      </w:r>
      <w:r w:rsidR="009670BB" w:rsidRPr="001B0B74">
        <w:t xml:space="preserve"> and leflunomide, with or without </w:t>
      </w:r>
      <w:r w:rsidRPr="001B0B74">
        <w:t xml:space="preserve">the use of </w:t>
      </w:r>
      <w:r w:rsidR="009670BB" w:rsidRPr="001B0B74">
        <w:t xml:space="preserve">a corticosteroid. A range of </w:t>
      </w:r>
      <w:r w:rsidR="00C70639" w:rsidRPr="001B0B74">
        <w:t>bDMARDs</w:t>
      </w:r>
      <w:r w:rsidR="00056DBE" w:rsidRPr="001B0B74">
        <w:t xml:space="preserve"> and tsDMARDs</w:t>
      </w:r>
      <w:r w:rsidR="009670BB" w:rsidRPr="001B0B74">
        <w:t xml:space="preserve"> have been included </w:t>
      </w:r>
      <w:r w:rsidR="00955D95" w:rsidRPr="001B0B74">
        <w:t>o</w:t>
      </w:r>
      <w:r w:rsidR="009670BB" w:rsidRPr="001B0B74">
        <w:t xml:space="preserve">n the </w:t>
      </w:r>
      <w:r w:rsidR="00286710" w:rsidRPr="001B0B74">
        <w:t>Australian Register of Therapeutic Goods (</w:t>
      </w:r>
      <w:r w:rsidR="009670BB" w:rsidRPr="001B0B74">
        <w:t>ARTG</w:t>
      </w:r>
      <w:r w:rsidR="00286710" w:rsidRPr="001B0B74">
        <w:t>)</w:t>
      </w:r>
      <w:r w:rsidR="009670BB" w:rsidRPr="001B0B74">
        <w:t xml:space="preserve"> as second</w:t>
      </w:r>
      <w:r w:rsidR="00286710" w:rsidRPr="001B0B74">
        <w:t xml:space="preserve"> </w:t>
      </w:r>
      <w:r w:rsidR="009670BB" w:rsidRPr="001B0B74">
        <w:t xml:space="preserve">line </w:t>
      </w:r>
      <w:r w:rsidRPr="001B0B74">
        <w:t>agents</w:t>
      </w:r>
      <w:r w:rsidR="009670BB" w:rsidRPr="001B0B74">
        <w:t>. Currently registered bDMARDs in Australia include the tumour necrosis factor (TNF)</w:t>
      </w:r>
      <w:r w:rsidR="00AB1AC5" w:rsidRPr="001B0B74">
        <w:t xml:space="preserve"> </w:t>
      </w:r>
      <w:r w:rsidR="009670BB" w:rsidRPr="001B0B74">
        <w:t>inhibitors adalimumab, certolizumab pegol, golimumab, infliximab and etanercept, the</w:t>
      </w:r>
      <w:r w:rsidRPr="001B0B74">
        <w:t xml:space="preserve"> </w:t>
      </w:r>
      <w:r w:rsidR="009670BB" w:rsidRPr="001B0B74">
        <w:t>interleukin (IL)</w:t>
      </w:r>
      <w:r w:rsidRPr="001B0B74">
        <w:t>-</w:t>
      </w:r>
      <w:r w:rsidR="009670BB" w:rsidRPr="001B0B74">
        <w:t>6 inhibitor tocilizumab and other immunomodulators including abatacept. The bDMARDs are all administered by subcutaneous injection or intravenous infusion at periods ranging from weekly to eight</w:t>
      </w:r>
      <w:r w:rsidR="00DF0A5F" w:rsidRPr="001B0B74">
        <w:t xml:space="preserve"> </w:t>
      </w:r>
      <w:r w:rsidR="009670BB" w:rsidRPr="001B0B74">
        <w:t>weekly depending on the drug and the disease severity. The bDMARDs share a range of adverse effects including increased risk of infections and infestations, reactivation of pulmonary tuberculosis</w:t>
      </w:r>
      <w:r w:rsidR="00BA2843" w:rsidRPr="001B0B74">
        <w:t xml:space="preserve"> (TB)</w:t>
      </w:r>
      <w:r w:rsidR="009670BB" w:rsidRPr="001B0B74">
        <w:t>, blood dyscrasias, demyelinating syndromes, lymphoproliferative disease and precipitation of cardiac failure.</w:t>
      </w:r>
    </w:p>
    <w:p w14:paraId="0883FA90" w14:textId="528C3E8F" w:rsidR="009670BB" w:rsidRPr="001B0B74" w:rsidRDefault="009670BB" w:rsidP="009670BB">
      <w:r w:rsidRPr="001B0B74">
        <w:t xml:space="preserve">More recently, oral anti-cytokine treatments, the Janus </w:t>
      </w:r>
      <w:r w:rsidR="0082608C" w:rsidRPr="001B0B74">
        <w:t>k</w:t>
      </w:r>
      <w:r w:rsidRPr="001B0B74">
        <w:t>inase</w:t>
      </w:r>
      <w:r w:rsidR="00CD74BB" w:rsidRPr="001B0B74">
        <w:t xml:space="preserve"> (JAK)</w:t>
      </w:r>
      <w:r w:rsidRPr="001B0B74">
        <w:t xml:space="preserve"> inhibitors entered the market. JAK</w:t>
      </w:r>
      <w:r w:rsidR="0049081C" w:rsidRPr="001B0B74">
        <w:t xml:space="preserve"> inhibitors</w:t>
      </w:r>
      <w:r w:rsidRPr="001B0B74">
        <w:t xml:space="preserve"> are classified by the European League Against Rheumatism (EULAR) as tsDMARDs.</w:t>
      </w:r>
      <w:r w:rsidR="0082608C" w:rsidRPr="001B0B74">
        <w:t xml:space="preserve"> </w:t>
      </w:r>
      <w:r w:rsidRPr="001B0B74">
        <w:t>The JAK proteins are intracellular molecules invo</w:t>
      </w:r>
      <w:r w:rsidR="00D45411" w:rsidRPr="001B0B74">
        <w:t>lved in signal transduction of T</w:t>
      </w:r>
      <w:r w:rsidRPr="001B0B74">
        <w:t xml:space="preserve">ype I and II cytokine receptors including the IL6 receptor. There are four JAK isoforms, JAK1, JAK2, </w:t>
      </w:r>
      <w:r w:rsidR="00D45411" w:rsidRPr="001B0B74">
        <w:t>JAK3 and tyrosine kinase (TYK</w:t>
      </w:r>
      <w:r w:rsidRPr="001B0B74">
        <w:t>)</w:t>
      </w:r>
      <w:r w:rsidR="00D45411" w:rsidRPr="001B0B74">
        <w:t>2</w:t>
      </w:r>
      <w:r w:rsidRPr="001B0B74">
        <w:t xml:space="preserve">, which act in pairs to phosphorylate other intracellular proteins including members of the signal transducer and activator of transcription (STAT) family of </w:t>
      </w:r>
      <w:r w:rsidR="00971315" w:rsidRPr="001B0B74">
        <w:t>deoxyribonucleic acid (</w:t>
      </w:r>
      <w:r w:rsidRPr="001B0B74">
        <w:t>DNA</w:t>
      </w:r>
      <w:r w:rsidR="00971315" w:rsidRPr="001B0B74">
        <w:t>)</w:t>
      </w:r>
      <w:r w:rsidRPr="001B0B74">
        <w:t xml:space="preserve"> binding proteins. Phosphorylation of STATs promotes their translocation to the cell nucleus and subsequent gene transcription. Thus JAKs are directly and indirectly involved in a range of immune and homeostatic functions, which may be interrupted or modified by the JAK</w:t>
      </w:r>
      <w:r w:rsidR="00CD74BB" w:rsidRPr="001B0B74">
        <w:t xml:space="preserve"> inhibitors</w:t>
      </w:r>
      <w:r w:rsidRPr="001B0B74">
        <w:t>.</w:t>
      </w:r>
    </w:p>
    <w:p w14:paraId="4A301E35" w14:textId="75A75281" w:rsidR="009670BB" w:rsidRPr="001B0B74" w:rsidRDefault="009670BB" w:rsidP="009670BB">
      <w:r w:rsidRPr="001B0B74">
        <w:t>The selectivity of the JAK</w:t>
      </w:r>
      <w:r w:rsidR="00CD74BB" w:rsidRPr="001B0B74">
        <w:t xml:space="preserve"> inhibitors</w:t>
      </w:r>
      <w:r w:rsidRPr="001B0B74">
        <w:t xml:space="preserve"> for particular JAKs influences the type and severity of on-target and off-target effects, and thus the safety profiles of these drugs. JAK1 is preferentially expressed in T</w:t>
      </w:r>
      <w:r w:rsidR="000B7FB8" w:rsidRPr="001B0B74">
        <w:noBreakHyphen/>
      </w:r>
      <w:r w:rsidRPr="001B0B74">
        <w:t>lymphocytes and mediates the common γ chain cytokines, including IL2, IL4, IL7, IL9, IL15 and IL21, which are integral to lymphocyte activation, p</w:t>
      </w:r>
      <w:r w:rsidR="009B0F56" w:rsidRPr="001B0B74">
        <w:t>roliferation and function. The s</w:t>
      </w:r>
      <w:r w:rsidRPr="001B0B74">
        <w:t>ponsor submits that owing to its selectivity for JAK1, filgotinib presents a safety advantage over tofacitinib, with relative selectivity for JAK1 and JAK3, and over baricitinib, with relative selectivity for JAK1 and JAK2.</w:t>
      </w:r>
    </w:p>
    <w:p w14:paraId="3303C46D" w14:textId="77777777" w:rsidR="009670BB" w:rsidRPr="001B0B74" w:rsidRDefault="009670BB" w:rsidP="009670BB">
      <w:r w:rsidRPr="001B0B74">
        <w:t xml:space="preserve">Inhibition of JAK mediated pathways is an established treatment approach for adult RA patients with </w:t>
      </w:r>
      <w:r w:rsidR="009B0F56" w:rsidRPr="001B0B74">
        <w:t>three</w:t>
      </w:r>
      <w:r w:rsidRPr="001B0B74">
        <w:t xml:space="preserve"> current JAK inhibitors (tofacitinib, baricitinib and upadacitinib) already approved in Australia for this indication. </w:t>
      </w:r>
      <w:r w:rsidR="006703B9" w:rsidRPr="001B0B74">
        <w:t xml:space="preserve">Filgotinib </w:t>
      </w:r>
      <w:r w:rsidRPr="001B0B74">
        <w:t>is a potent inhibitor of the JAK family of kinases, with greater affinity for the JAK1 isoform (</w:t>
      </w:r>
      <w:r w:rsidRPr="001B0B74">
        <w:rPr>
          <w:i/>
        </w:rPr>
        <w:t>in vitro</w:t>
      </w:r>
      <w:r w:rsidRPr="001B0B74">
        <w:t xml:space="preserve">) and less potency for the JAK2, JAK3 and </w:t>
      </w:r>
      <w:r w:rsidR="00B151A3" w:rsidRPr="001B0B74">
        <w:t>TYK</w:t>
      </w:r>
      <w:r w:rsidRPr="001B0B74">
        <w:t xml:space="preserve">2 enzyme systems. The JAK system is an intracellular pathway regulatory system that affects the release of cytokines and amplification of the inflammatory response. The JAKs phosphorylate their associated STATs resulting in STAT activation, which in turn leads to the expression of several genes important for cell activation, survival and proliferation. </w:t>
      </w:r>
      <w:r w:rsidR="006703B9" w:rsidRPr="001B0B74">
        <w:t xml:space="preserve">Filgotinib </w:t>
      </w:r>
      <w:r w:rsidRPr="001B0B74">
        <w:t xml:space="preserve">modulates the JAK-STAT pathway by transiently occupying the </w:t>
      </w:r>
      <w:r w:rsidR="006703B9" w:rsidRPr="001B0B74">
        <w:t>adenosine triphosphate (</w:t>
      </w:r>
      <w:r w:rsidRPr="001B0B74">
        <w:t>ATP</w:t>
      </w:r>
      <w:r w:rsidR="006703B9" w:rsidRPr="001B0B74">
        <w:t>)</w:t>
      </w:r>
      <w:r w:rsidRPr="001B0B74">
        <w:t xml:space="preserve"> binding pocket of the JAK, thereby preventing the kinase from phosphorylating other JAKs or STATs. Inhibition of either monomer of the JAK dimer blocks the production and signalling of several pro-inflammatory cytokines such as IL6, as well as gamma interferon. In combination, these effects decrease lymphocyte activation, proliferation and function, which are key immune response targets in successfully treating active RA. The sponsor hypothesises that the enhanced selectivity of </w:t>
      </w:r>
      <w:r w:rsidR="006703B9" w:rsidRPr="001B0B74">
        <w:t xml:space="preserve">filgotinib </w:t>
      </w:r>
      <w:r w:rsidRPr="001B0B74">
        <w:t>against JAK1 improves the benefit</w:t>
      </w:r>
      <w:r w:rsidR="001510F4" w:rsidRPr="001B0B74">
        <w:t xml:space="preserve"> </w:t>
      </w:r>
      <w:r w:rsidRPr="001B0B74">
        <w:t>risk profile in RA patients compared with less selective JAK inhibitors (</w:t>
      </w:r>
      <w:r w:rsidR="001510F4" w:rsidRPr="001B0B74">
        <w:t>for example,</w:t>
      </w:r>
      <w:r w:rsidRPr="001B0B74">
        <w:t xml:space="preserve"> baricitinib mainly inhibits the JAK1 and JAK2 isoforms; and tofacitinib is regarded as a pan-JAK inhibitor). The JAK1 enzyme system is particularly important in the signalling of IL6 and interferon-gamma induced inflammation, while having a reduced impact upon JAK2 and JAK3 pathways that are associated with haemopoietic growth factor signalling (in particular, erythropoietin) and host defence via the common gamma chain receptor signalling pathway.</w:t>
      </w:r>
    </w:p>
    <w:p w14:paraId="32935607" w14:textId="77777777" w:rsidR="008E7846" w:rsidRPr="001B0B74" w:rsidRDefault="00386150" w:rsidP="008E7846">
      <w:pPr>
        <w:pStyle w:val="Heading3"/>
      </w:pPr>
      <w:bookmarkStart w:id="15" w:name="_Toc314842485"/>
      <w:bookmarkStart w:id="16" w:name="_Toc247691504"/>
      <w:bookmarkStart w:id="17" w:name="_Toc72750578"/>
      <w:r w:rsidRPr="001B0B74">
        <w:t>Regulatory s</w:t>
      </w:r>
      <w:r w:rsidR="008E7846" w:rsidRPr="001B0B74">
        <w:t>tatus</w:t>
      </w:r>
      <w:bookmarkEnd w:id="15"/>
      <w:bookmarkEnd w:id="16"/>
      <w:bookmarkEnd w:id="17"/>
    </w:p>
    <w:p w14:paraId="59580882" w14:textId="77777777" w:rsidR="00940A89" w:rsidRPr="001B0B74" w:rsidRDefault="00006FAB" w:rsidP="00940A89">
      <w:bookmarkStart w:id="18" w:name="_Toc247691505"/>
      <w:bookmarkStart w:id="19" w:name="_Toc314842486"/>
      <w:r w:rsidRPr="001B0B74">
        <w:t>This produ</w:t>
      </w:r>
      <w:r w:rsidR="00146DD2" w:rsidRPr="001B0B74">
        <w:t xml:space="preserve">ct is considered a new chemical </w:t>
      </w:r>
      <w:r w:rsidRPr="001B0B74">
        <w:t>medicine for Australian regulatory purposes.</w:t>
      </w:r>
    </w:p>
    <w:p w14:paraId="214B4563" w14:textId="002C6B34" w:rsidR="00006FAB" w:rsidRPr="001B0B74" w:rsidRDefault="00006FAB" w:rsidP="00006FAB">
      <w:r w:rsidRPr="001B0B74">
        <w:t xml:space="preserve">At the time the TGA considered this application, a similar application had been approved </w:t>
      </w:r>
      <w:r w:rsidR="000F24A6" w:rsidRPr="001B0B74">
        <w:t>in European Union (EU) (on 24 September 2020) and Japan (</w:t>
      </w:r>
      <w:r w:rsidR="00C73D5E" w:rsidRPr="001B0B74">
        <w:t xml:space="preserve">on </w:t>
      </w:r>
      <w:r w:rsidR="000F24A6" w:rsidRPr="001B0B74">
        <w:t>25 September 2020)</w:t>
      </w:r>
      <w:r w:rsidR="0072759F" w:rsidRPr="001B0B74">
        <w:t xml:space="preserve">. </w:t>
      </w:r>
      <w:r w:rsidR="002B731A" w:rsidRPr="001B0B74">
        <w:t>A s</w:t>
      </w:r>
      <w:r w:rsidR="0072759F" w:rsidRPr="001B0B74">
        <w:t>imilar application</w:t>
      </w:r>
      <w:r w:rsidR="002B731A" w:rsidRPr="001B0B74">
        <w:t xml:space="preserve"> was</w:t>
      </w:r>
      <w:r w:rsidR="0072759F" w:rsidRPr="001B0B74">
        <w:t xml:space="preserve"> </w:t>
      </w:r>
      <w:r w:rsidR="000F24A6" w:rsidRPr="001B0B74">
        <w:t xml:space="preserve">withdrawn in </w:t>
      </w:r>
      <w:r w:rsidR="00C73D5E" w:rsidRPr="001B0B74">
        <w:t>Canada (</w:t>
      </w:r>
      <w:r w:rsidR="000F24A6" w:rsidRPr="001B0B74">
        <w:t>on 6 January 2021)</w:t>
      </w:r>
      <w:r w:rsidR="002B731A" w:rsidRPr="001B0B74">
        <w:t>. A similar application has received a Complete Response Letter</w:t>
      </w:r>
      <w:bookmarkStart w:id="20" w:name="_Ref70948375"/>
      <w:r w:rsidR="001F2B70" w:rsidRPr="001B0B74">
        <w:rPr>
          <w:rStyle w:val="FootnoteReference"/>
        </w:rPr>
        <w:footnoteReference w:id="2"/>
      </w:r>
      <w:bookmarkEnd w:id="20"/>
      <w:r w:rsidR="002B731A" w:rsidRPr="001B0B74">
        <w:t xml:space="preserve"> </w:t>
      </w:r>
      <w:r w:rsidR="0072759F" w:rsidRPr="001B0B74">
        <w:t>in the United States of America (USA) (on 18 August 2020). A similar application was</w:t>
      </w:r>
      <w:r w:rsidRPr="001B0B74">
        <w:t xml:space="preserve"> under consideration in</w:t>
      </w:r>
      <w:r w:rsidR="000F24A6" w:rsidRPr="001B0B74">
        <w:t xml:space="preserve"> Switzerland</w:t>
      </w:r>
      <w:r w:rsidRPr="001B0B74">
        <w:t xml:space="preserve"> (</w:t>
      </w:r>
      <w:r w:rsidR="000F24A6" w:rsidRPr="001B0B74">
        <w:t>submitted on 16 March 2020</w:t>
      </w:r>
      <w:r w:rsidRPr="001B0B74">
        <w:t>).</w:t>
      </w:r>
    </w:p>
    <w:p w14:paraId="5FB1987E" w14:textId="7CCA3434" w:rsidR="00324E45" w:rsidRPr="001B0B74" w:rsidRDefault="00324E45" w:rsidP="00324E45">
      <w:pPr>
        <w:pStyle w:val="TableTitle"/>
      </w:pPr>
      <w:r w:rsidRPr="001B0B74">
        <w:t xml:space="preserve">Table </w:t>
      </w:r>
      <w:fldSimple w:instr=" SEQ Table \* ARABIC ">
        <w:r w:rsidR="003A57FD">
          <w:rPr>
            <w:noProof/>
          </w:rPr>
          <w:t>1</w:t>
        </w:r>
      </w:fldSimple>
      <w:r w:rsidRPr="001B0B74">
        <w:t>: International regulatory status</w:t>
      </w:r>
    </w:p>
    <w:tbl>
      <w:tblPr>
        <w:tblStyle w:val="TableTGAblue"/>
        <w:tblW w:w="0" w:type="auto"/>
        <w:tblLook w:val="04A0" w:firstRow="1" w:lastRow="0" w:firstColumn="1" w:lastColumn="0" w:noHBand="0" w:noVBand="1"/>
      </w:tblPr>
      <w:tblGrid>
        <w:gridCol w:w="1513"/>
        <w:gridCol w:w="1798"/>
        <w:gridCol w:w="1827"/>
        <w:gridCol w:w="3356"/>
      </w:tblGrid>
      <w:tr w:rsidR="00006FAB" w:rsidRPr="001B0B74" w14:paraId="319E200D" w14:textId="77777777" w:rsidTr="00146DD2">
        <w:trPr>
          <w:cnfStyle w:val="100000000000" w:firstRow="1" w:lastRow="0" w:firstColumn="0" w:lastColumn="0" w:oddVBand="0" w:evenVBand="0" w:oddHBand="0" w:evenHBand="0" w:firstRowFirstColumn="0" w:firstRowLastColumn="0" w:lastRowFirstColumn="0" w:lastRowLastColumn="0"/>
        </w:trPr>
        <w:tc>
          <w:tcPr>
            <w:tcW w:w="1271" w:type="dxa"/>
            <w:tcBorders>
              <w:top w:val="single" w:sz="4" w:space="0" w:color="auto"/>
              <w:left w:val="single" w:sz="4" w:space="0" w:color="auto"/>
              <w:bottom w:val="single" w:sz="4" w:space="0" w:color="auto"/>
              <w:right w:val="single" w:sz="4" w:space="0" w:color="auto"/>
            </w:tcBorders>
          </w:tcPr>
          <w:p w14:paraId="3B33F616" w14:textId="77777777" w:rsidR="00006FAB" w:rsidRPr="001B0B74" w:rsidRDefault="00006FAB" w:rsidP="00006FAB">
            <w:pPr>
              <w:ind w:left="0" w:right="0"/>
            </w:pPr>
            <w:r w:rsidRPr="001B0B74">
              <w:t>Region</w:t>
            </w:r>
          </w:p>
        </w:tc>
        <w:tc>
          <w:tcPr>
            <w:tcW w:w="1843" w:type="dxa"/>
            <w:tcBorders>
              <w:top w:val="single" w:sz="4" w:space="0" w:color="auto"/>
              <w:left w:val="single" w:sz="4" w:space="0" w:color="auto"/>
              <w:bottom w:val="single" w:sz="4" w:space="0" w:color="auto"/>
              <w:right w:val="single" w:sz="4" w:space="0" w:color="auto"/>
            </w:tcBorders>
          </w:tcPr>
          <w:p w14:paraId="53747B70" w14:textId="77777777" w:rsidR="00006FAB" w:rsidRPr="001B0B74" w:rsidRDefault="00006FAB" w:rsidP="00006FAB">
            <w:pPr>
              <w:ind w:left="0" w:right="0"/>
            </w:pPr>
            <w:r w:rsidRPr="001B0B74">
              <w:t>Submission date</w:t>
            </w:r>
          </w:p>
        </w:tc>
        <w:tc>
          <w:tcPr>
            <w:tcW w:w="1843" w:type="dxa"/>
            <w:tcBorders>
              <w:top w:val="single" w:sz="4" w:space="0" w:color="auto"/>
              <w:left w:val="single" w:sz="4" w:space="0" w:color="auto"/>
              <w:bottom w:val="single" w:sz="4" w:space="0" w:color="auto"/>
              <w:right w:val="single" w:sz="4" w:space="0" w:color="auto"/>
            </w:tcBorders>
          </w:tcPr>
          <w:p w14:paraId="36B06289" w14:textId="77777777" w:rsidR="00006FAB" w:rsidRPr="001B0B74" w:rsidRDefault="00006FAB" w:rsidP="00006FAB">
            <w:pPr>
              <w:ind w:left="0" w:right="0"/>
            </w:pPr>
            <w:r w:rsidRPr="001B0B74">
              <w:t>Status</w:t>
            </w:r>
          </w:p>
        </w:tc>
        <w:tc>
          <w:tcPr>
            <w:tcW w:w="3537" w:type="dxa"/>
            <w:tcBorders>
              <w:top w:val="single" w:sz="4" w:space="0" w:color="auto"/>
              <w:left w:val="single" w:sz="4" w:space="0" w:color="auto"/>
              <w:bottom w:val="single" w:sz="4" w:space="0" w:color="auto"/>
              <w:right w:val="single" w:sz="4" w:space="0" w:color="auto"/>
            </w:tcBorders>
          </w:tcPr>
          <w:p w14:paraId="27C0FC5C" w14:textId="77777777" w:rsidR="00006FAB" w:rsidRPr="001B0B74" w:rsidRDefault="00006FAB" w:rsidP="00006FAB">
            <w:pPr>
              <w:ind w:left="0" w:right="0"/>
            </w:pPr>
            <w:r w:rsidRPr="001B0B74">
              <w:t>Approved indications</w:t>
            </w:r>
          </w:p>
        </w:tc>
      </w:tr>
      <w:tr w:rsidR="00006FAB" w:rsidRPr="001B0B74" w14:paraId="6306B66F" w14:textId="77777777" w:rsidTr="00146DD2">
        <w:tc>
          <w:tcPr>
            <w:tcW w:w="1271" w:type="dxa"/>
            <w:tcBorders>
              <w:top w:val="single" w:sz="4" w:space="0" w:color="auto"/>
            </w:tcBorders>
          </w:tcPr>
          <w:p w14:paraId="1A406944" w14:textId="33598383" w:rsidR="00006FAB" w:rsidRPr="001B0B74" w:rsidRDefault="00CC27A9" w:rsidP="00006FAB">
            <w:pPr>
              <w:ind w:left="0" w:right="0"/>
            </w:pPr>
            <w:r w:rsidRPr="001B0B74">
              <w:t>United States of America</w:t>
            </w:r>
          </w:p>
        </w:tc>
        <w:tc>
          <w:tcPr>
            <w:tcW w:w="1843" w:type="dxa"/>
            <w:tcBorders>
              <w:top w:val="single" w:sz="4" w:space="0" w:color="auto"/>
            </w:tcBorders>
          </w:tcPr>
          <w:p w14:paraId="341327AD" w14:textId="77777777" w:rsidR="00146DD2" w:rsidRPr="001B0B74" w:rsidRDefault="00146DD2" w:rsidP="00146DD2">
            <w:pPr>
              <w:ind w:left="0"/>
            </w:pPr>
            <w:r w:rsidRPr="001B0B74">
              <w:t>18 December</w:t>
            </w:r>
          </w:p>
          <w:p w14:paraId="5DE5E6BF" w14:textId="77777777" w:rsidR="00006FAB" w:rsidRPr="001B0B74" w:rsidRDefault="00146DD2" w:rsidP="00146DD2">
            <w:pPr>
              <w:ind w:left="0" w:right="0"/>
            </w:pPr>
            <w:r w:rsidRPr="001B0B74">
              <w:t>2019</w:t>
            </w:r>
          </w:p>
        </w:tc>
        <w:tc>
          <w:tcPr>
            <w:tcW w:w="1843" w:type="dxa"/>
            <w:tcBorders>
              <w:top w:val="single" w:sz="4" w:space="0" w:color="auto"/>
            </w:tcBorders>
          </w:tcPr>
          <w:p w14:paraId="57D2117D" w14:textId="15491017" w:rsidR="00006FAB" w:rsidRPr="001B0B74" w:rsidRDefault="00524340" w:rsidP="00146DD2">
            <w:pPr>
              <w:ind w:left="0" w:right="0"/>
            </w:pPr>
            <w:r w:rsidRPr="001B0B74">
              <w:t>Complete Response letter</w:t>
            </w:r>
            <w:r w:rsidR="00762186" w:rsidRPr="001B0B74">
              <w:rPr>
                <w:vertAlign w:val="superscript"/>
              </w:rPr>
              <w:fldChar w:fldCharType="begin"/>
            </w:r>
            <w:r w:rsidR="00762186" w:rsidRPr="001B0B74">
              <w:rPr>
                <w:vertAlign w:val="superscript"/>
              </w:rPr>
              <w:instrText xml:space="preserve"> NOTEREF _Ref70948375 \h  \* MERGEFORMAT </w:instrText>
            </w:r>
            <w:r w:rsidR="00762186" w:rsidRPr="001B0B74">
              <w:rPr>
                <w:vertAlign w:val="superscript"/>
              </w:rPr>
            </w:r>
            <w:r w:rsidR="00762186" w:rsidRPr="001B0B74">
              <w:rPr>
                <w:vertAlign w:val="superscript"/>
              </w:rPr>
              <w:fldChar w:fldCharType="separate"/>
            </w:r>
            <w:r w:rsidR="003A57FD">
              <w:rPr>
                <w:vertAlign w:val="superscript"/>
              </w:rPr>
              <w:t>2</w:t>
            </w:r>
            <w:r w:rsidR="00762186" w:rsidRPr="001B0B74">
              <w:rPr>
                <w:vertAlign w:val="superscript"/>
              </w:rPr>
              <w:fldChar w:fldCharType="end"/>
            </w:r>
            <w:r w:rsidRPr="001B0B74">
              <w:t xml:space="preserve"> received on 18 August 2020</w:t>
            </w:r>
          </w:p>
        </w:tc>
        <w:tc>
          <w:tcPr>
            <w:tcW w:w="3537" w:type="dxa"/>
            <w:tcBorders>
              <w:top w:val="single" w:sz="4" w:space="0" w:color="auto"/>
            </w:tcBorders>
          </w:tcPr>
          <w:p w14:paraId="30F5DC07" w14:textId="77777777" w:rsidR="00006FAB" w:rsidRPr="001B0B74" w:rsidRDefault="00146DD2" w:rsidP="00006FAB">
            <w:pPr>
              <w:ind w:left="0" w:right="0"/>
            </w:pPr>
            <w:r w:rsidRPr="001B0B74">
              <w:t>Not applicable</w:t>
            </w:r>
          </w:p>
        </w:tc>
      </w:tr>
      <w:tr w:rsidR="00006FAB" w:rsidRPr="001B0B74" w14:paraId="70C935A0" w14:textId="77777777" w:rsidTr="00146DD2">
        <w:tc>
          <w:tcPr>
            <w:tcW w:w="1271" w:type="dxa"/>
          </w:tcPr>
          <w:p w14:paraId="13919B84" w14:textId="4D5944F9" w:rsidR="00006FAB" w:rsidRPr="001B0B74" w:rsidRDefault="00CC27A9" w:rsidP="00006FAB">
            <w:pPr>
              <w:ind w:left="0" w:right="0"/>
            </w:pPr>
            <w:r w:rsidRPr="001B0B74">
              <w:t>European Union</w:t>
            </w:r>
          </w:p>
        </w:tc>
        <w:tc>
          <w:tcPr>
            <w:tcW w:w="1843" w:type="dxa"/>
          </w:tcPr>
          <w:p w14:paraId="5407CC9A" w14:textId="77777777" w:rsidR="00006FAB" w:rsidRPr="001B0B74" w:rsidRDefault="00146DD2" w:rsidP="00006FAB">
            <w:pPr>
              <w:ind w:left="0" w:right="0"/>
            </w:pPr>
            <w:r w:rsidRPr="001B0B74">
              <w:t>24 July 2019</w:t>
            </w:r>
          </w:p>
        </w:tc>
        <w:tc>
          <w:tcPr>
            <w:tcW w:w="1843" w:type="dxa"/>
          </w:tcPr>
          <w:p w14:paraId="4A410BE2" w14:textId="77777777" w:rsidR="00006FAB" w:rsidRPr="001B0B74" w:rsidRDefault="00146DD2" w:rsidP="00006FAB">
            <w:pPr>
              <w:ind w:left="0" w:right="0"/>
            </w:pPr>
            <w:r w:rsidRPr="001B0B74">
              <w:t>Approved on 24 September 2020</w:t>
            </w:r>
          </w:p>
        </w:tc>
        <w:tc>
          <w:tcPr>
            <w:tcW w:w="3537" w:type="dxa"/>
          </w:tcPr>
          <w:p w14:paraId="3C71B212" w14:textId="16CC2E98" w:rsidR="00006FAB" w:rsidRPr="001B0B74" w:rsidRDefault="00146DD2" w:rsidP="00146DD2">
            <w:pPr>
              <w:ind w:left="0"/>
              <w:rPr>
                <w:i/>
              </w:rPr>
            </w:pPr>
            <w:r w:rsidRPr="001B0B74">
              <w:rPr>
                <w:i/>
              </w:rPr>
              <w:t>Jyseleca is indicated for the treatment of moderate to severe active rheumatoid arthritis in adult patients who have responded inadequately to, or who are intolerant to one or more disease</w:t>
            </w:r>
            <w:r w:rsidR="00EE1D45">
              <w:rPr>
                <w:i/>
              </w:rPr>
              <w:t xml:space="preserve"> </w:t>
            </w:r>
            <w:r w:rsidRPr="001B0B74">
              <w:rPr>
                <w:i/>
              </w:rPr>
              <w:t>modifying anti-rheumatic drugs (DMARDs). Jyseleca may be used as monotherapy or in combination with methotrexate (MTX).</w:t>
            </w:r>
          </w:p>
        </w:tc>
      </w:tr>
      <w:tr w:rsidR="00146DD2" w:rsidRPr="001B0B74" w14:paraId="3CC855C8" w14:textId="77777777" w:rsidTr="00146DD2">
        <w:tc>
          <w:tcPr>
            <w:tcW w:w="1271" w:type="dxa"/>
          </w:tcPr>
          <w:p w14:paraId="721B3A33" w14:textId="77777777" w:rsidR="00146DD2" w:rsidRPr="001B0B74" w:rsidRDefault="00146DD2" w:rsidP="00146DD2">
            <w:pPr>
              <w:ind w:left="0"/>
            </w:pPr>
            <w:r w:rsidRPr="001B0B74">
              <w:t>Japan</w:t>
            </w:r>
          </w:p>
        </w:tc>
        <w:tc>
          <w:tcPr>
            <w:tcW w:w="1843" w:type="dxa"/>
          </w:tcPr>
          <w:p w14:paraId="1994B921" w14:textId="77777777" w:rsidR="00146DD2" w:rsidRPr="001B0B74" w:rsidRDefault="00146DD2" w:rsidP="00146DD2">
            <w:pPr>
              <w:ind w:left="0"/>
            </w:pPr>
            <w:r w:rsidRPr="001B0B74">
              <w:t>8 October 2019</w:t>
            </w:r>
          </w:p>
        </w:tc>
        <w:tc>
          <w:tcPr>
            <w:tcW w:w="1843" w:type="dxa"/>
          </w:tcPr>
          <w:p w14:paraId="798EF18A" w14:textId="77777777" w:rsidR="00146DD2" w:rsidRPr="001B0B74" w:rsidRDefault="00146DD2" w:rsidP="00146DD2">
            <w:pPr>
              <w:ind w:left="0"/>
            </w:pPr>
            <w:r w:rsidRPr="001B0B74">
              <w:t>Approved on 25 September 2020</w:t>
            </w:r>
          </w:p>
        </w:tc>
        <w:tc>
          <w:tcPr>
            <w:tcW w:w="3537" w:type="dxa"/>
          </w:tcPr>
          <w:p w14:paraId="7BD53111" w14:textId="77777777" w:rsidR="00146DD2" w:rsidRPr="001B0B74" w:rsidRDefault="00146DD2" w:rsidP="00146DD2">
            <w:pPr>
              <w:ind w:left="0"/>
              <w:rPr>
                <w:i/>
              </w:rPr>
            </w:pPr>
            <w:r w:rsidRPr="001B0B74">
              <w:rPr>
                <w:i/>
              </w:rPr>
              <w:t>Rheumatoid arthritis in patients who had an inadequate response to conventional therapies (including prevention of structural damage to joints)</w:t>
            </w:r>
            <w:r w:rsidR="001510F4" w:rsidRPr="001B0B74">
              <w:rPr>
                <w:i/>
              </w:rPr>
              <w:t>.</w:t>
            </w:r>
          </w:p>
        </w:tc>
      </w:tr>
      <w:tr w:rsidR="00146DD2" w:rsidRPr="001B0B74" w14:paraId="75690F72" w14:textId="77777777" w:rsidTr="00146DD2">
        <w:tc>
          <w:tcPr>
            <w:tcW w:w="1271" w:type="dxa"/>
          </w:tcPr>
          <w:p w14:paraId="6C8FB631" w14:textId="77777777" w:rsidR="00146DD2" w:rsidRPr="001B0B74" w:rsidRDefault="00146DD2" w:rsidP="00146DD2">
            <w:pPr>
              <w:ind w:left="0"/>
            </w:pPr>
            <w:r w:rsidRPr="001B0B74">
              <w:t>Canada</w:t>
            </w:r>
          </w:p>
        </w:tc>
        <w:tc>
          <w:tcPr>
            <w:tcW w:w="1843" w:type="dxa"/>
          </w:tcPr>
          <w:p w14:paraId="604D5C27" w14:textId="77777777" w:rsidR="00146DD2" w:rsidRPr="001B0B74" w:rsidRDefault="00146DD2" w:rsidP="00146DD2">
            <w:pPr>
              <w:ind w:left="0"/>
            </w:pPr>
            <w:r w:rsidRPr="001B0B74">
              <w:t>16 January 2020</w:t>
            </w:r>
          </w:p>
        </w:tc>
        <w:tc>
          <w:tcPr>
            <w:tcW w:w="1843" w:type="dxa"/>
          </w:tcPr>
          <w:p w14:paraId="12D522CE" w14:textId="77777777" w:rsidR="00146DD2" w:rsidRPr="001B0B74" w:rsidRDefault="00146DD2" w:rsidP="00146DD2">
            <w:pPr>
              <w:ind w:left="0"/>
            </w:pPr>
            <w:r w:rsidRPr="001B0B74">
              <w:t>Withdrawn on 6 January 2021</w:t>
            </w:r>
          </w:p>
        </w:tc>
        <w:tc>
          <w:tcPr>
            <w:tcW w:w="3537" w:type="dxa"/>
          </w:tcPr>
          <w:p w14:paraId="15A4FC20" w14:textId="77777777" w:rsidR="00146DD2" w:rsidRPr="001B0B74" w:rsidRDefault="00D311C3" w:rsidP="00146DD2">
            <w:pPr>
              <w:ind w:left="0"/>
            </w:pPr>
            <w:r w:rsidRPr="001B0B74">
              <w:t>Not applicable</w:t>
            </w:r>
          </w:p>
        </w:tc>
      </w:tr>
      <w:tr w:rsidR="00146DD2" w:rsidRPr="001B0B74" w14:paraId="40997CA6" w14:textId="77777777" w:rsidTr="00146DD2">
        <w:tc>
          <w:tcPr>
            <w:tcW w:w="1271" w:type="dxa"/>
          </w:tcPr>
          <w:p w14:paraId="5A826E9D" w14:textId="77777777" w:rsidR="00146DD2" w:rsidRPr="001B0B74" w:rsidRDefault="00146DD2" w:rsidP="00146DD2">
            <w:pPr>
              <w:ind w:left="0"/>
            </w:pPr>
            <w:r w:rsidRPr="001B0B74">
              <w:t>Switzerland</w:t>
            </w:r>
          </w:p>
        </w:tc>
        <w:tc>
          <w:tcPr>
            <w:tcW w:w="1843" w:type="dxa"/>
          </w:tcPr>
          <w:p w14:paraId="58DA73F2" w14:textId="77777777" w:rsidR="00146DD2" w:rsidRPr="001B0B74" w:rsidRDefault="00146DD2" w:rsidP="00146DD2">
            <w:pPr>
              <w:ind w:left="0"/>
            </w:pPr>
            <w:r w:rsidRPr="001B0B74">
              <w:t>16 March 2020</w:t>
            </w:r>
          </w:p>
        </w:tc>
        <w:tc>
          <w:tcPr>
            <w:tcW w:w="1843" w:type="dxa"/>
          </w:tcPr>
          <w:p w14:paraId="4F9EEEDE" w14:textId="77777777" w:rsidR="00146DD2" w:rsidRPr="001B0B74" w:rsidRDefault="00146DD2" w:rsidP="00146DD2">
            <w:pPr>
              <w:ind w:left="0"/>
            </w:pPr>
            <w:r w:rsidRPr="001B0B74">
              <w:t>Under consideration</w:t>
            </w:r>
          </w:p>
        </w:tc>
        <w:tc>
          <w:tcPr>
            <w:tcW w:w="3537" w:type="dxa"/>
          </w:tcPr>
          <w:p w14:paraId="1F3EA054" w14:textId="77777777" w:rsidR="00146DD2" w:rsidRPr="001B0B74" w:rsidRDefault="00146DD2" w:rsidP="00146DD2">
            <w:pPr>
              <w:ind w:left="0"/>
            </w:pPr>
            <w:r w:rsidRPr="001B0B74">
              <w:t>Under consideration</w:t>
            </w:r>
          </w:p>
        </w:tc>
      </w:tr>
    </w:tbl>
    <w:p w14:paraId="5B4FC6BE" w14:textId="77777777" w:rsidR="00500337" w:rsidRPr="001B0B74" w:rsidRDefault="00500337" w:rsidP="00500337">
      <w:pPr>
        <w:pStyle w:val="Heading2"/>
      </w:pPr>
      <w:bookmarkStart w:id="21" w:name="_Toc504480011"/>
      <w:bookmarkStart w:id="22" w:name="_Toc72750579"/>
      <w:bookmarkStart w:id="23" w:name="_Toc247691506"/>
      <w:bookmarkStart w:id="24" w:name="_Toc314842487"/>
      <w:bookmarkEnd w:id="18"/>
      <w:bookmarkEnd w:id="19"/>
      <w:r w:rsidRPr="001B0B74">
        <w:t>II. Registration timeline</w:t>
      </w:r>
      <w:bookmarkEnd w:id="21"/>
      <w:bookmarkEnd w:id="22"/>
    </w:p>
    <w:p w14:paraId="1E884A15" w14:textId="77777777" w:rsidR="00500337" w:rsidRPr="001B0B74" w:rsidRDefault="00500337" w:rsidP="00500337">
      <w:r w:rsidRPr="001B0B74">
        <w:t>The following table captures the key steps and dates for this application and which are detailed and discussed in this AusPAR.</w:t>
      </w:r>
    </w:p>
    <w:p w14:paraId="6D8EC00C" w14:textId="25783358" w:rsidR="00500337" w:rsidRPr="001B0B74" w:rsidRDefault="00B30324" w:rsidP="00B30324">
      <w:pPr>
        <w:pStyle w:val="FigureTitle"/>
      </w:pPr>
      <w:r w:rsidRPr="001B0B74">
        <w:t xml:space="preserve">Table </w:t>
      </w:r>
      <w:fldSimple w:instr=" SEQ Table \* ARABIC ">
        <w:r w:rsidR="003A57FD">
          <w:rPr>
            <w:noProof/>
          </w:rPr>
          <w:t>2</w:t>
        </w:r>
      </w:fldSimple>
      <w:r w:rsidR="00006FAB" w:rsidRPr="001B0B74">
        <w:t>:</w:t>
      </w:r>
      <w:r w:rsidR="006A58A8" w:rsidRPr="001B0B74">
        <w:t xml:space="preserve"> Timeline for Submission </w:t>
      </w:r>
      <w:r w:rsidR="00131434" w:rsidRPr="001B0B74">
        <w:t>PM-2020-00153-1-3</w:t>
      </w:r>
    </w:p>
    <w:tbl>
      <w:tblPr>
        <w:tblStyle w:val="TableTGAblue"/>
        <w:tblW w:w="0" w:type="auto"/>
        <w:tblLook w:val="04A0" w:firstRow="1" w:lastRow="0" w:firstColumn="1" w:lastColumn="0" w:noHBand="0" w:noVBand="1"/>
      </w:tblPr>
      <w:tblGrid>
        <w:gridCol w:w="5949"/>
        <w:gridCol w:w="2545"/>
      </w:tblGrid>
      <w:tr w:rsidR="00500337" w:rsidRPr="001B0B74" w14:paraId="5111A882" w14:textId="77777777" w:rsidTr="00AB05AB">
        <w:trPr>
          <w:cnfStyle w:val="100000000000" w:firstRow="1" w:lastRow="0" w:firstColumn="0" w:lastColumn="0" w:oddVBand="0" w:evenVBand="0" w:oddHBand="0" w:evenHBand="0" w:firstRowFirstColumn="0" w:firstRowLastColumn="0" w:lastRowFirstColumn="0" w:lastRowLastColumn="0"/>
          <w:cantSplit/>
        </w:trPr>
        <w:tc>
          <w:tcPr>
            <w:tcW w:w="5949" w:type="dxa"/>
            <w:tcBorders>
              <w:top w:val="single" w:sz="4" w:space="0" w:color="auto"/>
              <w:left w:val="single" w:sz="4" w:space="0" w:color="auto"/>
              <w:bottom w:val="single" w:sz="4" w:space="0" w:color="auto"/>
              <w:right w:val="single" w:sz="4" w:space="0" w:color="auto"/>
            </w:tcBorders>
          </w:tcPr>
          <w:p w14:paraId="186A83F3" w14:textId="77777777" w:rsidR="00500337" w:rsidRPr="001B0B74" w:rsidRDefault="00500337" w:rsidP="00500337">
            <w:pPr>
              <w:ind w:left="0" w:right="0"/>
            </w:pPr>
            <w:r w:rsidRPr="001B0B74">
              <w:t>Description</w:t>
            </w:r>
          </w:p>
        </w:tc>
        <w:tc>
          <w:tcPr>
            <w:tcW w:w="2545" w:type="dxa"/>
            <w:tcBorders>
              <w:top w:val="single" w:sz="4" w:space="0" w:color="auto"/>
              <w:left w:val="single" w:sz="4" w:space="0" w:color="auto"/>
              <w:bottom w:val="single" w:sz="4" w:space="0" w:color="auto"/>
              <w:right w:val="single" w:sz="4" w:space="0" w:color="auto"/>
            </w:tcBorders>
          </w:tcPr>
          <w:p w14:paraId="4954B0DB" w14:textId="77777777" w:rsidR="00500337" w:rsidRPr="001B0B74" w:rsidRDefault="00500337" w:rsidP="00500337">
            <w:pPr>
              <w:ind w:left="0" w:right="0"/>
            </w:pPr>
            <w:r w:rsidRPr="001B0B74">
              <w:t>Date</w:t>
            </w:r>
          </w:p>
        </w:tc>
      </w:tr>
      <w:tr w:rsidR="00500337" w:rsidRPr="001B0B74" w14:paraId="4B29C813" w14:textId="77777777" w:rsidTr="00AB05AB">
        <w:tc>
          <w:tcPr>
            <w:tcW w:w="5949" w:type="dxa"/>
            <w:tcBorders>
              <w:top w:val="single" w:sz="4" w:space="0" w:color="auto"/>
            </w:tcBorders>
          </w:tcPr>
          <w:p w14:paraId="2D7A7319" w14:textId="77777777" w:rsidR="00500337" w:rsidRPr="001B0B74" w:rsidRDefault="00500337" w:rsidP="00500337">
            <w:pPr>
              <w:ind w:left="0" w:right="0"/>
            </w:pPr>
            <w:r w:rsidRPr="001B0B74">
              <w:t>Submission dossier accepted and first round evaluation commenced</w:t>
            </w:r>
          </w:p>
        </w:tc>
        <w:tc>
          <w:tcPr>
            <w:tcW w:w="2545" w:type="dxa"/>
            <w:tcBorders>
              <w:top w:val="single" w:sz="4" w:space="0" w:color="auto"/>
            </w:tcBorders>
          </w:tcPr>
          <w:p w14:paraId="4D9E40D3" w14:textId="77777777" w:rsidR="00500337" w:rsidRPr="001B0B74" w:rsidRDefault="006D6CF1" w:rsidP="00500337">
            <w:pPr>
              <w:ind w:left="0" w:right="0"/>
            </w:pPr>
            <w:r w:rsidRPr="001B0B74">
              <w:t>2 March 2020</w:t>
            </w:r>
          </w:p>
        </w:tc>
      </w:tr>
      <w:tr w:rsidR="00500337" w:rsidRPr="001B0B74" w14:paraId="0BFB703D" w14:textId="77777777" w:rsidTr="00AB05AB">
        <w:tc>
          <w:tcPr>
            <w:tcW w:w="5949" w:type="dxa"/>
          </w:tcPr>
          <w:p w14:paraId="1CED708C" w14:textId="77777777" w:rsidR="00500337" w:rsidRPr="001B0B74" w:rsidRDefault="00500337" w:rsidP="00500337">
            <w:pPr>
              <w:ind w:left="0" w:right="0"/>
            </w:pPr>
            <w:r w:rsidRPr="001B0B74">
              <w:t>First round evaluation completed</w:t>
            </w:r>
          </w:p>
        </w:tc>
        <w:tc>
          <w:tcPr>
            <w:tcW w:w="2545" w:type="dxa"/>
          </w:tcPr>
          <w:p w14:paraId="5C03770F" w14:textId="77777777" w:rsidR="00500337" w:rsidRPr="001B0B74" w:rsidRDefault="006D6CF1" w:rsidP="00500337">
            <w:pPr>
              <w:ind w:left="0" w:right="0"/>
            </w:pPr>
            <w:r w:rsidRPr="001B0B74">
              <w:t>11 August 2020</w:t>
            </w:r>
          </w:p>
        </w:tc>
      </w:tr>
      <w:tr w:rsidR="00500337" w:rsidRPr="001B0B74" w14:paraId="2B1E8CAE" w14:textId="77777777" w:rsidTr="00AB05AB">
        <w:tc>
          <w:tcPr>
            <w:tcW w:w="5949" w:type="dxa"/>
          </w:tcPr>
          <w:p w14:paraId="480D9C51" w14:textId="77777777" w:rsidR="00500337" w:rsidRPr="001B0B74" w:rsidRDefault="00500337" w:rsidP="00500337">
            <w:pPr>
              <w:ind w:left="0" w:right="0"/>
            </w:pPr>
            <w:bookmarkStart w:id="25" w:name="_GoBack"/>
            <w:r w:rsidRPr="001B0B74">
              <w:t>Sponsor provides responses on questions raised in first round evaluation</w:t>
            </w:r>
          </w:p>
        </w:tc>
        <w:tc>
          <w:tcPr>
            <w:tcW w:w="2545" w:type="dxa"/>
          </w:tcPr>
          <w:p w14:paraId="4D32A631" w14:textId="77777777" w:rsidR="00500337" w:rsidRPr="001B0B74" w:rsidRDefault="006D6CF1" w:rsidP="00500337">
            <w:pPr>
              <w:ind w:left="0" w:right="0"/>
            </w:pPr>
            <w:r w:rsidRPr="001B0B74">
              <w:t>11 September 2020</w:t>
            </w:r>
          </w:p>
        </w:tc>
      </w:tr>
      <w:bookmarkEnd w:id="25"/>
      <w:tr w:rsidR="00500337" w:rsidRPr="001B0B74" w14:paraId="23885D16" w14:textId="77777777" w:rsidTr="00AB05AB">
        <w:tc>
          <w:tcPr>
            <w:tcW w:w="5949" w:type="dxa"/>
          </w:tcPr>
          <w:p w14:paraId="4E07B1BF" w14:textId="77777777" w:rsidR="00500337" w:rsidRPr="001B0B74" w:rsidRDefault="00500337" w:rsidP="00500337">
            <w:pPr>
              <w:ind w:left="0" w:right="0"/>
            </w:pPr>
            <w:r w:rsidRPr="001B0B74">
              <w:t>Second round evaluation completed</w:t>
            </w:r>
          </w:p>
        </w:tc>
        <w:tc>
          <w:tcPr>
            <w:tcW w:w="2545" w:type="dxa"/>
          </w:tcPr>
          <w:p w14:paraId="183AD19E" w14:textId="77777777" w:rsidR="00500337" w:rsidRPr="001B0B74" w:rsidRDefault="006D6CF1" w:rsidP="00500337">
            <w:pPr>
              <w:ind w:left="0" w:right="0"/>
            </w:pPr>
            <w:r w:rsidRPr="001B0B74">
              <w:t>2 December 2020</w:t>
            </w:r>
          </w:p>
        </w:tc>
      </w:tr>
      <w:tr w:rsidR="00500337" w:rsidRPr="001B0B74" w14:paraId="51D15A23" w14:textId="77777777" w:rsidTr="00AB05AB">
        <w:tc>
          <w:tcPr>
            <w:tcW w:w="5949" w:type="dxa"/>
            <w:shd w:val="clear" w:color="auto" w:fill="FFFFFF" w:themeFill="background1"/>
          </w:tcPr>
          <w:p w14:paraId="4167E1CB" w14:textId="77777777" w:rsidR="00500337" w:rsidRPr="001B0B74" w:rsidRDefault="00324E45" w:rsidP="00500337">
            <w:pPr>
              <w:ind w:left="0" w:right="0"/>
            </w:pPr>
            <w:r w:rsidRPr="001B0B74">
              <w:t xml:space="preserve">Delegate’s Overall benefit-risk assessment and request for Advisory </w:t>
            </w:r>
            <w:r w:rsidR="001207B8" w:rsidRPr="001B0B74">
              <w:t>Committee advice</w:t>
            </w:r>
          </w:p>
        </w:tc>
        <w:tc>
          <w:tcPr>
            <w:tcW w:w="2545" w:type="dxa"/>
          </w:tcPr>
          <w:p w14:paraId="494E098E" w14:textId="77777777" w:rsidR="00500337" w:rsidRPr="001B0B74" w:rsidRDefault="009B6150" w:rsidP="00500337">
            <w:pPr>
              <w:ind w:left="0" w:right="0"/>
            </w:pPr>
            <w:r w:rsidRPr="001B0B74">
              <w:t>5 January 2021</w:t>
            </w:r>
          </w:p>
        </w:tc>
      </w:tr>
      <w:tr w:rsidR="00500337" w:rsidRPr="001B0B74" w14:paraId="723D0279" w14:textId="77777777" w:rsidTr="00AB05AB">
        <w:tc>
          <w:tcPr>
            <w:tcW w:w="5949" w:type="dxa"/>
          </w:tcPr>
          <w:p w14:paraId="677BCA7A" w14:textId="77777777" w:rsidR="00500337" w:rsidRPr="001B0B74" w:rsidRDefault="00500337" w:rsidP="00500337">
            <w:pPr>
              <w:ind w:left="0" w:right="0"/>
            </w:pPr>
            <w:r w:rsidRPr="001B0B74">
              <w:t>Sponsor’s pre-Advisory Committee response</w:t>
            </w:r>
          </w:p>
        </w:tc>
        <w:tc>
          <w:tcPr>
            <w:tcW w:w="2545" w:type="dxa"/>
          </w:tcPr>
          <w:p w14:paraId="13139B64" w14:textId="77777777" w:rsidR="00500337" w:rsidRPr="001B0B74" w:rsidRDefault="00AD70A0" w:rsidP="00500337">
            <w:pPr>
              <w:ind w:left="0" w:right="0"/>
            </w:pPr>
            <w:r w:rsidRPr="001B0B74">
              <w:t>19 January 2021</w:t>
            </w:r>
          </w:p>
        </w:tc>
      </w:tr>
      <w:tr w:rsidR="00500337" w:rsidRPr="001B0B74" w14:paraId="05D75F6F" w14:textId="77777777" w:rsidTr="00AB05AB">
        <w:tc>
          <w:tcPr>
            <w:tcW w:w="5949" w:type="dxa"/>
          </w:tcPr>
          <w:p w14:paraId="2994D02C" w14:textId="77777777" w:rsidR="00500337" w:rsidRPr="001B0B74" w:rsidRDefault="00500337" w:rsidP="00500337">
            <w:pPr>
              <w:ind w:left="0" w:right="0"/>
            </w:pPr>
            <w:r w:rsidRPr="001B0B74">
              <w:t>Advisory Committee meeting</w:t>
            </w:r>
          </w:p>
        </w:tc>
        <w:tc>
          <w:tcPr>
            <w:tcW w:w="2545" w:type="dxa"/>
          </w:tcPr>
          <w:p w14:paraId="4D02F755" w14:textId="77777777" w:rsidR="00500337" w:rsidRPr="001B0B74" w:rsidRDefault="006D6CF1" w:rsidP="00500337">
            <w:pPr>
              <w:ind w:left="0" w:right="0"/>
            </w:pPr>
            <w:r w:rsidRPr="001B0B74">
              <w:t>4 and 5 February 2021</w:t>
            </w:r>
          </w:p>
        </w:tc>
      </w:tr>
      <w:tr w:rsidR="00500337" w:rsidRPr="001B0B74" w14:paraId="016EE94E" w14:textId="77777777" w:rsidTr="00AB05AB">
        <w:tc>
          <w:tcPr>
            <w:tcW w:w="5949" w:type="dxa"/>
          </w:tcPr>
          <w:p w14:paraId="3274D9DA" w14:textId="77777777" w:rsidR="00500337" w:rsidRPr="001B0B74" w:rsidRDefault="00500337" w:rsidP="00500337">
            <w:pPr>
              <w:ind w:left="0" w:right="0"/>
            </w:pPr>
            <w:r w:rsidRPr="001B0B74">
              <w:t>Registration decision (Outcome)</w:t>
            </w:r>
          </w:p>
        </w:tc>
        <w:tc>
          <w:tcPr>
            <w:tcW w:w="2545" w:type="dxa"/>
          </w:tcPr>
          <w:p w14:paraId="47D64055" w14:textId="20F469D0" w:rsidR="00500337" w:rsidRPr="001B0B74" w:rsidRDefault="00516D6C" w:rsidP="00500337">
            <w:pPr>
              <w:ind w:left="0" w:right="0"/>
            </w:pPr>
            <w:r w:rsidRPr="0042524B">
              <w:t xml:space="preserve">Not applicable; withdrawn by sponsor on </w:t>
            </w:r>
            <w:r w:rsidRPr="001B0B74">
              <w:t>2</w:t>
            </w:r>
            <w:r>
              <w:t>7</w:t>
            </w:r>
            <w:r w:rsidRPr="001B0B74">
              <w:t xml:space="preserve"> February 2021</w:t>
            </w:r>
          </w:p>
        </w:tc>
      </w:tr>
      <w:tr w:rsidR="00500337" w:rsidRPr="001B0B74" w14:paraId="40ACEAFB" w14:textId="77777777" w:rsidTr="00AB05AB">
        <w:tc>
          <w:tcPr>
            <w:tcW w:w="5949" w:type="dxa"/>
          </w:tcPr>
          <w:p w14:paraId="16F90272" w14:textId="77777777" w:rsidR="00500337" w:rsidRPr="001B0B74" w:rsidRDefault="00500337" w:rsidP="00500337">
            <w:pPr>
              <w:ind w:left="0" w:right="0"/>
            </w:pPr>
            <w:r w:rsidRPr="001B0B74">
              <w:t xml:space="preserve">Completion of administrative activities and registration on </w:t>
            </w:r>
            <w:r w:rsidR="00006FAB" w:rsidRPr="001B0B74">
              <w:t xml:space="preserve">the </w:t>
            </w:r>
            <w:r w:rsidRPr="001B0B74">
              <w:t>ARTG</w:t>
            </w:r>
          </w:p>
        </w:tc>
        <w:tc>
          <w:tcPr>
            <w:tcW w:w="2545" w:type="dxa"/>
          </w:tcPr>
          <w:p w14:paraId="69DF903A" w14:textId="77777777" w:rsidR="00500337" w:rsidRPr="001B0B74" w:rsidRDefault="006D6CF1" w:rsidP="00500337">
            <w:pPr>
              <w:ind w:left="0" w:right="0"/>
            </w:pPr>
            <w:r w:rsidRPr="001B0B74">
              <w:t>Not applicable</w:t>
            </w:r>
          </w:p>
        </w:tc>
      </w:tr>
      <w:tr w:rsidR="00500337" w:rsidRPr="001B0B74" w14:paraId="4AEC88B3" w14:textId="77777777" w:rsidTr="00AB05AB">
        <w:tc>
          <w:tcPr>
            <w:tcW w:w="5949" w:type="dxa"/>
          </w:tcPr>
          <w:p w14:paraId="44BF828A" w14:textId="77777777" w:rsidR="00500337" w:rsidRPr="001B0B74" w:rsidRDefault="00500337" w:rsidP="00500337">
            <w:pPr>
              <w:ind w:left="0" w:right="0"/>
            </w:pPr>
            <w:r w:rsidRPr="001B0B74">
              <w:t>Number of working days from submission dossier acceptance to registration decision*</w:t>
            </w:r>
          </w:p>
        </w:tc>
        <w:tc>
          <w:tcPr>
            <w:tcW w:w="2545" w:type="dxa"/>
          </w:tcPr>
          <w:p w14:paraId="01FFBC6E" w14:textId="568637C0" w:rsidR="00500337" w:rsidRPr="001B0B74" w:rsidRDefault="00516D6C" w:rsidP="00500337">
            <w:pPr>
              <w:ind w:left="0" w:right="0"/>
            </w:pPr>
            <w:r w:rsidRPr="001B0B74">
              <w:t>Not applicable</w:t>
            </w:r>
          </w:p>
        </w:tc>
      </w:tr>
    </w:tbl>
    <w:p w14:paraId="6F451278" w14:textId="77777777" w:rsidR="00500337" w:rsidRPr="001B0B74" w:rsidRDefault="00500337" w:rsidP="00500337">
      <w:pPr>
        <w:pStyle w:val="TableDescription"/>
      </w:pPr>
      <w:r w:rsidRPr="001B0B74">
        <w:t>*</w:t>
      </w:r>
      <w:r w:rsidR="00BF3774" w:rsidRPr="001B0B74">
        <w:t xml:space="preserve">Statutory </w:t>
      </w:r>
      <w:r w:rsidRPr="001B0B74">
        <w:t>timeframe for standard applications is 2</w:t>
      </w:r>
      <w:r w:rsidR="00BF3774" w:rsidRPr="001B0B74">
        <w:t>55</w:t>
      </w:r>
      <w:r w:rsidRPr="001B0B74">
        <w:t xml:space="preserve"> working days</w:t>
      </w:r>
    </w:p>
    <w:p w14:paraId="47E27576" w14:textId="77777777" w:rsidR="008E7846" w:rsidRPr="001B0B74" w:rsidRDefault="00456765" w:rsidP="008E7846">
      <w:pPr>
        <w:pStyle w:val="Heading2"/>
      </w:pPr>
      <w:bookmarkStart w:id="26" w:name="_Toc196046504"/>
      <w:bookmarkStart w:id="27" w:name="_Toc247691527"/>
      <w:bookmarkStart w:id="28" w:name="_Toc314842510"/>
      <w:bookmarkStart w:id="29" w:name="_Toc72750580"/>
      <w:bookmarkStart w:id="30" w:name="_Toc163441390"/>
      <w:bookmarkEnd w:id="23"/>
      <w:bookmarkEnd w:id="24"/>
      <w:bookmarkEnd w:id="1"/>
      <w:r w:rsidRPr="001B0B74">
        <w:t>I</w:t>
      </w:r>
      <w:r w:rsidR="00DA64CB" w:rsidRPr="001B0B74">
        <w:t>I</w:t>
      </w:r>
      <w:r w:rsidR="008E7846" w:rsidRPr="001B0B74">
        <w:t xml:space="preserve">I. </w:t>
      </w:r>
      <w:r w:rsidR="00006FAB" w:rsidRPr="001B0B74">
        <w:t xml:space="preserve">Submission overview </w:t>
      </w:r>
      <w:r w:rsidR="008E7846" w:rsidRPr="001B0B74">
        <w:t>and risk/benefit assessment</w:t>
      </w:r>
      <w:bookmarkEnd w:id="26"/>
      <w:bookmarkEnd w:id="27"/>
      <w:bookmarkEnd w:id="28"/>
      <w:bookmarkEnd w:id="29"/>
    </w:p>
    <w:p w14:paraId="55C1110C" w14:textId="77777777" w:rsidR="00006FAB" w:rsidRPr="001B0B74" w:rsidRDefault="00006FAB" w:rsidP="00006FAB">
      <w:bookmarkStart w:id="31" w:name="_Toc247691528"/>
      <w:r w:rsidRPr="001B0B74">
        <w:t>The submission was summarised in the following Delegate’s overview and recommendations.</w:t>
      </w:r>
    </w:p>
    <w:p w14:paraId="6AB7E9C0" w14:textId="77777777" w:rsidR="004640B7" w:rsidRPr="001B0B74" w:rsidRDefault="004640B7" w:rsidP="00006FAB">
      <w:r w:rsidRPr="001B0B74">
        <w:t>Relevant guidelines or guidance documents referred to by the Delegate are listed below:</w:t>
      </w:r>
    </w:p>
    <w:p w14:paraId="2C8F5646" w14:textId="5A1EFA20" w:rsidR="00E1095E" w:rsidRPr="001B0B74" w:rsidRDefault="008570B2" w:rsidP="003D248B">
      <w:pPr>
        <w:pStyle w:val="ListBullet"/>
      </w:pPr>
      <w:r w:rsidRPr="001B0B74">
        <w:t xml:space="preserve">European Medicines Evaluation Agency </w:t>
      </w:r>
      <w:r w:rsidR="009725E5" w:rsidRPr="001B0B74">
        <w:t>(</w:t>
      </w:r>
      <w:r w:rsidR="00695233" w:rsidRPr="001B0B74">
        <w:t>EM</w:t>
      </w:r>
      <w:r w:rsidR="009725E5" w:rsidRPr="001B0B74">
        <w:t>E</w:t>
      </w:r>
      <w:r w:rsidR="00695233" w:rsidRPr="001B0B74">
        <w:t>A</w:t>
      </w:r>
      <w:r w:rsidR="009725E5" w:rsidRPr="001B0B74">
        <w:t>)</w:t>
      </w:r>
      <w:r w:rsidR="00695233" w:rsidRPr="001B0B74">
        <w:t xml:space="preserve">, </w:t>
      </w:r>
      <w:r w:rsidR="009725E5" w:rsidRPr="001B0B74">
        <w:t>Committee for Proprietary Medicinal Products (</w:t>
      </w:r>
      <w:r w:rsidR="00695233" w:rsidRPr="001B0B74">
        <w:t>CPMP</w:t>
      </w:r>
      <w:r w:rsidR="009725E5" w:rsidRPr="001B0B74">
        <w:t>)</w:t>
      </w:r>
      <w:r w:rsidR="00695233" w:rsidRPr="001B0B74">
        <w:t xml:space="preserve">, </w:t>
      </w:r>
      <w:r w:rsidR="003D248B" w:rsidRPr="001B0B74">
        <w:t>17 December 2003</w:t>
      </w:r>
      <w:r w:rsidR="009725E5" w:rsidRPr="001B0B74">
        <w:t>.</w:t>
      </w:r>
      <w:r w:rsidR="00695233" w:rsidRPr="001B0B74">
        <w:t xml:space="preserve"> Points to Consider on Clinical Investigation of Medicinal Products </w:t>
      </w:r>
      <w:r w:rsidRPr="001B0B74">
        <w:t xml:space="preserve">Other Than </w:t>
      </w:r>
      <w:r w:rsidR="00695233" w:rsidRPr="001B0B74">
        <w:t>NSAIDs for the Treatment of Rheumatoid Arthritis</w:t>
      </w:r>
      <w:r w:rsidR="009725E5" w:rsidRPr="001B0B74">
        <w:t xml:space="preserve">. </w:t>
      </w:r>
      <w:r w:rsidR="00E1095E" w:rsidRPr="001B0B74">
        <w:t>CPMP/</w:t>
      </w:r>
      <w:r w:rsidR="009725E5" w:rsidRPr="001B0B74">
        <w:t>EWP/556/95 rev 1/Final.</w:t>
      </w:r>
    </w:p>
    <w:p w14:paraId="11ED8802" w14:textId="15D06612" w:rsidR="00E1095E" w:rsidRPr="001B0B74" w:rsidRDefault="00936942" w:rsidP="003D248B">
      <w:pPr>
        <w:pStyle w:val="ListBullet"/>
      </w:pPr>
      <w:r w:rsidRPr="001B0B74">
        <w:t>EMEA, CPMP, June 1995. ICH Topic E1 Population Exposure: The Extent of Population Exposure to Assess Clinical Safety. CPMP/ICH/375/95.</w:t>
      </w:r>
    </w:p>
    <w:p w14:paraId="16854019" w14:textId="34BA4BAA" w:rsidR="003D248B" w:rsidRPr="001B0B74" w:rsidRDefault="00D6630F" w:rsidP="00D6630F">
      <w:pPr>
        <w:pStyle w:val="ListBullet"/>
      </w:pPr>
      <w:r w:rsidRPr="001B0B74">
        <w:t>European Medicines Agency (</w:t>
      </w:r>
      <w:r w:rsidR="00936942" w:rsidRPr="001B0B74">
        <w:t>EMA</w:t>
      </w:r>
      <w:r w:rsidRPr="001B0B74">
        <w:t>)</w:t>
      </w:r>
      <w:r w:rsidR="00936942" w:rsidRPr="001B0B74">
        <w:t>, CPMP, December 2009</w:t>
      </w:r>
      <w:r w:rsidR="003D248B" w:rsidRPr="001B0B74">
        <w:t xml:space="preserve"> ICH guideline M3</w:t>
      </w:r>
      <w:r w:rsidR="00A03DFB" w:rsidRPr="001B0B74">
        <w:t xml:space="preserve"> (R2) on N</w:t>
      </w:r>
      <w:r w:rsidR="003D248B" w:rsidRPr="001B0B74">
        <w:t xml:space="preserve">on-clinical </w:t>
      </w:r>
      <w:r w:rsidR="00A03DFB" w:rsidRPr="001B0B74">
        <w:t>Safety Studies for the Conduct of Human Clinical Trials and Marketing Authorisation for Pharmaceuticals</w:t>
      </w:r>
      <w:r w:rsidR="003D248B" w:rsidRPr="001B0B74">
        <w:t>. EMA/CPMP/ICH/286/1995.</w:t>
      </w:r>
    </w:p>
    <w:p w14:paraId="495E7A67" w14:textId="09C6413E" w:rsidR="00E1095E" w:rsidRPr="001B0B74" w:rsidRDefault="003D248B" w:rsidP="004B39B1">
      <w:pPr>
        <w:pStyle w:val="ListBullet"/>
      </w:pPr>
      <w:r w:rsidRPr="001B0B74">
        <w:t xml:space="preserve">EMA, </w:t>
      </w:r>
      <w:r w:rsidR="004B39B1" w:rsidRPr="001B0B74">
        <w:t>Committee for Medicinal Products for Human use (</w:t>
      </w:r>
      <w:r w:rsidRPr="001B0B74">
        <w:t>CHMP</w:t>
      </w:r>
      <w:r w:rsidR="004B39B1" w:rsidRPr="001B0B74">
        <w:t>)</w:t>
      </w:r>
      <w:r w:rsidRPr="001B0B74">
        <w:t xml:space="preserve">, 17 December 2015. </w:t>
      </w:r>
      <w:r w:rsidR="00E1095E" w:rsidRPr="001B0B74">
        <w:t xml:space="preserve">Guideline </w:t>
      </w:r>
      <w:r w:rsidR="00A03DFB" w:rsidRPr="001B0B74">
        <w:t xml:space="preserve">on the Evaluation of the Pharmacokinetics of Medicinal Products in Patients with Decreased Renal Function. </w:t>
      </w:r>
      <w:r w:rsidRPr="001B0B74">
        <w:t>EMA/CHMP/83874/2014.</w:t>
      </w:r>
    </w:p>
    <w:p w14:paraId="084506B9" w14:textId="77777777" w:rsidR="008E7846" w:rsidRPr="001B0B74" w:rsidRDefault="008E7846" w:rsidP="008E7846">
      <w:pPr>
        <w:pStyle w:val="Heading3"/>
      </w:pPr>
      <w:bookmarkStart w:id="32" w:name="_Toc314842511"/>
      <w:bookmarkStart w:id="33" w:name="_Toc72750581"/>
      <w:r w:rsidRPr="001B0B74">
        <w:t>Quality</w:t>
      </w:r>
      <w:bookmarkEnd w:id="31"/>
      <w:bookmarkEnd w:id="32"/>
      <w:bookmarkEnd w:id="33"/>
    </w:p>
    <w:p w14:paraId="5B1F8F71" w14:textId="4CE6CAE0" w:rsidR="00176F61" w:rsidRPr="001B0B74" w:rsidRDefault="00176F61" w:rsidP="008875E2">
      <w:r w:rsidRPr="001B0B74">
        <w:t>The manufacturing process, packaging, quality control, biopharmaceutic</w:t>
      </w:r>
      <w:r w:rsidR="0082608C" w:rsidRPr="001B0B74">
        <w:t>al chemistry</w:t>
      </w:r>
      <w:r w:rsidRPr="001B0B74">
        <w:t>, shelf</w:t>
      </w:r>
      <w:r w:rsidR="00E72CFD" w:rsidRPr="001B0B74">
        <w:t xml:space="preserve"> </w:t>
      </w:r>
      <w:r w:rsidRPr="001B0B74">
        <w:t xml:space="preserve">life and storage conditions were assessed by the </w:t>
      </w:r>
      <w:r w:rsidR="00E72CFD" w:rsidRPr="001B0B74">
        <w:t>quality</w:t>
      </w:r>
      <w:r w:rsidRPr="001B0B74">
        <w:t xml:space="preserve"> evaluator, and responses to most questions raised</w:t>
      </w:r>
      <w:r w:rsidR="00E72CFD" w:rsidRPr="001B0B74">
        <w:t xml:space="preserve"> by TGA</w:t>
      </w:r>
      <w:r w:rsidRPr="001B0B74">
        <w:t xml:space="preserve"> in the </w:t>
      </w:r>
      <w:r w:rsidR="00E72CFD" w:rsidRPr="001B0B74">
        <w:t>first r</w:t>
      </w:r>
      <w:r w:rsidRPr="001B0B74">
        <w:t>ound</w:t>
      </w:r>
      <w:r w:rsidR="006D0D75" w:rsidRPr="001B0B74">
        <w:t xml:space="preserve"> evaluation</w:t>
      </w:r>
      <w:r w:rsidRPr="001B0B74">
        <w:t xml:space="preserve"> were considered acceptable. The sponsor has accepted and incorporated changes to the PI arising from the </w:t>
      </w:r>
      <w:r w:rsidR="00E72CFD" w:rsidRPr="001B0B74">
        <w:t>first r</w:t>
      </w:r>
      <w:r w:rsidRPr="001B0B74">
        <w:t xml:space="preserve">ound </w:t>
      </w:r>
      <w:r w:rsidR="008875E2" w:rsidRPr="001B0B74">
        <w:t>evaluation.</w:t>
      </w:r>
    </w:p>
    <w:p w14:paraId="64CED0A5" w14:textId="2DD8842F" w:rsidR="00176F61" w:rsidRPr="001B0B74" w:rsidRDefault="00176F61" w:rsidP="008875E2">
      <w:r w:rsidRPr="001B0B74">
        <w:t xml:space="preserve">The </w:t>
      </w:r>
      <w:r w:rsidR="008875E2" w:rsidRPr="001B0B74">
        <w:t>quality</w:t>
      </w:r>
      <w:r w:rsidRPr="001B0B74">
        <w:t xml:space="preserve"> evaluator confirmed that </w:t>
      </w:r>
      <w:r w:rsidR="006703B9" w:rsidRPr="001B0B74">
        <w:t xml:space="preserve">filgotinib </w:t>
      </w:r>
      <w:r w:rsidRPr="001B0B74">
        <w:t>is a new chemical entity. The molecule is structurally related to other</w:t>
      </w:r>
      <w:r w:rsidR="00EC5393" w:rsidRPr="001B0B74">
        <w:t xml:space="preserve"> JAK inhibitors</w:t>
      </w:r>
      <w:r w:rsidRPr="001B0B74">
        <w:t xml:space="preserve"> approved for the treatment of RA, including baricitinib, which has particular affinity for JAK1 and JAK2, and tofacitinib, which has particular affinity for JAK1 and JAK3. Upadacitinib, which is a selective JAK1 inhibitor, also has some structural similarity with </w:t>
      </w:r>
      <w:r w:rsidR="006703B9" w:rsidRPr="001B0B74">
        <w:t xml:space="preserve">filgotinib </w:t>
      </w:r>
      <w:r w:rsidRPr="001B0B74">
        <w:t>(</w:t>
      </w:r>
      <w:r w:rsidRPr="001B0B74">
        <w:fldChar w:fldCharType="begin"/>
      </w:r>
      <w:r w:rsidRPr="001B0B74">
        <w:instrText xml:space="preserve"> REF _Ref67491297 \h </w:instrText>
      </w:r>
      <w:r w:rsidR="008875E2" w:rsidRPr="001B0B74">
        <w:instrText xml:space="preserve"> \* MERGEFORMAT </w:instrText>
      </w:r>
      <w:r w:rsidRPr="001B0B74">
        <w:fldChar w:fldCharType="separate"/>
      </w:r>
      <w:r w:rsidR="003A57FD" w:rsidRPr="001B0B74">
        <w:t xml:space="preserve">Figure </w:t>
      </w:r>
      <w:r w:rsidR="003A57FD">
        <w:t>1</w:t>
      </w:r>
      <w:r w:rsidRPr="001B0B74">
        <w:fldChar w:fldCharType="end"/>
      </w:r>
      <w:r w:rsidRPr="001B0B74">
        <w:t>).</w:t>
      </w:r>
    </w:p>
    <w:p w14:paraId="1229FA9B" w14:textId="60997906" w:rsidR="00176F61" w:rsidRPr="001B0B74" w:rsidRDefault="00176F61" w:rsidP="008875E2">
      <w:pPr>
        <w:pStyle w:val="FigureTitle"/>
      </w:pPr>
      <w:bookmarkStart w:id="34" w:name="_Ref67491297"/>
      <w:r w:rsidRPr="001B0B74">
        <w:t xml:space="preserve">Figure </w:t>
      </w:r>
      <w:fldSimple w:instr=" SEQ Figure \* ARABIC ">
        <w:r w:rsidR="003A57FD">
          <w:rPr>
            <w:noProof/>
          </w:rPr>
          <w:t>1</w:t>
        </w:r>
      </w:fldSimple>
      <w:bookmarkEnd w:id="34"/>
      <w:r w:rsidR="008875E2" w:rsidRPr="001B0B74">
        <w:t>: C</w:t>
      </w:r>
      <w:r w:rsidRPr="001B0B74">
        <w:t>omparative structures of filgotinib, tofacitini</w:t>
      </w:r>
      <w:r w:rsidR="008875E2" w:rsidRPr="001B0B74">
        <w:t>b, baricitinib and upadacitinib</w:t>
      </w:r>
    </w:p>
    <w:p w14:paraId="6F7FCF5E" w14:textId="77777777" w:rsidR="00176F61" w:rsidRPr="001B0B74" w:rsidRDefault="00176F61" w:rsidP="00176F61">
      <w:r w:rsidRPr="001B0B74">
        <w:rPr>
          <w:noProof/>
          <w:lang w:eastAsia="en-AU"/>
        </w:rPr>
        <w:drawing>
          <wp:inline distT="0" distB="0" distL="0" distR="0" wp14:anchorId="33E5E1DC" wp14:editId="6E0154CE">
            <wp:extent cx="5400040" cy="1771015"/>
            <wp:effectExtent l="0" t="0" r="0" b="635"/>
            <wp:docPr id="4" name="Picture 4" descr="Comparative structures of filgotinib, tofacitinib, baricitinib and upadaci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1771015"/>
                    </a:xfrm>
                    <a:prstGeom prst="rect">
                      <a:avLst/>
                    </a:prstGeom>
                  </pic:spPr>
                </pic:pic>
              </a:graphicData>
            </a:graphic>
          </wp:inline>
        </w:drawing>
      </w:r>
    </w:p>
    <w:p w14:paraId="154338CB" w14:textId="2BEE256E" w:rsidR="00176F61" w:rsidRPr="001B0B74" w:rsidRDefault="006703B9" w:rsidP="00BF23C4">
      <w:r w:rsidRPr="001B0B74">
        <w:t xml:space="preserve">Filgotinib </w:t>
      </w:r>
      <w:r w:rsidR="00176F61" w:rsidRPr="001B0B74">
        <w:t>is formulated as filgotinib maleate (254.48</w:t>
      </w:r>
      <w:r w:rsidR="008875E2" w:rsidRPr="001B0B74">
        <w:t> </w:t>
      </w:r>
      <w:r w:rsidR="00176F61" w:rsidRPr="001B0B74">
        <w:t>mg filgotinib maleate containing 200</w:t>
      </w:r>
      <w:r w:rsidR="008875E2" w:rsidRPr="001B0B74">
        <w:t> </w:t>
      </w:r>
      <w:r w:rsidR="00176F61" w:rsidRPr="001B0B74">
        <w:t>mg of the base) in capsule</w:t>
      </w:r>
      <w:r w:rsidR="008875E2" w:rsidRPr="001B0B74">
        <w:t xml:space="preserve"> </w:t>
      </w:r>
      <w:r w:rsidR="00176F61" w:rsidRPr="001B0B74">
        <w:t>shap</w:t>
      </w:r>
      <w:r w:rsidR="008875E2" w:rsidRPr="001B0B74">
        <w:t>ed, film coated tablets, debossed with Gilead Sciences, Inc.</w:t>
      </w:r>
      <w:r w:rsidR="00AE63CA" w:rsidRPr="001B0B74">
        <w:t xml:space="preserve"> (</w:t>
      </w:r>
      <w:r w:rsidR="00176F61" w:rsidRPr="001B0B74">
        <w:t>GSI</w:t>
      </w:r>
      <w:r w:rsidR="00AE63CA" w:rsidRPr="001B0B74">
        <w:t>)</w:t>
      </w:r>
      <w:r w:rsidR="00D82712" w:rsidRPr="001B0B74">
        <w:t xml:space="preserve"> (the sponsor)</w:t>
      </w:r>
      <w:r w:rsidR="00AE63CA" w:rsidRPr="001B0B74">
        <w:t xml:space="preserve"> and the dose, either </w:t>
      </w:r>
      <w:r w:rsidR="00176F61" w:rsidRPr="001B0B74">
        <w:t>100</w:t>
      </w:r>
      <w:r w:rsidR="00BF23C4" w:rsidRPr="001B0B74">
        <w:t> mg</w:t>
      </w:r>
      <w:r w:rsidR="00176F61" w:rsidRPr="001B0B74">
        <w:t xml:space="preserve"> or 200</w:t>
      </w:r>
      <w:r w:rsidR="00BF23C4" w:rsidRPr="001B0B74">
        <w:t> mg</w:t>
      </w:r>
      <w:r w:rsidR="00460D3A" w:rsidRPr="001B0B74">
        <w:t>.</w:t>
      </w:r>
    </w:p>
    <w:p w14:paraId="7E32EC70" w14:textId="50030A04" w:rsidR="00176F61" w:rsidRPr="001B0B74" w:rsidRDefault="00176F61" w:rsidP="00BF23C4">
      <w:r w:rsidRPr="001B0B74">
        <w:t>One recommendation regarding the diss</w:t>
      </w:r>
      <w:r w:rsidR="00BF23C4" w:rsidRPr="001B0B74">
        <w:t xml:space="preserve">olution profile is outstanding: </w:t>
      </w:r>
      <w:r w:rsidR="00716744" w:rsidRPr="001B0B74">
        <w:t>[information redacted]</w:t>
      </w:r>
      <w:r w:rsidR="000E78D2" w:rsidRPr="001B0B74">
        <w:t>.</w:t>
      </w:r>
    </w:p>
    <w:p w14:paraId="24C51B1C" w14:textId="4669A162" w:rsidR="00176F61" w:rsidRPr="001B0B74" w:rsidRDefault="00176F61" w:rsidP="00BF23C4">
      <w:r w:rsidRPr="001B0B74">
        <w:t>A second issue, with regard to drug quality testing, has been referred to the TGA. Th</w:t>
      </w:r>
      <w:r w:rsidR="000E78D2" w:rsidRPr="001B0B74">
        <w:t>e finished product manufacturer</w:t>
      </w:r>
      <w:r w:rsidRPr="001B0B74">
        <w:t xml:space="preserve"> performs only microbial tests on drug substance batches obtained from the active pharmaceutical ingredient (API) manufacturers. The </w:t>
      </w:r>
      <w:r w:rsidR="00BF23C4" w:rsidRPr="001B0B74">
        <w:t xml:space="preserve">quality </w:t>
      </w:r>
      <w:r w:rsidRPr="001B0B74">
        <w:t>evaluator does not consider that this testing alone is sufficient to assure quality, stating:</w:t>
      </w:r>
      <w:r w:rsidR="00BF23C4" w:rsidRPr="001B0B74">
        <w:t xml:space="preserve"> the s</w:t>
      </w:r>
      <w:r w:rsidRPr="001B0B74">
        <w:t xml:space="preserve">ponsor’s response is satisfactory with respect to limited tests performed by the finished product manufacturer on quality testing of the API, however, the following should be noted. The qualification of a supplier can be considered a </w:t>
      </w:r>
      <w:r w:rsidR="009368E7" w:rsidRPr="001B0B74">
        <w:t>Good Manufacturing Practices (</w:t>
      </w:r>
      <w:r w:rsidRPr="001B0B74">
        <w:t>GMP</w:t>
      </w:r>
      <w:r w:rsidR="009368E7" w:rsidRPr="001B0B74">
        <w:t>)</w:t>
      </w:r>
      <w:r w:rsidRPr="001B0B74">
        <w:t xml:space="preserve"> issue. It will be raised so that they have this matter investigated specifically on the next GMP inspection.</w:t>
      </w:r>
    </w:p>
    <w:p w14:paraId="38ADC19D" w14:textId="3FD6E468" w:rsidR="00176F61" w:rsidRPr="001B0B74" w:rsidRDefault="00176F61" w:rsidP="00176F61">
      <w:pPr>
        <w:pStyle w:val="Heading4"/>
      </w:pPr>
      <w:r w:rsidRPr="001B0B74">
        <w:t>Quality related proposed conditions of registration</w:t>
      </w:r>
    </w:p>
    <w:p w14:paraId="7CE9769A" w14:textId="0AA4AEA1" w:rsidR="00176F61" w:rsidRPr="001B0B74" w:rsidRDefault="00176F61" w:rsidP="009368E7">
      <w:r w:rsidRPr="001B0B74">
        <w:t xml:space="preserve">The </w:t>
      </w:r>
      <w:r w:rsidR="009368E7" w:rsidRPr="001B0B74">
        <w:t xml:space="preserve">sponsor’s </w:t>
      </w:r>
      <w:r w:rsidRPr="001B0B74">
        <w:t>post-approval stability commitment indicates that the stability studies still in progress in the primary stability study will be continued up to at least 36</w:t>
      </w:r>
      <w:r w:rsidR="009368E7" w:rsidRPr="001B0B74">
        <w:t> </w:t>
      </w:r>
      <w:r w:rsidRPr="001B0B74">
        <w:t>months with a possible extension to 48 and 60</w:t>
      </w:r>
      <w:r w:rsidR="009368E7" w:rsidRPr="001B0B74">
        <w:t> </w:t>
      </w:r>
      <w:r w:rsidRPr="001B0B74">
        <w:t>mo</w:t>
      </w:r>
      <w:r w:rsidR="00CF27AD" w:rsidRPr="001B0B74">
        <w:t>nths under the same conditions.</w:t>
      </w:r>
    </w:p>
    <w:p w14:paraId="2377F898" w14:textId="65B3BE89" w:rsidR="00176F61" w:rsidRPr="001B0B74" w:rsidRDefault="00176F61" w:rsidP="009368E7">
      <w:r w:rsidRPr="001B0B74">
        <w:t xml:space="preserve">The </w:t>
      </w:r>
      <w:r w:rsidR="009368E7" w:rsidRPr="001B0B74">
        <w:t>sponsor</w:t>
      </w:r>
      <w:r w:rsidRPr="001B0B74">
        <w:t xml:space="preserve"> further commits to conducting long term stability studies at 30</w:t>
      </w:r>
      <w:r w:rsidR="009368E7" w:rsidRPr="001B0B74">
        <w:rPr>
          <w:vertAlign w:val="superscript"/>
        </w:rPr>
        <w:t>o</w:t>
      </w:r>
      <w:r w:rsidRPr="001B0B74">
        <w:t>C/75%</w:t>
      </w:r>
      <w:r w:rsidR="009368E7" w:rsidRPr="001B0B74">
        <w:t xml:space="preserve"> relative humidity (</w:t>
      </w:r>
      <w:r w:rsidRPr="001B0B74">
        <w:t>RH</w:t>
      </w:r>
      <w:r w:rsidR="009368E7" w:rsidRPr="001B0B74">
        <w:t>)</w:t>
      </w:r>
      <w:r w:rsidR="00CF27AD" w:rsidRPr="001B0B74">
        <w:t xml:space="preserve"> up to 36 </w:t>
      </w:r>
      <w:r w:rsidRPr="001B0B74">
        <w:t xml:space="preserve">months with </w:t>
      </w:r>
      <w:r w:rsidR="00CF27AD" w:rsidRPr="001B0B74">
        <w:t>possible extension to 48 and 60 </w:t>
      </w:r>
      <w:r w:rsidRPr="001B0B74">
        <w:t>months, and accelerated stability studies at 40</w:t>
      </w:r>
      <w:r w:rsidRPr="001B0B74">
        <w:rPr>
          <w:vertAlign w:val="superscript"/>
        </w:rPr>
        <w:t>o</w:t>
      </w:r>
      <w:r w:rsidRPr="001B0B74">
        <w:t>C/75%</w:t>
      </w:r>
      <w:r w:rsidR="00CF27AD" w:rsidRPr="001B0B74">
        <w:t xml:space="preserve"> RH up to six </w:t>
      </w:r>
      <w:r w:rsidRPr="001B0B74">
        <w:t xml:space="preserve">months, on the first </w:t>
      </w:r>
      <w:r w:rsidR="00CF27AD" w:rsidRPr="001B0B74">
        <w:t>three</w:t>
      </w:r>
      <w:r w:rsidRPr="001B0B74">
        <w:t xml:space="preserve"> commercial</w:t>
      </w:r>
      <w:r w:rsidR="00CF27AD" w:rsidRPr="001B0B74">
        <w:t xml:space="preserve"> batches of filgotinib maleate.</w:t>
      </w:r>
    </w:p>
    <w:p w14:paraId="4C88A26E" w14:textId="0F3990D2" w:rsidR="00E45619" w:rsidRPr="001B0B74" w:rsidRDefault="00176F61" w:rsidP="009368E7">
      <w:r w:rsidRPr="001B0B74">
        <w:t>In addition, at least one commercial batch will be placed on long term stability each year and t</w:t>
      </w:r>
      <w:r w:rsidR="00CF27AD" w:rsidRPr="001B0B74">
        <w:t>ested 12 monthly to at least 36 </w:t>
      </w:r>
      <w:r w:rsidRPr="001B0B74">
        <w:t>months.</w:t>
      </w:r>
    </w:p>
    <w:p w14:paraId="30CC2D2E" w14:textId="77777777" w:rsidR="008E7846" w:rsidRPr="001B0B74" w:rsidRDefault="008E7846" w:rsidP="008E7846">
      <w:pPr>
        <w:pStyle w:val="Heading3"/>
      </w:pPr>
      <w:bookmarkStart w:id="35" w:name="_Toc314842512"/>
      <w:bookmarkStart w:id="36" w:name="_Toc72750582"/>
      <w:r w:rsidRPr="001B0B74">
        <w:t>Nonclinical</w:t>
      </w:r>
      <w:bookmarkEnd w:id="35"/>
      <w:bookmarkEnd w:id="36"/>
    </w:p>
    <w:p w14:paraId="23EE01AC" w14:textId="4967B0E7" w:rsidR="00176F61" w:rsidRPr="001B0B74" w:rsidRDefault="00176F61" w:rsidP="00176F61">
      <w:r w:rsidRPr="001B0B74">
        <w:t xml:space="preserve">Registration of filgotinib is not supported by the nonclinical evaluation. The nonclinical evaluators raised a number of concerns regarding the safety profile of </w:t>
      </w:r>
      <w:r w:rsidR="006703B9" w:rsidRPr="001B0B74">
        <w:t>filgotinib</w:t>
      </w:r>
      <w:r w:rsidRPr="001B0B74">
        <w:t xml:space="preserve">. The evaluation considers the safety profile of </w:t>
      </w:r>
      <w:r w:rsidR="006703B9" w:rsidRPr="001B0B74">
        <w:t xml:space="preserve">filgotinib </w:t>
      </w:r>
      <w:r w:rsidRPr="001B0B74">
        <w:t>inferior to currently registered JAK</w:t>
      </w:r>
      <w:r w:rsidR="00EC5393" w:rsidRPr="001B0B74">
        <w:t xml:space="preserve"> inhibitors</w:t>
      </w:r>
      <w:r w:rsidRPr="001B0B74">
        <w:t xml:space="preserve"> because:</w:t>
      </w:r>
    </w:p>
    <w:p w14:paraId="7CC2F3A7" w14:textId="7D84AAD8" w:rsidR="00176F61" w:rsidRPr="001B0B74" w:rsidRDefault="006F7465" w:rsidP="00EC5393">
      <w:pPr>
        <w:pStyle w:val="ListBullet"/>
      </w:pPr>
      <w:r w:rsidRPr="001B0B74">
        <w:t>the non</w:t>
      </w:r>
      <w:r w:rsidR="00176F61" w:rsidRPr="001B0B74">
        <w:t>clinical studies indicate significant male reproductive toxicity, which has not been reported with other JAK</w:t>
      </w:r>
      <w:r w:rsidR="00EC5393" w:rsidRPr="001B0B74">
        <w:t xml:space="preserve"> inhibitors</w:t>
      </w:r>
      <w:r w:rsidR="00176F61" w:rsidRPr="001B0B74">
        <w:t xml:space="preserve">. </w:t>
      </w:r>
      <w:r w:rsidR="00A45C93" w:rsidRPr="001B0B74">
        <w:t>O</w:t>
      </w:r>
      <w:r w:rsidR="00176F61" w:rsidRPr="001B0B74">
        <w:t>ngoing stud</w:t>
      </w:r>
      <w:r w:rsidR="00A45C93" w:rsidRPr="001B0B74">
        <w:t>ies</w:t>
      </w:r>
      <w:r w:rsidR="00176F61" w:rsidRPr="001B0B74">
        <w:t xml:space="preserve"> in human males (</w:t>
      </w:r>
      <w:r w:rsidR="00BE2C1B" w:rsidRPr="001B0B74">
        <w:t xml:space="preserve">Study </w:t>
      </w:r>
      <w:r w:rsidR="00176F61" w:rsidRPr="001B0B74">
        <w:t>GS-US-418-427</w:t>
      </w:r>
      <w:r w:rsidR="00A45C93" w:rsidRPr="001B0B74">
        <w:t>9</w:t>
      </w:r>
      <w:r w:rsidR="00BE2C1B" w:rsidRPr="001B0B74">
        <w:t xml:space="preserve"> (the MANTA trial)</w:t>
      </w:r>
      <w:r w:rsidR="00A45C93" w:rsidRPr="001B0B74">
        <w:t xml:space="preserve"> in </w:t>
      </w:r>
      <w:r w:rsidR="00EC5393" w:rsidRPr="001B0B74">
        <w:t>inflammatory bowel disease</w:t>
      </w:r>
      <w:r w:rsidR="00A45C93" w:rsidRPr="001B0B74">
        <w:t xml:space="preserve"> and </w:t>
      </w:r>
      <w:r w:rsidR="00BE2C1B" w:rsidRPr="001B0B74">
        <w:t xml:space="preserve">Study </w:t>
      </w:r>
      <w:r w:rsidR="00A45C93" w:rsidRPr="001B0B74">
        <w:t>GLPG0634-CL-227</w:t>
      </w:r>
      <w:r w:rsidR="00BE2C1B" w:rsidRPr="001B0B74">
        <w:t xml:space="preserve"> (the MANTA-RAY trial)</w:t>
      </w:r>
      <w:r w:rsidR="00A45C93" w:rsidRPr="001B0B74">
        <w:t xml:space="preserve"> in RA, </w:t>
      </w:r>
      <w:r w:rsidR="00EC5393" w:rsidRPr="001B0B74">
        <w:t>psoriatic arthritis</w:t>
      </w:r>
      <w:r w:rsidR="00A45C93" w:rsidRPr="001B0B74">
        <w:t xml:space="preserve">, </w:t>
      </w:r>
      <w:r w:rsidR="00EC5393" w:rsidRPr="001B0B74">
        <w:t>ankylosing spondylitis</w:t>
      </w:r>
      <w:r w:rsidR="00A45C93" w:rsidRPr="001B0B74">
        <w:t xml:space="preserve"> and </w:t>
      </w:r>
      <w:r w:rsidR="00EC5393" w:rsidRPr="001B0B74">
        <w:t>non-radiographic axial spondyloarthritis</w:t>
      </w:r>
      <w:r w:rsidR="00176F61" w:rsidRPr="001B0B74">
        <w:t xml:space="preserve">) </w:t>
      </w:r>
      <w:r w:rsidR="00A45C93" w:rsidRPr="001B0B74">
        <w:t>are</w:t>
      </w:r>
      <w:r w:rsidR="00176F61" w:rsidRPr="001B0B74">
        <w:t xml:space="preserve"> examining effects on semen parameters.</w:t>
      </w:r>
    </w:p>
    <w:p w14:paraId="5E0A5B81" w14:textId="0E3D1EE6" w:rsidR="00176F61" w:rsidRPr="001B0B74" w:rsidRDefault="006F7465" w:rsidP="006F7465">
      <w:pPr>
        <w:pStyle w:val="ListBullet"/>
      </w:pPr>
      <w:r w:rsidRPr="001B0B74">
        <w:t>a</w:t>
      </w:r>
      <w:r w:rsidR="00176F61" w:rsidRPr="001B0B74">
        <w:t xml:space="preserve">dverse effects on the enamel of rat incisor teeth suggest possible off-target activity with </w:t>
      </w:r>
      <w:r w:rsidR="006703B9" w:rsidRPr="001B0B74">
        <w:t>filgotinib</w:t>
      </w:r>
      <w:r w:rsidR="00176F61" w:rsidRPr="001B0B74">
        <w:t>, which has not been reported with other JAK</w:t>
      </w:r>
      <w:r w:rsidR="00EC5393" w:rsidRPr="001B0B74">
        <w:t xml:space="preserve"> inhibitors</w:t>
      </w:r>
      <w:r w:rsidR="00176F61" w:rsidRPr="001B0B74">
        <w:t xml:space="preserve"> and warrants further study.</w:t>
      </w:r>
    </w:p>
    <w:p w14:paraId="4E655E38" w14:textId="0C149933" w:rsidR="00176F61" w:rsidRPr="001B0B74" w:rsidRDefault="00176F61" w:rsidP="00176F61">
      <w:r w:rsidRPr="001B0B74">
        <w:t xml:space="preserve">The </w:t>
      </w:r>
      <w:r w:rsidR="00155455" w:rsidRPr="001B0B74">
        <w:t xml:space="preserve">nonclinical </w:t>
      </w:r>
      <w:r w:rsidRPr="001B0B74">
        <w:t xml:space="preserve">evaluators noted that the overall quality of </w:t>
      </w:r>
      <w:r w:rsidR="006F7465" w:rsidRPr="001B0B74">
        <w:t>nonclinical evaluation</w:t>
      </w:r>
      <w:r w:rsidRPr="001B0B74">
        <w:t xml:space="preserve"> was high and compliant with</w:t>
      </w:r>
      <w:r w:rsidR="006F7465" w:rsidRPr="001B0B74">
        <w:t xml:space="preserve"> the relevant ICH</w:t>
      </w:r>
      <w:r w:rsidR="00265BF7" w:rsidRPr="001B0B74">
        <w:t>;</w:t>
      </w:r>
      <w:r w:rsidR="00265BF7" w:rsidRPr="001B0B74">
        <w:rPr>
          <w:rStyle w:val="FootnoteReference"/>
        </w:rPr>
        <w:footnoteReference w:id="3"/>
      </w:r>
      <w:r w:rsidR="006F7465" w:rsidRPr="001B0B74">
        <w:t xml:space="preserve"> M3</w:t>
      </w:r>
      <w:r w:rsidR="00932332" w:rsidRPr="001B0B74">
        <w:t xml:space="preserve"> </w:t>
      </w:r>
      <w:r w:rsidR="006F7465" w:rsidRPr="001B0B74">
        <w:t>(R2</w:t>
      </w:r>
      <w:r w:rsidRPr="001B0B74">
        <w:t xml:space="preserve">) </w:t>
      </w:r>
      <w:r w:rsidR="006F7465" w:rsidRPr="001B0B74">
        <w:t>guideline.</w:t>
      </w:r>
      <w:r w:rsidR="005352BD" w:rsidRPr="001B0B74">
        <w:rPr>
          <w:rStyle w:val="FootnoteReference"/>
        </w:rPr>
        <w:footnoteReference w:id="4"/>
      </w:r>
      <w:r w:rsidR="006F7465" w:rsidRPr="001B0B74">
        <w:t xml:space="preserve"> </w:t>
      </w:r>
      <w:r w:rsidRPr="001B0B74">
        <w:t>All pivotal safety</w:t>
      </w:r>
      <w:r w:rsidR="00932332" w:rsidRPr="001B0B74">
        <w:t xml:space="preserve"> </w:t>
      </w:r>
      <w:r w:rsidRPr="001B0B74">
        <w:t xml:space="preserve">related studies were conducted under </w:t>
      </w:r>
      <w:r w:rsidR="00932332" w:rsidRPr="001B0B74">
        <w:t>Good Laboratory Practice (</w:t>
      </w:r>
      <w:r w:rsidRPr="001B0B74">
        <w:t>GLP</w:t>
      </w:r>
      <w:r w:rsidR="00932332" w:rsidRPr="001B0B74">
        <w:t>)</w:t>
      </w:r>
      <w:r w:rsidR="00265BF7" w:rsidRPr="001B0B74">
        <w:t>;</w:t>
      </w:r>
      <w:r w:rsidR="00265BF7" w:rsidRPr="001B0B74">
        <w:rPr>
          <w:rStyle w:val="FootnoteReference"/>
        </w:rPr>
        <w:footnoteReference w:id="5"/>
      </w:r>
      <w:r w:rsidRPr="001B0B74">
        <w:t xml:space="preserve"> conditions using the proposed clinical route and dosing regimen. Pharmacology, pharmacokinetic</w:t>
      </w:r>
      <w:r w:rsidR="00A72D14" w:rsidRPr="001B0B74">
        <w:t xml:space="preserve"> (PK)</w:t>
      </w:r>
      <w:r w:rsidRPr="001B0B74">
        <w:t xml:space="preserve"> and toxicology studies were conducted with </w:t>
      </w:r>
      <w:r w:rsidR="006703B9" w:rsidRPr="001B0B74">
        <w:t xml:space="preserve">filgotinib </w:t>
      </w:r>
      <w:r w:rsidRPr="001B0B74">
        <w:t xml:space="preserve">and its active major human metabolite GS-829845. Safety pharmacology studies assessed effects on the cardiovascular, respiratory and central nervous systems (CNS). No adverse effects on </w:t>
      </w:r>
      <w:r w:rsidR="006F07C0" w:rsidRPr="001B0B74">
        <w:t>corrected QT interval (</w:t>
      </w:r>
      <w:r w:rsidRPr="001B0B74">
        <w:t>QTc</w:t>
      </w:r>
      <w:r w:rsidR="006F07C0" w:rsidRPr="001B0B74">
        <w:t>)</w:t>
      </w:r>
      <w:r w:rsidR="00EC5393" w:rsidRPr="001B0B74">
        <w:t>,</w:t>
      </w:r>
      <w:r w:rsidR="007F336B" w:rsidRPr="001B0B74">
        <w:rPr>
          <w:rStyle w:val="FootnoteReference"/>
        </w:rPr>
        <w:footnoteReference w:id="6"/>
      </w:r>
      <w:r w:rsidR="00EC5393" w:rsidRPr="001B0B74">
        <w:t xml:space="preserve"> </w:t>
      </w:r>
      <w:r w:rsidRPr="001B0B74">
        <w:t>respiratory or CNS function are predicted during clinical use. Some patients may experience effects on blood pressure (decrease) and heart rate (increase).</w:t>
      </w:r>
    </w:p>
    <w:p w14:paraId="21DC7BF0" w14:textId="6AFFF21B" w:rsidR="00176F61" w:rsidRPr="001B0B74" w:rsidRDefault="006F07C0" w:rsidP="00176F61">
      <w:r w:rsidRPr="001B0B74">
        <w:t xml:space="preserve">Filgotinib </w:t>
      </w:r>
      <w:r w:rsidR="00176F61" w:rsidRPr="001B0B74">
        <w:t>is predominantly metabolised by carboxylesterase (CES</w:t>
      </w:r>
      <w:r w:rsidR="00CC53EC" w:rsidRPr="001B0B74">
        <w:t>)</w:t>
      </w:r>
      <w:r w:rsidR="00B9543D" w:rsidRPr="001B0B74">
        <w:t>-</w:t>
      </w:r>
      <w:r w:rsidR="00176F61" w:rsidRPr="001B0B74">
        <w:t xml:space="preserve">2. Based on the </w:t>
      </w:r>
      <w:r w:rsidR="00176F61" w:rsidRPr="001B0B74">
        <w:rPr>
          <w:i/>
        </w:rPr>
        <w:t>in vitro</w:t>
      </w:r>
      <w:r w:rsidR="00176F61" w:rsidRPr="001B0B74">
        <w:t xml:space="preserve"> studies, potential </w:t>
      </w:r>
      <w:r w:rsidR="00A72D14" w:rsidRPr="001B0B74">
        <w:t>PK</w:t>
      </w:r>
      <w:r w:rsidR="00176F61" w:rsidRPr="001B0B74">
        <w:t xml:space="preserve"> drug interactions with inhibitors or inducers of CES-2 may affect exposure to </w:t>
      </w:r>
      <w:r w:rsidR="006703B9" w:rsidRPr="001B0B74">
        <w:t>filgotinib</w:t>
      </w:r>
      <w:r w:rsidR="00176F61" w:rsidRPr="001B0B74">
        <w:t xml:space="preserve">. In addition, </w:t>
      </w:r>
      <w:r w:rsidR="006703B9" w:rsidRPr="001B0B74">
        <w:t>filgotinib</w:t>
      </w:r>
      <w:r w:rsidR="00176F61" w:rsidRPr="001B0B74">
        <w:t xml:space="preserve"> and/or GS-829845 may potentially</w:t>
      </w:r>
      <w:r w:rsidR="00176F61" w:rsidRPr="001B0B74" w:rsidDel="0007347D">
        <w:t xml:space="preserve"> alter the </w:t>
      </w:r>
      <w:r w:rsidR="00A72D14" w:rsidRPr="001B0B74">
        <w:t>PK</w:t>
      </w:r>
      <w:r w:rsidR="00176F61" w:rsidRPr="001B0B74" w:rsidDel="0007347D">
        <w:t xml:space="preserve"> of orally administered drugs </w:t>
      </w:r>
      <w:r w:rsidR="00176F61" w:rsidRPr="001B0B74">
        <w:t>via interaction with</w:t>
      </w:r>
      <w:r w:rsidR="00176F61" w:rsidRPr="001B0B74" w:rsidDel="0007347D">
        <w:t xml:space="preserve"> </w:t>
      </w:r>
      <w:r w:rsidR="00176F61" w:rsidRPr="001B0B74">
        <w:t xml:space="preserve">a number </w:t>
      </w:r>
      <w:r w:rsidR="00C2393D" w:rsidRPr="001B0B74">
        <w:t>of cellular transport proteins.</w:t>
      </w:r>
    </w:p>
    <w:p w14:paraId="228B67C0" w14:textId="4759D7EF" w:rsidR="00176F61" w:rsidRPr="001B0B74" w:rsidRDefault="00176F61" w:rsidP="00176F61">
      <w:r w:rsidRPr="001B0B74">
        <w:t xml:space="preserve">Potential off-target sites for </w:t>
      </w:r>
      <w:r w:rsidR="006703B9" w:rsidRPr="001B0B74">
        <w:t>filgotinib</w:t>
      </w:r>
      <w:r w:rsidRPr="001B0B74">
        <w:t xml:space="preserve"> included a number of serine/threonine protein kinases</w:t>
      </w:r>
      <w:r w:rsidR="00182528" w:rsidRPr="001B0B74">
        <w:t xml:space="preserve"> (SRPK)</w:t>
      </w:r>
      <w:r w:rsidRPr="001B0B74">
        <w:t xml:space="preserve"> including </w:t>
      </w:r>
      <w:r w:rsidR="00182528" w:rsidRPr="001B0B74">
        <w:t>liver kinase (LK)B1 (</w:t>
      </w:r>
      <w:r w:rsidRPr="001B0B74">
        <w:t xml:space="preserve">also known as </w:t>
      </w:r>
      <w:r w:rsidR="00182528" w:rsidRPr="001B0B74">
        <w:t>serine/threonine kinase (</w:t>
      </w:r>
      <w:r w:rsidRPr="001B0B74">
        <w:t>STK</w:t>
      </w:r>
      <w:r w:rsidR="00182528" w:rsidRPr="001B0B74">
        <w:t>)</w:t>
      </w:r>
      <w:r w:rsidRPr="001B0B74">
        <w:t xml:space="preserve">11 and </w:t>
      </w:r>
      <w:r w:rsidR="00182528" w:rsidRPr="001B0B74">
        <w:t>prostate apoptosis response (</w:t>
      </w:r>
      <w:r w:rsidRPr="001B0B74">
        <w:t>P</w:t>
      </w:r>
      <w:r w:rsidR="00182528" w:rsidRPr="001B0B74">
        <w:t>AR)</w:t>
      </w:r>
      <w:r w:rsidRPr="001B0B74">
        <w:t>4, known to play a role in spermatogenesis), SRPK-1, (known to be involved in regulating vasc</w:t>
      </w:r>
      <w:r w:rsidR="00CC53EC" w:rsidRPr="001B0B74">
        <w:t>ular endothelial growth factor (</w:t>
      </w:r>
      <w:r w:rsidRPr="001B0B74">
        <w:t>VEGF</w:t>
      </w:r>
      <w:r w:rsidR="00CC53EC" w:rsidRPr="001B0B74">
        <w:t>), a splice variants), STK</w:t>
      </w:r>
      <w:r w:rsidRPr="001B0B74">
        <w:t xml:space="preserve">16 and YSK4. Potential off-target sites for GS-829845 are serine/threonine protein kinases </w:t>
      </w:r>
      <w:r w:rsidR="0055754A" w:rsidRPr="001B0B74">
        <w:t>(</w:t>
      </w:r>
      <w:r w:rsidRPr="001B0B74">
        <w:t>RIOK</w:t>
      </w:r>
      <w:r w:rsidR="0055754A" w:rsidRPr="001B0B74">
        <w:t>)</w:t>
      </w:r>
      <w:r w:rsidRPr="001B0B74">
        <w:t>1, RIOK3 and SRPK1</w:t>
      </w:r>
      <w:r w:rsidR="00CC53EC" w:rsidRPr="001B0B74">
        <w:t>. The non</w:t>
      </w:r>
      <w:r w:rsidRPr="001B0B74">
        <w:t>clinical evaluators are concerned that the sponsor has not adequately considered the potential off</w:t>
      </w:r>
      <w:r w:rsidR="00CC53EC" w:rsidRPr="001B0B74">
        <w:noBreakHyphen/>
      </w:r>
      <w:r w:rsidRPr="001B0B74">
        <w:t xml:space="preserve">target activity of </w:t>
      </w:r>
      <w:r w:rsidR="006703B9" w:rsidRPr="001B0B74">
        <w:t>filgotinib</w:t>
      </w:r>
      <w:r w:rsidRPr="001B0B74">
        <w:t xml:space="preserve">, noting that the </w:t>
      </w:r>
      <w:r w:rsidR="00155455" w:rsidRPr="001B0B74">
        <w:t>European public assessment report (</w:t>
      </w:r>
      <w:r w:rsidRPr="001B0B74">
        <w:t>E</w:t>
      </w:r>
      <w:r w:rsidR="00155455" w:rsidRPr="001B0B74">
        <w:t>PAR)</w:t>
      </w:r>
      <w:r w:rsidRPr="001B0B74">
        <w:t xml:space="preserve"> for filgotinib reached a similar conclusion.</w:t>
      </w:r>
    </w:p>
    <w:p w14:paraId="74DBF1CC" w14:textId="1C28577E" w:rsidR="00176F61" w:rsidRPr="001B0B74" w:rsidRDefault="00176F61" w:rsidP="00155455">
      <w:r w:rsidRPr="001B0B74">
        <w:t>The</w:t>
      </w:r>
      <w:r w:rsidR="00155455" w:rsidRPr="001B0B74">
        <w:t xml:space="preserve"> nonclinical</w:t>
      </w:r>
      <w:r w:rsidRPr="001B0B74">
        <w:t xml:space="preserve"> evaluator identified the following target organs for toxicity in all species (</w:t>
      </w:r>
      <w:r w:rsidR="00155455" w:rsidRPr="001B0B74">
        <w:t>including mice, rats and</w:t>
      </w:r>
      <w:r w:rsidRPr="001B0B74">
        <w:t xml:space="preserve"> dogs):</w:t>
      </w:r>
      <w:r w:rsidR="00155455" w:rsidRPr="001B0B74">
        <w:t xml:space="preserve"> the lymphoid organs, the erythropoietic organs, </w:t>
      </w:r>
      <w:r w:rsidRPr="001B0B74">
        <w:t>male reproductive organs, and</w:t>
      </w:r>
      <w:r w:rsidR="00155455" w:rsidRPr="001B0B74">
        <w:t xml:space="preserve"> the gastrointestinal tract.</w:t>
      </w:r>
    </w:p>
    <w:p w14:paraId="34D806E3" w14:textId="1B84190B" w:rsidR="00176F61" w:rsidRPr="001B0B74" w:rsidRDefault="00176F61" w:rsidP="00176F61">
      <w:r w:rsidRPr="001B0B74">
        <w:t>Additionally enamel abnormalities were note</w:t>
      </w:r>
      <w:r w:rsidR="00155455" w:rsidRPr="001B0B74">
        <w:t>d in the incisor teeth of rats.</w:t>
      </w:r>
    </w:p>
    <w:p w14:paraId="5E8CFBF8" w14:textId="2ADB81FA" w:rsidR="00176F61" w:rsidRPr="001B0B74" w:rsidRDefault="00176F61" w:rsidP="00176F61">
      <w:r w:rsidRPr="001B0B74">
        <w:t>All findings were reversible, except for the reproductive organ effects at high doses. The effects on lymphoid tissues and erythropoiesis are considered clinically relevant. Due to decreases in circulating and tissue lymphocytes, immunosuppression in patients may increase risks of in</w:t>
      </w:r>
      <w:r w:rsidR="00155455" w:rsidRPr="001B0B74">
        <w:t>fection and malignancies.</w:t>
      </w:r>
    </w:p>
    <w:p w14:paraId="61AB3A33" w14:textId="592C4350" w:rsidR="00176F61" w:rsidRPr="001B0B74" w:rsidRDefault="00176F61" w:rsidP="00176F61">
      <w:r w:rsidRPr="001B0B74">
        <w:t xml:space="preserve">The </w:t>
      </w:r>
      <w:r w:rsidR="00155455" w:rsidRPr="001B0B74">
        <w:t xml:space="preserve">nonclinical </w:t>
      </w:r>
      <w:r w:rsidRPr="001B0B74">
        <w:t xml:space="preserve">evaluator considered that the effects on the male reproductive organs are of clinical concern. At lower </w:t>
      </w:r>
      <w:r w:rsidR="006703B9" w:rsidRPr="001B0B74">
        <w:t>filgotinib</w:t>
      </w:r>
      <w:r w:rsidRPr="001B0B74">
        <w:t xml:space="preserve"> exposures, the effects included minimal or slight microscopic changes in the testes consisting of germ cell depletion, germ cell degeneration, and/or tubular vacuolation, associated with reduced sperm content and increased cell debris changes in the epididymides. More severe effects at increased exposure levels (which were not completely reversible) included decreased testis weight, tubular atrophy, sloughed germinal cells, decreased seminology parameters, and impaired fertility. Histopathological effects were seen in the absence of not</w:t>
      </w:r>
      <w:r w:rsidR="00877390" w:rsidRPr="001B0B74">
        <w:t>able changes in hormone levels.</w:t>
      </w:r>
    </w:p>
    <w:p w14:paraId="00E49FF5" w14:textId="396B6AA6" w:rsidR="00176F61" w:rsidRPr="001B0B74" w:rsidRDefault="00176F61" w:rsidP="00176F61">
      <w:r w:rsidRPr="001B0B74">
        <w:t>Fertility was markedly impaired in male rats at filgotinib</w:t>
      </w:r>
      <w:r w:rsidR="0055754A" w:rsidRPr="001B0B74">
        <w:t xml:space="preserve"> exposure ration based on area under the plasma concentration time curve</w:t>
      </w:r>
      <w:r w:rsidRPr="001B0B74">
        <w:t xml:space="preserve"> </w:t>
      </w:r>
      <w:r w:rsidR="0055754A" w:rsidRPr="001B0B74">
        <w:t>(</w:t>
      </w:r>
      <w:r w:rsidRPr="001B0B74">
        <w:t>ERAUC</w:t>
      </w:r>
      <w:r w:rsidR="0055754A" w:rsidRPr="001B0B74">
        <w:t>)</w:t>
      </w:r>
      <w:r w:rsidRPr="001B0B74">
        <w:t xml:space="preserve"> 7.1, but female fertility was unaffected. Filgotinib and </w:t>
      </w:r>
      <w:r w:rsidR="00FC72CD" w:rsidRPr="001B0B74">
        <w:t xml:space="preserve">the metabolite </w:t>
      </w:r>
      <w:r w:rsidRPr="001B0B74">
        <w:t>GS-829845 were teratogenic in both rats and rabbits, causing eye, CNS (filgotinib only) and lung, cardiovascular and skeletal malformations (</w:t>
      </w:r>
      <w:r w:rsidR="00FC72CD" w:rsidRPr="001B0B74">
        <w:t xml:space="preserve">in </w:t>
      </w:r>
      <w:r w:rsidRPr="001B0B74">
        <w:t>both species). Reduced fetal viability due to increases in resorptions and postimplantation loss, as well as reduced fetal body weight, was seen in both species following mater</w:t>
      </w:r>
      <w:r w:rsidR="00A72D14" w:rsidRPr="001B0B74">
        <w:t>nal dosing with filgotinib (100 </w:t>
      </w:r>
      <w:r w:rsidRPr="001B0B74">
        <w:t xml:space="preserve">mg/kg/day </w:t>
      </w:r>
      <w:r w:rsidR="00553EED" w:rsidRPr="001B0B74">
        <w:t>the treatment is taken orally (</w:t>
      </w:r>
      <w:r w:rsidRPr="001B0B74">
        <w:t>PO</w:t>
      </w:r>
      <w:r w:rsidR="00553EED" w:rsidRPr="001B0B74">
        <w:t>)</w:t>
      </w:r>
      <w:r w:rsidRPr="001B0B74">
        <w:t xml:space="preserve"> </w:t>
      </w:r>
      <w:r w:rsidR="00A72D14" w:rsidRPr="001B0B74">
        <w:t>in rats, and 60 </w:t>
      </w:r>
      <w:r w:rsidRPr="001B0B74">
        <w:t xml:space="preserve">mg/kg/day PO in rabbits; ERAUC 13.4 and 20.6, respectively). The evaluation concluded that the mechanism of the adverse effects on the male reproductive system is unknown, but that the data indicate off-target effects with </w:t>
      </w:r>
      <w:r w:rsidR="006703B9" w:rsidRPr="001B0B74">
        <w:t>filgotinib</w:t>
      </w:r>
      <w:r w:rsidRPr="001B0B74">
        <w:t xml:space="preserve"> not seen with the other JAK</w:t>
      </w:r>
      <w:r w:rsidR="00FC72CD" w:rsidRPr="001B0B74">
        <w:t xml:space="preserve"> inhibitors</w:t>
      </w:r>
      <w:r w:rsidRPr="001B0B74">
        <w:t xml:space="preserve">. Dosing with </w:t>
      </w:r>
      <w:r w:rsidR="00FC72CD" w:rsidRPr="001B0B74">
        <w:t xml:space="preserve">the metabolite </w:t>
      </w:r>
      <w:r w:rsidRPr="001B0B74">
        <w:t>GS-829845 did not have any adverse effects on the male reproductive system in any species.</w:t>
      </w:r>
    </w:p>
    <w:p w14:paraId="5A9FF193" w14:textId="7B285830" w:rsidR="00A72D14" w:rsidRPr="001B0B74" w:rsidRDefault="00176F61" w:rsidP="00A72D14">
      <w:r w:rsidRPr="001B0B74">
        <w:t>The sponsor response to the nonclinical evaluation report acknowledged the potential risk to males of reproductive potential and proposed to include a special warning in the Aust</w:t>
      </w:r>
      <w:r w:rsidR="00C2393D" w:rsidRPr="001B0B74">
        <w:t>ralian PI:</w:t>
      </w:r>
    </w:p>
    <w:p w14:paraId="6D3755EF" w14:textId="65984D52" w:rsidR="00176F61" w:rsidRPr="001B0B74" w:rsidRDefault="00A72D14" w:rsidP="00A72D14">
      <w:r w:rsidRPr="001B0B74">
        <w:t>‘</w:t>
      </w:r>
      <w:r w:rsidR="00176F61" w:rsidRPr="001B0B74">
        <w:rPr>
          <w:i/>
        </w:rPr>
        <w:t>Fertility</w:t>
      </w:r>
    </w:p>
    <w:p w14:paraId="7EE8B312" w14:textId="435FDF27" w:rsidR="00176F61" w:rsidRPr="001B0B74" w:rsidRDefault="00176F61" w:rsidP="00A72D14">
      <w:pPr>
        <w:rPr>
          <w:i/>
        </w:rPr>
      </w:pPr>
      <w:r w:rsidRPr="001B0B74">
        <w:rPr>
          <w:i/>
        </w:rPr>
        <w:t>In animal studies, decreased fertility, impaired spermatogenesis, and histopathological effects on male reproduc</w:t>
      </w:r>
      <w:r w:rsidR="00A72D14" w:rsidRPr="001B0B74">
        <w:rPr>
          <w:i/>
        </w:rPr>
        <w:t>tive organs were observed (see S</w:t>
      </w:r>
      <w:r w:rsidRPr="001B0B74">
        <w:rPr>
          <w:i/>
        </w:rPr>
        <w:t>ection 5.3). The potential effect of filgotinib on sperm production and male fertility in humans is currently unknown. The reversibility of these potential effects is unknown. The potential risk of reduced fertility or infertility should be discussed with male patients before initiating treatment.</w:t>
      </w:r>
      <w:r w:rsidR="00A72D14" w:rsidRPr="001B0B74">
        <w:rPr>
          <w:i/>
        </w:rPr>
        <w:t>’</w:t>
      </w:r>
    </w:p>
    <w:p w14:paraId="402AC67B" w14:textId="6446D23C" w:rsidR="008E7846" w:rsidRPr="001B0B74" w:rsidRDefault="00176F61" w:rsidP="00176F61">
      <w:r w:rsidRPr="001B0B74">
        <w:t>The sponsor also proposed to communicate the potential risk information via a Healthcare Professional Guide an</w:t>
      </w:r>
      <w:r w:rsidR="00A72D14" w:rsidRPr="001B0B74">
        <w:t>d a Patient Alert Card. The non</w:t>
      </w:r>
      <w:r w:rsidRPr="001B0B74">
        <w:t>clinical evaluation referred review of this proposed action</w:t>
      </w:r>
      <w:r w:rsidR="00A72D14" w:rsidRPr="001B0B74">
        <w:t xml:space="preserve"> to the risk management plan (RMP) evaluators and the D</w:t>
      </w:r>
      <w:r w:rsidRPr="001B0B74">
        <w:t>elegate for consideration.</w:t>
      </w:r>
    </w:p>
    <w:p w14:paraId="440D29C9" w14:textId="77777777" w:rsidR="008E7846" w:rsidRPr="001B0B74" w:rsidRDefault="008E7846" w:rsidP="008E7846">
      <w:pPr>
        <w:pStyle w:val="Heading3"/>
      </w:pPr>
      <w:bookmarkStart w:id="37" w:name="_Toc247691530"/>
      <w:bookmarkStart w:id="38" w:name="_Toc314842513"/>
      <w:bookmarkStart w:id="39" w:name="_Toc72750583"/>
      <w:r w:rsidRPr="001B0B74">
        <w:t>Clinical</w:t>
      </w:r>
      <w:bookmarkEnd w:id="37"/>
      <w:bookmarkEnd w:id="38"/>
      <w:bookmarkEnd w:id="39"/>
    </w:p>
    <w:p w14:paraId="4808DA56" w14:textId="221F07F5" w:rsidR="00B91D15" w:rsidRPr="001B0B74" w:rsidRDefault="00B91D15" w:rsidP="00B91D15">
      <w:bookmarkStart w:id="40" w:name="_Toc314842514"/>
      <w:r w:rsidRPr="001B0B74">
        <w:t>The clinical dossier consisted of the following studies:</w:t>
      </w:r>
    </w:p>
    <w:p w14:paraId="701FC930" w14:textId="61A21ED9" w:rsidR="000A580F" w:rsidRPr="001B0B74" w:rsidRDefault="005B429C" w:rsidP="005D20D0">
      <w:pPr>
        <w:pStyle w:val="ListBullet"/>
      </w:pPr>
      <w:r w:rsidRPr="001B0B74">
        <w:t>12 clinical pharmacology studies</w:t>
      </w:r>
      <w:r w:rsidR="005D20D0" w:rsidRPr="001B0B74">
        <w:t>;</w:t>
      </w:r>
    </w:p>
    <w:p w14:paraId="2542BCBE" w14:textId="1B92F3E5" w:rsidR="005D20D0" w:rsidRPr="001B0B74" w:rsidRDefault="005D20D0" w:rsidP="005D20D0">
      <w:pPr>
        <w:pStyle w:val="ListBullet"/>
      </w:pPr>
      <w:r w:rsidRPr="001B0B74">
        <w:t>4</w:t>
      </w:r>
      <w:r w:rsidR="005B429C" w:rsidRPr="001B0B74">
        <w:t xml:space="preserve"> Phase II studies</w:t>
      </w:r>
      <w:r w:rsidRPr="001B0B74">
        <w:t>, Study GLPG0634-CL-201, Study GLPG0634-CL-202, the DARWIN 1, and DARWIN 2 trials; a single open label extension trial of the Phase II trials, the DARWIN 3 trial</w:t>
      </w:r>
      <w:r w:rsidR="00DE2BFC" w:rsidRPr="001B0B74">
        <w:t>;</w:t>
      </w:r>
    </w:p>
    <w:p w14:paraId="4CF62596" w14:textId="65602174" w:rsidR="005D20D0" w:rsidRPr="001B0B74" w:rsidRDefault="005D20D0" w:rsidP="005D20D0">
      <w:pPr>
        <w:pStyle w:val="ListBullet"/>
      </w:pPr>
      <w:r w:rsidRPr="001B0B74">
        <w:t>3 pivotal Phase III efficacy/safety studies, the FINCH 1, 2 and 3 trials.</w:t>
      </w:r>
    </w:p>
    <w:p w14:paraId="6AE8471B" w14:textId="4FA6DCDC" w:rsidR="00176F61" w:rsidRPr="001B0B74" w:rsidRDefault="00176F61" w:rsidP="00176F61">
      <w:r w:rsidRPr="001B0B74">
        <w:t xml:space="preserve">The clinical evaluator recommends approval of the submission to register </w:t>
      </w:r>
      <w:r w:rsidR="006703B9" w:rsidRPr="001B0B74">
        <w:t>filgotinib</w:t>
      </w:r>
      <w:r w:rsidRPr="001B0B74">
        <w:t xml:space="preserve"> as monotherapy or in combination with </w:t>
      </w:r>
      <w:r w:rsidR="00784E59" w:rsidRPr="001B0B74">
        <w:t>cs</w:t>
      </w:r>
      <w:r w:rsidRPr="001B0B74">
        <w:t xml:space="preserve">DMARDs for the treatment of moderate to severely active RA in adult female patients who have failed to respond to, or are intolerant of at least one DMARD. However, in view of concerns with regard to the potential effect of </w:t>
      </w:r>
      <w:r w:rsidR="006703B9" w:rsidRPr="001B0B74">
        <w:t>filgotinib</w:t>
      </w:r>
      <w:r w:rsidRPr="001B0B74">
        <w:t xml:space="preserve"> on spermatogenesis, the evaluator does not support approval of </w:t>
      </w:r>
      <w:r w:rsidR="006703B9" w:rsidRPr="001B0B74">
        <w:t>filgotinib</w:t>
      </w:r>
      <w:r w:rsidRPr="001B0B74">
        <w:t xml:space="preserve"> for the tr</w:t>
      </w:r>
      <w:r w:rsidR="00C2393D" w:rsidRPr="001B0B74">
        <w:t>eatment of adult males with RA.</w:t>
      </w:r>
    </w:p>
    <w:p w14:paraId="6BFCB631" w14:textId="61648272" w:rsidR="00176F61" w:rsidRPr="001B0B74" w:rsidRDefault="00176F61" w:rsidP="00176F61">
      <w:r w:rsidRPr="001B0B74">
        <w:t>The submission included 19 completed clinical studies comprising 12 clinical pharmacology studies (includin</w:t>
      </w:r>
      <w:r w:rsidR="00E50238" w:rsidRPr="001B0B74">
        <w:t>g bioavailability studies and ten</w:t>
      </w:r>
      <w:r w:rsidRPr="001B0B74">
        <w:t xml:space="preserve"> PK trials), four Phase </w:t>
      </w:r>
      <w:r w:rsidR="00AE7563" w:rsidRPr="001B0B74">
        <w:t>II</w:t>
      </w:r>
      <w:r w:rsidRPr="001B0B74">
        <w:t xml:space="preserve"> studies and three Phase </w:t>
      </w:r>
      <w:r w:rsidR="00AE7563" w:rsidRPr="001B0B74">
        <w:t>III</w:t>
      </w:r>
      <w:r w:rsidRPr="001B0B74">
        <w:t xml:space="preserve"> studies in RA patients. In addition, efficacy and safety data from an ongoing long</w:t>
      </w:r>
      <w:r w:rsidR="00AE7563" w:rsidRPr="001B0B74">
        <w:t xml:space="preserve"> </w:t>
      </w:r>
      <w:r w:rsidRPr="001B0B74">
        <w:t>term ext</w:t>
      </w:r>
      <w:r w:rsidR="00C2393D" w:rsidRPr="001B0B74">
        <w:t>ension study was also included.</w:t>
      </w:r>
    </w:p>
    <w:p w14:paraId="58E6587B" w14:textId="17100A92" w:rsidR="00176F61" w:rsidRPr="001B0B74" w:rsidRDefault="00176F61" w:rsidP="00176F61">
      <w:r w:rsidRPr="001B0B74">
        <w:t xml:space="preserve">At the data cut-off date for this submission, approximately 3000 participants had received at least one dose of </w:t>
      </w:r>
      <w:r w:rsidR="006703B9" w:rsidRPr="001B0B74">
        <w:t>filgotinib</w:t>
      </w:r>
      <w:r w:rsidRPr="001B0B74">
        <w:t xml:space="preserve"> in the Phase </w:t>
      </w:r>
      <w:r w:rsidR="00AE7563" w:rsidRPr="001B0B74">
        <w:t>II</w:t>
      </w:r>
      <w:r w:rsidRPr="001B0B74">
        <w:t xml:space="preserve"> or </w:t>
      </w:r>
      <w:r w:rsidR="00AE7563" w:rsidRPr="001B0B74">
        <w:t>III</w:t>
      </w:r>
      <w:r w:rsidRPr="001B0B74">
        <w:t xml:space="preserve"> studies. Doses of </w:t>
      </w:r>
      <w:r w:rsidR="006703B9" w:rsidRPr="001B0B74">
        <w:t>filgotinib</w:t>
      </w:r>
      <w:r w:rsidRPr="001B0B74">
        <w:t xml:space="preserve"> investigated in the Phase </w:t>
      </w:r>
      <w:r w:rsidR="00AE7563" w:rsidRPr="001B0B74">
        <w:t xml:space="preserve">IIb program ranged between 25 mg </w:t>
      </w:r>
      <w:r w:rsidR="00751D74" w:rsidRPr="001B0B74">
        <w:t>twice daily</w:t>
      </w:r>
      <w:r w:rsidR="00AE7563" w:rsidRPr="001B0B74">
        <w:t xml:space="preserve"> to 200 </w:t>
      </w:r>
      <w:r w:rsidRPr="001B0B74">
        <w:t xml:space="preserve">mg </w:t>
      </w:r>
      <w:r w:rsidR="00751D74" w:rsidRPr="001B0B74">
        <w:t>once daily</w:t>
      </w:r>
      <w:r w:rsidRPr="001B0B74">
        <w:t>. Th</w:t>
      </w:r>
      <w:r w:rsidR="00AE7563" w:rsidRPr="001B0B74">
        <w:t>e Phase II</w:t>
      </w:r>
      <w:r w:rsidRPr="001B0B74">
        <w:t xml:space="preserve">a trials assessed daily doses of </w:t>
      </w:r>
      <w:r w:rsidR="006703B9" w:rsidRPr="001B0B74">
        <w:t>filgotinib</w:t>
      </w:r>
      <w:r w:rsidR="00AE7563" w:rsidRPr="001B0B74">
        <w:t xml:space="preserve"> ranging from 30 mg to 450 mg. The Phase II</w:t>
      </w:r>
      <w:r w:rsidRPr="001B0B74">
        <w:t xml:space="preserve"> trials supported the choice of</w:t>
      </w:r>
      <w:r w:rsidR="00751D74" w:rsidRPr="001B0B74">
        <w:t xml:space="preserve"> the</w:t>
      </w:r>
      <w:r w:rsidRPr="001B0B74">
        <w:t xml:space="preserve"> 100</w:t>
      </w:r>
      <w:r w:rsidR="00AE7563" w:rsidRPr="001B0B74">
        <w:t> </w:t>
      </w:r>
      <w:r w:rsidRPr="001B0B74">
        <w:t>mg and 200</w:t>
      </w:r>
      <w:r w:rsidR="00AE7563" w:rsidRPr="001B0B74">
        <w:t> </w:t>
      </w:r>
      <w:r w:rsidRPr="001B0B74">
        <w:t xml:space="preserve">mg </w:t>
      </w:r>
      <w:r w:rsidR="00751D74" w:rsidRPr="001B0B74">
        <w:t>once daily</w:t>
      </w:r>
      <w:r w:rsidRPr="001B0B74">
        <w:t xml:space="preserve"> dose regime</w:t>
      </w:r>
      <w:r w:rsidR="00AE7563" w:rsidRPr="001B0B74">
        <w:t>ns for evaluation in the Phase III</w:t>
      </w:r>
      <w:r w:rsidRPr="001B0B74">
        <w:t xml:space="preserve"> studies.</w:t>
      </w:r>
    </w:p>
    <w:p w14:paraId="17DD4911" w14:textId="084BD47A" w:rsidR="00176F61" w:rsidRPr="001B0B74" w:rsidRDefault="00AE7563" w:rsidP="00176F61">
      <w:r w:rsidRPr="001B0B74">
        <w:t>The Phase III</w:t>
      </w:r>
      <w:r w:rsidR="00176F61" w:rsidRPr="001B0B74">
        <w:t xml:space="preserve"> studies examined the efficacy and safety of </w:t>
      </w:r>
      <w:r w:rsidR="006703B9" w:rsidRPr="001B0B74">
        <w:t>filgotinib</w:t>
      </w:r>
      <w:r w:rsidR="00176F61" w:rsidRPr="001B0B74">
        <w:t xml:space="preserve"> in different populations (</w:t>
      </w:r>
      <w:r w:rsidR="00751D74" w:rsidRPr="001B0B74">
        <w:t>methotrexate</w:t>
      </w:r>
      <w:r w:rsidR="00176F61" w:rsidRPr="001B0B74">
        <w:t xml:space="preserve"> </w:t>
      </w:r>
      <w:r w:rsidR="00751D74" w:rsidRPr="001B0B74">
        <w:t>naïve,</w:t>
      </w:r>
      <w:r w:rsidR="007744C6" w:rsidRPr="001B0B74">
        <w:t xml:space="preserve"> inadequate responders to </w:t>
      </w:r>
      <w:r w:rsidR="00176F61" w:rsidRPr="001B0B74">
        <w:t>c</w:t>
      </w:r>
      <w:r w:rsidR="00751D74" w:rsidRPr="001B0B74">
        <w:t>s</w:t>
      </w:r>
      <w:r w:rsidR="00176F61" w:rsidRPr="001B0B74">
        <w:t>DMARD</w:t>
      </w:r>
      <w:r w:rsidR="00751D74" w:rsidRPr="001B0B74">
        <w:t>s</w:t>
      </w:r>
      <w:r w:rsidR="00176F61" w:rsidRPr="001B0B74">
        <w:t xml:space="preserve"> (predominantly </w:t>
      </w:r>
      <w:r w:rsidR="00751D74" w:rsidRPr="001B0B74">
        <w:t>methotrexate</w:t>
      </w:r>
      <w:r w:rsidR="00176F61" w:rsidRPr="001B0B74">
        <w:t xml:space="preserve">) and </w:t>
      </w:r>
      <w:r w:rsidR="00751D74" w:rsidRPr="001B0B74">
        <w:t xml:space="preserve">inadequate responders to </w:t>
      </w:r>
      <w:r w:rsidR="00176F61" w:rsidRPr="001B0B74">
        <w:t>bDM</w:t>
      </w:r>
      <w:r w:rsidR="006760FF" w:rsidRPr="001B0B74">
        <w:t>ARD</w:t>
      </w:r>
      <w:r w:rsidR="00751D74" w:rsidRPr="001B0B74">
        <w:t>s</w:t>
      </w:r>
      <w:r w:rsidR="006760FF" w:rsidRPr="001B0B74">
        <w:t>) at two dose levels (100 mg and 200 </w:t>
      </w:r>
      <w:r w:rsidR="00176F61" w:rsidRPr="001B0B74">
        <w:t xml:space="preserve">mg </w:t>
      </w:r>
      <w:r w:rsidR="00751D74" w:rsidRPr="001B0B74">
        <w:t>once daily</w:t>
      </w:r>
      <w:r w:rsidR="00176F61" w:rsidRPr="001B0B74">
        <w:t xml:space="preserve">). Depending on the study, efficacy outcomes were compared to common and established active comparators (low dose oral </w:t>
      </w:r>
      <w:r w:rsidR="00751D74" w:rsidRPr="001B0B74">
        <w:t>methotrexate</w:t>
      </w:r>
      <w:r w:rsidR="00176F61" w:rsidRPr="001B0B74">
        <w:t xml:space="preserve"> taken weekly, or 40</w:t>
      </w:r>
      <w:r w:rsidR="006760FF" w:rsidRPr="001B0B74">
        <w:t> </w:t>
      </w:r>
      <w:r w:rsidR="00176F61" w:rsidRPr="001B0B74">
        <w:t xml:space="preserve">mg adalimumab given fortnightly by </w:t>
      </w:r>
      <w:r w:rsidR="001C1A52" w:rsidRPr="001B0B74">
        <w:t xml:space="preserve">subcutaneous </w:t>
      </w:r>
      <w:r w:rsidR="00176F61" w:rsidRPr="001B0B74">
        <w:t xml:space="preserve">injection). No statistical comparisons were performed between the two doses of </w:t>
      </w:r>
      <w:r w:rsidR="006703B9" w:rsidRPr="001B0B74">
        <w:t>filgotinib</w:t>
      </w:r>
      <w:r w:rsidR="00176F61" w:rsidRPr="001B0B74">
        <w:t>.</w:t>
      </w:r>
    </w:p>
    <w:p w14:paraId="1F48D79C" w14:textId="69C3EDE6" w:rsidR="00176F61" w:rsidRPr="001B0B74" w:rsidRDefault="00176F61" w:rsidP="00176F61">
      <w:r w:rsidRPr="001B0B74">
        <w:t xml:space="preserve">Persistence of the clinical response to </w:t>
      </w:r>
      <w:r w:rsidR="006703B9" w:rsidRPr="001B0B74">
        <w:t>filgotinib</w:t>
      </w:r>
      <w:r w:rsidRPr="001B0B74">
        <w:t xml:space="preserve"> was examined in an open</w:t>
      </w:r>
      <w:r w:rsidR="009C1898" w:rsidRPr="001B0B74">
        <w:t xml:space="preserve"> </w:t>
      </w:r>
      <w:r w:rsidRPr="001B0B74">
        <w:t>label ex</w:t>
      </w:r>
      <w:r w:rsidR="009C1898" w:rsidRPr="001B0B74">
        <w:t>tension study (up to extension W</w:t>
      </w:r>
      <w:r w:rsidRPr="001B0B74">
        <w:t xml:space="preserve">eek 156), in which patients continued to receive </w:t>
      </w:r>
      <w:r w:rsidR="006703B9" w:rsidRPr="001B0B74">
        <w:t>filgotinib</w:t>
      </w:r>
      <w:r w:rsidR="009C1898" w:rsidRPr="001B0B74">
        <w:t xml:space="preserve"> 100 mg or 200 </w:t>
      </w:r>
      <w:r w:rsidRPr="001B0B74">
        <w:t xml:space="preserve">mg </w:t>
      </w:r>
      <w:r w:rsidR="00751D74" w:rsidRPr="001B0B74">
        <w:t>once daily</w:t>
      </w:r>
      <w:r w:rsidRPr="001B0B74">
        <w:t>.</w:t>
      </w:r>
    </w:p>
    <w:p w14:paraId="48844B9F" w14:textId="77777777" w:rsidR="00176F61" w:rsidRPr="001B0B74" w:rsidRDefault="00176F61" w:rsidP="00176F61">
      <w:pPr>
        <w:pStyle w:val="Heading4"/>
      </w:pPr>
      <w:r w:rsidRPr="001B0B74">
        <w:t>Pharmacology</w:t>
      </w:r>
    </w:p>
    <w:p w14:paraId="1655E556" w14:textId="193495E0" w:rsidR="00176F61" w:rsidRPr="001B0B74" w:rsidRDefault="00176F61" w:rsidP="00176F61">
      <w:pPr>
        <w:pStyle w:val="Heading5"/>
      </w:pPr>
      <w:r w:rsidRPr="001B0B74">
        <w:t>Pharmacokinetics</w:t>
      </w:r>
    </w:p>
    <w:p w14:paraId="784BCE29" w14:textId="360B645B" w:rsidR="00176F61" w:rsidRPr="001B0B74" w:rsidRDefault="00176F61" w:rsidP="00176F61">
      <w:r w:rsidRPr="001B0B74">
        <w:t xml:space="preserve">Orally administered </w:t>
      </w:r>
      <w:r w:rsidR="006703B9" w:rsidRPr="001B0B74">
        <w:t>filgotinib</w:t>
      </w:r>
      <w:r w:rsidRPr="001B0B74">
        <w:t xml:space="preserve"> is rapidly absorbed with median </w:t>
      </w:r>
      <w:r w:rsidR="00B9543D" w:rsidRPr="001B0B74">
        <w:t>time at maximum concentration (</w:t>
      </w:r>
      <w:r w:rsidRPr="001B0B74">
        <w:t>T</w:t>
      </w:r>
      <w:r w:rsidRPr="001B0B74">
        <w:rPr>
          <w:vertAlign w:val="subscript"/>
        </w:rPr>
        <w:t>max</w:t>
      </w:r>
      <w:r w:rsidR="00B9543D" w:rsidRPr="001B0B74">
        <w:t>)</w:t>
      </w:r>
      <w:r w:rsidRPr="001B0B74">
        <w:t xml:space="preserve"> ranging from 0.5</w:t>
      </w:r>
      <w:r w:rsidR="00B9543D" w:rsidRPr="001B0B74">
        <w:t xml:space="preserve"> to 3 </w:t>
      </w:r>
      <w:r w:rsidRPr="001B0B74">
        <w:t xml:space="preserve">hours under fasting and non-fasting conditions. It demonstrates low binding to human plasma proteins and the mean apparent terminal </w:t>
      </w:r>
      <w:r w:rsidR="00B9543D" w:rsidRPr="001B0B74">
        <w:t xml:space="preserve">drug half </w:t>
      </w:r>
      <w:r w:rsidRPr="001B0B74">
        <w:t>life (T</w:t>
      </w:r>
      <w:r w:rsidRPr="001B0B74">
        <w:rPr>
          <w:vertAlign w:val="subscript"/>
        </w:rPr>
        <w:t>1/2</w:t>
      </w:r>
      <w:r w:rsidRPr="001B0B74">
        <w:t xml:space="preserve">) of </w:t>
      </w:r>
      <w:r w:rsidR="006703B9" w:rsidRPr="001B0B74">
        <w:t>filgotinib</w:t>
      </w:r>
      <w:r w:rsidRPr="001B0B74">
        <w:t xml:space="preserve"> in plasma ranges from 5</w:t>
      </w:r>
      <w:r w:rsidR="00B9543D" w:rsidRPr="001B0B74">
        <w:t xml:space="preserve"> to </w:t>
      </w:r>
      <w:r w:rsidRPr="001B0B74">
        <w:t xml:space="preserve">11 hours. </w:t>
      </w:r>
      <w:r w:rsidR="00B9543D" w:rsidRPr="001B0B74">
        <w:t xml:space="preserve">Filgotinib </w:t>
      </w:r>
      <w:r w:rsidRPr="001B0B74">
        <w:t>is metabolised mainly by CES-2, and to a lesser extent</w:t>
      </w:r>
      <w:r w:rsidR="00B9543D" w:rsidRPr="001B0B74">
        <w:t xml:space="preserve"> by CES-1. There are at least 7 to </w:t>
      </w:r>
      <w:r w:rsidRPr="001B0B74">
        <w:t>8</w:t>
      </w:r>
      <w:r w:rsidR="007744C6" w:rsidRPr="001B0B74">
        <w:t> </w:t>
      </w:r>
      <w:r w:rsidRPr="001B0B74">
        <w:t xml:space="preserve">metabolites, with the main metabolite (GS-829845) having </w:t>
      </w:r>
      <w:r w:rsidR="007744C6" w:rsidRPr="001B0B74">
        <w:t>one tenth of the</w:t>
      </w:r>
      <w:r w:rsidRPr="001B0B74">
        <w:t xml:space="preserve"> biologic activity of the parent, but a longer T</w:t>
      </w:r>
      <w:r w:rsidRPr="001B0B74">
        <w:rPr>
          <w:vertAlign w:val="subscript"/>
        </w:rPr>
        <w:t>1/2</w:t>
      </w:r>
      <w:r w:rsidRPr="001B0B74">
        <w:t xml:space="preserve">. </w:t>
      </w:r>
      <w:r w:rsidR="00B9543D" w:rsidRPr="001B0B74">
        <w:t xml:space="preserve">Filgotinib </w:t>
      </w:r>
      <w:r w:rsidRPr="001B0B74">
        <w:t>and its metabolites are predominantly renally excreted. A small percentage of the drug and metabolites are excreted in the faeces. Steady</w:t>
      </w:r>
      <w:r w:rsidR="00B9543D" w:rsidRPr="001B0B74">
        <w:t xml:space="preserve"> </w:t>
      </w:r>
      <w:r w:rsidRPr="001B0B74">
        <w:t xml:space="preserve">state concentrations of </w:t>
      </w:r>
      <w:r w:rsidR="006703B9" w:rsidRPr="001B0B74">
        <w:t>filgotinib</w:t>
      </w:r>
      <w:r w:rsidRPr="001B0B74">
        <w:t xml:space="preserve"> are achieved in </w:t>
      </w:r>
      <w:r w:rsidR="00B9543D" w:rsidRPr="001B0B74">
        <w:t>two to three</w:t>
      </w:r>
      <w:r w:rsidRPr="001B0B74">
        <w:t xml:space="preserve"> days with negligible accumulation after </w:t>
      </w:r>
      <w:r w:rsidR="00751D74" w:rsidRPr="001B0B74">
        <w:t>once daily</w:t>
      </w:r>
      <w:r w:rsidR="00B9543D" w:rsidRPr="001B0B74">
        <w:t xml:space="preserve"> administration. Steady </w:t>
      </w:r>
      <w:r w:rsidRPr="001B0B74">
        <w:t xml:space="preserve">state concentrations of GS-829845 are achieved in four days with approximately </w:t>
      </w:r>
      <w:r w:rsidR="00B9543D" w:rsidRPr="001B0B74">
        <w:t xml:space="preserve">two </w:t>
      </w:r>
      <w:r w:rsidRPr="001B0B74">
        <w:t xml:space="preserve">fold accumulation after </w:t>
      </w:r>
      <w:r w:rsidR="00751D74" w:rsidRPr="001B0B74">
        <w:t>once daily</w:t>
      </w:r>
      <w:r w:rsidRPr="001B0B74">
        <w:t xml:space="preserve"> dosing of </w:t>
      </w:r>
      <w:r w:rsidR="006703B9" w:rsidRPr="001B0B74">
        <w:t>filgotinib</w:t>
      </w:r>
      <w:r w:rsidRPr="001B0B74">
        <w:t xml:space="preserve">. Exposure to </w:t>
      </w:r>
      <w:r w:rsidR="006703B9" w:rsidRPr="001B0B74">
        <w:t>filgotinib</w:t>
      </w:r>
      <w:r w:rsidRPr="001B0B74">
        <w:t xml:space="preserve"> increases in a proportional manner in the daily dose range of 10</w:t>
      </w:r>
      <w:r w:rsidR="00B9543D" w:rsidRPr="001B0B74">
        <w:t xml:space="preserve"> to </w:t>
      </w:r>
      <w:r w:rsidRPr="001B0B74">
        <w:t>450</w:t>
      </w:r>
      <w:r w:rsidR="00B9543D" w:rsidRPr="001B0B74">
        <w:t> </w:t>
      </w:r>
      <w:r w:rsidRPr="001B0B74">
        <w:t>mg.</w:t>
      </w:r>
    </w:p>
    <w:p w14:paraId="0F30E466" w14:textId="6EA84033" w:rsidR="00176F61" w:rsidRPr="001B0B74" w:rsidRDefault="00176F61" w:rsidP="00176F61">
      <w:r w:rsidRPr="001B0B74">
        <w:t xml:space="preserve">Age, gender, ethnicity and body weight do not appear to substantially affect the PK of </w:t>
      </w:r>
      <w:r w:rsidR="006703B9" w:rsidRPr="001B0B74">
        <w:t>filgotinib</w:t>
      </w:r>
      <w:r w:rsidRPr="001B0B74">
        <w:t xml:space="preserve">, and </w:t>
      </w:r>
      <w:r w:rsidR="00B9543D" w:rsidRPr="001B0B74">
        <w:t>area under the plasma concentration time curve (</w:t>
      </w:r>
      <w:r w:rsidRPr="001B0B74">
        <w:t>AUC</w:t>
      </w:r>
      <w:r w:rsidR="00B9543D" w:rsidRPr="001B0B74">
        <w:t>)</w:t>
      </w:r>
      <w:r w:rsidRPr="001B0B74">
        <w:t xml:space="preserve"> and </w:t>
      </w:r>
      <w:r w:rsidR="00B9543D" w:rsidRPr="001B0B74">
        <w:t>maximum plasma concentration (</w:t>
      </w:r>
      <w:r w:rsidRPr="001B0B74">
        <w:t>C</w:t>
      </w:r>
      <w:r w:rsidRPr="001B0B74">
        <w:rPr>
          <w:vertAlign w:val="subscript"/>
        </w:rPr>
        <w:t>max</w:t>
      </w:r>
      <w:r w:rsidR="00B9543D" w:rsidRPr="001B0B74">
        <w:t>)</w:t>
      </w:r>
      <w:r w:rsidRPr="001B0B74">
        <w:t xml:space="preserve"> are similar in healthy volunteers and adult participants with active RA, with moderate to high degrees of intra- and inter-subject variability across the tested dose range. Most common medications do not have clinically significant effects on the PK of </w:t>
      </w:r>
      <w:r w:rsidR="006703B9" w:rsidRPr="001B0B74">
        <w:t>filgotinib</w:t>
      </w:r>
      <w:r w:rsidRPr="001B0B74">
        <w:t xml:space="preserve"> when given concomitantly, and vice versa. However, based on AUC data, itraconazole (a strong </w:t>
      </w:r>
      <w:r w:rsidR="00B9543D" w:rsidRPr="001B0B74">
        <w:t>P-glycoprotein</w:t>
      </w:r>
      <w:r w:rsidR="00123D23" w:rsidRPr="001B0B74">
        <w:t xml:space="preserve"> (P-gp)</w:t>
      </w:r>
      <w:r w:rsidR="00B9543D" w:rsidRPr="001B0B74">
        <w:t xml:space="preserve"> </w:t>
      </w:r>
      <w:r w:rsidRPr="001B0B74">
        <w:t xml:space="preserve">inhibitor) increases exposure to </w:t>
      </w:r>
      <w:r w:rsidR="006703B9" w:rsidRPr="001B0B74">
        <w:t>filgotinib</w:t>
      </w:r>
      <w:r w:rsidRPr="001B0B74">
        <w:t xml:space="preserve"> by 45% and rifampin (a strong </w:t>
      </w:r>
      <w:r w:rsidR="00123D23" w:rsidRPr="001B0B74">
        <w:t xml:space="preserve">P-gp </w:t>
      </w:r>
      <w:r w:rsidRPr="001B0B74">
        <w:t xml:space="preserve">inducer) moderately reduces exposure to both </w:t>
      </w:r>
      <w:r w:rsidR="006703B9" w:rsidRPr="001B0B74">
        <w:t>filgotinib</w:t>
      </w:r>
      <w:r w:rsidR="00123D23" w:rsidRPr="001B0B74">
        <w:t xml:space="preserve"> and GS-829845.</w:t>
      </w:r>
    </w:p>
    <w:p w14:paraId="61B6C6F0" w14:textId="0AF98FFD" w:rsidR="00176F61" w:rsidRPr="001B0B74" w:rsidRDefault="00176F61" w:rsidP="00176F61">
      <w:r w:rsidRPr="001B0B74">
        <w:t xml:space="preserve">Point estimates for AUC of </w:t>
      </w:r>
      <w:r w:rsidR="006703B9" w:rsidRPr="001B0B74">
        <w:t>filgotinib</w:t>
      </w:r>
      <w:r w:rsidRPr="001B0B74">
        <w:t xml:space="preserve"> are 60% higher in adults with moderate hepatic impairment (Child-Pugh-Turcotte </w:t>
      </w:r>
      <w:r w:rsidR="00553EED" w:rsidRPr="001B0B74">
        <w:t>Scores</w:t>
      </w:r>
      <w:r w:rsidR="00265BF7" w:rsidRPr="001B0B74">
        <w:t>;</w:t>
      </w:r>
      <w:r w:rsidR="00265BF7" w:rsidRPr="001B0B74">
        <w:rPr>
          <w:rStyle w:val="FootnoteReference"/>
        </w:rPr>
        <w:footnoteReference w:id="7"/>
      </w:r>
      <w:r w:rsidR="00553EED" w:rsidRPr="001B0B74">
        <w:t xml:space="preserve"> </w:t>
      </w:r>
      <w:r w:rsidRPr="001B0B74">
        <w:t>of 7</w:t>
      </w:r>
      <w:r w:rsidR="00123D23" w:rsidRPr="001B0B74">
        <w:t xml:space="preserve"> to </w:t>
      </w:r>
      <w:r w:rsidRPr="001B0B74">
        <w:t>9) compared to healthy volunteers with normal hepatic function. The clinical studies excluded patients with severe hepatic impairment.</w:t>
      </w:r>
    </w:p>
    <w:p w14:paraId="3BFAD3A2" w14:textId="31AF69A4" w:rsidR="00176F61" w:rsidRPr="001B0B74" w:rsidRDefault="00176F61" w:rsidP="00176F61">
      <w:r w:rsidRPr="001B0B74">
        <w:t xml:space="preserve">Based on an early Phase </w:t>
      </w:r>
      <w:r w:rsidR="00123D23" w:rsidRPr="001B0B74">
        <w:t>I</w:t>
      </w:r>
      <w:r w:rsidRPr="001B0B74">
        <w:t xml:space="preserve"> study (Study GLPG0634-CL-106), AUC in participants with moderate (</w:t>
      </w:r>
      <w:r w:rsidR="00123D23" w:rsidRPr="001B0B74">
        <w:t>creatinine clearance (</w:t>
      </w:r>
      <w:r w:rsidRPr="001B0B74">
        <w:t>CrCL</w:t>
      </w:r>
      <w:r w:rsidR="00123D23" w:rsidRPr="001B0B74">
        <w:t>)</w:t>
      </w:r>
      <w:r w:rsidRPr="001B0B74">
        <w:t xml:space="preserve"> 30 </w:t>
      </w:r>
      <w:r w:rsidR="007744C6" w:rsidRPr="001B0B74">
        <w:t>to</w:t>
      </w:r>
      <w:r w:rsidRPr="001B0B74">
        <w:t xml:space="preserve"> &lt;</w:t>
      </w:r>
      <w:r w:rsidR="00123D23" w:rsidRPr="001B0B74">
        <w:t xml:space="preserve"> 60 </w:t>
      </w:r>
      <w:r w:rsidRPr="001B0B74">
        <w:t xml:space="preserve">mL/min) renal impairment is approximately 45% higher compared to those with normal renal function. Participants with mild renal impairment (CrCL 60 </w:t>
      </w:r>
      <w:r w:rsidR="007744C6" w:rsidRPr="001B0B74">
        <w:t>to</w:t>
      </w:r>
      <w:r w:rsidRPr="001B0B74">
        <w:t xml:space="preserve"> &lt;</w:t>
      </w:r>
      <w:r w:rsidR="00123D23" w:rsidRPr="001B0B74">
        <w:t xml:space="preserve"> 90 </w:t>
      </w:r>
      <w:r w:rsidRPr="001B0B74">
        <w:t xml:space="preserve">mL/min) have only small increases in AUC compared to those with normal renal function. A deficiency of the PK studies is that only three, otherwise healthy, participants with severe renal impairment were included in the Phase </w:t>
      </w:r>
      <w:r w:rsidR="00123D23" w:rsidRPr="001B0B74">
        <w:t>I</w:t>
      </w:r>
      <w:r w:rsidRPr="001B0B74">
        <w:t xml:space="preserve"> studies. In this limited population, the sponsor states that the effective AUC (AUC</w:t>
      </w:r>
      <w:r w:rsidRPr="001B0B74">
        <w:rPr>
          <w:vertAlign w:val="subscript"/>
        </w:rPr>
        <w:t>eff</w:t>
      </w:r>
      <w:r w:rsidRPr="001B0B74">
        <w:t xml:space="preserve">, a compound variable for combined AUC of </w:t>
      </w:r>
      <w:r w:rsidR="006703B9" w:rsidRPr="001B0B74">
        <w:t>filgotinib</w:t>
      </w:r>
      <w:r w:rsidRPr="001B0B74">
        <w:t xml:space="preserve"> and GS-829845) following a 100</w:t>
      </w:r>
      <w:r w:rsidR="00277252" w:rsidRPr="001B0B74">
        <w:t> </w:t>
      </w:r>
      <w:r w:rsidRPr="001B0B74">
        <w:t xml:space="preserve">mg dose of </w:t>
      </w:r>
      <w:r w:rsidR="006703B9" w:rsidRPr="001B0B74">
        <w:t>filgotinib</w:t>
      </w:r>
      <w:r w:rsidRPr="001B0B74">
        <w:t xml:space="preserve"> was approximately 2.2</w:t>
      </w:r>
      <w:r w:rsidR="00277252" w:rsidRPr="001B0B74">
        <w:t> </w:t>
      </w:r>
      <w:r w:rsidRPr="001B0B74">
        <w:t>fold greater than in healthy control participants following a 100</w:t>
      </w:r>
      <w:r w:rsidR="00277252" w:rsidRPr="001B0B74">
        <w:t> </w:t>
      </w:r>
      <w:r w:rsidRPr="001B0B74">
        <w:t>mg dose, and similar to the AUC</w:t>
      </w:r>
      <w:r w:rsidRPr="001B0B74">
        <w:rPr>
          <w:vertAlign w:val="subscript"/>
        </w:rPr>
        <w:t>eff</w:t>
      </w:r>
      <w:r w:rsidRPr="001B0B74">
        <w:t xml:space="preserve"> reported in patients with RA and normal renal function treated with 200</w:t>
      </w:r>
      <w:r w:rsidR="00277252" w:rsidRPr="001B0B74">
        <w:t> </w:t>
      </w:r>
      <w:r w:rsidRPr="001B0B74">
        <w:t>mg in the Phase</w:t>
      </w:r>
      <w:r w:rsidR="00277252" w:rsidRPr="001B0B74">
        <w:t> </w:t>
      </w:r>
      <w:r w:rsidR="00123D23" w:rsidRPr="001B0B74">
        <w:t>II</w:t>
      </w:r>
      <w:r w:rsidRPr="001B0B74">
        <w:t xml:space="preserve"> and Phase</w:t>
      </w:r>
      <w:r w:rsidR="00277252" w:rsidRPr="001B0B74">
        <w:t> </w:t>
      </w:r>
      <w:r w:rsidR="00123D23" w:rsidRPr="001B0B74">
        <w:t>III</w:t>
      </w:r>
      <w:r w:rsidRPr="001B0B74">
        <w:t xml:space="preserve"> studies. The sponsor proposed a 100</w:t>
      </w:r>
      <w:r w:rsidR="00277252" w:rsidRPr="001B0B74">
        <w:t> </w:t>
      </w:r>
      <w:r w:rsidRPr="001B0B74">
        <w:t xml:space="preserve">mg </w:t>
      </w:r>
      <w:r w:rsidR="00751D74" w:rsidRPr="001B0B74">
        <w:t>once daily</w:t>
      </w:r>
      <w:r w:rsidRPr="001B0B74">
        <w:t xml:space="preserve"> dose in RA patients with severe renal impairment. No dose adjustment was recommended for patients with moderate renal impairment.</w:t>
      </w:r>
    </w:p>
    <w:p w14:paraId="2095BDA7" w14:textId="7EC1D899" w:rsidR="00176F61" w:rsidRPr="001B0B74" w:rsidRDefault="00176F61" w:rsidP="00176F61">
      <w:pPr>
        <w:pStyle w:val="Heading5"/>
      </w:pPr>
      <w:r w:rsidRPr="001B0B74">
        <w:t xml:space="preserve">Population </w:t>
      </w:r>
      <w:r w:rsidR="00277252" w:rsidRPr="001B0B74">
        <w:t>pharmacokinetic</w:t>
      </w:r>
      <w:r w:rsidRPr="001B0B74">
        <w:t xml:space="preserve"> data</w:t>
      </w:r>
    </w:p>
    <w:p w14:paraId="2B99744E" w14:textId="6D2E4704" w:rsidR="00176F61" w:rsidRPr="001B0B74" w:rsidRDefault="00176F61" w:rsidP="00176F61">
      <w:r w:rsidRPr="001B0B74">
        <w:t xml:space="preserve">Data from seven Phase </w:t>
      </w:r>
      <w:r w:rsidR="00123D23" w:rsidRPr="001B0B74">
        <w:t>I</w:t>
      </w:r>
      <w:r w:rsidRPr="001B0B74">
        <w:t xml:space="preserve"> studies in healthy participants, four Phase </w:t>
      </w:r>
      <w:r w:rsidR="00123D23" w:rsidRPr="001B0B74">
        <w:t>II</w:t>
      </w:r>
      <w:r w:rsidRPr="001B0B74">
        <w:t xml:space="preserve"> studies in participants with RA, and three Phase </w:t>
      </w:r>
      <w:r w:rsidR="00123D23" w:rsidRPr="001B0B74">
        <w:t>III</w:t>
      </w:r>
      <w:r w:rsidRPr="001B0B74">
        <w:t xml:space="preserve"> studies in participants with RA contributed to the </w:t>
      </w:r>
      <w:r w:rsidR="00277252" w:rsidRPr="001B0B74">
        <w:t>Population PK (</w:t>
      </w:r>
      <w:r w:rsidRPr="001B0B74">
        <w:t>PopPK</w:t>
      </w:r>
      <w:r w:rsidR="00277252" w:rsidRPr="001B0B74">
        <w:t>)</w:t>
      </w:r>
      <w:r w:rsidRPr="001B0B74">
        <w:t xml:space="preserve"> analysis. The aims of the study were to provide a quantitative description of the PK of </w:t>
      </w:r>
      <w:r w:rsidR="006703B9" w:rsidRPr="001B0B74">
        <w:t>filgotinib</w:t>
      </w:r>
      <w:r w:rsidRPr="001B0B74">
        <w:t xml:space="preserve"> and GS-829845 over a dose range of 25</w:t>
      </w:r>
      <w:r w:rsidR="00277252" w:rsidRPr="001B0B74">
        <w:t> </w:t>
      </w:r>
      <w:r w:rsidRPr="001B0B74">
        <w:t>mg to 450</w:t>
      </w:r>
      <w:r w:rsidR="00277252" w:rsidRPr="001B0B74">
        <w:t> </w:t>
      </w:r>
      <w:r w:rsidRPr="001B0B74">
        <w:t xml:space="preserve">mg </w:t>
      </w:r>
      <w:r w:rsidR="006703B9" w:rsidRPr="001B0B74">
        <w:t>filgotinib</w:t>
      </w:r>
      <w:r w:rsidRPr="001B0B74">
        <w:t>, to assess the impact of potential covariates, and to describe inter-individual variability</w:t>
      </w:r>
      <w:r w:rsidR="00B142FC" w:rsidRPr="001B0B74">
        <w:t xml:space="preserve"> in PK and exposure.</w:t>
      </w:r>
    </w:p>
    <w:p w14:paraId="390F9680" w14:textId="619E1C5C" w:rsidR="00176F61" w:rsidRPr="001B0B74" w:rsidRDefault="00176F61" w:rsidP="00B84EDB">
      <w:r w:rsidRPr="001B0B74">
        <w:t xml:space="preserve">PK models were described for both </w:t>
      </w:r>
      <w:r w:rsidR="006703B9" w:rsidRPr="001B0B74">
        <w:t>filgotinib</w:t>
      </w:r>
      <w:r w:rsidRPr="001B0B74">
        <w:t xml:space="preserve"> and GS-829845. The PopPK evaluator noted that the model for </w:t>
      </w:r>
      <w:r w:rsidR="006703B9" w:rsidRPr="001B0B74">
        <w:t>filgotinib</w:t>
      </w:r>
      <w:r w:rsidRPr="001B0B74">
        <w:t xml:space="preserve"> inconsistently under and over</w:t>
      </w:r>
      <w:r w:rsidR="00B84EDB" w:rsidRPr="001B0B74">
        <w:t xml:space="preserve"> </w:t>
      </w:r>
      <w:r w:rsidRPr="001B0B74">
        <w:t xml:space="preserve">predicted </w:t>
      </w:r>
      <w:r w:rsidR="006703B9" w:rsidRPr="001B0B74">
        <w:t>filgotinib</w:t>
      </w:r>
      <w:r w:rsidRPr="001B0B74">
        <w:t xml:space="preserve"> concentrations, especially at</w:t>
      </w:r>
      <w:r w:rsidR="00B84EDB" w:rsidRPr="001B0B74">
        <w:t xml:space="preserve"> the fifth and ninety-fifth percentiles. </w:t>
      </w:r>
      <w:r w:rsidRPr="001B0B74">
        <w:t xml:space="preserve">The model did not adequately describe observed between-subject variability, indicating that the variability may be due to covariates other than those included in the analysis, or to other physiological factors. The evaluator concluded that the predictive performance of the PopPK model is limited and model derived simulated exposures should be used with caution. Deficiencies were also identified with the model for GS-829845, again indicating that the final model did not adequately describe the variability. Simulated </w:t>
      </w:r>
      <w:r w:rsidR="00A72D14" w:rsidRPr="001B0B74">
        <w:t>PK</w:t>
      </w:r>
      <w:r w:rsidRPr="001B0B74">
        <w:t xml:space="preserve"> parameters for </w:t>
      </w:r>
      <w:r w:rsidR="006703B9" w:rsidRPr="001B0B74">
        <w:t>filgotinib</w:t>
      </w:r>
      <w:r w:rsidRPr="001B0B74">
        <w:t xml:space="preserve"> and GS-829845 in healthy participants and part</w:t>
      </w:r>
      <w:r w:rsidR="003C7D20" w:rsidRPr="001B0B74">
        <w:t>icipants with RA, based on the P</w:t>
      </w:r>
      <w:r w:rsidRPr="001B0B74">
        <w:t xml:space="preserve">opPK analysis, are included in </w:t>
      </w:r>
      <w:r w:rsidR="008F4D67" w:rsidRPr="001B0B74">
        <w:fldChar w:fldCharType="begin"/>
      </w:r>
      <w:r w:rsidR="008F4D67" w:rsidRPr="001B0B74">
        <w:instrText xml:space="preserve"> REF _Ref69125240 \h </w:instrText>
      </w:r>
      <w:r w:rsidR="00287FF8" w:rsidRPr="001B0B74">
        <w:instrText xml:space="preserve"> \* MERGEFORMAT </w:instrText>
      </w:r>
      <w:r w:rsidR="008F4D67" w:rsidRPr="001B0B74">
        <w:fldChar w:fldCharType="separate"/>
      </w:r>
      <w:r w:rsidR="003A57FD" w:rsidRPr="001B0B74">
        <w:t xml:space="preserve">Table </w:t>
      </w:r>
      <w:r w:rsidR="003A57FD">
        <w:rPr>
          <w:noProof/>
        </w:rPr>
        <w:t>3</w:t>
      </w:r>
      <w:r w:rsidR="008F4D67" w:rsidRPr="001B0B74">
        <w:fldChar w:fldCharType="end"/>
      </w:r>
      <w:r w:rsidR="009329C1" w:rsidRPr="001B0B74">
        <w:t xml:space="preserve"> and </w:t>
      </w:r>
      <w:r w:rsidR="009329C1" w:rsidRPr="001B0B74">
        <w:fldChar w:fldCharType="begin"/>
      </w:r>
      <w:r w:rsidR="009329C1" w:rsidRPr="001B0B74">
        <w:instrText xml:space="preserve"> REF _Ref69125916 \h </w:instrText>
      </w:r>
      <w:r w:rsidR="00287FF8" w:rsidRPr="001B0B74">
        <w:instrText xml:space="preserve"> \* MERGEFORMAT </w:instrText>
      </w:r>
      <w:r w:rsidR="009329C1" w:rsidRPr="001B0B74">
        <w:fldChar w:fldCharType="separate"/>
      </w:r>
      <w:r w:rsidR="003A57FD" w:rsidRPr="001B0B74">
        <w:t xml:space="preserve">Table </w:t>
      </w:r>
      <w:r w:rsidR="003A57FD">
        <w:rPr>
          <w:noProof/>
        </w:rPr>
        <w:t>4</w:t>
      </w:r>
      <w:r w:rsidR="009329C1" w:rsidRPr="001B0B74">
        <w:fldChar w:fldCharType="end"/>
      </w:r>
      <w:r w:rsidRPr="001B0B74">
        <w:t>.</w:t>
      </w:r>
    </w:p>
    <w:p w14:paraId="2E4DAA24" w14:textId="5339253D" w:rsidR="000A1C1B" w:rsidRPr="001B0B74" w:rsidRDefault="000A1C1B" w:rsidP="008F4D67">
      <w:pPr>
        <w:pStyle w:val="TableTitle"/>
      </w:pPr>
      <w:bookmarkStart w:id="41" w:name="_Ref69125240"/>
      <w:r w:rsidRPr="001B0B74">
        <w:t xml:space="preserve">Table </w:t>
      </w:r>
      <w:fldSimple w:instr=" SEQ Table \* ARABIC ">
        <w:r w:rsidR="003A57FD">
          <w:rPr>
            <w:noProof/>
          </w:rPr>
          <w:t>3</w:t>
        </w:r>
      </w:fldSimple>
      <w:bookmarkEnd w:id="41"/>
      <w:r w:rsidRPr="001B0B74">
        <w:t xml:space="preserve">: Simulated </w:t>
      </w:r>
      <w:r w:rsidR="008F4D67" w:rsidRPr="001B0B74">
        <w:t>filgotinib</w:t>
      </w:r>
      <w:r w:rsidRPr="001B0B74">
        <w:t xml:space="preserve"> </w:t>
      </w:r>
      <w:r w:rsidR="008F4D67" w:rsidRPr="001B0B74">
        <w:t>pharmacokinetic parameters following filgotinib 200 </w:t>
      </w:r>
      <w:r w:rsidRPr="001B0B74">
        <w:t xml:space="preserve">mg in </w:t>
      </w:r>
      <w:r w:rsidR="008F4D67" w:rsidRPr="001B0B74">
        <w:t>participants</w:t>
      </w:r>
      <w:r w:rsidRPr="001B0B74">
        <w:t xml:space="preserve"> with </w:t>
      </w:r>
      <w:r w:rsidR="008F4D67" w:rsidRPr="001B0B74">
        <w:t>rheumatoid arthritis and healthy participants (demographic pharmacokinetic analysis set)</w:t>
      </w:r>
    </w:p>
    <w:p w14:paraId="013FA747" w14:textId="37DB9AA5" w:rsidR="009329C1" w:rsidRPr="001B0B74" w:rsidRDefault="009329C1" w:rsidP="00AB05AB">
      <w:r w:rsidRPr="001B0B74">
        <w:rPr>
          <w:noProof/>
          <w:lang w:eastAsia="en-AU"/>
        </w:rPr>
        <w:drawing>
          <wp:inline distT="0" distB="0" distL="0" distR="0" wp14:anchorId="61113BF8" wp14:editId="15B6A522">
            <wp:extent cx="5400040" cy="1422400"/>
            <wp:effectExtent l="0" t="0" r="0" b="6350"/>
            <wp:docPr id="1" name="Picture 1" descr="Simulated filgotinib pharmacokinetic parameters following filgotinib 200 mg in participants with rheumatoid arthritis and healthy participants (demographic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422400"/>
                    </a:xfrm>
                    <a:prstGeom prst="rect">
                      <a:avLst/>
                    </a:prstGeom>
                  </pic:spPr>
                </pic:pic>
              </a:graphicData>
            </a:graphic>
          </wp:inline>
        </w:drawing>
      </w:r>
    </w:p>
    <w:p w14:paraId="5F597069" w14:textId="77777777" w:rsidR="003759EE" w:rsidRPr="001B0B74" w:rsidRDefault="009329C1" w:rsidP="003759EE">
      <w:pPr>
        <w:pStyle w:val="TableDescription"/>
      </w:pPr>
      <w:r w:rsidRPr="001B0B74">
        <w:t>RA = rheumatoid arthritis; CV = percentage coefficient of variation; GMR = geometric mean ratio, CI = confidence interval; PK = pharmacokinetic; AUC</w:t>
      </w:r>
      <w:r w:rsidRPr="001B0B74">
        <w:rPr>
          <w:vertAlign w:val="subscript"/>
        </w:rPr>
        <w:t>tau</w:t>
      </w:r>
      <w:r w:rsidRPr="001B0B74">
        <w:t xml:space="preserve"> = area under the plasma concentration time curve over a dosing interval; C</w:t>
      </w:r>
      <w:r w:rsidRPr="001B0B74">
        <w:rPr>
          <w:vertAlign w:val="subscript"/>
        </w:rPr>
        <w:t>max</w:t>
      </w:r>
      <w:r w:rsidRPr="001B0B74">
        <w:t xml:space="preserve"> = maximum plasma concentration; C</w:t>
      </w:r>
      <w:r w:rsidRPr="001B0B74">
        <w:rPr>
          <w:vertAlign w:val="subscript"/>
        </w:rPr>
        <w:t>tau</w:t>
      </w:r>
      <w:r w:rsidRPr="001B0B74">
        <w:t xml:space="preserve"> = trough concentration</w:t>
      </w:r>
    </w:p>
    <w:p w14:paraId="7EC885DA" w14:textId="7046989B" w:rsidR="009329C1" w:rsidRPr="001B0B74" w:rsidRDefault="009329C1" w:rsidP="003759EE">
      <w:pPr>
        <w:pStyle w:val="TableDescription"/>
      </w:pPr>
      <w:r w:rsidRPr="001B0B74">
        <w:t>Demographic PopPK Analysis Set included subjects with RA and healthy subjects who were simulated with filgotinib 200 mg and had evaluable parameters from PopPK.</w:t>
      </w:r>
    </w:p>
    <w:p w14:paraId="0F7807D0" w14:textId="785C3716" w:rsidR="009329C1" w:rsidRPr="001B0B74" w:rsidRDefault="009329C1" w:rsidP="009329C1">
      <w:pPr>
        <w:pStyle w:val="TableTitle"/>
      </w:pPr>
      <w:bookmarkStart w:id="42" w:name="_Ref69125916"/>
      <w:r w:rsidRPr="001B0B74">
        <w:t xml:space="preserve">Table </w:t>
      </w:r>
      <w:fldSimple w:instr=" SEQ Table \* ARABIC ">
        <w:r w:rsidR="003A57FD">
          <w:rPr>
            <w:noProof/>
          </w:rPr>
          <w:t>4</w:t>
        </w:r>
      </w:fldSimple>
      <w:bookmarkEnd w:id="42"/>
      <w:r w:rsidRPr="001B0B74">
        <w:t xml:space="preserve">: Simulated </w:t>
      </w:r>
      <w:r w:rsidR="007744C6" w:rsidRPr="001B0B74">
        <w:t>filgotinib metabolite (</w:t>
      </w:r>
      <w:r w:rsidRPr="001B0B74">
        <w:t>GS-829845</w:t>
      </w:r>
      <w:r w:rsidR="007744C6" w:rsidRPr="001B0B74">
        <w:t>)</w:t>
      </w:r>
      <w:r w:rsidRPr="001B0B74">
        <w:t xml:space="preserve"> pharmacokinetic parameters following filgotinib 200 mg in participants with rheumatoid arthritis and healthy participants (demographic pharmacokinetic analysis set)</w:t>
      </w:r>
    </w:p>
    <w:p w14:paraId="34EA21F6" w14:textId="0893EAAF" w:rsidR="008F4D67" w:rsidRPr="001B0B74" w:rsidRDefault="009329C1" w:rsidP="00AB05AB">
      <w:r w:rsidRPr="001B0B74">
        <w:rPr>
          <w:noProof/>
          <w:lang w:eastAsia="en-AU"/>
        </w:rPr>
        <w:drawing>
          <wp:inline distT="0" distB="0" distL="0" distR="0" wp14:anchorId="7E303F4D" wp14:editId="4E772F0F">
            <wp:extent cx="5400040" cy="1381125"/>
            <wp:effectExtent l="0" t="0" r="0" b="9525"/>
            <wp:docPr id="13" name="Picture 13" descr="Simulated filgotinib metabolite (GS-829845) pharmacokinetic parameters following filgotinib 200 mg in participants with rheumatoid arthritis and healthy participants (demographic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1381125"/>
                    </a:xfrm>
                    <a:prstGeom prst="rect">
                      <a:avLst/>
                    </a:prstGeom>
                  </pic:spPr>
                </pic:pic>
              </a:graphicData>
            </a:graphic>
          </wp:inline>
        </w:drawing>
      </w:r>
    </w:p>
    <w:p w14:paraId="4BE62022" w14:textId="77777777" w:rsidR="003759EE" w:rsidRPr="001B0B74" w:rsidRDefault="003759EE" w:rsidP="008F4D67">
      <w:pPr>
        <w:pStyle w:val="TableDescription"/>
      </w:pPr>
      <w:r w:rsidRPr="001B0B74">
        <w:t>RA = rheumatoid arthritis; CV = percentage coefficient of variation; GMR = geometric mean ratio, CI = confidence interval; PK = pharmacokinetic; AUC</w:t>
      </w:r>
      <w:r w:rsidRPr="001B0B74">
        <w:rPr>
          <w:vertAlign w:val="subscript"/>
        </w:rPr>
        <w:t>tau</w:t>
      </w:r>
      <w:r w:rsidRPr="001B0B74">
        <w:t xml:space="preserve"> = area under the plasma concentration time curve over a dosing interval; C</w:t>
      </w:r>
      <w:r w:rsidRPr="001B0B74">
        <w:rPr>
          <w:vertAlign w:val="subscript"/>
        </w:rPr>
        <w:t>max</w:t>
      </w:r>
      <w:r w:rsidRPr="001B0B74">
        <w:t xml:space="preserve"> = maximum plasma concentration; C</w:t>
      </w:r>
      <w:r w:rsidRPr="001B0B74">
        <w:rPr>
          <w:vertAlign w:val="subscript"/>
        </w:rPr>
        <w:t>tau</w:t>
      </w:r>
      <w:r w:rsidRPr="001B0B74">
        <w:t xml:space="preserve"> = trough concentration</w:t>
      </w:r>
    </w:p>
    <w:p w14:paraId="3A0E0B61" w14:textId="7E10219B" w:rsidR="000A1C1B" w:rsidRPr="001B0B74" w:rsidRDefault="000A1C1B" w:rsidP="008F4D67">
      <w:pPr>
        <w:pStyle w:val="TableDescription"/>
      </w:pPr>
      <w:r w:rsidRPr="001B0B74">
        <w:t xml:space="preserve">Demographic PopPK </w:t>
      </w:r>
      <w:r w:rsidR="000B7FEE" w:rsidRPr="001B0B74">
        <w:t>Analysis</w:t>
      </w:r>
      <w:r w:rsidRPr="001B0B74">
        <w:t xml:space="preserve"> Set include</w:t>
      </w:r>
      <w:r w:rsidR="000B7FEE" w:rsidRPr="001B0B74">
        <w:t>d</w:t>
      </w:r>
      <w:r w:rsidRPr="001B0B74">
        <w:t xml:space="preserve"> subject</w:t>
      </w:r>
      <w:r w:rsidR="000B7FEE" w:rsidRPr="001B0B74">
        <w:t>s with RA and healthy</w:t>
      </w:r>
      <w:r w:rsidRPr="001B0B74">
        <w:t xml:space="preserve"> subjects who were simulated with filgotinib </w:t>
      </w:r>
      <w:r w:rsidR="000B7FEE" w:rsidRPr="001B0B74">
        <w:t>200 mg and had evaluable parameters from PopPK</w:t>
      </w:r>
      <w:r w:rsidR="003109E1" w:rsidRPr="001B0B74">
        <w:t>.</w:t>
      </w:r>
    </w:p>
    <w:p w14:paraId="448593F9" w14:textId="681B9742" w:rsidR="00C2393D" w:rsidRPr="001B0B74" w:rsidRDefault="00176F61" w:rsidP="00D9396C">
      <w:r w:rsidRPr="001B0B74">
        <w:t xml:space="preserve">The </w:t>
      </w:r>
      <w:r w:rsidR="00B84EDB" w:rsidRPr="001B0B74">
        <w:t xml:space="preserve">clinical </w:t>
      </w:r>
      <w:r w:rsidR="003C7D20" w:rsidRPr="001B0B74">
        <w:t>evaluator noted that in the P</w:t>
      </w:r>
      <w:r w:rsidRPr="001B0B74">
        <w:t>opPK analysis, the AUC of</w:t>
      </w:r>
      <w:r w:rsidR="007744C6" w:rsidRPr="001B0B74">
        <w:t xml:space="preserve"> metabolite</w:t>
      </w:r>
      <w:r w:rsidRPr="001B0B74">
        <w:t xml:space="preserve"> GS-829845 was approximately 25% higher in participants with moderate renal impairment compared with participants with normal renal function, concluding that this is a modest increase and may not warrant a dose reduction. Only three patients with moderate renal function (3%) experienced GS-829845 exposures (AUC) above the range observed in patients with normal renal function. All estimates of C</w:t>
      </w:r>
      <w:r w:rsidRPr="001B0B74">
        <w:rPr>
          <w:vertAlign w:val="subscript"/>
        </w:rPr>
        <w:t>max</w:t>
      </w:r>
      <w:r w:rsidRPr="001B0B74">
        <w:t xml:space="preserve"> in patients with moderate renal impairment fell within the range of C</w:t>
      </w:r>
      <w:r w:rsidRPr="001B0B74">
        <w:rPr>
          <w:vertAlign w:val="subscript"/>
        </w:rPr>
        <w:t>max</w:t>
      </w:r>
      <w:r w:rsidRPr="001B0B74">
        <w:t xml:space="preserve"> in patients with normal renal function. Data from patients with severely imp</w:t>
      </w:r>
      <w:r w:rsidR="00B84EDB" w:rsidRPr="001B0B74">
        <w:t>aired renal function (CrCL &lt; 30 </w:t>
      </w:r>
      <w:r w:rsidRPr="001B0B74">
        <w:t xml:space="preserve">mL/min) were not included in the PopPK analysis. Simulated </w:t>
      </w:r>
      <w:r w:rsidR="00A72D14" w:rsidRPr="001B0B74">
        <w:t>PK</w:t>
      </w:r>
      <w:r w:rsidRPr="001B0B74">
        <w:t xml:space="preserve"> parameters for </w:t>
      </w:r>
      <w:r w:rsidR="006703B9" w:rsidRPr="001B0B74">
        <w:t>filgotinib</w:t>
      </w:r>
      <w:r w:rsidRPr="001B0B74">
        <w:t xml:space="preserve"> and GS-829845 in participants with normal renal function, mild renal impairment or moderate </w:t>
      </w:r>
      <w:r w:rsidR="003C7D20" w:rsidRPr="001B0B74">
        <w:t>renal impairment, based on the P</w:t>
      </w:r>
      <w:r w:rsidRPr="001B0B74">
        <w:t>opPK analysis, are included in</w:t>
      </w:r>
      <w:r w:rsidR="00E22ACE" w:rsidRPr="001B0B74">
        <w:t xml:space="preserve"> </w:t>
      </w:r>
      <w:r w:rsidR="00E22ACE" w:rsidRPr="001B0B74">
        <w:fldChar w:fldCharType="begin"/>
      </w:r>
      <w:r w:rsidR="00E22ACE" w:rsidRPr="001B0B74">
        <w:instrText xml:space="preserve"> REF _Ref69127606 \h </w:instrText>
      </w:r>
      <w:r w:rsidR="00287FF8" w:rsidRPr="001B0B74">
        <w:instrText xml:space="preserve"> \* MERGEFORMAT </w:instrText>
      </w:r>
      <w:r w:rsidR="00E22ACE" w:rsidRPr="001B0B74">
        <w:fldChar w:fldCharType="separate"/>
      </w:r>
      <w:r w:rsidR="003A57FD" w:rsidRPr="001B0B74">
        <w:t xml:space="preserve">Table </w:t>
      </w:r>
      <w:r w:rsidR="003A57FD">
        <w:rPr>
          <w:noProof/>
        </w:rPr>
        <w:t>5</w:t>
      </w:r>
      <w:r w:rsidR="00E22ACE" w:rsidRPr="001B0B74">
        <w:fldChar w:fldCharType="end"/>
      </w:r>
      <w:r w:rsidR="00E22ACE" w:rsidRPr="001B0B74">
        <w:t xml:space="preserve"> and </w:t>
      </w:r>
      <w:r w:rsidR="00C2393D" w:rsidRPr="001B0B74">
        <w:fldChar w:fldCharType="begin"/>
      </w:r>
      <w:r w:rsidR="00C2393D" w:rsidRPr="001B0B74">
        <w:instrText xml:space="preserve"> REF _Ref69306988 \h </w:instrText>
      </w:r>
      <w:r w:rsidR="001B0B74">
        <w:instrText xml:space="preserve"> \* MERGEFORMAT </w:instrText>
      </w:r>
      <w:r w:rsidR="00C2393D" w:rsidRPr="001B0B74">
        <w:fldChar w:fldCharType="separate"/>
      </w:r>
      <w:r w:rsidR="003A57FD" w:rsidRPr="001B0B74">
        <w:t xml:space="preserve">Table </w:t>
      </w:r>
      <w:r w:rsidR="003A57FD">
        <w:rPr>
          <w:noProof/>
        </w:rPr>
        <w:t>6</w:t>
      </w:r>
      <w:r w:rsidR="00C2393D" w:rsidRPr="001B0B74">
        <w:fldChar w:fldCharType="end"/>
      </w:r>
      <w:r w:rsidR="00C2393D" w:rsidRPr="001B0B74">
        <w:t>.</w:t>
      </w:r>
    </w:p>
    <w:p w14:paraId="0391F206" w14:textId="12F6956C" w:rsidR="008F4D67" w:rsidRPr="001B0B74" w:rsidRDefault="003759EE" w:rsidP="007744C6">
      <w:pPr>
        <w:pStyle w:val="TableTitle"/>
      </w:pPr>
      <w:bookmarkStart w:id="43" w:name="_Ref69127606"/>
      <w:r w:rsidRPr="001B0B74">
        <w:t xml:space="preserve">Table </w:t>
      </w:r>
      <w:fldSimple w:instr=" SEQ Table \* ARABIC ">
        <w:r w:rsidR="003A57FD">
          <w:rPr>
            <w:noProof/>
          </w:rPr>
          <w:t>5</w:t>
        </w:r>
      </w:fldSimple>
      <w:bookmarkEnd w:id="43"/>
      <w:r w:rsidR="008F4D67" w:rsidRPr="001B0B74">
        <w:t xml:space="preserve">: Simulated </w:t>
      </w:r>
      <w:r w:rsidR="009329C1" w:rsidRPr="001B0B74">
        <w:t xml:space="preserve">filgotinib </w:t>
      </w:r>
      <w:r w:rsidR="008F4D67" w:rsidRPr="001B0B74">
        <w:t>pharmacokinetic para</w:t>
      </w:r>
      <w:r w:rsidR="009329C1" w:rsidRPr="001B0B74">
        <w:t>meters following filgotinib 200 </w:t>
      </w:r>
      <w:r w:rsidR="008F4D67" w:rsidRPr="001B0B74">
        <w:t xml:space="preserve">mg in participants with </w:t>
      </w:r>
      <w:r w:rsidR="009329C1" w:rsidRPr="001B0B74">
        <w:t xml:space="preserve">rheumatoid arthritis </w:t>
      </w:r>
      <w:r w:rsidR="008F4D67" w:rsidRPr="001B0B74">
        <w:t>with normal or impaired renal function (demographic pharmacokinetic analysis set)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1"/>
        <w:gridCol w:w="1502"/>
        <w:gridCol w:w="1732"/>
        <w:gridCol w:w="1007"/>
        <w:gridCol w:w="1682"/>
        <w:gridCol w:w="1150"/>
      </w:tblGrid>
      <w:tr w:rsidR="0026413C" w:rsidRPr="00AB05AB" w14:paraId="010C08E6" w14:textId="77777777" w:rsidTr="00AB05AB">
        <w:trPr>
          <w:tblHeader/>
        </w:trPr>
        <w:tc>
          <w:tcPr>
            <w:tcW w:w="1421" w:type="dxa"/>
            <w:tcBorders>
              <w:top w:val="single" w:sz="12" w:space="0" w:color="auto"/>
              <w:bottom w:val="single" w:sz="4" w:space="0" w:color="auto"/>
              <w:right w:val="single" w:sz="4" w:space="0" w:color="auto"/>
            </w:tcBorders>
          </w:tcPr>
          <w:p w14:paraId="34F26117" w14:textId="77777777" w:rsidR="008F4D67" w:rsidRPr="00AB05AB" w:rsidRDefault="008F4D67" w:rsidP="00AB05AB">
            <w:pPr>
              <w:rPr>
                <w:sz w:val="20"/>
                <w:szCs w:val="20"/>
              </w:rPr>
            </w:pPr>
          </w:p>
        </w:tc>
        <w:tc>
          <w:tcPr>
            <w:tcW w:w="1502" w:type="dxa"/>
            <w:tcBorders>
              <w:top w:val="single" w:sz="12" w:space="0" w:color="auto"/>
              <w:left w:val="single" w:sz="4" w:space="0" w:color="auto"/>
              <w:bottom w:val="single" w:sz="4" w:space="0" w:color="auto"/>
              <w:right w:val="single" w:sz="4" w:space="0" w:color="auto"/>
            </w:tcBorders>
          </w:tcPr>
          <w:p w14:paraId="5183714B" w14:textId="77777777" w:rsidR="008F4D67" w:rsidRPr="00AB05AB" w:rsidRDefault="008F4D67" w:rsidP="00AB269A">
            <w:pPr>
              <w:keepNext/>
              <w:spacing w:before="0" w:after="0"/>
              <w:jc w:val="center"/>
              <w:rPr>
                <w:b/>
                <w:sz w:val="20"/>
                <w:szCs w:val="20"/>
              </w:rPr>
            </w:pPr>
            <w:r w:rsidRPr="00AB05AB">
              <w:rPr>
                <w:b/>
                <w:sz w:val="20"/>
                <w:szCs w:val="20"/>
              </w:rPr>
              <w:t>Normal renal function</w:t>
            </w:r>
          </w:p>
        </w:tc>
        <w:tc>
          <w:tcPr>
            <w:tcW w:w="2739" w:type="dxa"/>
            <w:gridSpan w:val="2"/>
            <w:tcBorders>
              <w:top w:val="single" w:sz="12" w:space="0" w:color="auto"/>
              <w:left w:val="single" w:sz="4" w:space="0" w:color="auto"/>
              <w:bottom w:val="single" w:sz="4" w:space="0" w:color="auto"/>
              <w:right w:val="single" w:sz="4" w:space="0" w:color="auto"/>
            </w:tcBorders>
          </w:tcPr>
          <w:p w14:paraId="3A9E1E17" w14:textId="77777777" w:rsidR="008F4D67" w:rsidRPr="00AB05AB" w:rsidRDefault="008F4D67" w:rsidP="00AB269A">
            <w:pPr>
              <w:keepNext/>
              <w:spacing w:before="0" w:after="0"/>
              <w:jc w:val="center"/>
              <w:rPr>
                <w:b/>
                <w:sz w:val="20"/>
                <w:szCs w:val="20"/>
              </w:rPr>
            </w:pPr>
            <w:r w:rsidRPr="00AB05AB">
              <w:rPr>
                <w:b/>
                <w:sz w:val="20"/>
                <w:szCs w:val="20"/>
              </w:rPr>
              <w:t>Mild renal impairment</w:t>
            </w:r>
          </w:p>
        </w:tc>
        <w:tc>
          <w:tcPr>
            <w:tcW w:w="2832" w:type="dxa"/>
            <w:gridSpan w:val="2"/>
            <w:tcBorders>
              <w:top w:val="single" w:sz="12" w:space="0" w:color="auto"/>
              <w:left w:val="single" w:sz="4" w:space="0" w:color="auto"/>
            </w:tcBorders>
          </w:tcPr>
          <w:p w14:paraId="5EF53C02" w14:textId="77777777" w:rsidR="008F4D67" w:rsidRPr="00AB05AB" w:rsidRDefault="008F4D67" w:rsidP="00AB269A">
            <w:pPr>
              <w:keepNext/>
              <w:spacing w:before="0" w:after="0"/>
              <w:jc w:val="center"/>
              <w:rPr>
                <w:b/>
                <w:sz w:val="20"/>
                <w:szCs w:val="20"/>
              </w:rPr>
            </w:pPr>
            <w:r w:rsidRPr="00AB05AB">
              <w:rPr>
                <w:b/>
                <w:sz w:val="20"/>
                <w:szCs w:val="20"/>
              </w:rPr>
              <w:t>Moderate renal impairment</w:t>
            </w:r>
          </w:p>
        </w:tc>
      </w:tr>
      <w:tr w:rsidR="00E22ACE" w:rsidRPr="00AB05AB" w14:paraId="77A5D4D7" w14:textId="77777777" w:rsidTr="00AB05AB">
        <w:trPr>
          <w:tblHeader/>
        </w:trPr>
        <w:tc>
          <w:tcPr>
            <w:tcW w:w="1421" w:type="dxa"/>
            <w:tcBorders>
              <w:top w:val="single" w:sz="4" w:space="0" w:color="auto"/>
              <w:bottom w:val="single" w:sz="12" w:space="0" w:color="auto"/>
              <w:right w:val="single" w:sz="4" w:space="0" w:color="auto"/>
            </w:tcBorders>
          </w:tcPr>
          <w:p w14:paraId="45BE0FCF" w14:textId="77777777" w:rsidR="008F4D67" w:rsidRPr="00AB05AB" w:rsidRDefault="008F4D67" w:rsidP="00AB05AB">
            <w:pPr>
              <w:rPr>
                <w:sz w:val="20"/>
                <w:szCs w:val="20"/>
              </w:rPr>
            </w:pPr>
          </w:p>
        </w:tc>
        <w:tc>
          <w:tcPr>
            <w:tcW w:w="1502" w:type="dxa"/>
            <w:tcBorders>
              <w:top w:val="single" w:sz="4" w:space="0" w:color="auto"/>
              <w:left w:val="single" w:sz="4" w:space="0" w:color="auto"/>
              <w:bottom w:val="single" w:sz="12" w:space="0" w:color="auto"/>
              <w:right w:val="single" w:sz="4" w:space="0" w:color="auto"/>
            </w:tcBorders>
          </w:tcPr>
          <w:p w14:paraId="27715124" w14:textId="77777777" w:rsidR="008F4D67" w:rsidRPr="00AB05AB" w:rsidRDefault="008F4D67" w:rsidP="00AB269A">
            <w:pPr>
              <w:keepNext/>
              <w:spacing w:before="0" w:after="0"/>
              <w:jc w:val="center"/>
              <w:rPr>
                <w:b/>
                <w:sz w:val="20"/>
                <w:szCs w:val="20"/>
              </w:rPr>
            </w:pPr>
          </w:p>
        </w:tc>
        <w:tc>
          <w:tcPr>
            <w:tcW w:w="1732" w:type="dxa"/>
            <w:tcBorders>
              <w:top w:val="single" w:sz="4" w:space="0" w:color="auto"/>
              <w:left w:val="single" w:sz="4" w:space="0" w:color="auto"/>
              <w:bottom w:val="single" w:sz="12" w:space="0" w:color="auto"/>
            </w:tcBorders>
          </w:tcPr>
          <w:p w14:paraId="4142A852" w14:textId="77777777" w:rsidR="008F4D67" w:rsidRPr="00AB05AB" w:rsidRDefault="008F4D67" w:rsidP="00AB269A">
            <w:pPr>
              <w:keepNext/>
              <w:spacing w:before="0" w:after="0"/>
              <w:jc w:val="center"/>
              <w:rPr>
                <w:b/>
                <w:sz w:val="20"/>
                <w:szCs w:val="20"/>
              </w:rPr>
            </w:pPr>
            <w:r w:rsidRPr="00AB05AB">
              <w:rPr>
                <w:b/>
                <w:sz w:val="20"/>
                <w:szCs w:val="20"/>
              </w:rPr>
              <w:t>PK parameters</w:t>
            </w:r>
          </w:p>
        </w:tc>
        <w:tc>
          <w:tcPr>
            <w:tcW w:w="1007" w:type="dxa"/>
            <w:tcBorders>
              <w:top w:val="single" w:sz="4" w:space="0" w:color="auto"/>
              <w:bottom w:val="single" w:sz="12" w:space="0" w:color="auto"/>
              <w:right w:val="single" w:sz="4" w:space="0" w:color="auto"/>
            </w:tcBorders>
          </w:tcPr>
          <w:p w14:paraId="35402E40" w14:textId="77777777" w:rsidR="008F4D67" w:rsidRPr="00AB05AB" w:rsidRDefault="008F4D67" w:rsidP="00AB269A">
            <w:pPr>
              <w:keepNext/>
              <w:spacing w:before="0" w:after="0"/>
              <w:jc w:val="center"/>
              <w:rPr>
                <w:b/>
                <w:sz w:val="20"/>
                <w:szCs w:val="20"/>
              </w:rPr>
            </w:pPr>
            <w:r w:rsidRPr="00AB05AB">
              <w:rPr>
                <w:b/>
                <w:sz w:val="20"/>
                <w:szCs w:val="20"/>
              </w:rPr>
              <w:t>%GMR (90% CI)</w:t>
            </w:r>
          </w:p>
        </w:tc>
        <w:tc>
          <w:tcPr>
            <w:tcW w:w="1682" w:type="dxa"/>
            <w:tcBorders>
              <w:top w:val="single" w:sz="4" w:space="0" w:color="auto"/>
              <w:left w:val="single" w:sz="4" w:space="0" w:color="auto"/>
              <w:bottom w:val="single" w:sz="12" w:space="0" w:color="auto"/>
              <w:right w:val="single" w:sz="4" w:space="0" w:color="auto"/>
            </w:tcBorders>
          </w:tcPr>
          <w:p w14:paraId="7A3B2CA1" w14:textId="77777777" w:rsidR="008F4D67" w:rsidRPr="00AB05AB" w:rsidRDefault="008F4D67" w:rsidP="00AB269A">
            <w:pPr>
              <w:keepNext/>
              <w:spacing w:before="0" w:after="0"/>
              <w:jc w:val="center"/>
              <w:rPr>
                <w:b/>
                <w:sz w:val="20"/>
                <w:szCs w:val="20"/>
              </w:rPr>
            </w:pPr>
            <w:r w:rsidRPr="00AB05AB">
              <w:rPr>
                <w:b/>
                <w:sz w:val="20"/>
                <w:szCs w:val="20"/>
              </w:rPr>
              <w:t>PK parameters</w:t>
            </w:r>
          </w:p>
        </w:tc>
        <w:tc>
          <w:tcPr>
            <w:tcW w:w="1150" w:type="dxa"/>
            <w:tcBorders>
              <w:top w:val="single" w:sz="4" w:space="0" w:color="auto"/>
              <w:left w:val="single" w:sz="4" w:space="0" w:color="auto"/>
              <w:bottom w:val="single" w:sz="12" w:space="0" w:color="auto"/>
            </w:tcBorders>
          </w:tcPr>
          <w:p w14:paraId="4B2C2575" w14:textId="77777777" w:rsidR="008F4D67" w:rsidRPr="00AB05AB" w:rsidRDefault="008F4D67" w:rsidP="00AB269A">
            <w:pPr>
              <w:keepNext/>
              <w:spacing w:before="0" w:after="0"/>
              <w:jc w:val="center"/>
              <w:rPr>
                <w:b/>
                <w:sz w:val="20"/>
                <w:szCs w:val="20"/>
              </w:rPr>
            </w:pPr>
            <w:r w:rsidRPr="00AB05AB">
              <w:rPr>
                <w:b/>
                <w:sz w:val="20"/>
                <w:szCs w:val="20"/>
              </w:rPr>
              <w:t>%GMR (90% CI)</w:t>
            </w:r>
          </w:p>
        </w:tc>
      </w:tr>
      <w:tr w:rsidR="008F4D67" w:rsidRPr="00AB05AB" w14:paraId="3837BAEE" w14:textId="77777777" w:rsidTr="00E22ACE">
        <w:tc>
          <w:tcPr>
            <w:tcW w:w="8494" w:type="dxa"/>
            <w:gridSpan w:val="6"/>
            <w:tcBorders>
              <w:top w:val="single" w:sz="12" w:space="0" w:color="auto"/>
              <w:bottom w:val="single" w:sz="4" w:space="0" w:color="auto"/>
            </w:tcBorders>
          </w:tcPr>
          <w:p w14:paraId="2FE3260E" w14:textId="77777777" w:rsidR="008F4D67" w:rsidRPr="00AB05AB" w:rsidRDefault="008F4D67" w:rsidP="00AB05AB">
            <w:pPr>
              <w:rPr>
                <w:sz w:val="20"/>
                <w:szCs w:val="20"/>
              </w:rPr>
            </w:pPr>
            <w:r w:rsidRPr="00AB05AB">
              <w:rPr>
                <w:sz w:val="20"/>
                <w:szCs w:val="20"/>
              </w:rPr>
              <w:t>Filgotinib PK parameter</w:t>
            </w:r>
          </w:p>
        </w:tc>
      </w:tr>
      <w:tr w:rsidR="00E22ACE" w:rsidRPr="00AB05AB" w14:paraId="21A61A00" w14:textId="77777777" w:rsidTr="00E22ACE">
        <w:tc>
          <w:tcPr>
            <w:tcW w:w="1421" w:type="dxa"/>
            <w:tcBorders>
              <w:top w:val="single" w:sz="4" w:space="0" w:color="auto"/>
              <w:bottom w:val="single" w:sz="4" w:space="0" w:color="auto"/>
              <w:right w:val="single" w:sz="4" w:space="0" w:color="auto"/>
            </w:tcBorders>
          </w:tcPr>
          <w:p w14:paraId="4D0B201D" w14:textId="77777777" w:rsidR="00E22ACE" w:rsidRPr="00AB05AB" w:rsidRDefault="00E22ACE" w:rsidP="00AB05AB">
            <w:pPr>
              <w:rPr>
                <w:sz w:val="20"/>
                <w:szCs w:val="20"/>
              </w:rPr>
            </w:pPr>
            <w:r w:rsidRPr="00AB05AB">
              <w:rPr>
                <w:sz w:val="20"/>
                <w:szCs w:val="20"/>
              </w:rPr>
              <w:t>CL</w:t>
            </w:r>
            <w:r w:rsidRPr="00AB05AB">
              <w:rPr>
                <w:sz w:val="20"/>
                <w:szCs w:val="20"/>
                <w:vertAlign w:val="subscript"/>
              </w:rPr>
              <w:t>CR</w:t>
            </w:r>
            <w:r w:rsidRPr="00AB05AB">
              <w:rPr>
                <w:sz w:val="20"/>
                <w:szCs w:val="20"/>
              </w:rPr>
              <w:t xml:space="preserve"> (mL/min: min, median, max)</w:t>
            </w:r>
          </w:p>
        </w:tc>
        <w:tc>
          <w:tcPr>
            <w:tcW w:w="1502" w:type="dxa"/>
            <w:tcBorders>
              <w:top w:val="single" w:sz="4" w:space="0" w:color="auto"/>
              <w:left w:val="single" w:sz="4" w:space="0" w:color="auto"/>
              <w:bottom w:val="single" w:sz="4" w:space="0" w:color="auto"/>
              <w:right w:val="single" w:sz="4" w:space="0" w:color="auto"/>
            </w:tcBorders>
          </w:tcPr>
          <w:p w14:paraId="3EDBE8B4" w14:textId="77777777" w:rsidR="00E22ACE" w:rsidRPr="00AB05AB" w:rsidRDefault="00E22ACE" w:rsidP="00E22ACE">
            <w:pPr>
              <w:spacing w:before="0" w:after="0"/>
              <w:jc w:val="center"/>
              <w:rPr>
                <w:sz w:val="20"/>
                <w:szCs w:val="20"/>
              </w:rPr>
            </w:pPr>
            <w:r w:rsidRPr="00AB05AB">
              <w:rPr>
                <w:sz w:val="20"/>
                <w:szCs w:val="20"/>
              </w:rPr>
              <w:t>90.0, 121.9, 311.8</w:t>
            </w:r>
          </w:p>
        </w:tc>
        <w:tc>
          <w:tcPr>
            <w:tcW w:w="1732" w:type="dxa"/>
            <w:tcBorders>
              <w:top w:val="single" w:sz="4" w:space="0" w:color="auto"/>
              <w:left w:val="single" w:sz="4" w:space="0" w:color="auto"/>
              <w:bottom w:val="single" w:sz="4" w:space="0" w:color="auto"/>
              <w:right w:val="single" w:sz="4" w:space="0" w:color="auto"/>
            </w:tcBorders>
          </w:tcPr>
          <w:p w14:paraId="6768C5B1" w14:textId="77777777" w:rsidR="00E22ACE" w:rsidRPr="00AB05AB" w:rsidRDefault="00E22ACE" w:rsidP="00E22ACE">
            <w:pPr>
              <w:spacing w:before="0" w:after="0"/>
              <w:jc w:val="center"/>
              <w:rPr>
                <w:sz w:val="20"/>
                <w:szCs w:val="20"/>
              </w:rPr>
            </w:pPr>
            <w:r w:rsidRPr="00AB05AB">
              <w:rPr>
                <w:sz w:val="20"/>
                <w:szCs w:val="20"/>
              </w:rPr>
              <w:t>60.0, 78.5, 90.0</w:t>
            </w:r>
          </w:p>
        </w:tc>
        <w:tc>
          <w:tcPr>
            <w:tcW w:w="1007" w:type="dxa"/>
            <w:tcBorders>
              <w:top w:val="single" w:sz="4" w:space="0" w:color="auto"/>
              <w:left w:val="single" w:sz="4" w:space="0" w:color="auto"/>
              <w:bottom w:val="single" w:sz="4" w:space="0" w:color="auto"/>
              <w:right w:val="single" w:sz="4" w:space="0" w:color="auto"/>
            </w:tcBorders>
          </w:tcPr>
          <w:p w14:paraId="2E54DDAB" w14:textId="501F9A21" w:rsidR="00E22ACE" w:rsidRPr="00AB05AB" w:rsidRDefault="00E22ACE" w:rsidP="00E22ACE">
            <w:pPr>
              <w:spacing w:before="0" w:after="0"/>
              <w:jc w:val="center"/>
              <w:rPr>
                <w:sz w:val="20"/>
                <w:szCs w:val="20"/>
              </w:rPr>
            </w:pPr>
          </w:p>
        </w:tc>
        <w:tc>
          <w:tcPr>
            <w:tcW w:w="1682" w:type="dxa"/>
            <w:tcBorders>
              <w:top w:val="single" w:sz="4" w:space="0" w:color="auto"/>
              <w:left w:val="single" w:sz="4" w:space="0" w:color="auto"/>
              <w:bottom w:val="single" w:sz="4" w:space="0" w:color="auto"/>
              <w:right w:val="single" w:sz="4" w:space="0" w:color="auto"/>
            </w:tcBorders>
          </w:tcPr>
          <w:p w14:paraId="08C8B3E7" w14:textId="77777777" w:rsidR="00E22ACE" w:rsidRPr="00AB05AB" w:rsidRDefault="00E22ACE" w:rsidP="00E22ACE">
            <w:pPr>
              <w:spacing w:before="0" w:after="0"/>
              <w:jc w:val="center"/>
              <w:rPr>
                <w:sz w:val="20"/>
                <w:szCs w:val="20"/>
              </w:rPr>
            </w:pPr>
            <w:r w:rsidRPr="00AB05AB">
              <w:rPr>
                <w:sz w:val="20"/>
                <w:szCs w:val="20"/>
              </w:rPr>
              <w:t>36.6, 54.7, 59.8</w:t>
            </w:r>
          </w:p>
        </w:tc>
        <w:tc>
          <w:tcPr>
            <w:tcW w:w="1150" w:type="dxa"/>
            <w:tcBorders>
              <w:top w:val="single" w:sz="4" w:space="0" w:color="auto"/>
              <w:left w:val="single" w:sz="4" w:space="0" w:color="auto"/>
              <w:bottom w:val="single" w:sz="4" w:space="0" w:color="auto"/>
            </w:tcBorders>
          </w:tcPr>
          <w:p w14:paraId="16AA6309" w14:textId="77777777" w:rsidR="00E22ACE" w:rsidRPr="00AB05AB" w:rsidRDefault="00E22ACE" w:rsidP="00E22ACE">
            <w:pPr>
              <w:spacing w:before="0" w:after="0"/>
              <w:jc w:val="center"/>
              <w:rPr>
                <w:sz w:val="20"/>
                <w:szCs w:val="20"/>
              </w:rPr>
            </w:pPr>
          </w:p>
        </w:tc>
      </w:tr>
      <w:tr w:rsidR="00E22ACE" w:rsidRPr="00AB05AB" w14:paraId="70A7B9F9" w14:textId="77777777" w:rsidTr="00E22ACE">
        <w:tc>
          <w:tcPr>
            <w:tcW w:w="1421" w:type="dxa"/>
            <w:tcBorders>
              <w:top w:val="single" w:sz="4" w:space="0" w:color="auto"/>
              <w:bottom w:val="single" w:sz="4" w:space="0" w:color="auto"/>
              <w:right w:val="single" w:sz="4" w:space="0" w:color="auto"/>
            </w:tcBorders>
          </w:tcPr>
          <w:p w14:paraId="7C4041A5" w14:textId="77777777" w:rsidR="008F4D67" w:rsidRPr="00AB05AB" w:rsidRDefault="008F4D67" w:rsidP="00AB05AB">
            <w:pPr>
              <w:rPr>
                <w:sz w:val="20"/>
                <w:szCs w:val="20"/>
              </w:rPr>
            </w:pPr>
            <w:r w:rsidRPr="00AB05AB">
              <w:rPr>
                <w:sz w:val="20"/>
                <w:szCs w:val="20"/>
              </w:rPr>
              <w:t>No of subjects (%)</w:t>
            </w:r>
          </w:p>
        </w:tc>
        <w:tc>
          <w:tcPr>
            <w:tcW w:w="1502" w:type="dxa"/>
            <w:tcBorders>
              <w:top w:val="single" w:sz="4" w:space="0" w:color="auto"/>
              <w:left w:val="single" w:sz="4" w:space="0" w:color="auto"/>
              <w:bottom w:val="single" w:sz="4" w:space="0" w:color="auto"/>
              <w:right w:val="single" w:sz="4" w:space="0" w:color="auto"/>
            </w:tcBorders>
          </w:tcPr>
          <w:p w14:paraId="48235A5E" w14:textId="77777777" w:rsidR="008F4D67" w:rsidRPr="00AB05AB" w:rsidRDefault="008F4D67" w:rsidP="00E22ACE">
            <w:pPr>
              <w:spacing w:before="0" w:after="0"/>
              <w:jc w:val="center"/>
              <w:rPr>
                <w:sz w:val="20"/>
                <w:szCs w:val="20"/>
              </w:rPr>
            </w:pPr>
            <w:r w:rsidRPr="00AB05AB">
              <w:rPr>
                <w:sz w:val="20"/>
                <w:szCs w:val="20"/>
              </w:rPr>
              <w:t>2118 (73%)</w:t>
            </w:r>
          </w:p>
        </w:tc>
        <w:tc>
          <w:tcPr>
            <w:tcW w:w="1732" w:type="dxa"/>
            <w:tcBorders>
              <w:top w:val="single" w:sz="4" w:space="0" w:color="auto"/>
              <w:left w:val="single" w:sz="4" w:space="0" w:color="auto"/>
              <w:bottom w:val="single" w:sz="4" w:space="0" w:color="auto"/>
              <w:right w:val="single" w:sz="4" w:space="0" w:color="auto"/>
            </w:tcBorders>
          </w:tcPr>
          <w:p w14:paraId="0F4E92B5" w14:textId="77777777" w:rsidR="008F4D67" w:rsidRPr="00AB05AB" w:rsidRDefault="008F4D67" w:rsidP="00E22ACE">
            <w:pPr>
              <w:spacing w:before="0" w:after="0"/>
              <w:jc w:val="center"/>
              <w:rPr>
                <w:sz w:val="20"/>
                <w:szCs w:val="20"/>
              </w:rPr>
            </w:pPr>
            <w:r w:rsidRPr="00AB05AB">
              <w:rPr>
                <w:sz w:val="20"/>
                <w:szCs w:val="20"/>
              </w:rPr>
              <w:t>677 (23%)</w:t>
            </w:r>
          </w:p>
        </w:tc>
        <w:tc>
          <w:tcPr>
            <w:tcW w:w="1007" w:type="dxa"/>
            <w:tcBorders>
              <w:top w:val="single" w:sz="4" w:space="0" w:color="auto"/>
              <w:left w:val="single" w:sz="4" w:space="0" w:color="auto"/>
              <w:bottom w:val="single" w:sz="4" w:space="0" w:color="auto"/>
              <w:right w:val="single" w:sz="4" w:space="0" w:color="auto"/>
            </w:tcBorders>
          </w:tcPr>
          <w:p w14:paraId="545ED2F7" w14:textId="77777777" w:rsidR="008F4D67" w:rsidRPr="00AB05AB" w:rsidRDefault="008F4D67" w:rsidP="00E22ACE">
            <w:pPr>
              <w:spacing w:before="0" w:after="0"/>
              <w:jc w:val="center"/>
              <w:rPr>
                <w:sz w:val="20"/>
                <w:szCs w:val="20"/>
              </w:rPr>
            </w:pPr>
          </w:p>
        </w:tc>
        <w:tc>
          <w:tcPr>
            <w:tcW w:w="1682" w:type="dxa"/>
            <w:tcBorders>
              <w:top w:val="single" w:sz="4" w:space="0" w:color="auto"/>
              <w:left w:val="single" w:sz="4" w:space="0" w:color="auto"/>
              <w:bottom w:val="single" w:sz="4" w:space="0" w:color="auto"/>
              <w:right w:val="single" w:sz="4" w:space="0" w:color="auto"/>
            </w:tcBorders>
          </w:tcPr>
          <w:p w14:paraId="54D023D2" w14:textId="77777777" w:rsidR="008F4D67" w:rsidRPr="00AB05AB" w:rsidRDefault="008F4D67" w:rsidP="00E22ACE">
            <w:pPr>
              <w:spacing w:before="0" w:after="0"/>
              <w:jc w:val="center"/>
              <w:rPr>
                <w:sz w:val="20"/>
                <w:szCs w:val="20"/>
              </w:rPr>
            </w:pPr>
            <w:r w:rsidRPr="00AB05AB">
              <w:rPr>
                <w:sz w:val="20"/>
                <w:szCs w:val="20"/>
              </w:rPr>
              <w:t>95 (3%)</w:t>
            </w:r>
          </w:p>
        </w:tc>
        <w:tc>
          <w:tcPr>
            <w:tcW w:w="1150" w:type="dxa"/>
            <w:tcBorders>
              <w:top w:val="single" w:sz="4" w:space="0" w:color="auto"/>
              <w:left w:val="single" w:sz="4" w:space="0" w:color="auto"/>
              <w:bottom w:val="single" w:sz="4" w:space="0" w:color="auto"/>
            </w:tcBorders>
          </w:tcPr>
          <w:p w14:paraId="4FFB242D" w14:textId="77777777" w:rsidR="008F4D67" w:rsidRPr="00AB05AB" w:rsidRDefault="008F4D67" w:rsidP="00E22ACE">
            <w:pPr>
              <w:spacing w:before="0" w:after="0"/>
              <w:jc w:val="center"/>
              <w:rPr>
                <w:sz w:val="20"/>
                <w:szCs w:val="20"/>
              </w:rPr>
            </w:pPr>
          </w:p>
        </w:tc>
      </w:tr>
      <w:tr w:rsidR="0026413C" w:rsidRPr="00AB05AB" w14:paraId="2885C461" w14:textId="77777777" w:rsidTr="00E22ACE">
        <w:tc>
          <w:tcPr>
            <w:tcW w:w="1421" w:type="dxa"/>
            <w:tcBorders>
              <w:top w:val="single" w:sz="4" w:space="0" w:color="auto"/>
              <w:bottom w:val="single" w:sz="4" w:space="0" w:color="auto"/>
              <w:right w:val="single" w:sz="4" w:space="0" w:color="auto"/>
            </w:tcBorders>
          </w:tcPr>
          <w:p w14:paraId="6D966750" w14:textId="77777777" w:rsidR="008F4D67" w:rsidRPr="00AB05AB" w:rsidRDefault="008F4D67" w:rsidP="00AB05AB">
            <w:pPr>
              <w:rPr>
                <w:sz w:val="20"/>
                <w:szCs w:val="20"/>
              </w:rPr>
            </w:pPr>
            <w:r w:rsidRPr="00AB05AB">
              <w:rPr>
                <w:sz w:val="20"/>
                <w:szCs w:val="20"/>
              </w:rPr>
              <w:t>AUC</w:t>
            </w:r>
            <w:r w:rsidRPr="00AB05AB">
              <w:rPr>
                <w:sz w:val="20"/>
                <w:szCs w:val="20"/>
                <w:vertAlign w:val="subscript"/>
              </w:rPr>
              <w:t>tau</w:t>
            </w:r>
            <w:r w:rsidRPr="00AB05AB">
              <w:rPr>
                <w:sz w:val="20"/>
                <w:szCs w:val="20"/>
              </w:rPr>
              <w:t xml:space="preserve"> µg.h/mL (%CV)</w:t>
            </w:r>
          </w:p>
        </w:tc>
        <w:tc>
          <w:tcPr>
            <w:tcW w:w="1502" w:type="dxa"/>
            <w:tcBorders>
              <w:top w:val="single" w:sz="4" w:space="0" w:color="auto"/>
              <w:left w:val="single" w:sz="4" w:space="0" w:color="auto"/>
              <w:bottom w:val="single" w:sz="4" w:space="0" w:color="auto"/>
              <w:right w:val="single" w:sz="4" w:space="0" w:color="auto"/>
            </w:tcBorders>
          </w:tcPr>
          <w:p w14:paraId="3E064A98" w14:textId="77777777" w:rsidR="008F4D67" w:rsidRPr="00AB05AB" w:rsidRDefault="008F4D67" w:rsidP="00E22ACE">
            <w:pPr>
              <w:spacing w:before="0" w:after="0"/>
              <w:jc w:val="center"/>
              <w:rPr>
                <w:sz w:val="20"/>
                <w:szCs w:val="20"/>
              </w:rPr>
            </w:pPr>
            <w:r w:rsidRPr="00AB05AB">
              <w:rPr>
                <w:sz w:val="20"/>
                <w:szCs w:val="20"/>
              </w:rPr>
              <w:t>4.55 (42.9%)</w:t>
            </w:r>
          </w:p>
        </w:tc>
        <w:tc>
          <w:tcPr>
            <w:tcW w:w="1732" w:type="dxa"/>
            <w:tcBorders>
              <w:top w:val="single" w:sz="4" w:space="0" w:color="auto"/>
              <w:left w:val="single" w:sz="4" w:space="0" w:color="auto"/>
              <w:bottom w:val="single" w:sz="4" w:space="0" w:color="auto"/>
              <w:right w:val="single" w:sz="4" w:space="0" w:color="auto"/>
            </w:tcBorders>
          </w:tcPr>
          <w:p w14:paraId="12687DAB" w14:textId="77777777" w:rsidR="008F4D67" w:rsidRPr="00AB05AB" w:rsidRDefault="008F4D67" w:rsidP="00E22ACE">
            <w:pPr>
              <w:spacing w:before="0" w:after="0"/>
              <w:jc w:val="center"/>
              <w:rPr>
                <w:sz w:val="20"/>
                <w:szCs w:val="20"/>
              </w:rPr>
            </w:pPr>
            <w:r w:rsidRPr="00AB05AB">
              <w:rPr>
                <w:sz w:val="20"/>
                <w:szCs w:val="20"/>
              </w:rPr>
              <w:t>4.70 (37.5%)</w:t>
            </w:r>
          </w:p>
        </w:tc>
        <w:tc>
          <w:tcPr>
            <w:tcW w:w="1007" w:type="dxa"/>
            <w:tcBorders>
              <w:top w:val="single" w:sz="4" w:space="0" w:color="auto"/>
              <w:left w:val="single" w:sz="4" w:space="0" w:color="auto"/>
              <w:bottom w:val="single" w:sz="4" w:space="0" w:color="auto"/>
              <w:right w:val="single" w:sz="4" w:space="0" w:color="auto"/>
            </w:tcBorders>
          </w:tcPr>
          <w:p w14:paraId="4DA9B16F" w14:textId="77777777" w:rsidR="008F4D67" w:rsidRPr="00AB05AB" w:rsidRDefault="008F4D67" w:rsidP="00E22ACE">
            <w:pPr>
              <w:spacing w:before="0" w:after="0"/>
              <w:jc w:val="center"/>
              <w:rPr>
                <w:sz w:val="20"/>
                <w:szCs w:val="20"/>
              </w:rPr>
            </w:pPr>
          </w:p>
        </w:tc>
        <w:tc>
          <w:tcPr>
            <w:tcW w:w="1682" w:type="dxa"/>
            <w:tcBorders>
              <w:top w:val="single" w:sz="4" w:space="0" w:color="auto"/>
              <w:left w:val="single" w:sz="4" w:space="0" w:color="auto"/>
              <w:bottom w:val="single" w:sz="4" w:space="0" w:color="auto"/>
              <w:right w:val="single" w:sz="4" w:space="0" w:color="auto"/>
            </w:tcBorders>
          </w:tcPr>
          <w:p w14:paraId="0208BE87" w14:textId="77777777" w:rsidR="008F4D67" w:rsidRPr="00AB05AB" w:rsidRDefault="008F4D67" w:rsidP="00E22ACE">
            <w:pPr>
              <w:spacing w:before="0" w:after="0"/>
              <w:jc w:val="center"/>
              <w:rPr>
                <w:sz w:val="20"/>
                <w:szCs w:val="20"/>
              </w:rPr>
            </w:pPr>
            <w:r w:rsidRPr="00AB05AB">
              <w:rPr>
                <w:sz w:val="20"/>
                <w:szCs w:val="20"/>
              </w:rPr>
              <w:t>4.86 (29.4%)</w:t>
            </w:r>
          </w:p>
        </w:tc>
        <w:tc>
          <w:tcPr>
            <w:tcW w:w="1150" w:type="dxa"/>
            <w:tcBorders>
              <w:top w:val="single" w:sz="4" w:space="0" w:color="auto"/>
              <w:left w:val="single" w:sz="4" w:space="0" w:color="auto"/>
              <w:bottom w:val="single" w:sz="4" w:space="0" w:color="auto"/>
            </w:tcBorders>
          </w:tcPr>
          <w:p w14:paraId="2481F44C" w14:textId="77777777" w:rsidR="008F4D67" w:rsidRPr="00AB05AB" w:rsidRDefault="008F4D67" w:rsidP="00E22ACE">
            <w:pPr>
              <w:spacing w:before="0" w:after="0"/>
              <w:jc w:val="center"/>
              <w:rPr>
                <w:sz w:val="20"/>
                <w:szCs w:val="20"/>
              </w:rPr>
            </w:pPr>
          </w:p>
        </w:tc>
      </w:tr>
      <w:tr w:rsidR="0026413C" w:rsidRPr="00AB05AB" w14:paraId="781E8217" w14:textId="77777777" w:rsidTr="00E22ACE">
        <w:tc>
          <w:tcPr>
            <w:tcW w:w="1421" w:type="dxa"/>
            <w:tcBorders>
              <w:top w:val="single" w:sz="4" w:space="0" w:color="auto"/>
              <w:bottom w:val="single" w:sz="4" w:space="0" w:color="auto"/>
              <w:right w:val="single" w:sz="4" w:space="0" w:color="auto"/>
            </w:tcBorders>
          </w:tcPr>
          <w:p w14:paraId="2ECB93A2" w14:textId="77777777" w:rsidR="008F4D67" w:rsidRPr="00AB05AB" w:rsidRDefault="008F4D67" w:rsidP="00AB05AB">
            <w:pPr>
              <w:rPr>
                <w:sz w:val="20"/>
                <w:szCs w:val="20"/>
              </w:rPr>
            </w:pPr>
            <w:r w:rsidRPr="00AB05AB">
              <w:rPr>
                <w:sz w:val="20"/>
                <w:szCs w:val="20"/>
              </w:rPr>
              <w:t>C</w:t>
            </w:r>
            <w:r w:rsidRPr="00AB05AB">
              <w:rPr>
                <w:sz w:val="20"/>
                <w:szCs w:val="20"/>
                <w:vertAlign w:val="subscript"/>
              </w:rPr>
              <w:t>max</w:t>
            </w:r>
            <w:r w:rsidRPr="00AB05AB">
              <w:rPr>
                <w:sz w:val="20"/>
                <w:szCs w:val="20"/>
              </w:rPr>
              <w:t xml:space="preserve"> µg/mL (%CV)</w:t>
            </w:r>
          </w:p>
        </w:tc>
        <w:tc>
          <w:tcPr>
            <w:tcW w:w="1502" w:type="dxa"/>
            <w:tcBorders>
              <w:top w:val="single" w:sz="4" w:space="0" w:color="auto"/>
              <w:left w:val="single" w:sz="4" w:space="0" w:color="auto"/>
              <w:bottom w:val="single" w:sz="4" w:space="0" w:color="auto"/>
              <w:right w:val="single" w:sz="4" w:space="0" w:color="auto"/>
            </w:tcBorders>
          </w:tcPr>
          <w:p w14:paraId="52EB71E3" w14:textId="77777777" w:rsidR="008F4D67" w:rsidRPr="00AB05AB" w:rsidRDefault="008F4D67" w:rsidP="00E22ACE">
            <w:pPr>
              <w:spacing w:before="0" w:after="0"/>
              <w:jc w:val="center"/>
              <w:rPr>
                <w:sz w:val="20"/>
                <w:szCs w:val="20"/>
              </w:rPr>
            </w:pPr>
            <w:r w:rsidRPr="00AB05AB">
              <w:rPr>
                <w:sz w:val="20"/>
                <w:szCs w:val="20"/>
              </w:rPr>
              <w:t>1.03 (61.3)</w:t>
            </w:r>
          </w:p>
        </w:tc>
        <w:tc>
          <w:tcPr>
            <w:tcW w:w="1732" w:type="dxa"/>
            <w:tcBorders>
              <w:top w:val="single" w:sz="4" w:space="0" w:color="auto"/>
              <w:left w:val="single" w:sz="4" w:space="0" w:color="auto"/>
              <w:bottom w:val="single" w:sz="4" w:space="0" w:color="auto"/>
              <w:right w:val="single" w:sz="4" w:space="0" w:color="auto"/>
            </w:tcBorders>
          </w:tcPr>
          <w:p w14:paraId="2D7CE89C" w14:textId="77777777" w:rsidR="008F4D67" w:rsidRPr="00AB05AB" w:rsidRDefault="008F4D67" w:rsidP="00E22ACE">
            <w:pPr>
              <w:spacing w:before="0" w:after="0"/>
              <w:jc w:val="center"/>
              <w:rPr>
                <w:sz w:val="20"/>
                <w:szCs w:val="20"/>
              </w:rPr>
            </w:pPr>
            <w:r w:rsidRPr="00AB05AB">
              <w:rPr>
                <w:sz w:val="20"/>
                <w:szCs w:val="20"/>
              </w:rPr>
              <w:t>1.07 (55.6%)</w:t>
            </w:r>
          </w:p>
        </w:tc>
        <w:tc>
          <w:tcPr>
            <w:tcW w:w="1007" w:type="dxa"/>
            <w:tcBorders>
              <w:top w:val="single" w:sz="4" w:space="0" w:color="auto"/>
              <w:left w:val="single" w:sz="4" w:space="0" w:color="auto"/>
              <w:bottom w:val="single" w:sz="4" w:space="0" w:color="auto"/>
              <w:right w:val="single" w:sz="4" w:space="0" w:color="auto"/>
            </w:tcBorders>
          </w:tcPr>
          <w:p w14:paraId="2BF465AA" w14:textId="77777777" w:rsidR="008F4D67" w:rsidRPr="00AB05AB" w:rsidRDefault="008F4D67" w:rsidP="00E22ACE">
            <w:pPr>
              <w:spacing w:before="0" w:after="0"/>
              <w:jc w:val="center"/>
              <w:rPr>
                <w:sz w:val="20"/>
                <w:szCs w:val="20"/>
              </w:rPr>
            </w:pPr>
          </w:p>
        </w:tc>
        <w:tc>
          <w:tcPr>
            <w:tcW w:w="1682" w:type="dxa"/>
            <w:tcBorders>
              <w:top w:val="single" w:sz="4" w:space="0" w:color="auto"/>
              <w:left w:val="single" w:sz="4" w:space="0" w:color="auto"/>
              <w:bottom w:val="single" w:sz="4" w:space="0" w:color="auto"/>
              <w:right w:val="single" w:sz="4" w:space="0" w:color="auto"/>
            </w:tcBorders>
          </w:tcPr>
          <w:p w14:paraId="59ECFF0D" w14:textId="77777777" w:rsidR="008F4D67" w:rsidRPr="00AB05AB" w:rsidRDefault="008F4D67" w:rsidP="00E22ACE">
            <w:pPr>
              <w:spacing w:before="0" w:after="0"/>
              <w:jc w:val="center"/>
              <w:rPr>
                <w:sz w:val="20"/>
                <w:szCs w:val="20"/>
              </w:rPr>
            </w:pPr>
            <w:r w:rsidRPr="00AB05AB">
              <w:rPr>
                <w:sz w:val="20"/>
                <w:szCs w:val="20"/>
              </w:rPr>
              <w:t>1.16 (45.6%)</w:t>
            </w:r>
          </w:p>
        </w:tc>
        <w:tc>
          <w:tcPr>
            <w:tcW w:w="1150" w:type="dxa"/>
            <w:tcBorders>
              <w:top w:val="single" w:sz="4" w:space="0" w:color="auto"/>
              <w:left w:val="single" w:sz="4" w:space="0" w:color="auto"/>
              <w:bottom w:val="single" w:sz="4" w:space="0" w:color="auto"/>
            </w:tcBorders>
          </w:tcPr>
          <w:p w14:paraId="74017CD2" w14:textId="77777777" w:rsidR="008F4D67" w:rsidRPr="00AB05AB" w:rsidRDefault="008F4D67" w:rsidP="00E22ACE">
            <w:pPr>
              <w:spacing w:before="0" w:after="0"/>
              <w:jc w:val="center"/>
              <w:rPr>
                <w:sz w:val="20"/>
                <w:szCs w:val="20"/>
              </w:rPr>
            </w:pPr>
          </w:p>
        </w:tc>
      </w:tr>
      <w:tr w:rsidR="00E22ACE" w:rsidRPr="00AB05AB" w14:paraId="455C1B37" w14:textId="77777777" w:rsidTr="00E22ACE">
        <w:tc>
          <w:tcPr>
            <w:tcW w:w="1421" w:type="dxa"/>
            <w:tcBorders>
              <w:top w:val="single" w:sz="4" w:space="0" w:color="auto"/>
              <w:bottom w:val="single" w:sz="12" w:space="0" w:color="auto"/>
              <w:right w:val="single" w:sz="4" w:space="0" w:color="auto"/>
            </w:tcBorders>
          </w:tcPr>
          <w:p w14:paraId="4571ABA9" w14:textId="77777777" w:rsidR="008F4D67" w:rsidRPr="00AB05AB" w:rsidRDefault="008F4D67" w:rsidP="00AB05AB">
            <w:pPr>
              <w:rPr>
                <w:sz w:val="20"/>
                <w:szCs w:val="20"/>
              </w:rPr>
            </w:pPr>
            <w:r w:rsidRPr="00AB05AB">
              <w:rPr>
                <w:sz w:val="20"/>
                <w:szCs w:val="20"/>
              </w:rPr>
              <w:t>C</w:t>
            </w:r>
            <w:r w:rsidRPr="00AB05AB">
              <w:rPr>
                <w:sz w:val="20"/>
                <w:szCs w:val="20"/>
                <w:vertAlign w:val="subscript"/>
              </w:rPr>
              <w:t xml:space="preserve">tau </w:t>
            </w:r>
            <w:r w:rsidRPr="00AB05AB">
              <w:rPr>
                <w:sz w:val="20"/>
                <w:szCs w:val="20"/>
              </w:rPr>
              <w:t>µg/mL</w:t>
            </w:r>
          </w:p>
          <w:p w14:paraId="34D33D40" w14:textId="77777777" w:rsidR="008F4D67" w:rsidRPr="00AB05AB" w:rsidRDefault="008F4D67" w:rsidP="00AB05AB">
            <w:pPr>
              <w:rPr>
                <w:sz w:val="20"/>
                <w:szCs w:val="20"/>
              </w:rPr>
            </w:pPr>
            <w:r w:rsidRPr="00AB05AB">
              <w:rPr>
                <w:sz w:val="20"/>
                <w:szCs w:val="20"/>
              </w:rPr>
              <w:t>(%CV)</w:t>
            </w:r>
          </w:p>
        </w:tc>
        <w:tc>
          <w:tcPr>
            <w:tcW w:w="1502" w:type="dxa"/>
            <w:tcBorders>
              <w:top w:val="single" w:sz="4" w:space="0" w:color="auto"/>
              <w:left w:val="single" w:sz="4" w:space="0" w:color="auto"/>
              <w:bottom w:val="single" w:sz="12" w:space="0" w:color="auto"/>
              <w:right w:val="single" w:sz="4" w:space="0" w:color="auto"/>
            </w:tcBorders>
          </w:tcPr>
          <w:p w14:paraId="26E18556" w14:textId="77777777" w:rsidR="008F4D67" w:rsidRPr="00AB05AB" w:rsidRDefault="008F4D67" w:rsidP="00E22ACE">
            <w:pPr>
              <w:spacing w:before="0" w:after="0"/>
              <w:jc w:val="center"/>
              <w:rPr>
                <w:sz w:val="20"/>
                <w:szCs w:val="20"/>
              </w:rPr>
            </w:pPr>
            <w:r w:rsidRPr="00AB05AB">
              <w:rPr>
                <w:sz w:val="20"/>
                <w:szCs w:val="20"/>
              </w:rPr>
              <w:t>0.15 (121.1)</w:t>
            </w:r>
          </w:p>
        </w:tc>
        <w:tc>
          <w:tcPr>
            <w:tcW w:w="1732" w:type="dxa"/>
            <w:tcBorders>
              <w:top w:val="single" w:sz="4" w:space="0" w:color="auto"/>
              <w:left w:val="single" w:sz="4" w:space="0" w:color="auto"/>
              <w:bottom w:val="single" w:sz="12" w:space="0" w:color="auto"/>
              <w:right w:val="single" w:sz="4" w:space="0" w:color="auto"/>
            </w:tcBorders>
          </w:tcPr>
          <w:p w14:paraId="34C4F9DA" w14:textId="77777777" w:rsidR="008F4D67" w:rsidRPr="00AB05AB" w:rsidRDefault="008F4D67" w:rsidP="00E22ACE">
            <w:pPr>
              <w:spacing w:before="0" w:after="0"/>
              <w:jc w:val="center"/>
              <w:rPr>
                <w:sz w:val="20"/>
                <w:szCs w:val="20"/>
              </w:rPr>
            </w:pPr>
            <w:r w:rsidRPr="00AB05AB">
              <w:rPr>
                <w:sz w:val="20"/>
                <w:szCs w:val="20"/>
              </w:rPr>
              <w:t>0.16 (92.6%)</w:t>
            </w:r>
          </w:p>
        </w:tc>
        <w:tc>
          <w:tcPr>
            <w:tcW w:w="1007" w:type="dxa"/>
            <w:tcBorders>
              <w:top w:val="single" w:sz="4" w:space="0" w:color="auto"/>
              <w:left w:val="single" w:sz="4" w:space="0" w:color="auto"/>
              <w:bottom w:val="single" w:sz="12" w:space="0" w:color="auto"/>
              <w:right w:val="single" w:sz="4" w:space="0" w:color="auto"/>
            </w:tcBorders>
          </w:tcPr>
          <w:p w14:paraId="03B1F039" w14:textId="77777777" w:rsidR="008F4D67" w:rsidRPr="00AB05AB" w:rsidRDefault="008F4D67" w:rsidP="00E22ACE">
            <w:pPr>
              <w:spacing w:before="0" w:after="0"/>
              <w:jc w:val="center"/>
              <w:rPr>
                <w:sz w:val="20"/>
                <w:szCs w:val="20"/>
              </w:rPr>
            </w:pPr>
          </w:p>
        </w:tc>
        <w:tc>
          <w:tcPr>
            <w:tcW w:w="1682" w:type="dxa"/>
            <w:tcBorders>
              <w:top w:val="single" w:sz="4" w:space="0" w:color="auto"/>
              <w:left w:val="single" w:sz="4" w:space="0" w:color="auto"/>
              <w:bottom w:val="single" w:sz="12" w:space="0" w:color="auto"/>
              <w:right w:val="single" w:sz="4" w:space="0" w:color="auto"/>
            </w:tcBorders>
          </w:tcPr>
          <w:p w14:paraId="5C596DE2" w14:textId="77777777" w:rsidR="008F4D67" w:rsidRPr="00AB05AB" w:rsidRDefault="008F4D67" w:rsidP="00E22ACE">
            <w:pPr>
              <w:spacing w:before="0" w:after="0"/>
              <w:jc w:val="center"/>
              <w:rPr>
                <w:sz w:val="20"/>
                <w:szCs w:val="20"/>
              </w:rPr>
            </w:pPr>
            <w:r w:rsidRPr="00AB05AB">
              <w:rPr>
                <w:sz w:val="20"/>
                <w:szCs w:val="20"/>
              </w:rPr>
              <w:t>0.16 (46.7%)</w:t>
            </w:r>
          </w:p>
        </w:tc>
        <w:tc>
          <w:tcPr>
            <w:tcW w:w="1150" w:type="dxa"/>
            <w:tcBorders>
              <w:top w:val="single" w:sz="4" w:space="0" w:color="auto"/>
              <w:left w:val="single" w:sz="4" w:space="0" w:color="auto"/>
              <w:bottom w:val="single" w:sz="12" w:space="0" w:color="auto"/>
            </w:tcBorders>
          </w:tcPr>
          <w:p w14:paraId="6DD95343" w14:textId="77777777" w:rsidR="008F4D67" w:rsidRPr="00AB05AB" w:rsidRDefault="008F4D67" w:rsidP="00E22ACE">
            <w:pPr>
              <w:spacing w:before="0" w:after="0"/>
              <w:jc w:val="center"/>
              <w:rPr>
                <w:sz w:val="20"/>
                <w:szCs w:val="20"/>
              </w:rPr>
            </w:pPr>
          </w:p>
        </w:tc>
      </w:tr>
    </w:tbl>
    <w:p w14:paraId="60785CA4" w14:textId="0B4A9A79" w:rsidR="0026413C" w:rsidRPr="001B0B74" w:rsidRDefault="0026413C" w:rsidP="0026413C">
      <w:pPr>
        <w:pStyle w:val="TableDescription"/>
      </w:pPr>
      <w:bookmarkStart w:id="44" w:name="_Ref69127613"/>
      <w:r w:rsidRPr="001B0B74">
        <w:t>GMR = geometric mean ratio, CI = confidence interval; CV = percentage coefficient of variation; PK = pharmacokinetic; CL</w:t>
      </w:r>
      <w:r w:rsidRPr="001B0B74">
        <w:rPr>
          <w:vertAlign w:val="subscript"/>
        </w:rPr>
        <w:t>CR</w:t>
      </w:r>
      <w:r w:rsidRPr="001B0B74">
        <w:t xml:space="preserve"> = creatinine clearance; AUC</w:t>
      </w:r>
      <w:r w:rsidRPr="001B0B74">
        <w:rPr>
          <w:vertAlign w:val="subscript"/>
        </w:rPr>
        <w:t>tau</w:t>
      </w:r>
      <w:r w:rsidRPr="001B0B74">
        <w:t xml:space="preserve"> = area under the plasma concentration time curve over a dosing interval; C</w:t>
      </w:r>
      <w:r w:rsidRPr="001B0B74">
        <w:rPr>
          <w:vertAlign w:val="subscript"/>
        </w:rPr>
        <w:t>max</w:t>
      </w:r>
      <w:r w:rsidRPr="001B0B74">
        <w:t xml:space="preserve"> = maximum plasma concentration; C</w:t>
      </w:r>
      <w:r w:rsidRPr="001B0B74">
        <w:rPr>
          <w:vertAlign w:val="subscript"/>
        </w:rPr>
        <w:t>tau</w:t>
      </w:r>
      <w:r w:rsidRPr="001B0B74">
        <w:t xml:space="preserve"> = trough concentration</w:t>
      </w:r>
    </w:p>
    <w:p w14:paraId="7ABF132E" w14:textId="3B8AF125" w:rsidR="0026413C" w:rsidRPr="001B0B74" w:rsidRDefault="0026413C" w:rsidP="0026413C">
      <w:pPr>
        <w:pStyle w:val="TableDescription"/>
      </w:pPr>
      <w:r w:rsidRPr="001B0B74">
        <w:t>Demographic PopPK Analysis Set included subjects with rheumatoid arthritis and healthy subjects who were simulated with filgotinib 200 mg and had evaluable parameters from PopPK.</w:t>
      </w:r>
    </w:p>
    <w:p w14:paraId="222FF6B2" w14:textId="12B06E53" w:rsidR="0026413C" w:rsidRPr="001B0B74" w:rsidRDefault="0026413C" w:rsidP="0026413C">
      <w:pPr>
        <w:pStyle w:val="TableDescription"/>
      </w:pPr>
      <w:r w:rsidRPr="001B0B74">
        <w:t>The categories were based on estimated baseline CL</w:t>
      </w:r>
      <w:r w:rsidR="00D3485B" w:rsidRPr="001B0B74">
        <w:rPr>
          <w:vertAlign w:val="subscript"/>
        </w:rPr>
        <w:t>CR</w:t>
      </w:r>
      <w:r w:rsidR="00D3485B" w:rsidRPr="001B0B74">
        <w:t xml:space="preserve"> (n</w:t>
      </w:r>
      <w:r w:rsidRPr="001B0B74">
        <w:t>ormal: CL</w:t>
      </w:r>
      <w:r w:rsidRPr="001B0B74">
        <w:rPr>
          <w:vertAlign w:val="subscript"/>
        </w:rPr>
        <w:t>CR</w:t>
      </w:r>
      <w:r w:rsidR="00D3485B" w:rsidRPr="001B0B74">
        <w:t> </w:t>
      </w:r>
      <w:r w:rsidRPr="001B0B74">
        <w:t>≥</w:t>
      </w:r>
      <w:r w:rsidR="00D3485B" w:rsidRPr="001B0B74">
        <w:t> </w:t>
      </w:r>
      <w:r w:rsidRPr="001B0B74">
        <w:t>90</w:t>
      </w:r>
      <w:r w:rsidR="00D3485B" w:rsidRPr="001B0B74">
        <w:t> </w:t>
      </w:r>
      <w:r w:rsidRPr="001B0B74">
        <w:t>mL/min; mild: CL</w:t>
      </w:r>
      <w:r w:rsidR="00D3485B" w:rsidRPr="001B0B74">
        <w:rPr>
          <w:vertAlign w:val="subscript"/>
        </w:rPr>
        <w:t>CR</w:t>
      </w:r>
      <w:r w:rsidR="00D3485B" w:rsidRPr="001B0B74">
        <w:t> = 60 </w:t>
      </w:r>
      <w:r w:rsidRPr="001B0B74">
        <w:t>to &lt;</w:t>
      </w:r>
      <w:r w:rsidR="00D3485B" w:rsidRPr="001B0B74">
        <w:t> 90 mL/min; and moderate: CL</w:t>
      </w:r>
      <w:r w:rsidR="00D3485B" w:rsidRPr="001B0B74">
        <w:rPr>
          <w:vertAlign w:val="subscript"/>
        </w:rPr>
        <w:t>CR </w:t>
      </w:r>
      <w:r w:rsidR="00D3485B" w:rsidRPr="001B0B74">
        <w:t>= 30 to &lt; 60 </w:t>
      </w:r>
      <w:r w:rsidRPr="001B0B74">
        <w:t>mL/min).</w:t>
      </w:r>
    </w:p>
    <w:p w14:paraId="67B28DE5" w14:textId="51A22EDB" w:rsidR="003759EE" w:rsidRPr="001B0B74" w:rsidRDefault="003759EE" w:rsidP="0026413C">
      <w:pPr>
        <w:pStyle w:val="TableTitle"/>
      </w:pPr>
      <w:bookmarkStart w:id="45" w:name="_Ref69306988"/>
      <w:r w:rsidRPr="001B0B74">
        <w:t xml:space="preserve">Table </w:t>
      </w:r>
      <w:fldSimple w:instr=" SEQ Table \* ARABIC ">
        <w:r w:rsidR="003A57FD">
          <w:rPr>
            <w:noProof/>
          </w:rPr>
          <w:t>6</w:t>
        </w:r>
      </w:fldSimple>
      <w:bookmarkEnd w:id="44"/>
      <w:bookmarkEnd w:id="45"/>
      <w:r w:rsidR="00D3485B" w:rsidRPr="001B0B74">
        <w:t>:</w:t>
      </w:r>
      <w:r w:rsidRPr="001B0B74">
        <w:t xml:space="preserve"> Simulated GS-829845 pharmacokinetic parameters following filgotinib 200 mg in participants with rheumatoid arthritis with normal or impaired renal function (demographic pharmacokinetic analysis set)</w:t>
      </w:r>
    </w:p>
    <w:p w14:paraId="35DFEE49" w14:textId="16B5EC51" w:rsidR="00D3485B" w:rsidRPr="001B0B74" w:rsidRDefault="00D3485B" w:rsidP="00AB05AB">
      <w:pPr>
        <w:rPr>
          <w:noProof/>
          <w:lang w:eastAsia="en-AU"/>
        </w:rPr>
      </w:pPr>
      <w:r w:rsidRPr="001B0B74">
        <w:rPr>
          <w:noProof/>
          <w:lang w:eastAsia="en-AU"/>
        </w:rPr>
        <w:drawing>
          <wp:inline distT="0" distB="0" distL="0" distR="0" wp14:anchorId="5C379B84" wp14:editId="24B9F849">
            <wp:extent cx="5400040" cy="2478405"/>
            <wp:effectExtent l="0" t="0" r="0" b="0"/>
            <wp:docPr id="15" name="Picture 15" descr="Simulated GS-829845 pharmacokinetic parameters following filgotinib 200 mg in participants with rheumatoid arthritis with normal or impaired renal function (demographic pharmacokinetic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478405"/>
                    </a:xfrm>
                    <a:prstGeom prst="rect">
                      <a:avLst/>
                    </a:prstGeom>
                  </pic:spPr>
                </pic:pic>
              </a:graphicData>
            </a:graphic>
          </wp:inline>
        </w:drawing>
      </w:r>
    </w:p>
    <w:p w14:paraId="076BB280" w14:textId="77777777" w:rsidR="00D3485B" w:rsidRPr="001B0B74" w:rsidRDefault="00D3485B" w:rsidP="00D3485B">
      <w:pPr>
        <w:pStyle w:val="TableDescription"/>
      </w:pPr>
      <w:r w:rsidRPr="001B0B74">
        <w:t>GMR = geometric mean ratio, CI = confidence interval; CV = percentage coefficient of variation; PK = pharmacokinetic; CL</w:t>
      </w:r>
      <w:r w:rsidRPr="001B0B74">
        <w:rPr>
          <w:vertAlign w:val="subscript"/>
        </w:rPr>
        <w:t>CR</w:t>
      </w:r>
      <w:r w:rsidRPr="001B0B74">
        <w:t xml:space="preserve"> = creatinine clearance; AUC</w:t>
      </w:r>
      <w:r w:rsidRPr="001B0B74">
        <w:rPr>
          <w:vertAlign w:val="subscript"/>
        </w:rPr>
        <w:t>tau</w:t>
      </w:r>
      <w:r w:rsidRPr="001B0B74">
        <w:t xml:space="preserve"> = area under the plasma concentration time curve over a dosing interval; C</w:t>
      </w:r>
      <w:r w:rsidRPr="001B0B74">
        <w:rPr>
          <w:vertAlign w:val="subscript"/>
        </w:rPr>
        <w:t>max</w:t>
      </w:r>
      <w:r w:rsidRPr="001B0B74">
        <w:t xml:space="preserve"> = maximum plasma concentration; C</w:t>
      </w:r>
      <w:r w:rsidRPr="001B0B74">
        <w:rPr>
          <w:vertAlign w:val="subscript"/>
        </w:rPr>
        <w:t>tau</w:t>
      </w:r>
      <w:r w:rsidRPr="001B0B74">
        <w:t xml:space="preserve"> = trough concentration</w:t>
      </w:r>
    </w:p>
    <w:p w14:paraId="49AB80A9" w14:textId="77777777" w:rsidR="00D3485B" w:rsidRPr="001B0B74" w:rsidRDefault="00D3485B" w:rsidP="00D3485B">
      <w:pPr>
        <w:pStyle w:val="TableDescription"/>
      </w:pPr>
      <w:r w:rsidRPr="001B0B74">
        <w:t>Demographic PopPK Analysis Set included subjects with rheumatoid arthritis and healthy subjects who were simulated with filgotinib 200 mg and had evaluable parameters from PopPK.</w:t>
      </w:r>
    </w:p>
    <w:p w14:paraId="20A90C38" w14:textId="4CA0D5D1" w:rsidR="003759EE" w:rsidRPr="001B0B74" w:rsidRDefault="00D3485B" w:rsidP="00D3485B">
      <w:pPr>
        <w:pStyle w:val="TableDescription"/>
      </w:pPr>
      <w:r w:rsidRPr="001B0B74">
        <w:t>The categories were based on estimated baseline CL</w:t>
      </w:r>
      <w:r w:rsidRPr="001B0B74">
        <w:rPr>
          <w:vertAlign w:val="subscript"/>
        </w:rPr>
        <w:t>CR</w:t>
      </w:r>
      <w:r w:rsidRPr="001B0B74">
        <w:t xml:space="preserve"> (normal: CL</w:t>
      </w:r>
      <w:r w:rsidRPr="001B0B74">
        <w:rPr>
          <w:vertAlign w:val="subscript"/>
        </w:rPr>
        <w:t>CR</w:t>
      </w:r>
      <w:r w:rsidRPr="001B0B74">
        <w:t> ≥ 90 mL/min; mild: CL</w:t>
      </w:r>
      <w:r w:rsidRPr="001B0B74">
        <w:rPr>
          <w:vertAlign w:val="subscript"/>
        </w:rPr>
        <w:t>CR</w:t>
      </w:r>
      <w:r w:rsidRPr="001B0B74">
        <w:t> = 60 to &lt; 90 mL/min; and moderate: CL</w:t>
      </w:r>
      <w:r w:rsidRPr="001B0B74">
        <w:rPr>
          <w:vertAlign w:val="subscript"/>
        </w:rPr>
        <w:t>CR</w:t>
      </w:r>
      <w:r w:rsidRPr="001B0B74">
        <w:t> = 30 to &lt; 60 mL/min).</w:t>
      </w:r>
    </w:p>
    <w:p w14:paraId="6C63D1C1" w14:textId="284E01B4" w:rsidR="00176F61" w:rsidRPr="001B0B74" w:rsidRDefault="00176F61" w:rsidP="00176F61">
      <w:pPr>
        <w:pStyle w:val="Heading5"/>
      </w:pPr>
      <w:r w:rsidRPr="001B0B74">
        <w:t>Pharmacodynamics</w:t>
      </w:r>
    </w:p>
    <w:p w14:paraId="4C72CA68" w14:textId="58DC8123" w:rsidR="00176F61" w:rsidRPr="001B0B74" w:rsidRDefault="00176F61" w:rsidP="00176F61">
      <w:r w:rsidRPr="001B0B74">
        <w:t>The pharmacodynamic</w:t>
      </w:r>
      <w:r w:rsidR="00B84EDB" w:rsidRPr="001B0B74">
        <w:t xml:space="preserve"> (PD)</w:t>
      </w:r>
      <w:r w:rsidRPr="001B0B74">
        <w:t xml:space="preserve"> studies used measures of IL-induced STAT phosphorylation to confirm that </w:t>
      </w:r>
      <w:r w:rsidR="006703B9" w:rsidRPr="001B0B74">
        <w:t>filgotinib</w:t>
      </w:r>
      <w:r w:rsidRPr="001B0B74">
        <w:t xml:space="preserve"> inhibited JAK1 activity, and had no apparent effect on JAK2 activity, at doses of 50</w:t>
      </w:r>
      <w:r w:rsidR="00B84EDB" w:rsidRPr="001B0B74">
        <w:t> </w:t>
      </w:r>
      <w:r w:rsidRPr="001B0B74">
        <w:t>mg to 450</w:t>
      </w:r>
      <w:r w:rsidR="00B84EDB" w:rsidRPr="001B0B74">
        <w:t> </w:t>
      </w:r>
      <w:r w:rsidRPr="001B0B74">
        <w:t>mg daily. Inhibition of the JAK</w:t>
      </w:r>
      <w:r w:rsidR="00B84EDB" w:rsidRPr="001B0B74">
        <w:t>1/</w:t>
      </w:r>
      <w:r w:rsidRPr="001B0B74">
        <w:t>STAT pathway was reversible, with onset by two hours after ad</w:t>
      </w:r>
      <w:r w:rsidR="00B84EDB" w:rsidRPr="001B0B74">
        <w:t>ministration and recovery by 12 </w:t>
      </w:r>
      <w:r w:rsidRPr="001B0B74">
        <w:t>hours after administration. At supratherapeutic levels (300</w:t>
      </w:r>
      <w:r w:rsidR="00B84EDB" w:rsidRPr="001B0B74">
        <w:t> </w:t>
      </w:r>
      <w:r w:rsidRPr="001B0B74">
        <w:t>mg and 450</w:t>
      </w:r>
      <w:r w:rsidR="00B84EDB" w:rsidRPr="001B0B74">
        <w:t> </w:t>
      </w:r>
      <w:r w:rsidRPr="001B0B74">
        <w:t xml:space="preserve">mg </w:t>
      </w:r>
      <w:r w:rsidR="006703B9" w:rsidRPr="001B0B74">
        <w:t>filgotinib</w:t>
      </w:r>
      <w:r w:rsidRPr="001B0B74">
        <w:t xml:space="preserve"> daily for 10</w:t>
      </w:r>
      <w:r w:rsidR="00B84EDB" w:rsidRPr="001B0B74">
        <w:t> </w:t>
      </w:r>
      <w:r w:rsidRPr="001B0B74">
        <w:t>days) inhibition of the JAK1/S</w:t>
      </w:r>
      <w:r w:rsidR="00B84EDB" w:rsidRPr="001B0B74">
        <w:t xml:space="preserve">TAT pathway appeared to be dose </w:t>
      </w:r>
      <w:r w:rsidRPr="001B0B74">
        <w:t>dependent and near complete.</w:t>
      </w:r>
    </w:p>
    <w:p w14:paraId="6ACBC3D5" w14:textId="00D4DC97" w:rsidR="00176F61" w:rsidRPr="001B0B74" w:rsidRDefault="00176F61" w:rsidP="00176F61">
      <w:r w:rsidRPr="001B0B74">
        <w:t xml:space="preserve">Compared to the rapid changes in biomarker studies, the clinical effects of </w:t>
      </w:r>
      <w:r w:rsidR="006703B9" w:rsidRPr="001B0B74">
        <w:t>filgotinib</w:t>
      </w:r>
      <w:r w:rsidRPr="001B0B74">
        <w:t xml:space="preserve"> were detected at around two weeks after initiation of therapy. Potential effects with regard to safety (decrease in haemoglobin, decrease in lymphocyte count) took up to four weeks to detect. Exposure</w:t>
      </w:r>
      <w:r w:rsidR="00FE1B47" w:rsidRPr="001B0B74">
        <w:t xml:space="preserve"> </w:t>
      </w:r>
      <w:r w:rsidRPr="001B0B74">
        <w:t xml:space="preserve">response analysis demonstrated that </w:t>
      </w:r>
      <w:r w:rsidR="00FE1B47" w:rsidRPr="001B0B74">
        <w:t>efficacy plateaued with the 200 </w:t>
      </w:r>
      <w:r w:rsidRPr="001B0B74">
        <w:t>mg daily dose and higher exposures were not expected to achieve clinically meaningful additional benefit. There was no apparent concentration r</w:t>
      </w:r>
      <w:r w:rsidR="00FE1B47" w:rsidRPr="001B0B74">
        <w:t>elationship for the 100 and 200 </w:t>
      </w:r>
      <w:r w:rsidRPr="001B0B74">
        <w:t>mg dose levels on the safety endpoints of anaemia or neutropenia.</w:t>
      </w:r>
    </w:p>
    <w:p w14:paraId="2624AA3B" w14:textId="036D4209" w:rsidR="00176F61" w:rsidRPr="001B0B74" w:rsidRDefault="00176F61" w:rsidP="00176F61">
      <w:r w:rsidRPr="001B0B74">
        <w:t xml:space="preserve">The evaluator noted that no study examined co-administration of </w:t>
      </w:r>
      <w:r w:rsidR="006703B9" w:rsidRPr="001B0B74">
        <w:t>filgotinib</w:t>
      </w:r>
      <w:r w:rsidRPr="001B0B74">
        <w:t xml:space="preserve"> with bDMARDs. Based on the mechanism of action of JAK</w:t>
      </w:r>
      <w:r w:rsidR="00FE1B47" w:rsidRPr="001B0B74">
        <w:t xml:space="preserve"> </w:t>
      </w:r>
      <w:r w:rsidRPr="001B0B74">
        <w:t xml:space="preserve">inhibition, co-administration of </w:t>
      </w:r>
      <w:r w:rsidR="006703B9" w:rsidRPr="001B0B74">
        <w:t>filgotinib</w:t>
      </w:r>
      <w:r w:rsidRPr="001B0B74">
        <w:t xml:space="preserve"> with bDMARDs is not recommended. Similarly, no study examined the effect of </w:t>
      </w:r>
      <w:r w:rsidR="006703B9" w:rsidRPr="001B0B74">
        <w:t>filgotinib</w:t>
      </w:r>
      <w:r w:rsidRPr="001B0B74">
        <w:t xml:space="preserve"> on response to live vaccines. Because inhibition of JAK1 affects T-cell function, co-administration of </w:t>
      </w:r>
      <w:r w:rsidR="006703B9" w:rsidRPr="001B0B74">
        <w:t>filgotinib</w:t>
      </w:r>
      <w:r w:rsidRPr="001B0B74">
        <w:t xml:space="preserve"> with live vaccines is not recommended.</w:t>
      </w:r>
    </w:p>
    <w:p w14:paraId="67A369FB" w14:textId="77777777" w:rsidR="00176F61" w:rsidRPr="001B0B74" w:rsidRDefault="00176F61" w:rsidP="00176F61">
      <w:pPr>
        <w:pStyle w:val="Heading4"/>
      </w:pPr>
      <w:r w:rsidRPr="001B0B74">
        <w:t>Efficacy</w:t>
      </w:r>
    </w:p>
    <w:p w14:paraId="0325A624" w14:textId="6EC3E82A" w:rsidR="00176F61" w:rsidRPr="001B0B74" w:rsidRDefault="00176F61" w:rsidP="00176F61">
      <w:r w:rsidRPr="001B0B74">
        <w:t xml:space="preserve">Three completed Phase </w:t>
      </w:r>
      <w:r w:rsidR="00123D23" w:rsidRPr="001B0B74">
        <w:t>III</w:t>
      </w:r>
      <w:r w:rsidRPr="001B0B74">
        <w:t xml:space="preserve"> studies (</w:t>
      </w:r>
      <w:r w:rsidR="00B77D4D" w:rsidRPr="001B0B74">
        <w:t xml:space="preserve">the </w:t>
      </w:r>
      <w:r w:rsidRPr="001B0B74">
        <w:t xml:space="preserve">FINCH 1, 2, </w:t>
      </w:r>
      <w:r w:rsidR="00123D23" w:rsidRPr="001B0B74">
        <w:t>and 3</w:t>
      </w:r>
      <w:r w:rsidR="00B77D4D" w:rsidRPr="001B0B74">
        <w:t xml:space="preserve"> trials</w:t>
      </w:r>
      <w:r w:rsidR="00123D23" w:rsidRPr="001B0B74">
        <w:t>) and two completed Phase II</w:t>
      </w:r>
      <w:r w:rsidRPr="001B0B74">
        <w:t>b studies (</w:t>
      </w:r>
      <w:r w:rsidR="00B77D4D" w:rsidRPr="001B0B74">
        <w:t xml:space="preserve">the </w:t>
      </w:r>
      <w:r w:rsidRPr="001B0B74">
        <w:t>DARWIN 1 and 2</w:t>
      </w:r>
      <w:r w:rsidR="00B77D4D" w:rsidRPr="001B0B74">
        <w:t xml:space="preserve"> trials</w:t>
      </w:r>
      <w:r w:rsidRPr="001B0B74">
        <w:t xml:space="preserve">) examined the efficacy of </w:t>
      </w:r>
      <w:r w:rsidR="006703B9" w:rsidRPr="001B0B74">
        <w:t>filgotinib</w:t>
      </w:r>
      <w:r w:rsidRPr="001B0B74">
        <w:t xml:space="preserve"> in the treatment of RA. Efficacy data from a Phase </w:t>
      </w:r>
      <w:r w:rsidR="00123D23" w:rsidRPr="001B0B74">
        <w:t>II</w:t>
      </w:r>
      <w:r w:rsidRPr="001B0B74">
        <w:t xml:space="preserve"> open</w:t>
      </w:r>
      <w:r w:rsidR="00897C9A" w:rsidRPr="001B0B74">
        <w:t xml:space="preserve"> </w:t>
      </w:r>
      <w:r w:rsidRPr="001B0B74">
        <w:t>label extension study (</w:t>
      </w:r>
      <w:r w:rsidR="00B77D4D" w:rsidRPr="001B0B74">
        <w:t xml:space="preserve">the </w:t>
      </w:r>
      <w:r w:rsidRPr="001B0B74">
        <w:t>DARWIN 3</w:t>
      </w:r>
      <w:r w:rsidR="00B77D4D" w:rsidRPr="001B0B74">
        <w:t xml:space="preserve"> trial</w:t>
      </w:r>
      <w:r w:rsidRPr="001B0B74">
        <w:t xml:space="preserve">) was also included in the submission for evaluation of efficacy. </w:t>
      </w:r>
      <w:r w:rsidRPr="001B0B74">
        <w:fldChar w:fldCharType="begin"/>
      </w:r>
      <w:r w:rsidRPr="001B0B74">
        <w:instrText xml:space="preserve"> REF _Ref59180874 \h  \* MERGEFORMAT </w:instrText>
      </w:r>
      <w:r w:rsidRPr="001B0B74">
        <w:fldChar w:fldCharType="separate"/>
      </w:r>
      <w:r w:rsidR="003A57FD" w:rsidRPr="001B0B74">
        <w:t xml:space="preserve">Table </w:t>
      </w:r>
      <w:r w:rsidR="003A57FD">
        <w:t>7</w:t>
      </w:r>
      <w:r w:rsidRPr="001B0B74">
        <w:fldChar w:fldCharType="end"/>
      </w:r>
      <w:r w:rsidRPr="001B0B74">
        <w:t xml:space="preserve"> summarises the studies.</w:t>
      </w:r>
    </w:p>
    <w:p w14:paraId="56637264" w14:textId="39199590" w:rsidR="00176F61" w:rsidRPr="001B0B74" w:rsidRDefault="00176F61" w:rsidP="00897C9A">
      <w:pPr>
        <w:pStyle w:val="FigureTitle"/>
        <w:rPr>
          <w:noProof/>
        </w:rPr>
      </w:pPr>
      <w:bookmarkStart w:id="46" w:name="_Ref59180874"/>
      <w:r w:rsidRPr="001B0B74">
        <w:t xml:space="preserve">Table </w:t>
      </w:r>
      <w:fldSimple w:instr=" SEQ Table \* ARABIC ">
        <w:r w:rsidR="003A57FD">
          <w:rPr>
            <w:noProof/>
          </w:rPr>
          <w:t>7</w:t>
        </w:r>
      </w:fldSimple>
      <w:bookmarkEnd w:id="46"/>
      <w:r w:rsidRPr="001B0B74">
        <w:rPr>
          <w:noProof/>
        </w:rPr>
        <w:t xml:space="preserve">: Basic study designs of </w:t>
      </w:r>
      <w:r w:rsidR="00B77D4D" w:rsidRPr="001B0B74">
        <w:rPr>
          <w:noProof/>
        </w:rPr>
        <w:t xml:space="preserve">the </w:t>
      </w:r>
      <w:r w:rsidRPr="001B0B74">
        <w:rPr>
          <w:noProof/>
        </w:rPr>
        <w:t xml:space="preserve">FINCH and DARWIN </w:t>
      </w:r>
      <w:r w:rsidR="00B77D4D" w:rsidRPr="001B0B74">
        <w:rPr>
          <w:noProof/>
        </w:rPr>
        <w:t>trials</w:t>
      </w:r>
    </w:p>
    <w:p w14:paraId="588AE41F" w14:textId="6FE39A5F" w:rsidR="00897C9A" w:rsidRPr="001B0B74" w:rsidRDefault="00897C9A" w:rsidP="00AB05AB">
      <w:r w:rsidRPr="001B0B74">
        <w:rPr>
          <w:noProof/>
          <w:lang w:eastAsia="en-AU"/>
        </w:rPr>
        <w:drawing>
          <wp:inline distT="0" distB="0" distL="0" distR="0" wp14:anchorId="25B5690B" wp14:editId="04D2C7E3">
            <wp:extent cx="5400040" cy="3237230"/>
            <wp:effectExtent l="0" t="0" r="0" b="1270"/>
            <wp:docPr id="5" name="Picture 5" descr="Basic study designs of the FINCH and DARWIN trials" title="Basic study designs of the FINCH and DARWIN t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237230"/>
                    </a:xfrm>
                    <a:prstGeom prst="rect">
                      <a:avLst/>
                    </a:prstGeom>
                  </pic:spPr>
                </pic:pic>
              </a:graphicData>
            </a:graphic>
          </wp:inline>
        </w:drawing>
      </w:r>
    </w:p>
    <w:p w14:paraId="10E4BAEF" w14:textId="32FBACBF" w:rsidR="0093473D" w:rsidRPr="001B0B74" w:rsidRDefault="002714DC" w:rsidP="0093473D">
      <w:pPr>
        <w:pStyle w:val="TableDescription"/>
      </w:pPr>
      <w:r w:rsidRPr="001B0B74">
        <w:t xml:space="preserve">CSR = clinical study report; </w:t>
      </w:r>
      <w:r w:rsidR="006C74AE" w:rsidRPr="001B0B74">
        <w:t xml:space="preserve">MTX = methotrexate; QD = once daily; QW = once weekly; </w:t>
      </w:r>
      <w:r w:rsidR="00330B2B" w:rsidRPr="001B0B74">
        <w:t>A</w:t>
      </w:r>
      <w:r w:rsidR="0093473D" w:rsidRPr="001B0B74">
        <w:t>C</w:t>
      </w:r>
      <w:r w:rsidR="00330B2B" w:rsidRPr="001B0B74">
        <w:t>R</w:t>
      </w:r>
      <w:r w:rsidR="0093473D" w:rsidRPr="001B0B74">
        <w:t>20</w:t>
      </w:r>
      <w:r w:rsidR="006C74AE" w:rsidRPr="001B0B74">
        <w:t xml:space="preserve"> =</w:t>
      </w:r>
      <w:r w:rsidR="0093473D" w:rsidRPr="001B0B74">
        <w:t xml:space="preserve"> American College of Rheumatology 20% improvement</w:t>
      </w:r>
      <w:r w:rsidR="006C74AE" w:rsidRPr="001B0B74">
        <w:t>; SC = subcutaneous</w:t>
      </w:r>
      <w:r w:rsidRPr="001B0B74">
        <w:t>; cs</w:t>
      </w:r>
      <w:r w:rsidR="00EE1D45">
        <w:t>D</w:t>
      </w:r>
      <w:r w:rsidRPr="001B0B74">
        <w:t xml:space="preserve">MARDs = conventional synthetic disease modifying anti-rheumatic drug; </w:t>
      </w:r>
      <w:r w:rsidR="0093473D" w:rsidRPr="001B0B74">
        <w:t>BID</w:t>
      </w:r>
      <w:r w:rsidRPr="001B0B74">
        <w:t xml:space="preserve"> =</w:t>
      </w:r>
      <w:r w:rsidR="0093473D" w:rsidRPr="001B0B74">
        <w:t xml:space="preserve"> </w:t>
      </w:r>
      <w:r w:rsidRPr="001B0B74">
        <w:t>twice daily.</w:t>
      </w:r>
    </w:p>
    <w:p w14:paraId="65FE5A17" w14:textId="455637F0" w:rsidR="00176F61" w:rsidRPr="001B0B74" w:rsidRDefault="00176F61" w:rsidP="00176F61">
      <w:pPr>
        <w:pStyle w:val="Heading5"/>
      </w:pPr>
      <w:r w:rsidRPr="001B0B74">
        <w:t xml:space="preserve">Phase </w:t>
      </w:r>
      <w:r w:rsidR="00123D23" w:rsidRPr="001B0B74">
        <w:t>III</w:t>
      </w:r>
      <w:r w:rsidRPr="001B0B74">
        <w:t xml:space="preserve"> studies: </w:t>
      </w:r>
      <w:r w:rsidR="00B77D4D" w:rsidRPr="001B0B74">
        <w:t xml:space="preserve">the </w:t>
      </w:r>
      <w:r w:rsidRPr="001B0B74">
        <w:t>FINCH 1, 2 and 3</w:t>
      </w:r>
      <w:r w:rsidR="00B77D4D" w:rsidRPr="001B0B74">
        <w:t xml:space="preserve"> </w:t>
      </w:r>
      <w:r w:rsidR="00CB2BCB" w:rsidRPr="001B0B74">
        <w:t>trials</w:t>
      </w:r>
    </w:p>
    <w:p w14:paraId="69D324B5" w14:textId="25EE7138" w:rsidR="00176F61" w:rsidRPr="001B0B74" w:rsidRDefault="00176F61" w:rsidP="00176F61">
      <w:r w:rsidRPr="001B0B74">
        <w:t xml:space="preserve">All three FINCH </w:t>
      </w:r>
      <w:r w:rsidR="00B77D4D" w:rsidRPr="001B0B74">
        <w:t>trials</w:t>
      </w:r>
      <w:r w:rsidRPr="001B0B74">
        <w:t xml:space="preserve"> were randomised, double</w:t>
      </w:r>
      <w:r w:rsidR="00FE5C74" w:rsidRPr="001B0B74">
        <w:t xml:space="preserve"> </w:t>
      </w:r>
      <w:r w:rsidRPr="001B0B74">
        <w:t xml:space="preserve">blind, active (adalimumab or </w:t>
      </w:r>
      <w:r w:rsidR="00590999" w:rsidRPr="001B0B74">
        <w:t>methotrexate</w:t>
      </w:r>
      <w:r w:rsidRPr="001B0B74">
        <w:t xml:space="preserve">) and/or placebo controlled trials in adults with moderately to severely active RA at </w:t>
      </w:r>
      <w:r w:rsidR="00590999" w:rsidRPr="001B0B74">
        <w:t>B</w:t>
      </w:r>
      <w:r w:rsidRPr="001B0B74">
        <w:t xml:space="preserve">aseline, as defined by the </w:t>
      </w:r>
      <w:r w:rsidR="00330B2B" w:rsidRPr="001B0B74">
        <w:t>American College of Rheumatology (</w:t>
      </w:r>
      <w:r w:rsidRPr="001B0B74">
        <w:t>ACR</w:t>
      </w:r>
      <w:r w:rsidR="00330B2B" w:rsidRPr="001B0B74">
        <w:t>)</w:t>
      </w:r>
      <w:r w:rsidRPr="001B0B74">
        <w:t>/</w:t>
      </w:r>
      <w:r w:rsidR="00590999" w:rsidRPr="001B0B74">
        <w:t xml:space="preserve"> </w:t>
      </w:r>
      <w:r w:rsidRPr="001B0B74">
        <w:t xml:space="preserve">EULAR 2010 </w:t>
      </w:r>
      <w:r w:rsidR="00CB2BCB" w:rsidRPr="001B0B74">
        <w:t>Criteria</w:t>
      </w:r>
      <w:r w:rsidR="00265BF7" w:rsidRPr="001B0B74">
        <w:rPr>
          <w:rStyle w:val="FootnoteReference"/>
        </w:rPr>
        <w:footnoteReference w:id="8"/>
      </w:r>
      <w:r w:rsidR="00CB2BCB" w:rsidRPr="001B0B74">
        <w:t xml:space="preserve"> For Classification </w:t>
      </w:r>
      <w:r w:rsidRPr="001B0B74">
        <w:t>of RA. Patients were required to have at least six tender and swollen joints (of 68 joints examined for tenderness and 66 joints examined for swelling, respectively) plus a C-</w:t>
      </w:r>
      <w:r w:rsidR="00590999" w:rsidRPr="001B0B74">
        <w:t>r</w:t>
      </w:r>
      <w:r w:rsidRPr="001B0B74">
        <w:t xml:space="preserve">eactive </w:t>
      </w:r>
      <w:r w:rsidR="00590999" w:rsidRPr="001B0B74">
        <w:t>p</w:t>
      </w:r>
      <w:r w:rsidRPr="001B0B74">
        <w:t>rotein (CRP) reading &gt;</w:t>
      </w:r>
      <w:r w:rsidR="00CB2BCB" w:rsidRPr="001B0B74">
        <w:t> </w:t>
      </w:r>
      <w:r w:rsidRPr="001B0B74">
        <w:t>6</w:t>
      </w:r>
      <w:r w:rsidR="00CB2BCB" w:rsidRPr="001B0B74">
        <w:t> </w:t>
      </w:r>
      <w:r w:rsidRPr="001B0B74">
        <w:t>mg/L (central lab</w:t>
      </w:r>
      <w:r w:rsidR="00590999" w:rsidRPr="001B0B74">
        <w:t>oratory</w:t>
      </w:r>
      <w:r w:rsidRPr="001B0B74">
        <w:t xml:space="preserve">) at screening in the FINCH 1 </w:t>
      </w:r>
      <w:r w:rsidR="00B77D4D" w:rsidRPr="001B0B74">
        <w:t>trial</w:t>
      </w:r>
      <w:r w:rsidRPr="001B0B74">
        <w:t>, or &gt;</w:t>
      </w:r>
      <w:r w:rsidR="00CB2BCB" w:rsidRPr="001B0B74">
        <w:t> </w:t>
      </w:r>
      <w:r w:rsidRPr="001B0B74">
        <w:t>4</w:t>
      </w:r>
      <w:r w:rsidR="00CB2BCB" w:rsidRPr="001B0B74">
        <w:t> </w:t>
      </w:r>
      <w:r w:rsidRPr="001B0B74">
        <w:t xml:space="preserve">mg/L in the FINCH 2 and 3 </w:t>
      </w:r>
      <w:r w:rsidR="00B77D4D" w:rsidRPr="001B0B74">
        <w:t>trials</w:t>
      </w:r>
      <w:r w:rsidR="00CB2BCB" w:rsidRPr="001B0B74">
        <w:t>.</w:t>
      </w:r>
    </w:p>
    <w:p w14:paraId="6434135C" w14:textId="65494D89" w:rsidR="00176F61" w:rsidRPr="001B0B74" w:rsidRDefault="00176F61" w:rsidP="00176F61">
      <w:r w:rsidRPr="001B0B74">
        <w:t xml:space="preserve">In </w:t>
      </w:r>
      <w:r w:rsidR="00CB2BCB" w:rsidRPr="001B0B74">
        <w:t xml:space="preserve">the </w:t>
      </w:r>
      <w:r w:rsidRPr="001B0B74">
        <w:t>FINCH 1</w:t>
      </w:r>
      <w:r w:rsidR="00B77D4D" w:rsidRPr="001B0B74">
        <w:t xml:space="preserve"> trial</w:t>
      </w:r>
      <w:r w:rsidRPr="001B0B74">
        <w:t xml:space="preserve">, patients also needed to have at least one RA related bone erosion (by central reading) if seropositive for either </w:t>
      </w:r>
      <w:r w:rsidR="00CB2BCB" w:rsidRPr="001B0B74">
        <w:t>rheumatoid f</w:t>
      </w:r>
      <w:r w:rsidRPr="001B0B74">
        <w:t>actor (RF) or anti-cyc</w:t>
      </w:r>
      <w:r w:rsidR="00CB2BCB" w:rsidRPr="001B0B74">
        <w:t>lic citrullinated peptide (</w:t>
      </w:r>
      <w:r w:rsidRPr="001B0B74">
        <w:t>CCP) autoantibodies at screening (central lab</w:t>
      </w:r>
      <w:r w:rsidR="00AB269A" w:rsidRPr="001B0B74">
        <w:t>or</w:t>
      </w:r>
      <w:r w:rsidR="00590999" w:rsidRPr="001B0B74">
        <w:t>atory</w:t>
      </w:r>
      <w:r w:rsidRPr="001B0B74">
        <w:t xml:space="preserve">); or at least three joint erosions (by central reading) in the absence of a documented positive test for either of these RA associated antibodies. In </w:t>
      </w:r>
      <w:r w:rsidR="00B77D4D" w:rsidRPr="001B0B74">
        <w:t xml:space="preserve">the </w:t>
      </w:r>
      <w:r w:rsidRPr="001B0B74">
        <w:t>FINCH 3</w:t>
      </w:r>
      <w:r w:rsidR="00B77D4D" w:rsidRPr="001B0B74">
        <w:t xml:space="preserve"> trial</w:t>
      </w:r>
      <w:r w:rsidRPr="001B0B74">
        <w:t>, patients could be included if they had one or more confirmed joint erosion, or were positive for RF or anti-CCP antibodies, even if CRP was &lt;</w:t>
      </w:r>
      <w:r w:rsidR="00CB2BCB" w:rsidRPr="001B0B74">
        <w:t> 4 mg/L.</w:t>
      </w:r>
    </w:p>
    <w:p w14:paraId="3CD7A7EF" w14:textId="6B8AFAF1" w:rsidR="00176F61" w:rsidRPr="001B0B74" w:rsidRDefault="00176F61" w:rsidP="00176F61">
      <w:r w:rsidRPr="001B0B74">
        <w:t xml:space="preserve">The FINCH 1 </w:t>
      </w:r>
      <w:r w:rsidR="00B77D4D" w:rsidRPr="001B0B74">
        <w:t>trial</w:t>
      </w:r>
      <w:r w:rsidR="00CB2BCB" w:rsidRPr="001B0B74">
        <w:t xml:space="preserve"> (</w:t>
      </w:r>
      <w:r w:rsidR="00590999" w:rsidRPr="001B0B74">
        <w:t>in methotrexate inadequate responder</w:t>
      </w:r>
      <w:r w:rsidRPr="001B0B74">
        <w:t xml:space="preserve"> patients) was conducted with 1755 patients with active RA who had failed to respond </w:t>
      </w:r>
      <w:r w:rsidR="00CB2BCB" w:rsidRPr="001B0B74">
        <w:t xml:space="preserve">to at least 12 weeks of </w:t>
      </w:r>
      <w:r w:rsidR="00590999" w:rsidRPr="001B0B74">
        <w:t xml:space="preserve">methotrexate at </w:t>
      </w:r>
      <w:r w:rsidR="00CB2BCB" w:rsidRPr="001B0B74">
        <w:t xml:space="preserve">7.5 to 25 mg/week. </w:t>
      </w:r>
      <w:r w:rsidR="00590999" w:rsidRPr="001B0B74">
        <w:t>Methotrexate inadequate responder</w:t>
      </w:r>
      <w:r w:rsidRPr="001B0B74">
        <w:t xml:space="preserve"> patients with limited exposure (&lt;</w:t>
      </w:r>
      <w:r w:rsidR="00CB2BCB" w:rsidRPr="001B0B74">
        <w:t> </w:t>
      </w:r>
      <w:r w:rsidRPr="001B0B74">
        <w:t xml:space="preserve">3 months duration and cessation not due to lack of efficacy) to one prior bDMARD (excluding </w:t>
      </w:r>
      <w:r w:rsidR="006760FF" w:rsidRPr="001B0B74">
        <w:t>adalimumab</w:t>
      </w:r>
      <w:r w:rsidRPr="001B0B74">
        <w:t>) were permitted to enrol, this subset represented only 2.7% of participants.</w:t>
      </w:r>
    </w:p>
    <w:p w14:paraId="38524ACD" w14:textId="51249651" w:rsidR="00176F61" w:rsidRPr="001B0B74" w:rsidRDefault="00176F61" w:rsidP="00176F61">
      <w:r w:rsidRPr="001B0B74">
        <w:t xml:space="preserve">The FINCH 2 </w:t>
      </w:r>
      <w:r w:rsidR="00B77D4D" w:rsidRPr="001B0B74">
        <w:t>trial</w:t>
      </w:r>
      <w:r w:rsidRPr="001B0B74">
        <w:t xml:space="preserve"> (</w:t>
      </w:r>
      <w:r w:rsidR="00590999" w:rsidRPr="001B0B74">
        <w:t xml:space="preserve">in </w:t>
      </w:r>
      <w:r w:rsidRPr="001B0B74">
        <w:t>bDMARD</w:t>
      </w:r>
      <w:r w:rsidR="00590999" w:rsidRPr="001B0B74">
        <w:t xml:space="preserve"> inadequate responder</w:t>
      </w:r>
      <w:r w:rsidRPr="001B0B74">
        <w:t xml:space="preserve"> patients) was conducted with 448 patients with active RA who had failed to respond to, or were intolerant of, at least one biologic treatment. Prior exposure to anti-TNF drugs and non-TNF biological medicines was reported for 84.6% and 46.9% of patients, respectively. Overall, 23.4% of participants were previously exposed to three or more bDMARDs. The FINCH 2 </w:t>
      </w:r>
      <w:r w:rsidR="00B77D4D" w:rsidRPr="001B0B74">
        <w:t>trial</w:t>
      </w:r>
      <w:r w:rsidRPr="001B0B74">
        <w:t xml:space="preserve"> population may have received stable background treatment with one or two cDMARD agents for at least four weeks prior their first dose of study medication. Participants in</w:t>
      </w:r>
      <w:r w:rsidR="00CB2BCB" w:rsidRPr="001B0B74">
        <w:t xml:space="preserve"> the</w:t>
      </w:r>
      <w:r w:rsidRPr="001B0B74">
        <w:t xml:space="preserve"> FINCH 1 and FINCH 2 </w:t>
      </w:r>
      <w:r w:rsidR="00B77D4D" w:rsidRPr="001B0B74">
        <w:t xml:space="preserve">trials </w:t>
      </w:r>
      <w:r w:rsidRPr="001B0B74">
        <w:t>were allowed stable doses of background cDMARD during the study period in addition to the randomised investigational therapy (</w:t>
      </w:r>
      <w:r w:rsidR="006703B9" w:rsidRPr="001B0B74">
        <w:t>filgotinib</w:t>
      </w:r>
      <w:r w:rsidRPr="001B0B74">
        <w:t xml:space="preserve"> 100</w:t>
      </w:r>
      <w:r w:rsidR="00CB2BCB" w:rsidRPr="001B0B74">
        <w:t> </w:t>
      </w:r>
      <w:r w:rsidRPr="001B0B74">
        <w:t xml:space="preserve">mg daily, </w:t>
      </w:r>
      <w:r w:rsidR="006703B9" w:rsidRPr="001B0B74">
        <w:t>filgotinib</w:t>
      </w:r>
      <w:r w:rsidRPr="001B0B74">
        <w:t xml:space="preserve"> 200</w:t>
      </w:r>
      <w:r w:rsidR="00CB2BCB" w:rsidRPr="001B0B74">
        <w:t> </w:t>
      </w:r>
      <w:r w:rsidRPr="001B0B74">
        <w:t xml:space="preserve">mg daily, and </w:t>
      </w:r>
      <w:r w:rsidR="00FE5C74" w:rsidRPr="001B0B74">
        <w:t xml:space="preserve">placebo </w:t>
      </w:r>
      <w:r w:rsidRPr="001B0B74">
        <w:t xml:space="preserve">in both studies, and </w:t>
      </w:r>
      <w:r w:rsidR="006760FF" w:rsidRPr="001B0B74">
        <w:t xml:space="preserve">adalimumab </w:t>
      </w:r>
      <w:r w:rsidRPr="001B0B74">
        <w:t xml:space="preserve">once fortnightly in </w:t>
      </w:r>
      <w:r w:rsidR="00B77D4D" w:rsidRPr="001B0B74">
        <w:t xml:space="preserve">the </w:t>
      </w:r>
      <w:r w:rsidRPr="001B0B74">
        <w:t>FINCH 1</w:t>
      </w:r>
      <w:r w:rsidR="00B77D4D" w:rsidRPr="001B0B74">
        <w:t xml:space="preserve"> trial</w:t>
      </w:r>
      <w:r w:rsidR="000A4E44" w:rsidRPr="001B0B74">
        <w:t>).</w:t>
      </w:r>
    </w:p>
    <w:p w14:paraId="480C5F2F" w14:textId="62CE4CE2" w:rsidR="00176F61" w:rsidRPr="001B0B74" w:rsidRDefault="00176F61" w:rsidP="00176F61">
      <w:r w:rsidRPr="001B0B74">
        <w:t xml:space="preserve">The FINCH 3 </w:t>
      </w:r>
      <w:r w:rsidR="00B77D4D" w:rsidRPr="001B0B74">
        <w:t>trial</w:t>
      </w:r>
      <w:r w:rsidR="00CB2BCB" w:rsidRPr="001B0B74">
        <w:t xml:space="preserve"> (</w:t>
      </w:r>
      <w:r w:rsidR="004E40FF" w:rsidRPr="001B0B74">
        <w:t xml:space="preserve">methotrexate </w:t>
      </w:r>
      <w:r w:rsidR="00CB2BCB" w:rsidRPr="001B0B74">
        <w:t>nai</w:t>
      </w:r>
      <w:r w:rsidRPr="001B0B74">
        <w:t xml:space="preserve">ve patients) was conducted with 1249 patients with active RA who had received no more than three weekly doses of </w:t>
      </w:r>
      <w:r w:rsidR="004E40FF" w:rsidRPr="001B0B74">
        <w:t xml:space="preserve">methotrexate </w:t>
      </w:r>
      <w:r w:rsidRPr="001B0B74">
        <w:t>and no bDMARD therapy at study entry. Enrolled participants had a median (</w:t>
      </w:r>
      <w:r w:rsidR="004E40FF" w:rsidRPr="001B0B74">
        <w:t>first, third quartile</w:t>
      </w:r>
      <w:r w:rsidRPr="001B0B74">
        <w:t>) disease duration of 0.4 (0.1, 2.0) years with 54.9% having RA for &lt;</w:t>
      </w:r>
      <w:r w:rsidR="00CB2BCB" w:rsidRPr="001B0B74">
        <w:t> </w:t>
      </w:r>
      <w:r w:rsidRPr="001B0B74">
        <w:t>6</w:t>
      </w:r>
      <w:r w:rsidR="004E40FF" w:rsidRPr="001B0B74">
        <w:t> </w:t>
      </w:r>
      <w:r w:rsidRPr="001B0B74">
        <w:t>months and 33.9% for &gt;</w:t>
      </w:r>
      <w:r w:rsidR="00CB2BCB" w:rsidRPr="001B0B74">
        <w:t> </w:t>
      </w:r>
      <w:r w:rsidRPr="001B0B74">
        <w:t xml:space="preserve">1 year. Prior limited exposure to </w:t>
      </w:r>
      <w:r w:rsidR="004E40FF" w:rsidRPr="001B0B74">
        <w:t xml:space="preserve">methotrexate </w:t>
      </w:r>
      <w:r w:rsidRPr="001B0B74">
        <w:t>was reported for 6.6% of participants and prior limited exposure to c</w:t>
      </w:r>
      <w:r w:rsidR="004E40FF" w:rsidRPr="001B0B74">
        <w:t>s</w:t>
      </w:r>
      <w:r w:rsidRPr="001B0B74">
        <w:t xml:space="preserve">DMARDs other than </w:t>
      </w:r>
      <w:r w:rsidR="004E40FF" w:rsidRPr="001B0B74">
        <w:t xml:space="preserve">methotrexate </w:t>
      </w:r>
      <w:r w:rsidRPr="001B0B74">
        <w:t xml:space="preserve">was reported for 17.8% of participants. Investigational treatment groups were </w:t>
      </w:r>
      <w:r w:rsidR="006703B9" w:rsidRPr="001B0B74">
        <w:t>filgotinib</w:t>
      </w:r>
      <w:r w:rsidRPr="001B0B74">
        <w:t xml:space="preserve"> 200</w:t>
      </w:r>
      <w:r w:rsidR="00CB2BCB" w:rsidRPr="001B0B74">
        <w:t> </w:t>
      </w:r>
      <w:r w:rsidRPr="001B0B74">
        <w:t xml:space="preserve">mg + low dose </w:t>
      </w:r>
      <w:r w:rsidR="004E40FF" w:rsidRPr="001B0B74">
        <w:t>methotrexate</w:t>
      </w:r>
      <w:r w:rsidRPr="001B0B74">
        <w:t xml:space="preserve"> (commencing at 10</w:t>
      </w:r>
      <w:r w:rsidR="00CB2BCB" w:rsidRPr="001B0B74">
        <w:t> </w:t>
      </w:r>
      <w:r w:rsidRPr="001B0B74">
        <w:t>mg weekly and escalating to a maximum of 20</w:t>
      </w:r>
      <w:r w:rsidR="00CB2BCB" w:rsidRPr="001B0B74">
        <w:t> </w:t>
      </w:r>
      <w:r w:rsidRPr="001B0B74">
        <w:t xml:space="preserve">mg weekly), </w:t>
      </w:r>
      <w:r w:rsidR="006703B9" w:rsidRPr="001B0B74">
        <w:t>filgotinib</w:t>
      </w:r>
      <w:r w:rsidRPr="001B0B74">
        <w:t xml:space="preserve"> 100</w:t>
      </w:r>
      <w:r w:rsidR="00CB2BCB" w:rsidRPr="001B0B74">
        <w:t> </w:t>
      </w:r>
      <w:r w:rsidRPr="001B0B74">
        <w:t xml:space="preserve">mg + low dose </w:t>
      </w:r>
      <w:r w:rsidR="004E40FF" w:rsidRPr="001B0B74">
        <w:t>methotrexate</w:t>
      </w:r>
      <w:r w:rsidRPr="001B0B74">
        <w:t xml:space="preserve">, </w:t>
      </w:r>
      <w:r w:rsidR="006703B9" w:rsidRPr="001B0B74">
        <w:t>filgotinib</w:t>
      </w:r>
      <w:r w:rsidRPr="001B0B74">
        <w:t xml:space="preserve"> 200</w:t>
      </w:r>
      <w:r w:rsidR="00CB2BCB" w:rsidRPr="001B0B74">
        <w:t> </w:t>
      </w:r>
      <w:r w:rsidRPr="001B0B74">
        <w:t xml:space="preserve">mg monotherapy and low dose </w:t>
      </w:r>
      <w:r w:rsidR="004E40FF" w:rsidRPr="001B0B74">
        <w:t>methotrexate</w:t>
      </w:r>
      <w:r w:rsidRPr="001B0B74">
        <w:t xml:space="preserve"> monotherapy. The mean weekly </w:t>
      </w:r>
      <w:r w:rsidR="004E40FF" w:rsidRPr="001B0B74">
        <w:t>methotrexate</w:t>
      </w:r>
      <w:r w:rsidRPr="001B0B74">
        <w:t xml:space="preserve"> dose at week 8 was 17</w:t>
      </w:r>
      <w:r w:rsidR="00581A19" w:rsidRPr="001B0B74">
        <w:t> </w:t>
      </w:r>
      <w:r w:rsidRPr="001B0B74">
        <w:t xml:space="preserve">mg for participants in the </w:t>
      </w:r>
      <w:r w:rsidR="006703B9" w:rsidRPr="001B0B74">
        <w:t>filgotinib</w:t>
      </w:r>
      <w:r w:rsidRPr="001B0B74">
        <w:t xml:space="preserve"> 200</w:t>
      </w:r>
      <w:r w:rsidR="00581A19" w:rsidRPr="001B0B74">
        <w:t> </w:t>
      </w:r>
      <w:r w:rsidRPr="001B0B74">
        <w:t xml:space="preserve">mg + </w:t>
      </w:r>
      <w:r w:rsidR="004E40FF" w:rsidRPr="001B0B74">
        <w:t>methotrexate</w:t>
      </w:r>
      <w:r w:rsidRPr="001B0B74">
        <w:t xml:space="preserve"> group, 17</w:t>
      </w:r>
      <w:r w:rsidR="00581A19" w:rsidRPr="001B0B74">
        <w:t> </w:t>
      </w:r>
      <w:r w:rsidRPr="001B0B74">
        <w:t xml:space="preserve">mg for patients in the </w:t>
      </w:r>
      <w:r w:rsidR="006703B9" w:rsidRPr="001B0B74">
        <w:t>filgotinib</w:t>
      </w:r>
      <w:r w:rsidRPr="001B0B74">
        <w:t xml:space="preserve"> 100</w:t>
      </w:r>
      <w:r w:rsidR="00581A19" w:rsidRPr="001B0B74">
        <w:t> </w:t>
      </w:r>
      <w:r w:rsidRPr="001B0B74">
        <w:t xml:space="preserve">mg + </w:t>
      </w:r>
      <w:r w:rsidR="004E40FF" w:rsidRPr="001B0B74">
        <w:t>methotrexate</w:t>
      </w:r>
      <w:r w:rsidRPr="001B0B74">
        <w:t xml:space="preserve"> arm and 16.9</w:t>
      </w:r>
      <w:r w:rsidR="00581A19" w:rsidRPr="001B0B74">
        <w:t> </w:t>
      </w:r>
      <w:r w:rsidRPr="001B0B74">
        <w:t>mg for those in</w:t>
      </w:r>
      <w:r w:rsidR="00581A19" w:rsidRPr="001B0B74">
        <w:t xml:space="preserve"> the </w:t>
      </w:r>
      <w:r w:rsidR="004E40FF" w:rsidRPr="001B0B74">
        <w:t>methotrexate</w:t>
      </w:r>
      <w:r w:rsidR="00581A19" w:rsidRPr="001B0B74">
        <w:t xml:space="preserve"> monotherapy group. At W</w:t>
      </w:r>
      <w:r w:rsidRPr="001B0B74">
        <w:t xml:space="preserve">eek 24, the mean </w:t>
      </w:r>
      <w:r w:rsidR="004E40FF" w:rsidRPr="001B0B74">
        <w:t>methotrexate</w:t>
      </w:r>
      <w:r w:rsidRPr="001B0B74">
        <w:t xml:space="preserve"> dose administered was 18.3</w:t>
      </w:r>
      <w:r w:rsidR="00581A19" w:rsidRPr="001B0B74">
        <w:t> </w:t>
      </w:r>
      <w:r w:rsidRPr="001B0B74">
        <w:t xml:space="preserve">mg for participants in the </w:t>
      </w:r>
      <w:r w:rsidR="006703B9" w:rsidRPr="001B0B74">
        <w:t>filgotinib</w:t>
      </w:r>
      <w:r w:rsidRPr="001B0B74">
        <w:t xml:space="preserve"> 200</w:t>
      </w:r>
      <w:r w:rsidR="00581A19" w:rsidRPr="001B0B74">
        <w:t> </w:t>
      </w:r>
      <w:r w:rsidRPr="001B0B74">
        <w:t xml:space="preserve">mg + </w:t>
      </w:r>
      <w:r w:rsidR="004E40FF" w:rsidRPr="001B0B74">
        <w:t>methotrexate</w:t>
      </w:r>
      <w:r w:rsidRPr="001B0B74">
        <w:t xml:space="preserve"> group, 18.1</w:t>
      </w:r>
      <w:r w:rsidR="00581A19" w:rsidRPr="001B0B74">
        <w:t> </w:t>
      </w:r>
      <w:r w:rsidRPr="001B0B74">
        <w:t xml:space="preserve">mg for patients in the </w:t>
      </w:r>
      <w:r w:rsidR="006703B9" w:rsidRPr="001B0B74">
        <w:t>filgotinib</w:t>
      </w:r>
      <w:r w:rsidRPr="001B0B74">
        <w:t xml:space="preserve"> 100</w:t>
      </w:r>
      <w:r w:rsidR="00581A19" w:rsidRPr="001B0B74">
        <w:t> </w:t>
      </w:r>
      <w:r w:rsidRPr="001B0B74">
        <w:t xml:space="preserve">mg + </w:t>
      </w:r>
      <w:r w:rsidR="004E40FF" w:rsidRPr="001B0B74">
        <w:t>methotrexate</w:t>
      </w:r>
      <w:r w:rsidRPr="001B0B74">
        <w:t xml:space="preserve"> arm and 18.4</w:t>
      </w:r>
      <w:r w:rsidR="00581A19" w:rsidRPr="001B0B74">
        <w:t> </w:t>
      </w:r>
      <w:r w:rsidRPr="001B0B74">
        <w:t xml:space="preserve">mg for participants in the </w:t>
      </w:r>
      <w:r w:rsidR="004E40FF" w:rsidRPr="001B0B74">
        <w:t>methotrexate</w:t>
      </w:r>
      <w:r w:rsidRPr="001B0B74">
        <w:t xml:space="preserve"> monotherapy group. While </w:t>
      </w:r>
      <w:r w:rsidR="00B77D4D" w:rsidRPr="001B0B74">
        <w:t xml:space="preserve">the </w:t>
      </w:r>
      <w:r w:rsidRPr="001B0B74">
        <w:t xml:space="preserve">FINCH 3 </w:t>
      </w:r>
      <w:r w:rsidR="00B77D4D" w:rsidRPr="001B0B74">
        <w:t xml:space="preserve">trial </w:t>
      </w:r>
      <w:r w:rsidRPr="001B0B74">
        <w:t xml:space="preserve">was intended to support </w:t>
      </w:r>
      <w:r w:rsidR="006703B9" w:rsidRPr="001B0B74">
        <w:t>filgotinib</w:t>
      </w:r>
      <w:r w:rsidRPr="001B0B74">
        <w:t xml:space="preserve"> as an alternative therapy to </w:t>
      </w:r>
      <w:r w:rsidR="004E40FF" w:rsidRPr="001B0B74">
        <w:t>methotrexate</w:t>
      </w:r>
      <w:r w:rsidRPr="001B0B74">
        <w:t xml:space="preserve"> as first</w:t>
      </w:r>
      <w:r w:rsidR="00581A19" w:rsidRPr="001B0B74">
        <w:t xml:space="preserve"> </w:t>
      </w:r>
      <w:r w:rsidRPr="001B0B74">
        <w:t xml:space="preserve">line therapy, the evaluator concluded that the </w:t>
      </w:r>
      <w:r w:rsidR="004E40FF" w:rsidRPr="001B0B74">
        <w:t>methotrexate</w:t>
      </w:r>
      <w:r w:rsidRPr="001B0B74">
        <w:t xml:space="preserve"> doses achieved in the study did not constitute an appropriate active control in the Australian clinical context.</w:t>
      </w:r>
    </w:p>
    <w:p w14:paraId="1DAC5735" w14:textId="5D5C3D41" w:rsidR="00176F61" w:rsidRPr="001B0B74" w:rsidRDefault="00176F61" w:rsidP="00176F61">
      <w:r w:rsidRPr="001B0B74">
        <w:t>In all three studies, the concomitant use of oral corticosteroids was permitted for participants taking stable doses of prednisone &lt;</w:t>
      </w:r>
      <w:r w:rsidR="00581A19" w:rsidRPr="001B0B74">
        <w:t> 10 </w:t>
      </w:r>
      <w:r w:rsidRPr="001B0B74">
        <w:t xml:space="preserve">mg/day (or equivalent) for at least four weeks prior to randomisation. The dose of </w:t>
      </w:r>
      <w:r w:rsidR="00581A19" w:rsidRPr="001B0B74">
        <w:t xml:space="preserve">corticosteroids </w:t>
      </w:r>
      <w:r w:rsidRPr="001B0B74">
        <w:t xml:space="preserve">was to remain stable up to week 24 of each study. Concomitant non-steroidal anti-inflammatory drugs (NSAID) were also permitted during the trials, provided participants were on a stable dose for at least two weeks prior to randomisation. All three studies had early exit/rescue therapy protocols, and re-randomisation of </w:t>
      </w:r>
      <w:r w:rsidR="00FE5C74" w:rsidRPr="001B0B74">
        <w:t>placebo</w:t>
      </w:r>
      <w:r w:rsidRPr="001B0B74">
        <w:t xml:space="preserve"> patients to </w:t>
      </w:r>
      <w:r w:rsidR="006703B9" w:rsidRPr="001B0B74">
        <w:t>filgotinib</w:t>
      </w:r>
      <w:r w:rsidRPr="001B0B74">
        <w:t xml:space="preserve"> therapies after assessment of the primary and major secondary efficacy outcomes. No protocol amendments were assessed to have impacted the integrity of the results.</w:t>
      </w:r>
    </w:p>
    <w:p w14:paraId="779A4A84" w14:textId="25765F15" w:rsidR="00176F61" w:rsidRPr="001B0B74" w:rsidRDefault="00176F61" w:rsidP="00176F61">
      <w:r w:rsidRPr="001B0B74">
        <w:t xml:space="preserve">Investigational treatments for each of the studies are summarised in </w:t>
      </w:r>
      <w:r w:rsidRPr="001B0B74">
        <w:fldChar w:fldCharType="begin"/>
      </w:r>
      <w:r w:rsidRPr="001B0B74">
        <w:instrText xml:space="preserve"> REF _Ref59180874 \h  \* MERGEFORMAT </w:instrText>
      </w:r>
      <w:r w:rsidRPr="001B0B74">
        <w:fldChar w:fldCharType="separate"/>
      </w:r>
      <w:r w:rsidR="003A57FD" w:rsidRPr="001B0B74">
        <w:t xml:space="preserve">Table </w:t>
      </w:r>
      <w:r w:rsidR="003A57FD">
        <w:t>7</w:t>
      </w:r>
      <w:r w:rsidRPr="001B0B74">
        <w:fldChar w:fldCharType="end"/>
      </w:r>
      <w:r w:rsidRPr="001B0B74">
        <w:t xml:space="preserve"> (note that the first study in the table describes </w:t>
      </w:r>
      <w:r w:rsidR="00B77D4D" w:rsidRPr="001B0B74">
        <w:t xml:space="preserve">the </w:t>
      </w:r>
      <w:r w:rsidRPr="001B0B74">
        <w:t>FINCH 3</w:t>
      </w:r>
      <w:r w:rsidR="00B77D4D" w:rsidRPr="001B0B74">
        <w:t xml:space="preserve"> trial</w:t>
      </w:r>
      <w:r w:rsidR="00CB2BCB" w:rsidRPr="001B0B74">
        <w:t xml:space="preserve">, the </w:t>
      </w:r>
      <w:r w:rsidR="004E40FF" w:rsidRPr="001B0B74">
        <w:t>methotrexate</w:t>
      </w:r>
      <w:r w:rsidR="009D35A1" w:rsidRPr="001B0B74">
        <w:t xml:space="preserve"> </w:t>
      </w:r>
      <w:r w:rsidR="00CB2BCB" w:rsidRPr="001B0B74">
        <w:t>nai</w:t>
      </w:r>
      <w:r w:rsidRPr="001B0B74">
        <w:t xml:space="preserve">ve population). The primary efficacy endpoint was the </w:t>
      </w:r>
      <w:r w:rsidR="00330B2B" w:rsidRPr="001B0B74">
        <w:t>American College of Rheumatology 20% improvement (</w:t>
      </w:r>
      <w:r w:rsidRPr="001B0B74">
        <w:t>ACR20</w:t>
      </w:r>
      <w:r w:rsidR="00330B2B" w:rsidRPr="001B0B74">
        <w:t>)</w:t>
      </w:r>
      <w:r w:rsidR="00124B33" w:rsidRPr="001B0B74">
        <w:rPr>
          <w:rStyle w:val="FootnoteReference"/>
        </w:rPr>
        <w:footnoteReference w:id="9"/>
      </w:r>
      <w:r w:rsidRPr="001B0B74">
        <w:t xml:space="preserve"> response at </w:t>
      </w:r>
      <w:r w:rsidR="009D35A1" w:rsidRPr="001B0B74">
        <w:t>W</w:t>
      </w:r>
      <w:r w:rsidRPr="001B0B74">
        <w:t xml:space="preserve">eek 12 for </w:t>
      </w:r>
      <w:r w:rsidR="009D35A1" w:rsidRPr="001B0B74">
        <w:t xml:space="preserve">the </w:t>
      </w:r>
      <w:r w:rsidRPr="001B0B74">
        <w:t>FINCH 1 and 2</w:t>
      </w:r>
      <w:r w:rsidR="00B77D4D" w:rsidRPr="001B0B74">
        <w:t xml:space="preserve"> trials</w:t>
      </w:r>
      <w:r w:rsidRPr="001B0B74">
        <w:t>,</w:t>
      </w:r>
      <w:r w:rsidR="009D35A1" w:rsidRPr="001B0B74">
        <w:t xml:space="preserve"> and ACR20 response at W</w:t>
      </w:r>
      <w:r w:rsidRPr="001B0B74">
        <w:t xml:space="preserve">eek 24 for </w:t>
      </w:r>
      <w:r w:rsidR="00B77D4D" w:rsidRPr="001B0B74">
        <w:t xml:space="preserve">the </w:t>
      </w:r>
      <w:r w:rsidRPr="001B0B74">
        <w:t>FINCH 3</w:t>
      </w:r>
      <w:r w:rsidR="00B77D4D" w:rsidRPr="001B0B74">
        <w:t xml:space="preserve"> trial</w:t>
      </w:r>
      <w:r w:rsidRPr="001B0B74">
        <w:t xml:space="preserve">. The ACR20 response rate for </w:t>
      </w:r>
      <w:r w:rsidR="006703B9" w:rsidRPr="001B0B74">
        <w:t>filgotinib</w:t>
      </w:r>
      <w:r w:rsidR="009D35A1" w:rsidRPr="001B0B74">
        <w:t xml:space="preserve"> 200 </w:t>
      </w:r>
      <w:r w:rsidRPr="001B0B74">
        <w:t xml:space="preserve">mg </w:t>
      </w:r>
      <w:r w:rsidR="00751D74" w:rsidRPr="001B0B74">
        <w:t>once daily</w:t>
      </w:r>
      <w:r w:rsidRPr="001B0B74">
        <w:t xml:space="preserve"> was compared with </w:t>
      </w:r>
      <w:r w:rsidR="00FE5C74" w:rsidRPr="001B0B74">
        <w:t>placebo</w:t>
      </w:r>
      <w:r w:rsidR="009D35A1" w:rsidRPr="001B0B74">
        <w:t xml:space="preserve"> for a superiority test at the two </w:t>
      </w:r>
      <w:r w:rsidRPr="001B0B74">
        <w:t>sided 0.05</w:t>
      </w:r>
      <w:r w:rsidR="009D35A1" w:rsidRPr="001B0B74">
        <w:t xml:space="preserve"> </w:t>
      </w:r>
      <w:r w:rsidRPr="001B0B74">
        <w:t>level. A logistic regression analysis with treatment groups and stratification factors in the model was used. Participants who did not have sufficient measure</w:t>
      </w:r>
      <w:r w:rsidR="009D35A1" w:rsidRPr="001B0B74">
        <w:t>ments to establish efficacy at W</w:t>
      </w:r>
      <w:r w:rsidRPr="001B0B74">
        <w:t xml:space="preserve">eek 12 or 24 (depending on the study) were considered non-responders. Key secondary efficacy endpoints in the Phase </w:t>
      </w:r>
      <w:r w:rsidR="00123D23" w:rsidRPr="001B0B74">
        <w:t>III</w:t>
      </w:r>
      <w:r w:rsidRPr="001B0B74">
        <w:t xml:space="preserve"> RA study program for </w:t>
      </w:r>
      <w:r w:rsidR="006703B9" w:rsidRPr="001B0B74">
        <w:t>filgotinib</w:t>
      </w:r>
      <w:r w:rsidR="009D35A1" w:rsidRPr="001B0B74">
        <w:t xml:space="preserve"> included:</w:t>
      </w:r>
    </w:p>
    <w:p w14:paraId="7529A7FB" w14:textId="14240919" w:rsidR="00176F61" w:rsidRPr="001B0B74" w:rsidRDefault="009D35A1" w:rsidP="009549F0">
      <w:pPr>
        <w:pStyle w:val="ListBullet"/>
      </w:pPr>
      <w:r w:rsidRPr="001B0B74">
        <w:t>p</w:t>
      </w:r>
      <w:r w:rsidR="00176F61" w:rsidRPr="001B0B74">
        <w:t xml:space="preserve">roportion of participants who achieved </w:t>
      </w:r>
      <w:r w:rsidR="009549F0" w:rsidRPr="001B0B74">
        <w:t>Disease Activity Score (</w:t>
      </w:r>
      <w:r w:rsidR="00176F61" w:rsidRPr="001B0B74">
        <w:t>DAS</w:t>
      </w:r>
      <w:r w:rsidR="009549F0" w:rsidRPr="001B0B74">
        <w:t>)</w:t>
      </w:r>
      <w:r w:rsidR="00176F61" w:rsidRPr="001B0B74">
        <w:t xml:space="preserve"> for 28 joint count</w:t>
      </w:r>
      <w:r w:rsidR="00265BF7" w:rsidRPr="001B0B74">
        <w:t>;</w:t>
      </w:r>
      <w:r w:rsidR="00265BF7" w:rsidRPr="001B0B74">
        <w:rPr>
          <w:rStyle w:val="FootnoteReference"/>
        </w:rPr>
        <w:footnoteReference w:id="10"/>
      </w:r>
      <w:r w:rsidR="00176F61" w:rsidRPr="001B0B74">
        <w:t xml:space="preserve"> using </w:t>
      </w:r>
      <w:r w:rsidR="009549F0" w:rsidRPr="001B0B74">
        <w:t>CRP</w:t>
      </w:r>
      <w:r w:rsidR="00176F61" w:rsidRPr="001B0B74">
        <w:t xml:space="preserve"> (DAS28-CRP) score of &lt;</w:t>
      </w:r>
      <w:r w:rsidR="009549F0" w:rsidRPr="001B0B74">
        <w:t> </w:t>
      </w:r>
      <w:r w:rsidR="00176F61" w:rsidRPr="001B0B74">
        <w:t>3.2 and/or &lt;</w:t>
      </w:r>
      <w:r w:rsidR="009549F0" w:rsidRPr="001B0B74">
        <w:t> 2.6 at W</w:t>
      </w:r>
      <w:r w:rsidR="00176F61" w:rsidRPr="001B0B74">
        <w:t>eek 12 or 24,</w:t>
      </w:r>
    </w:p>
    <w:p w14:paraId="5A1E361A" w14:textId="26D4E244" w:rsidR="00176F61" w:rsidRPr="001B0B74" w:rsidRDefault="009549F0" w:rsidP="00176F61">
      <w:pPr>
        <w:pStyle w:val="ListBullet"/>
      </w:pPr>
      <w:r w:rsidRPr="001B0B74">
        <w:t>c</w:t>
      </w:r>
      <w:r w:rsidR="00176F61" w:rsidRPr="001B0B74">
        <w:t xml:space="preserve">hange from </w:t>
      </w:r>
      <w:r w:rsidR="004E40FF" w:rsidRPr="001B0B74">
        <w:t>B</w:t>
      </w:r>
      <w:r w:rsidR="00176F61" w:rsidRPr="001B0B74">
        <w:t>aseline in the Health Assessment Questionnaire – Disability Index (HAQ-DI)</w:t>
      </w:r>
      <w:r w:rsidRPr="001B0B74">
        <w:t xml:space="preserve"> at Week </w:t>
      </w:r>
      <w:r w:rsidR="00176F61" w:rsidRPr="001B0B74">
        <w:t>12 or 24,</w:t>
      </w:r>
    </w:p>
    <w:p w14:paraId="540E6F44" w14:textId="51D6BA56" w:rsidR="00176F61" w:rsidRPr="001B0B74" w:rsidRDefault="009549F0" w:rsidP="00176F61">
      <w:pPr>
        <w:pStyle w:val="ListBullet"/>
      </w:pPr>
      <w:r w:rsidRPr="001B0B74">
        <w:t>c</w:t>
      </w:r>
      <w:r w:rsidR="00176F61" w:rsidRPr="001B0B74">
        <w:t xml:space="preserve">hange from </w:t>
      </w:r>
      <w:r w:rsidR="004E40FF" w:rsidRPr="001B0B74">
        <w:t>B</w:t>
      </w:r>
      <w:r w:rsidR="00176F61" w:rsidRPr="001B0B74">
        <w:t xml:space="preserve">aseline in Van der Heijde modified Total Sharp Score (mTSS) </w:t>
      </w:r>
      <w:r w:rsidR="00605979" w:rsidRPr="001B0B74">
        <w:t>at W</w:t>
      </w:r>
      <w:r w:rsidR="00176F61" w:rsidRPr="001B0B74">
        <w:t>eek</w:t>
      </w:r>
      <w:r w:rsidR="004E40FF" w:rsidRPr="001B0B74">
        <w:t> </w:t>
      </w:r>
      <w:r w:rsidR="00176F61" w:rsidRPr="001B0B74">
        <w:t>24 (</w:t>
      </w:r>
      <w:r w:rsidR="00A9406D" w:rsidRPr="001B0B74">
        <w:t xml:space="preserve">the </w:t>
      </w:r>
      <w:r w:rsidR="00176F61" w:rsidRPr="001B0B74">
        <w:t xml:space="preserve">FINCH 1 and 3 </w:t>
      </w:r>
      <w:r w:rsidR="00B77D4D" w:rsidRPr="001B0B74">
        <w:t>trials</w:t>
      </w:r>
      <w:r w:rsidRPr="001B0B74">
        <w:t>),</w:t>
      </w:r>
    </w:p>
    <w:p w14:paraId="48CF6C27" w14:textId="74FCC7A3" w:rsidR="00176F61" w:rsidRPr="001B0B74" w:rsidRDefault="00A9406D" w:rsidP="00176F61">
      <w:pPr>
        <w:pStyle w:val="ListBullet"/>
      </w:pPr>
      <w:r w:rsidRPr="001B0B74">
        <w:t>c</w:t>
      </w:r>
      <w:r w:rsidR="00176F61" w:rsidRPr="001B0B74">
        <w:t xml:space="preserve">hange from </w:t>
      </w:r>
      <w:r w:rsidR="004E40FF" w:rsidRPr="001B0B74">
        <w:t>B</w:t>
      </w:r>
      <w:r w:rsidR="00176F61" w:rsidRPr="001B0B74">
        <w:t>aseline in 36</w:t>
      </w:r>
      <w:r w:rsidR="00605979" w:rsidRPr="001B0B74">
        <w:t xml:space="preserve"> </w:t>
      </w:r>
      <w:r w:rsidR="00176F61" w:rsidRPr="001B0B74">
        <w:t>Item Short Form Su</w:t>
      </w:r>
      <w:r w:rsidR="00605979" w:rsidRPr="001B0B74">
        <w:t>rvey Physical Component Summary</w:t>
      </w:r>
      <w:r w:rsidR="007D02B4" w:rsidRPr="001B0B74">
        <w:t xml:space="preserve"> at W</w:t>
      </w:r>
      <w:r w:rsidR="00176F61" w:rsidRPr="001B0B74">
        <w:t>eek 12 or 24,</w:t>
      </w:r>
      <w:r w:rsidR="007D02B4" w:rsidRPr="001B0B74">
        <w:t xml:space="preserve"> and</w:t>
      </w:r>
    </w:p>
    <w:p w14:paraId="5874F5F3" w14:textId="75FDE4B6" w:rsidR="00176F61" w:rsidRPr="001B0B74" w:rsidRDefault="007D02B4" w:rsidP="00176F61">
      <w:pPr>
        <w:pStyle w:val="ListBullet"/>
      </w:pPr>
      <w:r w:rsidRPr="001B0B74">
        <w:t>c</w:t>
      </w:r>
      <w:r w:rsidR="00176F61" w:rsidRPr="001B0B74">
        <w:t xml:space="preserve">hange from </w:t>
      </w:r>
      <w:r w:rsidR="004E40FF" w:rsidRPr="001B0B74">
        <w:t>B</w:t>
      </w:r>
      <w:r w:rsidR="00176F61" w:rsidRPr="001B0B74">
        <w:t>aseline in Functional Assessment of Chronic Illness Therapy</w:t>
      </w:r>
      <w:r w:rsidR="00860746" w:rsidRPr="001B0B74">
        <w:t xml:space="preserve"> </w:t>
      </w:r>
      <w:r w:rsidR="00176F61" w:rsidRPr="001B0B74">
        <w:t xml:space="preserve">Fatigue at </w:t>
      </w:r>
      <w:r w:rsidR="00163165" w:rsidRPr="001B0B74">
        <w:t>W</w:t>
      </w:r>
      <w:r w:rsidR="00176F61" w:rsidRPr="001B0B74">
        <w:t>eek 12 or 24.</w:t>
      </w:r>
    </w:p>
    <w:p w14:paraId="1A0C46B1" w14:textId="37A27635" w:rsidR="00176F61" w:rsidRPr="001B0B74" w:rsidRDefault="00176F61" w:rsidP="00176F61">
      <w:r w:rsidRPr="001B0B74">
        <w:t>A hierarchical testing sequence was appl</w:t>
      </w:r>
      <w:r w:rsidR="00330B2B" w:rsidRPr="001B0B74">
        <w:t>ied to the secondary endpoints.</w:t>
      </w:r>
    </w:p>
    <w:p w14:paraId="0BA6A723" w14:textId="324AFDC6" w:rsidR="00176F61" w:rsidRPr="001B0B74" w:rsidRDefault="00176F61" w:rsidP="00176F61">
      <w:r w:rsidRPr="001B0B74">
        <w:t xml:space="preserve">Across the three FINCH </w:t>
      </w:r>
      <w:r w:rsidR="00B77D4D" w:rsidRPr="001B0B74">
        <w:t>trials</w:t>
      </w:r>
      <w:r w:rsidRPr="001B0B74">
        <w:t>, around 20</w:t>
      </w:r>
      <w:r w:rsidR="00330B2B" w:rsidRPr="001B0B74">
        <w:t xml:space="preserve"> to </w:t>
      </w:r>
      <w:r w:rsidRPr="001B0B74">
        <w:t>24% of participants discontinued, the most frequent reasons were lack of efficacy, participant choice and adverse events</w:t>
      </w:r>
      <w:r w:rsidR="000E75D5" w:rsidRPr="001B0B74">
        <w:t xml:space="preserve"> (AEs)</w:t>
      </w:r>
      <w:r w:rsidRPr="001B0B74">
        <w:t xml:space="preserve">. In </w:t>
      </w:r>
      <w:r w:rsidR="00B77D4D" w:rsidRPr="001B0B74">
        <w:t xml:space="preserve">the </w:t>
      </w:r>
      <w:r w:rsidR="00330B2B" w:rsidRPr="001B0B74">
        <w:t>FINCH </w:t>
      </w:r>
      <w:r w:rsidRPr="001B0B74">
        <w:t>3</w:t>
      </w:r>
      <w:r w:rsidR="00B77D4D" w:rsidRPr="001B0B74">
        <w:t xml:space="preserve"> trial</w:t>
      </w:r>
      <w:r w:rsidRPr="001B0B74">
        <w:t xml:space="preserve">, </w:t>
      </w:r>
      <w:r w:rsidR="000E75D5" w:rsidRPr="001B0B74">
        <w:t>AE</w:t>
      </w:r>
      <w:r w:rsidRPr="001B0B74">
        <w:t xml:space="preserve">s, lack of efficacy and participant choice were higher among the groups with </w:t>
      </w:r>
      <w:r w:rsidR="004E40FF" w:rsidRPr="001B0B74">
        <w:t>methotrexate</w:t>
      </w:r>
      <w:r w:rsidRPr="001B0B74">
        <w:t xml:space="preserve"> as part of the investigational treatment.</w:t>
      </w:r>
    </w:p>
    <w:p w14:paraId="13669972" w14:textId="0B6A0A8F" w:rsidR="00176F61" w:rsidRPr="001B0B74" w:rsidRDefault="00176F61" w:rsidP="00176F61">
      <w:r w:rsidRPr="001B0B74">
        <w:t xml:space="preserve">Protocol violations were reported in around 30% of participants in all of the studies. Deviations were distributed evenly across treatment groups in each study, and were predominantly violations of inclusion/exclusion criteria or management not in accordance with criteria. The evaluator concluded that these were unlikely to have affected the overall study data quality. The evaluator also concluded that the baseline demographic and disease characteristics of the enrolled patients in the Phase </w:t>
      </w:r>
      <w:r w:rsidR="00123D23" w:rsidRPr="001B0B74">
        <w:t>III</w:t>
      </w:r>
      <w:r w:rsidRPr="001B0B74">
        <w:t xml:space="preserve"> RA studies were consistent with the targeted patient population in each individual study, well balanced between the treatment groups and comparable with the registration studies for other advanced therapies recently approved for the treatment of moderatel</w:t>
      </w:r>
      <w:r w:rsidR="00330B2B" w:rsidRPr="001B0B74">
        <w:t>y to severely active RA.</w:t>
      </w:r>
    </w:p>
    <w:p w14:paraId="621978F0" w14:textId="1033991B" w:rsidR="00176F61" w:rsidRPr="001B0B74" w:rsidRDefault="00176F61" w:rsidP="00176F61">
      <w:r w:rsidRPr="001B0B74">
        <w:t xml:space="preserve">In FINCH 1 and FINCH 2 treatment with </w:t>
      </w:r>
      <w:r w:rsidR="006703B9" w:rsidRPr="001B0B74">
        <w:t>filgotinib</w:t>
      </w:r>
      <w:r w:rsidRPr="001B0B74">
        <w:t xml:space="preserve"> 200</w:t>
      </w:r>
      <w:r w:rsidR="00330B2B" w:rsidRPr="001B0B74">
        <w:t> </w:t>
      </w:r>
      <w:r w:rsidRPr="001B0B74">
        <w:t xml:space="preserve">mg or </w:t>
      </w:r>
      <w:r w:rsidR="006703B9" w:rsidRPr="001B0B74">
        <w:t>filgotinib</w:t>
      </w:r>
      <w:r w:rsidRPr="001B0B74">
        <w:t xml:space="preserve"> 100</w:t>
      </w:r>
      <w:r w:rsidR="00330B2B" w:rsidRPr="001B0B74">
        <w:t> </w:t>
      </w:r>
      <w:r w:rsidRPr="001B0B74">
        <w:t xml:space="preserve">mg resulted in statistically significantly greater ACR20 responses over </w:t>
      </w:r>
      <w:r w:rsidR="00FE5C74" w:rsidRPr="001B0B74">
        <w:t>placebo</w:t>
      </w:r>
      <w:r w:rsidRPr="001B0B74">
        <w:t xml:space="preserve"> at 12 weeks (</w:t>
      </w:r>
      <w:r w:rsidR="00B77D4D" w:rsidRPr="001B0B74">
        <w:t xml:space="preserve">the </w:t>
      </w:r>
      <w:r w:rsidRPr="001B0B74">
        <w:t>FINCH 1</w:t>
      </w:r>
      <w:r w:rsidR="00B77D4D" w:rsidRPr="001B0B74">
        <w:t xml:space="preserve"> trial</w:t>
      </w:r>
      <w:r w:rsidRPr="001B0B74">
        <w:t>,</w:t>
      </w:r>
      <w:r w:rsidR="00860746" w:rsidRPr="001B0B74">
        <w:t xml:space="preserve"> see </w:t>
      </w:r>
      <w:r w:rsidRPr="001B0B74">
        <w:fldChar w:fldCharType="begin"/>
      </w:r>
      <w:r w:rsidRPr="001B0B74">
        <w:instrText xml:space="preserve"> REF _Ref59186828 \h  \* MERGEFORMAT </w:instrText>
      </w:r>
      <w:r w:rsidRPr="001B0B74">
        <w:fldChar w:fldCharType="separate"/>
      </w:r>
      <w:r w:rsidR="003A57FD" w:rsidRPr="001B0B74">
        <w:t xml:space="preserve">Table </w:t>
      </w:r>
      <w:r w:rsidR="003A57FD">
        <w:t>8</w:t>
      </w:r>
      <w:r w:rsidRPr="001B0B74">
        <w:fldChar w:fldCharType="end"/>
      </w:r>
      <w:r w:rsidRPr="001B0B74">
        <w:t xml:space="preserve">; </w:t>
      </w:r>
      <w:r w:rsidR="00B77D4D" w:rsidRPr="001B0B74">
        <w:t xml:space="preserve">the </w:t>
      </w:r>
      <w:r w:rsidRPr="001B0B74">
        <w:t>FINCH 2</w:t>
      </w:r>
      <w:r w:rsidR="00B77D4D" w:rsidRPr="001B0B74">
        <w:t xml:space="preserve"> trial</w:t>
      </w:r>
      <w:r w:rsidRPr="001B0B74">
        <w:t xml:space="preserve">, </w:t>
      </w:r>
      <w:r w:rsidR="00860746" w:rsidRPr="001B0B74">
        <w:t xml:space="preserve">see </w:t>
      </w:r>
      <w:r w:rsidRPr="001B0B74">
        <w:fldChar w:fldCharType="begin"/>
      </w:r>
      <w:r w:rsidRPr="001B0B74">
        <w:instrText xml:space="preserve"> REF _Ref59186949 \h  \* MERGEFORMAT </w:instrText>
      </w:r>
      <w:r w:rsidRPr="001B0B74">
        <w:fldChar w:fldCharType="separate"/>
      </w:r>
      <w:r w:rsidR="003A57FD" w:rsidRPr="001B0B74">
        <w:t xml:space="preserve">Table </w:t>
      </w:r>
      <w:r w:rsidR="003A57FD">
        <w:t>9</w:t>
      </w:r>
      <w:r w:rsidRPr="001B0B74">
        <w:fldChar w:fldCharType="end"/>
      </w:r>
      <w:r w:rsidRPr="001B0B74">
        <w:t xml:space="preserve">). Sensitivity analyses supported the results. The primary outcome measure of ACR20 in </w:t>
      </w:r>
      <w:r w:rsidR="006703B9" w:rsidRPr="001B0B74">
        <w:t>filgotinib</w:t>
      </w:r>
      <w:r w:rsidRPr="001B0B74">
        <w:t xml:space="preserve"> treate</w:t>
      </w:r>
      <w:r w:rsidR="00860746" w:rsidRPr="001B0B74">
        <w:t xml:space="preserve">d cohorts was not statistically </w:t>
      </w:r>
      <w:r w:rsidRPr="001B0B74">
        <w:t xml:space="preserve">tested compared to </w:t>
      </w:r>
      <w:r w:rsidR="006760FF" w:rsidRPr="001B0B74">
        <w:t>adalimumab</w:t>
      </w:r>
      <w:r w:rsidRPr="001B0B74">
        <w:t>.</w:t>
      </w:r>
    </w:p>
    <w:p w14:paraId="064176D1" w14:textId="7A7EB445" w:rsidR="00176F61" w:rsidRPr="001B0B74" w:rsidRDefault="00176F61" w:rsidP="00176F61">
      <w:r w:rsidRPr="001B0B74">
        <w:t xml:space="preserve">In </w:t>
      </w:r>
      <w:r w:rsidR="00B77D4D" w:rsidRPr="001B0B74">
        <w:t xml:space="preserve">the </w:t>
      </w:r>
      <w:r w:rsidRPr="001B0B74">
        <w:t>FINCH 3</w:t>
      </w:r>
      <w:r w:rsidR="00B77D4D" w:rsidRPr="001B0B74">
        <w:t xml:space="preserve"> trial</w:t>
      </w:r>
      <w:r w:rsidRPr="001B0B74">
        <w:t xml:space="preserve">, </w:t>
      </w:r>
      <w:r w:rsidR="006703B9" w:rsidRPr="001B0B74">
        <w:t>filgotinib</w:t>
      </w:r>
      <w:r w:rsidRPr="001B0B74">
        <w:t xml:space="preserve"> 200</w:t>
      </w:r>
      <w:r w:rsidR="00860746" w:rsidRPr="001B0B74">
        <w:t> </w:t>
      </w:r>
      <w:r w:rsidRPr="001B0B74">
        <w:t xml:space="preserve">mg and </w:t>
      </w:r>
      <w:r w:rsidR="006703B9" w:rsidRPr="001B0B74">
        <w:t>filgotinib</w:t>
      </w:r>
      <w:r w:rsidRPr="001B0B74">
        <w:t xml:space="preserve"> 100</w:t>
      </w:r>
      <w:r w:rsidR="00860746" w:rsidRPr="001B0B74">
        <w:t> </w:t>
      </w:r>
      <w:r w:rsidRPr="001B0B74">
        <w:t xml:space="preserve">mg, in combination with </w:t>
      </w:r>
      <w:r w:rsidR="004E40FF" w:rsidRPr="001B0B74">
        <w:t>methotrexate</w:t>
      </w:r>
      <w:r w:rsidRPr="001B0B74">
        <w:t xml:space="preserve">, resulted in significantly greater ACR20 responses at 24 weeks over </w:t>
      </w:r>
      <w:r w:rsidR="004E40FF" w:rsidRPr="001B0B74">
        <w:t>methotrexate</w:t>
      </w:r>
      <w:r w:rsidRPr="001B0B74">
        <w:t xml:space="preserve"> monotherapy (</w:t>
      </w:r>
      <w:r w:rsidRPr="001B0B74">
        <w:fldChar w:fldCharType="begin"/>
      </w:r>
      <w:r w:rsidRPr="001B0B74">
        <w:instrText xml:space="preserve"> REF _Ref59187370 \h  \* MERGEFORMAT </w:instrText>
      </w:r>
      <w:r w:rsidRPr="001B0B74">
        <w:fldChar w:fldCharType="separate"/>
      </w:r>
      <w:r w:rsidR="003A57FD" w:rsidRPr="001B0B74">
        <w:t xml:space="preserve">Table </w:t>
      </w:r>
      <w:r w:rsidR="003A57FD">
        <w:t>10</w:t>
      </w:r>
      <w:r w:rsidRPr="001B0B74">
        <w:fldChar w:fldCharType="end"/>
      </w:r>
      <w:r w:rsidRPr="001B0B74">
        <w:t xml:space="preserve">). A numerical superiority of </w:t>
      </w:r>
      <w:r w:rsidR="006703B9" w:rsidRPr="001B0B74">
        <w:t>filgotinib</w:t>
      </w:r>
      <w:r w:rsidRPr="001B0B74">
        <w:t xml:space="preserve"> monotherapy over </w:t>
      </w:r>
      <w:r w:rsidR="004E40FF" w:rsidRPr="001B0B74">
        <w:t>methotrexate</w:t>
      </w:r>
      <w:r w:rsidRPr="001B0B74">
        <w:t xml:space="preserve"> monotherapy did not reach statistical significance.</w:t>
      </w:r>
    </w:p>
    <w:p w14:paraId="1877EB6C" w14:textId="187D982B" w:rsidR="00176F61" w:rsidRPr="001B0B74" w:rsidRDefault="00176F61" w:rsidP="00860746">
      <w:pPr>
        <w:pStyle w:val="TableTitle"/>
      </w:pPr>
      <w:bookmarkStart w:id="47" w:name="_Ref59186828"/>
      <w:r w:rsidRPr="001B0B74">
        <w:t xml:space="preserve">Table </w:t>
      </w:r>
      <w:fldSimple w:instr=" SEQ Table \* ARABIC ">
        <w:r w:rsidR="003A57FD">
          <w:rPr>
            <w:noProof/>
          </w:rPr>
          <w:t>8</w:t>
        </w:r>
      </w:fldSimple>
      <w:bookmarkEnd w:id="47"/>
      <w:r w:rsidRPr="001B0B74">
        <w:t xml:space="preserve">: </w:t>
      </w:r>
      <w:r w:rsidR="000D314F" w:rsidRPr="001B0B74">
        <w:t xml:space="preserve">The </w:t>
      </w:r>
      <w:r w:rsidRPr="001B0B74">
        <w:t>FINCH 1</w:t>
      </w:r>
      <w:r w:rsidR="000D314F" w:rsidRPr="001B0B74">
        <w:t xml:space="preserve"> trial </w:t>
      </w:r>
      <w:r w:rsidR="00FE1B47" w:rsidRPr="001B0B74">
        <w:t>American College of Rheumatology 20 response rates at W</w:t>
      </w:r>
      <w:r w:rsidRPr="001B0B74">
        <w:t>eek 12 in</w:t>
      </w:r>
      <w:r w:rsidR="00FE1B47" w:rsidRPr="001B0B74">
        <w:t xml:space="preserve"> methotrexate</w:t>
      </w:r>
      <w:r w:rsidRPr="001B0B74">
        <w:t xml:space="preserve"> </w:t>
      </w:r>
      <w:r w:rsidR="00854A42" w:rsidRPr="001B0B74">
        <w:t xml:space="preserve">inadequate responder </w:t>
      </w:r>
      <w:r w:rsidRPr="001B0B74">
        <w:t>patients (composite estima</w:t>
      </w:r>
      <w:r w:rsidR="00962353" w:rsidRPr="001B0B74">
        <w:t>te</w:t>
      </w:r>
      <w:r w:rsidRPr="001B0B74">
        <w:t>)</w:t>
      </w:r>
    </w:p>
    <w:p w14:paraId="4B8F4A40" w14:textId="06ACF973" w:rsidR="00176F61" w:rsidRPr="001B0B74" w:rsidRDefault="00176F61" w:rsidP="00176F61">
      <w:r w:rsidRPr="001B0B74">
        <w:rPr>
          <w:noProof/>
          <w:lang w:eastAsia="en-AU"/>
        </w:rPr>
        <w:drawing>
          <wp:inline distT="0" distB="0" distL="0" distR="0" wp14:anchorId="14BD4B9B" wp14:editId="4788F3D2">
            <wp:extent cx="5731510" cy="2151380"/>
            <wp:effectExtent l="0" t="0" r="2540" b="1270"/>
            <wp:docPr id="19" name="Picture 19" descr="The FINCH 1 trial American College of Rheumatology 20 response rates at Week 12 in methotrexate inadequate responder patients (composite es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151380"/>
                    </a:xfrm>
                    <a:prstGeom prst="rect">
                      <a:avLst/>
                    </a:prstGeom>
                    <a:noFill/>
                    <a:ln>
                      <a:noFill/>
                    </a:ln>
                  </pic:spPr>
                </pic:pic>
              </a:graphicData>
            </a:graphic>
          </wp:inline>
        </w:drawing>
      </w:r>
    </w:p>
    <w:p w14:paraId="34EA6740" w14:textId="67DAABCF" w:rsidR="00860746" w:rsidRPr="001B0B74" w:rsidRDefault="00860746" w:rsidP="00860746">
      <w:pPr>
        <w:pStyle w:val="TableDescription"/>
      </w:pPr>
      <w:r w:rsidRPr="001B0B74">
        <w:t>ARC20 = American College of Rheumatology 20% improvement; CI = confidence interval.</w:t>
      </w:r>
    </w:p>
    <w:p w14:paraId="5320660C" w14:textId="1477525D" w:rsidR="00176F61" w:rsidRPr="001B0B74" w:rsidRDefault="00176F61" w:rsidP="00860746">
      <w:pPr>
        <w:pStyle w:val="TableTitle"/>
      </w:pPr>
      <w:bookmarkStart w:id="48" w:name="_Ref59186949"/>
      <w:r w:rsidRPr="001B0B74">
        <w:t xml:space="preserve">Table </w:t>
      </w:r>
      <w:fldSimple w:instr=" SEQ Table \* ARABIC ">
        <w:r w:rsidR="003A57FD">
          <w:rPr>
            <w:noProof/>
          </w:rPr>
          <w:t>9</w:t>
        </w:r>
      </w:fldSimple>
      <w:bookmarkEnd w:id="48"/>
      <w:r w:rsidRPr="001B0B74">
        <w:t xml:space="preserve">: </w:t>
      </w:r>
      <w:r w:rsidR="000D314F" w:rsidRPr="001B0B74">
        <w:t xml:space="preserve">The </w:t>
      </w:r>
      <w:r w:rsidRPr="001B0B74">
        <w:t>FINCH 2</w:t>
      </w:r>
      <w:r w:rsidR="000D314F" w:rsidRPr="001B0B74">
        <w:t xml:space="preserve"> trial</w:t>
      </w:r>
      <w:r w:rsidRPr="001B0B74">
        <w:t xml:space="preserve"> </w:t>
      </w:r>
      <w:r w:rsidR="00FE1B47" w:rsidRPr="001B0B74">
        <w:t xml:space="preserve">American College of Rheumatology </w:t>
      </w:r>
      <w:r w:rsidRPr="001B0B74">
        <w:t xml:space="preserve">20 </w:t>
      </w:r>
      <w:r w:rsidR="00FE1B47" w:rsidRPr="001B0B74">
        <w:t>response rates at W</w:t>
      </w:r>
      <w:r w:rsidRPr="001B0B74">
        <w:t xml:space="preserve">eek 12 in </w:t>
      </w:r>
      <w:r w:rsidR="00962353" w:rsidRPr="001B0B74">
        <w:rPr>
          <w:rFonts w:eastAsia="MS Minngs"/>
        </w:rPr>
        <w:t>bDMARD</w:t>
      </w:r>
      <w:r w:rsidR="00FE1B47" w:rsidRPr="001B0B74">
        <w:t xml:space="preserve"> </w:t>
      </w:r>
      <w:r w:rsidR="00854A42" w:rsidRPr="001B0B74">
        <w:t>inadequate responder patients (full analysis set with non-responder imputation)</w:t>
      </w:r>
    </w:p>
    <w:p w14:paraId="1CF7AA4F" w14:textId="01D7BE5C" w:rsidR="00176F61" w:rsidRPr="001B0B74" w:rsidRDefault="00176F61" w:rsidP="00176F61">
      <w:r w:rsidRPr="001B0B74">
        <w:rPr>
          <w:noProof/>
          <w:u w:val="single"/>
          <w:lang w:eastAsia="en-AU"/>
        </w:rPr>
        <w:drawing>
          <wp:inline distT="0" distB="0" distL="0" distR="0" wp14:anchorId="4B959EFC" wp14:editId="314FF0F8">
            <wp:extent cx="5731510" cy="2741930"/>
            <wp:effectExtent l="0" t="0" r="2540" b="1270"/>
            <wp:docPr id="20" name="Picture 20" descr="The FINCH 2 trial American College of Rheumatology 20 response rates at Week 12 in bDMARD inadequate responder patients (full analysis set with non-responder impu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741930"/>
                    </a:xfrm>
                    <a:prstGeom prst="rect">
                      <a:avLst/>
                    </a:prstGeom>
                    <a:noFill/>
                    <a:ln>
                      <a:noFill/>
                    </a:ln>
                  </pic:spPr>
                </pic:pic>
              </a:graphicData>
            </a:graphic>
          </wp:inline>
        </w:drawing>
      </w:r>
    </w:p>
    <w:p w14:paraId="4CAE7FD4" w14:textId="4C2425B5" w:rsidR="00860746" w:rsidRPr="001B0B74" w:rsidRDefault="00860746" w:rsidP="00860746">
      <w:pPr>
        <w:pStyle w:val="TableDescription"/>
      </w:pPr>
      <w:r w:rsidRPr="001B0B74">
        <w:t xml:space="preserve">ARC20 = American College of Rheumatology 20% improvement; </w:t>
      </w:r>
      <w:r w:rsidR="00962353" w:rsidRPr="001B0B74">
        <w:t xml:space="preserve">bDMARD = </w:t>
      </w:r>
      <w:r w:rsidR="00962353" w:rsidRPr="001B0B74">
        <w:rPr>
          <w:rFonts w:eastAsia="MS Minngs"/>
        </w:rPr>
        <w:t>biological disease modifying anti-rheumatic drug</w:t>
      </w:r>
      <w:r w:rsidR="00E602D0" w:rsidRPr="001B0B74">
        <w:t>;</w:t>
      </w:r>
      <w:r w:rsidR="00962353" w:rsidRPr="001B0B74">
        <w:t xml:space="preserve"> </w:t>
      </w:r>
      <w:r w:rsidRPr="001B0B74">
        <w:t>CI = confidence interval.</w:t>
      </w:r>
    </w:p>
    <w:p w14:paraId="644D6B45" w14:textId="62356D10" w:rsidR="00176F61" w:rsidRPr="001B0B74" w:rsidRDefault="00176F61" w:rsidP="00860746">
      <w:pPr>
        <w:pStyle w:val="TableTitle"/>
      </w:pPr>
      <w:bookmarkStart w:id="49" w:name="_Ref59187370"/>
      <w:r w:rsidRPr="001B0B74">
        <w:t xml:space="preserve">Table </w:t>
      </w:r>
      <w:fldSimple w:instr=" SEQ Table \* ARABIC ">
        <w:r w:rsidR="003A57FD">
          <w:rPr>
            <w:noProof/>
          </w:rPr>
          <w:t>10</w:t>
        </w:r>
      </w:fldSimple>
      <w:bookmarkEnd w:id="49"/>
      <w:r w:rsidRPr="001B0B74">
        <w:t xml:space="preserve">: </w:t>
      </w:r>
      <w:r w:rsidR="00860746" w:rsidRPr="001B0B74">
        <w:t xml:space="preserve">The </w:t>
      </w:r>
      <w:r w:rsidRPr="001B0B74">
        <w:t xml:space="preserve">FINCH 3 </w:t>
      </w:r>
      <w:r w:rsidR="00860746" w:rsidRPr="001B0B74">
        <w:t xml:space="preserve">trial </w:t>
      </w:r>
      <w:r w:rsidR="00FE1B47" w:rsidRPr="001B0B74">
        <w:t xml:space="preserve">American College of Rheumatology </w:t>
      </w:r>
      <w:r w:rsidRPr="001B0B74">
        <w:t xml:space="preserve">20 </w:t>
      </w:r>
      <w:r w:rsidR="00FE1B47" w:rsidRPr="001B0B74">
        <w:t>response rates at W</w:t>
      </w:r>
      <w:r w:rsidRPr="001B0B74">
        <w:t xml:space="preserve">eek 24 in </w:t>
      </w:r>
      <w:r w:rsidR="00FE1B47" w:rsidRPr="001B0B74">
        <w:t xml:space="preserve">methotrexate </w:t>
      </w:r>
      <w:r w:rsidR="00CB2BCB" w:rsidRPr="001B0B74">
        <w:t>nai</w:t>
      </w:r>
      <w:r w:rsidRPr="001B0B74">
        <w:t>ve patients (composite estima</w:t>
      </w:r>
      <w:r w:rsidR="00962353" w:rsidRPr="001B0B74">
        <w:t>te</w:t>
      </w:r>
      <w:r w:rsidRPr="001B0B74">
        <w:t>)</w:t>
      </w:r>
    </w:p>
    <w:p w14:paraId="43A5867F" w14:textId="615613A8" w:rsidR="006C74AE" w:rsidRPr="001B0B74" w:rsidRDefault="006C74AE" w:rsidP="00AB05AB">
      <w:r w:rsidRPr="001B0B74">
        <w:rPr>
          <w:noProof/>
          <w:lang w:eastAsia="en-AU"/>
        </w:rPr>
        <w:drawing>
          <wp:inline distT="0" distB="0" distL="0" distR="0" wp14:anchorId="3E3CF43D" wp14:editId="4CDA298C">
            <wp:extent cx="5400040" cy="1846580"/>
            <wp:effectExtent l="0" t="0" r="0" b="1270"/>
            <wp:docPr id="11" name="Picture 11" descr="The FINCH 3 trial American College of Rheumatology 20 response rates at Week 24 in methotrexate naive patients (composite est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1846580"/>
                    </a:xfrm>
                    <a:prstGeom prst="rect">
                      <a:avLst/>
                    </a:prstGeom>
                  </pic:spPr>
                </pic:pic>
              </a:graphicData>
            </a:graphic>
          </wp:inline>
        </w:drawing>
      </w:r>
    </w:p>
    <w:p w14:paraId="2B4D179B" w14:textId="61AB1BCC" w:rsidR="006C74AE" w:rsidRPr="001B0B74" w:rsidRDefault="006C74AE" w:rsidP="006C74AE">
      <w:pPr>
        <w:pStyle w:val="TableDescription"/>
      </w:pPr>
      <w:r w:rsidRPr="001B0B74">
        <w:t>ARC20 = American College of Rheumatology 20% improvement; MTX = methotrexate; CI = confidence interval.</w:t>
      </w:r>
    </w:p>
    <w:p w14:paraId="0696C820" w14:textId="310516EC" w:rsidR="00860746" w:rsidRPr="001B0B74" w:rsidRDefault="00860746" w:rsidP="006C74AE">
      <w:pPr>
        <w:pStyle w:val="TableDescription"/>
      </w:pPr>
      <w:r w:rsidRPr="001B0B74">
        <w:t xml:space="preserve">Full </w:t>
      </w:r>
      <w:r w:rsidR="006C74AE" w:rsidRPr="001B0B74">
        <w:t>analysi</w:t>
      </w:r>
      <w:r w:rsidRPr="001B0B74">
        <w:t xml:space="preserve">s set includes subjects who were randomised and received at least one does of study </w:t>
      </w:r>
      <w:r w:rsidR="006C74AE" w:rsidRPr="001B0B74">
        <w:t>drug</w:t>
      </w:r>
      <w:r w:rsidRPr="001B0B74">
        <w:t>.</w:t>
      </w:r>
    </w:p>
    <w:p w14:paraId="6BB0B62E" w14:textId="0DAA71C5" w:rsidR="00860746" w:rsidRPr="001B0B74" w:rsidRDefault="00860746" w:rsidP="006C74AE">
      <w:pPr>
        <w:pStyle w:val="TableDescription"/>
      </w:pPr>
      <w:r w:rsidRPr="001B0B74">
        <w:t>Non</w:t>
      </w:r>
      <w:r w:rsidR="006C74AE" w:rsidRPr="001B0B74">
        <w:t>-responde</w:t>
      </w:r>
      <w:r w:rsidRPr="001B0B74">
        <w:t xml:space="preserve">r </w:t>
      </w:r>
      <w:r w:rsidR="006C74AE" w:rsidRPr="001B0B74">
        <w:t>imputation: subjects</w:t>
      </w:r>
      <w:r w:rsidRPr="001B0B74">
        <w:t xml:space="preserve"> with missing outcomes were set as non</w:t>
      </w:r>
      <w:r w:rsidR="006C74AE" w:rsidRPr="001B0B74">
        <w:t>-</w:t>
      </w:r>
      <w:r w:rsidRPr="001B0B74">
        <w:t>responder</w:t>
      </w:r>
      <w:r w:rsidR="006C74AE" w:rsidRPr="001B0B74">
        <w:t>s</w:t>
      </w:r>
      <w:r w:rsidRPr="001B0B74">
        <w:t xml:space="preserve"> fo</w:t>
      </w:r>
      <w:r w:rsidR="006C74AE" w:rsidRPr="001B0B74">
        <w:t>r binary response measurements.</w:t>
      </w:r>
    </w:p>
    <w:p w14:paraId="3CFCC366" w14:textId="75267767" w:rsidR="00860746" w:rsidRPr="001B0B74" w:rsidRDefault="00860746" w:rsidP="006C74AE">
      <w:pPr>
        <w:pStyle w:val="TableDescription"/>
      </w:pPr>
      <w:r w:rsidRPr="001B0B74">
        <w:t xml:space="preserve">95% CI for response rate and difference in response rates were based on normal approximation method with a continuity correction. </w:t>
      </w:r>
    </w:p>
    <w:p w14:paraId="10840370" w14:textId="355E35C9" w:rsidR="00860746" w:rsidRPr="001B0B74" w:rsidRDefault="00860746" w:rsidP="006C74AE">
      <w:pPr>
        <w:pStyle w:val="TableDescription"/>
      </w:pPr>
      <w:r w:rsidRPr="001B0B74">
        <w:t>P-value was calculated from logistic</w:t>
      </w:r>
      <w:r w:rsidR="006C74AE" w:rsidRPr="001B0B74">
        <w:t xml:space="preserve"> reg</w:t>
      </w:r>
      <w:r w:rsidRPr="001B0B74">
        <w:t>ression with treatment groups and stra</w:t>
      </w:r>
      <w:r w:rsidR="006C74AE" w:rsidRPr="001B0B74">
        <w:t>tification factors in the model.</w:t>
      </w:r>
    </w:p>
    <w:p w14:paraId="2CCA8B5A" w14:textId="18A7D4E5" w:rsidR="00860746" w:rsidRPr="001B0B74" w:rsidRDefault="006C74AE" w:rsidP="006C74AE">
      <w:pPr>
        <w:pStyle w:val="TableDescription"/>
      </w:pPr>
      <w:r w:rsidRPr="001B0B74">
        <w:t>Response</w:t>
      </w:r>
      <w:r w:rsidR="00860746" w:rsidRPr="001B0B74">
        <w:t xml:space="preserve"> rates</w:t>
      </w:r>
      <w:r w:rsidRPr="001B0B74">
        <w:t>,</w:t>
      </w:r>
      <w:r w:rsidR="00860746" w:rsidRPr="001B0B74">
        <w:t xml:space="preserve"> difference in response </w:t>
      </w:r>
      <w:r w:rsidRPr="001B0B74">
        <w:t>r</w:t>
      </w:r>
      <w:r w:rsidR="00860746" w:rsidRPr="001B0B74">
        <w:t>ate</w:t>
      </w:r>
      <w:r w:rsidRPr="001B0B74">
        <w:t>s,</w:t>
      </w:r>
      <w:r w:rsidR="00860746" w:rsidRPr="001B0B74">
        <w:t xml:space="preserve"> and 95% CI were express</w:t>
      </w:r>
      <w:r w:rsidRPr="001B0B74">
        <w:t>ed</w:t>
      </w:r>
      <w:r w:rsidR="00860746" w:rsidRPr="001B0B74">
        <w:t xml:space="preserve"> as the </w:t>
      </w:r>
      <w:r w:rsidRPr="001B0B74">
        <w:t>percentage</w:t>
      </w:r>
      <w:r w:rsidR="00860746" w:rsidRPr="001B0B74">
        <w:t>.</w:t>
      </w:r>
    </w:p>
    <w:p w14:paraId="227B3DD5" w14:textId="19D4B3D5" w:rsidR="00176F61" w:rsidRPr="001B0B74" w:rsidRDefault="00176F61" w:rsidP="00176F61">
      <w:r w:rsidRPr="001B0B74">
        <w:t xml:space="preserve">Results of analyses of secondary efficacy outcomes predominantly aligned with the primary efficacy outcomes of each of the studies. In </w:t>
      </w:r>
      <w:r w:rsidR="000D314F" w:rsidRPr="001B0B74">
        <w:t xml:space="preserve">the </w:t>
      </w:r>
      <w:r w:rsidR="004F222A" w:rsidRPr="001B0B74">
        <w:t>FINCH </w:t>
      </w:r>
      <w:r w:rsidRPr="001B0B74">
        <w:t>1</w:t>
      </w:r>
      <w:r w:rsidR="004F222A" w:rsidRPr="001B0B74">
        <w:t xml:space="preserve"> </w:t>
      </w:r>
      <w:r w:rsidR="000D314F" w:rsidRPr="001B0B74">
        <w:t xml:space="preserve">trial </w:t>
      </w:r>
      <w:r w:rsidRPr="001B0B74">
        <w:t xml:space="preserve">the superiority of </w:t>
      </w:r>
      <w:r w:rsidR="006703B9" w:rsidRPr="001B0B74">
        <w:t>filgotinib</w:t>
      </w:r>
      <w:r w:rsidR="004F222A" w:rsidRPr="001B0B74">
        <w:t xml:space="preserve"> 200 mg and 100 </w:t>
      </w:r>
      <w:r w:rsidRPr="001B0B74">
        <w:t xml:space="preserve">mg </w:t>
      </w:r>
      <w:r w:rsidR="00751D74" w:rsidRPr="001B0B74">
        <w:t>once daily</w:t>
      </w:r>
      <w:r w:rsidRPr="001B0B74">
        <w:t xml:space="preserve"> versus </w:t>
      </w:r>
      <w:r w:rsidR="00FE5C74" w:rsidRPr="001B0B74">
        <w:t>placebo</w:t>
      </w:r>
      <w:r w:rsidRPr="001B0B74">
        <w:t xml:space="preserve"> was demonstrated for all efficacy endpoints in the hierarchical statistical analysis plans up to and including the mean change from baseline in (radiographic assessment of joint damage) mTSS </w:t>
      </w:r>
      <w:r w:rsidR="004F222A" w:rsidRPr="001B0B74">
        <w:t>score at W</w:t>
      </w:r>
      <w:r w:rsidRPr="001B0B74">
        <w:t>eek</w:t>
      </w:r>
      <w:r w:rsidR="004F222A" w:rsidRPr="001B0B74">
        <w:t> </w:t>
      </w:r>
      <w:r w:rsidRPr="001B0B74">
        <w:t xml:space="preserve">24. Numerically small but statistically significant differences were noted in the </w:t>
      </w:r>
      <w:r w:rsidR="004F222A" w:rsidRPr="001B0B74">
        <w:t>change in mTSS at Week </w:t>
      </w:r>
      <w:r w:rsidRPr="001B0B74">
        <w:t xml:space="preserve">24. In the first comparison of </w:t>
      </w:r>
      <w:r w:rsidR="006703B9" w:rsidRPr="001B0B74">
        <w:t>filgotinib</w:t>
      </w:r>
      <w:r w:rsidRPr="001B0B74">
        <w:t xml:space="preserve"> versus </w:t>
      </w:r>
      <w:r w:rsidR="006760FF" w:rsidRPr="001B0B74">
        <w:t xml:space="preserve">adalimumab </w:t>
      </w:r>
      <w:r w:rsidRPr="001B0B74">
        <w:t>in the hierarchy (the percentage of participants achieving a DAS28-CRP score &lt;</w:t>
      </w:r>
      <w:r w:rsidR="002048E1" w:rsidRPr="001B0B74">
        <w:t> 3.2 at Week </w:t>
      </w:r>
      <w:r w:rsidRPr="001B0B74">
        <w:t xml:space="preserve">12), the </w:t>
      </w:r>
      <w:r w:rsidR="006703B9" w:rsidRPr="001B0B74">
        <w:t>filgotinib</w:t>
      </w:r>
      <w:r w:rsidR="002048E1" w:rsidRPr="001B0B74">
        <w:t xml:space="preserve"> 200 </w:t>
      </w:r>
      <w:r w:rsidRPr="001B0B74">
        <w:t xml:space="preserve">mg </w:t>
      </w:r>
      <w:r w:rsidR="00751D74" w:rsidRPr="001B0B74">
        <w:t>once daily</w:t>
      </w:r>
      <w:r w:rsidRPr="001B0B74">
        <w:t xml:space="preserve"> therapy was statistically non-inferior to </w:t>
      </w:r>
      <w:r w:rsidR="006760FF" w:rsidRPr="001B0B74">
        <w:t xml:space="preserve">adalimumab </w:t>
      </w:r>
      <w:r w:rsidR="002048E1" w:rsidRPr="001B0B74">
        <w:t>(p &lt; </w:t>
      </w:r>
      <w:r w:rsidRPr="001B0B74">
        <w:t xml:space="preserve">0.001). The non-inferiority test for </w:t>
      </w:r>
      <w:r w:rsidR="006703B9" w:rsidRPr="001B0B74">
        <w:t>filgotinib</w:t>
      </w:r>
      <w:r w:rsidR="002048E1" w:rsidRPr="001B0B74">
        <w:t xml:space="preserve"> 100 </w:t>
      </w:r>
      <w:r w:rsidRPr="001B0B74">
        <w:t xml:space="preserve">mg </w:t>
      </w:r>
      <w:r w:rsidR="00751D74" w:rsidRPr="001B0B74">
        <w:t>once daily</w:t>
      </w:r>
      <w:r w:rsidRPr="001B0B74">
        <w:t xml:space="preserve"> versus </w:t>
      </w:r>
      <w:r w:rsidR="006760FF" w:rsidRPr="001B0B74">
        <w:t xml:space="preserve">adalimumab </w:t>
      </w:r>
      <w:r w:rsidRPr="001B0B74">
        <w:t>for the proportion of participants who achieved DAS28-CRP score ≤</w:t>
      </w:r>
      <w:r w:rsidR="002048E1" w:rsidRPr="001B0B74">
        <w:t> 3.2 at Week </w:t>
      </w:r>
      <w:r w:rsidRPr="001B0B74">
        <w:t>12 did not reach statistical significance (p</w:t>
      </w:r>
      <w:r w:rsidR="002048E1" w:rsidRPr="001B0B74">
        <w:t> </w:t>
      </w:r>
      <w:r w:rsidRPr="001B0B74">
        <w:t>=</w:t>
      </w:r>
      <w:r w:rsidR="002048E1" w:rsidRPr="001B0B74">
        <w:t> </w:t>
      </w:r>
      <w:r w:rsidRPr="001B0B74">
        <w:t>0.054). According to hierarchical testing rules, numerical differences in the remaining secondary outcomes could not be considered statistically significant.</w:t>
      </w:r>
    </w:p>
    <w:p w14:paraId="6CFFE4A0" w14:textId="61344DE4" w:rsidR="00176F61" w:rsidRPr="001B0B74" w:rsidRDefault="00176F61" w:rsidP="00176F61">
      <w:r w:rsidRPr="001B0B74">
        <w:t xml:space="preserve">In </w:t>
      </w:r>
      <w:r w:rsidR="000D314F" w:rsidRPr="001B0B74">
        <w:t xml:space="preserve">the </w:t>
      </w:r>
      <w:r w:rsidR="002048E1" w:rsidRPr="001B0B74">
        <w:t>FINCH </w:t>
      </w:r>
      <w:r w:rsidRPr="001B0B74">
        <w:t>2</w:t>
      </w:r>
      <w:r w:rsidR="000D314F" w:rsidRPr="001B0B74">
        <w:t xml:space="preserve"> trial</w:t>
      </w:r>
      <w:r w:rsidRPr="001B0B74">
        <w:t xml:space="preserve"> the superiority of both doses of </w:t>
      </w:r>
      <w:r w:rsidR="006703B9" w:rsidRPr="001B0B74">
        <w:t>filgotinib</w:t>
      </w:r>
      <w:r w:rsidRPr="001B0B74">
        <w:t xml:space="preserve"> over </w:t>
      </w:r>
      <w:r w:rsidR="00FE5C74" w:rsidRPr="001B0B74">
        <w:t>placebo</w:t>
      </w:r>
      <w:r w:rsidRPr="001B0B74">
        <w:t xml:space="preserve"> was demonstrated for all efficacy endpoints in the hierarchical statistical analysis plan. A numerical benefit of </w:t>
      </w:r>
      <w:r w:rsidR="006703B9" w:rsidRPr="001B0B74">
        <w:t>filgotinib</w:t>
      </w:r>
      <w:r w:rsidRPr="001B0B74">
        <w:t xml:space="preserve"> 200</w:t>
      </w:r>
      <w:r w:rsidR="002048E1" w:rsidRPr="001B0B74">
        <w:t> </w:t>
      </w:r>
      <w:r w:rsidRPr="001B0B74">
        <w:t>mg over 100</w:t>
      </w:r>
      <w:r w:rsidR="002048E1" w:rsidRPr="001B0B74">
        <w:t> </w:t>
      </w:r>
      <w:r w:rsidRPr="001B0B74">
        <w:t>mg dosing was not statistically tested.</w:t>
      </w:r>
    </w:p>
    <w:p w14:paraId="2FF2BC92" w14:textId="47D00E60" w:rsidR="00176F61" w:rsidRPr="001B0B74" w:rsidRDefault="00176F61" w:rsidP="00176F61">
      <w:r w:rsidRPr="001B0B74">
        <w:t xml:space="preserve">In </w:t>
      </w:r>
      <w:r w:rsidR="000D314F" w:rsidRPr="001B0B74">
        <w:t xml:space="preserve">the </w:t>
      </w:r>
      <w:r w:rsidR="002048E1" w:rsidRPr="001B0B74">
        <w:t>FINCH </w:t>
      </w:r>
      <w:r w:rsidRPr="001B0B74">
        <w:t xml:space="preserve">3 </w:t>
      </w:r>
      <w:r w:rsidR="000D314F" w:rsidRPr="001B0B74">
        <w:t xml:space="preserve">trial </w:t>
      </w:r>
      <w:r w:rsidRPr="001B0B74">
        <w:t xml:space="preserve">the superiority of </w:t>
      </w:r>
      <w:r w:rsidR="006703B9" w:rsidRPr="001B0B74">
        <w:t>filgotinib</w:t>
      </w:r>
      <w:r w:rsidR="002048E1" w:rsidRPr="001B0B74">
        <w:t xml:space="preserve"> 200 mg + </w:t>
      </w:r>
      <w:r w:rsidR="00962353" w:rsidRPr="001B0B74">
        <w:t>methotrexate</w:t>
      </w:r>
      <w:r w:rsidRPr="001B0B74">
        <w:t xml:space="preserve"> and </w:t>
      </w:r>
      <w:r w:rsidR="006703B9" w:rsidRPr="001B0B74">
        <w:t>filgotinib</w:t>
      </w:r>
      <w:r w:rsidR="002048E1" w:rsidRPr="001B0B74">
        <w:t xml:space="preserve"> 100 mg + </w:t>
      </w:r>
      <w:r w:rsidR="00962353" w:rsidRPr="001B0B74">
        <w:t>methotrexate</w:t>
      </w:r>
      <w:r w:rsidRPr="001B0B74">
        <w:t xml:space="preserve"> over </w:t>
      </w:r>
      <w:r w:rsidR="00962353" w:rsidRPr="001B0B74">
        <w:t>methotrexate</w:t>
      </w:r>
      <w:r w:rsidRPr="001B0B74">
        <w:t xml:space="preserve"> monotherapy was demonstrated for all efficacy endpoints in the hierarchical statistical analysis plan up to and including the comparison of </w:t>
      </w:r>
      <w:r w:rsidR="006703B9" w:rsidRPr="001B0B74">
        <w:t>filgotinib</w:t>
      </w:r>
      <w:r w:rsidRPr="001B0B74">
        <w:t xml:space="preserve"> 100</w:t>
      </w:r>
      <w:r w:rsidR="002048E1" w:rsidRPr="001B0B74">
        <w:t> </w:t>
      </w:r>
      <w:r w:rsidRPr="001B0B74">
        <w:t>mg</w:t>
      </w:r>
      <w:r w:rsidR="002048E1" w:rsidRPr="001B0B74">
        <w:t> </w:t>
      </w:r>
      <w:r w:rsidRPr="001B0B74">
        <w:t>+</w:t>
      </w:r>
      <w:r w:rsidR="002048E1" w:rsidRPr="001B0B74">
        <w:t> </w:t>
      </w:r>
      <w:r w:rsidR="00962353" w:rsidRPr="001B0B74">
        <w:t>methotrexate</w:t>
      </w:r>
      <w:r w:rsidRPr="001B0B74">
        <w:t xml:space="preserve"> versus </w:t>
      </w:r>
      <w:r w:rsidR="00962353" w:rsidRPr="001B0B74">
        <w:t>methotrexate</w:t>
      </w:r>
      <w:r w:rsidRPr="001B0B74">
        <w:t xml:space="preserve"> monotherapy for the proportion of participants achieving DAS28-CRP score &lt;</w:t>
      </w:r>
      <w:r w:rsidR="002048E1" w:rsidRPr="001B0B74">
        <w:t> 2.6 at Week </w:t>
      </w:r>
      <w:r w:rsidRPr="001B0B74">
        <w:t>24. Numerical superiority in asses</w:t>
      </w:r>
      <w:r w:rsidR="002048E1" w:rsidRPr="001B0B74">
        <w:t>sment of change in the mTSS at Week </w:t>
      </w:r>
      <w:r w:rsidRPr="001B0B74">
        <w:t>24 was not statistically significant. According to hierarchical testing rules, numerical differences in the remaining secondary outcomes could not be considered statistically significant.</w:t>
      </w:r>
    </w:p>
    <w:p w14:paraId="0E38FCFE" w14:textId="14D90558" w:rsidR="00176F61" w:rsidRPr="001B0B74" w:rsidRDefault="00176F61" w:rsidP="00176F61">
      <w:r w:rsidRPr="001B0B74">
        <w:t xml:space="preserve">The evaluator concluded that the efficacy data from the three FINCH </w:t>
      </w:r>
      <w:r w:rsidR="000D314F" w:rsidRPr="001B0B74">
        <w:t>trials</w:t>
      </w:r>
      <w:r w:rsidRPr="001B0B74">
        <w:t xml:space="preserve"> over 24 to 52</w:t>
      </w:r>
      <w:r w:rsidR="002048E1" w:rsidRPr="001B0B74">
        <w:t> </w:t>
      </w:r>
      <w:r w:rsidRPr="001B0B74">
        <w:t xml:space="preserve">weeks duration demonstrated the clinical benefit of </w:t>
      </w:r>
      <w:r w:rsidR="006703B9" w:rsidRPr="001B0B74">
        <w:t>filgotinib</w:t>
      </w:r>
      <w:r w:rsidRPr="001B0B74">
        <w:t xml:space="preserve"> 100</w:t>
      </w:r>
      <w:r w:rsidR="002048E1" w:rsidRPr="001B0B74">
        <w:t> </w:t>
      </w:r>
      <w:r w:rsidRPr="001B0B74">
        <w:t>mg and 200</w:t>
      </w:r>
      <w:r w:rsidR="002048E1" w:rsidRPr="001B0B74">
        <w:t> </w:t>
      </w:r>
      <w:r w:rsidRPr="001B0B74">
        <w:t xml:space="preserve">mg </w:t>
      </w:r>
      <w:r w:rsidR="00751D74" w:rsidRPr="001B0B74">
        <w:t>once daily</w:t>
      </w:r>
      <w:r w:rsidRPr="001B0B74">
        <w:t xml:space="preserve"> with or without </w:t>
      </w:r>
      <w:r w:rsidR="00962353" w:rsidRPr="001B0B74">
        <w:t>methotrexate</w:t>
      </w:r>
      <w:r w:rsidRPr="001B0B74">
        <w:t xml:space="preserve"> or other conventional DMARDs in adult patients with moderately to severely active RA. Efficacy has been assessed in terms of improving the symptoms and signs of the disease (via ACR response criteria), achieving reasonably high (and comparable to other active therapies) rates of low disease activity and clinical remission and improving physical function (as described by changes from baseline in HAQ-DI score). The evaluator also agreed with the sponsor that the efficacy data supports the numerical superiority of </w:t>
      </w:r>
      <w:r w:rsidR="006703B9" w:rsidRPr="001B0B74">
        <w:t>filgotinib</w:t>
      </w:r>
      <w:r w:rsidRPr="001B0B74">
        <w:t xml:space="preserve"> 200</w:t>
      </w:r>
      <w:r w:rsidR="002048E1" w:rsidRPr="001B0B74">
        <w:t> </w:t>
      </w:r>
      <w:r w:rsidRPr="001B0B74">
        <w:t xml:space="preserve">mg </w:t>
      </w:r>
      <w:r w:rsidR="00751D74" w:rsidRPr="001B0B74">
        <w:t>once daily</w:t>
      </w:r>
      <w:r w:rsidRPr="001B0B74">
        <w:t xml:space="preserve"> over </w:t>
      </w:r>
      <w:r w:rsidR="006703B9" w:rsidRPr="001B0B74">
        <w:t>filgotinib</w:t>
      </w:r>
      <w:r w:rsidRPr="001B0B74">
        <w:t xml:space="preserve"> 100</w:t>
      </w:r>
      <w:r w:rsidR="002048E1" w:rsidRPr="001B0B74">
        <w:t> </w:t>
      </w:r>
      <w:r w:rsidRPr="001B0B74">
        <w:t xml:space="preserve">mg </w:t>
      </w:r>
      <w:r w:rsidR="00751D74" w:rsidRPr="001B0B74">
        <w:t>once daily</w:t>
      </w:r>
      <w:r w:rsidRPr="001B0B74">
        <w:t xml:space="preserve"> across most of the outcomes of interest, although thi</w:t>
      </w:r>
      <w:r w:rsidR="002048E1" w:rsidRPr="001B0B74">
        <w:t>s was not statistically tested.</w:t>
      </w:r>
    </w:p>
    <w:p w14:paraId="3B4E487B" w14:textId="02428D12" w:rsidR="00176F61" w:rsidRPr="001B0B74" w:rsidRDefault="00176F61" w:rsidP="00176F61">
      <w:r w:rsidRPr="001B0B74">
        <w:t xml:space="preserve">The Phase </w:t>
      </w:r>
      <w:r w:rsidR="00123D23" w:rsidRPr="001B0B74">
        <w:t>II</w:t>
      </w:r>
      <w:r w:rsidR="00862D71" w:rsidRPr="001B0B74">
        <w:t>b DARWIN 1 and DARWIN </w:t>
      </w:r>
      <w:r w:rsidRPr="001B0B74">
        <w:t>2</w:t>
      </w:r>
      <w:r w:rsidR="000D314F" w:rsidRPr="001B0B74">
        <w:t xml:space="preserve"> trials</w:t>
      </w:r>
      <w:r w:rsidRPr="001B0B74">
        <w:t xml:space="preserve"> provided supportive efficacy data.</w:t>
      </w:r>
    </w:p>
    <w:p w14:paraId="453F76F7" w14:textId="7E40F79B" w:rsidR="00176F61" w:rsidRPr="001B0B74" w:rsidRDefault="00176F61" w:rsidP="00176F61">
      <w:r w:rsidRPr="001B0B74">
        <w:t xml:space="preserve">In </w:t>
      </w:r>
      <w:r w:rsidR="000D314F" w:rsidRPr="001B0B74">
        <w:t xml:space="preserve">the </w:t>
      </w:r>
      <w:r w:rsidRPr="001B0B74">
        <w:t>DA</w:t>
      </w:r>
      <w:r w:rsidR="00862D71" w:rsidRPr="001B0B74">
        <w:t>RWIN </w:t>
      </w:r>
      <w:r w:rsidRPr="001B0B74">
        <w:t>1</w:t>
      </w:r>
      <w:r w:rsidR="000D314F" w:rsidRPr="001B0B74">
        <w:t xml:space="preserve"> trial</w:t>
      </w:r>
      <w:r w:rsidRPr="001B0B74">
        <w:t xml:space="preserve">, 594 adult patients with moderately to severely active RA were randomised to one of six </w:t>
      </w:r>
      <w:r w:rsidR="006703B9" w:rsidRPr="001B0B74">
        <w:t>filgotinib</w:t>
      </w:r>
      <w:r w:rsidRPr="001B0B74">
        <w:t xml:space="preserve"> dose regimens. The primary endpoint of the study was met. The di</w:t>
      </w:r>
      <w:r w:rsidR="00862D71" w:rsidRPr="001B0B74">
        <w:t>fferences in ACR20 response at W</w:t>
      </w:r>
      <w:r w:rsidRPr="001B0B74">
        <w:t>eek</w:t>
      </w:r>
      <w:r w:rsidR="0002465E" w:rsidRPr="001B0B74">
        <w:t> </w:t>
      </w:r>
      <w:r w:rsidRPr="001B0B74">
        <w:t xml:space="preserve">12 versus </w:t>
      </w:r>
      <w:r w:rsidR="00FE5C74" w:rsidRPr="001B0B74">
        <w:t>placebo</w:t>
      </w:r>
      <w:r w:rsidRPr="001B0B74">
        <w:t xml:space="preserve"> were statistically significant for the </w:t>
      </w:r>
      <w:r w:rsidR="006703B9" w:rsidRPr="001B0B74">
        <w:t>filgotinib</w:t>
      </w:r>
      <w:r w:rsidRPr="001B0B74">
        <w:t xml:space="preserve"> 100</w:t>
      </w:r>
      <w:r w:rsidR="00862D71" w:rsidRPr="001B0B74">
        <w:t> </w:t>
      </w:r>
      <w:r w:rsidRPr="001B0B74">
        <w:t xml:space="preserve">mg </w:t>
      </w:r>
      <w:r w:rsidR="00751D74" w:rsidRPr="001B0B74">
        <w:t>once daily</w:t>
      </w:r>
      <w:r w:rsidRPr="001B0B74">
        <w:t xml:space="preserve"> (63.5%, p</w:t>
      </w:r>
      <w:r w:rsidR="00862D71" w:rsidRPr="001B0B74">
        <w:t> </w:t>
      </w:r>
      <w:r w:rsidRPr="001B0B74">
        <w:t>=</w:t>
      </w:r>
      <w:r w:rsidR="00862D71" w:rsidRPr="001B0B74">
        <w:t> </w:t>
      </w:r>
      <w:r w:rsidRPr="001B0B74">
        <w:t>0.0435), 200</w:t>
      </w:r>
      <w:r w:rsidR="001B17B2" w:rsidRPr="001B0B74">
        <w:t> </w:t>
      </w:r>
      <w:r w:rsidRPr="001B0B74">
        <w:t xml:space="preserve">mg </w:t>
      </w:r>
      <w:r w:rsidR="00751D74" w:rsidRPr="001B0B74">
        <w:t>once daily</w:t>
      </w:r>
      <w:r w:rsidRPr="001B0B74">
        <w:t xml:space="preserve"> (68.6%, p</w:t>
      </w:r>
      <w:r w:rsidR="001B17B2" w:rsidRPr="001B0B74">
        <w:t> </w:t>
      </w:r>
      <w:r w:rsidRPr="001B0B74">
        <w:t>=</w:t>
      </w:r>
      <w:r w:rsidR="001B17B2" w:rsidRPr="001B0B74">
        <w:t> </w:t>
      </w:r>
      <w:r w:rsidRPr="001B0B74">
        <w:t>0.0068), and 100</w:t>
      </w:r>
      <w:r w:rsidR="001B17B2" w:rsidRPr="001B0B74">
        <w:t> </w:t>
      </w:r>
      <w:r w:rsidRPr="001B0B74">
        <w:t xml:space="preserve">mg </w:t>
      </w:r>
      <w:r w:rsidR="00751D74" w:rsidRPr="001B0B74">
        <w:t>twice daily</w:t>
      </w:r>
      <w:r w:rsidRPr="001B0B74">
        <w:t xml:space="preserve"> dose groups (78.6%, p</w:t>
      </w:r>
      <w:r w:rsidR="001B17B2" w:rsidRPr="001B0B74">
        <w:t> </w:t>
      </w:r>
      <w:r w:rsidRPr="001B0B74">
        <w:t>&lt;</w:t>
      </w:r>
      <w:r w:rsidR="001B17B2" w:rsidRPr="001B0B74">
        <w:t> </w:t>
      </w:r>
      <w:r w:rsidRPr="001B0B74">
        <w:t xml:space="preserve">0.0001), versus 44.2% in the </w:t>
      </w:r>
      <w:r w:rsidR="00FE5C74" w:rsidRPr="001B0B74">
        <w:t>placebo</w:t>
      </w:r>
      <w:r w:rsidRPr="001B0B74">
        <w:t xml:space="preserve"> group. Response rates in </w:t>
      </w:r>
      <w:r w:rsidR="00751D74" w:rsidRPr="001B0B74">
        <w:t>once daily</w:t>
      </w:r>
      <w:r w:rsidRPr="001B0B74">
        <w:t xml:space="preserve"> and </w:t>
      </w:r>
      <w:r w:rsidR="00751D74" w:rsidRPr="001B0B74">
        <w:t>twice daily</w:t>
      </w:r>
      <w:r w:rsidRPr="001B0B74">
        <w:t xml:space="preserve"> regimens resulting in the same total daily dose were not significantly different. Secondary efficacy outcomes supported the primary outcomes.</w:t>
      </w:r>
    </w:p>
    <w:p w14:paraId="2EC3CB3B" w14:textId="6774DFEE" w:rsidR="00176F61" w:rsidRPr="001B0B74" w:rsidRDefault="00176F61" w:rsidP="00176F61">
      <w:r w:rsidRPr="001B0B74">
        <w:t xml:space="preserve">In </w:t>
      </w:r>
      <w:r w:rsidR="000D314F" w:rsidRPr="001B0B74">
        <w:t xml:space="preserve">the </w:t>
      </w:r>
      <w:r w:rsidR="001B17B2" w:rsidRPr="001B0B74">
        <w:t>DARWIN </w:t>
      </w:r>
      <w:r w:rsidRPr="001B0B74">
        <w:t>2</w:t>
      </w:r>
      <w:r w:rsidR="000D314F" w:rsidRPr="001B0B74">
        <w:t xml:space="preserve"> trial</w:t>
      </w:r>
      <w:r w:rsidRPr="001B0B74">
        <w:t xml:space="preserve"> 283 adults with moderately to severely active RA were randomised to </w:t>
      </w:r>
      <w:r w:rsidR="00751D74" w:rsidRPr="001B0B74">
        <w:t>once daily</w:t>
      </w:r>
      <w:r w:rsidRPr="001B0B74">
        <w:t xml:space="preserve"> dosing with </w:t>
      </w:r>
      <w:r w:rsidR="006703B9" w:rsidRPr="001B0B74">
        <w:t>filgotinib</w:t>
      </w:r>
      <w:r w:rsidRPr="001B0B74">
        <w:t xml:space="preserve"> 50</w:t>
      </w:r>
      <w:r w:rsidR="001B17B2" w:rsidRPr="001B0B74">
        <w:t> </w:t>
      </w:r>
      <w:r w:rsidRPr="001B0B74">
        <w:t>mg, 100</w:t>
      </w:r>
      <w:r w:rsidR="001B17B2" w:rsidRPr="001B0B74">
        <w:t> </w:t>
      </w:r>
      <w:r w:rsidRPr="001B0B74">
        <w:t>mg or 200</w:t>
      </w:r>
      <w:r w:rsidR="001B17B2" w:rsidRPr="001B0B74">
        <w:t> </w:t>
      </w:r>
      <w:r w:rsidRPr="001B0B74">
        <w:t xml:space="preserve">mg, or </w:t>
      </w:r>
      <w:r w:rsidR="00FE5C74" w:rsidRPr="001B0B74">
        <w:t>placebo</w:t>
      </w:r>
      <w:r w:rsidRPr="001B0B74">
        <w:t xml:space="preserve">. Participants had a history of inadequate response or toxicity to </w:t>
      </w:r>
      <w:r w:rsidR="00962353" w:rsidRPr="001B0B74">
        <w:t>methotrexate</w:t>
      </w:r>
      <w:r w:rsidRPr="001B0B74">
        <w:t>. The primary end</w:t>
      </w:r>
      <w:r w:rsidR="001B17B2" w:rsidRPr="001B0B74">
        <w:t>point of the study was met. At Week </w:t>
      </w:r>
      <w:r w:rsidRPr="001B0B74">
        <w:t xml:space="preserve">12, the percentage of ACR20 responders was statistically significantly higher in all three </w:t>
      </w:r>
      <w:r w:rsidR="006703B9" w:rsidRPr="001B0B74">
        <w:t>filgotinib</w:t>
      </w:r>
      <w:r w:rsidRPr="001B0B74">
        <w:t xml:space="preserve"> treatment groups compared with </w:t>
      </w:r>
      <w:r w:rsidR="00FE5C74" w:rsidRPr="001B0B74">
        <w:t>placebo</w:t>
      </w:r>
      <w:r w:rsidRPr="001B0B74">
        <w:t xml:space="preserve"> (p</w:t>
      </w:r>
      <w:r w:rsidR="001B17B2" w:rsidRPr="001B0B74">
        <w:t> </w:t>
      </w:r>
      <w:r w:rsidRPr="001B0B74">
        <w:t>&lt;</w:t>
      </w:r>
      <w:r w:rsidR="001B17B2" w:rsidRPr="001B0B74">
        <w:t> </w:t>
      </w:r>
      <w:r w:rsidRPr="001B0B74">
        <w:t xml:space="preserve">0.001 for each pairwise comparison of </w:t>
      </w:r>
      <w:r w:rsidR="006703B9" w:rsidRPr="001B0B74">
        <w:t>filgotinib</w:t>
      </w:r>
      <w:r w:rsidRPr="001B0B74">
        <w:t xml:space="preserve"> versus </w:t>
      </w:r>
      <w:r w:rsidR="00FE5C74" w:rsidRPr="001B0B74">
        <w:t>placebo</w:t>
      </w:r>
      <w:r w:rsidR="001B17B2" w:rsidRPr="001B0B74">
        <w:t>). The W</w:t>
      </w:r>
      <w:r w:rsidRPr="001B0B74">
        <w:t>eek</w:t>
      </w:r>
      <w:r w:rsidR="0002465E" w:rsidRPr="001B0B74">
        <w:t> </w:t>
      </w:r>
      <w:r w:rsidRPr="001B0B74">
        <w:t xml:space="preserve">12 ACR20 response rates were 66.7% (48/72) in the </w:t>
      </w:r>
      <w:r w:rsidR="006703B9" w:rsidRPr="001B0B74">
        <w:t>filgotinib</w:t>
      </w:r>
      <w:r w:rsidR="001B17B2" w:rsidRPr="001B0B74">
        <w:t xml:space="preserve"> 50 </w:t>
      </w:r>
      <w:r w:rsidRPr="001B0B74">
        <w:t xml:space="preserve">mg </w:t>
      </w:r>
      <w:r w:rsidR="00751D74" w:rsidRPr="001B0B74">
        <w:t>once daily</w:t>
      </w:r>
      <w:r w:rsidRPr="001B0B74">
        <w:t xml:space="preserve"> group, 65.7% (46/70) in the </w:t>
      </w:r>
      <w:r w:rsidR="006703B9" w:rsidRPr="001B0B74">
        <w:t>filgotinib</w:t>
      </w:r>
      <w:r w:rsidRPr="001B0B74">
        <w:t xml:space="preserve"> 100</w:t>
      </w:r>
      <w:r w:rsidR="001B17B2" w:rsidRPr="001B0B74">
        <w:t> </w:t>
      </w:r>
      <w:r w:rsidRPr="001B0B74">
        <w:t xml:space="preserve">mg </w:t>
      </w:r>
      <w:r w:rsidR="00751D74" w:rsidRPr="001B0B74">
        <w:t>once daily</w:t>
      </w:r>
      <w:r w:rsidRPr="001B0B74">
        <w:t xml:space="preserve"> arm and 72.5% (50/69) in the </w:t>
      </w:r>
      <w:r w:rsidR="006703B9" w:rsidRPr="001B0B74">
        <w:t>filgotinib</w:t>
      </w:r>
      <w:r w:rsidRPr="001B0B74">
        <w:t xml:space="preserve"> 200</w:t>
      </w:r>
      <w:r w:rsidR="001B17B2" w:rsidRPr="001B0B74">
        <w:t> </w:t>
      </w:r>
      <w:r w:rsidRPr="001B0B74">
        <w:t xml:space="preserve">mg </w:t>
      </w:r>
      <w:r w:rsidR="00751D74" w:rsidRPr="001B0B74">
        <w:t>once daily</w:t>
      </w:r>
      <w:r w:rsidRPr="001B0B74">
        <w:t xml:space="preserve"> group compared with 29.2% (21/72) in the </w:t>
      </w:r>
      <w:r w:rsidR="00FE5C74" w:rsidRPr="001B0B74">
        <w:t>placebo</w:t>
      </w:r>
      <w:r w:rsidRPr="001B0B74">
        <w:t xml:space="preserve"> arm. Secondary efficacy outcomes supported the primary outcomes.</w:t>
      </w:r>
    </w:p>
    <w:p w14:paraId="285866AF" w14:textId="20A8ED6A" w:rsidR="00176F61" w:rsidRPr="001B0B74" w:rsidRDefault="00176F61" w:rsidP="00176F61">
      <w:r w:rsidRPr="001B0B74">
        <w:t>The DARWIN</w:t>
      </w:r>
      <w:r w:rsidR="001B17B2" w:rsidRPr="001B0B74">
        <w:t> </w:t>
      </w:r>
      <w:r w:rsidRPr="001B0B74">
        <w:t xml:space="preserve">3 </w:t>
      </w:r>
      <w:r w:rsidR="000D314F" w:rsidRPr="001B0B74">
        <w:t>trial</w:t>
      </w:r>
      <w:r w:rsidRPr="001B0B74">
        <w:t xml:space="preserve"> is an ongoing Phase </w:t>
      </w:r>
      <w:r w:rsidR="00123D23" w:rsidRPr="001B0B74">
        <w:t>II</w:t>
      </w:r>
      <w:r w:rsidRPr="001B0B74">
        <w:t>, open</w:t>
      </w:r>
      <w:r w:rsidR="00897C9A" w:rsidRPr="001B0B74">
        <w:t xml:space="preserve"> </w:t>
      </w:r>
      <w:r w:rsidRPr="001B0B74">
        <w:t>label, long</w:t>
      </w:r>
      <w:r w:rsidR="00897C9A" w:rsidRPr="001B0B74">
        <w:t xml:space="preserve"> </w:t>
      </w:r>
      <w:r w:rsidRPr="001B0B74">
        <w:t>term follow</w:t>
      </w:r>
      <w:r w:rsidR="001B17B2" w:rsidRPr="001B0B74">
        <w:t xml:space="preserve"> </w:t>
      </w:r>
      <w:r w:rsidRPr="001B0B74">
        <w:t xml:space="preserve">up safety and efficacy continuation trial that was offered to participants after they completed </w:t>
      </w:r>
      <w:r w:rsidR="000D314F" w:rsidRPr="001B0B74">
        <w:t xml:space="preserve">the </w:t>
      </w:r>
      <w:r w:rsidRPr="001B0B74">
        <w:t>DARWIN</w:t>
      </w:r>
      <w:r w:rsidR="001B17B2" w:rsidRPr="001B0B74">
        <w:t> </w:t>
      </w:r>
      <w:r w:rsidRPr="001B0B74">
        <w:t>1 or 2</w:t>
      </w:r>
      <w:r w:rsidR="000D314F" w:rsidRPr="001B0B74">
        <w:t xml:space="preserve"> trial</w:t>
      </w:r>
      <w:r w:rsidRPr="001B0B74">
        <w:t xml:space="preserve">. Participants who received 24 weeks of </w:t>
      </w:r>
      <w:r w:rsidR="00FE5C74" w:rsidRPr="001B0B74">
        <w:t>placebo</w:t>
      </w:r>
      <w:r w:rsidRPr="001B0B74">
        <w:t xml:space="preserve"> therapy during the DARWIN</w:t>
      </w:r>
      <w:r w:rsidR="001B17B2" w:rsidRPr="001B0B74">
        <w:t> </w:t>
      </w:r>
      <w:r w:rsidRPr="001B0B74">
        <w:t xml:space="preserve">1 </w:t>
      </w:r>
      <w:r w:rsidR="000D314F" w:rsidRPr="001B0B74">
        <w:t>trial</w:t>
      </w:r>
      <w:r w:rsidRPr="001B0B74">
        <w:t xml:space="preserve"> were randomised in a 1:1 ratio to receive either </w:t>
      </w:r>
      <w:r w:rsidR="006703B9" w:rsidRPr="001B0B74">
        <w:t>filgotinib</w:t>
      </w:r>
      <w:r w:rsidRPr="001B0B74">
        <w:t xml:space="preserve"> 200</w:t>
      </w:r>
      <w:r w:rsidR="001B17B2" w:rsidRPr="001B0B74">
        <w:t> </w:t>
      </w:r>
      <w:r w:rsidRPr="001B0B74">
        <w:t xml:space="preserve">mg </w:t>
      </w:r>
      <w:r w:rsidR="00751D74" w:rsidRPr="001B0B74">
        <w:t>once daily</w:t>
      </w:r>
      <w:r w:rsidRPr="001B0B74">
        <w:t xml:space="preserve"> or 100</w:t>
      </w:r>
      <w:r w:rsidR="001B17B2" w:rsidRPr="001B0B74">
        <w:t> </w:t>
      </w:r>
      <w:r w:rsidRPr="001B0B74">
        <w:t xml:space="preserve">mg </w:t>
      </w:r>
      <w:r w:rsidR="00751D74" w:rsidRPr="001B0B74">
        <w:t>twice daily</w:t>
      </w:r>
      <w:r w:rsidRPr="001B0B74">
        <w:t>. All other participants (except male participants in the USA) started this long</w:t>
      </w:r>
      <w:r w:rsidR="00897C9A" w:rsidRPr="001B0B74">
        <w:t xml:space="preserve"> </w:t>
      </w:r>
      <w:r w:rsidRPr="001B0B74">
        <w:t xml:space="preserve">term extension trial with </w:t>
      </w:r>
      <w:r w:rsidR="006703B9" w:rsidRPr="001B0B74">
        <w:t>filgotinib</w:t>
      </w:r>
      <w:r w:rsidRPr="001B0B74">
        <w:t xml:space="preserve"> 200</w:t>
      </w:r>
      <w:r w:rsidR="0002465E" w:rsidRPr="001B0B74">
        <w:t> </w:t>
      </w:r>
      <w:r w:rsidRPr="001B0B74">
        <w:t>mg per day, administered in the same dosing regimen as they had received during the preceding studies (200</w:t>
      </w:r>
      <w:r w:rsidR="0002465E" w:rsidRPr="001B0B74">
        <w:t> </w:t>
      </w:r>
      <w:r w:rsidRPr="001B0B74">
        <w:t xml:space="preserve">mg </w:t>
      </w:r>
      <w:r w:rsidR="00751D74" w:rsidRPr="001B0B74">
        <w:t>once daily</w:t>
      </w:r>
      <w:r w:rsidRPr="001B0B74">
        <w:t xml:space="preserve"> or 100</w:t>
      </w:r>
      <w:r w:rsidR="0002465E" w:rsidRPr="001B0B74">
        <w:t> </w:t>
      </w:r>
      <w:r w:rsidRPr="001B0B74">
        <w:t xml:space="preserve">mg </w:t>
      </w:r>
      <w:r w:rsidR="00751D74" w:rsidRPr="001B0B74">
        <w:t>twice daily</w:t>
      </w:r>
      <w:r w:rsidRPr="001B0B74">
        <w:t xml:space="preserve">). Male participants in the USA were limited to dosing with </w:t>
      </w:r>
      <w:r w:rsidR="006703B9" w:rsidRPr="001B0B74">
        <w:t>filgotinib</w:t>
      </w:r>
      <w:r w:rsidRPr="001B0B74">
        <w:t xml:space="preserve"> 100</w:t>
      </w:r>
      <w:r w:rsidR="0002465E" w:rsidRPr="001B0B74">
        <w:t> </w:t>
      </w:r>
      <w:r w:rsidRPr="001B0B74">
        <w:t xml:space="preserve">mg </w:t>
      </w:r>
      <w:r w:rsidR="00751D74" w:rsidRPr="001B0B74">
        <w:t>once daily</w:t>
      </w:r>
      <w:r w:rsidRPr="001B0B74">
        <w:t xml:space="preserve"> due to a </w:t>
      </w:r>
      <w:r w:rsidR="0002465E" w:rsidRPr="001B0B74">
        <w:t>Food and Drug Administration (</w:t>
      </w:r>
      <w:r w:rsidRPr="001B0B74">
        <w:t>FDA</w:t>
      </w:r>
      <w:r w:rsidR="0002465E" w:rsidRPr="001B0B74">
        <w:t>)</w:t>
      </w:r>
      <w:r w:rsidRPr="001B0B74">
        <w:t xml:space="preserve"> requirement</w:t>
      </w:r>
      <w:r w:rsidR="004F127C" w:rsidRPr="001B0B74">
        <w:t>;</w:t>
      </w:r>
      <w:bookmarkStart w:id="50" w:name="_Ref69305608"/>
      <w:r w:rsidR="004F127C" w:rsidRPr="001B0B74">
        <w:rPr>
          <w:rStyle w:val="FootnoteReference"/>
        </w:rPr>
        <w:footnoteReference w:id="11"/>
      </w:r>
      <w:bookmarkEnd w:id="50"/>
      <w:r w:rsidRPr="001B0B74">
        <w:t xml:space="preserve"> based on nonclinical concerns with spermatogenesis. Observed data presented with this submission indicated that the ACR20 response rate</w:t>
      </w:r>
      <w:r w:rsidR="0002465E" w:rsidRPr="001B0B74">
        <w:t>s at extension baseline (77.4% (</w:t>
      </w:r>
      <w:r w:rsidRPr="001B0B74">
        <w:t>380/491</w:t>
      </w:r>
      <w:r w:rsidR="0002465E" w:rsidRPr="001B0B74">
        <w:t>)</w:t>
      </w:r>
      <w:r w:rsidRPr="001B0B74">
        <w:t xml:space="preserve"> for </w:t>
      </w:r>
      <w:r w:rsidR="006703B9" w:rsidRPr="001B0B74">
        <w:t>filgotinib</w:t>
      </w:r>
      <w:r w:rsidR="0002465E" w:rsidRPr="001B0B74">
        <w:t xml:space="preserve"> with </w:t>
      </w:r>
      <w:r w:rsidR="00962353" w:rsidRPr="001B0B74">
        <w:t>methotrexate</w:t>
      </w:r>
      <w:r w:rsidR="0002465E" w:rsidRPr="001B0B74">
        <w:t xml:space="preserve"> and 79.6% (</w:t>
      </w:r>
      <w:r w:rsidRPr="001B0B74">
        <w:t>187/235</w:t>
      </w:r>
      <w:r w:rsidR="0002465E" w:rsidRPr="001B0B74">
        <w:t>)</w:t>
      </w:r>
      <w:r w:rsidRPr="001B0B74">
        <w:t xml:space="preserve"> for </w:t>
      </w:r>
      <w:r w:rsidR="006703B9" w:rsidRPr="001B0B74">
        <w:t>filgotinib</w:t>
      </w:r>
      <w:r w:rsidRPr="001B0B74">
        <w:t xml:space="preserve"> monotherapy) increased in both treatment cohorts t</w:t>
      </w:r>
      <w:r w:rsidR="0002465E" w:rsidRPr="001B0B74">
        <w:t>hrough to extension Week 156 (87.2% (</w:t>
      </w:r>
      <w:r w:rsidRPr="001B0B74">
        <w:t>252/289</w:t>
      </w:r>
      <w:r w:rsidR="0002465E" w:rsidRPr="001B0B74">
        <w:t>)</w:t>
      </w:r>
      <w:r w:rsidRPr="001B0B74">
        <w:t xml:space="preserve"> for </w:t>
      </w:r>
      <w:r w:rsidR="006703B9" w:rsidRPr="001B0B74">
        <w:t>filgotinib</w:t>
      </w:r>
      <w:r w:rsidR="0002465E" w:rsidRPr="001B0B74">
        <w:t xml:space="preserve"> with </w:t>
      </w:r>
      <w:r w:rsidR="00962353" w:rsidRPr="001B0B74">
        <w:t>methotrexate</w:t>
      </w:r>
      <w:r w:rsidR="0002465E" w:rsidRPr="001B0B74">
        <w:t xml:space="preserve"> and 89.7% (</w:t>
      </w:r>
      <w:r w:rsidRPr="001B0B74">
        <w:t>122/136</w:t>
      </w:r>
      <w:r w:rsidR="0002465E" w:rsidRPr="001B0B74">
        <w:t>)</w:t>
      </w:r>
      <w:r w:rsidRPr="001B0B74">
        <w:t xml:space="preserve"> for </w:t>
      </w:r>
      <w:r w:rsidR="006703B9" w:rsidRPr="001B0B74">
        <w:t>filgotinib</w:t>
      </w:r>
      <w:r w:rsidRPr="001B0B74">
        <w:t xml:space="preserve"> mono</w:t>
      </w:r>
      <w:r w:rsidR="00123D23" w:rsidRPr="001B0B74">
        <w:t>therapy), supporting the Phase III</w:t>
      </w:r>
      <w:r w:rsidRPr="001B0B74">
        <w:t xml:space="preserve"> studies.</w:t>
      </w:r>
    </w:p>
    <w:p w14:paraId="62680FA7" w14:textId="6CCE946C" w:rsidR="00176F61" w:rsidRPr="001B0B74" w:rsidRDefault="00176F61" w:rsidP="00176F61">
      <w:r w:rsidRPr="001B0B74">
        <w:t>Pooled efficacy analyses including data from FINCH 1, 2 and 3</w:t>
      </w:r>
      <w:r w:rsidR="000D314F" w:rsidRPr="001B0B74">
        <w:t xml:space="preserve"> trials</w:t>
      </w:r>
      <w:r w:rsidRPr="001B0B74">
        <w:t xml:space="preserve">, and from </w:t>
      </w:r>
      <w:r w:rsidR="000D314F" w:rsidRPr="001B0B74">
        <w:t xml:space="preserve">the </w:t>
      </w:r>
      <w:r w:rsidRPr="001B0B74">
        <w:t>DARWIN</w:t>
      </w:r>
      <w:r w:rsidR="0002465E" w:rsidRPr="001B0B74">
        <w:t> </w:t>
      </w:r>
      <w:r w:rsidRPr="001B0B74">
        <w:t xml:space="preserve">1 </w:t>
      </w:r>
      <w:r w:rsidR="000D314F" w:rsidRPr="001B0B74">
        <w:t xml:space="preserve">trial </w:t>
      </w:r>
      <w:r w:rsidRPr="001B0B74">
        <w:t xml:space="preserve">examined the comparative clinical efficacy of </w:t>
      </w:r>
      <w:r w:rsidR="006703B9" w:rsidRPr="001B0B74">
        <w:t>filgotinib</w:t>
      </w:r>
      <w:r w:rsidRPr="001B0B74">
        <w:t xml:space="preserve"> 100</w:t>
      </w:r>
      <w:r w:rsidR="0002465E" w:rsidRPr="001B0B74">
        <w:t> </w:t>
      </w:r>
      <w:r w:rsidRPr="001B0B74">
        <w:t>mg and 200</w:t>
      </w:r>
      <w:r w:rsidR="0002465E" w:rsidRPr="001B0B74">
        <w:t> </w:t>
      </w:r>
      <w:r w:rsidRPr="001B0B74">
        <w:t xml:space="preserve">mg </w:t>
      </w:r>
      <w:r w:rsidR="00751D74" w:rsidRPr="001B0B74">
        <w:t>once daily</w:t>
      </w:r>
      <w:r w:rsidRPr="001B0B74">
        <w:t xml:space="preserve">, and the efficacy of </w:t>
      </w:r>
      <w:r w:rsidR="006703B9" w:rsidRPr="001B0B74">
        <w:t>filgotinib</w:t>
      </w:r>
      <w:r w:rsidRPr="001B0B74">
        <w:t xml:space="preserve"> at 12 weeks in a range of subgroups based on seropositivity, disease severity at </w:t>
      </w:r>
      <w:r w:rsidR="00962353" w:rsidRPr="001B0B74">
        <w:t>B</w:t>
      </w:r>
      <w:r w:rsidRPr="001B0B74">
        <w:t xml:space="preserve">aseline, baseline </w:t>
      </w:r>
      <w:r w:rsidR="00581A19" w:rsidRPr="001B0B74">
        <w:t xml:space="preserve">corticosteroids </w:t>
      </w:r>
      <w:r w:rsidRPr="001B0B74">
        <w:t>use and duration of RA. The evaluator agreed that the pooled analyses supported a dose-response relationship across multiple efficacy endpoints and time points, in both magnitude and time to onset of treatment effect, including measures of signs and symptoms of disease (including remission) and physical functioning. No significant treatment response differences were noted based on the identified subgroup parameters.</w:t>
      </w:r>
    </w:p>
    <w:p w14:paraId="4D2D6FD4" w14:textId="77777777" w:rsidR="00176F61" w:rsidRPr="001B0B74" w:rsidRDefault="00176F61" w:rsidP="00176F61">
      <w:pPr>
        <w:pStyle w:val="Heading4"/>
      </w:pPr>
      <w:r w:rsidRPr="001B0B74">
        <w:t>Safety</w:t>
      </w:r>
    </w:p>
    <w:p w14:paraId="63280303" w14:textId="31E6E37B" w:rsidR="00176F61" w:rsidRPr="001B0B74" w:rsidRDefault="00176F61" w:rsidP="00176F61">
      <w:r w:rsidRPr="001B0B74">
        <w:t>Three integrated analysis sets, using data from FINCH</w:t>
      </w:r>
      <w:r w:rsidR="0002465E" w:rsidRPr="001B0B74">
        <w:t> </w:t>
      </w:r>
      <w:r w:rsidRPr="001B0B74">
        <w:t>1, 2, and 3</w:t>
      </w:r>
      <w:r w:rsidR="000D314F" w:rsidRPr="001B0B74">
        <w:t xml:space="preserve"> trials</w:t>
      </w:r>
      <w:r w:rsidRPr="001B0B74">
        <w:t>, DARWIN</w:t>
      </w:r>
      <w:r w:rsidR="0002465E" w:rsidRPr="001B0B74">
        <w:t> </w:t>
      </w:r>
      <w:r w:rsidRPr="001B0B74">
        <w:t>1 and 2</w:t>
      </w:r>
      <w:r w:rsidR="000D314F" w:rsidRPr="001B0B74">
        <w:t xml:space="preserve"> trials</w:t>
      </w:r>
      <w:r w:rsidRPr="001B0B74">
        <w:t xml:space="preserve">, and extension studies </w:t>
      </w:r>
      <w:r w:rsidR="0002465E" w:rsidRPr="001B0B74">
        <w:t xml:space="preserve">(the </w:t>
      </w:r>
      <w:r w:rsidRPr="001B0B74">
        <w:t>FINCH</w:t>
      </w:r>
      <w:r w:rsidR="0002465E" w:rsidRPr="001B0B74">
        <w:t> </w:t>
      </w:r>
      <w:r w:rsidRPr="001B0B74">
        <w:t>4 and DARWIN 3</w:t>
      </w:r>
      <w:r w:rsidR="000D314F" w:rsidRPr="001B0B74">
        <w:t xml:space="preserve"> trials</w:t>
      </w:r>
      <w:r w:rsidR="0002465E" w:rsidRPr="001B0B74">
        <w:t>)</w:t>
      </w:r>
      <w:r w:rsidRPr="001B0B74">
        <w:t>, provided safety data for the submission. Supportive safety information was also provided from interim study reports of trials in Crohn’s disease, psoriatic arthritis and ankylosing spondylitis.</w:t>
      </w:r>
    </w:p>
    <w:p w14:paraId="1108729E" w14:textId="407BC8F7" w:rsidR="00176F61" w:rsidRPr="001B0B74" w:rsidRDefault="00176F61" w:rsidP="00176F61">
      <w:r w:rsidRPr="001B0B74">
        <w:t xml:space="preserve">The </w:t>
      </w:r>
      <w:r w:rsidR="00FE5C74" w:rsidRPr="001B0B74">
        <w:t>placebo</w:t>
      </w:r>
      <w:r w:rsidRPr="001B0B74">
        <w:t xml:space="preserve"> controlled safety analysis set included</w:t>
      </w:r>
      <w:r w:rsidR="0002465E" w:rsidRPr="001B0B74">
        <w:t xml:space="preserve"> safety data collected up to 12 weeks of therapy in DARWIN </w:t>
      </w:r>
      <w:r w:rsidRPr="001B0B74">
        <w:t>1 and 2</w:t>
      </w:r>
      <w:r w:rsidR="000D314F" w:rsidRPr="001B0B74">
        <w:t xml:space="preserve"> trials</w:t>
      </w:r>
      <w:r w:rsidRPr="001B0B74">
        <w:t xml:space="preserve">, and </w:t>
      </w:r>
      <w:r w:rsidR="000D314F" w:rsidRPr="001B0B74">
        <w:t xml:space="preserve">the </w:t>
      </w:r>
      <w:r w:rsidR="0002465E" w:rsidRPr="001B0B74">
        <w:t>FINCH </w:t>
      </w:r>
      <w:r w:rsidRPr="001B0B74">
        <w:t>2</w:t>
      </w:r>
      <w:r w:rsidR="000D314F" w:rsidRPr="001B0B74">
        <w:t xml:space="preserve"> trial</w:t>
      </w:r>
      <w:r w:rsidR="0002465E" w:rsidRPr="001B0B74">
        <w:t>, and up to 24 </w:t>
      </w:r>
      <w:r w:rsidRPr="001B0B74">
        <w:t xml:space="preserve">weeks of therapy in </w:t>
      </w:r>
      <w:r w:rsidR="000D314F" w:rsidRPr="001B0B74">
        <w:t xml:space="preserve">the </w:t>
      </w:r>
      <w:r w:rsidR="0002465E" w:rsidRPr="001B0B74">
        <w:t>FINCH </w:t>
      </w:r>
      <w:r w:rsidRPr="001B0B74">
        <w:t>1</w:t>
      </w:r>
      <w:r w:rsidR="000D314F" w:rsidRPr="001B0B74">
        <w:t xml:space="preserve"> trial</w:t>
      </w:r>
      <w:r w:rsidRPr="001B0B74">
        <w:t>. The active controlled safety analysis set collates safety information from the FINC</w:t>
      </w:r>
      <w:r w:rsidR="0002465E" w:rsidRPr="001B0B74">
        <w:t>H </w:t>
      </w:r>
      <w:r w:rsidRPr="001B0B74">
        <w:t xml:space="preserve">1 and 3 </w:t>
      </w:r>
      <w:r w:rsidR="000D314F" w:rsidRPr="001B0B74">
        <w:t>trials</w:t>
      </w:r>
      <w:r w:rsidR="0002465E" w:rsidRPr="001B0B74">
        <w:t xml:space="preserve"> (up to W</w:t>
      </w:r>
      <w:r w:rsidRPr="001B0B74">
        <w:t xml:space="preserve">eek 52) for comparison between </w:t>
      </w:r>
      <w:r w:rsidR="006703B9" w:rsidRPr="001B0B74">
        <w:t>filgotinib</w:t>
      </w:r>
      <w:r w:rsidRPr="001B0B74">
        <w:t xml:space="preserve"> and </w:t>
      </w:r>
      <w:r w:rsidR="006760FF" w:rsidRPr="001B0B74">
        <w:t xml:space="preserve">adalimumab </w:t>
      </w:r>
      <w:r w:rsidRPr="001B0B74">
        <w:t xml:space="preserve">in </w:t>
      </w:r>
      <w:r w:rsidR="000D314F" w:rsidRPr="001B0B74">
        <w:t xml:space="preserve">the </w:t>
      </w:r>
      <w:r w:rsidR="0002465E" w:rsidRPr="001B0B74">
        <w:t>FINCH </w:t>
      </w:r>
      <w:r w:rsidRPr="001B0B74">
        <w:t>1</w:t>
      </w:r>
      <w:r w:rsidR="000D314F" w:rsidRPr="001B0B74">
        <w:t xml:space="preserve"> trial</w:t>
      </w:r>
      <w:r w:rsidRPr="001B0B74">
        <w:t xml:space="preserve"> and </w:t>
      </w:r>
      <w:r w:rsidR="00962353" w:rsidRPr="001B0B74">
        <w:t>methotrexate</w:t>
      </w:r>
      <w:r w:rsidRPr="001B0B74">
        <w:t xml:space="preserve"> monotherapy in </w:t>
      </w:r>
      <w:r w:rsidR="000D314F" w:rsidRPr="001B0B74">
        <w:t xml:space="preserve">the </w:t>
      </w:r>
      <w:r w:rsidR="0002465E" w:rsidRPr="001B0B74">
        <w:t>FINCH </w:t>
      </w:r>
      <w:r w:rsidRPr="001B0B74">
        <w:t>3</w:t>
      </w:r>
      <w:r w:rsidR="000D314F" w:rsidRPr="001B0B74">
        <w:t xml:space="preserve"> trial</w:t>
      </w:r>
      <w:r w:rsidRPr="001B0B74">
        <w:t>. The active control</w:t>
      </w:r>
      <w:r w:rsidR="0002465E" w:rsidRPr="001B0B74">
        <w:t>led dataset reports data up to W</w:t>
      </w:r>
      <w:r w:rsidRPr="001B0B74">
        <w:t>eeks</w:t>
      </w:r>
      <w:r w:rsidR="0002465E" w:rsidRPr="001B0B74">
        <w:t> </w:t>
      </w:r>
      <w:r w:rsidRPr="001B0B74">
        <w:t xml:space="preserve">12, 24 and 52. The dataset includes AE reports for patients switched from </w:t>
      </w:r>
      <w:r w:rsidR="00FE5C74" w:rsidRPr="001B0B74">
        <w:t>placebo</w:t>
      </w:r>
      <w:r w:rsidRPr="001B0B74">
        <w:t xml:space="preserve"> to </w:t>
      </w:r>
      <w:r w:rsidR="006703B9" w:rsidRPr="001B0B74">
        <w:t>filgotinib</w:t>
      </w:r>
      <w:r w:rsidRPr="001B0B74">
        <w:t xml:space="preserve"> after the initial blinded phases of each study. The integrated safety dataset combines safety da</w:t>
      </w:r>
      <w:r w:rsidR="000D314F" w:rsidRPr="001B0B74">
        <w:t xml:space="preserve">ta from </w:t>
      </w:r>
      <w:r w:rsidR="000713C0" w:rsidRPr="001B0B74">
        <w:t xml:space="preserve">the </w:t>
      </w:r>
      <w:r w:rsidR="000D314F" w:rsidRPr="001B0B74">
        <w:t xml:space="preserve">DARWIN 1 and 2 trials, </w:t>
      </w:r>
      <w:r w:rsidR="000713C0" w:rsidRPr="001B0B74">
        <w:t xml:space="preserve">the </w:t>
      </w:r>
      <w:r w:rsidR="000D314F" w:rsidRPr="001B0B74">
        <w:t xml:space="preserve">FINCH 1 to </w:t>
      </w:r>
      <w:r w:rsidRPr="001B0B74">
        <w:t>3</w:t>
      </w:r>
      <w:r w:rsidR="000D314F" w:rsidRPr="001B0B74">
        <w:t xml:space="preserve"> trials</w:t>
      </w:r>
      <w:r w:rsidRPr="001B0B74">
        <w:t xml:space="preserve"> as well as the FINCH 4 and </w:t>
      </w:r>
      <w:r w:rsidR="000D314F" w:rsidRPr="001B0B74">
        <w:t xml:space="preserve">the </w:t>
      </w:r>
      <w:r w:rsidRPr="001B0B74">
        <w:t xml:space="preserve">DARWIN 3 </w:t>
      </w:r>
      <w:r w:rsidR="000D314F" w:rsidRPr="001B0B74">
        <w:t>trials</w:t>
      </w:r>
      <w:r w:rsidR="000713C0" w:rsidRPr="001B0B74">
        <w:t xml:space="preserve"> up to the date of data cut </w:t>
      </w:r>
      <w:r w:rsidRPr="001B0B74">
        <w:t xml:space="preserve">off relevant to each trial, including AE reports from patients switched from </w:t>
      </w:r>
      <w:r w:rsidR="00FE5C74" w:rsidRPr="001B0B74">
        <w:t>placebo</w:t>
      </w:r>
      <w:r w:rsidRPr="001B0B74">
        <w:t xml:space="preserve"> to </w:t>
      </w:r>
      <w:r w:rsidR="006703B9" w:rsidRPr="001B0B74">
        <w:t>filgotinib</w:t>
      </w:r>
      <w:r w:rsidRPr="001B0B74">
        <w:t xml:space="preserve"> after re</w:t>
      </w:r>
      <w:r w:rsidR="000713C0" w:rsidRPr="001B0B74">
        <w:t>-</w:t>
      </w:r>
      <w:r w:rsidRPr="001B0B74">
        <w:t xml:space="preserve">randomisation. The majority of </w:t>
      </w:r>
      <w:r w:rsidR="006703B9" w:rsidRPr="001B0B74">
        <w:t>filgotinib</w:t>
      </w:r>
      <w:r w:rsidRPr="001B0B74">
        <w:t xml:space="preserve"> treated patients in the integrated (all exposure) dataset received concurrent </w:t>
      </w:r>
      <w:r w:rsidR="00962353" w:rsidRPr="001B0B74">
        <w:t>methotrexate</w:t>
      </w:r>
      <w:r w:rsidRPr="001B0B74">
        <w:t xml:space="preserve">, with more than half taking concomitant NSAID and/or concurrent low dose oral </w:t>
      </w:r>
      <w:r w:rsidR="00581A19" w:rsidRPr="001B0B74">
        <w:t>corticosteroids</w:t>
      </w:r>
      <w:r w:rsidRPr="001B0B74">
        <w:t>. In the integrated dat</w:t>
      </w:r>
      <w:r w:rsidR="000713C0" w:rsidRPr="001B0B74">
        <w:t>aset, safety data was reported ‘</w:t>
      </w:r>
      <w:r w:rsidRPr="001B0B74">
        <w:rPr>
          <w:i/>
        </w:rPr>
        <w:t>whilst on treatment</w:t>
      </w:r>
      <w:r w:rsidR="000713C0" w:rsidRPr="001B0B74">
        <w:t>’</w:t>
      </w:r>
      <w:r w:rsidRPr="001B0B74">
        <w:t xml:space="preserve">, and included all patients with any exposure to </w:t>
      </w:r>
      <w:r w:rsidR="006703B9" w:rsidRPr="001B0B74">
        <w:t>filgotinib</w:t>
      </w:r>
      <w:r w:rsidRPr="001B0B74">
        <w:t>. The sponsor applied a Poisson regression model to estimate within</w:t>
      </w:r>
      <w:r w:rsidR="000713C0" w:rsidRPr="001B0B74">
        <w:t xml:space="preserve"> </w:t>
      </w:r>
      <w:r w:rsidRPr="001B0B74">
        <w:t>group exposure adjusted incidence rates (EAIRs), with treatment group as a covariate, in the integrated dataset.</w:t>
      </w:r>
    </w:p>
    <w:p w14:paraId="0C21D9CA" w14:textId="6A6E5F55" w:rsidR="00176F61" w:rsidRPr="001B0B74" w:rsidRDefault="00176F61" w:rsidP="00176F61">
      <w:r w:rsidRPr="001B0B74">
        <w:t xml:space="preserve">The sponsor provided additional safety data in response to </w:t>
      </w:r>
      <w:r w:rsidR="00836295" w:rsidRPr="001B0B74">
        <w:t>a TGA request for information</w:t>
      </w:r>
      <w:r w:rsidRPr="001B0B74">
        <w:t>, specifically addressing concerns raised by the FDA regarding the risk of impaired male fertility,</w:t>
      </w:r>
      <w:r w:rsidR="004F127C" w:rsidRPr="001B0B74">
        <w:rPr>
          <w:vertAlign w:val="superscript"/>
        </w:rPr>
        <w:fldChar w:fldCharType="begin"/>
      </w:r>
      <w:r w:rsidR="004F127C" w:rsidRPr="001B0B74">
        <w:rPr>
          <w:vertAlign w:val="superscript"/>
        </w:rPr>
        <w:instrText xml:space="preserve"> NOTEREF _Ref69305608 \h  \* MERGEFORMAT </w:instrText>
      </w:r>
      <w:r w:rsidR="004F127C" w:rsidRPr="001B0B74">
        <w:rPr>
          <w:vertAlign w:val="superscript"/>
        </w:rPr>
      </w:r>
      <w:r w:rsidR="004F127C" w:rsidRPr="001B0B74">
        <w:rPr>
          <w:vertAlign w:val="superscript"/>
        </w:rPr>
        <w:fldChar w:fldCharType="separate"/>
      </w:r>
      <w:r w:rsidR="003A57FD">
        <w:rPr>
          <w:vertAlign w:val="superscript"/>
        </w:rPr>
        <w:t>11</w:t>
      </w:r>
      <w:r w:rsidR="004F127C" w:rsidRPr="001B0B74">
        <w:rPr>
          <w:vertAlign w:val="superscript"/>
        </w:rPr>
        <w:fldChar w:fldCharType="end"/>
      </w:r>
      <w:r w:rsidRPr="001B0B74">
        <w:t xml:space="preserve"> and the relative benefit</w:t>
      </w:r>
      <w:r w:rsidR="000713C0" w:rsidRPr="001B0B74">
        <w:t xml:space="preserve"> </w:t>
      </w:r>
      <w:r w:rsidRPr="001B0B74">
        <w:t>risk profile of 200</w:t>
      </w:r>
      <w:r w:rsidR="000713C0" w:rsidRPr="001B0B74">
        <w:t> </w:t>
      </w:r>
      <w:r w:rsidRPr="001B0B74">
        <w:t xml:space="preserve">mg </w:t>
      </w:r>
      <w:r w:rsidR="006703B9" w:rsidRPr="001B0B74">
        <w:t>filgotinib</w:t>
      </w:r>
      <w:r w:rsidRPr="001B0B74">
        <w:t>. These a</w:t>
      </w:r>
      <w:r w:rsidR="000713C0" w:rsidRPr="001B0B74">
        <w:t>re presented under the heading ‘</w:t>
      </w:r>
      <w:r w:rsidRPr="001B0B74">
        <w:t>Adverse events of special interest</w:t>
      </w:r>
      <w:r w:rsidR="000713C0" w:rsidRPr="001B0B74">
        <w:t>’</w:t>
      </w:r>
      <w:r w:rsidRPr="001B0B74">
        <w:t>.</w:t>
      </w:r>
    </w:p>
    <w:p w14:paraId="09ACCB51" w14:textId="2E1C4392" w:rsidR="00176F61" w:rsidRPr="001B0B74" w:rsidRDefault="00176F61" w:rsidP="00176F61">
      <w:r w:rsidRPr="001B0B74">
        <w:t xml:space="preserve">The sponsor stated that at 22 July 2019, 4033 study participants with RA had received at least one dose of </w:t>
      </w:r>
      <w:r w:rsidR="006703B9" w:rsidRPr="001B0B74">
        <w:t>filgotinib</w:t>
      </w:r>
      <w:r w:rsidRPr="001B0B74">
        <w:t xml:space="preserve"> across all of the Phase </w:t>
      </w:r>
      <w:r w:rsidR="00123D23" w:rsidRPr="001B0B74">
        <w:t>II</w:t>
      </w:r>
      <w:r w:rsidRPr="001B0B74">
        <w:t xml:space="preserve"> and </w:t>
      </w:r>
      <w:r w:rsidR="00123D23" w:rsidRPr="001B0B74">
        <w:t>III</w:t>
      </w:r>
      <w:r w:rsidRPr="001B0B74">
        <w:t xml:space="preserve"> RA studies, for a total 5975.4 patient years of exposure</w:t>
      </w:r>
      <w:r w:rsidR="000713C0" w:rsidRPr="001B0B74">
        <w:t xml:space="preserve"> (PYE)</w:t>
      </w:r>
      <w:r w:rsidRPr="001B0B74">
        <w:t xml:space="preserve">. Of these, 2402 participants had received any dose of </w:t>
      </w:r>
      <w:r w:rsidR="006703B9" w:rsidRPr="001B0B74">
        <w:t>filgotinib</w:t>
      </w:r>
      <w:r w:rsidRPr="001B0B74">
        <w:t xml:space="preserve"> for over </w:t>
      </w:r>
      <w:r w:rsidR="000713C0" w:rsidRPr="001B0B74">
        <w:t>one</w:t>
      </w:r>
      <w:r w:rsidRPr="001B0B74">
        <w:t xml:space="preserve"> year (representing 5176 PY</w:t>
      </w:r>
      <w:r w:rsidR="000713C0" w:rsidRPr="001B0B74">
        <w:t>E</w:t>
      </w:r>
      <w:r w:rsidRPr="001B0B74">
        <w:t xml:space="preserve">, </w:t>
      </w:r>
      <w:r w:rsidRPr="001B0B74">
        <w:fldChar w:fldCharType="begin"/>
      </w:r>
      <w:r w:rsidRPr="001B0B74">
        <w:instrText xml:space="preserve"> REF _Ref59447438 \h  \* MERGEFORMAT </w:instrText>
      </w:r>
      <w:r w:rsidRPr="001B0B74">
        <w:fldChar w:fldCharType="separate"/>
      </w:r>
      <w:r w:rsidR="003A57FD" w:rsidRPr="001B0B74">
        <w:t xml:space="preserve">Table </w:t>
      </w:r>
      <w:r w:rsidR="003A57FD">
        <w:t>11</w:t>
      </w:r>
      <w:r w:rsidRPr="001B0B74">
        <w:fldChar w:fldCharType="end"/>
      </w:r>
      <w:r w:rsidR="000A4E44" w:rsidRPr="001B0B74">
        <w:t>).</w:t>
      </w:r>
    </w:p>
    <w:p w14:paraId="450086FE" w14:textId="23FFF829" w:rsidR="00176F61" w:rsidRPr="001B0B74" w:rsidRDefault="00176F61" w:rsidP="00863E9F">
      <w:pPr>
        <w:pStyle w:val="TableTitle"/>
      </w:pPr>
      <w:bookmarkStart w:id="51" w:name="_Ref59447438"/>
      <w:r w:rsidRPr="001B0B74">
        <w:t xml:space="preserve">Table </w:t>
      </w:r>
      <w:fldSimple w:instr=" SEQ Table \* ARABIC ">
        <w:r w:rsidR="003A57FD">
          <w:rPr>
            <w:noProof/>
          </w:rPr>
          <w:t>11</w:t>
        </w:r>
      </w:fldSimple>
      <w:bookmarkEnd w:id="51"/>
      <w:r w:rsidRPr="001B0B74">
        <w:t xml:space="preserve">: Summary of all exposure to </w:t>
      </w:r>
      <w:r w:rsidR="006703B9" w:rsidRPr="001B0B74">
        <w:t>filgotinib</w:t>
      </w:r>
      <w:r w:rsidRPr="001B0B74">
        <w:t xml:space="preserve"> in </w:t>
      </w:r>
      <w:r w:rsidR="00FE1B47" w:rsidRPr="001B0B74">
        <w:t xml:space="preserve">rheumatoid arthritis </w:t>
      </w:r>
      <w:r w:rsidRPr="001B0B74">
        <w:t>studies</w:t>
      </w:r>
    </w:p>
    <w:p w14:paraId="2FD206F0" w14:textId="2E4D472E" w:rsidR="00A34150" w:rsidRPr="001B0B74" w:rsidRDefault="00A34150" w:rsidP="00AB05AB">
      <w:r w:rsidRPr="001B0B74">
        <w:rPr>
          <w:noProof/>
          <w:lang w:eastAsia="en-AU"/>
        </w:rPr>
        <w:drawing>
          <wp:inline distT="0" distB="0" distL="0" distR="0" wp14:anchorId="65B06EE0" wp14:editId="29462CBC">
            <wp:extent cx="5400040" cy="4995545"/>
            <wp:effectExtent l="0" t="0" r="0" b="0"/>
            <wp:docPr id="6" name="Picture 6" descr="Summary of all exposure to filgotinib in rheumatoid arthritis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00040" cy="4995545"/>
                    </a:xfrm>
                    <a:prstGeom prst="rect">
                      <a:avLst/>
                    </a:prstGeom>
                  </pic:spPr>
                </pic:pic>
              </a:graphicData>
            </a:graphic>
          </wp:inline>
        </w:drawing>
      </w:r>
    </w:p>
    <w:p w14:paraId="77934204" w14:textId="4F5736A5" w:rsidR="00863E9F" w:rsidRPr="001B0B74" w:rsidRDefault="00863E9F" w:rsidP="005234DD">
      <w:pPr>
        <w:pStyle w:val="TableDescription"/>
      </w:pPr>
      <w:r w:rsidRPr="001B0B74">
        <w:t>LTE = long term exposure; Q1 = first quartile; Q3 = third quartile, QD = once daily; SD = standard deviation.</w:t>
      </w:r>
    </w:p>
    <w:p w14:paraId="131C9F82" w14:textId="77777777" w:rsidR="005234DD" w:rsidRPr="001B0B74" w:rsidRDefault="00863E9F" w:rsidP="005234DD">
      <w:pPr>
        <w:pStyle w:val="TableDescription"/>
        <w:numPr>
          <w:ilvl w:val="0"/>
          <w:numId w:val="40"/>
        </w:numPr>
      </w:pPr>
      <w:r w:rsidRPr="001B0B74">
        <w:t xml:space="preserve">As randomised subjects includes data from the </w:t>
      </w:r>
      <w:r w:rsidR="005234DD" w:rsidRPr="001B0B74">
        <w:t>subject’s</w:t>
      </w:r>
      <w:r w:rsidRPr="001B0B74">
        <w:t xml:space="preserve"> original assigned study treatment, but censors data after subjects were randomised or assigned to a different treatment at Week 12/14 or Week 24 or at rollover to the LTE studies with the exception that placebo subjects who were randomised to filgotinib were included in corresponding filgotinib group (</w:t>
      </w:r>
      <w:r w:rsidR="005234DD" w:rsidRPr="001B0B74">
        <w:t>exposure</w:t>
      </w:r>
      <w:r w:rsidRPr="001B0B74">
        <w:t xml:space="preserve"> started from first dose of filgotinib).</w:t>
      </w:r>
    </w:p>
    <w:p w14:paraId="1C3CFED5" w14:textId="5E3ADC27" w:rsidR="00863E9F" w:rsidRPr="001B0B74" w:rsidRDefault="00863E9F" w:rsidP="005234DD">
      <w:pPr>
        <w:pStyle w:val="TableDescription"/>
        <w:numPr>
          <w:ilvl w:val="0"/>
          <w:numId w:val="40"/>
        </w:numPr>
      </w:pPr>
      <w:r w:rsidRPr="001B0B74">
        <w:t>The data was restricted to patients who remained on the same dose of filgotinib for consecutively 5</w:t>
      </w:r>
      <w:r w:rsidR="005234DD" w:rsidRPr="001B0B74">
        <w:t>2</w:t>
      </w:r>
      <w:r w:rsidRPr="001B0B74">
        <w:t xml:space="preserve"> weeks at what was initially being taken at the beginning of the parent study </w:t>
      </w:r>
      <w:r w:rsidR="005234DD" w:rsidRPr="001B0B74">
        <w:t>w</w:t>
      </w:r>
      <w:r w:rsidRPr="001B0B74">
        <w:t>i</w:t>
      </w:r>
      <w:r w:rsidR="005234DD" w:rsidRPr="001B0B74">
        <w:t>th</w:t>
      </w:r>
      <w:r w:rsidRPr="001B0B74">
        <w:t xml:space="preserve">in the </w:t>
      </w:r>
      <w:r w:rsidR="005234DD" w:rsidRPr="001B0B74">
        <w:t>exception</w:t>
      </w:r>
      <w:r w:rsidRPr="001B0B74">
        <w:t xml:space="preserve"> that placebo subjects who </w:t>
      </w:r>
      <w:r w:rsidR="005234DD" w:rsidRPr="001B0B74">
        <w:t>were randomis</w:t>
      </w:r>
      <w:r w:rsidRPr="001B0B74">
        <w:t xml:space="preserve">ed to filgotinib </w:t>
      </w:r>
      <w:r w:rsidR="005234DD" w:rsidRPr="001B0B74">
        <w:t xml:space="preserve">were include </w:t>
      </w:r>
      <w:r w:rsidRPr="001B0B74">
        <w:t>in corre</w:t>
      </w:r>
      <w:r w:rsidR="005234DD" w:rsidRPr="001B0B74">
        <w:t>sponding filgotinib</w:t>
      </w:r>
      <w:r w:rsidRPr="001B0B74">
        <w:t xml:space="preserve"> group (exposure started from first dos</w:t>
      </w:r>
      <w:r w:rsidR="005234DD" w:rsidRPr="001B0B74">
        <w:t>e</w:t>
      </w:r>
      <w:r w:rsidRPr="001B0B74">
        <w:t xml:space="preserve"> of filgotinib).</w:t>
      </w:r>
    </w:p>
    <w:p w14:paraId="755F48C2" w14:textId="7EB6A960" w:rsidR="00176F61" w:rsidRPr="001B0B74" w:rsidRDefault="00176F61" w:rsidP="00176F61">
      <w:r w:rsidRPr="001B0B74">
        <w:t xml:space="preserve">Compared to </w:t>
      </w:r>
      <w:r w:rsidR="00FE5C74" w:rsidRPr="001B0B74">
        <w:t>placebo</w:t>
      </w:r>
      <w:r w:rsidRPr="001B0B74">
        <w:t xml:space="preserve">, </w:t>
      </w:r>
      <w:r w:rsidR="006703B9" w:rsidRPr="001B0B74">
        <w:t>filgotinib</w:t>
      </w:r>
      <w:r w:rsidRPr="001B0B74">
        <w:t xml:space="preserve"> was associated with a numerically higher incidence of serious infectious AEs and AEs resulting in temporary treatment discontinuation. Some of the AE types (mainly, laboratory abnormalities including increased serum </w:t>
      </w:r>
      <w:r w:rsidR="00BF7F37" w:rsidRPr="001B0B74">
        <w:t>creatine phosphokinase (</w:t>
      </w:r>
      <w:r w:rsidRPr="001B0B74">
        <w:t>CPK</w:t>
      </w:r>
      <w:r w:rsidR="00BF7F37" w:rsidRPr="001B0B74">
        <w:t>)</w:t>
      </w:r>
      <w:r w:rsidRPr="001B0B74">
        <w:t xml:space="preserve"> levels and increased serum transaminases) occurred at a higher incidence in the higher dose </w:t>
      </w:r>
      <w:r w:rsidR="006703B9" w:rsidRPr="001B0B74">
        <w:t>filgotinib</w:t>
      </w:r>
      <w:r w:rsidR="00BF7F37" w:rsidRPr="001B0B74">
        <w:t xml:space="preserve"> treatment cohort (200 </w:t>
      </w:r>
      <w:r w:rsidRPr="001B0B74">
        <w:t xml:space="preserve">mg </w:t>
      </w:r>
      <w:r w:rsidR="00751D74" w:rsidRPr="001B0B74">
        <w:t>once daily</w:t>
      </w:r>
      <w:r w:rsidR="00BF7F37" w:rsidRPr="001B0B74">
        <w:t xml:space="preserve"> versus 100 </w:t>
      </w:r>
      <w:r w:rsidRPr="001B0B74">
        <w:t xml:space="preserve">mg </w:t>
      </w:r>
      <w:r w:rsidR="00751D74" w:rsidRPr="001B0B74">
        <w:t>once daily</w:t>
      </w:r>
      <w:r w:rsidRPr="001B0B74">
        <w:t xml:space="preserve">). Infection was the most common AE reported with </w:t>
      </w:r>
      <w:r w:rsidR="006703B9" w:rsidRPr="001B0B74">
        <w:t>filgotinib</w:t>
      </w:r>
      <w:r w:rsidRPr="001B0B74">
        <w:t xml:space="preserve"> and occurred at a higher frequency with </w:t>
      </w:r>
      <w:r w:rsidR="006703B9" w:rsidRPr="001B0B74">
        <w:t>filgotinib</w:t>
      </w:r>
      <w:r w:rsidR="00BF7F37" w:rsidRPr="001B0B74">
        <w:t xml:space="preserve"> 200 and 100 </w:t>
      </w:r>
      <w:r w:rsidRPr="001B0B74">
        <w:t xml:space="preserve">mg </w:t>
      </w:r>
      <w:r w:rsidR="00751D74" w:rsidRPr="001B0B74">
        <w:t>once daily</w:t>
      </w:r>
      <w:r w:rsidRPr="001B0B74">
        <w:t xml:space="preserve"> treatment versus </w:t>
      </w:r>
      <w:r w:rsidR="00FE5C74" w:rsidRPr="001B0B74">
        <w:t xml:space="preserve">placebo </w:t>
      </w:r>
      <w:r w:rsidRPr="001B0B74">
        <w:t>(first 12</w:t>
      </w:r>
      <w:r w:rsidR="00BF7F37" w:rsidRPr="001B0B74">
        <w:t xml:space="preserve"> to </w:t>
      </w:r>
      <w:r w:rsidRPr="001B0B74">
        <w:t xml:space="preserve">24 weeks for the pivotal Phase </w:t>
      </w:r>
      <w:r w:rsidR="00123D23" w:rsidRPr="001B0B74">
        <w:t>III</w:t>
      </w:r>
      <w:r w:rsidRPr="001B0B74">
        <w:t xml:space="preserve"> trials). The majority of infections were mild in severity, self</w:t>
      </w:r>
      <w:r w:rsidR="00BF7F37" w:rsidRPr="001B0B74">
        <w:t xml:space="preserve"> </w:t>
      </w:r>
      <w:r w:rsidRPr="001B0B74">
        <w:t xml:space="preserve">limiting, and were predominately either </w:t>
      </w:r>
      <w:r w:rsidR="00553EED" w:rsidRPr="001B0B74">
        <w:t>upper respiratory tract infection (</w:t>
      </w:r>
      <w:r w:rsidRPr="001B0B74">
        <w:t>URTI</w:t>
      </w:r>
      <w:r w:rsidR="00553EED" w:rsidRPr="001B0B74">
        <w:t>)</w:t>
      </w:r>
      <w:r w:rsidRPr="001B0B74">
        <w:t xml:space="preserve">, nasopharyngitis or bronchitis. The use of concurrent </w:t>
      </w:r>
      <w:r w:rsidR="00962353" w:rsidRPr="001B0B74">
        <w:t>methotrexate</w:t>
      </w:r>
      <w:r w:rsidRPr="001B0B74">
        <w:t xml:space="preserve"> did not appear to increase the overall risk of AEs, including infection related AEs (integrated safety dataset). Reports of nausea (often in the absence of other gastrointestinal symptoms) were more frequent with </w:t>
      </w:r>
      <w:r w:rsidR="006703B9" w:rsidRPr="001B0B74">
        <w:t>filgotinib</w:t>
      </w:r>
      <w:r w:rsidR="00BA2843" w:rsidRPr="001B0B74">
        <w:t xml:space="preserve"> 200 </w:t>
      </w:r>
      <w:r w:rsidRPr="001B0B74">
        <w:t xml:space="preserve">mg/day therapy versus </w:t>
      </w:r>
      <w:r w:rsidR="00FE5C74" w:rsidRPr="001B0B74">
        <w:t>placebo</w:t>
      </w:r>
      <w:r w:rsidRPr="001B0B74">
        <w:t xml:space="preserve">, and approximately half of all cases occurred within four weeks of commencing treatment. Hypertension was also reported more frequently in the </w:t>
      </w:r>
      <w:r w:rsidR="006703B9" w:rsidRPr="001B0B74">
        <w:t>filgotinib</w:t>
      </w:r>
      <w:r w:rsidRPr="001B0B74">
        <w:t xml:space="preserve"> 200</w:t>
      </w:r>
      <w:r w:rsidR="00BA2843" w:rsidRPr="001B0B74">
        <w:t> </w:t>
      </w:r>
      <w:r w:rsidRPr="001B0B74">
        <w:t>mg grou</w:t>
      </w:r>
      <w:r w:rsidR="00BA2843" w:rsidRPr="001B0B74">
        <w:t>p, affecting 3.3% of patients.</w:t>
      </w:r>
    </w:p>
    <w:p w14:paraId="637736DB" w14:textId="72521803" w:rsidR="00176F61" w:rsidRPr="001B0B74" w:rsidRDefault="00176F61" w:rsidP="00176F61">
      <w:r w:rsidRPr="001B0B74">
        <w:t xml:space="preserve">In the integrated safety dataset populations, there was a small increased incidence and EAIR of serious infection with both doses of </w:t>
      </w:r>
      <w:r w:rsidR="006703B9" w:rsidRPr="001B0B74">
        <w:t>filgotinib</w:t>
      </w:r>
      <w:r w:rsidRPr="001B0B74">
        <w:t xml:space="preserve"> versus </w:t>
      </w:r>
      <w:r w:rsidR="00FE5C74" w:rsidRPr="001B0B74">
        <w:t>placebo</w:t>
      </w:r>
      <w:r w:rsidRPr="001B0B74">
        <w:t xml:space="preserve">. There was no clear dose dependent effect of </w:t>
      </w:r>
      <w:r w:rsidR="006703B9" w:rsidRPr="001B0B74">
        <w:t>filgotinib</w:t>
      </w:r>
      <w:r w:rsidRPr="001B0B74">
        <w:t xml:space="preserve"> on the incidence of serious and opportunistic infection. Although there was no clear signal of an increased risk of opportunistic infection with </w:t>
      </w:r>
      <w:r w:rsidR="006703B9" w:rsidRPr="001B0B74">
        <w:t>filgotinib</w:t>
      </w:r>
      <w:r w:rsidRPr="001B0B74">
        <w:t>, in the long</w:t>
      </w:r>
      <w:r w:rsidR="00897C9A" w:rsidRPr="001B0B74">
        <w:t xml:space="preserve"> </w:t>
      </w:r>
      <w:r w:rsidRPr="001B0B74">
        <w:t>term safety population several cases of TB (pulmonary, lymph node and mening</w:t>
      </w:r>
      <w:r w:rsidR="00A522B6" w:rsidRPr="001B0B74">
        <w:t>es</w:t>
      </w:r>
      <w:r w:rsidRPr="001B0B74">
        <w:t xml:space="preserve">) were recorded. Additionally, one case of cryptococcal pneumonia was reported in a patient receiving </w:t>
      </w:r>
      <w:r w:rsidR="006703B9" w:rsidRPr="001B0B74">
        <w:t>filgotinib</w:t>
      </w:r>
      <w:r w:rsidR="00BA2843" w:rsidRPr="001B0B74">
        <w:t xml:space="preserve"> 200 </w:t>
      </w:r>
      <w:r w:rsidRPr="001B0B74">
        <w:t xml:space="preserve">mg, and three non-serious cases of oesophageal candidiasis. During the controlled trial periods, several </w:t>
      </w:r>
      <w:r w:rsidR="006703B9" w:rsidRPr="001B0B74">
        <w:t>filgotinib</w:t>
      </w:r>
      <w:r w:rsidRPr="001B0B74">
        <w:t xml:space="preserve"> treated patients and one patient receiving </w:t>
      </w:r>
      <w:r w:rsidR="006760FF" w:rsidRPr="001B0B74">
        <w:t xml:space="preserve">adalimumab </w:t>
      </w:r>
      <w:r w:rsidRPr="001B0B74">
        <w:t>were identified as having latent TB. All observed TB cases occurred in countries where TB is prevalent, and the sponsor has included a warning about the risk of TB and screening pre-treatment in the proposed PI. In the long</w:t>
      </w:r>
      <w:r w:rsidR="00897C9A" w:rsidRPr="001B0B74">
        <w:t xml:space="preserve"> </w:t>
      </w:r>
      <w:r w:rsidRPr="001B0B74">
        <w:t xml:space="preserve">term exposure population, a small number of patients recorded detectable </w:t>
      </w:r>
      <w:r w:rsidR="00553EED" w:rsidRPr="001B0B74">
        <w:t>hepatitis B virus (</w:t>
      </w:r>
      <w:r w:rsidRPr="001B0B74">
        <w:t>HBV</w:t>
      </w:r>
      <w:r w:rsidR="00553EED" w:rsidRPr="001B0B74">
        <w:t>)</w:t>
      </w:r>
      <w:r w:rsidRPr="001B0B74">
        <w:t xml:space="preserve"> DNA after receiving </w:t>
      </w:r>
      <w:r w:rsidR="006703B9" w:rsidRPr="001B0B74">
        <w:t>filgotinib</w:t>
      </w:r>
      <w:r w:rsidRPr="001B0B74">
        <w:t xml:space="preserve">. There was a clear increased risk of herpes zoster infection with </w:t>
      </w:r>
      <w:r w:rsidR="006703B9" w:rsidRPr="001B0B74">
        <w:t>filgotinib</w:t>
      </w:r>
      <w:r w:rsidRPr="001B0B74">
        <w:t xml:space="preserve"> versus </w:t>
      </w:r>
      <w:r w:rsidR="00FE5C74" w:rsidRPr="001B0B74">
        <w:t>placebo</w:t>
      </w:r>
      <w:r w:rsidRPr="001B0B74">
        <w:t xml:space="preserve">. A </w:t>
      </w:r>
      <w:r w:rsidR="006703B9" w:rsidRPr="001B0B74">
        <w:t>filgotinib</w:t>
      </w:r>
      <w:r w:rsidRPr="001B0B74">
        <w:t xml:space="preserve"> dose effect was observed for the risk of herpes zoster infection. The majority of herpetic infections were of mild or moderate severity and responded to standard treatment.</w:t>
      </w:r>
    </w:p>
    <w:p w14:paraId="6F805D7A" w14:textId="751E9261" w:rsidR="00176F61" w:rsidRPr="001B0B74" w:rsidRDefault="00176F61" w:rsidP="00176F61">
      <w:r w:rsidRPr="001B0B74">
        <w:t xml:space="preserve">Permanent discontinuations from treatment owing to AEs up to 24 and 52 weeks occurred at a similar frequency with both doses of </w:t>
      </w:r>
      <w:r w:rsidR="006703B9" w:rsidRPr="001B0B74">
        <w:t>filgotinib</w:t>
      </w:r>
      <w:r w:rsidRPr="001B0B74">
        <w:t xml:space="preserve"> versus </w:t>
      </w:r>
      <w:r w:rsidR="00FE5C74" w:rsidRPr="001B0B74">
        <w:t>placebo</w:t>
      </w:r>
      <w:r w:rsidRPr="001B0B74">
        <w:t xml:space="preserve">, </w:t>
      </w:r>
      <w:r w:rsidR="00962353" w:rsidRPr="001B0B74">
        <w:t>methotrexate</w:t>
      </w:r>
      <w:r w:rsidRPr="001B0B74">
        <w:t xml:space="preserve"> and </w:t>
      </w:r>
      <w:r w:rsidR="006760FF" w:rsidRPr="001B0B74">
        <w:t>adalimumab</w:t>
      </w:r>
      <w:r w:rsidRPr="001B0B74">
        <w:t xml:space="preserve">. However, temporary treatment interruptions were reported more frequently for patients taking </w:t>
      </w:r>
      <w:r w:rsidR="006703B9" w:rsidRPr="001B0B74">
        <w:t>filgotinib</w:t>
      </w:r>
      <w:r w:rsidRPr="001B0B74">
        <w:t xml:space="preserve"> versus </w:t>
      </w:r>
      <w:r w:rsidR="00FE5C74" w:rsidRPr="001B0B74">
        <w:t>placebo</w:t>
      </w:r>
      <w:r w:rsidRPr="001B0B74">
        <w:t>. The AEs resulting in temporary treatment interruption showed a similar pattern to the most common types of overall AEs</w:t>
      </w:r>
      <w:r w:rsidR="00BA2843" w:rsidRPr="001B0B74">
        <w:t>,</w:t>
      </w:r>
      <w:r w:rsidRPr="001B0B74">
        <w:t xml:space="preserve"> mostly, minor infections, gastrointestinal upset and/or transient </w:t>
      </w:r>
      <w:r w:rsidR="00BA2843" w:rsidRPr="001B0B74">
        <w:t>laboratory test abnormalities.</w:t>
      </w:r>
    </w:p>
    <w:p w14:paraId="2A8EFD12" w14:textId="3670D77D" w:rsidR="00176F61" w:rsidRPr="001B0B74" w:rsidRDefault="00176F61" w:rsidP="00176F61">
      <w:r w:rsidRPr="001B0B74">
        <w:t xml:space="preserve">A total of 25 deaths were reported in </w:t>
      </w:r>
      <w:r w:rsidR="006703B9" w:rsidRPr="001B0B74">
        <w:t>filgotinib</w:t>
      </w:r>
      <w:r w:rsidRPr="001B0B74">
        <w:t xml:space="preserve"> treated subjects in the updated integrated safety analysis. These including nine major adverse cardiovascular events (MACE), seven infection related and three cancer related deaths in </w:t>
      </w:r>
      <w:r w:rsidR="006703B9" w:rsidRPr="001B0B74">
        <w:t>filgotinib</w:t>
      </w:r>
      <w:r w:rsidRPr="001B0B74">
        <w:t xml:space="preserve"> treated subjects. Mortality rates and causes of death were similar between </w:t>
      </w:r>
      <w:r w:rsidR="006703B9" w:rsidRPr="001B0B74">
        <w:t>filgotinib</w:t>
      </w:r>
      <w:r w:rsidRPr="001B0B74">
        <w:t xml:space="preserve"> and </w:t>
      </w:r>
      <w:r w:rsidR="00FE5C74" w:rsidRPr="001B0B74">
        <w:t>placebo</w:t>
      </w:r>
      <w:r w:rsidRPr="001B0B74">
        <w:t xml:space="preserve"> or comparator therapies (</w:t>
      </w:r>
      <w:r w:rsidR="00962353" w:rsidRPr="001B0B74">
        <w:t>methotrexate</w:t>
      </w:r>
      <w:r w:rsidRPr="001B0B74">
        <w:t xml:space="preserve"> and </w:t>
      </w:r>
      <w:r w:rsidR="006760FF" w:rsidRPr="001B0B74">
        <w:t>adalimumab</w:t>
      </w:r>
      <w:r w:rsidRPr="001B0B74">
        <w:t>) in relatively short term treatment follow</w:t>
      </w:r>
      <w:r w:rsidR="00BA2843" w:rsidRPr="001B0B74">
        <w:t xml:space="preserve"> </w:t>
      </w:r>
      <w:r w:rsidRPr="001B0B74">
        <w:t xml:space="preserve">up (up to </w:t>
      </w:r>
      <w:r w:rsidR="009F4ADE" w:rsidRPr="001B0B74">
        <w:t>three years).</w:t>
      </w:r>
    </w:p>
    <w:p w14:paraId="4A8F56CF" w14:textId="0C961E87" w:rsidR="00176F61" w:rsidRPr="001B0B74" w:rsidRDefault="00176F61" w:rsidP="00176F61">
      <w:r w:rsidRPr="001B0B74">
        <w:t xml:space="preserve">Increases in serum CPK values and serum lipid levels are recognised safety concerns with JAK inhibition and were observed with </w:t>
      </w:r>
      <w:r w:rsidR="006703B9" w:rsidRPr="001B0B74">
        <w:t>filgotinib</w:t>
      </w:r>
      <w:r w:rsidRPr="001B0B74">
        <w:t xml:space="preserve"> in the RA treatment studies. Up to 24</w:t>
      </w:r>
      <w:r w:rsidR="00A522B6" w:rsidRPr="001B0B74">
        <w:t> </w:t>
      </w:r>
      <w:r w:rsidRPr="001B0B74">
        <w:t xml:space="preserve">weeks, the overall incidence of </w:t>
      </w:r>
      <w:r w:rsidR="00553EED" w:rsidRPr="001B0B74">
        <w:t xml:space="preserve">low density lipoprotein </w:t>
      </w:r>
      <w:r w:rsidR="00274A3D" w:rsidRPr="001B0B74">
        <w:t>(</w:t>
      </w:r>
      <w:r w:rsidRPr="001B0B74">
        <w:t>LDL</w:t>
      </w:r>
      <w:r w:rsidR="00274A3D" w:rsidRPr="001B0B74">
        <w:t>)</w:t>
      </w:r>
      <w:r w:rsidRPr="001B0B74">
        <w:t>-cholesterol values &gt;</w:t>
      </w:r>
      <w:r w:rsidR="00BF5CDE" w:rsidRPr="001B0B74">
        <w:t> 3.36 </w:t>
      </w:r>
      <w:r w:rsidRPr="001B0B74">
        <w:t xml:space="preserve">mmol/L was higher with </w:t>
      </w:r>
      <w:r w:rsidR="006703B9" w:rsidRPr="001B0B74">
        <w:t>filgotinib</w:t>
      </w:r>
      <w:r w:rsidR="00BF5CDE" w:rsidRPr="001B0B74">
        <w:t xml:space="preserve"> 200 </w:t>
      </w:r>
      <w:r w:rsidRPr="001B0B74">
        <w:t xml:space="preserve">mg/day treatment compared with </w:t>
      </w:r>
      <w:r w:rsidR="00FE5C74" w:rsidRPr="001B0B74">
        <w:t>placebo</w:t>
      </w:r>
      <w:r w:rsidRPr="001B0B74">
        <w:t xml:space="preserve">; and was also numerically greater compared to the active comparators </w:t>
      </w:r>
      <w:r w:rsidR="00962353" w:rsidRPr="001B0B74">
        <w:t>methotrexate</w:t>
      </w:r>
      <w:r w:rsidRPr="001B0B74">
        <w:t xml:space="preserve"> monotherapy and </w:t>
      </w:r>
      <w:r w:rsidR="006760FF" w:rsidRPr="001B0B74">
        <w:t>adalimumab</w:t>
      </w:r>
      <w:r w:rsidRPr="001B0B74">
        <w:t>. The long</w:t>
      </w:r>
      <w:r w:rsidR="00897C9A" w:rsidRPr="001B0B74">
        <w:t xml:space="preserve"> </w:t>
      </w:r>
      <w:r w:rsidRPr="001B0B74">
        <w:t xml:space="preserve">term clinical consequences, if any, of atherogenic lipid profiles associated with </w:t>
      </w:r>
      <w:r w:rsidR="006703B9" w:rsidRPr="001B0B74">
        <w:t>filgotinib</w:t>
      </w:r>
      <w:r w:rsidRPr="001B0B74">
        <w:t xml:space="preserve"> are unknown. Small to moderate increases in serum CPK values were frequent with </w:t>
      </w:r>
      <w:r w:rsidR="006703B9" w:rsidRPr="001B0B74">
        <w:t>filgotinib</w:t>
      </w:r>
      <w:r w:rsidRPr="001B0B74">
        <w:t xml:space="preserve"> therapy but the percentage of patients who recorded Grade 3 or higher elevations in CPK were only 0.8</w:t>
      </w:r>
      <w:r w:rsidR="00BF5CDE" w:rsidRPr="001B0B74">
        <w:t xml:space="preserve"> to </w:t>
      </w:r>
      <w:r w:rsidRPr="001B0B74">
        <w:t xml:space="preserve">1.5% (slightly higher incidence with </w:t>
      </w:r>
      <w:r w:rsidR="006703B9" w:rsidRPr="001B0B74">
        <w:t>filgotinib</w:t>
      </w:r>
      <w:r w:rsidR="00BF5CDE" w:rsidRPr="001B0B74">
        <w:t xml:space="preserve"> 200 mg versus 100 </w:t>
      </w:r>
      <w:r w:rsidRPr="001B0B74">
        <w:t>mg). There was also a slightly higher incidence of Grade 2 neutrop</w:t>
      </w:r>
      <w:r w:rsidR="00A522B6" w:rsidRPr="001B0B74">
        <w:t>a</w:t>
      </w:r>
      <w:r w:rsidRPr="001B0B74">
        <w:t>enia as well as lymphop</w:t>
      </w:r>
      <w:r w:rsidR="00A522B6" w:rsidRPr="001B0B74">
        <w:t>a</w:t>
      </w:r>
      <w:r w:rsidRPr="001B0B74">
        <w:t xml:space="preserve">enia observed with both doses compared to </w:t>
      </w:r>
      <w:r w:rsidR="00FE5C74" w:rsidRPr="001B0B74">
        <w:t>placebo</w:t>
      </w:r>
      <w:r w:rsidRPr="001B0B74">
        <w:t xml:space="preserve"> as well as to active comparator treatment with </w:t>
      </w:r>
      <w:r w:rsidR="00962353" w:rsidRPr="001B0B74">
        <w:t>methotrexate</w:t>
      </w:r>
      <w:r w:rsidRPr="001B0B74">
        <w:t xml:space="preserve"> and </w:t>
      </w:r>
      <w:r w:rsidR="006760FF" w:rsidRPr="001B0B74">
        <w:t>adalimumab</w:t>
      </w:r>
      <w:r w:rsidRPr="001B0B74">
        <w:t>. There was also a slightly higher incidence of thrombocytosis (platelet count &gt;</w:t>
      </w:r>
      <w:r w:rsidR="000C5407" w:rsidRPr="001B0B74">
        <w:t> 600 x </w:t>
      </w:r>
      <w:r w:rsidRPr="001B0B74">
        <w:t xml:space="preserve">109/L) observed in patients treated with </w:t>
      </w:r>
      <w:r w:rsidR="006703B9" w:rsidRPr="001B0B74">
        <w:t>filgotinib</w:t>
      </w:r>
      <w:r w:rsidR="000C5407" w:rsidRPr="001B0B74">
        <w:t>.</w:t>
      </w:r>
    </w:p>
    <w:p w14:paraId="780210AC" w14:textId="4AD52758" w:rsidR="00176F61" w:rsidRPr="001B0B74" w:rsidRDefault="00176F61" w:rsidP="00176F61">
      <w:r w:rsidRPr="001B0B74">
        <w:t>The evaluator concluded that there was limited long</w:t>
      </w:r>
      <w:r w:rsidR="00897C9A" w:rsidRPr="001B0B74">
        <w:t xml:space="preserve"> </w:t>
      </w:r>
      <w:r w:rsidRPr="001B0B74">
        <w:t>term safety data in the submission to assess the risk of some types of AEs such as malignancy and MACE, which will require additional longitudinal safety follow</w:t>
      </w:r>
      <w:r w:rsidR="000C5407" w:rsidRPr="001B0B74">
        <w:t xml:space="preserve"> </w:t>
      </w:r>
      <w:r w:rsidRPr="001B0B74">
        <w:t xml:space="preserve">up. There are some significant safety concerns with </w:t>
      </w:r>
      <w:r w:rsidR="006703B9" w:rsidRPr="001B0B74">
        <w:t>filgotinib</w:t>
      </w:r>
      <w:r w:rsidRPr="001B0B74">
        <w:t xml:space="preserve"> therapy including the risk of infection, opportunistic infection (mainly, herpes zoster infection), increased serum CPK values, anaemia, neutrop</w:t>
      </w:r>
      <w:r w:rsidR="00A522B6" w:rsidRPr="001B0B74">
        <w:t>a</w:t>
      </w:r>
      <w:r w:rsidRPr="001B0B74">
        <w:t xml:space="preserve">enia, thrombocytosis, abnormal liver function tests (raised serum transaminases) and dyslipidaemia. These safety concerns are consistent with the known profile of JAK inhibitor therapy in adult patients with RA. Significant pharmacovigilance will be required if approval is granted for registration of </w:t>
      </w:r>
      <w:r w:rsidR="006703B9" w:rsidRPr="001B0B74">
        <w:t>filgotinib</w:t>
      </w:r>
      <w:r w:rsidRPr="001B0B74">
        <w:t xml:space="preserve"> for the treatment of RA. This would include vigilance for serious and opportunistic infections, MACE and malignancy (particularly, non-melanoma skin cancers).</w:t>
      </w:r>
    </w:p>
    <w:p w14:paraId="02468FA6" w14:textId="77777777" w:rsidR="00176F61" w:rsidRPr="001B0B74" w:rsidRDefault="00176F61" w:rsidP="000C5407">
      <w:pPr>
        <w:pStyle w:val="Heading5"/>
      </w:pPr>
      <w:r w:rsidRPr="001B0B74">
        <w:t>Adverse events of special interest</w:t>
      </w:r>
    </w:p>
    <w:p w14:paraId="68017BD7" w14:textId="7B184258" w:rsidR="00176F61" w:rsidRPr="001B0B74" w:rsidRDefault="00176F61" w:rsidP="00176F61">
      <w:r w:rsidRPr="001B0B74">
        <w:t xml:space="preserve">The sponsor provided analyses for positively adjudicated events of MACE for each of the safety populations. In the </w:t>
      </w:r>
      <w:r w:rsidR="00FE5C74" w:rsidRPr="001B0B74">
        <w:t>placebo</w:t>
      </w:r>
      <w:r w:rsidRPr="001B0B74">
        <w:t xml:space="preserve"> controlled safety analysis set, the EAIRs for positively adjudicated MACE were similar across the </w:t>
      </w:r>
      <w:r w:rsidR="006703B9" w:rsidRPr="001B0B74">
        <w:t>filgotinib</w:t>
      </w:r>
      <w:r w:rsidRPr="001B0B74">
        <w:t xml:space="preserve"> and </w:t>
      </w:r>
      <w:r w:rsidR="00FE5C74" w:rsidRPr="001B0B74">
        <w:t>placebo</w:t>
      </w:r>
      <w:r w:rsidRPr="001B0B74">
        <w:t xml:space="preserve"> </w:t>
      </w:r>
      <w:r w:rsidR="00087FD2" w:rsidRPr="001B0B74">
        <w:t xml:space="preserve">treatment groups. In the active </w:t>
      </w:r>
      <w:r w:rsidRPr="001B0B74">
        <w:t xml:space="preserve">controlled studies, no patient in the </w:t>
      </w:r>
      <w:r w:rsidR="006703B9" w:rsidRPr="001B0B74">
        <w:t>filgotinib</w:t>
      </w:r>
      <w:r w:rsidRPr="001B0B74">
        <w:t xml:space="preserve"> 200</w:t>
      </w:r>
      <w:r w:rsidR="00087FD2" w:rsidRPr="001B0B74">
        <w:t> </w:t>
      </w:r>
      <w:r w:rsidRPr="001B0B74">
        <w:t xml:space="preserve">mg group, two patients in the </w:t>
      </w:r>
      <w:r w:rsidR="006703B9" w:rsidRPr="001B0B74">
        <w:t>filgotinib</w:t>
      </w:r>
      <w:r w:rsidRPr="001B0B74">
        <w:t xml:space="preserve"> 100</w:t>
      </w:r>
      <w:r w:rsidR="00087FD2" w:rsidRPr="001B0B74">
        <w:t> </w:t>
      </w:r>
      <w:r w:rsidRPr="001B0B74">
        <w:t xml:space="preserve">mg group (one cardiovascular death, one non-fatal stroke) and one patient in the </w:t>
      </w:r>
      <w:r w:rsidR="006760FF" w:rsidRPr="001B0B74">
        <w:t xml:space="preserve">adalimumab </w:t>
      </w:r>
      <w:r w:rsidRPr="001B0B74">
        <w:t xml:space="preserve">group (non-fatal myocardial infarction) experienced adjudicated MACE events. In the integrated safety analysis, 13 patients in the </w:t>
      </w:r>
      <w:r w:rsidR="006703B9" w:rsidRPr="001B0B74">
        <w:t>filgotinib</w:t>
      </w:r>
      <w:r w:rsidRPr="001B0B74">
        <w:t xml:space="preserve"> 200</w:t>
      </w:r>
      <w:r w:rsidR="00087FD2" w:rsidRPr="001B0B74">
        <w:t> </w:t>
      </w:r>
      <w:r w:rsidRPr="001B0B74">
        <w:t xml:space="preserve">mg group (EAIR 0.3 per 100 </w:t>
      </w:r>
      <w:r w:rsidR="00087FD2" w:rsidRPr="001B0B74">
        <w:t>patient years (</w:t>
      </w:r>
      <w:r w:rsidRPr="001B0B74">
        <w:t>PY</w:t>
      </w:r>
      <w:r w:rsidR="00087FD2" w:rsidRPr="001B0B74">
        <w:t>)</w:t>
      </w:r>
      <w:r w:rsidRPr="001B0B74">
        <w:t xml:space="preserve">, seven non-fatal strokes, five cardiovascular deaths, two non-fatal myocardial infarctions) and nine patients in the </w:t>
      </w:r>
      <w:r w:rsidR="006703B9" w:rsidRPr="001B0B74">
        <w:t>filgotinib</w:t>
      </w:r>
      <w:r w:rsidRPr="001B0B74">
        <w:t xml:space="preserve"> 100</w:t>
      </w:r>
      <w:r w:rsidR="00087FD2" w:rsidRPr="001B0B74">
        <w:t> </w:t>
      </w:r>
      <w:r w:rsidRPr="001B0B74">
        <w:t>mg group (EAIR 0.6 per 100 PY</w:t>
      </w:r>
      <w:r w:rsidR="000A4E44" w:rsidRPr="001B0B74">
        <w:t>) experienced adjudicated MACE.</w:t>
      </w:r>
    </w:p>
    <w:p w14:paraId="1BF8CB37" w14:textId="04D0C327" w:rsidR="00176F61" w:rsidRPr="001B0B74" w:rsidRDefault="00176F61" w:rsidP="00176F61">
      <w:r w:rsidRPr="001B0B74">
        <w:t xml:space="preserve">The sponsor provided analyses for positively adjudicated events of </w:t>
      </w:r>
      <w:r w:rsidR="00087FD2" w:rsidRPr="001B0B74">
        <w:t>venous thromboembolism (</w:t>
      </w:r>
      <w:r w:rsidRPr="001B0B74">
        <w:t>VTE</w:t>
      </w:r>
      <w:r w:rsidR="00087FD2" w:rsidRPr="001B0B74">
        <w:t>)</w:t>
      </w:r>
      <w:r w:rsidR="00274A3D" w:rsidRPr="001B0B74">
        <w:t xml:space="preserve"> (pulmonary embolism (</w:t>
      </w:r>
      <w:r w:rsidRPr="001B0B74">
        <w:t>PE</w:t>
      </w:r>
      <w:r w:rsidR="00274A3D" w:rsidRPr="001B0B74">
        <w:t>);</w:t>
      </w:r>
      <w:r w:rsidR="00A522B6" w:rsidRPr="001B0B74">
        <w:t xml:space="preserve"> and</w:t>
      </w:r>
      <w:r w:rsidR="00274A3D" w:rsidRPr="001B0B74">
        <w:t xml:space="preserve"> deep vein thrombosis (</w:t>
      </w:r>
      <w:r w:rsidRPr="001B0B74">
        <w:t>DVT</w:t>
      </w:r>
      <w:r w:rsidR="00274A3D" w:rsidRPr="001B0B74">
        <w:t>)</w:t>
      </w:r>
      <w:r w:rsidRPr="001B0B74">
        <w:t xml:space="preserve">) for each of the safety populations. In the integrated safety analysis set, the EAIR of VTE for all </w:t>
      </w:r>
      <w:r w:rsidR="006703B9" w:rsidRPr="001B0B74">
        <w:t>filgotinib</w:t>
      </w:r>
      <w:r w:rsidRPr="001B0B74">
        <w:t xml:space="preserve"> patients was 0.1 per 100 PY (four PE and four DVT in five patients treated with 200</w:t>
      </w:r>
      <w:r w:rsidR="00B9677E" w:rsidRPr="001B0B74">
        <w:t> </w:t>
      </w:r>
      <w:r w:rsidRPr="001B0B74">
        <w:t xml:space="preserve">mg </w:t>
      </w:r>
      <w:r w:rsidR="006703B9" w:rsidRPr="001B0B74">
        <w:t>filgotinib</w:t>
      </w:r>
      <w:r w:rsidRPr="001B0B74">
        <w:t>, and one PE in a patient treated with 100</w:t>
      </w:r>
      <w:r w:rsidR="00B9677E" w:rsidRPr="001B0B74">
        <w:t> </w:t>
      </w:r>
      <w:r w:rsidRPr="001B0B74">
        <w:t xml:space="preserve">mg </w:t>
      </w:r>
      <w:r w:rsidR="006703B9" w:rsidRPr="001B0B74">
        <w:t>filgotinib</w:t>
      </w:r>
      <w:r w:rsidRPr="001B0B74">
        <w:t>), most occurring during long term extension studies. All of the affected patients had at least one additional accepted risk fac</w:t>
      </w:r>
      <w:r w:rsidR="000A4E44" w:rsidRPr="001B0B74">
        <w:t>tor for VTE.</w:t>
      </w:r>
    </w:p>
    <w:p w14:paraId="3298BADF" w14:textId="2ABD5D45" w:rsidR="00176F61" w:rsidRPr="001B0B74" w:rsidRDefault="00176F61" w:rsidP="00176F61">
      <w:r w:rsidRPr="001B0B74">
        <w:t xml:space="preserve">In the </w:t>
      </w:r>
      <w:r w:rsidR="00FE5C74" w:rsidRPr="001B0B74">
        <w:t xml:space="preserve">placebo </w:t>
      </w:r>
      <w:r w:rsidRPr="001B0B74">
        <w:t>and active</w:t>
      </w:r>
      <w:r w:rsidR="00B2481F" w:rsidRPr="001B0B74">
        <w:t xml:space="preserve"> </w:t>
      </w:r>
      <w:r w:rsidRPr="001B0B74">
        <w:t xml:space="preserve">controlled studies, the EAIRs of malignancy (excluding </w:t>
      </w:r>
      <w:r w:rsidR="00B9677E" w:rsidRPr="001B0B74">
        <w:t>non-melanoma skin cancer (</w:t>
      </w:r>
      <w:r w:rsidRPr="001B0B74">
        <w:t>NMSC)</w:t>
      </w:r>
      <w:r w:rsidR="00B9677E" w:rsidRPr="001B0B74">
        <w:t>)</w:t>
      </w:r>
      <w:r w:rsidRPr="001B0B74">
        <w:t xml:space="preserve"> were similar in the </w:t>
      </w:r>
      <w:r w:rsidR="006703B9" w:rsidRPr="001B0B74">
        <w:t>filgotinib</w:t>
      </w:r>
      <w:r w:rsidRPr="001B0B74">
        <w:t xml:space="preserve"> group</w:t>
      </w:r>
      <w:r w:rsidR="00B9677E" w:rsidRPr="001B0B74">
        <w:t>s (up to 0.4 per 100 PY for 200 mg and up to 0.6 per 100 PY for 100 </w:t>
      </w:r>
      <w:r w:rsidRPr="001B0B74">
        <w:t xml:space="preserve">mg), the </w:t>
      </w:r>
      <w:r w:rsidR="00502D8E" w:rsidRPr="001B0B74">
        <w:t>placebo</w:t>
      </w:r>
      <w:r w:rsidR="00B9677E" w:rsidRPr="001B0B74">
        <w:t xml:space="preserve"> groups (EAIR of 1.0 per 100 PY at 24 </w:t>
      </w:r>
      <w:r w:rsidRPr="001B0B74">
        <w:t xml:space="preserve">weeks), and the active comparator groups: </w:t>
      </w:r>
      <w:r w:rsidR="006760FF" w:rsidRPr="001B0B74">
        <w:t xml:space="preserve">adalimumab </w:t>
      </w:r>
      <w:r w:rsidR="00B9677E" w:rsidRPr="001B0B74">
        <w:t>(0.6 per 100 </w:t>
      </w:r>
      <w:r w:rsidRPr="001B0B74">
        <w:t>PY a</w:t>
      </w:r>
      <w:r w:rsidR="00B9677E" w:rsidRPr="001B0B74">
        <w:t>t 52 </w:t>
      </w:r>
      <w:r w:rsidRPr="001B0B74">
        <w:t>weeks) a</w:t>
      </w:r>
      <w:r w:rsidR="00B9677E" w:rsidRPr="001B0B74">
        <w:t xml:space="preserve">nd </w:t>
      </w:r>
      <w:r w:rsidR="00962353" w:rsidRPr="001B0B74">
        <w:t>methotrexate</w:t>
      </w:r>
      <w:r w:rsidR="00B9677E" w:rsidRPr="001B0B74">
        <w:t xml:space="preserve"> monotherapy (1.1 per 100 PY at 52 </w:t>
      </w:r>
      <w:r w:rsidRPr="001B0B74">
        <w:t>weeks). In the long</w:t>
      </w:r>
      <w:r w:rsidR="00897C9A" w:rsidRPr="001B0B74">
        <w:t xml:space="preserve"> </w:t>
      </w:r>
      <w:r w:rsidRPr="001B0B74">
        <w:t xml:space="preserve">term combined safety dataset, the EAIRs of malignancies were similar between the two </w:t>
      </w:r>
      <w:r w:rsidR="006703B9" w:rsidRPr="001B0B74">
        <w:t>filgotinib</w:t>
      </w:r>
      <w:r w:rsidRPr="001B0B74">
        <w:t xml:space="preserve"> dose groups at 0.4 per 100</w:t>
      </w:r>
      <w:r w:rsidR="00B9677E" w:rsidRPr="001B0B74">
        <w:t> PY for 200 </w:t>
      </w:r>
      <w:r w:rsidRPr="001B0B74">
        <w:t xml:space="preserve">mg </w:t>
      </w:r>
      <w:r w:rsidR="00751D74" w:rsidRPr="001B0B74">
        <w:t>once daily</w:t>
      </w:r>
      <w:r w:rsidR="00B9677E" w:rsidRPr="001B0B74">
        <w:t xml:space="preserve"> and 0.7 per 100 PY for 100 </w:t>
      </w:r>
      <w:r w:rsidRPr="001B0B74">
        <w:t xml:space="preserve">mg </w:t>
      </w:r>
      <w:r w:rsidR="00751D74" w:rsidRPr="001B0B74">
        <w:t>once daily</w:t>
      </w:r>
      <w:r w:rsidRPr="001B0B74">
        <w:t>. There were no differences in the EAIRs of NMSCs across treatment groups in the long</w:t>
      </w:r>
      <w:r w:rsidR="00897C9A" w:rsidRPr="001B0B74">
        <w:t xml:space="preserve"> </w:t>
      </w:r>
      <w:r w:rsidRPr="001B0B74">
        <w:t xml:space="preserve">term all </w:t>
      </w:r>
      <w:r w:rsidR="006703B9" w:rsidRPr="001B0B74">
        <w:t>filgotinib</w:t>
      </w:r>
      <w:r w:rsidRPr="001B0B74">
        <w:t xml:space="preserve"> treated safety analysis sets.</w:t>
      </w:r>
    </w:p>
    <w:p w14:paraId="2845D834" w14:textId="5E6455F1" w:rsidR="00176F61" w:rsidRPr="001B0B74" w:rsidRDefault="00176F61" w:rsidP="00176F61">
      <w:r w:rsidRPr="001B0B74">
        <w:t xml:space="preserve">In the integrated safety analysis set three participants, all receiving treatment with </w:t>
      </w:r>
      <w:r w:rsidR="006703B9" w:rsidRPr="001B0B74">
        <w:t>filgotinib</w:t>
      </w:r>
      <w:r w:rsidRPr="001B0B74">
        <w:t xml:space="preserve"> 200</w:t>
      </w:r>
      <w:r w:rsidR="00B9677E" w:rsidRPr="001B0B74">
        <w:t> mg (0.1 per 100 </w:t>
      </w:r>
      <w:r w:rsidRPr="001B0B74">
        <w:t>PY) experienced gastrointestinal perforation (one case each of gastric, duodenal and colonic diverticulum perforation). Two of the affected individuals had additional risk factors for perforation.</w:t>
      </w:r>
    </w:p>
    <w:p w14:paraId="1A83F88B" w14:textId="76998243" w:rsidR="00176F61" w:rsidRPr="001B0B74" w:rsidRDefault="00B9677E" w:rsidP="00176F61">
      <w:r w:rsidRPr="001B0B74">
        <w:t xml:space="preserve">At the safety data cut </w:t>
      </w:r>
      <w:r w:rsidR="00176F61" w:rsidRPr="001B0B74">
        <w:t xml:space="preserve">off date of 24 September 2019, 19 pregnancies in women with </w:t>
      </w:r>
      <w:r w:rsidR="006703B9" w:rsidRPr="001B0B74">
        <w:t>filgotinib</w:t>
      </w:r>
      <w:r w:rsidR="00176F61" w:rsidRPr="001B0B74">
        <w:t xml:space="preserve"> exposure and one partner pregnancy had been recorded. The outcome of the 19</w:t>
      </w:r>
      <w:r w:rsidR="00A522B6" w:rsidRPr="001B0B74">
        <w:t> </w:t>
      </w:r>
      <w:r w:rsidR="00176F61" w:rsidRPr="001B0B74">
        <w:t>pregnancies include seven spontaneous abortions, six live births, one elective abortion and one ectopic pregnancy. Three women were yet to complete the pregnancy and one woman was lost to follow</w:t>
      </w:r>
      <w:r w:rsidRPr="001B0B74">
        <w:t xml:space="preserve"> </w:t>
      </w:r>
      <w:r w:rsidR="00176F61" w:rsidRPr="001B0B74">
        <w:t xml:space="preserve">up, as was the partner pregnancy. Of the seven pregnancies that resulted in fetal loss (spontaneous abortion), five women were taking concurrent </w:t>
      </w:r>
      <w:r w:rsidR="00962353" w:rsidRPr="001B0B74">
        <w:t>methotrexate</w:t>
      </w:r>
      <w:r w:rsidR="00176F61" w:rsidRPr="001B0B74">
        <w:t xml:space="preserve"> and one woman was taking sodium valproate. One live birth resulted in a congenital abnormality (pentalogy of Fallot).</w:t>
      </w:r>
    </w:p>
    <w:p w14:paraId="53E2A212" w14:textId="77777777" w:rsidR="00176F61" w:rsidRPr="001B0B74" w:rsidRDefault="00176F61" w:rsidP="00B9677E">
      <w:pPr>
        <w:pStyle w:val="Heading6"/>
      </w:pPr>
      <w:r w:rsidRPr="001B0B74">
        <w:t>Impaired spermatogenesis</w:t>
      </w:r>
    </w:p>
    <w:p w14:paraId="38706182" w14:textId="2A12594A" w:rsidR="00176F61" w:rsidRPr="001B0B74" w:rsidRDefault="00176F61" w:rsidP="00176F61">
      <w:r w:rsidRPr="001B0B74">
        <w:t xml:space="preserve">In its response to a </w:t>
      </w:r>
      <w:r w:rsidR="0040078F" w:rsidRPr="001B0B74">
        <w:t>TGA request for information</w:t>
      </w:r>
      <w:r w:rsidRPr="001B0B74">
        <w:t>, the sponsor confirmed that owing to concerns regarding test</w:t>
      </w:r>
      <w:r w:rsidR="00B9677E" w:rsidRPr="001B0B74">
        <w:t xml:space="preserve">icular toxicity observed in nonclinical studies, the </w:t>
      </w:r>
      <w:r w:rsidRPr="001B0B74">
        <w:t xml:space="preserve">FDA mandated that male participants in </w:t>
      </w:r>
      <w:r w:rsidR="000D314F" w:rsidRPr="001B0B74">
        <w:t xml:space="preserve">the </w:t>
      </w:r>
      <w:r w:rsidRPr="001B0B74">
        <w:t xml:space="preserve">DARWIN 3 </w:t>
      </w:r>
      <w:r w:rsidR="000D314F" w:rsidRPr="001B0B74">
        <w:t xml:space="preserve">trial </w:t>
      </w:r>
      <w:r w:rsidRPr="001B0B74">
        <w:t xml:space="preserve">should only be treated with </w:t>
      </w:r>
      <w:r w:rsidR="006703B9" w:rsidRPr="001B0B74">
        <w:t>filgotinib</w:t>
      </w:r>
      <w:r w:rsidR="00B9677E" w:rsidRPr="001B0B74">
        <w:t xml:space="preserve"> 100 </w:t>
      </w:r>
      <w:r w:rsidRPr="001B0B74">
        <w:t xml:space="preserve">mg </w:t>
      </w:r>
      <w:r w:rsidR="00751D74" w:rsidRPr="001B0B74">
        <w:t>once daily</w:t>
      </w:r>
      <w:r w:rsidRPr="001B0B74">
        <w:t xml:space="preserve"> dosing. The sponsor asserted that during the end</w:t>
      </w:r>
      <w:r w:rsidR="00B9677E" w:rsidRPr="001B0B74">
        <w:t xml:space="preserve"> </w:t>
      </w:r>
      <w:r w:rsidRPr="001B0B74">
        <w:t>of</w:t>
      </w:r>
      <w:r w:rsidR="00B9677E" w:rsidRPr="001B0B74">
        <w:t xml:space="preserve"> </w:t>
      </w:r>
      <w:r w:rsidRPr="001B0B74">
        <w:t xml:space="preserve">Phase </w:t>
      </w:r>
      <w:r w:rsidR="00123D23" w:rsidRPr="001B0B74">
        <w:t>II</w:t>
      </w:r>
      <w:r w:rsidRPr="001B0B74">
        <w:t xml:space="preserve"> meeting discussion, the FDA agreed that the </w:t>
      </w:r>
      <w:r w:rsidR="006703B9" w:rsidRPr="001B0B74">
        <w:t>filgotinib</w:t>
      </w:r>
      <w:r w:rsidRPr="001B0B74">
        <w:t xml:space="preserve"> 200</w:t>
      </w:r>
      <w:r w:rsidR="00B9677E" w:rsidRPr="001B0B74">
        <w:t> </w:t>
      </w:r>
      <w:r w:rsidRPr="001B0B74">
        <w:t xml:space="preserve">mg </w:t>
      </w:r>
      <w:r w:rsidR="00751D74" w:rsidRPr="001B0B74">
        <w:t>once daily</w:t>
      </w:r>
      <w:r w:rsidRPr="001B0B74">
        <w:t xml:space="preserve"> dose could be acceptable for both men and women, with an appropriate justification and mitigation strategy including adequate informed consent, and disclosure of the testicular toxicity information and risk. The sponsor is currently conducting randomised, double</w:t>
      </w:r>
      <w:r w:rsidR="00B9677E" w:rsidRPr="001B0B74">
        <w:t xml:space="preserve"> </w:t>
      </w:r>
      <w:r w:rsidRPr="001B0B74">
        <w:t xml:space="preserve">blind </w:t>
      </w:r>
      <w:r w:rsidR="00502D8E" w:rsidRPr="001B0B74">
        <w:t xml:space="preserve">placebo </w:t>
      </w:r>
      <w:r w:rsidRPr="001B0B74">
        <w:t xml:space="preserve">controlled studies evaluating the potential testicular toxicity of </w:t>
      </w:r>
      <w:r w:rsidR="006703B9" w:rsidRPr="001B0B74">
        <w:t>filgotinib</w:t>
      </w:r>
      <w:r w:rsidRPr="001B0B74">
        <w:t xml:space="preserve"> in adult males with active inflammatory bowel disease, and in adult males with RA, psoriatic arthritis, or axial spondyloarthritis. However, the delegate notes that the sponsor has decided not to seek marketing approval for filgotinib in the </w:t>
      </w:r>
      <w:r w:rsidR="00B9677E" w:rsidRPr="001B0B74">
        <w:t>USA</w:t>
      </w:r>
      <w:r w:rsidRPr="001B0B74">
        <w:t xml:space="preserve"> for the treatment of RA.</w:t>
      </w:r>
    </w:p>
    <w:p w14:paraId="4A599151" w14:textId="23ED4064" w:rsidR="00176F61" w:rsidRPr="001B0B74" w:rsidRDefault="00B9677E" w:rsidP="00B9677E">
      <w:pPr>
        <w:pStyle w:val="Heading6"/>
      </w:pPr>
      <w:r w:rsidRPr="001B0B74">
        <w:t xml:space="preserve">Dose </w:t>
      </w:r>
      <w:r w:rsidR="00176F61" w:rsidRPr="001B0B74">
        <w:t>dependent toxicity</w:t>
      </w:r>
    </w:p>
    <w:p w14:paraId="6928A924" w14:textId="121B5FFC" w:rsidR="00176F61" w:rsidRPr="001B0B74" w:rsidRDefault="00176F61" w:rsidP="00176F61">
      <w:r w:rsidRPr="001B0B74">
        <w:t xml:space="preserve">In the additional response material submitted in response to a request for information, the sponsor provided the most recent safety data reports for the DARWIN 3 </w:t>
      </w:r>
      <w:r w:rsidR="000D314F" w:rsidRPr="001B0B74">
        <w:t xml:space="preserve">trial </w:t>
      </w:r>
      <w:r w:rsidRPr="001B0B74">
        <w:t>(with data cut</w:t>
      </w:r>
      <w:r w:rsidR="00B9677E" w:rsidRPr="001B0B74">
        <w:t xml:space="preserve"> </w:t>
      </w:r>
      <w:r w:rsidRPr="001B0B74">
        <w:t xml:space="preserve">off date of 26 April 2019) and </w:t>
      </w:r>
      <w:r w:rsidR="000D314F" w:rsidRPr="001B0B74">
        <w:t xml:space="preserve">the </w:t>
      </w:r>
      <w:r w:rsidRPr="001B0B74">
        <w:t xml:space="preserve">FINCH 4 </w:t>
      </w:r>
      <w:r w:rsidR="000D314F" w:rsidRPr="001B0B74">
        <w:t>trial</w:t>
      </w:r>
      <w:r w:rsidRPr="001B0B74">
        <w:t>(with data cut</w:t>
      </w:r>
      <w:r w:rsidR="00B9677E" w:rsidRPr="001B0B74">
        <w:t xml:space="preserve"> </w:t>
      </w:r>
      <w:r w:rsidRPr="001B0B74">
        <w:t xml:space="preserve">off date of 16 September 2019) studies. Numeric differences were observed in the </w:t>
      </w:r>
      <w:r w:rsidR="006703B9" w:rsidRPr="001B0B74">
        <w:t>filgotinib</w:t>
      </w:r>
      <w:r w:rsidRPr="001B0B74">
        <w:t xml:space="preserve"> clinical development program between the dose groups with some AEs of special interest showing a numerically higher rate with the 200</w:t>
      </w:r>
      <w:r w:rsidR="00B9677E" w:rsidRPr="001B0B74">
        <w:t> </w:t>
      </w:r>
      <w:r w:rsidRPr="001B0B74">
        <w:t xml:space="preserve">mg </w:t>
      </w:r>
      <w:r w:rsidR="00751D74" w:rsidRPr="001B0B74">
        <w:t>once daily</w:t>
      </w:r>
      <w:r w:rsidRPr="001B0B74">
        <w:t xml:space="preserve"> dose (such as herpes zoster infection) while other AEs showed a</w:t>
      </w:r>
      <w:r w:rsidR="00B9677E" w:rsidRPr="001B0B74">
        <w:t xml:space="preserve"> numerically higher rate in 100 </w:t>
      </w:r>
      <w:r w:rsidRPr="001B0B74">
        <w:t>mg dose group (</w:t>
      </w:r>
      <w:r w:rsidR="00B9677E" w:rsidRPr="001B0B74">
        <w:t xml:space="preserve">for examples, </w:t>
      </w:r>
      <w:r w:rsidR="00BA2843" w:rsidRPr="001B0B74">
        <w:t>TB</w:t>
      </w:r>
      <w:r w:rsidRPr="001B0B74">
        <w:t xml:space="preserve">). The sponsor asserted that no consistent dose dependent trend was observed across key safety endpoints, and provided a detailed response to each of the major AEs of special interest. With respect to death, VTE and cases of lymphoma, the sponsor stated that EAIRs were similar between the two </w:t>
      </w:r>
      <w:r w:rsidR="006703B9" w:rsidRPr="001B0B74">
        <w:t>filgotinib</w:t>
      </w:r>
      <w:r w:rsidRPr="001B0B74">
        <w:t xml:space="preserve"> dose arms, with overlapping 95% </w:t>
      </w:r>
      <w:r w:rsidR="00B9677E" w:rsidRPr="001B0B74">
        <w:t>confidence intervals (</w:t>
      </w:r>
      <w:r w:rsidRPr="001B0B74">
        <w:t>C</w:t>
      </w:r>
      <w:r w:rsidR="00B9677E" w:rsidRPr="001B0B74">
        <w:t>I</w:t>
      </w:r>
      <w:r w:rsidRPr="001B0B74">
        <w:t>s</w:t>
      </w:r>
      <w:r w:rsidR="00B9677E" w:rsidRPr="001B0B74">
        <w:t>)</w:t>
      </w:r>
      <w:r w:rsidRPr="001B0B74">
        <w:t>.</w:t>
      </w:r>
    </w:p>
    <w:p w14:paraId="57EDA650" w14:textId="7A81D72E" w:rsidR="00176F61" w:rsidRPr="001B0B74" w:rsidRDefault="00176F61" w:rsidP="00176F61">
      <w:r w:rsidRPr="001B0B74">
        <w:t xml:space="preserve">In the updated safety set, a total of 25 deaths had been reported in </w:t>
      </w:r>
      <w:r w:rsidR="006703B9" w:rsidRPr="001B0B74">
        <w:t>filgotinib</w:t>
      </w:r>
      <w:r w:rsidR="00B9677E" w:rsidRPr="001B0B74">
        <w:t xml:space="preserve"> treated subjects. Of which, </w:t>
      </w:r>
      <w:r w:rsidRPr="001B0B74">
        <w:t xml:space="preserve">19 (0.8% of 2267) </w:t>
      </w:r>
      <w:r w:rsidR="00245FD1" w:rsidRPr="001B0B74">
        <w:t>subjects who received at least one</w:t>
      </w:r>
      <w:r w:rsidRPr="001B0B74">
        <w:t xml:space="preserve"> dose of </w:t>
      </w:r>
      <w:r w:rsidR="006703B9" w:rsidRPr="001B0B74">
        <w:t>filgotinib</w:t>
      </w:r>
      <w:r w:rsidR="00245FD1" w:rsidRPr="001B0B74">
        <w:t xml:space="preserve"> 200 </w:t>
      </w:r>
      <w:r w:rsidRPr="001B0B74">
        <w:t xml:space="preserve">mg and </w:t>
      </w:r>
      <w:r w:rsidR="00245FD1" w:rsidRPr="001B0B74">
        <w:t>six</w:t>
      </w:r>
      <w:r w:rsidRPr="001B0B74">
        <w:t xml:space="preserve"> (0.4% of 1647) patients who received </w:t>
      </w:r>
      <w:r w:rsidR="006703B9" w:rsidRPr="001B0B74">
        <w:t>filgotinib</w:t>
      </w:r>
      <w:r w:rsidRPr="001B0B74">
        <w:t xml:space="preserve"> 100</w:t>
      </w:r>
      <w:r w:rsidR="00245FD1" w:rsidRPr="001B0B74">
        <w:t> </w:t>
      </w:r>
      <w:r w:rsidRPr="001B0B74">
        <w:t>mg the</w:t>
      </w:r>
      <w:r w:rsidR="00245FD1" w:rsidRPr="001B0B74">
        <w:t>rapy. The EAIR of death per 100 </w:t>
      </w:r>
      <w:r w:rsidRPr="001B0B74">
        <w:t xml:space="preserve">PY with </w:t>
      </w:r>
      <w:r w:rsidR="006703B9" w:rsidRPr="001B0B74">
        <w:t>filgotinib</w:t>
      </w:r>
      <w:r w:rsidR="00245FD1" w:rsidRPr="001B0B74">
        <w:t xml:space="preserve"> 200 </w:t>
      </w:r>
      <w:r w:rsidRPr="001B0B74">
        <w:t>mg is 0.5 (95% CI</w:t>
      </w:r>
      <w:r w:rsidR="00DD31CC" w:rsidRPr="001B0B74">
        <w:t>:</w:t>
      </w:r>
      <w:r w:rsidRPr="001B0B74">
        <w:t xml:space="preserve"> 0.3, 0.7) and with </w:t>
      </w:r>
      <w:r w:rsidR="006703B9" w:rsidRPr="001B0B74">
        <w:t>filgotinib</w:t>
      </w:r>
      <w:r w:rsidR="00245FD1" w:rsidRPr="001B0B74">
        <w:t xml:space="preserve"> 100 </w:t>
      </w:r>
      <w:r w:rsidRPr="001B0B74">
        <w:t>mg is 0.3 (95% CI</w:t>
      </w:r>
      <w:r w:rsidR="00DD31CC" w:rsidRPr="001B0B74">
        <w:t>:</w:t>
      </w:r>
      <w:r w:rsidRPr="001B0B74">
        <w:t xml:space="preserve"> 0.1, 0.7). For comparison, the EAIRs of death in the updated </w:t>
      </w:r>
      <w:r w:rsidR="006703B9" w:rsidRPr="001B0B74">
        <w:t>filgotinib</w:t>
      </w:r>
      <w:r w:rsidRPr="001B0B74">
        <w:t xml:space="preserve"> program safety set for </w:t>
      </w:r>
      <w:r w:rsidR="006760FF" w:rsidRPr="001B0B74">
        <w:t xml:space="preserve">adalimumab </w:t>
      </w:r>
      <w:r w:rsidRPr="001B0B74">
        <w:t>was</w:t>
      </w:r>
      <w:r w:rsidR="00245FD1" w:rsidRPr="001B0B74">
        <w:t xml:space="preserve"> 0.3 per 100 </w:t>
      </w:r>
      <w:r w:rsidRPr="001B0B74">
        <w:t>PY (95% CI</w:t>
      </w:r>
      <w:r w:rsidR="00DD31CC" w:rsidRPr="001B0B74">
        <w:t>:</w:t>
      </w:r>
      <w:r w:rsidRPr="001B0B74">
        <w:t xml:space="preserve"> 0.0, 2.4; one death from 325 subjects) and for </w:t>
      </w:r>
      <w:r w:rsidR="00502D8E" w:rsidRPr="001B0B74">
        <w:t xml:space="preserve">placebo </w:t>
      </w:r>
      <w:r w:rsidR="00245FD1" w:rsidRPr="001B0B74">
        <w:t>was 0.7 per 100 </w:t>
      </w:r>
      <w:r w:rsidRPr="001B0B74">
        <w:t>PY (95% CI</w:t>
      </w:r>
      <w:r w:rsidR="00DD31CC" w:rsidRPr="001B0B74">
        <w:t>:</w:t>
      </w:r>
      <w:r w:rsidRPr="001B0B74">
        <w:t xml:space="preserve"> 0.2, 2.6; two deaths in 781 subjects). The mortality EAIRs in the extended safety set are consistent with the EAIRs reported for the safety dataset as part of the original application.</w:t>
      </w:r>
    </w:p>
    <w:p w14:paraId="53123BE7" w14:textId="77777777" w:rsidR="007B6132" w:rsidRPr="001B0B74" w:rsidRDefault="007B6132" w:rsidP="00555280">
      <w:pPr>
        <w:pStyle w:val="Heading4"/>
      </w:pPr>
      <w:r w:rsidRPr="001B0B74">
        <w:t>Clinical evaluator’s recommendation</w:t>
      </w:r>
    </w:p>
    <w:p w14:paraId="7D90FBE2" w14:textId="4DAEE7E2" w:rsidR="00176F61" w:rsidRPr="001B0B74" w:rsidRDefault="00176F61" w:rsidP="00176F61">
      <w:r w:rsidRPr="001B0B74">
        <w:t xml:space="preserve">The </w:t>
      </w:r>
      <w:r w:rsidR="00245FD1" w:rsidRPr="001B0B74">
        <w:t xml:space="preserve">clinical </w:t>
      </w:r>
      <w:r w:rsidRPr="001B0B74">
        <w:t>evaluator was satisfied that any potential increased risk with the 200</w:t>
      </w:r>
      <w:r w:rsidR="00245FD1" w:rsidRPr="001B0B74">
        <w:t> </w:t>
      </w:r>
      <w:r w:rsidRPr="001B0B74">
        <w:t xml:space="preserve">mg dose of </w:t>
      </w:r>
      <w:r w:rsidR="006703B9" w:rsidRPr="001B0B74">
        <w:t>filgotinib</w:t>
      </w:r>
      <w:r w:rsidRPr="001B0B74">
        <w:t xml:space="preserve"> is offset by the incremental efficacy benefit.</w:t>
      </w:r>
    </w:p>
    <w:p w14:paraId="3E1C0DAE" w14:textId="77777777" w:rsidR="008E7846" w:rsidRPr="001B0B74" w:rsidRDefault="00386150" w:rsidP="007B6132">
      <w:pPr>
        <w:pStyle w:val="Heading3"/>
        <w:rPr>
          <w:lang w:eastAsia="en-AU"/>
        </w:rPr>
      </w:pPr>
      <w:bookmarkStart w:id="52" w:name="_Toc72750584"/>
      <w:r w:rsidRPr="001B0B74">
        <w:rPr>
          <w:lang w:eastAsia="en-AU"/>
        </w:rPr>
        <w:t>Risk m</w:t>
      </w:r>
      <w:r w:rsidR="008E7846" w:rsidRPr="001B0B74">
        <w:rPr>
          <w:lang w:eastAsia="en-AU"/>
        </w:rPr>
        <w:t xml:space="preserve">anagement </w:t>
      </w:r>
      <w:r w:rsidRPr="001B0B74">
        <w:rPr>
          <w:lang w:eastAsia="en-AU"/>
        </w:rPr>
        <w:t>p</w:t>
      </w:r>
      <w:r w:rsidR="008E7846" w:rsidRPr="001B0B74">
        <w:rPr>
          <w:lang w:eastAsia="en-AU"/>
        </w:rPr>
        <w:t>lan</w:t>
      </w:r>
      <w:bookmarkEnd w:id="40"/>
      <w:bookmarkEnd w:id="52"/>
    </w:p>
    <w:p w14:paraId="55459A5C" w14:textId="49DEAB51" w:rsidR="009237D7" w:rsidRPr="001B0B74" w:rsidRDefault="00245FD1" w:rsidP="009237D7">
      <w:r w:rsidRPr="001B0B74">
        <w:t xml:space="preserve">The sponsor </w:t>
      </w:r>
      <w:r w:rsidR="009237D7" w:rsidRPr="001B0B74">
        <w:t>has submitted EU-RMP version 0.1 (dated 16</w:t>
      </w:r>
      <w:r w:rsidR="00A522B6" w:rsidRPr="001B0B74">
        <w:t> </w:t>
      </w:r>
      <w:r w:rsidR="009237D7" w:rsidRPr="001B0B74">
        <w:t>July</w:t>
      </w:r>
      <w:r w:rsidR="00A522B6" w:rsidRPr="001B0B74">
        <w:t> </w:t>
      </w:r>
      <w:r w:rsidR="009237D7" w:rsidRPr="001B0B74">
        <w:t xml:space="preserve">2019; </w:t>
      </w:r>
      <w:r w:rsidR="00D06925" w:rsidRPr="001B0B74">
        <w:t>data lock point (</w:t>
      </w:r>
      <w:r w:rsidR="009237D7" w:rsidRPr="001B0B74">
        <w:t>DLP</w:t>
      </w:r>
      <w:r w:rsidR="00D06925" w:rsidRPr="001B0B74">
        <w:t>)</w:t>
      </w:r>
      <w:r w:rsidR="009237D7" w:rsidRPr="001B0B74">
        <w:t xml:space="preserve"> 8 October 2018) and </w:t>
      </w:r>
      <w:r w:rsidR="00D06925" w:rsidRPr="001B0B74">
        <w:t>Australian-specific Annex (</w:t>
      </w:r>
      <w:r w:rsidR="009237D7" w:rsidRPr="001B0B74">
        <w:t>ASA</w:t>
      </w:r>
      <w:r w:rsidR="00D06925" w:rsidRPr="001B0B74">
        <w:t>)</w:t>
      </w:r>
      <w:r w:rsidR="009237D7" w:rsidRPr="001B0B74">
        <w:t xml:space="preserve"> version 0.1 (dated January 2020) in support of this application. </w:t>
      </w:r>
      <w:r w:rsidR="00836295" w:rsidRPr="001B0B74">
        <w:t>In response to a TGA request for information,</w:t>
      </w:r>
      <w:r w:rsidR="009237D7" w:rsidRPr="001B0B74">
        <w:t xml:space="preserve"> the sponsor provided an updated EU</w:t>
      </w:r>
      <w:r w:rsidR="00D06925" w:rsidRPr="001B0B74">
        <w:noBreakHyphen/>
      </w:r>
      <w:r w:rsidR="009237D7" w:rsidRPr="001B0B74">
        <w:t>RMP version 1.0 (date 21</w:t>
      </w:r>
      <w:r w:rsidR="00A522B6" w:rsidRPr="001B0B74">
        <w:t> </w:t>
      </w:r>
      <w:r w:rsidR="009237D7" w:rsidRPr="001B0B74">
        <w:t>July 2020; DLP 16 September 2020) and an ASA version 0.2 (date</w:t>
      </w:r>
      <w:r w:rsidR="00D06925" w:rsidRPr="001B0B74">
        <w:t>d</w:t>
      </w:r>
      <w:r w:rsidR="009237D7" w:rsidRPr="001B0B74">
        <w:t xml:space="preserve"> September 2020). At </w:t>
      </w:r>
      <w:r w:rsidR="00D06925" w:rsidRPr="001B0B74">
        <w:t>the third round</w:t>
      </w:r>
      <w:r w:rsidR="006D0D75" w:rsidRPr="001B0B74">
        <w:t xml:space="preserve"> evaluation,</w:t>
      </w:r>
      <w:r w:rsidR="00D06925" w:rsidRPr="001B0B74">
        <w:t xml:space="preserve"> </w:t>
      </w:r>
      <w:r w:rsidR="009237D7" w:rsidRPr="001B0B74">
        <w:t xml:space="preserve">the sponsor provided ASA version 0.3 (date December 2020). At </w:t>
      </w:r>
      <w:r w:rsidR="00D06925" w:rsidRPr="001B0B74">
        <w:t>the fourth r</w:t>
      </w:r>
      <w:r w:rsidR="009237D7" w:rsidRPr="001B0B74">
        <w:t>ound</w:t>
      </w:r>
      <w:r w:rsidR="006D0D75" w:rsidRPr="001B0B74">
        <w:t xml:space="preserve"> evaluation</w:t>
      </w:r>
      <w:r w:rsidR="009237D7" w:rsidRPr="001B0B74">
        <w:t xml:space="preserve">, prior to </w:t>
      </w:r>
      <w:r w:rsidR="00332035" w:rsidRPr="001B0B74">
        <w:t xml:space="preserve">the </w:t>
      </w:r>
      <w:r w:rsidR="00D06925" w:rsidRPr="001B0B74">
        <w:t>Advisory Committee on Medicines (</w:t>
      </w:r>
      <w:r w:rsidR="009237D7" w:rsidRPr="001B0B74">
        <w:t>ACM</w:t>
      </w:r>
      <w:r w:rsidR="00D06925" w:rsidRPr="001B0B74">
        <w:t>)</w:t>
      </w:r>
      <w:r w:rsidR="00332035" w:rsidRPr="001B0B74">
        <w:t xml:space="preserve"> meeting</w:t>
      </w:r>
      <w:r w:rsidR="009237D7" w:rsidRPr="001B0B74">
        <w:t>, the sponsor submitted ASA version 0.4 (date</w:t>
      </w:r>
      <w:r w:rsidR="00D06925" w:rsidRPr="001B0B74">
        <w:t>d</w:t>
      </w:r>
      <w:r w:rsidR="009237D7" w:rsidRPr="001B0B74">
        <w:t xml:space="preserve"> January 2021) related to EU-RMP version 1.0 (date</w:t>
      </w:r>
      <w:r w:rsidR="00D06925" w:rsidRPr="001B0B74">
        <w:t>d</w:t>
      </w:r>
      <w:r w:rsidR="009237D7" w:rsidRPr="001B0B74">
        <w:t xml:space="preserve"> 21 July 2020; DLP 16 September 2020).</w:t>
      </w:r>
    </w:p>
    <w:p w14:paraId="6A3FA691" w14:textId="6E114F3E" w:rsidR="007D53B6" w:rsidRPr="001B0B74" w:rsidRDefault="007D53B6" w:rsidP="007D53B6">
      <w:r w:rsidRPr="001B0B74">
        <w:t xml:space="preserve">The summary of safety concerns and their associated risk monitoring and mitigation strategies are summarised in </w:t>
      </w:r>
      <w:r w:rsidR="00E760ED" w:rsidRPr="001B0B74">
        <w:fldChar w:fldCharType="begin"/>
      </w:r>
      <w:r w:rsidR="00E760ED" w:rsidRPr="001B0B74">
        <w:instrText xml:space="preserve"> REF _Ref67489896 \h </w:instrText>
      </w:r>
      <w:r w:rsidR="00287FF8" w:rsidRPr="001B0B74">
        <w:instrText xml:space="preserve"> \* MERGEFORMAT </w:instrText>
      </w:r>
      <w:r w:rsidR="00E760ED" w:rsidRPr="001B0B74">
        <w:fldChar w:fldCharType="separate"/>
      </w:r>
      <w:r w:rsidR="003A57FD" w:rsidRPr="001B0B74">
        <w:t xml:space="preserve">Table </w:t>
      </w:r>
      <w:r w:rsidR="003A57FD">
        <w:rPr>
          <w:noProof/>
        </w:rPr>
        <w:t>12</w:t>
      </w:r>
      <w:r w:rsidR="00E760ED" w:rsidRPr="001B0B74">
        <w:fldChar w:fldCharType="end"/>
      </w:r>
      <w:r w:rsidRPr="001B0B74">
        <w:t>.</w:t>
      </w:r>
      <w:r w:rsidRPr="001B0B74">
        <w:rPr>
          <w:rStyle w:val="FootnoteReference"/>
        </w:rPr>
        <w:footnoteReference w:id="12"/>
      </w:r>
    </w:p>
    <w:p w14:paraId="26E5FF24" w14:textId="59D1C3D5" w:rsidR="00E760ED" w:rsidRPr="001B0B74" w:rsidRDefault="00E760ED" w:rsidP="00E760ED">
      <w:pPr>
        <w:pStyle w:val="TableTitle"/>
      </w:pPr>
      <w:bookmarkStart w:id="53" w:name="_Ref67489896"/>
      <w:r w:rsidRPr="001B0B74">
        <w:t xml:space="preserve">Table </w:t>
      </w:r>
      <w:fldSimple w:instr=" SEQ Table \* ARABIC ">
        <w:r w:rsidR="003A57FD">
          <w:rPr>
            <w:noProof/>
          </w:rPr>
          <w:t>12</w:t>
        </w:r>
      </w:fldSimple>
      <w:bookmarkEnd w:id="53"/>
      <w:r w:rsidRPr="001B0B74">
        <w:t>: Summary of safety concerns</w:t>
      </w:r>
    </w:p>
    <w:tbl>
      <w:tblPr>
        <w:tblStyle w:val="TableTGAblue"/>
        <w:tblpPr w:leftFromText="180" w:rightFromText="180" w:vertAnchor="text" w:tblpY="1"/>
        <w:tblOverlap w:val="never"/>
        <w:tblW w:w="8638" w:type="dxa"/>
        <w:tblLayout w:type="fixed"/>
        <w:tblLook w:val="04A0" w:firstRow="1" w:lastRow="0" w:firstColumn="1" w:lastColumn="0" w:noHBand="0" w:noVBand="1"/>
      </w:tblPr>
      <w:tblGrid>
        <w:gridCol w:w="1435"/>
        <w:gridCol w:w="2700"/>
        <w:gridCol w:w="1080"/>
        <w:gridCol w:w="1170"/>
        <w:gridCol w:w="1080"/>
        <w:gridCol w:w="1173"/>
      </w:tblGrid>
      <w:tr w:rsidR="009237D7" w:rsidRPr="001B0B74" w14:paraId="36A6B76C" w14:textId="77777777" w:rsidTr="007B5AB9">
        <w:trPr>
          <w:cnfStyle w:val="100000000000" w:firstRow="1" w:lastRow="0" w:firstColumn="0" w:lastColumn="0" w:oddVBand="0" w:evenVBand="0" w:oddHBand="0" w:evenHBand="0" w:firstRowFirstColumn="0" w:firstRowLastColumn="0" w:lastRowFirstColumn="0" w:lastRowLastColumn="0"/>
          <w:trHeight w:val="131"/>
        </w:trPr>
        <w:tc>
          <w:tcPr>
            <w:tcW w:w="4135" w:type="dxa"/>
            <w:gridSpan w:val="2"/>
            <w:vMerge w:val="restart"/>
            <w:tcBorders>
              <w:top w:val="single" w:sz="4" w:space="0" w:color="auto"/>
              <w:left w:val="single" w:sz="4" w:space="0" w:color="auto"/>
              <w:bottom w:val="single" w:sz="4" w:space="0" w:color="auto"/>
              <w:right w:val="single" w:sz="4" w:space="0" w:color="auto"/>
            </w:tcBorders>
          </w:tcPr>
          <w:p w14:paraId="6079C239" w14:textId="77777777" w:rsidR="009237D7" w:rsidRPr="001B0B74" w:rsidRDefault="009237D7" w:rsidP="007B5AB9">
            <w:pPr>
              <w:pStyle w:val="Tabletext"/>
              <w:ind w:left="0" w:right="0"/>
            </w:pPr>
            <w:r w:rsidRPr="001B0B74">
              <w:t>Summary of safety concerns</w:t>
            </w:r>
          </w:p>
        </w:tc>
        <w:tc>
          <w:tcPr>
            <w:tcW w:w="2250" w:type="dxa"/>
            <w:gridSpan w:val="2"/>
            <w:tcBorders>
              <w:top w:val="single" w:sz="4" w:space="0" w:color="auto"/>
              <w:left w:val="single" w:sz="4" w:space="0" w:color="auto"/>
              <w:bottom w:val="single" w:sz="4" w:space="0" w:color="auto"/>
              <w:right w:val="single" w:sz="4" w:space="0" w:color="auto"/>
            </w:tcBorders>
          </w:tcPr>
          <w:p w14:paraId="3A1CDCC0" w14:textId="77777777" w:rsidR="009237D7" w:rsidRPr="001B0B74" w:rsidRDefault="009237D7" w:rsidP="007B5AB9">
            <w:pPr>
              <w:pStyle w:val="Tabletext"/>
              <w:ind w:left="0" w:right="0"/>
              <w:rPr>
                <w:sz w:val="18"/>
              </w:rPr>
            </w:pPr>
            <w:r w:rsidRPr="001B0B74">
              <w:rPr>
                <w:sz w:val="18"/>
              </w:rPr>
              <w:t>Pharmacovigilance</w:t>
            </w:r>
          </w:p>
        </w:tc>
        <w:tc>
          <w:tcPr>
            <w:tcW w:w="2253" w:type="dxa"/>
            <w:gridSpan w:val="2"/>
            <w:tcBorders>
              <w:top w:val="single" w:sz="4" w:space="0" w:color="auto"/>
              <w:left w:val="single" w:sz="4" w:space="0" w:color="auto"/>
              <w:bottom w:val="single" w:sz="4" w:space="0" w:color="auto"/>
              <w:right w:val="single" w:sz="4" w:space="0" w:color="auto"/>
            </w:tcBorders>
          </w:tcPr>
          <w:p w14:paraId="004D75A4" w14:textId="77777777" w:rsidR="009237D7" w:rsidRPr="001B0B74" w:rsidRDefault="009237D7" w:rsidP="007B5AB9">
            <w:pPr>
              <w:pStyle w:val="Tabletext"/>
              <w:ind w:left="0" w:right="0"/>
              <w:rPr>
                <w:sz w:val="18"/>
              </w:rPr>
            </w:pPr>
            <w:r w:rsidRPr="001B0B74">
              <w:rPr>
                <w:sz w:val="18"/>
              </w:rPr>
              <w:t>Risk Minimisation</w:t>
            </w:r>
          </w:p>
        </w:tc>
      </w:tr>
      <w:tr w:rsidR="009237D7" w:rsidRPr="001B0B74" w14:paraId="5890D62B" w14:textId="77777777" w:rsidTr="007B5AB9">
        <w:trPr>
          <w:trHeight w:val="150"/>
        </w:trPr>
        <w:tc>
          <w:tcPr>
            <w:tcW w:w="4135" w:type="dxa"/>
            <w:gridSpan w:val="2"/>
            <w:vMerge/>
            <w:tcBorders>
              <w:top w:val="single" w:sz="4" w:space="0" w:color="auto"/>
              <w:left w:val="single" w:sz="4" w:space="0" w:color="auto"/>
              <w:bottom w:val="single" w:sz="4" w:space="0" w:color="auto"/>
              <w:right w:val="single" w:sz="4" w:space="0" w:color="auto"/>
            </w:tcBorders>
          </w:tcPr>
          <w:p w14:paraId="34D76F78" w14:textId="77777777" w:rsidR="009237D7" w:rsidRPr="001B0B74" w:rsidRDefault="009237D7" w:rsidP="007B5AB9">
            <w:pPr>
              <w:pStyle w:val="Tabletext"/>
              <w:ind w:left="0" w:right="0"/>
              <w:rPr>
                <w:b/>
              </w:rPr>
            </w:pPr>
          </w:p>
        </w:tc>
        <w:tc>
          <w:tcPr>
            <w:tcW w:w="1080" w:type="dxa"/>
            <w:tcBorders>
              <w:top w:val="single" w:sz="4" w:space="0" w:color="auto"/>
              <w:left w:val="single" w:sz="4" w:space="0" w:color="auto"/>
              <w:bottom w:val="single" w:sz="4" w:space="0" w:color="auto"/>
              <w:right w:val="single" w:sz="4" w:space="0" w:color="auto"/>
            </w:tcBorders>
            <w:shd w:val="clear" w:color="auto" w:fill="006DA7"/>
          </w:tcPr>
          <w:p w14:paraId="47DC3086" w14:textId="77777777" w:rsidR="009237D7" w:rsidRPr="001B0B74" w:rsidRDefault="009237D7" w:rsidP="007B5AB9">
            <w:pPr>
              <w:pStyle w:val="Tabletext"/>
              <w:ind w:left="0" w:right="0"/>
              <w:rPr>
                <w:b/>
                <w:color w:val="FFFFFF" w:themeColor="background1"/>
                <w:sz w:val="18"/>
              </w:rPr>
            </w:pPr>
            <w:r w:rsidRPr="001B0B74">
              <w:rPr>
                <w:b/>
                <w:color w:val="FFFFFF" w:themeColor="background1"/>
                <w:sz w:val="18"/>
              </w:rPr>
              <w:t>Routine</w:t>
            </w:r>
          </w:p>
        </w:tc>
        <w:tc>
          <w:tcPr>
            <w:tcW w:w="1170" w:type="dxa"/>
            <w:tcBorders>
              <w:top w:val="single" w:sz="4" w:space="0" w:color="auto"/>
              <w:left w:val="single" w:sz="4" w:space="0" w:color="auto"/>
              <w:bottom w:val="single" w:sz="4" w:space="0" w:color="auto"/>
              <w:right w:val="single" w:sz="4" w:space="0" w:color="auto"/>
            </w:tcBorders>
            <w:shd w:val="clear" w:color="auto" w:fill="006DA7"/>
          </w:tcPr>
          <w:p w14:paraId="653E6E07" w14:textId="77777777" w:rsidR="009237D7" w:rsidRPr="001B0B74" w:rsidRDefault="009237D7" w:rsidP="007B5AB9">
            <w:pPr>
              <w:pStyle w:val="Tabletext"/>
              <w:ind w:left="0" w:right="0"/>
              <w:rPr>
                <w:b/>
                <w:color w:val="FFFFFF" w:themeColor="background1"/>
                <w:sz w:val="18"/>
              </w:rPr>
            </w:pPr>
            <w:r w:rsidRPr="001B0B74">
              <w:rPr>
                <w:b/>
                <w:color w:val="FFFFFF" w:themeColor="background1"/>
                <w:sz w:val="18"/>
              </w:rPr>
              <w:t>Additional</w:t>
            </w:r>
          </w:p>
        </w:tc>
        <w:tc>
          <w:tcPr>
            <w:tcW w:w="1080" w:type="dxa"/>
            <w:tcBorders>
              <w:top w:val="single" w:sz="4" w:space="0" w:color="auto"/>
              <w:left w:val="single" w:sz="4" w:space="0" w:color="auto"/>
              <w:bottom w:val="single" w:sz="4" w:space="0" w:color="auto"/>
              <w:right w:val="single" w:sz="4" w:space="0" w:color="auto"/>
            </w:tcBorders>
            <w:shd w:val="clear" w:color="auto" w:fill="006DA7"/>
          </w:tcPr>
          <w:p w14:paraId="270FEB38" w14:textId="77777777" w:rsidR="009237D7" w:rsidRPr="001B0B74" w:rsidRDefault="009237D7" w:rsidP="007B5AB9">
            <w:pPr>
              <w:pStyle w:val="Tabletext"/>
              <w:ind w:left="0" w:right="0"/>
              <w:rPr>
                <w:b/>
                <w:color w:val="FFFFFF" w:themeColor="background1"/>
                <w:sz w:val="18"/>
              </w:rPr>
            </w:pPr>
            <w:r w:rsidRPr="001B0B74">
              <w:rPr>
                <w:b/>
                <w:color w:val="FFFFFF" w:themeColor="background1"/>
                <w:sz w:val="18"/>
              </w:rPr>
              <w:t>Routine</w:t>
            </w:r>
          </w:p>
        </w:tc>
        <w:tc>
          <w:tcPr>
            <w:tcW w:w="1173" w:type="dxa"/>
            <w:tcBorders>
              <w:top w:val="single" w:sz="4" w:space="0" w:color="auto"/>
              <w:left w:val="single" w:sz="4" w:space="0" w:color="auto"/>
              <w:bottom w:val="single" w:sz="4" w:space="0" w:color="auto"/>
              <w:right w:val="single" w:sz="4" w:space="0" w:color="auto"/>
            </w:tcBorders>
            <w:shd w:val="clear" w:color="auto" w:fill="006DA7"/>
          </w:tcPr>
          <w:p w14:paraId="28BF93AB" w14:textId="77777777" w:rsidR="009237D7" w:rsidRPr="001B0B74" w:rsidRDefault="009237D7" w:rsidP="007B5AB9">
            <w:pPr>
              <w:pStyle w:val="Tabletext"/>
              <w:ind w:left="0" w:right="0"/>
              <w:rPr>
                <w:b/>
                <w:color w:val="FFFFFF" w:themeColor="background1"/>
                <w:sz w:val="18"/>
              </w:rPr>
            </w:pPr>
            <w:r w:rsidRPr="001B0B74">
              <w:rPr>
                <w:b/>
                <w:color w:val="FFFFFF" w:themeColor="background1"/>
                <w:sz w:val="18"/>
              </w:rPr>
              <w:t>Additional</w:t>
            </w:r>
          </w:p>
        </w:tc>
      </w:tr>
      <w:tr w:rsidR="009237D7" w:rsidRPr="001B0B74" w14:paraId="7B6D46A8" w14:textId="77777777" w:rsidTr="007B5AB9">
        <w:trPr>
          <w:trHeight w:val="137"/>
        </w:trPr>
        <w:tc>
          <w:tcPr>
            <w:tcW w:w="1435" w:type="dxa"/>
            <w:vMerge w:val="restart"/>
            <w:tcBorders>
              <w:top w:val="single" w:sz="4" w:space="0" w:color="auto"/>
            </w:tcBorders>
          </w:tcPr>
          <w:p w14:paraId="477521A9" w14:textId="77777777" w:rsidR="009237D7" w:rsidRPr="001B0B74" w:rsidRDefault="009237D7" w:rsidP="007B5AB9">
            <w:pPr>
              <w:pStyle w:val="Tabletext"/>
              <w:ind w:left="0" w:right="0"/>
              <w:rPr>
                <w:b/>
              </w:rPr>
            </w:pPr>
            <w:r w:rsidRPr="001B0B74">
              <w:rPr>
                <w:b/>
              </w:rPr>
              <w:t>Important identified risks</w:t>
            </w:r>
          </w:p>
        </w:tc>
        <w:tc>
          <w:tcPr>
            <w:tcW w:w="2700" w:type="dxa"/>
            <w:tcBorders>
              <w:top w:val="single" w:sz="4" w:space="0" w:color="auto"/>
            </w:tcBorders>
          </w:tcPr>
          <w:p w14:paraId="73993BC4" w14:textId="77777777" w:rsidR="009237D7" w:rsidRPr="001B0B74" w:rsidRDefault="009237D7" w:rsidP="007B5AB9">
            <w:pPr>
              <w:pStyle w:val="Tabletext"/>
              <w:ind w:left="0" w:right="0"/>
            </w:pPr>
            <w:r w:rsidRPr="001B0B74">
              <w:t>Serious and opportunistic infections</w:t>
            </w:r>
          </w:p>
        </w:tc>
        <w:tc>
          <w:tcPr>
            <w:tcW w:w="1080" w:type="dxa"/>
            <w:tcBorders>
              <w:top w:val="single" w:sz="4" w:space="0" w:color="auto"/>
            </w:tcBorders>
          </w:tcPr>
          <w:p w14:paraId="5896B335"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w:t>
            </w:r>
          </w:p>
        </w:tc>
        <w:tc>
          <w:tcPr>
            <w:tcW w:w="1170" w:type="dxa"/>
            <w:tcBorders>
              <w:top w:val="single" w:sz="4" w:space="0" w:color="auto"/>
            </w:tcBorders>
          </w:tcPr>
          <w:p w14:paraId="2865CC66"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ǁ</w:t>
            </w:r>
          </w:p>
        </w:tc>
        <w:tc>
          <w:tcPr>
            <w:tcW w:w="1080" w:type="dxa"/>
            <w:tcBorders>
              <w:top w:val="single" w:sz="4" w:space="0" w:color="auto"/>
            </w:tcBorders>
          </w:tcPr>
          <w:p w14:paraId="645F3E38" w14:textId="77777777" w:rsidR="009237D7" w:rsidRPr="001B0B74" w:rsidRDefault="009237D7" w:rsidP="007B5AB9">
            <w:pPr>
              <w:pStyle w:val="Tabletext"/>
              <w:ind w:left="0" w:right="0"/>
              <w:jc w:val="center"/>
            </w:pPr>
            <w:r w:rsidRPr="001B0B74">
              <w:sym w:font="Wingdings" w:char="F0FC"/>
            </w:r>
          </w:p>
        </w:tc>
        <w:tc>
          <w:tcPr>
            <w:tcW w:w="1173" w:type="dxa"/>
            <w:tcBorders>
              <w:top w:val="single" w:sz="4" w:space="0" w:color="auto"/>
            </w:tcBorders>
          </w:tcPr>
          <w:p w14:paraId="34E2CA07"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w:t>
            </w:r>
          </w:p>
        </w:tc>
      </w:tr>
      <w:tr w:rsidR="009237D7" w:rsidRPr="001B0B74" w14:paraId="26D3B59A" w14:textId="77777777" w:rsidTr="007B5AB9">
        <w:trPr>
          <w:trHeight w:val="159"/>
        </w:trPr>
        <w:tc>
          <w:tcPr>
            <w:tcW w:w="1435" w:type="dxa"/>
            <w:vMerge/>
          </w:tcPr>
          <w:p w14:paraId="2A3C8C40" w14:textId="77777777" w:rsidR="009237D7" w:rsidRPr="001B0B74" w:rsidRDefault="009237D7" w:rsidP="007B5AB9">
            <w:pPr>
              <w:pStyle w:val="Tabletext"/>
              <w:ind w:left="0" w:right="0"/>
              <w:rPr>
                <w:b/>
              </w:rPr>
            </w:pPr>
          </w:p>
        </w:tc>
        <w:tc>
          <w:tcPr>
            <w:tcW w:w="2700" w:type="dxa"/>
          </w:tcPr>
          <w:p w14:paraId="6FDD3868" w14:textId="77777777" w:rsidR="009237D7" w:rsidRPr="001B0B74" w:rsidRDefault="009237D7" w:rsidP="007B5AB9">
            <w:pPr>
              <w:pStyle w:val="Tabletext"/>
              <w:ind w:left="0" w:right="0"/>
            </w:pPr>
            <w:r w:rsidRPr="001B0B74">
              <w:t>Herpes zoster</w:t>
            </w:r>
          </w:p>
        </w:tc>
        <w:tc>
          <w:tcPr>
            <w:tcW w:w="1080" w:type="dxa"/>
          </w:tcPr>
          <w:p w14:paraId="14C9E0B9"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w:t>
            </w:r>
          </w:p>
        </w:tc>
        <w:tc>
          <w:tcPr>
            <w:tcW w:w="1170" w:type="dxa"/>
          </w:tcPr>
          <w:p w14:paraId="1FBEE543"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ǁ</w:t>
            </w:r>
          </w:p>
        </w:tc>
        <w:tc>
          <w:tcPr>
            <w:tcW w:w="1080" w:type="dxa"/>
          </w:tcPr>
          <w:p w14:paraId="796DFCD3" w14:textId="77777777" w:rsidR="009237D7" w:rsidRPr="001B0B74" w:rsidRDefault="009237D7" w:rsidP="007B5AB9">
            <w:pPr>
              <w:pStyle w:val="Tabletext"/>
              <w:ind w:left="0" w:right="0"/>
              <w:jc w:val="center"/>
            </w:pPr>
            <w:r w:rsidRPr="001B0B74">
              <w:t>–</w:t>
            </w:r>
          </w:p>
        </w:tc>
        <w:tc>
          <w:tcPr>
            <w:tcW w:w="1173" w:type="dxa"/>
          </w:tcPr>
          <w:p w14:paraId="0B89216B" w14:textId="77777777" w:rsidR="009237D7" w:rsidRPr="001B0B74" w:rsidRDefault="009237D7" w:rsidP="007B5AB9">
            <w:pPr>
              <w:pStyle w:val="Tabletext"/>
              <w:ind w:left="0" w:right="0"/>
              <w:jc w:val="center"/>
            </w:pPr>
            <w:r w:rsidRPr="001B0B74">
              <w:t>–</w:t>
            </w:r>
          </w:p>
        </w:tc>
      </w:tr>
      <w:tr w:rsidR="009237D7" w:rsidRPr="001B0B74" w14:paraId="23F1128E" w14:textId="77777777" w:rsidTr="007B5AB9">
        <w:trPr>
          <w:trHeight w:val="159"/>
        </w:trPr>
        <w:tc>
          <w:tcPr>
            <w:tcW w:w="1435" w:type="dxa"/>
            <w:vMerge w:val="restart"/>
          </w:tcPr>
          <w:p w14:paraId="22EAA379" w14:textId="77777777" w:rsidR="009237D7" w:rsidRPr="001B0B74" w:rsidRDefault="009237D7" w:rsidP="007B5AB9">
            <w:pPr>
              <w:pStyle w:val="Tabletext"/>
              <w:ind w:left="0" w:right="0"/>
              <w:rPr>
                <w:b/>
              </w:rPr>
            </w:pPr>
            <w:r w:rsidRPr="001B0B74">
              <w:rPr>
                <w:b/>
              </w:rPr>
              <w:t>Important potential risks</w:t>
            </w:r>
          </w:p>
        </w:tc>
        <w:tc>
          <w:tcPr>
            <w:tcW w:w="2700" w:type="dxa"/>
          </w:tcPr>
          <w:p w14:paraId="1E8E1A39" w14:textId="77777777" w:rsidR="009237D7" w:rsidRPr="001B0B74" w:rsidRDefault="009237D7" w:rsidP="007B5AB9">
            <w:pPr>
              <w:pStyle w:val="Tabletext"/>
              <w:ind w:left="0" w:right="0"/>
            </w:pPr>
            <w:r w:rsidRPr="001B0B74">
              <w:t>Embryolethality and teratogenicity</w:t>
            </w:r>
          </w:p>
        </w:tc>
        <w:tc>
          <w:tcPr>
            <w:tcW w:w="1080" w:type="dxa"/>
          </w:tcPr>
          <w:p w14:paraId="4C90B833"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 xml:space="preserve"> </w:t>
            </w:r>
            <w:r w:rsidRPr="001B0B74">
              <w:rPr>
                <w:rFonts w:asciiTheme="majorHAnsi" w:hAnsiTheme="majorHAnsi"/>
                <w:szCs w:val="20"/>
                <w:vertAlign w:val="superscript"/>
              </w:rPr>
              <w:t>†</w:t>
            </w:r>
          </w:p>
        </w:tc>
        <w:tc>
          <w:tcPr>
            <w:tcW w:w="1170" w:type="dxa"/>
          </w:tcPr>
          <w:p w14:paraId="66F75EE8" w14:textId="77777777" w:rsidR="009237D7" w:rsidRPr="001B0B74" w:rsidRDefault="009237D7" w:rsidP="007B5AB9">
            <w:pPr>
              <w:pStyle w:val="Tabletext"/>
              <w:ind w:left="0" w:right="0"/>
              <w:jc w:val="center"/>
            </w:pPr>
            <w:r w:rsidRPr="001B0B74">
              <w:t>–</w:t>
            </w:r>
          </w:p>
        </w:tc>
        <w:tc>
          <w:tcPr>
            <w:tcW w:w="1080" w:type="dxa"/>
          </w:tcPr>
          <w:p w14:paraId="3B00D714" w14:textId="77777777" w:rsidR="009237D7" w:rsidRPr="001B0B74" w:rsidRDefault="009237D7" w:rsidP="007B5AB9">
            <w:pPr>
              <w:pStyle w:val="Tabletext"/>
              <w:ind w:left="0" w:right="0"/>
              <w:jc w:val="center"/>
            </w:pPr>
            <w:r w:rsidRPr="001B0B74">
              <w:sym w:font="Wingdings" w:char="F0FC"/>
            </w:r>
          </w:p>
        </w:tc>
        <w:tc>
          <w:tcPr>
            <w:tcW w:w="1173" w:type="dxa"/>
          </w:tcPr>
          <w:p w14:paraId="2A47EA37"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w:t>
            </w:r>
          </w:p>
        </w:tc>
      </w:tr>
      <w:tr w:rsidR="009237D7" w:rsidRPr="001B0B74" w14:paraId="4DBE9417" w14:textId="77777777" w:rsidTr="007B5AB9">
        <w:trPr>
          <w:trHeight w:val="122"/>
        </w:trPr>
        <w:tc>
          <w:tcPr>
            <w:tcW w:w="1435" w:type="dxa"/>
            <w:vMerge/>
          </w:tcPr>
          <w:p w14:paraId="72618B81" w14:textId="77777777" w:rsidR="009237D7" w:rsidRPr="001B0B74" w:rsidRDefault="009237D7" w:rsidP="007B5AB9">
            <w:pPr>
              <w:pStyle w:val="Tabletext"/>
              <w:ind w:left="0" w:right="0"/>
              <w:rPr>
                <w:b/>
              </w:rPr>
            </w:pPr>
          </w:p>
        </w:tc>
        <w:tc>
          <w:tcPr>
            <w:tcW w:w="2700" w:type="dxa"/>
          </w:tcPr>
          <w:p w14:paraId="2331BD5D" w14:textId="56100BE2" w:rsidR="009237D7" w:rsidRPr="001B0B74" w:rsidRDefault="009237D7" w:rsidP="007B5AB9">
            <w:pPr>
              <w:pStyle w:val="Tabletext"/>
              <w:ind w:left="0" w:right="0"/>
            </w:pPr>
            <w:r w:rsidRPr="001B0B74">
              <w:t>Impaired spermatogenesis leading to possi</w:t>
            </w:r>
            <w:r w:rsidR="00AE6CBE" w:rsidRPr="001B0B74">
              <w:t>ble reduction in male fertility</w:t>
            </w:r>
          </w:p>
        </w:tc>
        <w:tc>
          <w:tcPr>
            <w:tcW w:w="1080" w:type="dxa"/>
          </w:tcPr>
          <w:p w14:paraId="463A6909"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w:t>
            </w:r>
          </w:p>
        </w:tc>
        <w:tc>
          <w:tcPr>
            <w:tcW w:w="1170" w:type="dxa"/>
          </w:tcPr>
          <w:p w14:paraId="49DC465A"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w:t>
            </w:r>
          </w:p>
        </w:tc>
        <w:tc>
          <w:tcPr>
            <w:tcW w:w="1080" w:type="dxa"/>
          </w:tcPr>
          <w:p w14:paraId="2283BA7F" w14:textId="77777777" w:rsidR="009237D7" w:rsidRPr="001B0B74" w:rsidRDefault="009237D7" w:rsidP="007B5AB9">
            <w:pPr>
              <w:pStyle w:val="Tabletext"/>
              <w:ind w:left="0" w:right="0"/>
              <w:jc w:val="center"/>
            </w:pPr>
            <w:r w:rsidRPr="001B0B74">
              <w:sym w:font="Wingdings" w:char="F0FC"/>
            </w:r>
          </w:p>
        </w:tc>
        <w:tc>
          <w:tcPr>
            <w:tcW w:w="1173" w:type="dxa"/>
          </w:tcPr>
          <w:p w14:paraId="32965EC6"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w:t>
            </w:r>
          </w:p>
        </w:tc>
      </w:tr>
      <w:tr w:rsidR="009237D7" w:rsidRPr="001B0B74" w14:paraId="59C25B9B" w14:textId="77777777" w:rsidTr="007B5AB9">
        <w:trPr>
          <w:trHeight w:val="112"/>
        </w:trPr>
        <w:tc>
          <w:tcPr>
            <w:tcW w:w="1435" w:type="dxa"/>
            <w:vMerge/>
          </w:tcPr>
          <w:p w14:paraId="23441F1B" w14:textId="77777777" w:rsidR="009237D7" w:rsidRPr="001B0B74" w:rsidRDefault="009237D7" w:rsidP="007B5AB9">
            <w:pPr>
              <w:pStyle w:val="Tabletext"/>
              <w:ind w:left="0" w:right="0"/>
              <w:rPr>
                <w:b/>
              </w:rPr>
            </w:pPr>
          </w:p>
        </w:tc>
        <w:tc>
          <w:tcPr>
            <w:tcW w:w="2700" w:type="dxa"/>
          </w:tcPr>
          <w:p w14:paraId="076A261B" w14:textId="77777777" w:rsidR="009237D7" w:rsidRPr="001B0B74" w:rsidRDefault="009237D7" w:rsidP="007B5AB9">
            <w:pPr>
              <w:pStyle w:val="Tabletext"/>
              <w:ind w:left="0" w:right="0"/>
            </w:pPr>
            <w:r w:rsidRPr="001B0B74">
              <w:t>Malignancy</w:t>
            </w:r>
          </w:p>
        </w:tc>
        <w:tc>
          <w:tcPr>
            <w:tcW w:w="1080" w:type="dxa"/>
          </w:tcPr>
          <w:p w14:paraId="0E447E61"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w:t>
            </w:r>
          </w:p>
        </w:tc>
        <w:tc>
          <w:tcPr>
            <w:tcW w:w="1170" w:type="dxa"/>
          </w:tcPr>
          <w:p w14:paraId="74B0F4ED"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ǁ</w:t>
            </w:r>
          </w:p>
        </w:tc>
        <w:tc>
          <w:tcPr>
            <w:tcW w:w="1080" w:type="dxa"/>
          </w:tcPr>
          <w:p w14:paraId="43B10FF3" w14:textId="77777777" w:rsidR="009237D7" w:rsidRPr="001B0B74" w:rsidRDefault="009237D7" w:rsidP="007B5AB9">
            <w:pPr>
              <w:pStyle w:val="Tabletext"/>
              <w:ind w:left="0" w:right="0"/>
              <w:jc w:val="center"/>
            </w:pPr>
            <w:r w:rsidRPr="001B0B74">
              <w:sym w:font="Wingdings" w:char="F0FC"/>
            </w:r>
          </w:p>
        </w:tc>
        <w:tc>
          <w:tcPr>
            <w:tcW w:w="1173" w:type="dxa"/>
          </w:tcPr>
          <w:p w14:paraId="7ABDADD2" w14:textId="77777777" w:rsidR="009237D7" w:rsidRPr="001B0B74" w:rsidRDefault="009237D7" w:rsidP="007B5AB9">
            <w:pPr>
              <w:pStyle w:val="Tabletext"/>
              <w:ind w:left="0" w:right="0"/>
              <w:jc w:val="center"/>
            </w:pPr>
            <w:r w:rsidRPr="001B0B74">
              <w:t>–</w:t>
            </w:r>
          </w:p>
        </w:tc>
      </w:tr>
      <w:tr w:rsidR="009237D7" w:rsidRPr="001B0B74" w14:paraId="26746FAC" w14:textId="77777777" w:rsidTr="007B5AB9">
        <w:trPr>
          <w:trHeight w:val="112"/>
        </w:trPr>
        <w:tc>
          <w:tcPr>
            <w:tcW w:w="1435" w:type="dxa"/>
            <w:vMerge/>
          </w:tcPr>
          <w:p w14:paraId="10412F24" w14:textId="77777777" w:rsidR="009237D7" w:rsidRPr="001B0B74" w:rsidRDefault="009237D7" w:rsidP="007B5AB9">
            <w:pPr>
              <w:pStyle w:val="Tabletext"/>
              <w:ind w:left="0" w:right="0"/>
              <w:rPr>
                <w:b/>
              </w:rPr>
            </w:pPr>
          </w:p>
        </w:tc>
        <w:tc>
          <w:tcPr>
            <w:tcW w:w="2700" w:type="dxa"/>
          </w:tcPr>
          <w:p w14:paraId="2FBA25C9" w14:textId="77777777" w:rsidR="009237D7" w:rsidRPr="001B0B74" w:rsidRDefault="009237D7" w:rsidP="007B5AB9">
            <w:pPr>
              <w:pStyle w:val="Tabletext"/>
              <w:ind w:left="0" w:right="0"/>
            </w:pPr>
            <w:r w:rsidRPr="001B0B74">
              <w:t>Venous thromboembolism (deep venous thrombosis and pulmonary embolism)</w:t>
            </w:r>
          </w:p>
        </w:tc>
        <w:tc>
          <w:tcPr>
            <w:tcW w:w="1080" w:type="dxa"/>
          </w:tcPr>
          <w:p w14:paraId="13486238"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w:t>
            </w:r>
          </w:p>
        </w:tc>
        <w:tc>
          <w:tcPr>
            <w:tcW w:w="1170" w:type="dxa"/>
          </w:tcPr>
          <w:p w14:paraId="5AECBBC9"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ǁ</w:t>
            </w:r>
          </w:p>
        </w:tc>
        <w:tc>
          <w:tcPr>
            <w:tcW w:w="1080" w:type="dxa"/>
          </w:tcPr>
          <w:p w14:paraId="46ECE5C3" w14:textId="77777777" w:rsidR="009237D7" w:rsidRPr="001B0B74" w:rsidRDefault="009237D7" w:rsidP="007B5AB9">
            <w:pPr>
              <w:pStyle w:val="Tabletext"/>
              <w:ind w:left="0" w:right="0"/>
              <w:jc w:val="center"/>
            </w:pPr>
            <w:r w:rsidRPr="001B0B74">
              <w:t>–</w:t>
            </w:r>
          </w:p>
        </w:tc>
        <w:tc>
          <w:tcPr>
            <w:tcW w:w="1173" w:type="dxa"/>
          </w:tcPr>
          <w:p w14:paraId="09373838" w14:textId="77777777" w:rsidR="009237D7" w:rsidRPr="001B0B74" w:rsidRDefault="009237D7" w:rsidP="007B5AB9">
            <w:pPr>
              <w:pStyle w:val="Tabletext"/>
              <w:ind w:left="0" w:right="0"/>
              <w:jc w:val="center"/>
            </w:pPr>
            <w:r w:rsidRPr="001B0B74">
              <w:t>–</w:t>
            </w:r>
          </w:p>
        </w:tc>
      </w:tr>
      <w:tr w:rsidR="009237D7" w:rsidRPr="001B0B74" w14:paraId="64DFCDC9" w14:textId="77777777" w:rsidTr="007B5AB9">
        <w:trPr>
          <w:trHeight w:val="112"/>
        </w:trPr>
        <w:tc>
          <w:tcPr>
            <w:tcW w:w="1435" w:type="dxa"/>
            <w:vMerge/>
          </w:tcPr>
          <w:p w14:paraId="5BECDD38" w14:textId="77777777" w:rsidR="009237D7" w:rsidRPr="001B0B74" w:rsidRDefault="009237D7" w:rsidP="007B5AB9">
            <w:pPr>
              <w:pStyle w:val="Tabletext"/>
              <w:ind w:left="0" w:right="0"/>
              <w:rPr>
                <w:b/>
              </w:rPr>
            </w:pPr>
          </w:p>
        </w:tc>
        <w:tc>
          <w:tcPr>
            <w:tcW w:w="2700" w:type="dxa"/>
          </w:tcPr>
          <w:p w14:paraId="28EF8EFA" w14:textId="77777777" w:rsidR="009237D7" w:rsidRPr="001B0B74" w:rsidRDefault="009237D7" w:rsidP="007B5AB9">
            <w:pPr>
              <w:pStyle w:val="Tabletext"/>
              <w:ind w:left="0" w:right="0"/>
            </w:pPr>
            <w:r w:rsidRPr="001B0B74">
              <w:t>Gastrointestinal perforation</w:t>
            </w:r>
          </w:p>
        </w:tc>
        <w:tc>
          <w:tcPr>
            <w:tcW w:w="1080" w:type="dxa"/>
          </w:tcPr>
          <w:p w14:paraId="094CDA4D"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w:t>
            </w:r>
          </w:p>
        </w:tc>
        <w:tc>
          <w:tcPr>
            <w:tcW w:w="1170" w:type="dxa"/>
          </w:tcPr>
          <w:p w14:paraId="645F6867"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ǁ</w:t>
            </w:r>
          </w:p>
        </w:tc>
        <w:tc>
          <w:tcPr>
            <w:tcW w:w="1080" w:type="dxa"/>
          </w:tcPr>
          <w:p w14:paraId="3B352C9B" w14:textId="77777777" w:rsidR="009237D7" w:rsidRPr="001B0B74" w:rsidRDefault="009237D7" w:rsidP="007B5AB9">
            <w:pPr>
              <w:pStyle w:val="Tabletext"/>
              <w:ind w:left="0" w:right="0"/>
              <w:jc w:val="center"/>
            </w:pPr>
            <w:r w:rsidRPr="001B0B74">
              <w:t>–</w:t>
            </w:r>
          </w:p>
        </w:tc>
        <w:tc>
          <w:tcPr>
            <w:tcW w:w="1173" w:type="dxa"/>
          </w:tcPr>
          <w:p w14:paraId="01FD1373" w14:textId="77777777" w:rsidR="009237D7" w:rsidRPr="001B0B74" w:rsidRDefault="009237D7" w:rsidP="007B5AB9">
            <w:pPr>
              <w:pStyle w:val="Tabletext"/>
              <w:ind w:left="0" w:right="0"/>
              <w:jc w:val="center"/>
            </w:pPr>
            <w:r w:rsidRPr="001B0B74">
              <w:t>–</w:t>
            </w:r>
          </w:p>
        </w:tc>
      </w:tr>
      <w:tr w:rsidR="009237D7" w:rsidRPr="001B0B74" w14:paraId="74428F12" w14:textId="77777777" w:rsidTr="007B5AB9">
        <w:trPr>
          <w:trHeight w:val="112"/>
        </w:trPr>
        <w:tc>
          <w:tcPr>
            <w:tcW w:w="1435" w:type="dxa"/>
            <w:vMerge/>
          </w:tcPr>
          <w:p w14:paraId="78E67BE6" w14:textId="77777777" w:rsidR="009237D7" w:rsidRPr="001B0B74" w:rsidRDefault="009237D7" w:rsidP="007B5AB9">
            <w:pPr>
              <w:pStyle w:val="Tabletext"/>
              <w:ind w:left="0" w:right="0"/>
              <w:rPr>
                <w:b/>
              </w:rPr>
            </w:pPr>
          </w:p>
        </w:tc>
        <w:tc>
          <w:tcPr>
            <w:tcW w:w="2700" w:type="dxa"/>
          </w:tcPr>
          <w:p w14:paraId="3D2C1C44" w14:textId="2F311FC4" w:rsidR="009237D7" w:rsidRPr="001B0B74" w:rsidRDefault="00D06925" w:rsidP="007B5AB9">
            <w:pPr>
              <w:pStyle w:val="Tabletext"/>
              <w:ind w:left="0" w:right="0"/>
            </w:pPr>
            <w:r w:rsidRPr="001B0B74">
              <w:t>Non-melanoma skin cancer</w:t>
            </w:r>
          </w:p>
        </w:tc>
        <w:tc>
          <w:tcPr>
            <w:tcW w:w="1080" w:type="dxa"/>
          </w:tcPr>
          <w:p w14:paraId="60454454"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w:t>
            </w:r>
          </w:p>
        </w:tc>
        <w:tc>
          <w:tcPr>
            <w:tcW w:w="1170" w:type="dxa"/>
          </w:tcPr>
          <w:p w14:paraId="5C5B2C5F"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ǁ</w:t>
            </w:r>
          </w:p>
        </w:tc>
        <w:tc>
          <w:tcPr>
            <w:tcW w:w="1080" w:type="dxa"/>
          </w:tcPr>
          <w:p w14:paraId="30C21AE5" w14:textId="77777777" w:rsidR="009237D7" w:rsidRPr="001B0B74" w:rsidRDefault="009237D7" w:rsidP="007B5AB9">
            <w:pPr>
              <w:pStyle w:val="Tabletext"/>
              <w:ind w:left="0" w:right="0"/>
              <w:jc w:val="center"/>
            </w:pPr>
            <w:r w:rsidRPr="001B0B74">
              <w:rPr>
                <w:color w:val="7030A0"/>
              </w:rPr>
              <w:sym w:font="Wingdings" w:char="F0FC"/>
            </w:r>
          </w:p>
        </w:tc>
        <w:tc>
          <w:tcPr>
            <w:tcW w:w="1173" w:type="dxa"/>
          </w:tcPr>
          <w:p w14:paraId="218E89A0" w14:textId="77777777" w:rsidR="009237D7" w:rsidRPr="001B0B74" w:rsidRDefault="009237D7" w:rsidP="007B5AB9">
            <w:pPr>
              <w:pStyle w:val="Tabletext"/>
              <w:ind w:left="0" w:right="0"/>
              <w:jc w:val="center"/>
            </w:pPr>
            <w:r w:rsidRPr="001B0B74">
              <w:t>–</w:t>
            </w:r>
          </w:p>
        </w:tc>
      </w:tr>
      <w:tr w:rsidR="009237D7" w:rsidRPr="001B0B74" w14:paraId="3A1F62C3" w14:textId="77777777" w:rsidTr="007B5AB9">
        <w:trPr>
          <w:trHeight w:val="112"/>
        </w:trPr>
        <w:tc>
          <w:tcPr>
            <w:tcW w:w="1435" w:type="dxa"/>
            <w:vMerge/>
          </w:tcPr>
          <w:p w14:paraId="38779E79" w14:textId="77777777" w:rsidR="009237D7" w:rsidRPr="001B0B74" w:rsidRDefault="009237D7" w:rsidP="007B5AB9">
            <w:pPr>
              <w:pStyle w:val="Tabletext"/>
              <w:ind w:left="0" w:right="0"/>
              <w:rPr>
                <w:b/>
              </w:rPr>
            </w:pPr>
          </w:p>
        </w:tc>
        <w:tc>
          <w:tcPr>
            <w:tcW w:w="2700" w:type="dxa"/>
          </w:tcPr>
          <w:p w14:paraId="173C9567" w14:textId="08D1337C" w:rsidR="009237D7" w:rsidRPr="001B0B74" w:rsidRDefault="009237D7" w:rsidP="007B5AB9">
            <w:pPr>
              <w:pStyle w:val="Tabletext"/>
              <w:ind w:left="0" w:right="0"/>
            </w:pPr>
            <w:r w:rsidRPr="001B0B74">
              <w:t>Majo</w:t>
            </w:r>
            <w:r w:rsidR="00D06925" w:rsidRPr="001B0B74">
              <w:t>r adverse cardiovascular events</w:t>
            </w:r>
          </w:p>
        </w:tc>
        <w:tc>
          <w:tcPr>
            <w:tcW w:w="1080" w:type="dxa"/>
          </w:tcPr>
          <w:p w14:paraId="0A3C586D"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w:t>
            </w:r>
          </w:p>
        </w:tc>
        <w:tc>
          <w:tcPr>
            <w:tcW w:w="1170" w:type="dxa"/>
          </w:tcPr>
          <w:p w14:paraId="4819166E"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ǁ</w:t>
            </w:r>
          </w:p>
        </w:tc>
        <w:tc>
          <w:tcPr>
            <w:tcW w:w="1080" w:type="dxa"/>
          </w:tcPr>
          <w:p w14:paraId="057E42B8" w14:textId="77777777" w:rsidR="009237D7" w:rsidRPr="001B0B74" w:rsidRDefault="009237D7" w:rsidP="007B5AB9">
            <w:pPr>
              <w:pStyle w:val="Tabletext"/>
              <w:ind w:left="0" w:right="0"/>
              <w:jc w:val="center"/>
            </w:pPr>
            <w:r w:rsidRPr="001B0B74">
              <w:t>–</w:t>
            </w:r>
          </w:p>
        </w:tc>
        <w:tc>
          <w:tcPr>
            <w:tcW w:w="1173" w:type="dxa"/>
          </w:tcPr>
          <w:p w14:paraId="57D24EA1" w14:textId="77777777" w:rsidR="009237D7" w:rsidRPr="001B0B74" w:rsidRDefault="009237D7" w:rsidP="007B5AB9">
            <w:pPr>
              <w:pStyle w:val="Tabletext"/>
              <w:ind w:left="0" w:right="0"/>
              <w:jc w:val="center"/>
            </w:pPr>
            <w:r w:rsidRPr="001B0B74">
              <w:t>–</w:t>
            </w:r>
          </w:p>
        </w:tc>
      </w:tr>
      <w:tr w:rsidR="009237D7" w:rsidRPr="001B0B74" w14:paraId="075BDB62" w14:textId="77777777" w:rsidTr="007B5AB9">
        <w:trPr>
          <w:trHeight w:val="112"/>
        </w:trPr>
        <w:tc>
          <w:tcPr>
            <w:tcW w:w="1435" w:type="dxa"/>
            <w:vMerge/>
          </w:tcPr>
          <w:p w14:paraId="611C985F" w14:textId="77777777" w:rsidR="009237D7" w:rsidRPr="001B0B74" w:rsidRDefault="009237D7" w:rsidP="007B5AB9">
            <w:pPr>
              <w:pStyle w:val="Tabletext"/>
              <w:ind w:left="0" w:right="0"/>
              <w:rPr>
                <w:b/>
              </w:rPr>
            </w:pPr>
          </w:p>
        </w:tc>
        <w:tc>
          <w:tcPr>
            <w:tcW w:w="2700" w:type="dxa"/>
          </w:tcPr>
          <w:p w14:paraId="210E63EF" w14:textId="77777777" w:rsidR="009237D7" w:rsidRPr="001B0B74" w:rsidRDefault="009237D7" w:rsidP="007B5AB9">
            <w:pPr>
              <w:pStyle w:val="Tabletext"/>
              <w:ind w:left="0" w:right="0"/>
            </w:pPr>
            <w:r w:rsidRPr="001B0B74">
              <w:t>Hyperlipidaemia</w:t>
            </w:r>
          </w:p>
        </w:tc>
        <w:tc>
          <w:tcPr>
            <w:tcW w:w="1080" w:type="dxa"/>
          </w:tcPr>
          <w:p w14:paraId="401C7F1F"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w:t>
            </w:r>
          </w:p>
        </w:tc>
        <w:tc>
          <w:tcPr>
            <w:tcW w:w="1170" w:type="dxa"/>
          </w:tcPr>
          <w:p w14:paraId="2045A40D"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ǁ</w:t>
            </w:r>
          </w:p>
        </w:tc>
        <w:tc>
          <w:tcPr>
            <w:tcW w:w="1080" w:type="dxa"/>
          </w:tcPr>
          <w:p w14:paraId="2AB34DC2" w14:textId="77777777" w:rsidR="009237D7" w:rsidRPr="001B0B74" w:rsidRDefault="009237D7" w:rsidP="007B5AB9">
            <w:pPr>
              <w:pStyle w:val="Tabletext"/>
              <w:ind w:left="0" w:right="0"/>
              <w:jc w:val="center"/>
            </w:pPr>
            <w:r w:rsidRPr="001B0B74">
              <w:t>–</w:t>
            </w:r>
          </w:p>
        </w:tc>
        <w:tc>
          <w:tcPr>
            <w:tcW w:w="1173" w:type="dxa"/>
          </w:tcPr>
          <w:p w14:paraId="3BBAC672" w14:textId="77777777" w:rsidR="009237D7" w:rsidRPr="001B0B74" w:rsidRDefault="009237D7" w:rsidP="007B5AB9">
            <w:pPr>
              <w:pStyle w:val="Tabletext"/>
              <w:ind w:left="0" w:right="0"/>
              <w:jc w:val="center"/>
            </w:pPr>
            <w:r w:rsidRPr="001B0B74">
              <w:t>–</w:t>
            </w:r>
          </w:p>
        </w:tc>
      </w:tr>
      <w:tr w:rsidR="009237D7" w:rsidRPr="001B0B74" w14:paraId="41297C2B" w14:textId="77777777" w:rsidTr="007B5AB9">
        <w:trPr>
          <w:trHeight w:val="112"/>
        </w:trPr>
        <w:tc>
          <w:tcPr>
            <w:tcW w:w="1435" w:type="dxa"/>
            <w:vMerge/>
          </w:tcPr>
          <w:p w14:paraId="69FBFB84" w14:textId="77777777" w:rsidR="009237D7" w:rsidRPr="001B0B74" w:rsidRDefault="009237D7" w:rsidP="007B5AB9">
            <w:pPr>
              <w:pStyle w:val="Tabletext"/>
              <w:ind w:left="0" w:right="0"/>
              <w:rPr>
                <w:b/>
              </w:rPr>
            </w:pPr>
          </w:p>
        </w:tc>
        <w:tc>
          <w:tcPr>
            <w:tcW w:w="2700" w:type="dxa"/>
          </w:tcPr>
          <w:p w14:paraId="02ECEAA5" w14:textId="77777777" w:rsidR="009237D7" w:rsidRPr="001B0B74" w:rsidRDefault="009237D7" w:rsidP="007B5AB9">
            <w:pPr>
              <w:pStyle w:val="Tabletext"/>
              <w:ind w:left="0" w:right="0"/>
            </w:pPr>
            <w:r w:rsidRPr="001B0B74">
              <w:t>Varicella zoster</w:t>
            </w:r>
          </w:p>
        </w:tc>
        <w:tc>
          <w:tcPr>
            <w:tcW w:w="1080" w:type="dxa"/>
          </w:tcPr>
          <w:p w14:paraId="55F280CD"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rPr>
              <w:t>*</w:t>
            </w:r>
          </w:p>
        </w:tc>
        <w:tc>
          <w:tcPr>
            <w:tcW w:w="1170" w:type="dxa"/>
          </w:tcPr>
          <w:p w14:paraId="53440F8A"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ǁ</w:t>
            </w:r>
          </w:p>
        </w:tc>
        <w:tc>
          <w:tcPr>
            <w:tcW w:w="1080" w:type="dxa"/>
          </w:tcPr>
          <w:p w14:paraId="75151485" w14:textId="77777777" w:rsidR="009237D7" w:rsidRPr="001B0B74" w:rsidRDefault="009237D7" w:rsidP="007B5AB9">
            <w:pPr>
              <w:pStyle w:val="Tabletext"/>
              <w:ind w:left="0" w:right="0"/>
              <w:jc w:val="center"/>
            </w:pPr>
            <w:r w:rsidRPr="001B0B74">
              <w:t>–</w:t>
            </w:r>
          </w:p>
        </w:tc>
        <w:tc>
          <w:tcPr>
            <w:tcW w:w="1173" w:type="dxa"/>
          </w:tcPr>
          <w:p w14:paraId="44C12807" w14:textId="77777777" w:rsidR="009237D7" w:rsidRPr="001B0B74" w:rsidRDefault="009237D7" w:rsidP="007B5AB9">
            <w:pPr>
              <w:pStyle w:val="Tabletext"/>
              <w:ind w:left="0" w:right="0"/>
              <w:jc w:val="center"/>
            </w:pPr>
            <w:r w:rsidRPr="001B0B74">
              <w:t>–</w:t>
            </w:r>
          </w:p>
        </w:tc>
      </w:tr>
      <w:tr w:rsidR="009237D7" w:rsidRPr="001B0B74" w14:paraId="584E7A9C" w14:textId="77777777" w:rsidTr="007B5AB9">
        <w:trPr>
          <w:trHeight w:val="178"/>
        </w:trPr>
        <w:tc>
          <w:tcPr>
            <w:tcW w:w="1435" w:type="dxa"/>
            <w:vMerge w:val="restart"/>
          </w:tcPr>
          <w:p w14:paraId="6F8D5F7A" w14:textId="77777777" w:rsidR="009237D7" w:rsidRPr="001B0B74" w:rsidRDefault="009237D7" w:rsidP="007B5AB9">
            <w:pPr>
              <w:pStyle w:val="Tabletext"/>
              <w:ind w:left="0" w:right="0"/>
              <w:rPr>
                <w:b/>
              </w:rPr>
            </w:pPr>
            <w:r w:rsidRPr="001B0B74">
              <w:rPr>
                <w:b/>
              </w:rPr>
              <w:t>Missing information</w:t>
            </w:r>
          </w:p>
        </w:tc>
        <w:tc>
          <w:tcPr>
            <w:tcW w:w="2700" w:type="dxa"/>
          </w:tcPr>
          <w:p w14:paraId="1D94ADB4" w14:textId="77777777" w:rsidR="009237D7" w:rsidRPr="001B0B74" w:rsidRDefault="009237D7" w:rsidP="007B5AB9">
            <w:pPr>
              <w:pStyle w:val="Tabletext"/>
              <w:ind w:left="0" w:right="0"/>
            </w:pPr>
            <w:r w:rsidRPr="001B0B74">
              <w:t>Use in patients with evidence of untreated chronic infection with hepatitis B or C</w:t>
            </w:r>
          </w:p>
        </w:tc>
        <w:tc>
          <w:tcPr>
            <w:tcW w:w="1080" w:type="dxa"/>
          </w:tcPr>
          <w:p w14:paraId="6BD898E5" w14:textId="77777777" w:rsidR="009237D7" w:rsidRPr="001B0B74" w:rsidRDefault="009237D7" w:rsidP="007B5AB9">
            <w:pPr>
              <w:pStyle w:val="Tabletext"/>
              <w:ind w:left="0" w:right="0"/>
              <w:jc w:val="center"/>
            </w:pPr>
            <w:r w:rsidRPr="001B0B74">
              <w:sym w:font="Wingdings" w:char="F0FC"/>
            </w:r>
          </w:p>
        </w:tc>
        <w:tc>
          <w:tcPr>
            <w:tcW w:w="1170" w:type="dxa"/>
          </w:tcPr>
          <w:p w14:paraId="6F6E8678" w14:textId="77777777" w:rsidR="009237D7" w:rsidRPr="001B0B74" w:rsidRDefault="009237D7" w:rsidP="007B5AB9">
            <w:pPr>
              <w:pStyle w:val="Tabletext"/>
              <w:ind w:left="0" w:right="0"/>
              <w:jc w:val="center"/>
            </w:pPr>
            <w:r w:rsidRPr="001B0B74">
              <w:t>–</w:t>
            </w:r>
          </w:p>
        </w:tc>
        <w:tc>
          <w:tcPr>
            <w:tcW w:w="1080" w:type="dxa"/>
          </w:tcPr>
          <w:p w14:paraId="7E299E67" w14:textId="77777777" w:rsidR="009237D7" w:rsidRPr="001B0B74" w:rsidRDefault="009237D7" w:rsidP="007B5AB9">
            <w:pPr>
              <w:pStyle w:val="Tabletext"/>
              <w:ind w:left="0" w:right="0"/>
              <w:jc w:val="center"/>
            </w:pPr>
            <w:r w:rsidRPr="001B0B74">
              <w:t>–</w:t>
            </w:r>
          </w:p>
        </w:tc>
        <w:tc>
          <w:tcPr>
            <w:tcW w:w="1173" w:type="dxa"/>
          </w:tcPr>
          <w:p w14:paraId="1DAEDC84" w14:textId="77777777" w:rsidR="009237D7" w:rsidRPr="001B0B74" w:rsidRDefault="009237D7" w:rsidP="007B5AB9">
            <w:pPr>
              <w:pStyle w:val="Tabletext"/>
              <w:ind w:left="0" w:right="0"/>
              <w:jc w:val="center"/>
            </w:pPr>
            <w:r w:rsidRPr="001B0B74">
              <w:t>–</w:t>
            </w:r>
          </w:p>
        </w:tc>
      </w:tr>
      <w:tr w:rsidR="009237D7" w:rsidRPr="001B0B74" w14:paraId="2EF687BF" w14:textId="77777777" w:rsidTr="007B5AB9">
        <w:trPr>
          <w:trHeight w:val="178"/>
        </w:trPr>
        <w:tc>
          <w:tcPr>
            <w:tcW w:w="1435" w:type="dxa"/>
            <w:vMerge/>
          </w:tcPr>
          <w:p w14:paraId="55C29786" w14:textId="77777777" w:rsidR="009237D7" w:rsidRPr="001B0B74" w:rsidRDefault="009237D7" w:rsidP="007B5AB9">
            <w:pPr>
              <w:pStyle w:val="Tabletext"/>
              <w:ind w:left="0" w:right="0"/>
              <w:rPr>
                <w:b/>
              </w:rPr>
            </w:pPr>
          </w:p>
        </w:tc>
        <w:tc>
          <w:tcPr>
            <w:tcW w:w="2700" w:type="dxa"/>
          </w:tcPr>
          <w:p w14:paraId="253BDC41" w14:textId="77777777" w:rsidR="009237D7" w:rsidRPr="001B0B74" w:rsidRDefault="009237D7" w:rsidP="007B5AB9">
            <w:pPr>
              <w:pStyle w:val="Tabletext"/>
              <w:ind w:left="0" w:right="0"/>
            </w:pPr>
            <w:r w:rsidRPr="001B0B74">
              <w:t>Effect on vaccination efficacy</w:t>
            </w:r>
          </w:p>
        </w:tc>
        <w:tc>
          <w:tcPr>
            <w:tcW w:w="1080" w:type="dxa"/>
          </w:tcPr>
          <w:p w14:paraId="047D64A9" w14:textId="77777777" w:rsidR="009237D7" w:rsidRPr="001B0B74" w:rsidRDefault="009237D7" w:rsidP="007B5AB9">
            <w:pPr>
              <w:pStyle w:val="Tabletext"/>
              <w:ind w:left="0" w:right="0"/>
              <w:jc w:val="center"/>
            </w:pPr>
            <w:r w:rsidRPr="001B0B74">
              <w:sym w:font="Wingdings" w:char="F0FC"/>
            </w:r>
          </w:p>
        </w:tc>
        <w:tc>
          <w:tcPr>
            <w:tcW w:w="1170" w:type="dxa"/>
          </w:tcPr>
          <w:p w14:paraId="598B5FF7" w14:textId="77777777" w:rsidR="009237D7" w:rsidRPr="001B0B74" w:rsidRDefault="009237D7" w:rsidP="007B5AB9">
            <w:pPr>
              <w:pStyle w:val="Tabletext"/>
              <w:ind w:left="0" w:right="0"/>
              <w:jc w:val="center"/>
            </w:pPr>
            <w:r w:rsidRPr="001B0B74">
              <w:t>–</w:t>
            </w:r>
          </w:p>
        </w:tc>
        <w:tc>
          <w:tcPr>
            <w:tcW w:w="1080" w:type="dxa"/>
          </w:tcPr>
          <w:p w14:paraId="52ED65E3" w14:textId="77777777" w:rsidR="009237D7" w:rsidRPr="001B0B74" w:rsidRDefault="009237D7" w:rsidP="007B5AB9">
            <w:pPr>
              <w:pStyle w:val="Tabletext"/>
              <w:ind w:left="0" w:right="0"/>
              <w:jc w:val="center"/>
            </w:pPr>
            <w:r w:rsidRPr="001B0B74">
              <w:sym w:font="Wingdings" w:char="F0FC"/>
            </w:r>
          </w:p>
        </w:tc>
        <w:tc>
          <w:tcPr>
            <w:tcW w:w="1173" w:type="dxa"/>
          </w:tcPr>
          <w:p w14:paraId="786AA987" w14:textId="77777777" w:rsidR="009237D7" w:rsidRPr="001B0B74" w:rsidRDefault="009237D7" w:rsidP="007B5AB9">
            <w:pPr>
              <w:pStyle w:val="Tabletext"/>
              <w:ind w:left="0" w:right="0"/>
              <w:jc w:val="center"/>
            </w:pPr>
            <w:r w:rsidRPr="001B0B74">
              <w:t>–</w:t>
            </w:r>
          </w:p>
        </w:tc>
      </w:tr>
      <w:tr w:rsidR="009237D7" w:rsidRPr="001B0B74" w14:paraId="2518E1B9" w14:textId="77777777" w:rsidTr="007B5AB9">
        <w:trPr>
          <w:trHeight w:val="178"/>
        </w:trPr>
        <w:tc>
          <w:tcPr>
            <w:tcW w:w="1435" w:type="dxa"/>
            <w:vMerge/>
          </w:tcPr>
          <w:p w14:paraId="42C26CD9" w14:textId="77777777" w:rsidR="009237D7" w:rsidRPr="001B0B74" w:rsidRDefault="009237D7" w:rsidP="007B5AB9">
            <w:pPr>
              <w:pStyle w:val="Tabletext"/>
              <w:ind w:left="0" w:right="0"/>
              <w:rPr>
                <w:b/>
              </w:rPr>
            </w:pPr>
          </w:p>
        </w:tc>
        <w:tc>
          <w:tcPr>
            <w:tcW w:w="2700" w:type="dxa"/>
          </w:tcPr>
          <w:p w14:paraId="37D69F18" w14:textId="77777777" w:rsidR="009237D7" w:rsidRPr="001B0B74" w:rsidRDefault="009237D7" w:rsidP="007B5AB9">
            <w:pPr>
              <w:pStyle w:val="Tabletext"/>
              <w:ind w:left="0" w:right="0"/>
            </w:pPr>
            <w:r w:rsidRPr="001B0B74">
              <w:t>Use in the very elderly (&gt;75 years)</w:t>
            </w:r>
          </w:p>
        </w:tc>
        <w:tc>
          <w:tcPr>
            <w:tcW w:w="1080" w:type="dxa"/>
          </w:tcPr>
          <w:p w14:paraId="3FA22287" w14:textId="77777777" w:rsidR="009237D7" w:rsidRPr="001B0B74" w:rsidRDefault="009237D7" w:rsidP="007B5AB9">
            <w:pPr>
              <w:pStyle w:val="Tabletext"/>
              <w:ind w:left="0" w:right="0"/>
              <w:jc w:val="center"/>
            </w:pPr>
            <w:r w:rsidRPr="001B0B74">
              <w:sym w:font="Wingdings" w:char="F0FC"/>
            </w:r>
          </w:p>
        </w:tc>
        <w:tc>
          <w:tcPr>
            <w:tcW w:w="1170" w:type="dxa"/>
          </w:tcPr>
          <w:p w14:paraId="4A136178"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 ǁ</w:t>
            </w:r>
          </w:p>
        </w:tc>
        <w:tc>
          <w:tcPr>
            <w:tcW w:w="1080" w:type="dxa"/>
          </w:tcPr>
          <w:p w14:paraId="648F1CEC" w14:textId="77777777" w:rsidR="009237D7" w:rsidRPr="001B0B74" w:rsidRDefault="009237D7" w:rsidP="007B5AB9">
            <w:pPr>
              <w:pStyle w:val="Tabletext"/>
              <w:ind w:left="0" w:right="0"/>
              <w:jc w:val="center"/>
            </w:pPr>
            <w:r w:rsidRPr="001B0B74">
              <w:sym w:font="Wingdings" w:char="F0FC"/>
            </w:r>
          </w:p>
        </w:tc>
        <w:tc>
          <w:tcPr>
            <w:tcW w:w="1173" w:type="dxa"/>
          </w:tcPr>
          <w:p w14:paraId="61556BE4" w14:textId="77777777" w:rsidR="009237D7" w:rsidRPr="001B0B74" w:rsidRDefault="009237D7" w:rsidP="007B5AB9">
            <w:pPr>
              <w:pStyle w:val="Tabletext"/>
              <w:ind w:left="0" w:right="0"/>
              <w:jc w:val="center"/>
            </w:pPr>
            <w:r w:rsidRPr="001B0B74">
              <w:sym w:font="Wingdings" w:char="F0FC"/>
            </w:r>
            <w:r w:rsidRPr="001B0B74">
              <w:rPr>
                <w:rFonts w:asciiTheme="majorHAnsi" w:hAnsiTheme="majorHAnsi"/>
                <w:szCs w:val="20"/>
                <w:vertAlign w:val="superscript"/>
              </w:rPr>
              <w:t>¶</w:t>
            </w:r>
          </w:p>
        </w:tc>
      </w:tr>
    </w:tbl>
    <w:p w14:paraId="46982C28" w14:textId="77777777" w:rsidR="009237D7" w:rsidRPr="001B0B74" w:rsidRDefault="009237D7" w:rsidP="00D06925">
      <w:pPr>
        <w:pStyle w:val="TableDescription"/>
      </w:pPr>
      <w:r w:rsidRPr="001B0B74">
        <w:t>* Specific adverse reaction follow-up questionnaire</w:t>
      </w:r>
    </w:p>
    <w:p w14:paraId="56E2CBFA" w14:textId="77777777" w:rsidR="009237D7" w:rsidRPr="001B0B74" w:rsidRDefault="009237D7" w:rsidP="00D06925">
      <w:pPr>
        <w:pStyle w:val="TableDescription"/>
      </w:pPr>
      <w:r w:rsidRPr="001B0B74">
        <w:t>† Pregnancy report and outcomes forms</w:t>
      </w:r>
    </w:p>
    <w:p w14:paraId="55B820AB" w14:textId="0E9B23B9" w:rsidR="009237D7" w:rsidRPr="001B0B74" w:rsidRDefault="00D06925" w:rsidP="00D06925">
      <w:pPr>
        <w:pStyle w:val="TableDescription"/>
      </w:pPr>
      <w:r w:rsidRPr="001B0B74">
        <w:t>‡ Safety study</w:t>
      </w:r>
    </w:p>
    <w:p w14:paraId="13CA1AB6" w14:textId="13A7F244" w:rsidR="009237D7" w:rsidRPr="001B0B74" w:rsidRDefault="009237D7" w:rsidP="00D06925">
      <w:pPr>
        <w:pStyle w:val="TableDescription"/>
      </w:pPr>
      <w:r w:rsidRPr="001B0B74">
        <w:t>§ Long</w:t>
      </w:r>
      <w:r w:rsidR="00897C9A" w:rsidRPr="001B0B74">
        <w:t xml:space="preserve"> </w:t>
      </w:r>
      <w:r w:rsidRPr="001B0B74">
        <w:t>term extension study</w:t>
      </w:r>
    </w:p>
    <w:p w14:paraId="4B6F82BF" w14:textId="2E957836" w:rsidR="009237D7" w:rsidRPr="001B0B74" w:rsidRDefault="009237D7" w:rsidP="00D06925">
      <w:pPr>
        <w:pStyle w:val="TableDescription"/>
      </w:pPr>
      <w:r w:rsidRPr="001B0B74">
        <w:t>ǁ</w:t>
      </w:r>
      <w:r w:rsidR="00D06925" w:rsidRPr="001B0B74">
        <w:t xml:space="preserve"> N</w:t>
      </w:r>
      <w:r w:rsidRPr="001B0B74">
        <w:t xml:space="preserve">on-interventional EU </w:t>
      </w:r>
      <w:r w:rsidR="001B78D7" w:rsidRPr="001B0B74">
        <w:t>post authorisation safety studies (</w:t>
      </w:r>
      <w:r w:rsidRPr="001B0B74">
        <w:t>PASS</w:t>
      </w:r>
      <w:r w:rsidR="001B78D7" w:rsidRPr="001B0B74">
        <w:t>)</w:t>
      </w:r>
      <w:r w:rsidRPr="001B0B74">
        <w:t xml:space="preserve"> study</w:t>
      </w:r>
    </w:p>
    <w:p w14:paraId="0FF7AFEF" w14:textId="328D1679" w:rsidR="009237D7" w:rsidRPr="001B0B74" w:rsidRDefault="001B78D7" w:rsidP="00D06925">
      <w:pPr>
        <w:pStyle w:val="TableDescription"/>
      </w:pPr>
      <w:r w:rsidRPr="001B0B74">
        <w:t>Health control plan (</w:t>
      </w:r>
      <w:r w:rsidR="009237D7" w:rsidRPr="001B0B74">
        <w:t>HCP</w:t>
      </w:r>
      <w:r w:rsidRPr="001B0B74">
        <w:t>)</w:t>
      </w:r>
      <w:r w:rsidR="009237D7" w:rsidRPr="001B0B74">
        <w:t xml:space="preserve"> Guide</w:t>
      </w:r>
    </w:p>
    <w:p w14:paraId="2C250F6F" w14:textId="48B694F4" w:rsidR="009237D7" w:rsidRPr="001B0B74" w:rsidRDefault="00D06925" w:rsidP="00D06925">
      <w:pPr>
        <w:pStyle w:val="TableDescription"/>
      </w:pPr>
      <w:r w:rsidRPr="001B0B74">
        <w:t>∞ Patient Alert Card</w:t>
      </w:r>
    </w:p>
    <w:p w14:paraId="24CDE43A" w14:textId="042C582D" w:rsidR="009237D7" w:rsidRPr="001B0B74" w:rsidRDefault="009237D7" w:rsidP="00E760ED">
      <w:pPr>
        <w:pStyle w:val="ListBullet"/>
      </w:pPr>
      <w:r w:rsidRPr="001B0B74">
        <w:t xml:space="preserve">The summary of safety concerns in the ASA was amended by the sponsor at </w:t>
      </w:r>
      <w:r w:rsidR="00412BA4" w:rsidRPr="001B0B74">
        <w:t>the second r</w:t>
      </w:r>
      <w:r w:rsidRPr="001B0B74">
        <w:t>ound</w:t>
      </w:r>
      <w:r w:rsidR="006D0D75" w:rsidRPr="001B0B74">
        <w:t xml:space="preserve"> evaluation</w:t>
      </w:r>
      <w:r w:rsidRPr="001B0B74">
        <w:t xml:space="preserve"> to include safety concerns which were included in the EU-RMP at the request of CHMP. The summary of safety concerns proposed by the sponsor at </w:t>
      </w:r>
      <w:r w:rsidR="00412BA4" w:rsidRPr="001B0B74">
        <w:t>the second r</w:t>
      </w:r>
      <w:r w:rsidRPr="001B0B74">
        <w:t>ound</w:t>
      </w:r>
      <w:r w:rsidR="006D0D75" w:rsidRPr="001B0B74">
        <w:t xml:space="preserve"> evaluation</w:t>
      </w:r>
      <w:r w:rsidRPr="001B0B74">
        <w:t xml:space="preserve"> is considered acceptable from an RMP perspective at</w:t>
      </w:r>
      <w:r w:rsidR="00412BA4" w:rsidRPr="001B0B74">
        <w:t xml:space="preserve"> the fourth</w:t>
      </w:r>
      <w:r w:rsidRPr="001B0B74">
        <w:t xml:space="preserve"> </w:t>
      </w:r>
      <w:r w:rsidR="00412BA4" w:rsidRPr="001B0B74">
        <w:t>r</w:t>
      </w:r>
      <w:r w:rsidRPr="001B0B74">
        <w:t>ound</w:t>
      </w:r>
      <w:r w:rsidR="006D0D75" w:rsidRPr="001B0B74">
        <w:t xml:space="preserve"> evaluation</w:t>
      </w:r>
      <w:r w:rsidRPr="001B0B74">
        <w:t>.</w:t>
      </w:r>
    </w:p>
    <w:p w14:paraId="09B942D1" w14:textId="0ECDA04B" w:rsidR="009237D7" w:rsidRPr="001B0B74" w:rsidRDefault="009237D7" w:rsidP="00E760ED">
      <w:pPr>
        <w:pStyle w:val="ListBullet"/>
      </w:pPr>
      <w:r w:rsidRPr="001B0B74">
        <w:t xml:space="preserve">The proposed pharmacovigilance plan through routine and additional pharmacovigilance activities is considered acceptable at </w:t>
      </w:r>
      <w:r w:rsidR="00412BA4" w:rsidRPr="001B0B74">
        <w:t>the fourth r</w:t>
      </w:r>
      <w:r w:rsidRPr="001B0B74">
        <w:t>ound</w:t>
      </w:r>
      <w:r w:rsidR="006D0D75" w:rsidRPr="001B0B74">
        <w:t xml:space="preserve"> evaluation</w:t>
      </w:r>
      <w:r w:rsidRPr="001B0B74">
        <w:t xml:space="preserve"> from t</w:t>
      </w:r>
      <w:r w:rsidR="00412BA4" w:rsidRPr="001B0B74">
        <w:t>he RMP evaluator’s perspective.</w:t>
      </w:r>
    </w:p>
    <w:p w14:paraId="2344F2D1" w14:textId="74523B0A" w:rsidR="009237D7" w:rsidRPr="001B0B74" w:rsidRDefault="009237D7" w:rsidP="00E760ED">
      <w:pPr>
        <w:pStyle w:val="ListBullet"/>
      </w:pPr>
      <w:r w:rsidRPr="001B0B74">
        <w:t>The sponsor has proposed routine risk minimisation activities for some but not all safety concerns. Additional risk minimisation activities in the form of a Healthcare Professional Guide and a Patient Alert Card have been proposed for the safety concerns ‘</w:t>
      </w:r>
      <w:r w:rsidRPr="001B0B74">
        <w:rPr>
          <w:i/>
        </w:rPr>
        <w:t>serious and opportunistic infections</w:t>
      </w:r>
      <w:r w:rsidRPr="001B0B74">
        <w:t>’, ‘</w:t>
      </w:r>
      <w:r w:rsidRPr="001B0B74">
        <w:rPr>
          <w:i/>
        </w:rPr>
        <w:t>embryolethality and teratogenicity</w:t>
      </w:r>
      <w:r w:rsidRPr="001B0B74">
        <w:t>’ and ‘</w:t>
      </w:r>
      <w:r w:rsidRPr="001B0B74">
        <w:rPr>
          <w:i/>
        </w:rPr>
        <w:t>impaired spermatogenesis leading to possible reduction in male fertility</w:t>
      </w:r>
      <w:r w:rsidRPr="001B0B74">
        <w:t>’. The currently proposed risk minimisation plan is not considered acceptable from an RMP perspective. The sponsor has declined to implement routine risk minimisation through the PI for the following safety concerns: ‘</w:t>
      </w:r>
      <w:r w:rsidRPr="001B0B74">
        <w:rPr>
          <w:i/>
        </w:rPr>
        <w:t>herpes zoster</w:t>
      </w:r>
      <w:r w:rsidRPr="001B0B74">
        <w:t>’, ‘</w:t>
      </w:r>
      <w:r w:rsidRPr="001B0B74">
        <w:rPr>
          <w:i/>
        </w:rPr>
        <w:t>venous thromboembolism (deep venous thrombosis and pulmonary embolism)</w:t>
      </w:r>
      <w:r w:rsidRPr="001B0B74">
        <w:t xml:space="preserve">’, </w:t>
      </w:r>
      <w:r w:rsidR="00412BA4" w:rsidRPr="001B0B74">
        <w:t>‘</w:t>
      </w:r>
      <w:r w:rsidRPr="001B0B74">
        <w:rPr>
          <w:i/>
        </w:rPr>
        <w:t>gastrointestinal perforation</w:t>
      </w:r>
      <w:r w:rsidRPr="001B0B74">
        <w:t>’, ‘</w:t>
      </w:r>
      <w:r w:rsidRPr="001B0B74">
        <w:rPr>
          <w:i/>
        </w:rPr>
        <w:t>hyperlipidaemia</w:t>
      </w:r>
      <w:r w:rsidRPr="001B0B74">
        <w:t>’, ‘</w:t>
      </w:r>
      <w:r w:rsidRPr="001B0B74">
        <w:rPr>
          <w:i/>
        </w:rPr>
        <w:t>MACE</w:t>
      </w:r>
      <w:r w:rsidRPr="001B0B74">
        <w:t>’, ‘</w:t>
      </w:r>
      <w:r w:rsidRPr="001B0B74">
        <w:rPr>
          <w:i/>
        </w:rPr>
        <w:t>varicella zoster</w:t>
      </w:r>
      <w:r w:rsidRPr="001B0B74">
        <w:t>’ and ‘</w:t>
      </w:r>
      <w:r w:rsidRPr="001B0B74">
        <w:rPr>
          <w:i/>
        </w:rPr>
        <w:t>use in patients with evidence of untreated chronic infection with hepatitis B or C’</w:t>
      </w:r>
      <w:r w:rsidRPr="001B0B74">
        <w:t>. The RMP evaluator does not agree with the sponsor’s justification for non-inclusion of routine risk minimisation through the PI and this issue has been raised to the attention of the delegate for consideration and decision. ACM, at the February 2021 meeting agreed with the RMP evaluators’ concerns that potential risks were not adequately addressed in the RMP. The CMI and additional risk minimisation materials should be aligned with any updates made to the PI and be submitted to the TGA for review at least six weeks prior to launch.</w:t>
      </w:r>
    </w:p>
    <w:p w14:paraId="2A33A21D" w14:textId="77777777" w:rsidR="008E7846" w:rsidRPr="001B0B74" w:rsidRDefault="00AA0ED0" w:rsidP="008E7846">
      <w:pPr>
        <w:pStyle w:val="Heading3"/>
      </w:pPr>
      <w:bookmarkStart w:id="54" w:name="_Toc247691531"/>
      <w:bookmarkStart w:id="55" w:name="_Toc314842515"/>
      <w:bookmarkStart w:id="56" w:name="_Toc72750585"/>
      <w:bookmarkStart w:id="57" w:name="_Toc196046505"/>
      <w:bookmarkStart w:id="58" w:name="_Toc196046949"/>
      <w:r w:rsidRPr="001B0B74">
        <w:t>Risk-benefit a</w:t>
      </w:r>
      <w:r w:rsidR="008E7846" w:rsidRPr="001B0B74">
        <w:t>nalysis</w:t>
      </w:r>
      <w:bookmarkEnd w:id="54"/>
      <w:bookmarkEnd w:id="55"/>
      <w:bookmarkEnd w:id="56"/>
    </w:p>
    <w:p w14:paraId="19DF0E8D" w14:textId="77777777" w:rsidR="00D23139" w:rsidRPr="001B0B74" w:rsidRDefault="007D53B6" w:rsidP="00D23139">
      <w:pPr>
        <w:pStyle w:val="Heading4"/>
      </w:pPr>
      <w:r w:rsidRPr="001B0B74">
        <w:t>Delegate’s considerations</w:t>
      </w:r>
    </w:p>
    <w:p w14:paraId="1D3DECCD" w14:textId="77777777" w:rsidR="00473E49" w:rsidRPr="001B0B74" w:rsidRDefault="00473E49" w:rsidP="00473E49">
      <w:pPr>
        <w:pStyle w:val="Heading5"/>
      </w:pPr>
      <w:r w:rsidRPr="001B0B74">
        <w:t>Recommended dose</w:t>
      </w:r>
    </w:p>
    <w:p w14:paraId="6BB22313" w14:textId="6E1C58F6" w:rsidR="00473E49" w:rsidRPr="001B0B74" w:rsidRDefault="00473E49" w:rsidP="00473E49">
      <w:r w:rsidRPr="001B0B74">
        <w:t>The sponsor has proposed a recommended dose of 200</w:t>
      </w:r>
      <w:r w:rsidR="0050654E" w:rsidRPr="001B0B74">
        <w:t> </w:t>
      </w:r>
      <w:r w:rsidRPr="001B0B74">
        <w:t>mg daily for most patients, based on statistical superiority of 200</w:t>
      </w:r>
      <w:r w:rsidR="0050654E" w:rsidRPr="001B0B74">
        <w:t> </w:t>
      </w:r>
      <w:r w:rsidRPr="001B0B74">
        <w:t xml:space="preserve">mg filgotinib over placebo over a range of clinical outcome measures in </w:t>
      </w:r>
      <w:r w:rsidR="0050654E" w:rsidRPr="001B0B74">
        <w:t xml:space="preserve">the </w:t>
      </w:r>
      <w:r w:rsidRPr="001B0B74">
        <w:t>FINCH 1 and FINCH 2</w:t>
      </w:r>
      <w:r w:rsidR="000D314F" w:rsidRPr="001B0B74">
        <w:t xml:space="preserve"> trials</w:t>
      </w:r>
      <w:r w:rsidRPr="001B0B74">
        <w:t>, statistical superiority of combined therapy of 200</w:t>
      </w:r>
      <w:r w:rsidR="0050654E" w:rsidRPr="001B0B74">
        <w:t> </w:t>
      </w:r>
      <w:r w:rsidRPr="001B0B74">
        <w:t xml:space="preserve">mg filgotinib and </w:t>
      </w:r>
      <w:r w:rsidR="00962353" w:rsidRPr="001B0B74">
        <w:t>methotrexate</w:t>
      </w:r>
      <w:r w:rsidRPr="001B0B74">
        <w:t xml:space="preserve"> over </w:t>
      </w:r>
      <w:r w:rsidR="00962353" w:rsidRPr="001B0B74">
        <w:t>methotrexate</w:t>
      </w:r>
      <w:r w:rsidRPr="001B0B74">
        <w:t xml:space="preserve"> monotherapy in </w:t>
      </w:r>
      <w:r w:rsidR="000D314F" w:rsidRPr="001B0B74">
        <w:t xml:space="preserve">the </w:t>
      </w:r>
      <w:r w:rsidRPr="001B0B74">
        <w:t>FINCH 3</w:t>
      </w:r>
      <w:r w:rsidR="000D314F" w:rsidRPr="001B0B74">
        <w:t xml:space="preserve"> trial</w:t>
      </w:r>
      <w:r w:rsidRPr="001B0B74">
        <w:t xml:space="preserve">, and non-inferiority of </w:t>
      </w:r>
      <w:r w:rsidR="006703B9" w:rsidRPr="001B0B74">
        <w:t>filgotinib</w:t>
      </w:r>
      <w:r w:rsidRPr="001B0B74">
        <w:t xml:space="preserve"> 200</w:t>
      </w:r>
      <w:r w:rsidR="0050654E" w:rsidRPr="001B0B74">
        <w:t> </w:t>
      </w:r>
      <w:r w:rsidRPr="001B0B74">
        <w:t xml:space="preserve">mg compared to </w:t>
      </w:r>
      <w:r w:rsidR="006760FF" w:rsidRPr="001B0B74">
        <w:t xml:space="preserve">adalimumab </w:t>
      </w:r>
      <w:r w:rsidRPr="001B0B74">
        <w:t>in the proportion of patients achieving a DAS28-CRP score &lt;</w:t>
      </w:r>
      <w:r w:rsidR="0050654E" w:rsidRPr="001B0B74">
        <w:t> 3.2 at W</w:t>
      </w:r>
      <w:r w:rsidRPr="001B0B74">
        <w:t>eek 12. Numerically superior outcomes with the 200</w:t>
      </w:r>
      <w:r w:rsidR="0050654E" w:rsidRPr="001B0B74">
        <w:t> </w:t>
      </w:r>
      <w:r w:rsidRPr="001B0B74">
        <w:t>mg filgotinib dose over the 100</w:t>
      </w:r>
      <w:r w:rsidR="0050654E" w:rsidRPr="001B0B74">
        <w:t> </w:t>
      </w:r>
      <w:r w:rsidRPr="001B0B74">
        <w:t>mg dose were not tested. The submitted data indicates that overall response rates to 100</w:t>
      </w:r>
      <w:r w:rsidR="0050654E" w:rsidRPr="001B0B74">
        <w:t> </w:t>
      </w:r>
      <w:r w:rsidRPr="001B0B74">
        <w:t xml:space="preserve">mg doses increased over time and there is a possibility that over the longer term this may continue to improve. However, non-inferiority to </w:t>
      </w:r>
      <w:r w:rsidR="006760FF" w:rsidRPr="001B0B74">
        <w:t xml:space="preserve">adalimumab </w:t>
      </w:r>
      <w:r w:rsidRPr="001B0B74">
        <w:t>was not statistically achieved with the 100</w:t>
      </w:r>
      <w:r w:rsidR="0050654E" w:rsidRPr="001B0B74">
        <w:t> </w:t>
      </w:r>
      <w:r w:rsidRPr="001B0B74">
        <w:t>mg regime. The safety evaluation also is unclear with regard to the relative risks of 200</w:t>
      </w:r>
      <w:r w:rsidR="0050654E" w:rsidRPr="001B0B74">
        <w:t> </w:t>
      </w:r>
      <w:r w:rsidRPr="001B0B74">
        <w:t>mg dosing compared to 100</w:t>
      </w:r>
      <w:r w:rsidR="0050654E" w:rsidRPr="001B0B74">
        <w:t> </w:t>
      </w:r>
      <w:r w:rsidRPr="001B0B74">
        <w:t>mg dosing. The sponsor argues that in the submitted data there is no particular pattern with regard to the comparative risks of 200</w:t>
      </w:r>
      <w:r w:rsidR="0050654E" w:rsidRPr="001B0B74">
        <w:t> </w:t>
      </w:r>
      <w:r w:rsidRPr="001B0B74">
        <w:t>mg versus 100</w:t>
      </w:r>
      <w:r w:rsidR="0050654E" w:rsidRPr="001B0B74">
        <w:t> </w:t>
      </w:r>
      <w:r w:rsidRPr="001B0B74">
        <w:t>mg. However, there appear to be longer term signals that suggest that dose dependent safety risks may develop. The FDA have expressed concern with the 200</w:t>
      </w:r>
      <w:r w:rsidR="0050654E" w:rsidRPr="001B0B74">
        <w:t> </w:t>
      </w:r>
      <w:r w:rsidRPr="001B0B74">
        <w:t>mg dose, but the EMA have accepted both 100</w:t>
      </w:r>
      <w:r w:rsidR="0050654E" w:rsidRPr="001B0B74">
        <w:t> </w:t>
      </w:r>
      <w:r w:rsidRPr="001B0B74">
        <w:t>mg and 200</w:t>
      </w:r>
      <w:r w:rsidR="0050654E" w:rsidRPr="001B0B74">
        <w:t> </w:t>
      </w:r>
      <w:r w:rsidRPr="001B0B74">
        <w:t>mg dosing regimes for treating RA.</w:t>
      </w:r>
      <w:bookmarkStart w:id="59" w:name="_Ref69305947"/>
      <w:r w:rsidR="00947D39" w:rsidRPr="001B0B74">
        <w:rPr>
          <w:rStyle w:val="FootnoteReference"/>
        </w:rPr>
        <w:footnoteReference w:id="13"/>
      </w:r>
      <w:bookmarkEnd w:id="59"/>
      <w:r w:rsidRPr="001B0B74">
        <w:t xml:space="preserve"> It may be appropriate in the Australian context to support the application for the lower dose of 100</w:t>
      </w:r>
      <w:r w:rsidR="0050654E" w:rsidRPr="001B0B74">
        <w:t> </w:t>
      </w:r>
      <w:r w:rsidRPr="001B0B74">
        <w:t>mg daily, as the lower tested effective dose.</w:t>
      </w:r>
    </w:p>
    <w:p w14:paraId="2BF88F5B" w14:textId="77777777" w:rsidR="00473E49" w:rsidRPr="001B0B74" w:rsidRDefault="00473E49" w:rsidP="00473E49">
      <w:pPr>
        <w:pStyle w:val="Heading5"/>
      </w:pPr>
      <w:r w:rsidRPr="001B0B74">
        <w:t>Dosing in adults with severe renal impairment</w:t>
      </w:r>
    </w:p>
    <w:p w14:paraId="79A06ED8" w14:textId="61EBBF90" w:rsidR="00473E49" w:rsidRPr="001B0B74" w:rsidRDefault="00473E49" w:rsidP="00473E49">
      <w:r w:rsidRPr="001B0B74">
        <w:t>The sponsor proposed a 100</w:t>
      </w:r>
      <w:r w:rsidR="00056A3B" w:rsidRPr="001B0B74">
        <w:t> </w:t>
      </w:r>
      <w:r w:rsidRPr="001B0B74">
        <w:t xml:space="preserve">mg </w:t>
      </w:r>
      <w:r w:rsidR="00751D74" w:rsidRPr="001B0B74">
        <w:t>once daily</w:t>
      </w:r>
      <w:r w:rsidRPr="001B0B74">
        <w:t xml:space="preserve"> dose in RA patients with severe renal impairment, although the experience of filgotinib in severe renal impairment is limited to three otherwise healthy patients in early Phase </w:t>
      </w:r>
      <w:r w:rsidR="00123D23" w:rsidRPr="001B0B74">
        <w:t>I</w:t>
      </w:r>
      <w:r w:rsidRPr="001B0B74">
        <w:t xml:space="preserve"> trials. The Phase </w:t>
      </w:r>
      <w:r w:rsidR="00123D23" w:rsidRPr="001B0B74">
        <w:t>II</w:t>
      </w:r>
      <w:r w:rsidRPr="001B0B74">
        <w:t xml:space="preserve"> and </w:t>
      </w:r>
      <w:r w:rsidR="00123D23" w:rsidRPr="001B0B74">
        <w:t>III</w:t>
      </w:r>
      <w:r w:rsidRPr="001B0B74">
        <w:t xml:space="preserve"> clinical study program and population PK analysis excluded RA patients with severe renal impairment.  Additionally, the population PK evaluator considered the predictive value of the population PK analysis unreliable. The EMA requested dosage adjustments for patients with severe renal impairment and with moderate renal impairment.</w:t>
      </w:r>
      <w:r w:rsidR="00321F52" w:rsidRPr="001B0B74">
        <w:rPr>
          <w:vertAlign w:val="superscript"/>
        </w:rPr>
        <w:fldChar w:fldCharType="begin"/>
      </w:r>
      <w:r w:rsidR="00321F52" w:rsidRPr="001B0B74">
        <w:rPr>
          <w:vertAlign w:val="superscript"/>
        </w:rPr>
        <w:instrText xml:space="preserve"> NOTEREF _Ref69305947 \h  \* MERGEFORMAT </w:instrText>
      </w:r>
      <w:r w:rsidR="00321F52" w:rsidRPr="001B0B74">
        <w:rPr>
          <w:vertAlign w:val="superscript"/>
        </w:rPr>
      </w:r>
      <w:r w:rsidR="00321F52" w:rsidRPr="001B0B74">
        <w:rPr>
          <w:vertAlign w:val="superscript"/>
        </w:rPr>
        <w:fldChar w:fldCharType="separate"/>
      </w:r>
      <w:r w:rsidR="003A57FD">
        <w:rPr>
          <w:vertAlign w:val="superscript"/>
        </w:rPr>
        <w:t>13</w:t>
      </w:r>
      <w:r w:rsidR="00321F52" w:rsidRPr="001B0B74">
        <w:rPr>
          <w:vertAlign w:val="superscript"/>
        </w:rPr>
        <w:fldChar w:fldCharType="end"/>
      </w:r>
    </w:p>
    <w:p w14:paraId="3A296BFE" w14:textId="4579D58F" w:rsidR="00473E49" w:rsidRPr="001B0B74" w:rsidRDefault="00473E49" w:rsidP="00B3409D">
      <w:pPr>
        <w:rPr>
          <w:i/>
        </w:rPr>
      </w:pPr>
      <w:r w:rsidRPr="001B0B74">
        <w:t xml:space="preserve">In the Phase </w:t>
      </w:r>
      <w:r w:rsidR="00123D23" w:rsidRPr="001B0B74">
        <w:t>I</w:t>
      </w:r>
      <w:r w:rsidRPr="001B0B74">
        <w:t xml:space="preserve"> study aimed at examining the </w:t>
      </w:r>
      <w:r w:rsidR="00A72D14" w:rsidRPr="001B0B74">
        <w:t>PK</w:t>
      </w:r>
      <w:r w:rsidRPr="001B0B74">
        <w:t xml:space="preserve"> of filgotinib in patients with renal impairment, recruitment of patients with severe renal impairment was limited to three owing to the following stopping rule: </w:t>
      </w:r>
      <w:r w:rsidR="00B3409D" w:rsidRPr="001B0B74">
        <w:rPr>
          <w:i/>
        </w:rPr>
        <w:t>‘</w:t>
      </w:r>
      <w:r w:rsidRPr="001B0B74">
        <w:rPr>
          <w:i/>
        </w:rPr>
        <w:t xml:space="preserve">In case a substantial effect on the PK in severe renal impaired subjects compared to subjects with normal renal function (defined as at least 2-fold increase in </w:t>
      </w:r>
      <w:r w:rsidR="00D42005" w:rsidRPr="001B0B74">
        <w:rPr>
          <w:i/>
        </w:rPr>
        <w:t>area under the plasma concentration time curve during 24 hours (</w:t>
      </w:r>
      <w:r w:rsidRPr="001B0B74">
        <w:rPr>
          <w:i/>
        </w:rPr>
        <w:t>AUC</w:t>
      </w:r>
      <w:r w:rsidRPr="001B0B74">
        <w:rPr>
          <w:i/>
          <w:vertAlign w:val="subscript"/>
        </w:rPr>
        <w:t>0-24h</w:t>
      </w:r>
      <w:r w:rsidR="00D42005" w:rsidRPr="001B0B74">
        <w:rPr>
          <w:i/>
          <w:vertAlign w:val="subscript"/>
        </w:rPr>
        <w:t>r</w:t>
      </w:r>
      <w:r w:rsidR="00D42005" w:rsidRPr="001B0B74">
        <w:rPr>
          <w:i/>
        </w:rPr>
        <w:t>)</w:t>
      </w:r>
      <w:r w:rsidRPr="001B0B74">
        <w:rPr>
          <w:i/>
        </w:rPr>
        <w:t xml:space="preserve"> </w:t>
      </w:r>
      <w:r w:rsidR="00B3409D" w:rsidRPr="001B0B74">
        <w:rPr>
          <w:i/>
        </w:rPr>
        <w:t>of GLPG0634 (</w:t>
      </w:r>
      <w:r w:rsidRPr="001B0B74">
        <w:rPr>
          <w:i/>
        </w:rPr>
        <w:t>filgotinib</w:t>
      </w:r>
      <w:r w:rsidR="00B3409D" w:rsidRPr="001B0B74">
        <w:rPr>
          <w:i/>
        </w:rPr>
        <w:t>)</w:t>
      </w:r>
      <w:r w:rsidRPr="001B0B74">
        <w:rPr>
          <w:i/>
        </w:rPr>
        <w:t xml:space="preserve"> and/or at least 4-fold increase in AUC</w:t>
      </w:r>
      <w:r w:rsidRPr="001B0B74">
        <w:rPr>
          <w:i/>
          <w:vertAlign w:val="subscript"/>
        </w:rPr>
        <w:t>0-24h</w:t>
      </w:r>
      <w:r w:rsidR="00D42005" w:rsidRPr="001B0B74">
        <w:rPr>
          <w:i/>
          <w:vertAlign w:val="subscript"/>
        </w:rPr>
        <w:t>r</w:t>
      </w:r>
      <w:r w:rsidRPr="001B0B74">
        <w:rPr>
          <w:i/>
        </w:rPr>
        <w:t xml:space="preserve"> </w:t>
      </w:r>
      <w:r w:rsidR="00B3409D" w:rsidRPr="001B0B74">
        <w:rPr>
          <w:i/>
        </w:rPr>
        <w:t>of G254445 (</w:t>
      </w:r>
      <w:r w:rsidRPr="001B0B74">
        <w:rPr>
          <w:i/>
        </w:rPr>
        <w:t>GS-829845</w:t>
      </w:r>
      <w:r w:rsidR="00B3409D" w:rsidRPr="001B0B74">
        <w:rPr>
          <w:i/>
        </w:rPr>
        <w:t>)</w:t>
      </w:r>
      <w:r w:rsidRPr="001B0B74">
        <w:rPr>
          <w:i/>
        </w:rPr>
        <w:t xml:space="preserve"> in at least 1 subject) was observed on Day</w:t>
      </w:r>
      <w:r w:rsidR="00B3409D" w:rsidRPr="001B0B74">
        <w:rPr>
          <w:i/>
        </w:rPr>
        <w:t xml:space="preserve"> 10.’</w:t>
      </w:r>
    </w:p>
    <w:p w14:paraId="6220B840" w14:textId="1B7DC44C" w:rsidR="00473E49" w:rsidRPr="001B0B74" w:rsidRDefault="00B3409D" w:rsidP="00473E49">
      <w:r w:rsidRPr="001B0B74">
        <w:t>The sponsor reported that ‘</w:t>
      </w:r>
      <w:r w:rsidR="00473E49" w:rsidRPr="001B0B74">
        <w:rPr>
          <w:i/>
        </w:rPr>
        <w:t>at the preliminary analy</w:t>
      </w:r>
      <w:r w:rsidRPr="001B0B74">
        <w:rPr>
          <w:i/>
        </w:rPr>
        <w:t>sis after repeated dosing with (</w:t>
      </w:r>
      <w:r w:rsidR="00473E49" w:rsidRPr="001B0B74">
        <w:rPr>
          <w:i/>
        </w:rPr>
        <w:t>filgotinib</w:t>
      </w:r>
      <w:r w:rsidRPr="001B0B74">
        <w:rPr>
          <w:i/>
        </w:rPr>
        <w:t>)</w:t>
      </w:r>
      <w:r w:rsidR="00473E49" w:rsidRPr="001B0B74">
        <w:rPr>
          <w:i/>
        </w:rPr>
        <w:t xml:space="preserve"> two subjects with severe renal impairment showed AUC</w:t>
      </w:r>
      <w:r w:rsidRPr="001B0B74">
        <w:rPr>
          <w:i/>
          <w:vertAlign w:val="subscript"/>
        </w:rPr>
        <w:t>0-24h</w:t>
      </w:r>
      <w:r w:rsidR="00D42005" w:rsidRPr="001B0B74">
        <w:rPr>
          <w:i/>
          <w:vertAlign w:val="subscript"/>
        </w:rPr>
        <w:t>r</w:t>
      </w:r>
      <w:r w:rsidRPr="001B0B74">
        <w:rPr>
          <w:i/>
        </w:rPr>
        <w:t> </w:t>
      </w:r>
      <w:r w:rsidR="00473E49" w:rsidRPr="001B0B74">
        <w:rPr>
          <w:i/>
        </w:rPr>
        <w:t>&gt;</w:t>
      </w:r>
      <w:r w:rsidRPr="001B0B74">
        <w:rPr>
          <w:i/>
        </w:rPr>
        <w:t> </w:t>
      </w:r>
      <w:r w:rsidR="00473E49" w:rsidRPr="001B0B74">
        <w:rPr>
          <w:i/>
        </w:rPr>
        <w:t>2, and none showed AUC</w:t>
      </w:r>
      <w:r w:rsidR="00473E49" w:rsidRPr="001B0B74">
        <w:rPr>
          <w:i/>
          <w:vertAlign w:val="subscript"/>
        </w:rPr>
        <w:t>0-24h</w:t>
      </w:r>
      <w:r w:rsidR="00D42005" w:rsidRPr="001B0B74">
        <w:rPr>
          <w:i/>
          <w:vertAlign w:val="subscript"/>
        </w:rPr>
        <w:t>r</w:t>
      </w:r>
      <w:r w:rsidR="00473E49" w:rsidRPr="001B0B74">
        <w:rPr>
          <w:i/>
          <w:vertAlign w:val="subscript"/>
        </w:rPr>
        <w:t xml:space="preserve"> </w:t>
      </w:r>
      <w:r w:rsidR="00473E49" w:rsidRPr="001B0B74">
        <w:rPr>
          <w:i/>
        </w:rPr>
        <w:t>of the active metabolite ≥</w:t>
      </w:r>
      <w:r w:rsidRPr="001B0B74">
        <w:rPr>
          <w:i/>
        </w:rPr>
        <w:t> </w:t>
      </w:r>
      <w:r w:rsidR="00473E49" w:rsidRPr="001B0B74">
        <w:rPr>
          <w:i/>
        </w:rPr>
        <w:t>4, compared to matched healthy participants</w:t>
      </w:r>
      <w:r w:rsidRPr="001B0B74">
        <w:rPr>
          <w:i/>
        </w:rPr>
        <w:t>’</w:t>
      </w:r>
      <w:r w:rsidR="00473E49" w:rsidRPr="001B0B74">
        <w:t>. This appeared to be a miscalculation by the investigator. While the values for AUC</w:t>
      </w:r>
      <w:r w:rsidR="00473E49" w:rsidRPr="001B0B74">
        <w:rPr>
          <w:vertAlign w:val="subscript"/>
        </w:rPr>
        <w:t>0-24</w:t>
      </w:r>
      <w:r w:rsidRPr="001B0B74">
        <w:rPr>
          <w:vertAlign w:val="subscript"/>
        </w:rPr>
        <w:t>h</w:t>
      </w:r>
      <w:r w:rsidR="00D42005" w:rsidRPr="001B0B74">
        <w:rPr>
          <w:vertAlign w:val="subscript"/>
        </w:rPr>
        <w:t>r</w:t>
      </w:r>
      <w:r w:rsidR="00473E49" w:rsidRPr="001B0B74">
        <w:t xml:space="preserve"> of filgotinib were </w:t>
      </w:r>
      <w:r w:rsidRPr="001B0B74">
        <w:t>&gt; </w:t>
      </w:r>
      <w:r w:rsidR="00473E49" w:rsidRPr="001B0B74">
        <w:t>2 i</w:t>
      </w:r>
      <w:r w:rsidRPr="001B0B74">
        <w:t xml:space="preserve">n two patients, compared to age and weight </w:t>
      </w:r>
      <w:r w:rsidR="00473E49" w:rsidRPr="001B0B74">
        <w:t>matched participants with normal renal function, neither a two</w:t>
      </w:r>
      <w:r w:rsidRPr="001B0B74">
        <w:t xml:space="preserve"> </w:t>
      </w:r>
      <w:r w:rsidR="00473E49" w:rsidRPr="001B0B74">
        <w:t>fold increase in AUC</w:t>
      </w:r>
      <w:r w:rsidR="00473E49" w:rsidRPr="001B0B74">
        <w:rPr>
          <w:vertAlign w:val="subscript"/>
        </w:rPr>
        <w:t>0-24h</w:t>
      </w:r>
      <w:r w:rsidR="00D42005" w:rsidRPr="001B0B74">
        <w:rPr>
          <w:vertAlign w:val="subscript"/>
        </w:rPr>
        <w:t>r</w:t>
      </w:r>
      <w:r w:rsidR="00473E49" w:rsidRPr="001B0B74">
        <w:rPr>
          <w:vertAlign w:val="subscript"/>
        </w:rPr>
        <w:t xml:space="preserve"> </w:t>
      </w:r>
      <w:r w:rsidR="00473E49" w:rsidRPr="001B0B74">
        <w:t>of filgotinib, nor a four</w:t>
      </w:r>
      <w:r w:rsidRPr="001B0B74">
        <w:t xml:space="preserve"> </w:t>
      </w:r>
      <w:r w:rsidR="00473E49" w:rsidRPr="001B0B74">
        <w:t>fold increase in AUC</w:t>
      </w:r>
      <w:r w:rsidR="00473E49" w:rsidRPr="001B0B74">
        <w:rPr>
          <w:vertAlign w:val="subscript"/>
        </w:rPr>
        <w:t>0-24h</w:t>
      </w:r>
      <w:r w:rsidR="00D42005" w:rsidRPr="001B0B74">
        <w:rPr>
          <w:vertAlign w:val="subscript"/>
        </w:rPr>
        <w:t>r</w:t>
      </w:r>
      <w:r w:rsidR="00473E49" w:rsidRPr="001B0B74">
        <w:rPr>
          <w:vertAlign w:val="subscript"/>
        </w:rPr>
        <w:t xml:space="preserve"> </w:t>
      </w:r>
      <w:r w:rsidR="00473E49" w:rsidRPr="001B0B74">
        <w:t>of the metabolite, were reported in any of the participants with severe renal impairment</w:t>
      </w:r>
      <w:r w:rsidRPr="001B0B74">
        <w:t>.</w:t>
      </w:r>
    </w:p>
    <w:p w14:paraId="47CCCC3E" w14:textId="02A2AFBB" w:rsidR="00473E49" w:rsidRPr="001B0B74" w:rsidRDefault="00473E49" w:rsidP="00B3409D">
      <w:r w:rsidRPr="001B0B74">
        <w:t>In the completed study, severe renal impairment resulted in an average 45% increase in AUC</w:t>
      </w:r>
      <w:r w:rsidRPr="001B0B74">
        <w:rPr>
          <w:vertAlign w:val="subscript"/>
        </w:rPr>
        <w:t>0-24h</w:t>
      </w:r>
      <w:r w:rsidR="00D42005" w:rsidRPr="001B0B74">
        <w:rPr>
          <w:vertAlign w:val="subscript"/>
        </w:rPr>
        <w:t>r</w:t>
      </w:r>
      <w:r w:rsidRPr="001B0B74">
        <w:t xml:space="preserve"> of filgotinib, which was comparable to the result in moderate renal impairment. Severe renal impairment was also associated with a mean 2.1</w:t>
      </w:r>
      <w:r w:rsidR="00B3409D" w:rsidRPr="001B0B74">
        <w:t xml:space="preserve"> </w:t>
      </w:r>
      <w:r w:rsidRPr="001B0B74">
        <w:t>fold increase in C</w:t>
      </w:r>
      <w:r w:rsidRPr="001B0B74">
        <w:rPr>
          <w:vertAlign w:val="subscript"/>
        </w:rPr>
        <w:t>max</w:t>
      </w:r>
      <w:r w:rsidRPr="001B0B74">
        <w:t>, and mean 2.7</w:t>
      </w:r>
      <w:r w:rsidR="00B3409D" w:rsidRPr="001B0B74">
        <w:t xml:space="preserve"> </w:t>
      </w:r>
      <w:r w:rsidRPr="001B0B74">
        <w:t>fold increase in AUC</w:t>
      </w:r>
      <w:r w:rsidRPr="001B0B74">
        <w:rPr>
          <w:vertAlign w:val="subscript"/>
        </w:rPr>
        <w:t>0-24h</w:t>
      </w:r>
      <w:r w:rsidR="00D42005" w:rsidRPr="001B0B74">
        <w:rPr>
          <w:vertAlign w:val="subscript"/>
        </w:rPr>
        <w:t>r</w:t>
      </w:r>
      <w:r w:rsidRPr="001B0B74">
        <w:t>, of the active metabolite, compared to participants with normal renal function. The sponsor calculated that the AUC</w:t>
      </w:r>
      <w:r w:rsidRPr="001B0B74">
        <w:rPr>
          <w:vertAlign w:val="subscript"/>
        </w:rPr>
        <w:t>eff</w:t>
      </w:r>
      <w:r w:rsidRPr="001B0B74">
        <w:t xml:space="preserve"> (effective exposure, a compound variable based on the exposures of </w:t>
      </w:r>
      <w:r w:rsidR="006703B9" w:rsidRPr="001B0B74">
        <w:t>filgotinib</w:t>
      </w:r>
      <w:r w:rsidRPr="001B0B74">
        <w:t xml:space="preserve"> and GS-829845) after 100</w:t>
      </w:r>
      <w:r w:rsidR="00B3409D" w:rsidRPr="001B0B74">
        <w:t> </w:t>
      </w:r>
      <w:r w:rsidRPr="001B0B74">
        <w:t>mg filgotinib orally for 10 days was 2.2 fold greater in severe renal impairment compared to normal renal function. The sponsor further reasoned that as this level of exposure is similar to the AUC</w:t>
      </w:r>
      <w:r w:rsidRPr="001B0B74">
        <w:rPr>
          <w:vertAlign w:val="subscript"/>
        </w:rPr>
        <w:t>eff</w:t>
      </w:r>
      <w:r w:rsidRPr="001B0B74">
        <w:t xml:space="preserve"> reported in patients with RA and normal renal function treated with 200</w:t>
      </w:r>
      <w:r w:rsidR="00B3409D" w:rsidRPr="001B0B74">
        <w:t> </w:t>
      </w:r>
      <w:r w:rsidRPr="001B0B74">
        <w:t>mg filgotinib, a dose reduction is appropriate in severe renal impairment. The EMA appears to have interpreted the data differently. In the Jyseleca Eu</w:t>
      </w:r>
      <w:r w:rsidR="00B3409D" w:rsidRPr="001B0B74">
        <w:t>ropean public assessment report</w:t>
      </w:r>
      <w:r w:rsidRPr="001B0B74">
        <w:t>,</w:t>
      </w:r>
      <w:r w:rsidR="00321F52" w:rsidRPr="001B0B74">
        <w:rPr>
          <w:vertAlign w:val="superscript"/>
        </w:rPr>
        <w:fldChar w:fldCharType="begin"/>
      </w:r>
      <w:r w:rsidR="00321F52" w:rsidRPr="001B0B74">
        <w:rPr>
          <w:vertAlign w:val="superscript"/>
        </w:rPr>
        <w:instrText xml:space="preserve"> NOTEREF _Ref69305947 \h  \* MERGEFORMAT </w:instrText>
      </w:r>
      <w:r w:rsidR="00321F52" w:rsidRPr="001B0B74">
        <w:rPr>
          <w:vertAlign w:val="superscript"/>
        </w:rPr>
      </w:r>
      <w:r w:rsidR="00321F52" w:rsidRPr="001B0B74">
        <w:rPr>
          <w:vertAlign w:val="superscript"/>
        </w:rPr>
        <w:fldChar w:fldCharType="separate"/>
      </w:r>
      <w:r w:rsidR="003A57FD">
        <w:rPr>
          <w:vertAlign w:val="superscript"/>
        </w:rPr>
        <w:t>13</w:t>
      </w:r>
      <w:r w:rsidR="00321F52" w:rsidRPr="001B0B74">
        <w:rPr>
          <w:vertAlign w:val="superscript"/>
        </w:rPr>
        <w:fldChar w:fldCharType="end"/>
      </w:r>
      <w:r w:rsidRPr="001B0B74">
        <w:t xml:space="preserve"> it is noted that </w:t>
      </w:r>
      <w:r w:rsidR="00B3409D" w:rsidRPr="001B0B74">
        <w:t>‘</w:t>
      </w:r>
      <w:r w:rsidRPr="001B0B74">
        <w:rPr>
          <w:i/>
        </w:rPr>
        <w:t>In subjects with severe</w:t>
      </w:r>
      <w:r w:rsidR="00B3409D" w:rsidRPr="001B0B74">
        <w:rPr>
          <w:i/>
        </w:rPr>
        <w:t xml:space="preserve"> renal impairment (CrC</w:t>
      </w:r>
      <w:r w:rsidR="0026413C" w:rsidRPr="001B0B74">
        <w:rPr>
          <w:i/>
        </w:rPr>
        <w:t>L</w:t>
      </w:r>
      <w:r w:rsidR="00B3409D" w:rsidRPr="001B0B74">
        <w:rPr>
          <w:i/>
        </w:rPr>
        <w:t xml:space="preserve"> 15 to &lt; 30 </w:t>
      </w:r>
      <w:r w:rsidRPr="001B0B74">
        <w:rPr>
          <w:i/>
        </w:rPr>
        <w:t>mL/min), filgotinib exposure (AUC) increased by 2.2 fold and GS 829845 exposure significantly increased by 3.5 fold leading to a 3-fold increase in AUC</w:t>
      </w:r>
      <w:r w:rsidRPr="001B0B74">
        <w:rPr>
          <w:i/>
          <w:vertAlign w:val="subscript"/>
        </w:rPr>
        <w:t>eff</w:t>
      </w:r>
      <w:r w:rsidR="00B3409D" w:rsidRPr="001B0B74">
        <w:rPr>
          <w:i/>
        </w:rPr>
        <w:t>’</w:t>
      </w:r>
      <w:r w:rsidRPr="001B0B74">
        <w:rPr>
          <w:i/>
        </w:rPr>
        <w:t>.</w:t>
      </w:r>
    </w:p>
    <w:p w14:paraId="16C4538C" w14:textId="0C995609" w:rsidR="00473E49" w:rsidRPr="001B0B74" w:rsidRDefault="00473E49" w:rsidP="00473E49">
      <w:r w:rsidRPr="001B0B74">
        <w:t xml:space="preserve">The recommended dose of filgotinib in the </w:t>
      </w:r>
      <w:r w:rsidR="00B534D8" w:rsidRPr="001B0B74">
        <w:t>Summary of Product Characteristics (</w:t>
      </w:r>
      <w:r w:rsidRPr="001B0B74">
        <w:t>SmPC</w:t>
      </w:r>
      <w:r w:rsidR="00B534D8" w:rsidRPr="001B0B74">
        <w:t>)</w:t>
      </w:r>
      <w:r w:rsidRPr="001B0B74">
        <w:t xml:space="preserve"> for adults with RA and severely impaired renal function is 100</w:t>
      </w:r>
      <w:r w:rsidR="00B3409D" w:rsidRPr="001B0B74">
        <w:t> </w:t>
      </w:r>
      <w:r w:rsidRPr="001B0B74">
        <w:t>mg daily. This dose reduction is also applied to patients with moderately impaired (30</w:t>
      </w:r>
      <w:r w:rsidR="00B3409D" w:rsidRPr="001B0B74">
        <w:t xml:space="preserve"> to &lt; 60 </w:t>
      </w:r>
      <w:r w:rsidRPr="001B0B74">
        <w:t>mL/min/1.73m2) renal function.</w:t>
      </w:r>
    </w:p>
    <w:p w14:paraId="04C5E05A" w14:textId="466023C7" w:rsidR="00473E49" w:rsidRPr="001B0B74" w:rsidRDefault="00473E49" w:rsidP="00473E49">
      <w:r w:rsidRPr="001B0B74">
        <w:t>The TGA</w:t>
      </w:r>
      <w:r w:rsidR="00B3409D" w:rsidRPr="001B0B74">
        <w:t xml:space="preserve"> </w:t>
      </w:r>
      <w:r w:rsidRPr="001B0B74">
        <w:t>adopted EMA guideline EMA/CHMP/83874/2014</w:t>
      </w:r>
      <w:r w:rsidR="005352BD" w:rsidRPr="001B0B74">
        <w:t>;</w:t>
      </w:r>
      <w:r w:rsidR="005352BD" w:rsidRPr="001B0B74">
        <w:rPr>
          <w:rStyle w:val="FootnoteReference"/>
        </w:rPr>
        <w:footnoteReference w:id="14"/>
      </w:r>
      <w:r w:rsidRPr="001B0B74">
        <w:t xml:space="preserve"> outlines that </w:t>
      </w:r>
    </w:p>
    <w:p w14:paraId="363CA2E7" w14:textId="76487CDB" w:rsidR="00473E49" w:rsidRPr="001B0B74" w:rsidRDefault="00B3409D" w:rsidP="00B3409D">
      <w:pPr>
        <w:rPr>
          <w:i/>
        </w:rPr>
      </w:pPr>
      <w:r w:rsidRPr="001B0B74">
        <w:rPr>
          <w:i/>
        </w:rPr>
        <w:t>‘</w:t>
      </w:r>
      <w:r w:rsidR="00473E49" w:rsidRPr="001B0B74">
        <w:rPr>
          <w:i/>
        </w:rPr>
        <w:t>Depending on the characteristics of the drug, a lack of information regarding influence of decreased renal function on the pharmacokinetics could</w:t>
      </w:r>
      <w:r w:rsidRPr="001B0B74">
        <w:rPr>
          <w:i/>
        </w:rPr>
        <w:t xml:space="preserve"> result in a contraindication (S</w:t>
      </w:r>
      <w:r w:rsidR="00473E49" w:rsidRPr="001B0B74">
        <w:rPr>
          <w:i/>
        </w:rPr>
        <w:t>ection 4.3) or warning (</w:t>
      </w:r>
      <w:r w:rsidRPr="001B0B74">
        <w:rPr>
          <w:i/>
        </w:rPr>
        <w:t>S</w:t>
      </w:r>
      <w:r w:rsidR="00473E49" w:rsidRPr="001B0B74">
        <w:rPr>
          <w:i/>
        </w:rPr>
        <w:t>ection 4.4) below a certain degree of renal function. Lack of data alone should generally not lead to a contra-indication unless there is a specific safety concern. For drugs with a narrow therapeutic index the possibility of therapeutic drug monitoring or monitoring of exposure based on clinical markers for efficacy an</w:t>
      </w:r>
      <w:r w:rsidRPr="001B0B74">
        <w:rPr>
          <w:i/>
        </w:rPr>
        <w:t>d/or safety may be considered</w:t>
      </w:r>
      <w:r w:rsidR="00473E49" w:rsidRPr="001B0B74">
        <w:rPr>
          <w:i/>
        </w:rPr>
        <w:t>.</w:t>
      </w:r>
      <w:r w:rsidRPr="001B0B74">
        <w:rPr>
          <w:i/>
        </w:rPr>
        <w:t>’</w:t>
      </w:r>
    </w:p>
    <w:p w14:paraId="4F425953" w14:textId="4FBCB723" w:rsidR="00473E49" w:rsidRPr="001B0B74" w:rsidRDefault="00B3409D" w:rsidP="00473E49">
      <w:r w:rsidRPr="001B0B74">
        <w:t>The D</w:t>
      </w:r>
      <w:r w:rsidR="00473E49" w:rsidRPr="001B0B74">
        <w:t>elegate concurs with the sponsor that filgotinib does not have a narrow therapeutic index. Drug monitoring or exposure monitorin</w:t>
      </w:r>
      <w:r w:rsidRPr="001B0B74">
        <w:t>g is not required in this case.</w:t>
      </w:r>
      <w:r w:rsidR="00473E49" w:rsidRPr="001B0B74">
        <w:t xml:space="preserve"> Similarly, the </w:t>
      </w:r>
      <w:r w:rsidR="00A72D14" w:rsidRPr="001B0B74">
        <w:t>PK</w:t>
      </w:r>
      <w:r w:rsidR="00473E49" w:rsidRPr="001B0B74">
        <w:t xml:space="preserve"> data with regard to patients with severe renal impairment does not require a contraindication. However, the delegate seeks the opinion of the committee in assessing whether data collected from three patients with severe renal impairment, is sufficient to support a recommended dose reduction, or whether a precautionary statement in the PI and a recommendation not to use filgotinib in severe renal impairment is more appropriate.</w:t>
      </w:r>
    </w:p>
    <w:p w14:paraId="3F69A416" w14:textId="77777777" w:rsidR="00473E49" w:rsidRPr="001B0B74" w:rsidRDefault="00473E49" w:rsidP="00E47A73">
      <w:pPr>
        <w:pStyle w:val="Heading5"/>
      </w:pPr>
      <w:r w:rsidRPr="001B0B74">
        <w:t>Reproductive toxicity</w:t>
      </w:r>
    </w:p>
    <w:p w14:paraId="52C8BF26" w14:textId="326A497E" w:rsidR="00473E49" w:rsidRPr="001B0B74" w:rsidRDefault="00473E49" w:rsidP="00E47A73">
      <w:r w:rsidRPr="001B0B74">
        <w:t>While the clinical efficacy of filgotinib has been sati</w:t>
      </w:r>
      <w:r w:rsidR="00B3409D" w:rsidRPr="001B0B74">
        <w:t>sfactorily established, the non</w:t>
      </w:r>
      <w:r w:rsidRPr="001B0B74">
        <w:t>clinical, clinical and RMP evaluators have all raised safety concerns. Arguably, the clinically most important of</w:t>
      </w:r>
      <w:r w:rsidR="00B3409D" w:rsidRPr="001B0B74">
        <w:t xml:space="preserve"> these is the potential for off </w:t>
      </w:r>
      <w:r w:rsidRPr="001B0B74">
        <w:t xml:space="preserve">target effects on spermatogenesis. While nonclinical studies have reported germ cell depletion, germ cell degeneration, and/or tubular vacuolation in the testes, associated with reduced sperm content and increased cell debris changes in the epididymidis at doses around twice the maximum recommended human dose, and impaired fertility at higher doses, clinical studies did not assess this question. The sponsor has committed to completing two specific safety studies, examining sperm health and other semen parameters, in 2021. The sponsor has also committed to including information about the potential risk to male fertility in a healthcare practitioner guide and a patient alert card, as well as additional information in the Australian PI regarding effects on male fertility. The sponsor has not agreed to impose an informed consent process for male patients commencing filgotinib, noting that rheumatologists are familiar with prescribing products with risks to fertility, including the csDMARDs </w:t>
      </w:r>
      <w:r w:rsidR="00962353" w:rsidRPr="001B0B74">
        <w:t>methotrexate</w:t>
      </w:r>
      <w:r w:rsidRPr="001B0B74">
        <w:t xml:space="preserve"> and sulfasalazine. Both of these medicines have precautionary wa</w:t>
      </w:r>
      <w:r w:rsidR="00B3409D" w:rsidRPr="001B0B74">
        <w:t>rnings in their respective PIs.</w:t>
      </w:r>
    </w:p>
    <w:p w14:paraId="7A5A08DE" w14:textId="42C20484" w:rsidR="00473E49" w:rsidRPr="001B0B74" w:rsidRDefault="00473E49" w:rsidP="00E47A73">
      <w:r w:rsidRPr="001B0B74">
        <w:t xml:space="preserve">In view of concerns with regard to the potential effect of filgotinib on spermatogenesis, the clinical evaluator does not support approval of filgotinib for the treatment of adult males with RA, and non-clinical evaluation does not support approval of filgotinib at all. The sponsor argues that restricting treatment with filgotinib to female patients, pending data from the additional safety studies, is unnecessarily restricting access to an efficacious treatment for men who have no desire to father children in the future. The median age of participants in the pivotal FINCH </w:t>
      </w:r>
      <w:r w:rsidR="000D314F" w:rsidRPr="001B0B74">
        <w:t>trials</w:t>
      </w:r>
      <w:r w:rsidRPr="001B0B74">
        <w:t xml:space="preserve"> was in the early to mid fifties, with betwe</w:t>
      </w:r>
      <w:r w:rsidR="00B3409D" w:rsidRPr="001B0B74">
        <w:t>en 18.9% and 25.2% aged over 65 </w:t>
      </w:r>
      <w:r w:rsidRPr="001B0B74">
        <w:t>years. The mean durati</w:t>
      </w:r>
      <w:r w:rsidR="00B3409D" w:rsidRPr="001B0B74">
        <w:t>on of RA from diagnosis was 7.8 </w:t>
      </w:r>
      <w:r w:rsidRPr="001B0B74">
        <w:t xml:space="preserve">years in </w:t>
      </w:r>
      <w:r w:rsidR="000D314F" w:rsidRPr="001B0B74">
        <w:t xml:space="preserve">the </w:t>
      </w:r>
      <w:r w:rsidR="002E4B5F" w:rsidRPr="001B0B74">
        <w:t>FINCH </w:t>
      </w:r>
      <w:r w:rsidRPr="001B0B74">
        <w:t xml:space="preserve">1 </w:t>
      </w:r>
      <w:r w:rsidR="000D314F" w:rsidRPr="001B0B74">
        <w:t xml:space="preserve">trial </w:t>
      </w:r>
      <w:r w:rsidR="002E4B5F" w:rsidRPr="001B0B74">
        <w:t>and 12.4 </w:t>
      </w:r>
      <w:r w:rsidRPr="001B0B74">
        <w:t xml:space="preserve">years in </w:t>
      </w:r>
      <w:r w:rsidR="002E4B5F" w:rsidRPr="001B0B74">
        <w:t>the FINCH </w:t>
      </w:r>
      <w:r w:rsidRPr="001B0B74">
        <w:t>2</w:t>
      </w:r>
      <w:r w:rsidR="000D314F" w:rsidRPr="001B0B74">
        <w:t xml:space="preserve"> trial</w:t>
      </w:r>
      <w:r w:rsidRPr="001B0B74">
        <w:t xml:space="preserve">, both studies enrolling patients who had intolerance or poor response to previous DMARD therapies, including both </w:t>
      </w:r>
      <w:r w:rsidR="00A369E8" w:rsidRPr="001B0B74">
        <w:t xml:space="preserve">csDMARDs </w:t>
      </w:r>
      <w:r w:rsidRPr="001B0B74">
        <w:t xml:space="preserve">and bDMARDs. Some 20% of participants in the clinical studies were men, and there is no reason to suspect that the age distribution in men would be different to that in the overall population. The </w:t>
      </w:r>
      <w:r w:rsidR="00A369E8" w:rsidRPr="001B0B74">
        <w:t>D</w:t>
      </w:r>
      <w:r w:rsidRPr="001B0B74">
        <w:t>elegate notes that while approval for marketing in the United States has been deferred until results of the safety studies are complete, the EMA has approved marketing in the EU to both men and women, at the higher dose of 200</w:t>
      </w:r>
      <w:r w:rsidR="002E4B5F" w:rsidRPr="001B0B74">
        <w:t> </w:t>
      </w:r>
      <w:r w:rsidRPr="001B0B74">
        <w:t>mg daily.</w:t>
      </w:r>
      <w:r w:rsidR="00321F52" w:rsidRPr="001B0B74">
        <w:rPr>
          <w:vertAlign w:val="superscript"/>
        </w:rPr>
        <w:fldChar w:fldCharType="begin"/>
      </w:r>
      <w:r w:rsidR="00321F52" w:rsidRPr="001B0B74">
        <w:rPr>
          <w:vertAlign w:val="superscript"/>
        </w:rPr>
        <w:instrText xml:space="preserve"> NOTEREF _Ref69305947 \h  \* MERGEFORMAT </w:instrText>
      </w:r>
      <w:r w:rsidR="00321F52" w:rsidRPr="001B0B74">
        <w:rPr>
          <w:vertAlign w:val="superscript"/>
        </w:rPr>
      </w:r>
      <w:r w:rsidR="00321F52" w:rsidRPr="001B0B74">
        <w:rPr>
          <w:vertAlign w:val="superscript"/>
        </w:rPr>
        <w:fldChar w:fldCharType="separate"/>
      </w:r>
      <w:r w:rsidR="003A57FD">
        <w:rPr>
          <w:vertAlign w:val="superscript"/>
        </w:rPr>
        <w:t>13</w:t>
      </w:r>
      <w:r w:rsidR="00321F52" w:rsidRPr="001B0B74">
        <w:rPr>
          <w:vertAlign w:val="superscript"/>
        </w:rPr>
        <w:fldChar w:fldCharType="end"/>
      </w:r>
      <w:r w:rsidRPr="001B0B74">
        <w:rPr>
          <w:vertAlign w:val="superscript"/>
        </w:rPr>
        <w:t xml:space="preserve"> </w:t>
      </w:r>
      <w:r w:rsidRPr="001B0B74">
        <w:t xml:space="preserve">The </w:t>
      </w:r>
      <w:r w:rsidR="00A369E8" w:rsidRPr="001B0B74">
        <w:t>D</w:t>
      </w:r>
      <w:r w:rsidRPr="001B0B74">
        <w:t>elegate also notes that other JAK</w:t>
      </w:r>
      <w:r w:rsidR="00A369E8" w:rsidRPr="001B0B74">
        <w:t xml:space="preserve"> inhibitors</w:t>
      </w:r>
      <w:r w:rsidRPr="001B0B74">
        <w:t xml:space="preserve"> are available for the treatment of RA, which do not have any appar</w:t>
      </w:r>
      <w:r w:rsidR="002E4B5F" w:rsidRPr="001B0B74">
        <w:t>ent male reproductive toxicity.</w:t>
      </w:r>
    </w:p>
    <w:p w14:paraId="6B131459" w14:textId="36EFC83B" w:rsidR="00473E49" w:rsidRPr="001B0B74" w:rsidRDefault="00473E49" w:rsidP="00E47A73">
      <w:pPr>
        <w:pStyle w:val="Heading5"/>
      </w:pPr>
      <w:r w:rsidRPr="001B0B74">
        <w:t xml:space="preserve">Special precautions and warnings in the </w:t>
      </w:r>
      <w:r w:rsidR="00AB05AB" w:rsidRPr="001B0B74">
        <w:t>product in</w:t>
      </w:r>
      <w:r w:rsidR="00FE1B47" w:rsidRPr="001B0B74">
        <w:t>formation</w:t>
      </w:r>
    </w:p>
    <w:p w14:paraId="56008328" w14:textId="4E9321B6" w:rsidR="00473E49" w:rsidRPr="001B0B74" w:rsidRDefault="00473E49" w:rsidP="00E47A73">
      <w:r w:rsidRPr="001B0B74">
        <w:t>The sponsor has argued that the safety profile of filgotinib, notwithstanding the potential risk of testicular toxicity, exceeds that of currently registered bDMARDs, and more specifically, the alternative JAK</w:t>
      </w:r>
      <w:r w:rsidR="00A369E8" w:rsidRPr="001B0B74">
        <w:t xml:space="preserve"> inhibitors</w:t>
      </w:r>
      <w:r w:rsidRPr="001B0B74">
        <w:t xml:space="preserve"> tofacitinib, baricitinib and upadacitinib. The sponsor submitted indirect comparisons with published data from other studies, RA registries and reviews support this stance. The sponsor also argues that the specificity of filgotinib for JAK1 contributes to its safety profile. A 2019 review</w:t>
      </w:r>
      <w:r w:rsidR="00A369E8" w:rsidRPr="001B0B74">
        <w:rPr>
          <w:vertAlign w:val="superscript"/>
        </w:rPr>
        <w:footnoteReference w:id="15"/>
      </w:r>
      <w:r w:rsidRPr="001B0B74">
        <w:t xml:space="preserve"> o</w:t>
      </w:r>
      <w:r w:rsidR="00354F91" w:rsidRPr="001B0B74">
        <w:t>f JAK</w:t>
      </w:r>
      <w:r w:rsidRPr="001B0B74">
        <w:t xml:space="preserve"> </w:t>
      </w:r>
      <w:r w:rsidR="00354F91" w:rsidRPr="001B0B74">
        <w:t xml:space="preserve">inhibitor </w:t>
      </w:r>
      <w:r w:rsidRPr="001B0B74">
        <w:t>reports that while filgotinib is indeed selective for JAK1 over other JAK isoforms, its relative potency is lower than the alternative JAK1 inhibitor upadacitinib. The sponsor of upadacitinib has included class</w:t>
      </w:r>
      <w:r w:rsidR="00BC20CA" w:rsidRPr="001B0B74">
        <w:t xml:space="preserve"> </w:t>
      </w:r>
      <w:r w:rsidRPr="001B0B74">
        <w:t>specific potential risks in the product information. It would be appropriate for the sponsor of filgotinib to also include class-specific potential risks at this stage.</w:t>
      </w:r>
    </w:p>
    <w:p w14:paraId="6CB473DD" w14:textId="7C1D7BC6" w:rsidR="00473E49" w:rsidRPr="001B0B74" w:rsidRDefault="00BC20CA" w:rsidP="00E47A73">
      <w:r w:rsidRPr="001B0B74">
        <w:t>The non</w:t>
      </w:r>
      <w:r w:rsidR="00473E49" w:rsidRPr="001B0B74">
        <w:t>clinical evaluation has identified that filgotinib may have adverse effects on the lymphoid organs, the erythropoietic organs and the gastrointestinal tract, as well as the reproductive system, and the other JAK</w:t>
      </w:r>
      <w:r w:rsidR="00A369E8" w:rsidRPr="001B0B74">
        <w:t xml:space="preserve"> inhibitors</w:t>
      </w:r>
      <w:r w:rsidR="00473E49" w:rsidRPr="001B0B74">
        <w:t xml:space="preserve"> have reports of </w:t>
      </w:r>
      <w:r w:rsidR="000E75D5" w:rsidRPr="001B0B74">
        <w:t>AE</w:t>
      </w:r>
      <w:r w:rsidR="00473E49" w:rsidRPr="001B0B74">
        <w:t>s affecting all of these systems. Furthermore, changes in lipid profiles and other laboratory abnormalities have been seen with filgotinib, as have more serious events including MACE and thromboembolic disorders, which are recognised class effects. For this reason, despite the stance of the sponsor, the clinical evaluation and RMP evaluation concur that the RMP and/or the PI should address a number of known and potential risks of JAK</w:t>
      </w:r>
      <w:r w:rsidR="00A369E8" w:rsidRPr="001B0B74">
        <w:t xml:space="preserve"> inhibitors</w:t>
      </w:r>
      <w:r w:rsidR="00473E49" w:rsidRPr="001B0B74">
        <w:t>, including f</w:t>
      </w:r>
      <w:r w:rsidRPr="001B0B74">
        <w:t>ilgotinib. These include:</w:t>
      </w:r>
    </w:p>
    <w:p w14:paraId="61CDD96C" w14:textId="0DB1E881" w:rsidR="00473E49" w:rsidRPr="001B0B74" w:rsidRDefault="00BC20CA" w:rsidP="00BC20CA">
      <w:pPr>
        <w:pStyle w:val="ListBullet"/>
      </w:pPr>
      <w:r w:rsidRPr="001B0B74">
        <w:t>i</w:t>
      </w:r>
      <w:r w:rsidR="00473E49" w:rsidRPr="001B0B74">
        <w:t xml:space="preserve">ncreased incidence of serious infection (including pneumonia) versus placebo and </w:t>
      </w:r>
      <w:r w:rsidR="00962353" w:rsidRPr="001B0B74">
        <w:t>methotrexate</w:t>
      </w:r>
      <w:r w:rsidRPr="001B0B74">
        <w:t>;</w:t>
      </w:r>
    </w:p>
    <w:p w14:paraId="311AF30E" w14:textId="639027B1" w:rsidR="00473E49" w:rsidRPr="001B0B74" w:rsidRDefault="00BC20CA" w:rsidP="00BC20CA">
      <w:pPr>
        <w:pStyle w:val="ListBullet"/>
      </w:pPr>
      <w:r w:rsidRPr="001B0B74">
        <w:t>i</w:t>
      </w:r>
      <w:r w:rsidR="00473E49" w:rsidRPr="001B0B74">
        <w:t>ncreased incidence of nausea and headache versus placebo</w:t>
      </w:r>
      <w:r w:rsidRPr="001B0B74">
        <w:t>;</w:t>
      </w:r>
    </w:p>
    <w:p w14:paraId="71EB2C5C" w14:textId="5DF57343" w:rsidR="00473E49" w:rsidRPr="001B0B74" w:rsidRDefault="00BC20CA" w:rsidP="00BC20CA">
      <w:pPr>
        <w:pStyle w:val="ListBullet"/>
      </w:pPr>
      <w:r w:rsidRPr="001B0B74">
        <w:t>i</w:t>
      </w:r>
      <w:r w:rsidR="00473E49" w:rsidRPr="001B0B74">
        <w:t xml:space="preserve">ncreased incidence of temporary treatment discontinuations owing to AE with </w:t>
      </w:r>
      <w:r w:rsidR="006703B9" w:rsidRPr="001B0B74">
        <w:t>filgotinib</w:t>
      </w:r>
      <w:r w:rsidR="00473E49" w:rsidRPr="001B0B74">
        <w:t xml:space="preserve">, </w:t>
      </w:r>
      <w:r w:rsidR="00962353" w:rsidRPr="001B0B74">
        <w:t>methotrexate</w:t>
      </w:r>
      <w:r w:rsidR="00473E49" w:rsidRPr="001B0B74">
        <w:t xml:space="preserve"> and adalimumab, versus </w:t>
      </w:r>
      <w:r w:rsidRPr="001B0B74">
        <w:t>placebo;</w:t>
      </w:r>
    </w:p>
    <w:p w14:paraId="6611C22D" w14:textId="02957E24" w:rsidR="00473E49" w:rsidRPr="001B0B74" w:rsidRDefault="00BC20CA" w:rsidP="00BC20CA">
      <w:pPr>
        <w:pStyle w:val="ListBullet"/>
      </w:pPr>
      <w:r w:rsidRPr="001B0B74">
        <w:t>h</w:t>
      </w:r>
      <w:r w:rsidR="00473E49" w:rsidRPr="001B0B74">
        <w:t xml:space="preserve">igher rates of opportunistic infection and reactivation (including herpes zoster, varicella zoster, </w:t>
      </w:r>
      <w:r w:rsidR="00BA2843" w:rsidRPr="001B0B74">
        <w:t>TB</w:t>
      </w:r>
      <w:r w:rsidR="00473E49" w:rsidRPr="001B0B74">
        <w:t>)</w:t>
      </w:r>
      <w:r w:rsidRPr="001B0B74">
        <w:t>;</w:t>
      </w:r>
    </w:p>
    <w:p w14:paraId="525322D2" w14:textId="4F267784" w:rsidR="00473E49" w:rsidRPr="001B0B74" w:rsidRDefault="00BC20CA" w:rsidP="00BC20CA">
      <w:pPr>
        <w:pStyle w:val="ListBullet"/>
      </w:pPr>
      <w:r w:rsidRPr="001B0B74">
        <w:t>i</w:t>
      </w:r>
      <w:r w:rsidR="00473E49" w:rsidRPr="001B0B74">
        <w:t>ncreased incidence of haematologic abnormalities (usually low grade) including anaemia, neutropenia and lymphop</w:t>
      </w:r>
      <w:r w:rsidR="00A369E8" w:rsidRPr="001B0B74">
        <w:t>a</w:t>
      </w:r>
      <w:r w:rsidR="00473E49" w:rsidRPr="001B0B74">
        <w:t xml:space="preserve">enia versus placebo and </w:t>
      </w:r>
      <w:r w:rsidR="00A369E8" w:rsidRPr="001B0B74">
        <w:t>a</w:t>
      </w:r>
      <w:r w:rsidRPr="001B0B74">
        <w:t>dalimumab;</w:t>
      </w:r>
    </w:p>
    <w:p w14:paraId="5A6BB066" w14:textId="046E97FA" w:rsidR="00473E49" w:rsidRPr="001B0B74" w:rsidRDefault="00BC20CA" w:rsidP="00BC20CA">
      <w:pPr>
        <w:pStyle w:val="ListBullet"/>
      </w:pPr>
      <w:r w:rsidRPr="001B0B74">
        <w:t>o</w:t>
      </w:r>
      <w:r w:rsidR="00473E49" w:rsidRPr="001B0B74">
        <w:t>ncreased rates of raised total cholesterol, no increase in rates of MACE in medium term</w:t>
      </w:r>
      <w:r w:rsidRPr="001B0B74">
        <w:t>;</w:t>
      </w:r>
    </w:p>
    <w:p w14:paraId="705B1849" w14:textId="7C3C4C67" w:rsidR="00473E49" w:rsidRPr="001B0B74" w:rsidRDefault="00BC20CA" w:rsidP="00BC20CA">
      <w:pPr>
        <w:pStyle w:val="ListBullet"/>
      </w:pPr>
      <w:r w:rsidRPr="001B0B74">
        <w:t>i</w:t>
      </w:r>
      <w:r w:rsidR="00473E49" w:rsidRPr="001B0B74">
        <w:t>ncreased rates of raised serum CPK (known class effect for JAK</w:t>
      </w:r>
      <w:r w:rsidR="00A369E8" w:rsidRPr="001B0B74">
        <w:t xml:space="preserve"> inhibitors</w:t>
      </w:r>
      <w:r w:rsidR="00473E49" w:rsidRPr="001B0B74">
        <w:t>)</w:t>
      </w:r>
      <w:r w:rsidRPr="001B0B74">
        <w:t>;</w:t>
      </w:r>
    </w:p>
    <w:p w14:paraId="71BFA38D" w14:textId="17C05FC8" w:rsidR="00473E49" w:rsidRPr="001B0B74" w:rsidRDefault="00BC20CA" w:rsidP="00BC20CA">
      <w:pPr>
        <w:pStyle w:val="ListBullet"/>
      </w:pPr>
      <w:r w:rsidRPr="001B0B74">
        <w:t>i</w:t>
      </w:r>
      <w:r w:rsidR="00473E49" w:rsidRPr="001B0B74">
        <w:t>ncreased rates of serum transaminases (known class effect for JAK</w:t>
      </w:r>
      <w:r w:rsidR="00A369E8" w:rsidRPr="001B0B74">
        <w:t xml:space="preserve"> inhibitors</w:t>
      </w:r>
      <w:r w:rsidR="00473E49" w:rsidRPr="001B0B74">
        <w:t>)</w:t>
      </w:r>
      <w:r w:rsidRPr="001B0B74">
        <w:t>.</w:t>
      </w:r>
    </w:p>
    <w:p w14:paraId="5FF23BF3" w14:textId="0872D504" w:rsidR="00473E49" w:rsidRPr="001B0B74" w:rsidRDefault="00473E49" w:rsidP="00E47A73">
      <w:r w:rsidRPr="001B0B74">
        <w:t xml:space="preserve">The clinical evaluation noted that in the median term overall mortality, VTE, MACE and malignancy rates in filgotinib, placebo, </w:t>
      </w:r>
      <w:r w:rsidR="00962353" w:rsidRPr="001B0B74">
        <w:t>methotrexate</w:t>
      </w:r>
      <w:r w:rsidRPr="001B0B74">
        <w:t xml:space="preserve"> and adalimumab treated groups were comparable. While the sponsor has argued that filgotinib is associated with lower rates of AE with filgotinib compared to published data for other JAK</w:t>
      </w:r>
      <w:r w:rsidR="00A369E8" w:rsidRPr="001B0B74">
        <w:t xml:space="preserve"> inhibitors</w:t>
      </w:r>
      <w:r w:rsidRPr="001B0B74">
        <w:t>, the filgotinib studies have to date been relatively short term and enrolled limited patient numbers. It is possible that there has not yet been sufficient exposure to identify rare adverse reactions, or those related to long</w:t>
      </w:r>
      <w:r w:rsidR="00897C9A" w:rsidRPr="001B0B74">
        <w:t xml:space="preserve"> </w:t>
      </w:r>
      <w:r w:rsidRPr="001B0B74">
        <w:t>term exposure. In this relative uncertainty, it would be appropriate for the sponsor to align with the other registered JAK</w:t>
      </w:r>
      <w:r w:rsidR="00A369E8" w:rsidRPr="001B0B74">
        <w:t xml:space="preserve"> inhibitors</w:t>
      </w:r>
      <w:r w:rsidRPr="001B0B74">
        <w:t xml:space="preserve"> and include reference to potential class effects of VTE, MACE and malignancies.</w:t>
      </w:r>
    </w:p>
    <w:p w14:paraId="6AF2D07C" w14:textId="77777777" w:rsidR="00D23139" w:rsidRPr="001B0B74" w:rsidRDefault="00D23139" w:rsidP="00D23139">
      <w:pPr>
        <w:pStyle w:val="Heading4"/>
      </w:pPr>
      <w:r w:rsidRPr="001B0B74">
        <w:t>Proposed action</w:t>
      </w:r>
    </w:p>
    <w:p w14:paraId="003524E1" w14:textId="6A5BE2C3" w:rsidR="001D6A79" w:rsidRPr="001B0B74" w:rsidRDefault="001D6A79" w:rsidP="001D6A79">
      <w:r w:rsidRPr="001B0B74">
        <w:t xml:space="preserve">The </w:t>
      </w:r>
      <w:r w:rsidR="00A369E8" w:rsidRPr="001B0B74">
        <w:t>D</w:t>
      </w:r>
      <w:r w:rsidRPr="001B0B74">
        <w:t xml:space="preserve">elegate agrees that filgotinib has demonstrated efficacy in the treatment of moderate to severe </w:t>
      </w:r>
      <w:r w:rsidR="00103EEB" w:rsidRPr="001B0B74">
        <w:t>RA</w:t>
      </w:r>
      <w:r w:rsidRPr="001B0B74">
        <w:t xml:space="preserve"> in adult patients who have not responded to, or are intolerant of, other DMARDs, both conventional and biological. There is some evidence that the 200</w:t>
      </w:r>
      <w:r w:rsidR="00317584" w:rsidRPr="001B0B74">
        <w:t> </w:t>
      </w:r>
      <w:r w:rsidRPr="001B0B74">
        <w:t xml:space="preserve">mg dosage has comparable efficacy to the bDMARD adalimumab in a population of patients resistant to or intolerant of </w:t>
      </w:r>
      <w:r w:rsidR="00962353" w:rsidRPr="001B0B74">
        <w:t>methotrexate</w:t>
      </w:r>
      <w:r w:rsidR="00317584" w:rsidRPr="001B0B74">
        <w:t>.</w:t>
      </w:r>
    </w:p>
    <w:p w14:paraId="11D47AB9" w14:textId="7789CDBE" w:rsidR="001D6A79" w:rsidRPr="001B0B74" w:rsidRDefault="00317584" w:rsidP="001D6A79">
      <w:r w:rsidRPr="001B0B74">
        <w:t xml:space="preserve">In placebo </w:t>
      </w:r>
      <w:r w:rsidR="001D6A79" w:rsidRPr="001B0B74">
        <w:t xml:space="preserve">controlled trials, use of filgotinib has been associated with increased incidence of serious infections, nausea, headaches, herpes zoster and other opportunistic infections and with a higher rate of temporary treatment discontinuations owing to </w:t>
      </w:r>
      <w:r w:rsidR="000E75D5" w:rsidRPr="001B0B74">
        <w:t>AE</w:t>
      </w:r>
      <w:r w:rsidR="001D6A79" w:rsidRPr="001B0B74">
        <w:t xml:space="preserve">s. Similar </w:t>
      </w:r>
      <w:r w:rsidR="000E75D5" w:rsidRPr="001B0B74">
        <w:t>AE</w:t>
      </w:r>
      <w:r w:rsidR="001D6A79" w:rsidRPr="001B0B74">
        <w:t>s have been seen with filgotinib as have been reported with other JAK</w:t>
      </w:r>
      <w:r w:rsidR="00A369E8" w:rsidRPr="001B0B74">
        <w:t xml:space="preserve"> inhibtors</w:t>
      </w:r>
      <w:r w:rsidR="001D6A79" w:rsidRPr="001B0B74">
        <w:t xml:space="preserve">, including haematological abnormalities, altered lipid profiles and elevated serum enzyme concentrations including the liver transaminases and </w:t>
      </w:r>
      <w:r w:rsidR="00BF7F37" w:rsidRPr="001B0B74">
        <w:t>CPK</w:t>
      </w:r>
      <w:r w:rsidR="001D6A79" w:rsidRPr="001B0B74">
        <w:t>.</w:t>
      </w:r>
    </w:p>
    <w:p w14:paraId="1F74BA6A" w14:textId="5DC4672D" w:rsidR="001D6A79" w:rsidRPr="001B0B74" w:rsidRDefault="001D6A79" w:rsidP="001D6A79">
      <w:r w:rsidRPr="001B0B74">
        <w:t>Some uncertainties remain with regard to the pote</w:t>
      </w:r>
      <w:r w:rsidR="00317584" w:rsidRPr="001B0B74">
        <w:t xml:space="preserve">ntial human consequences of off </w:t>
      </w:r>
      <w:r w:rsidRPr="001B0B74">
        <w:t xml:space="preserve">target effects noted in animal studies, particularly male testicular toxicity, that have not been reported with other JAK inhibitors. Nevertheless, pending advice from the ACM, the delegate is inclined to approve registration of filgotinib for the treatment of moderate to severe </w:t>
      </w:r>
      <w:r w:rsidR="00103EEB" w:rsidRPr="001B0B74">
        <w:t>RA</w:t>
      </w:r>
      <w:r w:rsidRPr="001B0B74">
        <w:t>, subject to implementation of adequate processes to minimise known and potential risks, and monitoring and pharmacovigilance processes to identify new and confirm potential ri</w:t>
      </w:r>
      <w:r w:rsidR="00035334" w:rsidRPr="001B0B74">
        <w:t>sks of filgotinib.</w:t>
      </w:r>
    </w:p>
    <w:p w14:paraId="5C2046FC" w14:textId="77777777" w:rsidR="007D53B6" w:rsidRPr="001B0B74" w:rsidRDefault="007D53B6" w:rsidP="007D53B6">
      <w:pPr>
        <w:pStyle w:val="Heading4"/>
      </w:pPr>
      <w:r w:rsidRPr="001B0B74">
        <w:t xml:space="preserve">Questions for </w:t>
      </w:r>
      <w:r w:rsidR="00744121" w:rsidRPr="001B0B74">
        <w:t xml:space="preserve">the </w:t>
      </w:r>
      <w:r w:rsidRPr="001B0B74">
        <w:t>sponsor</w:t>
      </w:r>
    </w:p>
    <w:p w14:paraId="5D5012BA" w14:textId="77777777" w:rsidR="00744121" w:rsidRPr="001B0B74" w:rsidRDefault="00744121" w:rsidP="00744121">
      <w:r w:rsidRPr="001B0B74">
        <w:t>The sponsor provided the following response to questions from the Delegate.</w:t>
      </w:r>
    </w:p>
    <w:p w14:paraId="63EB59F6" w14:textId="7B528346" w:rsidR="006262C0" w:rsidRPr="001B0B74" w:rsidRDefault="006262C0" w:rsidP="006262C0">
      <w:pPr>
        <w:pStyle w:val="Numberbullet0"/>
        <w:rPr>
          <w:b/>
          <w:i/>
        </w:rPr>
      </w:pPr>
      <w:r w:rsidRPr="001B0B74">
        <w:rPr>
          <w:b/>
          <w:i/>
        </w:rPr>
        <w:t xml:space="preserve">The </w:t>
      </w:r>
      <w:r w:rsidR="00C832B1" w:rsidRPr="001B0B74">
        <w:rPr>
          <w:b/>
          <w:i/>
        </w:rPr>
        <w:t>quality</w:t>
      </w:r>
      <w:r w:rsidRPr="001B0B74">
        <w:rPr>
          <w:b/>
          <w:i/>
        </w:rPr>
        <w:t xml:space="preserve"> evaluators have accepted a </w:t>
      </w:r>
      <w:r w:rsidR="00317584" w:rsidRPr="001B0B74">
        <w:rPr>
          <w:b/>
          <w:i/>
        </w:rPr>
        <w:t>dissolution limit of Q80% in 20 </w:t>
      </w:r>
      <w:r w:rsidRPr="001B0B74">
        <w:rPr>
          <w:b/>
          <w:i/>
        </w:rPr>
        <w:t xml:space="preserve">minutes in this case, but have requested that the sponsor take action to tighten the </w:t>
      </w:r>
      <w:r w:rsidR="00317584" w:rsidRPr="001B0B74">
        <w:rPr>
          <w:b/>
          <w:i/>
        </w:rPr>
        <w:t>dissolution limit to Q75% in 15 </w:t>
      </w:r>
      <w:r w:rsidRPr="001B0B74">
        <w:rPr>
          <w:b/>
          <w:i/>
        </w:rPr>
        <w:t>minutes following testing of more production batches. Please advise how the sponsor will work to achieve this requested target.</w:t>
      </w:r>
    </w:p>
    <w:p w14:paraId="56E71DE3" w14:textId="72431242" w:rsidR="00CA4C47" w:rsidRPr="001B0B74" w:rsidRDefault="00C832B1" w:rsidP="00CA4C47">
      <w:r w:rsidRPr="001B0B74">
        <w:t xml:space="preserve">The sponsor’s </w:t>
      </w:r>
      <w:r w:rsidR="00CA4C47" w:rsidRPr="001B0B74">
        <w:t>response is located in a separate docum</w:t>
      </w:r>
      <w:r w:rsidR="00317584" w:rsidRPr="001B0B74">
        <w:t>ent within</w:t>
      </w:r>
      <w:r w:rsidRPr="001B0B74">
        <w:t xml:space="preserve"> the</w:t>
      </w:r>
      <w:r w:rsidR="00317584" w:rsidRPr="001B0B74">
        <w:t xml:space="preserve"> </w:t>
      </w:r>
      <w:r w:rsidRPr="001B0B74">
        <w:t xml:space="preserve">quality module in sponsor submitted dossier </w:t>
      </w:r>
      <w:r w:rsidR="00317584" w:rsidRPr="001B0B74">
        <w:t xml:space="preserve">titled </w:t>
      </w:r>
      <w:r w:rsidR="002F6EB1" w:rsidRPr="001B0B74">
        <w:t>‘</w:t>
      </w:r>
      <w:r w:rsidR="00CA4C47" w:rsidRPr="001B0B74">
        <w:t xml:space="preserve">Questions for the </w:t>
      </w:r>
      <w:r w:rsidR="00317584" w:rsidRPr="001B0B74">
        <w:t>Sponsor</w:t>
      </w:r>
      <w:r w:rsidR="002F6EB1" w:rsidRPr="001B0B74">
        <w:t>’.</w:t>
      </w:r>
      <w:r w:rsidR="004F127C" w:rsidRPr="001B0B74">
        <w:rPr>
          <w:vertAlign w:val="superscript"/>
        </w:rPr>
        <w:fldChar w:fldCharType="begin"/>
      </w:r>
      <w:r w:rsidR="004F127C" w:rsidRPr="001B0B74">
        <w:rPr>
          <w:vertAlign w:val="superscript"/>
        </w:rPr>
        <w:instrText xml:space="preserve"> NOTEREF _Ref69305608 \h  \* MERGEFORMAT </w:instrText>
      </w:r>
      <w:r w:rsidR="004F127C" w:rsidRPr="001B0B74">
        <w:rPr>
          <w:vertAlign w:val="superscript"/>
        </w:rPr>
      </w:r>
      <w:r w:rsidR="004F127C" w:rsidRPr="001B0B74">
        <w:rPr>
          <w:vertAlign w:val="superscript"/>
        </w:rPr>
        <w:fldChar w:fldCharType="separate"/>
      </w:r>
      <w:r w:rsidR="003A57FD">
        <w:rPr>
          <w:vertAlign w:val="superscript"/>
        </w:rPr>
        <w:t>11</w:t>
      </w:r>
      <w:r w:rsidR="004F127C" w:rsidRPr="001B0B74">
        <w:rPr>
          <w:vertAlign w:val="superscript"/>
        </w:rPr>
        <w:fldChar w:fldCharType="end"/>
      </w:r>
    </w:p>
    <w:p w14:paraId="7B728067" w14:textId="7F48AE7E" w:rsidR="006262C0" w:rsidRPr="001B0B74" w:rsidRDefault="006262C0" w:rsidP="006262C0">
      <w:pPr>
        <w:pStyle w:val="Numberbullet0"/>
        <w:rPr>
          <w:b/>
          <w:i/>
        </w:rPr>
      </w:pPr>
      <w:r w:rsidRPr="001B0B74">
        <w:rPr>
          <w:b/>
          <w:i/>
        </w:rPr>
        <w:t>Please confirm the numbers (%) of patients in trials FINCH</w:t>
      </w:r>
      <w:r w:rsidR="00317584" w:rsidRPr="001B0B74">
        <w:rPr>
          <w:b/>
          <w:i/>
        </w:rPr>
        <w:t> </w:t>
      </w:r>
      <w:r w:rsidRPr="001B0B74">
        <w:rPr>
          <w:b/>
          <w:i/>
        </w:rPr>
        <w:t>1 and FINCH</w:t>
      </w:r>
      <w:r w:rsidR="00317584" w:rsidRPr="001B0B74">
        <w:rPr>
          <w:b/>
          <w:i/>
        </w:rPr>
        <w:t> </w:t>
      </w:r>
      <w:r w:rsidRPr="001B0B74">
        <w:rPr>
          <w:b/>
          <w:i/>
        </w:rPr>
        <w:t xml:space="preserve">2 that were taking csDMARDs (other than </w:t>
      </w:r>
      <w:r w:rsidR="00962353" w:rsidRPr="001B0B74">
        <w:rPr>
          <w:b/>
          <w:i/>
        </w:rPr>
        <w:t>methotrexate</w:t>
      </w:r>
      <w:r w:rsidRPr="001B0B74">
        <w:rPr>
          <w:b/>
          <w:i/>
        </w:rPr>
        <w:t>) during the trial period, and specify which csDMARDs were used.</w:t>
      </w:r>
    </w:p>
    <w:p w14:paraId="72B4E1AE" w14:textId="0D07FAD5" w:rsidR="00AC17EB" w:rsidRPr="001B0B74" w:rsidRDefault="00AC17EB" w:rsidP="00AC17EB">
      <w:r w:rsidRPr="001B0B74">
        <w:t>For FINCH</w:t>
      </w:r>
      <w:r w:rsidR="00317584" w:rsidRPr="001B0B74">
        <w:t> </w:t>
      </w:r>
      <w:r w:rsidRPr="001B0B74">
        <w:t xml:space="preserve">1, all the patients were taking concurrent </w:t>
      </w:r>
      <w:r w:rsidR="00962353" w:rsidRPr="001B0B74">
        <w:t>methotrexate</w:t>
      </w:r>
      <w:r w:rsidRPr="001B0B74">
        <w:t xml:space="preserve"> as per the study protocol.</w:t>
      </w:r>
    </w:p>
    <w:p w14:paraId="2042D091" w14:textId="65314553" w:rsidR="00AC17EB" w:rsidRPr="001B0B74" w:rsidRDefault="00AC17EB" w:rsidP="00AC17EB">
      <w:r w:rsidRPr="001B0B74">
        <w:t xml:space="preserve">For FINCH 2, there was 447/448 (99.8%) of patients that had concurrent csDMARDs use and 81/448 (18%) patients did not have concurrent </w:t>
      </w:r>
      <w:r w:rsidR="00962353" w:rsidRPr="001B0B74">
        <w:t>methotrexate</w:t>
      </w:r>
      <w:r w:rsidRPr="001B0B74">
        <w:t xml:space="preserve"> use. A break down by csDMARDs was not specified within the study.</w:t>
      </w:r>
    </w:p>
    <w:p w14:paraId="3E83F726" w14:textId="7B925779" w:rsidR="006262C0" w:rsidRPr="001B0B74" w:rsidRDefault="006262C0" w:rsidP="008177EE">
      <w:pPr>
        <w:pStyle w:val="Numberbullet0"/>
        <w:rPr>
          <w:b/>
          <w:i/>
        </w:rPr>
      </w:pPr>
      <w:r w:rsidRPr="001B0B74">
        <w:rPr>
          <w:b/>
          <w:i/>
        </w:rPr>
        <w:t>Please provide reasoning why dosage adjustment for moderate renal impairment (</w:t>
      </w:r>
      <w:r w:rsidR="008177EE" w:rsidRPr="001B0B74">
        <w:rPr>
          <w:b/>
          <w:i/>
        </w:rPr>
        <w:t>estimated glomerular filtration rate (</w:t>
      </w:r>
      <w:r w:rsidRPr="001B0B74">
        <w:rPr>
          <w:b/>
          <w:i/>
        </w:rPr>
        <w:t>eGFR</w:t>
      </w:r>
      <w:r w:rsidR="008177EE" w:rsidRPr="001B0B74">
        <w:rPr>
          <w:b/>
          <w:i/>
        </w:rPr>
        <w:t>)</w:t>
      </w:r>
      <w:r w:rsidR="00B74863" w:rsidRPr="001B0B74">
        <w:rPr>
          <w:b/>
          <w:i/>
        </w:rPr>
        <w:t> </w:t>
      </w:r>
      <w:r w:rsidRPr="001B0B74">
        <w:rPr>
          <w:b/>
          <w:i/>
        </w:rPr>
        <w:t>≥</w:t>
      </w:r>
      <w:r w:rsidR="008177EE" w:rsidRPr="001B0B74">
        <w:rPr>
          <w:b/>
          <w:i/>
        </w:rPr>
        <w:t> </w:t>
      </w:r>
      <w:r w:rsidRPr="001B0B74">
        <w:rPr>
          <w:b/>
          <w:i/>
        </w:rPr>
        <w:t>30</w:t>
      </w:r>
      <w:r w:rsidR="008177EE" w:rsidRPr="001B0B74">
        <w:rPr>
          <w:b/>
          <w:i/>
        </w:rPr>
        <w:t> </w:t>
      </w:r>
      <w:r w:rsidRPr="001B0B74">
        <w:rPr>
          <w:b/>
          <w:i/>
        </w:rPr>
        <w:t>mL/min/1.73m2) was included in the EMA SmPC, but the Australian PI does not include a similar dosage adjustment.</w:t>
      </w:r>
    </w:p>
    <w:p w14:paraId="67AD52C8" w14:textId="702E6BE2" w:rsidR="00930A9F" w:rsidRPr="001B0B74" w:rsidRDefault="00D82712" w:rsidP="00930A9F">
      <w:r w:rsidRPr="001B0B74">
        <w:t>The sponsor</w:t>
      </w:r>
      <w:r w:rsidR="00930A9F" w:rsidRPr="001B0B74">
        <w:t xml:space="preserve"> agrees to update the </w:t>
      </w:r>
      <w:r w:rsidR="00D61FDA" w:rsidRPr="001B0B74">
        <w:t>Jyseleca</w:t>
      </w:r>
      <w:r w:rsidR="00930A9F" w:rsidRPr="001B0B74">
        <w:t xml:space="preserve"> PI wi</w:t>
      </w:r>
      <w:r w:rsidR="00B74863" w:rsidRPr="001B0B74">
        <w:t>th the dosage adjustment to 100 </w:t>
      </w:r>
      <w:r w:rsidR="00930A9F" w:rsidRPr="001B0B74">
        <w:t>mg once daily for moderate renal impairment patients (eGFR</w:t>
      </w:r>
      <w:r w:rsidR="00B74863" w:rsidRPr="001B0B74">
        <w:t> </w:t>
      </w:r>
      <w:r w:rsidR="00930A9F" w:rsidRPr="001B0B74">
        <w:t>≥</w:t>
      </w:r>
      <w:r w:rsidR="00B74863" w:rsidRPr="001B0B74">
        <w:t> </w:t>
      </w:r>
      <w:r w:rsidR="00930A9F" w:rsidRPr="001B0B74">
        <w:t>30</w:t>
      </w:r>
      <w:r w:rsidR="00A369E8" w:rsidRPr="001B0B74">
        <w:t xml:space="preserve"> </w:t>
      </w:r>
      <w:r w:rsidR="00930A9F" w:rsidRPr="001B0B74">
        <w:t>mL/min/1.73m</w:t>
      </w:r>
      <w:r w:rsidR="00930A9F" w:rsidRPr="001B0B74">
        <w:rPr>
          <w:vertAlign w:val="superscript"/>
        </w:rPr>
        <w:t>2</w:t>
      </w:r>
      <w:r w:rsidR="00930A9F" w:rsidRPr="001B0B74">
        <w:t>), as per the approved EU SmPC.</w:t>
      </w:r>
    </w:p>
    <w:p w14:paraId="7F8D0A71" w14:textId="77777777" w:rsidR="008E7846" w:rsidRPr="001B0B74" w:rsidRDefault="008E7846" w:rsidP="007D53B6">
      <w:pPr>
        <w:pStyle w:val="Heading4"/>
      </w:pPr>
      <w:r w:rsidRPr="001B0B74">
        <w:t xml:space="preserve">Advisory Committee </w:t>
      </w:r>
      <w:r w:rsidR="007D53B6" w:rsidRPr="001B0B74">
        <w:t>c</w:t>
      </w:r>
      <w:r w:rsidRPr="001B0B74">
        <w:t>onsiderations</w:t>
      </w:r>
      <w:r w:rsidR="00456765" w:rsidRPr="001B0B74">
        <w:rPr>
          <w:rStyle w:val="FootnoteReference"/>
        </w:rPr>
        <w:footnoteReference w:id="16"/>
      </w:r>
    </w:p>
    <w:p w14:paraId="60D68AE2" w14:textId="14A282F6" w:rsidR="00744121" w:rsidRPr="001B0B74" w:rsidRDefault="00744121" w:rsidP="00744121">
      <w:pPr>
        <w:rPr>
          <w:bCs/>
        </w:rPr>
      </w:pPr>
      <w:bookmarkStart w:id="60" w:name="_Toc247691532"/>
      <w:bookmarkStart w:id="61" w:name="_Toc314842516"/>
      <w:bookmarkEnd w:id="30"/>
      <w:bookmarkEnd w:id="57"/>
      <w:bookmarkEnd w:id="58"/>
      <w:r w:rsidRPr="001B0B74">
        <w:rPr>
          <w:bCs/>
        </w:rPr>
        <w:t>The ACM, having considered the evaluations and the Delegate’s overview, as well as the sponsor’s response to these documents, advised the following.</w:t>
      </w:r>
    </w:p>
    <w:p w14:paraId="219AE76E" w14:textId="77777777" w:rsidR="00744121" w:rsidRPr="001B0B74" w:rsidRDefault="00744121" w:rsidP="00744121">
      <w:pPr>
        <w:pStyle w:val="Heading5"/>
      </w:pPr>
      <w:r w:rsidRPr="001B0B74">
        <w:t>Specific advice to the Delegate</w:t>
      </w:r>
    </w:p>
    <w:p w14:paraId="4EAD2CF2" w14:textId="48DDB343" w:rsidR="00163376" w:rsidRPr="001B0B74" w:rsidRDefault="00163376" w:rsidP="00522ABF">
      <w:pPr>
        <w:pStyle w:val="Numberbullet0"/>
        <w:numPr>
          <w:ilvl w:val="0"/>
          <w:numId w:val="41"/>
        </w:numPr>
        <w:rPr>
          <w:b/>
          <w:i/>
        </w:rPr>
      </w:pPr>
      <w:r w:rsidRPr="001B0B74">
        <w:rPr>
          <w:b/>
          <w:i/>
        </w:rPr>
        <w:t>What is the opinion of the committee regarding the benefit</w:t>
      </w:r>
      <w:r w:rsidR="000B33F0" w:rsidRPr="001B0B74">
        <w:rPr>
          <w:b/>
          <w:i/>
        </w:rPr>
        <w:t xml:space="preserve"> </w:t>
      </w:r>
      <w:r w:rsidRPr="001B0B74">
        <w:rPr>
          <w:b/>
          <w:i/>
        </w:rPr>
        <w:t>risk profile of the 200</w:t>
      </w:r>
      <w:r w:rsidR="000B33F0" w:rsidRPr="001B0B74">
        <w:rPr>
          <w:b/>
          <w:i/>
        </w:rPr>
        <w:t> </w:t>
      </w:r>
      <w:r w:rsidRPr="001B0B74">
        <w:rPr>
          <w:b/>
          <w:i/>
        </w:rPr>
        <w:t>mg daily dosing regime?</w:t>
      </w:r>
    </w:p>
    <w:p w14:paraId="64A20C6A" w14:textId="6CC3D1DD" w:rsidR="00163376" w:rsidRPr="001B0B74" w:rsidRDefault="00163376" w:rsidP="00163376">
      <w:r w:rsidRPr="001B0B74">
        <w:t>In view of uncertainties regarding the safety of filgotinib, the ACM considered the benefit</w:t>
      </w:r>
      <w:r w:rsidR="000B33F0" w:rsidRPr="001B0B74">
        <w:t xml:space="preserve"> </w:t>
      </w:r>
      <w:r w:rsidRPr="001B0B74">
        <w:t>risk profile for the 200</w:t>
      </w:r>
      <w:r w:rsidR="000B33F0" w:rsidRPr="001B0B74">
        <w:t> </w:t>
      </w:r>
      <w:r w:rsidRPr="001B0B74">
        <w:t>mg dose regime to be unfavourable.</w:t>
      </w:r>
    </w:p>
    <w:p w14:paraId="37C329CE" w14:textId="4487B277" w:rsidR="00163376" w:rsidRPr="001B0B74" w:rsidRDefault="00163376" w:rsidP="00163376">
      <w:r w:rsidRPr="001B0B74">
        <w:t>The ACM highlighted that the efficacy studies all demonstrated a numerical improvement in outcome measures for the 200</w:t>
      </w:r>
      <w:r w:rsidR="000B33F0" w:rsidRPr="001B0B74">
        <w:t> </w:t>
      </w:r>
      <w:r w:rsidRPr="001B0B74">
        <w:t>mg dose over the 100</w:t>
      </w:r>
      <w:r w:rsidR="000B33F0" w:rsidRPr="001B0B74">
        <w:t> </w:t>
      </w:r>
      <w:r w:rsidRPr="001B0B74">
        <w:t>mg dose, however noted that in the absence of formal statistical analysis, the efficacy difference appeared unlikely to be significant, therefore the ACM was not convinced that the 200</w:t>
      </w:r>
      <w:r w:rsidR="000B33F0" w:rsidRPr="001B0B74">
        <w:t> </w:t>
      </w:r>
      <w:r w:rsidRPr="001B0B74">
        <w:t>mg dose provided a meaningful benefit over the 100</w:t>
      </w:r>
      <w:r w:rsidR="000B33F0" w:rsidRPr="001B0B74">
        <w:t> </w:t>
      </w:r>
      <w:r w:rsidRPr="001B0B74">
        <w:t>mg dose.</w:t>
      </w:r>
    </w:p>
    <w:p w14:paraId="5527A1DF" w14:textId="0EAA6DB7" w:rsidR="00163376" w:rsidRPr="001B0B74" w:rsidRDefault="00163376" w:rsidP="00163376">
      <w:r w:rsidRPr="001B0B74">
        <w:t>Additionally, the ACM noted the presence of some dose responsive adverse events within the studies, further considering that it was plausible that effects on spermatogenesis in humans may also be dose</w:t>
      </w:r>
      <w:r w:rsidR="000B33F0" w:rsidRPr="001B0B74">
        <w:t xml:space="preserve"> </w:t>
      </w:r>
      <w:r w:rsidRPr="001B0B74">
        <w:t>related.</w:t>
      </w:r>
    </w:p>
    <w:p w14:paraId="6C79C046" w14:textId="2682AF73" w:rsidR="00163376" w:rsidRPr="001B0B74" w:rsidRDefault="00163376" w:rsidP="00163376">
      <w:pPr>
        <w:pStyle w:val="Numberbullet0"/>
        <w:rPr>
          <w:b/>
          <w:i/>
        </w:rPr>
      </w:pPr>
      <w:r w:rsidRPr="001B0B74">
        <w:rPr>
          <w:b/>
          <w:i/>
        </w:rPr>
        <w:t>What is the opinion of the committee with regard to including a recommended dose of filgotinib (100</w:t>
      </w:r>
      <w:r w:rsidR="000B33F0" w:rsidRPr="001B0B74">
        <w:rPr>
          <w:b/>
          <w:i/>
        </w:rPr>
        <w:t> </w:t>
      </w:r>
      <w:r w:rsidRPr="001B0B74">
        <w:rPr>
          <w:b/>
          <w:i/>
        </w:rPr>
        <w:t>mg daily) in patients with RA and moderate or severe renal dysfunction?</w:t>
      </w:r>
    </w:p>
    <w:p w14:paraId="15D23C96" w14:textId="77777777" w:rsidR="00163376" w:rsidRPr="001B0B74" w:rsidRDefault="00163376" w:rsidP="00163376">
      <w:r w:rsidRPr="001B0B74">
        <w:t>The ACM discussed the evidence base for proposed dose modifications in moderate and severe renal disease. The committee was of the opinion that the submitted clinical data did not satisfactorily investigate dose modifications.</w:t>
      </w:r>
    </w:p>
    <w:p w14:paraId="3D6B0369" w14:textId="77777777" w:rsidR="00163376" w:rsidRPr="001B0B74" w:rsidRDefault="00163376" w:rsidP="00163376">
      <w:pPr>
        <w:pStyle w:val="Numberbullet0"/>
        <w:numPr>
          <w:ilvl w:val="0"/>
          <w:numId w:val="0"/>
        </w:numPr>
        <w:rPr>
          <w:color w:val="000000" w:themeColor="text1"/>
        </w:rPr>
      </w:pPr>
      <w:r w:rsidRPr="001B0B74">
        <w:t>The ACM noted that the experience with filgotinib in severe renal impairment is limited to three otherwise healthy patients in early Phase I trials. The Phase II and III clinical study program and population PK analysis excluded RA patients with severe renal impairment</w:t>
      </w:r>
      <w:r w:rsidRPr="001B0B74">
        <w:rPr>
          <w:color w:val="000000" w:themeColor="text1"/>
          <w:lang w:val="en-US"/>
        </w:rPr>
        <w:t>.</w:t>
      </w:r>
    </w:p>
    <w:p w14:paraId="4D6EA078" w14:textId="1DE5EC38" w:rsidR="00163376" w:rsidRPr="001B0B74" w:rsidRDefault="00163376" w:rsidP="00163376">
      <w:r w:rsidRPr="001B0B74">
        <w:t xml:space="preserve">The ACM noted that the definition of moderate renal failure encompasses a large range of eGFR (30 </w:t>
      </w:r>
      <w:r w:rsidR="00A369E8" w:rsidRPr="001B0B74">
        <w:t>to</w:t>
      </w:r>
      <w:r w:rsidRPr="001B0B74">
        <w:t xml:space="preserve"> 59</w:t>
      </w:r>
      <w:r w:rsidR="000B33F0" w:rsidRPr="001B0B74">
        <w:t> mL/min/1.73 </w:t>
      </w:r>
      <w:r w:rsidRPr="001B0B74">
        <w:t>m</w:t>
      </w:r>
      <w:r w:rsidRPr="001B0B74">
        <w:rPr>
          <w:vertAlign w:val="superscript"/>
        </w:rPr>
        <w:t>2</w:t>
      </w:r>
      <w:r w:rsidRPr="001B0B74">
        <w:t xml:space="preserve">). It acknowledged the advice that within the speciality of nephrology, this is commonly split into the appropriate chronic kidney disease stages, Stage 3a (45 </w:t>
      </w:r>
      <w:r w:rsidR="00A369E8" w:rsidRPr="001B0B74">
        <w:t>to</w:t>
      </w:r>
      <w:r w:rsidRPr="001B0B74">
        <w:t xml:space="preserve"> 59</w:t>
      </w:r>
      <w:r w:rsidR="000B33F0" w:rsidRPr="001B0B74">
        <w:t> mL/min/1.73 </w:t>
      </w:r>
      <w:r w:rsidRPr="001B0B74">
        <w:t>m</w:t>
      </w:r>
      <w:r w:rsidRPr="001B0B74">
        <w:rPr>
          <w:vertAlign w:val="superscript"/>
        </w:rPr>
        <w:t>2</w:t>
      </w:r>
      <w:r w:rsidRPr="001B0B74">
        <w:t xml:space="preserve">) and Stage 3b (30 </w:t>
      </w:r>
      <w:r w:rsidR="00A369E8" w:rsidRPr="001B0B74">
        <w:t>to</w:t>
      </w:r>
      <w:r w:rsidR="000B33F0" w:rsidRPr="001B0B74">
        <w:t xml:space="preserve"> 44 </w:t>
      </w:r>
      <w:r w:rsidRPr="001B0B74">
        <w:t>mL/min/1.7</w:t>
      </w:r>
      <w:r w:rsidR="000B33F0" w:rsidRPr="001B0B74">
        <w:t>3 </w:t>
      </w:r>
      <w:r w:rsidRPr="001B0B74">
        <w:t>m</w:t>
      </w:r>
      <w:r w:rsidRPr="001B0B74">
        <w:rPr>
          <w:vertAlign w:val="superscript"/>
        </w:rPr>
        <w:t>2</w:t>
      </w:r>
      <w:r w:rsidRPr="001B0B74">
        <w:t>), to allow for more targeted treatment.</w:t>
      </w:r>
    </w:p>
    <w:p w14:paraId="280F06D1" w14:textId="718B3CEE" w:rsidR="00163376" w:rsidRPr="001B0B74" w:rsidRDefault="00163376" w:rsidP="00163376">
      <w:r w:rsidRPr="001B0B74">
        <w:t xml:space="preserve">In the absence of analysis on this basis, the ACM considered the following advice regarding dosing </w:t>
      </w:r>
      <w:r w:rsidR="003C7D20" w:rsidRPr="001B0B74">
        <w:t>in renal disease, based on the P</w:t>
      </w:r>
      <w:r w:rsidRPr="001B0B74">
        <w:t>opPK study:</w:t>
      </w:r>
    </w:p>
    <w:p w14:paraId="638556FE" w14:textId="122456A8" w:rsidR="00163376" w:rsidRPr="001B0B74" w:rsidRDefault="000B33F0" w:rsidP="00163376">
      <w:pPr>
        <w:pStyle w:val="ListBullet"/>
      </w:pPr>
      <w:r w:rsidRPr="001B0B74">
        <w:t xml:space="preserve">30 </w:t>
      </w:r>
      <w:r w:rsidR="00A369E8" w:rsidRPr="001B0B74">
        <w:t>to</w:t>
      </w:r>
      <w:r w:rsidRPr="001B0B74">
        <w:t xml:space="preserve"> 59 mL/min/1.73 </w:t>
      </w:r>
      <w:r w:rsidR="00163376" w:rsidRPr="001B0B74">
        <w:t>m</w:t>
      </w:r>
      <w:r w:rsidR="00163376" w:rsidRPr="001B0B74">
        <w:rPr>
          <w:vertAlign w:val="superscript"/>
        </w:rPr>
        <w:t>2</w:t>
      </w:r>
      <w:r w:rsidR="00A369E8" w:rsidRPr="001B0B74">
        <w:t>:</w:t>
      </w:r>
      <w:r w:rsidRPr="001B0B74">
        <w:t xml:space="preserve"> half dose (100 </w:t>
      </w:r>
      <w:r w:rsidR="00163376" w:rsidRPr="001B0B74">
        <w:t>mg) may be more appropriate</w:t>
      </w:r>
      <w:r w:rsidR="00A369E8" w:rsidRPr="001B0B74">
        <w:t>; and</w:t>
      </w:r>
    </w:p>
    <w:p w14:paraId="0D672AAA" w14:textId="763D4086" w:rsidR="00163376" w:rsidRPr="001B0B74" w:rsidRDefault="000B33F0" w:rsidP="00163376">
      <w:pPr>
        <w:pStyle w:val="ListBullet"/>
      </w:pPr>
      <w:r w:rsidRPr="001B0B74">
        <w:t xml:space="preserve">15 </w:t>
      </w:r>
      <w:r w:rsidR="00A369E8" w:rsidRPr="001B0B74">
        <w:t>to</w:t>
      </w:r>
      <w:r w:rsidRPr="001B0B74">
        <w:t xml:space="preserve"> 29 mL/min/1.73 </w:t>
      </w:r>
      <w:r w:rsidR="00163376" w:rsidRPr="001B0B74">
        <w:t>m</w:t>
      </w:r>
      <w:r w:rsidR="00163376" w:rsidRPr="001B0B74">
        <w:rPr>
          <w:vertAlign w:val="superscript"/>
        </w:rPr>
        <w:t>2</w:t>
      </w:r>
      <w:r w:rsidR="00A369E8" w:rsidRPr="001B0B74">
        <w:t>:</w:t>
      </w:r>
      <w:r w:rsidR="00163376" w:rsidRPr="001B0B74">
        <w:t xml:space="preserve"> filgotinib should not be recommend for use in these patients</w:t>
      </w:r>
      <w:r w:rsidR="00A369E8" w:rsidRPr="001B0B74">
        <w:t>.</w:t>
      </w:r>
    </w:p>
    <w:p w14:paraId="49DC6DCF" w14:textId="7939AC00" w:rsidR="00163376" w:rsidRPr="001B0B74" w:rsidRDefault="00163376" w:rsidP="00163376">
      <w:r w:rsidRPr="001B0B74">
        <w:t>Additionally, the ACM advised that should filgotinib be registered for the treatment of RA, dose modification in</w:t>
      </w:r>
      <w:r w:rsidR="000B33F0" w:rsidRPr="001B0B74">
        <w:t xml:space="preserve"> the very elderly population (&gt; 75 </w:t>
      </w:r>
      <w:r w:rsidRPr="001B0B74">
        <w:t>years) would also be appropriate on the basis that renal function tended to deteriorate with increasing age.</w:t>
      </w:r>
    </w:p>
    <w:p w14:paraId="286D84ED" w14:textId="77777777" w:rsidR="00163376" w:rsidRPr="001B0B74" w:rsidRDefault="00163376" w:rsidP="00163376">
      <w:pPr>
        <w:pStyle w:val="Numberbullet0"/>
        <w:rPr>
          <w:b/>
          <w:i/>
        </w:rPr>
      </w:pPr>
      <w:r w:rsidRPr="001B0B74">
        <w:rPr>
          <w:b/>
          <w:i/>
        </w:rPr>
        <w:t>What is the opinion of the committee regarding the management plan for the potential risk of male reproductive toxicity?</w:t>
      </w:r>
    </w:p>
    <w:p w14:paraId="0C915310" w14:textId="77777777" w:rsidR="00163376" w:rsidRPr="001B0B74" w:rsidRDefault="00163376" w:rsidP="00163376">
      <w:r w:rsidRPr="001B0B74">
        <w:t>The ACM did not consider the risk management plan for male reproductive toxicity to be adequate, given the uncertainty regarding the potential nature and severity of male reproductive toxicity flagged by the nonclinical studies.</w:t>
      </w:r>
    </w:p>
    <w:p w14:paraId="3E2C53EB" w14:textId="77777777" w:rsidR="00163376" w:rsidRPr="001B0B74" w:rsidRDefault="00163376" w:rsidP="00163376">
      <w:r w:rsidRPr="001B0B74">
        <w:t>The ACM acknowledged that studies (MANTA and MANTA-Ray trials) are under way to examine the effect of filgotinib on male fertility in humans and discussed the importance of these trials to obtain a clearer view on the male toxicity profile of this product.</w:t>
      </w:r>
    </w:p>
    <w:p w14:paraId="459C46AC" w14:textId="77777777" w:rsidR="00163376" w:rsidRPr="001B0B74" w:rsidRDefault="00163376" w:rsidP="00163376">
      <w:r w:rsidRPr="001B0B74">
        <w:t>The inadequate characterisation of nonclinical reproductive effects and the absence of clinical data presented a significant uncertainty in the benefit risk profile. Given this uncertainty, and the absence of a clear efficacy benefit of filgotinib over other currently available therapies, the ACM was of the view that there was a negative risk benefit balance for the proposed indication.</w:t>
      </w:r>
    </w:p>
    <w:p w14:paraId="17500855" w14:textId="77777777" w:rsidR="00163376" w:rsidRPr="001B0B74" w:rsidRDefault="00163376" w:rsidP="00163376">
      <w:pPr>
        <w:pStyle w:val="Numberbullet0"/>
        <w:rPr>
          <w:b/>
          <w:i/>
        </w:rPr>
      </w:pPr>
      <w:r w:rsidRPr="001B0B74">
        <w:rPr>
          <w:b/>
          <w:i/>
        </w:rPr>
        <w:t>What is the opinion of the committee regarding warnings or precautions for use in the Australian PI for: anaemia, neutropenia, viral reactivation, altered lipid profiles, elevated serum transaminases, thromboembolic disorders (arterial or venous) and cardiovascular events?</w:t>
      </w:r>
    </w:p>
    <w:p w14:paraId="745C622B" w14:textId="74BB101D" w:rsidR="00163376" w:rsidRPr="001B0B74" w:rsidRDefault="00163376" w:rsidP="00163376">
      <w:r w:rsidRPr="001B0B74">
        <w:t>The ACM noted that there were no clear safety signals in regards to some of the listed potential adverse events, however agreed that both viral reactivation and neutrop</w:t>
      </w:r>
      <w:r w:rsidR="00A369E8" w:rsidRPr="001B0B74">
        <w:t>a</w:t>
      </w:r>
      <w:r w:rsidRPr="001B0B74">
        <w:t>enia are likely to be class effects and should have a warning in Section 4.4 of the PI.</w:t>
      </w:r>
      <w:r w:rsidR="00A734E4" w:rsidRPr="001B0B74">
        <w:rPr>
          <w:rStyle w:val="FootnoteReference"/>
        </w:rPr>
        <w:footnoteReference w:id="17"/>
      </w:r>
    </w:p>
    <w:p w14:paraId="172EFBCB" w14:textId="77777777" w:rsidR="00163376" w:rsidRPr="001B0B74" w:rsidRDefault="00163376" w:rsidP="00163376">
      <w:r w:rsidRPr="001B0B74">
        <w:t>No clear safety signals for major adverse cardiovascular events, venous thromboembolism, malignancy and gastrointestinal perforations were identified in the filgotinib clinical trials. The ACM did, however, note that it would be appropriate to align warnings and precautions with other JAK inhibitors pending longer term study follow up.</w:t>
      </w:r>
    </w:p>
    <w:p w14:paraId="007E4B14" w14:textId="77777777" w:rsidR="00163376" w:rsidRPr="001B0B74" w:rsidRDefault="00163376" w:rsidP="00163376">
      <w:r w:rsidRPr="001B0B74">
        <w:t>The ACM also recommended numerous amendments to the CMI including better addressing the infectious and reproductive risks, and additional advice regarding immunisation requirements.</w:t>
      </w:r>
    </w:p>
    <w:p w14:paraId="0812F7D0" w14:textId="77777777" w:rsidR="00744121" w:rsidRPr="001B0B74" w:rsidRDefault="00744121" w:rsidP="00744121">
      <w:pPr>
        <w:pStyle w:val="Heading5"/>
      </w:pPr>
      <w:r w:rsidRPr="001B0B74">
        <w:t>Conclusion</w:t>
      </w:r>
    </w:p>
    <w:p w14:paraId="5AB9AD38" w14:textId="77777777" w:rsidR="00163376" w:rsidRPr="001B0B74" w:rsidRDefault="00163376" w:rsidP="00163376">
      <w:r w:rsidRPr="001B0B74">
        <w:t>The proposed indication considered by the ACM was:</w:t>
      </w:r>
    </w:p>
    <w:p w14:paraId="20372DB3" w14:textId="77777777" w:rsidR="00163376" w:rsidRPr="001B0B74" w:rsidRDefault="00163376" w:rsidP="00163376">
      <w:pPr>
        <w:ind w:left="720"/>
        <w:rPr>
          <w:i/>
        </w:rPr>
      </w:pPr>
      <w:r w:rsidRPr="001B0B74">
        <w:rPr>
          <w:i/>
        </w:rPr>
        <w:t>Jyseleca is indicated for the treatment of adult patients with moderately to severely active rheumatoid arthritis (RA) who have responded inadequately to, or who are intolerant to one or more disease-modifying anti-rheumatic drugs (DMARDs). It may be used as monotherapy, or in combination with methotrexate (MTX) or other conventional synthetic DMARDs (csDMARDs).</w:t>
      </w:r>
    </w:p>
    <w:p w14:paraId="7FE100D8" w14:textId="166167D4" w:rsidR="00163376" w:rsidRPr="001B0B74" w:rsidRDefault="00163376" w:rsidP="00163376">
      <w:r w:rsidRPr="001B0B74">
        <w:t>The ACM agreed that</w:t>
      </w:r>
      <w:r w:rsidR="00CD74BB" w:rsidRPr="001B0B74">
        <w:t xml:space="preserve"> Jyseleca</w:t>
      </w:r>
      <w:r w:rsidRPr="001B0B74">
        <w:t xml:space="preserve"> </w:t>
      </w:r>
      <w:r w:rsidR="000B33F0" w:rsidRPr="001B0B74">
        <w:t xml:space="preserve">had an overall negative benefit </w:t>
      </w:r>
      <w:r w:rsidRPr="001B0B74">
        <w:t>risk profile for the proposed indication, as the evidence submitted did not satisfactorily establish the safety of the product. The committee primarily based this conclusion on concerns regard</w:t>
      </w:r>
      <w:r w:rsidR="000B33F0" w:rsidRPr="001B0B74">
        <w:t>ing male reproductive toxicity.</w:t>
      </w:r>
    </w:p>
    <w:p w14:paraId="75EA4FFB" w14:textId="77777777" w:rsidR="00163376" w:rsidRPr="001B0B74" w:rsidRDefault="00163376" w:rsidP="00163376">
      <w:r w:rsidRPr="001B0B74">
        <w:t>In providing this recommendation the ACM considered the absence of a clear efficacy benefit of filgotinib over other currently available therapies, as well as the uncertainty regarding safety based on inadequate characterisation of serious and potentially severe risks.</w:t>
      </w:r>
    </w:p>
    <w:p w14:paraId="390B5794" w14:textId="74882660" w:rsidR="008E7846" w:rsidRPr="001B0B74" w:rsidRDefault="008E7846" w:rsidP="00AB05AB">
      <w:pPr>
        <w:pStyle w:val="Heading3"/>
        <w:spacing w:before="120" w:line="240" w:lineRule="auto"/>
      </w:pPr>
      <w:bookmarkStart w:id="62" w:name="_Toc72750586"/>
      <w:r w:rsidRPr="001B0B74">
        <w:t>Outcome</w:t>
      </w:r>
      <w:bookmarkEnd w:id="60"/>
      <w:bookmarkEnd w:id="61"/>
      <w:bookmarkEnd w:id="62"/>
    </w:p>
    <w:p w14:paraId="032BAB4D" w14:textId="77777777" w:rsidR="00456765" w:rsidRPr="001B0B74" w:rsidRDefault="00456765" w:rsidP="00456765">
      <w:bookmarkStart w:id="63" w:name="_Toc247691533"/>
      <w:bookmarkStart w:id="64" w:name="_Toc314842517"/>
      <w:r w:rsidRPr="001B0B74">
        <w:t xml:space="preserve">The sponsor withdrew their submission on </w:t>
      </w:r>
      <w:r w:rsidR="000577C1" w:rsidRPr="001B0B74">
        <w:t>27 February 2021</w:t>
      </w:r>
      <w:r w:rsidRPr="001B0B74">
        <w:t xml:space="preserve"> before a decision had been made by the TGA.</w:t>
      </w:r>
    </w:p>
    <w:bookmarkEnd w:id="63"/>
    <w:bookmarkEnd w:id="64"/>
    <w:p w14:paraId="43F5F28F" w14:textId="77777777" w:rsidR="00C80137" w:rsidRPr="001B0B74" w:rsidRDefault="00C80137" w:rsidP="003A7F6C">
      <w:pPr>
        <w:pStyle w:val="TableTitle"/>
        <w:sectPr w:rsidR="00C80137" w:rsidRPr="001B0B74"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1B0B74" w14:paraId="0D9165AB" w14:textId="77777777" w:rsidTr="00A05FA4">
        <w:trPr>
          <w:trHeight w:hRule="exact" w:val="704"/>
        </w:trPr>
        <w:tc>
          <w:tcPr>
            <w:tcW w:w="9175" w:type="dxa"/>
          </w:tcPr>
          <w:p w14:paraId="4D674365" w14:textId="77777777" w:rsidR="001C32CD" w:rsidRPr="001B0B74" w:rsidRDefault="001C32CD" w:rsidP="00A05FA4">
            <w:pPr>
              <w:pStyle w:val="TGASignoff"/>
            </w:pPr>
            <w:r w:rsidRPr="001B0B74">
              <w:t>Therapeutic Goods Administration</w:t>
            </w:r>
          </w:p>
        </w:tc>
      </w:tr>
      <w:tr w:rsidR="001C32CD" w:rsidRPr="004C239D" w14:paraId="65A0D006" w14:textId="77777777" w:rsidTr="00A05FA4">
        <w:trPr>
          <w:trHeight w:val="1221"/>
        </w:trPr>
        <w:tc>
          <w:tcPr>
            <w:tcW w:w="9175" w:type="dxa"/>
            <w:tcMar>
              <w:top w:w="28" w:type="dxa"/>
            </w:tcMar>
          </w:tcPr>
          <w:p w14:paraId="1DF5FAC9" w14:textId="77777777" w:rsidR="001C32CD" w:rsidRPr="001B0B74" w:rsidRDefault="001C32CD" w:rsidP="00A05FA4">
            <w:pPr>
              <w:pStyle w:val="Address"/>
            </w:pPr>
            <w:r w:rsidRPr="001B0B74">
              <w:t>PO Box 100 Woden ACT 2606 Australia</w:t>
            </w:r>
          </w:p>
          <w:p w14:paraId="00A2A433" w14:textId="76C347C2" w:rsidR="001C32CD" w:rsidRPr="001B0B74" w:rsidRDefault="001C32CD" w:rsidP="00A05FA4">
            <w:pPr>
              <w:pStyle w:val="Address"/>
            </w:pPr>
            <w:r w:rsidRPr="001B0B74">
              <w:t xml:space="preserve">Email: </w:t>
            </w:r>
            <w:hyperlink r:id="rId29" w:history="1">
              <w:r w:rsidRPr="001B0B74">
                <w:rPr>
                  <w:rStyle w:val="Hyperlink"/>
                </w:rPr>
                <w:t>info@tga.gov.au</w:t>
              </w:r>
            </w:hyperlink>
            <w:r w:rsidRPr="001B0B74">
              <w:t xml:space="preserve">  Phone: 1800 020 653  Fax: 02 6232 8605</w:t>
            </w:r>
          </w:p>
          <w:p w14:paraId="7A81EE53" w14:textId="3CA4CBC6" w:rsidR="001C32CD" w:rsidRPr="004C239D" w:rsidRDefault="003E2223" w:rsidP="00A05FA4">
            <w:pPr>
              <w:pStyle w:val="Address"/>
              <w:spacing w:line="260" w:lineRule="atLeast"/>
              <w:rPr>
                <w:b/>
                <w:color w:val="0000FF"/>
                <w:u w:val="single"/>
              </w:rPr>
            </w:pPr>
            <w:hyperlink r:id="rId30" w:history="1">
              <w:r w:rsidR="007C6B9B" w:rsidRPr="001B0B74">
                <w:rPr>
                  <w:rStyle w:val="Hyperlink"/>
                  <w:b/>
                </w:rPr>
                <w:t>https://www.tga.gov.au</w:t>
              </w:r>
            </w:hyperlink>
          </w:p>
        </w:tc>
      </w:tr>
    </w:tbl>
    <w:p w14:paraId="655974E2" w14:textId="77777777" w:rsidR="00774E1D" w:rsidRPr="008A5E0B" w:rsidRDefault="00774E1D" w:rsidP="004C239D"/>
    <w:sectPr w:rsidR="00774E1D" w:rsidRPr="008A5E0B"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A7E614" w16cid:durableId="2423FD3E"/>
  <w16cid:commentId w16cid:paraId="7D7E9EFA" w16cid:durableId="2423F8B4"/>
  <w16cid:commentId w16cid:paraId="7EAE7236" w16cid:durableId="2433FC1D"/>
  <w16cid:commentId w16cid:paraId="6BCF82C1" w16cid:durableId="2433F813"/>
  <w16cid:commentId w16cid:paraId="0AA55E42" w16cid:durableId="2433F857"/>
  <w16cid:commentId w16cid:paraId="05174A46" w16cid:durableId="2433FAE7"/>
  <w16cid:commentId w16cid:paraId="63A26208" w16cid:durableId="2423FD7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38780" w14:textId="77777777" w:rsidR="00590E68" w:rsidRDefault="00590E68" w:rsidP="00C40A36">
      <w:pPr>
        <w:spacing w:after="0"/>
      </w:pPr>
      <w:r>
        <w:separator/>
      </w:r>
    </w:p>
  </w:endnote>
  <w:endnote w:type="continuationSeparator" w:id="0">
    <w:p w14:paraId="29717EDC" w14:textId="77777777" w:rsidR="00590E68" w:rsidRDefault="00590E6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MS Minngs">
    <w:altName w:val="Arial Unicode MS"/>
    <w:panose1 w:val="00000000000000000000"/>
    <w:charset w:val="80"/>
    <w:family w:val="roman"/>
    <w:notTrueType/>
    <w:pitch w:val="fixed"/>
    <w:sig w:usb0="00000001" w:usb1="08070000" w:usb2="00000010" w:usb3="00000000" w:csb0="0002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3B44E" w14:textId="77777777" w:rsidR="00C623F1" w:rsidRDefault="00C623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90E68" w:rsidRPr="00487162" w14:paraId="69BC50F8" w14:textId="77777777" w:rsidTr="00DB750B">
      <w:trPr>
        <w:trHeight w:val="269"/>
      </w:trPr>
      <w:tc>
        <w:tcPr>
          <w:tcW w:w="7371" w:type="dxa"/>
          <w:tcMar>
            <w:top w:w="142" w:type="dxa"/>
            <w:bottom w:w="0" w:type="dxa"/>
          </w:tcMar>
        </w:tcPr>
        <w:p w14:paraId="2696153B" w14:textId="5E39453C" w:rsidR="00590E68" w:rsidRPr="00487162" w:rsidRDefault="00590E68" w:rsidP="00127922">
          <w:pPr>
            <w:pStyle w:val="Footer"/>
          </w:pPr>
          <w:r w:rsidRPr="00487162">
            <w:t>AusPA</w:t>
          </w:r>
          <w:r>
            <w:t xml:space="preserve">R - </w:t>
          </w:r>
          <w:r w:rsidRPr="00131434">
            <w:t xml:space="preserve">Jyseleca </w:t>
          </w:r>
          <w:r w:rsidRPr="00460036">
            <w:t xml:space="preserve">– </w:t>
          </w:r>
          <w:r w:rsidRPr="00131434">
            <w:t xml:space="preserve">filgotinib maleate </w:t>
          </w:r>
          <w:r>
            <w:t xml:space="preserve">- </w:t>
          </w:r>
          <w:r w:rsidRPr="00131434">
            <w:t xml:space="preserve">Gilead Sciences Pty Ltd </w:t>
          </w:r>
          <w:r>
            <w:t xml:space="preserve">- </w:t>
          </w:r>
          <w:r w:rsidRPr="00131434">
            <w:t>PM-2020-00153-1-3</w:t>
          </w:r>
          <w:r>
            <w:br/>
          </w:r>
          <w:r w:rsidR="00FC5C1C">
            <w:t>FINAL 12</w:t>
          </w:r>
          <w:r>
            <w:t xml:space="preserve"> May 2021</w:t>
          </w:r>
        </w:p>
      </w:tc>
      <w:tc>
        <w:tcPr>
          <w:tcW w:w="1490" w:type="dxa"/>
          <w:tcMar>
            <w:top w:w="142" w:type="dxa"/>
            <w:bottom w:w="0" w:type="dxa"/>
          </w:tcMar>
        </w:tcPr>
        <w:p w14:paraId="66B931E7" w14:textId="40CE4C92" w:rsidR="00590E68" w:rsidRPr="00487162" w:rsidRDefault="00590E68" w:rsidP="00DB750B">
          <w:pPr>
            <w:pStyle w:val="Footer"/>
            <w:jc w:val="right"/>
          </w:pPr>
          <w:r w:rsidRPr="00487162">
            <w:t xml:space="preserve">Page </w:t>
          </w:r>
          <w:r>
            <w:fldChar w:fldCharType="begin"/>
          </w:r>
          <w:r>
            <w:instrText xml:space="preserve"> PAGE  \* Arabic </w:instrText>
          </w:r>
          <w:r>
            <w:fldChar w:fldCharType="separate"/>
          </w:r>
          <w:r w:rsidR="003E2223">
            <w:rPr>
              <w:noProof/>
            </w:rPr>
            <w:t>12</w:t>
          </w:r>
          <w:r>
            <w:fldChar w:fldCharType="end"/>
          </w:r>
          <w:r w:rsidRPr="00487162">
            <w:t xml:space="preserve"> of </w:t>
          </w:r>
          <w:fldSimple w:instr=" NUMPAGES  \* Arabic ">
            <w:r w:rsidR="003E2223">
              <w:rPr>
                <w:noProof/>
              </w:rPr>
              <w:t>40</w:t>
            </w:r>
          </w:fldSimple>
        </w:p>
      </w:tc>
    </w:tr>
  </w:tbl>
  <w:p w14:paraId="787B2311" w14:textId="77777777" w:rsidR="00590E68" w:rsidRDefault="00590E68"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0613C" w14:textId="77777777" w:rsidR="00C623F1" w:rsidRDefault="00C623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90E68" w:rsidRPr="00487162" w14:paraId="44048DAF" w14:textId="77777777" w:rsidTr="00E45619">
      <w:trPr>
        <w:trHeight w:val="269"/>
      </w:trPr>
      <w:tc>
        <w:tcPr>
          <w:tcW w:w="4519" w:type="dxa"/>
          <w:tcBorders>
            <w:top w:val="single" w:sz="4" w:space="0" w:color="auto"/>
          </w:tcBorders>
          <w:tcMar>
            <w:top w:w="142" w:type="dxa"/>
            <w:bottom w:w="0" w:type="dxa"/>
          </w:tcMar>
        </w:tcPr>
        <w:p w14:paraId="37832BFC" w14:textId="77777777" w:rsidR="00590E68" w:rsidRPr="00487162" w:rsidRDefault="00590E68" w:rsidP="00FE1DEE">
          <w:pPr>
            <w:pStyle w:val="Footer"/>
          </w:pPr>
          <w:r w:rsidRPr="00487162">
            <w:t>Document title, Part #, Section # - Section title</w:t>
          </w:r>
        </w:p>
        <w:p w14:paraId="3E3B23A9" w14:textId="77777777" w:rsidR="00590E68" w:rsidRPr="00487162" w:rsidRDefault="00590E68" w:rsidP="00FE1DEE">
          <w:pPr>
            <w:pStyle w:val="Footer"/>
          </w:pPr>
          <w:r w:rsidRPr="00487162">
            <w:t>V1.0 October 2010</w:t>
          </w:r>
        </w:p>
      </w:tc>
      <w:tc>
        <w:tcPr>
          <w:tcW w:w="4342" w:type="dxa"/>
          <w:tcBorders>
            <w:top w:val="single" w:sz="4" w:space="0" w:color="auto"/>
          </w:tcBorders>
          <w:tcMar>
            <w:top w:w="142" w:type="dxa"/>
            <w:bottom w:w="0" w:type="dxa"/>
          </w:tcMar>
        </w:tcPr>
        <w:p w14:paraId="7DD3DE50" w14:textId="77777777" w:rsidR="00590E68" w:rsidRPr="00487162" w:rsidRDefault="00590E6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7DBC5EB1" w14:textId="77777777" w:rsidR="00590E68" w:rsidRDefault="00590E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A52E4" w14:textId="77777777" w:rsidR="00590E68" w:rsidRPr="001C32CD" w:rsidRDefault="00590E68"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90E68" w14:paraId="378ABC0D" w14:textId="77777777" w:rsidTr="0010601F">
      <w:trPr>
        <w:trHeight w:val="108"/>
      </w:trPr>
      <w:tc>
        <w:tcPr>
          <w:tcW w:w="8875" w:type="dxa"/>
          <w:gridSpan w:val="2"/>
          <w:tcBorders>
            <w:bottom w:val="single" w:sz="4" w:space="0" w:color="auto"/>
          </w:tcBorders>
          <w:tcMar>
            <w:right w:w="284" w:type="dxa"/>
          </w:tcMar>
        </w:tcPr>
        <w:p w14:paraId="75DB9127" w14:textId="77777777" w:rsidR="00590E68" w:rsidRDefault="00590E68" w:rsidP="006E08B3">
          <w:pPr>
            <w:pStyle w:val="Heading3"/>
          </w:pPr>
          <w:r>
            <w:t>Copyright</w:t>
          </w:r>
        </w:p>
        <w:p w14:paraId="035C6DD9" w14:textId="77777777" w:rsidR="00590E68" w:rsidRDefault="00590E68" w:rsidP="006E08B3">
          <w:r>
            <w:rPr>
              <w:rFonts w:cs="Arial"/>
            </w:rPr>
            <w:t>©</w:t>
          </w:r>
          <w:r>
            <w:t xml:space="preserve"> Commonwealth of Australia [add year]</w:t>
          </w:r>
        </w:p>
        <w:p w14:paraId="0BEEC7DF" w14:textId="77777777" w:rsidR="00590E68" w:rsidRDefault="00590E68" w:rsidP="006E08B3"/>
        <w:p w14:paraId="627665AA" w14:textId="77777777" w:rsidR="00590E68" w:rsidRDefault="00590E6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732718AD" w14:textId="77777777" w:rsidR="00590E68" w:rsidRDefault="00590E68" w:rsidP="006E08B3"/>
        <w:p w14:paraId="3DEA9098" w14:textId="77777777" w:rsidR="00590E68" w:rsidRDefault="00590E68" w:rsidP="006E08B3">
          <w:pPr>
            <w:pStyle w:val="Heading3"/>
          </w:pPr>
          <w:r>
            <w:t>Confidentiality</w:t>
          </w:r>
        </w:p>
        <w:p w14:paraId="6AB9F8D9" w14:textId="77777777" w:rsidR="00590E68" w:rsidRDefault="00590E6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7B8C90AB" w14:textId="77777777" w:rsidR="00590E68" w:rsidRDefault="00590E68" w:rsidP="006E08B3"/>
        <w:p w14:paraId="5A96E947" w14:textId="77777777" w:rsidR="00590E68" w:rsidRDefault="00590E68" w:rsidP="006E08B3">
          <w:r>
            <w:t>For submission made by individuals, all personal details, other than your name, will be removed from your submission before it is published on the TGA’s Internet site.</w:t>
          </w:r>
        </w:p>
        <w:p w14:paraId="6A803E0E" w14:textId="77777777" w:rsidR="00590E68" w:rsidRDefault="00590E68" w:rsidP="006E08B3"/>
        <w:p w14:paraId="54D98330" w14:textId="77777777" w:rsidR="00590E68" w:rsidRDefault="00590E68" w:rsidP="006E08B3">
          <w:r>
            <w:t>In addition, a list of parties making submissions will be published. If you do not wish to be identified with your submission you must specifically request this in the space provided ib the submission coversheet.</w:t>
          </w:r>
        </w:p>
      </w:tc>
    </w:tr>
    <w:tr w:rsidR="00590E68" w14:paraId="3C4EC299" w14:textId="77777777" w:rsidTr="0010601F">
      <w:trPr>
        <w:trHeight w:val="417"/>
      </w:trPr>
      <w:tc>
        <w:tcPr>
          <w:tcW w:w="4519" w:type="dxa"/>
          <w:tcBorders>
            <w:top w:val="single" w:sz="4" w:space="0" w:color="auto"/>
          </w:tcBorders>
          <w:tcMar>
            <w:top w:w="142" w:type="dxa"/>
            <w:bottom w:w="0" w:type="dxa"/>
          </w:tcMar>
        </w:tcPr>
        <w:p w14:paraId="605D22FA" w14:textId="77777777" w:rsidR="00590E68" w:rsidRDefault="00590E68" w:rsidP="006E08B3">
          <w:r>
            <w:t>Document title, Part #, Section # - Section title</w:t>
          </w:r>
        </w:p>
        <w:p w14:paraId="7013AC01" w14:textId="77777777" w:rsidR="00590E68" w:rsidRDefault="00590E68" w:rsidP="006E08B3">
          <w:r>
            <w:t>V1.0 October 2010</w:t>
          </w:r>
        </w:p>
      </w:tc>
      <w:tc>
        <w:tcPr>
          <w:tcW w:w="4356" w:type="dxa"/>
          <w:tcBorders>
            <w:top w:val="single" w:sz="4" w:space="0" w:color="auto"/>
          </w:tcBorders>
          <w:tcMar>
            <w:top w:w="142" w:type="dxa"/>
            <w:bottom w:w="0" w:type="dxa"/>
          </w:tcMar>
        </w:tcPr>
        <w:p w14:paraId="3DBAA4BD" w14:textId="44667342" w:rsidR="00590E68" w:rsidRDefault="00590E68" w:rsidP="006E08B3">
          <w:pPr>
            <w:jc w:val="right"/>
          </w:pPr>
          <w:r>
            <w:t xml:space="preserve">Page </w:t>
          </w:r>
          <w:r>
            <w:fldChar w:fldCharType="begin"/>
          </w:r>
          <w:r>
            <w:instrText xml:space="preserve"> PAGE   \* MERGEFORMAT </w:instrText>
          </w:r>
          <w:r>
            <w:fldChar w:fldCharType="separate"/>
          </w:r>
          <w:r>
            <w:rPr>
              <w:noProof/>
            </w:rPr>
            <w:t>i</w:t>
          </w:r>
          <w:r>
            <w:rPr>
              <w:noProof/>
            </w:rPr>
            <w:fldChar w:fldCharType="end"/>
          </w:r>
          <w:r>
            <w:t xml:space="preserve"> of </w:t>
          </w:r>
          <w:fldSimple w:instr=" NUMPAGES  \* Arabic ">
            <w:r>
              <w:rPr>
                <w:noProof/>
              </w:rPr>
              <w:t>45</w:t>
            </w:r>
          </w:fldSimple>
          <w:r>
            <w:t xml:space="preserve">  </w:t>
          </w:r>
        </w:p>
      </w:tc>
    </w:tr>
  </w:tbl>
  <w:p w14:paraId="348C3C8D" w14:textId="77777777" w:rsidR="00590E68" w:rsidRDefault="00590E6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E78088" w14:textId="77777777" w:rsidR="00590E68" w:rsidRDefault="00590E68" w:rsidP="00C40A36">
      <w:pPr>
        <w:spacing w:after="0"/>
      </w:pPr>
      <w:r>
        <w:separator/>
      </w:r>
    </w:p>
  </w:footnote>
  <w:footnote w:type="continuationSeparator" w:id="0">
    <w:p w14:paraId="33657D24" w14:textId="77777777" w:rsidR="00590E68" w:rsidRDefault="00590E68" w:rsidP="00C40A36">
      <w:pPr>
        <w:spacing w:after="0"/>
      </w:pPr>
      <w:r>
        <w:continuationSeparator/>
      </w:r>
    </w:p>
  </w:footnote>
  <w:footnote w:id="1">
    <w:p w14:paraId="0823515F" w14:textId="77777777" w:rsidR="00590E68" w:rsidRDefault="00590E68">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70352DE6" w14:textId="15DC0F0C" w:rsidR="00590E68" w:rsidRDefault="00590E68">
      <w:pPr>
        <w:pStyle w:val="FootnoteText"/>
      </w:pPr>
      <w:r>
        <w:rPr>
          <w:rStyle w:val="FootnoteReference"/>
        </w:rPr>
        <w:footnoteRef/>
      </w:r>
      <w:r>
        <w:t xml:space="preserve"> </w:t>
      </w:r>
      <w:r w:rsidRPr="007B5AB9">
        <w:rPr>
          <w:b/>
        </w:rPr>
        <w:t>Complete response letter</w:t>
      </w:r>
      <w:r w:rsidRPr="001F2B70">
        <w:t>: The US FDA will send the applicant (the sponsor) a complete response letter if the agency determines that they will not approve the application or abbreviated application in its present form for one or more of the reasons given in § 314.125 [Refusal to approve an NDA [New Drug Application]] or §</w:t>
      </w:r>
      <w:r>
        <w:t> </w:t>
      </w:r>
      <w:r w:rsidRPr="001F2B70">
        <w:t>314.127 [Refusal to approve an ANDA [abbreviated new drug application]], respectively. After receiving a complete response letter, the applicant must take one of following actions: 1) resubmission; 2) withdrawal; or 3) request a hearing.</w:t>
      </w:r>
    </w:p>
  </w:footnote>
  <w:footnote w:id="3">
    <w:p w14:paraId="61D44A24" w14:textId="428B2044" w:rsidR="00590E68" w:rsidRDefault="00590E68">
      <w:pPr>
        <w:pStyle w:val="FootnoteText"/>
      </w:pPr>
      <w:r>
        <w:rPr>
          <w:rStyle w:val="FootnoteReference"/>
        </w:rPr>
        <w:footnoteRef/>
      </w:r>
      <w:r>
        <w:t xml:space="preserve"> </w:t>
      </w:r>
      <w:r w:rsidRPr="00265BF7">
        <w:t>The International Council for Harmonisation of Technical Requirements for Registration of Pharmaceuticals for Human Use (ICH) brings together regulatory authorities and the pharmaceutical industry. It makes recommendations towards achieving greater harmonisation in the interpretation and application of technical guidelines and requirements for pharmaceutical product registration.</w:t>
      </w:r>
    </w:p>
  </w:footnote>
  <w:footnote w:id="4">
    <w:p w14:paraId="04606CB4" w14:textId="7F4F937B" w:rsidR="00590E68" w:rsidRDefault="00590E68">
      <w:pPr>
        <w:pStyle w:val="FootnoteText"/>
      </w:pPr>
      <w:r>
        <w:rPr>
          <w:rStyle w:val="FootnoteReference"/>
        </w:rPr>
        <w:footnoteRef/>
      </w:r>
      <w:r>
        <w:t xml:space="preserve"> </w:t>
      </w:r>
      <w:r w:rsidRPr="005352BD">
        <w:t>EMA, CPMP, December 2009 ICH guideline M3 (R2) on Non-clinical Safety Studies for the Conduct of Human Clinical Trials and Marketing Authorisation for Pharmaceuticals. EMA/CPMP/ICH/286/1995.</w:t>
      </w:r>
    </w:p>
  </w:footnote>
  <w:footnote w:id="5">
    <w:p w14:paraId="0BEAD797" w14:textId="6F646679" w:rsidR="00590E68" w:rsidRDefault="00590E68">
      <w:pPr>
        <w:pStyle w:val="FootnoteText"/>
      </w:pPr>
      <w:r>
        <w:rPr>
          <w:rStyle w:val="FootnoteReference"/>
        </w:rPr>
        <w:footnoteRef/>
      </w:r>
      <w:r>
        <w:t xml:space="preserve"> </w:t>
      </w:r>
      <w:r w:rsidRPr="00265BF7">
        <w:t>Good Laboratory Practice is a code of standards following the International Council on Harmonisation (ICH) relevant to testing of medicines in laboratories during drug development.</w:t>
      </w:r>
    </w:p>
  </w:footnote>
  <w:footnote w:id="6">
    <w:p w14:paraId="08E2CC6A" w14:textId="297EE35A" w:rsidR="00590E68" w:rsidRDefault="00590E68" w:rsidP="007F336B">
      <w:pPr>
        <w:pStyle w:val="FootnoteText"/>
      </w:pPr>
      <w:r>
        <w:rPr>
          <w:rStyle w:val="FootnoteReference"/>
        </w:rPr>
        <w:footnoteRef/>
      </w:r>
      <w:r>
        <w:t xml:space="preserve"> The QT interval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2FA397BC" w14:textId="7FC8A8B0" w:rsidR="00590E68" w:rsidRDefault="00590E68" w:rsidP="007F336B">
      <w:pPr>
        <w:pStyle w:val="FootnoteText"/>
      </w:pPr>
      <w:r>
        <w:t>The corrected QT interval (QTc) estimates the QT interval at a standard heart rate. This allows comparison of QT values over time at different heart rates and improves detection of patients at increased risk of arrhythmias.</w:t>
      </w:r>
    </w:p>
  </w:footnote>
  <w:footnote w:id="7">
    <w:p w14:paraId="231590C3" w14:textId="0421B664" w:rsidR="00590E68" w:rsidRDefault="00590E68">
      <w:pPr>
        <w:pStyle w:val="FootnoteText"/>
      </w:pPr>
      <w:r>
        <w:rPr>
          <w:rStyle w:val="FootnoteReference"/>
        </w:rPr>
        <w:footnoteRef/>
      </w:r>
      <w:r>
        <w:t xml:space="preserve"> </w:t>
      </w:r>
      <w:r w:rsidRPr="00265BF7">
        <w:t xml:space="preserve">The </w:t>
      </w:r>
      <w:r w:rsidRPr="00265BF7">
        <w:rPr>
          <w:b/>
        </w:rPr>
        <w:t>Child-Pugh score</w:t>
      </w:r>
      <w:r w:rsidRPr="00265BF7">
        <w:t xml:space="preserve"> is used to assess the prognosis of chronic liver disease. The score employs five clinical measures of liver disease. Each measure is scored 1 to 3, with 3 indicating most severe derangement. Class A: 5 to 6 points, least severe liver disease, one to five year survival rate of 95%. Class B: 7 to 9 points, moderately severe liver disease, one to five year survival of 75%. Class C: 10 to 15 points, most severe liver disease, 1 to 5 year survival rate 50%.</w:t>
      </w:r>
    </w:p>
  </w:footnote>
  <w:footnote w:id="8">
    <w:p w14:paraId="4EE34DF2" w14:textId="466C3D63" w:rsidR="00590E68" w:rsidRDefault="00590E68">
      <w:pPr>
        <w:pStyle w:val="FootnoteText"/>
      </w:pPr>
      <w:r>
        <w:rPr>
          <w:rStyle w:val="FootnoteReference"/>
        </w:rPr>
        <w:footnoteRef/>
      </w:r>
      <w:r>
        <w:t xml:space="preserve"> </w:t>
      </w:r>
      <w:r w:rsidRPr="00265BF7">
        <w:t>EULAR response criteria = The European League against Rheumatism (EULAR) response criteria are based on the assessment of disease activity using the Disease Activity Score (DAS), a statistically-derived index consisting of number of tender joints, number of swollen joints, erythrocyte sedimentation rate, and global disease activity.</w:t>
      </w:r>
    </w:p>
  </w:footnote>
  <w:footnote w:id="9">
    <w:p w14:paraId="29667012" w14:textId="1041C6E5" w:rsidR="00590E68" w:rsidRDefault="00590E68">
      <w:pPr>
        <w:pStyle w:val="FootnoteText"/>
      </w:pPr>
      <w:r>
        <w:rPr>
          <w:rStyle w:val="FootnoteReference"/>
        </w:rPr>
        <w:footnoteRef/>
      </w:r>
      <w:r>
        <w:t xml:space="preserve"> </w:t>
      </w:r>
      <w:r w:rsidRPr="00124B33">
        <w:t>The ACR (American College of Rheumatology) criteria are a standardised measure of disease improvement widely used in rheumatology trials, but less so clinically. The ACR20 is a composite measure defined as both improvement of 20% in the number of tender and number of swollen joints, and a 20% improvement in three of the following five criteria: patient global assessment, physician global assessment, a patient functional ability measure (most often the Health Assessment Questionnaire (HAQ), Visual Analog Scale (VAS) for Pain, and erythrocyte sedimentation rate (ESR) or C-reactive protein (CRP</w:t>
      </w:r>
      <w:r>
        <w:t>).</w:t>
      </w:r>
    </w:p>
  </w:footnote>
  <w:footnote w:id="10">
    <w:p w14:paraId="457DB54F" w14:textId="342117DC" w:rsidR="00590E68" w:rsidRDefault="00590E68">
      <w:pPr>
        <w:pStyle w:val="FootnoteText"/>
      </w:pPr>
      <w:r>
        <w:rPr>
          <w:rStyle w:val="FootnoteReference"/>
        </w:rPr>
        <w:footnoteRef/>
      </w:r>
      <w:r>
        <w:t xml:space="preserve"> </w:t>
      </w:r>
      <w:r w:rsidRPr="00265BF7">
        <w:t>The Disease Activity Score 28 (DAS28) is a system developed and validated by the European League Against Rheumatism (EULAR) to measure the progress and improvement of rheumatoid arthritis. Calculation of a DAS28 score involves the combination of an examination of 28 specified joints for tenderness upon touching and swelling, the erythrocyte sedimentation rate (ESR) via blood sample, and the patient’s subjective assessment of disease activity during the preceding 7 days on a scale between 0 (‘no activity’)and 100 (‘highest activity possible’. DAS28 is often used in clinical trials for the development of rheumatoid arthritis (RA). DAS28 values range from 2.0 to 10.0; higher values mean a higher disease activity.</w:t>
      </w:r>
    </w:p>
  </w:footnote>
  <w:footnote w:id="11">
    <w:p w14:paraId="483A481C" w14:textId="2A6DC1EB" w:rsidR="00590E68" w:rsidRDefault="00590E68">
      <w:pPr>
        <w:pStyle w:val="FootnoteText"/>
      </w:pPr>
      <w:r>
        <w:rPr>
          <w:rStyle w:val="FootnoteReference"/>
        </w:rPr>
        <w:footnoteRef/>
      </w:r>
      <w:r>
        <w:t xml:space="preserve"> </w:t>
      </w:r>
      <w:r w:rsidRPr="004F127C">
        <w:t>The information is beyond the scope of this AusPAR.</w:t>
      </w:r>
    </w:p>
  </w:footnote>
  <w:footnote w:id="12">
    <w:p w14:paraId="4DF55E30" w14:textId="77777777" w:rsidR="00590E68" w:rsidRDefault="00590E68"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592B2583" w14:textId="77777777" w:rsidR="00590E68" w:rsidRDefault="00590E68" w:rsidP="007D53B6">
      <w:pPr>
        <w:pStyle w:val="FootnoteText"/>
      </w:pPr>
      <w:r w:rsidRPr="007D53B6">
        <w:rPr>
          <w:i/>
        </w:rPr>
        <w:t>Routine pharmacovigilance</w:t>
      </w:r>
      <w:r>
        <w:t xml:space="preserve"> practices involve the following activities:</w:t>
      </w:r>
    </w:p>
    <w:p w14:paraId="674AF6C4" w14:textId="77777777" w:rsidR="00590E68" w:rsidRDefault="00590E68" w:rsidP="007D53B6">
      <w:pPr>
        <w:pStyle w:val="FootnoteText"/>
        <w:numPr>
          <w:ilvl w:val="0"/>
          <w:numId w:val="32"/>
        </w:numPr>
        <w:ind w:left="284" w:hanging="284"/>
      </w:pPr>
      <w:r>
        <w:t>All suspected adverse reactions that are reported to the personnel of the company are collected and collated in an accessible manner;</w:t>
      </w:r>
    </w:p>
    <w:p w14:paraId="41E9B7C9" w14:textId="77777777" w:rsidR="00590E68" w:rsidRDefault="00590E68" w:rsidP="007D53B6">
      <w:pPr>
        <w:pStyle w:val="FootnoteText"/>
        <w:numPr>
          <w:ilvl w:val="0"/>
          <w:numId w:val="32"/>
        </w:numPr>
        <w:ind w:left="284" w:hanging="284"/>
      </w:pPr>
      <w:r>
        <w:t>Reporting to regulatory authorities;</w:t>
      </w:r>
    </w:p>
    <w:p w14:paraId="3E3C7A27" w14:textId="77777777" w:rsidR="00590E68" w:rsidRDefault="00590E68" w:rsidP="007D53B6">
      <w:pPr>
        <w:pStyle w:val="FootnoteText"/>
        <w:numPr>
          <w:ilvl w:val="0"/>
          <w:numId w:val="32"/>
        </w:numPr>
        <w:ind w:left="284" w:hanging="284"/>
      </w:pPr>
      <w:r>
        <w:t>Continuous monitoring of the safety profiles of approved products including signal detection and updating of labelling;</w:t>
      </w:r>
    </w:p>
    <w:p w14:paraId="312705BB" w14:textId="77777777" w:rsidR="00590E68" w:rsidRDefault="00590E68" w:rsidP="007D53B6">
      <w:pPr>
        <w:pStyle w:val="FootnoteText"/>
        <w:numPr>
          <w:ilvl w:val="0"/>
          <w:numId w:val="32"/>
        </w:numPr>
        <w:ind w:left="284" w:hanging="284"/>
      </w:pPr>
      <w:r>
        <w:t>Submission of PSURs;</w:t>
      </w:r>
    </w:p>
    <w:p w14:paraId="4113AF6D" w14:textId="77777777" w:rsidR="00590E68" w:rsidRDefault="00590E68" w:rsidP="007D53B6">
      <w:pPr>
        <w:pStyle w:val="FootnoteText"/>
        <w:numPr>
          <w:ilvl w:val="0"/>
          <w:numId w:val="32"/>
        </w:numPr>
        <w:ind w:left="284" w:hanging="284"/>
      </w:pPr>
      <w:r>
        <w:t>Meeting other local regulatory agency requirements.</w:t>
      </w:r>
    </w:p>
  </w:footnote>
  <w:footnote w:id="13">
    <w:p w14:paraId="1B02074F" w14:textId="765A55AB" w:rsidR="00590E68" w:rsidRDefault="00590E68">
      <w:pPr>
        <w:pStyle w:val="FootnoteText"/>
      </w:pPr>
      <w:r>
        <w:rPr>
          <w:rStyle w:val="FootnoteReference"/>
        </w:rPr>
        <w:footnoteRef/>
      </w:r>
      <w:r>
        <w:t xml:space="preserve"> </w:t>
      </w:r>
      <w:r w:rsidRPr="00947D39">
        <w:t>EMA, European Public Assessment Report (EPAR), Jyseleca (filgotinib), EMA/424374/2020, 23 July 2020. Available from the EMA website.</w:t>
      </w:r>
    </w:p>
  </w:footnote>
  <w:footnote w:id="14">
    <w:p w14:paraId="7149605B" w14:textId="0448EC29" w:rsidR="00590E68" w:rsidRDefault="00590E68">
      <w:pPr>
        <w:pStyle w:val="FootnoteText"/>
      </w:pPr>
      <w:r>
        <w:rPr>
          <w:rStyle w:val="FootnoteReference"/>
        </w:rPr>
        <w:footnoteRef/>
      </w:r>
      <w:r>
        <w:t xml:space="preserve"> </w:t>
      </w:r>
      <w:r w:rsidRPr="005352BD">
        <w:t>EMA, CHMP, 17 December 2015. Guideline on the Evaluation of the Pharmacokinetics of Medicinal Products in Patients with Decreased Renal Function. EMA/CHMP/83874/2014.</w:t>
      </w:r>
    </w:p>
  </w:footnote>
  <w:footnote w:id="15">
    <w:p w14:paraId="10B74A58" w14:textId="77777777" w:rsidR="00590E68" w:rsidRPr="00C87B04" w:rsidRDefault="00590E68" w:rsidP="00A369E8">
      <w:pPr>
        <w:pStyle w:val="FootnoteText"/>
      </w:pPr>
      <w:r>
        <w:rPr>
          <w:rStyle w:val="FootnoteReference"/>
        </w:rPr>
        <w:footnoteRef/>
      </w:r>
      <w:r>
        <w:t xml:space="preserve"> Choy EH (2019) Clinical significance of Janus Kinase inhibitor selectivity </w:t>
      </w:r>
      <w:r>
        <w:rPr>
          <w:i/>
        </w:rPr>
        <w:t xml:space="preserve">Rheumatology </w:t>
      </w:r>
      <w:r>
        <w:t>58:953-62</w:t>
      </w:r>
    </w:p>
  </w:footnote>
  <w:footnote w:id="16">
    <w:p w14:paraId="7893144D" w14:textId="77777777" w:rsidR="00590E68" w:rsidRDefault="00590E68"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3D7EBBD1" w14:textId="77777777" w:rsidR="00590E68" w:rsidRPr="00456765" w:rsidRDefault="00590E68"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 w:id="17">
    <w:p w14:paraId="17622025" w14:textId="09D79FA2" w:rsidR="00590E68" w:rsidRDefault="00590E68">
      <w:pPr>
        <w:pStyle w:val="FootnoteText"/>
      </w:pPr>
      <w:r>
        <w:rPr>
          <w:rStyle w:val="FootnoteReference"/>
        </w:rPr>
        <w:footnoteRef/>
      </w:r>
      <w:r>
        <w:t xml:space="preserve"> </w:t>
      </w:r>
      <w:r w:rsidRPr="00A734E4">
        <w:t>Not included in this AusPAR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923AB" w14:textId="77777777" w:rsidR="00C623F1" w:rsidRDefault="00C623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7577E" w14:textId="77777777" w:rsidR="00590E68" w:rsidRDefault="00590E68"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F3470" w14:textId="77777777" w:rsidR="00590E68" w:rsidRDefault="00590E68">
    <w:pPr>
      <w:rPr>
        <w:noProof/>
        <w:lang w:eastAsia="en-AU"/>
      </w:rPr>
    </w:pPr>
    <w:r w:rsidRPr="00347824">
      <w:rPr>
        <w:noProof/>
        <w:lang w:eastAsia="en-AU"/>
      </w:rPr>
      <w:drawing>
        <wp:anchor distT="0" distB="0" distL="114300" distR="114300" simplePos="0" relativeHeight="251659264" behindDoc="1" locked="0" layoutInCell="1" allowOverlap="1" wp14:anchorId="15AA8589" wp14:editId="49D193E3">
          <wp:simplePos x="0" y="0"/>
          <wp:positionH relativeFrom="column">
            <wp:posOffset>-1089660</wp:posOffset>
          </wp:positionH>
          <wp:positionV relativeFrom="paragraph">
            <wp:posOffset>-585470</wp:posOffset>
          </wp:positionV>
          <wp:extent cx="7572375" cy="10706100"/>
          <wp:effectExtent l="19050" t="0" r="0" b="0"/>
          <wp:wrapNone/>
          <wp:docPr id="10"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45BA03B" w14:textId="77777777" w:rsidR="00590E68" w:rsidRDefault="00590E68"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3B85F" w14:textId="77777777" w:rsidR="00590E68" w:rsidRDefault="00590E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E037B" w14:textId="77777777" w:rsidR="00590E68" w:rsidRDefault="00590E6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15068" w14:textId="77777777" w:rsidR="00590E68" w:rsidRDefault="00590E68">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49BB92" w14:textId="77777777" w:rsidR="00590E68" w:rsidRDefault="00590E6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7710D" w14:textId="77777777" w:rsidR="00590E68" w:rsidRDefault="00590E68"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B1A58" w14:textId="77777777" w:rsidR="00590E68" w:rsidRDefault="00590E68" w:rsidP="006E08B3">
    <w:r>
      <w:t>Therapeutic Goods Administration</w:t>
    </w:r>
  </w:p>
  <w:p w14:paraId="5CBE8998" w14:textId="77777777" w:rsidR="00590E68" w:rsidRDefault="00590E68"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DD72DA1E"/>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00234A"/>
    <w:multiLevelType w:val="hybridMultilevel"/>
    <w:tmpl w:val="C576E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51C6AAC4"/>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01BCF97E"/>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21951253"/>
    <w:multiLevelType w:val="multilevel"/>
    <w:tmpl w:val="81CE5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136674"/>
    <w:multiLevelType w:val="hybridMultilevel"/>
    <w:tmpl w:val="71FAF5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CA63B81"/>
    <w:multiLevelType w:val="hybridMultilevel"/>
    <w:tmpl w:val="CE74B0D4"/>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DC4149C"/>
    <w:multiLevelType w:val="hybridMultilevel"/>
    <w:tmpl w:val="1D3CF0C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4"/>
  </w:num>
  <w:num w:numId="28">
    <w:abstractNumId w:val="16"/>
  </w:num>
  <w:num w:numId="29">
    <w:abstractNumId w:val="8"/>
  </w:num>
  <w:num w:numId="30">
    <w:abstractNumId w:val="12"/>
  </w:num>
  <w:num w:numId="31">
    <w:abstractNumId w:val="4"/>
  </w:num>
  <w:num w:numId="32">
    <w:abstractNumId w:val="15"/>
  </w:num>
  <w:num w:numId="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
  </w:num>
  <w:num w:numId="35">
    <w:abstractNumId w:val="10"/>
  </w:num>
  <w:num w:numId="36">
    <w:abstractNumId w:val="13"/>
  </w:num>
  <w:num w:numId="37">
    <w:abstractNumId w:val="11"/>
  </w:num>
  <w:num w:numId="38">
    <w:abstractNumId w:val="5"/>
  </w:num>
  <w:num w:numId="39">
    <w:abstractNumId w:val="18"/>
  </w:num>
  <w:num w:numId="40">
    <w:abstractNumId w:val="17"/>
  </w:num>
  <w:num w:numId="4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434"/>
    <w:rsid w:val="00002031"/>
    <w:rsid w:val="00004734"/>
    <w:rsid w:val="00006B22"/>
    <w:rsid w:val="00006B2C"/>
    <w:rsid w:val="00006FAB"/>
    <w:rsid w:val="0001276A"/>
    <w:rsid w:val="00020797"/>
    <w:rsid w:val="0002465E"/>
    <w:rsid w:val="000246AE"/>
    <w:rsid w:val="00025C67"/>
    <w:rsid w:val="00035334"/>
    <w:rsid w:val="00044772"/>
    <w:rsid w:val="0004541C"/>
    <w:rsid w:val="0005559E"/>
    <w:rsid w:val="00056A3B"/>
    <w:rsid w:val="00056DBE"/>
    <w:rsid w:val="000577C1"/>
    <w:rsid w:val="000604D6"/>
    <w:rsid w:val="000713C0"/>
    <w:rsid w:val="000734D8"/>
    <w:rsid w:val="00077775"/>
    <w:rsid w:val="00084695"/>
    <w:rsid w:val="00087FD2"/>
    <w:rsid w:val="00090471"/>
    <w:rsid w:val="000913DA"/>
    <w:rsid w:val="00096AA7"/>
    <w:rsid w:val="000A1C1B"/>
    <w:rsid w:val="000A3AED"/>
    <w:rsid w:val="000A4E44"/>
    <w:rsid w:val="000A580F"/>
    <w:rsid w:val="000A729F"/>
    <w:rsid w:val="000B33F0"/>
    <w:rsid w:val="000B3532"/>
    <w:rsid w:val="000B3A75"/>
    <w:rsid w:val="000B7FB8"/>
    <w:rsid w:val="000B7FEE"/>
    <w:rsid w:val="000C00C2"/>
    <w:rsid w:val="000C5407"/>
    <w:rsid w:val="000C690F"/>
    <w:rsid w:val="000D1295"/>
    <w:rsid w:val="000D314F"/>
    <w:rsid w:val="000D391B"/>
    <w:rsid w:val="000D3D6D"/>
    <w:rsid w:val="000D4FC7"/>
    <w:rsid w:val="000D719D"/>
    <w:rsid w:val="000E6196"/>
    <w:rsid w:val="000E75D5"/>
    <w:rsid w:val="000E78D2"/>
    <w:rsid w:val="000F24A6"/>
    <w:rsid w:val="000F4869"/>
    <w:rsid w:val="000F5B42"/>
    <w:rsid w:val="000F5E69"/>
    <w:rsid w:val="000F6E6F"/>
    <w:rsid w:val="00102497"/>
    <w:rsid w:val="00103EEB"/>
    <w:rsid w:val="0010601F"/>
    <w:rsid w:val="0010788A"/>
    <w:rsid w:val="00107A31"/>
    <w:rsid w:val="00110EA5"/>
    <w:rsid w:val="00112F56"/>
    <w:rsid w:val="001207B8"/>
    <w:rsid w:val="00122C2E"/>
    <w:rsid w:val="00123D23"/>
    <w:rsid w:val="00124ACD"/>
    <w:rsid w:val="00124B33"/>
    <w:rsid w:val="00125318"/>
    <w:rsid w:val="00127922"/>
    <w:rsid w:val="001305A2"/>
    <w:rsid w:val="00131434"/>
    <w:rsid w:val="00133238"/>
    <w:rsid w:val="00133A1B"/>
    <w:rsid w:val="00134D44"/>
    <w:rsid w:val="001412AE"/>
    <w:rsid w:val="0014197B"/>
    <w:rsid w:val="00143D3D"/>
    <w:rsid w:val="001447CD"/>
    <w:rsid w:val="00146DD2"/>
    <w:rsid w:val="0014765B"/>
    <w:rsid w:val="001510F4"/>
    <w:rsid w:val="001516B1"/>
    <w:rsid w:val="00151F6F"/>
    <w:rsid w:val="00154EBB"/>
    <w:rsid w:val="00155455"/>
    <w:rsid w:val="00156316"/>
    <w:rsid w:val="00161181"/>
    <w:rsid w:val="00162D14"/>
    <w:rsid w:val="00163165"/>
    <w:rsid w:val="00163376"/>
    <w:rsid w:val="00163780"/>
    <w:rsid w:val="00165389"/>
    <w:rsid w:val="0017693F"/>
    <w:rsid w:val="00176F61"/>
    <w:rsid w:val="0018110E"/>
    <w:rsid w:val="00181684"/>
    <w:rsid w:val="00182528"/>
    <w:rsid w:val="001843C6"/>
    <w:rsid w:val="001850E0"/>
    <w:rsid w:val="0019195C"/>
    <w:rsid w:val="001A03AF"/>
    <w:rsid w:val="001A2158"/>
    <w:rsid w:val="001A525F"/>
    <w:rsid w:val="001A7BAE"/>
    <w:rsid w:val="001B09F9"/>
    <w:rsid w:val="001B0B74"/>
    <w:rsid w:val="001B17B2"/>
    <w:rsid w:val="001B5C90"/>
    <w:rsid w:val="001B6448"/>
    <w:rsid w:val="001B78D7"/>
    <w:rsid w:val="001C1A52"/>
    <w:rsid w:val="001C32CD"/>
    <w:rsid w:val="001D2984"/>
    <w:rsid w:val="001D6217"/>
    <w:rsid w:val="001D6A79"/>
    <w:rsid w:val="001E07CF"/>
    <w:rsid w:val="001E4E4F"/>
    <w:rsid w:val="001E59F1"/>
    <w:rsid w:val="001F05E2"/>
    <w:rsid w:val="001F2B70"/>
    <w:rsid w:val="001F2CEE"/>
    <w:rsid w:val="001F49EB"/>
    <w:rsid w:val="001F6CBA"/>
    <w:rsid w:val="002006C3"/>
    <w:rsid w:val="00201D4E"/>
    <w:rsid w:val="002048E1"/>
    <w:rsid w:val="002076C9"/>
    <w:rsid w:val="00220B8A"/>
    <w:rsid w:val="002257F3"/>
    <w:rsid w:val="00233456"/>
    <w:rsid w:val="002339A5"/>
    <w:rsid w:val="00245FD1"/>
    <w:rsid w:val="00250271"/>
    <w:rsid w:val="00257848"/>
    <w:rsid w:val="002578E8"/>
    <w:rsid w:val="00260BC2"/>
    <w:rsid w:val="0026413C"/>
    <w:rsid w:val="00265BF7"/>
    <w:rsid w:val="00270732"/>
    <w:rsid w:val="0027084A"/>
    <w:rsid w:val="002714DC"/>
    <w:rsid w:val="00274A3D"/>
    <w:rsid w:val="00277252"/>
    <w:rsid w:val="00280265"/>
    <w:rsid w:val="00286434"/>
    <w:rsid w:val="00286710"/>
    <w:rsid w:val="00286C59"/>
    <w:rsid w:val="00287FF8"/>
    <w:rsid w:val="00291957"/>
    <w:rsid w:val="002942D1"/>
    <w:rsid w:val="0029501A"/>
    <w:rsid w:val="002A3721"/>
    <w:rsid w:val="002B1638"/>
    <w:rsid w:val="002B3624"/>
    <w:rsid w:val="002B731A"/>
    <w:rsid w:val="002C6ABC"/>
    <w:rsid w:val="002D0952"/>
    <w:rsid w:val="002D2DD4"/>
    <w:rsid w:val="002D6ED4"/>
    <w:rsid w:val="002E40B3"/>
    <w:rsid w:val="002E4B5F"/>
    <w:rsid w:val="002E4C9A"/>
    <w:rsid w:val="002F11F8"/>
    <w:rsid w:val="002F3F56"/>
    <w:rsid w:val="002F44B5"/>
    <w:rsid w:val="002F5122"/>
    <w:rsid w:val="002F6EB1"/>
    <w:rsid w:val="003109E1"/>
    <w:rsid w:val="00311AC0"/>
    <w:rsid w:val="00315AC0"/>
    <w:rsid w:val="00317584"/>
    <w:rsid w:val="003176FC"/>
    <w:rsid w:val="00321F52"/>
    <w:rsid w:val="00324E45"/>
    <w:rsid w:val="0032583B"/>
    <w:rsid w:val="00327883"/>
    <w:rsid w:val="00327AD3"/>
    <w:rsid w:val="00330B2B"/>
    <w:rsid w:val="00332035"/>
    <w:rsid w:val="00335504"/>
    <w:rsid w:val="00340C18"/>
    <w:rsid w:val="003419B0"/>
    <w:rsid w:val="0034361C"/>
    <w:rsid w:val="003442FD"/>
    <w:rsid w:val="00347824"/>
    <w:rsid w:val="00350567"/>
    <w:rsid w:val="003521E8"/>
    <w:rsid w:val="00354F91"/>
    <w:rsid w:val="003655E9"/>
    <w:rsid w:val="00365F67"/>
    <w:rsid w:val="00370CE3"/>
    <w:rsid w:val="003728F3"/>
    <w:rsid w:val="003735BC"/>
    <w:rsid w:val="0037496E"/>
    <w:rsid w:val="003759EE"/>
    <w:rsid w:val="00383221"/>
    <w:rsid w:val="00386150"/>
    <w:rsid w:val="003874CE"/>
    <w:rsid w:val="00390900"/>
    <w:rsid w:val="003A57FD"/>
    <w:rsid w:val="003A7F6C"/>
    <w:rsid w:val="003B4D60"/>
    <w:rsid w:val="003B7E39"/>
    <w:rsid w:val="003C483D"/>
    <w:rsid w:val="003C5765"/>
    <w:rsid w:val="003C58DC"/>
    <w:rsid w:val="003C7D20"/>
    <w:rsid w:val="003D1E62"/>
    <w:rsid w:val="003D248B"/>
    <w:rsid w:val="003E0B99"/>
    <w:rsid w:val="003E2223"/>
    <w:rsid w:val="003E2486"/>
    <w:rsid w:val="003E3208"/>
    <w:rsid w:val="003E41AD"/>
    <w:rsid w:val="003F0B04"/>
    <w:rsid w:val="0040078F"/>
    <w:rsid w:val="0040134E"/>
    <w:rsid w:val="00412BA4"/>
    <w:rsid w:val="00420B6F"/>
    <w:rsid w:val="00420F96"/>
    <w:rsid w:val="004334C7"/>
    <w:rsid w:val="00434630"/>
    <w:rsid w:val="00440A2D"/>
    <w:rsid w:val="00441C3F"/>
    <w:rsid w:val="004421D6"/>
    <w:rsid w:val="00444D1A"/>
    <w:rsid w:val="0045186A"/>
    <w:rsid w:val="004564A7"/>
    <w:rsid w:val="00456765"/>
    <w:rsid w:val="00460036"/>
    <w:rsid w:val="00460D3A"/>
    <w:rsid w:val="004617BF"/>
    <w:rsid w:val="00463658"/>
    <w:rsid w:val="004637A0"/>
    <w:rsid w:val="004640B7"/>
    <w:rsid w:val="004722CC"/>
    <w:rsid w:val="00473E49"/>
    <w:rsid w:val="00482B27"/>
    <w:rsid w:val="00483CFD"/>
    <w:rsid w:val="00490483"/>
    <w:rsid w:val="0049081C"/>
    <w:rsid w:val="004936E4"/>
    <w:rsid w:val="00494E60"/>
    <w:rsid w:val="00497487"/>
    <w:rsid w:val="004A2771"/>
    <w:rsid w:val="004A6189"/>
    <w:rsid w:val="004A7390"/>
    <w:rsid w:val="004B02F3"/>
    <w:rsid w:val="004B39B1"/>
    <w:rsid w:val="004B7B76"/>
    <w:rsid w:val="004C239D"/>
    <w:rsid w:val="004C2DCA"/>
    <w:rsid w:val="004C4FBE"/>
    <w:rsid w:val="004C61D2"/>
    <w:rsid w:val="004E40FF"/>
    <w:rsid w:val="004E7EB6"/>
    <w:rsid w:val="004F0C4A"/>
    <w:rsid w:val="004F0F38"/>
    <w:rsid w:val="004F127C"/>
    <w:rsid w:val="004F222A"/>
    <w:rsid w:val="004F47D6"/>
    <w:rsid w:val="00500337"/>
    <w:rsid w:val="00501921"/>
    <w:rsid w:val="00502D8E"/>
    <w:rsid w:val="0050654E"/>
    <w:rsid w:val="00516D6C"/>
    <w:rsid w:val="00522ABF"/>
    <w:rsid w:val="005234DD"/>
    <w:rsid w:val="00524340"/>
    <w:rsid w:val="005244A2"/>
    <w:rsid w:val="00525D16"/>
    <w:rsid w:val="00530354"/>
    <w:rsid w:val="00532B8C"/>
    <w:rsid w:val="005352BD"/>
    <w:rsid w:val="0053625B"/>
    <w:rsid w:val="005434C6"/>
    <w:rsid w:val="00543B39"/>
    <w:rsid w:val="00545804"/>
    <w:rsid w:val="00546154"/>
    <w:rsid w:val="00550096"/>
    <w:rsid w:val="00553EED"/>
    <w:rsid w:val="00555280"/>
    <w:rsid w:val="00556EBE"/>
    <w:rsid w:val="0055754A"/>
    <w:rsid w:val="00557FF9"/>
    <w:rsid w:val="00562327"/>
    <w:rsid w:val="005676B5"/>
    <w:rsid w:val="005711D5"/>
    <w:rsid w:val="00576378"/>
    <w:rsid w:val="00577130"/>
    <w:rsid w:val="00577945"/>
    <w:rsid w:val="00577D19"/>
    <w:rsid w:val="00577E38"/>
    <w:rsid w:val="00581A19"/>
    <w:rsid w:val="00585322"/>
    <w:rsid w:val="005857C6"/>
    <w:rsid w:val="00590999"/>
    <w:rsid w:val="00590E68"/>
    <w:rsid w:val="00592F6E"/>
    <w:rsid w:val="00593AD1"/>
    <w:rsid w:val="00594899"/>
    <w:rsid w:val="005A5547"/>
    <w:rsid w:val="005A68B6"/>
    <w:rsid w:val="005B429C"/>
    <w:rsid w:val="005C5570"/>
    <w:rsid w:val="005C5B66"/>
    <w:rsid w:val="005C79A4"/>
    <w:rsid w:val="005D20D0"/>
    <w:rsid w:val="005D5442"/>
    <w:rsid w:val="005E4498"/>
    <w:rsid w:val="005E7234"/>
    <w:rsid w:val="00603F32"/>
    <w:rsid w:val="00605979"/>
    <w:rsid w:val="00605AD4"/>
    <w:rsid w:val="006136D7"/>
    <w:rsid w:val="00625A6E"/>
    <w:rsid w:val="006262C0"/>
    <w:rsid w:val="00632398"/>
    <w:rsid w:val="00640FC3"/>
    <w:rsid w:val="00642020"/>
    <w:rsid w:val="006430EE"/>
    <w:rsid w:val="0065337B"/>
    <w:rsid w:val="0065419D"/>
    <w:rsid w:val="00654C9A"/>
    <w:rsid w:val="006603BC"/>
    <w:rsid w:val="006604D8"/>
    <w:rsid w:val="00663F80"/>
    <w:rsid w:val="00664A5B"/>
    <w:rsid w:val="00664ABE"/>
    <w:rsid w:val="00665FEE"/>
    <w:rsid w:val="0066628D"/>
    <w:rsid w:val="0066735C"/>
    <w:rsid w:val="006703B9"/>
    <w:rsid w:val="006760FF"/>
    <w:rsid w:val="006763D2"/>
    <w:rsid w:val="00680C08"/>
    <w:rsid w:val="00680D63"/>
    <w:rsid w:val="006877F7"/>
    <w:rsid w:val="00690C60"/>
    <w:rsid w:val="006916A0"/>
    <w:rsid w:val="006931B1"/>
    <w:rsid w:val="00695233"/>
    <w:rsid w:val="006A15C0"/>
    <w:rsid w:val="006A58A8"/>
    <w:rsid w:val="006A5AEF"/>
    <w:rsid w:val="006B0AA4"/>
    <w:rsid w:val="006C3E2A"/>
    <w:rsid w:val="006C642F"/>
    <w:rsid w:val="006C74AE"/>
    <w:rsid w:val="006D03E5"/>
    <w:rsid w:val="006D0D75"/>
    <w:rsid w:val="006D5D3E"/>
    <w:rsid w:val="006D6CF1"/>
    <w:rsid w:val="006E08B3"/>
    <w:rsid w:val="006F07C0"/>
    <w:rsid w:val="006F17AC"/>
    <w:rsid w:val="006F25B8"/>
    <w:rsid w:val="006F572E"/>
    <w:rsid w:val="006F6DA9"/>
    <w:rsid w:val="006F7465"/>
    <w:rsid w:val="007046D6"/>
    <w:rsid w:val="00705DB0"/>
    <w:rsid w:val="00716744"/>
    <w:rsid w:val="00722B57"/>
    <w:rsid w:val="00722F12"/>
    <w:rsid w:val="0072759F"/>
    <w:rsid w:val="00730F8A"/>
    <w:rsid w:val="00735A8C"/>
    <w:rsid w:val="0074253D"/>
    <w:rsid w:val="00742BFD"/>
    <w:rsid w:val="00744121"/>
    <w:rsid w:val="0074429B"/>
    <w:rsid w:val="00746F42"/>
    <w:rsid w:val="00751D74"/>
    <w:rsid w:val="00754DBD"/>
    <w:rsid w:val="007615BC"/>
    <w:rsid w:val="00762186"/>
    <w:rsid w:val="0076283E"/>
    <w:rsid w:val="00762F05"/>
    <w:rsid w:val="007632A1"/>
    <w:rsid w:val="007652FF"/>
    <w:rsid w:val="00770CAC"/>
    <w:rsid w:val="00770EF1"/>
    <w:rsid w:val="00773EF7"/>
    <w:rsid w:val="007744C6"/>
    <w:rsid w:val="00774E1D"/>
    <w:rsid w:val="007765D8"/>
    <w:rsid w:val="0077675A"/>
    <w:rsid w:val="00776A1F"/>
    <w:rsid w:val="00780355"/>
    <w:rsid w:val="007819FD"/>
    <w:rsid w:val="00784E59"/>
    <w:rsid w:val="00785717"/>
    <w:rsid w:val="00785721"/>
    <w:rsid w:val="00793A59"/>
    <w:rsid w:val="007A46F5"/>
    <w:rsid w:val="007A6505"/>
    <w:rsid w:val="007B5AB9"/>
    <w:rsid w:val="007B6132"/>
    <w:rsid w:val="007B6E9F"/>
    <w:rsid w:val="007C1216"/>
    <w:rsid w:val="007C1AF7"/>
    <w:rsid w:val="007C4B0C"/>
    <w:rsid w:val="007C6B9B"/>
    <w:rsid w:val="007C7822"/>
    <w:rsid w:val="007D02B4"/>
    <w:rsid w:val="007D2358"/>
    <w:rsid w:val="007D46D3"/>
    <w:rsid w:val="007D5234"/>
    <w:rsid w:val="007D53B6"/>
    <w:rsid w:val="007F336B"/>
    <w:rsid w:val="007F53FF"/>
    <w:rsid w:val="00802C77"/>
    <w:rsid w:val="0080388A"/>
    <w:rsid w:val="0080433E"/>
    <w:rsid w:val="00805D27"/>
    <w:rsid w:val="00806DCB"/>
    <w:rsid w:val="00814909"/>
    <w:rsid w:val="008177EE"/>
    <w:rsid w:val="00821776"/>
    <w:rsid w:val="0082593F"/>
    <w:rsid w:val="0082608C"/>
    <w:rsid w:val="008321F5"/>
    <w:rsid w:val="00832369"/>
    <w:rsid w:val="008327A7"/>
    <w:rsid w:val="00834660"/>
    <w:rsid w:val="00836295"/>
    <w:rsid w:val="00836BC2"/>
    <w:rsid w:val="00837A76"/>
    <w:rsid w:val="0085156D"/>
    <w:rsid w:val="00852B28"/>
    <w:rsid w:val="00854A42"/>
    <w:rsid w:val="008558F1"/>
    <w:rsid w:val="0085641B"/>
    <w:rsid w:val="008570B2"/>
    <w:rsid w:val="00857136"/>
    <w:rsid w:val="00860746"/>
    <w:rsid w:val="00862D71"/>
    <w:rsid w:val="00863E9F"/>
    <w:rsid w:val="00875A6B"/>
    <w:rsid w:val="00877390"/>
    <w:rsid w:val="00885B11"/>
    <w:rsid w:val="00886D15"/>
    <w:rsid w:val="008875E2"/>
    <w:rsid w:val="00887DD8"/>
    <w:rsid w:val="00891BA9"/>
    <w:rsid w:val="00893E1F"/>
    <w:rsid w:val="00896018"/>
    <w:rsid w:val="008960DD"/>
    <w:rsid w:val="0089635C"/>
    <w:rsid w:val="00897C9A"/>
    <w:rsid w:val="008A2B9D"/>
    <w:rsid w:val="008A3D9F"/>
    <w:rsid w:val="008A5E0B"/>
    <w:rsid w:val="008A6D59"/>
    <w:rsid w:val="008B2DC3"/>
    <w:rsid w:val="008B3BFD"/>
    <w:rsid w:val="008B4B03"/>
    <w:rsid w:val="008B4D7E"/>
    <w:rsid w:val="008B596F"/>
    <w:rsid w:val="008B69B4"/>
    <w:rsid w:val="008C159F"/>
    <w:rsid w:val="008C1623"/>
    <w:rsid w:val="008C1850"/>
    <w:rsid w:val="008C51A9"/>
    <w:rsid w:val="008C7AE9"/>
    <w:rsid w:val="008D3962"/>
    <w:rsid w:val="008D78C3"/>
    <w:rsid w:val="008E7846"/>
    <w:rsid w:val="008F02E5"/>
    <w:rsid w:val="008F1CCC"/>
    <w:rsid w:val="008F2967"/>
    <w:rsid w:val="008F4D67"/>
    <w:rsid w:val="008F6943"/>
    <w:rsid w:val="00902A21"/>
    <w:rsid w:val="0091523F"/>
    <w:rsid w:val="00920330"/>
    <w:rsid w:val="009219D7"/>
    <w:rsid w:val="00922D53"/>
    <w:rsid w:val="009237D7"/>
    <w:rsid w:val="00923B70"/>
    <w:rsid w:val="00924482"/>
    <w:rsid w:val="00927B05"/>
    <w:rsid w:val="00930237"/>
    <w:rsid w:val="00930A9F"/>
    <w:rsid w:val="00932332"/>
    <w:rsid w:val="009329C1"/>
    <w:rsid w:val="0093473D"/>
    <w:rsid w:val="009368E7"/>
    <w:rsid w:val="00936942"/>
    <w:rsid w:val="00937C17"/>
    <w:rsid w:val="00940A89"/>
    <w:rsid w:val="00941F77"/>
    <w:rsid w:val="009464B8"/>
    <w:rsid w:val="00946EA5"/>
    <w:rsid w:val="00947D39"/>
    <w:rsid w:val="009549F0"/>
    <w:rsid w:val="00955857"/>
    <w:rsid w:val="00955D95"/>
    <w:rsid w:val="00960520"/>
    <w:rsid w:val="00962353"/>
    <w:rsid w:val="00963C08"/>
    <w:rsid w:val="009670BB"/>
    <w:rsid w:val="0096755F"/>
    <w:rsid w:val="00971315"/>
    <w:rsid w:val="009725E5"/>
    <w:rsid w:val="009752A5"/>
    <w:rsid w:val="00981C39"/>
    <w:rsid w:val="0098585A"/>
    <w:rsid w:val="00991E07"/>
    <w:rsid w:val="009A4CED"/>
    <w:rsid w:val="009A690D"/>
    <w:rsid w:val="009B0F56"/>
    <w:rsid w:val="009B1D12"/>
    <w:rsid w:val="009B416B"/>
    <w:rsid w:val="009B460B"/>
    <w:rsid w:val="009B6150"/>
    <w:rsid w:val="009C1898"/>
    <w:rsid w:val="009C3A77"/>
    <w:rsid w:val="009C4BD5"/>
    <w:rsid w:val="009C5236"/>
    <w:rsid w:val="009D35A1"/>
    <w:rsid w:val="009D7B77"/>
    <w:rsid w:val="009E0BB0"/>
    <w:rsid w:val="009E1100"/>
    <w:rsid w:val="009E3FBB"/>
    <w:rsid w:val="009F4ADE"/>
    <w:rsid w:val="009F7353"/>
    <w:rsid w:val="00A03DFB"/>
    <w:rsid w:val="00A04F85"/>
    <w:rsid w:val="00A05FA4"/>
    <w:rsid w:val="00A102E4"/>
    <w:rsid w:val="00A10408"/>
    <w:rsid w:val="00A1219C"/>
    <w:rsid w:val="00A12C42"/>
    <w:rsid w:val="00A14DF7"/>
    <w:rsid w:val="00A159CA"/>
    <w:rsid w:val="00A16668"/>
    <w:rsid w:val="00A17F3A"/>
    <w:rsid w:val="00A22D57"/>
    <w:rsid w:val="00A3095A"/>
    <w:rsid w:val="00A30E0D"/>
    <w:rsid w:val="00A3246D"/>
    <w:rsid w:val="00A34150"/>
    <w:rsid w:val="00A35445"/>
    <w:rsid w:val="00A369E8"/>
    <w:rsid w:val="00A36FA7"/>
    <w:rsid w:val="00A44DDB"/>
    <w:rsid w:val="00A45C93"/>
    <w:rsid w:val="00A475B7"/>
    <w:rsid w:val="00A47AF7"/>
    <w:rsid w:val="00A47C3E"/>
    <w:rsid w:val="00A50226"/>
    <w:rsid w:val="00A511B3"/>
    <w:rsid w:val="00A522B6"/>
    <w:rsid w:val="00A53922"/>
    <w:rsid w:val="00A60BAD"/>
    <w:rsid w:val="00A62C40"/>
    <w:rsid w:val="00A72271"/>
    <w:rsid w:val="00A72D14"/>
    <w:rsid w:val="00A734E4"/>
    <w:rsid w:val="00A77F87"/>
    <w:rsid w:val="00A80B5B"/>
    <w:rsid w:val="00A84E36"/>
    <w:rsid w:val="00A9406D"/>
    <w:rsid w:val="00A964D1"/>
    <w:rsid w:val="00AA0ED0"/>
    <w:rsid w:val="00AB05AB"/>
    <w:rsid w:val="00AB1AC5"/>
    <w:rsid w:val="00AB269A"/>
    <w:rsid w:val="00AC17EB"/>
    <w:rsid w:val="00AC2B40"/>
    <w:rsid w:val="00AC2BB2"/>
    <w:rsid w:val="00AC2C3C"/>
    <w:rsid w:val="00AC512D"/>
    <w:rsid w:val="00AD0083"/>
    <w:rsid w:val="00AD3935"/>
    <w:rsid w:val="00AD70A0"/>
    <w:rsid w:val="00AE569A"/>
    <w:rsid w:val="00AE63CA"/>
    <w:rsid w:val="00AE65EB"/>
    <w:rsid w:val="00AE67A7"/>
    <w:rsid w:val="00AE6CBE"/>
    <w:rsid w:val="00AE7563"/>
    <w:rsid w:val="00AF1D94"/>
    <w:rsid w:val="00AF295F"/>
    <w:rsid w:val="00AF60C5"/>
    <w:rsid w:val="00AF6205"/>
    <w:rsid w:val="00B00778"/>
    <w:rsid w:val="00B009C6"/>
    <w:rsid w:val="00B01548"/>
    <w:rsid w:val="00B130C5"/>
    <w:rsid w:val="00B13EBD"/>
    <w:rsid w:val="00B142FC"/>
    <w:rsid w:val="00B151A3"/>
    <w:rsid w:val="00B17079"/>
    <w:rsid w:val="00B174BF"/>
    <w:rsid w:val="00B21D29"/>
    <w:rsid w:val="00B2481F"/>
    <w:rsid w:val="00B25034"/>
    <w:rsid w:val="00B30324"/>
    <w:rsid w:val="00B30E35"/>
    <w:rsid w:val="00B33588"/>
    <w:rsid w:val="00B33863"/>
    <w:rsid w:val="00B3409D"/>
    <w:rsid w:val="00B36310"/>
    <w:rsid w:val="00B37D17"/>
    <w:rsid w:val="00B4175E"/>
    <w:rsid w:val="00B41C85"/>
    <w:rsid w:val="00B4463B"/>
    <w:rsid w:val="00B452CE"/>
    <w:rsid w:val="00B51D49"/>
    <w:rsid w:val="00B534D8"/>
    <w:rsid w:val="00B54C25"/>
    <w:rsid w:val="00B5731E"/>
    <w:rsid w:val="00B74863"/>
    <w:rsid w:val="00B76B91"/>
    <w:rsid w:val="00B77529"/>
    <w:rsid w:val="00B77D4D"/>
    <w:rsid w:val="00B77EB1"/>
    <w:rsid w:val="00B811C6"/>
    <w:rsid w:val="00B84EDB"/>
    <w:rsid w:val="00B855B0"/>
    <w:rsid w:val="00B91D15"/>
    <w:rsid w:val="00B92E08"/>
    <w:rsid w:val="00B93ACA"/>
    <w:rsid w:val="00B9543D"/>
    <w:rsid w:val="00B9677E"/>
    <w:rsid w:val="00BA2843"/>
    <w:rsid w:val="00BA2911"/>
    <w:rsid w:val="00BA799F"/>
    <w:rsid w:val="00BC20CA"/>
    <w:rsid w:val="00BC622A"/>
    <w:rsid w:val="00BD64AA"/>
    <w:rsid w:val="00BE0A78"/>
    <w:rsid w:val="00BE2C1B"/>
    <w:rsid w:val="00BE343D"/>
    <w:rsid w:val="00BE447E"/>
    <w:rsid w:val="00BE79F0"/>
    <w:rsid w:val="00BF046D"/>
    <w:rsid w:val="00BF1190"/>
    <w:rsid w:val="00BF23C4"/>
    <w:rsid w:val="00BF3774"/>
    <w:rsid w:val="00BF5CDE"/>
    <w:rsid w:val="00BF5D04"/>
    <w:rsid w:val="00BF7F37"/>
    <w:rsid w:val="00C009AA"/>
    <w:rsid w:val="00C1164D"/>
    <w:rsid w:val="00C16861"/>
    <w:rsid w:val="00C2393D"/>
    <w:rsid w:val="00C27053"/>
    <w:rsid w:val="00C346AB"/>
    <w:rsid w:val="00C35426"/>
    <w:rsid w:val="00C404A6"/>
    <w:rsid w:val="00C40A36"/>
    <w:rsid w:val="00C44419"/>
    <w:rsid w:val="00C45E7B"/>
    <w:rsid w:val="00C471B1"/>
    <w:rsid w:val="00C525A2"/>
    <w:rsid w:val="00C52E24"/>
    <w:rsid w:val="00C6033E"/>
    <w:rsid w:val="00C623F1"/>
    <w:rsid w:val="00C6316B"/>
    <w:rsid w:val="00C634A9"/>
    <w:rsid w:val="00C64586"/>
    <w:rsid w:val="00C70639"/>
    <w:rsid w:val="00C70A36"/>
    <w:rsid w:val="00C70D53"/>
    <w:rsid w:val="00C73D0B"/>
    <w:rsid w:val="00C73D5E"/>
    <w:rsid w:val="00C74F5C"/>
    <w:rsid w:val="00C772FF"/>
    <w:rsid w:val="00C80137"/>
    <w:rsid w:val="00C801AF"/>
    <w:rsid w:val="00C80256"/>
    <w:rsid w:val="00C832B1"/>
    <w:rsid w:val="00C94CD4"/>
    <w:rsid w:val="00C9747E"/>
    <w:rsid w:val="00CA4C47"/>
    <w:rsid w:val="00CA5F1D"/>
    <w:rsid w:val="00CB2BCB"/>
    <w:rsid w:val="00CB6BC0"/>
    <w:rsid w:val="00CC1B7C"/>
    <w:rsid w:val="00CC27A9"/>
    <w:rsid w:val="00CC4339"/>
    <w:rsid w:val="00CC53EC"/>
    <w:rsid w:val="00CC552B"/>
    <w:rsid w:val="00CC727F"/>
    <w:rsid w:val="00CD4DD6"/>
    <w:rsid w:val="00CD74BB"/>
    <w:rsid w:val="00CE154F"/>
    <w:rsid w:val="00CE156B"/>
    <w:rsid w:val="00CE2E3B"/>
    <w:rsid w:val="00CF15C3"/>
    <w:rsid w:val="00CF27AD"/>
    <w:rsid w:val="00CF2B6F"/>
    <w:rsid w:val="00CF2F3E"/>
    <w:rsid w:val="00CF58B6"/>
    <w:rsid w:val="00CF5DAD"/>
    <w:rsid w:val="00D0062D"/>
    <w:rsid w:val="00D017ED"/>
    <w:rsid w:val="00D024A1"/>
    <w:rsid w:val="00D040D3"/>
    <w:rsid w:val="00D04C65"/>
    <w:rsid w:val="00D06925"/>
    <w:rsid w:val="00D11479"/>
    <w:rsid w:val="00D13082"/>
    <w:rsid w:val="00D14129"/>
    <w:rsid w:val="00D153D8"/>
    <w:rsid w:val="00D17781"/>
    <w:rsid w:val="00D201D2"/>
    <w:rsid w:val="00D224FE"/>
    <w:rsid w:val="00D23139"/>
    <w:rsid w:val="00D311C3"/>
    <w:rsid w:val="00D3485B"/>
    <w:rsid w:val="00D4014B"/>
    <w:rsid w:val="00D41BE7"/>
    <w:rsid w:val="00D42005"/>
    <w:rsid w:val="00D425BB"/>
    <w:rsid w:val="00D453FA"/>
    <w:rsid w:val="00D45411"/>
    <w:rsid w:val="00D5080A"/>
    <w:rsid w:val="00D57A17"/>
    <w:rsid w:val="00D61FDA"/>
    <w:rsid w:val="00D6493E"/>
    <w:rsid w:val="00D6630F"/>
    <w:rsid w:val="00D7195D"/>
    <w:rsid w:val="00D7301E"/>
    <w:rsid w:val="00D74B8A"/>
    <w:rsid w:val="00D82712"/>
    <w:rsid w:val="00D83942"/>
    <w:rsid w:val="00D83AE1"/>
    <w:rsid w:val="00D855D4"/>
    <w:rsid w:val="00D902C9"/>
    <w:rsid w:val="00D926A2"/>
    <w:rsid w:val="00D93466"/>
    <w:rsid w:val="00D9396C"/>
    <w:rsid w:val="00DA1124"/>
    <w:rsid w:val="00DA64CB"/>
    <w:rsid w:val="00DA6AC2"/>
    <w:rsid w:val="00DB06B8"/>
    <w:rsid w:val="00DB1586"/>
    <w:rsid w:val="00DB6124"/>
    <w:rsid w:val="00DB750B"/>
    <w:rsid w:val="00DB75B7"/>
    <w:rsid w:val="00DC0A2F"/>
    <w:rsid w:val="00DC1948"/>
    <w:rsid w:val="00DC632E"/>
    <w:rsid w:val="00DC6E02"/>
    <w:rsid w:val="00DD0CF7"/>
    <w:rsid w:val="00DD28CD"/>
    <w:rsid w:val="00DD31CC"/>
    <w:rsid w:val="00DE02AE"/>
    <w:rsid w:val="00DE2BFC"/>
    <w:rsid w:val="00DE39D1"/>
    <w:rsid w:val="00DE5F6C"/>
    <w:rsid w:val="00DF0A5F"/>
    <w:rsid w:val="00DF1D7F"/>
    <w:rsid w:val="00DF41B1"/>
    <w:rsid w:val="00DF4BE4"/>
    <w:rsid w:val="00DF66E8"/>
    <w:rsid w:val="00E02382"/>
    <w:rsid w:val="00E02FB4"/>
    <w:rsid w:val="00E1095E"/>
    <w:rsid w:val="00E13FC7"/>
    <w:rsid w:val="00E20571"/>
    <w:rsid w:val="00E22ACE"/>
    <w:rsid w:val="00E235F7"/>
    <w:rsid w:val="00E23659"/>
    <w:rsid w:val="00E239D4"/>
    <w:rsid w:val="00E26130"/>
    <w:rsid w:val="00E33D42"/>
    <w:rsid w:val="00E40B22"/>
    <w:rsid w:val="00E44ED1"/>
    <w:rsid w:val="00E45619"/>
    <w:rsid w:val="00E4588F"/>
    <w:rsid w:val="00E46DA3"/>
    <w:rsid w:val="00E47A73"/>
    <w:rsid w:val="00E50238"/>
    <w:rsid w:val="00E51BB1"/>
    <w:rsid w:val="00E55602"/>
    <w:rsid w:val="00E5569A"/>
    <w:rsid w:val="00E55CB0"/>
    <w:rsid w:val="00E56790"/>
    <w:rsid w:val="00E602D0"/>
    <w:rsid w:val="00E624A5"/>
    <w:rsid w:val="00E64BA4"/>
    <w:rsid w:val="00E72CFD"/>
    <w:rsid w:val="00E7344E"/>
    <w:rsid w:val="00E760ED"/>
    <w:rsid w:val="00E82665"/>
    <w:rsid w:val="00E973D5"/>
    <w:rsid w:val="00EB03BA"/>
    <w:rsid w:val="00EB0798"/>
    <w:rsid w:val="00EB40AD"/>
    <w:rsid w:val="00EB510A"/>
    <w:rsid w:val="00EB570B"/>
    <w:rsid w:val="00EB586E"/>
    <w:rsid w:val="00EB5FC8"/>
    <w:rsid w:val="00EB7340"/>
    <w:rsid w:val="00EC463D"/>
    <w:rsid w:val="00EC5393"/>
    <w:rsid w:val="00EC7A85"/>
    <w:rsid w:val="00ED2922"/>
    <w:rsid w:val="00ED3CAD"/>
    <w:rsid w:val="00ED5A41"/>
    <w:rsid w:val="00EE1D45"/>
    <w:rsid w:val="00EE1DE8"/>
    <w:rsid w:val="00EE27C2"/>
    <w:rsid w:val="00EF4BAD"/>
    <w:rsid w:val="00EF59DC"/>
    <w:rsid w:val="00F02F4D"/>
    <w:rsid w:val="00F033EC"/>
    <w:rsid w:val="00F03D81"/>
    <w:rsid w:val="00F04F68"/>
    <w:rsid w:val="00F07DA8"/>
    <w:rsid w:val="00F12670"/>
    <w:rsid w:val="00F14B27"/>
    <w:rsid w:val="00F16D0A"/>
    <w:rsid w:val="00F3148D"/>
    <w:rsid w:val="00F325C5"/>
    <w:rsid w:val="00F32FE0"/>
    <w:rsid w:val="00F35298"/>
    <w:rsid w:val="00F375C1"/>
    <w:rsid w:val="00F47333"/>
    <w:rsid w:val="00F47E37"/>
    <w:rsid w:val="00F53C07"/>
    <w:rsid w:val="00F54B65"/>
    <w:rsid w:val="00F63DBF"/>
    <w:rsid w:val="00F640B6"/>
    <w:rsid w:val="00F66DF2"/>
    <w:rsid w:val="00F80E40"/>
    <w:rsid w:val="00F848D9"/>
    <w:rsid w:val="00F93C07"/>
    <w:rsid w:val="00FA5069"/>
    <w:rsid w:val="00FA5B82"/>
    <w:rsid w:val="00FA639E"/>
    <w:rsid w:val="00FC0C88"/>
    <w:rsid w:val="00FC1FCA"/>
    <w:rsid w:val="00FC25E4"/>
    <w:rsid w:val="00FC4EF7"/>
    <w:rsid w:val="00FC5C1C"/>
    <w:rsid w:val="00FC72CD"/>
    <w:rsid w:val="00FD0824"/>
    <w:rsid w:val="00FD119B"/>
    <w:rsid w:val="00FD1368"/>
    <w:rsid w:val="00FD1EDC"/>
    <w:rsid w:val="00FD7A59"/>
    <w:rsid w:val="00FE1B47"/>
    <w:rsid w:val="00FE1DEE"/>
    <w:rsid w:val="00FE1EE3"/>
    <w:rsid w:val="00FE5C74"/>
    <w:rsid w:val="00FF0A31"/>
    <w:rsid w:val="00FF153C"/>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5A557C95"/>
  <w15:docId w15:val="{0244AE66-757E-4C0C-B7E6-FCACEB49E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AB05AB"/>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Standard">
    <w:name w:val="Standard"/>
    <w:basedOn w:val="Normal"/>
    <w:link w:val="StandardChar"/>
    <w:qFormat/>
    <w:rsid w:val="009237D7"/>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9237D7"/>
    <w:rPr>
      <w:rFonts w:ascii="Cambria" w:eastAsia="Times New Roman" w:hAnsi="Cambria" w:cs="Times New Roman"/>
      <w:snapToGrid w:val="0"/>
      <w:kern w:val="16"/>
      <w:sz w:val="23"/>
      <w:szCs w:val="24"/>
    </w:rPr>
  </w:style>
  <w:style w:type="paragraph" w:customStyle="1" w:styleId="Bulletlist">
    <w:name w:val="Bullet list"/>
    <w:basedOn w:val="Standard"/>
    <w:link w:val="BulletlistChar"/>
    <w:qFormat/>
    <w:rsid w:val="009237D7"/>
    <w:pPr>
      <w:numPr>
        <w:numId w:val="34"/>
      </w:numPr>
      <w:spacing w:after="180"/>
    </w:pPr>
    <w:rPr>
      <w:kern w:val="2"/>
    </w:rPr>
  </w:style>
  <w:style w:type="character" w:customStyle="1" w:styleId="TabletextChar">
    <w:name w:val="Table text Char"/>
    <w:basedOn w:val="StandardChar"/>
    <w:link w:val="Tabletext"/>
    <w:rsid w:val="009237D7"/>
    <w:rPr>
      <w:rFonts w:ascii="Cambria" w:eastAsia="Cambria" w:hAnsi="Cambria" w:cs="Times New Roman"/>
      <w:snapToGrid/>
      <w:kern w:val="16"/>
      <w:sz w:val="19"/>
      <w:szCs w:val="24"/>
    </w:rPr>
  </w:style>
  <w:style w:type="character" w:customStyle="1" w:styleId="BulletlistChar">
    <w:name w:val="Bullet list Char"/>
    <w:basedOn w:val="StandardChar"/>
    <w:link w:val="Bulletlist"/>
    <w:rsid w:val="009237D7"/>
    <w:rPr>
      <w:rFonts w:ascii="Cambria" w:eastAsia="Times New Roman" w:hAnsi="Cambria" w:cs="Times New Roman"/>
      <w:snapToGrid w:val="0"/>
      <w:kern w:val="2"/>
      <w:sz w:val="23"/>
      <w:szCs w:val="24"/>
    </w:rPr>
  </w:style>
  <w:style w:type="paragraph" w:styleId="ListParagraph">
    <w:name w:val="List Paragraph"/>
    <w:basedOn w:val="Normal"/>
    <w:uiPriority w:val="99"/>
    <w:qFormat/>
    <w:rsid w:val="00176F61"/>
    <w:pPr>
      <w:adjustRightInd w:val="0"/>
      <w:snapToGrid w:val="0"/>
      <w:spacing w:before="180" w:after="180"/>
      <w:ind w:left="720"/>
      <w:contextualSpacing/>
    </w:pPr>
    <w:rPr>
      <w:rFonts w:eastAsia="MS Mincho"/>
      <w:szCs w:val="20"/>
      <w:lang w:eastAsia="ja-JP"/>
    </w:rPr>
  </w:style>
  <w:style w:type="paragraph" w:customStyle="1" w:styleId="Bulletpoint">
    <w:name w:val="Bullet point"/>
    <w:basedOn w:val="Standard"/>
    <w:rsid w:val="00176F61"/>
    <w:pPr>
      <w:numPr>
        <w:numId w:val="36"/>
      </w:numPr>
      <w:tabs>
        <w:tab w:val="clear" w:pos="369"/>
        <w:tab w:val="left" w:pos="397"/>
        <w:tab w:val="num" w:pos="511"/>
      </w:tabs>
      <w:spacing w:after="180"/>
      <w:ind w:left="0" w:firstLine="0"/>
    </w:pPr>
    <w:rPr>
      <w:sz w:val="22"/>
    </w:rPr>
  </w:style>
  <w:style w:type="character" w:styleId="Emphasis">
    <w:name w:val="Emphasis"/>
    <w:basedOn w:val="DefaultParagraphFont"/>
    <w:uiPriority w:val="20"/>
    <w:qFormat/>
    <w:rsid w:val="00B534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4752">
      <w:bodyDiv w:val="1"/>
      <w:marLeft w:val="0"/>
      <w:marRight w:val="0"/>
      <w:marTop w:val="0"/>
      <w:marBottom w:val="0"/>
      <w:divBdr>
        <w:top w:val="none" w:sz="0" w:space="0" w:color="auto"/>
        <w:left w:val="none" w:sz="0" w:space="0" w:color="auto"/>
        <w:bottom w:val="none" w:sz="0" w:space="0" w:color="auto"/>
        <w:right w:val="none" w:sz="0" w:space="0" w:color="auto"/>
      </w:divBdr>
    </w:div>
    <w:div w:id="864053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footer" Target="footer5.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header" Target="header6.xml"/><Relationship Id="rId30" Type="http://schemas.openxmlformats.org/officeDocument/2006/relationships/hyperlink" Target="https://www.tga.gov.au" TargetMode="External"/><Relationship Id="rId35"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8953F-8074-4C13-8C8E-BD425F8FD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14708</Words>
  <Characters>83836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Australian public assessment report for Filgotinib maleate</vt:lpstr>
    </vt:vector>
  </TitlesOfParts>
  <Company>Department of Health Therapeutic Goods Administration</Company>
  <LinksUpToDate>false</LinksUpToDate>
  <CharactersWithSpaces>98348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Filgotinib maleate</dc:title>
  <dc:subject>prescription medicines</dc:subject>
  <dc:creator>Therapeutic Goods Administration</dc:creator>
  <cp:keywords/>
  <cp:lastModifiedBy>LACK, Janet</cp:lastModifiedBy>
  <cp:revision>2</cp:revision>
  <cp:lastPrinted>2019-08-14T04:30:00Z</cp:lastPrinted>
  <dcterms:created xsi:type="dcterms:W3CDTF">2021-06-28T23:55:00Z</dcterms:created>
  <dcterms:modified xsi:type="dcterms:W3CDTF">2021-06-28T23:55:00Z</dcterms:modified>
  <cp:category/>
</cp:coreProperties>
</file>