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BA9" w:rsidRPr="00D766E5" w:rsidRDefault="00360BA9" w:rsidP="00360BA9">
      <w:pPr>
        <w:autoSpaceDE w:val="0"/>
        <w:autoSpaceDN w:val="0"/>
        <w:adjustRightInd w:val="0"/>
        <w:spacing w:after="0" w:line="240" w:lineRule="auto"/>
        <w:rPr>
          <w:rFonts w:ascii="SymbolMT" w:eastAsia="SymbolMT" w:hAnsi="TimesNewRomanPS-BoldMT" w:cs="SymbolMT"/>
          <w:sz w:val="21"/>
          <w:szCs w:val="21"/>
          <w:vertAlign w:val="superscript"/>
        </w:rPr>
      </w:pPr>
      <w:r>
        <w:rPr>
          <w:rFonts w:ascii="TimesNewRomanPS-BoldMT" w:hAnsi="TimesNewRomanPS-BoldMT" w:cs="TimesNewRomanPS-BoldMT"/>
          <w:b/>
          <w:bCs/>
          <w:sz w:val="32"/>
          <w:szCs w:val="32"/>
        </w:rPr>
        <w:t>DIFICID</w:t>
      </w:r>
      <w:r w:rsidR="00D766E5" w:rsidRPr="00971095">
        <w:rPr>
          <w:rFonts w:ascii="Lucida Grande" w:hAnsi="Lucida Grande" w:cs="Lucida Grande"/>
          <w:b/>
          <w:bCs/>
          <w:color w:val="000000"/>
          <w:sz w:val="28"/>
          <w:szCs w:val="28"/>
          <w:vertAlign w:val="superscript"/>
        </w:rPr>
        <w:t>®</w:t>
      </w:r>
    </w:p>
    <w:p w:rsidR="00D766E5" w:rsidRDefault="00D766E5" w:rsidP="00360BA9">
      <w:pPr>
        <w:pStyle w:val="Default"/>
        <w:rPr>
          <w:rFonts w:ascii="TimesNewRomanPS-BoldMT" w:hAnsi="TimesNewRomanPS-BoldMT" w:cs="TimesNewRomanPS-BoldMT"/>
          <w:b/>
          <w:bCs/>
          <w:sz w:val="28"/>
          <w:szCs w:val="28"/>
          <w:u w:val="single"/>
        </w:rPr>
      </w:pPr>
    </w:p>
    <w:p w:rsidR="00662D13" w:rsidRPr="00360BA9" w:rsidRDefault="00360BA9" w:rsidP="00360BA9">
      <w:pPr>
        <w:pStyle w:val="Default"/>
        <w:rPr>
          <w:u w:val="single"/>
        </w:rPr>
      </w:pPr>
      <w:r w:rsidRPr="00360BA9">
        <w:rPr>
          <w:rFonts w:ascii="TimesNewRomanPS-BoldMT" w:hAnsi="TimesNewRomanPS-BoldMT" w:cs="TimesNewRomanPS-BoldMT"/>
          <w:b/>
          <w:bCs/>
          <w:sz w:val="28"/>
          <w:szCs w:val="28"/>
          <w:u w:val="single"/>
        </w:rPr>
        <w:t>NAME OF THE MEDICINE</w:t>
      </w:r>
    </w:p>
    <w:p w:rsidR="00662D13" w:rsidRPr="00180A0A" w:rsidRDefault="00662D13" w:rsidP="00180A0A">
      <w:pPr>
        <w:rPr>
          <w:b/>
          <w:bCs/>
          <w:sz w:val="26"/>
          <w:szCs w:val="26"/>
        </w:rPr>
      </w:pPr>
    </w:p>
    <w:p w:rsidR="00662D13" w:rsidRPr="002C0EE5" w:rsidRDefault="00360BA9" w:rsidP="006E0B2C">
      <w:pPr>
        <w:tabs>
          <w:tab w:val="left" w:pos="2070"/>
        </w:tabs>
        <w:spacing w:after="120"/>
        <w:rPr>
          <w:rFonts w:ascii="Times New Roman" w:hAnsi="Times New Roman"/>
        </w:rPr>
      </w:pPr>
      <w:r w:rsidRPr="002C0EE5">
        <w:rPr>
          <w:rFonts w:ascii="Times New Roman" w:hAnsi="Times New Roman"/>
        </w:rPr>
        <w:t>Active ingredient:</w:t>
      </w:r>
      <w:r w:rsidR="006E0B2C">
        <w:rPr>
          <w:rFonts w:ascii="Times New Roman" w:hAnsi="Times New Roman"/>
        </w:rPr>
        <w:tab/>
      </w:r>
      <w:r w:rsidRPr="002C0EE5">
        <w:rPr>
          <w:rFonts w:ascii="Times New Roman" w:hAnsi="Times New Roman"/>
        </w:rPr>
        <w:t>fidaxomicin</w:t>
      </w:r>
    </w:p>
    <w:p w:rsidR="00360BA9" w:rsidRPr="00846CF5" w:rsidRDefault="002C0EE5" w:rsidP="006E0B2C">
      <w:pPr>
        <w:tabs>
          <w:tab w:val="left" w:pos="2070"/>
        </w:tabs>
        <w:spacing w:after="120"/>
        <w:ind w:left="2070" w:hanging="2070"/>
        <w:rPr>
          <w:rFonts w:ascii="Times New Roman" w:hAnsi="Times New Roman"/>
        </w:rPr>
      </w:pPr>
      <w:r w:rsidRPr="00846CF5">
        <w:rPr>
          <w:rFonts w:ascii="Times New Roman" w:hAnsi="Times New Roman"/>
        </w:rPr>
        <w:t>Chemical name</w:t>
      </w:r>
      <w:r w:rsidR="00360BA9" w:rsidRPr="00846CF5">
        <w:rPr>
          <w:rFonts w:ascii="Times New Roman" w:hAnsi="Times New Roman"/>
        </w:rPr>
        <w:t>:</w:t>
      </w:r>
      <w:r w:rsidR="006E0B2C" w:rsidRPr="00846CF5">
        <w:rPr>
          <w:rFonts w:ascii="Times New Roman" w:hAnsi="Times New Roman"/>
        </w:rPr>
        <w:tab/>
      </w:r>
      <w:r w:rsidR="00360BA9" w:rsidRPr="00846CF5">
        <w:rPr>
          <w:rFonts w:ascii="Times New Roman" w:hAnsi="Times New Roman"/>
          <w:lang w:val="en-CA"/>
        </w:rPr>
        <w:t>Oxacyclooctadeca-3,5,9,13,15-pentaen-2-one, 3-[[[6-deoxy-4-</w:t>
      </w:r>
      <w:r w:rsidR="00360BA9" w:rsidRPr="00846CF5">
        <w:rPr>
          <w:rFonts w:ascii="Times New Roman" w:hAnsi="Times New Roman"/>
          <w:i/>
          <w:lang w:val="en-CA"/>
        </w:rPr>
        <w:t>O</w:t>
      </w:r>
      <w:r w:rsidR="00360BA9" w:rsidRPr="00846CF5">
        <w:rPr>
          <w:rFonts w:ascii="Times New Roman" w:hAnsi="Times New Roman"/>
          <w:lang w:val="en-CA"/>
        </w:rPr>
        <w:t>-(3,5-dichloro-2-ethyl-4,6-dihydroxybenzoyl)-2-</w:t>
      </w:r>
      <w:r w:rsidR="00360BA9" w:rsidRPr="00846CF5">
        <w:rPr>
          <w:rFonts w:ascii="Times New Roman" w:hAnsi="Times New Roman"/>
          <w:i/>
          <w:lang w:val="en-CA"/>
        </w:rPr>
        <w:t>O</w:t>
      </w:r>
      <w:r w:rsidR="00360BA9" w:rsidRPr="00846CF5">
        <w:rPr>
          <w:rFonts w:ascii="Times New Roman" w:hAnsi="Times New Roman"/>
          <w:lang w:val="en-CA"/>
        </w:rPr>
        <w:t>-methyl-β-D-mannopyranosyl]oxy]methyl]-12-[[6-deoxy-5-C-methyl-4-</w:t>
      </w:r>
      <w:r w:rsidR="00360BA9" w:rsidRPr="00846CF5">
        <w:rPr>
          <w:rFonts w:ascii="Times New Roman" w:hAnsi="Times New Roman"/>
          <w:i/>
          <w:lang w:val="en-CA"/>
        </w:rPr>
        <w:t>O</w:t>
      </w:r>
      <w:r w:rsidR="00360BA9" w:rsidRPr="00846CF5">
        <w:rPr>
          <w:rFonts w:ascii="Times New Roman" w:hAnsi="Times New Roman"/>
          <w:lang w:val="en-CA"/>
        </w:rPr>
        <w:t>-(2-methyl-1-oxopropyl)-β-D-lyxo-hexopyranosyl]oxy]-11-ethyl-8-hydroxy-18-[(1</w:t>
      </w:r>
      <w:r w:rsidR="00D738AA" w:rsidRPr="00846CF5">
        <w:rPr>
          <w:rFonts w:ascii="Times New Roman" w:hAnsi="Times New Roman"/>
          <w:i/>
          <w:lang w:val="en-CA"/>
        </w:rPr>
        <w:t>R</w:t>
      </w:r>
      <w:r w:rsidR="00360BA9" w:rsidRPr="00846CF5">
        <w:rPr>
          <w:rFonts w:ascii="Times New Roman" w:hAnsi="Times New Roman"/>
          <w:lang w:val="en-CA"/>
        </w:rPr>
        <w:t>)-1-hydroxyethyl]-9,13,15-trimethyl-, (3</w:t>
      </w:r>
      <w:r w:rsidR="00360BA9" w:rsidRPr="00846CF5">
        <w:rPr>
          <w:rFonts w:ascii="Times New Roman" w:hAnsi="Times New Roman"/>
          <w:i/>
          <w:lang w:val="en-CA"/>
        </w:rPr>
        <w:t>E</w:t>
      </w:r>
      <w:r w:rsidR="00360BA9" w:rsidRPr="00846CF5">
        <w:rPr>
          <w:rFonts w:ascii="Times New Roman" w:hAnsi="Times New Roman"/>
          <w:lang w:val="en-CA"/>
        </w:rPr>
        <w:t>,5</w:t>
      </w:r>
      <w:r w:rsidR="00360BA9" w:rsidRPr="00846CF5">
        <w:rPr>
          <w:rFonts w:ascii="Times New Roman" w:hAnsi="Times New Roman"/>
          <w:i/>
          <w:lang w:val="en-CA"/>
        </w:rPr>
        <w:t>E</w:t>
      </w:r>
      <w:r w:rsidR="00360BA9" w:rsidRPr="00846CF5">
        <w:rPr>
          <w:rFonts w:ascii="Times New Roman" w:hAnsi="Times New Roman"/>
          <w:lang w:val="en-CA"/>
        </w:rPr>
        <w:t>,8S,9</w:t>
      </w:r>
      <w:r w:rsidR="00360BA9" w:rsidRPr="00846CF5">
        <w:rPr>
          <w:rFonts w:ascii="Times New Roman" w:hAnsi="Times New Roman"/>
          <w:i/>
          <w:lang w:val="en-CA"/>
        </w:rPr>
        <w:t>E</w:t>
      </w:r>
      <w:r w:rsidR="00360BA9" w:rsidRPr="00846CF5">
        <w:rPr>
          <w:rFonts w:ascii="Times New Roman" w:hAnsi="Times New Roman"/>
          <w:lang w:val="en-CA"/>
        </w:rPr>
        <w:t>,11</w:t>
      </w:r>
      <w:r w:rsidR="00360BA9" w:rsidRPr="00846CF5">
        <w:rPr>
          <w:rFonts w:ascii="Times New Roman" w:hAnsi="Times New Roman"/>
          <w:i/>
          <w:lang w:val="en-CA"/>
        </w:rPr>
        <w:t>S</w:t>
      </w:r>
      <w:r w:rsidR="00360BA9" w:rsidRPr="00846CF5">
        <w:rPr>
          <w:rFonts w:ascii="Times New Roman" w:hAnsi="Times New Roman"/>
          <w:lang w:val="en-CA"/>
        </w:rPr>
        <w:t>,12</w:t>
      </w:r>
      <w:r w:rsidR="00360BA9" w:rsidRPr="00846CF5">
        <w:rPr>
          <w:rFonts w:ascii="Times New Roman" w:hAnsi="Times New Roman"/>
          <w:i/>
          <w:lang w:val="en-CA"/>
        </w:rPr>
        <w:t>R</w:t>
      </w:r>
      <w:r w:rsidR="00360BA9" w:rsidRPr="00846CF5">
        <w:rPr>
          <w:rFonts w:ascii="Times New Roman" w:hAnsi="Times New Roman"/>
          <w:lang w:val="en-CA"/>
        </w:rPr>
        <w:t>,13</w:t>
      </w:r>
      <w:r w:rsidR="00360BA9" w:rsidRPr="00846CF5">
        <w:rPr>
          <w:rFonts w:ascii="Times New Roman" w:hAnsi="Times New Roman"/>
          <w:i/>
          <w:lang w:val="en-CA"/>
        </w:rPr>
        <w:t>E</w:t>
      </w:r>
      <w:r w:rsidR="00360BA9" w:rsidRPr="00846CF5">
        <w:rPr>
          <w:rFonts w:ascii="Times New Roman" w:hAnsi="Times New Roman"/>
          <w:lang w:val="en-CA"/>
        </w:rPr>
        <w:t>,15</w:t>
      </w:r>
      <w:r w:rsidR="00360BA9" w:rsidRPr="00846CF5">
        <w:rPr>
          <w:rFonts w:ascii="Times New Roman" w:hAnsi="Times New Roman"/>
          <w:i/>
          <w:lang w:val="en-CA"/>
        </w:rPr>
        <w:t>E</w:t>
      </w:r>
      <w:r w:rsidR="00360BA9" w:rsidRPr="00846CF5">
        <w:rPr>
          <w:rFonts w:ascii="Times New Roman" w:hAnsi="Times New Roman"/>
          <w:lang w:val="en-CA"/>
        </w:rPr>
        <w:t>,18</w:t>
      </w:r>
      <w:r w:rsidR="00360BA9" w:rsidRPr="00846CF5">
        <w:rPr>
          <w:rFonts w:ascii="Times New Roman" w:hAnsi="Times New Roman"/>
          <w:i/>
          <w:lang w:val="en-CA"/>
        </w:rPr>
        <w:t>S</w:t>
      </w:r>
      <w:r w:rsidR="00360BA9" w:rsidRPr="00846CF5">
        <w:rPr>
          <w:rFonts w:ascii="Times New Roman" w:hAnsi="Times New Roman"/>
          <w:lang w:val="en-CA"/>
        </w:rPr>
        <w:t>)-.</w:t>
      </w:r>
    </w:p>
    <w:p w:rsidR="00360BA9" w:rsidRPr="002C0EE5" w:rsidRDefault="00360BA9" w:rsidP="006E0B2C">
      <w:pPr>
        <w:tabs>
          <w:tab w:val="left" w:pos="2070"/>
        </w:tabs>
        <w:autoSpaceDE w:val="0"/>
        <w:autoSpaceDN w:val="0"/>
        <w:adjustRightInd w:val="0"/>
        <w:spacing w:after="120" w:line="240" w:lineRule="auto"/>
        <w:rPr>
          <w:rFonts w:ascii="Times New Roman" w:hAnsi="Times New Roman"/>
        </w:rPr>
      </w:pPr>
      <w:r w:rsidRPr="002C0EE5">
        <w:rPr>
          <w:rFonts w:ascii="Times New Roman" w:hAnsi="Times New Roman"/>
        </w:rPr>
        <w:t>CAS number:</w:t>
      </w:r>
      <w:r w:rsidR="006E0B2C">
        <w:rPr>
          <w:rFonts w:ascii="Times New Roman" w:hAnsi="Times New Roman"/>
        </w:rPr>
        <w:tab/>
      </w:r>
      <w:r w:rsidRPr="002C0EE5">
        <w:rPr>
          <w:rFonts w:ascii="Times New Roman" w:hAnsi="Times New Roman"/>
          <w:lang w:val="en-CA"/>
        </w:rPr>
        <w:t>873857-62-6</w:t>
      </w:r>
    </w:p>
    <w:p w:rsidR="00360BA9" w:rsidRPr="002C0EE5" w:rsidRDefault="00360BA9" w:rsidP="006E0B2C">
      <w:pPr>
        <w:tabs>
          <w:tab w:val="left" w:pos="2070"/>
        </w:tabs>
        <w:autoSpaceDE w:val="0"/>
        <w:autoSpaceDN w:val="0"/>
        <w:adjustRightInd w:val="0"/>
        <w:spacing w:after="120" w:line="240" w:lineRule="auto"/>
        <w:rPr>
          <w:rFonts w:ascii="Times New Roman" w:hAnsi="Times New Roman"/>
        </w:rPr>
      </w:pPr>
      <w:r w:rsidRPr="002C0EE5">
        <w:rPr>
          <w:rFonts w:ascii="Times New Roman" w:hAnsi="Times New Roman"/>
        </w:rPr>
        <w:t>Molecular weight:</w:t>
      </w:r>
      <w:r w:rsidR="006E0B2C">
        <w:rPr>
          <w:rFonts w:ascii="Times New Roman" w:hAnsi="Times New Roman"/>
        </w:rPr>
        <w:tab/>
      </w:r>
      <w:r w:rsidRPr="002C0EE5">
        <w:rPr>
          <w:rFonts w:ascii="Times New Roman" w:hAnsi="Times New Roman"/>
          <w:lang w:val="en-CA"/>
        </w:rPr>
        <w:t>1058.04</w:t>
      </w:r>
    </w:p>
    <w:p w:rsidR="00360BA9" w:rsidRPr="002C0EE5" w:rsidRDefault="00360BA9" w:rsidP="006E0B2C">
      <w:pPr>
        <w:tabs>
          <w:tab w:val="left" w:pos="2070"/>
        </w:tabs>
        <w:autoSpaceDE w:val="0"/>
        <w:autoSpaceDN w:val="0"/>
        <w:adjustRightInd w:val="0"/>
        <w:spacing w:after="120" w:line="240" w:lineRule="auto"/>
        <w:rPr>
          <w:rFonts w:ascii="Times New Roman" w:hAnsi="Times New Roman"/>
        </w:rPr>
      </w:pPr>
      <w:r w:rsidRPr="002C0EE5">
        <w:rPr>
          <w:rFonts w:ascii="Times New Roman" w:hAnsi="Times New Roman"/>
        </w:rPr>
        <w:t>Molecular formula:</w:t>
      </w:r>
      <w:r w:rsidR="006E0B2C">
        <w:rPr>
          <w:rFonts w:ascii="Times New Roman" w:hAnsi="Times New Roman"/>
        </w:rPr>
        <w:tab/>
      </w:r>
      <w:r w:rsidRPr="002C0EE5">
        <w:rPr>
          <w:rFonts w:ascii="Times New Roman" w:hAnsi="Times New Roman"/>
          <w:lang w:val="en-CA"/>
        </w:rPr>
        <w:t>C</w:t>
      </w:r>
      <w:r w:rsidRPr="002C0EE5">
        <w:rPr>
          <w:rFonts w:ascii="Times New Roman" w:hAnsi="Times New Roman"/>
          <w:vertAlign w:val="subscript"/>
          <w:lang w:val="en-CA"/>
        </w:rPr>
        <w:t>52</w:t>
      </w:r>
      <w:r w:rsidRPr="002C0EE5">
        <w:rPr>
          <w:rFonts w:ascii="Times New Roman" w:hAnsi="Times New Roman"/>
          <w:lang w:val="en-CA"/>
        </w:rPr>
        <w:t>H</w:t>
      </w:r>
      <w:r w:rsidRPr="002C0EE5">
        <w:rPr>
          <w:rFonts w:ascii="Times New Roman" w:hAnsi="Times New Roman"/>
          <w:vertAlign w:val="subscript"/>
          <w:lang w:val="en-CA"/>
        </w:rPr>
        <w:t>74</w:t>
      </w:r>
      <w:r w:rsidRPr="002C0EE5">
        <w:rPr>
          <w:rFonts w:ascii="Times New Roman" w:hAnsi="Times New Roman"/>
          <w:lang w:val="en-CA"/>
        </w:rPr>
        <w:t>Cl</w:t>
      </w:r>
      <w:r w:rsidRPr="002C0EE5">
        <w:rPr>
          <w:rFonts w:ascii="Times New Roman" w:hAnsi="Times New Roman"/>
          <w:vertAlign w:val="subscript"/>
          <w:lang w:val="en-CA"/>
        </w:rPr>
        <w:t>2</w:t>
      </w:r>
      <w:r w:rsidRPr="002C0EE5">
        <w:rPr>
          <w:rFonts w:ascii="Times New Roman" w:hAnsi="Times New Roman"/>
          <w:lang w:val="en-CA"/>
        </w:rPr>
        <w:t>O</w:t>
      </w:r>
      <w:r w:rsidRPr="002C0EE5">
        <w:rPr>
          <w:rFonts w:ascii="Times New Roman" w:hAnsi="Times New Roman"/>
          <w:vertAlign w:val="subscript"/>
          <w:lang w:val="en-CA"/>
        </w:rPr>
        <w:t>18</w:t>
      </w:r>
    </w:p>
    <w:p w:rsidR="00360BA9" w:rsidRPr="002C0EE5" w:rsidRDefault="00360BA9" w:rsidP="00360BA9">
      <w:pPr>
        <w:spacing w:after="120"/>
        <w:rPr>
          <w:rFonts w:ascii="Times New Roman" w:hAnsi="Times New Roman"/>
          <w:b/>
          <w:bCs/>
        </w:rPr>
      </w:pPr>
      <w:r w:rsidRPr="002C0EE5">
        <w:rPr>
          <w:rFonts w:ascii="Times New Roman" w:hAnsi="Times New Roman"/>
        </w:rPr>
        <w:t>Chemical structure:</w:t>
      </w:r>
    </w:p>
    <w:p w:rsidR="00662D13" w:rsidRPr="00DE3969" w:rsidRDefault="002573CC" w:rsidP="00360BA9">
      <w:pPr>
        <w:pStyle w:val="ColorfulList-Accent11"/>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CA"/>
        </w:rPr>
      </w:pPr>
      <w:r>
        <w:rPr>
          <w:rFonts w:ascii="Arial" w:hAnsi="Arial"/>
          <w:noProof/>
        </w:rPr>
        <w:drawing>
          <wp:inline distT="0" distB="0" distL="0" distR="0">
            <wp:extent cx="4701540" cy="2218055"/>
            <wp:effectExtent l="19050" t="0" r="381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l="4259" t="11543" r="1540" b="3381"/>
                    <a:stretch>
                      <a:fillRect/>
                    </a:stretch>
                  </pic:blipFill>
                  <pic:spPr bwMode="auto">
                    <a:xfrm>
                      <a:off x="0" y="0"/>
                      <a:ext cx="4701540" cy="2218055"/>
                    </a:xfrm>
                    <a:prstGeom prst="rect">
                      <a:avLst/>
                    </a:prstGeom>
                    <a:noFill/>
                    <a:ln w="9525">
                      <a:noFill/>
                      <a:miter lim="800000"/>
                      <a:headEnd/>
                      <a:tailEnd/>
                    </a:ln>
                  </pic:spPr>
                </pic:pic>
              </a:graphicData>
            </a:graphic>
          </wp:inline>
        </w:drawing>
      </w:r>
    </w:p>
    <w:p w:rsidR="00DE3969" w:rsidRDefault="00DE3969" w:rsidP="00DE3969">
      <w:pPr>
        <w:pStyle w:val="ColorfulList-Accent11"/>
        <w:rPr>
          <w:b/>
        </w:rPr>
      </w:pPr>
    </w:p>
    <w:p w:rsidR="00360BA9" w:rsidRPr="00360BA9" w:rsidRDefault="00360BA9" w:rsidP="00692175">
      <w:pPr>
        <w:keepNext/>
        <w:rPr>
          <w:rFonts w:ascii="TimesNewRomanPS-BoldMT" w:hAnsi="TimesNewRomanPS-BoldMT" w:cs="TimesNewRomanPS-BoldMT"/>
          <w:b/>
          <w:bCs/>
          <w:sz w:val="28"/>
          <w:szCs w:val="28"/>
          <w:u w:val="single"/>
        </w:rPr>
      </w:pPr>
      <w:r w:rsidRPr="00360BA9">
        <w:rPr>
          <w:rFonts w:ascii="TimesNewRomanPS-BoldMT" w:hAnsi="TimesNewRomanPS-BoldMT" w:cs="TimesNewRomanPS-BoldMT"/>
          <w:b/>
          <w:bCs/>
          <w:sz w:val="28"/>
          <w:szCs w:val="28"/>
          <w:u w:val="single"/>
        </w:rPr>
        <w:t>DESCRIPTION</w:t>
      </w:r>
    </w:p>
    <w:p w:rsidR="00DE3969" w:rsidRPr="00B55283" w:rsidRDefault="00052C76" w:rsidP="00692175">
      <w:pPr>
        <w:rPr>
          <w:rFonts w:ascii="Times New Roman" w:hAnsi="Times New Roman"/>
        </w:rPr>
      </w:pPr>
      <w:r w:rsidRPr="00B55283">
        <w:rPr>
          <w:rFonts w:ascii="Times New Roman" w:hAnsi="Times New Roman"/>
        </w:rPr>
        <w:t>Fidaxomicin is the active ingredient in DIFICID. DIFICID tablets are white to off-white film-coated, oblong tablets; each tablet is debossed with “FDX” on one side and “200” on the other side.</w:t>
      </w:r>
      <w:r w:rsidR="00B55283">
        <w:rPr>
          <w:rFonts w:ascii="Times New Roman" w:hAnsi="Times New Roman"/>
        </w:rPr>
        <w:t xml:space="preserve"> </w:t>
      </w:r>
      <w:r w:rsidR="00D977C3">
        <w:rPr>
          <w:rFonts w:ascii="Times New Roman" w:hAnsi="Times New Roman"/>
        </w:rPr>
        <w:t xml:space="preserve">Fidaxomicin </w:t>
      </w:r>
      <w:r w:rsidR="00B55283">
        <w:rPr>
          <w:rFonts w:ascii="Times New Roman" w:hAnsi="Times New Roman"/>
        </w:rPr>
        <w:t>is f</w:t>
      </w:r>
      <w:r w:rsidR="00DE3969" w:rsidRPr="00B55283">
        <w:rPr>
          <w:rFonts w:ascii="Times New Roman" w:hAnsi="Times New Roman"/>
          <w:lang w:val="en-CA"/>
        </w:rPr>
        <w:t>reely soluble in tetrahydrofuran, di</w:t>
      </w:r>
      <w:r w:rsidR="00B55283">
        <w:rPr>
          <w:rFonts w:ascii="Times New Roman" w:hAnsi="Times New Roman"/>
          <w:lang w:val="en-CA"/>
        </w:rPr>
        <w:t>methyl sulfoxide and methanol, s</w:t>
      </w:r>
      <w:r w:rsidR="00DE3969" w:rsidRPr="00B55283">
        <w:rPr>
          <w:rFonts w:ascii="Times New Roman" w:hAnsi="Times New Roman"/>
          <w:lang w:val="en-CA"/>
        </w:rPr>
        <w:t>oluble in acetone and sparingly soluble in ethyl acetate, ethanol (200 proof), dichloromet</w:t>
      </w:r>
      <w:r w:rsidR="00B55283">
        <w:rPr>
          <w:rFonts w:ascii="Times New Roman" w:hAnsi="Times New Roman"/>
          <w:lang w:val="en-CA"/>
        </w:rPr>
        <w:t>hane and acetonitrile, and slightly</w:t>
      </w:r>
      <w:r w:rsidR="00AA18E8">
        <w:rPr>
          <w:rFonts w:ascii="Times New Roman" w:hAnsi="Times New Roman"/>
          <w:lang w:val="en-CA"/>
        </w:rPr>
        <w:t xml:space="preserve"> </w:t>
      </w:r>
      <w:r w:rsidR="00B55283">
        <w:rPr>
          <w:rFonts w:ascii="Times New Roman" w:hAnsi="Times New Roman"/>
          <w:lang w:val="en-CA"/>
        </w:rPr>
        <w:t>s</w:t>
      </w:r>
      <w:r w:rsidR="00DE3969" w:rsidRPr="00B55283">
        <w:rPr>
          <w:rFonts w:ascii="Times New Roman" w:hAnsi="Times New Roman"/>
          <w:lang w:val="en-CA"/>
        </w:rPr>
        <w:t xml:space="preserve">oluble in isopropanol and practically insoluble in water. </w:t>
      </w:r>
    </w:p>
    <w:p w:rsidR="00DE3969" w:rsidRPr="00E2636F" w:rsidRDefault="00DE3969" w:rsidP="00692175">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lang w:val="en-CA"/>
        </w:rPr>
      </w:pPr>
      <w:r w:rsidRPr="00E2636F">
        <w:rPr>
          <w:rFonts w:ascii="Times New Roman" w:hAnsi="Times New Roman"/>
          <w:b/>
          <w:bCs/>
          <w:u w:val="single"/>
        </w:rPr>
        <w:t xml:space="preserve">List of </w:t>
      </w:r>
      <w:r w:rsidR="00214DD7">
        <w:rPr>
          <w:rFonts w:ascii="Times New Roman" w:hAnsi="Times New Roman"/>
          <w:b/>
          <w:bCs/>
          <w:u w:val="single"/>
        </w:rPr>
        <w:t>E</w:t>
      </w:r>
      <w:r w:rsidRPr="00E2636F">
        <w:rPr>
          <w:rFonts w:ascii="Times New Roman" w:hAnsi="Times New Roman"/>
          <w:b/>
          <w:bCs/>
          <w:u w:val="single"/>
        </w:rPr>
        <w:t>xcipients</w:t>
      </w:r>
    </w:p>
    <w:p w:rsidR="00BF0F06" w:rsidRDefault="00180A0A" w:rsidP="00692175">
      <w:pPr>
        <w:rPr>
          <w:rFonts w:ascii="Times New Roman" w:eastAsia="TimesNewRoman" w:hAnsi="Times New Roman"/>
        </w:rPr>
      </w:pPr>
      <w:r w:rsidRPr="00E2636F">
        <w:rPr>
          <w:rFonts w:ascii="Times New Roman" w:eastAsia="TimesNewRoman" w:hAnsi="Times New Roman"/>
        </w:rPr>
        <w:t xml:space="preserve">Microcrystalline </w:t>
      </w:r>
      <w:r w:rsidRPr="00C946A9">
        <w:rPr>
          <w:rFonts w:ascii="Times New Roman" w:eastAsia="TimesNewRoman" w:hAnsi="Times New Roman"/>
        </w:rPr>
        <w:t>cellulose</w:t>
      </w:r>
      <w:r w:rsidR="00A85263" w:rsidRPr="00C946A9">
        <w:rPr>
          <w:rFonts w:ascii="Times New Roman" w:eastAsia="TimesNewRoman" w:hAnsi="Times New Roman"/>
        </w:rPr>
        <w:t xml:space="preserve">, </w:t>
      </w:r>
      <w:r w:rsidR="00214DD7" w:rsidRPr="00C946A9">
        <w:rPr>
          <w:rFonts w:ascii="Times New Roman" w:eastAsia="TimesNewRoman" w:hAnsi="Times New Roman"/>
        </w:rPr>
        <w:t>p</w:t>
      </w:r>
      <w:r w:rsidRPr="00C946A9">
        <w:rPr>
          <w:rFonts w:ascii="Times New Roman" w:eastAsia="TimesNewRoman" w:hAnsi="Times New Roman"/>
        </w:rPr>
        <w:t xml:space="preserve">regelatinised </w:t>
      </w:r>
      <w:r w:rsidR="00D766E5" w:rsidRPr="000E58C8">
        <w:rPr>
          <w:rFonts w:ascii="Times New Roman" w:eastAsia="TimesNewRoman" w:hAnsi="Times New Roman"/>
        </w:rPr>
        <w:t>maize</w:t>
      </w:r>
      <w:r w:rsidR="00D766E5" w:rsidRPr="00C946A9">
        <w:rPr>
          <w:rFonts w:ascii="Times New Roman" w:eastAsia="TimesNewRoman" w:hAnsi="Times New Roman"/>
        </w:rPr>
        <w:t xml:space="preserve"> </w:t>
      </w:r>
      <w:r w:rsidRPr="00C946A9">
        <w:rPr>
          <w:rFonts w:ascii="Times New Roman" w:eastAsia="TimesNewRoman" w:hAnsi="Times New Roman"/>
        </w:rPr>
        <w:t>starch</w:t>
      </w:r>
      <w:r w:rsidR="00A85263" w:rsidRPr="00C946A9">
        <w:rPr>
          <w:rFonts w:ascii="Times New Roman" w:eastAsia="TimesNewRoman" w:hAnsi="Times New Roman"/>
        </w:rPr>
        <w:t xml:space="preserve">, </w:t>
      </w:r>
      <w:r w:rsidR="00214DD7" w:rsidRPr="000E58C8">
        <w:rPr>
          <w:rFonts w:ascii="Times New Roman" w:eastAsia="TimesNewRoman" w:hAnsi="Times New Roman"/>
        </w:rPr>
        <w:t>h</w:t>
      </w:r>
      <w:r w:rsidR="00D766E5" w:rsidRPr="000E58C8">
        <w:rPr>
          <w:rFonts w:ascii="Times New Roman" w:eastAsia="TimesNewRoman" w:hAnsi="Times New Roman"/>
        </w:rPr>
        <w:t>ydroxypropyl</w:t>
      </w:r>
      <w:r w:rsidRPr="000E58C8">
        <w:rPr>
          <w:rFonts w:ascii="Times New Roman" w:eastAsia="TimesNewRoman" w:hAnsi="Times New Roman"/>
        </w:rPr>
        <w:t>cellulose</w:t>
      </w:r>
      <w:r w:rsidR="00A85263" w:rsidRPr="000E58C8">
        <w:rPr>
          <w:rFonts w:ascii="Times New Roman" w:eastAsia="TimesNewRoman" w:hAnsi="Times New Roman"/>
        </w:rPr>
        <w:t>,</w:t>
      </w:r>
      <w:r w:rsidR="00A85263" w:rsidRPr="00C946A9">
        <w:rPr>
          <w:rFonts w:ascii="Times New Roman" w:eastAsia="TimesNewRoman" w:hAnsi="Times New Roman"/>
        </w:rPr>
        <w:t xml:space="preserve"> </w:t>
      </w:r>
      <w:r w:rsidR="00214DD7" w:rsidRPr="00C946A9">
        <w:rPr>
          <w:rFonts w:ascii="Times New Roman" w:eastAsia="TimesNewRoman" w:hAnsi="Times New Roman"/>
        </w:rPr>
        <w:t>b</w:t>
      </w:r>
      <w:r w:rsidRPr="00C946A9">
        <w:rPr>
          <w:rFonts w:ascii="Times New Roman" w:eastAsia="TimesNewRoman" w:hAnsi="Times New Roman"/>
        </w:rPr>
        <w:t>utylated hydroxytoluene</w:t>
      </w:r>
      <w:r w:rsidR="00A85263" w:rsidRPr="00C946A9">
        <w:rPr>
          <w:rFonts w:ascii="Times New Roman" w:eastAsia="TimesNewRoman" w:hAnsi="Times New Roman"/>
        </w:rPr>
        <w:t xml:space="preserve">, </w:t>
      </w:r>
      <w:r w:rsidR="00214DD7" w:rsidRPr="00C946A9">
        <w:rPr>
          <w:rFonts w:ascii="Times New Roman" w:eastAsia="TimesNewRoman" w:hAnsi="Times New Roman"/>
        </w:rPr>
        <w:t>s</w:t>
      </w:r>
      <w:r w:rsidRPr="00C946A9">
        <w:rPr>
          <w:rFonts w:ascii="Times New Roman" w:eastAsia="TimesNewRoman" w:hAnsi="Times New Roman"/>
        </w:rPr>
        <w:t xml:space="preserve">odium starch </w:t>
      </w:r>
      <w:r w:rsidRPr="000E58C8">
        <w:rPr>
          <w:rFonts w:ascii="Times New Roman" w:eastAsia="TimesNewRoman" w:hAnsi="Times New Roman"/>
        </w:rPr>
        <w:t>glycol</w:t>
      </w:r>
      <w:r w:rsidR="00D766E5" w:rsidRPr="000E58C8">
        <w:rPr>
          <w:rFonts w:ascii="Times New Roman" w:eastAsia="TimesNewRoman" w:hAnsi="Times New Roman"/>
        </w:rPr>
        <w:t>l</w:t>
      </w:r>
      <w:r w:rsidRPr="000E58C8">
        <w:rPr>
          <w:rFonts w:ascii="Times New Roman" w:eastAsia="TimesNewRoman" w:hAnsi="Times New Roman"/>
        </w:rPr>
        <w:t>ate</w:t>
      </w:r>
      <w:r w:rsidR="00A85263" w:rsidRPr="00C946A9">
        <w:rPr>
          <w:rFonts w:ascii="Times New Roman" w:eastAsia="TimesNewRoman" w:hAnsi="Times New Roman"/>
        </w:rPr>
        <w:t xml:space="preserve">, </w:t>
      </w:r>
      <w:r w:rsidR="00214DD7" w:rsidRPr="00C946A9">
        <w:rPr>
          <w:rFonts w:ascii="Times New Roman" w:eastAsia="TimesNewRoman" w:hAnsi="Times New Roman"/>
        </w:rPr>
        <w:t>m</w:t>
      </w:r>
      <w:r w:rsidRPr="00C946A9">
        <w:rPr>
          <w:rFonts w:ascii="Times New Roman" w:eastAsia="TimesNewRoman" w:hAnsi="Times New Roman"/>
        </w:rPr>
        <w:t>agnesium stearate</w:t>
      </w:r>
      <w:r w:rsidR="00A85263" w:rsidRPr="00C946A9">
        <w:rPr>
          <w:rFonts w:ascii="Times New Roman" w:eastAsia="TimesNewRoman" w:hAnsi="Times New Roman"/>
        </w:rPr>
        <w:t xml:space="preserve">, </w:t>
      </w:r>
      <w:r w:rsidR="00214DD7" w:rsidRPr="00C946A9">
        <w:rPr>
          <w:rFonts w:ascii="Times New Roman" w:eastAsia="TimesNewRoman" w:hAnsi="Times New Roman"/>
        </w:rPr>
        <w:t>p</w:t>
      </w:r>
      <w:r w:rsidRPr="00C946A9">
        <w:rPr>
          <w:rFonts w:ascii="Times New Roman" w:eastAsia="TimesNewRoman" w:hAnsi="Times New Roman"/>
        </w:rPr>
        <w:t>olyvinyl alcohol</w:t>
      </w:r>
      <w:r w:rsidR="00A85263" w:rsidRPr="00C946A9">
        <w:rPr>
          <w:rFonts w:ascii="Times New Roman" w:eastAsia="TimesNewRoman" w:hAnsi="Times New Roman"/>
        </w:rPr>
        <w:t xml:space="preserve">, </w:t>
      </w:r>
      <w:r w:rsidR="00214DD7" w:rsidRPr="00C946A9">
        <w:rPr>
          <w:rFonts w:ascii="Times New Roman" w:eastAsia="TimesNewRoman" w:hAnsi="Times New Roman"/>
        </w:rPr>
        <w:t>t</w:t>
      </w:r>
      <w:r w:rsidRPr="00C946A9">
        <w:rPr>
          <w:rFonts w:ascii="Times New Roman" w:eastAsia="TimesNewRoman" w:hAnsi="Times New Roman"/>
        </w:rPr>
        <w:t>itanium dioxide</w:t>
      </w:r>
      <w:r w:rsidR="00A85263" w:rsidRPr="00C946A9">
        <w:rPr>
          <w:rFonts w:ascii="Times New Roman" w:eastAsia="TimesNewRoman" w:hAnsi="Times New Roman"/>
        </w:rPr>
        <w:t xml:space="preserve">, </w:t>
      </w:r>
      <w:r w:rsidR="00214DD7" w:rsidRPr="00C946A9">
        <w:rPr>
          <w:rFonts w:ascii="Times New Roman" w:eastAsia="TimesNewRoman" w:hAnsi="Times New Roman"/>
        </w:rPr>
        <w:t>t</w:t>
      </w:r>
      <w:r w:rsidRPr="00C946A9">
        <w:rPr>
          <w:rFonts w:ascii="Times New Roman" w:eastAsia="TimesNewRoman" w:hAnsi="Times New Roman"/>
        </w:rPr>
        <w:t>alc</w:t>
      </w:r>
      <w:r w:rsidR="00A85263" w:rsidRPr="00C946A9">
        <w:rPr>
          <w:rFonts w:ascii="Times New Roman" w:eastAsia="TimesNewRoman" w:hAnsi="Times New Roman"/>
        </w:rPr>
        <w:t xml:space="preserve">, </w:t>
      </w:r>
      <w:r w:rsidR="00D766E5" w:rsidRPr="000E58C8">
        <w:rPr>
          <w:rFonts w:ascii="Times New Roman" w:eastAsia="TimesNewRoman" w:hAnsi="Times New Roman"/>
        </w:rPr>
        <w:t>Macrogol 3350</w:t>
      </w:r>
      <w:r w:rsidR="00A85263">
        <w:rPr>
          <w:rFonts w:ascii="Times New Roman" w:eastAsia="TimesNewRoman" w:hAnsi="Times New Roman"/>
        </w:rPr>
        <w:t xml:space="preserve">, </w:t>
      </w:r>
      <w:r w:rsidR="00214DD7">
        <w:rPr>
          <w:rFonts w:ascii="Times New Roman" w:eastAsia="TimesNewRoman" w:hAnsi="Times New Roman"/>
        </w:rPr>
        <w:t>l</w:t>
      </w:r>
      <w:r w:rsidRPr="00E2636F">
        <w:rPr>
          <w:rFonts w:ascii="Times New Roman" w:eastAsia="TimesNewRoman" w:hAnsi="Times New Roman"/>
        </w:rPr>
        <w:t>ecithin (</w:t>
      </w:r>
      <w:r w:rsidR="00214DD7">
        <w:rPr>
          <w:rFonts w:ascii="Times New Roman" w:eastAsia="TimesNewRoman" w:hAnsi="Times New Roman"/>
        </w:rPr>
        <w:t>s</w:t>
      </w:r>
      <w:r w:rsidRPr="00E2636F">
        <w:rPr>
          <w:rFonts w:ascii="Times New Roman" w:eastAsia="TimesNewRoman" w:hAnsi="Times New Roman"/>
        </w:rPr>
        <w:t>oy)</w:t>
      </w:r>
    </w:p>
    <w:p w:rsidR="00052C76" w:rsidRPr="00360BA9" w:rsidRDefault="00052C76" w:rsidP="00692175">
      <w:pPr>
        <w:keepNext/>
        <w:rPr>
          <w:rFonts w:ascii="TimesNewRomanPS-BoldMT" w:hAnsi="TimesNewRomanPS-BoldMT" w:cs="TimesNewRomanPS-BoldMT"/>
          <w:b/>
          <w:bCs/>
          <w:sz w:val="28"/>
          <w:szCs w:val="28"/>
          <w:u w:val="single"/>
        </w:rPr>
      </w:pPr>
      <w:r>
        <w:rPr>
          <w:rFonts w:ascii="TimesNewRomanPS-BoldMT" w:hAnsi="TimesNewRomanPS-BoldMT" w:cs="TimesNewRomanPS-BoldMT"/>
          <w:b/>
          <w:bCs/>
          <w:sz w:val="28"/>
          <w:szCs w:val="28"/>
          <w:u w:val="single"/>
        </w:rPr>
        <w:lastRenderedPageBreak/>
        <w:t>PHARMACOLOGY</w:t>
      </w:r>
    </w:p>
    <w:p w:rsidR="00E2636F" w:rsidRPr="00E2636F" w:rsidRDefault="00E2636F" w:rsidP="00692175">
      <w:pPr>
        <w:keepNext/>
        <w:rPr>
          <w:rFonts w:ascii="Times New Roman" w:hAnsi="Times New Roman"/>
          <w:lang w:val="en-CA"/>
        </w:rPr>
      </w:pPr>
      <w:r w:rsidRPr="00E2636F">
        <w:rPr>
          <w:rFonts w:ascii="Times New Roman" w:hAnsi="Times New Roman"/>
          <w:b/>
          <w:u w:val="single"/>
          <w:lang w:val="en-CA"/>
        </w:rPr>
        <w:t>Mechanism of Action</w:t>
      </w:r>
    </w:p>
    <w:p w:rsidR="006A1B3E" w:rsidRDefault="00E2636F" w:rsidP="00692175">
      <w:pPr>
        <w:pStyle w:val="ColorfulList-Accent11"/>
        <w:ind w:left="0"/>
        <w:contextualSpacing w:val="0"/>
        <w:rPr>
          <w:rFonts w:ascii="Times New Roman" w:hAnsi="Times New Roman"/>
          <w:lang w:val="en-CA"/>
        </w:rPr>
      </w:pPr>
      <w:r w:rsidRPr="00E2636F">
        <w:rPr>
          <w:rFonts w:ascii="Times New Roman" w:hAnsi="Times New Roman"/>
          <w:lang w:val="en-CA"/>
        </w:rPr>
        <w:t xml:space="preserve">Fidaxomicin is a novel antibiotic agent and the first of a new class of antibacterials called macrocycles. Fidaxomicin is bactericidal against </w:t>
      </w:r>
      <w:r w:rsidRPr="00E2636F">
        <w:rPr>
          <w:rFonts w:ascii="Times New Roman" w:hAnsi="Times New Roman"/>
          <w:i/>
          <w:iCs/>
          <w:lang w:val="en-CA"/>
        </w:rPr>
        <w:t>C</w:t>
      </w:r>
      <w:r w:rsidR="00407001">
        <w:rPr>
          <w:rFonts w:ascii="Times New Roman" w:hAnsi="Times New Roman"/>
          <w:i/>
          <w:iCs/>
          <w:lang w:val="en-CA"/>
        </w:rPr>
        <w:t>lostridium</w:t>
      </w:r>
      <w:r w:rsidRPr="00E2636F">
        <w:rPr>
          <w:rFonts w:ascii="Times New Roman" w:hAnsi="Times New Roman"/>
          <w:i/>
          <w:iCs/>
          <w:lang w:val="en-CA"/>
        </w:rPr>
        <w:t xml:space="preserve"> difficile</w:t>
      </w:r>
      <w:r w:rsidR="00407001">
        <w:rPr>
          <w:rFonts w:ascii="Times New Roman" w:hAnsi="Times New Roman"/>
          <w:i/>
          <w:iCs/>
          <w:lang w:val="en-CA"/>
        </w:rPr>
        <w:t xml:space="preserve"> (C. difficile)</w:t>
      </w:r>
      <w:r w:rsidRPr="00E2636F">
        <w:rPr>
          <w:rFonts w:ascii="Times New Roman" w:hAnsi="Times New Roman"/>
          <w:lang w:val="en-CA"/>
        </w:rPr>
        <w:t xml:space="preserve"> </w:t>
      </w:r>
      <w:r w:rsidR="00FB4CAB" w:rsidRPr="00210C39">
        <w:rPr>
          <w:rFonts w:ascii="Times New Roman" w:hAnsi="Times New Roman"/>
          <w:i/>
          <w:lang w:val="en-CA"/>
        </w:rPr>
        <w:t>in vitro</w:t>
      </w:r>
      <w:r w:rsidRPr="00E2636F">
        <w:rPr>
          <w:rFonts w:ascii="Times New Roman" w:hAnsi="Times New Roman"/>
          <w:lang w:val="en-CA"/>
        </w:rPr>
        <w:t>, inhibiting RNA synthesis by RNA polymerases.</w:t>
      </w:r>
      <w:r w:rsidR="006A1B3E">
        <w:rPr>
          <w:rFonts w:ascii="Times New Roman" w:hAnsi="Times New Roman"/>
          <w:lang w:val="en-CA"/>
        </w:rPr>
        <w:t xml:space="preserve">  It interferes with RNA polymerase at a site distinct from that of rifamycins.</w:t>
      </w:r>
      <w:r w:rsidRPr="00E2636F">
        <w:rPr>
          <w:rFonts w:ascii="Times New Roman" w:hAnsi="Times New Roman"/>
          <w:lang w:val="en-CA"/>
        </w:rPr>
        <w:t xml:space="preserve"> </w:t>
      </w:r>
      <w:r w:rsidR="006A1B3E" w:rsidRPr="006A1B3E">
        <w:t xml:space="preserve"> </w:t>
      </w:r>
    </w:p>
    <w:p w:rsidR="00E2636F" w:rsidRDefault="00E2636F" w:rsidP="00692175">
      <w:pPr>
        <w:pStyle w:val="ColorfulList-Accent11"/>
        <w:ind w:left="0"/>
        <w:contextualSpacing w:val="0"/>
        <w:rPr>
          <w:rFonts w:ascii="Times New Roman" w:hAnsi="Times New Roman"/>
          <w:lang w:val="en-CA"/>
        </w:rPr>
      </w:pPr>
      <w:r w:rsidRPr="00676119">
        <w:rPr>
          <w:rFonts w:ascii="Times New Roman" w:hAnsi="Times New Roman"/>
          <w:lang w:val="en-CA"/>
        </w:rPr>
        <w:t xml:space="preserve">Fidaxomicin has also been shown to inhibit </w:t>
      </w:r>
      <w:r w:rsidRPr="00676119">
        <w:rPr>
          <w:rFonts w:ascii="Times New Roman" w:hAnsi="Times New Roman"/>
          <w:i/>
          <w:iCs/>
          <w:lang w:val="en-CA"/>
        </w:rPr>
        <w:t>C. difficile</w:t>
      </w:r>
      <w:r w:rsidRPr="00676119">
        <w:rPr>
          <w:rFonts w:ascii="Times New Roman" w:hAnsi="Times New Roman"/>
          <w:lang w:val="en-CA"/>
        </w:rPr>
        <w:t xml:space="preserve"> sporulation </w:t>
      </w:r>
      <w:r w:rsidR="00FB4CAB" w:rsidRPr="00210C39">
        <w:rPr>
          <w:rFonts w:ascii="Times New Roman" w:hAnsi="Times New Roman"/>
          <w:i/>
          <w:lang w:val="en-CA"/>
        </w:rPr>
        <w:t>in vitro</w:t>
      </w:r>
      <w:r w:rsidRPr="00676119">
        <w:rPr>
          <w:rFonts w:ascii="Times New Roman" w:hAnsi="Times New Roman"/>
          <w:lang w:val="en-CA"/>
        </w:rPr>
        <w:t xml:space="preserve">. </w:t>
      </w:r>
      <w:r w:rsidR="00A85263" w:rsidRPr="00676119">
        <w:rPr>
          <w:rFonts w:ascii="Times New Roman" w:hAnsi="Times New Roman"/>
          <w:lang w:val="en-CA"/>
        </w:rPr>
        <w:t>F</w:t>
      </w:r>
      <w:r w:rsidR="00A85263">
        <w:rPr>
          <w:rFonts w:ascii="Times New Roman" w:hAnsi="Times New Roman"/>
          <w:lang w:val="en-CA"/>
        </w:rPr>
        <w:t>a</w:t>
      </w:r>
      <w:r w:rsidR="00A85263" w:rsidRPr="00676119">
        <w:rPr>
          <w:rFonts w:ascii="Times New Roman" w:hAnsi="Times New Roman"/>
          <w:lang w:val="en-CA"/>
        </w:rPr>
        <w:t>ecal</w:t>
      </w:r>
      <w:r w:rsidRPr="00676119">
        <w:rPr>
          <w:rFonts w:ascii="Times New Roman" w:hAnsi="Times New Roman"/>
          <w:lang w:val="en-CA"/>
        </w:rPr>
        <w:t xml:space="preserve"> spore counts (CFU count/g) in </w:t>
      </w:r>
      <w:r w:rsidR="00695C6B">
        <w:rPr>
          <w:rFonts w:ascii="Times New Roman" w:hAnsi="Times New Roman"/>
          <w:lang w:val="en-CA"/>
        </w:rPr>
        <w:t>subjects</w:t>
      </w:r>
      <w:r w:rsidRPr="00676119">
        <w:rPr>
          <w:rFonts w:ascii="Times New Roman" w:hAnsi="Times New Roman"/>
          <w:lang w:val="en-CA"/>
        </w:rPr>
        <w:t xml:space="preserve"> who had received DIFICID were found to be 2.3 log</w:t>
      </w:r>
      <w:r w:rsidRPr="00676119">
        <w:rPr>
          <w:rFonts w:ascii="Times New Roman" w:hAnsi="Times New Roman"/>
          <w:vertAlign w:val="subscript"/>
          <w:lang w:val="en-CA"/>
        </w:rPr>
        <w:t>10</w:t>
      </w:r>
      <w:r w:rsidRPr="00676119">
        <w:rPr>
          <w:rFonts w:ascii="Times New Roman" w:hAnsi="Times New Roman"/>
          <w:lang w:val="en-CA"/>
        </w:rPr>
        <w:t xml:space="preserve"> lower at 21 to 28 days post-therapy than in those </w:t>
      </w:r>
      <w:r w:rsidR="00695C6B">
        <w:rPr>
          <w:rFonts w:ascii="Times New Roman" w:hAnsi="Times New Roman"/>
          <w:lang w:val="en-CA"/>
        </w:rPr>
        <w:t>subjects</w:t>
      </w:r>
      <w:r w:rsidRPr="00676119">
        <w:rPr>
          <w:rFonts w:ascii="Times New Roman" w:hAnsi="Times New Roman"/>
          <w:lang w:val="en-CA"/>
        </w:rPr>
        <w:t xml:space="preserve"> who had received vancomycin.</w:t>
      </w:r>
    </w:p>
    <w:p w:rsidR="00E71D4B" w:rsidRDefault="00E71D4B" w:rsidP="00692175">
      <w:pPr>
        <w:pStyle w:val="ColorfulList-Accent11"/>
        <w:keepNext/>
        <w:ind w:left="0"/>
        <w:contextualSpacing w:val="0"/>
        <w:rPr>
          <w:rFonts w:ascii="Times New Roman" w:hAnsi="Times New Roman"/>
          <w:b/>
          <w:bCs/>
          <w:u w:val="single"/>
        </w:rPr>
      </w:pPr>
      <w:r>
        <w:rPr>
          <w:rFonts w:ascii="Times New Roman" w:hAnsi="Times New Roman"/>
          <w:b/>
          <w:bCs/>
          <w:u w:val="single"/>
        </w:rPr>
        <w:t>Microbiology</w:t>
      </w:r>
    </w:p>
    <w:p w:rsidR="007D41DB" w:rsidRDefault="007D41DB" w:rsidP="00692175">
      <w:pPr>
        <w:pStyle w:val="ColorfulList-Accent11"/>
        <w:keepNext/>
        <w:ind w:left="0"/>
        <w:contextualSpacing w:val="0"/>
        <w:rPr>
          <w:rFonts w:ascii="Times New Roman" w:hAnsi="Times New Roman"/>
          <w:bCs/>
        </w:rPr>
      </w:pPr>
      <w:r w:rsidRPr="007D41DB">
        <w:rPr>
          <w:rFonts w:ascii="Times New Roman" w:hAnsi="Times New Roman"/>
          <w:bCs/>
        </w:rPr>
        <w:t>Antimicrob</w:t>
      </w:r>
      <w:r w:rsidR="005053FE">
        <w:rPr>
          <w:rFonts w:ascii="Times New Roman" w:hAnsi="Times New Roman"/>
          <w:bCs/>
        </w:rPr>
        <w:t>i</w:t>
      </w:r>
      <w:r w:rsidRPr="007D41DB">
        <w:rPr>
          <w:rFonts w:ascii="Times New Roman" w:hAnsi="Times New Roman"/>
          <w:bCs/>
        </w:rPr>
        <w:t>al spectrum</w:t>
      </w:r>
    </w:p>
    <w:p w:rsidR="00281BCA" w:rsidRPr="00B874FD" w:rsidRDefault="007D41DB" w:rsidP="00692175">
      <w:pPr>
        <w:pStyle w:val="ColorfulList-Accent11"/>
        <w:keepNext/>
        <w:ind w:left="0"/>
        <w:contextualSpacing w:val="0"/>
        <w:rPr>
          <w:rFonts w:ascii="Times New Roman" w:hAnsi="Times New Roman"/>
          <w:bCs/>
        </w:rPr>
      </w:pPr>
      <w:r>
        <w:rPr>
          <w:rFonts w:ascii="Times New Roman" w:hAnsi="Times New Roman"/>
          <w:bCs/>
        </w:rPr>
        <w:t xml:space="preserve">Fidaxomicin is a narrow spectrum antimicrobial drug with bactericidal activity against </w:t>
      </w:r>
      <w:r w:rsidRPr="007D41DB">
        <w:rPr>
          <w:rFonts w:ascii="Times New Roman" w:hAnsi="Times New Roman"/>
          <w:bCs/>
          <w:i/>
        </w:rPr>
        <w:t>C. difficile</w:t>
      </w:r>
      <w:r>
        <w:rPr>
          <w:rFonts w:ascii="Times New Roman" w:hAnsi="Times New Roman"/>
          <w:bCs/>
        </w:rPr>
        <w:t>.  Fidaxomicin has an MIC</w:t>
      </w:r>
      <w:r w:rsidRPr="007D41DB">
        <w:rPr>
          <w:rFonts w:ascii="Times New Roman" w:hAnsi="Times New Roman"/>
          <w:bCs/>
          <w:vertAlign w:val="subscript"/>
        </w:rPr>
        <w:t>90</w:t>
      </w:r>
      <w:r w:rsidR="00CE19EC">
        <w:rPr>
          <w:rFonts w:ascii="Times New Roman" w:hAnsi="Times New Roman"/>
          <w:bCs/>
        </w:rPr>
        <w:t xml:space="preserve"> of 0.25 </w:t>
      </w:r>
      <w:r w:rsidR="00CE19EC" w:rsidRPr="00E71D4B">
        <w:rPr>
          <w:rFonts w:ascii="Times New Roman" w:hAnsi="Times New Roman"/>
          <w:lang w:val="en-CA"/>
        </w:rPr>
        <w:t>µg/mL</w:t>
      </w:r>
      <w:r w:rsidR="00CE19EC">
        <w:rPr>
          <w:rFonts w:ascii="Times New Roman" w:hAnsi="Times New Roman"/>
          <w:bCs/>
        </w:rPr>
        <w:t xml:space="preserve"> </w:t>
      </w:r>
      <w:r>
        <w:rPr>
          <w:rFonts w:ascii="Times New Roman" w:hAnsi="Times New Roman"/>
          <w:bCs/>
        </w:rPr>
        <w:t xml:space="preserve">versus </w:t>
      </w:r>
      <w:r w:rsidRPr="007D41DB">
        <w:rPr>
          <w:rFonts w:ascii="Times New Roman" w:hAnsi="Times New Roman"/>
          <w:bCs/>
          <w:i/>
        </w:rPr>
        <w:t>C. difficile</w:t>
      </w:r>
      <w:r>
        <w:rPr>
          <w:rFonts w:ascii="Times New Roman" w:hAnsi="Times New Roman"/>
          <w:bCs/>
        </w:rPr>
        <w:t>, and its main metabolite, OP-1118, has an MIC</w:t>
      </w:r>
      <w:r w:rsidRPr="007D41DB">
        <w:rPr>
          <w:rFonts w:ascii="Times New Roman" w:hAnsi="Times New Roman"/>
          <w:bCs/>
          <w:vertAlign w:val="subscript"/>
        </w:rPr>
        <w:t>90</w:t>
      </w:r>
      <w:r w:rsidR="00CE19EC">
        <w:rPr>
          <w:rFonts w:ascii="Times New Roman" w:hAnsi="Times New Roman"/>
          <w:bCs/>
        </w:rPr>
        <w:t xml:space="preserve"> of 8 </w:t>
      </w:r>
      <w:r w:rsidR="00CE19EC" w:rsidRPr="00E71D4B">
        <w:rPr>
          <w:rFonts w:ascii="Times New Roman" w:hAnsi="Times New Roman"/>
          <w:lang w:val="en-CA"/>
        </w:rPr>
        <w:t>µg/mL</w:t>
      </w:r>
      <w:r>
        <w:rPr>
          <w:rFonts w:ascii="Times New Roman" w:hAnsi="Times New Roman"/>
          <w:bCs/>
        </w:rPr>
        <w:t>.  Gram negative organisms are intrinsically not susceptible to fidaxomicin.</w:t>
      </w:r>
    </w:p>
    <w:p w:rsidR="00281BCA" w:rsidRDefault="00281BCA" w:rsidP="00692175">
      <w:pPr>
        <w:pStyle w:val="ColorfulList-Accent11"/>
        <w:keepNext/>
        <w:ind w:left="0"/>
        <w:contextualSpacing w:val="0"/>
        <w:rPr>
          <w:rFonts w:ascii="Times New Roman" w:hAnsi="Times New Roman"/>
          <w:bCs/>
        </w:rPr>
      </w:pPr>
      <w:r w:rsidRPr="006A1B3E">
        <w:rPr>
          <w:rFonts w:ascii="Times New Roman" w:hAnsi="Times New Roman"/>
          <w:lang w:val="en-CA"/>
        </w:rPr>
        <w:t xml:space="preserve">Inhibition of the Clostridial RNA polymerase enzyme occurs at a concentration that is 20-fold lower than that for the </w:t>
      </w:r>
      <w:r w:rsidRPr="007D41DB">
        <w:rPr>
          <w:rFonts w:ascii="Times New Roman" w:hAnsi="Times New Roman"/>
          <w:i/>
          <w:lang w:val="en-CA"/>
        </w:rPr>
        <w:t xml:space="preserve">E. coli </w:t>
      </w:r>
      <w:r w:rsidRPr="006A1B3E">
        <w:rPr>
          <w:rFonts w:ascii="Times New Roman" w:hAnsi="Times New Roman"/>
          <w:lang w:val="en-CA"/>
        </w:rPr>
        <w:t>enzyme (1 µM vs. 20 µM), partly explaining the significant specificity of fidaxomicin activity.</w:t>
      </w:r>
    </w:p>
    <w:p w:rsidR="007025D2" w:rsidRPr="000E58C8" w:rsidRDefault="00AD4C1E" w:rsidP="00692175">
      <w:pPr>
        <w:pStyle w:val="ColorfulList-Accent11"/>
        <w:keepNext/>
        <w:ind w:left="0"/>
        <w:contextualSpacing w:val="0"/>
        <w:rPr>
          <w:rFonts w:ascii="Times New Roman" w:hAnsi="Times New Roman"/>
          <w:bCs/>
        </w:rPr>
      </w:pPr>
      <w:r w:rsidRPr="000E58C8">
        <w:rPr>
          <w:rFonts w:ascii="Times New Roman" w:hAnsi="Times New Roman"/>
          <w:bCs/>
        </w:rPr>
        <w:t>Resistance</w:t>
      </w:r>
    </w:p>
    <w:p w:rsidR="00281BCA" w:rsidRDefault="00A541C6" w:rsidP="00692175">
      <w:pPr>
        <w:pStyle w:val="ColorfulList-Accent11"/>
        <w:ind w:left="0"/>
        <w:contextualSpacing w:val="0"/>
        <w:rPr>
          <w:rFonts w:ascii="Times New Roman" w:hAnsi="Times New Roman"/>
          <w:lang w:val="en-CA"/>
        </w:rPr>
      </w:pPr>
      <w:r>
        <w:rPr>
          <w:rFonts w:ascii="Times New Roman" w:hAnsi="Times New Roman"/>
          <w:lang w:val="en-CA"/>
        </w:rPr>
        <w:t>N</w:t>
      </w:r>
      <w:r w:rsidR="00AD4C1E" w:rsidRPr="00AD4C1E">
        <w:rPr>
          <w:rFonts w:ascii="Times New Roman" w:hAnsi="Times New Roman"/>
          <w:lang w:val="en-CA"/>
        </w:rPr>
        <w:t>o cross-resistance has been discovered with any other antibiotic class including β-lactams, macrolides, metronidazole, quinolones, rifampin, and vancomycin. Specific mutations of RNA polymerase are associated with reduced susceptibility to fidaxomicin.</w:t>
      </w:r>
      <w:r w:rsidR="008D41B8">
        <w:rPr>
          <w:rFonts w:ascii="Times New Roman" w:hAnsi="Times New Roman"/>
          <w:lang w:val="en-CA"/>
        </w:rPr>
        <w:t xml:space="preserve">  </w:t>
      </w:r>
    </w:p>
    <w:p w:rsidR="008C52C3" w:rsidRDefault="008C52C3" w:rsidP="00692175">
      <w:pPr>
        <w:pStyle w:val="ColorfulList-Accent11"/>
        <w:ind w:left="0"/>
        <w:contextualSpacing w:val="0"/>
        <w:rPr>
          <w:rFonts w:ascii="Times New Roman" w:hAnsi="Times New Roman"/>
          <w:lang w:val="en-CA"/>
        </w:rPr>
      </w:pPr>
      <w:r>
        <w:rPr>
          <w:rFonts w:ascii="Times New Roman" w:hAnsi="Times New Roman"/>
          <w:lang w:val="en-CA"/>
        </w:rPr>
        <w:t>Breakpoints</w:t>
      </w:r>
    </w:p>
    <w:p w:rsidR="00E71D4B" w:rsidRDefault="008C52C3" w:rsidP="003E65F8">
      <w:pPr>
        <w:pStyle w:val="ColorfulList-Accent11"/>
        <w:ind w:left="0"/>
        <w:rPr>
          <w:rFonts w:ascii="Times New Roman" w:hAnsi="Times New Roman"/>
          <w:lang w:val="en-CA"/>
        </w:rPr>
      </w:pPr>
      <w:r w:rsidRPr="008C52C3">
        <w:rPr>
          <w:rFonts w:ascii="Times New Roman" w:hAnsi="Times New Roman"/>
          <w:lang w:val="en-CA"/>
        </w:rPr>
        <w:t>Fidaxomicin is a topically acting drug that cannot be used to treat systemic infections; therefore the</w:t>
      </w:r>
      <w:r>
        <w:rPr>
          <w:rFonts w:ascii="Times New Roman" w:hAnsi="Times New Roman"/>
          <w:lang w:val="en-CA"/>
        </w:rPr>
        <w:t xml:space="preserve"> </w:t>
      </w:r>
      <w:r w:rsidRPr="008C52C3">
        <w:rPr>
          <w:rFonts w:ascii="Times New Roman" w:hAnsi="Times New Roman"/>
          <w:lang w:val="en-CA"/>
        </w:rPr>
        <w:t>establishment of a clinical breakpoint is not relevant. The epidemiological cut-off value for</w:t>
      </w:r>
      <w:r>
        <w:rPr>
          <w:rFonts w:ascii="Times New Roman" w:hAnsi="Times New Roman"/>
          <w:lang w:val="en-CA"/>
        </w:rPr>
        <w:t xml:space="preserve"> </w:t>
      </w:r>
      <w:r w:rsidRPr="008C52C3">
        <w:rPr>
          <w:rFonts w:ascii="Times New Roman" w:hAnsi="Times New Roman"/>
          <w:lang w:val="en-CA"/>
        </w:rPr>
        <w:t xml:space="preserve">fidaxomicin and </w:t>
      </w:r>
      <w:r w:rsidRPr="00806B19">
        <w:rPr>
          <w:rFonts w:ascii="Times New Roman" w:hAnsi="Times New Roman"/>
          <w:i/>
          <w:lang w:val="en-CA"/>
        </w:rPr>
        <w:t>C. difficile</w:t>
      </w:r>
      <w:r w:rsidRPr="008C52C3">
        <w:rPr>
          <w:rFonts w:ascii="Times New Roman" w:hAnsi="Times New Roman"/>
          <w:lang w:val="en-CA"/>
        </w:rPr>
        <w:t>, distinguishing the wild-type population from isolates with acquired</w:t>
      </w:r>
      <w:r>
        <w:rPr>
          <w:rFonts w:ascii="Times New Roman" w:hAnsi="Times New Roman"/>
          <w:lang w:val="en-CA"/>
        </w:rPr>
        <w:t xml:space="preserve"> </w:t>
      </w:r>
      <w:r w:rsidRPr="008C52C3">
        <w:rPr>
          <w:rFonts w:ascii="Times New Roman" w:hAnsi="Times New Roman"/>
          <w:lang w:val="en-CA"/>
        </w:rPr>
        <w:t>resistance traits, is &gt; 1.0 mg/L.</w:t>
      </w:r>
    </w:p>
    <w:p w:rsidR="003E65F8" w:rsidRDefault="003E65F8" w:rsidP="003E65F8">
      <w:pPr>
        <w:pStyle w:val="ColorfulList-Accent11"/>
        <w:ind w:left="0"/>
        <w:rPr>
          <w:rFonts w:ascii="Times New Roman" w:hAnsi="Times New Roman"/>
          <w:lang w:val="en-CA"/>
        </w:rPr>
      </w:pPr>
    </w:p>
    <w:p w:rsidR="00E71D4B" w:rsidRDefault="00E71D4B" w:rsidP="003E65F8">
      <w:pPr>
        <w:pStyle w:val="ColorfulList-Accent11"/>
        <w:spacing w:line="480" w:lineRule="auto"/>
        <w:ind w:left="0"/>
        <w:rPr>
          <w:rFonts w:ascii="Times New Roman" w:hAnsi="Times New Roman"/>
          <w:lang w:val="en-CA"/>
        </w:rPr>
      </w:pPr>
      <w:r>
        <w:rPr>
          <w:rFonts w:ascii="Times New Roman" w:hAnsi="Times New Roman"/>
          <w:lang w:val="en-CA"/>
        </w:rPr>
        <w:t>Mechanism of decreased susceptibility to DIFICID</w:t>
      </w:r>
    </w:p>
    <w:p w:rsidR="0000668C" w:rsidRDefault="00E71D4B" w:rsidP="003E65F8">
      <w:pPr>
        <w:pStyle w:val="ColorfulList-Accent11"/>
        <w:ind w:left="0"/>
        <w:rPr>
          <w:rFonts w:ascii="Times New Roman" w:hAnsi="Times New Roman"/>
          <w:lang w:val="en-CA"/>
        </w:rPr>
      </w:pPr>
      <w:r w:rsidRPr="00E71D4B">
        <w:rPr>
          <w:rFonts w:ascii="Times New Roman" w:hAnsi="Times New Roman"/>
          <w:lang w:val="en-CA"/>
        </w:rPr>
        <w:t xml:space="preserve">In vitro studies indicate a low frequency of spontaneous resistance to </w:t>
      </w:r>
      <w:r>
        <w:rPr>
          <w:rFonts w:ascii="Times New Roman" w:hAnsi="Times New Roman"/>
          <w:lang w:val="en-CA"/>
        </w:rPr>
        <w:t>DIFICID</w:t>
      </w:r>
      <w:r w:rsidRPr="00E71D4B">
        <w:rPr>
          <w:rFonts w:ascii="Times New Roman" w:hAnsi="Times New Roman"/>
          <w:lang w:val="en-CA"/>
        </w:rPr>
        <w:t xml:space="preserve"> in </w:t>
      </w:r>
      <w:r w:rsidRPr="00E71D4B">
        <w:rPr>
          <w:rFonts w:ascii="Times New Roman" w:hAnsi="Times New Roman"/>
          <w:i/>
          <w:lang w:val="en-CA"/>
        </w:rPr>
        <w:t>C. difficile</w:t>
      </w:r>
      <w:r w:rsidRPr="00E71D4B">
        <w:rPr>
          <w:rFonts w:ascii="Times New Roman" w:hAnsi="Times New Roman"/>
          <w:lang w:val="en-CA"/>
        </w:rPr>
        <w:t xml:space="preserve"> (ranging from &lt;1.4 × 10</w:t>
      </w:r>
      <w:r w:rsidRPr="007D41DB">
        <w:rPr>
          <w:rFonts w:ascii="Times New Roman" w:hAnsi="Times New Roman"/>
          <w:vertAlign w:val="superscript"/>
          <w:lang w:val="en-CA"/>
        </w:rPr>
        <w:t>-9</w:t>
      </w:r>
      <w:r w:rsidRPr="00E71D4B">
        <w:rPr>
          <w:rFonts w:ascii="Times New Roman" w:hAnsi="Times New Roman"/>
          <w:lang w:val="en-CA"/>
        </w:rPr>
        <w:t xml:space="preserve"> to 12.8 × 10</w:t>
      </w:r>
      <w:r w:rsidRPr="007D41DB">
        <w:rPr>
          <w:rFonts w:ascii="Times New Roman" w:hAnsi="Times New Roman"/>
          <w:vertAlign w:val="superscript"/>
          <w:lang w:val="en-CA"/>
        </w:rPr>
        <w:t>-9</w:t>
      </w:r>
      <w:r w:rsidRPr="00E71D4B">
        <w:rPr>
          <w:rFonts w:ascii="Times New Roman" w:hAnsi="Times New Roman"/>
          <w:lang w:val="en-CA"/>
        </w:rPr>
        <w:t xml:space="preserve">). A specific mutation (Val-ll43-Gly) in the beta subunit of RNA polymerase is associated with reduced susceptibility to </w:t>
      </w:r>
      <w:r>
        <w:rPr>
          <w:rFonts w:ascii="Times New Roman" w:hAnsi="Times New Roman"/>
          <w:lang w:val="en-CA"/>
        </w:rPr>
        <w:t>DIFICID</w:t>
      </w:r>
      <w:r w:rsidRPr="00E71D4B">
        <w:rPr>
          <w:rFonts w:ascii="Times New Roman" w:hAnsi="Times New Roman"/>
          <w:lang w:val="en-CA"/>
        </w:rPr>
        <w:t xml:space="preserve">.  This mutation was created in the laboratory and seen during clinical trials in a </w:t>
      </w:r>
      <w:r w:rsidRPr="00E71D4B">
        <w:rPr>
          <w:rFonts w:ascii="Times New Roman" w:hAnsi="Times New Roman"/>
          <w:i/>
          <w:lang w:val="en-CA"/>
        </w:rPr>
        <w:t>C. difficile</w:t>
      </w:r>
      <w:r w:rsidRPr="00E71D4B">
        <w:rPr>
          <w:rFonts w:ascii="Times New Roman" w:hAnsi="Times New Roman"/>
          <w:lang w:val="en-CA"/>
        </w:rPr>
        <w:t xml:space="preserve"> isolate obtained from a subject treated with </w:t>
      </w:r>
      <w:r w:rsidR="003C2204">
        <w:rPr>
          <w:rFonts w:ascii="Times New Roman" w:hAnsi="Times New Roman"/>
          <w:lang w:val="en-CA"/>
        </w:rPr>
        <w:t>DIFICID</w:t>
      </w:r>
      <w:r w:rsidRPr="00E71D4B">
        <w:rPr>
          <w:rFonts w:ascii="Times New Roman" w:hAnsi="Times New Roman"/>
          <w:lang w:val="en-CA"/>
        </w:rPr>
        <w:t xml:space="preserve"> who had recurrence of CDAD. The </w:t>
      </w:r>
      <w:r w:rsidRPr="00E71D4B">
        <w:rPr>
          <w:rFonts w:ascii="Times New Roman" w:hAnsi="Times New Roman"/>
          <w:i/>
          <w:lang w:val="en-CA"/>
        </w:rPr>
        <w:t>C. difficile</w:t>
      </w:r>
      <w:r w:rsidRPr="00E71D4B">
        <w:rPr>
          <w:rFonts w:ascii="Times New Roman" w:hAnsi="Times New Roman"/>
          <w:lang w:val="en-CA"/>
        </w:rPr>
        <w:t xml:space="preserve"> isolate from the treated subject went from a </w:t>
      </w:r>
      <w:r w:rsidR="003C2204">
        <w:rPr>
          <w:rFonts w:ascii="Times New Roman" w:hAnsi="Times New Roman"/>
          <w:lang w:val="en-CA"/>
        </w:rPr>
        <w:t>DIFICID</w:t>
      </w:r>
      <w:r w:rsidRPr="00E71D4B">
        <w:rPr>
          <w:rFonts w:ascii="Times New Roman" w:hAnsi="Times New Roman"/>
          <w:lang w:val="en-CA"/>
        </w:rPr>
        <w:t xml:space="preserve"> baseline minimal inhibitory concentration (MIC) of 0.06 µg/mL to 16 µg/mL.</w:t>
      </w:r>
      <w:r w:rsidR="003E65F8" w:rsidDel="003E65F8">
        <w:rPr>
          <w:rFonts w:ascii="Times New Roman" w:hAnsi="Times New Roman"/>
          <w:lang w:val="en-CA"/>
        </w:rPr>
        <w:t xml:space="preserve"> </w:t>
      </w:r>
    </w:p>
    <w:p w:rsidR="00EF2E9C" w:rsidRDefault="00EF2E9C" w:rsidP="0000668C">
      <w:pPr>
        <w:pStyle w:val="ColorfulList-Accent11"/>
        <w:ind w:left="0"/>
        <w:contextualSpacing w:val="0"/>
        <w:rPr>
          <w:rFonts w:ascii="Times New Roman" w:hAnsi="Times New Roman"/>
          <w:lang w:val="en-CA"/>
        </w:rPr>
      </w:pPr>
    </w:p>
    <w:p w:rsidR="0000668C" w:rsidRDefault="0000668C" w:rsidP="0000668C">
      <w:pPr>
        <w:pStyle w:val="ColorfulList-Accent11"/>
        <w:ind w:left="0"/>
        <w:contextualSpacing w:val="0"/>
        <w:rPr>
          <w:rFonts w:ascii="Times New Roman" w:hAnsi="Times New Roman"/>
          <w:lang w:val="en-CA"/>
        </w:rPr>
      </w:pPr>
      <w:r>
        <w:rPr>
          <w:rFonts w:ascii="Times New Roman" w:hAnsi="Times New Roman"/>
          <w:lang w:val="en-CA"/>
        </w:rPr>
        <w:t>Cross-Resistance/synergy/post-antibiotic effect</w:t>
      </w:r>
    </w:p>
    <w:p w:rsidR="0000668C" w:rsidRPr="00EF2E9C" w:rsidRDefault="0000668C" w:rsidP="00EF2E9C">
      <w:pPr>
        <w:pStyle w:val="ColorfulList-Accent11"/>
        <w:ind w:left="0"/>
        <w:contextualSpacing w:val="0"/>
        <w:rPr>
          <w:rFonts w:ascii="Times New Roman" w:hAnsi="Times New Roman"/>
          <w:lang w:val="en-CA"/>
        </w:rPr>
      </w:pPr>
      <w:r>
        <w:rPr>
          <w:rFonts w:ascii="Times New Roman" w:hAnsi="Times New Roman"/>
          <w:lang w:val="en-CA"/>
        </w:rPr>
        <w:lastRenderedPageBreak/>
        <w:t>DIFICID</w:t>
      </w:r>
      <w:r w:rsidRPr="008D41B8">
        <w:rPr>
          <w:rFonts w:ascii="Times New Roman" w:hAnsi="Times New Roman"/>
          <w:lang w:val="en-CA"/>
        </w:rPr>
        <w:t xml:space="preserve"> and its main metabolite OP-1118 do not exhibit any antagonistic interaction with other classes of antibacterial drugs.  In vitro synergistic interactions of </w:t>
      </w:r>
      <w:r>
        <w:rPr>
          <w:rFonts w:ascii="Times New Roman" w:hAnsi="Times New Roman"/>
          <w:lang w:val="en-CA"/>
        </w:rPr>
        <w:t>DIFICID</w:t>
      </w:r>
      <w:r w:rsidRPr="008D41B8">
        <w:rPr>
          <w:rFonts w:ascii="Times New Roman" w:hAnsi="Times New Roman"/>
          <w:lang w:val="en-CA"/>
        </w:rPr>
        <w:t xml:space="preserve"> and OP-1118 have been observed in vitro with rifampin and rifaximin against </w:t>
      </w:r>
      <w:r w:rsidRPr="008D41B8">
        <w:rPr>
          <w:rFonts w:ascii="Times New Roman" w:hAnsi="Times New Roman"/>
          <w:i/>
          <w:lang w:val="en-CA"/>
        </w:rPr>
        <w:t>C. difficile</w:t>
      </w:r>
      <w:r w:rsidRPr="008D41B8">
        <w:rPr>
          <w:rFonts w:ascii="Times New Roman" w:hAnsi="Times New Roman"/>
          <w:lang w:val="en-CA"/>
        </w:rPr>
        <w:t xml:space="preserve"> (FIC values ≤0.5).  </w:t>
      </w:r>
      <w:r>
        <w:rPr>
          <w:rFonts w:ascii="Times New Roman" w:hAnsi="Times New Roman"/>
          <w:lang w:val="en-CA"/>
        </w:rPr>
        <w:t>DIFICID</w:t>
      </w:r>
      <w:r w:rsidRPr="008D41B8">
        <w:rPr>
          <w:rFonts w:ascii="Times New Roman" w:hAnsi="Times New Roman"/>
          <w:lang w:val="en-CA"/>
        </w:rPr>
        <w:t xml:space="preserve"> demonstrates a post-antibiotic effect vs. </w:t>
      </w:r>
      <w:r w:rsidRPr="008D41B8">
        <w:rPr>
          <w:rFonts w:ascii="Times New Roman" w:hAnsi="Times New Roman"/>
          <w:i/>
          <w:lang w:val="en-CA"/>
        </w:rPr>
        <w:t>C. difficile</w:t>
      </w:r>
      <w:r w:rsidRPr="008D41B8">
        <w:rPr>
          <w:rFonts w:ascii="Times New Roman" w:hAnsi="Times New Roman"/>
          <w:lang w:val="en-CA"/>
        </w:rPr>
        <w:t xml:space="preserve"> of 6 – 10 hrs.</w:t>
      </w:r>
    </w:p>
    <w:p w:rsidR="002F4D12" w:rsidRPr="002F4D12" w:rsidRDefault="002F4D12" w:rsidP="002F4D12">
      <w:pPr>
        <w:rPr>
          <w:rFonts w:ascii="Times New Roman" w:hAnsi="Times New Roman"/>
          <w:lang w:val="en-CA"/>
        </w:rPr>
      </w:pPr>
      <w:r w:rsidRPr="002F4D12">
        <w:rPr>
          <w:rFonts w:ascii="Times New Roman" w:hAnsi="Times New Roman"/>
        </w:rPr>
        <w:t>Susceptibility Testing</w:t>
      </w:r>
    </w:p>
    <w:p w:rsidR="00281BCA" w:rsidRDefault="004962A9" w:rsidP="00281BCA">
      <w:pPr>
        <w:pStyle w:val="ColorfulList-Accent11"/>
        <w:ind w:left="0"/>
        <w:contextualSpacing w:val="0"/>
        <w:rPr>
          <w:rFonts w:ascii="Times New Roman" w:hAnsi="Times New Roman"/>
        </w:rPr>
      </w:pPr>
      <w:r w:rsidRPr="004962A9">
        <w:rPr>
          <w:rFonts w:ascii="Times New Roman" w:hAnsi="Times New Roman"/>
        </w:rPr>
        <w:t>The clinical microbiology laboratory should provide cumulative results of the in vitro susceptibility test results for antimicrobial drugs used in local hospitals and practice areas to the physician as periodic reports that describe the susceptibility profile of nosocomial and community acquired pathogens.  These reports should aid the physician in selecting the most effective antimicrobial drug therapy.</w:t>
      </w:r>
    </w:p>
    <w:p w:rsidR="00281BCA" w:rsidRDefault="00281BCA" w:rsidP="00281BCA">
      <w:pPr>
        <w:pStyle w:val="ColorfulList-Accent11"/>
        <w:ind w:left="0"/>
        <w:contextualSpacing w:val="0"/>
        <w:rPr>
          <w:rFonts w:ascii="Times New Roman" w:hAnsi="Times New Roman"/>
        </w:rPr>
      </w:pPr>
      <w:r>
        <w:rPr>
          <w:rFonts w:ascii="Times New Roman" w:hAnsi="Times New Roman"/>
        </w:rPr>
        <w:t>Dilution Techniques</w:t>
      </w:r>
    </w:p>
    <w:p w:rsidR="00281BCA" w:rsidRPr="003E65F8" w:rsidRDefault="00281BCA" w:rsidP="002F4D12">
      <w:pPr>
        <w:pStyle w:val="ColorfulList-Accent11"/>
        <w:ind w:left="0"/>
        <w:contextualSpacing w:val="0"/>
        <w:rPr>
          <w:rFonts w:ascii="Times New Roman" w:hAnsi="Times New Roman"/>
          <w:lang w:val="en-CA"/>
        </w:rPr>
      </w:pPr>
      <w:r w:rsidRPr="008D41B8">
        <w:rPr>
          <w:rFonts w:ascii="Times New Roman" w:hAnsi="Times New Roman"/>
          <w:lang w:val="en-CA"/>
        </w:rPr>
        <w:t xml:space="preserve">Quantitative anaerobic in vitro methods can be used to determine the MIC of </w:t>
      </w:r>
      <w:r>
        <w:rPr>
          <w:rFonts w:ascii="Times New Roman" w:hAnsi="Times New Roman"/>
          <w:lang w:val="en-CA"/>
        </w:rPr>
        <w:t>DIFICID</w:t>
      </w:r>
      <w:r w:rsidRPr="008D41B8">
        <w:rPr>
          <w:rFonts w:ascii="Times New Roman" w:hAnsi="Times New Roman"/>
          <w:lang w:val="en-CA"/>
        </w:rPr>
        <w:t xml:space="preserve"> needed to inhibit the growth of the </w:t>
      </w:r>
      <w:r w:rsidRPr="008D41B8">
        <w:rPr>
          <w:rFonts w:ascii="Times New Roman" w:hAnsi="Times New Roman"/>
          <w:i/>
          <w:lang w:val="en-CA"/>
        </w:rPr>
        <w:t>C. difficile</w:t>
      </w:r>
      <w:r w:rsidRPr="008D41B8">
        <w:rPr>
          <w:rFonts w:ascii="Times New Roman" w:hAnsi="Times New Roman"/>
          <w:lang w:val="en-CA"/>
        </w:rPr>
        <w:t xml:space="preserve"> isolates.  The MIC provides an estimate of the susceptibility of </w:t>
      </w:r>
      <w:r w:rsidRPr="008D41B8">
        <w:rPr>
          <w:rFonts w:ascii="Times New Roman" w:hAnsi="Times New Roman"/>
          <w:i/>
          <w:lang w:val="en-CA"/>
        </w:rPr>
        <w:t>C. difficile</w:t>
      </w:r>
      <w:r w:rsidRPr="008D41B8">
        <w:rPr>
          <w:rFonts w:ascii="Times New Roman" w:hAnsi="Times New Roman"/>
          <w:lang w:val="en-CA"/>
        </w:rPr>
        <w:t xml:space="preserve"> isolate to </w:t>
      </w:r>
      <w:r>
        <w:rPr>
          <w:rFonts w:ascii="Times New Roman" w:hAnsi="Times New Roman"/>
          <w:lang w:val="en-CA"/>
        </w:rPr>
        <w:t>DIFICID</w:t>
      </w:r>
      <w:r w:rsidRPr="008D41B8">
        <w:rPr>
          <w:rFonts w:ascii="Times New Roman" w:hAnsi="Times New Roman"/>
          <w:lang w:val="en-CA"/>
        </w:rPr>
        <w:t>.  The MIC should be determined u</w:t>
      </w:r>
      <w:r>
        <w:rPr>
          <w:rFonts w:ascii="Times New Roman" w:hAnsi="Times New Roman"/>
          <w:lang w:val="en-CA"/>
        </w:rPr>
        <w:t>sing standardized procedures</w:t>
      </w:r>
      <w:r w:rsidRPr="008D41B8">
        <w:rPr>
          <w:rFonts w:ascii="Times New Roman" w:hAnsi="Times New Roman"/>
          <w:lang w:val="en-CA"/>
        </w:rPr>
        <w:t xml:space="preserve">.  Standardized methods are based on an agar dilution method or equivalent with standardized inoculum concentrations and standardized concentration of </w:t>
      </w:r>
      <w:r>
        <w:rPr>
          <w:rFonts w:ascii="Times New Roman" w:hAnsi="Times New Roman"/>
          <w:lang w:val="en-CA"/>
        </w:rPr>
        <w:t>DIFICID</w:t>
      </w:r>
      <w:r w:rsidRPr="008D41B8">
        <w:rPr>
          <w:rFonts w:ascii="Times New Roman" w:hAnsi="Times New Roman"/>
          <w:lang w:val="en-CA"/>
        </w:rPr>
        <w:t xml:space="preserve"> powder.</w:t>
      </w:r>
    </w:p>
    <w:p w:rsidR="004962A9" w:rsidRDefault="004962A9" w:rsidP="002F4D12">
      <w:pPr>
        <w:pStyle w:val="ColorfulList-Accent11"/>
        <w:ind w:left="0"/>
        <w:contextualSpacing w:val="0"/>
        <w:rPr>
          <w:rFonts w:ascii="Times New Roman" w:hAnsi="Times New Roman"/>
        </w:rPr>
      </w:pPr>
      <w:r>
        <w:rPr>
          <w:rFonts w:ascii="Times New Roman" w:hAnsi="Times New Roman"/>
        </w:rPr>
        <w:t xml:space="preserve">Susceptibility </w:t>
      </w:r>
      <w:r w:rsidR="00281BCA">
        <w:rPr>
          <w:rFonts w:ascii="Times New Roman" w:hAnsi="Times New Roman"/>
        </w:rPr>
        <w:t xml:space="preserve">test </w:t>
      </w:r>
      <w:r>
        <w:rPr>
          <w:rFonts w:ascii="Times New Roman" w:hAnsi="Times New Roman"/>
        </w:rPr>
        <w:t>Interpretive Criteria</w:t>
      </w:r>
    </w:p>
    <w:p w:rsidR="002F4D12" w:rsidRDefault="001E0C68" w:rsidP="002F4D12">
      <w:pPr>
        <w:pStyle w:val="ColorfulList-Accent11"/>
        <w:ind w:left="0"/>
        <w:contextualSpacing w:val="0"/>
        <w:rPr>
          <w:rFonts w:ascii="Times New Roman" w:hAnsi="Times New Roman"/>
        </w:rPr>
      </w:pPr>
      <w:r w:rsidRPr="001E0C68">
        <w:rPr>
          <w:rFonts w:ascii="Times New Roman" w:hAnsi="Times New Roman"/>
        </w:rPr>
        <w:t xml:space="preserve">In vitro susceptibility test interpretive criteria for </w:t>
      </w:r>
      <w:r>
        <w:rPr>
          <w:rFonts w:ascii="Times New Roman" w:hAnsi="Times New Roman"/>
        </w:rPr>
        <w:t>DIFICID</w:t>
      </w:r>
      <w:r w:rsidRPr="001E0C68">
        <w:rPr>
          <w:rFonts w:ascii="Times New Roman" w:hAnsi="Times New Roman"/>
        </w:rPr>
        <w:t xml:space="preserve"> have not been determined. The relation of the in vitro </w:t>
      </w:r>
      <w:r>
        <w:rPr>
          <w:rFonts w:ascii="Times New Roman" w:hAnsi="Times New Roman"/>
        </w:rPr>
        <w:t>DIFICID</w:t>
      </w:r>
      <w:r w:rsidRPr="001E0C68">
        <w:rPr>
          <w:rFonts w:ascii="Times New Roman" w:hAnsi="Times New Roman"/>
        </w:rPr>
        <w:t xml:space="preserve"> MIC to clinical efficacy of </w:t>
      </w:r>
      <w:r>
        <w:rPr>
          <w:rFonts w:ascii="Times New Roman" w:hAnsi="Times New Roman"/>
        </w:rPr>
        <w:t>DIFICID</w:t>
      </w:r>
      <w:r w:rsidRPr="001E0C68">
        <w:rPr>
          <w:rFonts w:ascii="Times New Roman" w:hAnsi="Times New Roman"/>
        </w:rPr>
        <w:t xml:space="preserve"> against </w:t>
      </w:r>
      <w:r w:rsidRPr="001E0C68">
        <w:rPr>
          <w:rFonts w:ascii="Times New Roman" w:hAnsi="Times New Roman"/>
          <w:i/>
        </w:rPr>
        <w:t>C. difficile</w:t>
      </w:r>
      <w:r w:rsidRPr="001E0C68">
        <w:rPr>
          <w:rFonts w:ascii="Times New Roman" w:hAnsi="Times New Roman"/>
        </w:rPr>
        <w:t xml:space="preserve"> isolates can be monitored using in vitro susceptibility results obtained from standardized anaerobe susceptibility testing methods</w:t>
      </w:r>
      <w:r w:rsidR="00626607" w:rsidRPr="001E0C68">
        <w:rPr>
          <w:rFonts w:ascii="Times New Roman" w:hAnsi="Times New Roman"/>
        </w:rPr>
        <w:t>.</w:t>
      </w:r>
    </w:p>
    <w:p w:rsidR="008D41B8" w:rsidRDefault="008D41B8" w:rsidP="006A1B3E">
      <w:pPr>
        <w:pStyle w:val="ColorfulList-Accent11"/>
        <w:spacing w:line="480" w:lineRule="auto"/>
        <w:ind w:left="0"/>
        <w:rPr>
          <w:rFonts w:ascii="Times New Roman" w:hAnsi="Times New Roman"/>
        </w:rPr>
      </w:pPr>
      <w:r w:rsidRPr="008D41B8">
        <w:rPr>
          <w:rFonts w:ascii="Times New Roman" w:hAnsi="Times New Roman"/>
        </w:rPr>
        <w:t>Quality control parameters for susceptibility testing</w:t>
      </w:r>
    </w:p>
    <w:p w:rsidR="008D41B8" w:rsidRDefault="008D41B8" w:rsidP="006A1B3E">
      <w:pPr>
        <w:pStyle w:val="ColorfulList-Accent11"/>
        <w:ind w:left="0"/>
        <w:rPr>
          <w:rFonts w:ascii="Times New Roman" w:hAnsi="Times New Roman"/>
        </w:rPr>
      </w:pPr>
      <w:r w:rsidRPr="008D41B8">
        <w:rPr>
          <w:rFonts w:ascii="Times New Roman" w:hAnsi="Times New Roman"/>
        </w:rPr>
        <w:t xml:space="preserve">In vitro susceptibility test quality control parameters were developed for </w:t>
      </w:r>
      <w:r>
        <w:rPr>
          <w:rFonts w:ascii="Times New Roman" w:hAnsi="Times New Roman"/>
        </w:rPr>
        <w:t>DIFICID</w:t>
      </w:r>
      <w:r w:rsidRPr="008D41B8">
        <w:rPr>
          <w:rFonts w:ascii="Times New Roman" w:hAnsi="Times New Roman"/>
        </w:rPr>
        <w:t xml:space="preserve"> so that laboratories determining the susceptibility of </w:t>
      </w:r>
      <w:r w:rsidRPr="006A1B3E">
        <w:rPr>
          <w:rFonts w:ascii="Times New Roman" w:hAnsi="Times New Roman"/>
          <w:i/>
        </w:rPr>
        <w:t>C. difficile</w:t>
      </w:r>
      <w:r w:rsidRPr="008D41B8">
        <w:rPr>
          <w:rFonts w:ascii="Times New Roman" w:hAnsi="Times New Roman"/>
        </w:rPr>
        <w:t xml:space="preserve"> isolate to </w:t>
      </w:r>
      <w:r>
        <w:rPr>
          <w:rFonts w:ascii="Times New Roman" w:hAnsi="Times New Roman"/>
        </w:rPr>
        <w:t>DIFICID</w:t>
      </w:r>
      <w:r w:rsidRPr="008D41B8">
        <w:rPr>
          <w:rFonts w:ascii="Times New Roman" w:hAnsi="Times New Roman"/>
        </w:rPr>
        <w:t xml:space="preserve"> can ascertain whether the susceptibility test is performing correctly.  Standardized dilution techniques require the use of laboratory control microorganisms to monitor the technical aspects of the laboratory procedures.  Standardized </w:t>
      </w:r>
      <w:r>
        <w:rPr>
          <w:rFonts w:ascii="Times New Roman" w:hAnsi="Times New Roman"/>
        </w:rPr>
        <w:t>DIFICID</w:t>
      </w:r>
      <w:r w:rsidRPr="008D41B8">
        <w:rPr>
          <w:rFonts w:ascii="Times New Roman" w:hAnsi="Times New Roman"/>
        </w:rPr>
        <w:t xml:space="preserve"> powder should provide the MIC with the indicated quality control strain shown </w:t>
      </w:r>
      <w:r>
        <w:rPr>
          <w:rFonts w:ascii="Times New Roman" w:hAnsi="Times New Roman"/>
        </w:rPr>
        <w:t>below:</w:t>
      </w:r>
    </w:p>
    <w:p w:rsidR="008D41B8" w:rsidRDefault="008D41B8" w:rsidP="006A1B3E">
      <w:pPr>
        <w:pStyle w:val="ColorfulList-Accent11"/>
        <w:ind w:left="0"/>
        <w:rPr>
          <w:rFonts w:ascii="Times New Roman" w:hAnsi="Times New Roman"/>
        </w:rPr>
      </w:pPr>
    </w:p>
    <w:p w:rsidR="003902B5" w:rsidRDefault="003902B5" w:rsidP="006A1B3E">
      <w:pPr>
        <w:pStyle w:val="ColorfulList-Accent11"/>
        <w:ind w:left="0"/>
        <w:rPr>
          <w:rFonts w:ascii="Times New Roman" w:hAnsi="Times New Roman"/>
        </w:rPr>
      </w:pPr>
      <w:r>
        <w:rPr>
          <w:rFonts w:ascii="Times New Roman" w:hAnsi="Times New Roman"/>
        </w:rPr>
        <w:t>Acceptable quality control ranges for Fidaxomicin: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01"/>
        <w:gridCol w:w="3287"/>
      </w:tblGrid>
      <w:tr w:rsidR="008D41B8" w:rsidRPr="005B36CD" w:rsidTr="00F33209">
        <w:trPr>
          <w:trHeight w:val="329"/>
        </w:trPr>
        <w:tc>
          <w:tcPr>
            <w:tcW w:w="3801" w:type="dxa"/>
            <w:shd w:val="clear" w:color="auto" w:fill="auto"/>
          </w:tcPr>
          <w:p w:rsidR="008D41B8" w:rsidRPr="005B36CD" w:rsidRDefault="008D41B8" w:rsidP="00F33209">
            <w:pPr>
              <w:pStyle w:val="ColorfulList-Accent11"/>
              <w:ind w:left="0"/>
              <w:rPr>
                <w:rFonts w:ascii="Times New Roman" w:hAnsi="Times New Roman"/>
                <w:b/>
              </w:rPr>
            </w:pPr>
            <w:r w:rsidRPr="005B36CD">
              <w:rPr>
                <w:rFonts w:ascii="Times New Roman" w:hAnsi="Times New Roman"/>
                <w:b/>
              </w:rPr>
              <w:t>Microorganism</w:t>
            </w:r>
          </w:p>
        </w:tc>
        <w:tc>
          <w:tcPr>
            <w:tcW w:w="3287" w:type="dxa"/>
            <w:shd w:val="clear" w:color="auto" w:fill="auto"/>
          </w:tcPr>
          <w:p w:rsidR="008D41B8" w:rsidRPr="005B36CD" w:rsidRDefault="008D41B8" w:rsidP="00F33209">
            <w:pPr>
              <w:pStyle w:val="ColorfulList-Accent11"/>
              <w:ind w:left="0"/>
              <w:rPr>
                <w:rFonts w:ascii="Times New Roman" w:hAnsi="Times New Roman"/>
                <w:b/>
              </w:rPr>
            </w:pPr>
            <w:r w:rsidRPr="005B36CD">
              <w:rPr>
                <w:rFonts w:ascii="Times New Roman" w:hAnsi="Times New Roman"/>
                <w:b/>
              </w:rPr>
              <w:t>MIC Range (µg/mL)</w:t>
            </w:r>
          </w:p>
        </w:tc>
      </w:tr>
      <w:tr w:rsidR="008D41B8" w:rsidRPr="00F33209" w:rsidTr="00F33209">
        <w:trPr>
          <w:trHeight w:val="251"/>
        </w:trPr>
        <w:tc>
          <w:tcPr>
            <w:tcW w:w="3801" w:type="dxa"/>
            <w:shd w:val="clear" w:color="auto" w:fill="auto"/>
          </w:tcPr>
          <w:p w:rsidR="008D41B8" w:rsidRPr="00F33209" w:rsidRDefault="008D41B8" w:rsidP="00F33209">
            <w:pPr>
              <w:pStyle w:val="ColorfulList-Accent11"/>
              <w:ind w:left="0"/>
              <w:rPr>
                <w:rFonts w:ascii="Times New Roman" w:hAnsi="Times New Roman"/>
                <w:i/>
              </w:rPr>
            </w:pPr>
            <w:r w:rsidRPr="00F33209">
              <w:rPr>
                <w:rFonts w:ascii="Times New Roman" w:hAnsi="Times New Roman"/>
                <w:i/>
              </w:rPr>
              <w:t xml:space="preserve">C. difficile </w:t>
            </w:r>
            <w:r w:rsidRPr="00F33209">
              <w:rPr>
                <w:rFonts w:ascii="Times New Roman" w:hAnsi="Times New Roman"/>
              </w:rPr>
              <w:t>(ATCC 700057)</w:t>
            </w:r>
          </w:p>
        </w:tc>
        <w:tc>
          <w:tcPr>
            <w:tcW w:w="3287" w:type="dxa"/>
            <w:shd w:val="clear" w:color="auto" w:fill="auto"/>
          </w:tcPr>
          <w:p w:rsidR="008D41B8" w:rsidRPr="00F33209" w:rsidRDefault="008D41B8" w:rsidP="00F33209">
            <w:pPr>
              <w:pStyle w:val="ColorfulList-Accent11"/>
              <w:ind w:left="0"/>
              <w:rPr>
                <w:rFonts w:ascii="Times New Roman" w:hAnsi="Times New Roman"/>
              </w:rPr>
            </w:pPr>
            <w:r w:rsidRPr="00F33209">
              <w:rPr>
                <w:rFonts w:ascii="Times New Roman" w:hAnsi="Times New Roman"/>
              </w:rPr>
              <w:t>0.03 – 0.25</w:t>
            </w:r>
          </w:p>
        </w:tc>
      </w:tr>
    </w:tbl>
    <w:p w:rsidR="008D41B8" w:rsidRDefault="008D41B8" w:rsidP="002F4D12">
      <w:pPr>
        <w:pStyle w:val="ColorfulList-Accent11"/>
        <w:ind w:left="0"/>
        <w:contextualSpacing w:val="0"/>
        <w:rPr>
          <w:rFonts w:ascii="Times New Roman" w:hAnsi="Times New Roman"/>
        </w:rPr>
      </w:pPr>
    </w:p>
    <w:p w:rsidR="00051565" w:rsidRPr="00E2636F" w:rsidRDefault="00051565" w:rsidP="00692175">
      <w:pPr>
        <w:pStyle w:val="ColorfulList-Accent11"/>
        <w:keepNext/>
        <w:ind w:left="0"/>
        <w:contextualSpacing w:val="0"/>
        <w:rPr>
          <w:rFonts w:ascii="Times New Roman" w:hAnsi="Times New Roman"/>
          <w:b/>
          <w:bCs/>
          <w:u w:val="single"/>
        </w:rPr>
      </w:pPr>
      <w:r w:rsidRPr="00E2636F">
        <w:rPr>
          <w:rFonts w:ascii="Times New Roman" w:hAnsi="Times New Roman"/>
          <w:b/>
          <w:bCs/>
          <w:u w:val="single"/>
        </w:rPr>
        <w:t>Pharmacodynamics</w:t>
      </w:r>
    </w:p>
    <w:p w:rsidR="00F76EF7" w:rsidRPr="00E2636F" w:rsidRDefault="00F76EF7" w:rsidP="00692175">
      <w:pPr>
        <w:rPr>
          <w:rFonts w:ascii="Times New Roman" w:hAnsi="Times New Roman"/>
          <w:lang w:val="en-CA"/>
        </w:rPr>
      </w:pPr>
      <w:r w:rsidRPr="00E2636F">
        <w:rPr>
          <w:rFonts w:ascii="Times New Roman" w:hAnsi="Times New Roman"/>
          <w:lang w:val="en-CA"/>
        </w:rPr>
        <w:t xml:space="preserve">Fidaxomicin acts locally in the gastrointestinal tract on </w:t>
      </w:r>
      <w:r w:rsidRPr="00E2636F">
        <w:rPr>
          <w:rFonts w:ascii="Times New Roman" w:hAnsi="Times New Roman"/>
          <w:i/>
          <w:iCs/>
          <w:lang w:val="en-CA"/>
        </w:rPr>
        <w:t>C. difficile</w:t>
      </w:r>
      <w:r w:rsidRPr="00E2636F">
        <w:rPr>
          <w:rFonts w:ascii="Times New Roman" w:hAnsi="Times New Roman"/>
          <w:lang w:val="en-CA"/>
        </w:rPr>
        <w:t xml:space="preserve"> with minimal systemic absorption and f</w:t>
      </w:r>
      <w:r w:rsidR="00A85263">
        <w:rPr>
          <w:rFonts w:ascii="Times New Roman" w:hAnsi="Times New Roman"/>
          <w:lang w:val="en-CA"/>
        </w:rPr>
        <w:t>a</w:t>
      </w:r>
      <w:r w:rsidRPr="00E2636F">
        <w:rPr>
          <w:rFonts w:ascii="Times New Roman" w:hAnsi="Times New Roman"/>
          <w:lang w:val="en-CA"/>
        </w:rPr>
        <w:t>ecal concentrations in the colon that exceed the MIC</w:t>
      </w:r>
      <w:r w:rsidRPr="00E2636F">
        <w:rPr>
          <w:rFonts w:ascii="Times New Roman" w:hAnsi="Times New Roman"/>
          <w:vertAlign w:val="subscript"/>
          <w:lang w:val="en-CA"/>
        </w:rPr>
        <w:t>90</w:t>
      </w:r>
      <w:r w:rsidRPr="00E2636F">
        <w:rPr>
          <w:rFonts w:ascii="Times New Roman" w:hAnsi="Times New Roman"/>
          <w:lang w:val="en-CA"/>
        </w:rPr>
        <w:t xml:space="preserve"> of </w:t>
      </w:r>
      <w:r w:rsidRPr="00E2636F">
        <w:rPr>
          <w:rFonts w:ascii="Times New Roman" w:hAnsi="Times New Roman"/>
          <w:i/>
          <w:iCs/>
          <w:lang w:val="en-CA"/>
        </w:rPr>
        <w:t>C. difficile</w:t>
      </w:r>
      <w:r w:rsidRPr="00E2636F">
        <w:rPr>
          <w:rFonts w:ascii="Times New Roman" w:hAnsi="Times New Roman"/>
          <w:lang w:val="en-CA"/>
        </w:rPr>
        <w:t xml:space="preserve"> throughout the dosing interval. As a topical agent, systemic pharmacokinetic/pharmacodynamic relationships cannot be </w:t>
      </w:r>
      <w:r w:rsidRPr="00E2636F">
        <w:rPr>
          <w:rFonts w:ascii="Times New Roman" w:hAnsi="Times New Roman"/>
          <w:lang w:val="en-CA"/>
        </w:rPr>
        <w:lastRenderedPageBreak/>
        <w:t>established</w:t>
      </w:r>
      <w:r w:rsidR="00BA3173">
        <w:rPr>
          <w:rFonts w:ascii="Times New Roman" w:hAnsi="Times New Roman"/>
          <w:lang w:val="en-CA"/>
        </w:rPr>
        <w:t>;</w:t>
      </w:r>
      <w:r w:rsidR="00BA3173" w:rsidRPr="00E2636F">
        <w:rPr>
          <w:rFonts w:ascii="Times New Roman" w:hAnsi="Times New Roman"/>
          <w:lang w:val="en-CA"/>
        </w:rPr>
        <w:t xml:space="preserve"> </w:t>
      </w:r>
      <w:r w:rsidRPr="00E2636F">
        <w:rPr>
          <w:rFonts w:ascii="Times New Roman" w:hAnsi="Times New Roman"/>
          <w:lang w:val="en-CA"/>
        </w:rPr>
        <w:t>however</w:t>
      </w:r>
      <w:r w:rsidR="00BA3173">
        <w:rPr>
          <w:rFonts w:ascii="Times New Roman" w:hAnsi="Times New Roman"/>
          <w:lang w:val="en-CA"/>
        </w:rPr>
        <w:t>,</w:t>
      </w:r>
      <w:r w:rsidRPr="00E2636F">
        <w:rPr>
          <w:rFonts w:ascii="Times New Roman" w:hAnsi="Times New Roman"/>
          <w:lang w:val="en-CA"/>
        </w:rPr>
        <w:t xml:space="preserve"> </w:t>
      </w:r>
      <w:r w:rsidR="00FB4CAB" w:rsidRPr="00210C39">
        <w:rPr>
          <w:rFonts w:ascii="Times New Roman" w:hAnsi="Times New Roman"/>
          <w:i/>
          <w:lang w:val="en-CA"/>
        </w:rPr>
        <w:t>in vitro</w:t>
      </w:r>
      <w:r w:rsidRPr="00E2636F">
        <w:rPr>
          <w:rFonts w:ascii="Times New Roman" w:hAnsi="Times New Roman"/>
          <w:lang w:val="en-CA"/>
        </w:rPr>
        <w:t xml:space="preserve"> data show fidaxomicin to have time-dependent bactericidal activity and suggest time over minimal inhibitory concentration (MIC) may be the parameter most predictive of clinical efficacy.</w:t>
      </w:r>
    </w:p>
    <w:p w:rsidR="00A477D2" w:rsidRPr="00A477D2" w:rsidRDefault="00540E36" w:rsidP="00E2636F">
      <w:pPr>
        <w:rPr>
          <w:rFonts w:ascii="Times New Roman" w:eastAsia="SimSun" w:hAnsi="Times New Roman"/>
        </w:rPr>
      </w:pPr>
      <w:r>
        <w:rPr>
          <w:rFonts w:ascii="Times New Roman" w:hAnsi="Times New Roman"/>
        </w:rPr>
        <w:t>In a clinical study,</w:t>
      </w:r>
      <w:r w:rsidR="00A477D2" w:rsidRPr="00A477D2">
        <w:rPr>
          <w:rFonts w:ascii="Times New Roman" w:hAnsi="Times New Roman"/>
        </w:rPr>
        <w:t xml:space="preserve"> D</w:t>
      </w:r>
      <w:r w:rsidR="00A477D2">
        <w:rPr>
          <w:rFonts w:ascii="Times New Roman" w:hAnsi="Times New Roman"/>
        </w:rPr>
        <w:t xml:space="preserve">IFICID </w:t>
      </w:r>
      <w:r w:rsidR="009F09A9">
        <w:rPr>
          <w:rFonts w:ascii="Times New Roman" w:hAnsi="Times New Roman"/>
        </w:rPr>
        <w:t xml:space="preserve">predominantly affected </w:t>
      </w:r>
      <w:r w:rsidR="00A477D2" w:rsidRPr="00A477D2">
        <w:rPr>
          <w:rFonts w:ascii="Times New Roman" w:hAnsi="Times New Roman"/>
        </w:rPr>
        <w:t>f</w:t>
      </w:r>
      <w:r w:rsidR="00A85263">
        <w:rPr>
          <w:rFonts w:ascii="Times New Roman" w:hAnsi="Times New Roman"/>
        </w:rPr>
        <w:t>a</w:t>
      </w:r>
      <w:r w:rsidR="00A477D2" w:rsidRPr="00A477D2">
        <w:rPr>
          <w:rFonts w:ascii="Times New Roman" w:hAnsi="Times New Roman"/>
        </w:rPr>
        <w:t xml:space="preserve">ecal concentrations </w:t>
      </w:r>
      <w:r w:rsidR="009F09A9">
        <w:rPr>
          <w:rFonts w:ascii="Times New Roman" w:hAnsi="Times New Roman"/>
        </w:rPr>
        <w:t xml:space="preserve">of </w:t>
      </w:r>
      <w:r w:rsidR="009F09A9" w:rsidRPr="00E2636F">
        <w:rPr>
          <w:rFonts w:ascii="Times New Roman" w:hAnsi="Times New Roman"/>
          <w:i/>
          <w:iCs/>
          <w:lang w:val="en-CA"/>
        </w:rPr>
        <w:t>C. difficile</w:t>
      </w:r>
      <w:r w:rsidR="009F09A9">
        <w:rPr>
          <w:rFonts w:ascii="Times New Roman" w:hAnsi="Times New Roman"/>
          <w:iCs/>
          <w:lang w:val="en-CA"/>
        </w:rPr>
        <w:t xml:space="preserve"> </w:t>
      </w:r>
      <w:r w:rsidR="00BE3F3C">
        <w:rPr>
          <w:rFonts w:ascii="Times New Roman" w:hAnsi="Times New Roman"/>
          <w:iCs/>
          <w:lang w:val="en-CA"/>
        </w:rPr>
        <w:t>with little to no effect on</w:t>
      </w:r>
      <w:r w:rsidR="009F09A9">
        <w:rPr>
          <w:rFonts w:ascii="Times New Roman" w:hAnsi="Times New Roman"/>
          <w:iCs/>
          <w:lang w:val="en-CA"/>
        </w:rPr>
        <w:t xml:space="preserve"> normal microflora such as </w:t>
      </w:r>
      <w:r w:rsidR="00A477D2" w:rsidRPr="00A477D2">
        <w:rPr>
          <w:rFonts w:ascii="Times New Roman" w:hAnsi="Times New Roman"/>
          <w:i/>
        </w:rPr>
        <w:t>Bacteroides</w:t>
      </w:r>
      <w:r w:rsidR="00A477D2" w:rsidRPr="00A477D2">
        <w:rPr>
          <w:rFonts w:ascii="Times New Roman" w:hAnsi="Times New Roman"/>
        </w:rPr>
        <w:t xml:space="preserve"> </w:t>
      </w:r>
      <w:r w:rsidR="009F09A9">
        <w:rPr>
          <w:rFonts w:ascii="Times New Roman" w:hAnsi="Times New Roman"/>
        </w:rPr>
        <w:t>and</w:t>
      </w:r>
      <w:r w:rsidR="00D03B3F">
        <w:rPr>
          <w:rFonts w:ascii="Times New Roman" w:hAnsi="Times New Roman"/>
        </w:rPr>
        <w:t xml:space="preserve"> other major phylogenetic groups</w:t>
      </w:r>
      <w:r w:rsidR="009F09A9">
        <w:rPr>
          <w:rFonts w:ascii="Times New Roman" w:hAnsi="Times New Roman"/>
        </w:rPr>
        <w:t xml:space="preserve">. This </w:t>
      </w:r>
      <w:r w:rsidR="00BE3F3C">
        <w:rPr>
          <w:rFonts w:ascii="Times New Roman" w:hAnsi="Times New Roman"/>
        </w:rPr>
        <w:t>characteristic</w:t>
      </w:r>
      <w:r w:rsidR="009F09A9">
        <w:rPr>
          <w:rFonts w:ascii="Times New Roman" w:hAnsi="Times New Roman"/>
        </w:rPr>
        <w:t xml:space="preserve"> </w:t>
      </w:r>
      <w:r w:rsidR="00D03B3F">
        <w:rPr>
          <w:rFonts w:ascii="Times New Roman" w:hAnsi="Times New Roman"/>
        </w:rPr>
        <w:t>may</w:t>
      </w:r>
      <w:r w:rsidR="00A85263">
        <w:rPr>
          <w:rFonts w:ascii="Times New Roman" w:hAnsi="Times New Roman"/>
        </w:rPr>
        <w:t xml:space="preserve"> </w:t>
      </w:r>
      <w:r w:rsidR="00A477D2" w:rsidRPr="00A477D2">
        <w:rPr>
          <w:rFonts w:ascii="Times New Roman" w:hAnsi="Times New Roman"/>
        </w:rPr>
        <w:t xml:space="preserve">explain the lower </w:t>
      </w:r>
      <w:r w:rsidR="00A477D2" w:rsidRPr="00A477D2">
        <w:rPr>
          <w:rFonts w:ascii="Times New Roman" w:hAnsi="Times New Roman"/>
          <w:i/>
        </w:rPr>
        <w:t>C. difficile</w:t>
      </w:r>
      <w:r w:rsidR="00A477D2" w:rsidRPr="00A477D2">
        <w:rPr>
          <w:rFonts w:ascii="Times New Roman" w:hAnsi="Times New Roman"/>
        </w:rPr>
        <w:t xml:space="preserve"> recurrence rate observed in </w:t>
      </w:r>
      <w:r w:rsidR="00695C6B">
        <w:rPr>
          <w:rFonts w:ascii="Times New Roman" w:hAnsi="Times New Roman"/>
        </w:rPr>
        <w:t>subjects</w:t>
      </w:r>
      <w:r w:rsidR="00A477D2" w:rsidRPr="00A477D2">
        <w:rPr>
          <w:rFonts w:ascii="Times New Roman" w:hAnsi="Times New Roman"/>
        </w:rPr>
        <w:t xml:space="preserve"> treated with </w:t>
      </w:r>
      <w:r w:rsidR="00A477D2">
        <w:rPr>
          <w:rFonts w:ascii="Times New Roman" w:hAnsi="Times New Roman"/>
        </w:rPr>
        <w:t>DIFICID</w:t>
      </w:r>
      <w:r w:rsidR="00A477D2" w:rsidRPr="00A477D2">
        <w:rPr>
          <w:rFonts w:ascii="Times New Roman" w:hAnsi="Times New Roman"/>
        </w:rPr>
        <w:t xml:space="preserve"> compared to vancomycin. </w:t>
      </w:r>
      <w:r w:rsidR="00D03B3F">
        <w:rPr>
          <w:rFonts w:ascii="Times New Roman" w:hAnsi="Times New Roman"/>
        </w:rPr>
        <w:t xml:space="preserve">Acquisition of </w:t>
      </w:r>
      <w:r w:rsidR="00346CF6">
        <w:rPr>
          <w:rFonts w:ascii="Times New Roman" w:hAnsi="Times New Roman"/>
        </w:rPr>
        <w:t>v</w:t>
      </w:r>
      <w:r w:rsidR="00A477D2" w:rsidRPr="00A477D2">
        <w:rPr>
          <w:rFonts w:ascii="Times New Roman" w:hAnsi="Times New Roman"/>
        </w:rPr>
        <w:t xml:space="preserve">ancomycin-resistant </w:t>
      </w:r>
      <w:r w:rsidR="00A477D2" w:rsidRPr="00A477D2">
        <w:rPr>
          <w:rFonts w:ascii="Times New Roman" w:hAnsi="Times New Roman"/>
          <w:i/>
        </w:rPr>
        <w:t>Enterococcus</w:t>
      </w:r>
      <w:r w:rsidR="00A477D2" w:rsidRPr="00A477D2">
        <w:rPr>
          <w:rFonts w:ascii="Times New Roman" w:hAnsi="Times New Roman"/>
        </w:rPr>
        <w:t xml:space="preserve"> (</w:t>
      </w:r>
      <w:r w:rsidR="00A477D2" w:rsidRPr="00A477D2">
        <w:rPr>
          <w:rFonts w:ascii="Times New Roman" w:eastAsia="SimSun" w:hAnsi="Times New Roman"/>
        </w:rPr>
        <w:t>VRE) f</w:t>
      </w:r>
      <w:r w:rsidR="00A85263">
        <w:rPr>
          <w:rFonts w:ascii="Times New Roman" w:eastAsia="SimSun" w:hAnsi="Times New Roman"/>
        </w:rPr>
        <w:t>a</w:t>
      </w:r>
      <w:r w:rsidR="00A477D2" w:rsidRPr="00A477D2">
        <w:rPr>
          <w:rFonts w:ascii="Times New Roman" w:eastAsia="SimSun" w:hAnsi="Times New Roman"/>
        </w:rPr>
        <w:t>ecal coloni</w:t>
      </w:r>
      <w:r w:rsidR="00D96F6F">
        <w:rPr>
          <w:rFonts w:ascii="Times New Roman" w:eastAsia="SimSun" w:hAnsi="Times New Roman"/>
        </w:rPr>
        <w:t>s</w:t>
      </w:r>
      <w:r w:rsidR="00A477D2" w:rsidRPr="00A477D2">
        <w:rPr>
          <w:rFonts w:ascii="Times New Roman" w:eastAsia="SimSun" w:hAnsi="Times New Roman"/>
        </w:rPr>
        <w:t xml:space="preserve">ation is also significantly less frequent in CDI </w:t>
      </w:r>
      <w:r w:rsidR="00695C6B">
        <w:rPr>
          <w:rFonts w:ascii="Times New Roman" w:eastAsia="SimSun" w:hAnsi="Times New Roman"/>
        </w:rPr>
        <w:t>subjects</w:t>
      </w:r>
      <w:r w:rsidR="00A477D2" w:rsidRPr="00A477D2">
        <w:rPr>
          <w:rFonts w:ascii="Times New Roman" w:eastAsia="SimSun" w:hAnsi="Times New Roman"/>
        </w:rPr>
        <w:t xml:space="preserve"> treated with </w:t>
      </w:r>
      <w:r w:rsidR="00BA3173">
        <w:rPr>
          <w:rFonts w:ascii="Times New Roman" w:eastAsia="SimSun" w:hAnsi="Times New Roman"/>
        </w:rPr>
        <w:t>DIFICID</w:t>
      </w:r>
      <w:r w:rsidR="00BA3173" w:rsidRPr="00A477D2">
        <w:rPr>
          <w:rFonts w:ascii="Times New Roman" w:eastAsia="SimSun" w:hAnsi="Times New Roman"/>
        </w:rPr>
        <w:t xml:space="preserve"> </w:t>
      </w:r>
      <w:r w:rsidR="00A477D2" w:rsidRPr="00A477D2">
        <w:rPr>
          <w:rFonts w:ascii="Times New Roman" w:eastAsia="SimSun" w:hAnsi="Times New Roman"/>
        </w:rPr>
        <w:t>than in those treated with vancomycin.</w:t>
      </w:r>
    </w:p>
    <w:p w:rsidR="00F76EF7" w:rsidRDefault="009F09A9" w:rsidP="00E2636F">
      <w:pPr>
        <w:rPr>
          <w:lang w:val="en-CA"/>
        </w:rPr>
      </w:pPr>
      <w:r>
        <w:rPr>
          <w:rFonts w:ascii="Times New Roman" w:hAnsi="Times New Roman"/>
          <w:lang w:val="en-CA"/>
        </w:rPr>
        <w:t>Fidaxomicin has a</w:t>
      </w:r>
      <w:r w:rsidR="00C221CB">
        <w:rPr>
          <w:rFonts w:ascii="Times New Roman" w:hAnsi="Times New Roman"/>
          <w:lang w:val="en-CA"/>
        </w:rPr>
        <w:t xml:space="preserve"> prolonged</w:t>
      </w:r>
      <w:r>
        <w:rPr>
          <w:rFonts w:ascii="Times New Roman" w:hAnsi="Times New Roman"/>
          <w:lang w:val="en-CA"/>
        </w:rPr>
        <w:t xml:space="preserve"> </w:t>
      </w:r>
      <w:r w:rsidR="00FB4CAB" w:rsidRPr="00210C39">
        <w:rPr>
          <w:rFonts w:ascii="Times New Roman" w:hAnsi="Times New Roman"/>
          <w:i/>
          <w:lang w:val="en-CA"/>
        </w:rPr>
        <w:t>in vitro</w:t>
      </w:r>
      <w:r w:rsidRPr="00BA3173">
        <w:rPr>
          <w:rFonts w:ascii="Times New Roman" w:hAnsi="Times New Roman"/>
          <w:lang w:val="en-CA"/>
        </w:rPr>
        <w:t xml:space="preserve"> </w:t>
      </w:r>
      <w:r>
        <w:rPr>
          <w:rFonts w:ascii="Times New Roman" w:hAnsi="Times New Roman"/>
          <w:lang w:val="en-CA"/>
        </w:rPr>
        <w:t>post-antibiotic effect</w:t>
      </w:r>
      <w:r w:rsidR="0095568F">
        <w:rPr>
          <w:rFonts w:ascii="Times New Roman" w:hAnsi="Times New Roman"/>
          <w:lang w:val="en-CA"/>
        </w:rPr>
        <w:t xml:space="preserve"> (</w:t>
      </w:r>
      <w:r w:rsidR="00214DD7">
        <w:rPr>
          <w:rFonts w:ascii="Times New Roman" w:hAnsi="Times New Roman"/>
          <w:lang w:val="en-CA"/>
        </w:rPr>
        <w:t xml:space="preserve">approximately </w:t>
      </w:r>
      <w:r w:rsidR="0095568F">
        <w:rPr>
          <w:rFonts w:ascii="Times New Roman" w:hAnsi="Times New Roman"/>
          <w:lang w:val="en-CA"/>
        </w:rPr>
        <w:t>6 to 10 hours)</w:t>
      </w:r>
      <w:r w:rsidR="00C221CB">
        <w:rPr>
          <w:rFonts w:ascii="Times New Roman" w:hAnsi="Times New Roman"/>
          <w:lang w:val="en-CA"/>
        </w:rPr>
        <w:t>,</w:t>
      </w:r>
      <w:r>
        <w:rPr>
          <w:rFonts w:ascii="Times New Roman" w:hAnsi="Times New Roman"/>
          <w:lang w:val="en-CA"/>
        </w:rPr>
        <w:t xml:space="preserve"> allowing for </w:t>
      </w:r>
      <w:r w:rsidR="00C221CB">
        <w:rPr>
          <w:rFonts w:ascii="Times New Roman" w:hAnsi="Times New Roman"/>
          <w:lang w:val="en-CA"/>
        </w:rPr>
        <w:t xml:space="preserve">twice daily </w:t>
      </w:r>
      <w:r>
        <w:rPr>
          <w:rFonts w:ascii="Times New Roman" w:hAnsi="Times New Roman"/>
          <w:lang w:val="en-CA"/>
        </w:rPr>
        <w:t>dos</w:t>
      </w:r>
      <w:r w:rsidR="00C221CB">
        <w:rPr>
          <w:rFonts w:ascii="Times New Roman" w:hAnsi="Times New Roman"/>
          <w:lang w:val="en-CA"/>
        </w:rPr>
        <w:t>ing</w:t>
      </w:r>
      <w:r>
        <w:rPr>
          <w:rFonts w:ascii="Times New Roman" w:hAnsi="Times New Roman"/>
          <w:lang w:val="en-CA"/>
        </w:rPr>
        <w:t xml:space="preserve">. </w:t>
      </w:r>
      <w:r w:rsidR="00F76EF7" w:rsidRPr="00E2636F">
        <w:rPr>
          <w:rFonts w:ascii="Times New Roman" w:hAnsi="Times New Roman"/>
          <w:lang w:val="en-CA"/>
        </w:rPr>
        <w:t xml:space="preserve">In </w:t>
      </w:r>
      <w:r w:rsidR="00803785">
        <w:rPr>
          <w:rFonts w:ascii="Times New Roman" w:hAnsi="Times New Roman"/>
          <w:lang w:val="en-CA"/>
        </w:rPr>
        <w:t xml:space="preserve">a </w:t>
      </w:r>
      <w:r w:rsidR="00F76EF7" w:rsidRPr="00E2636F">
        <w:rPr>
          <w:rFonts w:ascii="Times New Roman" w:hAnsi="Times New Roman"/>
          <w:lang w:val="en-CA"/>
        </w:rPr>
        <w:t xml:space="preserve">dose-ranging trial of fidaxomicin using 50 mg, 100 mg, and 200 mg twice daily for 10 days, a dose-response </w:t>
      </w:r>
      <w:r w:rsidR="00F76EF7" w:rsidRPr="00A477D2">
        <w:rPr>
          <w:rFonts w:ascii="Times New Roman" w:hAnsi="Times New Roman"/>
          <w:lang w:val="en-CA"/>
        </w:rPr>
        <w:t>relationship was observed for efficacy.</w:t>
      </w:r>
      <w:r w:rsidR="00F76EF7">
        <w:rPr>
          <w:lang w:val="en-CA"/>
        </w:rPr>
        <w:t xml:space="preserve"> </w:t>
      </w:r>
    </w:p>
    <w:p w:rsidR="00F76EF7" w:rsidRPr="00E2636F" w:rsidRDefault="00F76EF7" w:rsidP="00692175">
      <w:pPr>
        <w:keepNext/>
        <w:rPr>
          <w:rFonts w:ascii="Times New Roman" w:hAnsi="Times New Roman"/>
          <w:lang w:val="en-CA"/>
        </w:rPr>
      </w:pPr>
      <w:r w:rsidRPr="00E2636F">
        <w:rPr>
          <w:rFonts w:ascii="Times New Roman" w:hAnsi="Times New Roman"/>
          <w:b/>
          <w:u w:val="single"/>
          <w:lang w:val="en-CA"/>
        </w:rPr>
        <w:t>Pharmacokinetics</w:t>
      </w:r>
    </w:p>
    <w:p w:rsidR="00F76EF7" w:rsidRPr="00E2636F" w:rsidRDefault="00F76EF7" w:rsidP="00692175">
      <w:pPr>
        <w:rPr>
          <w:rFonts w:ascii="Times New Roman" w:hAnsi="Times New Roman"/>
          <w:bCs/>
          <w:lang w:val="en-CA"/>
        </w:rPr>
      </w:pPr>
      <w:r w:rsidRPr="00E2636F">
        <w:rPr>
          <w:rFonts w:ascii="Times New Roman" w:hAnsi="Times New Roman"/>
          <w:bCs/>
          <w:lang w:val="en-CA"/>
        </w:rPr>
        <w:t xml:space="preserve">The pharmacokinetic parameters of fidaxomicin and its main metabolite OP-1118 </w:t>
      </w:r>
      <w:r w:rsidR="00BF263A">
        <w:rPr>
          <w:rFonts w:ascii="Times New Roman" w:hAnsi="Times New Roman"/>
          <w:bCs/>
          <w:lang w:val="en-CA"/>
        </w:rPr>
        <w:t xml:space="preserve">in plasma </w:t>
      </w:r>
      <w:r w:rsidRPr="00E2636F">
        <w:rPr>
          <w:rFonts w:ascii="Times New Roman" w:hAnsi="Times New Roman"/>
          <w:bCs/>
          <w:lang w:val="en-CA"/>
        </w:rPr>
        <w:t>following a single</w:t>
      </w:r>
      <w:r w:rsidR="00BF263A">
        <w:rPr>
          <w:rFonts w:ascii="Times New Roman" w:hAnsi="Times New Roman"/>
          <w:bCs/>
          <w:lang w:val="en-CA"/>
        </w:rPr>
        <w:t xml:space="preserve"> oral </w:t>
      </w:r>
      <w:r w:rsidRPr="00E2636F">
        <w:rPr>
          <w:rFonts w:ascii="Times New Roman" w:hAnsi="Times New Roman"/>
          <w:bCs/>
          <w:lang w:val="en-CA"/>
        </w:rPr>
        <w:t>dose of 200 mg in healthy adult males (N=14) are summari</w:t>
      </w:r>
      <w:r w:rsidR="00214DD7">
        <w:rPr>
          <w:rFonts w:ascii="Times New Roman" w:hAnsi="Times New Roman"/>
          <w:bCs/>
          <w:lang w:val="en-CA"/>
        </w:rPr>
        <w:t>s</w:t>
      </w:r>
      <w:r w:rsidRPr="00E2636F">
        <w:rPr>
          <w:rFonts w:ascii="Times New Roman" w:hAnsi="Times New Roman"/>
          <w:bCs/>
          <w:lang w:val="en-CA"/>
        </w:rPr>
        <w:t xml:space="preserve">ed in Table </w:t>
      </w:r>
      <w:r w:rsidR="00E2636F">
        <w:rPr>
          <w:rFonts w:ascii="Times New Roman" w:hAnsi="Times New Roman"/>
          <w:bCs/>
          <w:lang w:val="en-CA"/>
        </w:rPr>
        <w:t>1</w:t>
      </w:r>
      <w:r w:rsidRPr="00E2636F">
        <w:rPr>
          <w:rFonts w:ascii="Times New Roman" w:hAnsi="Times New Roman"/>
          <w:bCs/>
          <w:lang w:val="en-CA"/>
        </w:rPr>
        <w:t xml:space="preserve"> below. </w:t>
      </w:r>
    </w:p>
    <w:p w:rsidR="00CF545A" w:rsidRPr="00E2636F" w:rsidRDefault="00F76EF7" w:rsidP="001C5E78">
      <w:pPr>
        <w:keepNext/>
        <w:spacing w:after="0"/>
        <w:rPr>
          <w:rFonts w:ascii="Times New Roman" w:hAnsi="Times New Roman"/>
          <w:lang w:val="en-CA"/>
        </w:rPr>
      </w:pPr>
      <w:r w:rsidRPr="00E2636F">
        <w:rPr>
          <w:rFonts w:ascii="Times New Roman" w:hAnsi="Times New Roman"/>
          <w:b/>
          <w:lang w:val="en-CA"/>
        </w:rPr>
        <w:t xml:space="preserve">Table </w:t>
      </w:r>
      <w:r w:rsidR="00E2636F">
        <w:rPr>
          <w:rFonts w:ascii="Times New Roman" w:hAnsi="Times New Roman"/>
          <w:b/>
          <w:lang w:val="en-CA"/>
        </w:rPr>
        <w:t>1</w:t>
      </w:r>
      <w:r w:rsidRPr="00E2636F">
        <w:rPr>
          <w:rFonts w:ascii="Times New Roman" w:hAnsi="Times New Roman"/>
          <w:b/>
          <w:lang w:val="en-CA"/>
        </w:rPr>
        <w:t xml:space="preserve"> - Mean (± Standard Deviation) Pharmacokinetic P</w:t>
      </w:r>
      <w:r w:rsidR="00C87B67">
        <w:rPr>
          <w:rFonts w:ascii="Times New Roman" w:hAnsi="Times New Roman"/>
          <w:b/>
          <w:lang w:val="en-CA"/>
        </w:rPr>
        <w:t>arameters of Fidaxomicin and OP</w:t>
      </w:r>
      <w:r w:rsidR="00C87B67">
        <w:rPr>
          <w:rFonts w:ascii="Times New Roman" w:hAnsi="Times New Roman"/>
          <w:b/>
          <w:lang w:val="en-CA"/>
        </w:rPr>
        <w:noBreakHyphen/>
      </w:r>
      <w:r w:rsidRPr="00E2636F">
        <w:rPr>
          <w:rFonts w:ascii="Times New Roman" w:hAnsi="Times New Roman"/>
          <w:b/>
          <w:lang w:val="en-CA"/>
        </w:rPr>
        <w:t>1118 in Healthy Adult Males</w:t>
      </w:r>
      <w:r w:rsidR="00CF545A" w:rsidRPr="00CF545A">
        <w:rPr>
          <w:rFonts w:ascii="Times New Roman" w:hAnsi="Times New Roman"/>
          <w:b/>
          <w:lang w:val="en-CA"/>
        </w:rPr>
        <w:t xml:space="preserve"> </w:t>
      </w:r>
      <w:r w:rsidR="00CF545A">
        <w:rPr>
          <w:rFonts w:ascii="Times New Roman" w:hAnsi="Times New Roman"/>
          <w:b/>
          <w:lang w:val="en-CA"/>
        </w:rPr>
        <w:t xml:space="preserve">Following a Single </w:t>
      </w:r>
      <w:r w:rsidR="00CF545A" w:rsidRPr="00E2636F">
        <w:rPr>
          <w:rFonts w:ascii="Times New Roman" w:hAnsi="Times New Roman"/>
          <w:b/>
          <w:lang w:val="en-CA"/>
        </w:rPr>
        <w:t>200 mg</w:t>
      </w:r>
      <w:r w:rsidR="00CF545A">
        <w:rPr>
          <w:rFonts w:ascii="Times New Roman" w:hAnsi="Times New Roman"/>
          <w:b/>
          <w:lang w:val="en-CA"/>
        </w:rPr>
        <w:t xml:space="preserve"> Dose</w:t>
      </w:r>
    </w:p>
    <w:p w:rsidR="00F76EF7" w:rsidRPr="00E2636F" w:rsidRDefault="00F76EF7" w:rsidP="001C5E78">
      <w:pPr>
        <w:keepNext/>
        <w:spacing w:after="0"/>
        <w:rPr>
          <w:rFonts w:ascii="Times New Roman" w:hAnsi="Times New Roman"/>
          <w:lang w:val="en-CA"/>
        </w:rPr>
      </w:pP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481"/>
        <w:gridCol w:w="1309"/>
        <w:gridCol w:w="1350"/>
        <w:gridCol w:w="1350"/>
        <w:gridCol w:w="1350"/>
      </w:tblGrid>
      <w:tr w:rsidR="00CF545A" w:rsidRPr="006F61E2" w:rsidTr="006344A3">
        <w:trPr>
          <w:cantSplit/>
          <w:tblHeader/>
          <w:jc w:val="center"/>
        </w:trPr>
        <w:tc>
          <w:tcPr>
            <w:tcW w:w="1481" w:type="dxa"/>
            <w:tcBorders>
              <w:top w:val="single" w:sz="7" w:space="0" w:color="000000"/>
              <w:left w:val="single" w:sz="7" w:space="0" w:color="000000"/>
              <w:bottom w:val="single" w:sz="7" w:space="0" w:color="000000"/>
              <w:right w:val="single" w:sz="7" w:space="0" w:color="000000"/>
            </w:tcBorders>
          </w:tcPr>
          <w:p w:rsidR="00CF545A" w:rsidRPr="006F61E2" w:rsidRDefault="00CF545A" w:rsidP="001C5E78">
            <w:pPr>
              <w:keepNext/>
              <w:widowControl w:val="0"/>
              <w:spacing w:after="0"/>
              <w:jc w:val="center"/>
              <w:rPr>
                <w:rFonts w:ascii="Times New Roman" w:hAnsi="Times New Roman"/>
                <w:sz w:val="20"/>
                <w:szCs w:val="20"/>
                <w:lang w:val="en-CA"/>
              </w:rPr>
            </w:pPr>
          </w:p>
        </w:tc>
        <w:tc>
          <w:tcPr>
            <w:tcW w:w="1309" w:type="dxa"/>
            <w:tcBorders>
              <w:top w:val="single" w:sz="7" w:space="0" w:color="000000"/>
              <w:left w:val="single" w:sz="7" w:space="0" w:color="000000"/>
              <w:bottom w:val="single" w:sz="7" w:space="0" w:color="000000"/>
              <w:right w:val="single" w:sz="7" w:space="0" w:color="000000"/>
            </w:tcBorders>
          </w:tcPr>
          <w:p w:rsidR="00CF545A" w:rsidRPr="006F61E2" w:rsidRDefault="0006149D" w:rsidP="001C5E78">
            <w:pPr>
              <w:keepNext/>
              <w:widowControl w:val="0"/>
              <w:spacing w:after="0"/>
              <w:jc w:val="center"/>
              <w:rPr>
                <w:rFonts w:ascii="Times New Roman" w:hAnsi="Times New Roman"/>
                <w:sz w:val="20"/>
                <w:szCs w:val="20"/>
                <w:lang w:val="fr-CA"/>
              </w:rPr>
            </w:pPr>
            <w:r w:rsidRPr="006F61E2">
              <w:rPr>
                <w:rFonts w:ascii="Times New Roman" w:hAnsi="Times New Roman"/>
                <w:b/>
                <w:sz w:val="20"/>
                <w:szCs w:val="20"/>
                <w:lang w:val="fr-CA"/>
              </w:rPr>
              <w:t>C</w:t>
            </w:r>
            <w:r w:rsidRPr="006F61E2">
              <w:rPr>
                <w:rFonts w:ascii="Times New Roman" w:hAnsi="Times New Roman"/>
                <w:b/>
                <w:sz w:val="20"/>
                <w:szCs w:val="20"/>
                <w:vertAlign w:val="subscript"/>
                <w:lang w:val="fr-CA"/>
              </w:rPr>
              <w:t>max</w:t>
            </w:r>
            <w:r w:rsidRPr="006F61E2">
              <w:rPr>
                <w:rFonts w:ascii="Times New Roman" w:hAnsi="Times New Roman"/>
                <w:b/>
                <w:sz w:val="20"/>
                <w:szCs w:val="20"/>
                <w:lang w:val="fr-CA"/>
              </w:rPr>
              <w:t xml:space="preserve"> (ng/mL)</w:t>
            </w:r>
          </w:p>
        </w:tc>
        <w:tc>
          <w:tcPr>
            <w:tcW w:w="1350" w:type="dxa"/>
            <w:tcBorders>
              <w:top w:val="single" w:sz="7" w:space="0" w:color="000000"/>
              <w:left w:val="single" w:sz="7" w:space="0" w:color="000000"/>
              <w:bottom w:val="single" w:sz="7" w:space="0" w:color="000000"/>
              <w:right w:val="single" w:sz="7" w:space="0" w:color="000000"/>
            </w:tcBorders>
          </w:tcPr>
          <w:p w:rsidR="00CF545A" w:rsidRPr="006F61E2" w:rsidRDefault="00CF545A" w:rsidP="001C5E78">
            <w:pPr>
              <w:keepNext/>
              <w:widowControl w:val="0"/>
              <w:spacing w:after="0"/>
              <w:jc w:val="center"/>
              <w:rPr>
                <w:rFonts w:ascii="Times New Roman" w:hAnsi="Times New Roman"/>
                <w:b/>
                <w:sz w:val="20"/>
                <w:szCs w:val="20"/>
                <w:lang w:val="en-CA"/>
              </w:rPr>
            </w:pPr>
            <w:r w:rsidRPr="006F61E2">
              <w:rPr>
                <w:rFonts w:ascii="Times New Roman" w:hAnsi="Times New Roman"/>
                <w:b/>
                <w:sz w:val="20"/>
                <w:szCs w:val="20"/>
                <w:lang w:val="en-CA"/>
              </w:rPr>
              <w:t>AUC</w:t>
            </w:r>
            <w:r w:rsidRPr="006F61E2">
              <w:rPr>
                <w:rFonts w:ascii="Times New Roman" w:hAnsi="Times New Roman"/>
                <w:b/>
                <w:sz w:val="20"/>
                <w:szCs w:val="20"/>
                <w:vertAlign w:val="subscript"/>
                <w:lang w:val="en-CA"/>
              </w:rPr>
              <w:t>0-∞</w:t>
            </w:r>
            <w:r w:rsidRPr="006F61E2">
              <w:rPr>
                <w:rFonts w:ascii="Times New Roman" w:hAnsi="Times New Roman"/>
                <w:b/>
                <w:sz w:val="20"/>
                <w:szCs w:val="20"/>
                <w:lang w:val="en-CA"/>
              </w:rPr>
              <w:t xml:space="preserve"> (ng</w:t>
            </w:r>
            <w:r w:rsidRPr="006F61E2">
              <w:rPr>
                <w:rFonts w:ascii="Times New Roman" w:hAnsi="Times New Roman"/>
                <w:b/>
                <w:sz w:val="20"/>
                <w:szCs w:val="20"/>
                <w:lang w:val="en-CA"/>
              </w:rPr>
              <w:noBreakHyphen/>
              <w:t>hr/mL)</w:t>
            </w:r>
          </w:p>
        </w:tc>
        <w:tc>
          <w:tcPr>
            <w:tcW w:w="1350" w:type="dxa"/>
            <w:tcBorders>
              <w:top w:val="single" w:sz="7" w:space="0" w:color="000000"/>
              <w:left w:val="single" w:sz="7" w:space="0" w:color="000000"/>
              <w:bottom w:val="single" w:sz="7" w:space="0" w:color="000000"/>
              <w:right w:val="single" w:sz="7" w:space="0" w:color="000000"/>
            </w:tcBorders>
          </w:tcPr>
          <w:p w:rsidR="00CF545A" w:rsidRPr="006F61E2" w:rsidRDefault="0006149D" w:rsidP="001C5E78">
            <w:pPr>
              <w:keepNext/>
              <w:widowControl w:val="0"/>
              <w:spacing w:after="0"/>
              <w:jc w:val="center"/>
              <w:rPr>
                <w:rFonts w:ascii="Times New Roman" w:hAnsi="Times New Roman"/>
                <w:sz w:val="20"/>
                <w:szCs w:val="20"/>
                <w:lang w:val="en-CA"/>
              </w:rPr>
            </w:pPr>
            <w:r w:rsidRPr="006F61E2">
              <w:rPr>
                <w:rFonts w:ascii="Times New Roman" w:hAnsi="Times New Roman"/>
                <w:b/>
                <w:sz w:val="20"/>
                <w:szCs w:val="20"/>
                <w:lang w:val="en-CA"/>
              </w:rPr>
              <w:t>T</w:t>
            </w:r>
            <w:r w:rsidRPr="006F61E2">
              <w:rPr>
                <w:rFonts w:ascii="Times New Roman" w:hAnsi="Times New Roman"/>
                <w:b/>
                <w:sz w:val="20"/>
                <w:szCs w:val="20"/>
                <w:vertAlign w:val="subscript"/>
                <w:lang w:val="en-CA"/>
              </w:rPr>
              <w:t>max</w:t>
            </w:r>
            <w:r w:rsidRPr="006F61E2">
              <w:rPr>
                <w:rFonts w:ascii="Times New Roman" w:hAnsi="Times New Roman"/>
                <w:b/>
                <w:sz w:val="20"/>
                <w:szCs w:val="20"/>
                <w:lang w:val="en-CA"/>
              </w:rPr>
              <w:t xml:space="preserve"> (hr)</w:t>
            </w:r>
            <w:r w:rsidRPr="006F61E2">
              <w:rPr>
                <w:rFonts w:ascii="Times New Roman" w:hAnsi="Times New Roman"/>
                <w:b/>
                <w:sz w:val="20"/>
                <w:szCs w:val="20"/>
                <w:vertAlign w:val="superscript"/>
                <w:lang w:val="en-CA"/>
              </w:rPr>
              <w:t>*</w:t>
            </w:r>
          </w:p>
        </w:tc>
        <w:tc>
          <w:tcPr>
            <w:tcW w:w="1350" w:type="dxa"/>
            <w:tcBorders>
              <w:top w:val="single" w:sz="7" w:space="0" w:color="000000"/>
              <w:left w:val="single" w:sz="7" w:space="0" w:color="000000"/>
              <w:bottom w:val="single" w:sz="7" w:space="0" w:color="000000"/>
              <w:right w:val="single" w:sz="7" w:space="0" w:color="000000"/>
            </w:tcBorders>
          </w:tcPr>
          <w:p w:rsidR="00CF545A" w:rsidRPr="006F61E2" w:rsidRDefault="0006149D" w:rsidP="001C5E78">
            <w:pPr>
              <w:keepNext/>
              <w:widowControl w:val="0"/>
              <w:spacing w:after="0"/>
              <w:jc w:val="center"/>
              <w:rPr>
                <w:rFonts w:ascii="Times New Roman" w:hAnsi="Times New Roman"/>
                <w:sz w:val="20"/>
                <w:szCs w:val="20"/>
                <w:lang w:val="fr-CA"/>
              </w:rPr>
            </w:pPr>
            <w:r w:rsidRPr="006F61E2">
              <w:rPr>
                <w:rFonts w:ascii="Times New Roman" w:hAnsi="Times New Roman"/>
                <w:b/>
                <w:sz w:val="20"/>
                <w:szCs w:val="20"/>
                <w:lang w:val="fr-CA"/>
              </w:rPr>
              <w:t>t</w:t>
            </w:r>
            <w:r w:rsidRPr="006F61E2">
              <w:rPr>
                <w:rFonts w:ascii="Times New Roman" w:hAnsi="Times New Roman"/>
                <w:b/>
                <w:sz w:val="20"/>
                <w:szCs w:val="20"/>
                <w:vertAlign w:val="subscript"/>
                <w:lang w:val="fr-CA"/>
              </w:rPr>
              <w:t>½</w:t>
            </w:r>
            <w:r w:rsidRPr="006F61E2">
              <w:rPr>
                <w:rFonts w:ascii="Times New Roman" w:hAnsi="Times New Roman"/>
                <w:b/>
                <w:sz w:val="20"/>
                <w:szCs w:val="20"/>
                <w:lang w:val="fr-CA"/>
              </w:rPr>
              <w:t xml:space="preserve"> (hr)</w:t>
            </w:r>
          </w:p>
        </w:tc>
      </w:tr>
      <w:tr w:rsidR="00CF545A" w:rsidRPr="006F61E2" w:rsidTr="006344A3">
        <w:trPr>
          <w:cantSplit/>
          <w:jc w:val="center"/>
        </w:trPr>
        <w:tc>
          <w:tcPr>
            <w:tcW w:w="1481" w:type="dxa"/>
            <w:tcBorders>
              <w:top w:val="single" w:sz="7" w:space="0" w:color="000000"/>
              <w:left w:val="single" w:sz="7" w:space="0" w:color="000000"/>
              <w:bottom w:val="single" w:sz="7" w:space="0" w:color="000000"/>
              <w:right w:val="single" w:sz="7" w:space="0" w:color="000000"/>
            </w:tcBorders>
          </w:tcPr>
          <w:p w:rsidR="00CF545A" w:rsidRPr="006F61E2" w:rsidRDefault="0006149D" w:rsidP="001C5E78">
            <w:pPr>
              <w:keepNext/>
              <w:widowControl w:val="0"/>
              <w:spacing w:after="0"/>
              <w:rPr>
                <w:rFonts w:ascii="Times New Roman" w:hAnsi="Times New Roman"/>
                <w:b/>
                <w:bCs/>
                <w:sz w:val="20"/>
                <w:szCs w:val="20"/>
                <w:lang w:val="en-CA"/>
              </w:rPr>
            </w:pPr>
            <w:r w:rsidRPr="006F61E2">
              <w:rPr>
                <w:rFonts w:ascii="Times New Roman" w:hAnsi="Times New Roman"/>
                <w:b/>
                <w:bCs/>
                <w:sz w:val="20"/>
                <w:szCs w:val="20"/>
                <w:lang w:val="en-CA"/>
              </w:rPr>
              <w:t>Fidaxomicin</w:t>
            </w:r>
          </w:p>
        </w:tc>
        <w:tc>
          <w:tcPr>
            <w:tcW w:w="1309" w:type="dxa"/>
            <w:tcBorders>
              <w:top w:val="single" w:sz="7" w:space="0" w:color="000000"/>
              <w:left w:val="single" w:sz="7" w:space="0" w:color="000000"/>
              <w:bottom w:val="single" w:sz="7" w:space="0" w:color="000000"/>
              <w:right w:val="single" w:sz="7" w:space="0" w:color="000000"/>
            </w:tcBorders>
          </w:tcPr>
          <w:p w:rsidR="00CF545A" w:rsidRPr="006F61E2" w:rsidRDefault="0006149D" w:rsidP="001C5E78">
            <w:pPr>
              <w:keepNext/>
              <w:widowControl w:val="0"/>
              <w:spacing w:after="0"/>
              <w:jc w:val="center"/>
              <w:rPr>
                <w:rFonts w:ascii="Times New Roman" w:hAnsi="Times New Roman"/>
                <w:sz w:val="20"/>
                <w:szCs w:val="20"/>
                <w:lang w:val="en-CA"/>
              </w:rPr>
            </w:pPr>
            <w:r w:rsidRPr="006F61E2">
              <w:rPr>
                <w:rFonts w:ascii="Times New Roman" w:hAnsi="Times New Roman"/>
                <w:sz w:val="20"/>
                <w:szCs w:val="20"/>
                <w:lang w:val="en-CA"/>
              </w:rPr>
              <w:t>5.20 ± 2.81</w:t>
            </w:r>
          </w:p>
          <w:p w:rsidR="00CF545A" w:rsidRPr="006F61E2" w:rsidRDefault="00CF545A" w:rsidP="001C5E78">
            <w:pPr>
              <w:keepNext/>
              <w:widowControl w:val="0"/>
              <w:spacing w:after="0"/>
              <w:jc w:val="center"/>
              <w:rPr>
                <w:rFonts w:ascii="Times New Roman" w:hAnsi="Times New Roman"/>
                <w:sz w:val="20"/>
                <w:szCs w:val="20"/>
                <w:lang w:val="en-CA"/>
              </w:rPr>
            </w:pPr>
          </w:p>
          <w:p w:rsidR="00CF545A" w:rsidRPr="006F61E2" w:rsidRDefault="0006149D" w:rsidP="001C5E78">
            <w:pPr>
              <w:keepNext/>
              <w:widowControl w:val="0"/>
              <w:spacing w:after="0"/>
              <w:jc w:val="center"/>
              <w:rPr>
                <w:rFonts w:ascii="Times New Roman" w:hAnsi="Times New Roman"/>
                <w:sz w:val="20"/>
                <w:szCs w:val="20"/>
                <w:lang w:val="en-CA"/>
              </w:rPr>
            </w:pPr>
            <w:r w:rsidRPr="006F61E2">
              <w:rPr>
                <w:rFonts w:ascii="Times New Roman" w:hAnsi="Times New Roman"/>
                <w:sz w:val="20"/>
                <w:szCs w:val="20"/>
                <w:lang w:val="en-CA"/>
              </w:rPr>
              <w:t>(n=14)</w:t>
            </w:r>
          </w:p>
        </w:tc>
        <w:tc>
          <w:tcPr>
            <w:tcW w:w="1350" w:type="dxa"/>
            <w:tcBorders>
              <w:top w:val="single" w:sz="7" w:space="0" w:color="000000"/>
              <w:left w:val="single" w:sz="7" w:space="0" w:color="000000"/>
              <w:bottom w:val="single" w:sz="7" w:space="0" w:color="000000"/>
              <w:right w:val="single" w:sz="7" w:space="0" w:color="000000"/>
            </w:tcBorders>
          </w:tcPr>
          <w:p w:rsidR="0006149D" w:rsidRPr="006F61E2" w:rsidRDefault="00CF545A" w:rsidP="001C5E78">
            <w:pPr>
              <w:keepNext/>
              <w:widowControl w:val="0"/>
              <w:spacing w:after="0"/>
              <w:ind w:left="-101"/>
              <w:contextualSpacing/>
              <w:jc w:val="center"/>
              <w:rPr>
                <w:rFonts w:ascii="Times New Roman" w:hAnsi="Times New Roman"/>
                <w:sz w:val="20"/>
                <w:szCs w:val="20"/>
                <w:lang w:val="en-CA"/>
              </w:rPr>
            </w:pPr>
            <w:r w:rsidRPr="006F61E2">
              <w:rPr>
                <w:rFonts w:ascii="Times New Roman" w:hAnsi="Times New Roman"/>
                <w:sz w:val="20"/>
                <w:szCs w:val="20"/>
                <w:lang w:val="en-CA"/>
              </w:rPr>
              <w:t>62.9 ± 19.5</w:t>
            </w:r>
          </w:p>
          <w:p w:rsidR="0006149D" w:rsidRPr="006F61E2" w:rsidRDefault="0006149D" w:rsidP="001C5E78">
            <w:pPr>
              <w:keepNext/>
              <w:widowControl w:val="0"/>
              <w:spacing w:after="0"/>
              <w:ind w:left="-101"/>
              <w:jc w:val="center"/>
              <w:rPr>
                <w:rFonts w:ascii="Times New Roman" w:hAnsi="Times New Roman"/>
                <w:sz w:val="20"/>
                <w:szCs w:val="20"/>
                <w:lang w:val="en-CA"/>
              </w:rPr>
            </w:pPr>
          </w:p>
          <w:p w:rsidR="0006149D" w:rsidRPr="006F61E2" w:rsidRDefault="00CF545A" w:rsidP="001C5E78">
            <w:pPr>
              <w:keepNext/>
              <w:widowControl w:val="0"/>
              <w:spacing w:after="0"/>
              <w:ind w:left="-101"/>
              <w:jc w:val="center"/>
              <w:rPr>
                <w:rFonts w:ascii="Times New Roman" w:hAnsi="Times New Roman"/>
                <w:sz w:val="20"/>
                <w:szCs w:val="20"/>
                <w:lang w:val="en-CA"/>
              </w:rPr>
            </w:pPr>
            <w:r w:rsidRPr="006F61E2">
              <w:rPr>
                <w:rFonts w:ascii="Times New Roman" w:hAnsi="Times New Roman"/>
                <w:sz w:val="20"/>
                <w:szCs w:val="20"/>
                <w:lang w:val="en-CA"/>
              </w:rPr>
              <w:t>(n=9)</w:t>
            </w:r>
          </w:p>
        </w:tc>
        <w:tc>
          <w:tcPr>
            <w:tcW w:w="1350" w:type="dxa"/>
            <w:tcBorders>
              <w:top w:val="single" w:sz="7" w:space="0" w:color="000000"/>
              <w:left w:val="single" w:sz="7" w:space="0" w:color="000000"/>
              <w:bottom w:val="single" w:sz="7" w:space="0" w:color="000000"/>
              <w:right w:val="single" w:sz="7" w:space="0" w:color="000000"/>
            </w:tcBorders>
          </w:tcPr>
          <w:p w:rsidR="00CF545A" w:rsidRPr="006F61E2" w:rsidRDefault="0006149D" w:rsidP="001C5E78">
            <w:pPr>
              <w:keepNext/>
              <w:widowControl w:val="0"/>
              <w:spacing w:after="0"/>
              <w:jc w:val="center"/>
              <w:rPr>
                <w:rFonts w:ascii="Times New Roman" w:hAnsi="Times New Roman"/>
                <w:sz w:val="20"/>
                <w:szCs w:val="20"/>
                <w:lang w:val="en-CA"/>
              </w:rPr>
            </w:pPr>
            <w:r w:rsidRPr="006F61E2">
              <w:rPr>
                <w:rFonts w:ascii="Times New Roman" w:hAnsi="Times New Roman"/>
                <w:sz w:val="20"/>
                <w:szCs w:val="20"/>
                <w:lang w:val="en-CA"/>
              </w:rPr>
              <w:t>2.00</w:t>
            </w:r>
          </w:p>
          <w:p w:rsidR="00CF545A" w:rsidRPr="006F61E2" w:rsidRDefault="0006149D" w:rsidP="001C5E78">
            <w:pPr>
              <w:keepNext/>
              <w:widowControl w:val="0"/>
              <w:spacing w:after="0"/>
              <w:jc w:val="center"/>
              <w:rPr>
                <w:rFonts w:ascii="Times New Roman" w:hAnsi="Times New Roman"/>
                <w:sz w:val="20"/>
                <w:szCs w:val="20"/>
                <w:lang w:val="en-CA"/>
              </w:rPr>
            </w:pPr>
            <w:r w:rsidRPr="006F61E2">
              <w:rPr>
                <w:rFonts w:ascii="Times New Roman" w:hAnsi="Times New Roman"/>
                <w:sz w:val="20"/>
                <w:szCs w:val="20"/>
                <w:lang w:val="en-CA"/>
              </w:rPr>
              <w:t>(1.00-5.00)</w:t>
            </w:r>
          </w:p>
          <w:p w:rsidR="00CF545A" w:rsidRPr="006F61E2" w:rsidRDefault="0006149D" w:rsidP="001C5E78">
            <w:pPr>
              <w:keepNext/>
              <w:widowControl w:val="0"/>
              <w:spacing w:after="0"/>
              <w:jc w:val="center"/>
              <w:rPr>
                <w:rFonts w:ascii="Times New Roman" w:hAnsi="Times New Roman"/>
                <w:sz w:val="20"/>
                <w:szCs w:val="20"/>
                <w:lang w:val="en-CA"/>
              </w:rPr>
            </w:pPr>
            <w:r w:rsidRPr="006F61E2">
              <w:rPr>
                <w:rFonts w:ascii="Times New Roman" w:hAnsi="Times New Roman"/>
                <w:sz w:val="20"/>
                <w:szCs w:val="20"/>
                <w:lang w:val="en-CA"/>
              </w:rPr>
              <w:t>(n=14)</w:t>
            </w:r>
          </w:p>
        </w:tc>
        <w:tc>
          <w:tcPr>
            <w:tcW w:w="1350" w:type="dxa"/>
            <w:tcBorders>
              <w:top w:val="single" w:sz="7" w:space="0" w:color="000000"/>
              <w:left w:val="single" w:sz="7" w:space="0" w:color="000000"/>
              <w:bottom w:val="single" w:sz="7" w:space="0" w:color="000000"/>
              <w:right w:val="single" w:sz="7" w:space="0" w:color="000000"/>
            </w:tcBorders>
          </w:tcPr>
          <w:p w:rsidR="00CF545A" w:rsidRPr="006F61E2" w:rsidRDefault="0006149D" w:rsidP="001C5E78">
            <w:pPr>
              <w:keepNext/>
              <w:widowControl w:val="0"/>
              <w:spacing w:after="0"/>
              <w:jc w:val="center"/>
              <w:rPr>
                <w:rFonts w:ascii="Times New Roman" w:hAnsi="Times New Roman"/>
                <w:sz w:val="20"/>
                <w:szCs w:val="20"/>
                <w:lang w:val="en-CA"/>
              </w:rPr>
            </w:pPr>
            <w:r w:rsidRPr="006F61E2">
              <w:rPr>
                <w:rFonts w:ascii="Times New Roman" w:hAnsi="Times New Roman"/>
                <w:sz w:val="20"/>
                <w:szCs w:val="20"/>
                <w:lang w:val="en-CA"/>
              </w:rPr>
              <w:t>11.7 ± 4.80</w:t>
            </w:r>
          </w:p>
          <w:p w:rsidR="00CF545A" w:rsidRPr="006F61E2" w:rsidRDefault="00CF545A" w:rsidP="001C5E78">
            <w:pPr>
              <w:keepNext/>
              <w:widowControl w:val="0"/>
              <w:spacing w:after="0"/>
              <w:jc w:val="center"/>
              <w:rPr>
                <w:rFonts w:ascii="Times New Roman" w:hAnsi="Times New Roman"/>
                <w:sz w:val="20"/>
                <w:szCs w:val="20"/>
                <w:lang w:val="en-CA"/>
              </w:rPr>
            </w:pPr>
          </w:p>
          <w:p w:rsidR="00CF545A" w:rsidRPr="006F61E2" w:rsidRDefault="0006149D" w:rsidP="001C5E78">
            <w:pPr>
              <w:keepNext/>
              <w:widowControl w:val="0"/>
              <w:spacing w:after="0"/>
              <w:jc w:val="center"/>
              <w:rPr>
                <w:rFonts w:ascii="Times New Roman" w:hAnsi="Times New Roman"/>
                <w:sz w:val="20"/>
                <w:szCs w:val="20"/>
                <w:lang w:val="en-CA"/>
              </w:rPr>
            </w:pPr>
            <w:r w:rsidRPr="006F61E2">
              <w:rPr>
                <w:rFonts w:ascii="Times New Roman" w:hAnsi="Times New Roman"/>
                <w:sz w:val="20"/>
                <w:szCs w:val="20"/>
                <w:lang w:val="en-CA"/>
              </w:rPr>
              <w:t>(n=9)</w:t>
            </w:r>
          </w:p>
        </w:tc>
      </w:tr>
      <w:tr w:rsidR="00CF545A" w:rsidRPr="006F61E2" w:rsidTr="006344A3">
        <w:trPr>
          <w:cantSplit/>
          <w:jc w:val="center"/>
        </w:trPr>
        <w:tc>
          <w:tcPr>
            <w:tcW w:w="1481" w:type="dxa"/>
            <w:tcBorders>
              <w:top w:val="single" w:sz="7" w:space="0" w:color="000000"/>
              <w:left w:val="single" w:sz="7" w:space="0" w:color="000000"/>
              <w:bottom w:val="single" w:sz="7" w:space="0" w:color="000000"/>
              <w:right w:val="single" w:sz="7" w:space="0" w:color="000000"/>
            </w:tcBorders>
          </w:tcPr>
          <w:p w:rsidR="00CF545A" w:rsidRPr="006F61E2" w:rsidRDefault="0006149D" w:rsidP="001C5E78">
            <w:pPr>
              <w:keepNext/>
              <w:widowControl w:val="0"/>
              <w:spacing w:after="0"/>
              <w:rPr>
                <w:rFonts w:ascii="Times New Roman" w:hAnsi="Times New Roman"/>
                <w:b/>
                <w:bCs/>
                <w:sz w:val="20"/>
                <w:szCs w:val="20"/>
                <w:lang w:val="en-CA"/>
              </w:rPr>
            </w:pPr>
            <w:r w:rsidRPr="006F61E2">
              <w:rPr>
                <w:rFonts w:ascii="Times New Roman" w:hAnsi="Times New Roman"/>
                <w:b/>
                <w:bCs/>
                <w:sz w:val="20"/>
                <w:szCs w:val="20"/>
                <w:lang w:val="en-CA"/>
              </w:rPr>
              <w:t>OP-1118</w:t>
            </w:r>
          </w:p>
        </w:tc>
        <w:tc>
          <w:tcPr>
            <w:tcW w:w="1309" w:type="dxa"/>
            <w:tcBorders>
              <w:top w:val="single" w:sz="7" w:space="0" w:color="000000"/>
              <w:left w:val="single" w:sz="7" w:space="0" w:color="000000"/>
              <w:bottom w:val="single" w:sz="7" w:space="0" w:color="000000"/>
              <w:right w:val="single" w:sz="7" w:space="0" w:color="000000"/>
            </w:tcBorders>
          </w:tcPr>
          <w:p w:rsidR="00CF545A" w:rsidRPr="006F61E2" w:rsidRDefault="0006149D" w:rsidP="001C5E78">
            <w:pPr>
              <w:keepNext/>
              <w:widowControl w:val="0"/>
              <w:spacing w:after="0"/>
              <w:jc w:val="center"/>
              <w:rPr>
                <w:rFonts w:ascii="Times New Roman" w:hAnsi="Times New Roman"/>
                <w:sz w:val="20"/>
                <w:szCs w:val="20"/>
                <w:lang w:val="en-CA"/>
              </w:rPr>
            </w:pPr>
            <w:r w:rsidRPr="006F61E2">
              <w:rPr>
                <w:rFonts w:ascii="Times New Roman" w:hAnsi="Times New Roman"/>
                <w:sz w:val="20"/>
                <w:szCs w:val="20"/>
                <w:lang w:val="en-CA"/>
              </w:rPr>
              <w:t>12.0 ± 6.06</w:t>
            </w:r>
          </w:p>
          <w:p w:rsidR="00CF545A" w:rsidRPr="006F61E2" w:rsidRDefault="00CF545A" w:rsidP="001C5E78">
            <w:pPr>
              <w:keepNext/>
              <w:widowControl w:val="0"/>
              <w:spacing w:after="0"/>
              <w:jc w:val="center"/>
              <w:rPr>
                <w:rFonts w:ascii="Times New Roman" w:hAnsi="Times New Roman"/>
                <w:sz w:val="20"/>
                <w:szCs w:val="20"/>
                <w:lang w:val="en-CA"/>
              </w:rPr>
            </w:pPr>
          </w:p>
          <w:p w:rsidR="00CF545A" w:rsidRPr="006F61E2" w:rsidRDefault="0006149D" w:rsidP="001C5E78">
            <w:pPr>
              <w:keepNext/>
              <w:widowControl w:val="0"/>
              <w:spacing w:after="0"/>
              <w:jc w:val="center"/>
              <w:rPr>
                <w:rFonts w:ascii="Times New Roman" w:hAnsi="Times New Roman"/>
                <w:sz w:val="20"/>
                <w:szCs w:val="20"/>
                <w:lang w:val="en-CA"/>
              </w:rPr>
            </w:pPr>
            <w:r w:rsidRPr="006F61E2">
              <w:rPr>
                <w:rFonts w:ascii="Times New Roman" w:hAnsi="Times New Roman"/>
                <w:sz w:val="20"/>
                <w:szCs w:val="20"/>
                <w:lang w:val="en-CA"/>
              </w:rPr>
              <w:t>(n=14)</w:t>
            </w:r>
          </w:p>
        </w:tc>
        <w:tc>
          <w:tcPr>
            <w:tcW w:w="1350" w:type="dxa"/>
            <w:tcBorders>
              <w:top w:val="single" w:sz="7" w:space="0" w:color="000000"/>
              <w:left w:val="single" w:sz="7" w:space="0" w:color="000000"/>
              <w:bottom w:val="single" w:sz="7" w:space="0" w:color="000000"/>
              <w:right w:val="single" w:sz="7" w:space="0" w:color="000000"/>
            </w:tcBorders>
          </w:tcPr>
          <w:p w:rsidR="00CF545A" w:rsidRPr="006F61E2" w:rsidRDefault="00CF545A" w:rsidP="001C5E78">
            <w:pPr>
              <w:keepNext/>
              <w:widowControl w:val="0"/>
              <w:spacing w:after="0"/>
              <w:jc w:val="center"/>
              <w:rPr>
                <w:rFonts w:ascii="Times New Roman" w:hAnsi="Times New Roman"/>
                <w:sz w:val="20"/>
                <w:szCs w:val="20"/>
                <w:lang w:val="en-CA"/>
              </w:rPr>
            </w:pPr>
            <w:r w:rsidRPr="006F61E2">
              <w:rPr>
                <w:rFonts w:ascii="Times New Roman" w:hAnsi="Times New Roman"/>
                <w:sz w:val="20"/>
                <w:szCs w:val="20"/>
                <w:lang w:val="en-CA"/>
              </w:rPr>
              <w:t>118 ± 43.3</w:t>
            </w:r>
          </w:p>
          <w:p w:rsidR="00CF545A" w:rsidRPr="006F61E2" w:rsidRDefault="00CF545A" w:rsidP="001C5E78">
            <w:pPr>
              <w:keepNext/>
              <w:widowControl w:val="0"/>
              <w:spacing w:after="0"/>
              <w:jc w:val="center"/>
              <w:rPr>
                <w:rFonts w:ascii="Times New Roman" w:hAnsi="Times New Roman"/>
                <w:sz w:val="20"/>
                <w:szCs w:val="20"/>
                <w:lang w:val="en-CA"/>
              </w:rPr>
            </w:pPr>
          </w:p>
          <w:p w:rsidR="0006149D" w:rsidRPr="006F61E2" w:rsidRDefault="00CF545A" w:rsidP="001C5E78">
            <w:pPr>
              <w:keepNext/>
              <w:widowControl w:val="0"/>
              <w:spacing w:after="0"/>
              <w:jc w:val="center"/>
              <w:rPr>
                <w:rFonts w:ascii="Times New Roman" w:hAnsi="Times New Roman"/>
                <w:sz w:val="20"/>
                <w:szCs w:val="20"/>
                <w:lang w:val="en-CA"/>
              </w:rPr>
            </w:pPr>
            <w:r w:rsidRPr="006F61E2">
              <w:rPr>
                <w:rFonts w:ascii="Times New Roman" w:hAnsi="Times New Roman"/>
                <w:sz w:val="20"/>
                <w:szCs w:val="20"/>
                <w:lang w:val="en-CA"/>
              </w:rPr>
              <w:t>(n=10)</w:t>
            </w:r>
          </w:p>
        </w:tc>
        <w:tc>
          <w:tcPr>
            <w:tcW w:w="1350" w:type="dxa"/>
            <w:tcBorders>
              <w:top w:val="single" w:sz="7" w:space="0" w:color="000000"/>
              <w:left w:val="single" w:sz="7" w:space="0" w:color="000000"/>
              <w:bottom w:val="single" w:sz="7" w:space="0" w:color="000000"/>
              <w:right w:val="single" w:sz="7" w:space="0" w:color="000000"/>
            </w:tcBorders>
          </w:tcPr>
          <w:p w:rsidR="00CF545A" w:rsidRPr="006F61E2" w:rsidRDefault="0006149D" w:rsidP="001C5E78">
            <w:pPr>
              <w:keepNext/>
              <w:widowControl w:val="0"/>
              <w:spacing w:after="0"/>
              <w:jc w:val="center"/>
              <w:rPr>
                <w:rFonts w:ascii="Times New Roman" w:hAnsi="Times New Roman"/>
                <w:sz w:val="20"/>
                <w:szCs w:val="20"/>
                <w:lang w:val="en-CA"/>
              </w:rPr>
            </w:pPr>
            <w:r w:rsidRPr="006F61E2">
              <w:rPr>
                <w:rFonts w:ascii="Times New Roman" w:hAnsi="Times New Roman"/>
                <w:sz w:val="20"/>
                <w:szCs w:val="20"/>
                <w:lang w:val="en-CA"/>
              </w:rPr>
              <w:t xml:space="preserve">1.02 </w:t>
            </w:r>
          </w:p>
          <w:p w:rsidR="00CF545A" w:rsidRPr="006F61E2" w:rsidRDefault="0006149D" w:rsidP="001C5E78">
            <w:pPr>
              <w:keepNext/>
              <w:widowControl w:val="0"/>
              <w:spacing w:after="0"/>
              <w:jc w:val="center"/>
              <w:rPr>
                <w:rFonts w:ascii="Times New Roman" w:hAnsi="Times New Roman"/>
                <w:sz w:val="20"/>
                <w:szCs w:val="20"/>
                <w:lang w:val="en-CA"/>
              </w:rPr>
            </w:pPr>
            <w:r w:rsidRPr="006F61E2">
              <w:rPr>
                <w:rFonts w:ascii="Times New Roman" w:hAnsi="Times New Roman"/>
                <w:sz w:val="20"/>
                <w:szCs w:val="20"/>
                <w:lang w:val="en-CA"/>
              </w:rPr>
              <w:t>(1.00-5.00)</w:t>
            </w:r>
          </w:p>
          <w:p w:rsidR="00CF545A" w:rsidRPr="006F61E2" w:rsidRDefault="0006149D" w:rsidP="001C5E78">
            <w:pPr>
              <w:keepNext/>
              <w:widowControl w:val="0"/>
              <w:spacing w:after="0"/>
              <w:jc w:val="center"/>
              <w:rPr>
                <w:rFonts w:ascii="Times New Roman" w:hAnsi="Times New Roman"/>
                <w:sz w:val="20"/>
                <w:szCs w:val="20"/>
                <w:lang w:val="en-CA"/>
              </w:rPr>
            </w:pPr>
            <w:r w:rsidRPr="006F61E2">
              <w:rPr>
                <w:rFonts w:ascii="Times New Roman" w:hAnsi="Times New Roman"/>
                <w:sz w:val="20"/>
                <w:szCs w:val="20"/>
                <w:lang w:val="en-CA"/>
              </w:rPr>
              <w:t>(n=14)</w:t>
            </w:r>
          </w:p>
        </w:tc>
        <w:tc>
          <w:tcPr>
            <w:tcW w:w="1350" w:type="dxa"/>
            <w:tcBorders>
              <w:top w:val="single" w:sz="7" w:space="0" w:color="000000"/>
              <w:left w:val="single" w:sz="7" w:space="0" w:color="000000"/>
              <w:bottom w:val="single" w:sz="7" w:space="0" w:color="000000"/>
              <w:right w:val="single" w:sz="7" w:space="0" w:color="000000"/>
            </w:tcBorders>
          </w:tcPr>
          <w:p w:rsidR="00CF545A" w:rsidRPr="006F61E2" w:rsidRDefault="0006149D" w:rsidP="001C5E78">
            <w:pPr>
              <w:keepNext/>
              <w:widowControl w:val="0"/>
              <w:spacing w:after="0"/>
              <w:jc w:val="center"/>
              <w:rPr>
                <w:rFonts w:ascii="Times New Roman" w:hAnsi="Times New Roman"/>
                <w:sz w:val="20"/>
                <w:szCs w:val="20"/>
                <w:lang w:val="en-CA"/>
              </w:rPr>
            </w:pPr>
            <w:r w:rsidRPr="006F61E2">
              <w:rPr>
                <w:rFonts w:ascii="Times New Roman" w:hAnsi="Times New Roman"/>
                <w:sz w:val="20"/>
                <w:szCs w:val="20"/>
                <w:lang w:val="en-CA"/>
              </w:rPr>
              <w:t>11.2 ± 3.01</w:t>
            </w:r>
          </w:p>
          <w:p w:rsidR="00CF545A" w:rsidRPr="006F61E2" w:rsidRDefault="00CF545A" w:rsidP="001C5E78">
            <w:pPr>
              <w:keepNext/>
              <w:widowControl w:val="0"/>
              <w:spacing w:after="0"/>
              <w:jc w:val="center"/>
              <w:rPr>
                <w:rFonts w:ascii="Times New Roman" w:hAnsi="Times New Roman"/>
                <w:sz w:val="20"/>
                <w:szCs w:val="20"/>
                <w:lang w:val="en-CA"/>
              </w:rPr>
            </w:pPr>
          </w:p>
          <w:p w:rsidR="00CF545A" w:rsidRPr="006F61E2" w:rsidRDefault="0006149D" w:rsidP="001C5E78">
            <w:pPr>
              <w:keepNext/>
              <w:widowControl w:val="0"/>
              <w:spacing w:after="0"/>
              <w:jc w:val="center"/>
              <w:rPr>
                <w:rFonts w:ascii="Times New Roman" w:hAnsi="Times New Roman"/>
                <w:sz w:val="20"/>
                <w:szCs w:val="20"/>
                <w:lang w:val="en-CA"/>
              </w:rPr>
            </w:pPr>
            <w:r w:rsidRPr="006F61E2">
              <w:rPr>
                <w:rFonts w:ascii="Times New Roman" w:hAnsi="Times New Roman"/>
                <w:sz w:val="20"/>
                <w:szCs w:val="20"/>
                <w:lang w:val="en-CA"/>
              </w:rPr>
              <w:t>(n=10)</w:t>
            </w:r>
          </w:p>
        </w:tc>
      </w:tr>
    </w:tbl>
    <w:p w:rsidR="00F76EF7" w:rsidRPr="00E2636F" w:rsidRDefault="00F76EF7" w:rsidP="001C5E78">
      <w:pPr>
        <w:keepNext/>
        <w:widowControl w:val="0"/>
        <w:spacing w:after="0"/>
        <w:rPr>
          <w:rFonts w:ascii="Times New Roman" w:hAnsi="Times New Roman"/>
          <w:sz w:val="20"/>
          <w:szCs w:val="20"/>
          <w:lang w:val="en-CA"/>
        </w:rPr>
      </w:pPr>
      <w:r w:rsidRPr="00E2636F">
        <w:rPr>
          <w:rFonts w:ascii="Times New Roman" w:hAnsi="Times New Roman"/>
          <w:sz w:val="20"/>
          <w:szCs w:val="20"/>
          <w:lang w:val="en-CA"/>
        </w:rPr>
        <w:t>* T</w:t>
      </w:r>
      <w:r w:rsidRPr="00E2636F">
        <w:rPr>
          <w:rFonts w:ascii="Times New Roman" w:hAnsi="Times New Roman"/>
          <w:sz w:val="20"/>
          <w:szCs w:val="20"/>
          <w:vertAlign w:val="subscript"/>
          <w:lang w:val="en-CA"/>
        </w:rPr>
        <w:t>max</w:t>
      </w:r>
      <w:r w:rsidRPr="00E2636F">
        <w:rPr>
          <w:rFonts w:ascii="Times New Roman" w:hAnsi="Times New Roman"/>
          <w:sz w:val="20"/>
          <w:szCs w:val="20"/>
          <w:lang w:val="en-CA"/>
        </w:rPr>
        <w:t xml:space="preserve"> reported as median (range)</w:t>
      </w:r>
    </w:p>
    <w:p w:rsidR="00F76EF7" w:rsidRPr="00E2636F" w:rsidRDefault="00F76EF7" w:rsidP="001C5E78">
      <w:pPr>
        <w:keepNext/>
        <w:widowControl w:val="0"/>
        <w:spacing w:after="0"/>
        <w:rPr>
          <w:rFonts w:ascii="Times New Roman" w:hAnsi="Times New Roman"/>
          <w:sz w:val="20"/>
          <w:szCs w:val="20"/>
          <w:lang w:val="en-CA"/>
        </w:rPr>
      </w:pPr>
      <w:r w:rsidRPr="00E2636F">
        <w:rPr>
          <w:rFonts w:ascii="Times New Roman" w:hAnsi="Times New Roman"/>
          <w:sz w:val="20"/>
          <w:szCs w:val="20"/>
          <w:lang w:val="en-CA"/>
        </w:rPr>
        <w:t>C</w:t>
      </w:r>
      <w:r w:rsidRPr="00E2636F">
        <w:rPr>
          <w:rFonts w:ascii="Times New Roman" w:hAnsi="Times New Roman"/>
          <w:sz w:val="20"/>
          <w:szCs w:val="20"/>
          <w:vertAlign w:val="subscript"/>
          <w:lang w:val="en-CA"/>
        </w:rPr>
        <w:t>max</w:t>
      </w:r>
      <w:r w:rsidRPr="00E2636F">
        <w:rPr>
          <w:rFonts w:ascii="Times New Roman" w:hAnsi="Times New Roman"/>
          <w:sz w:val="20"/>
          <w:szCs w:val="20"/>
          <w:lang w:val="en-CA"/>
        </w:rPr>
        <w:t>, maximum observed concentration</w:t>
      </w:r>
    </w:p>
    <w:p w:rsidR="00F76EF7" w:rsidRPr="00E2636F" w:rsidRDefault="00F76EF7" w:rsidP="001C5E78">
      <w:pPr>
        <w:keepNext/>
        <w:widowControl w:val="0"/>
        <w:spacing w:after="0"/>
        <w:rPr>
          <w:rFonts w:ascii="Times New Roman" w:hAnsi="Times New Roman"/>
          <w:sz w:val="20"/>
          <w:szCs w:val="20"/>
          <w:lang w:val="en-CA"/>
        </w:rPr>
      </w:pPr>
      <w:r w:rsidRPr="00E2636F">
        <w:rPr>
          <w:rFonts w:ascii="Times New Roman" w:hAnsi="Times New Roman"/>
          <w:sz w:val="20"/>
          <w:szCs w:val="20"/>
          <w:lang w:val="en-CA"/>
        </w:rPr>
        <w:t>T</w:t>
      </w:r>
      <w:r w:rsidRPr="00E2636F">
        <w:rPr>
          <w:rFonts w:ascii="Times New Roman" w:hAnsi="Times New Roman"/>
          <w:sz w:val="20"/>
          <w:szCs w:val="20"/>
          <w:vertAlign w:val="subscript"/>
          <w:lang w:val="en-CA"/>
        </w:rPr>
        <w:t>max</w:t>
      </w:r>
      <w:r w:rsidRPr="00E2636F">
        <w:rPr>
          <w:rFonts w:ascii="Times New Roman" w:hAnsi="Times New Roman"/>
          <w:sz w:val="20"/>
          <w:szCs w:val="20"/>
          <w:lang w:val="en-CA"/>
        </w:rPr>
        <w:t>, time to maximum observed concentration</w:t>
      </w:r>
    </w:p>
    <w:p w:rsidR="00F76EF7" w:rsidRPr="00E2636F" w:rsidRDefault="00F76EF7" w:rsidP="001C5E78">
      <w:pPr>
        <w:keepNext/>
        <w:widowControl w:val="0"/>
        <w:spacing w:after="0"/>
        <w:rPr>
          <w:rFonts w:ascii="Times New Roman" w:hAnsi="Times New Roman"/>
          <w:sz w:val="20"/>
          <w:szCs w:val="20"/>
          <w:lang w:val="en-CA"/>
        </w:rPr>
      </w:pPr>
      <w:r w:rsidRPr="00E2636F">
        <w:rPr>
          <w:rFonts w:ascii="Times New Roman" w:hAnsi="Times New Roman"/>
          <w:sz w:val="20"/>
          <w:szCs w:val="20"/>
          <w:lang w:val="en-CA"/>
        </w:rPr>
        <w:t>t</w:t>
      </w:r>
      <w:r w:rsidRPr="00E2636F">
        <w:rPr>
          <w:rFonts w:ascii="Times New Roman" w:hAnsi="Times New Roman"/>
          <w:sz w:val="20"/>
          <w:szCs w:val="20"/>
          <w:vertAlign w:val="subscript"/>
          <w:lang w:val="en-CA"/>
        </w:rPr>
        <w:t>1/2</w:t>
      </w:r>
      <w:r w:rsidRPr="00E2636F">
        <w:rPr>
          <w:rFonts w:ascii="Times New Roman" w:hAnsi="Times New Roman"/>
          <w:sz w:val="20"/>
          <w:szCs w:val="20"/>
          <w:lang w:val="en-CA"/>
        </w:rPr>
        <w:t>, elimination half-life</w:t>
      </w:r>
    </w:p>
    <w:p w:rsidR="00267CF2" w:rsidRDefault="00F76EF7">
      <w:pPr>
        <w:widowControl w:val="0"/>
        <w:spacing w:after="0"/>
        <w:rPr>
          <w:rFonts w:ascii="Times New Roman" w:hAnsi="Times New Roman"/>
          <w:sz w:val="20"/>
          <w:szCs w:val="20"/>
          <w:lang w:val="en-CA"/>
        </w:rPr>
      </w:pPr>
      <w:r w:rsidRPr="00E2636F">
        <w:rPr>
          <w:rFonts w:ascii="Times New Roman" w:hAnsi="Times New Roman"/>
          <w:sz w:val="20"/>
          <w:szCs w:val="20"/>
          <w:lang w:val="en-CA"/>
        </w:rPr>
        <w:t>AUC</w:t>
      </w:r>
      <w:r w:rsidRPr="00E2636F">
        <w:rPr>
          <w:rFonts w:ascii="Times New Roman" w:hAnsi="Times New Roman"/>
          <w:sz w:val="20"/>
          <w:szCs w:val="20"/>
          <w:vertAlign w:val="subscript"/>
          <w:lang w:val="en-CA"/>
        </w:rPr>
        <w:t>0-∞</w:t>
      </w:r>
      <w:r w:rsidRPr="00E2636F">
        <w:rPr>
          <w:rFonts w:ascii="Times New Roman" w:hAnsi="Times New Roman"/>
          <w:sz w:val="20"/>
          <w:szCs w:val="20"/>
          <w:lang w:val="en-CA"/>
        </w:rPr>
        <w:t>, area under the concentration-time curve from time 0 to infinity</w:t>
      </w:r>
    </w:p>
    <w:p w:rsidR="0084329E" w:rsidRDefault="0084329E">
      <w:pPr>
        <w:widowControl w:val="0"/>
        <w:spacing w:after="0"/>
        <w:rPr>
          <w:lang w:val="en-CA"/>
        </w:rPr>
      </w:pPr>
    </w:p>
    <w:p w:rsidR="00F76EF7" w:rsidRPr="00E2636F" w:rsidRDefault="00F76EF7" w:rsidP="00692175">
      <w:pPr>
        <w:rPr>
          <w:rFonts w:ascii="Times New Roman" w:hAnsi="Times New Roman"/>
          <w:lang w:val="en-CA"/>
        </w:rPr>
      </w:pPr>
      <w:r w:rsidRPr="00E2636F">
        <w:rPr>
          <w:rFonts w:ascii="Times New Roman" w:hAnsi="Times New Roman"/>
          <w:b/>
          <w:lang w:val="en-CA"/>
        </w:rPr>
        <w:t>Absorption:</w:t>
      </w:r>
      <w:r w:rsidRPr="00E2636F">
        <w:rPr>
          <w:rFonts w:ascii="Times New Roman" w:hAnsi="Times New Roman"/>
          <w:lang w:val="en-CA"/>
        </w:rPr>
        <w:t xml:space="preserve">  Fidaxomicin has minimal systemic absorption following oral administration, with plasma concentrations of fidaxomicin and OP-1118 in the ng/mL range at the therapeutic dose. In DIFICID-treated </w:t>
      </w:r>
      <w:r w:rsidR="00695C6B">
        <w:rPr>
          <w:rFonts w:ascii="Times New Roman" w:hAnsi="Times New Roman"/>
          <w:lang w:val="en-CA"/>
        </w:rPr>
        <w:t>subjects</w:t>
      </w:r>
      <w:r w:rsidRPr="00E2636F">
        <w:rPr>
          <w:rFonts w:ascii="Times New Roman" w:hAnsi="Times New Roman"/>
          <w:lang w:val="en-CA"/>
        </w:rPr>
        <w:t xml:space="preserve"> with CDI in controlled trials, plasma concentrations of fidaxomicin and its main metabolite OP-1118 obtained within the T</w:t>
      </w:r>
      <w:r w:rsidRPr="00E2636F">
        <w:rPr>
          <w:rFonts w:ascii="Times New Roman" w:hAnsi="Times New Roman"/>
          <w:vertAlign w:val="subscript"/>
          <w:lang w:val="en-CA"/>
        </w:rPr>
        <w:t>max</w:t>
      </w:r>
      <w:r w:rsidRPr="00E2636F">
        <w:rPr>
          <w:rFonts w:ascii="Times New Roman" w:hAnsi="Times New Roman"/>
          <w:lang w:val="en-CA"/>
        </w:rPr>
        <w:t xml:space="preserve"> window (1-5 hours) were approximately 2- to 6-fold higher than C</w:t>
      </w:r>
      <w:r w:rsidRPr="00E2636F">
        <w:rPr>
          <w:rFonts w:ascii="Times New Roman" w:hAnsi="Times New Roman"/>
          <w:vertAlign w:val="subscript"/>
          <w:lang w:val="en-CA"/>
        </w:rPr>
        <w:t>max</w:t>
      </w:r>
      <w:r w:rsidRPr="00E2636F">
        <w:rPr>
          <w:rFonts w:ascii="Times New Roman" w:hAnsi="Times New Roman"/>
          <w:lang w:val="en-CA"/>
        </w:rPr>
        <w:t xml:space="preserve"> values in healthy adults.</w:t>
      </w:r>
    </w:p>
    <w:p w:rsidR="00F76EF7" w:rsidRPr="00E2636F" w:rsidRDefault="00F76EF7" w:rsidP="00692175">
      <w:pPr>
        <w:rPr>
          <w:rFonts w:ascii="Times New Roman" w:hAnsi="Times New Roman"/>
          <w:lang w:val="en-CA"/>
        </w:rPr>
      </w:pPr>
      <w:r w:rsidRPr="00E2636F">
        <w:rPr>
          <w:rFonts w:ascii="Times New Roman" w:hAnsi="Times New Roman"/>
          <w:lang w:val="en-CA"/>
        </w:rPr>
        <w:t>Following administration of DIFICID 200 mg twice daily for 10 days, OP-1118 plasma concentrations within the T</w:t>
      </w:r>
      <w:r w:rsidRPr="00E2636F">
        <w:rPr>
          <w:rFonts w:ascii="Times New Roman" w:hAnsi="Times New Roman"/>
          <w:vertAlign w:val="subscript"/>
          <w:lang w:val="en-CA"/>
        </w:rPr>
        <w:t>max</w:t>
      </w:r>
      <w:r w:rsidRPr="00E2636F">
        <w:rPr>
          <w:rFonts w:ascii="Times New Roman" w:hAnsi="Times New Roman"/>
          <w:lang w:val="en-CA"/>
        </w:rPr>
        <w:t xml:space="preserve"> window were approximately 50-80% higher than on Day 1, while concentrations of fidaxomicin were similar on Day 1 and Day 10. </w:t>
      </w:r>
    </w:p>
    <w:p w:rsidR="00F76EF7" w:rsidRPr="00E2636F" w:rsidRDefault="00F76EF7" w:rsidP="00F76EF7">
      <w:pPr>
        <w:rPr>
          <w:rFonts w:ascii="Times New Roman" w:hAnsi="Times New Roman"/>
          <w:lang w:val="en-CA"/>
        </w:rPr>
      </w:pPr>
      <w:r w:rsidRPr="00E2636F">
        <w:rPr>
          <w:rFonts w:ascii="Times New Roman" w:hAnsi="Times New Roman"/>
          <w:b/>
          <w:lang w:val="en-CA"/>
        </w:rPr>
        <w:lastRenderedPageBreak/>
        <w:t xml:space="preserve">Distribution:  </w:t>
      </w:r>
      <w:r w:rsidRPr="00E2636F">
        <w:rPr>
          <w:rFonts w:ascii="Times New Roman" w:hAnsi="Times New Roman"/>
          <w:bCs/>
          <w:lang w:val="en-CA"/>
        </w:rPr>
        <w:t>F</w:t>
      </w:r>
      <w:r w:rsidRPr="00E2636F">
        <w:rPr>
          <w:rFonts w:ascii="Times New Roman" w:hAnsi="Times New Roman"/>
          <w:lang w:val="en-CA"/>
        </w:rPr>
        <w:t xml:space="preserve">idaxomicin is mainly confined to the gastrointestinal tract following oral administration. In </w:t>
      </w:r>
      <w:r w:rsidR="00695C6B">
        <w:rPr>
          <w:rFonts w:ascii="Times New Roman" w:hAnsi="Times New Roman"/>
          <w:lang w:val="en-CA"/>
        </w:rPr>
        <w:t>subjects</w:t>
      </w:r>
      <w:r w:rsidR="00CF545A">
        <w:rPr>
          <w:rFonts w:ascii="Times New Roman" w:hAnsi="Times New Roman"/>
          <w:lang w:val="en-CA"/>
        </w:rPr>
        <w:t xml:space="preserve"> with CD</w:t>
      </w:r>
      <w:r w:rsidR="00D26A5E">
        <w:rPr>
          <w:rFonts w:ascii="Times New Roman" w:hAnsi="Times New Roman"/>
          <w:lang w:val="en-CA"/>
        </w:rPr>
        <w:t>I</w:t>
      </w:r>
      <w:r w:rsidRPr="00E2636F">
        <w:rPr>
          <w:rFonts w:ascii="Times New Roman" w:hAnsi="Times New Roman"/>
          <w:lang w:val="en-CA"/>
        </w:rPr>
        <w:t xml:space="preserve"> treated with DIFICID 200 mg twice daily for 10 days from controlled trials, </w:t>
      </w:r>
      <w:r w:rsidR="00D96F6F">
        <w:rPr>
          <w:rFonts w:ascii="Times New Roman" w:hAnsi="Times New Roman"/>
          <w:lang w:val="en-CA"/>
        </w:rPr>
        <w:t>faecal</w:t>
      </w:r>
      <w:r w:rsidRPr="00E2636F">
        <w:rPr>
          <w:rFonts w:ascii="Times New Roman" w:hAnsi="Times New Roman"/>
          <w:lang w:val="en-CA"/>
        </w:rPr>
        <w:t xml:space="preserve"> concentrations of fidaxomicin and OP-1118 obtained within 24 hours of </w:t>
      </w:r>
      <w:r w:rsidR="001C5E78">
        <w:rPr>
          <w:rFonts w:ascii="Times New Roman" w:hAnsi="Times New Roman"/>
          <w:lang w:val="en-CA"/>
        </w:rPr>
        <w:t>the last dose ranged from 5.0</w:t>
      </w:r>
      <w:r w:rsidR="001C5E78">
        <w:rPr>
          <w:rFonts w:ascii="Times New Roman" w:hAnsi="Times New Roman"/>
          <w:lang w:val="en-CA"/>
        </w:rPr>
        <w:noBreakHyphen/>
      </w:r>
      <w:r w:rsidRPr="00E2636F">
        <w:rPr>
          <w:rFonts w:ascii="Times New Roman" w:hAnsi="Times New Roman"/>
          <w:lang w:val="en-CA"/>
        </w:rPr>
        <w:t xml:space="preserve">7630.0 </w:t>
      </w:r>
      <w:r w:rsidRPr="00E2636F">
        <w:rPr>
          <w:rFonts w:ascii="Times New Roman" w:hAnsi="Times New Roman"/>
        </w:rPr>
        <w:t>µ</w:t>
      </w:r>
      <w:r w:rsidRPr="00E2636F">
        <w:rPr>
          <w:rFonts w:ascii="Times New Roman" w:hAnsi="Times New Roman"/>
          <w:lang w:val="en-CA"/>
        </w:rPr>
        <w:t xml:space="preserve">g/g and 63.4-4170.0 </w:t>
      </w:r>
      <w:r w:rsidRPr="00E2636F">
        <w:rPr>
          <w:rFonts w:ascii="Times New Roman" w:hAnsi="Times New Roman"/>
        </w:rPr>
        <w:t>µ</w:t>
      </w:r>
      <w:r w:rsidRPr="00E2636F">
        <w:rPr>
          <w:rFonts w:ascii="Times New Roman" w:hAnsi="Times New Roman"/>
          <w:lang w:val="en-CA"/>
        </w:rPr>
        <w:t>g/g, respectively. In contrast, plasma concentrations of fidaxomicin and OP-1118 at 3-5 hours post-dose (Day 10) ranged between 0.3</w:t>
      </w:r>
      <w:r w:rsidRPr="00E2636F">
        <w:rPr>
          <w:rFonts w:ascii="Times New Roman" w:hAnsi="Times New Roman"/>
          <w:lang w:val="en-CA"/>
        </w:rPr>
        <w:noBreakHyphen/>
        <w:t>191.0 ng/mL and 1.1-871.0 ng/mL, respectively.</w:t>
      </w:r>
    </w:p>
    <w:p w:rsidR="00F76EF7" w:rsidRPr="00E2636F" w:rsidRDefault="00F76EF7" w:rsidP="00692175">
      <w:pPr>
        <w:rPr>
          <w:rFonts w:ascii="Times New Roman" w:hAnsi="Times New Roman"/>
          <w:lang w:val="en-CA"/>
        </w:rPr>
      </w:pPr>
      <w:r w:rsidRPr="00E2636F">
        <w:rPr>
          <w:rFonts w:ascii="Times New Roman" w:hAnsi="Times New Roman"/>
          <w:b/>
          <w:lang w:val="en-CA"/>
        </w:rPr>
        <w:t>Metabolism:</w:t>
      </w:r>
      <w:r w:rsidRPr="00E2636F">
        <w:rPr>
          <w:rFonts w:ascii="Times New Roman" w:hAnsi="Times New Roman"/>
          <w:lang w:val="en-CA"/>
        </w:rPr>
        <w:t xml:space="preserve">  Fidaxomicin is primarily transformed by hydrolysis at the isobutyryl ester to form its main and microbiologically active metabolite, OP-1118. Metabolism of fidaxomicin and formation of OP</w:t>
      </w:r>
      <w:r w:rsidR="00BA3173">
        <w:rPr>
          <w:rFonts w:ascii="Times New Roman" w:hAnsi="Times New Roman"/>
          <w:lang w:val="en-CA"/>
        </w:rPr>
        <w:noBreakHyphen/>
      </w:r>
      <w:r w:rsidRPr="00E2636F">
        <w:rPr>
          <w:rFonts w:ascii="Times New Roman" w:hAnsi="Times New Roman"/>
          <w:lang w:val="en-CA"/>
        </w:rPr>
        <w:t xml:space="preserve">1118 are not dependent on cytochrome P450 (CYP) enzymes.  </w:t>
      </w:r>
    </w:p>
    <w:p w:rsidR="00F76EF7" w:rsidRPr="00E2636F" w:rsidRDefault="00F76EF7" w:rsidP="00F76EF7">
      <w:pPr>
        <w:rPr>
          <w:rFonts w:ascii="Times New Roman" w:hAnsi="Times New Roman"/>
          <w:lang w:val="en-CA"/>
        </w:rPr>
      </w:pPr>
      <w:r w:rsidRPr="00E2636F">
        <w:rPr>
          <w:rFonts w:ascii="Times New Roman" w:hAnsi="Times New Roman"/>
          <w:lang w:val="en-CA"/>
        </w:rPr>
        <w:t>At the therapeutic dose, OP-1118 was the predominant circulating compound in healthy adults, followed by fidaxomicin.</w:t>
      </w:r>
    </w:p>
    <w:p w:rsidR="00F76EF7" w:rsidRDefault="00F76EF7" w:rsidP="00692175">
      <w:pPr>
        <w:rPr>
          <w:rFonts w:ascii="Times New Roman" w:hAnsi="Times New Roman"/>
          <w:lang w:val="en-CA"/>
        </w:rPr>
      </w:pPr>
      <w:r w:rsidRPr="00E2636F">
        <w:rPr>
          <w:rFonts w:ascii="Times New Roman" w:hAnsi="Times New Roman"/>
          <w:b/>
          <w:lang w:val="en-CA"/>
        </w:rPr>
        <w:t>Excretion:</w:t>
      </w:r>
      <w:r w:rsidRPr="00E2636F">
        <w:rPr>
          <w:rFonts w:ascii="Times New Roman" w:hAnsi="Times New Roman"/>
          <w:lang w:val="en-CA"/>
        </w:rPr>
        <w:t xml:space="preserve">  Fidaxomicin is mainly excreted in f</w:t>
      </w:r>
      <w:r w:rsidR="00D96F6F">
        <w:rPr>
          <w:rFonts w:ascii="Times New Roman" w:hAnsi="Times New Roman"/>
          <w:lang w:val="en-CA"/>
        </w:rPr>
        <w:t>a</w:t>
      </w:r>
      <w:r w:rsidRPr="00E2636F">
        <w:rPr>
          <w:rFonts w:ascii="Times New Roman" w:hAnsi="Times New Roman"/>
          <w:lang w:val="en-CA"/>
        </w:rPr>
        <w:t>eces. In one trial of healthy adults (N=11), more than 92% of the dose was recovered in the stool as fidaxomicin and OP-111</w:t>
      </w:r>
      <w:r w:rsidR="00C87B67">
        <w:rPr>
          <w:rFonts w:ascii="Times New Roman" w:hAnsi="Times New Roman"/>
          <w:lang w:val="en-CA"/>
        </w:rPr>
        <w:t>8 following single doses of 200 </w:t>
      </w:r>
      <w:r w:rsidRPr="00E2636F">
        <w:rPr>
          <w:rFonts w:ascii="Times New Roman" w:hAnsi="Times New Roman"/>
          <w:lang w:val="en-CA"/>
        </w:rPr>
        <w:t>mg and 300 mg. In another trial of healthy adults (N=6), &lt;1% of the dose was recovered in urine as OP-1118 only following a single dose of 200 mg.</w:t>
      </w:r>
      <w:r w:rsidR="00C221CB">
        <w:rPr>
          <w:rFonts w:ascii="Times New Roman" w:hAnsi="Times New Roman"/>
          <w:lang w:val="en-CA"/>
        </w:rPr>
        <w:t xml:space="preserve">  </w:t>
      </w:r>
    </w:p>
    <w:p w:rsidR="00DE3969" w:rsidRPr="00F76EF7" w:rsidRDefault="00F76EF7" w:rsidP="00692175">
      <w:pPr>
        <w:keepNext/>
        <w:rPr>
          <w:b/>
          <w:bCs/>
          <w:sz w:val="23"/>
          <w:szCs w:val="23"/>
          <w:u w:val="single"/>
        </w:rPr>
      </w:pPr>
      <w:r w:rsidRPr="00F76EF7">
        <w:rPr>
          <w:rFonts w:ascii="TimesNewRomanPS-BoldMT" w:hAnsi="TimesNewRomanPS-BoldMT" w:cs="TimesNewRomanPS-BoldMT"/>
          <w:b/>
          <w:bCs/>
          <w:sz w:val="28"/>
          <w:szCs w:val="28"/>
          <w:u w:val="single"/>
        </w:rPr>
        <w:t>CLINICAL TRIALS</w:t>
      </w:r>
    </w:p>
    <w:p w:rsidR="007025D2" w:rsidRDefault="00AD4C1E" w:rsidP="001C5E78">
      <w:pPr>
        <w:keepNext/>
        <w:rPr>
          <w:rFonts w:ascii="Times New Roman" w:hAnsi="Times New Roman"/>
          <w:bCs/>
          <w:lang w:val="en-CA"/>
        </w:rPr>
      </w:pPr>
      <w:r w:rsidRPr="00AD4C1E">
        <w:rPr>
          <w:rFonts w:ascii="Times New Roman" w:hAnsi="Times New Roman"/>
          <w:bCs/>
          <w:lang w:val="en-CA"/>
        </w:rPr>
        <w:t xml:space="preserve">DIFICID was studied for the treatment of </w:t>
      </w:r>
      <w:r w:rsidRPr="00AD4C1E">
        <w:rPr>
          <w:rFonts w:ascii="Times New Roman" w:hAnsi="Times New Roman"/>
          <w:bCs/>
          <w:i/>
          <w:lang w:val="en-CA"/>
        </w:rPr>
        <w:t>C. difficile</w:t>
      </w:r>
      <w:r w:rsidRPr="00AD4C1E">
        <w:rPr>
          <w:rFonts w:ascii="Times New Roman" w:hAnsi="Times New Roman"/>
          <w:bCs/>
          <w:lang w:val="en-CA"/>
        </w:rPr>
        <w:t xml:space="preserve"> infection </w:t>
      </w:r>
      <w:r w:rsidR="006746B9">
        <w:rPr>
          <w:rFonts w:ascii="Times New Roman" w:hAnsi="Times New Roman"/>
          <w:bCs/>
          <w:lang w:val="en-CA"/>
        </w:rPr>
        <w:t xml:space="preserve">(CDI) </w:t>
      </w:r>
      <w:r w:rsidRPr="00AD4C1E">
        <w:rPr>
          <w:rFonts w:ascii="Times New Roman" w:hAnsi="Times New Roman"/>
          <w:bCs/>
          <w:lang w:val="en-CA"/>
        </w:rPr>
        <w:t xml:space="preserve">in </w:t>
      </w:r>
      <w:r w:rsidR="00D96F6F">
        <w:rPr>
          <w:rFonts w:ascii="Times New Roman" w:hAnsi="Times New Roman"/>
          <w:bCs/>
          <w:lang w:val="en-CA"/>
        </w:rPr>
        <w:t>2</w:t>
      </w:r>
      <w:r w:rsidRPr="00AD4C1E">
        <w:rPr>
          <w:rFonts w:ascii="Times New Roman" w:hAnsi="Times New Roman"/>
          <w:bCs/>
          <w:lang w:val="en-CA"/>
        </w:rPr>
        <w:t xml:space="preserve"> randomi</w:t>
      </w:r>
      <w:r w:rsidR="006746B9">
        <w:rPr>
          <w:rFonts w:ascii="Times New Roman" w:hAnsi="Times New Roman"/>
          <w:bCs/>
          <w:lang w:val="en-CA"/>
        </w:rPr>
        <w:t>s</w:t>
      </w:r>
      <w:r w:rsidRPr="00AD4C1E">
        <w:rPr>
          <w:rFonts w:ascii="Times New Roman" w:hAnsi="Times New Roman"/>
          <w:bCs/>
          <w:lang w:val="en-CA"/>
        </w:rPr>
        <w:t xml:space="preserve">ed studies. </w:t>
      </w:r>
    </w:p>
    <w:p w:rsidR="007025D2" w:rsidRPr="00A477D2" w:rsidRDefault="00AD4C1E" w:rsidP="00C87B67">
      <w:pPr>
        <w:keepNext/>
        <w:rPr>
          <w:rFonts w:ascii="Times New Roman" w:hAnsi="Times New Roman"/>
          <w:b/>
          <w:bCs/>
          <w:lang w:val="en-CA"/>
        </w:rPr>
      </w:pPr>
      <w:r w:rsidRPr="00A477D2">
        <w:rPr>
          <w:rFonts w:ascii="Times New Roman" w:hAnsi="Times New Roman"/>
          <w:b/>
          <w:bCs/>
          <w:lang w:val="en-CA"/>
        </w:rPr>
        <w:t xml:space="preserve">Table 2 - Summary of </w:t>
      </w:r>
      <w:r w:rsidR="00597463">
        <w:rPr>
          <w:rFonts w:ascii="Times New Roman" w:hAnsi="Times New Roman"/>
          <w:b/>
          <w:bCs/>
          <w:lang w:val="en-CA"/>
        </w:rPr>
        <w:t>S</w:t>
      </w:r>
      <w:r w:rsidR="00BA3173">
        <w:rPr>
          <w:rFonts w:ascii="Times New Roman" w:hAnsi="Times New Roman"/>
          <w:b/>
          <w:bCs/>
          <w:lang w:val="en-CA"/>
        </w:rPr>
        <w:t>ubject</w:t>
      </w:r>
      <w:r w:rsidR="00BA3173" w:rsidRPr="00A477D2">
        <w:rPr>
          <w:rFonts w:ascii="Times New Roman" w:hAnsi="Times New Roman"/>
          <w:b/>
          <w:bCs/>
          <w:lang w:val="en-CA"/>
        </w:rPr>
        <w:t xml:space="preserve"> </w:t>
      </w:r>
      <w:r w:rsidR="00597463">
        <w:rPr>
          <w:rFonts w:ascii="Times New Roman" w:hAnsi="Times New Roman"/>
          <w:b/>
          <w:bCs/>
          <w:lang w:val="en-CA"/>
        </w:rPr>
        <w:t>D</w:t>
      </w:r>
      <w:r w:rsidRPr="00A477D2">
        <w:rPr>
          <w:rFonts w:ascii="Times New Roman" w:hAnsi="Times New Roman"/>
          <w:b/>
          <w:bCs/>
          <w:lang w:val="en-CA"/>
        </w:rPr>
        <w:t xml:space="preserve">emographics for </w:t>
      </w:r>
      <w:r w:rsidR="00597463">
        <w:rPr>
          <w:rFonts w:ascii="Times New Roman" w:hAnsi="Times New Roman"/>
          <w:b/>
          <w:bCs/>
          <w:lang w:val="en-CA"/>
        </w:rPr>
        <w:t>C</w:t>
      </w:r>
      <w:r w:rsidRPr="00A477D2">
        <w:rPr>
          <w:rFonts w:ascii="Times New Roman" w:hAnsi="Times New Roman"/>
          <w:b/>
          <w:bCs/>
          <w:lang w:val="en-CA"/>
        </w:rPr>
        <w:t xml:space="preserve">linical </w:t>
      </w:r>
      <w:r w:rsidR="00597463">
        <w:rPr>
          <w:rFonts w:ascii="Times New Roman" w:hAnsi="Times New Roman"/>
          <w:b/>
          <w:bCs/>
          <w:lang w:val="en-CA"/>
        </w:rPr>
        <w:t>T</w:t>
      </w:r>
      <w:r w:rsidRPr="00A477D2">
        <w:rPr>
          <w:rFonts w:ascii="Times New Roman" w:hAnsi="Times New Roman"/>
          <w:b/>
          <w:bCs/>
          <w:lang w:val="en-CA"/>
        </w:rPr>
        <w:t xml:space="preserve">rials in the </w:t>
      </w:r>
      <w:r w:rsidR="00597463">
        <w:rPr>
          <w:rFonts w:ascii="Times New Roman" w:hAnsi="Times New Roman"/>
          <w:b/>
          <w:bCs/>
          <w:lang w:val="en-CA"/>
        </w:rPr>
        <w:t>T</w:t>
      </w:r>
      <w:r w:rsidRPr="00A477D2">
        <w:rPr>
          <w:rFonts w:ascii="Times New Roman" w:hAnsi="Times New Roman"/>
          <w:b/>
          <w:bCs/>
          <w:lang w:val="en-CA"/>
        </w:rPr>
        <w:t xml:space="preserve">reatment of </w:t>
      </w:r>
      <w:r w:rsidRPr="00A477D2">
        <w:rPr>
          <w:rFonts w:ascii="Times New Roman" w:hAnsi="Times New Roman"/>
          <w:b/>
          <w:bCs/>
          <w:i/>
          <w:lang w:val="en-CA"/>
        </w:rPr>
        <w:t>C. difficile</w:t>
      </w:r>
      <w:r w:rsidRPr="00A477D2">
        <w:rPr>
          <w:rFonts w:ascii="Times New Roman" w:hAnsi="Times New Roman"/>
          <w:b/>
          <w:bCs/>
          <w:lang w:val="en-CA"/>
        </w:rPr>
        <w:t xml:space="preserve"> </w:t>
      </w:r>
      <w:r w:rsidR="00597463">
        <w:rPr>
          <w:rFonts w:ascii="Times New Roman" w:hAnsi="Times New Roman"/>
          <w:b/>
          <w:bCs/>
          <w:lang w:val="en-CA"/>
        </w:rPr>
        <w:t>I</w:t>
      </w:r>
      <w:r w:rsidRPr="00A477D2">
        <w:rPr>
          <w:rFonts w:ascii="Times New Roman" w:hAnsi="Times New Roman"/>
          <w:b/>
          <w:bCs/>
          <w:lang w:val="en-CA"/>
        </w:rPr>
        <w:t>nfection</w:t>
      </w:r>
    </w:p>
    <w:tbl>
      <w:tblPr>
        <w:tblW w:w="0" w:type="auto"/>
        <w:jc w:val="center"/>
        <w:tblBorders>
          <w:top w:val="single" w:sz="8" w:space="0" w:color="000000"/>
          <w:bottom w:val="single" w:sz="8" w:space="0" w:color="000000"/>
          <w:insideH w:val="single" w:sz="8" w:space="0" w:color="000000"/>
          <w:insideV w:val="single" w:sz="8" w:space="0" w:color="000000"/>
        </w:tblBorders>
        <w:tblLayout w:type="fixed"/>
        <w:tblCellMar>
          <w:left w:w="110" w:type="dxa"/>
          <w:right w:w="110" w:type="dxa"/>
        </w:tblCellMar>
        <w:tblLook w:val="0000"/>
      </w:tblPr>
      <w:tblGrid>
        <w:gridCol w:w="1350"/>
        <w:gridCol w:w="1770"/>
        <w:gridCol w:w="1902"/>
        <w:gridCol w:w="1998"/>
        <w:gridCol w:w="1260"/>
      </w:tblGrid>
      <w:tr w:rsidR="00BF0F06" w:rsidRPr="006F61E2" w:rsidTr="00B40ADB">
        <w:trPr>
          <w:cantSplit/>
          <w:jc w:val="center"/>
        </w:trPr>
        <w:tc>
          <w:tcPr>
            <w:tcW w:w="1350" w:type="dxa"/>
            <w:tcBorders>
              <w:left w:val="single" w:sz="4" w:space="0" w:color="auto"/>
            </w:tcBorders>
            <w:vAlign w:val="center"/>
          </w:tcPr>
          <w:p w:rsidR="00BF0F06" w:rsidRPr="006F61E2" w:rsidRDefault="0006149D" w:rsidP="001C5E78">
            <w:pPr>
              <w:keepNext/>
              <w:widowControl w:val="0"/>
              <w:spacing w:after="96"/>
              <w:rPr>
                <w:rFonts w:ascii="Times New Roman" w:hAnsi="Times New Roman"/>
                <w:b/>
                <w:bCs/>
                <w:sz w:val="20"/>
                <w:szCs w:val="20"/>
                <w:lang w:val="en-CA"/>
              </w:rPr>
            </w:pPr>
            <w:r w:rsidRPr="006F61E2">
              <w:rPr>
                <w:rFonts w:ascii="Times New Roman" w:hAnsi="Times New Roman"/>
                <w:b/>
                <w:bCs/>
                <w:sz w:val="20"/>
                <w:szCs w:val="20"/>
                <w:lang w:val="en-CA"/>
              </w:rPr>
              <w:t>Study</w:t>
            </w:r>
          </w:p>
        </w:tc>
        <w:tc>
          <w:tcPr>
            <w:tcW w:w="1770" w:type="dxa"/>
            <w:vAlign w:val="center"/>
          </w:tcPr>
          <w:p w:rsidR="00BF0F06" w:rsidRPr="006F61E2" w:rsidRDefault="0006149D" w:rsidP="001C5E78">
            <w:pPr>
              <w:keepNext/>
              <w:widowControl w:val="0"/>
              <w:spacing w:after="96"/>
              <w:rPr>
                <w:rFonts w:ascii="Times New Roman" w:hAnsi="Times New Roman"/>
                <w:b/>
                <w:bCs/>
                <w:sz w:val="20"/>
                <w:szCs w:val="20"/>
                <w:lang w:val="en-CA"/>
              </w:rPr>
            </w:pPr>
            <w:r w:rsidRPr="006F61E2">
              <w:rPr>
                <w:rFonts w:ascii="Times New Roman" w:hAnsi="Times New Roman"/>
                <w:b/>
                <w:bCs/>
                <w:sz w:val="20"/>
                <w:szCs w:val="20"/>
                <w:lang w:val="en-CA"/>
              </w:rPr>
              <w:t>Trial Design</w:t>
            </w:r>
          </w:p>
        </w:tc>
        <w:tc>
          <w:tcPr>
            <w:tcW w:w="1902" w:type="dxa"/>
            <w:vAlign w:val="center"/>
          </w:tcPr>
          <w:p w:rsidR="00BF0F06" w:rsidRPr="006F61E2" w:rsidRDefault="0006149D" w:rsidP="001C5E78">
            <w:pPr>
              <w:keepNext/>
              <w:widowControl w:val="0"/>
              <w:spacing w:after="96"/>
              <w:ind w:left="-80"/>
              <w:contextualSpacing/>
              <w:rPr>
                <w:rFonts w:ascii="Times New Roman" w:hAnsi="Times New Roman"/>
                <w:b/>
                <w:bCs/>
                <w:sz w:val="20"/>
                <w:szCs w:val="20"/>
                <w:lang w:val="en-CA"/>
              </w:rPr>
            </w:pPr>
            <w:r w:rsidRPr="006F61E2">
              <w:rPr>
                <w:rFonts w:ascii="Times New Roman" w:hAnsi="Times New Roman"/>
                <w:b/>
                <w:bCs/>
                <w:sz w:val="20"/>
                <w:szCs w:val="20"/>
                <w:lang w:val="en-CA"/>
              </w:rPr>
              <w:t>Dosage</w:t>
            </w:r>
          </w:p>
        </w:tc>
        <w:tc>
          <w:tcPr>
            <w:tcW w:w="1998" w:type="dxa"/>
          </w:tcPr>
          <w:p w:rsidR="00BF0F06" w:rsidRPr="006F61E2" w:rsidRDefault="0006149D" w:rsidP="001C5E78">
            <w:pPr>
              <w:keepNext/>
              <w:widowControl w:val="0"/>
              <w:spacing w:after="96"/>
              <w:ind w:left="-92"/>
              <w:contextualSpacing/>
              <w:jc w:val="center"/>
              <w:rPr>
                <w:rFonts w:ascii="Times New Roman" w:hAnsi="Times New Roman"/>
                <w:b/>
                <w:bCs/>
                <w:sz w:val="20"/>
                <w:szCs w:val="20"/>
                <w:lang w:val="en-CA"/>
              </w:rPr>
            </w:pPr>
            <w:r w:rsidRPr="006F61E2">
              <w:rPr>
                <w:rFonts w:ascii="Times New Roman" w:hAnsi="Times New Roman"/>
                <w:b/>
                <w:bCs/>
                <w:sz w:val="20"/>
                <w:szCs w:val="20"/>
                <w:lang w:val="en-CA"/>
              </w:rPr>
              <w:t>Study Subjects (n=number)</w:t>
            </w:r>
          </w:p>
        </w:tc>
        <w:tc>
          <w:tcPr>
            <w:tcW w:w="1260" w:type="dxa"/>
            <w:tcBorders>
              <w:right w:val="single" w:sz="4" w:space="0" w:color="auto"/>
            </w:tcBorders>
          </w:tcPr>
          <w:p w:rsidR="00BF0F06" w:rsidRPr="006F61E2" w:rsidRDefault="0006149D" w:rsidP="001C5E78">
            <w:pPr>
              <w:keepNext/>
              <w:widowControl w:val="0"/>
              <w:spacing w:after="96"/>
              <w:ind w:left="-110"/>
              <w:contextualSpacing/>
              <w:jc w:val="center"/>
              <w:rPr>
                <w:rFonts w:ascii="Times New Roman" w:hAnsi="Times New Roman"/>
                <w:b/>
                <w:bCs/>
                <w:sz w:val="20"/>
                <w:szCs w:val="20"/>
                <w:lang w:val="en-CA"/>
              </w:rPr>
            </w:pPr>
            <w:r w:rsidRPr="006F61E2">
              <w:rPr>
                <w:rFonts w:ascii="Times New Roman" w:hAnsi="Times New Roman"/>
                <w:b/>
                <w:bCs/>
                <w:sz w:val="20"/>
                <w:szCs w:val="20"/>
                <w:lang w:val="en-CA"/>
              </w:rPr>
              <w:t>Mean Age (Range)</w:t>
            </w:r>
          </w:p>
        </w:tc>
      </w:tr>
      <w:tr w:rsidR="00BF0F06" w:rsidRPr="006F61E2" w:rsidTr="00B40ADB">
        <w:trPr>
          <w:cantSplit/>
          <w:jc w:val="center"/>
        </w:trPr>
        <w:tc>
          <w:tcPr>
            <w:tcW w:w="1350" w:type="dxa"/>
            <w:tcBorders>
              <w:left w:val="single" w:sz="4" w:space="0" w:color="auto"/>
            </w:tcBorders>
          </w:tcPr>
          <w:p w:rsidR="00BF0F06" w:rsidRPr="006F61E2" w:rsidRDefault="0006149D" w:rsidP="001C5E7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6"/>
              <w:rPr>
                <w:rFonts w:ascii="Times New Roman" w:hAnsi="Times New Roman"/>
                <w:sz w:val="20"/>
                <w:szCs w:val="20"/>
                <w:lang w:val="en-CA"/>
              </w:rPr>
            </w:pPr>
            <w:r w:rsidRPr="006F61E2">
              <w:rPr>
                <w:rFonts w:ascii="Times New Roman" w:hAnsi="Times New Roman"/>
                <w:sz w:val="20"/>
                <w:szCs w:val="20"/>
                <w:lang w:val="en-CA"/>
              </w:rPr>
              <w:t>101.1.C.003</w:t>
            </w:r>
          </w:p>
          <w:p w:rsidR="00BF0F06" w:rsidRPr="006F61E2" w:rsidRDefault="00BF0F06" w:rsidP="001C5E7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6"/>
              <w:rPr>
                <w:rFonts w:ascii="Times New Roman" w:hAnsi="Times New Roman"/>
                <w:sz w:val="20"/>
                <w:szCs w:val="20"/>
                <w:lang w:val="en-CA"/>
              </w:rPr>
            </w:pPr>
          </w:p>
        </w:tc>
        <w:tc>
          <w:tcPr>
            <w:tcW w:w="1770" w:type="dxa"/>
          </w:tcPr>
          <w:p w:rsidR="00BF0F06" w:rsidRPr="006F61E2" w:rsidRDefault="0006149D" w:rsidP="001C5E7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6"/>
              <w:rPr>
                <w:rFonts w:ascii="Times New Roman" w:hAnsi="Times New Roman"/>
                <w:sz w:val="20"/>
                <w:szCs w:val="20"/>
                <w:lang w:val="en-CA"/>
              </w:rPr>
            </w:pPr>
            <w:r w:rsidRPr="006F61E2">
              <w:rPr>
                <w:rFonts w:ascii="Times New Roman" w:hAnsi="Times New Roman"/>
                <w:sz w:val="20"/>
                <w:szCs w:val="20"/>
                <w:lang w:val="en-CA"/>
              </w:rPr>
              <w:t>Multi-National, Multi-Center, Double-Blind, Randomized, Parallel Group Study</w:t>
            </w:r>
          </w:p>
        </w:tc>
        <w:tc>
          <w:tcPr>
            <w:tcW w:w="1902" w:type="dxa"/>
          </w:tcPr>
          <w:p w:rsidR="00BF0F06" w:rsidRPr="006F61E2" w:rsidRDefault="0006149D" w:rsidP="001C5E7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6"/>
              <w:rPr>
                <w:rFonts w:ascii="Times New Roman" w:hAnsi="Times New Roman"/>
                <w:sz w:val="20"/>
                <w:szCs w:val="20"/>
                <w:lang w:val="en-CA"/>
              </w:rPr>
            </w:pPr>
            <w:r w:rsidRPr="006F61E2">
              <w:rPr>
                <w:rFonts w:ascii="Times New Roman" w:hAnsi="Times New Roman"/>
                <w:sz w:val="20"/>
                <w:szCs w:val="20"/>
                <w:lang w:val="en-CA"/>
              </w:rPr>
              <w:t>DIFICID (400 mg; 200 mg q12h)</w:t>
            </w:r>
          </w:p>
          <w:p w:rsidR="00BF0F06" w:rsidRPr="006F61E2" w:rsidRDefault="0006149D" w:rsidP="001C5E7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6"/>
              <w:rPr>
                <w:rFonts w:ascii="Times New Roman" w:hAnsi="Times New Roman"/>
                <w:sz w:val="20"/>
                <w:szCs w:val="20"/>
                <w:lang w:val="en-CA"/>
              </w:rPr>
            </w:pPr>
            <w:r w:rsidRPr="006F61E2">
              <w:rPr>
                <w:rFonts w:ascii="Times New Roman" w:hAnsi="Times New Roman"/>
                <w:sz w:val="20"/>
                <w:szCs w:val="20"/>
                <w:lang w:val="en-CA"/>
              </w:rPr>
              <w:t xml:space="preserve">vs. </w:t>
            </w:r>
          </w:p>
          <w:p w:rsidR="00BF0F06" w:rsidRPr="006F61E2" w:rsidRDefault="0006149D" w:rsidP="001C5E7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6"/>
              <w:rPr>
                <w:rFonts w:ascii="Times New Roman" w:hAnsi="Times New Roman"/>
                <w:sz w:val="20"/>
                <w:szCs w:val="20"/>
                <w:lang w:val="en-CA"/>
              </w:rPr>
            </w:pPr>
            <w:r w:rsidRPr="006F61E2">
              <w:rPr>
                <w:rFonts w:ascii="Times New Roman" w:hAnsi="Times New Roman"/>
                <w:sz w:val="20"/>
                <w:szCs w:val="20"/>
                <w:lang w:val="en-CA"/>
              </w:rPr>
              <w:t>Vancomycin (500 mg;125 mg q6h)</w:t>
            </w:r>
          </w:p>
          <w:p w:rsidR="00BF0F06" w:rsidRPr="006F61E2" w:rsidRDefault="0006149D" w:rsidP="001C5E7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6"/>
              <w:rPr>
                <w:rFonts w:ascii="Times New Roman" w:hAnsi="Times New Roman"/>
                <w:sz w:val="20"/>
                <w:szCs w:val="20"/>
                <w:lang w:val="en-CA"/>
              </w:rPr>
            </w:pPr>
            <w:r w:rsidRPr="006F61E2">
              <w:rPr>
                <w:rFonts w:ascii="Times New Roman" w:hAnsi="Times New Roman"/>
                <w:sz w:val="20"/>
                <w:szCs w:val="20"/>
                <w:lang w:val="en-CA"/>
              </w:rPr>
              <w:t>10 days</w:t>
            </w:r>
          </w:p>
        </w:tc>
        <w:tc>
          <w:tcPr>
            <w:tcW w:w="1998" w:type="dxa"/>
          </w:tcPr>
          <w:p w:rsidR="00BF0F06" w:rsidRPr="006F61E2" w:rsidRDefault="0006149D" w:rsidP="001C5E7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6"/>
              <w:rPr>
                <w:rFonts w:ascii="Times New Roman" w:hAnsi="Times New Roman"/>
                <w:sz w:val="20"/>
                <w:szCs w:val="20"/>
                <w:lang w:val="en-CA"/>
              </w:rPr>
            </w:pPr>
            <w:r w:rsidRPr="006F61E2">
              <w:rPr>
                <w:rFonts w:ascii="Times New Roman" w:hAnsi="Times New Roman"/>
                <w:sz w:val="20"/>
                <w:szCs w:val="20"/>
                <w:lang w:val="en-CA"/>
              </w:rPr>
              <w:t>DIFICID: 300; Vancomycin: 323</w:t>
            </w:r>
          </w:p>
        </w:tc>
        <w:tc>
          <w:tcPr>
            <w:tcW w:w="1260" w:type="dxa"/>
            <w:tcBorders>
              <w:right w:val="single" w:sz="4" w:space="0" w:color="auto"/>
            </w:tcBorders>
          </w:tcPr>
          <w:p w:rsidR="00BF0F06" w:rsidRPr="006F61E2" w:rsidRDefault="0006149D" w:rsidP="001C5E7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6"/>
              <w:rPr>
                <w:rFonts w:ascii="Times New Roman" w:hAnsi="Times New Roman"/>
                <w:sz w:val="20"/>
                <w:szCs w:val="20"/>
                <w:lang w:val="en-CA"/>
              </w:rPr>
            </w:pPr>
            <w:r w:rsidRPr="006F61E2">
              <w:rPr>
                <w:rFonts w:ascii="Times New Roman" w:hAnsi="Times New Roman"/>
                <w:sz w:val="20"/>
                <w:szCs w:val="20"/>
                <w:lang w:val="en-CA"/>
              </w:rPr>
              <w:t xml:space="preserve">61.6 ±16.9 </w:t>
            </w:r>
          </w:p>
          <w:p w:rsidR="00BF0F06" w:rsidRPr="006F61E2" w:rsidRDefault="0006149D" w:rsidP="001C5E7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6"/>
              <w:rPr>
                <w:rFonts w:ascii="Times New Roman" w:hAnsi="Times New Roman"/>
                <w:sz w:val="20"/>
                <w:szCs w:val="20"/>
                <w:lang w:val="en-CA"/>
              </w:rPr>
            </w:pPr>
            <w:r w:rsidRPr="006F61E2">
              <w:rPr>
                <w:rFonts w:ascii="Times New Roman" w:hAnsi="Times New Roman"/>
                <w:sz w:val="20"/>
                <w:szCs w:val="20"/>
                <w:lang w:val="en-CA"/>
              </w:rPr>
              <w:t>(18-94)</w:t>
            </w:r>
          </w:p>
        </w:tc>
      </w:tr>
      <w:tr w:rsidR="00BF0F06" w:rsidRPr="006F61E2" w:rsidTr="00B40ADB">
        <w:trPr>
          <w:cantSplit/>
          <w:jc w:val="center"/>
        </w:trPr>
        <w:tc>
          <w:tcPr>
            <w:tcW w:w="1350" w:type="dxa"/>
            <w:tcBorders>
              <w:left w:val="single" w:sz="4" w:space="0" w:color="auto"/>
            </w:tcBorders>
          </w:tcPr>
          <w:p w:rsidR="00BF0F06" w:rsidRPr="006F61E2" w:rsidRDefault="0006149D" w:rsidP="001C5E7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6"/>
              <w:rPr>
                <w:rFonts w:ascii="Times New Roman" w:hAnsi="Times New Roman"/>
                <w:sz w:val="20"/>
                <w:szCs w:val="20"/>
                <w:lang w:val="en-CA"/>
              </w:rPr>
            </w:pPr>
            <w:r w:rsidRPr="006F61E2">
              <w:rPr>
                <w:rFonts w:ascii="Times New Roman" w:hAnsi="Times New Roman"/>
                <w:sz w:val="20"/>
                <w:szCs w:val="20"/>
                <w:lang w:val="en-CA"/>
              </w:rPr>
              <w:t>101.1.C.004</w:t>
            </w:r>
          </w:p>
          <w:p w:rsidR="00BF0F06" w:rsidRPr="006F61E2" w:rsidRDefault="00BF0F06" w:rsidP="001C5E7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6"/>
              <w:rPr>
                <w:rFonts w:ascii="Times New Roman" w:hAnsi="Times New Roman"/>
                <w:sz w:val="20"/>
                <w:szCs w:val="20"/>
                <w:lang w:val="en-CA"/>
              </w:rPr>
            </w:pPr>
          </w:p>
        </w:tc>
        <w:tc>
          <w:tcPr>
            <w:tcW w:w="1770" w:type="dxa"/>
          </w:tcPr>
          <w:p w:rsidR="00BF0F06" w:rsidRPr="006F61E2" w:rsidRDefault="0006149D" w:rsidP="001C5E7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6"/>
              <w:rPr>
                <w:rFonts w:ascii="Times New Roman" w:hAnsi="Times New Roman"/>
                <w:sz w:val="20"/>
                <w:szCs w:val="20"/>
                <w:lang w:val="en-CA"/>
              </w:rPr>
            </w:pPr>
            <w:r w:rsidRPr="006F61E2">
              <w:rPr>
                <w:rFonts w:ascii="Times New Roman" w:hAnsi="Times New Roman"/>
                <w:sz w:val="20"/>
                <w:szCs w:val="20"/>
                <w:lang w:val="en-CA"/>
              </w:rPr>
              <w:t>Multi-National, Multi-Center, Double-Blind, Randomized, Parallel Group Study</w:t>
            </w:r>
          </w:p>
        </w:tc>
        <w:tc>
          <w:tcPr>
            <w:tcW w:w="1902" w:type="dxa"/>
          </w:tcPr>
          <w:p w:rsidR="00BF0F06" w:rsidRPr="006F61E2" w:rsidRDefault="0006149D" w:rsidP="001C5E7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6"/>
              <w:rPr>
                <w:rFonts w:ascii="Times New Roman" w:hAnsi="Times New Roman"/>
                <w:sz w:val="20"/>
                <w:szCs w:val="20"/>
                <w:lang w:val="en-CA"/>
              </w:rPr>
            </w:pPr>
            <w:r w:rsidRPr="006F61E2">
              <w:rPr>
                <w:rFonts w:ascii="Times New Roman" w:hAnsi="Times New Roman"/>
                <w:sz w:val="20"/>
                <w:szCs w:val="20"/>
                <w:lang w:val="en-CA"/>
              </w:rPr>
              <w:t xml:space="preserve">DIFICID (400 mg; 200 mg q12h) </w:t>
            </w:r>
          </w:p>
          <w:p w:rsidR="00BF0F06" w:rsidRPr="006F61E2" w:rsidRDefault="0006149D" w:rsidP="001C5E7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6"/>
              <w:rPr>
                <w:rFonts w:ascii="Times New Roman" w:hAnsi="Times New Roman"/>
                <w:sz w:val="20"/>
                <w:szCs w:val="20"/>
                <w:lang w:val="en-CA"/>
              </w:rPr>
            </w:pPr>
            <w:r w:rsidRPr="006F61E2">
              <w:rPr>
                <w:rFonts w:ascii="Times New Roman" w:hAnsi="Times New Roman"/>
                <w:sz w:val="20"/>
                <w:szCs w:val="20"/>
                <w:lang w:val="en-CA"/>
              </w:rPr>
              <w:t xml:space="preserve">vs. </w:t>
            </w:r>
          </w:p>
          <w:p w:rsidR="00BF0F06" w:rsidRPr="006F61E2" w:rsidRDefault="0006149D" w:rsidP="001C5E7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6"/>
              <w:rPr>
                <w:rFonts w:ascii="Times New Roman" w:hAnsi="Times New Roman"/>
                <w:sz w:val="20"/>
                <w:szCs w:val="20"/>
                <w:lang w:val="en-CA"/>
              </w:rPr>
            </w:pPr>
            <w:r w:rsidRPr="006F61E2">
              <w:rPr>
                <w:rFonts w:ascii="Times New Roman" w:hAnsi="Times New Roman"/>
                <w:sz w:val="20"/>
                <w:szCs w:val="20"/>
                <w:lang w:val="en-CA"/>
              </w:rPr>
              <w:t>Vancomycin (500 mg;125 mg q6h)</w:t>
            </w:r>
          </w:p>
          <w:p w:rsidR="00BF0F06" w:rsidRPr="006F61E2" w:rsidRDefault="0006149D" w:rsidP="001C5E7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6"/>
              <w:rPr>
                <w:rFonts w:ascii="Times New Roman" w:hAnsi="Times New Roman"/>
                <w:sz w:val="20"/>
                <w:szCs w:val="20"/>
                <w:lang w:val="en-CA"/>
              </w:rPr>
            </w:pPr>
            <w:r w:rsidRPr="006F61E2">
              <w:rPr>
                <w:rFonts w:ascii="Times New Roman" w:hAnsi="Times New Roman"/>
                <w:sz w:val="20"/>
                <w:szCs w:val="20"/>
                <w:lang w:val="en-CA"/>
              </w:rPr>
              <w:t>10 days</w:t>
            </w:r>
          </w:p>
        </w:tc>
        <w:tc>
          <w:tcPr>
            <w:tcW w:w="1998" w:type="dxa"/>
          </w:tcPr>
          <w:p w:rsidR="00BF0F06" w:rsidRPr="006F61E2" w:rsidRDefault="0006149D" w:rsidP="001C5E7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6"/>
              <w:rPr>
                <w:rFonts w:ascii="Times New Roman" w:hAnsi="Times New Roman"/>
                <w:sz w:val="20"/>
                <w:szCs w:val="20"/>
                <w:lang w:val="en-CA"/>
              </w:rPr>
            </w:pPr>
            <w:r w:rsidRPr="006F61E2">
              <w:rPr>
                <w:rFonts w:ascii="Times New Roman" w:hAnsi="Times New Roman"/>
                <w:sz w:val="20"/>
                <w:szCs w:val="20"/>
                <w:lang w:val="en-CA"/>
              </w:rPr>
              <w:t>DIFICID: 264; Vancomycin: 260</w:t>
            </w:r>
          </w:p>
        </w:tc>
        <w:tc>
          <w:tcPr>
            <w:tcW w:w="1260" w:type="dxa"/>
            <w:tcBorders>
              <w:right w:val="single" w:sz="4" w:space="0" w:color="auto"/>
            </w:tcBorders>
          </w:tcPr>
          <w:p w:rsidR="00BF0F06" w:rsidRPr="006F61E2" w:rsidRDefault="0006149D" w:rsidP="001C5E7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6"/>
              <w:rPr>
                <w:rFonts w:ascii="Times New Roman" w:hAnsi="Times New Roman"/>
                <w:sz w:val="20"/>
                <w:szCs w:val="20"/>
                <w:lang w:val="en-CA"/>
              </w:rPr>
            </w:pPr>
            <w:r w:rsidRPr="006F61E2">
              <w:rPr>
                <w:rFonts w:ascii="Times New Roman" w:hAnsi="Times New Roman"/>
                <w:sz w:val="20"/>
                <w:szCs w:val="20"/>
                <w:lang w:val="en-CA"/>
              </w:rPr>
              <w:t>63.4 ±18.1</w:t>
            </w:r>
          </w:p>
          <w:p w:rsidR="00BF0F06" w:rsidRPr="006F61E2" w:rsidRDefault="0006149D" w:rsidP="001C5E7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6"/>
              <w:rPr>
                <w:rFonts w:ascii="Times New Roman" w:hAnsi="Times New Roman"/>
                <w:sz w:val="20"/>
                <w:szCs w:val="20"/>
                <w:lang w:val="en-CA"/>
              </w:rPr>
            </w:pPr>
            <w:r w:rsidRPr="006F61E2">
              <w:rPr>
                <w:rFonts w:ascii="Times New Roman" w:hAnsi="Times New Roman"/>
                <w:sz w:val="20"/>
                <w:szCs w:val="20"/>
                <w:lang w:val="en-CA"/>
              </w:rPr>
              <w:t>(18-94)</w:t>
            </w:r>
          </w:p>
        </w:tc>
      </w:tr>
    </w:tbl>
    <w:p w:rsidR="00DE3969" w:rsidRPr="00E2636F" w:rsidRDefault="00DE3969" w:rsidP="00DE396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lang w:val="en-CA"/>
        </w:rPr>
      </w:pPr>
    </w:p>
    <w:p w:rsidR="00DE3969" w:rsidRPr="00E2636F" w:rsidRDefault="00DE3969" w:rsidP="006921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lang w:val="en-CA"/>
        </w:rPr>
      </w:pPr>
      <w:r w:rsidRPr="00E2636F">
        <w:rPr>
          <w:rFonts w:ascii="Times New Roman" w:hAnsi="Times New Roman"/>
          <w:lang w:val="en-CA"/>
        </w:rPr>
        <w:t>In two</w:t>
      </w:r>
      <w:r w:rsidR="00DE5113">
        <w:rPr>
          <w:rFonts w:ascii="Times New Roman" w:hAnsi="Times New Roman"/>
          <w:lang w:val="en-CA"/>
        </w:rPr>
        <w:t xml:space="preserve"> multi-national</w:t>
      </w:r>
      <w:r w:rsidRPr="00E2636F">
        <w:rPr>
          <w:rFonts w:ascii="Times New Roman" w:hAnsi="Times New Roman"/>
          <w:lang w:val="en-CA"/>
        </w:rPr>
        <w:t xml:space="preserve"> randomi</w:t>
      </w:r>
      <w:r w:rsidR="006746B9">
        <w:rPr>
          <w:rFonts w:ascii="Times New Roman" w:hAnsi="Times New Roman"/>
          <w:lang w:val="en-CA"/>
        </w:rPr>
        <w:t>s</w:t>
      </w:r>
      <w:r w:rsidRPr="00E2636F">
        <w:rPr>
          <w:rFonts w:ascii="Times New Roman" w:hAnsi="Times New Roman"/>
          <w:lang w:val="en-CA"/>
        </w:rPr>
        <w:t>ed, double-blinded s</w:t>
      </w:r>
      <w:r w:rsidR="006746B9">
        <w:rPr>
          <w:rFonts w:ascii="Times New Roman" w:hAnsi="Times New Roman"/>
          <w:lang w:val="en-CA"/>
        </w:rPr>
        <w:t>tudies</w:t>
      </w:r>
      <w:r w:rsidRPr="00E2636F">
        <w:rPr>
          <w:rFonts w:ascii="Times New Roman" w:hAnsi="Times New Roman"/>
          <w:lang w:val="en-CA"/>
        </w:rPr>
        <w:t>, a non-inferiority design was utili</w:t>
      </w:r>
      <w:r w:rsidR="006746B9">
        <w:rPr>
          <w:rFonts w:ascii="Times New Roman" w:hAnsi="Times New Roman"/>
          <w:lang w:val="en-CA"/>
        </w:rPr>
        <w:t>s</w:t>
      </w:r>
      <w:r w:rsidRPr="00E2636F">
        <w:rPr>
          <w:rFonts w:ascii="Times New Roman" w:hAnsi="Times New Roman"/>
          <w:lang w:val="en-CA"/>
        </w:rPr>
        <w:t>ed to demonstrate the efficacy of DIFICID (200 mg twice daily for 10 da</w:t>
      </w:r>
      <w:r w:rsidR="00C87B67">
        <w:rPr>
          <w:rFonts w:ascii="Times New Roman" w:hAnsi="Times New Roman"/>
          <w:lang w:val="en-CA"/>
        </w:rPr>
        <w:t xml:space="preserve">ys) compared to vancomycin </w:t>
      </w:r>
      <w:r w:rsidR="00C87B67">
        <w:rPr>
          <w:rFonts w:ascii="Times New Roman" w:hAnsi="Times New Roman"/>
          <w:lang w:val="en-CA"/>
        </w:rPr>
        <w:lastRenderedPageBreak/>
        <w:t>(125 </w:t>
      </w:r>
      <w:r w:rsidRPr="00E2636F">
        <w:rPr>
          <w:rFonts w:ascii="Times New Roman" w:hAnsi="Times New Roman"/>
          <w:lang w:val="en-CA"/>
        </w:rPr>
        <w:t>mg four times daily for 10 days) in adults with CDI</w:t>
      </w:r>
      <w:r w:rsidR="001D298B" w:rsidRPr="001D298B">
        <w:rPr>
          <w:rFonts w:ascii="Times New Roman" w:hAnsi="Times New Roman"/>
          <w:lang w:val="en-CA"/>
        </w:rPr>
        <w:t xml:space="preserve"> </w:t>
      </w:r>
      <w:r w:rsidR="00D96F6F">
        <w:rPr>
          <w:rFonts w:ascii="Times New Roman" w:hAnsi="Times New Roman"/>
          <w:lang w:val="en-CA"/>
        </w:rPr>
        <w:t>(</w:t>
      </w:r>
      <w:r w:rsidR="001D298B" w:rsidRPr="005F5223">
        <w:rPr>
          <w:rFonts w:ascii="Times New Roman" w:hAnsi="Times New Roman"/>
          <w:lang w:val="en-CA"/>
        </w:rPr>
        <w:t xml:space="preserve">also known as </w:t>
      </w:r>
      <w:r w:rsidR="00D96F6F">
        <w:rPr>
          <w:rFonts w:ascii="Times New Roman" w:hAnsi="Times New Roman"/>
          <w:i/>
          <w:lang w:val="en-CA"/>
        </w:rPr>
        <w:t>C.</w:t>
      </w:r>
      <w:r w:rsidR="001D298B" w:rsidRPr="005F5223">
        <w:rPr>
          <w:rFonts w:ascii="Times New Roman" w:hAnsi="Times New Roman"/>
          <w:i/>
          <w:lang w:val="en-CA"/>
        </w:rPr>
        <w:t xml:space="preserve"> difficile</w:t>
      </w:r>
      <w:r w:rsidR="001D298B" w:rsidRPr="005F5223">
        <w:rPr>
          <w:rFonts w:ascii="Times New Roman" w:hAnsi="Times New Roman"/>
          <w:lang w:val="en-CA"/>
        </w:rPr>
        <w:t xml:space="preserve">-associated </w:t>
      </w:r>
      <w:r w:rsidR="001D298B">
        <w:rPr>
          <w:rFonts w:ascii="Times New Roman" w:hAnsi="Times New Roman"/>
          <w:lang w:val="en-CA"/>
        </w:rPr>
        <w:t>diarrhoea</w:t>
      </w:r>
      <w:r w:rsidR="006746B9">
        <w:rPr>
          <w:rFonts w:ascii="Times New Roman" w:hAnsi="Times New Roman"/>
          <w:lang w:val="en-CA"/>
        </w:rPr>
        <w:t>, or</w:t>
      </w:r>
      <w:r w:rsidR="00695C6B">
        <w:rPr>
          <w:rFonts w:ascii="Times New Roman" w:hAnsi="Times New Roman"/>
          <w:lang w:val="en-CA"/>
        </w:rPr>
        <w:t xml:space="preserve"> </w:t>
      </w:r>
      <w:r w:rsidR="001D298B" w:rsidRPr="005F5223">
        <w:rPr>
          <w:rFonts w:ascii="Times New Roman" w:hAnsi="Times New Roman"/>
          <w:lang w:val="en-CA"/>
        </w:rPr>
        <w:t>CDAD</w:t>
      </w:r>
      <w:r w:rsidR="00D96F6F">
        <w:rPr>
          <w:rFonts w:ascii="Times New Roman" w:hAnsi="Times New Roman"/>
          <w:lang w:val="en-CA"/>
        </w:rPr>
        <w:t>)</w:t>
      </w:r>
      <w:r w:rsidRPr="00E2636F">
        <w:rPr>
          <w:rFonts w:ascii="Times New Roman" w:hAnsi="Times New Roman"/>
          <w:lang w:val="en-CA"/>
        </w:rPr>
        <w:t xml:space="preserve">. </w:t>
      </w:r>
    </w:p>
    <w:p w:rsidR="00DE3969" w:rsidRPr="00E2636F" w:rsidRDefault="00DE3969" w:rsidP="00DE39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lang w:val="en-CA"/>
        </w:rPr>
      </w:pPr>
      <w:r w:rsidRPr="00E2636F">
        <w:rPr>
          <w:rFonts w:ascii="Times New Roman" w:hAnsi="Times New Roman"/>
          <w:lang w:val="en-CA"/>
        </w:rPr>
        <w:t xml:space="preserve">Enrolled </w:t>
      </w:r>
      <w:r w:rsidR="00695C6B">
        <w:rPr>
          <w:rFonts w:ascii="Times New Roman" w:hAnsi="Times New Roman"/>
          <w:lang w:val="en-CA"/>
        </w:rPr>
        <w:t>subjects</w:t>
      </w:r>
      <w:r w:rsidRPr="00E2636F">
        <w:rPr>
          <w:rFonts w:ascii="Times New Roman" w:hAnsi="Times New Roman"/>
          <w:lang w:val="en-CA"/>
        </w:rPr>
        <w:t xml:space="preserve"> were 18 years of age or older and received no more than 24 hours of pretreatment with vancomycin or metronidazole. CDI was defined by &gt;3 unformed bowel movements (or &gt;200 mL of unformed stool for subjects having rectal collection devices) in the 24 hours before randomi</w:t>
      </w:r>
      <w:r w:rsidR="00597463">
        <w:rPr>
          <w:rFonts w:ascii="Times New Roman" w:hAnsi="Times New Roman"/>
          <w:lang w:val="en-CA"/>
        </w:rPr>
        <w:t>s</w:t>
      </w:r>
      <w:r w:rsidRPr="00E2636F">
        <w:rPr>
          <w:rFonts w:ascii="Times New Roman" w:hAnsi="Times New Roman"/>
          <w:lang w:val="en-CA"/>
        </w:rPr>
        <w:t xml:space="preserve">ation, and presence of either </w:t>
      </w:r>
      <w:r w:rsidRPr="00E2636F">
        <w:rPr>
          <w:rFonts w:ascii="Times New Roman" w:hAnsi="Times New Roman"/>
          <w:i/>
          <w:iCs/>
          <w:lang w:val="en-CA"/>
        </w:rPr>
        <w:t>C. difficile</w:t>
      </w:r>
      <w:r w:rsidRPr="00E2636F">
        <w:rPr>
          <w:rFonts w:ascii="Times New Roman" w:hAnsi="Times New Roman"/>
          <w:lang w:val="en-CA"/>
        </w:rPr>
        <w:t xml:space="preserve"> toxin A or B in the stool within 48 hours of randomi</w:t>
      </w:r>
      <w:r w:rsidR="00D96F6F">
        <w:rPr>
          <w:rFonts w:ascii="Times New Roman" w:hAnsi="Times New Roman"/>
          <w:lang w:val="en-CA"/>
        </w:rPr>
        <w:t>s</w:t>
      </w:r>
      <w:r w:rsidRPr="00E2636F">
        <w:rPr>
          <w:rFonts w:ascii="Times New Roman" w:hAnsi="Times New Roman"/>
          <w:lang w:val="en-CA"/>
        </w:rPr>
        <w:t xml:space="preserve">ation. Enrolled </w:t>
      </w:r>
      <w:r w:rsidR="00695C6B">
        <w:rPr>
          <w:rFonts w:ascii="Times New Roman" w:hAnsi="Times New Roman"/>
          <w:lang w:val="en-CA"/>
        </w:rPr>
        <w:t>subjects</w:t>
      </w:r>
      <w:r w:rsidRPr="00E2636F">
        <w:rPr>
          <w:rFonts w:ascii="Times New Roman" w:hAnsi="Times New Roman"/>
          <w:lang w:val="en-CA"/>
        </w:rPr>
        <w:t xml:space="preserve"> had either no prior CDI history or only one prior CDI episode in the past three months. </w:t>
      </w:r>
      <w:r w:rsidR="00BA3173">
        <w:rPr>
          <w:rFonts w:ascii="Times New Roman" w:hAnsi="Times New Roman"/>
          <w:lang w:val="en-CA"/>
        </w:rPr>
        <w:t>Subjects</w:t>
      </w:r>
      <w:r w:rsidR="00BA3173" w:rsidRPr="00E2636F">
        <w:rPr>
          <w:rFonts w:ascii="Times New Roman" w:hAnsi="Times New Roman"/>
          <w:lang w:val="en-CA"/>
        </w:rPr>
        <w:t xml:space="preserve"> </w:t>
      </w:r>
      <w:r w:rsidRPr="00E2636F">
        <w:rPr>
          <w:rFonts w:ascii="Times New Roman" w:hAnsi="Times New Roman"/>
          <w:lang w:val="en-CA"/>
        </w:rPr>
        <w:t xml:space="preserve">with fulminant colitis and </w:t>
      </w:r>
      <w:r w:rsidR="00695C6B">
        <w:rPr>
          <w:rFonts w:ascii="Times New Roman" w:hAnsi="Times New Roman"/>
          <w:lang w:val="en-CA"/>
        </w:rPr>
        <w:t>subjects</w:t>
      </w:r>
      <w:r w:rsidRPr="00E2636F">
        <w:rPr>
          <w:rFonts w:ascii="Times New Roman" w:hAnsi="Times New Roman"/>
          <w:lang w:val="en-CA"/>
        </w:rPr>
        <w:t xml:space="preserve"> with multiple episodes (defined as more than one prior episode within the previous 3 months) of CDI were also excluded in the studies. </w:t>
      </w:r>
    </w:p>
    <w:p w:rsidR="00DE3969" w:rsidRPr="00F471DC" w:rsidRDefault="00DE3969" w:rsidP="006921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CA"/>
        </w:rPr>
      </w:pPr>
      <w:r w:rsidRPr="00E2636F">
        <w:rPr>
          <w:rFonts w:ascii="Times New Roman" w:hAnsi="Times New Roman"/>
          <w:lang w:val="en-CA"/>
        </w:rPr>
        <w:t xml:space="preserve">The demographic profile and baseline CDI characteristics of enrolled subjects were similar in the two trials. </w:t>
      </w:r>
      <w:r w:rsidR="00BA3173">
        <w:rPr>
          <w:rFonts w:ascii="Times New Roman" w:hAnsi="Times New Roman"/>
          <w:lang w:val="en-CA"/>
        </w:rPr>
        <w:t>Subjects</w:t>
      </w:r>
      <w:r w:rsidR="00BA3173" w:rsidRPr="00E2636F">
        <w:rPr>
          <w:rFonts w:ascii="Times New Roman" w:hAnsi="Times New Roman"/>
          <w:lang w:val="en-CA"/>
        </w:rPr>
        <w:t xml:space="preserve"> </w:t>
      </w:r>
      <w:r w:rsidRPr="00E2636F">
        <w:rPr>
          <w:rFonts w:ascii="Times New Roman" w:hAnsi="Times New Roman"/>
          <w:lang w:val="en-CA"/>
        </w:rPr>
        <w:t xml:space="preserve">had a median age of 64 years, were mainly white (90%), female (58%), and inpatients (63%). Almost half of the </w:t>
      </w:r>
      <w:r w:rsidR="00695C6B">
        <w:rPr>
          <w:rFonts w:ascii="Times New Roman" w:hAnsi="Times New Roman"/>
          <w:lang w:val="en-CA"/>
        </w:rPr>
        <w:t>subjects</w:t>
      </w:r>
      <w:r w:rsidRPr="00E2636F">
        <w:rPr>
          <w:rFonts w:ascii="Times New Roman" w:hAnsi="Times New Roman"/>
          <w:lang w:val="en-CA"/>
        </w:rPr>
        <w:t xml:space="preserve"> (</w:t>
      </w:r>
      <w:r w:rsidR="00B00567">
        <w:rPr>
          <w:rFonts w:ascii="Times New Roman" w:hAnsi="Times New Roman"/>
          <w:lang w:val="en-CA"/>
        </w:rPr>
        <w:t>49.4</w:t>
      </w:r>
      <w:r w:rsidRPr="00E2636F">
        <w:rPr>
          <w:rFonts w:ascii="Times New Roman" w:hAnsi="Times New Roman"/>
          <w:lang w:val="en-CA"/>
        </w:rPr>
        <w:t xml:space="preserve">%) were aged ≥65 years. Concomitant antibiotics were received by 27.5% (275/999) </w:t>
      </w:r>
      <w:r w:rsidR="00BA3173">
        <w:rPr>
          <w:rFonts w:ascii="Times New Roman" w:hAnsi="Times New Roman"/>
          <w:lang w:val="en-CA"/>
        </w:rPr>
        <w:t xml:space="preserve">of subjects </w:t>
      </w:r>
      <w:r w:rsidRPr="00E2636F">
        <w:rPr>
          <w:rFonts w:ascii="Times New Roman" w:hAnsi="Times New Roman"/>
          <w:lang w:val="en-CA"/>
        </w:rPr>
        <w:t xml:space="preserve">at some time during the studies and 19.2% (192/999) of </w:t>
      </w:r>
      <w:r w:rsidR="00695C6B">
        <w:rPr>
          <w:rFonts w:ascii="Times New Roman" w:hAnsi="Times New Roman"/>
          <w:lang w:val="en-CA"/>
        </w:rPr>
        <w:t>subjects</w:t>
      </w:r>
      <w:r w:rsidRPr="00E2636F">
        <w:rPr>
          <w:rFonts w:ascii="Times New Roman" w:hAnsi="Times New Roman"/>
          <w:lang w:val="en-CA"/>
        </w:rPr>
        <w:t xml:space="preserve"> received antibiotics concurrently with study drug.</w:t>
      </w:r>
      <w:r w:rsidR="00E2636F">
        <w:rPr>
          <w:lang w:val="en-CA"/>
        </w:rPr>
        <w:t xml:space="preserve"> </w:t>
      </w:r>
    </w:p>
    <w:p w:rsidR="00DE3969" w:rsidRDefault="00DE3969" w:rsidP="006921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lang w:val="en-CA"/>
        </w:rPr>
      </w:pPr>
      <w:r w:rsidRPr="00E2636F">
        <w:rPr>
          <w:rFonts w:ascii="Times New Roman" w:hAnsi="Times New Roman"/>
          <w:lang w:val="en-CA"/>
        </w:rPr>
        <w:t xml:space="preserve">Approximately 84% of subjects had no prior CDI episode within the previous 3 months. </w:t>
      </w:r>
    </w:p>
    <w:p w:rsidR="00DE3969" w:rsidRPr="00597463" w:rsidRDefault="0006149D" w:rsidP="00692175">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lang w:val="en-CA"/>
        </w:rPr>
      </w:pPr>
      <w:r w:rsidRPr="0006149D">
        <w:rPr>
          <w:rFonts w:ascii="Times New Roman" w:hAnsi="Times New Roman"/>
          <w:b/>
          <w:lang w:val="en-CA"/>
        </w:rPr>
        <w:t>Study results:</w:t>
      </w:r>
    </w:p>
    <w:p w:rsidR="00DE3969" w:rsidRPr="00E2636F" w:rsidRDefault="00DE3969" w:rsidP="006921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lang w:val="en-CA"/>
        </w:rPr>
      </w:pPr>
      <w:r w:rsidRPr="00E2636F">
        <w:rPr>
          <w:rFonts w:ascii="Times New Roman" w:hAnsi="Times New Roman"/>
          <w:lang w:val="en-CA"/>
        </w:rPr>
        <w:t xml:space="preserve">The primary efficacy endpoint was the clinical response rate at the end of therapy, based upon improvement in </w:t>
      </w:r>
      <w:r w:rsidR="00DD0475">
        <w:rPr>
          <w:rFonts w:ascii="Times New Roman" w:hAnsi="Times New Roman"/>
          <w:lang w:val="en-CA"/>
        </w:rPr>
        <w:t>diarrhoea</w:t>
      </w:r>
      <w:r w:rsidRPr="00E2636F">
        <w:rPr>
          <w:rFonts w:ascii="Times New Roman" w:hAnsi="Times New Roman"/>
          <w:lang w:val="en-CA"/>
        </w:rPr>
        <w:t xml:space="preserve"> or other symptoms such that, in the Investigator’s judgment, further CDI treatment was not needed. Additional efficacy endpoints were recurrence and sustained clinical response.  Sustained clinical response was evaluated only for </w:t>
      </w:r>
      <w:r w:rsidR="00346CF6">
        <w:rPr>
          <w:rFonts w:ascii="Times New Roman" w:hAnsi="Times New Roman"/>
          <w:lang w:val="en-CA"/>
        </w:rPr>
        <w:t>subjects</w:t>
      </w:r>
      <w:r w:rsidRPr="00E2636F">
        <w:rPr>
          <w:rFonts w:ascii="Times New Roman" w:hAnsi="Times New Roman"/>
          <w:lang w:val="en-CA"/>
        </w:rPr>
        <w:t xml:space="preserve"> who were clinical successes at the end of therapy. Sustained clinical response was defined as achieving clinical response at the end of therapy and not having a recurrence of CDI at any time up through 30 days beyond the end of therapy. </w:t>
      </w:r>
    </w:p>
    <w:p w:rsidR="009C39DC" w:rsidRDefault="00DE3969" w:rsidP="006921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lang w:val="en-CA"/>
        </w:rPr>
      </w:pPr>
      <w:r w:rsidRPr="00993318">
        <w:rPr>
          <w:rFonts w:ascii="Times New Roman" w:hAnsi="Times New Roman"/>
          <w:lang w:val="en-CA"/>
        </w:rPr>
        <w:t xml:space="preserve">DIFICID </w:t>
      </w:r>
      <w:r w:rsidR="00BA4BEA">
        <w:rPr>
          <w:rFonts w:ascii="Times New Roman" w:hAnsi="Times New Roman"/>
          <w:lang w:val="en-CA"/>
        </w:rPr>
        <w:t>was</w:t>
      </w:r>
      <w:r w:rsidR="006746B9">
        <w:rPr>
          <w:rFonts w:ascii="Times New Roman" w:hAnsi="Times New Roman"/>
          <w:lang w:val="en-CA"/>
        </w:rPr>
        <w:t xml:space="preserve"> demonstrated </w:t>
      </w:r>
      <w:r w:rsidR="00C718AD">
        <w:rPr>
          <w:rFonts w:ascii="Times New Roman" w:hAnsi="Times New Roman"/>
          <w:lang w:val="en-CA"/>
        </w:rPr>
        <w:t xml:space="preserve">to be </w:t>
      </w:r>
      <w:r w:rsidR="006271B9">
        <w:rPr>
          <w:rFonts w:ascii="Times New Roman" w:hAnsi="Times New Roman"/>
          <w:lang w:val="en-CA"/>
        </w:rPr>
        <w:t>at least as</w:t>
      </w:r>
      <w:r w:rsidR="006746B9">
        <w:rPr>
          <w:rFonts w:ascii="Times New Roman" w:hAnsi="Times New Roman"/>
          <w:lang w:val="en-CA"/>
        </w:rPr>
        <w:t xml:space="preserve"> effective </w:t>
      </w:r>
      <w:r w:rsidR="006271B9">
        <w:rPr>
          <w:rFonts w:ascii="Times New Roman" w:hAnsi="Times New Roman"/>
          <w:lang w:val="en-CA"/>
        </w:rPr>
        <w:t>as</w:t>
      </w:r>
      <w:r w:rsidR="006746B9">
        <w:rPr>
          <w:rFonts w:ascii="Times New Roman" w:hAnsi="Times New Roman"/>
          <w:lang w:val="en-CA"/>
        </w:rPr>
        <w:t xml:space="preserve"> </w:t>
      </w:r>
      <w:r w:rsidRPr="00993318">
        <w:rPr>
          <w:rFonts w:ascii="Times New Roman" w:hAnsi="Times New Roman"/>
          <w:lang w:val="en-CA"/>
        </w:rPr>
        <w:t>vancomycin</w:t>
      </w:r>
      <w:r w:rsidR="00C718AD">
        <w:rPr>
          <w:rFonts w:ascii="Times New Roman" w:hAnsi="Times New Roman"/>
          <w:lang w:val="en-CA"/>
        </w:rPr>
        <w:t xml:space="preserve"> in treating CDI</w:t>
      </w:r>
      <w:r w:rsidR="00540E36">
        <w:rPr>
          <w:rFonts w:ascii="Times New Roman" w:hAnsi="Times New Roman"/>
          <w:lang w:val="en-CA"/>
        </w:rPr>
        <w:t xml:space="preserve"> (non-inferior)</w:t>
      </w:r>
      <w:r w:rsidR="005C717F">
        <w:rPr>
          <w:rFonts w:ascii="Times New Roman" w:hAnsi="Times New Roman"/>
          <w:lang w:val="en-CA"/>
        </w:rPr>
        <w:t>, defined as</w:t>
      </w:r>
      <w:r w:rsidR="00C718AD">
        <w:rPr>
          <w:rFonts w:ascii="Times New Roman" w:hAnsi="Times New Roman"/>
          <w:lang w:val="en-CA"/>
        </w:rPr>
        <w:t xml:space="preserve"> clinical </w:t>
      </w:r>
      <w:r w:rsidR="00BA3173">
        <w:rPr>
          <w:rFonts w:ascii="Times New Roman" w:hAnsi="Times New Roman"/>
          <w:lang w:val="en-CA"/>
        </w:rPr>
        <w:t xml:space="preserve">response </w:t>
      </w:r>
      <w:r w:rsidR="00C718AD">
        <w:rPr>
          <w:rFonts w:ascii="Times New Roman" w:hAnsi="Times New Roman"/>
          <w:lang w:val="en-CA"/>
        </w:rPr>
        <w:t>rates</w:t>
      </w:r>
      <w:r w:rsidR="005C717F">
        <w:rPr>
          <w:rFonts w:ascii="Times New Roman" w:hAnsi="Times New Roman"/>
          <w:lang w:val="en-CA"/>
        </w:rPr>
        <w:t xml:space="preserve"> at the end of therapy</w:t>
      </w:r>
      <w:r w:rsidR="00C718AD">
        <w:rPr>
          <w:rFonts w:ascii="Times New Roman" w:hAnsi="Times New Roman"/>
          <w:lang w:val="en-CA"/>
        </w:rPr>
        <w:t xml:space="preserve"> (88.2% vs</w:t>
      </w:r>
      <w:r w:rsidR="00346CF6">
        <w:rPr>
          <w:rFonts w:ascii="Times New Roman" w:hAnsi="Times New Roman"/>
          <w:lang w:val="en-CA"/>
        </w:rPr>
        <w:t>.</w:t>
      </w:r>
      <w:r w:rsidR="00C718AD">
        <w:rPr>
          <w:rFonts w:ascii="Times New Roman" w:hAnsi="Times New Roman"/>
          <w:lang w:val="en-CA"/>
        </w:rPr>
        <w:t xml:space="preserve"> 85.7%</w:t>
      </w:r>
      <w:r w:rsidR="00803785">
        <w:rPr>
          <w:rFonts w:ascii="Times New Roman" w:hAnsi="Times New Roman"/>
          <w:lang w:val="en-CA"/>
        </w:rPr>
        <w:t xml:space="preserve"> respectively</w:t>
      </w:r>
      <w:r w:rsidR="00C718AD">
        <w:rPr>
          <w:rFonts w:ascii="Times New Roman" w:hAnsi="Times New Roman"/>
          <w:lang w:val="en-CA"/>
        </w:rPr>
        <w:t xml:space="preserve"> in study 101.1.C.003; 87.7% vs</w:t>
      </w:r>
      <w:r w:rsidR="00346CF6">
        <w:rPr>
          <w:rFonts w:ascii="Times New Roman" w:hAnsi="Times New Roman"/>
          <w:lang w:val="en-CA"/>
        </w:rPr>
        <w:t>.</w:t>
      </w:r>
      <w:r w:rsidR="00C718AD">
        <w:rPr>
          <w:rFonts w:ascii="Times New Roman" w:hAnsi="Times New Roman"/>
          <w:lang w:val="en-CA"/>
        </w:rPr>
        <w:t xml:space="preserve"> 86.7</w:t>
      </w:r>
      <w:r w:rsidR="00FD19EC">
        <w:rPr>
          <w:rFonts w:ascii="Times New Roman" w:hAnsi="Times New Roman"/>
          <w:lang w:val="en-CA"/>
        </w:rPr>
        <w:t>% respectively</w:t>
      </w:r>
      <w:r w:rsidR="00C718AD">
        <w:rPr>
          <w:rFonts w:ascii="Times New Roman" w:hAnsi="Times New Roman"/>
          <w:lang w:val="en-CA"/>
        </w:rPr>
        <w:t xml:space="preserve"> in study 101.1.C.004)</w:t>
      </w:r>
      <w:r w:rsidR="00BA4BEA">
        <w:rPr>
          <w:rFonts w:ascii="Times New Roman" w:hAnsi="Times New Roman"/>
          <w:lang w:val="en-CA"/>
        </w:rPr>
        <w:t xml:space="preserve">. </w:t>
      </w:r>
      <w:r w:rsidR="00C80398">
        <w:rPr>
          <w:rFonts w:ascii="Times New Roman" w:hAnsi="Times New Roman"/>
          <w:lang w:val="en-CA"/>
        </w:rPr>
        <w:t xml:space="preserve">Notably, </w:t>
      </w:r>
      <w:r w:rsidR="00C718AD">
        <w:rPr>
          <w:rFonts w:ascii="Times New Roman" w:hAnsi="Times New Roman"/>
          <w:lang w:val="en-CA"/>
        </w:rPr>
        <w:t>DIFICID was associated with significantly greater improvement</w:t>
      </w:r>
      <w:r w:rsidR="005C717F">
        <w:rPr>
          <w:rFonts w:ascii="Times New Roman" w:hAnsi="Times New Roman"/>
          <w:lang w:val="en-CA"/>
        </w:rPr>
        <w:t xml:space="preserve">s in the rate of </w:t>
      </w:r>
      <w:r w:rsidR="00BA4BEA">
        <w:rPr>
          <w:rFonts w:ascii="Times New Roman" w:hAnsi="Times New Roman"/>
          <w:lang w:val="en-CA"/>
        </w:rPr>
        <w:t>sustained clinical response</w:t>
      </w:r>
      <w:r w:rsidR="00597463">
        <w:rPr>
          <w:rFonts w:ascii="Times New Roman" w:hAnsi="Times New Roman"/>
          <w:lang w:val="en-CA"/>
        </w:rPr>
        <w:t xml:space="preserve"> </w:t>
      </w:r>
      <w:r w:rsidR="00C80398">
        <w:rPr>
          <w:rFonts w:ascii="Times New Roman" w:hAnsi="Times New Roman"/>
          <w:lang w:val="en-CA"/>
        </w:rPr>
        <w:t xml:space="preserve">compared to vancomycin </w:t>
      </w:r>
      <w:r w:rsidR="005C717F">
        <w:rPr>
          <w:rFonts w:ascii="Times New Roman" w:hAnsi="Times New Roman"/>
          <w:lang w:val="en-CA"/>
        </w:rPr>
        <w:t>(74.4% vs</w:t>
      </w:r>
      <w:r w:rsidR="00346CF6">
        <w:rPr>
          <w:rFonts w:ascii="Times New Roman" w:hAnsi="Times New Roman"/>
          <w:lang w:val="en-CA"/>
        </w:rPr>
        <w:t>.</w:t>
      </w:r>
      <w:r w:rsidR="005C717F">
        <w:rPr>
          <w:rFonts w:ascii="Times New Roman" w:hAnsi="Times New Roman"/>
          <w:lang w:val="en-CA"/>
        </w:rPr>
        <w:t xml:space="preserve"> 64.2%, p=0.007 in study 101.1.C.003; 76.7% vs</w:t>
      </w:r>
      <w:r w:rsidR="00346CF6">
        <w:rPr>
          <w:rFonts w:ascii="Times New Roman" w:hAnsi="Times New Roman"/>
          <w:lang w:val="en-CA"/>
        </w:rPr>
        <w:t>.</w:t>
      </w:r>
      <w:r w:rsidR="005C717F">
        <w:rPr>
          <w:rFonts w:ascii="Times New Roman" w:hAnsi="Times New Roman"/>
          <w:lang w:val="en-CA"/>
        </w:rPr>
        <w:t xml:space="preserve"> 63.3%. p=0.001 in study 101.1.C.004</w:t>
      </w:r>
      <w:r w:rsidR="00C718AD">
        <w:rPr>
          <w:rFonts w:ascii="Times New Roman" w:hAnsi="Times New Roman"/>
          <w:lang w:val="en-CA"/>
        </w:rPr>
        <w:t>)</w:t>
      </w:r>
      <w:r w:rsidR="00C80398">
        <w:rPr>
          <w:rFonts w:ascii="Times New Roman" w:hAnsi="Times New Roman"/>
          <w:lang w:val="en-CA"/>
        </w:rPr>
        <w:t>.</w:t>
      </w:r>
      <w:r w:rsidR="005C717F">
        <w:rPr>
          <w:rFonts w:ascii="Times New Roman" w:hAnsi="Times New Roman"/>
          <w:lang w:val="en-CA"/>
        </w:rPr>
        <w:t xml:space="preserve"> </w:t>
      </w:r>
      <w:r w:rsidR="00BA4BEA" w:rsidRPr="00AD4C1E">
        <w:rPr>
          <w:rFonts w:ascii="Times New Roman" w:hAnsi="Times New Roman"/>
          <w:lang w:val="en-CA"/>
        </w:rPr>
        <w:t xml:space="preserve">Since clinical </w:t>
      </w:r>
      <w:r w:rsidR="00BD3BE0">
        <w:rPr>
          <w:rFonts w:ascii="Times New Roman" w:hAnsi="Times New Roman"/>
          <w:lang w:val="en-CA"/>
        </w:rPr>
        <w:t>response rates</w:t>
      </w:r>
      <w:r w:rsidR="00BD3BE0" w:rsidRPr="00AD4C1E">
        <w:rPr>
          <w:rFonts w:ascii="Times New Roman" w:hAnsi="Times New Roman"/>
          <w:lang w:val="en-CA"/>
        </w:rPr>
        <w:t xml:space="preserve"> </w:t>
      </w:r>
      <w:r w:rsidR="00BA4BEA" w:rsidRPr="00AD4C1E">
        <w:rPr>
          <w:rFonts w:ascii="Times New Roman" w:hAnsi="Times New Roman"/>
          <w:lang w:val="en-CA"/>
        </w:rPr>
        <w:t xml:space="preserve">at the end of therapy and mortality rates were similar </w:t>
      </w:r>
      <w:r w:rsidR="00C80398">
        <w:rPr>
          <w:rFonts w:ascii="Times New Roman" w:hAnsi="Times New Roman"/>
          <w:lang w:val="en-CA"/>
        </w:rPr>
        <w:t>for both treatments</w:t>
      </w:r>
      <w:r w:rsidR="00540E36">
        <w:rPr>
          <w:rFonts w:ascii="Times New Roman" w:hAnsi="Times New Roman"/>
          <w:lang w:val="en-CA"/>
        </w:rPr>
        <w:t>,</w:t>
      </w:r>
      <w:r w:rsidR="00C80398">
        <w:rPr>
          <w:rFonts w:ascii="Times New Roman" w:hAnsi="Times New Roman"/>
          <w:lang w:val="en-CA"/>
        </w:rPr>
        <w:t xml:space="preserve"> </w:t>
      </w:r>
      <w:r w:rsidR="00540E36">
        <w:rPr>
          <w:rFonts w:ascii="Times New Roman" w:hAnsi="Times New Roman"/>
          <w:lang w:val="en-CA"/>
        </w:rPr>
        <w:t>superiority</w:t>
      </w:r>
      <w:r w:rsidR="00BA4BEA" w:rsidRPr="00AD4C1E">
        <w:rPr>
          <w:rFonts w:ascii="Times New Roman" w:hAnsi="Times New Roman"/>
          <w:lang w:val="en-CA"/>
        </w:rPr>
        <w:t xml:space="preserve"> in sustained clinical response </w:t>
      </w:r>
      <w:r w:rsidR="00540E36">
        <w:rPr>
          <w:rFonts w:ascii="Times New Roman" w:hAnsi="Times New Roman"/>
          <w:lang w:val="en-CA"/>
        </w:rPr>
        <w:t>was</w:t>
      </w:r>
      <w:r w:rsidR="00BA4BEA" w:rsidRPr="00AD4C1E">
        <w:rPr>
          <w:rFonts w:ascii="Times New Roman" w:hAnsi="Times New Roman"/>
          <w:lang w:val="en-CA"/>
        </w:rPr>
        <w:t xml:space="preserve"> due to lower rates of proven or suspected CDI recurrence during the follow-up period</w:t>
      </w:r>
      <w:r w:rsidR="00C80398">
        <w:rPr>
          <w:rFonts w:ascii="Times New Roman" w:hAnsi="Times New Roman"/>
          <w:lang w:val="en-CA"/>
        </w:rPr>
        <w:t>,</w:t>
      </w:r>
      <w:r w:rsidR="00540E36">
        <w:rPr>
          <w:rFonts w:ascii="Times New Roman" w:hAnsi="Times New Roman"/>
          <w:lang w:val="en-CA"/>
        </w:rPr>
        <w:t xml:space="preserve"> </w:t>
      </w:r>
      <w:r w:rsidR="005C717F">
        <w:rPr>
          <w:rFonts w:ascii="Times New Roman" w:hAnsi="Times New Roman"/>
          <w:lang w:val="en-CA"/>
        </w:rPr>
        <w:t>with significantly lower rate</w:t>
      </w:r>
      <w:r w:rsidR="00BA4BEA">
        <w:rPr>
          <w:rFonts w:ascii="Times New Roman" w:hAnsi="Times New Roman"/>
          <w:lang w:val="en-CA"/>
        </w:rPr>
        <w:t>s of CDI</w:t>
      </w:r>
      <w:r w:rsidR="005C717F">
        <w:rPr>
          <w:rFonts w:ascii="Times New Roman" w:hAnsi="Times New Roman"/>
          <w:lang w:val="en-CA"/>
        </w:rPr>
        <w:t xml:space="preserve"> recurrence</w:t>
      </w:r>
      <w:r w:rsidR="00C80398">
        <w:rPr>
          <w:rFonts w:ascii="Times New Roman" w:hAnsi="Times New Roman"/>
          <w:lang w:val="en-CA"/>
        </w:rPr>
        <w:t xml:space="preserve"> with DIFI</w:t>
      </w:r>
      <w:r w:rsidR="006271B9">
        <w:rPr>
          <w:rFonts w:ascii="Times New Roman" w:hAnsi="Times New Roman"/>
          <w:lang w:val="en-CA"/>
        </w:rPr>
        <w:t>CI</w:t>
      </w:r>
      <w:r w:rsidR="00C80398">
        <w:rPr>
          <w:rFonts w:ascii="Times New Roman" w:hAnsi="Times New Roman"/>
          <w:lang w:val="en-CA"/>
        </w:rPr>
        <w:t>D</w:t>
      </w:r>
      <w:r w:rsidR="00BA4BEA">
        <w:rPr>
          <w:rFonts w:ascii="Times New Roman" w:hAnsi="Times New Roman"/>
          <w:lang w:val="en-CA"/>
        </w:rPr>
        <w:t xml:space="preserve"> than </w:t>
      </w:r>
      <w:r w:rsidR="00C80398">
        <w:rPr>
          <w:rFonts w:ascii="Times New Roman" w:hAnsi="Times New Roman"/>
          <w:lang w:val="en-CA"/>
        </w:rPr>
        <w:t xml:space="preserve">with </w:t>
      </w:r>
      <w:r w:rsidR="00BA4BEA">
        <w:rPr>
          <w:rFonts w:ascii="Times New Roman" w:hAnsi="Times New Roman"/>
          <w:lang w:val="en-CA"/>
        </w:rPr>
        <w:t>vancomycin (15.7% vs</w:t>
      </w:r>
      <w:r w:rsidR="00346CF6">
        <w:rPr>
          <w:rFonts w:ascii="Times New Roman" w:hAnsi="Times New Roman"/>
          <w:lang w:val="en-CA"/>
        </w:rPr>
        <w:t>.</w:t>
      </w:r>
      <w:r w:rsidR="00BA4BEA">
        <w:rPr>
          <w:rFonts w:ascii="Times New Roman" w:hAnsi="Times New Roman"/>
          <w:lang w:val="en-CA"/>
        </w:rPr>
        <w:t xml:space="preserve"> 25.1%, p=0.008 in study 101.1.C.003; 12.6% vs</w:t>
      </w:r>
      <w:r w:rsidR="00346CF6">
        <w:rPr>
          <w:rFonts w:ascii="Times New Roman" w:hAnsi="Times New Roman"/>
          <w:lang w:val="en-CA"/>
        </w:rPr>
        <w:t>.</w:t>
      </w:r>
      <w:r w:rsidR="00BA4BEA">
        <w:rPr>
          <w:rFonts w:ascii="Times New Roman" w:hAnsi="Times New Roman"/>
          <w:lang w:val="en-CA"/>
        </w:rPr>
        <w:t xml:space="preserve"> 27.0%. p&lt;0.001 in study 101.1.C.004).</w:t>
      </w:r>
      <w:r w:rsidR="005C717F">
        <w:rPr>
          <w:rFonts w:ascii="Times New Roman" w:hAnsi="Times New Roman"/>
          <w:lang w:val="en-CA"/>
        </w:rPr>
        <w:t xml:space="preserve"> </w:t>
      </w:r>
    </w:p>
    <w:p w:rsidR="00DE3969" w:rsidRPr="00993318" w:rsidRDefault="009C39DC" w:rsidP="006921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lang w:val="en-CA"/>
        </w:rPr>
      </w:pPr>
      <w:r w:rsidRPr="00AD4C1E">
        <w:rPr>
          <w:rFonts w:ascii="Times New Roman" w:hAnsi="Times New Roman"/>
          <w:lang w:val="en-CA"/>
        </w:rPr>
        <w:t xml:space="preserve">The results for sustained clinical response at </w:t>
      </w:r>
      <w:r w:rsidR="00BA1302">
        <w:rPr>
          <w:rFonts w:ascii="Times New Roman" w:hAnsi="Times New Roman"/>
          <w:lang w:val="en-CA"/>
        </w:rPr>
        <w:t>30 days post-therapy</w:t>
      </w:r>
      <w:r w:rsidRPr="00AD4C1E">
        <w:rPr>
          <w:rFonts w:ascii="Times New Roman" w:hAnsi="Times New Roman"/>
          <w:lang w:val="en-CA"/>
        </w:rPr>
        <w:t>, also shown in Table 3, indicate that DIFICID is superior to vancomycin</w:t>
      </w:r>
      <w:r w:rsidR="00BD3BE0">
        <w:rPr>
          <w:rFonts w:ascii="Times New Roman" w:hAnsi="Times New Roman"/>
          <w:lang w:val="en-CA"/>
        </w:rPr>
        <w:t xml:space="preserve"> for this endpoint</w:t>
      </w:r>
      <w:r w:rsidRPr="00AD4C1E">
        <w:rPr>
          <w:rFonts w:ascii="Times New Roman" w:hAnsi="Times New Roman"/>
          <w:lang w:val="en-CA"/>
        </w:rPr>
        <w:t xml:space="preserve">. </w:t>
      </w:r>
    </w:p>
    <w:p w:rsidR="00DE3969" w:rsidRPr="00E2636F" w:rsidRDefault="00DE3969" w:rsidP="00692175">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lang w:val="en-CA"/>
        </w:rPr>
      </w:pPr>
      <w:r w:rsidRPr="00993318">
        <w:rPr>
          <w:rFonts w:ascii="Times New Roman" w:hAnsi="Times New Roman"/>
          <w:b/>
          <w:lang w:val="en-CA"/>
        </w:rPr>
        <w:lastRenderedPageBreak/>
        <w:t xml:space="preserve">Table </w:t>
      </w:r>
      <w:r w:rsidR="00E2636F" w:rsidRPr="00993318">
        <w:rPr>
          <w:rFonts w:ascii="Times New Roman" w:hAnsi="Times New Roman"/>
          <w:b/>
          <w:lang w:val="en-CA"/>
        </w:rPr>
        <w:t>3</w:t>
      </w:r>
      <w:r w:rsidRPr="00993318">
        <w:rPr>
          <w:rFonts w:ascii="Times New Roman" w:hAnsi="Times New Roman"/>
          <w:b/>
          <w:lang w:val="en-CA"/>
        </w:rPr>
        <w:t xml:space="preserve"> - Clinical </w:t>
      </w:r>
      <w:r w:rsidR="00597463">
        <w:rPr>
          <w:rFonts w:ascii="Times New Roman" w:hAnsi="Times New Roman"/>
          <w:b/>
          <w:lang w:val="en-CA"/>
        </w:rPr>
        <w:t>R</w:t>
      </w:r>
      <w:r w:rsidRPr="00993318">
        <w:rPr>
          <w:rFonts w:ascii="Times New Roman" w:hAnsi="Times New Roman"/>
          <w:b/>
          <w:lang w:val="en-CA"/>
        </w:rPr>
        <w:t>esponse</w:t>
      </w:r>
      <w:r w:rsidRPr="00E2636F">
        <w:rPr>
          <w:rFonts w:ascii="Times New Roman" w:hAnsi="Times New Roman"/>
          <w:b/>
          <w:lang w:val="en-CA"/>
        </w:rPr>
        <w:t xml:space="preserve"> </w:t>
      </w:r>
      <w:r w:rsidR="00597463">
        <w:rPr>
          <w:rFonts w:ascii="Times New Roman" w:hAnsi="Times New Roman"/>
          <w:b/>
          <w:lang w:val="en-CA"/>
        </w:rPr>
        <w:t>R</w:t>
      </w:r>
      <w:r w:rsidRPr="00E2636F">
        <w:rPr>
          <w:rFonts w:ascii="Times New Roman" w:hAnsi="Times New Roman"/>
          <w:b/>
          <w:lang w:val="en-CA"/>
        </w:rPr>
        <w:t xml:space="preserve">ates and </w:t>
      </w:r>
      <w:r w:rsidR="00597463">
        <w:rPr>
          <w:rFonts w:ascii="Times New Roman" w:hAnsi="Times New Roman"/>
          <w:b/>
          <w:lang w:val="en-CA"/>
        </w:rPr>
        <w:t>S</w:t>
      </w:r>
      <w:r w:rsidRPr="00E2636F">
        <w:rPr>
          <w:rFonts w:ascii="Times New Roman" w:hAnsi="Times New Roman"/>
          <w:b/>
          <w:lang w:val="en-CA"/>
        </w:rPr>
        <w:t xml:space="preserve">ustained </w:t>
      </w:r>
      <w:r w:rsidR="00597463">
        <w:rPr>
          <w:rFonts w:ascii="Times New Roman" w:hAnsi="Times New Roman"/>
          <w:b/>
          <w:lang w:val="en-CA"/>
        </w:rPr>
        <w:t>C</w:t>
      </w:r>
      <w:r w:rsidRPr="00E2636F">
        <w:rPr>
          <w:rFonts w:ascii="Times New Roman" w:hAnsi="Times New Roman"/>
          <w:b/>
          <w:lang w:val="en-CA"/>
        </w:rPr>
        <w:t xml:space="preserve">linical </w:t>
      </w:r>
      <w:r w:rsidR="00597463">
        <w:rPr>
          <w:rFonts w:ascii="Times New Roman" w:hAnsi="Times New Roman"/>
          <w:b/>
          <w:lang w:val="en-CA"/>
        </w:rPr>
        <w:t>R</w:t>
      </w:r>
      <w:r w:rsidRPr="00E2636F">
        <w:rPr>
          <w:rFonts w:ascii="Times New Roman" w:hAnsi="Times New Roman"/>
          <w:b/>
          <w:lang w:val="en-CA"/>
        </w:rPr>
        <w:t xml:space="preserve">esponse </w:t>
      </w:r>
      <w:r w:rsidR="00597463">
        <w:rPr>
          <w:rFonts w:ascii="Times New Roman" w:hAnsi="Times New Roman"/>
          <w:b/>
          <w:lang w:val="en-CA"/>
        </w:rPr>
        <w:t>R</w:t>
      </w:r>
      <w:r w:rsidR="00BD3BE0">
        <w:rPr>
          <w:rFonts w:ascii="Times New Roman" w:hAnsi="Times New Roman"/>
          <w:b/>
          <w:lang w:val="en-CA"/>
        </w:rPr>
        <w:t xml:space="preserve">ates </w:t>
      </w:r>
      <w:r w:rsidR="00533DB7">
        <w:rPr>
          <w:rFonts w:ascii="Times New Roman" w:hAnsi="Times New Roman"/>
          <w:b/>
          <w:lang w:val="en-CA"/>
        </w:rPr>
        <w:t>(</w:t>
      </w:r>
      <w:r w:rsidRPr="00E2636F">
        <w:rPr>
          <w:rFonts w:ascii="Times New Roman" w:hAnsi="Times New Roman"/>
          <w:b/>
          <w:lang w:val="en-CA"/>
        </w:rPr>
        <w:t xml:space="preserve">30 </w:t>
      </w:r>
      <w:r w:rsidR="00597463">
        <w:rPr>
          <w:rFonts w:ascii="Times New Roman" w:hAnsi="Times New Roman"/>
          <w:b/>
          <w:lang w:val="en-CA"/>
        </w:rPr>
        <w:t>D</w:t>
      </w:r>
      <w:r w:rsidRPr="00E2636F">
        <w:rPr>
          <w:rFonts w:ascii="Times New Roman" w:hAnsi="Times New Roman"/>
          <w:b/>
          <w:lang w:val="en-CA"/>
        </w:rPr>
        <w:t xml:space="preserve">ays </w:t>
      </w:r>
      <w:r w:rsidR="00597463">
        <w:rPr>
          <w:rFonts w:ascii="Times New Roman" w:hAnsi="Times New Roman"/>
          <w:b/>
          <w:lang w:val="en-CA"/>
        </w:rPr>
        <w:t>P</w:t>
      </w:r>
      <w:r w:rsidRPr="00E2636F">
        <w:rPr>
          <w:rFonts w:ascii="Times New Roman" w:hAnsi="Times New Roman"/>
          <w:b/>
          <w:lang w:val="en-CA"/>
        </w:rPr>
        <w:t>ost-</w:t>
      </w:r>
      <w:r w:rsidR="00597463">
        <w:rPr>
          <w:rFonts w:ascii="Times New Roman" w:hAnsi="Times New Roman"/>
          <w:b/>
          <w:lang w:val="en-CA"/>
        </w:rPr>
        <w:t>T</w:t>
      </w:r>
      <w:r w:rsidRPr="00E2636F">
        <w:rPr>
          <w:rFonts w:ascii="Times New Roman" w:hAnsi="Times New Roman"/>
          <w:b/>
          <w:lang w:val="en-CA"/>
        </w:rPr>
        <w:t xml:space="preserve">herapy) </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0"/>
        <w:gridCol w:w="1350"/>
        <w:gridCol w:w="1440"/>
        <w:gridCol w:w="1260"/>
        <w:gridCol w:w="1293"/>
        <w:gridCol w:w="1418"/>
        <w:gridCol w:w="1417"/>
      </w:tblGrid>
      <w:tr w:rsidR="00DE3969" w:rsidRPr="006F61E2" w:rsidTr="00E16E7C">
        <w:trPr>
          <w:jc w:val="center"/>
        </w:trPr>
        <w:tc>
          <w:tcPr>
            <w:tcW w:w="1380" w:type="dxa"/>
            <w:tcBorders>
              <w:top w:val="single" w:sz="4" w:space="0" w:color="auto"/>
              <w:left w:val="single" w:sz="4" w:space="0" w:color="auto"/>
              <w:bottom w:val="single" w:sz="4" w:space="0" w:color="auto"/>
              <w:right w:val="single" w:sz="4" w:space="0" w:color="auto"/>
            </w:tcBorders>
          </w:tcPr>
          <w:p w:rsidR="00DE3969" w:rsidRPr="006F61E2" w:rsidRDefault="00DE3969" w:rsidP="00F74924">
            <w:pPr>
              <w:keepNext/>
              <w:spacing w:before="60" w:after="60" w:line="240" w:lineRule="auto"/>
              <w:ind w:left="101"/>
              <w:rPr>
                <w:rFonts w:ascii="Times New Roman" w:hAnsi="Times New Roman"/>
                <w:sz w:val="20"/>
              </w:rPr>
            </w:pPr>
          </w:p>
        </w:tc>
        <w:tc>
          <w:tcPr>
            <w:tcW w:w="4050" w:type="dxa"/>
            <w:gridSpan w:val="3"/>
            <w:tcBorders>
              <w:top w:val="single" w:sz="4" w:space="0" w:color="auto"/>
              <w:left w:val="single" w:sz="4" w:space="0" w:color="auto"/>
              <w:bottom w:val="single" w:sz="4" w:space="0" w:color="auto"/>
              <w:right w:val="double" w:sz="4" w:space="0" w:color="auto"/>
            </w:tcBorders>
            <w:vAlign w:val="center"/>
          </w:tcPr>
          <w:p w:rsidR="00DE3969" w:rsidRPr="006F61E2" w:rsidRDefault="00DE3969" w:rsidP="009E141A">
            <w:pPr>
              <w:keepNext/>
              <w:spacing w:before="60" w:after="60" w:line="240" w:lineRule="auto"/>
              <w:jc w:val="center"/>
              <w:rPr>
                <w:rFonts w:ascii="Times New Roman" w:hAnsi="Times New Roman"/>
                <w:b/>
                <w:sz w:val="20"/>
              </w:rPr>
            </w:pPr>
            <w:r w:rsidRPr="006F61E2">
              <w:rPr>
                <w:rFonts w:ascii="Times New Roman" w:hAnsi="Times New Roman"/>
                <w:b/>
                <w:sz w:val="20"/>
              </w:rPr>
              <w:t>Clinical Response at End of Therapy</w:t>
            </w:r>
          </w:p>
        </w:tc>
        <w:tc>
          <w:tcPr>
            <w:tcW w:w="4128" w:type="dxa"/>
            <w:gridSpan w:val="3"/>
            <w:tcBorders>
              <w:top w:val="single" w:sz="4" w:space="0" w:color="auto"/>
              <w:left w:val="double" w:sz="4" w:space="0" w:color="auto"/>
              <w:bottom w:val="single" w:sz="4" w:space="0" w:color="auto"/>
              <w:right w:val="single" w:sz="4" w:space="0" w:color="auto"/>
            </w:tcBorders>
            <w:vAlign w:val="center"/>
          </w:tcPr>
          <w:p w:rsidR="00DE3969" w:rsidRPr="006F61E2" w:rsidRDefault="00DE3969" w:rsidP="008636EC">
            <w:pPr>
              <w:keepNext/>
              <w:spacing w:before="60" w:after="60" w:line="240" w:lineRule="auto"/>
              <w:jc w:val="center"/>
              <w:rPr>
                <w:rFonts w:ascii="Times New Roman" w:hAnsi="Times New Roman"/>
                <w:b/>
                <w:sz w:val="20"/>
              </w:rPr>
            </w:pPr>
            <w:r w:rsidRPr="006F61E2">
              <w:rPr>
                <w:rFonts w:ascii="Times New Roman" w:hAnsi="Times New Roman"/>
                <w:b/>
                <w:sz w:val="20"/>
              </w:rPr>
              <w:t xml:space="preserve">Sustained Clinical Response at </w:t>
            </w:r>
            <w:r w:rsidR="006E0B2C" w:rsidRPr="006F61E2">
              <w:rPr>
                <w:rFonts w:ascii="Times New Roman" w:hAnsi="Times New Roman"/>
                <w:b/>
                <w:sz w:val="20"/>
              </w:rPr>
              <w:br/>
            </w:r>
            <w:r w:rsidRPr="006F61E2">
              <w:rPr>
                <w:rFonts w:ascii="Times New Roman" w:hAnsi="Times New Roman"/>
                <w:b/>
                <w:sz w:val="20"/>
              </w:rPr>
              <w:t xml:space="preserve">30 </w:t>
            </w:r>
            <w:r w:rsidR="006E0B2C" w:rsidRPr="006F61E2">
              <w:rPr>
                <w:rFonts w:ascii="Times New Roman" w:hAnsi="Times New Roman"/>
                <w:b/>
                <w:sz w:val="20"/>
              </w:rPr>
              <w:t xml:space="preserve">Days </w:t>
            </w:r>
            <w:r w:rsidR="008636EC" w:rsidRPr="006F61E2">
              <w:rPr>
                <w:rFonts w:ascii="Times New Roman" w:hAnsi="Times New Roman"/>
                <w:b/>
                <w:sz w:val="20"/>
              </w:rPr>
              <w:t>Post-Therapy</w:t>
            </w:r>
          </w:p>
        </w:tc>
      </w:tr>
      <w:tr w:rsidR="00DE3969" w:rsidRPr="006F61E2" w:rsidTr="00E16E7C">
        <w:trPr>
          <w:jc w:val="center"/>
        </w:trPr>
        <w:tc>
          <w:tcPr>
            <w:tcW w:w="1380" w:type="dxa"/>
            <w:tcBorders>
              <w:top w:val="single" w:sz="4" w:space="0" w:color="auto"/>
              <w:left w:val="single" w:sz="4" w:space="0" w:color="auto"/>
              <w:bottom w:val="single" w:sz="4" w:space="0" w:color="auto"/>
              <w:right w:val="single" w:sz="4" w:space="0" w:color="auto"/>
            </w:tcBorders>
          </w:tcPr>
          <w:p w:rsidR="00DE3969" w:rsidRPr="006F61E2" w:rsidRDefault="00DE3969" w:rsidP="00F74924">
            <w:pPr>
              <w:keepNext/>
              <w:spacing w:before="60" w:after="60" w:line="240" w:lineRule="auto"/>
              <w:ind w:left="101"/>
              <w:rPr>
                <w:rFonts w:ascii="Times New Roman" w:hAnsi="Times New Roman"/>
                <w:b/>
                <w:bCs/>
                <w:sz w:val="20"/>
              </w:rPr>
            </w:pPr>
            <w:r w:rsidRPr="006F61E2">
              <w:rPr>
                <w:rFonts w:ascii="Times New Roman" w:hAnsi="Times New Roman"/>
                <w:b/>
                <w:bCs/>
                <w:sz w:val="20"/>
              </w:rPr>
              <w:t>Study</w:t>
            </w:r>
          </w:p>
        </w:tc>
        <w:tc>
          <w:tcPr>
            <w:tcW w:w="1350" w:type="dxa"/>
            <w:tcBorders>
              <w:top w:val="single" w:sz="4" w:space="0" w:color="auto"/>
              <w:left w:val="single" w:sz="4" w:space="0" w:color="auto"/>
              <w:bottom w:val="single" w:sz="4" w:space="0" w:color="auto"/>
              <w:right w:val="single" w:sz="4" w:space="0" w:color="auto"/>
            </w:tcBorders>
            <w:vAlign w:val="center"/>
          </w:tcPr>
          <w:p w:rsidR="00DE3969" w:rsidRPr="009E141A" w:rsidRDefault="00DE3969" w:rsidP="009E141A">
            <w:pPr>
              <w:pStyle w:val="TableHead"/>
              <w:keepNext/>
              <w:keepLines/>
              <w:rPr>
                <w:sz w:val="20"/>
                <w:szCs w:val="20"/>
              </w:rPr>
            </w:pPr>
            <w:r w:rsidRPr="009E141A">
              <w:rPr>
                <w:sz w:val="20"/>
                <w:szCs w:val="20"/>
              </w:rPr>
              <w:t>DIFICID</w:t>
            </w:r>
          </w:p>
          <w:p w:rsidR="00DE3969" w:rsidRPr="009E141A" w:rsidRDefault="00DE3969" w:rsidP="009E141A">
            <w:pPr>
              <w:pStyle w:val="TableHead"/>
              <w:keepNext/>
              <w:keepLines/>
              <w:rPr>
                <w:sz w:val="20"/>
                <w:szCs w:val="20"/>
              </w:rPr>
            </w:pPr>
            <w:r w:rsidRPr="009E141A">
              <w:rPr>
                <w:sz w:val="20"/>
                <w:szCs w:val="20"/>
              </w:rPr>
              <w:t>n/N (%)</w:t>
            </w:r>
          </w:p>
        </w:tc>
        <w:tc>
          <w:tcPr>
            <w:tcW w:w="1440" w:type="dxa"/>
            <w:tcBorders>
              <w:top w:val="single" w:sz="4" w:space="0" w:color="auto"/>
              <w:left w:val="single" w:sz="4" w:space="0" w:color="auto"/>
              <w:bottom w:val="single" w:sz="4" w:space="0" w:color="auto"/>
              <w:right w:val="single" w:sz="4" w:space="0" w:color="auto"/>
            </w:tcBorders>
            <w:vAlign w:val="center"/>
          </w:tcPr>
          <w:p w:rsidR="00DE3969" w:rsidRPr="009E141A" w:rsidRDefault="00DE3969" w:rsidP="009E141A">
            <w:pPr>
              <w:pStyle w:val="TableHead"/>
              <w:keepNext/>
              <w:keepLines/>
              <w:rPr>
                <w:sz w:val="20"/>
                <w:szCs w:val="20"/>
              </w:rPr>
            </w:pPr>
            <w:r w:rsidRPr="009E141A">
              <w:rPr>
                <w:sz w:val="20"/>
                <w:szCs w:val="20"/>
              </w:rPr>
              <w:t>Vancomycin</w:t>
            </w:r>
          </w:p>
          <w:p w:rsidR="00DE3969" w:rsidRPr="009E141A" w:rsidRDefault="00DE3969" w:rsidP="009E141A">
            <w:pPr>
              <w:pStyle w:val="TableHead"/>
              <w:keepNext/>
              <w:keepLines/>
              <w:rPr>
                <w:sz w:val="20"/>
                <w:szCs w:val="20"/>
              </w:rPr>
            </w:pPr>
            <w:r w:rsidRPr="009E141A">
              <w:rPr>
                <w:sz w:val="20"/>
                <w:szCs w:val="20"/>
              </w:rPr>
              <w:t>n/N (%)</w:t>
            </w:r>
          </w:p>
        </w:tc>
        <w:tc>
          <w:tcPr>
            <w:tcW w:w="1260" w:type="dxa"/>
            <w:tcBorders>
              <w:top w:val="single" w:sz="4" w:space="0" w:color="auto"/>
              <w:left w:val="single" w:sz="4" w:space="0" w:color="auto"/>
              <w:bottom w:val="single" w:sz="4" w:space="0" w:color="auto"/>
              <w:right w:val="double" w:sz="4" w:space="0" w:color="auto"/>
            </w:tcBorders>
            <w:vAlign w:val="center"/>
          </w:tcPr>
          <w:p w:rsidR="00DE3969" w:rsidRPr="009E141A" w:rsidRDefault="00DE3969" w:rsidP="009E141A">
            <w:pPr>
              <w:pStyle w:val="TableHead"/>
              <w:keepNext/>
              <w:keepLines/>
              <w:rPr>
                <w:sz w:val="20"/>
                <w:szCs w:val="20"/>
              </w:rPr>
            </w:pPr>
            <w:r w:rsidRPr="009E141A">
              <w:rPr>
                <w:sz w:val="20"/>
                <w:szCs w:val="20"/>
              </w:rPr>
              <w:t>Difference</w:t>
            </w:r>
          </w:p>
          <w:p w:rsidR="00DE3969" w:rsidRPr="009E141A" w:rsidRDefault="00DE3969" w:rsidP="009E141A">
            <w:pPr>
              <w:pStyle w:val="TableHead"/>
              <w:keepNext/>
              <w:keepLines/>
              <w:rPr>
                <w:sz w:val="20"/>
                <w:szCs w:val="20"/>
              </w:rPr>
            </w:pPr>
            <w:r w:rsidRPr="009E141A">
              <w:rPr>
                <w:sz w:val="20"/>
                <w:szCs w:val="20"/>
              </w:rPr>
              <w:t>(95% CI)</w:t>
            </w:r>
            <w:r w:rsidR="0006149D" w:rsidRPr="0006149D">
              <w:rPr>
                <w:sz w:val="20"/>
                <w:szCs w:val="20"/>
                <w:vertAlign w:val="superscript"/>
              </w:rPr>
              <w:t>*</w:t>
            </w:r>
          </w:p>
        </w:tc>
        <w:tc>
          <w:tcPr>
            <w:tcW w:w="1293" w:type="dxa"/>
            <w:tcBorders>
              <w:top w:val="single" w:sz="4" w:space="0" w:color="auto"/>
              <w:left w:val="double" w:sz="4" w:space="0" w:color="auto"/>
              <w:bottom w:val="single" w:sz="4" w:space="0" w:color="auto"/>
              <w:right w:val="single" w:sz="4" w:space="0" w:color="auto"/>
            </w:tcBorders>
            <w:vAlign w:val="center"/>
          </w:tcPr>
          <w:p w:rsidR="00DE3969" w:rsidRPr="009E141A" w:rsidRDefault="00DE3969" w:rsidP="009E141A">
            <w:pPr>
              <w:pStyle w:val="TableHead"/>
              <w:keepNext/>
              <w:keepLines/>
              <w:rPr>
                <w:sz w:val="20"/>
                <w:szCs w:val="20"/>
              </w:rPr>
            </w:pPr>
            <w:r w:rsidRPr="009E141A">
              <w:rPr>
                <w:sz w:val="20"/>
                <w:szCs w:val="20"/>
              </w:rPr>
              <w:t>DIFICID</w:t>
            </w:r>
          </w:p>
          <w:p w:rsidR="00DE3969" w:rsidRPr="009E141A" w:rsidRDefault="00DE3969" w:rsidP="009E141A">
            <w:pPr>
              <w:pStyle w:val="TableHead"/>
              <w:keepNext/>
              <w:keepLines/>
              <w:rPr>
                <w:sz w:val="20"/>
                <w:szCs w:val="20"/>
              </w:rPr>
            </w:pPr>
            <w:r w:rsidRPr="009E141A">
              <w:rPr>
                <w:sz w:val="20"/>
                <w:szCs w:val="20"/>
              </w:rPr>
              <w:t>n/N (%)</w:t>
            </w:r>
          </w:p>
        </w:tc>
        <w:tc>
          <w:tcPr>
            <w:tcW w:w="1418" w:type="dxa"/>
            <w:tcBorders>
              <w:top w:val="single" w:sz="4" w:space="0" w:color="auto"/>
              <w:left w:val="single" w:sz="4" w:space="0" w:color="auto"/>
              <w:bottom w:val="single" w:sz="4" w:space="0" w:color="auto"/>
              <w:right w:val="single" w:sz="4" w:space="0" w:color="auto"/>
            </w:tcBorders>
            <w:vAlign w:val="center"/>
          </w:tcPr>
          <w:p w:rsidR="00DE3969" w:rsidRPr="009E141A" w:rsidRDefault="00DE3969" w:rsidP="009E141A">
            <w:pPr>
              <w:pStyle w:val="TableHead"/>
              <w:keepNext/>
              <w:keepLines/>
              <w:rPr>
                <w:sz w:val="20"/>
                <w:szCs w:val="20"/>
              </w:rPr>
            </w:pPr>
            <w:r w:rsidRPr="009E141A">
              <w:rPr>
                <w:sz w:val="20"/>
                <w:szCs w:val="20"/>
              </w:rPr>
              <w:t>Vancomycin</w:t>
            </w:r>
          </w:p>
          <w:p w:rsidR="00DE3969" w:rsidRPr="009E141A" w:rsidRDefault="00DE3969" w:rsidP="009E141A">
            <w:pPr>
              <w:pStyle w:val="TableHead"/>
              <w:keepNext/>
              <w:keepLines/>
              <w:rPr>
                <w:sz w:val="20"/>
                <w:szCs w:val="20"/>
              </w:rPr>
            </w:pPr>
            <w:r w:rsidRPr="009E141A">
              <w:rPr>
                <w:sz w:val="20"/>
                <w:szCs w:val="20"/>
              </w:rPr>
              <w:t>n/N (%)</w:t>
            </w:r>
          </w:p>
        </w:tc>
        <w:tc>
          <w:tcPr>
            <w:tcW w:w="1417" w:type="dxa"/>
            <w:tcBorders>
              <w:top w:val="single" w:sz="4" w:space="0" w:color="auto"/>
              <w:left w:val="single" w:sz="4" w:space="0" w:color="auto"/>
              <w:bottom w:val="single" w:sz="4" w:space="0" w:color="auto"/>
              <w:right w:val="single" w:sz="4" w:space="0" w:color="auto"/>
            </w:tcBorders>
            <w:vAlign w:val="center"/>
          </w:tcPr>
          <w:p w:rsidR="00DE3969" w:rsidRPr="009E141A" w:rsidRDefault="00DE3969" w:rsidP="009E141A">
            <w:pPr>
              <w:pStyle w:val="TableHead"/>
              <w:keepNext/>
              <w:keepLines/>
              <w:rPr>
                <w:sz w:val="20"/>
                <w:szCs w:val="20"/>
              </w:rPr>
            </w:pPr>
            <w:r w:rsidRPr="009E141A">
              <w:rPr>
                <w:sz w:val="20"/>
                <w:szCs w:val="20"/>
              </w:rPr>
              <w:t>Difference</w:t>
            </w:r>
          </w:p>
          <w:p w:rsidR="00DE3969" w:rsidRPr="009E141A" w:rsidRDefault="00DE3969" w:rsidP="009E141A">
            <w:pPr>
              <w:pStyle w:val="TableHead"/>
              <w:keepNext/>
              <w:keepLines/>
              <w:rPr>
                <w:sz w:val="20"/>
                <w:szCs w:val="20"/>
              </w:rPr>
            </w:pPr>
            <w:r w:rsidRPr="009E141A">
              <w:rPr>
                <w:sz w:val="20"/>
                <w:szCs w:val="20"/>
              </w:rPr>
              <w:t>(95% CI)</w:t>
            </w:r>
            <w:r w:rsidRPr="009E141A">
              <w:rPr>
                <w:sz w:val="20"/>
                <w:szCs w:val="20"/>
                <w:vertAlign w:val="superscript"/>
              </w:rPr>
              <w:t>*</w:t>
            </w:r>
          </w:p>
        </w:tc>
      </w:tr>
      <w:tr w:rsidR="00DE3969" w:rsidRPr="006F61E2" w:rsidTr="00E16E7C">
        <w:trPr>
          <w:trHeight w:val="710"/>
          <w:jc w:val="center"/>
        </w:trPr>
        <w:tc>
          <w:tcPr>
            <w:tcW w:w="1380" w:type="dxa"/>
            <w:tcBorders>
              <w:top w:val="single" w:sz="4" w:space="0" w:color="auto"/>
              <w:left w:val="single" w:sz="4" w:space="0" w:color="auto"/>
              <w:bottom w:val="single" w:sz="4" w:space="0" w:color="auto"/>
              <w:right w:val="single" w:sz="4" w:space="0" w:color="auto"/>
            </w:tcBorders>
            <w:vAlign w:val="center"/>
          </w:tcPr>
          <w:p w:rsidR="00DE3969" w:rsidRPr="006F61E2" w:rsidRDefault="00DE3969" w:rsidP="00F74924">
            <w:pPr>
              <w:keepNext/>
              <w:spacing w:before="60" w:after="60" w:line="240" w:lineRule="auto"/>
              <w:ind w:left="101"/>
              <w:jc w:val="center"/>
              <w:rPr>
                <w:rFonts w:ascii="Times New Roman" w:hAnsi="Times New Roman"/>
                <w:b/>
                <w:sz w:val="20"/>
              </w:rPr>
            </w:pPr>
            <w:r w:rsidRPr="006F61E2">
              <w:rPr>
                <w:rFonts w:ascii="Times New Roman" w:hAnsi="Times New Roman"/>
                <w:b/>
                <w:sz w:val="20"/>
              </w:rPr>
              <w:t>101.1.C.003</w:t>
            </w:r>
          </w:p>
        </w:tc>
        <w:tc>
          <w:tcPr>
            <w:tcW w:w="1350" w:type="dxa"/>
            <w:tcBorders>
              <w:top w:val="single" w:sz="4" w:space="0" w:color="auto"/>
              <w:left w:val="single" w:sz="4" w:space="0" w:color="auto"/>
              <w:bottom w:val="single" w:sz="4" w:space="0" w:color="auto"/>
              <w:right w:val="single" w:sz="4" w:space="0" w:color="auto"/>
            </w:tcBorders>
            <w:vAlign w:val="center"/>
          </w:tcPr>
          <w:p w:rsidR="00DE3969" w:rsidRPr="009E141A" w:rsidRDefault="00DE3969" w:rsidP="009E141A">
            <w:pPr>
              <w:pStyle w:val="TableCenter"/>
              <w:keepNext/>
              <w:spacing w:before="60"/>
              <w:rPr>
                <w:sz w:val="20"/>
                <w:szCs w:val="20"/>
              </w:rPr>
            </w:pPr>
            <w:r w:rsidRPr="009E141A">
              <w:rPr>
                <w:sz w:val="20"/>
                <w:szCs w:val="20"/>
              </w:rPr>
              <w:t xml:space="preserve">255/289 </w:t>
            </w:r>
            <w:r w:rsidRPr="009E141A">
              <w:rPr>
                <w:sz w:val="20"/>
                <w:szCs w:val="20"/>
              </w:rPr>
              <w:br/>
              <w:t>(88.2)</w:t>
            </w:r>
          </w:p>
        </w:tc>
        <w:tc>
          <w:tcPr>
            <w:tcW w:w="1440" w:type="dxa"/>
            <w:tcBorders>
              <w:top w:val="single" w:sz="4" w:space="0" w:color="auto"/>
              <w:left w:val="single" w:sz="4" w:space="0" w:color="auto"/>
              <w:bottom w:val="single" w:sz="4" w:space="0" w:color="auto"/>
              <w:right w:val="single" w:sz="4" w:space="0" w:color="auto"/>
            </w:tcBorders>
            <w:vAlign w:val="center"/>
          </w:tcPr>
          <w:p w:rsidR="00DE3969" w:rsidRPr="009E141A" w:rsidRDefault="00DE3969" w:rsidP="009E141A">
            <w:pPr>
              <w:pStyle w:val="TableCenter"/>
              <w:keepNext/>
              <w:spacing w:before="60"/>
              <w:rPr>
                <w:sz w:val="20"/>
                <w:szCs w:val="20"/>
              </w:rPr>
            </w:pPr>
            <w:r w:rsidRPr="009E141A">
              <w:rPr>
                <w:sz w:val="20"/>
                <w:szCs w:val="20"/>
              </w:rPr>
              <w:t xml:space="preserve">263/307 </w:t>
            </w:r>
            <w:r w:rsidRPr="009E141A">
              <w:rPr>
                <w:sz w:val="20"/>
                <w:szCs w:val="20"/>
              </w:rPr>
              <w:br/>
              <w:t>(85.7)</w:t>
            </w:r>
          </w:p>
        </w:tc>
        <w:tc>
          <w:tcPr>
            <w:tcW w:w="1260" w:type="dxa"/>
            <w:tcBorders>
              <w:top w:val="single" w:sz="4" w:space="0" w:color="auto"/>
              <w:left w:val="single" w:sz="4" w:space="0" w:color="auto"/>
              <w:bottom w:val="single" w:sz="4" w:space="0" w:color="auto"/>
              <w:right w:val="double" w:sz="4" w:space="0" w:color="auto"/>
            </w:tcBorders>
            <w:vAlign w:val="center"/>
          </w:tcPr>
          <w:p w:rsidR="00DE3969" w:rsidRPr="006F61E2" w:rsidRDefault="00DE3969" w:rsidP="009E141A">
            <w:pPr>
              <w:keepNext/>
              <w:autoSpaceDE w:val="0"/>
              <w:autoSpaceDN w:val="0"/>
              <w:adjustRightInd w:val="0"/>
              <w:spacing w:before="60" w:after="60" w:line="240" w:lineRule="auto"/>
              <w:jc w:val="center"/>
              <w:rPr>
                <w:rFonts w:ascii="Times New Roman" w:hAnsi="Times New Roman"/>
                <w:sz w:val="20"/>
              </w:rPr>
            </w:pPr>
            <w:r w:rsidRPr="006F61E2">
              <w:rPr>
                <w:rFonts w:ascii="Times New Roman" w:hAnsi="Times New Roman"/>
                <w:sz w:val="20"/>
              </w:rPr>
              <w:t>2.6</w:t>
            </w:r>
            <w:r w:rsidRPr="006F61E2">
              <w:rPr>
                <w:rFonts w:ascii="Times New Roman" w:hAnsi="Times New Roman"/>
                <w:sz w:val="20"/>
              </w:rPr>
              <w:br/>
              <w:t>(-2.9, 8.0)</w:t>
            </w:r>
          </w:p>
        </w:tc>
        <w:tc>
          <w:tcPr>
            <w:tcW w:w="1293" w:type="dxa"/>
            <w:tcBorders>
              <w:top w:val="single" w:sz="4" w:space="0" w:color="auto"/>
              <w:left w:val="double" w:sz="4" w:space="0" w:color="auto"/>
              <w:bottom w:val="single" w:sz="4" w:space="0" w:color="auto"/>
              <w:right w:val="single" w:sz="4" w:space="0" w:color="auto"/>
            </w:tcBorders>
            <w:vAlign w:val="center"/>
          </w:tcPr>
          <w:p w:rsidR="00DE3969" w:rsidRPr="006F61E2" w:rsidRDefault="00DE3969" w:rsidP="009E141A">
            <w:pPr>
              <w:keepNext/>
              <w:autoSpaceDE w:val="0"/>
              <w:autoSpaceDN w:val="0"/>
              <w:adjustRightInd w:val="0"/>
              <w:spacing w:before="60" w:after="60" w:line="240" w:lineRule="auto"/>
              <w:jc w:val="center"/>
              <w:rPr>
                <w:rFonts w:ascii="Times New Roman" w:hAnsi="Times New Roman"/>
                <w:sz w:val="20"/>
              </w:rPr>
            </w:pPr>
            <w:r w:rsidRPr="006F61E2">
              <w:rPr>
                <w:rFonts w:ascii="Times New Roman" w:hAnsi="Times New Roman"/>
                <w:sz w:val="20"/>
              </w:rPr>
              <w:t>215/289</w:t>
            </w:r>
            <w:r w:rsidRPr="006F61E2">
              <w:rPr>
                <w:rFonts w:ascii="Times New Roman" w:hAnsi="Times New Roman"/>
                <w:sz w:val="20"/>
              </w:rPr>
              <w:br/>
              <w:t>(74.4)</w:t>
            </w:r>
          </w:p>
        </w:tc>
        <w:tc>
          <w:tcPr>
            <w:tcW w:w="1418" w:type="dxa"/>
            <w:tcBorders>
              <w:top w:val="single" w:sz="4" w:space="0" w:color="auto"/>
              <w:left w:val="single" w:sz="4" w:space="0" w:color="auto"/>
              <w:bottom w:val="single" w:sz="4" w:space="0" w:color="auto"/>
              <w:right w:val="single" w:sz="4" w:space="0" w:color="auto"/>
            </w:tcBorders>
            <w:vAlign w:val="center"/>
          </w:tcPr>
          <w:p w:rsidR="00DE3969" w:rsidRPr="006F61E2" w:rsidRDefault="00DE3969" w:rsidP="009E141A">
            <w:pPr>
              <w:keepNext/>
              <w:autoSpaceDE w:val="0"/>
              <w:autoSpaceDN w:val="0"/>
              <w:adjustRightInd w:val="0"/>
              <w:spacing w:before="60" w:after="60" w:line="240" w:lineRule="auto"/>
              <w:jc w:val="center"/>
              <w:rPr>
                <w:rFonts w:ascii="Times New Roman" w:hAnsi="Times New Roman"/>
                <w:sz w:val="20"/>
              </w:rPr>
            </w:pPr>
            <w:r w:rsidRPr="006F61E2">
              <w:rPr>
                <w:rFonts w:ascii="Times New Roman" w:hAnsi="Times New Roman"/>
                <w:sz w:val="20"/>
              </w:rPr>
              <w:t>197/307</w:t>
            </w:r>
            <w:r w:rsidRPr="006F61E2">
              <w:rPr>
                <w:rFonts w:ascii="Times New Roman" w:hAnsi="Times New Roman"/>
                <w:sz w:val="20"/>
              </w:rPr>
              <w:br/>
              <w:t>(64.2)</w:t>
            </w:r>
          </w:p>
        </w:tc>
        <w:tc>
          <w:tcPr>
            <w:tcW w:w="1417" w:type="dxa"/>
            <w:tcBorders>
              <w:top w:val="single" w:sz="4" w:space="0" w:color="auto"/>
              <w:left w:val="single" w:sz="4" w:space="0" w:color="auto"/>
              <w:bottom w:val="single" w:sz="4" w:space="0" w:color="auto"/>
              <w:right w:val="single" w:sz="4" w:space="0" w:color="auto"/>
            </w:tcBorders>
            <w:vAlign w:val="center"/>
          </w:tcPr>
          <w:p w:rsidR="00DE3969" w:rsidRPr="006F61E2" w:rsidRDefault="00DE3969" w:rsidP="009E141A">
            <w:pPr>
              <w:keepNext/>
              <w:autoSpaceDE w:val="0"/>
              <w:autoSpaceDN w:val="0"/>
              <w:adjustRightInd w:val="0"/>
              <w:spacing w:before="60" w:after="60" w:line="240" w:lineRule="auto"/>
              <w:jc w:val="center"/>
              <w:rPr>
                <w:rFonts w:ascii="Times New Roman" w:hAnsi="Times New Roman"/>
                <w:sz w:val="20"/>
              </w:rPr>
            </w:pPr>
            <w:r w:rsidRPr="006F61E2">
              <w:rPr>
                <w:rFonts w:ascii="Times New Roman" w:hAnsi="Times New Roman"/>
                <w:sz w:val="20"/>
              </w:rPr>
              <w:t>10.2</w:t>
            </w:r>
            <w:r w:rsidRPr="006F61E2">
              <w:rPr>
                <w:rFonts w:ascii="Times New Roman" w:hAnsi="Times New Roman"/>
                <w:sz w:val="20"/>
              </w:rPr>
              <w:br/>
              <w:t>(2.8,17.5)</w:t>
            </w:r>
            <w:r w:rsidRPr="006F61E2">
              <w:rPr>
                <w:rFonts w:ascii="Times New Roman" w:hAnsi="Times New Roman"/>
                <w:sz w:val="20"/>
              </w:rPr>
              <w:br/>
              <w:t>p=0.007</w:t>
            </w:r>
          </w:p>
        </w:tc>
      </w:tr>
      <w:tr w:rsidR="00DE3969" w:rsidRPr="006F61E2" w:rsidTr="00E16E7C">
        <w:trPr>
          <w:trHeight w:val="710"/>
          <w:jc w:val="center"/>
        </w:trPr>
        <w:tc>
          <w:tcPr>
            <w:tcW w:w="1380" w:type="dxa"/>
            <w:tcBorders>
              <w:top w:val="single" w:sz="4" w:space="0" w:color="auto"/>
              <w:left w:val="single" w:sz="4" w:space="0" w:color="auto"/>
              <w:bottom w:val="single" w:sz="4" w:space="0" w:color="auto"/>
              <w:right w:val="single" w:sz="4" w:space="0" w:color="auto"/>
            </w:tcBorders>
            <w:vAlign w:val="center"/>
          </w:tcPr>
          <w:p w:rsidR="00DE3969" w:rsidRPr="006F61E2" w:rsidRDefault="00DE3969" w:rsidP="00F74924">
            <w:pPr>
              <w:keepNext/>
              <w:spacing w:before="60" w:after="60" w:line="240" w:lineRule="auto"/>
              <w:ind w:left="101"/>
              <w:jc w:val="center"/>
              <w:rPr>
                <w:rFonts w:ascii="Times New Roman" w:hAnsi="Times New Roman"/>
                <w:b/>
                <w:sz w:val="20"/>
              </w:rPr>
            </w:pPr>
            <w:r w:rsidRPr="006F61E2">
              <w:rPr>
                <w:rFonts w:ascii="Times New Roman" w:hAnsi="Times New Roman"/>
                <w:b/>
                <w:sz w:val="20"/>
              </w:rPr>
              <w:t>101.1.C.004</w:t>
            </w:r>
          </w:p>
        </w:tc>
        <w:tc>
          <w:tcPr>
            <w:tcW w:w="1350" w:type="dxa"/>
            <w:tcBorders>
              <w:top w:val="single" w:sz="4" w:space="0" w:color="auto"/>
              <w:left w:val="single" w:sz="4" w:space="0" w:color="auto"/>
              <w:bottom w:val="single" w:sz="4" w:space="0" w:color="auto"/>
              <w:right w:val="single" w:sz="4" w:space="0" w:color="auto"/>
            </w:tcBorders>
            <w:vAlign w:val="center"/>
          </w:tcPr>
          <w:p w:rsidR="00DE3969" w:rsidRPr="009E141A" w:rsidRDefault="00DE3969" w:rsidP="009E141A">
            <w:pPr>
              <w:pStyle w:val="TableCenter"/>
              <w:keepNext/>
              <w:spacing w:before="60"/>
              <w:rPr>
                <w:sz w:val="20"/>
                <w:szCs w:val="20"/>
              </w:rPr>
            </w:pPr>
            <w:r w:rsidRPr="009E141A">
              <w:rPr>
                <w:sz w:val="20"/>
                <w:szCs w:val="20"/>
              </w:rPr>
              <w:t xml:space="preserve">222/253 </w:t>
            </w:r>
            <w:r w:rsidRPr="009E141A">
              <w:rPr>
                <w:sz w:val="20"/>
                <w:szCs w:val="20"/>
              </w:rPr>
              <w:br/>
              <w:t>(87.7)</w:t>
            </w:r>
          </w:p>
        </w:tc>
        <w:tc>
          <w:tcPr>
            <w:tcW w:w="1440" w:type="dxa"/>
            <w:tcBorders>
              <w:top w:val="single" w:sz="4" w:space="0" w:color="auto"/>
              <w:left w:val="single" w:sz="4" w:space="0" w:color="auto"/>
              <w:bottom w:val="single" w:sz="4" w:space="0" w:color="auto"/>
              <w:right w:val="single" w:sz="4" w:space="0" w:color="auto"/>
            </w:tcBorders>
            <w:vAlign w:val="center"/>
          </w:tcPr>
          <w:p w:rsidR="00DE3969" w:rsidRPr="009E141A" w:rsidRDefault="00DE3969" w:rsidP="009E141A">
            <w:pPr>
              <w:pStyle w:val="TableCenter"/>
              <w:keepNext/>
              <w:spacing w:before="60"/>
              <w:rPr>
                <w:sz w:val="20"/>
                <w:szCs w:val="20"/>
              </w:rPr>
            </w:pPr>
            <w:r w:rsidRPr="009E141A">
              <w:rPr>
                <w:sz w:val="20"/>
                <w:szCs w:val="20"/>
              </w:rPr>
              <w:t xml:space="preserve">222/256 </w:t>
            </w:r>
            <w:r w:rsidRPr="009E141A">
              <w:rPr>
                <w:sz w:val="20"/>
                <w:szCs w:val="20"/>
              </w:rPr>
              <w:br/>
              <w:t>(86.7)</w:t>
            </w:r>
          </w:p>
        </w:tc>
        <w:tc>
          <w:tcPr>
            <w:tcW w:w="1260" w:type="dxa"/>
            <w:tcBorders>
              <w:top w:val="single" w:sz="4" w:space="0" w:color="auto"/>
              <w:left w:val="single" w:sz="4" w:space="0" w:color="auto"/>
              <w:bottom w:val="single" w:sz="4" w:space="0" w:color="auto"/>
              <w:right w:val="double" w:sz="4" w:space="0" w:color="auto"/>
            </w:tcBorders>
            <w:vAlign w:val="center"/>
          </w:tcPr>
          <w:p w:rsidR="00DE3969" w:rsidRPr="006F61E2" w:rsidRDefault="00DE3969" w:rsidP="009E141A">
            <w:pPr>
              <w:keepNext/>
              <w:autoSpaceDE w:val="0"/>
              <w:autoSpaceDN w:val="0"/>
              <w:adjustRightInd w:val="0"/>
              <w:spacing w:before="60" w:after="60" w:line="240" w:lineRule="auto"/>
              <w:jc w:val="center"/>
              <w:rPr>
                <w:rFonts w:ascii="Times New Roman" w:hAnsi="Times New Roman"/>
                <w:sz w:val="20"/>
              </w:rPr>
            </w:pPr>
            <w:r w:rsidRPr="006F61E2">
              <w:rPr>
                <w:rFonts w:ascii="Times New Roman" w:hAnsi="Times New Roman"/>
                <w:sz w:val="20"/>
              </w:rPr>
              <w:t>1.0</w:t>
            </w:r>
            <w:r w:rsidRPr="006F61E2">
              <w:rPr>
                <w:rFonts w:ascii="Times New Roman" w:hAnsi="Times New Roman"/>
                <w:sz w:val="20"/>
              </w:rPr>
              <w:br/>
              <w:t>(-4.8, 6.8)</w:t>
            </w:r>
          </w:p>
        </w:tc>
        <w:tc>
          <w:tcPr>
            <w:tcW w:w="1293" w:type="dxa"/>
            <w:tcBorders>
              <w:top w:val="single" w:sz="4" w:space="0" w:color="auto"/>
              <w:left w:val="double" w:sz="4" w:space="0" w:color="auto"/>
              <w:bottom w:val="single" w:sz="4" w:space="0" w:color="auto"/>
              <w:right w:val="single" w:sz="4" w:space="0" w:color="auto"/>
            </w:tcBorders>
            <w:vAlign w:val="center"/>
          </w:tcPr>
          <w:p w:rsidR="00DE3969" w:rsidRPr="006F61E2" w:rsidRDefault="00DE3969" w:rsidP="009E141A">
            <w:pPr>
              <w:keepNext/>
              <w:autoSpaceDE w:val="0"/>
              <w:autoSpaceDN w:val="0"/>
              <w:adjustRightInd w:val="0"/>
              <w:spacing w:before="60" w:after="60" w:line="240" w:lineRule="auto"/>
              <w:jc w:val="center"/>
              <w:rPr>
                <w:rFonts w:ascii="Times New Roman" w:hAnsi="Times New Roman"/>
                <w:sz w:val="20"/>
              </w:rPr>
            </w:pPr>
            <w:r w:rsidRPr="006F61E2">
              <w:rPr>
                <w:rFonts w:ascii="Times New Roman" w:hAnsi="Times New Roman"/>
                <w:sz w:val="20"/>
              </w:rPr>
              <w:t>194/253</w:t>
            </w:r>
            <w:r w:rsidRPr="006F61E2">
              <w:rPr>
                <w:rFonts w:ascii="Times New Roman" w:hAnsi="Times New Roman"/>
                <w:sz w:val="20"/>
              </w:rPr>
              <w:br/>
              <w:t>(76.7)</w:t>
            </w:r>
          </w:p>
        </w:tc>
        <w:tc>
          <w:tcPr>
            <w:tcW w:w="1418" w:type="dxa"/>
            <w:tcBorders>
              <w:top w:val="single" w:sz="4" w:space="0" w:color="auto"/>
              <w:left w:val="single" w:sz="4" w:space="0" w:color="auto"/>
              <w:bottom w:val="single" w:sz="4" w:space="0" w:color="auto"/>
              <w:right w:val="single" w:sz="4" w:space="0" w:color="auto"/>
            </w:tcBorders>
            <w:vAlign w:val="center"/>
          </w:tcPr>
          <w:p w:rsidR="00DE3969" w:rsidRPr="006F61E2" w:rsidRDefault="00DE3969" w:rsidP="009E141A">
            <w:pPr>
              <w:keepNext/>
              <w:autoSpaceDE w:val="0"/>
              <w:autoSpaceDN w:val="0"/>
              <w:adjustRightInd w:val="0"/>
              <w:spacing w:before="60" w:after="60" w:line="240" w:lineRule="auto"/>
              <w:jc w:val="center"/>
              <w:rPr>
                <w:rFonts w:ascii="Times New Roman" w:hAnsi="Times New Roman"/>
                <w:sz w:val="20"/>
              </w:rPr>
            </w:pPr>
            <w:r w:rsidRPr="006F61E2">
              <w:rPr>
                <w:rFonts w:ascii="Times New Roman" w:hAnsi="Times New Roman"/>
                <w:sz w:val="20"/>
              </w:rPr>
              <w:t>162/256</w:t>
            </w:r>
            <w:r w:rsidRPr="006F61E2">
              <w:rPr>
                <w:rFonts w:ascii="Times New Roman" w:hAnsi="Times New Roman"/>
                <w:sz w:val="20"/>
              </w:rPr>
              <w:br/>
              <w:t>(63.3)</w:t>
            </w:r>
          </w:p>
        </w:tc>
        <w:tc>
          <w:tcPr>
            <w:tcW w:w="1417" w:type="dxa"/>
            <w:tcBorders>
              <w:top w:val="single" w:sz="4" w:space="0" w:color="auto"/>
              <w:left w:val="single" w:sz="4" w:space="0" w:color="auto"/>
              <w:bottom w:val="single" w:sz="4" w:space="0" w:color="auto"/>
              <w:right w:val="single" w:sz="4" w:space="0" w:color="auto"/>
            </w:tcBorders>
            <w:vAlign w:val="center"/>
          </w:tcPr>
          <w:p w:rsidR="00DE3969" w:rsidRPr="006F61E2" w:rsidRDefault="00DE3969" w:rsidP="009E141A">
            <w:pPr>
              <w:keepNext/>
              <w:autoSpaceDE w:val="0"/>
              <w:autoSpaceDN w:val="0"/>
              <w:adjustRightInd w:val="0"/>
              <w:spacing w:before="60" w:after="60" w:line="240" w:lineRule="auto"/>
              <w:jc w:val="center"/>
              <w:rPr>
                <w:rFonts w:ascii="Times New Roman" w:hAnsi="Times New Roman"/>
                <w:sz w:val="20"/>
              </w:rPr>
            </w:pPr>
            <w:r w:rsidRPr="006F61E2">
              <w:rPr>
                <w:rFonts w:ascii="Times New Roman" w:hAnsi="Times New Roman"/>
                <w:sz w:val="20"/>
              </w:rPr>
              <w:t>13.4</w:t>
            </w:r>
            <w:r w:rsidRPr="006F61E2">
              <w:rPr>
                <w:rFonts w:ascii="Times New Roman" w:hAnsi="Times New Roman"/>
                <w:sz w:val="20"/>
              </w:rPr>
              <w:br/>
              <w:t>(5.4, 21.1)</w:t>
            </w:r>
            <w:r w:rsidRPr="006F61E2">
              <w:rPr>
                <w:rFonts w:ascii="Times New Roman" w:hAnsi="Times New Roman"/>
                <w:sz w:val="20"/>
              </w:rPr>
              <w:br/>
              <w:t>p=0.001</w:t>
            </w:r>
          </w:p>
        </w:tc>
      </w:tr>
    </w:tbl>
    <w:p w:rsidR="00DE3969" w:rsidRPr="009E141A" w:rsidRDefault="00DE3969" w:rsidP="00DE3969">
      <w:pPr>
        <w:widowControl w:val="0"/>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hanging="180"/>
        <w:rPr>
          <w:rFonts w:ascii="Times New Roman" w:hAnsi="Times New Roman"/>
          <w:sz w:val="20"/>
          <w:lang w:val="en-CA"/>
        </w:rPr>
      </w:pPr>
      <w:r w:rsidRPr="009E141A">
        <w:rPr>
          <w:rFonts w:ascii="Times New Roman" w:hAnsi="Times New Roman"/>
          <w:sz w:val="20"/>
          <w:lang w:val="en-CA"/>
        </w:rPr>
        <w:t>*</w:t>
      </w:r>
      <w:r w:rsidRPr="009E141A">
        <w:rPr>
          <w:rFonts w:ascii="Times New Roman" w:hAnsi="Times New Roman"/>
          <w:sz w:val="20"/>
          <w:lang w:val="en-CA"/>
        </w:rPr>
        <w:tab/>
        <w:t>Confidence interval was using a 2-sided method recommended by Agresti and Caffo (2000) and p-value using Pearson’s chi-square test.</w:t>
      </w:r>
    </w:p>
    <w:p w:rsidR="00DE3969" w:rsidRPr="001C0BAD" w:rsidRDefault="00AD4C1E" w:rsidP="006921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lang w:val="en-CA"/>
        </w:rPr>
      </w:pPr>
      <w:r w:rsidRPr="00AD4C1E">
        <w:rPr>
          <w:rFonts w:ascii="Times New Roman" w:hAnsi="Times New Roman"/>
          <w:lang w:val="en-CA"/>
        </w:rPr>
        <w:t xml:space="preserve">Proven or suspected CDI recurrence rates 30 days post-therapy for those subjects who were clinical successes at the end of therapy are shown in Table 4. In both studies, the recurrence rate was significantly lower in the DIFICID group compared to the vancomycin group. </w:t>
      </w:r>
    </w:p>
    <w:p w:rsidR="00DE3969" w:rsidRPr="009C39DC" w:rsidRDefault="00AD4C1E" w:rsidP="009E141A">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lang w:val="en-CA"/>
        </w:rPr>
      </w:pPr>
      <w:r w:rsidRPr="009C39DC">
        <w:rPr>
          <w:rFonts w:ascii="Times New Roman" w:hAnsi="Times New Roman"/>
          <w:b/>
          <w:lang w:val="en-CA"/>
        </w:rPr>
        <w:t xml:space="preserve">Table 4 - Proven or </w:t>
      </w:r>
      <w:r w:rsidR="00597463">
        <w:rPr>
          <w:rFonts w:ascii="Times New Roman" w:hAnsi="Times New Roman"/>
          <w:b/>
          <w:lang w:val="en-CA"/>
        </w:rPr>
        <w:t>S</w:t>
      </w:r>
      <w:r w:rsidRPr="009C39DC">
        <w:rPr>
          <w:rFonts w:ascii="Times New Roman" w:hAnsi="Times New Roman"/>
          <w:b/>
          <w:lang w:val="en-CA"/>
        </w:rPr>
        <w:t xml:space="preserve">uspected CDI </w:t>
      </w:r>
      <w:r w:rsidR="00597463">
        <w:rPr>
          <w:rFonts w:ascii="Times New Roman" w:hAnsi="Times New Roman"/>
          <w:b/>
          <w:lang w:val="en-CA"/>
        </w:rPr>
        <w:t>R</w:t>
      </w:r>
      <w:r w:rsidRPr="009C39DC">
        <w:rPr>
          <w:rFonts w:ascii="Times New Roman" w:hAnsi="Times New Roman"/>
          <w:b/>
          <w:lang w:val="en-CA"/>
        </w:rPr>
        <w:t xml:space="preserve">ecurrence </w:t>
      </w:r>
      <w:r w:rsidR="003A6733">
        <w:rPr>
          <w:rFonts w:ascii="Times New Roman" w:hAnsi="Times New Roman"/>
          <w:b/>
          <w:lang w:val="en-CA"/>
        </w:rPr>
        <w:t>R</w:t>
      </w:r>
      <w:r w:rsidRPr="009C39DC">
        <w:rPr>
          <w:rFonts w:ascii="Times New Roman" w:hAnsi="Times New Roman"/>
          <w:b/>
          <w:lang w:val="en-CA"/>
        </w:rPr>
        <w:t xml:space="preserve">ates in Phase 3 </w:t>
      </w:r>
      <w:r w:rsidR="001435B6">
        <w:rPr>
          <w:rFonts w:ascii="Times New Roman" w:hAnsi="Times New Roman"/>
          <w:b/>
          <w:lang w:val="en-CA"/>
        </w:rPr>
        <w:t>S</w:t>
      </w:r>
      <w:r w:rsidRPr="009C39DC">
        <w:rPr>
          <w:rFonts w:ascii="Times New Roman" w:hAnsi="Times New Roman"/>
          <w:b/>
          <w:lang w:val="en-CA"/>
        </w:rPr>
        <w:t>tudies</w:t>
      </w:r>
    </w:p>
    <w:tbl>
      <w:tblPr>
        <w:tblW w:w="7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6"/>
        <w:gridCol w:w="2195"/>
        <w:gridCol w:w="2058"/>
        <w:gridCol w:w="1984"/>
      </w:tblGrid>
      <w:tr w:rsidR="00DE3969" w:rsidRPr="006F61E2" w:rsidTr="00E866EA">
        <w:trPr>
          <w:tblHeader/>
          <w:jc w:val="center"/>
        </w:trPr>
        <w:tc>
          <w:tcPr>
            <w:tcW w:w="1256" w:type="dxa"/>
            <w:vAlign w:val="center"/>
          </w:tcPr>
          <w:p w:rsidR="00D17197" w:rsidRPr="006F61E2" w:rsidRDefault="00AD4C1E" w:rsidP="009E141A">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rPr>
                <w:rFonts w:ascii="Times New Roman" w:hAnsi="Times New Roman"/>
                <w:b/>
                <w:bCs/>
                <w:sz w:val="20"/>
              </w:rPr>
            </w:pPr>
            <w:r w:rsidRPr="006F61E2">
              <w:rPr>
                <w:rFonts w:ascii="Times New Roman" w:hAnsi="Times New Roman"/>
                <w:b/>
                <w:bCs/>
                <w:sz w:val="20"/>
              </w:rPr>
              <w:t>Study</w:t>
            </w:r>
          </w:p>
        </w:tc>
        <w:tc>
          <w:tcPr>
            <w:tcW w:w="2195" w:type="dxa"/>
            <w:vAlign w:val="center"/>
          </w:tcPr>
          <w:p w:rsidR="00D17197" w:rsidRPr="006F61E2" w:rsidRDefault="00DE3969" w:rsidP="009E141A">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jc w:val="center"/>
              <w:rPr>
                <w:rFonts w:ascii="Times New Roman" w:hAnsi="Times New Roman"/>
                <w:b/>
                <w:sz w:val="20"/>
                <w:szCs w:val="20"/>
              </w:rPr>
            </w:pPr>
            <w:r w:rsidRPr="006F61E2">
              <w:rPr>
                <w:rFonts w:ascii="Times New Roman" w:hAnsi="Times New Roman"/>
                <w:b/>
                <w:sz w:val="20"/>
                <w:szCs w:val="20"/>
              </w:rPr>
              <w:t>DIFICID</w:t>
            </w:r>
            <w:r w:rsidRPr="006F61E2">
              <w:rPr>
                <w:rFonts w:ascii="Times New Roman" w:hAnsi="Times New Roman"/>
                <w:b/>
                <w:sz w:val="20"/>
                <w:szCs w:val="20"/>
              </w:rPr>
              <w:br/>
              <w:t>n/N (%)</w:t>
            </w:r>
          </w:p>
        </w:tc>
        <w:tc>
          <w:tcPr>
            <w:tcW w:w="2058" w:type="dxa"/>
            <w:vAlign w:val="center"/>
          </w:tcPr>
          <w:p w:rsidR="00D17197" w:rsidRPr="006F61E2" w:rsidRDefault="00DE3969" w:rsidP="009E141A">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jc w:val="center"/>
              <w:rPr>
                <w:rFonts w:ascii="Times New Roman" w:hAnsi="Times New Roman"/>
                <w:b/>
                <w:sz w:val="20"/>
                <w:szCs w:val="20"/>
              </w:rPr>
            </w:pPr>
            <w:r w:rsidRPr="006F61E2">
              <w:rPr>
                <w:rFonts w:ascii="Times New Roman" w:hAnsi="Times New Roman"/>
                <w:b/>
                <w:sz w:val="20"/>
                <w:szCs w:val="20"/>
              </w:rPr>
              <w:t>Vancomycin</w:t>
            </w:r>
            <w:r w:rsidRPr="006F61E2">
              <w:rPr>
                <w:rFonts w:ascii="Times New Roman" w:hAnsi="Times New Roman"/>
                <w:b/>
                <w:sz w:val="20"/>
                <w:szCs w:val="20"/>
              </w:rPr>
              <w:br/>
              <w:t>n/N (%)</w:t>
            </w:r>
          </w:p>
        </w:tc>
        <w:tc>
          <w:tcPr>
            <w:tcW w:w="1984" w:type="dxa"/>
            <w:vAlign w:val="center"/>
          </w:tcPr>
          <w:p w:rsidR="00D17197" w:rsidRPr="006F61E2" w:rsidRDefault="00DE3969" w:rsidP="009E141A">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jc w:val="center"/>
              <w:rPr>
                <w:rFonts w:ascii="Times New Roman" w:hAnsi="Times New Roman"/>
                <w:b/>
                <w:sz w:val="20"/>
                <w:szCs w:val="20"/>
              </w:rPr>
            </w:pPr>
            <w:r w:rsidRPr="006F61E2">
              <w:rPr>
                <w:rFonts w:ascii="Times New Roman" w:hAnsi="Times New Roman"/>
                <w:b/>
                <w:sz w:val="20"/>
                <w:szCs w:val="20"/>
              </w:rPr>
              <w:t>Difference</w:t>
            </w:r>
            <w:r w:rsidRPr="006F61E2">
              <w:rPr>
                <w:rFonts w:ascii="Times New Roman" w:hAnsi="Times New Roman"/>
                <w:b/>
                <w:sz w:val="20"/>
                <w:szCs w:val="20"/>
              </w:rPr>
              <w:br/>
              <w:t>(95% CI)</w:t>
            </w:r>
            <w:r w:rsidR="0006149D" w:rsidRPr="006F61E2">
              <w:rPr>
                <w:rFonts w:ascii="Times New Roman" w:hAnsi="Times New Roman"/>
                <w:b/>
                <w:sz w:val="20"/>
                <w:szCs w:val="20"/>
                <w:vertAlign w:val="superscript"/>
              </w:rPr>
              <w:t>*</w:t>
            </w:r>
          </w:p>
        </w:tc>
      </w:tr>
      <w:tr w:rsidR="00DE3969" w:rsidRPr="006F61E2" w:rsidTr="00E866EA">
        <w:trPr>
          <w:jc w:val="center"/>
        </w:trPr>
        <w:tc>
          <w:tcPr>
            <w:tcW w:w="1256" w:type="dxa"/>
            <w:vAlign w:val="center"/>
          </w:tcPr>
          <w:p w:rsidR="00D17197" w:rsidRPr="006F61E2" w:rsidRDefault="00AD4C1E" w:rsidP="009E141A">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rPr>
                <w:rFonts w:ascii="Times New Roman" w:hAnsi="Times New Roman"/>
                <w:b/>
                <w:bCs/>
                <w:sz w:val="20"/>
              </w:rPr>
            </w:pPr>
            <w:r w:rsidRPr="006F61E2">
              <w:rPr>
                <w:rFonts w:ascii="Times New Roman" w:hAnsi="Times New Roman"/>
                <w:b/>
                <w:bCs/>
                <w:sz w:val="20"/>
              </w:rPr>
              <w:t>101.1.C.003</w:t>
            </w:r>
          </w:p>
        </w:tc>
        <w:tc>
          <w:tcPr>
            <w:tcW w:w="2195" w:type="dxa"/>
            <w:vAlign w:val="center"/>
          </w:tcPr>
          <w:p w:rsidR="009F71A3" w:rsidRPr="006F61E2" w:rsidRDefault="00DE3969" w:rsidP="009E141A">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jc w:val="center"/>
              <w:rPr>
                <w:rFonts w:ascii="Times New Roman" w:hAnsi="Times New Roman"/>
                <w:sz w:val="20"/>
                <w:szCs w:val="20"/>
              </w:rPr>
            </w:pPr>
            <w:r w:rsidRPr="006F61E2">
              <w:rPr>
                <w:rFonts w:ascii="Times New Roman" w:hAnsi="Times New Roman"/>
                <w:sz w:val="20"/>
                <w:szCs w:val="20"/>
              </w:rPr>
              <w:t>40/255 (15.7)</w:t>
            </w:r>
          </w:p>
        </w:tc>
        <w:tc>
          <w:tcPr>
            <w:tcW w:w="2058" w:type="dxa"/>
            <w:vAlign w:val="center"/>
          </w:tcPr>
          <w:p w:rsidR="009F71A3" w:rsidRPr="006F61E2" w:rsidRDefault="00DE3969" w:rsidP="009E141A">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jc w:val="center"/>
              <w:rPr>
                <w:rFonts w:ascii="Times New Roman" w:hAnsi="Times New Roman"/>
                <w:sz w:val="20"/>
                <w:szCs w:val="20"/>
              </w:rPr>
            </w:pPr>
            <w:r w:rsidRPr="006F61E2">
              <w:rPr>
                <w:rFonts w:ascii="Times New Roman" w:hAnsi="Times New Roman"/>
                <w:sz w:val="20"/>
                <w:szCs w:val="20"/>
              </w:rPr>
              <w:t>66/263 (25.1)</w:t>
            </w:r>
          </w:p>
        </w:tc>
        <w:tc>
          <w:tcPr>
            <w:tcW w:w="1984" w:type="dxa"/>
            <w:vAlign w:val="center"/>
          </w:tcPr>
          <w:p w:rsidR="009F71A3" w:rsidRPr="006F61E2" w:rsidRDefault="00DE3969" w:rsidP="009E141A">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jc w:val="center"/>
              <w:rPr>
                <w:rFonts w:ascii="Times New Roman" w:hAnsi="Times New Roman"/>
                <w:sz w:val="20"/>
                <w:szCs w:val="20"/>
              </w:rPr>
            </w:pPr>
            <w:r w:rsidRPr="006F61E2">
              <w:rPr>
                <w:rFonts w:ascii="Times New Roman" w:hAnsi="Times New Roman"/>
                <w:sz w:val="20"/>
                <w:szCs w:val="20"/>
              </w:rPr>
              <w:t>-9.4</w:t>
            </w:r>
            <w:r w:rsidRPr="006F61E2">
              <w:rPr>
                <w:rFonts w:ascii="Times New Roman" w:hAnsi="Times New Roman"/>
                <w:sz w:val="20"/>
                <w:szCs w:val="20"/>
              </w:rPr>
              <w:br/>
              <w:t>(-16.2,-2.5)</w:t>
            </w:r>
            <w:r w:rsidRPr="006F61E2">
              <w:rPr>
                <w:rFonts w:ascii="Times New Roman" w:hAnsi="Times New Roman"/>
                <w:sz w:val="20"/>
                <w:szCs w:val="20"/>
              </w:rPr>
              <w:br/>
              <w:t>p=0.008</w:t>
            </w:r>
          </w:p>
        </w:tc>
      </w:tr>
      <w:tr w:rsidR="00DE3969" w:rsidRPr="006F61E2" w:rsidTr="00E866EA">
        <w:trPr>
          <w:jc w:val="center"/>
        </w:trPr>
        <w:tc>
          <w:tcPr>
            <w:tcW w:w="1256" w:type="dxa"/>
            <w:vAlign w:val="center"/>
          </w:tcPr>
          <w:p w:rsidR="00D17197" w:rsidRPr="006F61E2" w:rsidRDefault="00AD4C1E" w:rsidP="009E141A">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rPr>
                <w:rFonts w:ascii="Times New Roman" w:hAnsi="Times New Roman"/>
                <w:b/>
                <w:bCs/>
                <w:sz w:val="20"/>
              </w:rPr>
            </w:pPr>
            <w:r w:rsidRPr="006F61E2">
              <w:rPr>
                <w:rFonts w:ascii="Times New Roman" w:hAnsi="Times New Roman"/>
                <w:b/>
                <w:bCs/>
                <w:sz w:val="20"/>
              </w:rPr>
              <w:t>101.1.C.004</w:t>
            </w:r>
          </w:p>
        </w:tc>
        <w:tc>
          <w:tcPr>
            <w:tcW w:w="2195" w:type="dxa"/>
            <w:vAlign w:val="center"/>
          </w:tcPr>
          <w:p w:rsidR="009F71A3" w:rsidRPr="006F61E2" w:rsidRDefault="00DE3969" w:rsidP="009E141A">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jc w:val="center"/>
              <w:rPr>
                <w:rFonts w:ascii="Times New Roman" w:hAnsi="Times New Roman"/>
                <w:sz w:val="20"/>
                <w:szCs w:val="20"/>
              </w:rPr>
            </w:pPr>
            <w:r w:rsidRPr="006F61E2">
              <w:rPr>
                <w:rFonts w:ascii="Times New Roman" w:hAnsi="Times New Roman"/>
                <w:sz w:val="20"/>
                <w:szCs w:val="20"/>
              </w:rPr>
              <w:t>28/222 (12.6)</w:t>
            </w:r>
          </w:p>
        </w:tc>
        <w:tc>
          <w:tcPr>
            <w:tcW w:w="2058" w:type="dxa"/>
            <w:vAlign w:val="center"/>
          </w:tcPr>
          <w:p w:rsidR="009F71A3" w:rsidRPr="006F61E2" w:rsidRDefault="00DE3969" w:rsidP="009E141A">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jc w:val="center"/>
              <w:rPr>
                <w:rFonts w:ascii="Times New Roman" w:hAnsi="Times New Roman"/>
                <w:sz w:val="20"/>
                <w:szCs w:val="20"/>
              </w:rPr>
            </w:pPr>
            <w:r w:rsidRPr="006F61E2">
              <w:rPr>
                <w:rFonts w:ascii="Times New Roman" w:hAnsi="Times New Roman"/>
                <w:sz w:val="20"/>
                <w:szCs w:val="20"/>
              </w:rPr>
              <w:t>60/222 (27.0)</w:t>
            </w:r>
          </w:p>
        </w:tc>
        <w:tc>
          <w:tcPr>
            <w:tcW w:w="1984" w:type="dxa"/>
            <w:vAlign w:val="center"/>
          </w:tcPr>
          <w:p w:rsidR="009F71A3" w:rsidRPr="006F61E2" w:rsidRDefault="00DE3969" w:rsidP="009E141A">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jc w:val="center"/>
              <w:rPr>
                <w:rFonts w:ascii="Times New Roman" w:hAnsi="Times New Roman"/>
                <w:sz w:val="20"/>
                <w:szCs w:val="20"/>
              </w:rPr>
            </w:pPr>
            <w:r w:rsidRPr="006F61E2">
              <w:rPr>
                <w:rFonts w:ascii="Times New Roman" w:hAnsi="Times New Roman"/>
                <w:sz w:val="20"/>
                <w:szCs w:val="20"/>
              </w:rPr>
              <w:t>-14.4</w:t>
            </w:r>
            <w:r w:rsidRPr="006F61E2">
              <w:rPr>
                <w:rFonts w:ascii="Times New Roman" w:hAnsi="Times New Roman"/>
                <w:sz w:val="20"/>
                <w:szCs w:val="20"/>
              </w:rPr>
              <w:br/>
              <w:t>(-21.6,-7.0)</w:t>
            </w:r>
            <w:r w:rsidRPr="006F61E2">
              <w:rPr>
                <w:rFonts w:ascii="Times New Roman" w:hAnsi="Times New Roman"/>
                <w:sz w:val="20"/>
                <w:szCs w:val="20"/>
              </w:rPr>
              <w:br/>
              <w:t>p&lt;0.001</w:t>
            </w:r>
          </w:p>
        </w:tc>
      </w:tr>
    </w:tbl>
    <w:p w:rsidR="00D17197" w:rsidRDefault="009C39DC" w:rsidP="00BD3BE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hanging="180"/>
        <w:rPr>
          <w:rFonts w:ascii="Times New Roman" w:hAnsi="Times New Roman"/>
        </w:rPr>
      </w:pPr>
      <w:r>
        <w:rPr>
          <w:rFonts w:ascii="Times New Roman" w:hAnsi="Times New Roman"/>
          <w:sz w:val="20"/>
        </w:rPr>
        <w:t>*</w:t>
      </w:r>
      <w:r w:rsidR="00BD3BE0">
        <w:rPr>
          <w:rFonts w:ascii="Times New Roman" w:hAnsi="Times New Roman"/>
          <w:sz w:val="20"/>
        </w:rPr>
        <w:tab/>
      </w:r>
      <w:r w:rsidR="00AD4C1E" w:rsidRPr="00AD4C1E">
        <w:rPr>
          <w:rFonts w:ascii="Times New Roman" w:hAnsi="Times New Roman"/>
          <w:sz w:val="20"/>
        </w:rPr>
        <w:t>Confidence interval was using a 2-sided method recommended by Agresti and Caffo (2000) and p</w:t>
      </w:r>
      <w:r w:rsidR="00AD4C1E" w:rsidRPr="00AD4C1E">
        <w:rPr>
          <w:rFonts w:ascii="Times New Roman" w:hAnsi="Times New Roman"/>
          <w:sz w:val="20"/>
        </w:rPr>
        <w:noBreakHyphen/>
        <w:t>value using Pearson’s chi-square test</w:t>
      </w:r>
    </w:p>
    <w:p w:rsidR="00DE3969" w:rsidRPr="005F5223" w:rsidRDefault="00DE3969" w:rsidP="006921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lang w:val="en-CA"/>
        </w:rPr>
      </w:pPr>
      <w:r w:rsidRPr="005F5223">
        <w:rPr>
          <w:rFonts w:ascii="Times New Roman" w:hAnsi="Times New Roman"/>
          <w:lang w:val="en-CA"/>
        </w:rPr>
        <w:t xml:space="preserve">Among </w:t>
      </w:r>
      <w:r w:rsidR="00346CF6">
        <w:rPr>
          <w:rFonts w:ascii="Times New Roman" w:hAnsi="Times New Roman"/>
          <w:lang w:val="en-CA"/>
        </w:rPr>
        <w:t>subjects</w:t>
      </w:r>
      <w:r w:rsidRPr="005F5223">
        <w:rPr>
          <w:rFonts w:ascii="Times New Roman" w:hAnsi="Times New Roman"/>
          <w:lang w:val="en-CA"/>
        </w:rPr>
        <w:t xml:space="preserve"> who experienced a recurrence of CDI, recurrence occurred later for DIFICID </w:t>
      </w:r>
      <w:r w:rsidR="00346CF6">
        <w:rPr>
          <w:rFonts w:ascii="Times New Roman" w:hAnsi="Times New Roman"/>
          <w:lang w:val="en-CA"/>
        </w:rPr>
        <w:t>subjects</w:t>
      </w:r>
      <w:r w:rsidRPr="005F5223">
        <w:rPr>
          <w:rFonts w:ascii="Times New Roman" w:hAnsi="Times New Roman"/>
          <w:lang w:val="en-CA"/>
        </w:rPr>
        <w:t xml:space="preserve"> than for vancomycin subjects. </w:t>
      </w:r>
    </w:p>
    <w:p w:rsidR="005003CA" w:rsidRDefault="00DE3969" w:rsidP="006921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CA"/>
        </w:rPr>
      </w:pPr>
      <w:r w:rsidRPr="005F5223">
        <w:rPr>
          <w:rFonts w:ascii="Times New Roman" w:hAnsi="Times New Roman"/>
          <w:lang w:val="en-CA"/>
        </w:rPr>
        <w:t>Results for all endpoints were consistent with the primary findings across most subgroups analy</w:t>
      </w:r>
      <w:r w:rsidR="003A6733">
        <w:rPr>
          <w:rFonts w:ascii="Times New Roman" w:hAnsi="Times New Roman"/>
          <w:lang w:val="en-CA"/>
        </w:rPr>
        <w:t>s</w:t>
      </w:r>
      <w:r w:rsidRPr="005F5223">
        <w:rPr>
          <w:rFonts w:ascii="Times New Roman" w:hAnsi="Times New Roman"/>
          <w:lang w:val="en-CA"/>
        </w:rPr>
        <w:t>ed (including age, sex, race, disease severity, use of concomitant antibiotics, and in-patient vs. out-patient status). For initial strain type of CDI, restric</w:t>
      </w:r>
      <w:r w:rsidR="00803785">
        <w:rPr>
          <w:rFonts w:ascii="Times New Roman" w:hAnsi="Times New Roman"/>
          <w:lang w:val="en-CA"/>
        </w:rPr>
        <w:t>tion endonuclease analysis</w:t>
      </w:r>
      <w:r w:rsidRPr="005F5223">
        <w:rPr>
          <w:rFonts w:ascii="Times New Roman" w:hAnsi="Times New Roman"/>
          <w:lang w:val="en-CA"/>
        </w:rPr>
        <w:t xml:space="preserve"> was used to identify </w:t>
      </w:r>
      <w:r w:rsidR="00C87B67">
        <w:rPr>
          <w:rFonts w:ascii="Times New Roman" w:hAnsi="Times New Roman"/>
          <w:i/>
          <w:iCs/>
          <w:lang w:val="en-CA"/>
        </w:rPr>
        <w:t>C. </w:t>
      </w:r>
      <w:r w:rsidRPr="005F5223">
        <w:rPr>
          <w:rFonts w:ascii="Times New Roman" w:hAnsi="Times New Roman"/>
          <w:i/>
          <w:iCs/>
          <w:lang w:val="en-CA"/>
        </w:rPr>
        <w:t>difficile</w:t>
      </w:r>
      <w:r w:rsidRPr="005F5223">
        <w:rPr>
          <w:rFonts w:ascii="Times New Roman" w:hAnsi="Times New Roman"/>
          <w:lang w:val="en-CA"/>
        </w:rPr>
        <w:t xml:space="preserve"> baseline isolates in the BI group, isolates associated with increasing rates and severity of CDI in the years prior to the clinical trials. Similar rates of clinical response at the end of therapy and proven or suspected CDI during the follow-up period were seen in DIFICID-treated and vancomycin-treated </w:t>
      </w:r>
      <w:r w:rsidR="00695C6B">
        <w:rPr>
          <w:rFonts w:ascii="Times New Roman" w:hAnsi="Times New Roman"/>
          <w:lang w:val="en-CA"/>
        </w:rPr>
        <w:t>subjects</w:t>
      </w:r>
      <w:r w:rsidRPr="005F5223">
        <w:rPr>
          <w:rFonts w:ascii="Times New Roman" w:hAnsi="Times New Roman"/>
          <w:lang w:val="en-CA"/>
        </w:rPr>
        <w:t xml:space="preserve"> infected with a BI isolate. </w:t>
      </w:r>
    </w:p>
    <w:p w:rsidR="00DE3969" w:rsidRDefault="00DE3969" w:rsidP="006921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lang w:val="en-CA"/>
        </w:rPr>
      </w:pPr>
      <w:r w:rsidRPr="005F5223">
        <w:rPr>
          <w:rFonts w:ascii="Times New Roman" w:hAnsi="Times New Roman"/>
          <w:lang w:val="en-CA"/>
        </w:rPr>
        <w:t xml:space="preserve">Amongst the per protocol population, in the absence of concomitant antibiotic use, DIFICID and vancomycin were similar in achievement of clinical response by the end of therapy (92.3% vs. 92.8%; p=0.80). However, when </w:t>
      </w:r>
      <w:r w:rsidR="00695C6B">
        <w:rPr>
          <w:rFonts w:ascii="Times New Roman" w:hAnsi="Times New Roman"/>
          <w:lang w:val="en-CA"/>
        </w:rPr>
        <w:t>subjects</w:t>
      </w:r>
      <w:r w:rsidRPr="005F5223">
        <w:rPr>
          <w:rFonts w:ascii="Times New Roman" w:hAnsi="Times New Roman"/>
          <w:lang w:val="en-CA"/>
        </w:rPr>
        <w:t xml:space="preserve"> received one or more antibiotics concurrently with study drug, DIFICID was superior to vancomycin in achieving clinical response (90.0% vs. 79.4%; p=0.04). </w:t>
      </w:r>
      <w:r w:rsidRPr="005F5223">
        <w:rPr>
          <w:rFonts w:ascii="Times New Roman" w:hAnsi="Times New Roman"/>
          <w:lang w:val="en-CA"/>
        </w:rPr>
        <w:lastRenderedPageBreak/>
        <w:t xml:space="preserve">When </w:t>
      </w:r>
      <w:r w:rsidR="00695C6B">
        <w:rPr>
          <w:rFonts w:ascii="Times New Roman" w:hAnsi="Times New Roman"/>
          <w:lang w:val="en-CA"/>
        </w:rPr>
        <w:t>subjects</w:t>
      </w:r>
      <w:r w:rsidRPr="005F5223">
        <w:rPr>
          <w:rFonts w:ascii="Times New Roman" w:hAnsi="Times New Roman"/>
          <w:lang w:val="en-CA"/>
        </w:rPr>
        <w:t xml:space="preserve"> received no additional antibiotics at any time during the study, the sustained clinical response rate was 80.8% for DIFICID </w:t>
      </w:r>
      <w:r w:rsidR="00695C6B">
        <w:rPr>
          <w:rFonts w:ascii="Times New Roman" w:hAnsi="Times New Roman"/>
          <w:lang w:val="en-CA"/>
        </w:rPr>
        <w:t>subjects</w:t>
      </w:r>
      <w:r w:rsidRPr="005F5223">
        <w:rPr>
          <w:rFonts w:ascii="Times New Roman" w:hAnsi="Times New Roman"/>
          <w:lang w:val="en-CA"/>
        </w:rPr>
        <w:t xml:space="preserve"> and 69.1% for vancomycin </w:t>
      </w:r>
      <w:r w:rsidR="00695C6B">
        <w:rPr>
          <w:rFonts w:ascii="Times New Roman" w:hAnsi="Times New Roman"/>
          <w:lang w:val="en-CA"/>
        </w:rPr>
        <w:t>subjects</w:t>
      </w:r>
      <w:r w:rsidRPr="005F5223">
        <w:rPr>
          <w:rFonts w:ascii="Times New Roman" w:hAnsi="Times New Roman"/>
          <w:lang w:val="en-CA"/>
        </w:rPr>
        <w:t xml:space="preserve"> (p&lt;0.001). Sustained clinical response rates were substantially reduced in both treatment groups when </w:t>
      </w:r>
      <w:r w:rsidR="00695C6B">
        <w:rPr>
          <w:rFonts w:ascii="Times New Roman" w:hAnsi="Times New Roman"/>
          <w:lang w:val="en-CA"/>
        </w:rPr>
        <w:t>subjects</w:t>
      </w:r>
      <w:r w:rsidRPr="005F5223">
        <w:rPr>
          <w:rFonts w:ascii="Times New Roman" w:hAnsi="Times New Roman"/>
          <w:lang w:val="en-CA"/>
        </w:rPr>
        <w:t xml:space="preserve"> received concomitant antibiotics, but </w:t>
      </w:r>
      <w:r w:rsidR="00F76CBA">
        <w:rPr>
          <w:rFonts w:ascii="Times New Roman" w:hAnsi="Times New Roman"/>
          <w:lang w:val="en-CA"/>
        </w:rPr>
        <w:t xml:space="preserve">significantly more </w:t>
      </w:r>
      <w:r w:rsidRPr="005F5223">
        <w:rPr>
          <w:rFonts w:ascii="Times New Roman" w:hAnsi="Times New Roman"/>
          <w:lang w:val="en-CA"/>
        </w:rPr>
        <w:t xml:space="preserve">DIFICID </w:t>
      </w:r>
      <w:r w:rsidR="00695C6B">
        <w:rPr>
          <w:rFonts w:ascii="Times New Roman" w:hAnsi="Times New Roman"/>
          <w:lang w:val="en-CA"/>
        </w:rPr>
        <w:t>subjects</w:t>
      </w:r>
      <w:r w:rsidRPr="005F5223">
        <w:rPr>
          <w:rFonts w:ascii="Times New Roman" w:hAnsi="Times New Roman"/>
          <w:lang w:val="en-CA"/>
        </w:rPr>
        <w:t xml:space="preserve"> achieved sustained clinical response compared to vancomycin (</w:t>
      </w:r>
      <w:r w:rsidR="00F76CBA">
        <w:rPr>
          <w:rFonts w:ascii="Times New Roman" w:hAnsi="Times New Roman"/>
          <w:lang w:val="en-CA"/>
        </w:rPr>
        <w:t>7</w:t>
      </w:r>
      <w:r w:rsidR="00BB0644">
        <w:rPr>
          <w:rFonts w:ascii="Times New Roman" w:hAnsi="Times New Roman"/>
          <w:lang w:val="en-CA"/>
        </w:rPr>
        <w:t>2.7</w:t>
      </w:r>
      <w:r w:rsidR="00F76CBA">
        <w:rPr>
          <w:rFonts w:ascii="Times New Roman" w:hAnsi="Times New Roman"/>
          <w:lang w:val="en-CA"/>
        </w:rPr>
        <w:t>% vs</w:t>
      </w:r>
      <w:r w:rsidR="00346CF6">
        <w:rPr>
          <w:rFonts w:ascii="Times New Roman" w:hAnsi="Times New Roman"/>
          <w:lang w:val="en-CA"/>
        </w:rPr>
        <w:t>.</w:t>
      </w:r>
      <w:r w:rsidR="00F76CBA">
        <w:rPr>
          <w:rFonts w:ascii="Times New Roman" w:hAnsi="Times New Roman"/>
          <w:lang w:val="en-CA"/>
        </w:rPr>
        <w:t xml:space="preserve"> 59</w:t>
      </w:r>
      <w:r w:rsidR="00BB0644">
        <w:rPr>
          <w:rFonts w:ascii="Times New Roman" w:hAnsi="Times New Roman"/>
          <w:lang w:val="en-CA"/>
        </w:rPr>
        <w:t>.4</w:t>
      </w:r>
      <w:r w:rsidR="00F76CBA">
        <w:rPr>
          <w:rFonts w:ascii="Times New Roman" w:hAnsi="Times New Roman"/>
          <w:lang w:val="en-CA"/>
        </w:rPr>
        <w:t xml:space="preserve">%, </w:t>
      </w:r>
      <w:r w:rsidRPr="005F5223">
        <w:rPr>
          <w:rFonts w:ascii="Times New Roman" w:hAnsi="Times New Roman"/>
          <w:lang w:val="en-CA"/>
        </w:rPr>
        <w:t xml:space="preserve">p=0.02). </w:t>
      </w:r>
    </w:p>
    <w:p w:rsidR="009F71A3" w:rsidRDefault="00DE5113" w:rsidP="006921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SimSun" w:hAnsi="Times New Roman"/>
          <w:lang w:eastAsia="zh-CN"/>
        </w:rPr>
      </w:pPr>
      <w:r w:rsidRPr="00BD3BE0">
        <w:rPr>
          <w:rFonts w:ascii="Times New Roman" w:hAnsi="Times New Roman"/>
        </w:rPr>
        <w:t xml:space="preserve">A study of </w:t>
      </w:r>
      <w:r w:rsidR="00695C6B" w:rsidRPr="00BD3BE0">
        <w:rPr>
          <w:rFonts w:ascii="Times New Roman" w:hAnsi="Times New Roman"/>
        </w:rPr>
        <w:t>subjects</w:t>
      </w:r>
      <w:r w:rsidRPr="00BD3BE0">
        <w:rPr>
          <w:rFonts w:ascii="Times New Roman" w:hAnsi="Times New Roman"/>
        </w:rPr>
        <w:t xml:space="preserve"> treated with DIFICID demonstrated that </w:t>
      </w:r>
      <w:r w:rsidR="00D03B3F" w:rsidRPr="00BD3BE0">
        <w:rPr>
          <w:rFonts w:ascii="Times New Roman" w:hAnsi="Times New Roman"/>
        </w:rPr>
        <w:t xml:space="preserve">concentrations of </w:t>
      </w:r>
      <w:r w:rsidR="00A444BE" w:rsidRPr="00BD3BE0">
        <w:rPr>
          <w:rFonts w:ascii="Times New Roman" w:hAnsi="Times New Roman"/>
          <w:i/>
        </w:rPr>
        <w:t>Bacteroides</w:t>
      </w:r>
      <w:r w:rsidRPr="00BD3BE0">
        <w:rPr>
          <w:rFonts w:ascii="Times New Roman" w:hAnsi="Times New Roman"/>
        </w:rPr>
        <w:t xml:space="preserve"> </w:t>
      </w:r>
      <w:r w:rsidR="00D03B3F" w:rsidRPr="00BD3BE0">
        <w:rPr>
          <w:rFonts w:ascii="Times New Roman" w:hAnsi="Times New Roman"/>
        </w:rPr>
        <w:t>or other major phylogenetic groups</w:t>
      </w:r>
      <w:r w:rsidRPr="00BD3BE0">
        <w:rPr>
          <w:rFonts w:ascii="Times New Roman" w:hAnsi="Times New Roman"/>
        </w:rPr>
        <w:t xml:space="preserve"> in the faeces</w:t>
      </w:r>
      <w:r w:rsidR="00C80398" w:rsidRPr="00BD3BE0">
        <w:rPr>
          <w:rFonts w:ascii="Times New Roman" w:hAnsi="Times New Roman"/>
        </w:rPr>
        <w:t xml:space="preserve"> were left unaffected</w:t>
      </w:r>
      <w:r w:rsidRPr="00BD3BE0">
        <w:rPr>
          <w:rFonts w:ascii="Times New Roman" w:hAnsi="Times New Roman"/>
        </w:rPr>
        <w:t xml:space="preserve">. This sparing effect of the microflora may explain the lower </w:t>
      </w:r>
      <w:r w:rsidRPr="00BD3BE0">
        <w:rPr>
          <w:rFonts w:ascii="Times New Roman" w:hAnsi="Times New Roman"/>
          <w:i/>
        </w:rPr>
        <w:t xml:space="preserve">C. difficile </w:t>
      </w:r>
      <w:r w:rsidRPr="00BD3BE0">
        <w:rPr>
          <w:rFonts w:ascii="Times New Roman" w:hAnsi="Times New Roman"/>
        </w:rPr>
        <w:t xml:space="preserve">recurrence rate that was observed in </w:t>
      </w:r>
      <w:r w:rsidR="00695C6B" w:rsidRPr="00BD3BE0">
        <w:rPr>
          <w:rFonts w:ascii="Times New Roman" w:hAnsi="Times New Roman"/>
        </w:rPr>
        <w:t>subjects</w:t>
      </w:r>
      <w:r w:rsidRPr="00BD3BE0">
        <w:rPr>
          <w:rFonts w:ascii="Times New Roman" w:hAnsi="Times New Roman"/>
        </w:rPr>
        <w:t xml:space="preserve"> treated with DIFICID compared to vancomycin. </w:t>
      </w:r>
      <w:r w:rsidR="00D03B3F" w:rsidRPr="00BD3BE0">
        <w:rPr>
          <w:rFonts w:ascii="Times New Roman" w:hAnsi="Times New Roman"/>
        </w:rPr>
        <w:t xml:space="preserve">Acquisition of </w:t>
      </w:r>
      <w:r w:rsidR="00346CF6" w:rsidRPr="00BD3BE0">
        <w:rPr>
          <w:rFonts w:ascii="Times New Roman" w:hAnsi="Times New Roman"/>
        </w:rPr>
        <w:t xml:space="preserve">vancomycin-resistant </w:t>
      </w:r>
      <w:r w:rsidR="00346CF6" w:rsidRPr="00BD3BE0">
        <w:rPr>
          <w:rFonts w:ascii="Times New Roman" w:hAnsi="Times New Roman"/>
          <w:i/>
        </w:rPr>
        <w:t>E</w:t>
      </w:r>
      <w:r w:rsidR="00C80398" w:rsidRPr="00BD3BE0">
        <w:rPr>
          <w:rFonts w:ascii="Times New Roman" w:hAnsi="Times New Roman"/>
          <w:i/>
        </w:rPr>
        <w:t>nterococcus</w:t>
      </w:r>
      <w:r w:rsidR="00C80398" w:rsidRPr="00BD3BE0">
        <w:rPr>
          <w:rFonts w:ascii="Times New Roman" w:hAnsi="Times New Roman"/>
        </w:rPr>
        <w:t xml:space="preserve"> (</w:t>
      </w:r>
      <w:r w:rsidRPr="00BD3BE0">
        <w:rPr>
          <w:rFonts w:ascii="Times New Roman" w:eastAsia="SimSun" w:hAnsi="Times New Roman"/>
          <w:lang w:eastAsia="zh-CN"/>
        </w:rPr>
        <w:t>VRE</w:t>
      </w:r>
      <w:r w:rsidR="00C80398" w:rsidRPr="00BD3BE0">
        <w:rPr>
          <w:rFonts w:ascii="Times New Roman" w:eastAsia="SimSun" w:hAnsi="Times New Roman"/>
          <w:lang w:eastAsia="zh-CN"/>
        </w:rPr>
        <w:t>)</w:t>
      </w:r>
      <w:r w:rsidRPr="00BD3BE0">
        <w:rPr>
          <w:rFonts w:ascii="Times New Roman" w:eastAsia="SimSun" w:hAnsi="Times New Roman"/>
          <w:lang w:eastAsia="zh-CN"/>
        </w:rPr>
        <w:t xml:space="preserve"> faecal </w:t>
      </w:r>
      <w:r w:rsidR="00943291" w:rsidRPr="00BD3BE0">
        <w:rPr>
          <w:rFonts w:ascii="Times New Roman" w:eastAsia="SimSun" w:hAnsi="Times New Roman"/>
        </w:rPr>
        <w:t xml:space="preserve">colonisation </w:t>
      </w:r>
      <w:r w:rsidR="00D03B3F" w:rsidRPr="00BD3BE0">
        <w:rPr>
          <w:rFonts w:ascii="Times New Roman" w:eastAsia="SimSun" w:hAnsi="Times New Roman"/>
          <w:lang w:eastAsia="zh-CN"/>
        </w:rPr>
        <w:t>was</w:t>
      </w:r>
      <w:r w:rsidRPr="00BD3BE0">
        <w:rPr>
          <w:rFonts w:ascii="Times New Roman" w:eastAsia="SimSun" w:hAnsi="Times New Roman"/>
          <w:lang w:eastAsia="zh-CN"/>
        </w:rPr>
        <w:t xml:space="preserve"> significantly less frequent in CDI </w:t>
      </w:r>
      <w:r w:rsidR="00695C6B" w:rsidRPr="00BD3BE0">
        <w:rPr>
          <w:rFonts w:ascii="Times New Roman" w:eastAsia="SimSun" w:hAnsi="Times New Roman"/>
          <w:lang w:eastAsia="zh-CN"/>
        </w:rPr>
        <w:t>subjects</w:t>
      </w:r>
      <w:r w:rsidRPr="00BD3BE0">
        <w:rPr>
          <w:rFonts w:ascii="Times New Roman" w:eastAsia="SimSun" w:hAnsi="Times New Roman"/>
          <w:lang w:eastAsia="zh-CN"/>
        </w:rPr>
        <w:t xml:space="preserve"> treated with </w:t>
      </w:r>
      <w:r w:rsidR="00C80398" w:rsidRPr="00BD3BE0">
        <w:rPr>
          <w:rFonts w:ascii="Times New Roman" w:eastAsia="SimSun" w:hAnsi="Times New Roman"/>
          <w:lang w:eastAsia="zh-CN"/>
        </w:rPr>
        <w:t>DIFI</w:t>
      </w:r>
      <w:r w:rsidR="007D578D" w:rsidRPr="00BD3BE0">
        <w:rPr>
          <w:rFonts w:ascii="Times New Roman" w:eastAsia="SimSun" w:hAnsi="Times New Roman"/>
          <w:lang w:eastAsia="zh-CN"/>
        </w:rPr>
        <w:t>CI</w:t>
      </w:r>
      <w:r w:rsidR="00C80398" w:rsidRPr="00BD3BE0">
        <w:rPr>
          <w:rFonts w:ascii="Times New Roman" w:eastAsia="SimSun" w:hAnsi="Times New Roman"/>
          <w:lang w:eastAsia="zh-CN"/>
        </w:rPr>
        <w:t xml:space="preserve">D </w:t>
      </w:r>
      <w:r w:rsidRPr="00BD3BE0">
        <w:rPr>
          <w:rFonts w:ascii="Times New Roman" w:eastAsia="SimSun" w:hAnsi="Times New Roman"/>
          <w:lang w:eastAsia="zh-CN"/>
        </w:rPr>
        <w:t>compared to those treated with vancomycin</w:t>
      </w:r>
      <w:r w:rsidR="00D03B3F" w:rsidRPr="00BD3BE0">
        <w:rPr>
          <w:rFonts w:ascii="Times New Roman" w:eastAsia="SimSun" w:hAnsi="Times New Roman"/>
          <w:lang w:eastAsia="zh-CN"/>
        </w:rPr>
        <w:t xml:space="preserve"> (7% vs. 31%; p&lt;0.001)</w:t>
      </w:r>
      <w:r w:rsidR="00FD19EC" w:rsidRPr="00BD3BE0">
        <w:rPr>
          <w:rFonts w:ascii="Times New Roman" w:eastAsia="SimSun" w:hAnsi="Times New Roman"/>
          <w:lang w:eastAsia="zh-CN"/>
        </w:rPr>
        <w:t>.</w:t>
      </w:r>
    </w:p>
    <w:p w:rsidR="00503108" w:rsidRDefault="00F76EF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3"/>
          <w:szCs w:val="23"/>
        </w:rPr>
      </w:pPr>
      <w:r w:rsidRPr="00F76EF7">
        <w:rPr>
          <w:rFonts w:ascii="TimesNewRomanPS-BoldMT" w:hAnsi="TimesNewRomanPS-BoldMT" w:cs="TimesNewRomanPS-BoldMT"/>
          <w:b/>
          <w:bCs/>
          <w:sz w:val="28"/>
          <w:szCs w:val="28"/>
          <w:u w:val="single"/>
        </w:rPr>
        <w:t>INDICATION</w:t>
      </w:r>
    </w:p>
    <w:p w:rsidR="00503108" w:rsidRDefault="007B5CB5">
      <w:pPr>
        <w:rPr>
          <w:lang w:val="en-CA"/>
        </w:rPr>
      </w:pPr>
      <w:r w:rsidRPr="005F5223">
        <w:rPr>
          <w:rFonts w:ascii="Times New Roman" w:hAnsi="Times New Roman"/>
          <w:lang w:val="en-CA"/>
        </w:rPr>
        <w:t xml:space="preserve">DIFICID (fidaxomicin) is indicated for the treatment of </w:t>
      </w:r>
      <w:r w:rsidR="009D322D">
        <w:rPr>
          <w:rFonts w:ascii="Times New Roman" w:hAnsi="Times New Roman"/>
          <w:lang w:val="en-CA"/>
        </w:rPr>
        <w:t xml:space="preserve">confirmed </w:t>
      </w:r>
      <w:r w:rsidRPr="005F5223">
        <w:rPr>
          <w:rFonts w:ascii="Times New Roman" w:hAnsi="Times New Roman"/>
          <w:i/>
          <w:lang w:val="en-CA"/>
        </w:rPr>
        <w:t>Clostridium difficile</w:t>
      </w:r>
      <w:r w:rsidRPr="005F5223">
        <w:rPr>
          <w:rFonts w:ascii="Times New Roman" w:hAnsi="Times New Roman"/>
          <w:lang w:val="en-CA"/>
        </w:rPr>
        <w:t xml:space="preserve"> infection (CDI)</w:t>
      </w:r>
      <w:r w:rsidR="00A541C6">
        <w:rPr>
          <w:rFonts w:ascii="Times New Roman" w:hAnsi="Times New Roman"/>
          <w:lang w:val="en-CA"/>
        </w:rPr>
        <w:t xml:space="preserve"> in adults</w:t>
      </w:r>
      <w:r w:rsidRPr="00A044F2">
        <w:rPr>
          <w:lang w:val="en-CA"/>
        </w:rPr>
        <w:t>.</w:t>
      </w:r>
    </w:p>
    <w:p w:rsidR="007B5CB5" w:rsidRDefault="00F76EF7" w:rsidP="00692175">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3"/>
          <w:szCs w:val="23"/>
        </w:rPr>
      </w:pPr>
      <w:r w:rsidRPr="00F76EF7">
        <w:rPr>
          <w:rFonts w:ascii="TimesNewRomanPS-BoldMT" w:hAnsi="TimesNewRomanPS-BoldMT" w:cs="TimesNewRomanPS-BoldMT"/>
          <w:b/>
          <w:bCs/>
          <w:sz w:val="28"/>
          <w:szCs w:val="28"/>
          <w:u w:val="single"/>
        </w:rPr>
        <w:t>CONTRAINDICATIONS</w:t>
      </w:r>
    </w:p>
    <w:p w:rsidR="007B5CB5" w:rsidRPr="005F5223" w:rsidRDefault="007B5CB5" w:rsidP="00692175">
      <w:pPr>
        <w:rPr>
          <w:rFonts w:ascii="Times New Roman" w:hAnsi="Times New Roman"/>
          <w:lang w:val="en-CA"/>
        </w:rPr>
      </w:pPr>
      <w:r w:rsidRPr="005F5223">
        <w:rPr>
          <w:rFonts w:ascii="Times New Roman" w:hAnsi="Times New Roman"/>
          <w:lang w:val="en-CA"/>
        </w:rPr>
        <w:t>Patients who are hypersensitive to this drug or to any ingredient in the formulation or component of the container</w:t>
      </w:r>
      <w:r w:rsidR="00AE7E5C">
        <w:rPr>
          <w:rFonts w:ascii="Times New Roman" w:hAnsi="Times New Roman"/>
          <w:lang w:val="en-CA"/>
        </w:rPr>
        <w:t>.</w:t>
      </w:r>
    </w:p>
    <w:p w:rsidR="007B5CB5" w:rsidRPr="009C0222" w:rsidRDefault="00F76EF7" w:rsidP="00692175">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lang w:val="en-CA"/>
        </w:rPr>
      </w:pPr>
      <w:r w:rsidRPr="009C0222">
        <w:rPr>
          <w:rFonts w:ascii="TimesNewRomanPS-BoldMT" w:hAnsi="TimesNewRomanPS-BoldMT" w:cs="TimesNewRomanPS-BoldMT"/>
          <w:b/>
          <w:bCs/>
          <w:sz w:val="28"/>
          <w:szCs w:val="28"/>
          <w:u w:val="single"/>
        </w:rPr>
        <w:t>PRECAUTIONS</w:t>
      </w:r>
    </w:p>
    <w:p w:rsidR="007B5CB5" w:rsidRPr="005F5223" w:rsidRDefault="007B5CB5" w:rsidP="00692175">
      <w:pPr>
        <w:keepNext/>
        <w:rPr>
          <w:rFonts w:ascii="Times New Roman" w:hAnsi="Times New Roman"/>
          <w:lang w:val="en-CA"/>
        </w:rPr>
      </w:pPr>
      <w:r w:rsidRPr="005F5223">
        <w:rPr>
          <w:rFonts w:ascii="Times New Roman" w:hAnsi="Times New Roman"/>
          <w:b/>
          <w:u w:val="single"/>
          <w:lang w:val="en-CA"/>
        </w:rPr>
        <w:t>General</w:t>
      </w:r>
    </w:p>
    <w:p w:rsidR="007B5CB5" w:rsidRPr="005F5223" w:rsidRDefault="007B5CB5" w:rsidP="00692175">
      <w:pPr>
        <w:keepNext/>
        <w:rPr>
          <w:rFonts w:ascii="Times New Roman" w:hAnsi="Times New Roman"/>
          <w:b/>
          <w:i/>
          <w:lang w:val="en-CA"/>
        </w:rPr>
      </w:pPr>
      <w:r w:rsidRPr="005F5223">
        <w:rPr>
          <w:rFonts w:ascii="Times New Roman" w:hAnsi="Times New Roman"/>
          <w:b/>
          <w:i/>
          <w:lang w:val="en-CA"/>
        </w:rPr>
        <w:t>Not for Systemic Infections</w:t>
      </w:r>
    </w:p>
    <w:p w:rsidR="007B5CB5" w:rsidRPr="005F5223" w:rsidRDefault="007B5CB5" w:rsidP="00692175">
      <w:pPr>
        <w:rPr>
          <w:rFonts w:ascii="Times New Roman" w:hAnsi="Times New Roman"/>
          <w:lang w:val="en-CA"/>
        </w:rPr>
      </w:pPr>
      <w:r w:rsidRPr="005F5223">
        <w:rPr>
          <w:rFonts w:ascii="Times New Roman" w:hAnsi="Times New Roman"/>
          <w:lang w:val="en-CA"/>
        </w:rPr>
        <w:t xml:space="preserve">Since there is minimal systemic absorption of fidaxomicin, DIFICID should not be used for the treatment of systemic infections. </w:t>
      </w:r>
    </w:p>
    <w:p w:rsidR="007B5CB5" w:rsidRPr="005F5223" w:rsidRDefault="007B5CB5" w:rsidP="00692175">
      <w:pPr>
        <w:keepNext/>
        <w:rPr>
          <w:rFonts w:ascii="Times New Roman" w:hAnsi="Times New Roman"/>
          <w:b/>
          <w:i/>
          <w:lang w:val="en-CA"/>
        </w:rPr>
      </w:pPr>
      <w:r w:rsidRPr="005F5223">
        <w:rPr>
          <w:rFonts w:ascii="Times New Roman" w:hAnsi="Times New Roman"/>
          <w:b/>
          <w:i/>
          <w:lang w:val="en-CA"/>
        </w:rPr>
        <w:t>Development of Drug Resistant Bacteria</w:t>
      </w:r>
    </w:p>
    <w:p w:rsidR="007B5CB5" w:rsidRPr="005F5223" w:rsidRDefault="007B5CB5" w:rsidP="00692175">
      <w:pPr>
        <w:rPr>
          <w:rFonts w:ascii="Times New Roman" w:hAnsi="Times New Roman"/>
          <w:lang w:val="en-CA"/>
        </w:rPr>
      </w:pPr>
      <w:r w:rsidRPr="005F5223">
        <w:rPr>
          <w:rFonts w:ascii="Times New Roman" w:hAnsi="Times New Roman"/>
          <w:lang w:val="en-CA"/>
        </w:rPr>
        <w:t xml:space="preserve">Prescribing DIFICID in the absence of a proven or strongly suspected </w:t>
      </w:r>
      <w:r w:rsidRPr="005F5223">
        <w:rPr>
          <w:rFonts w:ascii="Times New Roman" w:hAnsi="Times New Roman"/>
          <w:i/>
          <w:lang w:val="en-CA"/>
        </w:rPr>
        <w:t>C. difficile</w:t>
      </w:r>
      <w:r w:rsidRPr="005F5223">
        <w:rPr>
          <w:rFonts w:ascii="Times New Roman" w:hAnsi="Times New Roman"/>
          <w:lang w:val="en-CA"/>
        </w:rPr>
        <w:t xml:space="preserve"> infection is unlikely to provide benefit to the patient and increases the risk of the development of drug-resistant bacteria.</w:t>
      </w:r>
    </w:p>
    <w:p w:rsidR="007B5CB5" w:rsidRPr="005F5223" w:rsidRDefault="007B5CB5" w:rsidP="00692175">
      <w:pPr>
        <w:keepNext/>
        <w:rPr>
          <w:rFonts w:ascii="Times New Roman" w:hAnsi="Times New Roman"/>
          <w:lang w:val="en-CA"/>
        </w:rPr>
      </w:pPr>
      <w:r w:rsidRPr="005F5223">
        <w:rPr>
          <w:rFonts w:ascii="Times New Roman" w:hAnsi="Times New Roman"/>
          <w:b/>
          <w:u w:val="single"/>
          <w:lang w:val="en-CA"/>
        </w:rPr>
        <w:t>Carcinogenesis and Mutagenesis</w:t>
      </w:r>
    </w:p>
    <w:p w:rsidR="007B5CB5" w:rsidRPr="005F5223" w:rsidRDefault="007B5CB5" w:rsidP="00692175">
      <w:pPr>
        <w:rPr>
          <w:rFonts w:ascii="Times New Roman" w:hAnsi="Times New Roman"/>
          <w:lang w:val="en-CA"/>
        </w:rPr>
      </w:pPr>
      <w:r w:rsidRPr="005F5223">
        <w:rPr>
          <w:rFonts w:ascii="Times New Roman" w:hAnsi="Times New Roman"/>
          <w:lang w:val="en-CA"/>
        </w:rPr>
        <w:t xml:space="preserve">Long-term animal carcinogenicity studies were not conducted for fidaxomicin. </w:t>
      </w:r>
      <w:r w:rsidR="00A541C6">
        <w:rPr>
          <w:rFonts w:ascii="Times New Roman" w:hAnsi="Times New Roman"/>
          <w:lang w:val="en-CA"/>
        </w:rPr>
        <w:t xml:space="preserve"> Fidaxomicin was clastogenic </w:t>
      </w:r>
      <w:r w:rsidR="00A541C6" w:rsidRPr="0027296E">
        <w:rPr>
          <w:rFonts w:ascii="Times New Roman" w:hAnsi="Times New Roman"/>
          <w:i/>
          <w:lang w:val="en-CA"/>
        </w:rPr>
        <w:t>in vitro</w:t>
      </w:r>
      <w:r w:rsidR="00A541C6">
        <w:rPr>
          <w:rFonts w:ascii="Times New Roman" w:hAnsi="Times New Roman"/>
          <w:lang w:val="en-CA"/>
        </w:rPr>
        <w:t xml:space="preserve"> (Chinese Hamster Ovary Cells</w:t>
      </w:r>
      <w:r w:rsidR="00AA0DBF">
        <w:rPr>
          <w:rFonts w:ascii="Times New Roman" w:hAnsi="Times New Roman"/>
          <w:lang w:val="en-CA"/>
        </w:rPr>
        <w:t>, chromosomal aberration test</w:t>
      </w:r>
      <w:r w:rsidR="00A541C6">
        <w:rPr>
          <w:rFonts w:ascii="Times New Roman" w:hAnsi="Times New Roman"/>
          <w:lang w:val="en-CA"/>
        </w:rPr>
        <w:t xml:space="preserve">) which is not thought to be clinically relevant. However, fidaxomicin was not genotoxic in assays of bacterial mutagenicity, or </w:t>
      </w:r>
      <w:r w:rsidR="00A541C6" w:rsidRPr="0027296E">
        <w:rPr>
          <w:rFonts w:ascii="Times New Roman" w:hAnsi="Times New Roman"/>
          <w:i/>
          <w:lang w:val="en-CA"/>
        </w:rPr>
        <w:t>in vivo</w:t>
      </w:r>
      <w:r w:rsidR="00A541C6">
        <w:rPr>
          <w:rFonts w:ascii="Times New Roman" w:hAnsi="Times New Roman"/>
          <w:lang w:val="en-CA"/>
        </w:rPr>
        <w:t xml:space="preserve"> clastogenicity (rat bone marrow micronucleus test) and liver and duodenal DNA damage (rat</w:t>
      </w:r>
      <w:r w:rsidR="00AA0DBF">
        <w:rPr>
          <w:rFonts w:ascii="Times New Roman" w:hAnsi="Times New Roman"/>
          <w:lang w:val="en-CA"/>
        </w:rPr>
        <w:t xml:space="preserve"> comet assay</w:t>
      </w:r>
      <w:r w:rsidR="00A541C6">
        <w:rPr>
          <w:rFonts w:ascii="Times New Roman" w:hAnsi="Times New Roman"/>
          <w:lang w:val="en-CA"/>
        </w:rPr>
        <w:t>). Based on data from animal studies, fidaxomicin is not expected to be genotoxic in humans.</w:t>
      </w:r>
    </w:p>
    <w:p w:rsidR="007B5CB5" w:rsidRPr="005F5223" w:rsidRDefault="007B5CB5" w:rsidP="00692175">
      <w:pPr>
        <w:keepNext/>
        <w:rPr>
          <w:rFonts w:ascii="Times New Roman" w:hAnsi="Times New Roman"/>
          <w:lang w:val="en-CA"/>
        </w:rPr>
      </w:pPr>
      <w:r w:rsidRPr="005F5223">
        <w:rPr>
          <w:rFonts w:ascii="Times New Roman" w:hAnsi="Times New Roman"/>
          <w:b/>
          <w:u w:val="single"/>
          <w:lang w:val="en-CA"/>
        </w:rPr>
        <w:lastRenderedPageBreak/>
        <w:t>Cardiovascular</w:t>
      </w:r>
    </w:p>
    <w:p w:rsidR="007B5CB5" w:rsidRPr="005F5223" w:rsidRDefault="007B5CB5" w:rsidP="00692175">
      <w:pPr>
        <w:rPr>
          <w:rFonts w:ascii="Times New Roman" w:hAnsi="Times New Roman"/>
          <w:lang w:val="en-CA"/>
        </w:rPr>
      </w:pPr>
      <w:r w:rsidRPr="005F5223">
        <w:rPr>
          <w:rFonts w:ascii="Times New Roman" w:hAnsi="Times New Roman"/>
          <w:lang w:val="en-CA"/>
        </w:rPr>
        <w:t xml:space="preserve">Electrocardiogram (ECG) parameters and QT intervals (QTc) were measured in </w:t>
      </w:r>
      <w:r w:rsidR="00695C6B">
        <w:rPr>
          <w:rFonts w:ascii="Times New Roman" w:hAnsi="Times New Roman"/>
          <w:lang w:val="en-CA"/>
        </w:rPr>
        <w:t>subjects</w:t>
      </w:r>
      <w:r w:rsidRPr="005F5223">
        <w:rPr>
          <w:rFonts w:ascii="Times New Roman" w:hAnsi="Times New Roman"/>
          <w:lang w:val="en-CA"/>
        </w:rPr>
        <w:t xml:space="preserve"> participating in </w:t>
      </w:r>
      <w:r w:rsidR="00934979">
        <w:rPr>
          <w:rFonts w:ascii="Times New Roman" w:hAnsi="Times New Roman"/>
          <w:lang w:val="en-CA"/>
        </w:rPr>
        <w:t>clinical</w:t>
      </w:r>
      <w:r w:rsidRPr="005F5223">
        <w:rPr>
          <w:rFonts w:ascii="Times New Roman" w:hAnsi="Times New Roman"/>
          <w:lang w:val="en-CA"/>
        </w:rPr>
        <w:t xml:space="preserve"> studies. No clinically significant changes from baseline to end of therapy in mean ECG parameters were seen. There was no evidence of QTc prolongation with DIFICID treatment and there was no association between QTc prolongation and plasma levels of fidaxomicin or OP-1118, its main metabolite.</w:t>
      </w:r>
    </w:p>
    <w:p w:rsidR="007B5CB5" w:rsidRPr="005F5223" w:rsidRDefault="007B5CB5" w:rsidP="00692175">
      <w:pPr>
        <w:rPr>
          <w:rFonts w:ascii="Times New Roman" w:hAnsi="Times New Roman"/>
          <w:lang w:val="en-CA"/>
        </w:rPr>
      </w:pPr>
      <w:r w:rsidRPr="005F5223">
        <w:rPr>
          <w:rFonts w:ascii="Times New Roman" w:hAnsi="Times New Roman"/>
          <w:lang w:val="en-CA"/>
        </w:rPr>
        <w:t xml:space="preserve">In an </w:t>
      </w:r>
      <w:r w:rsidR="00FB4CAB" w:rsidRPr="00210C39">
        <w:rPr>
          <w:rFonts w:ascii="Times New Roman" w:hAnsi="Times New Roman"/>
          <w:i/>
          <w:lang w:val="en-CA"/>
        </w:rPr>
        <w:t>in vitro</w:t>
      </w:r>
      <w:r w:rsidRPr="005F5223">
        <w:rPr>
          <w:rFonts w:ascii="Times New Roman" w:hAnsi="Times New Roman"/>
          <w:lang w:val="en-CA"/>
        </w:rPr>
        <w:t xml:space="preserve"> electrophysiology study, fidaxomicin and its main metabolite, OP-1118, had no effect on the hERG channel. </w:t>
      </w:r>
    </w:p>
    <w:p w:rsidR="007B5CB5" w:rsidRPr="005F5223" w:rsidRDefault="007B5CB5" w:rsidP="00692175">
      <w:pPr>
        <w:keepNext/>
        <w:rPr>
          <w:rFonts w:ascii="Times New Roman" w:hAnsi="Times New Roman"/>
          <w:lang w:val="en-CA"/>
        </w:rPr>
      </w:pPr>
      <w:r w:rsidRPr="005F5223">
        <w:rPr>
          <w:rFonts w:ascii="Times New Roman" w:hAnsi="Times New Roman"/>
          <w:b/>
          <w:u w:val="single"/>
          <w:lang w:val="en-CA"/>
        </w:rPr>
        <w:t>Gastrointestinal</w:t>
      </w:r>
    </w:p>
    <w:p w:rsidR="005C56A1" w:rsidRPr="005C56A1" w:rsidRDefault="005C56A1" w:rsidP="005C56A1">
      <w:pPr>
        <w:rPr>
          <w:rFonts w:ascii="Times New Roman" w:hAnsi="Times New Roman"/>
          <w:lang w:val="en-CA"/>
        </w:rPr>
      </w:pPr>
      <w:r w:rsidRPr="005C56A1">
        <w:rPr>
          <w:rFonts w:ascii="Times New Roman" w:hAnsi="Times New Roman"/>
          <w:lang w:val="en-CA"/>
        </w:rPr>
        <w:t xml:space="preserve">Due to limited clinical data, </w:t>
      </w:r>
      <w:r>
        <w:rPr>
          <w:rFonts w:ascii="Times New Roman" w:hAnsi="Times New Roman"/>
          <w:lang w:val="en-CA"/>
        </w:rPr>
        <w:t>DIFICID</w:t>
      </w:r>
      <w:r w:rsidRPr="005C56A1">
        <w:rPr>
          <w:rFonts w:ascii="Times New Roman" w:hAnsi="Times New Roman"/>
          <w:lang w:val="en-CA"/>
        </w:rPr>
        <w:t xml:space="preserve"> should be used with caution in patients with pseudomembranous colitis, fulminant or life threatening CDI.</w:t>
      </w:r>
    </w:p>
    <w:p w:rsidR="00FD19EC" w:rsidRPr="00695C6B" w:rsidRDefault="005C56A1" w:rsidP="005C56A1">
      <w:pPr>
        <w:rPr>
          <w:rFonts w:ascii="Times New Roman" w:hAnsi="Times New Roman"/>
          <w:lang w:val="en-CA"/>
        </w:rPr>
      </w:pPr>
      <w:r w:rsidRPr="005C56A1">
        <w:rPr>
          <w:rFonts w:ascii="Times New Roman" w:hAnsi="Times New Roman"/>
          <w:lang w:val="en-CA"/>
        </w:rPr>
        <w:t xml:space="preserve">There are no data in patients with concomitant inflammatory bowel disease. </w:t>
      </w:r>
      <w:r>
        <w:rPr>
          <w:rFonts w:ascii="Times New Roman" w:hAnsi="Times New Roman"/>
          <w:lang w:val="en-CA"/>
        </w:rPr>
        <w:t>DIFICID</w:t>
      </w:r>
      <w:r w:rsidRPr="005C56A1">
        <w:rPr>
          <w:rFonts w:ascii="Times New Roman" w:hAnsi="Times New Roman"/>
          <w:lang w:val="en-CA"/>
        </w:rPr>
        <w:t xml:space="preserve"> should be used with caution in these patients due to the risk of enhanced absorption and potential risk of systemic adverse reactions.</w:t>
      </w:r>
    </w:p>
    <w:p w:rsidR="009F71A3" w:rsidRDefault="007B5CB5">
      <w:pPr>
        <w:keepNext/>
        <w:widowControl w:val="0"/>
        <w:rPr>
          <w:rFonts w:ascii="Times New Roman" w:hAnsi="Times New Roman"/>
          <w:lang w:val="en-CA"/>
        </w:rPr>
      </w:pPr>
      <w:r w:rsidRPr="005F5223">
        <w:rPr>
          <w:rFonts w:ascii="Times New Roman" w:hAnsi="Times New Roman"/>
          <w:b/>
          <w:u w:val="single"/>
          <w:lang w:val="en-CA"/>
        </w:rPr>
        <w:t>Hepatic/Biliary/Pancreatic</w:t>
      </w:r>
    </w:p>
    <w:p w:rsidR="009F71A3" w:rsidRDefault="007B5CB5">
      <w:pPr>
        <w:rPr>
          <w:rFonts w:ascii="Times New Roman" w:hAnsi="Times New Roman"/>
          <w:lang w:val="en-CA"/>
        </w:rPr>
      </w:pPr>
      <w:r w:rsidRPr="005F5223">
        <w:rPr>
          <w:rFonts w:ascii="Times New Roman" w:hAnsi="Times New Roman"/>
          <w:lang w:val="en-CA"/>
        </w:rPr>
        <w:t>There are limited clinical data</w:t>
      </w:r>
      <w:r w:rsidR="00067290">
        <w:rPr>
          <w:rFonts w:ascii="Times New Roman" w:hAnsi="Times New Roman"/>
          <w:lang w:val="en-CA"/>
        </w:rPr>
        <w:t xml:space="preserve"> </w:t>
      </w:r>
      <w:r w:rsidRPr="005F5223">
        <w:rPr>
          <w:rFonts w:ascii="Times New Roman" w:hAnsi="Times New Roman"/>
          <w:lang w:val="en-CA"/>
        </w:rPr>
        <w:t xml:space="preserve">in </w:t>
      </w:r>
      <w:r w:rsidR="003A6733">
        <w:rPr>
          <w:rFonts w:ascii="Times New Roman" w:hAnsi="Times New Roman"/>
          <w:lang w:val="en-CA"/>
        </w:rPr>
        <w:t>subjects</w:t>
      </w:r>
      <w:r w:rsidR="003A6733" w:rsidRPr="005F5223">
        <w:rPr>
          <w:rFonts w:ascii="Times New Roman" w:hAnsi="Times New Roman"/>
          <w:lang w:val="en-CA"/>
        </w:rPr>
        <w:t xml:space="preserve"> </w:t>
      </w:r>
      <w:r w:rsidRPr="005F5223">
        <w:rPr>
          <w:rFonts w:ascii="Times New Roman" w:hAnsi="Times New Roman"/>
          <w:lang w:val="en-CA"/>
        </w:rPr>
        <w:t>with severe hepatic insufficiency</w:t>
      </w:r>
      <w:r w:rsidR="00067290">
        <w:rPr>
          <w:rFonts w:ascii="Times New Roman" w:hAnsi="Times New Roman"/>
          <w:lang w:val="en-CA"/>
        </w:rPr>
        <w:t xml:space="preserve">. Therefore, </w:t>
      </w:r>
      <w:r w:rsidRPr="005F5223">
        <w:rPr>
          <w:rFonts w:ascii="Times New Roman" w:hAnsi="Times New Roman"/>
          <w:lang w:val="en-CA"/>
        </w:rPr>
        <w:t>DIFICID should be used with caution in such patients.</w:t>
      </w:r>
    </w:p>
    <w:p w:rsidR="007B5CB5" w:rsidRPr="005F5223" w:rsidRDefault="007B5CB5" w:rsidP="009E141A">
      <w:pPr>
        <w:keepNext/>
        <w:widowControl w:val="0"/>
        <w:rPr>
          <w:rFonts w:ascii="Times New Roman" w:hAnsi="Times New Roman"/>
          <w:lang w:val="en-CA"/>
        </w:rPr>
      </w:pPr>
      <w:r w:rsidRPr="005F5223">
        <w:rPr>
          <w:rFonts w:ascii="Times New Roman" w:hAnsi="Times New Roman"/>
          <w:b/>
          <w:u w:val="single"/>
          <w:lang w:val="en-CA"/>
        </w:rPr>
        <w:t>Renal</w:t>
      </w:r>
    </w:p>
    <w:p w:rsidR="007B5CB5" w:rsidRDefault="007B5CB5" w:rsidP="00692175">
      <w:pPr>
        <w:rPr>
          <w:rFonts w:ascii="Times New Roman" w:hAnsi="Times New Roman"/>
          <w:lang w:val="en-CA"/>
        </w:rPr>
      </w:pPr>
      <w:r w:rsidRPr="005F5223">
        <w:rPr>
          <w:rFonts w:ascii="Times New Roman" w:hAnsi="Times New Roman"/>
          <w:lang w:val="en-CA"/>
        </w:rPr>
        <w:t>There are limited clinical data in patients with severe renal insufficiency. Therefore, DIFICID should be used with caution in such patients.</w:t>
      </w:r>
    </w:p>
    <w:p w:rsidR="00A541C6" w:rsidRDefault="00A541C6" w:rsidP="00A541C6">
      <w:pPr>
        <w:keepNext/>
        <w:rPr>
          <w:rFonts w:ascii="TimesNewRomanPS-BoldMT" w:hAnsi="TimesNewRomanPS-BoldMT" w:cs="TimesNewRomanPS-BoldMT"/>
          <w:b/>
          <w:bCs/>
          <w:sz w:val="23"/>
          <w:szCs w:val="23"/>
          <w:u w:val="single"/>
        </w:rPr>
      </w:pPr>
      <w:r>
        <w:rPr>
          <w:rFonts w:ascii="TimesNewRomanPS-BoldMT" w:hAnsi="TimesNewRomanPS-BoldMT" w:cs="TimesNewRomanPS-BoldMT"/>
          <w:b/>
          <w:bCs/>
          <w:sz w:val="23"/>
          <w:szCs w:val="23"/>
          <w:u w:val="single"/>
        </w:rPr>
        <w:t xml:space="preserve">Effects on Fertility </w:t>
      </w:r>
    </w:p>
    <w:p w:rsidR="00A541C6" w:rsidRPr="000E58C8" w:rsidRDefault="00A541C6" w:rsidP="00A541C6">
      <w:pPr>
        <w:keepNext/>
        <w:rPr>
          <w:rFonts w:ascii="Times New Roman" w:hAnsi="Times New Roman"/>
          <w:bCs/>
        </w:rPr>
      </w:pPr>
      <w:r w:rsidRPr="000E58C8">
        <w:rPr>
          <w:rFonts w:ascii="Times New Roman" w:hAnsi="Times New Roman"/>
          <w:bCs/>
        </w:rPr>
        <w:t xml:space="preserve">Male and female fertility were unaffected in rats dosed intravenously with up to </w:t>
      </w:r>
      <w:r w:rsidR="00C33045" w:rsidRPr="000E58C8">
        <w:rPr>
          <w:rFonts w:ascii="Times New Roman" w:hAnsi="Times New Roman"/>
          <w:bCs/>
        </w:rPr>
        <w:t>6.3</w:t>
      </w:r>
      <w:r w:rsidRPr="000E58C8">
        <w:rPr>
          <w:rFonts w:ascii="Times New Roman" w:hAnsi="Times New Roman"/>
          <w:bCs/>
        </w:rPr>
        <w:t xml:space="preserve"> mg/kg/day fidaxomicin, for at least two weeks prior to and throughout mating, yielding fidaxomicin plasma AUC levels up to 60-times that of humans at the maximum recommended clinical dose.</w:t>
      </w:r>
    </w:p>
    <w:p w:rsidR="0047107E" w:rsidRPr="0047107E" w:rsidRDefault="0047107E" w:rsidP="00692175">
      <w:pPr>
        <w:keepNext/>
        <w:rPr>
          <w:rFonts w:ascii="TimesNewRomanPS-BoldMT" w:hAnsi="TimesNewRomanPS-BoldMT" w:cs="TimesNewRomanPS-BoldMT"/>
          <w:b/>
          <w:bCs/>
          <w:sz w:val="23"/>
          <w:szCs w:val="23"/>
          <w:u w:val="single"/>
        </w:rPr>
      </w:pPr>
      <w:r w:rsidRPr="0047107E">
        <w:rPr>
          <w:rFonts w:ascii="TimesNewRomanPS-BoldMT" w:hAnsi="TimesNewRomanPS-BoldMT" w:cs="TimesNewRomanPS-BoldMT"/>
          <w:b/>
          <w:bCs/>
          <w:sz w:val="23"/>
          <w:szCs w:val="23"/>
          <w:u w:val="single"/>
        </w:rPr>
        <w:t xml:space="preserve">Use </w:t>
      </w:r>
      <w:r>
        <w:rPr>
          <w:rFonts w:ascii="TimesNewRomanPS-BoldMT" w:hAnsi="TimesNewRomanPS-BoldMT" w:cs="TimesNewRomanPS-BoldMT"/>
          <w:b/>
          <w:bCs/>
          <w:sz w:val="23"/>
          <w:szCs w:val="23"/>
          <w:u w:val="single"/>
        </w:rPr>
        <w:t>i</w:t>
      </w:r>
      <w:r w:rsidRPr="0047107E">
        <w:rPr>
          <w:rFonts w:ascii="TimesNewRomanPS-BoldMT" w:hAnsi="TimesNewRomanPS-BoldMT" w:cs="TimesNewRomanPS-BoldMT"/>
          <w:b/>
          <w:bCs/>
          <w:sz w:val="23"/>
          <w:szCs w:val="23"/>
          <w:u w:val="single"/>
        </w:rPr>
        <w:t>n Pregnancy (Category B1)</w:t>
      </w:r>
    </w:p>
    <w:p w:rsidR="007B5CB5" w:rsidRPr="005F5223" w:rsidRDefault="007B5CB5" w:rsidP="007B5CB5">
      <w:pPr>
        <w:rPr>
          <w:rFonts w:ascii="Times New Roman" w:hAnsi="Times New Roman"/>
          <w:lang w:val="en-CA"/>
        </w:rPr>
      </w:pPr>
      <w:r w:rsidRPr="005F5223">
        <w:rPr>
          <w:rFonts w:ascii="Times New Roman" w:hAnsi="Times New Roman"/>
          <w:lang w:val="en-CA"/>
        </w:rPr>
        <w:t xml:space="preserve">There are no adequate and well-controlled studies of DIFICID in pregnant women. Reproduction studies have been performed in rats and rabbits by the intravenous </w:t>
      </w:r>
      <w:r w:rsidR="00E95741">
        <w:rPr>
          <w:rFonts w:ascii="Times New Roman" w:hAnsi="Times New Roman"/>
          <w:lang w:val="en-CA"/>
        </w:rPr>
        <w:t>route at doses up to 12.6 and 7 </w:t>
      </w:r>
      <w:r w:rsidRPr="005F5223">
        <w:rPr>
          <w:rFonts w:ascii="Times New Roman" w:hAnsi="Times New Roman"/>
          <w:lang w:val="en-CA"/>
        </w:rPr>
        <w:t>mg/kg, respectively</w:t>
      </w:r>
      <w:r w:rsidR="00A541C6">
        <w:rPr>
          <w:rFonts w:ascii="Times New Roman" w:hAnsi="Times New Roman"/>
          <w:lang w:val="en-CA"/>
        </w:rPr>
        <w:t>, administered during the period of organogenesis</w:t>
      </w:r>
      <w:r w:rsidRPr="005F5223">
        <w:rPr>
          <w:rFonts w:ascii="Times New Roman" w:hAnsi="Times New Roman"/>
          <w:lang w:val="en-CA"/>
        </w:rPr>
        <w:t>. The plasma exposures (AUC</w:t>
      </w:r>
      <w:r w:rsidRPr="005F5223">
        <w:rPr>
          <w:rFonts w:ascii="Times New Roman" w:hAnsi="Times New Roman"/>
          <w:vertAlign w:val="subscript"/>
          <w:lang w:val="en-CA"/>
        </w:rPr>
        <w:t>0-t</w:t>
      </w:r>
      <w:r w:rsidRPr="005F5223">
        <w:rPr>
          <w:rFonts w:ascii="Times New Roman" w:hAnsi="Times New Roman"/>
          <w:lang w:val="en-CA"/>
        </w:rPr>
        <w:t xml:space="preserve">) at these doses were approximately </w:t>
      </w:r>
      <w:r w:rsidR="0007756A">
        <w:rPr>
          <w:rFonts w:ascii="Times New Roman" w:hAnsi="Times New Roman"/>
          <w:lang w:val="en-CA"/>
        </w:rPr>
        <w:t>200</w:t>
      </w:r>
      <w:r w:rsidRPr="005F5223">
        <w:rPr>
          <w:rFonts w:ascii="Times New Roman" w:hAnsi="Times New Roman"/>
          <w:lang w:val="en-CA"/>
        </w:rPr>
        <w:t xml:space="preserve"> and </w:t>
      </w:r>
      <w:r w:rsidR="0007756A">
        <w:rPr>
          <w:rFonts w:ascii="Times New Roman" w:hAnsi="Times New Roman"/>
          <w:lang w:val="en-CA"/>
        </w:rPr>
        <w:t>66</w:t>
      </w:r>
      <w:r w:rsidR="00D77F04">
        <w:rPr>
          <w:rFonts w:ascii="Times New Roman" w:hAnsi="Times New Roman"/>
          <w:lang w:val="en-CA"/>
        </w:rPr>
        <w:t xml:space="preserve"> </w:t>
      </w:r>
      <w:r w:rsidRPr="005F5223">
        <w:rPr>
          <w:rFonts w:ascii="Times New Roman" w:hAnsi="Times New Roman"/>
          <w:lang w:val="en-CA"/>
        </w:rPr>
        <w:t>fold that in humans, respectively, and have revealed no evidence of harm to the fetus due to fidaxomicin.</w:t>
      </w:r>
    </w:p>
    <w:p w:rsidR="007B5CB5" w:rsidRPr="005F5223" w:rsidRDefault="007B5CB5" w:rsidP="00692175">
      <w:pPr>
        <w:rPr>
          <w:rFonts w:ascii="Times New Roman" w:hAnsi="Times New Roman"/>
          <w:lang w:val="en-CA"/>
        </w:rPr>
      </w:pPr>
      <w:r w:rsidRPr="005F5223">
        <w:rPr>
          <w:rFonts w:ascii="Times New Roman" w:hAnsi="Times New Roman"/>
          <w:lang w:val="en-CA"/>
        </w:rPr>
        <w:t>Because animal reproduction studies are not always predictive of human response, DIFICID should be used during pregnancy only if clearly needed.</w:t>
      </w:r>
    </w:p>
    <w:p w:rsidR="0047107E" w:rsidRPr="0047107E" w:rsidRDefault="0047107E" w:rsidP="00692175">
      <w:pPr>
        <w:keepNext/>
        <w:rPr>
          <w:rFonts w:ascii="TimesNewRomanPS-BoldMT" w:hAnsi="TimesNewRomanPS-BoldMT" w:cs="TimesNewRomanPS-BoldMT"/>
          <w:b/>
          <w:bCs/>
          <w:sz w:val="23"/>
          <w:szCs w:val="23"/>
          <w:u w:val="single"/>
        </w:rPr>
      </w:pPr>
      <w:r w:rsidRPr="0047107E">
        <w:rPr>
          <w:rFonts w:ascii="TimesNewRomanPS-BoldMT" w:hAnsi="TimesNewRomanPS-BoldMT" w:cs="TimesNewRomanPS-BoldMT"/>
          <w:b/>
          <w:bCs/>
          <w:sz w:val="23"/>
          <w:szCs w:val="23"/>
          <w:u w:val="single"/>
        </w:rPr>
        <w:lastRenderedPageBreak/>
        <w:t>Use in Lactation</w:t>
      </w:r>
    </w:p>
    <w:p w:rsidR="007B5CB5" w:rsidRPr="005F5223" w:rsidRDefault="007B5CB5" w:rsidP="00692175">
      <w:pPr>
        <w:rPr>
          <w:rFonts w:ascii="Times New Roman" w:hAnsi="Times New Roman"/>
          <w:lang w:val="en-CA"/>
        </w:rPr>
      </w:pPr>
      <w:r w:rsidRPr="005F5223">
        <w:rPr>
          <w:rFonts w:ascii="Times New Roman" w:hAnsi="Times New Roman"/>
          <w:lang w:val="en-CA"/>
        </w:rPr>
        <w:t>It is not known whether fidaxomicin is excreted in human milk. Because many drugs are excreted in human milk, caution should be exercised when DIFICID is administered to a nursing woman.</w:t>
      </w:r>
    </w:p>
    <w:p w:rsidR="0047107E" w:rsidRPr="0047107E" w:rsidRDefault="0047107E" w:rsidP="00692175">
      <w:pPr>
        <w:keepNext/>
        <w:rPr>
          <w:rFonts w:ascii="TimesNewRomanPS-BoldMT" w:hAnsi="TimesNewRomanPS-BoldMT" w:cs="TimesNewRomanPS-BoldMT"/>
          <w:b/>
          <w:bCs/>
          <w:sz w:val="23"/>
          <w:szCs w:val="23"/>
          <w:u w:val="single"/>
        </w:rPr>
      </w:pPr>
      <w:r w:rsidRPr="0047107E">
        <w:rPr>
          <w:rFonts w:ascii="TimesNewRomanPS-BoldMT" w:hAnsi="TimesNewRomanPS-BoldMT" w:cs="TimesNewRomanPS-BoldMT"/>
          <w:b/>
          <w:bCs/>
          <w:sz w:val="23"/>
          <w:szCs w:val="23"/>
          <w:u w:val="single"/>
        </w:rPr>
        <w:t>Use in</w:t>
      </w:r>
      <w:r>
        <w:rPr>
          <w:rFonts w:ascii="TimesNewRomanPS-BoldMT" w:hAnsi="TimesNewRomanPS-BoldMT" w:cs="TimesNewRomanPS-BoldMT"/>
          <w:b/>
          <w:bCs/>
          <w:sz w:val="23"/>
          <w:szCs w:val="23"/>
          <w:u w:val="single"/>
        </w:rPr>
        <w:t xml:space="preserve"> </w:t>
      </w:r>
      <w:r w:rsidRPr="0047107E">
        <w:rPr>
          <w:rFonts w:ascii="TimesNewRomanPS-BoldMT" w:hAnsi="TimesNewRomanPS-BoldMT" w:cs="TimesNewRomanPS-BoldMT"/>
          <w:b/>
          <w:bCs/>
          <w:sz w:val="23"/>
          <w:szCs w:val="23"/>
          <w:u w:val="single"/>
        </w:rPr>
        <w:t>Children</w:t>
      </w:r>
    </w:p>
    <w:p w:rsidR="007B5CB5" w:rsidRPr="005F5223" w:rsidRDefault="007B5CB5" w:rsidP="00692175">
      <w:pPr>
        <w:rPr>
          <w:rFonts w:ascii="Times New Roman" w:hAnsi="Times New Roman"/>
          <w:lang w:val="en-CA"/>
        </w:rPr>
      </w:pPr>
      <w:r w:rsidRPr="005F5223">
        <w:rPr>
          <w:rFonts w:ascii="Times New Roman" w:hAnsi="Times New Roman"/>
          <w:lang w:val="en-CA"/>
        </w:rPr>
        <w:t xml:space="preserve">The safety and effectiveness of DIFICID in patients &lt;18 years of age have not been established. </w:t>
      </w:r>
    </w:p>
    <w:p w:rsidR="0047107E" w:rsidRPr="0047107E" w:rsidRDefault="0047107E" w:rsidP="00692175">
      <w:pPr>
        <w:keepNext/>
        <w:rPr>
          <w:rFonts w:ascii="TimesNewRomanPS-BoldMT" w:hAnsi="TimesNewRomanPS-BoldMT" w:cs="TimesNewRomanPS-BoldMT"/>
          <w:b/>
          <w:bCs/>
          <w:sz w:val="23"/>
          <w:szCs w:val="23"/>
          <w:u w:val="single"/>
        </w:rPr>
      </w:pPr>
      <w:r w:rsidRPr="0047107E">
        <w:rPr>
          <w:rFonts w:ascii="TimesNewRomanPS-BoldMT" w:hAnsi="TimesNewRomanPS-BoldMT" w:cs="TimesNewRomanPS-BoldMT"/>
          <w:b/>
          <w:bCs/>
          <w:sz w:val="23"/>
          <w:szCs w:val="23"/>
          <w:u w:val="single"/>
        </w:rPr>
        <w:t>Use in Elderly</w:t>
      </w:r>
    </w:p>
    <w:p w:rsidR="007B5CB5" w:rsidRPr="009E300F" w:rsidRDefault="007B5CB5" w:rsidP="00692175">
      <w:pPr>
        <w:rPr>
          <w:rFonts w:ascii="Times New Roman" w:hAnsi="Times New Roman"/>
          <w:lang w:val="en-CA"/>
        </w:rPr>
      </w:pPr>
      <w:r w:rsidRPr="005F5223">
        <w:rPr>
          <w:rFonts w:ascii="Times New Roman" w:hAnsi="Times New Roman"/>
          <w:lang w:val="en-CA"/>
        </w:rPr>
        <w:t xml:space="preserve">Of the total number of </w:t>
      </w:r>
      <w:r w:rsidR="00695C6B">
        <w:rPr>
          <w:rFonts w:ascii="Times New Roman" w:hAnsi="Times New Roman"/>
          <w:lang w:val="en-CA"/>
        </w:rPr>
        <w:t>subjects</w:t>
      </w:r>
      <w:r w:rsidRPr="005F5223">
        <w:rPr>
          <w:rFonts w:ascii="Times New Roman" w:hAnsi="Times New Roman"/>
          <w:lang w:val="en-CA"/>
        </w:rPr>
        <w:t xml:space="preserve"> with CDI enrolled in controlled trials of DIFICID, almost half (272, 48.2%) of the DIFICID-treated </w:t>
      </w:r>
      <w:r w:rsidR="00695C6B">
        <w:rPr>
          <w:rFonts w:ascii="Times New Roman" w:hAnsi="Times New Roman"/>
          <w:lang w:val="en-CA"/>
        </w:rPr>
        <w:t>subjects</w:t>
      </w:r>
      <w:r w:rsidRPr="005F5223">
        <w:rPr>
          <w:rFonts w:ascii="Times New Roman" w:hAnsi="Times New Roman"/>
          <w:lang w:val="en-CA"/>
        </w:rPr>
        <w:t xml:space="preserve"> were 65 years of age and over. In controlled trials, elderly </w:t>
      </w:r>
      <w:r w:rsidR="00695C6B">
        <w:rPr>
          <w:rFonts w:ascii="Times New Roman" w:hAnsi="Times New Roman"/>
          <w:lang w:val="en-CA"/>
        </w:rPr>
        <w:t>subjects</w:t>
      </w:r>
      <w:r w:rsidRPr="005F5223">
        <w:rPr>
          <w:rFonts w:ascii="Times New Roman" w:hAnsi="Times New Roman"/>
          <w:lang w:val="en-CA"/>
        </w:rPr>
        <w:t xml:space="preserve"> (≥65 years of age) had higher plasma concentrations of fidaxomicin and its main metabolite, OP</w:t>
      </w:r>
      <w:r w:rsidR="00BD3BE0">
        <w:rPr>
          <w:rFonts w:ascii="Times New Roman" w:hAnsi="Times New Roman"/>
          <w:lang w:val="en-CA"/>
        </w:rPr>
        <w:noBreakHyphen/>
      </w:r>
      <w:r w:rsidRPr="005F5223">
        <w:rPr>
          <w:rFonts w:ascii="Times New Roman" w:hAnsi="Times New Roman"/>
          <w:lang w:val="en-CA"/>
        </w:rPr>
        <w:t xml:space="preserve">1118, versus non-elderly </w:t>
      </w:r>
      <w:r w:rsidR="00695C6B">
        <w:rPr>
          <w:rFonts w:ascii="Times New Roman" w:hAnsi="Times New Roman"/>
          <w:lang w:val="en-CA"/>
        </w:rPr>
        <w:t>subjects</w:t>
      </w:r>
      <w:r w:rsidRPr="005F5223">
        <w:rPr>
          <w:rFonts w:ascii="Times New Roman" w:hAnsi="Times New Roman"/>
          <w:lang w:val="en-CA"/>
        </w:rPr>
        <w:t xml:space="preserve"> (&lt;65 years of age</w:t>
      </w:r>
      <w:r w:rsidRPr="009E300F">
        <w:rPr>
          <w:rFonts w:ascii="Times New Roman" w:hAnsi="Times New Roman"/>
          <w:lang w:val="en-CA"/>
        </w:rPr>
        <w:t>)</w:t>
      </w:r>
      <w:r w:rsidR="00AD4C1E" w:rsidRPr="00AD4C1E">
        <w:rPr>
          <w:rFonts w:ascii="Times New Roman" w:hAnsi="Times New Roman"/>
          <w:lang w:val="en-CA"/>
        </w:rPr>
        <w:t xml:space="preserve">. However, the magnitudes of increase in exposures in elderly </w:t>
      </w:r>
      <w:r w:rsidR="00695C6B">
        <w:rPr>
          <w:rFonts w:ascii="Times New Roman" w:hAnsi="Times New Roman"/>
          <w:lang w:val="en-CA"/>
        </w:rPr>
        <w:t>subjects</w:t>
      </w:r>
      <w:r w:rsidR="00AD4C1E" w:rsidRPr="00AD4C1E">
        <w:rPr>
          <w:rFonts w:ascii="Times New Roman" w:hAnsi="Times New Roman"/>
          <w:lang w:val="en-CA"/>
        </w:rPr>
        <w:t xml:space="preserve"> were not considered to be clinically significant. </w:t>
      </w:r>
    </w:p>
    <w:p w:rsidR="005F5223" w:rsidRDefault="00AD4C1E" w:rsidP="00692175">
      <w:pPr>
        <w:rPr>
          <w:lang w:val="en-CA"/>
        </w:rPr>
      </w:pPr>
      <w:r w:rsidRPr="00AD4C1E">
        <w:rPr>
          <w:rFonts w:ascii="Times New Roman" w:hAnsi="Times New Roman"/>
          <w:lang w:val="en-CA"/>
        </w:rPr>
        <w:t>No dose adjustment is recommended for elderly patients.</w:t>
      </w:r>
    </w:p>
    <w:p w:rsidR="007B5CB5" w:rsidRDefault="005F5223" w:rsidP="00692175">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3"/>
          <w:szCs w:val="23"/>
        </w:rPr>
      </w:pPr>
      <w:r>
        <w:rPr>
          <w:rFonts w:ascii="TimesNewRomanPS-BoldMT" w:hAnsi="TimesNewRomanPS-BoldMT" w:cs="TimesNewRomanPS-BoldMT"/>
          <w:b/>
          <w:bCs/>
          <w:sz w:val="28"/>
          <w:szCs w:val="28"/>
          <w:u w:val="single"/>
        </w:rPr>
        <w:t>INTERACTIONS WITH OTHER MEDICINES</w:t>
      </w:r>
    </w:p>
    <w:p w:rsidR="00180A0A" w:rsidRPr="005F5223" w:rsidRDefault="00180A0A" w:rsidP="00692175">
      <w:pPr>
        <w:keepNext/>
        <w:rPr>
          <w:rFonts w:ascii="Times New Roman" w:hAnsi="Times New Roman"/>
          <w:lang w:val="en-CA"/>
        </w:rPr>
      </w:pPr>
      <w:r w:rsidRPr="005F5223">
        <w:rPr>
          <w:rFonts w:ascii="Times New Roman" w:hAnsi="Times New Roman"/>
          <w:b/>
          <w:u w:val="single"/>
          <w:lang w:val="en-CA"/>
        </w:rPr>
        <w:t>Overview</w:t>
      </w:r>
    </w:p>
    <w:p w:rsidR="00180A0A" w:rsidRPr="005F5223" w:rsidRDefault="00A541C6" w:rsidP="00692175">
      <w:pPr>
        <w:rPr>
          <w:rFonts w:ascii="Times New Roman" w:hAnsi="Times New Roman"/>
          <w:lang w:val="en-CA"/>
        </w:rPr>
      </w:pPr>
      <w:r>
        <w:rPr>
          <w:rFonts w:ascii="Times New Roman" w:hAnsi="Times New Roman"/>
          <w:lang w:val="en-CA"/>
        </w:rPr>
        <w:t>No clinically relevant metabolism of fidaxomicin by human cytochrome P450 (CYP) enzymes was observed. Fidaxomicin does not induce CYP1A2, CYP2B6, CYP2C9, CYP2C19 or CYP3A4/5 enz</w:t>
      </w:r>
      <w:r w:rsidR="00464372">
        <w:rPr>
          <w:rFonts w:ascii="Times New Roman" w:hAnsi="Times New Roman"/>
          <w:lang w:val="en-CA"/>
        </w:rPr>
        <w:t>y</w:t>
      </w:r>
      <w:r>
        <w:rPr>
          <w:rFonts w:ascii="Times New Roman" w:hAnsi="Times New Roman"/>
          <w:lang w:val="en-CA"/>
        </w:rPr>
        <w:t xml:space="preserve">mes </w:t>
      </w:r>
      <w:r>
        <w:rPr>
          <w:rFonts w:ascii="Times New Roman" w:hAnsi="Times New Roman"/>
          <w:i/>
          <w:lang w:val="en-CA"/>
        </w:rPr>
        <w:t>in vitro</w:t>
      </w:r>
      <w:r>
        <w:rPr>
          <w:rFonts w:ascii="Times New Roman" w:hAnsi="Times New Roman"/>
          <w:lang w:val="en-CA"/>
        </w:rPr>
        <w:t>. Systemic inhibition of CYP enzymes is not expected due to the low plasma levels after oral dosing. Inhibition of CYP2C9 and CYP3A4/5 in the gastrointestinal tract is possible due to the high concentrations reached locally. No clinically relevant inhibition of CYP1A2, CYP2B6, CYP2C8, CYP2C19, CYP2D6, CYP2E1 was observed</w:t>
      </w:r>
      <w:r w:rsidRPr="005F5223">
        <w:rPr>
          <w:rFonts w:ascii="Times New Roman" w:hAnsi="Times New Roman"/>
          <w:lang w:val="en-CA"/>
        </w:rPr>
        <w:t xml:space="preserve">. </w:t>
      </w:r>
      <w:r w:rsidR="00180A0A" w:rsidRPr="005F5223">
        <w:rPr>
          <w:rFonts w:ascii="Times New Roman" w:hAnsi="Times New Roman"/>
          <w:lang w:val="en-CA"/>
        </w:rPr>
        <w:t xml:space="preserve"> </w:t>
      </w:r>
    </w:p>
    <w:p w:rsidR="000A13B1" w:rsidRDefault="00FB4CAB" w:rsidP="00692175">
      <w:pPr>
        <w:rPr>
          <w:rFonts w:ascii="Times New Roman" w:hAnsi="Times New Roman"/>
          <w:lang w:val="en-CA"/>
        </w:rPr>
      </w:pPr>
      <w:r w:rsidRPr="00210C39">
        <w:rPr>
          <w:rFonts w:ascii="Times New Roman" w:hAnsi="Times New Roman"/>
          <w:i/>
          <w:lang w:val="en-CA"/>
        </w:rPr>
        <w:t>In vitro</w:t>
      </w:r>
      <w:r w:rsidR="00180A0A" w:rsidRPr="005F5223">
        <w:rPr>
          <w:rFonts w:ascii="Times New Roman" w:hAnsi="Times New Roman"/>
          <w:lang w:val="en-CA"/>
        </w:rPr>
        <w:t xml:space="preserve">, fidaxomicin and its main metabolite, OP-1118, are substrates and inhibitors of the efflux transporter, P-glycoprotein (P-gp), which is expressed in the gastrointestinal tract. </w:t>
      </w:r>
      <w:r w:rsidRPr="00210C39">
        <w:rPr>
          <w:rFonts w:ascii="Times New Roman" w:hAnsi="Times New Roman"/>
          <w:i/>
          <w:lang w:val="en-CA"/>
        </w:rPr>
        <w:t>In vivo</w:t>
      </w:r>
      <w:r w:rsidR="00180A0A" w:rsidRPr="005F5223">
        <w:rPr>
          <w:rFonts w:ascii="Times New Roman" w:hAnsi="Times New Roman"/>
          <w:lang w:val="en-CA"/>
        </w:rPr>
        <w:t xml:space="preserve"> data suggest that fidaxomicin may be a mild to moderate inhibitor of intestinal P-gp. </w:t>
      </w:r>
    </w:p>
    <w:p w:rsidR="00180A0A" w:rsidRPr="005F5223" w:rsidRDefault="00180A0A" w:rsidP="00692175">
      <w:pPr>
        <w:keepNext/>
        <w:rPr>
          <w:rFonts w:ascii="Times New Roman" w:hAnsi="Times New Roman"/>
          <w:lang w:val="en-CA"/>
        </w:rPr>
      </w:pPr>
      <w:r w:rsidRPr="005F5223">
        <w:rPr>
          <w:rFonts w:ascii="Times New Roman" w:hAnsi="Times New Roman"/>
          <w:b/>
          <w:u w:val="single"/>
          <w:lang w:val="en-CA"/>
        </w:rPr>
        <w:t>Drug-Drug Interactions</w:t>
      </w:r>
    </w:p>
    <w:p w:rsidR="00912B4B" w:rsidRPr="005F5223" w:rsidRDefault="00FB4CAB" w:rsidP="00692175">
      <w:pPr>
        <w:rPr>
          <w:rFonts w:ascii="Times New Roman" w:hAnsi="Times New Roman"/>
          <w:lang w:val="en-CA"/>
        </w:rPr>
      </w:pPr>
      <w:r w:rsidRPr="00210C39">
        <w:rPr>
          <w:rFonts w:ascii="Times New Roman" w:hAnsi="Times New Roman"/>
          <w:i/>
          <w:lang w:val="en-CA"/>
        </w:rPr>
        <w:t>In vivo</w:t>
      </w:r>
      <w:r w:rsidR="00180A0A" w:rsidRPr="005F5223">
        <w:rPr>
          <w:rFonts w:ascii="Times New Roman" w:hAnsi="Times New Roman"/>
          <w:lang w:val="en-CA"/>
        </w:rPr>
        <w:t xml:space="preserve"> in healthy volunteers, fidaxomicin did not have a clinically relevant effect on the CYP2C9 substrate warfarin, CYP3A4/5 substrate midazolam, and CYP2C19 substrate omeprazole</w:t>
      </w:r>
      <w:r w:rsidR="00E5014B">
        <w:rPr>
          <w:rFonts w:ascii="Times New Roman" w:hAnsi="Times New Roman"/>
          <w:lang w:val="en-CA"/>
        </w:rPr>
        <w:t xml:space="preserve"> (Table </w:t>
      </w:r>
      <w:r w:rsidR="003A6733">
        <w:rPr>
          <w:rFonts w:ascii="Times New Roman" w:hAnsi="Times New Roman"/>
          <w:lang w:val="en-CA"/>
        </w:rPr>
        <w:t>5</w:t>
      </w:r>
      <w:r w:rsidR="00E5014B">
        <w:rPr>
          <w:rFonts w:ascii="Times New Roman" w:hAnsi="Times New Roman"/>
          <w:lang w:val="en-CA"/>
        </w:rPr>
        <w:t>)</w:t>
      </w:r>
      <w:r w:rsidR="00180A0A" w:rsidRPr="005F5223">
        <w:rPr>
          <w:rFonts w:ascii="Times New Roman" w:hAnsi="Times New Roman"/>
          <w:lang w:val="en-CA"/>
        </w:rPr>
        <w:t xml:space="preserve">. Based on these results, no dose adjustment is warranted when DIFICID is co-administered with CYP substrate compounds. </w:t>
      </w:r>
    </w:p>
    <w:p w:rsidR="006A24C3" w:rsidRPr="006A24C3" w:rsidRDefault="00180A0A" w:rsidP="00692175">
      <w:pPr>
        <w:rPr>
          <w:rFonts w:ascii="Times New Roman" w:hAnsi="Times New Roman"/>
          <w:lang w:val="en-CA"/>
        </w:rPr>
      </w:pPr>
      <w:r w:rsidRPr="005F5223">
        <w:rPr>
          <w:rFonts w:ascii="Times New Roman" w:hAnsi="Times New Roman"/>
          <w:lang w:val="en-CA"/>
        </w:rPr>
        <w:t>Cyclosporine is an inhibitor of multiple transporters, including P-gp. When cyclosporine was co-administered with DIFICID in healthy adult volunteers, plasma concentrations of fidaxomicin and OP</w:t>
      </w:r>
      <w:r w:rsidR="00BD3BE0">
        <w:rPr>
          <w:rFonts w:ascii="Times New Roman" w:hAnsi="Times New Roman"/>
          <w:lang w:val="en-CA"/>
        </w:rPr>
        <w:noBreakHyphen/>
      </w:r>
      <w:r w:rsidRPr="005F5223">
        <w:rPr>
          <w:rFonts w:ascii="Times New Roman" w:hAnsi="Times New Roman"/>
          <w:lang w:val="en-CA"/>
        </w:rPr>
        <w:t>1118 were significantly increased</w:t>
      </w:r>
      <w:r w:rsidR="000A5E5E">
        <w:rPr>
          <w:rFonts w:ascii="Times New Roman" w:hAnsi="Times New Roman"/>
          <w:lang w:val="en-CA"/>
        </w:rPr>
        <w:t>,</w:t>
      </w:r>
      <w:r w:rsidRPr="005F5223">
        <w:rPr>
          <w:rFonts w:ascii="Times New Roman" w:hAnsi="Times New Roman"/>
          <w:lang w:val="en-CA"/>
        </w:rPr>
        <w:t xml:space="preserve"> but </w:t>
      </w:r>
      <w:r w:rsidR="000A5E5E">
        <w:rPr>
          <w:rFonts w:ascii="Times New Roman" w:hAnsi="Times New Roman"/>
          <w:lang w:val="en-CA"/>
        </w:rPr>
        <w:t xml:space="preserve">the increase is not </w:t>
      </w:r>
      <w:r w:rsidR="006031E0">
        <w:rPr>
          <w:rFonts w:ascii="Times New Roman" w:hAnsi="Times New Roman"/>
          <w:lang w:val="en-CA"/>
        </w:rPr>
        <w:t xml:space="preserve">considered </w:t>
      </w:r>
      <w:r w:rsidR="000A5E5E">
        <w:rPr>
          <w:rFonts w:ascii="Times New Roman" w:hAnsi="Times New Roman"/>
          <w:lang w:val="en-CA"/>
        </w:rPr>
        <w:t xml:space="preserve">clinically significant as concentrations </w:t>
      </w:r>
      <w:r w:rsidRPr="005F5223">
        <w:rPr>
          <w:rFonts w:ascii="Times New Roman" w:hAnsi="Times New Roman"/>
          <w:lang w:val="en-CA"/>
        </w:rPr>
        <w:t xml:space="preserve">remained </w:t>
      </w:r>
      <w:r w:rsidR="000A5E5E">
        <w:rPr>
          <w:rFonts w:ascii="Times New Roman" w:hAnsi="Times New Roman"/>
          <w:lang w:val="en-CA"/>
        </w:rPr>
        <w:t>very low (</w:t>
      </w:r>
      <w:r w:rsidRPr="005F5223">
        <w:rPr>
          <w:rFonts w:ascii="Times New Roman" w:hAnsi="Times New Roman"/>
          <w:lang w:val="en-CA"/>
        </w:rPr>
        <w:t xml:space="preserve">in </w:t>
      </w:r>
      <w:r w:rsidRPr="006A24C3">
        <w:rPr>
          <w:rFonts w:ascii="Times New Roman" w:hAnsi="Times New Roman"/>
          <w:lang w:val="en-CA"/>
        </w:rPr>
        <w:t>the ng/mL range</w:t>
      </w:r>
      <w:r w:rsidR="000A5E5E" w:rsidRPr="006A24C3">
        <w:rPr>
          <w:rFonts w:ascii="Times New Roman" w:hAnsi="Times New Roman"/>
          <w:lang w:val="en-CA"/>
        </w:rPr>
        <w:t>)</w:t>
      </w:r>
      <w:r w:rsidRPr="006A24C3">
        <w:rPr>
          <w:rFonts w:ascii="Times New Roman" w:hAnsi="Times New Roman"/>
          <w:lang w:val="en-CA"/>
        </w:rPr>
        <w:t xml:space="preserve">. Concentrations of fidaxomicin and OP-1118 may also be decreased at the site of action (i.e., gastrointestinal tract) via P-gp inhibition; however, in controlled clinical trials in </w:t>
      </w:r>
      <w:r w:rsidR="00695C6B" w:rsidRPr="006A24C3">
        <w:rPr>
          <w:rFonts w:ascii="Times New Roman" w:hAnsi="Times New Roman"/>
          <w:lang w:val="en-CA"/>
        </w:rPr>
        <w:t>subjects</w:t>
      </w:r>
      <w:r w:rsidRPr="006A24C3">
        <w:rPr>
          <w:rFonts w:ascii="Times New Roman" w:hAnsi="Times New Roman"/>
          <w:lang w:val="en-CA"/>
        </w:rPr>
        <w:t xml:space="preserve"> with </w:t>
      </w:r>
      <w:r w:rsidRPr="006A24C3">
        <w:rPr>
          <w:rFonts w:ascii="Times New Roman" w:hAnsi="Times New Roman"/>
          <w:i/>
          <w:iCs/>
          <w:lang w:val="en-CA"/>
        </w:rPr>
        <w:t>C. difficile</w:t>
      </w:r>
      <w:r w:rsidRPr="006A24C3">
        <w:rPr>
          <w:rFonts w:ascii="Times New Roman" w:hAnsi="Times New Roman"/>
          <w:lang w:val="en-CA"/>
        </w:rPr>
        <w:t xml:space="preserve"> infection, concomitant P-gp inhibitor use had no attributable effect on safety or treatment outcome of DIFICID-treated </w:t>
      </w:r>
      <w:r w:rsidR="00695C6B" w:rsidRPr="006A24C3">
        <w:rPr>
          <w:rFonts w:ascii="Times New Roman" w:hAnsi="Times New Roman"/>
          <w:lang w:val="en-CA"/>
        </w:rPr>
        <w:t>subjects</w:t>
      </w:r>
      <w:r w:rsidRPr="006A24C3">
        <w:rPr>
          <w:rFonts w:ascii="Times New Roman" w:hAnsi="Times New Roman"/>
          <w:lang w:val="en-CA"/>
        </w:rPr>
        <w:t>. Based on these results, DIFICID may be co-administered with P</w:t>
      </w:r>
      <w:r w:rsidRPr="006A24C3">
        <w:rPr>
          <w:rFonts w:ascii="Times New Roman" w:hAnsi="Times New Roman"/>
          <w:lang w:val="en-CA"/>
        </w:rPr>
        <w:noBreakHyphen/>
        <w:t xml:space="preserve">gp inhibitors and no dose adjustment is recommended. </w:t>
      </w:r>
    </w:p>
    <w:p w:rsidR="00180A0A" w:rsidRPr="006A24C3" w:rsidRDefault="00180A0A" w:rsidP="00692175">
      <w:pPr>
        <w:rPr>
          <w:rFonts w:ascii="Times New Roman" w:hAnsi="Times New Roman"/>
          <w:lang w:val="en-CA"/>
        </w:rPr>
      </w:pPr>
      <w:r w:rsidRPr="006A24C3">
        <w:rPr>
          <w:rFonts w:ascii="Times New Roman" w:hAnsi="Times New Roman"/>
          <w:lang w:val="en-CA"/>
        </w:rPr>
        <w:lastRenderedPageBreak/>
        <w:t>When digoxin, a P-gp substrate, was co-administered with DIFICID (200 mg twice daily) in healthy volunteers, digoxin C</w:t>
      </w:r>
      <w:r w:rsidRPr="006A24C3">
        <w:rPr>
          <w:rFonts w:ascii="Times New Roman" w:hAnsi="Times New Roman"/>
          <w:vertAlign w:val="subscript"/>
          <w:lang w:val="en-CA"/>
        </w:rPr>
        <w:t>max</w:t>
      </w:r>
      <w:r w:rsidRPr="006A24C3">
        <w:rPr>
          <w:rFonts w:ascii="Times New Roman" w:hAnsi="Times New Roman"/>
          <w:lang w:val="en-CA"/>
        </w:rPr>
        <w:t xml:space="preserve"> and AUC increased by 14% and 12%, respectively. This effect of fidaxomicin on digoxin exposure is not considered clinically relevant</w:t>
      </w:r>
      <w:r w:rsidR="00E95741" w:rsidRPr="00912B4B">
        <w:rPr>
          <w:rFonts w:ascii="Times New Roman" w:hAnsi="Times New Roman"/>
          <w:lang w:val="en-CA"/>
        </w:rPr>
        <w:t>. However, a larger effect on P</w:t>
      </w:r>
      <w:r w:rsidR="00E95741" w:rsidRPr="00912B4B">
        <w:rPr>
          <w:rFonts w:ascii="Times New Roman" w:hAnsi="Times New Roman"/>
          <w:lang w:val="en-CA"/>
        </w:rPr>
        <w:noBreakHyphen/>
      </w:r>
      <w:r w:rsidRPr="00912B4B">
        <w:rPr>
          <w:rFonts w:ascii="Times New Roman" w:hAnsi="Times New Roman"/>
          <w:lang w:val="en-CA"/>
        </w:rPr>
        <w:t>gp substrates with lower bioavailability more sensitive to intestinal P-</w:t>
      </w:r>
      <w:r w:rsidRPr="00210C39">
        <w:rPr>
          <w:rFonts w:ascii="Times New Roman" w:hAnsi="Times New Roman"/>
          <w:lang w:val="en-CA"/>
        </w:rPr>
        <w:t>gp inhibition</w:t>
      </w:r>
      <w:r w:rsidR="00DD764E" w:rsidRPr="00210C39">
        <w:rPr>
          <w:rFonts w:ascii="Times New Roman" w:hAnsi="Times New Roman"/>
          <w:lang w:val="en-CA"/>
        </w:rPr>
        <w:t>,</w:t>
      </w:r>
      <w:r w:rsidRPr="00210C39">
        <w:rPr>
          <w:rFonts w:ascii="Times New Roman" w:hAnsi="Times New Roman"/>
          <w:lang w:val="en-CA"/>
        </w:rPr>
        <w:t xml:space="preserve"> </w:t>
      </w:r>
      <w:r w:rsidR="00DD764E" w:rsidRPr="00210C39">
        <w:rPr>
          <w:rFonts w:ascii="Times New Roman" w:hAnsi="Times New Roman"/>
          <w:lang w:val="en-CA"/>
        </w:rPr>
        <w:t xml:space="preserve">such as </w:t>
      </w:r>
      <w:r w:rsidR="00DD764E" w:rsidRPr="00210C39">
        <w:rPr>
          <w:rFonts w:ascii="Times New Roman" w:hAnsi="Times New Roman"/>
        </w:rPr>
        <w:t>dabigatran</w:t>
      </w:r>
      <w:r w:rsidR="001F5FC1" w:rsidRPr="00210C39">
        <w:rPr>
          <w:rFonts w:ascii="Times New Roman" w:hAnsi="Times New Roman"/>
        </w:rPr>
        <w:t xml:space="preserve"> </w:t>
      </w:r>
      <w:r w:rsidR="00DD764E" w:rsidRPr="00210C39">
        <w:rPr>
          <w:rFonts w:ascii="Times New Roman" w:hAnsi="Times New Roman"/>
        </w:rPr>
        <w:t>etexilat</w:t>
      </w:r>
      <w:r w:rsidR="001F5FC1" w:rsidRPr="00210C39">
        <w:rPr>
          <w:rFonts w:ascii="Times New Roman" w:hAnsi="Times New Roman"/>
        </w:rPr>
        <w:t>e</w:t>
      </w:r>
      <w:r w:rsidR="00DD764E" w:rsidRPr="006A24C3">
        <w:rPr>
          <w:rFonts w:ascii="Times New Roman" w:hAnsi="Times New Roman"/>
          <w:color w:val="1F497D"/>
        </w:rPr>
        <w:t>,</w:t>
      </w:r>
      <w:r w:rsidR="00DD764E" w:rsidRPr="006A24C3">
        <w:rPr>
          <w:rFonts w:ascii="Times New Roman" w:hAnsi="Times New Roman"/>
          <w:lang w:val="en-CA"/>
        </w:rPr>
        <w:t xml:space="preserve"> </w:t>
      </w:r>
      <w:r w:rsidRPr="006A24C3">
        <w:rPr>
          <w:rFonts w:ascii="Times New Roman" w:hAnsi="Times New Roman"/>
          <w:lang w:val="en-CA"/>
        </w:rPr>
        <w:t xml:space="preserve">cannot be excluded. </w:t>
      </w:r>
    </w:p>
    <w:p w:rsidR="00267CF2" w:rsidRDefault="0006149D">
      <w:pPr>
        <w:keepNext/>
        <w:widowControl w:val="0"/>
        <w:rPr>
          <w:rFonts w:ascii="Times New Roman" w:hAnsi="Times New Roman"/>
          <w:vanish/>
          <w:lang w:val="en-CA"/>
        </w:rPr>
      </w:pPr>
      <w:r w:rsidRPr="0006149D">
        <w:rPr>
          <w:rFonts w:ascii="Times New Roman" w:hAnsi="Times New Roman"/>
          <w:b/>
          <w:lang w:val="en-CA"/>
        </w:rPr>
        <w:t xml:space="preserve">Table </w:t>
      </w:r>
      <w:r w:rsidR="008560DE">
        <w:rPr>
          <w:rFonts w:ascii="Times New Roman" w:hAnsi="Times New Roman"/>
          <w:b/>
          <w:lang w:val="en-CA"/>
        </w:rPr>
        <w:t>5</w:t>
      </w:r>
      <w:r w:rsidRPr="0006149D">
        <w:rPr>
          <w:rFonts w:ascii="Times New Roman" w:hAnsi="Times New Roman"/>
          <w:b/>
          <w:lang w:val="en-CA"/>
        </w:rPr>
        <w:t xml:space="preserve"> - Established or Potential Drug-Drug Interactions </w:t>
      </w:r>
    </w:p>
    <w:tbl>
      <w:tblPr>
        <w:tblW w:w="0" w:type="auto"/>
        <w:tblInd w:w="110" w:type="dxa"/>
        <w:tblBorders>
          <w:top w:val="single" w:sz="8" w:space="0" w:color="000000"/>
          <w:bottom w:val="single" w:sz="8" w:space="0" w:color="000000"/>
          <w:insideH w:val="single" w:sz="8" w:space="0" w:color="000000"/>
          <w:insideV w:val="single" w:sz="8" w:space="0" w:color="000000"/>
        </w:tblBorders>
        <w:tblLayout w:type="fixed"/>
        <w:tblCellMar>
          <w:left w:w="110" w:type="dxa"/>
          <w:right w:w="110" w:type="dxa"/>
        </w:tblCellMar>
        <w:tblLook w:val="0000"/>
      </w:tblPr>
      <w:tblGrid>
        <w:gridCol w:w="2340"/>
        <w:gridCol w:w="1710"/>
        <w:gridCol w:w="1620"/>
        <w:gridCol w:w="3690"/>
      </w:tblGrid>
      <w:tr w:rsidR="00180A0A" w:rsidRPr="006F61E2" w:rsidTr="001C0BAD">
        <w:trPr>
          <w:cantSplit/>
        </w:trPr>
        <w:tc>
          <w:tcPr>
            <w:tcW w:w="2340" w:type="dxa"/>
          </w:tcPr>
          <w:p w:rsidR="00180A0A" w:rsidRPr="006F61E2" w:rsidRDefault="00180A0A" w:rsidP="008636EC">
            <w:pPr>
              <w:keepNext/>
              <w:widowControl w:val="0"/>
              <w:spacing w:before="84" w:after="40"/>
              <w:rPr>
                <w:rFonts w:ascii="Times New Roman" w:hAnsi="Times New Roman"/>
                <w:sz w:val="20"/>
                <w:lang w:val="en-CA"/>
              </w:rPr>
            </w:pPr>
            <w:r w:rsidRPr="006F61E2">
              <w:rPr>
                <w:rFonts w:ascii="Times New Roman" w:hAnsi="Times New Roman"/>
                <w:b/>
                <w:sz w:val="20"/>
                <w:lang w:val="en-CA"/>
              </w:rPr>
              <w:t xml:space="preserve">Proper </w:t>
            </w:r>
            <w:r w:rsidR="0037379A" w:rsidRPr="006F61E2">
              <w:rPr>
                <w:rFonts w:ascii="Times New Roman" w:hAnsi="Times New Roman"/>
                <w:b/>
                <w:sz w:val="20"/>
                <w:lang w:val="en-CA"/>
              </w:rPr>
              <w:t>N</w:t>
            </w:r>
            <w:r w:rsidRPr="006F61E2">
              <w:rPr>
                <w:rFonts w:ascii="Times New Roman" w:hAnsi="Times New Roman"/>
                <w:b/>
                <w:sz w:val="20"/>
                <w:lang w:val="en-CA"/>
              </w:rPr>
              <w:t>ame</w:t>
            </w:r>
          </w:p>
        </w:tc>
        <w:tc>
          <w:tcPr>
            <w:tcW w:w="1710" w:type="dxa"/>
          </w:tcPr>
          <w:p w:rsidR="00180A0A" w:rsidRPr="006F61E2" w:rsidRDefault="00180A0A" w:rsidP="008636EC">
            <w:pPr>
              <w:keepNext/>
              <w:widowControl w:val="0"/>
              <w:spacing w:before="84" w:after="40"/>
              <w:rPr>
                <w:rFonts w:ascii="Times New Roman" w:hAnsi="Times New Roman"/>
                <w:sz w:val="20"/>
                <w:lang w:val="en-CA"/>
              </w:rPr>
            </w:pPr>
            <w:r w:rsidRPr="006F61E2">
              <w:rPr>
                <w:rFonts w:ascii="Times New Roman" w:hAnsi="Times New Roman"/>
                <w:b/>
                <w:sz w:val="20"/>
                <w:lang w:val="en-CA"/>
              </w:rPr>
              <w:t>Ref</w:t>
            </w:r>
          </w:p>
        </w:tc>
        <w:tc>
          <w:tcPr>
            <w:tcW w:w="1620" w:type="dxa"/>
          </w:tcPr>
          <w:p w:rsidR="00180A0A" w:rsidRPr="006F61E2" w:rsidRDefault="00180A0A" w:rsidP="008636EC">
            <w:pPr>
              <w:keepNext/>
              <w:widowControl w:val="0"/>
              <w:spacing w:before="84" w:after="40"/>
              <w:rPr>
                <w:rFonts w:ascii="Times New Roman" w:hAnsi="Times New Roman"/>
                <w:sz w:val="20"/>
                <w:lang w:val="en-CA"/>
              </w:rPr>
            </w:pPr>
            <w:r w:rsidRPr="006F61E2">
              <w:rPr>
                <w:rFonts w:ascii="Times New Roman" w:hAnsi="Times New Roman"/>
                <w:b/>
                <w:sz w:val="20"/>
                <w:lang w:val="en-CA"/>
              </w:rPr>
              <w:t>Effect</w:t>
            </w:r>
          </w:p>
        </w:tc>
        <w:tc>
          <w:tcPr>
            <w:tcW w:w="3690" w:type="dxa"/>
          </w:tcPr>
          <w:p w:rsidR="00180A0A" w:rsidRPr="006F61E2" w:rsidRDefault="00180A0A" w:rsidP="008636EC">
            <w:pPr>
              <w:keepNext/>
              <w:widowControl w:val="0"/>
              <w:spacing w:before="84" w:after="40"/>
              <w:rPr>
                <w:rFonts w:ascii="Times New Roman" w:hAnsi="Times New Roman"/>
                <w:sz w:val="20"/>
                <w:lang w:val="en-CA"/>
              </w:rPr>
            </w:pPr>
            <w:r w:rsidRPr="006F61E2">
              <w:rPr>
                <w:rFonts w:ascii="Times New Roman" w:hAnsi="Times New Roman"/>
                <w:b/>
                <w:sz w:val="20"/>
                <w:lang w:val="en-CA"/>
              </w:rPr>
              <w:t xml:space="preserve">Clinical </w:t>
            </w:r>
            <w:r w:rsidR="0037379A" w:rsidRPr="006F61E2">
              <w:rPr>
                <w:rFonts w:ascii="Times New Roman" w:hAnsi="Times New Roman"/>
                <w:b/>
                <w:sz w:val="20"/>
                <w:lang w:val="en-CA"/>
              </w:rPr>
              <w:t>C</w:t>
            </w:r>
            <w:r w:rsidRPr="006F61E2">
              <w:rPr>
                <w:rFonts w:ascii="Times New Roman" w:hAnsi="Times New Roman"/>
                <w:b/>
                <w:sz w:val="20"/>
                <w:lang w:val="en-CA"/>
              </w:rPr>
              <w:t>omment</w:t>
            </w:r>
          </w:p>
        </w:tc>
      </w:tr>
      <w:tr w:rsidR="00180A0A" w:rsidRPr="006F61E2" w:rsidTr="001C0BAD">
        <w:trPr>
          <w:cantSplit/>
        </w:trPr>
        <w:tc>
          <w:tcPr>
            <w:tcW w:w="9360" w:type="dxa"/>
            <w:gridSpan w:val="4"/>
          </w:tcPr>
          <w:p w:rsidR="00180A0A" w:rsidRPr="006F61E2" w:rsidRDefault="00180A0A" w:rsidP="008636EC">
            <w:pPr>
              <w:keepNext/>
              <w:widowControl w:val="0"/>
              <w:spacing w:before="84" w:after="40"/>
              <w:rPr>
                <w:rFonts w:ascii="Times New Roman" w:hAnsi="Times New Roman"/>
                <w:i/>
                <w:iCs/>
                <w:sz w:val="20"/>
                <w:lang w:val="en-CA"/>
              </w:rPr>
            </w:pPr>
            <w:r w:rsidRPr="006F61E2">
              <w:rPr>
                <w:rFonts w:ascii="Times New Roman" w:hAnsi="Times New Roman"/>
                <w:i/>
                <w:iCs/>
                <w:sz w:val="20"/>
                <w:lang w:val="en-CA"/>
              </w:rPr>
              <w:t>P-glycoprotein inhibitors</w:t>
            </w:r>
          </w:p>
        </w:tc>
      </w:tr>
      <w:tr w:rsidR="00180A0A" w:rsidRPr="006F61E2" w:rsidTr="001C0BAD">
        <w:trPr>
          <w:cantSplit/>
        </w:trPr>
        <w:tc>
          <w:tcPr>
            <w:tcW w:w="2340" w:type="dxa"/>
          </w:tcPr>
          <w:p w:rsidR="00180A0A" w:rsidRPr="006F61E2" w:rsidRDefault="00180A0A" w:rsidP="001C0BAD">
            <w:pPr>
              <w:widowControl w:val="0"/>
              <w:spacing w:before="84" w:after="40"/>
              <w:rPr>
                <w:rFonts w:ascii="Times New Roman" w:hAnsi="Times New Roman"/>
                <w:sz w:val="20"/>
                <w:lang w:val="en-CA"/>
              </w:rPr>
            </w:pPr>
            <w:r w:rsidRPr="006F61E2">
              <w:rPr>
                <w:rFonts w:ascii="Times New Roman" w:hAnsi="Times New Roman"/>
                <w:sz w:val="20"/>
                <w:lang w:val="en-CA"/>
              </w:rPr>
              <w:t>Cyclosporine</w:t>
            </w:r>
          </w:p>
        </w:tc>
        <w:tc>
          <w:tcPr>
            <w:tcW w:w="1710" w:type="dxa"/>
          </w:tcPr>
          <w:p w:rsidR="00180A0A" w:rsidRPr="006F61E2" w:rsidRDefault="00180A0A" w:rsidP="001C0BAD">
            <w:pPr>
              <w:widowControl w:val="0"/>
              <w:spacing w:before="84" w:after="40"/>
              <w:rPr>
                <w:rFonts w:ascii="Times New Roman" w:hAnsi="Times New Roman"/>
                <w:sz w:val="20"/>
                <w:lang w:val="en-CA"/>
              </w:rPr>
            </w:pPr>
            <w:r w:rsidRPr="006F61E2">
              <w:rPr>
                <w:rFonts w:ascii="Times New Roman" w:hAnsi="Times New Roman"/>
                <w:sz w:val="20"/>
                <w:lang w:val="en-CA"/>
              </w:rPr>
              <w:t>CT</w:t>
            </w:r>
          </w:p>
        </w:tc>
        <w:tc>
          <w:tcPr>
            <w:tcW w:w="1620" w:type="dxa"/>
          </w:tcPr>
          <w:p w:rsidR="00180A0A" w:rsidRPr="006F61E2" w:rsidRDefault="00180A0A" w:rsidP="001C0BAD">
            <w:pPr>
              <w:widowControl w:val="0"/>
              <w:spacing w:before="84" w:after="40"/>
              <w:rPr>
                <w:rFonts w:ascii="Times New Roman" w:hAnsi="Times New Roman"/>
                <w:sz w:val="20"/>
                <w:lang w:val="en-CA"/>
              </w:rPr>
            </w:pPr>
            <w:r w:rsidRPr="006F61E2">
              <w:rPr>
                <w:rFonts w:ascii="Times New Roman" w:hAnsi="Times New Roman"/>
                <w:sz w:val="20"/>
                <w:lang w:val="en-CA"/>
              </w:rPr>
              <w:t>↑ fidaxomicin C</w:t>
            </w:r>
            <w:r w:rsidRPr="006F61E2">
              <w:rPr>
                <w:rFonts w:ascii="Times New Roman" w:hAnsi="Times New Roman"/>
                <w:sz w:val="20"/>
                <w:vertAlign w:val="subscript"/>
                <w:lang w:val="en-CA"/>
              </w:rPr>
              <w:t>max</w:t>
            </w:r>
            <w:r w:rsidRPr="006F61E2">
              <w:rPr>
                <w:rFonts w:ascii="Times New Roman" w:hAnsi="Times New Roman"/>
                <w:sz w:val="20"/>
                <w:lang w:val="en-CA"/>
              </w:rPr>
              <w:t>, AUC</w:t>
            </w:r>
          </w:p>
        </w:tc>
        <w:tc>
          <w:tcPr>
            <w:tcW w:w="3690" w:type="dxa"/>
          </w:tcPr>
          <w:p w:rsidR="00180A0A" w:rsidRPr="006F61E2" w:rsidRDefault="00180A0A" w:rsidP="001C0BAD">
            <w:pPr>
              <w:widowControl w:val="0"/>
              <w:spacing w:before="84" w:after="40"/>
              <w:rPr>
                <w:rFonts w:ascii="Times New Roman" w:hAnsi="Times New Roman"/>
                <w:sz w:val="20"/>
                <w:lang w:val="en-CA"/>
              </w:rPr>
            </w:pPr>
            <w:r w:rsidRPr="006F61E2">
              <w:rPr>
                <w:rFonts w:ascii="Times New Roman" w:hAnsi="Times New Roman"/>
                <w:sz w:val="20"/>
                <w:lang w:val="en-CA"/>
              </w:rPr>
              <w:t>Co-administration of single doses of the P</w:t>
            </w:r>
            <w:r w:rsidRPr="006F61E2">
              <w:rPr>
                <w:rFonts w:ascii="Times New Roman" w:hAnsi="Times New Roman"/>
                <w:sz w:val="20"/>
                <w:lang w:val="en-CA"/>
              </w:rPr>
              <w:noBreakHyphen/>
              <w:t>gp inhibitor cyclosporine A and DIFICID in healthy volunteers resulted in a 4- and 2-fold increase in fidaxomicin C</w:t>
            </w:r>
            <w:r w:rsidRPr="006F61E2">
              <w:rPr>
                <w:rFonts w:ascii="Times New Roman" w:hAnsi="Times New Roman"/>
                <w:sz w:val="20"/>
                <w:vertAlign w:val="subscript"/>
                <w:lang w:val="en-CA"/>
              </w:rPr>
              <w:t>max</w:t>
            </w:r>
            <w:r w:rsidRPr="006F61E2">
              <w:rPr>
                <w:rFonts w:ascii="Times New Roman" w:hAnsi="Times New Roman"/>
                <w:sz w:val="20"/>
                <w:lang w:val="en-CA"/>
              </w:rPr>
              <w:t xml:space="preserve"> and AUC, respectively and a 9.5- and 4-fold increase in C</w:t>
            </w:r>
            <w:r w:rsidRPr="006F61E2">
              <w:rPr>
                <w:rFonts w:ascii="Times New Roman" w:hAnsi="Times New Roman"/>
                <w:sz w:val="20"/>
                <w:vertAlign w:val="subscript"/>
                <w:lang w:val="en-CA"/>
              </w:rPr>
              <w:t>max</w:t>
            </w:r>
            <w:r w:rsidRPr="006F61E2">
              <w:rPr>
                <w:rFonts w:ascii="Times New Roman" w:hAnsi="Times New Roman"/>
                <w:sz w:val="20"/>
                <w:lang w:val="en-CA"/>
              </w:rPr>
              <w:t xml:space="preserve"> and AUC of the main active metabolite OP-1118.</w:t>
            </w:r>
          </w:p>
          <w:p w:rsidR="00180A0A" w:rsidRPr="006F61E2" w:rsidRDefault="00180A0A" w:rsidP="001C0BAD">
            <w:pPr>
              <w:widowControl w:val="0"/>
              <w:spacing w:before="84" w:after="40"/>
              <w:rPr>
                <w:rFonts w:ascii="Times New Roman" w:hAnsi="Times New Roman"/>
                <w:sz w:val="20"/>
                <w:lang w:val="en-CA"/>
              </w:rPr>
            </w:pPr>
            <w:r w:rsidRPr="006F61E2">
              <w:rPr>
                <w:rFonts w:ascii="Times New Roman" w:hAnsi="Times New Roman"/>
                <w:sz w:val="20"/>
                <w:lang w:val="en-CA"/>
              </w:rPr>
              <w:t xml:space="preserve">No dose adjustment is recommended. </w:t>
            </w:r>
          </w:p>
        </w:tc>
      </w:tr>
      <w:tr w:rsidR="00180A0A" w:rsidRPr="006F61E2" w:rsidTr="001C0BAD">
        <w:trPr>
          <w:cantSplit/>
        </w:trPr>
        <w:tc>
          <w:tcPr>
            <w:tcW w:w="9360" w:type="dxa"/>
            <w:gridSpan w:val="4"/>
          </w:tcPr>
          <w:p w:rsidR="00180A0A" w:rsidRPr="006F61E2" w:rsidRDefault="00180A0A" w:rsidP="008636EC">
            <w:pPr>
              <w:keepNext/>
              <w:widowControl w:val="0"/>
              <w:spacing w:before="84" w:after="40"/>
              <w:rPr>
                <w:rFonts w:ascii="Times New Roman" w:hAnsi="Times New Roman"/>
                <w:i/>
                <w:iCs/>
                <w:sz w:val="20"/>
                <w:lang w:val="en-CA"/>
              </w:rPr>
            </w:pPr>
            <w:r w:rsidRPr="006F61E2">
              <w:rPr>
                <w:rFonts w:ascii="Times New Roman" w:hAnsi="Times New Roman"/>
                <w:i/>
                <w:iCs/>
                <w:sz w:val="20"/>
                <w:lang w:val="en-CA"/>
              </w:rPr>
              <w:t>P-glycoprotein substrates</w:t>
            </w:r>
          </w:p>
        </w:tc>
      </w:tr>
      <w:tr w:rsidR="00180A0A" w:rsidRPr="006F61E2" w:rsidTr="001C0BAD">
        <w:trPr>
          <w:cantSplit/>
        </w:trPr>
        <w:tc>
          <w:tcPr>
            <w:tcW w:w="2340" w:type="dxa"/>
          </w:tcPr>
          <w:p w:rsidR="00180A0A" w:rsidRPr="006F61E2" w:rsidRDefault="00180A0A" w:rsidP="001C0BAD">
            <w:pPr>
              <w:widowControl w:val="0"/>
              <w:spacing w:before="84" w:after="40"/>
              <w:rPr>
                <w:rFonts w:ascii="Times New Roman" w:hAnsi="Times New Roman"/>
                <w:sz w:val="20"/>
                <w:lang w:val="en-CA"/>
              </w:rPr>
            </w:pPr>
            <w:r w:rsidRPr="006F61E2">
              <w:rPr>
                <w:rFonts w:ascii="Times New Roman" w:hAnsi="Times New Roman"/>
                <w:sz w:val="20"/>
                <w:lang w:val="en-CA"/>
              </w:rPr>
              <w:t>Digoxin</w:t>
            </w:r>
          </w:p>
        </w:tc>
        <w:tc>
          <w:tcPr>
            <w:tcW w:w="1710" w:type="dxa"/>
          </w:tcPr>
          <w:p w:rsidR="00180A0A" w:rsidRPr="006F61E2" w:rsidRDefault="00180A0A" w:rsidP="001C0BAD">
            <w:pPr>
              <w:widowControl w:val="0"/>
              <w:spacing w:before="84" w:after="40"/>
              <w:rPr>
                <w:rFonts w:ascii="Times New Roman" w:hAnsi="Times New Roman"/>
                <w:sz w:val="20"/>
                <w:lang w:val="en-CA"/>
              </w:rPr>
            </w:pPr>
            <w:r w:rsidRPr="006F61E2">
              <w:rPr>
                <w:rFonts w:ascii="Times New Roman" w:hAnsi="Times New Roman"/>
                <w:sz w:val="20"/>
                <w:lang w:val="en-CA"/>
              </w:rPr>
              <w:t>CT</w:t>
            </w:r>
          </w:p>
        </w:tc>
        <w:tc>
          <w:tcPr>
            <w:tcW w:w="1620" w:type="dxa"/>
          </w:tcPr>
          <w:p w:rsidR="00180A0A" w:rsidRPr="006F61E2" w:rsidRDefault="00180A0A" w:rsidP="001C0BAD">
            <w:pPr>
              <w:widowControl w:val="0"/>
              <w:spacing w:before="84" w:after="40"/>
              <w:rPr>
                <w:rFonts w:ascii="Times New Roman" w:hAnsi="Times New Roman"/>
                <w:sz w:val="20"/>
                <w:lang w:val="en-CA"/>
              </w:rPr>
            </w:pPr>
            <w:r w:rsidRPr="006F61E2">
              <w:rPr>
                <w:rFonts w:ascii="Times New Roman" w:hAnsi="Times New Roman"/>
                <w:sz w:val="20"/>
                <w:lang w:val="en-CA"/>
              </w:rPr>
              <w:t>↑digoxin C</w:t>
            </w:r>
            <w:r w:rsidRPr="006F61E2">
              <w:rPr>
                <w:rFonts w:ascii="Times New Roman" w:hAnsi="Times New Roman"/>
                <w:sz w:val="20"/>
                <w:vertAlign w:val="subscript"/>
                <w:lang w:val="en-CA"/>
              </w:rPr>
              <w:t>max</w:t>
            </w:r>
            <w:r w:rsidRPr="006F61E2">
              <w:rPr>
                <w:rFonts w:ascii="Times New Roman" w:hAnsi="Times New Roman"/>
                <w:sz w:val="20"/>
                <w:lang w:val="en-CA"/>
              </w:rPr>
              <w:t>, AUC</w:t>
            </w:r>
          </w:p>
        </w:tc>
        <w:tc>
          <w:tcPr>
            <w:tcW w:w="3690" w:type="dxa"/>
          </w:tcPr>
          <w:p w:rsidR="00180A0A" w:rsidRPr="006F61E2" w:rsidRDefault="00180A0A" w:rsidP="001C0BAD">
            <w:pPr>
              <w:widowControl w:val="0"/>
              <w:spacing w:before="84" w:after="40"/>
              <w:rPr>
                <w:rFonts w:ascii="Times New Roman" w:hAnsi="Times New Roman"/>
                <w:sz w:val="20"/>
                <w:lang w:val="en-CA"/>
              </w:rPr>
            </w:pPr>
            <w:r w:rsidRPr="006F61E2">
              <w:rPr>
                <w:rFonts w:ascii="Times New Roman" w:hAnsi="Times New Roman"/>
                <w:sz w:val="20"/>
                <w:lang w:val="en-CA"/>
              </w:rPr>
              <w:t>Digoxin co-administered with DIFICID (200</w:t>
            </w:r>
            <w:r w:rsidR="00BD3BE0" w:rsidRPr="006F61E2">
              <w:rPr>
                <w:rFonts w:ascii="Times New Roman" w:hAnsi="Times New Roman"/>
                <w:sz w:val="20"/>
                <w:lang w:val="en-CA"/>
              </w:rPr>
              <w:t> </w:t>
            </w:r>
            <w:r w:rsidRPr="006F61E2">
              <w:rPr>
                <w:rFonts w:ascii="Times New Roman" w:hAnsi="Times New Roman"/>
                <w:sz w:val="20"/>
                <w:lang w:val="en-CA"/>
              </w:rPr>
              <w:t>mg twice daily) in healthy volunteers resulted in an increase in digoxin C</w:t>
            </w:r>
            <w:r w:rsidRPr="006F61E2">
              <w:rPr>
                <w:rFonts w:ascii="Times New Roman" w:hAnsi="Times New Roman"/>
                <w:sz w:val="20"/>
                <w:vertAlign w:val="subscript"/>
                <w:lang w:val="en-CA"/>
              </w:rPr>
              <w:t>max</w:t>
            </w:r>
            <w:r w:rsidRPr="006F61E2">
              <w:rPr>
                <w:rFonts w:ascii="Times New Roman" w:hAnsi="Times New Roman"/>
                <w:sz w:val="20"/>
                <w:lang w:val="en-CA"/>
              </w:rPr>
              <w:t xml:space="preserve"> by 14% and AUC by 12%. This effect of fidaxomicin on digoxin exposure is not considered clinically relevant. </w:t>
            </w:r>
          </w:p>
          <w:p w:rsidR="00180A0A" w:rsidRPr="006F61E2" w:rsidRDefault="00180A0A" w:rsidP="001C0BAD">
            <w:pPr>
              <w:widowControl w:val="0"/>
              <w:spacing w:before="84" w:after="40"/>
              <w:rPr>
                <w:rFonts w:ascii="Times New Roman" w:hAnsi="Times New Roman"/>
                <w:sz w:val="20"/>
                <w:lang w:val="en-CA"/>
              </w:rPr>
            </w:pPr>
            <w:r w:rsidRPr="006F61E2">
              <w:rPr>
                <w:rFonts w:ascii="Times New Roman" w:hAnsi="Times New Roman"/>
                <w:sz w:val="20"/>
                <w:lang w:val="en-CA"/>
              </w:rPr>
              <w:t>No dose adjustment is recommended.</w:t>
            </w:r>
          </w:p>
        </w:tc>
      </w:tr>
      <w:tr w:rsidR="00180A0A" w:rsidRPr="006F61E2" w:rsidTr="001C0BAD">
        <w:trPr>
          <w:cantSplit/>
        </w:trPr>
        <w:tc>
          <w:tcPr>
            <w:tcW w:w="9360" w:type="dxa"/>
            <w:gridSpan w:val="4"/>
          </w:tcPr>
          <w:p w:rsidR="00180A0A" w:rsidRPr="006F61E2" w:rsidRDefault="00180A0A" w:rsidP="001C0BAD">
            <w:pPr>
              <w:keepNext/>
              <w:widowControl w:val="0"/>
              <w:spacing w:before="84" w:after="40"/>
              <w:rPr>
                <w:rFonts w:ascii="Times New Roman" w:hAnsi="Times New Roman"/>
                <w:i/>
                <w:iCs/>
                <w:sz w:val="20"/>
                <w:lang w:val="en-CA"/>
              </w:rPr>
            </w:pPr>
            <w:r w:rsidRPr="006F61E2">
              <w:rPr>
                <w:rFonts w:ascii="Times New Roman" w:hAnsi="Times New Roman"/>
                <w:i/>
                <w:iCs/>
                <w:sz w:val="20"/>
                <w:lang w:val="en-CA"/>
              </w:rPr>
              <w:t>CYP2C9 substrate</w:t>
            </w:r>
          </w:p>
        </w:tc>
      </w:tr>
      <w:tr w:rsidR="00180A0A" w:rsidRPr="006F61E2" w:rsidTr="001C0BAD">
        <w:trPr>
          <w:cantSplit/>
        </w:trPr>
        <w:tc>
          <w:tcPr>
            <w:tcW w:w="2340" w:type="dxa"/>
          </w:tcPr>
          <w:p w:rsidR="00180A0A" w:rsidRPr="006F61E2" w:rsidRDefault="00180A0A" w:rsidP="001C0BAD">
            <w:pPr>
              <w:widowControl w:val="0"/>
              <w:spacing w:before="84" w:after="40"/>
              <w:rPr>
                <w:rFonts w:ascii="Times New Roman" w:hAnsi="Times New Roman"/>
                <w:sz w:val="20"/>
                <w:lang w:val="en-CA"/>
              </w:rPr>
            </w:pPr>
            <w:r w:rsidRPr="006F61E2">
              <w:rPr>
                <w:rFonts w:ascii="Times New Roman" w:hAnsi="Times New Roman"/>
                <w:sz w:val="20"/>
                <w:lang w:val="en-CA"/>
              </w:rPr>
              <w:t>Warfarin</w:t>
            </w:r>
          </w:p>
        </w:tc>
        <w:tc>
          <w:tcPr>
            <w:tcW w:w="1710" w:type="dxa"/>
          </w:tcPr>
          <w:p w:rsidR="00180A0A" w:rsidRPr="006F61E2" w:rsidRDefault="00180A0A" w:rsidP="001C0BAD">
            <w:pPr>
              <w:widowControl w:val="0"/>
              <w:spacing w:before="84" w:after="40"/>
              <w:rPr>
                <w:rFonts w:ascii="Times New Roman" w:hAnsi="Times New Roman"/>
                <w:sz w:val="20"/>
                <w:lang w:val="en-CA"/>
              </w:rPr>
            </w:pPr>
            <w:r w:rsidRPr="006F61E2">
              <w:rPr>
                <w:rFonts w:ascii="Times New Roman" w:hAnsi="Times New Roman"/>
                <w:sz w:val="20"/>
                <w:lang w:val="en-CA"/>
              </w:rPr>
              <w:t>CT</w:t>
            </w:r>
          </w:p>
        </w:tc>
        <w:tc>
          <w:tcPr>
            <w:tcW w:w="1620" w:type="dxa"/>
          </w:tcPr>
          <w:p w:rsidR="00180A0A" w:rsidRPr="006F61E2" w:rsidRDefault="00180A0A" w:rsidP="001C0BAD">
            <w:pPr>
              <w:widowControl w:val="0"/>
              <w:spacing w:before="84" w:after="40"/>
              <w:rPr>
                <w:rFonts w:ascii="Times New Roman" w:hAnsi="Times New Roman"/>
                <w:sz w:val="20"/>
                <w:lang w:val="en-CA"/>
              </w:rPr>
            </w:pPr>
            <w:r w:rsidRPr="006F61E2">
              <w:rPr>
                <w:rFonts w:ascii="Times New Roman" w:hAnsi="Times New Roman"/>
                <w:sz w:val="20"/>
                <w:lang w:val="en-CA"/>
              </w:rPr>
              <w:t>No change</w:t>
            </w:r>
          </w:p>
        </w:tc>
        <w:tc>
          <w:tcPr>
            <w:tcW w:w="3690" w:type="dxa"/>
          </w:tcPr>
          <w:p w:rsidR="00180A0A" w:rsidRPr="006F61E2" w:rsidRDefault="00180A0A" w:rsidP="001C0BAD">
            <w:pPr>
              <w:widowControl w:val="0"/>
              <w:spacing w:before="84" w:after="40"/>
              <w:rPr>
                <w:rFonts w:ascii="Times New Roman" w:hAnsi="Times New Roman"/>
                <w:sz w:val="20"/>
                <w:lang w:val="en-CA"/>
              </w:rPr>
            </w:pPr>
            <w:r w:rsidRPr="006F61E2">
              <w:rPr>
                <w:rFonts w:ascii="Times New Roman" w:hAnsi="Times New Roman"/>
                <w:sz w:val="20"/>
                <w:lang w:val="en-CA"/>
              </w:rPr>
              <w:t>A drug-drug interaction study was carried out using CYP2C9 substrate warfarin. The results of this study indicated that co-administration with DIFICID (q12h) did not result in a statistically significant change in the pharmacokinetics of warfarin.</w:t>
            </w:r>
          </w:p>
          <w:p w:rsidR="00180A0A" w:rsidRPr="006F61E2" w:rsidRDefault="00180A0A" w:rsidP="001C0BAD">
            <w:pPr>
              <w:widowControl w:val="0"/>
              <w:spacing w:before="84" w:after="40"/>
              <w:rPr>
                <w:rFonts w:ascii="Times New Roman" w:hAnsi="Times New Roman"/>
                <w:sz w:val="20"/>
                <w:lang w:val="en-CA"/>
              </w:rPr>
            </w:pPr>
            <w:r w:rsidRPr="006F61E2">
              <w:rPr>
                <w:rFonts w:ascii="Times New Roman" w:hAnsi="Times New Roman"/>
                <w:sz w:val="20"/>
                <w:lang w:val="en-CA"/>
              </w:rPr>
              <w:t>No dose adjustment is recommended.</w:t>
            </w:r>
          </w:p>
        </w:tc>
      </w:tr>
      <w:tr w:rsidR="00180A0A" w:rsidRPr="006F61E2" w:rsidTr="001C0BAD">
        <w:trPr>
          <w:cantSplit/>
        </w:trPr>
        <w:tc>
          <w:tcPr>
            <w:tcW w:w="9360" w:type="dxa"/>
            <w:gridSpan w:val="4"/>
          </w:tcPr>
          <w:p w:rsidR="00180A0A" w:rsidRPr="006F61E2" w:rsidRDefault="00180A0A" w:rsidP="001C0BAD">
            <w:pPr>
              <w:keepNext/>
              <w:widowControl w:val="0"/>
              <w:spacing w:before="84" w:after="40"/>
              <w:rPr>
                <w:rFonts w:ascii="Times New Roman" w:hAnsi="Times New Roman"/>
                <w:i/>
                <w:iCs/>
                <w:sz w:val="20"/>
                <w:lang w:val="en-CA"/>
              </w:rPr>
            </w:pPr>
            <w:r w:rsidRPr="006F61E2">
              <w:rPr>
                <w:rFonts w:ascii="Times New Roman" w:hAnsi="Times New Roman"/>
                <w:i/>
                <w:iCs/>
                <w:sz w:val="20"/>
                <w:lang w:val="en-CA"/>
              </w:rPr>
              <w:lastRenderedPageBreak/>
              <w:t>CYP3A4 substrate</w:t>
            </w:r>
          </w:p>
        </w:tc>
      </w:tr>
      <w:tr w:rsidR="00180A0A" w:rsidRPr="006F61E2" w:rsidTr="001C0BAD">
        <w:trPr>
          <w:cantSplit/>
        </w:trPr>
        <w:tc>
          <w:tcPr>
            <w:tcW w:w="2340" w:type="dxa"/>
          </w:tcPr>
          <w:p w:rsidR="00180A0A" w:rsidRPr="006F61E2" w:rsidRDefault="00180A0A" w:rsidP="001C0BAD">
            <w:pPr>
              <w:widowControl w:val="0"/>
              <w:spacing w:before="84" w:after="40"/>
              <w:rPr>
                <w:rFonts w:ascii="Times New Roman" w:hAnsi="Times New Roman"/>
                <w:sz w:val="20"/>
                <w:lang w:val="en-CA"/>
              </w:rPr>
            </w:pPr>
            <w:r w:rsidRPr="006F61E2">
              <w:rPr>
                <w:rFonts w:ascii="Times New Roman" w:hAnsi="Times New Roman"/>
                <w:sz w:val="20"/>
                <w:lang w:val="en-CA"/>
              </w:rPr>
              <w:t>Midazolam</w:t>
            </w:r>
          </w:p>
        </w:tc>
        <w:tc>
          <w:tcPr>
            <w:tcW w:w="1710" w:type="dxa"/>
          </w:tcPr>
          <w:p w:rsidR="00180A0A" w:rsidRPr="006F61E2" w:rsidRDefault="00180A0A" w:rsidP="001C0BAD">
            <w:pPr>
              <w:widowControl w:val="0"/>
              <w:spacing w:before="84" w:after="40"/>
              <w:rPr>
                <w:rFonts w:ascii="Times New Roman" w:hAnsi="Times New Roman"/>
                <w:sz w:val="20"/>
                <w:lang w:val="en-CA"/>
              </w:rPr>
            </w:pPr>
            <w:r w:rsidRPr="006F61E2">
              <w:rPr>
                <w:rFonts w:ascii="Times New Roman" w:hAnsi="Times New Roman"/>
                <w:sz w:val="20"/>
                <w:lang w:val="en-CA"/>
              </w:rPr>
              <w:t>CT</w:t>
            </w:r>
          </w:p>
        </w:tc>
        <w:tc>
          <w:tcPr>
            <w:tcW w:w="1620" w:type="dxa"/>
          </w:tcPr>
          <w:p w:rsidR="00180A0A" w:rsidRPr="006F61E2" w:rsidRDefault="00180A0A" w:rsidP="001C0BAD">
            <w:pPr>
              <w:widowControl w:val="0"/>
              <w:spacing w:before="84" w:after="40"/>
              <w:rPr>
                <w:rFonts w:ascii="Times New Roman" w:hAnsi="Times New Roman"/>
                <w:sz w:val="20"/>
                <w:lang w:val="en-CA"/>
              </w:rPr>
            </w:pPr>
            <w:r w:rsidRPr="006F61E2">
              <w:rPr>
                <w:rFonts w:ascii="Times New Roman" w:hAnsi="Times New Roman"/>
                <w:sz w:val="20"/>
                <w:lang w:val="en-CA"/>
              </w:rPr>
              <w:t>No change</w:t>
            </w:r>
          </w:p>
        </w:tc>
        <w:tc>
          <w:tcPr>
            <w:tcW w:w="3690" w:type="dxa"/>
          </w:tcPr>
          <w:p w:rsidR="00180A0A" w:rsidRPr="006F61E2" w:rsidRDefault="00180A0A" w:rsidP="001C0BAD">
            <w:pPr>
              <w:widowControl w:val="0"/>
              <w:spacing w:before="84" w:after="40"/>
              <w:rPr>
                <w:rFonts w:ascii="Times New Roman" w:hAnsi="Times New Roman"/>
                <w:sz w:val="20"/>
                <w:lang w:val="en-CA"/>
              </w:rPr>
            </w:pPr>
            <w:r w:rsidRPr="006F61E2">
              <w:rPr>
                <w:rFonts w:ascii="Times New Roman" w:hAnsi="Times New Roman"/>
                <w:sz w:val="20"/>
                <w:lang w:val="en-CA"/>
              </w:rPr>
              <w:t>A drug-drug interaction study was carried out using CYP3A4/5 substrate midazolam. The results of this study indicated that co-administration with DIFICID (q12h) did not result in a statistically significant change in the pharmacokinetics of midazolam.</w:t>
            </w:r>
          </w:p>
          <w:p w:rsidR="00180A0A" w:rsidRPr="006F61E2" w:rsidRDefault="00180A0A" w:rsidP="001C0BAD">
            <w:pPr>
              <w:widowControl w:val="0"/>
              <w:spacing w:before="84" w:after="40"/>
              <w:rPr>
                <w:rFonts w:ascii="Times New Roman" w:hAnsi="Times New Roman"/>
                <w:sz w:val="20"/>
                <w:lang w:val="en-CA"/>
              </w:rPr>
            </w:pPr>
            <w:r w:rsidRPr="006F61E2">
              <w:rPr>
                <w:rFonts w:ascii="Times New Roman" w:hAnsi="Times New Roman"/>
                <w:sz w:val="20"/>
                <w:lang w:val="en-CA"/>
              </w:rPr>
              <w:t>No dose adjustment is recommended.</w:t>
            </w:r>
          </w:p>
        </w:tc>
      </w:tr>
      <w:tr w:rsidR="00180A0A" w:rsidRPr="006F61E2" w:rsidTr="001C0BAD">
        <w:trPr>
          <w:cantSplit/>
        </w:trPr>
        <w:tc>
          <w:tcPr>
            <w:tcW w:w="9360" w:type="dxa"/>
            <w:gridSpan w:val="4"/>
          </w:tcPr>
          <w:p w:rsidR="00180A0A" w:rsidRPr="006F61E2" w:rsidRDefault="00180A0A" w:rsidP="008636EC">
            <w:pPr>
              <w:keepNext/>
              <w:widowControl w:val="0"/>
              <w:spacing w:before="84" w:after="40"/>
              <w:rPr>
                <w:rFonts w:ascii="Times New Roman" w:hAnsi="Times New Roman"/>
                <w:i/>
                <w:iCs/>
                <w:sz w:val="20"/>
                <w:lang w:val="en-CA"/>
              </w:rPr>
            </w:pPr>
            <w:r w:rsidRPr="006F61E2">
              <w:rPr>
                <w:rFonts w:ascii="Times New Roman" w:hAnsi="Times New Roman"/>
                <w:i/>
                <w:iCs/>
                <w:sz w:val="20"/>
                <w:lang w:val="en-CA"/>
              </w:rPr>
              <w:t>CYP2C19 substrate</w:t>
            </w:r>
          </w:p>
        </w:tc>
      </w:tr>
      <w:tr w:rsidR="00180A0A" w:rsidRPr="006F61E2" w:rsidTr="001C0BAD">
        <w:trPr>
          <w:cantSplit/>
        </w:trPr>
        <w:tc>
          <w:tcPr>
            <w:tcW w:w="2340" w:type="dxa"/>
          </w:tcPr>
          <w:p w:rsidR="00180A0A" w:rsidRPr="006F61E2" w:rsidRDefault="00180A0A" w:rsidP="008636EC">
            <w:pPr>
              <w:keepNext/>
              <w:widowControl w:val="0"/>
              <w:spacing w:before="84" w:after="40"/>
              <w:rPr>
                <w:rFonts w:ascii="Times New Roman" w:hAnsi="Times New Roman"/>
                <w:sz w:val="20"/>
                <w:lang w:val="en-CA"/>
              </w:rPr>
            </w:pPr>
            <w:r w:rsidRPr="006F61E2">
              <w:rPr>
                <w:rFonts w:ascii="Times New Roman" w:hAnsi="Times New Roman"/>
                <w:sz w:val="20"/>
                <w:lang w:val="en-CA"/>
              </w:rPr>
              <w:t>Omeprazole</w:t>
            </w:r>
          </w:p>
        </w:tc>
        <w:tc>
          <w:tcPr>
            <w:tcW w:w="1710" w:type="dxa"/>
          </w:tcPr>
          <w:p w:rsidR="00180A0A" w:rsidRPr="006F61E2" w:rsidRDefault="00180A0A" w:rsidP="008636EC">
            <w:pPr>
              <w:keepNext/>
              <w:widowControl w:val="0"/>
              <w:spacing w:before="84" w:after="40"/>
              <w:rPr>
                <w:rFonts w:ascii="Times New Roman" w:hAnsi="Times New Roman"/>
                <w:sz w:val="20"/>
                <w:lang w:val="en-CA"/>
              </w:rPr>
            </w:pPr>
            <w:r w:rsidRPr="006F61E2">
              <w:rPr>
                <w:rFonts w:ascii="Times New Roman" w:hAnsi="Times New Roman"/>
                <w:sz w:val="20"/>
                <w:lang w:val="en-CA"/>
              </w:rPr>
              <w:t>CT</w:t>
            </w:r>
          </w:p>
        </w:tc>
        <w:tc>
          <w:tcPr>
            <w:tcW w:w="1620" w:type="dxa"/>
          </w:tcPr>
          <w:p w:rsidR="00180A0A" w:rsidRPr="006F61E2" w:rsidRDefault="00180A0A" w:rsidP="008636EC">
            <w:pPr>
              <w:keepNext/>
              <w:widowControl w:val="0"/>
              <w:spacing w:before="84" w:after="40"/>
              <w:rPr>
                <w:rFonts w:ascii="Times New Roman" w:hAnsi="Times New Roman"/>
                <w:sz w:val="20"/>
                <w:lang w:val="en-CA"/>
              </w:rPr>
            </w:pPr>
            <w:r w:rsidRPr="006F61E2">
              <w:rPr>
                <w:rFonts w:ascii="Times New Roman" w:hAnsi="Times New Roman"/>
                <w:sz w:val="20"/>
                <w:lang w:val="en-CA"/>
              </w:rPr>
              <w:t>No change</w:t>
            </w:r>
          </w:p>
        </w:tc>
        <w:tc>
          <w:tcPr>
            <w:tcW w:w="3690" w:type="dxa"/>
          </w:tcPr>
          <w:p w:rsidR="00180A0A" w:rsidRPr="006F61E2" w:rsidRDefault="00180A0A" w:rsidP="008636EC">
            <w:pPr>
              <w:keepNext/>
              <w:widowControl w:val="0"/>
              <w:spacing w:before="84" w:after="40"/>
              <w:rPr>
                <w:rFonts w:ascii="Times New Roman" w:hAnsi="Times New Roman"/>
                <w:sz w:val="20"/>
                <w:lang w:val="en-CA"/>
              </w:rPr>
            </w:pPr>
            <w:r w:rsidRPr="006F61E2">
              <w:rPr>
                <w:rFonts w:ascii="Times New Roman" w:hAnsi="Times New Roman"/>
                <w:sz w:val="20"/>
                <w:lang w:val="en-CA"/>
              </w:rPr>
              <w:t>A drug-drug interaction study was carried out using CYP2C19 substrate omeprazole. The results of this study indicated that co-administration with DIFICID (q12h) did not result in a statistically significant change in the pharmacokinetics of omeprazole.</w:t>
            </w:r>
          </w:p>
          <w:p w:rsidR="00180A0A" w:rsidRPr="006F61E2" w:rsidRDefault="00180A0A" w:rsidP="008636EC">
            <w:pPr>
              <w:keepNext/>
              <w:widowControl w:val="0"/>
              <w:spacing w:before="84" w:after="40"/>
              <w:rPr>
                <w:rFonts w:ascii="Times New Roman" w:hAnsi="Times New Roman"/>
                <w:sz w:val="20"/>
                <w:lang w:val="en-CA"/>
              </w:rPr>
            </w:pPr>
            <w:r w:rsidRPr="006F61E2">
              <w:rPr>
                <w:rFonts w:ascii="Times New Roman" w:hAnsi="Times New Roman"/>
                <w:sz w:val="20"/>
                <w:lang w:val="en-CA"/>
              </w:rPr>
              <w:t>No dose adjustment is recommended.</w:t>
            </w:r>
          </w:p>
        </w:tc>
      </w:tr>
    </w:tbl>
    <w:p w:rsidR="00FD19EC" w:rsidRPr="0084329E" w:rsidRDefault="00180A0A" w:rsidP="00180A0A">
      <w:pPr>
        <w:widowControl w:val="0"/>
        <w:rPr>
          <w:rFonts w:ascii="Times New Roman" w:hAnsi="Times New Roman"/>
          <w:lang w:val="en-CA"/>
        </w:rPr>
      </w:pPr>
      <w:r w:rsidRPr="00F526C8">
        <w:rPr>
          <w:rFonts w:ascii="Times New Roman" w:hAnsi="Times New Roman"/>
          <w:sz w:val="20"/>
          <w:lang w:val="en-CA"/>
        </w:rPr>
        <w:t>CT = Clinical Trial</w:t>
      </w:r>
    </w:p>
    <w:p w:rsidR="00180A0A" w:rsidRPr="009C0222" w:rsidRDefault="009C0222" w:rsidP="00692175">
      <w:pPr>
        <w:keepNext/>
        <w:rPr>
          <w:u w:val="single"/>
          <w:lang w:val="en-CA"/>
        </w:rPr>
      </w:pPr>
      <w:r w:rsidRPr="009C0222">
        <w:rPr>
          <w:rFonts w:ascii="TimesNewRomanPS-BoldMT" w:hAnsi="TimesNewRomanPS-BoldMT" w:cs="TimesNewRomanPS-BoldMT"/>
          <w:b/>
          <w:bCs/>
          <w:sz w:val="28"/>
          <w:szCs w:val="28"/>
          <w:u w:val="single"/>
        </w:rPr>
        <w:t>ADVERSE EFFECTS</w:t>
      </w:r>
    </w:p>
    <w:p w:rsidR="006657DC" w:rsidRPr="006657DC" w:rsidRDefault="006657DC" w:rsidP="006657DC">
      <w:pPr>
        <w:keepNext/>
        <w:rPr>
          <w:rFonts w:ascii="Times New Roman" w:hAnsi="Times New Roman"/>
          <w:b/>
          <w:u w:val="single"/>
          <w:lang w:val="en-CA"/>
        </w:rPr>
      </w:pPr>
      <w:r w:rsidRPr="006657DC">
        <w:rPr>
          <w:rFonts w:ascii="Times New Roman" w:hAnsi="Times New Roman"/>
          <w:b/>
          <w:u w:val="single"/>
          <w:lang w:val="en-CA"/>
        </w:rPr>
        <w:t>Clinical Trial Adverse Effects Overview</w:t>
      </w:r>
    </w:p>
    <w:p w:rsidR="006657DC" w:rsidRPr="006657DC" w:rsidRDefault="006657DC" w:rsidP="006657DC">
      <w:pPr>
        <w:rPr>
          <w:rFonts w:ascii="Times New Roman" w:hAnsi="Times New Roman"/>
          <w:lang w:val="en-CA"/>
        </w:rPr>
      </w:pPr>
      <w:r w:rsidRPr="00CA7A64">
        <w:t>T</w:t>
      </w:r>
      <w:r w:rsidRPr="006657DC">
        <w:rPr>
          <w:rFonts w:ascii="Times New Roman" w:hAnsi="Times New Roman"/>
          <w:lang w:val="en-CA"/>
        </w:rPr>
        <w:t xml:space="preserve">he safety of DIFICID 200 mg tablets taken twice a day for 10 days was evaluated in 564 patients with </w:t>
      </w:r>
      <w:r w:rsidRPr="006657DC">
        <w:rPr>
          <w:rFonts w:ascii="Times New Roman" w:hAnsi="Times New Roman"/>
          <w:i/>
          <w:lang w:val="en-CA"/>
        </w:rPr>
        <w:t xml:space="preserve">C. difficile </w:t>
      </w:r>
      <w:r w:rsidRPr="006657DC">
        <w:rPr>
          <w:rFonts w:ascii="Times New Roman" w:hAnsi="Times New Roman"/>
          <w:lang w:val="en-CA"/>
        </w:rPr>
        <w:t xml:space="preserve">infection in two active-comparator, double-blind, controlled trials with 86.7% of patients receiving a full course of treatment. </w:t>
      </w:r>
    </w:p>
    <w:p w:rsidR="006657DC" w:rsidRPr="006657DC" w:rsidRDefault="006657DC" w:rsidP="006657DC">
      <w:pPr>
        <w:rPr>
          <w:rFonts w:ascii="Times New Roman" w:hAnsi="Times New Roman"/>
          <w:lang w:val="en-CA"/>
        </w:rPr>
      </w:pPr>
      <w:r w:rsidRPr="006657DC">
        <w:rPr>
          <w:rFonts w:ascii="Times New Roman" w:hAnsi="Times New Roman"/>
          <w:lang w:val="en-CA"/>
        </w:rPr>
        <w:t xml:space="preserve">In the DIFICID Phase 3 clinical trials, the overall incidence of adverse events was similar for subjects in the </w:t>
      </w:r>
      <w:r>
        <w:rPr>
          <w:rFonts w:ascii="Times New Roman" w:hAnsi="Times New Roman"/>
          <w:lang w:val="en-CA"/>
        </w:rPr>
        <w:t>DIFICID</w:t>
      </w:r>
      <w:r w:rsidRPr="006657DC">
        <w:rPr>
          <w:rFonts w:ascii="Times New Roman" w:hAnsi="Times New Roman"/>
          <w:lang w:val="en-CA"/>
        </w:rPr>
        <w:t xml:space="preserve"> (68.3%) and vancomycin (65.5%) groups.  The overall incidence of mild, moderate, and severe adverse events was similar for the </w:t>
      </w:r>
      <w:r>
        <w:rPr>
          <w:rFonts w:ascii="Times New Roman" w:hAnsi="Times New Roman"/>
          <w:lang w:val="en-CA"/>
        </w:rPr>
        <w:t xml:space="preserve">DIFICID </w:t>
      </w:r>
      <w:r w:rsidRPr="006657DC">
        <w:rPr>
          <w:rFonts w:ascii="Times New Roman" w:hAnsi="Times New Roman"/>
          <w:lang w:val="en-CA"/>
        </w:rPr>
        <w:t xml:space="preserve">and vancomycin groups. </w:t>
      </w:r>
    </w:p>
    <w:p w:rsidR="006657DC" w:rsidRPr="006657DC" w:rsidRDefault="006657DC" w:rsidP="006657DC">
      <w:pPr>
        <w:rPr>
          <w:rFonts w:ascii="Times New Roman" w:hAnsi="Times New Roman"/>
          <w:lang w:val="en-CA"/>
        </w:rPr>
      </w:pPr>
      <w:r w:rsidRPr="006657DC">
        <w:rPr>
          <w:rFonts w:ascii="Times New Roman" w:hAnsi="Times New Roman"/>
          <w:lang w:val="en-CA"/>
        </w:rPr>
        <w:t>In the Phase 3 clinical trials, the incidence of an adverse event for which drug was stopped permanently or the subject discontinued from the study was low (&lt;10% across treatment groups). The overall incidence of adverse events leading to study withdrawal was similar for the DIFICID (n=33, 5.9%) and comparator (n=40, 6.9%) groups. Vomiting was the primary adverse event leading to discontinuation of dosing; this occurred at an incidence of 0.5% in both the fidaxomicin and vancomycin subjects in the pooled Phase 3 studies.</w:t>
      </w:r>
    </w:p>
    <w:p w:rsidR="006657DC" w:rsidRDefault="00143366" w:rsidP="006657DC">
      <w:pPr>
        <w:rPr>
          <w:rFonts w:cs="Calibri"/>
          <w:bCs/>
        </w:rPr>
      </w:pPr>
      <w:r>
        <w:rPr>
          <w:rFonts w:ascii="Times New Roman" w:hAnsi="Times New Roman"/>
          <w:lang w:val="en-CA"/>
        </w:rPr>
        <w:t>Compared to</w:t>
      </w:r>
      <w:r w:rsidR="006657DC" w:rsidRPr="006657DC">
        <w:rPr>
          <w:rFonts w:ascii="Times New Roman" w:hAnsi="Times New Roman"/>
          <w:lang w:val="en-CA"/>
        </w:rPr>
        <w:t xml:space="preserve"> </w:t>
      </w:r>
      <w:r w:rsidR="006657DC">
        <w:rPr>
          <w:rFonts w:ascii="Times New Roman" w:hAnsi="Times New Roman"/>
          <w:lang w:val="en-CA"/>
        </w:rPr>
        <w:t>vancomycin</w:t>
      </w:r>
      <w:r w:rsidR="006657DC" w:rsidRPr="006657DC">
        <w:rPr>
          <w:rFonts w:ascii="Times New Roman" w:hAnsi="Times New Roman"/>
          <w:lang w:val="en-CA"/>
        </w:rPr>
        <w:t xml:space="preserve">, more patients treated with </w:t>
      </w:r>
      <w:r w:rsidR="00961350">
        <w:rPr>
          <w:rFonts w:ascii="Times New Roman" w:hAnsi="Times New Roman"/>
          <w:lang w:val="en-CA"/>
        </w:rPr>
        <w:t xml:space="preserve">DIFICID experienced neutropenia-related events </w:t>
      </w:r>
      <w:r w:rsidR="006657DC" w:rsidRPr="006657DC">
        <w:rPr>
          <w:rFonts w:ascii="Times New Roman" w:hAnsi="Times New Roman"/>
          <w:lang w:val="en-CA"/>
        </w:rPr>
        <w:t>(</w:t>
      </w:r>
      <w:r w:rsidR="003D44E7">
        <w:rPr>
          <w:rFonts w:ascii="Times New Roman" w:hAnsi="Times New Roman"/>
          <w:lang w:val="en-CA"/>
        </w:rPr>
        <w:t>2.4</w:t>
      </w:r>
      <w:r w:rsidR="006657DC" w:rsidRPr="006657DC">
        <w:rPr>
          <w:rFonts w:ascii="Times New Roman" w:hAnsi="Times New Roman"/>
          <w:lang w:val="en-CA"/>
        </w:rPr>
        <w:t>% versus 1</w:t>
      </w:r>
      <w:r w:rsidR="00961350">
        <w:rPr>
          <w:rFonts w:ascii="Times New Roman" w:hAnsi="Times New Roman"/>
          <w:lang w:val="en-CA"/>
        </w:rPr>
        <w:t>.</w:t>
      </w:r>
      <w:r w:rsidR="003D44E7">
        <w:rPr>
          <w:rFonts w:ascii="Times New Roman" w:hAnsi="Times New Roman"/>
          <w:lang w:val="en-CA"/>
        </w:rPr>
        <w:t>0</w:t>
      </w:r>
      <w:r w:rsidR="006657DC" w:rsidRPr="006657DC">
        <w:rPr>
          <w:rFonts w:ascii="Times New Roman" w:hAnsi="Times New Roman"/>
          <w:lang w:val="en-CA"/>
        </w:rPr>
        <w:t>%). However, these events were considered not drug-related by the investigators.</w:t>
      </w:r>
      <w:r w:rsidR="006657DC" w:rsidRPr="003313DB">
        <w:rPr>
          <w:rFonts w:cs="Calibri"/>
          <w:bCs/>
        </w:rPr>
        <w:t xml:space="preserve"> </w:t>
      </w:r>
    </w:p>
    <w:p w:rsidR="006657DC" w:rsidRPr="00C86067" w:rsidRDefault="006657DC" w:rsidP="00C86067">
      <w:pPr>
        <w:rPr>
          <w:rFonts w:ascii="Times New Roman" w:hAnsi="Times New Roman"/>
          <w:lang w:val="en-CA"/>
        </w:rPr>
      </w:pPr>
      <w:r w:rsidRPr="00C86067">
        <w:rPr>
          <w:rFonts w:ascii="Times New Roman" w:hAnsi="Times New Roman"/>
          <w:lang w:val="en-CA"/>
        </w:rPr>
        <w:t xml:space="preserve">All adverse events that occurred at an incidence ≥2% in the Phase 3 clinical trials are provided in Table </w:t>
      </w:r>
      <w:r w:rsidR="009D046F">
        <w:rPr>
          <w:rFonts w:ascii="Times New Roman" w:hAnsi="Times New Roman"/>
          <w:lang w:val="en-CA"/>
        </w:rPr>
        <w:t>6</w:t>
      </w:r>
      <w:r w:rsidRPr="00C86067">
        <w:rPr>
          <w:rFonts w:ascii="Times New Roman" w:hAnsi="Times New Roman"/>
          <w:lang w:val="en-CA"/>
        </w:rPr>
        <w:t>.  (These include adverse events that may be attributable to the underlying disease).</w:t>
      </w:r>
    </w:p>
    <w:tbl>
      <w:tblPr>
        <w:tblW w:w="9000" w:type="dxa"/>
        <w:tblInd w:w="12" w:type="dxa"/>
        <w:tblLayout w:type="fixed"/>
        <w:tblCellMar>
          <w:left w:w="12" w:type="dxa"/>
          <w:right w:w="12" w:type="dxa"/>
        </w:tblCellMar>
        <w:tblLook w:val="0000"/>
      </w:tblPr>
      <w:tblGrid>
        <w:gridCol w:w="4770"/>
        <w:gridCol w:w="2250"/>
        <w:gridCol w:w="1980"/>
      </w:tblGrid>
      <w:tr w:rsidR="006657DC" w:rsidRPr="00C900C4" w:rsidTr="006657DC">
        <w:trPr>
          <w:cantSplit/>
          <w:tblHeader/>
        </w:trPr>
        <w:tc>
          <w:tcPr>
            <w:tcW w:w="9000" w:type="dxa"/>
            <w:gridSpan w:val="3"/>
            <w:tcBorders>
              <w:top w:val="single" w:sz="4" w:space="0" w:color="auto"/>
              <w:left w:val="single" w:sz="4" w:space="0" w:color="auto"/>
              <w:bottom w:val="single" w:sz="4" w:space="0" w:color="auto"/>
              <w:right w:val="single" w:sz="4" w:space="0" w:color="auto"/>
            </w:tcBorders>
            <w:vAlign w:val="bottom"/>
          </w:tcPr>
          <w:p w:rsidR="006657DC" w:rsidRPr="00C900C4" w:rsidRDefault="009D046F" w:rsidP="006657DC">
            <w:pPr>
              <w:pStyle w:val="Caption"/>
              <w:tabs>
                <w:tab w:val="clear" w:pos="1803"/>
              </w:tabs>
              <w:ind w:left="0" w:firstLine="0"/>
              <w:rPr>
                <w:color w:val="auto"/>
              </w:rPr>
            </w:pPr>
            <w:bookmarkStart w:id="0" w:name="_Toc351384206"/>
            <w:r>
              <w:rPr>
                <w:color w:val="auto"/>
              </w:rPr>
              <w:lastRenderedPageBreak/>
              <w:t xml:space="preserve">Table 6:  </w:t>
            </w:r>
            <w:r w:rsidR="006657DC" w:rsidRPr="00C900C4">
              <w:rPr>
                <w:color w:val="auto"/>
              </w:rPr>
              <w:t>Summary of Adverse Events with a ≥2% Incidence in Any Treatment Group: Phase 3 Studies (Safety Population)</w:t>
            </w:r>
            <w:bookmarkEnd w:id="0"/>
          </w:p>
        </w:tc>
      </w:tr>
      <w:tr w:rsidR="006657DC" w:rsidRPr="00C900C4" w:rsidTr="006657DC">
        <w:trPr>
          <w:cantSplit/>
          <w:tblHeader/>
        </w:trPr>
        <w:tc>
          <w:tcPr>
            <w:tcW w:w="4770" w:type="dxa"/>
            <w:tcBorders>
              <w:top w:val="single" w:sz="4" w:space="0" w:color="auto"/>
              <w:left w:val="single" w:sz="4" w:space="0" w:color="auto"/>
              <w:bottom w:val="single" w:sz="4" w:space="0" w:color="000000"/>
              <w:right w:val="single" w:sz="4" w:space="0" w:color="auto"/>
            </w:tcBorders>
            <w:vAlign w:val="bottom"/>
          </w:tcPr>
          <w:p w:rsidR="006657DC" w:rsidRPr="00C900C4" w:rsidRDefault="006657DC" w:rsidP="006657DC">
            <w:pPr>
              <w:keepNext/>
              <w:adjustRightInd w:val="0"/>
              <w:spacing w:before="12" w:after="12"/>
              <w:rPr>
                <w:b/>
                <w:sz w:val="20"/>
                <w:szCs w:val="20"/>
              </w:rPr>
            </w:pPr>
            <w:r w:rsidRPr="00C900C4">
              <w:rPr>
                <w:b/>
                <w:sz w:val="20"/>
                <w:szCs w:val="20"/>
              </w:rPr>
              <w:t xml:space="preserve">  Preferred Term</w:t>
            </w:r>
          </w:p>
        </w:tc>
        <w:tc>
          <w:tcPr>
            <w:tcW w:w="2250" w:type="dxa"/>
            <w:tcBorders>
              <w:top w:val="single" w:sz="4" w:space="0" w:color="auto"/>
              <w:left w:val="single" w:sz="4" w:space="0" w:color="auto"/>
              <w:bottom w:val="single" w:sz="4" w:space="0" w:color="000000"/>
              <w:right w:val="single" w:sz="4" w:space="0" w:color="auto"/>
            </w:tcBorders>
            <w:vAlign w:val="bottom"/>
          </w:tcPr>
          <w:p w:rsidR="006657DC" w:rsidRPr="00C900C4" w:rsidRDefault="006657DC" w:rsidP="006657DC">
            <w:pPr>
              <w:keepNext/>
              <w:adjustRightInd w:val="0"/>
              <w:spacing w:before="12" w:after="12"/>
              <w:jc w:val="center"/>
              <w:rPr>
                <w:b/>
                <w:sz w:val="20"/>
                <w:szCs w:val="20"/>
              </w:rPr>
            </w:pPr>
            <w:r w:rsidRPr="00C900C4">
              <w:rPr>
                <w:b/>
                <w:sz w:val="20"/>
                <w:szCs w:val="20"/>
              </w:rPr>
              <w:t>Fidaxomicin 400mg</w:t>
            </w:r>
            <w:r w:rsidRPr="00C900C4">
              <w:rPr>
                <w:b/>
                <w:sz w:val="20"/>
                <w:szCs w:val="20"/>
              </w:rPr>
              <w:br/>
              <w:t>(N=564)</w:t>
            </w:r>
            <w:r w:rsidRPr="00C900C4">
              <w:rPr>
                <w:b/>
                <w:sz w:val="20"/>
                <w:szCs w:val="20"/>
              </w:rPr>
              <w:br/>
              <w:t>n (%)</w:t>
            </w:r>
          </w:p>
        </w:tc>
        <w:tc>
          <w:tcPr>
            <w:tcW w:w="1980" w:type="dxa"/>
            <w:tcBorders>
              <w:top w:val="single" w:sz="4" w:space="0" w:color="auto"/>
              <w:left w:val="single" w:sz="4" w:space="0" w:color="auto"/>
              <w:bottom w:val="single" w:sz="4" w:space="0" w:color="000000"/>
              <w:right w:val="single" w:sz="4" w:space="0" w:color="auto"/>
            </w:tcBorders>
            <w:vAlign w:val="bottom"/>
          </w:tcPr>
          <w:p w:rsidR="006657DC" w:rsidRPr="00C900C4" w:rsidRDefault="006657DC" w:rsidP="006657DC">
            <w:pPr>
              <w:keepNext/>
              <w:adjustRightInd w:val="0"/>
              <w:spacing w:before="12" w:after="12"/>
              <w:jc w:val="center"/>
              <w:rPr>
                <w:b/>
                <w:sz w:val="20"/>
                <w:szCs w:val="20"/>
              </w:rPr>
            </w:pPr>
            <w:r w:rsidRPr="00C900C4">
              <w:rPr>
                <w:b/>
                <w:sz w:val="20"/>
                <w:szCs w:val="20"/>
              </w:rPr>
              <w:t>Vancomycin 500mg</w:t>
            </w:r>
            <w:r w:rsidRPr="00C900C4">
              <w:rPr>
                <w:b/>
                <w:sz w:val="20"/>
                <w:szCs w:val="20"/>
              </w:rPr>
              <w:br/>
              <w:t>(N=583)</w:t>
            </w:r>
            <w:r w:rsidRPr="00C900C4">
              <w:rPr>
                <w:b/>
                <w:sz w:val="20"/>
                <w:szCs w:val="20"/>
              </w:rPr>
              <w:br/>
              <w:t>n (%)</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1"/>
        </w:trPr>
        <w:tc>
          <w:tcPr>
            <w:tcW w:w="4770" w:type="dxa"/>
            <w:vAlign w:val="center"/>
          </w:tcPr>
          <w:p w:rsidR="006657DC" w:rsidRPr="00C900C4" w:rsidRDefault="006657DC" w:rsidP="00C86067">
            <w:pPr>
              <w:pStyle w:val="TableText"/>
            </w:pPr>
            <w:r w:rsidRPr="00C900C4">
              <w:t>Any A</w:t>
            </w:r>
            <w:r w:rsidR="00C86067" w:rsidRPr="00C900C4">
              <w:t>dverse Event</w:t>
            </w:r>
          </w:p>
        </w:tc>
        <w:tc>
          <w:tcPr>
            <w:tcW w:w="2250" w:type="dxa"/>
            <w:vAlign w:val="center"/>
          </w:tcPr>
          <w:p w:rsidR="006657DC" w:rsidRPr="00C900C4" w:rsidRDefault="006657DC" w:rsidP="006657DC">
            <w:pPr>
              <w:pStyle w:val="C-TableText"/>
              <w:keepNext/>
              <w:keepLines/>
              <w:spacing w:before="0" w:after="0"/>
              <w:jc w:val="center"/>
              <w:rPr>
                <w:sz w:val="20"/>
              </w:rPr>
            </w:pPr>
            <w:r w:rsidRPr="00C900C4">
              <w:rPr>
                <w:sz w:val="20"/>
              </w:rPr>
              <w:t>385 (68.3)</w:t>
            </w:r>
          </w:p>
        </w:tc>
        <w:tc>
          <w:tcPr>
            <w:tcW w:w="1980" w:type="dxa"/>
            <w:vAlign w:val="center"/>
          </w:tcPr>
          <w:p w:rsidR="006657DC" w:rsidRPr="00C900C4" w:rsidRDefault="006657DC" w:rsidP="006657DC">
            <w:pPr>
              <w:pStyle w:val="C-TableText"/>
              <w:keepNext/>
              <w:keepLines/>
              <w:spacing w:before="0" w:after="0"/>
              <w:jc w:val="center"/>
              <w:rPr>
                <w:sz w:val="20"/>
              </w:rPr>
            </w:pPr>
            <w:r w:rsidRPr="00C900C4">
              <w:rPr>
                <w:sz w:val="20"/>
              </w:rPr>
              <w:t>382 (65.5)</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1"/>
        </w:trPr>
        <w:tc>
          <w:tcPr>
            <w:tcW w:w="4770" w:type="dxa"/>
            <w:vAlign w:val="center"/>
          </w:tcPr>
          <w:p w:rsidR="006657DC" w:rsidRPr="00C900C4" w:rsidRDefault="006657DC" w:rsidP="006657DC">
            <w:pPr>
              <w:pStyle w:val="TableText"/>
            </w:pPr>
            <w:r w:rsidRPr="00C900C4">
              <w:t>Blood and Lympathic System Disorders</w:t>
            </w:r>
          </w:p>
        </w:tc>
        <w:tc>
          <w:tcPr>
            <w:tcW w:w="2250" w:type="dxa"/>
            <w:vAlign w:val="center"/>
          </w:tcPr>
          <w:p w:rsidR="006657DC" w:rsidRPr="00C900C4" w:rsidRDefault="006657DC" w:rsidP="006657DC">
            <w:pPr>
              <w:pStyle w:val="C-TableText"/>
              <w:keepNext/>
              <w:keepLines/>
              <w:spacing w:before="0" w:after="0"/>
              <w:jc w:val="center"/>
              <w:rPr>
                <w:sz w:val="20"/>
              </w:rPr>
            </w:pPr>
            <w:r w:rsidRPr="00C900C4">
              <w:rPr>
                <w:sz w:val="20"/>
              </w:rPr>
              <w:t>37 (6.6)</w:t>
            </w:r>
          </w:p>
        </w:tc>
        <w:tc>
          <w:tcPr>
            <w:tcW w:w="1980" w:type="dxa"/>
            <w:vAlign w:val="center"/>
          </w:tcPr>
          <w:p w:rsidR="006657DC" w:rsidRPr="00C900C4" w:rsidRDefault="006657DC" w:rsidP="006657DC">
            <w:pPr>
              <w:pStyle w:val="C-TableText"/>
              <w:keepNext/>
              <w:keepLines/>
              <w:spacing w:before="0" w:after="0"/>
              <w:jc w:val="center"/>
              <w:rPr>
                <w:sz w:val="20"/>
              </w:rPr>
            </w:pPr>
            <w:r w:rsidRPr="00C900C4">
              <w:rPr>
                <w:sz w:val="20"/>
              </w:rPr>
              <w:t>25 (4.3)</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
        </w:trPr>
        <w:tc>
          <w:tcPr>
            <w:tcW w:w="4770" w:type="dxa"/>
            <w:vAlign w:val="center"/>
          </w:tcPr>
          <w:p w:rsidR="006657DC" w:rsidRPr="00C900C4" w:rsidRDefault="006657DC" w:rsidP="006657DC">
            <w:pPr>
              <w:pStyle w:val="TableText"/>
            </w:pPr>
            <w:r w:rsidRPr="00C900C4">
              <w:tab/>
              <w:t>Anemia</w:t>
            </w:r>
          </w:p>
        </w:tc>
        <w:tc>
          <w:tcPr>
            <w:tcW w:w="2250" w:type="dxa"/>
            <w:vAlign w:val="center"/>
          </w:tcPr>
          <w:p w:rsidR="006657DC" w:rsidRPr="00C900C4" w:rsidRDefault="006657DC" w:rsidP="006657DC">
            <w:pPr>
              <w:pStyle w:val="TableText"/>
              <w:jc w:val="center"/>
            </w:pPr>
            <w:r w:rsidRPr="00C900C4">
              <w:t>14 (2.5)</w:t>
            </w:r>
          </w:p>
        </w:tc>
        <w:tc>
          <w:tcPr>
            <w:tcW w:w="1980" w:type="dxa"/>
            <w:vAlign w:val="center"/>
          </w:tcPr>
          <w:p w:rsidR="006657DC" w:rsidRPr="00C900C4" w:rsidRDefault="006657DC" w:rsidP="006657DC">
            <w:pPr>
              <w:pStyle w:val="TableText"/>
              <w:jc w:val="center"/>
            </w:pPr>
            <w:r w:rsidRPr="00C900C4">
              <w:t>12 (2.1)</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1"/>
        </w:trPr>
        <w:tc>
          <w:tcPr>
            <w:tcW w:w="4770" w:type="dxa"/>
            <w:vAlign w:val="center"/>
          </w:tcPr>
          <w:p w:rsidR="006657DC" w:rsidRPr="00C900C4" w:rsidRDefault="006657DC" w:rsidP="006657DC">
            <w:pPr>
              <w:pStyle w:val="TableText"/>
            </w:pPr>
            <w:r w:rsidRPr="00C900C4">
              <w:t>Gastrointestinal Disorders</w:t>
            </w:r>
          </w:p>
        </w:tc>
        <w:tc>
          <w:tcPr>
            <w:tcW w:w="2250" w:type="dxa"/>
            <w:vAlign w:val="center"/>
          </w:tcPr>
          <w:p w:rsidR="006657DC" w:rsidRPr="00C900C4" w:rsidRDefault="006657DC" w:rsidP="006657DC">
            <w:pPr>
              <w:pStyle w:val="C-TableText"/>
              <w:keepNext/>
              <w:keepLines/>
              <w:spacing w:before="0" w:after="0"/>
              <w:jc w:val="center"/>
              <w:rPr>
                <w:sz w:val="20"/>
              </w:rPr>
            </w:pPr>
            <w:r w:rsidRPr="00C900C4">
              <w:rPr>
                <w:sz w:val="20"/>
              </w:rPr>
              <w:t>177 (31.4)</w:t>
            </w:r>
          </w:p>
        </w:tc>
        <w:tc>
          <w:tcPr>
            <w:tcW w:w="1980" w:type="dxa"/>
            <w:vAlign w:val="center"/>
          </w:tcPr>
          <w:p w:rsidR="006657DC" w:rsidRPr="00C900C4" w:rsidRDefault="006657DC" w:rsidP="006657DC">
            <w:pPr>
              <w:pStyle w:val="C-TableText"/>
              <w:keepNext/>
              <w:keepLines/>
              <w:spacing w:before="0" w:after="0"/>
              <w:jc w:val="center"/>
              <w:rPr>
                <w:sz w:val="20"/>
              </w:rPr>
            </w:pPr>
            <w:r w:rsidRPr="00C900C4">
              <w:rPr>
                <w:sz w:val="20"/>
              </w:rPr>
              <w:t>170 (29.2)</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3"/>
        </w:trPr>
        <w:tc>
          <w:tcPr>
            <w:tcW w:w="4770" w:type="dxa"/>
            <w:vAlign w:val="center"/>
          </w:tcPr>
          <w:p w:rsidR="006657DC" w:rsidRPr="00C900C4" w:rsidRDefault="006657DC" w:rsidP="006657DC">
            <w:pPr>
              <w:pStyle w:val="TableText"/>
            </w:pPr>
            <w:r w:rsidRPr="00C900C4">
              <w:tab/>
              <w:t>Nausea</w:t>
            </w:r>
          </w:p>
        </w:tc>
        <w:tc>
          <w:tcPr>
            <w:tcW w:w="2250" w:type="dxa"/>
            <w:vAlign w:val="center"/>
          </w:tcPr>
          <w:p w:rsidR="006657DC" w:rsidRPr="00C900C4" w:rsidRDefault="006657DC" w:rsidP="006657DC">
            <w:pPr>
              <w:pStyle w:val="TableText"/>
              <w:jc w:val="center"/>
            </w:pPr>
            <w:r w:rsidRPr="00C900C4">
              <w:t>62 (11.0)</w:t>
            </w:r>
          </w:p>
        </w:tc>
        <w:tc>
          <w:tcPr>
            <w:tcW w:w="1980" w:type="dxa"/>
            <w:vAlign w:val="center"/>
          </w:tcPr>
          <w:p w:rsidR="006657DC" w:rsidRPr="00C900C4" w:rsidRDefault="006657DC" w:rsidP="006657DC">
            <w:pPr>
              <w:pStyle w:val="TableText"/>
              <w:jc w:val="center"/>
            </w:pPr>
            <w:r w:rsidRPr="00C900C4">
              <w:t>66 (11.3)</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
        </w:trPr>
        <w:tc>
          <w:tcPr>
            <w:tcW w:w="4770" w:type="dxa"/>
            <w:vAlign w:val="center"/>
          </w:tcPr>
          <w:p w:rsidR="006657DC" w:rsidRPr="00C900C4" w:rsidRDefault="006657DC" w:rsidP="006657DC">
            <w:pPr>
              <w:pStyle w:val="TableText"/>
            </w:pPr>
            <w:r w:rsidRPr="00C900C4">
              <w:tab/>
              <w:t>Vomiting</w:t>
            </w:r>
          </w:p>
        </w:tc>
        <w:tc>
          <w:tcPr>
            <w:tcW w:w="2250" w:type="dxa"/>
            <w:vAlign w:val="center"/>
          </w:tcPr>
          <w:p w:rsidR="006657DC" w:rsidRPr="00C900C4" w:rsidRDefault="006657DC" w:rsidP="006657DC">
            <w:pPr>
              <w:pStyle w:val="TableText"/>
              <w:jc w:val="center"/>
            </w:pPr>
            <w:r w:rsidRPr="00C900C4">
              <w:t>41 (7.3)</w:t>
            </w:r>
          </w:p>
        </w:tc>
        <w:tc>
          <w:tcPr>
            <w:tcW w:w="1980" w:type="dxa"/>
            <w:vAlign w:val="center"/>
          </w:tcPr>
          <w:p w:rsidR="006657DC" w:rsidRPr="00C900C4" w:rsidRDefault="006657DC" w:rsidP="006657DC">
            <w:pPr>
              <w:pStyle w:val="TableText"/>
              <w:jc w:val="center"/>
            </w:pPr>
            <w:r w:rsidRPr="00C900C4">
              <w:t>37 (6.3)</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0"/>
        </w:trPr>
        <w:tc>
          <w:tcPr>
            <w:tcW w:w="4770" w:type="dxa"/>
            <w:vAlign w:val="center"/>
          </w:tcPr>
          <w:p w:rsidR="006657DC" w:rsidRPr="00C900C4" w:rsidRDefault="006657DC" w:rsidP="006657DC">
            <w:pPr>
              <w:pStyle w:val="TableText"/>
            </w:pPr>
            <w:r w:rsidRPr="00C900C4">
              <w:tab/>
              <w:t>Abdominal pain</w:t>
            </w:r>
          </w:p>
        </w:tc>
        <w:tc>
          <w:tcPr>
            <w:tcW w:w="2250" w:type="dxa"/>
            <w:vAlign w:val="center"/>
          </w:tcPr>
          <w:p w:rsidR="006657DC" w:rsidRPr="00C900C4" w:rsidRDefault="006657DC" w:rsidP="006657DC">
            <w:pPr>
              <w:pStyle w:val="TableText"/>
              <w:jc w:val="center"/>
            </w:pPr>
            <w:r w:rsidRPr="00C900C4">
              <w:t>33 (5.9)</w:t>
            </w:r>
          </w:p>
        </w:tc>
        <w:tc>
          <w:tcPr>
            <w:tcW w:w="1980" w:type="dxa"/>
            <w:vAlign w:val="center"/>
          </w:tcPr>
          <w:p w:rsidR="006657DC" w:rsidRPr="00C900C4" w:rsidRDefault="006657DC" w:rsidP="006657DC">
            <w:pPr>
              <w:pStyle w:val="TableText"/>
              <w:jc w:val="center"/>
            </w:pPr>
            <w:r w:rsidRPr="00C900C4">
              <w:t>23 (3.9)</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1"/>
        </w:trPr>
        <w:tc>
          <w:tcPr>
            <w:tcW w:w="4770" w:type="dxa"/>
            <w:vAlign w:val="center"/>
          </w:tcPr>
          <w:p w:rsidR="006657DC" w:rsidRPr="00C900C4" w:rsidRDefault="006657DC" w:rsidP="006657DC">
            <w:pPr>
              <w:pStyle w:val="TableText"/>
            </w:pPr>
            <w:r w:rsidRPr="00C900C4">
              <w:tab/>
              <w:t>Diarrhea</w:t>
            </w:r>
          </w:p>
        </w:tc>
        <w:tc>
          <w:tcPr>
            <w:tcW w:w="2250" w:type="dxa"/>
            <w:vAlign w:val="center"/>
          </w:tcPr>
          <w:p w:rsidR="006657DC" w:rsidRPr="00C900C4" w:rsidRDefault="006657DC" w:rsidP="006657DC">
            <w:pPr>
              <w:pStyle w:val="TableText"/>
              <w:jc w:val="center"/>
            </w:pPr>
            <w:r w:rsidRPr="00C900C4">
              <w:t>28 (5.0)</w:t>
            </w:r>
          </w:p>
        </w:tc>
        <w:tc>
          <w:tcPr>
            <w:tcW w:w="1980" w:type="dxa"/>
            <w:vAlign w:val="center"/>
          </w:tcPr>
          <w:p w:rsidR="006657DC" w:rsidRPr="00C900C4" w:rsidRDefault="006657DC" w:rsidP="006657DC">
            <w:pPr>
              <w:pStyle w:val="TableText"/>
              <w:jc w:val="center"/>
            </w:pPr>
            <w:r w:rsidRPr="00C900C4">
              <w:t>39 (6.7)</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61"/>
        </w:trPr>
        <w:tc>
          <w:tcPr>
            <w:tcW w:w="4770" w:type="dxa"/>
            <w:vAlign w:val="center"/>
          </w:tcPr>
          <w:p w:rsidR="006657DC" w:rsidRPr="00C900C4" w:rsidRDefault="006657DC" w:rsidP="006657DC">
            <w:pPr>
              <w:pStyle w:val="TableText"/>
            </w:pPr>
            <w:r w:rsidRPr="00C900C4">
              <w:tab/>
              <w:t>Constipation</w:t>
            </w:r>
          </w:p>
        </w:tc>
        <w:tc>
          <w:tcPr>
            <w:tcW w:w="2250" w:type="dxa"/>
            <w:vAlign w:val="center"/>
          </w:tcPr>
          <w:p w:rsidR="006657DC" w:rsidRPr="00C900C4" w:rsidRDefault="006657DC" w:rsidP="006657DC">
            <w:pPr>
              <w:pStyle w:val="TableText"/>
              <w:jc w:val="center"/>
            </w:pPr>
            <w:r w:rsidRPr="00C900C4">
              <w:t>25 (4.4)</w:t>
            </w:r>
          </w:p>
        </w:tc>
        <w:tc>
          <w:tcPr>
            <w:tcW w:w="1980" w:type="dxa"/>
            <w:vAlign w:val="center"/>
          </w:tcPr>
          <w:p w:rsidR="006657DC" w:rsidRPr="00C900C4" w:rsidRDefault="006657DC" w:rsidP="006657DC">
            <w:pPr>
              <w:pStyle w:val="TableText"/>
              <w:jc w:val="center"/>
            </w:pPr>
            <w:r w:rsidRPr="00C900C4">
              <w:t>12 (2.1)</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7"/>
        </w:trPr>
        <w:tc>
          <w:tcPr>
            <w:tcW w:w="4770" w:type="dxa"/>
            <w:vAlign w:val="center"/>
          </w:tcPr>
          <w:p w:rsidR="006657DC" w:rsidRPr="00C900C4" w:rsidRDefault="006657DC" w:rsidP="006657DC">
            <w:pPr>
              <w:pStyle w:val="TableText"/>
            </w:pPr>
            <w:r w:rsidRPr="00C900C4">
              <w:tab/>
              <w:t>Abdominal pain upper</w:t>
            </w:r>
          </w:p>
        </w:tc>
        <w:tc>
          <w:tcPr>
            <w:tcW w:w="2250" w:type="dxa"/>
            <w:vAlign w:val="center"/>
          </w:tcPr>
          <w:p w:rsidR="006657DC" w:rsidRPr="00C900C4" w:rsidRDefault="006657DC" w:rsidP="006657DC">
            <w:pPr>
              <w:pStyle w:val="TableText"/>
              <w:jc w:val="center"/>
            </w:pPr>
            <w:r w:rsidRPr="00C900C4">
              <w:t>9 (1.6)</w:t>
            </w:r>
          </w:p>
        </w:tc>
        <w:tc>
          <w:tcPr>
            <w:tcW w:w="1980" w:type="dxa"/>
            <w:vAlign w:val="center"/>
          </w:tcPr>
          <w:p w:rsidR="006657DC" w:rsidRPr="00C900C4" w:rsidRDefault="006657DC" w:rsidP="006657DC">
            <w:pPr>
              <w:pStyle w:val="TableText"/>
              <w:jc w:val="center"/>
            </w:pPr>
            <w:r w:rsidRPr="00C900C4">
              <w:t>12 (2.1)</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1"/>
        </w:trPr>
        <w:tc>
          <w:tcPr>
            <w:tcW w:w="4770" w:type="dxa"/>
            <w:vAlign w:val="center"/>
          </w:tcPr>
          <w:p w:rsidR="006657DC" w:rsidRPr="00C900C4" w:rsidRDefault="006657DC" w:rsidP="006657DC">
            <w:pPr>
              <w:pStyle w:val="TableText"/>
            </w:pPr>
            <w:r w:rsidRPr="00C900C4">
              <w:t>General Disorders and Administration Site Conditions</w:t>
            </w:r>
          </w:p>
        </w:tc>
        <w:tc>
          <w:tcPr>
            <w:tcW w:w="2250" w:type="dxa"/>
            <w:vAlign w:val="center"/>
          </w:tcPr>
          <w:p w:rsidR="006657DC" w:rsidRPr="00C900C4" w:rsidRDefault="006657DC" w:rsidP="006657DC">
            <w:pPr>
              <w:pStyle w:val="C-TableText"/>
              <w:keepNext/>
              <w:keepLines/>
              <w:spacing w:before="0" w:after="0"/>
              <w:jc w:val="center"/>
              <w:rPr>
                <w:sz w:val="20"/>
              </w:rPr>
            </w:pPr>
            <w:r w:rsidRPr="00C900C4">
              <w:rPr>
                <w:sz w:val="20"/>
              </w:rPr>
              <w:t>90 (16.0)</w:t>
            </w:r>
          </w:p>
        </w:tc>
        <w:tc>
          <w:tcPr>
            <w:tcW w:w="1980" w:type="dxa"/>
            <w:vAlign w:val="center"/>
          </w:tcPr>
          <w:p w:rsidR="006657DC" w:rsidRPr="00C900C4" w:rsidRDefault="006657DC" w:rsidP="006657DC">
            <w:pPr>
              <w:pStyle w:val="C-TableText"/>
              <w:keepNext/>
              <w:keepLines/>
              <w:spacing w:before="0" w:after="0"/>
              <w:jc w:val="center"/>
              <w:rPr>
                <w:sz w:val="20"/>
              </w:rPr>
            </w:pPr>
            <w:r w:rsidRPr="00C900C4">
              <w:rPr>
                <w:sz w:val="20"/>
              </w:rPr>
              <w:t>113 (19.4)</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9"/>
        </w:trPr>
        <w:tc>
          <w:tcPr>
            <w:tcW w:w="4770" w:type="dxa"/>
            <w:vAlign w:val="center"/>
          </w:tcPr>
          <w:p w:rsidR="006657DC" w:rsidRPr="00C900C4" w:rsidRDefault="006657DC" w:rsidP="006657DC">
            <w:pPr>
              <w:pStyle w:val="TableText"/>
            </w:pPr>
            <w:r w:rsidRPr="00C900C4">
              <w:tab/>
              <w:t>Pyrexia</w:t>
            </w:r>
          </w:p>
        </w:tc>
        <w:tc>
          <w:tcPr>
            <w:tcW w:w="2250" w:type="dxa"/>
            <w:vAlign w:val="center"/>
          </w:tcPr>
          <w:p w:rsidR="006657DC" w:rsidRPr="00C900C4" w:rsidRDefault="006657DC" w:rsidP="006657DC">
            <w:pPr>
              <w:pStyle w:val="TableText"/>
              <w:jc w:val="center"/>
            </w:pPr>
            <w:r w:rsidRPr="00C900C4">
              <w:t>24 (4.3)</w:t>
            </w:r>
          </w:p>
        </w:tc>
        <w:tc>
          <w:tcPr>
            <w:tcW w:w="1980" w:type="dxa"/>
            <w:vAlign w:val="center"/>
          </w:tcPr>
          <w:p w:rsidR="006657DC" w:rsidRPr="00C900C4" w:rsidRDefault="006657DC" w:rsidP="006657DC">
            <w:pPr>
              <w:pStyle w:val="TableText"/>
              <w:jc w:val="center"/>
            </w:pPr>
            <w:r w:rsidRPr="00C900C4">
              <w:t>31 (5.3)</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7"/>
        </w:trPr>
        <w:tc>
          <w:tcPr>
            <w:tcW w:w="4770" w:type="dxa"/>
            <w:vAlign w:val="center"/>
          </w:tcPr>
          <w:p w:rsidR="006657DC" w:rsidRPr="00C900C4" w:rsidRDefault="006657DC" w:rsidP="006657DC">
            <w:pPr>
              <w:pStyle w:val="TableText"/>
            </w:pPr>
            <w:r w:rsidRPr="00C900C4">
              <w:tab/>
              <w:t>Edema peripheral</w:t>
            </w:r>
          </w:p>
        </w:tc>
        <w:tc>
          <w:tcPr>
            <w:tcW w:w="2250" w:type="dxa"/>
            <w:vAlign w:val="center"/>
          </w:tcPr>
          <w:p w:rsidR="006657DC" w:rsidRPr="00C900C4" w:rsidRDefault="006657DC" w:rsidP="006657DC">
            <w:pPr>
              <w:pStyle w:val="TableText"/>
              <w:jc w:val="center"/>
            </w:pPr>
            <w:r w:rsidRPr="00C900C4">
              <w:t>20 (3.5)</w:t>
            </w:r>
          </w:p>
        </w:tc>
        <w:tc>
          <w:tcPr>
            <w:tcW w:w="1980" w:type="dxa"/>
            <w:vAlign w:val="center"/>
          </w:tcPr>
          <w:p w:rsidR="006657DC" w:rsidRPr="00C900C4" w:rsidRDefault="006657DC" w:rsidP="006657DC">
            <w:pPr>
              <w:pStyle w:val="TableText"/>
              <w:jc w:val="center"/>
            </w:pPr>
            <w:r w:rsidRPr="00C900C4">
              <w:t>27 (4.6)</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7"/>
        </w:trPr>
        <w:tc>
          <w:tcPr>
            <w:tcW w:w="4770" w:type="dxa"/>
            <w:vAlign w:val="center"/>
          </w:tcPr>
          <w:p w:rsidR="006657DC" w:rsidRPr="00C900C4" w:rsidRDefault="006657DC" w:rsidP="006657DC">
            <w:pPr>
              <w:pStyle w:val="TableText"/>
            </w:pPr>
            <w:r w:rsidRPr="00C900C4">
              <w:tab/>
              <w:t>Fatigue</w:t>
            </w:r>
          </w:p>
        </w:tc>
        <w:tc>
          <w:tcPr>
            <w:tcW w:w="2250" w:type="dxa"/>
            <w:vAlign w:val="center"/>
          </w:tcPr>
          <w:p w:rsidR="006657DC" w:rsidRPr="00C900C4" w:rsidRDefault="006657DC" w:rsidP="006657DC">
            <w:pPr>
              <w:pStyle w:val="TableText"/>
              <w:jc w:val="center"/>
            </w:pPr>
            <w:r w:rsidRPr="00C900C4">
              <w:t>17 (3.0)</w:t>
            </w:r>
          </w:p>
        </w:tc>
        <w:tc>
          <w:tcPr>
            <w:tcW w:w="1980" w:type="dxa"/>
            <w:vAlign w:val="center"/>
          </w:tcPr>
          <w:p w:rsidR="006657DC" w:rsidRPr="00C900C4" w:rsidRDefault="006657DC" w:rsidP="006657DC">
            <w:pPr>
              <w:pStyle w:val="TableText"/>
              <w:jc w:val="center"/>
            </w:pPr>
            <w:r w:rsidRPr="00C900C4">
              <w:t>20 (3.4)</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7"/>
        </w:trPr>
        <w:tc>
          <w:tcPr>
            <w:tcW w:w="4770" w:type="dxa"/>
            <w:vAlign w:val="center"/>
          </w:tcPr>
          <w:p w:rsidR="006657DC" w:rsidRPr="00C900C4" w:rsidRDefault="006657DC" w:rsidP="006657DC">
            <w:pPr>
              <w:pStyle w:val="TableText"/>
            </w:pPr>
            <w:r w:rsidRPr="00C900C4">
              <w:tab/>
              <w:t>Chills</w:t>
            </w:r>
          </w:p>
        </w:tc>
        <w:tc>
          <w:tcPr>
            <w:tcW w:w="2250" w:type="dxa"/>
            <w:vAlign w:val="center"/>
          </w:tcPr>
          <w:p w:rsidR="006657DC" w:rsidRPr="00C900C4" w:rsidRDefault="006657DC" w:rsidP="006657DC">
            <w:pPr>
              <w:pStyle w:val="TableText"/>
              <w:jc w:val="center"/>
            </w:pPr>
            <w:r w:rsidRPr="00C900C4">
              <w:t>3 (0.5)</w:t>
            </w:r>
          </w:p>
        </w:tc>
        <w:tc>
          <w:tcPr>
            <w:tcW w:w="1980" w:type="dxa"/>
            <w:vAlign w:val="center"/>
          </w:tcPr>
          <w:p w:rsidR="006657DC" w:rsidRPr="00C900C4" w:rsidRDefault="006657DC" w:rsidP="006657DC">
            <w:pPr>
              <w:pStyle w:val="TableText"/>
              <w:jc w:val="center"/>
            </w:pPr>
            <w:r w:rsidRPr="00C900C4">
              <w:t>14 (2.4)</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7"/>
        </w:trPr>
        <w:tc>
          <w:tcPr>
            <w:tcW w:w="4770" w:type="dxa"/>
            <w:vAlign w:val="center"/>
          </w:tcPr>
          <w:p w:rsidR="006657DC" w:rsidRPr="00C900C4" w:rsidRDefault="006657DC" w:rsidP="006657DC">
            <w:pPr>
              <w:pStyle w:val="TableText"/>
            </w:pPr>
            <w:r w:rsidRPr="00C900C4">
              <w:t>Infections and Infestations</w:t>
            </w:r>
          </w:p>
        </w:tc>
        <w:tc>
          <w:tcPr>
            <w:tcW w:w="2250" w:type="dxa"/>
            <w:vAlign w:val="center"/>
          </w:tcPr>
          <w:p w:rsidR="006657DC" w:rsidRPr="00C900C4" w:rsidRDefault="006657DC" w:rsidP="006657DC">
            <w:pPr>
              <w:pStyle w:val="TableText"/>
              <w:jc w:val="center"/>
            </w:pPr>
            <w:r w:rsidRPr="00C900C4">
              <w:t>129 (22.9)</w:t>
            </w:r>
          </w:p>
        </w:tc>
        <w:tc>
          <w:tcPr>
            <w:tcW w:w="1980" w:type="dxa"/>
            <w:vAlign w:val="center"/>
          </w:tcPr>
          <w:p w:rsidR="006657DC" w:rsidRPr="00C900C4" w:rsidRDefault="006657DC" w:rsidP="006657DC">
            <w:pPr>
              <w:pStyle w:val="TableText"/>
              <w:jc w:val="center"/>
            </w:pPr>
            <w:r w:rsidRPr="00C900C4">
              <w:t>121 (20.8)</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5"/>
        </w:trPr>
        <w:tc>
          <w:tcPr>
            <w:tcW w:w="4770" w:type="dxa"/>
            <w:vAlign w:val="center"/>
          </w:tcPr>
          <w:p w:rsidR="006657DC" w:rsidRPr="00C900C4" w:rsidRDefault="006657DC" w:rsidP="006657DC">
            <w:pPr>
              <w:pStyle w:val="TableText"/>
            </w:pPr>
            <w:r w:rsidRPr="00C900C4">
              <w:tab/>
              <w:t>Urinary tract infection</w:t>
            </w:r>
          </w:p>
        </w:tc>
        <w:tc>
          <w:tcPr>
            <w:tcW w:w="2250" w:type="dxa"/>
            <w:vAlign w:val="center"/>
          </w:tcPr>
          <w:p w:rsidR="006657DC" w:rsidRPr="00C900C4" w:rsidRDefault="006657DC" w:rsidP="006657DC">
            <w:pPr>
              <w:pStyle w:val="TableText"/>
              <w:jc w:val="center"/>
            </w:pPr>
            <w:r w:rsidRPr="00C900C4">
              <w:t>20 (3.5)</w:t>
            </w:r>
          </w:p>
        </w:tc>
        <w:tc>
          <w:tcPr>
            <w:tcW w:w="1980" w:type="dxa"/>
            <w:vAlign w:val="center"/>
          </w:tcPr>
          <w:p w:rsidR="006657DC" w:rsidRPr="00C900C4" w:rsidRDefault="006657DC" w:rsidP="006657DC">
            <w:pPr>
              <w:pStyle w:val="TableText"/>
              <w:jc w:val="center"/>
            </w:pPr>
            <w:r w:rsidRPr="00C900C4">
              <w:t>24 (4.1)</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7"/>
        </w:trPr>
        <w:tc>
          <w:tcPr>
            <w:tcW w:w="4770" w:type="dxa"/>
            <w:vAlign w:val="center"/>
          </w:tcPr>
          <w:p w:rsidR="006657DC" w:rsidRPr="00C900C4" w:rsidRDefault="006657DC" w:rsidP="006657DC">
            <w:pPr>
              <w:pStyle w:val="TableText"/>
            </w:pPr>
            <w:r w:rsidRPr="00C900C4">
              <w:tab/>
              <w:t>Pneumonia</w:t>
            </w:r>
          </w:p>
        </w:tc>
        <w:tc>
          <w:tcPr>
            <w:tcW w:w="2250" w:type="dxa"/>
            <w:vAlign w:val="center"/>
          </w:tcPr>
          <w:p w:rsidR="006657DC" w:rsidRPr="00C900C4" w:rsidRDefault="006657DC" w:rsidP="006657DC">
            <w:pPr>
              <w:pStyle w:val="TableText"/>
              <w:jc w:val="center"/>
            </w:pPr>
            <w:r w:rsidRPr="00C900C4">
              <w:t>13 (2.3)</w:t>
            </w:r>
          </w:p>
        </w:tc>
        <w:tc>
          <w:tcPr>
            <w:tcW w:w="1980" w:type="dxa"/>
            <w:vAlign w:val="center"/>
          </w:tcPr>
          <w:p w:rsidR="006657DC" w:rsidRPr="00C900C4" w:rsidRDefault="006657DC" w:rsidP="006657DC">
            <w:pPr>
              <w:pStyle w:val="TableText"/>
              <w:jc w:val="center"/>
            </w:pPr>
            <w:r w:rsidRPr="00C900C4">
              <w:t>18 (3.1)</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5"/>
        </w:trPr>
        <w:tc>
          <w:tcPr>
            <w:tcW w:w="4770" w:type="dxa"/>
            <w:vAlign w:val="center"/>
          </w:tcPr>
          <w:p w:rsidR="006657DC" w:rsidRPr="00C900C4" w:rsidRDefault="006657DC" w:rsidP="006657DC">
            <w:pPr>
              <w:pStyle w:val="TableText"/>
            </w:pPr>
            <w:r w:rsidRPr="00C900C4">
              <w:t>Metabolism and Nutrition Disorders</w:t>
            </w:r>
          </w:p>
        </w:tc>
        <w:tc>
          <w:tcPr>
            <w:tcW w:w="2250" w:type="dxa"/>
            <w:vAlign w:val="center"/>
          </w:tcPr>
          <w:p w:rsidR="006657DC" w:rsidRPr="00C900C4" w:rsidRDefault="006657DC" w:rsidP="006657DC">
            <w:pPr>
              <w:pStyle w:val="TableText"/>
              <w:jc w:val="center"/>
            </w:pPr>
            <w:r w:rsidRPr="00C900C4">
              <w:t>104 (18.4)</w:t>
            </w:r>
          </w:p>
        </w:tc>
        <w:tc>
          <w:tcPr>
            <w:tcW w:w="1980" w:type="dxa"/>
            <w:vAlign w:val="center"/>
          </w:tcPr>
          <w:p w:rsidR="006657DC" w:rsidRPr="00C900C4" w:rsidRDefault="006657DC" w:rsidP="006657DC">
            <w:pPr>
              <w:pStyle w:val="TableText"/>
              <w:jc w:val="center"/>
            </w:pPr>
            <w:r w:rsidRPr="00C900C4">
              <w:t>87 (14.9)</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7"/>
        </w:trPr>
        <w:tc>
          <w:tcPr>
            <w:tcW w:w="4770" w:type="dxa"/>
            <w:vAlign w:val="center"/>
          </w:tcPr>
          <w:p w:rsidR="006657DC" w:rsidRPr="00C900C4" w:rsidRDefault="006657DC" w:rsidP="006657DC">
            <w:pPr>
              <w:pStyle w:val="TableText"/>
            </w:pPr>
            <w:r w:rsidRPr="00C900C4">
              <w:tab/>
              <w:t>Hypokalemia</w:t>
            </w:r>
          </w:p>
        </w:tc>
        <w:tc>
          <w:tcPr>
            <w:tcW w:w="2250" w:type="dxa"/>
            <w:vAlign w:val="center"/>
          </w:tcPr>
          <w:p w:rsidR="006657DC" w:rsidRPr="00C900C4" w:rsidRDefault="006657DC" w:rsidP="006657DC">
            <w:pPr>
              <w:pStyle w:val="TableText"/>
              <w:jc w:val="center"/>
            </w:pPr>
            <w:r w:rsidRPr="00C900C4">
              <w:t>41 (7.3)</w:t>
            </w:r>
          </w:p>
        </w:tc>
        <w:tc>
          <w:tcPr>
            <w:tcW w:w="1980" w:type="dxa"/>
            <w:vAlign w:val="center"/>
          </w:tcPr>
          <w:p w:rsidR="006657DC" w:rsidRPr="00C900C4" w:rsidRDefault="006657DC" w:rsidP="006657DC">
            <w:pPr>
              <w:pStyle w:val="TableText"/>
              <w:jc w:val="center"/>
            </w:pPr>
            <w:r w:rsidRPr="00C900C4">
              <w:t>38 (6.5)</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9"/>
        </w:trPr>
        <w:tc>
          <w:tcPr>
            <w:tcW w:w="4770" w:type="dxa"/>
            <w:vAlign w:val="center"/>
          </w:tcPr>
          <w:p w:rsidR="006657DC" w:rsidRPr="00C900C4" w:rsidRDefault="006657DC" w:rsidP="006657DC">
            <w:pPr>
              <w:pStyle w:val="TableText"/>
            </w:pPr>
            <w:r w:rsidRPr="00C900C4">
              <w:tab/>
              <w:t>Hyperkalemia</w:t>
            </w:r>
          </w:p>
        </w:tc>
        <w:tc>
          <w:tcPr>
            <w:tcW w:w="2250" w:type="dxa"/>
            <w:vAlign w:val="center"/>
          </w:tcPr>
          <w:p w:rsidR="006657DC" w:rsidRPr="00C900C4" w:rsidRDefault="006657DC" w:rsidP="006657DC">
            <w:pPr>
              <w:pStyle w:val="TableText"/>
              <w:jc w:val="center"/>
            </w:pPr>
            <w:r w:rsidRPr="00C900C4">
              <w:t>16 (2.8)</w:t>
            </w:r>
          </w:p>
        </w:tc>
        <w:tc>
          <w:tcPr>
            <w:tcW w:w="1980" w:type="dxa"/>
            <w:vAlign w:val="center"/>
          </w:tcPr>
          <w:p w:rsidR="006657DC" w:rsidRPr="00C900C4" w:rsidRDefault="006657DC" w:rsidP="006657DC">
            <w:pPr>
              <w:pStyle w:val="TableText"/>
              <w:jc w:val="center"/>
            </w:pPr>
            <w:r w:rsidRPr="00C900C4">
              <w:t>10 (1.7)</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7"/>
        </w:trPr>
        <w:tc>
          <w:tcPr>
            <w:tcW w:w="4770" w:type="dxa"/>
            <w:vAlign w:val="center"/>
          </w:tcPr>
          <w:p w:rsidR="006657DC" w:rsidRPr="00C900C4" w:rsidRDefault="006657DC" w:rsidP="006657DC">
            <w:pPr>
              <w:pStyle w:val="TableText"/>
            </w:pPr>
            <w:r w:rsidRPr="00C900C4">
              <w:tab/>
              <w:t>Hypomagnesemia</w:t>
            </w:r>
          </w:p>
        </w:tc>
        <w:tc>
          <w:tcPr>
            <w:tcW w:w="2250" w:type="dxa"/>
            <w:vAlign w:val="center"/>
          </w:tcPr>
          <w:p w:rsidR="006657DC" w:rsidRPr="00C900C4" w:rsidRDefault="006657DC" w:rsidP="006657DC">
            <w:pPr>
              <w:pStyle w:val="TableText"/>
              <w:jc w:val="center"/>
            </w:pPr>
            <w:r w:rsidRPr="00C900C4">
              <w:t>8 (1.4)</w:t>
            </w:r>
          </w:p>
        </w:tc>
        <w:tc>
          <w:tcPr>
            <w:tcW w:w="1980" w:type="dxa"/>
            <w:vAlign w:val="center"/>
          </w:tcPr>
          <w:p w:rsidR="006657DC" w:rsidRPr="00C900C4" w:rsidRDefault="006657DC" w:rsidP="006657DC">
            <w:pPr>
              <w:pStyle w:val="TableText"/>
              <w:jc w:val="center"/>
            </w:pPr>
            <w:r w:rsidRPr="00C900C4">
              <w:t>12 (2.1)</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7"/>
        </w:trPr>
        <w:tc>
          <w:tcPr>
            <w:tcW w:w="4770" w:type="dxa"/>
            <w:vAlign w:val="center"/>
          </w:tcPr>
          <w:p w:rsidR="006657DC" w:rsidRPr="00C900C4" w:rsidRDefault="006657DC" w:rsidP="006657DC">
            <w:pPr>
              <w:pStyle w:val="TableText"/>
            </w:pPr>
            <w:r w:rsidRPr="00C900C4">
              <w:t>Musculoskeletal and Connective Tissue Disorders</w:t>
            </w:r>
          </w:p>
        </w:tc>
        <w:tc>
          <w:tcPr>
            <w:tcW w:w="2250" w:type="dxa"/>
            <w:vAlign w:val="center"/>
          </w:tcPr>
          <w:p w:rsidR="006657DC" w:rsidRPr="00C900C4" w:rsidRDefault="006657DC" w:rsidP="006657DC">
            <w:pPr>
              <w:pStyle w:val="TableText"/>
              <w:jc w:val="center"/>
            </w:pPr>
            <w:r w:rsidRPr="00C900C4">
              <w:t>44 (7.8)</w:t>
            </w:r>
          </w:p>
        </w:tc>
        <w:tc>
          <w:tcPr>
            <w:tcW w:w="1980" w:type="dxa"/>
            <w:vAlign w:val="center"/>
          </w:tcPr>
          <w:p w:rsidR="006657DC" w:rsidRPr="00C900C4" w:rsidRDefault="006657DC" w:rsidP="006657DC">
            <w:pPr>
              <w:pStyle w:val="TableText"/>
              <w:jc w:val="center"/>
            </w:pPr>
            <w:r w:rsidRPr="00C900C4">
              <w:t>40 (6.9)</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7"/>
        </w:trPr>
        <w:tc>
          <w:tcPr>
            <w:tcW w:w="4770" w:type="dxa"/>
            <w:vAlign w:val="center"/>
          </w:tcPr>
          <w:p w:rsidR="006657DC" w:rsidRPr="00C900C4" w:rsidRDefault="006657DC" w:rsidP="006657DC">
            <w:pPr>
              <w:pStyle w:val="TableText"/>
            </w:pPr>
            <w:r w:rsidRPr="00C900C4">
              <w:tab/>
              <w:t>Back pain</w:t>
            </w:r>
          </w:p>
        </w:tc>
        <w:tc>
          <w:tcPr>
            <w:tcW w:w="2250" w:type="dxa"/>
            <w:vAlign w:val="center"/>
          </w:tcPr>
          <w:p w:rsidR="006657DC" w:rsidRPr="00C900C4" w:rsidRDefault="006657DC" w:rsidP="006657DC">
            <w:pPr>
              <w:pStyle w:val="TableText"/>
              <w:jc w:val="center"/>
            </w:pPr>
            <w:r w:rsidRPr="00C900C4">
              <w:t>8 (1.4)</w:t>
            </w:r>
          </w:p>
        </w:tc>
        <w:tc>
          <w:tcPr>
            <w:tcW w:w="1980" w:type="dxa"/>
            <w:vAlign w:val="center"/>
          </w:tcPr>
          <w:p w:rsidR="006657DC" w:rsidRPr="00C900C4" w:rsidRDefault="006657DC" w:rsidP="006657DC">
            <w:pPr>
              <w:pStyle w:val="TableText"/>
              <w:jc w:val="center"/>
            </w:pPr>
            <w:r w:rsidRPr="00C900C4">
              <w:t>13 (2.2)</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7"/>
        </w:trPr>
        <w:tc>
          <w:tcPr>
            <w:tcW w:w="4770" w:type="dxa"/>
            <w:vAlign w:val="center"/>
          </w:tcPr>
          <w:p w:rsidR="006657DC" w:rsidRPr="00C900C4" w:rsidRDefault="006657DC" w:rsidP="006657DC">
            <w:pPr>
              <w:pStyle w:val="TableText"/>
            </w:pPr>
            <w:r w:rsidRPr="00C900C4">
              <w:t>Nervous System Disorders</w:t>
            </w:r>
          </w:p>
        </w:tc>
        <w:tc>
          <w:tcPr>
            <w:tcW w:w="2250" w:type="dxa"/>
            <w:vAlign w:val="center"/>
          </w:tcPr>
          <w:p w:rsidR="006657DC" w:rsidRPr="00C900C4" w:rsidRDefault="006657DC" w:rsidP="006657DC">
            <w:pPr>
              <w:pStyle w:val="TableText"/>
              <w:jc w:val="center"/>
            </w:pPr>
            <w:r w:rsidRPr="00C900C4">
              <w:t>71 (12.6)</w:t>
            </w:r>
          </w:p>
        </w:tc>
        <w:tc>
          <w:tcPr>
            <w:tcW w:w="1980" w:type="dxa"/>
            <w:vAlign w:val="center"/>
          </w:tcPr>
          <w:p w:rsidR="006657DC" w:rsidRPr="00C900C4" w:rsidRDefault="006657DC" w:rsidP="006657DC">
            <w:pPr>
              <w:pStyle w:val="TableText"/>
              <w:jc w:val="center"/>
            </w:pPr>
            <w:r w:rsidRPr="00C900C4">
              <w:t>64 (11.0)</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3"/>
        </w:trPr>
        <w:tc>
          <w:tcPr>
            <w:tcW w:w="4770" w:type="dxa"/>
            <w:vAlign w:val="center"/>
          </w:tcPr>
          <w:p w:rsidR="006657DC" w:rsidRPr="00C900C4" w:rsidRDefault="006657DC" w:rsidP="006657DC">
            <w:pPr>
              <w:pStyle w:val="TableText"/>
            </w:pPr>
            <w:r w:rsidRPr="00C900C4">
              <w:tab/>
              <w:t>Headache</w:t>
            </w:r>
          </w:p>
        </w:tc>
        <w:tc>
          <w:tcPr>
            <w:tcW w:w="2250" w:type="dxa"/>
            <w:vAlign w:val="center"/>
          </w:tcPr>
          <w:p w:rsidR="006657DC" w:rsidRPr="00C900C4" w:rsidRDefault="006657DC" w:rsidP="006657DC">
            <w:pPr>
              <w:pStyle w:val="TableText"/>
              <w:jc w:val="center"/>
            </w:pPr>
            <w:r w:rsidRPr="00C900C4">
              <w:t>37 (6.6)</w:t>
            </w:r>
          </w:p>
        </w:tc>
        <w:tc>
          <w:tcPr>
            <w:tcW w:w="1980" w:type="dxa"/>
            <w:vAlign w:val="center"/>
          </w:tcPr>
          <w:p w:rsidR="006657DC" w:rsidRPr="00C900C4" w:rsidRDefault="006657DC" w:rsidP="006657DC">
            <w:pPr>
              <w:pStyle w:val="TableText"/>
              <w:jc w:val="center"/>
            </w:pPr>
            <w:r w:rsidRPr="00C900C4">
              <w:t>27 (4.6)</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4"/>
        </w:trPr>
        <w:tc>
          <w:tcPr>
            <w:tcW w:w="4770" w:type="dxa"/>
            <w:vAlign w:val="center"/>
          </w:tcPr>
          <w:p w:rsidR="006657DC" w:rsidRPr="00C900C4" w:rsidRDefault="006657DC" w:rsidP="006657DC">
            <w:pPr>
              <w:pStyle w:val="TableText"/>
            </w:pPr>
            <w:r w:rsidRPr="00C900C4">
              <w:tab/>
              <w:t>Dizziness</w:t>
            </w:r>
          </w:p>
        </w:tc>
        <w:tc>
          <w:tcPr>
            <w:tcW w:w="2250" w:type="dxa"/>
            <w:vAlign w:val="center"/>
          </w:tcPr>
          <w:p w:rsidR="006657DC" w:rsidRPr="00C900C4" w:rsidRDefault="006657DC" w:rsidP="006657DC">
            <w:pPr>
              <w:pStyle w:val="TableText"/>
              <w:jc w:val="center"/>
            </w:pPr>
            <w:r w:rsidRPr="00C900C4">
              <w:t>16 (2.8)</w:t>
            </w:r>
          </w:p>
        </w:tc>
        <w:tc>
          <w:tcPr>
            <w:tcW w:w="1980" w:type="dxa"/>
            <w:vAlign w:val="center"/>
          </w:tcPr>
          <w:p w:rsidR="006657DC" w:rsidRPr="00C900C4" w:rsidRDefault="006657DC" w:rsidP="006657DC">
            <w:pPr>
              <w:pStyle w:val="TableText"/>
              <w:jc w:val="center"/>
            </w:pPr>
            <w:r w:rsidRPr="00C900C4">
              <w:t>12 (2.1)</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3"/>
        </w:trPr>
        <w:tc>
          <w:tcPr>
            <w:tcW w:w="4770" w:type="dxa"/>
            <w:vAlign w:val="center"/>
          </w:tcPr>
          <w:p w:rsidR="006657DC" w:rsidRPr="00C900C4" w:rsidRDefault="006657DC" w:rsidP="006657DC">
            <w:pPr>
              <w:pStyle w:val="TableText"/>
            </w:pPr>
            <w:r w:rsidRPr="00C900C4">
              <w:t>Psychiatric Disorders</w:t>
            </w:r>
          </w:p>
        </w:tc>
        <w:tc>
          <w:tcPr>
            <w:tcW w:w="2250" w:type="dxa"/>
            <w:vAlign w:val="center"/>
          </w:tcPr>
          <w:p w:rsidR="006657DC" w:rsidRPr="00C900C4" w:rsidRDefault="006657DC" w:rsidP="006657DC">
            <w:pPr>
              <w:pStyle w:val="TableText"/>
              <w:jc w:val="center"/>
            </w:pPr>
            <w:r w:rsidRPr="00C900C4">
              <w:t>41 (7.3)</w:t>
            </w:r>
          </w:p>
        </w:tc>
        <w:tc>
          <w:tcPr>
            <w:tcW w:w="1980" w:type="dxa"/>
            <w:vAlign w:val="center"/>
          </w:tcPr>
          <w:p w:rsidR="006657DC" w:rsidRPr="00C900C4" w:rsidRDefault="006657DC" w:rsidP="006657DC">
            <w:pPr>
              <w:pStyle w:val="TableText"/>
              <w:jc w:val="center"/>
            </w:pPr>
            <w:r w:rsidRPr="00C900C4">
              <w:t>44 (7.5)</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
        </w:trPr>
        <w:tc>
          <w:tcPr>
            <w:tcW w:w="4770" w:type="dxa"/>
            <w:vAlign w:val="center"/>
          </w:tcPr>
          <w:p w:rsidR="006657DC" w:rsidRPr="00C900C4" w:rsidRDefault="006657DC" w:rsidP="006657DC">
            <w:pPr>
              <w:pStyle w:val="TableText"/>
            </w:pPr>
            <w:r w:rsidRPr="00C900C4">
              <w:tab/>
              <w:t>Insomnia</w:t>
            </w:r>
          </w:p>
        </w:tc>
        <w:tc>
          <w:tcPr>
            <w:tcW w:w="2250" w:type="dxa"/>
            <w:vAlign w:val="center"/>
          </w:tcPr>
          <w:p w:rsidR="006657DC" w:rsidRPr="00C900C4" w:rsidRDefault="006657DC" w:rsidP="006657DC">
            <w:pPr>
              <w:pStyle w:val="TableText"/>
              <w:jc w:val="center"/>
            </w:pPr>
            <w:r w:rsidRPr="00C900C4">
              <w:t>13 (2.3)</w:t>
            </w:r>
          </w:p>
        </w:tc>
        <w:tc>
          <w:tcPr>
            <w:tcW w:w="1980" w:type="dxa"/>
            <w:vAlign w:val="center"/>
          </w:tcPr>
          <w:p w:rsidR="006657DC" w:rsidRPr="00C900C4" w:rsidRDefault="006657DC" w:rsidP="006657DC">
            <w:pPr>
              <w:pStyle w:val="TableText"/>
              <w:jc w:val="center"/>
            </w:pPr>
            <w:r w:rsidRPr="00C900C4">
              <w:t>14 (2.4)</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
        </w:trPr>
        <w:tc>
          <w:tcPr>
            <w:tcW w:w="4770" w:type="dxa"/>
            <w:vAlign w:val="center"/>
          </w:tcPr>
          <w:p w:rsidR="006657DC" w:rsidRPr="00C900C4" w:rsidRDefault="006657DC" w:rsidP="006657DC">
            <w:pPr>
              <w:pStyle w:val="TableText"/>
            </w:pPr>
            <w:r w:rsidRPr="00C900C4">
              <w:t>Respiratory, Thoracic and Mediastinal Disorders</w:t>
            </w:r>
          </w:p>
        </w:tc>
        <w:tc>
          <w:tcPr>
            <w:tcW w:w="2250" w:type="dxa"/>
            <w:vAlign w:val="center"/>
          </w:tcPr>
          <w:p w:rsidR="006657DC" w:rsidRPr="00C900C4" w:rsidRDefault="006657DC" w:rsidP="006657DC">
            <w:pPr>
              <w:pStyle w:val="TableText"/>
              <w:jc w:val="center"/>
            </w:pPr>
            <w:r w:rsidRPr="00C900C4">
              <w:t>63 (11.2)</w:t>
            </w:r>
          </w:p>
        </w:tc>
        <w:tc>
          <w:tcPr>
            <w:tcW w:w="1980" w:type="dxa"/>
            <w:vAlign w:val="center"/>
          </w:tcPr>
          <w:p w:rsidR="006657DC" w:rsidRPr="00C900C4" w:rsidRDefault="006657DC" w:rsidP="006657DC">
            <w:pPr>
              <w:pStyle w:val="TableText"/>
              <w:jc w:val="center"/>
            </w:pPr>
            <w:r w:rsidRPr="00C900C4">
              <w:t>76 (13.0)</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5"/>
        </w:trPr>
        <w:tc>
          <w:tcPr>
            <w:tcW w:w="4770" w:type="dxa"/>
            <w:vAlign w:val="center"/>
          </w:tcPr>
          <w:p w:rsidR="006657DC" w:rsidRPr="00C900C4" w:rsidRDefault="006657DC" w:rsidP="006657DC">
            <w:pPr>
              <w:pStyle w:val="TableText"/>
            </w:pPr>
            <w:r w:rsidRPr="00C900C4">
              <w:tab/>
              <w:t>Dyspnea</w:t>
            </w:r>
          </w:p>
        </w:tc>
        <w:tc>
          <w:tcPr>
            <w:tcW w:w="2250" w:type="dxa"/>
            <w:vAlign w:val="center"/>
          </w:tcPr>
          <w:p w:rsidR="006657DC" w:rsidRPr="00C900C4" w:rsidRDefault="006657DC" w:rsidP="006657DC">
            <w:pPr>
              <w:pStyle w:val="TableText"/>
              <w:jc w:val="center"/>
            </w:pPr>
            <w:r w:rsidRPr="00C900C4">
              <w:t>14 (2.5)</w:t>
            </w:r>
          </w:p>
        </w:tc>
        <w:tc>
          <w:tcPr>
            <w:tcW w:w="1980" w:type="dxa"/>
            <w:vAlign w:val="center"/>
          </w:tcPr>
          <w:p w:rsidR="006657DC" w:rsidRPr="00C900C4" w:rsidRDefault="006657DC" w:rsidP="006657DC">
            <w:pPr>
              <w:pStyle w:val="TableText"/>
              <w:jc w:val="center"/>
            </w:pPr>
            <w:r w:rsidRPr="00C900C4">
              <w:t>13 (2.2)</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5"/>
        </w:trPr>
        <w:tc>
          <w:tcPr>
            <w:tcW w:w="4770" w:type="dxa"/>
            <w:vAlign w:val="center"/>
          </w:tcPr>
          <w:p w:rsidR="006657DC" w:rsidRPr="00C900C4" w:rsidRDefault="006657DC" w:rsidP="006657DC">
            <w:pPr>
              <w:pStyle w:val="TableText"/>
            </w:pPr>
            <w:r w:rsidRPr="00C900C4">
              <w:t>Skin and Subcutaneous Tissue Disorders</w:t>
            </w:r>
          </w:p>
        </w:tc>
        <w:tc>
          <w:tcPr>
            <w:tcW w:w="2250" w:type="dxa"/>
            <w:vAlign w:val="center"/>
          </w:tcPr>
          <w:p w:rsidR="006657DC" w:rsidRPr="00C900C4" w:rsidRDefault="006657DC" w:rsidP="006657DC">
            <w:pPr>
              <w:pStyle w:val="TableText"/>
              <w:jc w:val="center"/>
            </w:pPr>
            <w:r w:rsidRPr="00C900C4">
              <w:t>54 (9.6)</w:t>
            </w:r>
          </w:p>
        </w:tc>
        <w:tc>
          <w:tcPr>
            <w:tcW w:w="1980" w:type="dxa"/>
            <w:vAlign w:val="center"/>
          </w:tcPr>
          <w:p w:rsidR="006657DC" w:rsidRPr="00C900C4" w:rsidRDefault="006657DC" w:rsidP="006657DC">
            <w:pPr>
              <w:pStyle w:val="TableText"/>
              <w:jc w:val="center"/>
            </w:pPr>
            <w:r w:rsidRPr="00C900C4">
              <w:t>56 (9.6)</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7"/>
        </w:trPr>
        <w:tc>
          <w:tcPr>
            <w:tcW w:w="4770" w:type="dxa"/>
            <w:vAlign w:val="center"/>
          </w:tcPr>
          <w:p w:rsidR="006657DC" w:rsidRPr="00C900C4" w:rsidRDefault="006657DC" w:rsidP="006657DC">
            <w:pPr>
              <w:pStyle w:val="TableText"/>
            </w:pPr>
            <w:r w:rsidRPr="00C900C4">
              <w:tab/>
              <w:t>Pruritus</w:t>
            </w:r>
          </w:p>
        </w:tc>
        <w:tc>
          <w:tcPr>
            <w:tcW w:w="2250" w:type="dxa"/>
            <w:vAlign w:val="center"/>
          </w:tcPr>
          <w:p w:rsidR="006657DC" w:rsidRPr="00C900C4" w:rsidRDefault="006657DC" w:rsidP="006657DC">
            <w:pPr>
              <w:pStyle w:val="TableText"/>
              <w:jc w:val="center"/>
            </w:pPr>
            <w:r w:rsidRPr="00C900C4">
              <w:t>10 (1.8)</w:t>
            </w:r>
          </w:p>
        </w:tc>
        <w:tc>
          <w:tcPr>
            <w:tcW w:w="1980" w:type="dxa"/>
            <w:vAlign w:val="center"/>
          </w:tcPr>
          <w:p w:rsidR="006657DC" w:rsidRPr="00C900C4" w:rsidRDefault="006657DC" w:rsidP="006657DC">
            <w:pPr>
              <w:pStyle w:val="TableText"/>
              <w:jc w:val="center"/>
            </w:pPr>
            <w:r w:rsidRPr="00C900C4">
              <w:t>14 (2.4)</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1"/>
        </w:trPr>
        <w:tc>
          <w:tcPr>
            <w:tcW w:w="4770" w:type="dxa"/>
            <w:vAlign w:val="center"/>
          </w:tcPr>
          <w:p w:rsidR="006657DC" w:rsidRPr="00C900C4" w:rsidRDefault="006657DC" w:rsidP="006657DC">
            <w:pPr>
              <w:pStyle w:val="TableText"/>
            </w:pPr>
            <w:r w:rsidRPr="00C900C4">
              <w:t>Vascular Disorders</w:t>
            </w:r>
          </w:p>
        </w:tc>
        <w:tc>
          <w:tcPr>
            <w:tcW w:w="2250" w:type="dxa"/>
            <w:vAlign w:val="center"/>
          </w:tcPr>
          <w:p w:rsidR="006657DC" w:rsidRPr="00C900C4" w:rsidRDefault="006657DC" w:rsidP="006657DC">
            <w:pPr>
              <w:pStyle w:val="C-TableText"/>
              <w:keepNext/>
              <w:keepLines/>
              <w:spacing w:before="0" w:after="0"/>
              <w:jc w:val="center"/>
              <w:rPr>
                <w:sz w:val="20"/>
              </w:rPr>
            </w:pPr>
            <w:r w:rsidRPr="00C900C4">
              <w:rPr>
                <w:sz w:val="20"/>
              </w:rPr>
              <w:t>36 (6.4)</w:t>
            </w:r>
          </w:p>
        </w:tc>
        <w:tc>
          <w:tcPr>
            <w:tcW w:w="1980" w:type="dxa"/>
            <w:vAlign w:val="center"/>
          </w:tcPr>
          <w:p w:rsidR="006657DC" w:rsidRPr="00C900C4" w:rsidRDefault="006657DC" w:rsidP="006657DC">
            <w:pPr>
              <w:pStyle w:val="C-TableText"/>
              <w:keepNext/>
              <w:keepLines/>
              <w:spacing w:before="0" w:after="0"/>
              <w:jc w:val="center"/>
              <w:rPr>
                <w:sz w:val="20"/>
              </w:rPr>
            </w:pPr>
            <w:r w:rsidRPr="00C900C4">
              <w:rPr>
                <w:sz w:val="20"/>
              </w:rPr>
              <w:t>31 (5.3)</w:t>
            </w:r>
          </w:p>
        </w:tc>
      </w:tr>
      <w:tr w:rsidR="006657DC" w:rsidRPr="00C900C4" w:rsidTr="00665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7"/>
        </w:trPr>
        <w:tc>
          <w:tcPr>
            <w:tcW w:w="4770" w:type="dxa"/>
            <w:vAlign w:val="center"/>
          </w:tcPr>
          <w:p w:rsidR="006657DC" w:rsidRPr="00C900C4" w:rsidRDefault="006657DC" w:rsidP="006657DC">
            <w:pPr>
              <w:pStyle w:val="TableText"/>
            </w:pPr>
            <w:r w:rsidRPr="00C900C4">
              <w:tab/>
              <w:t>Hypotension</w:t>
            </w:r>
          </w:p>
        </w:tc>
        <w:tc>
          <w:tcPr>
            <w:tcW w:w="2250" w:type="dxa"/>
            <w:vAlign w:val="center"/>
          </w:tcPr>
          <w:p w:rsidR="006657DC" w:rsidRPr="00C900C4" w:rsidRDefault="006657DC" w:rsidP="006657DC">
            <w:pPr>
              <w:pStyle w:val="TableText"/>
              <w:jc w:val="center"/>
            </w:pPr>
            <w:r w:rsidRPr="00C900C4">
              <w:t>11 (2.0)</w:t>
            </w:r>
          </w:p>
        </w:tc>
        <w:tc>
          <w:tcPr>
            <w:tcW w:w="1980" w:type="dxa"/>
            <w:vAlign w:val="center"/>
          </w:tcPr>
          <w:p w:rsidR="006657DC" w:rsidRPr="00C900C4" w:rsidRDefault="006657DC" w:rsidP="006657DC">
            <w:pPr>
              <w:pStyle w:val="TableText"/>
              <w:jc w:val="center"/>
            </w:pPr>
            <w:r w:rsidRPr="00C900C4">
              <w:t>12 (2.1)</w:t>
            </w:r>
          </w:p>
        </w:tc>
      </w:tr>
    </w:tbl>
    <w:p w:rsidR="006657DC" w:rsidRDefault="006657DC" w:rsidP="006657DC"/>
    <w:p w:rsidR="006657DC" w:rsidRPr="00C86067" w:rsidRDefault="006657DC" w:rsidP="00C86067">
      <w:pPr>
        <w:keepNext/>
        <w:rPr>
          <w:rFonts w:ascii="Times New Roman" w:hAnsi="Times New Roman"/>
          <w:b/>
          <w:u w:val="single"/>
          <w:lang w:val="en-CA"/>
        </w:rPr>
      </w:pPr>
      <w:r w:rsidRPr="00C86067">
        <w:rPr>
          <w:rFonts w:ascii="Times New Roman" w:hAnsi="Times New Roman"/>
          <w:b/>
          <w:u w:val="single"/>
          <w:lang w:val="en-CA"/>
        </w:rPr>
        <w:t>Clinical Trial Adverse Drug Reactions Overview</w:t>
      </w:r>
    </w:p>
    <w:p w:rsidR="006657DC" w:rsidRPr="00C86067" w:rsidRDefault="006657DC" w:rsidP="006657DC">
      <w:pPr>
        <w:rPr>
          <w:rFonts w:ascii="Times New Roman" w:hAnsi="Times New Roman"/>
          <w:lang w:val="en-CA"/>
        </w:rPr>
      </w:pPr>
      <w:r w:rsidRPr="00C86067">
        <w:rPr>
          <w:rFonts w:ascii="Times New Roman" w:hAnsi="Times New Roman"/>
          <w:lang w:val="en-CA"/>
        </w:rPr>
        <w:t>The overall rate of adverse drug reactions assigned by the clinical investigators as being possibly or definitely related to DIFICID in Phase 3 clinical trials was 10.6%. The most common adverse drug reactions in patients receiving DIFICID were nausea (2.7%), constipation (1.2%), and vomiting (1.2%). The majority of adverse drug reactions were reported as mild or moderate in severity. No serious adverse drug reaction considered to be related to DIFICID by the investigator was reported by more than 1 subject.</w:t>
      </w:r>
    </w:p>
    <w:p w:rsidR="006657DC" w:rsidRPr="00C86067" w:rsidRDefault="006657DC" w:rsidP="003C485F">
      <w:pPr>
        <w:keepNext/>
        <w:rPr>
          <w:rFonts w:ascii="Times New Roman" w:hAnsi="Times New Roman"/>
          <w:lang w:val="en-CA"/>
        </w:rPr>
      </w:pPr>
      <w:r w:rsidRPr="00C86067">
        <w:rPr>
          <w:rFonts w:ascii="Times New Roman" w:hAnsi="Times New Roman"/>
          <w:lang w:val="en-CA"/>
        </w:rPr>
        <w:lastRenderedPageBreak/>
        <w:t xml:space="preserve">The following adverse </w:t>
      </w:r>
      <w:r w:rsidR="00961350">
        <w:rPr>
          <w:rFonts w:ascii="Times New Roman" w:hAnsi="Times New Roman"/>
          <w:lang w:val="en-CA"/>
        </w:rPr>
        <w:t xml:space="preserve">drug </w:t>
      </w:r>
      <w:r w:rsidRPr="00C86067">
        <w:rPr>
          <w:rFonts w:ascii="Times New Roman" w:hAnsi="Times New Roman"/>
          <w:lang w:val="en-CA"/>
        </w:rPr>
        <w:t xml:space="preserve">reactions were reported in subjects in controlled clinical trials on treatment with DIFICID in </w:t>
      </w:r>
      <w:r w:rsidR="003C485F">
        <w:rPr>
          <w:rFonts w:ascii="Times New Roman" w:hAnsi="Times New Roman"/>
          <w:lang w:val="en-CA"/>
        </w:rPr>
        <w:t xml:space="preserve">more than 1 </w:t>
      </w:r>
      <w:r w:rsidRPr="00C86067">
        <w:rPr>
          <w:rFonts w:ascii="Times New Roman" w:hAnsi="Times New Roman"/>
          <w:lang w:val="en-CA"/>
        </w:rPr>
        <w:t>subject:</w:t>
      </w:r>
    </w:p>
    <w:tbl>
      <w:tblPr>
        <w:tblW w:w="0" w:type="auto"/>
        <w:jc w:val="center"/>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1"/>
        <w:gridCol w:w="2505"/>
        <w:gridCol w:w="2970"/>
      </w:tblGrid>
      <w:tr w:rsidR="003C485F" w:rsidRPr="00C900C4" w:rsidTr="00CA1209">
        <w:trPr>
          <w:jc w:val="center"/>
        </w:trPr>
        <w:tc>
          <w:tcPr>
            <w:tcW w:w="2441" w:type="dxa"/>
            <w:vAlign w:val="center"/>
          </w:tcPr>
          <w:p w:rsidR="003C485F" w:rsidRPr="00CA1209" w:rsidRDefault="003C485F" w:rsidP="00CA1209">
            <w:pPr>
              <w:keepLines/>
              <w:widowControl w:val="0"/>
              <w:tabs>
                <w:tab w:val="left" w:pos="4320"/>
              </w:tabs>
              <w:spacing w:after="0"/>
              <w:rPr>
                <w:rFonts w:ascii="Times New Roman" w:hAnsi="Times New Roman"/>
                <w:b/>
                <w:bCs/>
                <w:sz w:val="20"/>
                <w:szCs w:val="20"/>
                <w:lang w:val="en-CA"/>
              </w:rPr>
            </w:pPr>
            <w:r w:rsidRPr="00CA1209">
              <w:rPr>
                <w:rFonts w:ascii="Times New Roman" w:hAnsi="Times New Roman"/>
                <w:b/>
                <w:bCs/>
                <w:sz w:val="20"/>
                <w:szCs w:val="20"/>
                <w:lang w:val="en-CA"/>
              </w:rPr>
              <w:t>System Organ Class</w:t>
            </w:r>
          </w:p>
        </w:tc>
        <w:tc>
          <w:tcPr>
            <w:tcW w:w="2505" w:type="dxa"/>
            <w:vAlign w:val="center"/>
          </w:tcPr>
          <w:p w:rsidR="003C485F" w:rsidRPr="00CA1209" w:rsidRDefault="003C485F" w:rsidP="00CA1209">
            <w:pPr>
              <w:keepLines/>
              <w:widowControl w:val="0"/>
              <w:tabs>
                <w:tab w:val="left" w:pos="4320"/>
              </w:tabs>
              <w:spacing w:after="0"/>
              <w:rPr>
                <w:rFonts w:ascii="Times New Roman" w:hAnsi="Times New Roman"/>
                <w:b/>
                <w:bCs/>
                <w:sz w:val="20"/>
                <w:szCs w:val="20"/>
                <w:lang w:val="en-CA"/>
              </w:rPr>
            </w:pPr>
            <w:r w:rsidRPr="00CA1209">
              <w:rPr>
                <w:rFonts w:ascii="Times New Roman" w:hAnsi="Times New Roman"/>
                <w:b/>
                <w:bCs/>
                <w:sz w:val="20"/>
                <w:szCs w:val="20"/>
                <w:lang w:val="en-CA"/>
              </w:rPr>
              <w:t>Common (≥1/100 to &lt;1/10)</w:t>
            </w:r>
          </w:p>
        </w:tc>
        <w:tc>
          <w:tcPr>
            <w:tcW w:w="2970" w:type="dxa"/>
            <w:vAlign w:val="center"/>
          </w:tcPr>
          <w:p w:rsidR="003C485F" w:rsidRPr="00CA1209" w:rsidRDefault="003C485F" w:rsidP="00CA1209">
            <w:pPr>
              <w:keepLines/>
              <w:widowControl w:val="0"/>
              <w:tabs>
                <w:tab w:val="left" w:pos="4320"/>
              </w:tabs>
              <w:spacing w:after="0"/>
              <w:rPr>
                <w:rFonts w:ascii="Times New Roman" w:hAnsi="Times New Roman"/>
                <w:b/>
                <w:bCs/>
                <w:sz w:val="20"/>
                <w:szCs w:val="20"/>
                <w:lang w:val="en-CA"/>
              </w:rPr>
            </w:pPr>
            <w:r w:rsidRPr="00CA1209">
              <w:rPr>
                <w:rFonts w:ascii="Times New Roman" w:hAnsi="Times New Roman"/>
                <w:b/>
                <w:bCs/>
                <w:sz w:val="20"/>
                <w:szCs w:val="20"/>
                <w:lang w:val="en-CA"/>
              </w:rPr>
              <w:t>Uncommon (≥1/1000 to &lt;1/100)</w:t>
            </w:r>
          </w:p>
        </w:tc>
      </w:tr>
      <w:tr w:rsidR="003C485F" w:rsidRPr="00C900C4" w:rsidTr="00CA1209">
        <w:trPr>
          <w:jc w:val="center"/>
        </w:trPr>
        <w:tc>
          <w:tcPr>
            <w:tcW w:w="2441" w:type="dxa"/>
            <w:vAlign w:val="center"/>
          </w:tcPr>
          <w:p w:rsidR="003C485F" w:rsidRPr="00CA1209" w:rsidRDefault="003C485F" w:rsidP="00CA1209">
            <w:pPr>
              <w:keepLines/>
              <w:widowControl w:val="0"/>
              <w:tabs>
                <w:tab w:val="left" w:pos="4320"/>
              </w:tabs>
              <w:spacing w:after="0"/>
              <w:rPr>
                <w:rFonts w:ascii="Times New Roman" w:hAnsi="Times New Roman"/>
                <w:bCs/>
                <w:sz w:val="20"/>
                <w:szCs w:val="20"/>
                <w:lang w:val="en-CA"/>
              </w:rPr>
            </w:pPr>
            <w:r w:rsidRPr="00CA1209">
              <w:rPr>
                <w:rFonts w:ascii="Times New Roman" w:hAnsi="Times New Roman"/>
                <w:bCs/>
                <w:sz w:val="20"/>
                <w:szCs w:val="20"/>
                <w:lang w:val="en-CA"/>
              </w:rPr>
              <w:t>Gastrointestinal Disorders</w:t>
            </w:r>
          </w:p>
        </w:tc>
        <w:tc>
          <w:tcPr>
            <w:tcW w:w="2505" w:type="dxa"/>
            <w:vAlign w:val="center"/>
          </w:tcPr>
          <w:p w:rsidR="003C485F" w:rsidRPr="00CA1209" w:rsidRDefault="003C485F" w:rsidP="00CA1209">
            <w:pPr>
              <w:keepLines/>
              <w:widowControl w:val="0"/>
              <w:tabs>
                <w:tab w:val="left" w:pos="4320"/>
              </w:tabs>
              <w:spacing w:after="0"/>
              <w:rPr>
                <w:rFonts w:ascii="Times New Roman" w:hAnsi="Times New Roman"/>
                <w:b/>
                <w:bCs/>
                <w:sz w:val="20"/>
                <w:szCs w:val="20"/>
                <w:lang w:val="en-CA"/>
              </w:rPr>
            </w:pPr>
            <w:r w:rsidRPr="00CA1209">
              <w:rPr>
                <w:rFonts w:ascii="Times New Roman" w:hAnsi="Times New Roman"/>
                <w:sz w:val="20"/>
                <w:szCs w:val="20"/>
                <w:lang w:val="en-CA"/>
              </w:rPr>
              <w:t>nausea, constipation, vomiting</w:t>
            </w:r>
          </w:p>
        </w:tc>
        <w:tc>
          <w:tcPr>
            <w:tcW w:w="2970" w:type="dxa"/>
            <w:vAlign w:val="center"/>
          </w:tcPr>
          <w:p w:rsidR="003C485F" w:rsidRPr="00CA1209" w:rsidRDefault="003C485F" w:rsidP="00CA1209">
            <w:pPr>
              <w:keepLines/>
              <w:widowControl w:val="0"/>
              <w:tabs>
                <w:tab w:val="left" w:pos="4320"/>
              </w:tabs>
              <w:spacing w:after="0"/>
              <w:rPr>
                <w:rFonts w:ascii="Times New Roman" w:hAnsi="Times New Roman"/>
                <w:b/>
                <w:bCs/>
                <w:sz w:val="20"/>
                <w:szCs w:val="20"/>
                <w:lang w:val="en-CA"/>
              </w:rPr>
            </w:pPr>
            <w:r w:rsidRPr="00CA1209">
              <w:rPr>
                <w:rFonts w:ascii="Times New Roman" w:hAnsi="Times New Roman"/>
                <w:sz w:val="20"/>
                <w:szCs w:val="20"/>
                <w:lang w:val="en-CA"/>
              </w:rPr>
              <w:t>abdominal distension, flatulence, dry mouth</w:t>
            </w:r>
          </w:p>
        </w:tc>
      </w:tr>
      <w:tr w:rsidR="003C485F" w:rsidRPr="00C900C4" w:rsidTr="00CA1209">
        <w:trPr>
          <w:jc w:val="center"/>
        </w:trPr>
        <w:tc>
          <w:tcPr>
            <w:tcW w:w="2441" w:type="dxa"/>
            <w:vAlign w:val="center"/>
          </w:tcPr>
          <w:p w:rsidR="003C485F" w:rsidRPr="00CA1209" w:rsidRDefault="003C485F" w:rsidP="00CA1209">
            <w:pPr>
              <w:keepLines/>
              <w:widowControl w:val="0"/>
              <w:tabs>
                <w:tab w:val="left" w:pos="4320"/>
              </w:tabs>
              <w:spacing w:after="0"/>
              <w:rPr>
                <w:rFonts w:ascii="Times New Roman" w:hAnsi="Times New Roman"/>
                <w:bCs/>
                <w:sz w:val="20"/>
                <w:szCs w:val="20"/>
                <w:lang w:val="en-CA"/>
              </w:rPr>
            </w:pPr>
            <w:r w:rsidRPr="00CA1209">
              <w:rPr>
                <w:rFonts w:ascii="Times New Roman" w:hAnsi="Times New Roman"/>
                <w:sz w:val="20"/>
                <w:szCs w:val="20"/>
                <w:lang w:val="en-CA"/>
              </w:rPr>
              <w:t>Metabolism and Nutrition Disorders</w:t>
            </w:r>
          </w:p>
        </w:tc>
        <w:tc>
          <w:tcPr>
            <w:tcW w:w="2505" w:type="dxa"/>
            <w:vAlign w:val="center"/>
          </w:tcPr>
          <w:p w:rsidR="003C485F" w:rsidRPr="00CA1209" w:rsidRDefault="003C485F" w:rsidP="00CA1209">
            <w:pPr>
              <w:keepLines/>
              <w:widowControl w:val="0"/>
              <w:tabs>
                <w:tab w:val="left" w:pos="4320"/>
              </w:tabs>
              <w:spacing w:after="0"/>
              <w:rPr>
                <w:rFonts w:ascii="Times New Roman" w:hAnsi="Times New Roman"/>
                <w:b/>
                <w:bCs/>
                <w:sz w:val="20"/>
                <w:szCs w:val="20"/>
                <w:lang w:val="en-CA"/>
              </w:rPr>
            </w:pPr>
          </w:p>
        </w:tc>
        <w:tc>
          <w:tcPr>
            <w:tcW w:w="2970" w:type="dxa"/>
            <w:vAlign w:val="center"/>
          </w:tcPr>
          <w:p w:rsidR="003C485F" w:rsidRPr="00CA1209" w:rsidRDefault="003C485F" w:rsidP="00CA1209">
            <w:pPr>
              <w:keepLines/>
              <w:widowControl w:val="0"/>
              <w:tabs>
                <w:tab w:val="left" w:pos="4320"/>
              </w:tabs>
              <w:spacing w:after="0"/>
              <w:rPr>
                <w:rFonts w:ascii="Times New Roman" w:hAnsi="Times New Roman"/>
                <w:b/>
                <w:bCs/>
                <w:sz w:val="20"/>
                <w:szCs w:val="20"/>
                <w:lang w:val="en-CA"/>
              </w:rPr>
            </w:pPr>
            <w:r w:rsidRPr="00CA1209">
              <w:rPr>
                <w:rFonts w:ascii="Times New Roman" w:hAnsi="Times New Roman"/>
                <w:sz w:val="20"/>
                <w:szCs w:val="20"/>
                <w:lang w:val="en-CA"/>
              </w:rPr>
              <w:t>anorexia</w:t>
            </w:r>
          </w:p>
        </w:tc>
      </w:tr>
      <w:tr w:rsidR="003C485F" w:rsidRPr="00C900C4" w:rsidTr="00CA1209">
        <w:trPr>
          <w:jc w:val="center"/>
        </w:trPr>
        <w:tc>
          <w:tcPr>
            <w:tcW w:w="2441" w:type="dxa"/>
            <w:vAlign w:val="center"/>
          </w:tcPr>
          <w:p w:rsidR="003C485F" w:rsidRPr="00CA1209" w:rsidRDefault="003C485F" w:rsidP="00CA1209">
            <w:pPr>
              <w:keepLines/>
              <w:widowControl w:val="0"/>
              <w:tabs>
                <w:tab w:val="left" w:pos="4320"/>
              </w:tabs>
              <w:spacing w:after="0"/>
              <w:rPr>
                <w:rFonts w:ascii="Times New Roman" w:hAnsi="Times New Roman"/>
                <w:bCs/>
                <w:sz w:val="20"/>
                <w:szCs w:val="20"/>
                <w:lang w:val="en-CA"/>
              </w:rPr>
            </w:pPr>
            <w:r w:rsidRPr="00CA1209">
              <w:rPr>
                <w:rFonts w:ascii="Times New Roman" w:hAnsi="Times New Roman"/>
                <w:sz w:val="20"/>
                <w:szCs w:val="20"/>
                <w:lang w:val="en-CA"/>
              </w:rPr>
              <w:t>Nervous System Disorders</w:t>
            </w:r>
          </w:p>
        </w:tc>
        <w:tc>
          <w:tcPr>
            <w:tcW w:w="2505" w:type="dxa"/>
            <w:vAlign w:val="center"/>
          </w:tcPr>
          <w:p w:rsidR="003C485F" w:rsidRPr="00CA1209" w:rsidRDefault="003C485F" w:rsidP="00CA1209">
            <w:pPr>
              <w:keepLines/>
              <w:widowControl w:val="0"/>
              <w:tabs>
                <w:tab w:val="left" w:pos="4320"/>
              </w:tabs>
              <w:spacing w:after="0"/>
              <w:rPr>
                <w:rFonts w:ascii="Times New Roman" w:hAnsi="Times New Roman"/>
                <w:b/>
                <w:bCs/>
                <w:sz w:val="20"/>
                <w:szCs w:val="20"/>
                <w:lang w:val="en-CA"/>
              </w:rPr>
            </w:pPr>
          </w:p>
        </w:tc>
        <w:tc>
          <w:tcPr>
            <w:tcW w:w="2970" w:type="dxa"/>
            <w:vAlign w:val="center"/>
          </w:tcPr>
          <w:p w:rsidR="003C485F" w:rsidRPr="00CA1209" w:rsidRDefault="003C485F" w:rsidP="00CA1209">
            <w:pPr>
              <w:keepLines/>
              <w:widowControl w:val="0"/>
              <w:tabs>
                <w:tab w:val="left" w:pos="4320"/>
              </w:tabs>
              <w:spacing w:after="0"/>
              <w:rPr>
                <w:rFonts w:ascii="Times New Roman" w:hAnsi="Times New Roman"/>
                <w:b/>
                <w:bCs/>
                <w:sz w:val="20"/>
                <w:szCs w:val="20"/>
                <w:lang w:val="en-CA"/>
              </w:rPr>
            </w:pPr>
            <w:r w:rsidRPr="00CA1209">
              <w:rPr>
                <w:rFonts w:ascii="Times New Roman" w:hAnsi="Times New Roman"/>
                <w:sz w:val="20"/>
                <w:szCs w:val="20"/>
                <w:lang w:val="en-CA"/>
              </w:rPr>
              <w:t>dysgeusia, headache, dizziness</w:t>
            </w:r>
          </w:p>
        </w:tc>
      </w:tr>
      <w:tr w:rsidR="003C485F" w:rsidRPr="00CA1209" w:rsidTr="00CA1209">
        <w:trPr>
          <w:jc w:val="center"/>
        </w:trPr>
        <w:tc>
          <w:tcPr>
            <w:tcW w:w="2441" w:type="dxa"/>
            <w:vAlign w:val="center"/>
          </w:tcPr>
          <w:p w:rsidR="003C485F" w:rsidRPr="00CA1209" w:rsidRDefault="003C485F" w:rsidP="00CA1209">
            <w:pPr>
              <w:keepLines/>
              <w:widowControl w:val="0"/>
              <w:tabs>
                <w:tab w:val="left" w:pos="4320"/>
              </w:tabs>
              <w:spacing w:after="0"/>
              <w:rPr>
                <w:rFonts w:ascii="Times New Roman" w:hAnsi="Times New Roman"/>
                <w:sz w:val="20"/>
                <w:szCs w:val="20"/>
                <w:lang w:val="en-CA"/>
              </w:rPr>
            </w:pPr>
            <w:r w:rsidRPr="00CA1209">
              <w:rPr>
                <w:rFonts w:ascii="Times New Roman" w:hAnsi="Times New Roman"/>
                <w:sz w:val="20"/>
                <w:szCs w:val="20"/>
                <w:lang w:val="en-CA"/>
              </w:rPr>
              <w:t>Investigations</w:t>
            </w:r>
          </w:p>
        </w:tc>
        <w:tc>
          <w:tcPr>
            <w:tcW w:w="2505" w:type="dxa"/>
            <w:vAlign w:val="center"/>
          </w:tcPr>
          <w:p w:rsidR="003C485F" w:rsidRPr="00CA1209" w:rsidRDefault="003C485F" w:rsidP="00CA1209">
            <w:pPr>
              <w:keepLines/>
              <w:widowControl w:val="0"/>
              <w:tabs>
                <w:tab w:val="left" w:pos="4320"/>
              </w:tabs>
              <w:spacing w:after="0"/>
              <w:rPr>
                <w:rFonts w:ascii="Times New Roman" w:hAnsi="Times New Roman"/>
                <w:b/>
                <w:bCs/>
                <w:sz w:val="20"/>
                <w:szCs w:val="20"/>
                <w:lang w:val="en-CA"/>
              </w:rPr>
            </w:pPr>
          </w:p>
        </w:tc>
        <w:tc>
          <w:tcPr>
            <w:tcW w:w="2970" w:type="dxa"/>
            <w:vAlign w:val="center"/>
          </w:tcPr>
          <w:p w:rsidR="003C485F" w:rsidRPr="00CA1209" w:rsidRDefault="003C485F" w:rsidP="00CA1209">
            <w:pPr>
              <w:keepLines/>
              <w:widowControl w:val="0"/>
              <w:tabs>
                <w:tab w:val="left" w:pos="4320"/>
              </w:tabs>
              <w:spacing w:after="0"/>
              <w:rPr>
                <w:rFonts w:ascii="Times New Roman" w:hAnsi="Times New Roman"/>
                <w:b/>
                <w:bCs/>
                <w:sz w:val="20"/>
                <w:szCs w:val="20"/>
                <w:lang w:val="en-CA"/>
              </w:rPr>
            </w:pPr>
            <w:r w:rsidRPr="00CA1209">
              <w:rPr>
                <w:rFonts w:ascii="Times New Roman" w:hAnsi="Times New Roman"/>
                <w:sz w:val="20"/>
                <w:szCs w:val="20"/>
                <w:lang w:val="en-CA"/>
              </w:rPr>
              <w:t>alanine aminotransferase increased</w:t>
            </w:r>
          </w:p>
        </w:tc>
      </w:tr>
    </w:tbl>
    <w:p w:rsidR="003C485F" w:rsidRDefault="003C485F" w:rsidP="00C86067">
      <w:pPr>
        <w:keepLines/>
        <w:widowControl w:val="0"/>
        <w:tabs>
          <w:tab w:val="left" w:pos="4320"/>
        </w:tabs>
        <w:spacing w:after="0"/>
        <w:ind w:left="4320" w:hanging="4320"/>
        <w:rPr>
          <w:rFonts w:ascii="Times New Roman" w:hAnsi="Times New Roman"/>
          <w:b/>
          <w:bCs/>
          <w:lang w:val="en-CA"/>
        </w:rPr>
      </w:pPr>
    </w:p>
    <w:p w:rsidR="006657DC" w:rsidRPr="00C86067" w:rsidRDefault="006657DC" w:rsidP="00C86067">
      <w:pPr>
        <w:keepNext/>
        <w:rPr>
          <w:rFonts w:ascii="Times New Roman" w:hAnsi="Times New Roman"/>
          <w:b/>
          <w:u w:val="single"/>
          <w:lang w:val="en-CA"/>
        </w:rPr>
      </w:pPr>
      <w:r w:rsidRPr="00C86067">
        <w:rPr>
          <w:rFonts w:ascii="Times New Roman" w:hAnsi="Times New Roman"/>
          <w:b/>
          <w:u w:val="single"/>
          <w:lang w:val="en-CA"/>
        </w:rPr>
        <w:t>Post-Market Experience</w:t>
      </w:r>
    </w:p>
    <w:p w:rsidR="006657DC" w:rsidRPr="00C86067" w:rsidRDefault="006657DC" w:rsidP="00C86067">
      <w:pPr>
        <w:rPr>
          <w:rFonts w:ascii="Times New Roman" w:hAnsi="Times New Roman"/>
          <w:lang w:val="en-CA"/>
        </w:rPr>
      </w:pPr>
      <w:r w:rsidRPr="00C86067">
        <w:rPr>
          <w:rFonts w:ascii="Times New Roman" w:hAnsi="Times New Roman"/>
          <w:lang w:val="en-CA"/>
        </w:rPr>
        <w:t>The following adverse reactions have been identified during post approval use of DIFICID.  The frequency of these reactions is not known (cannot be estimated from the available data).</w:t>
      </w:r>
    </w:p>
    <w:p w:rsidR="006657DC" w:rsidRPr="00C86067" w:rsidRDefault="00C86067" w:rsidP="00C86067">
      <w:pPr>
        <w:keepLines/>
        <w:widowControl w:val="0"/>
        <w:tabs>
          <w:tab w:val="left" w:pos="4320"/>
        </w:tabs>
        <w:ind w:left="4320" w:hanging="4320"/>
        <w:rPr>
          <w:rFonts w:ascii="Times New Roman" w:hAnsi="Times New Roman"/>
          <w:lang w:val="en-CA"/>
        </w:rPr>
      </w:pPr>
      <w:r w:rsidRPr="00C86067">
        <w:rPr>
          <w:rFonts w:ascii="Times New Roman" w:hAnsi="Times New Roman"/>
          <w:b/>
          <w:lang w:val="en-CA"/>
        </w:rPr>
        <w:t xml:space="preserve">Immune </w:t>
      </w:r>
      <w:r>
        <w:rPr>
          <w:rFonts w:ascii="Times New Roman" w:hAnsi="Times New Roman"/>
          <w:b/>
          <w:lang w:val="en-CA"/>
        </w:rPr>
        <w:t>Sy</w:t>
      </w:r>
      <w:r w:rsidRPr="00C86067">
        <w:rPr>
          <w:rFonts w:ascii="Times New Roman" w:hAnsi="Times New Roman"/>
          <w:b/>
          <w:lang w:val="en-CA"/>
        </w:rPr>
        <w:t xml:space="preserve">stem </w:t>
      </w:r>
      <w:r>
        <w:rPr>
          <w:rFonts w:ascii="Times New Roman" w:hAnsi="Times New Roman"/>
          <w:b/>
          <w:lang w:val="en-CA"/>
        </w:rPr>
        <w:t>D</w:t>
      </w:r>
      <w:r w:rsidRPr="00C86067">
        <w:rPr>
          <w:rFonts w:ascii="Times New Roman" w:hAnsi="Times New Roman"/>
          <w:b/>
          <w:lang w:val="en-CA"/>
        </w:rPr>
        <w:t>isorders:</w:t>
      </w:r>
      <w:r w:rsidRPr="00C86067">
        <w:rPr>
          <w:rFonts w:ascii="Times New Roman" w:hAnsi="Times New Roman"/>
          <w:lang w:val="en-CA"/>
        </w:rPr>
        <w:tab/>
      </w:r>
      <w:r w:rsidR="00961350">
        <w:rPr>
          <w:rFonts w:ascii="Times New Roman" w:hAnsi="Times New Roman"/>
          <w:lang w:val="en-CA"/>
        </w:rPr>
        <w:t>h</w:t>
      </w:r>
      <w:r w:rsidRPr="00C86067">
        <w:rPr>
          <w:rFonts w:ascii="Times New Roman" w:hAnsi="Times New Roman"/>
          <w:lang w:val="en-CA"/>
        </w:rPr>
        <w:t>ypersensitivity reaction (rash, pruritus, angioedema, dyspnea)</w:t>
      </w:r>
    </w:p>
    <w:p w:rsidR="00CC7632" w:rsidRPr="00FD19EC" w:rsidRDefault="009C0222" w:rsidP="00B00567">
      <w:pPr>
        <w:rPr>
          <w:rFonts w:ascii="TimesNewRomanPS-BoldMT" w:hAnsi="TimesNewRomanPS-BoldMT" w:cs="TimesNewRomanPS-BoldMT"/>
          <w:b/>
          <w:bCs/>
          <w:sz w:val="28"/>
          <w:szCs w:val="28"/>
          <w:u w:val="single"/>
        </w:rPr>
      </w:pPr>
      <w:r w:rsidRPr="009C0222">
        <w:rPr>
          <w:rFonts w:ascii="TimesNewRomanPS-BoldMT" w:hAnsi="TimesNewRomanPS-BoldMT" w:cs="TimesNewRomanPS-BoldMT"/>
          <w:b/>
          <w:bCs/>
          <w:sz w:val="28"/>
          <w:szCs w:val="28"/>
          <w:u w:val="single"/>
        </w:rPr>
        <w:t xml:space="preserve">DOSAGE AND ADMINISTRATION </w:t>
      </w:r>
    </w:p>
    <w:p w:rsidR="00AA18E8" w:rsidRPr="00106A3D" w:rsidRDefault="00AA18E8" w:rsidP="00692175">
      <w:pPr>
        <w:rPr>
          <w:rFonts w:ascii="Times New Roman" w:eastAsia="TimesNewRoman" w:hAnsi="Times New Roman"/>
        </w:rPr>
      </w:pPr>
      <w:r w:rsidRPr="00106A3D">
        <w:rPr>
          <w:rFonts w:ascii="Times New Roman" w:eastAsia="TimesNewRoman" w:hAnsi="Times New Roman"/>
        </w:rPr>
        <w:t>The recommended dose is 200 mg (one tablet) administered twice daily (once every 12 hours) for 10</w:t>
      </w:r>
      <w:r w:rsidR="00BD3BE0">
        <w:rPr>
          <w:rFonts w:ascii="Times New Roman" w:eastAsia="TimesNewRoman" w:hAnsi="Times New Roman"/>
        </w:rPr>
        <w:t> </w:t>
      </w:r>
      <w:r w:rsidRPr="00106A3D">
        <w:rPr>
          <w:rFonts w:ascii="Times New Roman" w:eastAsia="TimesNewRoman" w:hAnsi="Times New Roman"/>
        </w:rPr>
        <w:t>days.</w:t>
      </w:r>
    </w:p>
    <w:p w:rsidR="001215B6" w:rsidRPr="00106A3D" w:rsidRDefault="001215B6" w:rsidP="00692175">
      <w:pPr>
        <w:rPr>
          <w:rFonts w:ascii="Times New Roman" w:eastAsia="TimesNewRoman" w:hAnsi="Times New Roman"/>
        </w:rPr>
      </w:pPr>
      <w:r w:rsidRPr="00106A3D">
        <w:rPr>
          <w:rFonts w:ascii="Times New Roman" w:hAnsi="Times New Roman"/>
          <w:lang w:val="en-CA"/>
        </w:rPr>
        <w:t xml:space="preserve">DIFICID can be taken </w:t>
      </w:r>
      <w:r w:rsidRPr="00106A3D">
        <w:rPr>
          <w:rFonts w:ascii="Times New Roman" w:eastAsia="TimesNewRoman" w:hAnsi="Times New Roman"/>
        </w:rPr>
        <w:t>before, during or after meals.</w:t>
      </w:r>
    </w:p>
    <w:p w:rsidR="00180A0A" w:rsidRPr="00AA18E8" w:rsidRDefault="001C5E78" w:rsidP="00692175">
      <w:pPr>
        <w:keepNext/>
        <w:rPr>
          <w:rFonts w:ascii="Times New Roman" w:eastAsia="TimesNewRoman,Italic" w:hAnsi="Times New Roman"/>
          <w:b/>
          <w:iCs/>
        </w:rPr>
      </w:pPr>
      <w:r>
        <w:rPr>
          <w:rFonts w:ascii="Times New Roman" w:eastAsia="TimesNewRoman,Italic" w:hAnsi="Times New Roman"/>
          <w:b/>
          <w:iCs/>
        </w:rPr>
        <w:t>Adults and elderly (≥</w:t>
      </w:r>
      <w:r w:rsidR="00F96EB3" w:rsidRPr="00F96EB3">
        <w:rPr>
          <w:rFonts w:ascii="Times New Roman" w:eastAsia="TimesNewRoman,Italic" w:hAnsi="Times New Roman"/>
          <w:b/>
          <w:iCs/>
        </w:rPr>
        <w:t>65 years of age)</w:t>
      </w:r>
      <w:r w:rsidR="00AA18E8">
        <w:rPr>
          <w:rFonts w:ascii="Times New Roman" w:eastAsia="TimesNewRoman,Italic" w:hAnsi="Times New Roman"/>
          <w:b/>
          <w:iCs/>
        </w:rPr>
        <w:t>:</w:t>
      </w:r>
    </w:p>
    <w:p w:rsidR="00AA18E8" w:rsidRPr="00106A3D" w:rsidRDefault="00AA18E8" w:rsidP="00692175">
      <w:pPr>
        <w:rPr>
          <w:rFonts w:ascii="Times New Roman" w:hAnsi="Times New Roman"/>
          <w:lang w:val="en-CA"/>
        </w:rPr>
      </w:pPr>
      <w:r w:rsidRPr="00106A3D">
        <w:rPr>
          <w:rFonts w:ascii="Times New Roman" w:hAnsi="Times New Roman"/>
          <w:lang w:val="en-CA"/>
        </w:rPr>
        <w:t xml:space="preserve">No dose adjustment is recommended for </w:t>
      </w:r>
      <w:r>
        <w:rPr>
          <w:rFonts w:ascii="Times New Roman" w:hAnsi="Times New Roman"/>
          <w:lang w:val="en-CA"/>
        </w:rPr>
        <w:t xml:space="preserve">elderly </w:t>
      </w:r>
      <w:r w:rsidR="00346CF6">
        <w:rPr>
          <w:rFonts w:ascii="Times New Roman" w:hAnsi="Times New Roman"/>
          <w:lang w:val="en-CA"/>
        </w:rPr>
        <w:t>patients</w:t>
      </w:r>
      <w:r w:rsidRPr="00106A3D">
        <w:rPr>
          <w:rFonts w:ascii="Times New Roman" w:hAnsi="Times New Roman"/>
          <w:lang w:val="en-CA"/>
        </w:rPr>
        <w:t>.</w:t>
      </w:r>
    </w:p>
    <w:p w:rsidR="005F5223" w:rsidRPr="00106A3D" w:rsidRDefault="005F5223" w:rsidP="00692175">
      <w:pPr>
        <w:keepNext/>
        <w:rPr>
          <w:rFonts w:ascii="Times New Roman" w:hAnsi="Times New Roman"/>
          <w:b/>
          <w:bCs/>
        </w:rPr>
      </w:pPr>
      <w:r w:rsidRPr="00106A3D">
        <w:rPr>
          <w:rFonts w:ascii="Times New Roman" w:hAnsi="Times New Roman"/>
          <w:b/>
          <w:bCs/>
        </w:rPr>
        <w:t>Patients with renal impairment:</w:t>
      </w:r>
    </w:p>
    <w:p w:rsidR="00180A0A" w:rsidRPr="00106A3D" w:rsidRDefault="00180A0A" w:rsidP="00692175">
      <w:pPr>
        <w:rPr>
          <w:rFonts w:ascii="Times New Roman" w:hAnsi="Times New Roman"/>
          <w:lang w:val="en-CA"/>
        </w:rPr>
      </w:pPr>
      <w:r w:rsidRPr="00106A3D">
        <w:rPr>
          <w:rFonts w:ascii="Times New Roman" w:hAnsi="Times New Roman"/>
          <w:lang w:val="en-CA"/>
        </w:rPr>
        <w:t xml:space="preserve">No dose adjustment is recommended for </w:t>
      </w:r>
      <w:r w:rsidR="00346CF6">
        <w:rPr>
          <w:rFonts w:ascii="Times New Roman" w:hAnsi="Times New Roman"/>
          <w:lang w:val="en-CA"/>
        </w:rPr>
        <w:t>patients</w:t>
      </w:r>
      <w:r w:rsidRPr="00106A3D">
        <w:rPr>
          <w:rFonts w:ascii="Times New Roman" w:hAnsi="Times New Roman"/>
          <w:lang w:val="en-CA"/>
        </w:rPr>
        <w:t xml:space="preserve"> with renal insufficiency.</w:t>
      </w:r>
    </w:p>
    <w:p w:rsidR="005F5223" w:rsidRPr="00106A3D" w:rsidRDefault="005F5223" w:rsidP="00692175">
      <w:pPr>
        <w:keepNext/>
        <w:rPr>
          <w:rFonts w:ascii="Times New Roman" w:hAnsi="Times New Roman"/>
          <w:lang w:val="en-CA"/>
        </w:rPr>
      </w:pPr>
      <w:r w:rsidRPr="00106A3D">
        <w:rPr>
          <w:rFonts w:ascii="Times New Roman" w:hAnsi="Times New Roman"/>
          <w:b/>
          <w:bCs/>
        </w:rPr>
        <w:t>Patients with hepatic impairment:</w:t>
      </w:r>
    </w:p>
    <w:p w:rsidR="00FD19EC" w:rsidRPr="00106A3D" w:rsidRDefault="00180A0A" w:rsidP="00692175">
      <w:pPr>
        <w:rPr>
          <w:rFonts w:ascii="Times New Roman" w:hAnsi="Times New Roman"/>
          <w:lang w:val="en-CA"/>
        </w:rPr>
      </w:pPr>
      <w:r w:rsidRPr="00106A3D">
        <w:rPr>
          <w:rFonts w:ascii="Times New Roman" w:hAnsi="Times New Roman"/>
          <w:lang w:val="en-CA"/>
        </w:rPr>
        <w:t xml:space="preserve">No dose adjustment is recommended for </w:t>
      </w:r>
      <w:r w:rsidR="00346CF6">
        <w:rPr>
          <w:rFonts w:ascii="Times New Roman" w:hAnsi="Times New Roman"/>
          <w:lang w:val="en-CA"/>
        </w:rPr>
        <w:t>patients</w:t>
      </w:r>
      <w:r w:rsidRPr="00106A3D">
        <w:rPr>
          <w:rFonts w:ascii="Times New Roman" w:hAnsi="Times New Roman"/>
          <w:lang w:val="en-CA"/>
        </w:rPr>
        <w:t xml:space="preserve"> with hepatic insufficiency.</w:t>
      </w:r>
    </w:p>
    <w:p w:rsidR="00106A3D" w:rsidRPr="00106A3D" w:rsidRDefault="00106A3D" w:rsidP="00692175">
      <w:pPr>
        <w:keepNext/>
        <w:rPr>
          <w:rFonts w:ascii="Times New Roman" w:hAnsi="Times New Roman"/>
          <w:b/>
          <w:bCs/>
        </w:rPr>
      </w:pPr>
      <w:r w:rsidRPr="00106A3D">
        <w:rPr>
          <w:rFonts w:ascii="Times New Roman" w:hAnsi="Times New Roman"/>
          <w:b/>
          <w:bCs/>
        </w:rPr>
        <w:t>Patients undergoing dialysis:</w:t>
      </w:r>
    </w:p>
    <w:p w:rsidR="00180A0A" w:rsidRPr="00106A3D" w:rsidRDefault="00180A0A" w:rsidP="00692175">
      <w:pPr>
        <w:rPr>
          <w:rFonts w:ascii="Times New Roman" w:hAnsi="Times New Roman"/>
          <w:lang w:val="en-CA"/>
        </w:rPr>
      </w:pPr>
      <w:r w:rsidRPr="00106A3D">
        <w:rPr>
          <w:rFonts w:ascii="Times New Roman" w:hAnsi="Times New Roman"/>
          <w:lang w:val="en-CA"/>
        </w:rPr>
        <w:t xml:space="preserve">No dose adjustment is recommended for </w:t>
      </w:r>
      <w:r w:rsidR="00346CF6">
        <w:rPr>
          <w:rFonts w:ascii="Times New Roman" w:hAnsi="Times New Roman"/>
          <w:lang w:val="en-CA"/>
        </w:rPr>
        <w:t>patients</w:t>
      </w:r>
      <w:r w:rsidRPr="00106A3D">
        <w:rPr>
          <w:rFonts w:ascii="Times New Roman" w:hAnsi="Times New Roman"/>
          <w:lang w:val="en-CA"/>
        </w:rPr>
        <w:t xml:space="preserve"> undergoing dialysis.</w:t>
      </w:r>
    </w:p>
    <w:p w:rsidR="00106A3D" w:rsidRPr="00106A3D" w:rsidRDefault="00106A3D" w:rsidP="00692175">
      <w:pPr>
        <w:keepNext/>
        <w:rPr>
          <w:rFonts w:ascii="Times New Roman" w:hAnsi="Times New Roman"/>
          <w:b/>
          <w:lang w:val="en-CA"/>
        </w:rPr>
      </w:pPr>
      <w:r w:rsidRPr="00106A3D">
        <w:rPr>
          <w:rFonts w:ascii="Times New Roman" w:hAnsi="Times New Roman"/>
          <w:b/>
          <w:lang w:val="en-CA"/>
        </w:rPr>
        <w:t>Patients with concomitant disease:</w:t>
      </w:r>
    </w:p>
    <w:p w:rsidR="00180A0A" w:rsidRPr="00106A3D" w:rsidRDefault="00180A0A" w:rsidP="00692175">
      <w:pPr>
        <w:rPr>
          <w:rFonts w:ascii="Times New Roman" w:hAnsi="Times New Roman"/>
          <w:lang w:val="en-CA"/>
        </w:rPr>
      </w:pPr>
      <w:r w:rsidRPr="00106A3D">
        <w:rPr>
          <w:rFonts w:ascii="Times New Roman" w:hAnsi="Times New Roman"/>
          <w:lang w:val="en-CA"/>
        </w:rPr>
        <w:t xml:space="preserve">No dose adjustment is recommended for </w:t>
      </w:r>
      <w:r w:rsidR="00346CF6">
        <w:rPr>
          <w:rFonts w:ascii="Times New Roman" w:hAnsi="Times New Roman"/>
          <w:lang w:val="en-CA"/>
        </w:rPr>
        <w:t>patients</w:t>
      </w:r>
      <w:r w:rsidRPr="00106A3D">
        <w:rPr>
          <w:rFonts w:ascii="Times New Roman" w:hAnsi="Times New Roman"/>
          <w:lang w:val="en-CA"/>
        </w:rPr>
        <w:t xml:space="preserve"> with concomitant disease.</w:t>
      </w:r>
    </w:p>
    <w:p w:rsidR="00106A3D" w:rsidRPr="00106A3D" w:rsidRDefault="002C0EE5" w:rsidP="00692175">
      <w:pPr>
        <w:keepNext/>
        <w:rPr>
          <w:rFonts w:ascii="Times New Roman" w:hAnsi="Times New Roman"/>
        </w:rPr>
      </w:pPr>
      <w:r w:rsidRPr="00106A3D">
        <w:rPr>
          <w:rFonts w:ascii="Times New Roman" w:hAnsi="Times New Roman"/>
          <w:b/>
          <w:bCs/>
        </w:rPr>
        <w:t xml:space="preserve">Children: </w:t>
      </w:r>
    </w:p>
    <w:p w:rsidR="00106A3D" w:rsidRPr="00106A3D" w:rsidRDefault="002C0EE5" w:rsidP="00692175">
      <w:pPr>
        <w:rPr>
          <w:rFonts w:ascii="Times New Roman" w:hAnsi="Times New Roman"/>
        </w:rPr>
      </w:pPr>
      <w:r w:rsidRPr="00106A3D">
        <w:rPr>
          <w:rFonts w:ascii="Times New Roman" w:hAnsi="Times New Roman"/>
        </w:rPr>
        <w:t xml:space="preserve">Safety and efficacy of </w:t>
      </w:r>
      <w:r w:rsidR="00792C02">
        <w:rPr>
          <w:rFonts w:ascii="Times New Roman" w:hAnsi="Times New Roman"/>
        </w:rPr>
        <w:t>DIFICID</w:t>
      </w:r>
      <w:r w:rsidR="00792C02" w:rsidRPr="00106A3D">
        <w:rPr>
          <w:rFonts w:ascii="Times New Roman" w:hAnsi="Times New Roman"/>
        </w:rPr>
        <w:t xml:space="preserve"> </w:t>
      </w:r>
      <w:r w:rsidRPr="00106A3D">
        <w:rPr>
          <w:rFonts w:ascii="Times New Roman" w:hAnsi="Times New Roman"/>
        </w:rPr>
        <w:t>in patients under the age of 18 has not been established.</w:t>
      </w:r>
      <w:r w:rsidR="00106A3D" w:rsidRPr="00106A3D">
        <w:rPr>
          <w:rFonts w:ascii="Times New Roman" w:hAnsi="Times New Roman"/>
        </w:rPr>
        <w:t xml:space="preserve"> </w:t>
      </w:r>
      <w:r w:rsidRPr="00106A3D">
        <w:rPr>
          <w:rFonts w:ascii="Times New Roman" w:hAnsi="Times New Roman"/>
        </w:rPr>
        <w:t xml:space="preserve">Therefore, </w:t>
      </w:r>
      <w:r w:rsidR="00106A3D" w:rsidRPr="00106A3D">
        <w:rPr>
          <w:rFonts w:ascii="Times New Roman" w:hAnsi="Times New Roman"/>
        </w:rPr>
        <w:t>DIFICID</w:t>
      </w:r>
      <w:r w:rsidRPr="00106A3D">
        <w:rPr>
          <w:rFonts w:ascii="Times New Roman" w:hAnsi="Times New Roman"/>
        </w:rPr>
        <w:t xml:space="preserve"> is not recommended for use in children.</w:t>
      </w:r>
    </w:p>
    <w:p w:rsidR="00CA42D7" w:rsidRPr="002C0EE5" w:rsidRDefault="002C0EE5" w:rsidP="00692175">
      <w:pPr>
        <w:keepNext/>
        <w:rPr>
          <w:b/>
          <w:bCs/>
          <w:sz w:val="23"/>
          <w:szCs w:val="23"/>
          <w:u w:val="single"/>
        </w:rPr>
      </w:pPr>
      <w:r w:rsidRPr="002C0EE5">
        <w:rPr>
          <w:rFonts w:ascii="TimesNewRomanPS-BoldMT" w:hAnsi="TimesNewRomanPS-BoldMT" w:cs="TimesNewRomanPS-BoldMT"/>
          <w:b/>
          <w:bCs/>
          <w:sz w:val="28"/>
          <w:szCs w:val="28"/>
          <w:u w:val="single"/>
        </w:rPr>
        <w:lastRenderedPageBreak/>
        <w:t>OVERDOSAGE</w:t>
      </w:r>
    </w:p>
    <w:p w:rsidR="00CA42D7" w:rsidRPr="00106A3D" w:rsidRDefault="00CA42D7" w:rsidP="00692175">
      <w:pPr>
        <w:rPr>
          <w:rFonts w:ascii="Times New Roman" w:hAnsi="Times New Roman"/>
          <w:lang w:val="en-CA"/>
        </w:rPr>
      </w:pPr>
      <w:r w:rsidRPr="00106A3D">
        <w:rPr>
          <w:rFonts w:ascii="Times New Roman" w:hAnsi="Times New Roman"/>
          <w:lang w:val="en-CA"/>
        </w:rPr>
        <w:t>No cases of acute overdose have been reported in humans. No drug-related adverse effects were seen in dogs dosed with fidaxomicin at 9600 mg/day (over 100 times the human dose, scaled by weight) for 3</w:t>
      </w:r>
      <w:r w:rsidR="00BD3BE0">
        <w:rPr>
          <w:rFonts w:ascii="Times New Roman" w:hAnsi="Times New Roman"/>
          <w:lang w:val="en-CA"/>
        </w:rPr>
        <w:t> </w:t>
      </w:r>
      <w:r w:rsidRPr="00106A3D">
        <w:rPr>
          <w:rFonts w:ascii="Times New Roman" w:hAnsi="Times New Roman"/>
          <w:lang w:val="en-CA"/>
        </w:rPr>
        <w:t xml:space="preserve">months. </w:t>
      </w:r>
    </w:p>
    <w:p w:rsidR="00CA42D7" w:rsidRPr="00106A3D" w:rsidRDefault="00CA42D7" w:rsidP="00692175">
      <w:pPr>
        <w:rPr>
          <w:rFonts w:ascii="Times New Roman" w:hAnsi="Times New Roman"/>
          <w:lang w:val="en-CA"/>
        </w:rPr>
      </w:pPr>
      <w:r w:rsidRPr="00106A3D">
        <w:rPr>
          <w:rFonts w:ascii="Times New Roman" w:hAnsi="Times New Roman"/>
          <w:lang w:val="en-CA"/>
        </w:rPr>
        <w:t>For information on the management of overdose, contact the Poison Information Centre on 13</w:t>
      </w:r>
      <w:r w:rsidR="001215B6">
        <w:rPr>
          <w:rFonts w:ascii="Times New Roman" w:hAnsi="Times New Roman"/>
          <w:lang w:val="en-CA"/>
        </w:rPr>
        <w:t xml:space="preserve"> </w:t>
      </w:r>
      <w:r w:rsidRPr="00106A3D">
        <w:rPr>
          <w:rFonts w:ascii="Times New Roman" w:hAnsi="Times New Roman"/>
          <w:lang w:val="en-CA"/>
        </w:rPr>
        <w:t>11</w:t>
      </w:r>
      <w:r w:rsidR="001215B6">
        <w:rPr>
          <w:rFonts w:ascii="Times New Roman" w:hAnsi="Times New Roman"/>
          <w:lang w:val="en-CA"/>
        </w:rPr>
        <w:t xml:space="preserve"> </w:t>
      </w:r>
      <w:r w:rsidRPr="00106A3D">
        <w:rPr>
          <w:rFonts w:ascii="Times New Roman" w:hAnsi="Times New Roman"/>
          <w:lang w:val="en-CA"/>
        </w:rPr>
        <w:t>26 (Australia).</w:t>
      </w:r>
    </w:p>
    <w:p w:rsidR="00CA42D7" w:rsidRPr="002C0EE5" w:rsidRDefault="002C0EE5" w:rsidP="00692175">
      <w:pPr>
        <w:keepNext/>
        <w:rPr>
          <w:b/>
          <w:bCs/>
          <w:sz w:val="23"/>
          <w:szCs w:val="23"/>
          <w:u w:val="single"/>
        </w:rPr>
      </w:pPr>
      <w:r w:rsidRPr="002C0EE5">
        <w:rPr>
          <w:rFonts w:ascii="TimesNewRomanPS-BoldMT" w:hAnsi="TimesNewRomanPS-BoldMT" w:cs="TimesNewRomanPS-BoldMT"/>
          <w:b/>
          <w:bCs/>
          <w:sz w:val="28"/>
          <w:szCs w:val="28"/>
          <w:u w:val="single"/>
        </w:rPr>
        <w:t>PRESENTATION AND STORAGE CONDITIONS</w:t>
      </w:r>
    </w:p>
    <w:p w:rsidR="002C0EE5" w:rsidRPr="00106A3D" w:rsidRDefault="002C0EE5" w:rsidP="00692175">
      <w:pPr>
        <w:keepNext/>
        <w:rPr>
          <w:rFonts w:ascii="Times New Roman" w:hAnsi="Times New Roman"/>
          <w:u w:val="single"/>
          <w:lang w:val="en-CA"/>
        </w:rPr>
      </w:pPr>
      <w:r w:rsidRPr="00106A3D">
        <w:rPr>
          <w:rFonts w:ascii="Times New Roman" w:hAnsi="Times New Roman"/>
          <w:b/>
          <w:bCs/>
          <w:u w:val="single"/>
        </w:rPr>
        <w:t>Presentation</w:t>
      </w:r>
    </w:p>
    <w:p w:rsidR="00CA42D7" w:rsidRPr="008636EC" w:rsidRDefault="00CA42D7" w:rsidP="008636EC">
      <w:pPr>
        <w:rPr>
          <w:rFonts w:ascii="Times New Roman" w:eastAsia="TimesNewRoman" w:hAnsi="Times New Roman"/>
        </w:rPr>
      </w:pPr>
      <w:r w:rsidRPr="00106A3D">
        <w:rPr>
          <w:rFonts w:ascii="Times New Roman" w:hAnsi="Times New Roman"/>
        </w:rPr>
        <w:t xml:space="preserve">DIFICID tablets are white to off-white film-coated, oblong tablets; each tablet is debossed with “FDX” on </w:t>
      </w:r>
      <w:r w:rsidRPr="008636EC">
        <w:rPr>
          <w:rFonts w:ascii="Times New Roman" w:eastAsia="TimesNewRoman" w:hAnsi="Times New Roman"/>
        </w:rPr>
        <w:t xml:space="preserve">one side and “200” on the other side. </w:t>
      </w:r>
    </w:p>
    <w:p w:rsidR="00CA42D7" w:rsidRPr="008636EC" w:rsidRDefault="00CA42D7" w:rsidP="008636EC">
      <w:pPr>
        <w:rPr>
          <w:rFonts w:ascii="Times New Roman" w:eastAsia="TimesNewRoman" w:hAnsi="Times New Roman"/>
        </w:rPr>
      </w:pPr>
      <w:r w:rsidRPr="008636EC">
        <w:rPr>
          <w:rFonts w:ascii="Times New Roman" w:eastAsia="TimesNewRoman" w:hAnsi="Times New Roman"/>
        </w:rPr>
        <w:t>DIFICID tablets are supplied as:</w:t>
      </w:r>
    </w:p>
    <w:p w:rsidR="00CA42D7" w:rsidRPr="00626607" w:rsidRDefault="00D766E5" w:rsidP="00784603">
      <w:pPr>
        <w:numPr>
          <w:ilvl w:val="0"/>
          <w:numId w:val="11"/>
        </w:numPr>
        <w:rPr>
          <w:rFonts w:ascii="Times New Roman" w:eastAsia="TimesNewRoman" w:hAnsi="Times New Roman"/>
        </w:rPr>
      </w:pPr>
      <w:r w:rsidRPr="00626607">
        <w:rPr>
          <w:rFonts w:ascii="Times New Roman" w:eastAsia="TimesNewRoman" w:hAnsi="Times New Roman"/>
        </w:rPr>
        <w:t xml:space="preserve">HDPE </w:t>
      </w:r>
      <w:r w:rsidR="001215B6" w:rsidRPr="00626607">
        <w:rPr>
          <w:rFonts w:ascii="Times New Roman" w:eastAsia="TimesNewRoman" w:hAnsi="Times New Roman"/>
        </w:rPr>
        <w:t>B</w:t>
      </w:r>
      <w:r w:rsidRPr="00626607">
        <w:rPr>
          <w:rFonts w:ascii="Times New Roman" w:eastAsia="TimesNewRoman" w:hAnsi="Times New Roman"/>
        </w:rPr>
        <w:t>ottles containing</w:t>
      </w:r>
      <w:r w:rsidR="001215B6" w:rsidRPr="00626607">
        <w:rPr>
          <w:rFonts w:ascii="Times New Roman" w:eastAsia="TimesNewRoman" w:hAnsi="Times New Roman"/>
        </w:rPr>
        <w:t xml:space="preserve"> </w:t>
      </w:r>
      <w:r w:rsidR="00CA42D7" w:rsidRPr="00626607">
        <w:rPr>
          <w:rFonts w:ascii="Times New Roman" w:eastAsia="TimesNewRoman" w:hAnsi="Times New Roman"/>
        </w:rPr>
        <w:t>20</w:t>
      </w:r>
      <w:r w:rsidR="00EE51DD" w:rsidRPr="00626607">
        <w:rPr>
          <w:rFonts w:ascii="Times New Roman" w:eastAsia="TimesNewRoman" w:hAnsi="Times New Roman"/>
        </w:rPr>
        <w:t xml:space="preserve"> and</w:t>
      </w:r>
      <w:r w:rsidR="002770F0" w:rsidRPr="00626607">
        <w:rPr>
          <w:rFonts w:ascii="Times New Roman" w:eastAsia="TimesNewRoman" w:hAnsi="Times New Roman"/>
        </w:rPr>
        <w:t xml:space="preserve"> </w:t>
      </w:r>
      <w:r w:rsidR="00CA42D7" w:rsidRPr="00626607">
        <w:rPr>
          <w:rFonts w:ascii="Times New Roman" w:eastAsia="TimesNewRoman" w:hAnsi="Times New Roman"/>
        </w:rPr>
        <w:t>60 tablets</w:t>
      </w:r>
      <w:r w:rsidRPr="00626607">
        <w:rPr>
          <w:rFonts w:ascii="Times New Roman" w:eastAsia="TimesNewRoman" w:hAnsi="Times New Roman"/>
        </w:rPr>
        <w:t xml:space="preserve"> and a </w:t>
      </w:r>
      <w:r w:rsidR="00626607" w:rsidRPr="00626607">
        <w:rPr>
          <w:rFonts w:ascii="Times New Roman" w:eastAsia="TimesNewRoman" w:hAnsi="Times New Roman"/>
        </w:rPr>
        <w:t>desiccant</w:t>
      </w:r>
      <w:r w:rsidRPr="00626607">
        <w:rPr>
          <w:rFonts w:ascii="Times New Roman" w:eastAsia="TimesNewRoman" w:hAnsi="Times New Roman"/>
        </w:rPr>
        <w:t xml:space="preserve"> and fitted with a child-resistant cap.</w:t>
      </w:r>
    </w:p>
    <w:p w:rsidR="00784603" w:rsidRPr="00626607" w:rsidRDefault="001215B6" w:rsidP="00784603">
      <w:pPr>
        <w:numPr>
          <w:ilvl w:val="0"/>
          <w:numId w:val="11"/>
        </w:numPr>
        <w:spacing w:after="240"/>
        <w:rPr>
          <w:rFonts w:ascii="Times New Roman" w:hAnsi="Times New Roman"/>
          <w:lang w:eastAsia="en-US"/>
        </w:rPr>
      </w:pPr>
      <w:r w:rsidRPr="00626607">
        <w:rPr>
          <w:rFonts w:ascii="Times New Roman" w:eastAsia="TimesNewRoman" w:hAnsi="Times New Roman"/>
        </w:rPr>
        <w:t>P</w:t>
      </w:r>
      <w:r w:rsidR="00CA42D7" w:rsidRPr="00626607">
        <w:rPr>
          <w:rFonts w:ascii="Times New Roman" w:eastAsia="TimesNewRoman" w:hAnsi="Times New Roman"/>
        </w:rPr>
        <w:t xml:space="preserve">erforated </w:t>
      </w:r>
      <w:r w:rsidR="00D766E5" w:rsidRPr="00626607">
        <w:rPr>
          <w:rFonts w:ascii="Times New Roman" w:eastAsia="TimesNewRoman" w:hAnsi="Times New Roman"/>
        </w:rPr>
        <w:t xml:space="preserve">aluminium foil </w:t>
      </w:r>
      <w:r w:rsidR="00CA42D7" w:rsidRPr="00626607">
        <w:rPr>
          <w:rFonts w:ascii="Times New Roman" w:eastAsia="TimesNewRoman" w:hAnsi="Times New Roman"/>
        </w:rPr>
        <w:t>blisters</w:t>
      </w:r>
      <w:r w:rsidR="009778F3" w:rsidRPr="00626607">
        <w:rPr>
          <w:rFonts w:ascii="Times New Roman" w:eastAsia="TimesNewRoman" w:hAnsi="Times New Roman"/>
        </w:rPr>
        <w:t xml:space="preserve"> </w:t>
      </w:r>
      <w:r w:rsidR="00D766E5" w:rsidRPr="00626607">
        <w:rPr>
          <w:rFonts w:ascii="Times New Roman" w:eastAsia="TimesNewRoman" w:hAnsi="Times New Roman"/>
        </w:rPr>
        <w:t>with a white paper backing</w:t>
      </w:r>
      <w:r w:rsidR="00784603" w:rsidRPr="00626607">
        <w:rPr>
          <w:rFonts w:ascii="Times New Roman" w:eastAsia="TimesNewRoman" w:hAnsi="Times New Roman"/>
        </w:rPr>
        <w:t>. Ea</w:t>
      </w:r>
      <w:r w:rsidR="00D766E5" w:rsidRPr="00626607">
        <w:rPr>
          <w:rFonts w:ascii="Times New Roman" w:eastAsia="TimesNewRoman" w:hAnsi="Times New Roman"/>
        </w:rPr>
        <w:t xml:space="preserve">ch blister card contains </w:t>
      </w:r>
      <w:r w:rsidR="00784603" w:rsidRPr="00626607">
        <w:rPr>
          <w:rFonts w:ascii="Times New Roman" w:eastAsia="TimesNewRoman" w:hAnsi="Times New Roman"/>
        </w:rPr>
        <w:t>10 tablet</w:t>
      </w:r>
      <w:r w:rsidR="003026BF" w:rsidRPr="00626607">
        <w:rPr>
          <w:rFonts w:ascii="Times New Roman" w:eastAsia="TimesNewRoman" w:hAnsi="Times New Roman"/>
        </w:rPr>
        <w:t>s</w:t>
      </w:r>
      <w:r w:rsidR="00784603" w:rsidRPr="00626607">
        <w:rPr>
          <w:rFonts w:ascii="Times New Roman" w:eastAsia="TimesNewRoman" w:hAnsi="Times New Roman"/>
        </w:rPr>
        <w:t>, The 20 and 100 tablet carton packs contain 2</w:t>
      </w:r>
      <w:r w:rsidR="009778F3" w:rsidRPr="00626607">
        <w:rPr>
          <w:rFonts w:ascii="Times New Roman" w:eastAsia="TimesNewRoman" w:hAnsi="Times New Roman"/>
        </w:rPr>
        <w:t xml:space="preserve"> </w:t>
      </w:r>
      <w:r w:rsidR="00784603" w:rsidRPr="00626607">
        <w:rPr>
          <w:rFonts w:ascii="Times New Roman" w:eastAsia="TimesNewRoman" w:hAnsi="Times New Roman"/>
        </w:rPr>
        <w:t xml:space="preserve">and 10 blister </w:t>
      </w:r>
      <w:r w:rsidR="009778F3" w:rsidRPr="00626607">
        <w:rPr>
          <w:rFonts w:ascii="Times New Roman" w:eastAsia="TimesNewRoman" w:hAnsi="Times New Roman"/>
        </w:rPr>
        <w:t>cards per carton</w:t>
      </w:r>
      <w:r w:rsidR="00784603" w:rsidRPr="00626607">
        <w:rPr>
          <w:rFonts w:ascii="Times New Roman" w:eastAsia="TimesNewRoman" w:hAnsi="Times New Roman"/>
        </w:rPr>
        <w:t>,</w:t>
      </w:r>
      <w:r w:rsidR="00ED0BA9" w:rsidRPr="00626607">
        <w:rPr>
          <w:rFonts w:ascii="Times New Roman" w:eastAsia="TimesNewRoman" w:hAnsi="Times New Roman"/>
        </w:rPr>
        <w:t xml:space="preserve"> </w:t>
      </w:r>
      <w:r w:rsidR="00784603" w:rsidRPr="00626607">
        <w:rPr>
          <w:rFonts w:ascii="Times New Roman" w:eastAsia="TimesNewRoman" w:hAnsi="Times New Roman"/>
        </w:rPr>
        <w:t xml:space="preserve">respectively </w:t>
      </w:r>
    </w:p>
    <w:p w:rsidR="00865BC5" w:rsidRPr="00626607" w:rsidRDefault="00865BC5" w:rsidP="00784603">
      <w:pPr>
        <w:spacing w:after="240"/>
        <w:ind w:left="720"/>
        <w:rPr>
          <w:rFonts w:ascii="Times New Roman" w:hAnsi="Times New Roman"/>
          <w:lang w:eastAsia="en-US"/>
        </w:rPr>
      </w:pPr>
      <w:r w:rsidRPr="00626607">
        <w:rPr>
          <w:rFonts w:ascii="Times New Roman" w:hAnsi="Times New Roman"/>
          <w:lang w:eastAsia="en-US"/>
        </w:rPr>
        <w:t>Not all packs may be marketed.</w:t>
      </w:r>
    </w:p>
    <w:p w:rsidR="002C0EE5" w:rsidRPr="00106A3D" w:rsidRDefault="002C0EE5" w:rsidP="00692175">
      <w:pPr>
        <w:keepNext/>
        <w:rPr>
          <w:rFonts w:ascii="Times New Roman" w:hAnsi="Times New Roman"/>
          <w:u w:val="single"/>
          <w:lang w:val="en-CA"/>
        </w:rPr>
      </w:pPr>
      <w:r w:rsidRPr="00106A3D">
        <w:rPr>
          <w:rFonts w:ascii="Times New Roman" w:hAnsi="Times New Roman"/>
          <w:b/>
          <w:bCs/>
          <w:u w:val="single"/>
        </w:rPr>
        <w:t>Storage</w:t>
      </w:r>
    </w:p>
    <w:p w:rsidR="002C0EE5" w:rsidRPr="00106A3D" w:rsidRDefault="00CA42D7" w:rsidP="00692175">
      <w:pPr>
        <w:rPr>
          <w:rFonts w:ascii="Times New Roman" w:hAnsi="Times New Roman"/>
          <w:lang w:val="en-CA"/>
        </w:rPr>
      </w:pPr>
      <w:r w:rsidRPr="00106A3D">
        <w:rPr>
          <w:rFonts w:ascii="Times New Roman" w:hAnsi="Times New Roman"/>
          <w:lang w:val="en-CA"/>
        </w:rPr>
        <w:t>Store be</w:t>
      </w:r>
      <w:r w:rsidR="0047107E">
        <w:rPr>
          <w:rFonts w:ascii="Times New Roman" w:hAnsi="Times New Roman"/>
          <w:lang w:val="en-CA"/>
        </w:rPr>
        <w:t>low 25</w:t>
      </w:r>
      <w:r w:rsidRPr="00106A3D">
        <w:rPr>
          <w:rFonts w:ascii="Times New Roman" w:hAnsi="Times New Roman"/>
          <w:lang w:val="en-CA"/>
        </w:rPr>
        <w:t xml:space="preserve">°C. </w:t>
      </w:r>
    </w:p>
    <w:p w:rsidR="00180A0A" w:rsidRPr="003B0825" w:rsidRDefault="002C0EE5" w:rsidP="00692175">
      <w:pPr>
        <w:keepNext/>
        <w:rPr>
          <w:rFonts w:ascii="TimesNewRomanPS-BoldMT" w:hAnsi="TimesNewRomanPS-BoldMT" w:cs="TimesNewRomanPS-BoldMT"/>
          <w:b/>
          <w:bCs/>
          <w:sz w:val="28"/>
          <w:szCs w:val="28"/>
          <w:u w:val="single"/>
        </w:rPr>
      </w:pPr>
      <w:r w:rsidRPr="003B0825">
        <w:rPr>
          <w:rFonts w:ascii="TimesNewRomanPS-BoldMT" w:hAnsi="TimesNewRomanPS-BoldMT" w:cs="TimesNewRomanPS-BoldMT"/>
          <w:b/>
          <w:bCs/>
          <w:sz w:val="28"/>
          <w:szCs w:val="28"/>
          <w:u w:val="single"/>
        </w:rPr>
        <w:t>NAME AND ADDRESS OF THE SPONSOR</w:t>
      </w:r>
    </w:p>
    <w:p w:rsidR="00F34EA1" w:rsidRPr="00875F66" w:rsidRDefault="00F34EA1" w:rsidP="00692175">
      <w:pPr>
        <w:keepNext/>
        <w:rPr>
          <w:rFonts w:ascii="Times New Roman" w:hAnsi="Times New Roman"/>
        </w:rPr>
      </w:pPr>
      <w:r w:rsidRPr="00875F66">
        <w:rPr>
          <w:rFonts w:ascii="Times New Roman" w:hAnsi="Times New Roman"/>
        </w:rPr>
        <w:t>Specialised Therapeutics Australia Pty Ltd</w:t>
      </w:r>
    </w:p>
    <w:p w:rsidR="00F34EA1" w:rsidRPr="00875F66" w:rsidRDefault="00F34EA1" w:rsidP="00692175">
      <w:pPr>
        <w:keepNext/>
        <w:rPr>
          <w:rFonts w:ascii="Times New Roman" w:hAnsi="Times New Roman"/>
        </w:rPr>
      </w:pPr>
      <w:r w:rsidRPr="00875F66">
        <w:rPr>
          <w:rFonts w:ascii="Times New Roman" w:hAnsi="Times New Roman"/>
        </w:rPr>
        <w:t>Level 1, 711 High Street</w:t>
      </w:r>
    </w:p>
    <w:p w:rsidR="00F34EA1" w:rsidRPr="00875F66" w:rsidRDefault="00F34EA1" w:rsidP="00692175">
      <w:pPr>
        <w:keepNext/>
        <w:rPr>
          <w:rFonts w:ascii="Times New Roman" w:hAnsi="Times New Roman"/>
        </w:rPr>
      </w:pPr>
      <w:r w:rsidRPr="00875F66">
        <w:rPr>
          <w:rFonts w:ascii="Times New Roman" w:hAnsi="Times New Roman"/>
        </w:rPr>
        <w:t>Kew East, Victoria, 3102</w:t>
      </w:r>
    </w:p>
    <w:p w:rsidR="002C0EE5" w:rsidRPr="0077492E" w:rsidRDefault="002C0EE5" w:rsidP="00692175">
      <w:pPr>
        <w:keepNext/>
        <w:rPr>
          <w:rFonts w:ascii="TimesNewRomanPS-BoldMT" w:hAnsi="TimesNewRomanPS-BoldMT" w:cs="TimesNewRomanPS-BoldMT"/>
          <w:b/>
          <w:bCs/>
          <w:sz w:val="28"/>
          <w:szCs w:val="28"/>
          <w:u w:val="single"/>
        </w:rPr>
      </w:pPr>
      <w:r w:rsidRPr="0077492E">
        <w:rPr>
          <w:rFonts w:ascii="TimesNewRomanPS-BoldMT" w:hAnsi="TimesNewRomanPS-BoldMT" w:cs="TimesNewRomanPS-BoldMT"/>
          <w:b/>
          <w:bCs/>
          <w:sz w:val="28"/>
          <w:szCs w:val="28"/>
          <w:u w:val="single"/>
        </w:rPr>
        <w:t>POISON SCHEDULE OF THE MEDICINE</w:t>
      </w:r>
    </w:p>
    <w:p w:rsidR="00DE3969" w:rsidRPr="00F109C3" w:rsidRDefault="0006149D" w:rsidP="002C0E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lang w:val="en-CA"/>
        </w:rPr>
      </w:pPr>
      <w:r w:rsidRPr="0006149D">
        <w:rPr>
          <w:rFonts w:ascii="Times New Roman" w:hAnsi="Times New Roman"/>
        </w:rPr>
        <w:t>Prescription Only Medicine (Schedule 4)</w:t>
      </w:r>
    </w:p>
    <w:p w:rsidR="000B201F" w:rsidRDefault="000B201F" w:rsidP="000B201F">
      <w:pPr>
        <w:rPr>
          <w:rFonts w:ascii="Times New Roman" w:hAnsi="Times New Roman"/>
          <w:b/>
          <w:sz w:val="28"/>
          <w:szCs w:val="28"/>
          <w:u w:val="single"/>
        </w:rPr>
      </w:pPr>
    </w:p>
    <w:p w:rsidR="000B201F" w:rsidRDefault="000B201F" w:rsidP="000B201F">
      <w:pPr>
        <w:rPr>
          <w:rFonts w:ascii="Times New Roman" w:hAnsi="Times New Roman"/>
          <w:b/>
          <w:sz w:val="28"/>
          <w:szCs w:val="28"/>
          <w:u w:val="single"/>
        </w:rPr>
      </w:pPr>
    </w:p>
    <w:p w:rsidR="000B201F" w:rsidRPr="000B201F" w:rsidRDefault="000B201F" w:rsidP="000B201F">
      <w:pPr>
        <w:rPr>
          <w:rFonts w:ascii="Times New Roman" w:hAnsi="Times New Roman"/>
          <w:b/>
          <w:sz w:val="28"/>
          <w:szCs w:val="28"/>
          <w:u w:val="single"/>
        </w:rPr>
      </w:pPr>
      <w:r w:rsidRPr="000B201F">
        <w:rPr>
          <w:rFonts w:ascii="Times New Roman" w:hAnsi="Times New Roman"/>
          <w:b/>
          <w:sz w:val="28"/>
          <w:szCs w:val="28"/>
          <w:u w:val="single"/>
        </w:rPr>
        <w:t>DATE OF FIRST INCLUSION IN THE AUSTRALIAN REGISTER OF THERAPEUTIC GOODS (THE ARTG)</w:t>
      </w:r>
    </w:p>
    <w:p w:rsidR="000B201F" w:rsidRDefault="000B201F" w:rsidP="000B201F">
      <w:pPr>
        <w:rPr>
          <w:rFonts w:ascii="Times New Roman" w:hAnsi="Times New Roman"/>
        </w:rPr>
      </w:pPr>
      <w:r>
        <w:rPr>
          <w:rFonts w:ascii="Times New Roman" w:hAnsi="Times New Roman"/>
        </w:rPr>
        <w:lastRenderedPageBreak/>
        <w:t>23 April 2013</w:t>
      </w:r>
    </w:p>
    <w:p w:rsidR="000B201F" w:rsidRPr="000B201F" w:rsidRDefault="000B201F" w:rsidP="000B201F">
      <w:pPr>
        <w:rPr>
          <w:rFonts w:ascii="Times New Roman" w:hAnsi="Times New Roman"/>
          <w:sz w:val="28"/>
          <w:szCs w:val="28"/>
          <w:u w:val="single"/>
        </w:rPr>
      </w:pPr>
      <w:r w:rsidRPr="000B201F">
        <w:rPr>
          <w:rFonts w:ascii="Times New Roman" w:hAnsi="Times New Roman"/>
          <w:b/>
          <w:sz w:val="28"/>
          <w:szCs w:val="28"/>
          <w:u w:val="single"/>
        </w:rPr>
        <w:t>DATE OF THE MOST RECENT AMENDMENT</w:t>
      </w:r>
    </w:p>
    <w:p w:rsidR="0006149D" w:rsidRDefault="0006149D" w:rsidP="000B201F">
      <w:pPr>
        <w:keepNext/>
      </w:pPr>
    </w:p>
    <w:sectPr w:rsidR="0006149D" w:rsidSect="007A1ADC">
      <w:headerReference w:type="default" r:id="rId13"/>
      <w:footerReference w:type="default" r:id="rId14"/>
      <w:pgSz w:w="11900" w:h="16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BA3" w:rsidRDefault="002A5BA3" w:rsidP="007F1F53">
      <w:pPr>
        <w:spacing w:after="0" w:line="240" w:lineRule="auto"/>
      </w:pPr>
      <w:r>
        <w:separator/>
      </w:r>
    </w:p>
  </w:endnote>
  <w:endnote w:type="continuationSeparator" w:id="0">
    <w:p w:rsidR="002A5BA3" w:rsidRDefault="002A5BA3" w:rsidP="007F1F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Cambria"/>
    <w:panose1 w:val="00000000000000000000"/>
    <w:charset w:val="00"/>
    <w:family w:val="roman"/>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6A9" w:rsidRDefault="008C5048" w:rsidP="008C5048">
    <w:pPr>
      <w:pStyle w:val="Footer"/>
      <w:tabs>
        <w:tab w:val="clear" w:pos="9360"/>
        <w:tab w:val="right" w:pos="9072"/>
      </w:tabs>
    </w:pPr>
    <w:r w:rsidRPr="008C5048">
      <w:t>D</w:t>
    </w:r>
    <w:r w:rsidR="000B201F">
      <w:t>IF_AU_PI_Cat 1-CDI_Registered</w:t>
    </w:r>
    <w:r w:rsidRPr="008C5048">
      <w:t>_2</w:t>
    </w:r>
    <w:r w:rsidR="000B201F">
      <w:t>3Apr</w:t>
    </w:r>
    <w:r w:rsidRPr="008C5048">
      <w:t>13</w:t>
    </w:r>
    <w:r>
      <w:tab/>
    </w:r>
    <w:r>
      <w:tab/>
    </w:r>
    <w:fldSimple w:instr=" PAGE   \* MERGEFORMAT ">
      <w:r w:rsidR="0088283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BA3" w:rsidRDefault="002A5BA3" w:rsidP="007F1F53">
      <w:pPr>
        <w:spacing w:after="0" w:line="240" w:lineRule="auto"/>
      </w:pPr>
      <w:r>
        <w:separator/>
      </w:r>
    </w:p>
  </w:footnote>
  <w:footnote w:type="continuationSeparator" w:id="0">
    <w:p w:rsidR="002A5BA3" w:rsidRDefault="002A5BA3" w:rsidP="007F1F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2E0"/>
      <w:tblLook w:val="04A0"/>
    </w:tblPr>
    <w:tblGrid>
      <w:gridCol w:w="8720"/>
    </w:tblGrid>
    <w:tr w:rsidR="0088283E" w:rsidTr="0088283E">
      <w:tc>
        <w:tcPr>
          <w:tcW w:w="8720" w:type="dxa"/>
          <w:shd w:val="clear" w:color="auto" w:fill="E4F2E0"/>
        </w:tcPr>
        <w:p w:rsidR="0088283E" w:rsidRPr="0088283E" w:rsidRDefault="0088283E" w:rsidP="0088283E">
          <w:pPr>
            <w:spacing w:before="40" w:after="40"/>
            <w:rPr>
              <w:rFonts w:asciiTheme="majorHAnsi" w:hAnsiTheme="majorHAnsi"/>
              <w:b/>
              <w:sz w:val="20"/>
              <w:szCs w:val="20"/>
            </w:rPr>
          </w:pPr>
          <w:r w:rsidRPr="0088283E">
            <w:rPr>
              <w:rFonts w:asciiTheme="majorHAnsi" w:hAnsiTheme="majorHAnsi"/>
              <w:b/>
              <w:sz w:val="20"/>
              <w:szCs w:val="20"/>
            </w:rPr>
            <w:t>Attachment 1: Product information for AusPAR Dificid Fidaxomicin Specialised Therapeutics Australia Pty Ltd PM-2012-04269-3-2 Final 26 September 2013. This Product Information was approved at the time this AusPAR was published.</w:t>
          </w:r>
        </w:p>
      </w:tc>
    </w:tr>
  </w:tbl>
  <w:p w:rsidR="00C946A9" w:rsidRDefault="00C946A9" w:rsidP="0088283E">
    <w:pPr>
      <w:pStyle w:val="Header"/>
      <w:tabs>
        <w:tab w:val="clear" w:pos="9360"/>
        <w:tab w:val="right" w:pos="9214"/>
      </w:tabs>
      <w:spacing w:before="240"/>
    </w:pPr>
    <w:r>
      <w:t>DIFICID (fidaxomicin) 200 mg Tablets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A323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6844F9"/>
    <w:multiLevelType w:val="hybridMultilevel"/>
    <w:tmpl w:val="E60C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77908"/>
    <w:multiLevelType w:val="hybridMultilevel"/>
    <w:tmpl w:val="D976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nsid w:val="24D35E5D"/>
    <w:multiLevelType w:val="hybridMultilevel"/>
    <w:tmpl w:val="F10AB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1D320E"/>
    <w:multiLevelType w:val="hybridMultilevel"/>
    <w:tmpl w:val="721AE96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C87492"/>
    <w:multiLevelType w:val="hybridMultilevel"/>
    <w:tmpl w:val="C5E6C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BE469C"/>
    <w:multiLevelType w:val="hybridMultilevel"/>
    <w:tmpl w:val="07E2B1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C07C45"/>
    <w:multiLevelType w:val="hybridMultilevel"/>
    <w:tmpl w:val="98DE2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976F65"/>
    <w:multiLevelType w:val="hybridMultilevel"/>
    <w:tmpl w:val="91E81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E3476CF"/>
    <w:multiLevelType w:val="hybridMultilevel"/>
    <w:tmpl w:val="E460F5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7EAC67B3"/>
    <w:multiLevelType w:val="hybridMultilevel"/>
    <w:tmpl w:val="2626F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4"/>
  </w:num>
  <w:num w:numId="5">
    <w:abstractNumId w:val="10"/>
  </w:num>
  <w:num w:numId="6">
    <w:abstractNumId w:val="5"/>
  </w:num>
  <w:num w:numId="7">
    <w:abstractNumId w:val="7"/>
  </w:num>
  <w:num w:numId="8">
    <w:abstractNumId w:val="2"/>
  </w:num>
  <w:num w:numId="9">
    <w:abstractNumId w:val="11"/>
  </w:num>
  <w:num w:numId="10">
    <w:abstractNumId w:val="0"/>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662D13"/>
    <w:rsid w:val="0000596E"/>
    <w:rsid w:val="0000668C"/>
    <w:rsid w:val="00010178"/>
    <w:rsid w:val="00012A8B"/>
    <w:rsid w:val="00025BFA"/>
    <w:rsid w:val="000335F3"/>
    <w:rsid w:val="000368FD"/>
    <w:rsid w:val="000444CB"/>
    <w:rsid w:val="000509F1"/>
    <w:rsid w:val="00051565"/>
    <w:rsid w:val="00052C76"/>
    <w:rsid w:val="000544AD"/>
    <w:rsid w:val="00060AB3"/>
    <w:rsid w:val="0006149D"/>
    <w:rsid w:val="00065C2E"/>
    <w:rsid w:val="00066D05"/>
    <w:rsid w:val="00067290"/>
    <w:rsid w:val="0006732B"/>
    <w:rsid w:val="0006778B"/>
    <w:rsid w:val="00070124"/>
    <w:rsid w:val="00075DB3"/>
    <w:rsid w:val="00076492"/>
    <w:rsid w:val="0007756A"/>
    <w:rsid w:val="00084FB2"/>
    <w:rsid w:val="00085A3E"/>
    <w:rsid w:val="000974C2"/>
    <w:rsid w:val="000A13B1"/>
    <w:rsid w:val="000A1A6F"/>
    <w:rsid w:val="000A5E5E"/>
    <w:rsid w:val="000B070C"/>
    <w:rsid w:val="000B201F"/>
    <w:rsid w:val="000B2C2D"/>
    <w:rsid w:val="000C1D6E"/>
    <w:rsid w:val="000C4781"/>
    <w:rsid w:val="000C7994"/>
    <w:rsid w:val="000D30EA"/>
    <w:rsid w:val="000D415B"/>
    <w:rsid w:val="000E2D95"/>
    <w:rsid w:val="000E336B"/>
    <w:rsid w:val="000E397C"/>
    <w:rsid w:val="000E4344"/>
    <w:rsid w:val="000E4523"/>
    <w:rsid w:val="000E4E03"/>
    <w:rsid w:val="000E58C8"/>
    <w:rsid w:val="000E729C"/>
    <w:rsid w:val="000F6A1A"/>
    <w:rsid w:val="00101911"/>
    <w:rsid w:val="00106A3D"/>
    <w:rsid w:val="00107A15"/>
    <w:rsid w:val="00110EC6"/>
    <w:rsid w:val="00120FBE"/>
    <w:rsid w:val="001215B6"/>
    <w:rsid w:val="001249CE"/>
    <w:rsid w:val="00134D5C"/>
    <w:rsid w:val="00135372"/>
    <w:rsid w:val="00140843"/>
    <w:rsid w:val="00143366"/>
    <w:rsid w:val="001435B6"/>
    <w:rsid w:val="00153169"/>
    <w:rsid w:val="001564D2"/>
    <w:rsid w:val="00162530"/>
    <w:rsid w:val="0016356E"/>
    <w:rsid w:val="00163880"/>
    <w:rsid w:val="00163C2E"/>
    <w:rsid w:val="00180A0A"/>
    <w:rsid w:val="001818BC"/>
    <w:rsid w:val="00184D05"/>
    <w:rsid w:val="001859BE"/>
    <w:rsid w:val="001875BD"/>
    <w:rsid w:val="00191A3C"/>
    <w:rsid w:val="00193A9F"/>
    <w:rsid w:val="001A018E"/>
    <w:rsid w:val="001A4CE1"/>
    <w:rsid w:val="001A78D5"/>
    <w:rsid w:val="001B07C4"/>
    <w:rsid w:val="001B2B9B"/>
    <w:rsid w:val="001B6B6E"/>
    <w:rsid w:val="001C0BAD"/>
    <w:rsid w:val="001C5E78"/>
    <w:rsid w:val="001C7C68"/>
    <w:rsid w:val="001D203B"/>
    <w:rsid w:val="001D298B"/>
    <w:rsid w:val="001D2B97"/>
    <w:rsid w:val="001D2FDE"/>
    <w:rsid w:val="001E0C68"/>
    <w:rsid w:val="001E6F7A"/>
    <w:rsid w:val="001F2795"/>
    <w:rsid w:val="001F4647"/>
    <w:rsid w:val="001F5FC1"/>
    <w:rsid w:val="00202A2F"/>
    <w:rsid w:val="00203254"/>
    <w:rsid w:val="00207730"/>
    <w:rsid w:val="00210C39"/>
    <w:rsid w:val="00214DD7"/>
    <w:rsid w:val="002253B8"/>
    <w:rsid w:val="00227D27"/>
    <w:rsid w:val="00230B04"/>
    <w:rsid w:val="00231414"/>
    <w:rsid w:val="00231FF7"/>
    <w:rsid w:val="0023564B"/>
    <w:rsid w:val="00237692"/>
    <w:rsid w:val="00241B85"/>
    <w:rsid w:val="00246259"/>
    <w:rsid w:val="002468E0"/>
    <w:rsid w:val="00246EF5"/>
    <w:rsid w:val="00252BF2"/>
    <w:rsid w:val="00252F01"/>
    <w:rsid w:val="00256A3A"/>
    <w:rsid w:val="00256EEC"/>
    <w:rsid w:val="002573CC"/>
    <w:rsid w:val="00260019"/>
    <w:rsid w:val="00262CDE"/>
    <w:rsid w:val="00266691"/>
    <w:rsid w:val="00266CC6"/>
    <w:rsid w:val="00267CF2"/>
    <w:rsid w:val="00267DB7"/>
    <w:rsid w:val="002709BF"/>
    <w:rsid w:val="0027640E"/>
    <w:rsid w:val="00276432"/>
    <w:rsid w:val="002770F0"/>
    <w:rsid w:val="00281BCA"/>
    <w:rsid w:val="0028648E"/>
    <w:rsid w:val="0028765F"/>
    <w:rsid w:val="00297C1F"/>
    <w:rsid w:val="002A0A9F"/>
    <w:rsid w:val="002A2020"/>
    <w:rsid w:val="002A24CE"/>
    <w:rsid w:val="002A5BA3"/>
    <w:rsid w:val="002A6F21"/>
    <w:rsid w:val="002A7C8D"/>
    <w:rsid w:val="002B2189"/>
    <w:rsid w:val="002B4001"/>
    <w:rsid w:val="002B4922"/>
    <w:rsid w:val="002C0EE5"/>
    <w:rsid w:val="002C65B4"/>
    <w:rsid w:val="002C75B2"/>
    <w:rsid w:val="002D1FBD"/>
    <w:rsid w:val="002D2D7B"/>
    <w:rsid w:val="002E6FE5"/>
    <w:rsid w:val="002E78AA"/>
    <w:rsid w:val="002F4D12"/>
    <w:rsid w:val="002F5374"/>
    <w:rsid w:val="002F70F4"/>
    <w:rsid w:val="002F7CA6"/>
    <w:rsid w:val="00302644"/>
    <w:rsid w:val="003026BF"/>
    <w:rsid w:val="00311C31"/>
    <w:rsid w:val="003156FA"/>
    <w:rsid w:val="00317685"/>
    <w:rsid w:val="00326378"/>
    <w:rsid w:val="00327918"/>
    <w:rsid w:val="00327D57"/>
    <w:rsid w:val="00332B18"/>
    <w:rsid w:val="00334C5E"/>
    <w:rsid w:val="00335F58"/>
    <w:rsid w:val="00340110"/>
    <w:rsid w:val="00346CF6"/>
    <w:rsid w:val="00350E94"/>
    <w:rsid w:val="0035100C"/>
    <w:rsid w:val="00360BA9"/>
    <w:rsid w:val="00362AA3"/>
    <w:rsid w:val="003650F2"/>
    <w:rsid w:val="00366AFF"/>
    <w:rsid w:val="003709AB"/>
    <w:rsid w:val="00373662"/>
    <w:rsid w:val="0037379A"/>
    <w:rsid w:val="00375324"/>
    <w:rsid w:val="00375C0D"/>
    <w:rsid w:val="003828D8"/>
    <w:rsid w:val="003902B5"/>
    <w:rsid w:val="0039104D"/>
    <w:rsid w:val="00392E3F"/>
    <w:rsid w:val="00393393"/>
    <w:rsid w:val="003962F5"/>
    <w:rsid w:val="003975EB"/>
    <w:rsid w:val="003A038B"/>
    <w:rsid w:val="003A171D"/>
    <w:rsid w:val="003A64D0"/>
    <w:rsid w:val="003A6733"/>
    <w:rsid w:val="003B0825"/>
    <w:rsid w:val="003B1D7F"/>
    <w:rsid w:val="003B4F53"/>
    <w:rsid w:val="003B6752"/>
    <w:rsid w:val="003C2204"/>
    <w:rsid w:val="003C2399"/>
    <w:rsid w:val="003C485F"/>
    <w:rsid w:val="003D24B1"/>
    <w:rsid w:val="003D44E7"/>
    <w:rsid w:val="003E33F9"/>
    <w:rsid w:val="003E65F8"/>
    <w:rsid w:val="003E78D0"/>
    <w:rsid w:val="003F3A80"/>
    <w:rsid w:val="004013EF"/>
    <w:rsid w:val="004023BD"/>
    <w:rsid w:val="00403EFC"/>
    <w:rsid w:val="00404B8B"/>
    <w:rsid w:val="00407001"/>
    <w:rsid w:val="004107EB"/>
    <w:rsid w:val="00415080"/>
    <w:rsid w:val="00431386"/>
    <w:rsid w:val="004373C2"/>
    <w:rsid w:val="00442EDE"/>
    <w:rsid w:val="0044477E"/>
    <w:rsid w:val="004477DF"/>
    <w:rsid w:val="00450976"/>
    <w:rsid w:val="00450C71"/>
    <w:rsid w:val="0045215C"/>
    <w:rsid w:val="00462570"/>
    <w:rsid w:val="0046372B"/>
    <w:rsid w:val="00464372"/>
    <w:rsid w:val="0047107E"/>
    <w:rsid w:val="004804F0"/>
    <w:rsid w:val="00483CEF"/>
    <w:rsid w:val="004850E9"/>
    <w:rsid w:val="00490DD0"/>
    <w:rsid w:val="00492BD0"/>
    <w:rsid w:val="00492F1F"/>
    <w:rsid w:val="004962A9"/>
    <w:rsid w:val="004A143E"/>
    <w:rsid w:val="004A4C69"/>
    <w:rsid w:val="004A5CE6"/>
    <w:rsid w:val="004A6B94"/>
    <w:rsid w:val="004B1047"/>
    <w:rsid w:val="004B209B"/>
    <w:rsid w:val="004C4D9A"/>
    <w:rsid w:val="004C4FE7"/>
    <w:rsid w:val="004C5A3A"/>
    <w:rsid w:val="004C5C8A"/>
    <w:rsid w:val="004C61E5"/>
    <w:rsid w:val="004D2641"/>
    <w:rsid w:val="004E53A5"/>
    <w:rsid w:val="004F5C65"/>
    <w:rsid w:val="005003CA"/>
    <w:rsid w:val="00503108"/>
    <w:rsid w:val="00504E98"/>
    <w:rsid w:val="005053FE"/>
    <w:rsid w:val="005136A3"/>
    <w:rsid w:val="005142CC"/>
    <w:rsid w:val="00514B3A"/>
    <w:rsid w:val="00516A1D"/>
    <w:rsid w:val="00521CD6"/>
    <w:rsid w:val="005240F1"/>
    <w:rsid w:val="00525BA3"/>
    <w:rsid w:val="00530E9B"/>
    <w:rsid w:val="005322AC"/>
    <w:rsid w:val="00533DB7"/>
    <w:rsid w:val="0053521E"/>
    <w:rsid w:val="00540E36"/>
    <w:rsid w:val="00547199"/>
    <w:rsid w:val="0056248C"/>
    <w:rsid w:val="005634AB"/>
    <w:rsid w:val="005647CD"/>
    <w:rsid w:val="005669C1"/>
    <w:rsid w:val="00567E27"/>
    <w:rsid w:val="00581B89"/>
    <w:rsid w:val="00587875"/>
    <w:rsid w:val="0059626B"/>
    <w:rsid w:val="00597463"/>
    <w:rsid w:val="005A54A2"/>
    <w:rsid w:val="005B0207"/>
    <w:rsid w:val="005B1FF4"/>
    <w:rsid w:val="005B36CD"/>
    <w:rsid w:val="005B4E17"/>
    <w:rsid w:val="005C1A46"/>
    <w:rsid w:val="005C2009"/>
    <w:rsid w:val="005C3B50"/>
    <w:rsid w:val="005C56A1"/>
    <w:rsid w:val="005C717F"/>
    <w:rsid w:val="005D6981"/>
    <w:rsid w:val="005D7A52"/>
    <w:rsid w:val="005E11E4"/>
    <w:rsid w:val="005E5E5C"/>
    <w:rsid w:val="005E74DB"/>
    <w:rsid w:val="005E7EC8"/>
    <w:rsid w:val="005F5223"/>
    <w:rsid w:val="006031E0"/>
    <w:rsid w:val="00604B81"/>
    <w:rsid w:val="00605FF7"/>
    <w:rsid w:val="00606A8A"/>
    <w:rsid w:val="00611805"/>
    <w:rsid w:val="00613F7A"/>
    <w:rsid w:val="006170A7"/>
    <w:rsid w:val="00626607"/>
    <w:rsid w:val="006271B9"/>
    <w:rsid w:val="00631CDE"/>
    <w:rsid w:val="006344A3"/>
    <w:rsid w:val="006531F7"/>
    <w:rsid w:val="006536D1"/>
    <w:rsid w:val="00657193"/>
    <w:rsid w:val="006578FE"/>
    <w:rsid w:val="00662D13"/>
    <w:rsid w:val="006651C7"/>
    <w:rsid w:val="006657DC"/>
    <w:rsid w:val="00672A3F"/>
    <w:rsid w:val="00673829"/>
    <w:rsid w:val="006742E6"/>
    <w:rsid w:val="006746B9"/>
    <w:rsid w:val="006750FD"/>
    <w:rsid w:val="00676119"/>
    <w:rsid w:val="00677EB6"/>
    <w:rsid w:val="0069078B"/>
    <w:rsid w:val="00692175"/>
    <w:rsid w:val="00695C6B"/>
    <w:rsid w:val="00697BC3"/>
    <w:rsid w:val="006A1B3E"/>
    <w:rsid w:val="006A24C3"/>
    <w:rsid w:val="006A37AF"/>
    <w:rsid w:val="006A3912"/>
    <w:rsid w:val="006A40E0"/>
    <w:rsid w:val="006A78D8"/>
    <w:rsid w:val="006A7D1F"/>
    <w:rsid w:val="006B467F"/>
    <w:rsid w:val="006B5306"/>
    <w:rsid w:val="006B6063"/>
    <w:rsid w:val="006C05F5"/>
    <w:rsid w:val="006C065E"/>
    <w:rsid w:val="006C2EF5"/>
    <w:rsid w:val="006C2F85"/>
    <w:rsid w:val="006C52A8"/>
    <w:rsid w:val="006C6909"/>
    <w:rsid w:val="006D0CC4"/>
    <w:rsid w:val="006D1DB6"/>
    <w:rsid w:val="006D2699"/>
    <w:rsid w:val="006E0B2C"/>
    <w:rsid w:val="006F05E4"/>
    <w:rsid w:val="006F0CAE"/>
    <w:rsid w:val="006F3A81"/>
    <w:rsid w:val="006F61E2"/>
    <w:rsid w:val="007025D2"/>
    <w:rsid w:val="00703BF0"/>
    <w:rsid w:val="00703F04"/>
    <w:rsid w:val="00705266"/>
    <w:rsid w:val="00710C11"/>
    <w:rsid w:val="00710F1E"/>
    <w:rsid w:val="0071100C"/>
    <w:rsid w:val="007335C8"/>
    <w:rsid w:val="00735CD7"/>
    <w:rsid w:val="00736425"/>
    <w:rsid w:val="00737864"/>
    <w:rsid w:val="00737B9B"/>
    <w:rsid w:val="0074238E"/>
    <w:rsid w:val="00753DA0"/>
    <w:rsid w:val="00761EF6"/>
    <w:rsid w:val="0076253A"/>
    <w:rsid w:val="00762701"/>
    <w:rsid w:val="007662E3"/>
    <w:rsid w:val="007678CC"/>
    <w:rsid w:val="0077216D"/>
    <w:rsid w:val="0077243E"/>
    <w:rsid w:val="0077492E"/>
    <w:rsid w:val="00775168"/>
    <w:rsid w:val="007806F5"/>
    <w:rsid w:val="00784603"/>
    <w:rsid w:val="00785E36"/>
    <w:rsid w:val="00792C02"/>
    <w:rsid w:val="0079545E"/>
    <w:rsid w:val="007971E4"/>
    <w:rsid w:val="007A1ADC"/>
    <w:rsid w:val="007A26AD"/>
    <w:rsid w:val="007A33CA"/>
    <w:rsid w:val="007A3FA9"/>
    <w:rsid w:val="007A41E7"/>
    <w:rsid w:val="007A724F"/>
    <w:rsid w:val="007A7DF4"/>
    <w:rsid w:val="007B32F9"/>
    <w:rsid w:val="007B5CB5"/>
    <w:rsid w:val="007C0FC4"/>
    <w:rsid w:val="007D41DB"/>
    <w:rsid w:val="007D578D"/>
    <w:rsid w:val="007D6F23"/>
    <w:rsid w:val="007D7334"/>
    <w:rsid w:val="007E2FCF"/>
    <w:rsid w:val="007F0744"/>
    <w:rsid w:val="007F1F53"/>
    <w:rsid w:val="007F78CA"/>
    <w:rsid w:val="008024DC"/>
    <w:rsid w:val="00802E17"/>
    <w:rsid w:val="00803785"/>
    <w:rsid w:val="00806B19"/>
    <w:rsid w:val="00816B68"/>
    <w:rsid w:val="00830A79"/>
    <w:rsid w:val="00832BC6"/>
    <w:rsid w:val="00834FC6"/>
    <w:rsid w:val="00840E4E"/>
    <w:rsid w:val="0084329E"/>
    <w:rsid w:val="00846CF5"/>
    <w:rsid w:val="00852F99"/>
    <w:rsid w:val="008560DE"/>
    <w:rsid w:val="008605B6"/>
    <w:rsid w:val="008636EC"/>
    <w:rsid w:val="00865BC5"/>
    <w:rsid w:val="00874D63"/>
    <w:rsid w:val="00875F66"/>
    <w:rsid w:val="00880984"/>
    <w:rsid w:val="00881286"/>
    <w:rsid w:val="0088283E"/>
    <w:rsid w:val="0089174D"/>
    <w:rsid w:val="00893224"/>
    <w:rsid w:val="00896EFE"/>
    <w:rsid w:val="008A142F"/>
    <w:rsid w:val="008A1B2F"/>
    <w:rsid w:val="008A3F4D"/>
    <w:rsid w:val="008A7190"/>
    <w:rsid w:val="008B05B9"/>
    <w:rsid w:val="008B2E61"/>
    <w:rsid w:val="008C0DD7"/>
    <w:rsid w:val="008C11A4"/>
    <w:rsid w:val="008C3B7A"/>
    <w:rsid w:val="008C5048"/>
    <w:rsid w:val="008C52C3"/>
    <w:rsid w:val="008D07A6"/>
    <w:rsid w:val="008D41B8"/>
    <w:rsid w:val="008D5BE6"/>
    <w:rsid w:val="008D6488"/>
    <w:rsid w:val="008E225E"/>
    <w:rsid w:val="008E24A0"/>
    <w:rsid w:val="008E54E6"/>
    <w:rsid w:val="008F16C1"/>
    <w:rsid w:val="00912B4B"/>
    <w:rsid w:val="0091496F"/>
    <w:rsid w:val="00915AC4"/>
    <w:rsid w:val="0092490D"/>
    <w:rsid w:val="00933E3B"/>
    <w:rsid w:val="00934979"/>
    <w:rsid w:val="00943291"/>
    <w:rsid w:val="0094338B"/>
    <w:rsid w:val="009449E4"/>
    <w:rsid w:val="00953D35"/>
    <w:rsid w:val="0095568F"/>
    <w:rsid w:val="009562B0"/>
    <w:rsid w:val="009609B7"/>
    <w:rsid w:val="00961350"/>
    <w:rsid w:val="00961D43"/>
    <w:rsid w:val="00964F4E"/>
    <w:rsid w:val="00971095"/>
    <w:rsid w:val="009721D2"/>
    <w:rsid w:val="00976C9C"/>
    <w:rsid w:val="009778F3"/>
    <w:rsid w:val="0098320C"/>
    <w:rsid w:val="00987F50"/>
    <w:rsid w:val="009901D9"/>
    <w:rsid w:val="00993318"/>
    <w:rsid w:val="009A2426"/>
    <w:rsid w:val="009A29DD"/>
    <w:rsid w:val="009A4506"/>
    <w:rsid w:val="009A451B"/>
    <w:rsid w:val="009C0208"/>
    <w:rsid w:val="009C0222"/>
    <w:rsid w:val="009C3321"/>
    <w:rsid w:val="009C39DC"/>
    <w:rsid w:val="009D046F"/>
    <w:rsid w:val="009D322D"/>
    <w:rsid w:val="009D7516"/>
    <w:rsid w:val="009D7A83"/>
    <w:rsid w:val="009E141A"/>
    <w:rsid w:val="009E300F"/>
    <w:rsid w:val="009E47A3"/>
    <w:rsid w:val="009E535F"/>
    <w:rsid w:val="009F09A9"/>
    <w:rsid w:val="009F18C6"/>
    <w:rsid w:val="009F5D0E"/>
    <w:rsid w:val="009F71A3"/>
    <w:rsid w:val="00A00C9B"/>
    <w:rsid w:val="00A0611E"/>
    <w:rsid w:val="00A07EA4"/>
    <w:rsid w:val="00A10B51"/>
    <w:rsid w:val="00A10D91"/>
    <w:rsid w:val="00A146F5"/>
    <w:rsid w:val="00A17A30"/>
    <w:rsid w:val="00A204B4"/>
    <w:rsid w:val="00A20BE8"/>
    <w:rsid w:val="00A23F11"/>
    <w:rsid w:val="00A25D68"/>
    <w:rsid w:val="00A302CC"/>
    <w:rsid w:val="00A322EF"/>
    <w:rsid w:val="00A32B45"/>
    <w:rsid w:val="00A40204"/>
    <w:rsid w:val="00A40C60"/>
    <w:rsid w:val="00A425BB"/>
    <w:rsid w:val="00A444BE"/>
    <w:rsid w:val="00A4640C"/>
    <w:rsid w:val="00A477D2"/>
    <w:rsid w:val="00A53C59"/>
    <w:rsid w:val="00A541C6"/>
    <w:rsid w:val="00A542A9"/>
    <w:rsid w:val="00A54725"/>
    <w:rsid w:val="00A57BD7"/>
    <w:rsid w:val="00A6149A"/>
    <w:rsid w:val="00A6354C"/>
    <w:rsid w:val="00A63ADC"/>
    <w:rsid w:val="00A67DFA"/>
    <w:rsid w:val="00A721A5"/>
    <w:rsid w:val="00A72275"/>
    <w:rsid w:val="00A76EAE"/>
    <w:rsid w:val="00A77F3C"/>
    <w:rsid w:val="00A8016C"/>
    <w:rsid w:val="00A85263"/>
    <w:rsid w:val="00A85952"/>
    <w:rsid w:val="00A85EA7"/>
    <w:rsid w:val="00A92C54"/>
    <w:rsid w:val="00A93860"/>
    <w:rsid w:val="00AA0150"/>
    <w:rsid w:val="00AA0922"/>
    <w:rsid w:val="00AA0DBF"/>
    <w:rsid w:val="00AA18E8"/>
    <w:rsid w:val="00AA56AC"/>
    <w:rsid w:val="00AA7B35"/>
    <w:rsid w:val="00AC074A"/>
    <w:rsid w:val="00AC744E"/>
    <w:rsid w:val="00AC783B"/>
    <w:rsid w:val="00AD0B06"/>
    <w:rsid w:val="00AD1467"/>
    <w:rsid w:val="00AD29E2"/>
    <w:rsid w:val="00AD4C1E"/>
    <w:rsid w:val="00AD7096"/>
    <w:rsid w:val="00AE038E"/>
    <w:rsid w:val="00AE078B"/>
    <w:rsid w:val="00AE0BC1"/>
    <w:rsid w:val="00AE3A95"/>
    <w:rsid w:val="00AE6F6E"/>
    <w:rsid w:val="00AE7AC4"/>
    <w:rsid w:val="00AE7E5C"/>
    <w:rsid w:val="00AF0287"/>
    <w:rsid w:val="00AF0A54"/>
    <w:rsid w:val="00AF3D83"/>
    <w:rsid w:val="00B00567"/>
    <w:rsid w:val="00B30F88"/>
    <w:rsid w:val="00B40ADB"/>
    <w:rsid w:val="00B461A5"/>
    <w:rsid w:val="00B51C50"/>
    <w:rsid w:val="00B544B1"/>
    <w:rsid w:val="00B55283"/>
    <w:rsid w:val="00B56E78"/>
    <w:rsid w:val="00B61813"/>
    <w:rsid w:val="00B72599"/>
    <w:rsid w:val="00B72860"/>
    <w:rsid w:val="00B81613"/>
    <w:rsid w:val="00B8696F"/>
    <w:rsid w:val="00B874FD"/>
    <w:rsid w:val="00B90F3D"/>
    <w:rsid w:val="00BA1302"/>
    <w:rsid w:val="00BA3173"/>
    <w:rsid w:val="00BA4BEA"/>
    <w:rsid w:val="00BA7546"/>
    <w:rsid w:val="00BB02B1"/>
    <w:rsid w:val="00BB0644"/>
    <w:rsid w:val="00BB0F8F"/>
    <w:rsid w:val="00BB0FD4"/>
    <w:rsid w:val="00BB4D2A"/>
    <w:rsid w:val="00BC0643"/>
    <w:rsid w:val="00BC6F17"/>
    <w:rsid w:val="00BD3BE0"/>
    <w:rsid w:val="00BE20CE"/>
    <w:rsid w:val="00BE3F3C"/>
    <w:rsid w:val="00BE78F2"/>
    <w:rsid w:val="00BF0F06"/>
    <w:rsid w:val="00BF263A"/>
    <w:rsid w:val="00BF3B49"/>
    <w:rsid w:val="00C020BE"/>
    <w:rsid w:val="00C03C64"/>
    <w:rsid w:val="00C0764B"/>
    <w:rsid w:val="00C221CB"/>
    <w:rsid w:val="00C24553"/>
    <w:rsid w:val="00C24770"/>
    <w:rsid w:val="00C33045"/>
    <w:rsid w:val="00C3548E"/>
    <w:rsid w:val="00C36EFD"/>
    <w:rsid w:val="00C538EB"/>
    <w:rsid w:val="00C6062F"/>
    <w:rsid w:val="00C703BF"/>
    <w:rsid w:val="00C7105F"/>
    <w:rsid w:val="00C718AD"/>
    <w:rsid w:val="00C80398"/>
    <w:rsid w:val="00C83AD1"/>
    <w:rsid w:val="00C856A6"/>
    <w:rsid w:val="00C86067"/>
    <w:rsid w:val="00C87B67"/>
    <w:rsid w:val="00C900C4"/>
    <w:rsid w:val="00C93764"/>
    <w:rsid w:val="00C946A9"/>
    <w:rsid w:val="00C95F39"/>
    <w:rsid w:val="00C96CAE"/>
    <w:rsid w:val="00C9780A"/>
    <w:rsid w:val="00C97F5E"/>
    <w:rsid w:val="00CA1209"/>
    <w:rsid w:val="00CA390B"/>
    <w:rsid w:val="00CA42D7"/>
    <w:rsid w:val="00CA6238"/>
    <w:rsid w:val="00CB2D4A"/>
    <w:rsid w:val="00CB6D25"/>
    <w:rsid w:val="00CC20BB"/>
    <w:rsid w:val="00CC7632"/>
    <w:rsid w:val="00CE19EC"/>
    <w:rsid w:val="00CE1ABB"/>
    <w:rsid w:val="00CE307E"/>
    <w:rsid w:val="00CE5644"/>
    <w:rsid w:val="00CE6BF6"/>
    <w:rsid w:val="00CF3D14"/>
    <w:rsid w:val="00CF545A"/>
    <w:rsid w:val="00D002E9"/>
    <w:rsid w:val="00D03B3F"/>
    <w:rsid w:val="00D03DDD"/>
    <w:rsid w:val="00D07CC9"/>
    <w:rsid w:val="00D12855"/>
    <w:rsid w:val="00D17197"/>
    <w:rsid w:val="00D1729A"/>
    <w:rsid w:val="00D26A5E"/>
    <w:rsid w:val="00D27AFF"/>
    <w:rsid w:val="00D27E12"/>
    <w:rsid w:val="00D32F1F"/>
    <w:rsid w:val="00D342EE"/>
    <w:rsid w:val="00D353FF"/>
    <w:rsid w:val="00D35A3F"/>
    <w:rsid w:val="00D376E4"/>
    <w:rsid w:val="00D37B4C"/>
    <w:rsid w:val="00D41C67"/>
    <w:rsid w:val="00D42DFF"/>
    <w:rsid w:val="00D42FAD"/>
    <w:rsid w:val="00D432DB"/>
    <w:rsid w:val="00D513DA"/>
    <w:rsid w:val="00D5467E"/>
    <w:rsid w:val="00D54F10"/>
    <w:rsid w:val="00D72700"/>
    <w:rsid w:val="00D738AA"/>
    <w:rsid w:val="00D766E5"/>
    <w:rsid w:val="00D77F04"/>
    <w:rsid w:val="00D8242D"/>
    <w:rsid w:val="00D84742"/>
    <w:rsid w:val="00D848D1"/>
    <w:rsid w:val="00D918FA"/>
    <w:rsid w:val="00D96F6F"/>
    <w:rsid w:val="00D975B2"/>
    <w:rsid w:val="00D977C3"/>
    <w:rsid w:val="00DA0E38"/>
    <w:rsid w:val="00DA5604"/>
    <w:rsid w:val="00DB5F38"/>
    <w:rsid w:val="00DB7017"/>
    <w:rsid w:val="00DB7305"/>
    <w:rsid w:val="00DC0EA7"/>
    <w:rsid w:val="00DC43CB"/>
    <w:rsid w:val="00DC66C1"/>
    <w:rsid w:val="00DD0475"/>
    <w:rsid w:val="00DD55BB"/>
    <w:rsid w:val="00DD5DB3"/>
    <w:rsid w:val="00DD764E"/>
    <w:rsid w:val="00DE30C0"/>
    <w:rsid w:val="00DE3969"/>
    <w:rsid w:val="00DE5113"/>
    <w:rsid w:val="00DE5C7E"/>
    <w:rsid w:val="00DF0E22"/>
    <w:rsid w:val="00DF3672"/>
    <w:rsid w:val="00E02F5D"/>
    <w:rsid w:val="00E1142A"/>
    <w:rsid w:val="00E12689"/>
    <w:rsid w:val="00E149B2"/>
    <w:rsid w:val="00E16E7C"/>
    <w:rsid w:val="00E21121"/>
    <w:rsid w:val="00E2636F"/>
    <w:rsid w:val="00E3024A"/>
    <w:rsid w:val="00E30F12"/>
    <w:rsid w:val="00E31B9E"/>
    <w:rsid w:val="00E343C0"/>
    <w:rsid w:val="00E34C51"/>
    <w:rsid w:val="00E40B38"/>
    <w:rsid w:val="00E4160D"/>
    <w:rsid w:val="00E443F0"/>
    <w:rsid w:val="00E4450F"/>
    <w:rsid w:val="00E45477"/>
    <w:rsid w:val="00E45E2A"/>
    <w:rsid w:val="00E47884"/>
    <w:rsid w:val="00E5014B"/>
    <w:rsid w:val="00E50307"/>
    <w:rsid w:val="00E51469"/>
    <w:rsid w:val="00E52B7D"/>
    <w:rsid w:val="00E5554F"/>
    <w:rsid w:val="00E60F84"/>
    <w:rsid w:val="00E71D4B"/>
    <w:rsid w:val="00E72F21"/>
    <w:rsid w:val="00E74E2B"/>
    <w:rsid w:val="00E85699"/>
    <w:rsid w:val="00E866EA"/>
    <w:rsid w:val="00E91174"/>
    <w:rsid w:val="00E926D4"/>
    <w:rsid w:val="00E94C48"/>
    <w:rsid w:val="00E94FF5"/>
    <w:rsid w:val="00E95741"/>
    <w:rsid w:val="00E95FDA"/>
    <w:rsid w:val="00E966F9"/>
    <w:rsid w:val="00E97077"/>
    <w:rsid w:val="00E9745A"/>
    <w:rsid w:val="00EA1672"/>
    <w:rsid w:val="00EA26CC"/>
    <w:rsid w:val="00EB143C"/>
    <w:rsid w:val="00EB2ECD"/>
    <w:rsid w:val="00EC55D0"/>
    <w:rsid w:val="00ED0BA9"/>
    <w:rsid w:val="00EE1E28"/>
    <w:rsid w:val="00EE2252"/>
    <w:rsid w:val="00EE51DD"/>
    <w:rsid w:val="00EE5EA3"/>
    <w:rsid w:val="00EF1BE1"/>
    <w:rsid w:val="00EF1F16"/>
    <w:rsid w:val="00EF2CB3"/>
    <w:rsid w:val="00EF2E9C"/>
    <w:rsid w:val="00EF51E0"/>
    <w:rsid w:val="00EF5F85"/>
    <w:rsid w:val="00F0368F"/>
    <w:rsid w:val="00F04887"/>
    <w:rsid w:val="00F06EDC"/>
    <w:rsid w:val="00F109C3"/>
    <w:rsid w:val="00F20BD8"/>
    <w:rsid w:val="00F20E1C"/>
    <w:rsid w:val="00F240A5"/>
    <w:rsid w:val="00F265BC"/>
    <w:rsid w:val="00F268F7"/>
    <w:rsid w:val="00F26B2C"/>
    <w:rsid w:val="00F31922"/>
    <w:rsid w:val="00F33209"/>
    <w:rsid w:val="00F340A6"/>
    <w:rsid w:val="00F34EA1"/>
    <w:rsid w:val="00F41E8B"/>
    <w:rsid w:val="00F43D10"/>
    <w:rsid w:val="00F461F9"/>
    <w:rsid w:val="00F50FEE"/>
    <w:rsid w:val="00F526C8"/>
    <w:rsid w:val="00F55EA4"/>
    <w:rsid w:val="00F74924"/>
    <w:rsid w:val="00F7498E"/>
    <w:rsid w:val="00F75E65"/>
    <w:rsid w:val="00F76CBA"/>
    <w:rsid w:val="00F76EF7"/>
    <w:rsid w:val="00F81D5D"/>
    <w:rsid w:val="00F8224D"/>
    <w:rsid w:val="00F83752"/>
    <w:rsid w:val="00F83D0D"/>
    <w:rsid w:val="00F91059"/>
    <w:rsid w:val="00F96151"/>
    <w:rsid w:val="00F96265"/>
    <w:rsid w:val="00F966A3"/>
    <w:rsid w:val="00F96EB3"/>
    <w:rsid w:val="00F97822"/>
    <w:rsid w:val="00FA279D"/>
    <w:rsid w:val="00FB16D7"/>
    <w:rsid w:val="00FB1DCA"/>
    <w:rsid w:val="00FB2E3E"/>
    <w:rsid w:val="00FB4CAB"/>
    <w:rsid w:val="00FB6C87"/>
    <w:rsid w:val="00FB75E0"/>
    <w:rsid w:val="00FC3126"/>
    <w:rsid w:val="00FC6186"/>
    <w:rsid w:val="00FD19EC"/>
    <w:rsid w:val="00FE1E6E"/>
    <w:rsid w:val="00FE7FFD"/>
    <w:rsid w:val="00FF3AE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Bullet" w:qFormat="1"/>
    <w:lsdException w:name="List Bullet 2"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249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62D13"/>
    <w:pPr>
      <w:autoSpaceDE w:val="0"/>
      <w:autoSpaceDN w:val="0"/>
      <w:adjustRightInd w:val="0"/>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662D13"/>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662D13"/>
    <w:rPr>
      <w:rFonts w:ascii="Tahoma" w:hAnsi="Tahoma" w:cs="Tahoma"/>
      <w:sz w:val="16"/>
      <w:szCs w:val="16"/>
    </w:rPr>
  </w:style>
  <w:style w:type="paragraph" w:customStyle="1" w:styleId="ColorfulList-Accent11">
    <w:name w:val="Colorful List - Accent 11"/>
    <w:basedOn w:val="Normal"/>
    <w:uiPriority w:val="34"/>
    <w:qFormat/>
    <w:rsid w:val="00DE3969"/>
    <w:pPr>
      <w:ind w:left="720"/>
      <w:contextualSpacing/>
    </w:pPr>
  </w:style>
  <w:style w:type="paragraph" w:customStyle="1" w:styleId="TableCenter">
    <w:name w:val="Table Center"/>
    <w:basedOn w:val="Normal"/>
    <w:rsid w:val="00DE3969"/>
    <w:pPr>
      <w:spacing w:after="60" w:line="240" w:lineRule="auto"/>
      <w:jc w:val="center"/>
    </w:pPr>
    <w:rPr>
      <w:rFonts w:ascii="Times New Roman" w:hAnsi="Times New Roman"/>
      <w:sz w:val="24"/>
      <w:szCs w:val="24"/>
    </w:rPr>
  </w:style>
  <w:style w:type="paragraph" w:customStyle="1" w:styleId="TableHead">
    <w:name w:val="Table Head"/>
    <w:basedOn w:val="Normal"/>
    <w:rsid w:val="00DE3969"/>
    <w:pPr>
      <w:spacing w:before="60" w:after="60" w:line="240" w:lineRule="auto"/>
      <w:jc w:val="center"/>
    </w:pPr>
    <w:rPr>
      <w:rFonts w:ascii="Times New Roman" w:hAnsi="Times New Roman"/>
      <w:b/>
      <w:sz w:val="24"/>
      <w:szCs w:val="48"/>
    </w:rPr>
  </w:style>
  <w:style w:type="character" w:styleId="PageNumber">
    <w:name w:val="page number"/>
    <w:basedOn w:val="DefaultParagraphFont"/>
    <w:rsid w:val="002C0EE5"/>
  </w:style>
  <w:style w:type="character" w:styleId="CommentReference">
    <w:name w:val="annotation reference"/>
    <w:uiPriority w:val="99"/>
    <w:unhideWhenUsed/>
    <w:rsid w:val="00256EEC"/>
    <w:rPr>
      <w:sz w:val="16"/>
      <w:szCs w:val="16"/>
    </w:rPr>
  </w:style>
  <w:style w:type="paragraph" w:styleId="CommentText">
    <w:name w:val="annotation text"/>
    <w:basedOn w:val="Normal"/>
    <w:link w:val="CommentTextChar"/>
    <w:uiPriority w:val="99"/>
    <w:unhideWhenUsed/>
    <w:rsid w:val="00256EEC"/>
    <w:pPr>
      <w:spacing w:line="240" w:lineRule="auto"/>
    </w:pPr>
    <w:rPr>
      <w:sz w:val="20"/>
      <w:szCs w:val="20"/>
      <w:lang/>
    </w:rPr>
  </w:style>
  <w:style w:type="character" w:customStyle="1" w:styleId="CommentTextChar">
    <w:name w:val="Comment Text Char"/>
    <w:link w:val="CommentText"/>
    <w:uiPriority w:val="99"/>
    <w:rsid w:val="00256EEC"/>
    <w:rPr>
      <w:sz w:val="20"/>
      <w:szCs w:val="20"/>
    </w:rPr>
  </w:style>
  <w:style w:type="paragraph" w:styleId="CommentSubject">
    <w:name w:val="annotation subject"/>
    <w:basedOn w:val="CommentText"/>
    <w:next w:val="CommentText"/>
    <w:link w:val="CommentSubjectChar"/>
    <w:uiPriority w:val="99"/>
    <w:semiHidden/>
    <w:unhideWhenUsed/>
    <w:rsid w:val="00256EEC"/>
    <w:rPr>
      <w:b/>
      <w:bCs/>
    </w:rPr>
  </w:style>
  <w:style w:type="character" w:customStyle="1" w:styleId="CommentSubjectChar">
    <w:name w:val="Comment Subject Char"/>
    <w:link w:val="CommentSubject"/>
    <w:uiPriority w:val="99"/>
    <w:semiHidden/>
    <w:rsid w:val="00256EEC"/>
    <w:rPr>
      <w:b/>
      <w:bCs/>
      <w:sz w:val="20"/>
      <w:szCs w:val="20"/>
    </w:rPr>
  </w:style>
  <w:style w:type="paragraph" w:styleId="Header">
    <w:name w:val="header"/>
    <w:basedOn w:val="Normal"/>
    <w:link w:val="HeaderChar"/>
    <w:uiPriority w:val="99"/>
    <w:unhideWhenUsed/>
    <w:rsid w:val="007F1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F53"/>
  </w:style>
  <w:style w:type="paragraph" w:styleId="Footer">
    <w:name w:val="footer"/>
    <w:basedOn w:val="Normal"/>
    <w:link w:val="FooterChar"/>
    <w:uiPriority w:val="99"/>
    <w:unhideWhenUsed/>
    <w:rsid w:val="007F1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F53"/>
  </w:style>
  <w:style w:type="table" w:styleId="TableGrid">
    <w:name w:val="Table Grid"/>
    <w:basedOn w:val="TableNormal"/>
    <w:uiPriority w:val="59"/>
    <w:rsid w:val="00702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semiHidden/>
    <w:rsid w:val="001A78D5"/>
    <w:pPr>
      <w:spacing w:after="0" w:line="240" w:lineRule="auto"/>
    </w:pPr>
    <w:rPr>
      <w:rFonts w:ascii="Courier New" w:hAnsi="Courier New"/>
      <w:sz w:val="20"/>
      <w:szCs w:val="24"/>
      <w:lang w:val="en-US" w:eastAsia="en-US"/>
    </w:rPr>
  </w:style>
  <w:style w:type="character" w:customStyle="1" w:styleId="PlainTextChar">
    <w:name w:val="Plain Text Char"/>
    <w:link w:val="PlainText"/>
    <w:semiHidden/>
    <w:rsid w:val="001A78D5"/>
    <w:rPr>
      <w:rFonts w:ascii="Courier New" w:eastAsia="Times New Roman" w:hAnsi="Courier New" w:cs="Times New Roman"/>
      <w:sz w:val="20"/>
      <w:szCs w:val="24"/>
      <w:lang w:val="en-US" w:eastAsia="en-US"/>
    </w:rPr>
  </w:style>
  <w:style w:type="character" w:customStyle="1" w:styleId="ParagraphChar">
    <w:name w:val="Paragraph Char"/>
    <w:link w:val="Paragraph"/>
    <w:locked/>
    <w:rsid w:val="001A78D5"/>
    <w:rPr>
      <w:sz w:val="24"/>
      <w:szCs w:val="24"/>
      <w:lang w:val="en-AU" w:eastAsia="en-AU" w:bidi="ar-SA"/>
    </w:rPr>
  </w:style>
  <w:style w:type="paragraph" w:customStyle="1" w:styleId="Paragraph">
    <w:name w:val="Paragraph"/>
    <w:link w:val="ParagraphChar"/>
    <w:qFormat/>
    <w:rsid w:val="001A78D5"/>
    <w:pPr>
      <w:spacing w:before="60" w:after="240"/>
    </w:pPr>
    <w:rPr>
      <w:sz w:val="24"/>
      <w:szCs w:val="24"/>
    </w:rPr>
  </w:style>
  <w:style w:type="paragraph" w:styleId="MediumList2-Accent2">
    <w:name w:val="Medium List 2 Accent 2"/>
    <w:hidden/>
    <w:uiPriority w:val="99"/>
    <w:semiHidden/>
    <w:rsid w:val="003E65F8"/>
    <w:rPr>
      <w:sz w:val="22"/>
      <w:szCs w:val="22"/>
    </w:rPr>
  </w:style>
  <w:style w:type="paragraph" w:styleId="Caption">
    <w:name w:val="caption"/>
    <w:basedOn w:val="Normal"/>
    <w:next w:val="Normal"/>
    <w:qFormat/>
    <w:rsid w:val="006657DC"/>
    <w:pPr>
      <w:keepNext/>
      <w:keepLines/>
      <w:tabs>
        <w:tab w:val="left" w:pos="1803"/>
      </w:tabs>
      <w:spacing w:before="60" w:after="120" w:line="240" w:lineRule="auto"/>
      <w:ind w:left="1803" w:hanging="1803"/>
    </w:pPr>
    <w:rPr>
      <w:rFonts w:ascii="Arial" w:hAnsi="Arial"/>
      <w:b/>
      <w:color w:val="000000"/>
      <w:sz w:val="24"/>
      <w:szCs w:val="24"/>
      <w:lang w:val="en-US" w:eastAsia="en-US"/>
    </w:rPr>
  </w:style>
  <w:style w:type="paragraph" w:customStyle="1" w:styleId="C-TableText">
    <w:name w:val="C-Table Text"/>
    <w:uiPriority w:val="99"/>
    <w:rsid w:val="006657DC"/>
    <w:pPr>
      <w:spacing w:before="60" w:after="60"/>
    </w:pPr>
    <w:rPr>
      <w:rFonts w:ascii="Times New Roman" w:hAnsi="Times New Roman"/>
      <w:sz w:val="22"/>
      <w:lang w:val="en-US" w:eastAsia="en-US"/>
    </w:rPr>
  </w:style>
  <w:style w:type="paragraph" w:customStyle="1" w:styleId="TableText">
    <w:name w:val="TableText"/>
    <w:link w:val="TableTextChar"/>
    <w:rsid w:val="006657DC"/>
    <w:pPr>
      <w:keepNext/>
    </w:pPr>
    <w:rPr>
      <w:rFonts w:ascii="Times New Roman" w:hAnsi="Times New Roman"/>
      <w:lang w:val="en-US" w:eastAsia="en-US"/>
    </w:rPr>
  </w:style>
  <w:style w:type="character" w:customStyle="1" w:styleId="TableTextChar">
    <w:name w:val="TableText Char"/>
    <w:link w:val="TableText"/>
    <w:rsid w:val="006657DC"/>
    <w:rPr>
      <w:rFonts w:ascii="Times New Roman" w:hAnsi="Times New Roman"/>
      <w:lang w:val="en-US" w:eastAsia="en-US" w:bidi="ar-SA"/>
    </w:rPr>
  </w:style>
  <w:style w:type="paragraph" w:styleId="ColorfulShading-Accent1">
    <w:name w:val="Colorful Shading Accent 1"/>
    <w:hidden/>
    <w:uiPriority w:val="99"/>
    <w:semiHidden/>
    <w:rsid w:val="00C900C4"/>
    <w:rPr>
      <w:sz w:val="22"/>
      <w:szCs w:val="22"/>
    </w:rPr>
  </w:style>
  <w:style w:type="paragraph" w:styleId="ListBullet">
    <w:name w:val="List Bullet"/>
    <w:basedOn w:val="Normal"/>
    <w:uiPriority w:val="99"/>
    <w:qFormat/>
    <w:rsid w:val="0088283E"/>
    <w:pPr>
      <w:numPr>
        <w:numId w:val="12"/>
      </w:numPr>
      <w:spacing w:before="120" w:after="180" w:line="240" w:lineRule="atLeast"/>
    </w:pPr>
    <w:rPr>
      <w:rFonts w:ascii="Cambria" w:eastAsia="Cambria" w:hAnsi="Cambria"/>
      <w:lang w:eastAsia="en-US"/>
    </w:rPr>
  </w:style>
  <w:style w:type="paragraph" w:styleId="ListBullet2">
    <w:name w:val="List Bullet 2"/>
    <w:basedOn w:val="Normal"/>
    <w:uiPriority w:val="99"/>
    <w:qFormat/>
    <w:rsid w:val="0088283E"/>
    <w:pPr>
      <w:numPr>
        <w:ilvl w:val="1"/>
        <w:numId w:val="12"/>
      </w:numPr>
      <w:spacing w:before="120" w:after="180" w:line="240" w:lineRule="atLeast"/>
    </w:pPr>
    <w:rPr>
      <w:rFonts w:ascii="Cambria" w:eastAsia="Cambria" w:hAnsi="Cambria"/>
      <w:lang w:eastAsia="en-US"/>
    </w:rPr>
  </w:style>
  <w:style w:type="paragraph" w:styleId="ListBullet3">
    <w:name w:val="List Bullet 3"/>
    <w:basedOn w:val="Normal"/>
    <w:uiPriority w:val="99"/>
    <w:qFormat/>
    <w:rsid w:val="0088283E"/>
    <w:pPr>
      <w:numPr>
        <w:ilvl w:val="2"/>
        <w:numId w:val="12"/>
      </w:numPr>
      <w:spacing w:before="120" w:after="180" w:line="240" w:lineRule="atLeast"/>
    </w:pPr>
    <w:rPr>
      <w:rFonts w:ascii="Cambria" w:eastAsia="Cambria" w:hAnsi="Cambria"/>
      <w:lang w:eastAsia="en-US"/>
    </w:rPr>
  </w:style>
  <w:style w:type="numbering" w:customStyle="1" w:styleId="ListBullets">
    <w:name w:val="ListBullets"/>
    <w:uiPriority w:val="99"/>
    <w:locked/>
    <w:rsid w:val="0088283E"/>
    <w:pPr>
      <w:numPr>
        <w:numId w:val="12"/>
      </w:numPr>
    </w:pPr>
  </w:style>
</w:styles>
</file>

<file path=word/webSettings.xml><?xml version="1.0" encoding="utf-8"?>
<w:webSettings xmlns:r="http://schemas.openxmlformats.org/officeDocument/2006/relationships" xmlns:w="http://schemas.openxmlformats.org/wordprocessingml/2006/main">
  <w:divs>
    <w:div w:id="151147327">
      <w:bodyDiv w:val="1"/>
      <w:marLeft w:val="0"/>
      <w:marRight w:val="0"/>
      <w:marTop w:val="0"/>
      <w:marBottom w:val="0"/>
      <w:divBdr>
        <w:top w:val="none" w:sz="0" w:space="0" w:color="auto"/>
        <w:left w:val="none" w:sz="0" w:space="0" w:color="auto"/>
        <w:bottom w:val="none" w:sz="0" w:space="0" w:color="auto"/>
        <w:right w:val="none" w:sz="0" w:space="0" w:color="auto"/>
      </w:divBdr>
    </w:div>
    <w:div w:id="212157829">
      <w:bodyDiv w:val="1"/>
      <w:marLeft w:val="0"/>
      <w:marRight w:val="0"/>
      <w:marTop w:val="0"/>
      <w:marBottom w:val="0"/>
      <w:divBdr>
        <w:top w:val="none" w:sz="0" w:space="0" w:color="auto"/>
        <w:left w:val="none" w:sz="0" w:space="0" w:color="auto"/>
        <w:bottom w:val="none" w:sz="0" w:space="0" w:color="auto"/>
        <w:right w:val="none" w:sz="0" w:space="0" w:color="auto"/>
      </w:divBdr>
    </w:div>
    <w:div w:id="1732969368">
      <w:bodyDiv w:val="1"/>
      <w:marLeft w:val="0"/>
      <w:marRight w:val="0"/>
      <w:marTop w:val="0"/>
      <w:marBottom w:val="0"/>
      <w:divBdr>
        <w:top w:val="none" w:sz="0" w:space="0" w:color="auto"/>
        <w:left w:val="none" w:sz="0" w:space="0" w:color="auto"/>
        <w:bottom w:val="none" w:sz="0" w:space="0" w:color="auto"/>
        <w:right w:val="none" w:sz="0" w:space="0" w:color="auto"/>
      </w:divBdr>
    </w:div>
    <w:div w:id="2086026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41B1D97373984EB2917F60EB361618" ma:contentTypeVersion="1" ma:contentTypeDescription="Create a new document." ma:contentTypeScope="" ma:versionID="cb14ed4f03e13beea3b0ce127d385865">
  <xsd:schema xmlns:xsd="http://www.w3.org/2001/XMLSchema" xmlns:p="http://schemas.microsoft.com/office/2006/metadata/properties" targetNamespace="http://schemas.microsoft.com/office/2006/metadata/properties" ma:root="true" ma:fieldsID="313c9036eced31202f12d9f494e9c9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66933-AE48-489B-8889-4304C0FF5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4596B4E-AAF6-486E-B7C2-3FD1C475BA97}">
  <ds:schemaRefs>
    <ds:schemaRef ds:uri="http://schemas.microsoft.com/sharepoint/v3/contenttype/forms"/>
  </ds:schemaRefs>
</ds:datastoreItem>
</file>

<file path=customXml/itemProps3.xml><?xml version="1.0" encoding="utf-8"?>
<ds:datastoreItem xmlns:ds="http://schemas.openxmlformats.org/officeDocument/2006/customXml" ds:itemID="{80267E0E-7B44-4E9A-A36F-E0B7C95EF358}">
  <ds:schemaRefs>
    <ds:schemaRef ds:uri="http://schemas.microsoft.com/office/2006/metadata/properties"/>
  </ds:schemaRefs>
</ds:datastoreItem>
</file>

<file path=customXml/itemProps4.xml><?xml version="1.0" encoding="utf-8"?>
<ds:datastoreItem xmlns:ds="http://schemas.openxmlformats.org/officeDocument/2006/customXml" ds:itemID="{B84D2985-784D-42DD-A857-D7BA6FF565DF}">
  <ds:schemaRefs>
    <ds:schemaRef ds:uri="http://schemas.openxmlformats.org/officeDocument/2006/bibliography"/>
  </ds:schemaRefs>
</ds:datastoreItem>
</file>

<file path=customXml/itemProps5.xml><?xml version="1.0" encoding="utf-8"?>
<ds:datastoreItem xmlns:ds="http://schemas.openxmlformats.org/officeDocument/2006/customXml" ds:itemID="{C51B3203-8A4C-44AA-B847-8524B643E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4838</Words>
  <Characters>27577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Attachment 1. Product Information for Dificid</vt:lpstr>
    </vt:vector>
  </TitlesOfParts>
  <Company>Specialised Therapeutics Australia Pty Ltd</Company>
  <LinksUpToDate>false</LinksUpToDate>
  <CharactersWithSpaces>32351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Dificid</dc:title>
  <dc:subject>prescription medicine regulation</dc:subject>
  <dc:creator>Specialised Therapeutics Australia Pty Ltd</dc:creator>
  <cp:keywords>product, information, prescription, medicine, regulation, fidaxomicin, dificid, specialised, therapeutics</cp:keywords>
  <cp:lastModifiedBy>dixonj</cp:lastModifiedBy>
  <cp:revision>2</cp:revision>
  <cp:lastPrinted>2013-03-17T22:41:00Z</cp:lastPrinted>
  <dcterms:created xsi:type="dcterms:W3CDTF">2013-10-28T04:20:00Z</dcterms:created>
  <dcterms:modified xsi:type="dcterms:W3CDTF">2013-10-28T04:20:00Z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0x010100C041B1D97373984EB2917F60EB361618</vt:lpwstr>
  </property>
</Properties>
</file>