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94"/>
      </w:tblGrid>
      <w:tr w:rsidR="008E7846" w:rsidRPr="00487162" w:rsidTr="00A60293">
        <w:trPr>
          <w:trHeight w:val="1912"/>
        </w:trPr>
        <w:tc>
          <w:tcPr>
            <w:tcW w:w="8094" w:type="dxa"/>
            <w:tcBorders>
              <w:top w:val="nil"/>
              <w:left w:val="nil"/>
              <w:bottom w:val="nil"/>
              <w:right w:val="nil"/>
            </w:tcBorders>
          </w:tcPr>
          <w:p w:rsidR="00FF58B2" w:rsidRDefault="00A60293" w:rsidP="00FF58B2">
            <w:pPr>
              <w:rPr>
                <w:rFonts w:ascii="Arial" w:hAnsi="Arial" w:cs="Arial"/>
                <w:b/>
                <w:color w:val="002C47"/>
                <w:sz w:val="36"/>
                <w:szCs w:val="36"/>
              </w:rPr>
            </w:pPr>
            <w:bookmarkStart w:id="0" w:name="_GoBack"/>
            <w:bookmarkEnd w:id="0"/>
            <w:r>
              <w:rPr>
                <w:rFonts w:ascii="Arial" w:hAnsi="Arial" w:cs="Arial"/>
                <w:b/>
                <w:color w:val="002C47"/>
                <w:sz w:val="36"/>
                <w:szCs w:val="36"/>
              </w:rPr>
              <w:t xml:space="preserve">Date of </w:t>
            </w:r>
            <w:r w:rsidR="00FF58B2">
              <w:rPr>
                <w:rFonts w:ascii="Arial" w:hAnsi="Arial" w:cs="Arial"/>
                <w:b/>
                <w:color w:val="002C47"/>
                <w:sz w:val="36"/>
                <w:szCs w:val="36"/>
              </w:rPr>
              <w:t>f</w:t>
            </w:r>
            <w:r>
              <w:rPr>
                <w:rFonts w:ascii="Arial" w:hAnsi="Arial" w:cs="Arial"/>
                <w:b/>
                <w:color w:val="002C47"/>
                <w:sz w:val="36"/>
                <w:szCs w:val="36"/>
              </w:rPr>
              <w:t xml:space="preserve">irst </w:t>
            </w:r>
            <w:r w:rsidR="00FF58B2">
              <w:rPr>
                <w:rFonts w:ascii="Arial" w:hAnsi="Arial" w:cs="Arial"/>
                <w:b/>
                <w:color w:val="002C47"/>
                <w:sz w:val="36"/>
                <w:szCs w:val="36"/>
              </w:rPr>
              <w:t>r</w:t>
            </w:r>
            <w:r>
              <w:rPr>
                <w:rFonts w:ascii="Arial" w:hAnsi="Arial" w:cs="Arial"/>
                <w:b/>
                <w:color w:val="002C47"/>
                <w:sz w:val="36"/>
                <w:szCs w:val="36"/>
              </w:rPr>
              <w:t xml:space="preserve">ound CER </w:t>
            </w:r>
            <w:r w:rsidR="00FF58B2">
              <w:rPr>
                <w:rFonts w:ascii="Arial" w:hAnsi="Arial" w:cs="Arial"/>
                <w:b/>
                <w:color w:val="002C47"/>
                <w:sz w:val="36"/>
                <w:szCs w:val="36"/>
              </w:rPr>
              <w:t>August 2012</w:t>
            </w:r>
          </w:p>
          <w:p w:rsidR="00C528D5" w:rsidRPr="0017078F" w:rsidRDefault="00A60293" w:rsidP="00FF58B2">
            <w:pPr>
              <w:rPr>
                <w:rFonts w:ascii="Arial" w:hAnsi="Arial" w:cs="Arial"/>
                <w:b/>
                <w:color w:val="002C47"/>
                <w:sz w:val="36"/>
                <w:szCs w:val="36"/>
              </w:rPr>
            </w:pPr>
            <w:r>
              <w:rPr>
                <w:rFonts w:ascii="Arial" w:hAnsi="Arial" w:cs="Arial"/>
                <w:b/>
                <w:color w:val="002C47"/>
                <w:sz w:val="36"/>
                <w:szCs w:val="36"/>
              </w:rPr>
              <w:t xml:space="preserve">Date of </w:t>
            </w:r>
            <w:r w:rsidR="00FF58B2">
              <w:rPr>
                <w:rFonts w:ascii="Arial" w:hAnsi="Arial" w:cs="Arial"/>
                <w:b/>
                <w:color w:val="002C47"/>
                <w:sz w:val="36"/>
                <w:szCs w:val="36"/>
              </w:rPr>
              <w:t>s</w:t>
            </w:r>
            <w:r>
              <w:rPr>
                <w:rFonts w:ascii="Arial" w:hAnsi="Arial" w:cs="Arial"/>
                <w:b/>
                <w:color w:val="002C47"/>
                <w:sz w:val="36"/>
                <w:szCs w:val="36"/>
              </w:rPr>
              <w:t xml:space="preserve">econd </w:t>
            </w:r>
            <w:r w:rsidR="00FF58B2">
              <w:rPr>
                <w:rFonts w:ascii="Arial" w:hAnsi="Arial" w:cs="Arial"/>
                <w:b/>
                <w:color w:val="002C47"/>
                <w:sz w:val="36"/>
                <w:szCs w:val="36"/>
              </w:rPr>
              <w:t>r</w:t>
            </w:r>
            <w:r>
              <w:rPr>
                <w:rFonts w:ascii="Arial" w:hAnsi="Arial" w:cs="Arial"/>
                <w:b/>
                <w:color w:val="002C47"/>
                <w:sz w:val="36"/>
                <w:szCs w:val="36"/>
              </w:rPr>
              <w:t xml:space="preserve">ound CER </w:t>
            </w:r>
            <w:r w:rsidR="00C528D5">
              <w:rPr>
                <w:rFonts w:ascii="Arial" w:hAnsi="Arial" w:cs="Arial"/>
                <w:b/>
                <w:color w:val="002C47"/>
                <w:sz w:val="36"/>
                <w:szCs w:val="36"/>
              </w:rPr>
              <w:t>October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C528D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C528D5" w:rsidRPr="00C528D5">
              <w:rPr>
                <w:rFonts w:ascii="Times New Roman" w:hAnsi="Times New Roman"/>
                <w:b/>
                <w:spacing w:val="0"/>
                <w:kern w:val="16"/>
                <w:sz w:val="24"/>
                <w:szCs w:val="24"/>
                <w:lang w:eastAsia="en-AU"/>
              </w:rPr>
              <w:t xml:space="preserve"> </w:t>
            </w:r>
            <w:r w:rsidR="00C528D5" w:rsidRPr="00C528D5">
              <w:rPr>
                <w:color w:val="FFFFFF" w:themeColor="background1"/>
              </w:rPr>
              <w:t>Fidaxomicin</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Proprietary Product Name:</w:t>
            </w:r>
            <w:r w:rsidR="003B4B6A" w:rsidRPr="003B4B6A">
              <w:rPr>
                <w:color w:val="FFFFFF" w:themeColor="background1"/>
              </w:rPr>
              <w:t xml:space="preserve"> </w:t>
            </w:r>
            <w:r w:rsidR="00C528D5" w:rsidRPr="00C528D5">
              <w:rPr>
                <w:color w:val="FFFFFF" w:themeColor="background1"/>
              </w:rPr>
              <w:t>Dificid</w:t>
            </w:r>
            <w:r w:rsidR="003B4B6A" w:rsidRPr="003B4B6A">
              <w:rPr>
                <w:color w:val="FFFFFF" w:themeColor="background1"/>
              </w:rPr>
              <w:t xml:space="preserve"> </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3B4B6A" w:rsidRPr="003B4B6A">
              <w:rPr>
                <w:color w:val="FFFFFF" w:themeColor="background1"/>
              </w:rPr>
              <w:t xml:space="preserve"> </w:t>
            </w:r>
            <w:r w:rsidR="00C528D5" w:rsidRPr="00C528D5">
              <w:rPr>
                <w:color w:val="FFFFFF" w:themeColor="background1"/>
              </w:rPr>
              <w:t>Specialist Therapeutics Australia Pty</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1A205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1A205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1A205B">
      <w:pPr>
        <w:pStyle w:val="ListBullet"/>
        <w:numPr>
          <w:ilvl w:val="0"/>
          <w:numId w:val="1"/>
        </w:numPr>
        <w:ind w:left="357" w:hanging="357"/>
      </w:pPr>
      <w:r>
        <w:t>The work of the TGA is based on applying scientific and clinical expertise to decision-</w:t>
      </w:r>
      <w:proofErr w:type="gramStart"/>
      <w:r>
        <w:t>making</w:t>
      </w:r>
      <w:proofErr w:type="gramEnd"/>
      <w:r>
        <w:t>, to ensure that the benefits to consumers outweigh any risks associated with the use of medicines and medical devices.</w:t>
      </w:r>
    </w:p>
    <w:p w:rsidR="008E7846" w:rsidRDefault="008E7846" w:rsidP="001A205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1A205B">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C57DC" w:rsidRDefault="00694E00">
          <w:pPr>
            <w:pStyle w:val="TOC2"/>
            <w:tabs>
              <w:tab w:val="left" w:pos="1247"/>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0734721" w:history="1">
            <w:r w:rsidR="00EC57DC" w:rsidRPr="0006558A">
              <w:rPr>
                <w:rStyle w:val="Hyperlink"/>
                <w:noProof/>
                <w:lang w:eastAsia="en-AU"/>
              </w:rPr>
              <w:t>1.</w:t>
            </w:r>
            <w:r w:rsidR="00EC57DC">
              <w:rPr>
                <w:rFonts w:asciiTheme="minorHAnsi" w:eastAsiaTheme="minorEastAsia" w:hAnsiTheme="minorHAnsi" w:cstheme="minorBidi"/>
                <w:b w:val="0"/>
                <w:noProof/>
                <w:sz w:val="22"/>
                <w:lang w:eastAsia="en-AU"/>
              </w:rPr>
              <w:tab/>
            </w:r>
            <w:r w:rsidR="00EC57DC" w:rsidRPr="0006558A">
              <w:rPr>
                <w:rStyle w:val="Hyperlink"/>
                <w:noProof/>
                <w:lang w:eastAsia="en-AU"/>
              </w:rPr>
              <w:t>Clinical rationale</w:t>
            </w:r>
            <w:r w:rsidR="00EC57DC">
              <w:rPr>
                <w:noProof/>
                <w:webHidden/>
              </w:rPr>
              <w:tab/>
            </w:r>
            <w:r>
              <w:rPr>
                <w:noProof/>
                <w:webHidden/>
              </w:rPr>
              <w:fldChar w:fldCharType="begin"/>
            </w:r>
            <w:r w:rsidR="00EC57DC">
              <w:rPr>
                <w:noProof/>
                <w:webHidden/>
              </w:rPr>
              <w:instrText xml:space="preserve"> PAGEREF _Toc370734721 \h </w:instrText>
            </w:r>
            <w:r>
              <w:rPr>
                <w:noProof/>
                <w:webHidden/>
              </w:rPr>
            </w:r>
            <w:r>
              <w:rPr>
                <w:noProof/>
                <w:webHidden/>
              </w:rPr>
              <w:fldChar w:fldCharType="separate"/>
            </w:r>
            <w:r w:rsidR="00EC57DC">
              <w:rPr>
                <w:noProof/>
                <w:webHidden/>
              </w:rPr>
              <w:t>5</w:t>
            </w:r>
            <w:r>
              <w:rPr>
                <w:noProof/>
                <w:webHidden/>
              </w:rPr>
              <w:fldChar w:fldCharType="end"/>
            </w:r>
          </w:hyperlink>
        </w:p>
        <w:p w:rsidR="00EC57DC" w:rsidRDefault="00694E00" w:rsidP="00EC57DC">
          <w:pPr>
            <w:pStyle w:val="TOC3"/>
            <w:ind w:left="993" w:firstLine="28"/>
            <w:rPr>
              <w:rFonts w:asciiTheme="minorHAnsi" w:eastAsiaTheme="minorEastAsia" w:hAnsiTheme="minorHAnsi" w:cstheme="minorBidi"/>
              <w:noProof/>
              <w:lang w:eastAsia="en-AU"/>
            </w:rPr>
          </w:pPr>
          <w:hyperlink w:anchor="_Toc370734722" w:history="1">
            <w:r w:rsidR="00EC57DC" w:rsidRPr="0006558A">
              <w:rPr>
                <w:rStyle w:val="Hyperlink"/>
                <w:noProof/>
              </w:rPr>
              <w:t>Guidance</w:t>
            </w:r>
            <w:r w:rsidR="00EC57DC">
              <w:rPr>
                <w:noProof/>
                <w:webHidden/>
              </w:rPr>
              <w:tab/>
            </w:r>
            <w:r>
              <w:rPr>
                <w:noProof/>
                <w:webHidden/>
              </w:rPr>
              <w:fldChar w:fldCharType="begin"/>
            </w:r>
            <w:r w:rsidR="00EC57DC">
              <w:rPr>
                <w:noProof/>
                <w:webHidden/>
              </w:rPr>
              <w:instrText xml:space="preserve"> PAGEREF _Toc370734722 \h </w:instrText>
            </w:r>
            <w:r>
              <w:rPr>
                <w:noProof/>
                <w:webHidden/>
              </w:rPr>
            </w:r>
            <w:r>
              <w:rPr>
                <w:noProof/>
                <w:webHidden/>
              </w:rPr>
              <w:fldChar w:fldCharType="separate"/>
            </w:r>
            <w:r w:rsidR="00EC57DC">
              <w:rPr>
                <w:noProof/>
                <w:webHidden/>
              </w:rPr>
              <w:t>5</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23" w:history="1">
            <w:r w:rsidR="00EC57DC" w:rsidRPr="0006558A">
              <w:rPr>
                <w:rStyle w:val="Hyperlink"/>
                <w:noProof/>
                <w:lang w:eastAsia="en-AU"/>
              </w:rPr>
              <w:t>2.</w:t>
            </w:r>
            <w:r w:rsidR="00EC57DC">
              <w:rPr>
                <w:rFonts w:asciiTheme="minorHAnsi" w:eastAsiaTheme="minorEastAsia" w:hAnsiTheme="minorHAnsi" w:cstheme="minorBidi"/>
                <w:b w:val="0"/>
                <w:noProof/>
                <w:sz w:val="22"/>
                <w:lang w:eastAsia="en-AU"/>
              </w:rPr>
              <w:tab/>
            </w:r>
            <w:r w:rsidR="00EC57DC" w:rsidRPr="0006558A">
              <w:rPr>
                <w:rStyle w:val="Hyperlink"/>
                <w:noProof/>
                <w:lang w:eastAsia="en-AU"/>
              </w:rPr>
              <w:t>Contents of the clinical dossier</w:t>
            </w:r>
            <w:r w:rsidR="00EC57DC">
              <w:rPr>
                <w:noProof/>
                <w:webHidden/>
              </w:rPr>
              <w:tab/>
            </w:r>
            <w:r>
              <w:rPr>
                <w:noProof/>
                <w:webHidden/>
              </w:rPr>
              <w:fldChar w:fldCharType="begin"/>
            </w:r>
            <w:r w:rsidR="00EC57DC">
              <w:rPr>
                <w:noProof/>
                <w:webHidden/>
              </w:rPr>
              <w:instrText xml:space="preserve"> PAGEREF _Toc370734723 \h </w:instrText>
            </w:r>
            <w:r>
              <w:rPr>
                <w:noProof/>
                <w:webHidden/>
              </w:rPr>
            </w:r>
            <w:r>
              <w:rPr>
                <w:noProof/>
                <w:webHidden/>
              </w:rPr>
              <w:fldChar w:fldCharType="separate"/>
            </w:r>
            <w:r w:rsidR="00EC57DC">
              <w:rPr>
                <w:noProof/>
                <w:webHidden/>
              </w:rPr>
              <w:t>5</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24" w:history="1">
            <w:r w:rsidR="00EC57DC" w:rsidRPr="0006558A">
              <w:rPr>
                <w:rStyle w:val="Hyperlink"/>
                <w:noProof/>
              </w:rPr>
              <w:t>2.1.</w:t>
            </w:r>
            <w:r w:rsidR="00EC57DC">
              <w:rPr>
                <w:rFonts w:asciiTheme="minorHAnsi" w:eastAsiaTheme="minorEastAsia" w:hAnsiTheme="minorHAnsi" w:cstheme="minorBidi"/>
                <w:noProof/>
                <w:lang w:eastAsia="en-AU"/>
              </w:rPr>
              <w:tab/>
            </w:r>
            <w:r w:rsidR="00EC57DC" w:rsidRPr="0006558A">
              <w:rPr>
                <w:rStyle w:val="Hyperlink"/>
                <w:noProof/>
              </w:rPr>
              <w:t>Scope of the clinical dossier</w:t>
            </w:r>
            <w:r w:rsidR="00EC57DC">
              <w:rPr>
                <w:noProof/>
                <w:webHidden/>
              </w:rPr>
              <w:tab/>
            </w:r>
            <w:r>
              <w:rPr>
                <w:noProof/>
                <w:webHidden/>
              </w:rPr>
              <w:fldChar w:fldCharType="begin"/>
            </w:r>
            <w:r w:rsidR="00EC57DC">
              <w:rPr>
                <w:noProof/>
                <w:webHidden/>
              </w:rPr>
              <w:instrText xml:space="preserve"> PAGEREF _Toc370734724 \h </w:instrText>
            </w:r>
            <w:r>
              <w:rPr>
                <w:noProof/>
                <w:webHidden/>
              </w:rPr>
            </w:r>
            <w:r>
              <w:rPr>
                <w:noProof/>
                <w:webHidden/>
              </w:rPr>
              <w:fldChar w:fldCharType="separate"/>
            </w:r>
            <w:r w:rsidR="00EC57DC">
              <w:rPr>
                <w:noProof/>
                <w:webHidden/>
              </w:rPr>
              <w:t>5</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25" w:history="1">
            <w:r w:rsidR="00EC57DC" w:rsidRPr="0006558A">
              <w:rPr>
                <w:rStyle w:val="Hyperlink"/>
                <w:noProof/>
              </w:rPr>
              <w:t>2.2.</w:t>
            </w:r>
            <w:r w:rsidR="00EC57DC">
              <w:rPr>
                <w:rFonts w:asciiTheme="minorHAnsi" w:eastAsiaTheme="minorEastAsia" w:hAnsiTheme="minorHAnsi" w:cstheme="minorBidi"/>
                <w:noProof/>
                <w:lang w:eastAsia="en-AU"/>
              </w:rPr>
              <w:tab/>
            </w:r>
            <w:r w:rsidR="00EC57DC" w:rsidRPr="0006558A">
              <w:rPr>
                <w:rStyle w:val="Hyperlink"/>
                <w:noProof/>
              </w:rPr>
              <w:t>Paediatric data</w:t>
            </w:r>
            <w:r w:rsidR="00EC57DC">
              <w:rPr>
                <w:noProof/>
                <w:webHidden/>
              </w:rPr>
              <w:tab/>
            </w:r>
            <w:r>
              <w:rPr>
                <w:noProof/>
                <w:webHidden/>
              </w:rPr>
              <w:fldChar w:fldCharType="begin"/>
            </w:r>
            <w:r w:rsidR="00EC57DC">
              <w:rPr>
                <w:noProof/>
                <w:webHidden/>
              </w:rPr>
              <w:instrText xml:space="preserve"> PAGEREF _Toc370734725 \h </w:instrText>
            </w:r>
            <w:r>
              <w:rPr>
                <w:noProof/>
                <w:webHidden/>
              </w:rPr>
            </w:r>
            <w:r>
              <w:rPr>
                <w:noProof/>
                <w:webHidden/>
              </w:rPr>
              <w:fldChar w:fldCharType="separate"/>
            </w:r>
            <w:r w:rsidR="00EC57DC">
              <w:rPr>
                <w:noProof/>
                <w:webHidden/>
              </w:rPr>
              <w:t>6</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26" w:history="1">
            <w:r w:rsidR="00EC57DC" w:rsidRPr="0006558A">
              <w:rPr>
                <w:rStyle w:val="Hyperlink"/>
                <w:noProof/>
              </w:rPr>
              <w:t>2.3.</w:t>
            </w:r>
            <w:r w:rsidR="00EC57DC">
              <w:rPr>
                <w:rFonts w:asciiTheme="minorHAnsi" w:eastAsiaTheme="minorEastAsia" w:hAnsiTheme="minorHAnsi" w:cstheme="minorBidi"/>
                <w:noProof/>
                <w:lang w:eastAsia="en-AU"/>
              </w:rPr>
              <w:tab/>
            </w:r>
            <w:r w:rsidR="00EC57DC" w:rsidRPr="0006558A">
              <w:rPr>
                <w:rStyle w:val="Hyperlink"/>
                <w:noProof/>
              </w:rPr>
              <w:t>Good clinical practice (GCP)</w:t>
            </w:r>
            <w:r w:rsidR="00EC57DC">
              <w:rPr>
                <w:noProof/>
                <w:webHidden/>
              </w:rPr>
              <w:tab/>
            </w:r>
            <w:r>
              <w:rPr>
                <w:noProof/>
                <w:webHidden/>
              </w:rPr>
              <w:fldChar w:fldCharType="begin"/>
            </w:r>
            <w:r w:rsidR="00EC57DC">
              <w:rPr>
                <w:noProof/>
                <w:webHidden/>
              </w:rPr>
              <w:instrText xml:space="preserve"> PAGEREF _Toc370734726 \h </w:instrText>
            </w:r>
            <w:r>
              <w:rPr>
                <w:noProof/>
                <w:webHidden/>
              </w:rPr>
            </w:r>
            <w:r>
              <w:rPr>
                <w:noProof/>
                <w:webHidden/>
              </w:rPr>
              <w:fldChar w:fldCharType="separate"/>
            </w:r>
            <w:r w:rsidR="00EC57DC">
              <w:rPr>
                <w:noProof/>
                <w:webHidden/>
              </w:rPr>
              <w:t>6</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27" w:history="1">
            <w:r w:rsidR="00EC57DC" w:rsidRPr="0006558A">
              <w:rPr>
                <w:rStyle w:val="Hyperlink"/>
                <w:noProof/>
              </w:rPr>
              <w:t>3.</w:t>
            </w:r>
            <w:r w:rsidR="00EC57DC">
              <w:rPr>
                <w:rFonts w:asciiTheme="minorHAnsi" w:eastAsiaTheme="minorEastAsia" w:hAnsiTheme="minorHAnsi" w:cstheme="minorBidi"/>
                <w:b w:val="0"/>
                <w:noProof/>
                <w:sz w:val="22"/>
                <w:lang w:eastAsia="en-AU"/>
              </w:rPr>
              <w:tab/>
            </w:r>
            <w:r w:rsidR="00EC57DC" w:rsidRPr="0006558A">
              <w:rPr>
                <w:rStyle w:val="Hyperlink"/>
                <w:noProof/>
              </w:rPr>
              <w:t>Pharmacokinetics</w:t>
            </w:r>
            <w:r w:rsidR="00EC57DC">
              <w:rPr>
                <w:noProof/>
                <w:webHidden/>
              </w:rPr>
              <w:tab/>
            </w:r>
            <w:r>
              <w:rPr>
                <w:noProof/>
                <w:webHidden/>
              </w:rPr>
              <w:fldChar w:fldCharType="begin"/>
            </w:r>
            <w:r w:rsidR="00EC57DC">
              <w:rPr>
                <w:noProof/>
                <w:webHidden/>
              </w:rPr>
              <w:instrText xml:space="preserve"> PAGEREF _Toc370734727 \h </w:instrText>
            </w:r>
            <w:r>
              <w:rPr>
                <w:noProof/>
                <w:webHidden/>
              </w:rPr>
            </w:r>
            <w:r>
              <w:rPr>
                <w:noProof/>
                <w:webHidden/>
              </w:rPr>
              <w:fldChar w:fldCharType="separate"/>
            </w:r>
            <w:r w:rsidR="00EC57DC">
              <w:rPr>
                <w:noProof/>
                <w:webHidden/>
              </w:rPr>
              <w:t>6</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28" w:history="1">
            <w:r w:rsidR="00EC57DC" w:rsidRPr="0006558A">
              <w:rPr>
                <w:rStyle w:val="Hyperlink"/>
                <w:noProof/>
              </w:rPr>
              <w:t>3.1.</w:t>
            </w:r>
            <w:r w:rsidR="00EC57DC">
              <w:rPr>
                <w:rFonts w:asciiTheme="minorHAnsi" w:eastAsiaTheme="minorEastAsia" w:hAnsiTheme="minorHAnsi" w:cstheme="minorBidi"/>
                <w:noProof/>
                <w:lang w:eastAsia="en-AU"/>
              </w:rPr>
              <w:tab/>
            </w:r>
            <w:r w:rsidR="00EC57DC" w:rsidRPr="0006558A">
              <w:rPr>
                <w:rStyle w:val="Hyperlink"/>
                <w:noProof/>
              </w:rPr>
              <w:t>Pharmacokinetics in healthy subjects and food effect</w:t>
            </w:r>
            <w:r w:rsidR="00EC57DC">
              <w:rPr>
                <w:noProof/>
                <w:webHidden/>
              </w:rPr>
              <w:tab/>
            </w:r>
            <w:r>
              <w:rPr>
                <w:noProof/>
                <w:webHidden/>
              </w:rPr>
              <w:fldChar w:fldCharType="begin"/>
            </w:r>
            <w:r w:rsidR="00EC57DC">
              <w:rPr>
                <w:noProof/>
                <w:webHidden/>
              </w:rPr>
              <w:instrText xml:space="preserve"> PAGEREF _Toc370734728 \h </w:instrText>
            </w:r>
            <w:r>
              <w:rPr>
                <w:noProof/>
                <w:webHidden/>
              </w:rPr>
            </w:r>
            <w:r>
              <w:rPr>
                <w:noProof/>
                <w:webHidden/>
              </w:rPr>
              <w:fldChar w:fldCharType="separate"/>
            </w:r>
            <w:r w:rsidR="00EC57DC">
              <w:rPr>
                <w:noProof/>
                <w:webHidden/>
              </w:rPr>
              <w:t>6</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29" w:history="1">
            <w:r w:rsidR="00EC57DC" w:rsidRPr="0006558A">
              <w:rPr>
                <w:rStyle w:val="Hyperlink"/>
                <w:noProof/>
              </w:rPr>
              <w:t>3.2.</w:t>
            </w:r>
            <w:r w:rsidR="00EC57DC">
              <w:rPr>
                <w:rFonts w:asciiTheme="minorHAnsi" w:eastAsiaTheme="minorEastAsia" w:hAnsiTheme="minorHAnsi" w:cstheme="minorBidi"/>
                <w:noProof/>
                <w:lang w:eastAsia="en-AU"/>
              </w:rPr>
              <w:tab/>
            </w:r>
            <w:r w:rsidR="00EC57DC" w:rsidRPr="0006558A">
              <w:rPr>
                <w:rStyle w:val="Hyperlink"/>
                <w:noProof/>
              </w:rPr>
              <w:t>Overall Absorption, Distribution, Metabolism and Excretion (ADME) features</w:t>
            </w:r>
            <w:r w:rsidR="00EC57DC">
              <w:rPr>
                <w:noProof/>
                <w:webHidden/>
              </w:rPr>
              <w:tab/>
            </w:r>
            <w:r>
              <w:rPr>
                <w:noProof/>
                <w:webHidden/>
              </w:rPr>
              <w:fldChar w:fldCharType="begin"/>
            </w:r>
            <w:r w:rsidR="00EC57DC">
              <w:rPr>
                <w:noProof/>
                <w:webHidden/>
              </w:rPr>
              <w:instrText xml:space="preserve"> PAGEREF _Toc370734729 \h </w:instrText>
            </w:r>
            <w:r>
              <w:rPr>
                <w:noProof/>
                <w:webHidden/>
              </w:rPr>
            </w:r>
            <w:r>
              <w:rPr>
                <w:noProof/>
                <w:webHidden/>
              </w:rPr>
              <w:fldChar w:fldCharType="separate"/>
            </w:r>
            <w:r w:rsidR="00EC57DC">
              <w:rPr>
                <w:noProof/>
                <w:webHidden/>
              </w:rPr>
              <w:t>9</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30" w:history="1">
            <w:r w:rsidR="00EC57DC" w:rsidRPr="0006558A">
              <w:rPr>
                <w:rStyle w:val="Hyperlink"/>
                <w:noProof/>
              </w:rPr>
              <w:t>3.3.</w:t>
            </w:r>
            <w:r w:rsidR="00EC57DC">
              <w:rPr>
                <w:rFonts w:asciiTheme="minorHAnsi" w:eastAsiaTheme="minorEastAsia" w:hAnsiTheme="minorHAnsi" w:cstheme="minorBidi"/>
                <w:noProof/>
                <w:lang w:eastAsia="en-AU"/>
              </w:rPr>
              <w:tab/>
            </w:r>
            <w:r w:rsidR="00EC57DC" w:rsidRPr="0006558A">
              <w:rPr>
                <w:rStyle w:val="Hyperlink"/>
                <w:noProof/>
              </w:rPr>
              <w:t>Pharmacokinetics in target population</w:t>
            </w:r>
            <w:r w:rsidR="00EC57DC">
              <w:rPr>
                <w:noProof/>
                <w:webHidden/>
              </w:rPr>
              <w:tab/>
            </w:r>
            <w:r>
              <w:rPr>
                <w:noProof/>
                <w:webHidden/>
              </w:rPr>
              <w:fldChar w:fldCharType="begin"/>
            </w:r>
            <w:r w:rsidR="00EC57DC">
              <w:rPr>
                <w:noProof/>
                <w:webHidden/>
              </w:rPr>
              <w:instrText xml:space="preserve"> PAGEREF _Toc370734730 \h </w:instrText>
            </w:r>
            <w:r>
              <w:rPr>
                <w:noProof/>
                <w:webHidden/>
              </w:rPr>
            </w:r>
            <w:r>
              <w:rPr>
                <w:noProof/>
                <w:webHidden/>
              </w:rPr>
              <w:fldChar w:fldCharType="separate"/>
            </w:r>
            <w:r w:rsidR="00EC57DC">
              <w:rPr>
                <w:noProof/>
                <w:webHidden/>
              </w:rPr>
              <w:t>10</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31" w:history="1">
            <w:r w:rsidR="00EC57DC" w:rsidRPr="0006558A">
              <w:rPr>
                <w:rStyle w:val="Hyperlink"/>
                <w:noProof/>
              </w:rPr>
              <w:t>3.4.</w:t>
            </w:r>
            <w:r w:rsidR="00EC57DC">
              <w:rPr>
                <w:rFonts w:asciiTheme="minorHAnsi" w:eastAsiaTheme="minorEastAsia" w:hAnsiTheme="minorHAnsi" w:cstheme="minorBidi"/>
                <w:noProof/>
                <w:lang w:eastAsia="en-AU"/>
              </w:rPr>
              <w:tab/>
            </w:r>
            <w:r w:rsidR="00EC57DC" w:rsidRPr="0006558A">
              <w:rPr>
                <w:rStyle w:val="Hyperlink"/>
                <w:noProof/>
              </w:rPr>
              <w:t>Pharmacokinetics in other special populations</w:t>
            </w:r>
            <w:r w:rsidR="00EC57DC">
              <w:rPr>
                <w:noProof/>
                <w:webHidden/>
              </w:rPr>
              <w:tab/>
            </w:r>
            <w:r>
              <w:rPr>
                <w:noProof/>
                <w:webHidden/>
              </w:rPr>
              <w:fldChar w:fldCharType="begin"/>
            </w:r>
            <w:r w:rsidR="00EC57DC">
              <w:rPr>
                <w:noProof/>
                <w:webHidden/>
              </w:rPr>
              <w:instrText xml:space="preserve"> PAGEREF _Toc370734731 \h </w:instrText>
            </w:r>
            <w:r>
              <w:rPr>
                <w:noProof/>
                <w:webHidden/>
              </w:rPr>
            </w:r>
            <w:r>
              <w:rPr>
                <w:noProof/>
                <w:webHidden/>
              </w:rPr>
              <w:fldChar w:fldCharType="separate"/>
            </w:r>
            <w:r w:rsidR="00EC57DC">
              <w:rPr>
                <w:noProof/>
                <w:webHidden/>
              </w:rPr>
              <w:t>11</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32" w:history="1">
            <w:r w:rsidR="00EC57DC" w:rsidRPr="0006558A">
              <w:rPr>
                <w:rStyle w:val="Hyperlink"/>
                <w:noProof/>
              </w:rPr>
              <w:t>3.5.</w:t>
            </w:r>
            <w:r w:rsidR="00EC57DC">
              <w:rPr>
                <w:rFonts w:asciiTheme="minorHAnsi" w:eastAsiaTheme="minorEastAsia" w:hAnsiTheme="minorHAnsi" w:cstheme="minorBidi"/>
                <w:noProof/>
                <w:lang w:eastAsia="en-AU"/>
              </w:rPr>
              <w:tab/>
            </w:r>
            <w:r w:rsidR="00EC57DC" w:rsidRPr="0006558A">
              <w:rPr>
                <w:rStyle w:val="Hyperlink"/>
                <w:noProof/>
              </w:rPr>
              <w:t>Pharmacokinetics related to genetic factors</w:t>
            </w:r>
            <w:r w:rsidR="00EC57DC">
              <w:rPr>
                <w:noProof/>
                <w:webHidden/>
              </w:rPr>
              <w:tab/>
            </w:r>
            <w:r>
              <w:rPr>
                <w:noProof/>
                <w:webHidden/>
              </w:rPr>
              <w:fldChar w:fldCharType="begin"/>
            </w:r>
            <w:r w:rsidR="00EC57DC">
              <w:rPr>
                <w:noProof/>
                <w:webHidden/>
              </w:rPr>
              <w:instrText xml:space="preserve"> PAGEREF _Toc370734732 \h </w:instrText>
            </w:r>
            <w:r>
              <w:rPr>
                <w:noProof/>
                <w:webHidden/>
              </w:rPr>
            </w:r>
            <w:r>
              <w:rPr>
                <w:noProof/>
                <w:webHidden/>
              </w:rPr>
              <w:fldChar w:fldCharType="separate"/>
            </w:r>
            <w:r w:rsidR="00EC57DC">
              <w:rPr>
                <w:noProof/>
                <w:webHidden/>
              </w:rPr>
              <w:t>11</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33" w:history="1">
            <w:r w:rsidR="00EC57DC" w:rsidRPr="0006558A">
              <w:rPr>
                <w:rStyle w:val="Hyperlink"/>
                <w:noProof/>
              </w:rPr>
              <w:t>3.6.</w:t>
            </w:r>
            <w:r w:rsidR="00EC57DC">
              <w:rPr>
                <w:rFonts w:asciiTheme="minorHAnsi" w:eastAsiaTheme="minorEastAsia" w:hAnsiTheme="minorHAnsi" w:cstheme="minorBidi"/>
                <w:noProof/>
                <w:lang w:eastAsia="en-AU"/>
              </w:rPr>
              <w:tab/>
            </w:r>
            <w:r w:rsidR="00EC57DC" w:rsidRPr="0006558A">
              <w:rPr>
                <w:rStyle w:val="Hyperlink"/>
                <w:noProof/>
              </w:rPr>
              <w:t>Pharmacokinetic interactions</w:t>
            </w:r>
            <w:r w:rsidR="00EC57DC">
              <w:rPr>
                <w:noProof/>
                <w:webHidden/>
              </w:rPr>
              <w:tab/>
            </w:r>
            <w:r>
              <w:rPr>
                <w:noProof/>
                <w:webHidden/>
              </w:rPr>
              <w:fldChar w:fldCharType="begin"/>
            </w:r>
            <w:r w:rsidR="00EC57DC">
              <w:rPr>
                <w:noProof/>
                <w:webHidden/>
              </w:rPr>
              <w:instrText xml:space="preserve"> PAGEREF _Toc370734733 \h </w:instrText>
            </w:r>
            <w:r>
              <w:rPr>
                <w:noProof/>
                <w:webHidden/>
              </w:rPr>
            </w:r>
            <w:r>
              <w:rPr>
                <w:noProof/>
                <w:webHidden/>
              </w:rPr>
              <w:fldChar w:fldCharType="separate"/>
            </w:r>
            <w:r w:rsidR="00EC57DC">
              <w:rPr>
                <w:noProof/>
                <w:webHidden/>
              </w:rPr>
              <w:t>12</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34" w:history="1">
            <w:r w:rsidR="00EC57DC" w:rsidRPr="0006558A">
              <w:rPr>
                <w:rStyle w:val="Hyperlink"/>
                <w:noProof/>
              </w:rPr>
              <w:t>3.7.</w:t>
            </w:r>
            <w:r w:rsidR="00EC57DC">
              <w:rPr>
                <w:rFonts w:asciiTheme="minorHAnsi" w:eastAsiaTheme="minorEastAsia" w:hAnsiTheme="minorHAnsi" w:cstheme="minorBidi"/>
                <w:noProof/>
                <w:lang w:eastAsia="en-AU"/>
              </w:rPr>
              <w:tab/>
            </w:r>
            <w:r w:rsidR="00EC57DC" w:rsidRPr="0006558A">
              <w:rPr>
                <w:rStyle w:val="Hyperlink"/>
                <w:noProof/>
              </w:rPr>
              <w:t>Evaluator’s overall conclusions on pharmacokinetics</w:t>
            </w:r>
            <w:r w:rsidR="00EC57DC">
              <w:rPr>
                <w:noProof/>
                <w:webHidden/>
              </w:rPr>
              <w:tab/>
            </w:r>
            <w:r>
              <w:rPr>
                <w:noProof/>
                <w:webHidden/>
              </w:rPr>
              <w:fldChar w:fldCharType="begin"/>
            </w:r>
            <w:r w:rsidR="00EC57DC">
              <w:rPr>
                <w:noProof/>
                <w:webHidden/>
              </w:rPr>
              <w:instrText xml:space="preserve"> PAGEREF _Toc370734734 \h </w:instrText>
            </w:r>
            <w:r>
              <w:rPr>
                <w:noProof/>
                <w:webHidden/>
              </w:rPr>
            </w:r>
            <w:r>
              <w:rPr>
                <w:noProof/>
                <w:webHidden/>
              </w:rPr>
              <w:fldChar w:fldCharType="separate"/>
            </w:r>
            <w:r w:rsidR="00EC57DC">
              <w:rPr>
                <w:noProof/>
                <w:webHidden/>
              </w:rPr>
              <w:t>17</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35" w:history="1">
            <w:r w:rsidR="00EC57DC" w:rsidRPr="0006558A">
              <w:rPr>
                <w:rStyle w:val="Hyperlink"/>
                <w:noProof/>
              </w:rPr>
              <w:t>4.</w:t>
            </w:r>
            <w:r w:rsidR="00EC57DC">
              <w:rPr>
                <w:rFonts w:asciiTheme="minorHAnsi" w:eastAsiaTheme="minorEastAsia" w:hAnsiTheme="minorHAnsi" w:cstheme="minorBidi"/>
                <w:b w:val="0"/>
                <w:noProof/>
                <w:sz w:val="22"/>
                <w:lang w:eastAsia="en-AU"/>
              </w:rPr>
              <w:tab/>
            </w:r>
            <w:r w:rsidR="00EC57DC" w:rsidRPr="0006558A">
              <w:rPr>
                <w:rStyle w:val="Hyperlink"/>
                <w:noProof/>
              </w:rPr>
              <w:t>Pharmacodynamics</w:t>
            </w:r>
            <w:r w:rsidR="00EC57DC">
              <w:rPr>
                <w:noProof/>
                <w:webHidden/>
              </w:rPr>
              <w:tab/>
            </w:r>
            <w:r>
              <w:rPr>
                <w:noProof/>
                <w:webHidden/>
              </w:rPr>
              <w:fldChar w:fldCharType="begin"/>
            </w:r>
            <w:r w:rsidR="00EC57DC">
              <w:rPr>
                <w:noProof/>
                <w:webHidden/>
              </w:rPr>
              <w:instrText xml:space="preserve"> PAGEREF _Toc370734735 \h </w:instrText>
            </w:r>
            <w:r>
              <w:rPr>
                <w:noProof/>
                <w:webHidden/>
              </w:rPr>
            </w:r>
            <w:r>
              <w:rPr>
                <w:noProof/>
                <w:webHidden/>
              </w:rPr>
              <w:fldChar w:fldCharType="separate"/>
            </w:r>
            <w:r w:rsidR="00EC57DC">
              <w:rPr>
                <w:noProof/>
                <w:webHidden/>
              </w:rPr>
              <w:t>17</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36" w:history="1">
            <w:r w:rsidR="00EC57DC" w:rsidRPr="0006558A">
              <w:rPr>
                <w:rStyle w:val="Hyperlink"/>
                <w:noProof/>
              </w:rPr>
              <w:t>4.1.</w:t>
            </w:r>
            <w:r w:rsidR="00EC57DC">
              <w:rPr>
                <w:rFonts w:asciiTheme="minorHAnsi" w:eastAsiaTheme="minorEastAsia" w:hAnsiTheme="minorHAnsi" w:cstheme="minorBidi"/>
                <w:noProof/>
                <w:lang w:eastAsia="en-AU"/>
              </w:rPr>
              <w:tab/>
            </w:r>
            <w:r w:rsidR="00EC57DC" w:rsidRPr="0006558A">
              <w:rPr>
                <w:rStyle w:val="Hyperlink"/>
                <w:noProof/>
              </w:rPr>
              <w:t>Studies providing pharmacodynamic data</w:t>
            </w:r>
            <w:r w:rsidR="00EC57DC">
              <w:rPr>
                <w:noProof/>
                <w:webHidden/>
              </w:rPr>
              <w:tab/>
            </w:r>
            <w:r>
              <w:rPr>
                <w:noProof/>
                <w:webHidden/>
              </w:rPr>
              <w:fldChar w:fldCharType="begin"/>
            </w:r>
            <w:r w:rsidR="00EC57DC">
              <w:rPr>
                <w:noProof/>
                <w:webHidden/>
              </w:rPr>
              <w:instrText xml:space="preserve"> PAGEREF _Toc370734736 \h </w:instrText>
            </w:r>
            <w:r>
              <w:rPr>
                <w:noProof/>
                <w:webHidden/>
              </w:rPr>
            </w:r>
            <w:r>
              <w:rPr>
                <w:noProof/>
                <w:webHidden/>
              </w:rPr>
              <w:fldChar w:fldCharType="separate"/>
            </w:r>
            <w:r w:rsidR="00EC57DC">
              <w:rPr>
                <w:noProof/>
                <w:webHidden/>
              </w:rPr>
              <w:t>17</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37" w:history="1">
            <w:r w:rsidR="00EC57DC" w:rsidRPr="0006558A">
              <w:rPr>
                <w:rStyle w:val="Hyperlink"/>
                <w:noProof/>
              </w:rPr>
              <w:t>4.2.</w:t>
            </w:r>
            <w:r w:rsidR="00EC57DC">
              <w:rPr>
                <w:rFonts w:asciiTheme="minorHAnsi" w:eastAsiaTheme="minorEastAsia" w:hAnsiTheme="minorHAnsi" w:cstheme="minorBidi"/>
                <w:noProof/>
                <w:lang w:eastAsia="en-AU"/>
              </w:rPr>
              <w:tab/>
            </w:r>
            <w:r w:rsidR="00EC57DC" w:rsidRPr="0006558A">
              <w:rPr>
                <w:rStyle w:val="Hyperlink"/>
                <w:noProof/>
              </w:rPr>
              <w:t>Summary and evaluator’s comment on pharmacodynamics</w:t>
            </w:r>
            <w:r w:rsidR="00EC57DC">
              <w:rPr>
                <w:noProof/>
                <w:webHidden/>
              </w:rPr>
              <w:tab/>
            </w:r>
            <w:r>
              <w:rPr>
                <w:noProof/>
                <w:webHidden/>
              </w:rPr>
              <w:fldChar w:fldCharType="begin"/>
            </w:r>
            <w:r w:rsidR="00EC57DC">
              <w:rPr>
                <w:noProof/>
                <w:webHidden/>
              </w:rPr>
              <w:instrText xml:space="preserve"> PAGEREF _Toc370734737 \h </w:instrText>
            </w:r>
            <w:r>
              <w:rPr>
                <w:noProof/>
                <w:webHidden/>
              </w:rPr>
            </w:r>
            <w:r>
              <w:rPr>
                <w:noProof/>
                <w:webHidden/>
              </w:rPr>
              <w:fldChar w:fldCharType="separate"/>
            </w:r>
            <w:r w:rsidR="00EC57DC">
              <w:rPr>
                <w:noProof/>
                <w:webHidden/>
              </w:rPr>
              <w:t>21</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38" w:history="1">
            <w:r w:rsidR="00EC57DC" w:rsidRPr="0006558A">
              <w:rPr>
                <w:rStyle w:val="Hyperlink"/>
                <w:noProof/>
              </w:rPr>
              <w:t>5.</w:t>
            </w:r>
            <w:r w:rsidR="00EC57DC">
              <w:rPr>
                <w:rFonts w:asciiTheme="minorHAnsi" w:eastAsiaTheme="minorEastAsia" w:hAnsiTheme="minorHAnsi" w:cstheme="minorBidi"/>
                <w:b w:val="0"/>
                <w:noProof/>
                <w:sz w:val="22"/>
                <w:lang w:eastAsia="en-AU"/>
              </w:rPr>
              <w:tab/>
            </w:r>
            <w:r w:rsidR="00EC57DC" w:rsidRPr="0006558A">
              <w:rPr>
                <w:rStyle w:val="Hyperlink"/>
                <w:noProof/>
              </w:rPr>
              <w:t>Dosage selection for the pivotal studies</w:t>
            </w:r>
            <w:r w:rsidR="00EC57DC">
              <w:rPr>
                <w:noProof/>
                <w:webHidden/>
              </w:rPr>
              <w:tab/>
            </w:r>
            <w:r>
              <w:rPr>
                <w:noProof/>
                <w:webHidden/>
              </w:rPr>
              <w:fldChar w:fldCharType="begin"/>
            </w:r>
            <w:r w:rsidR="00EC57DC">
              <w:rPr>
                <w:noProof/>
                <w:webHidden/>
              </w:rPr>
              <w:instrText xml:space="preserve"> PAGEREF _Toc370734738 \h </w:instrText>
            </w:r>
            <w:r>
              <w:rPr>
                <w:noProof/>
                <w:webHidden/>
              </w:rPr>
            </w:r>
            <w:r>
              <w:rPr>
                <w:noProof/>
                <w:webHidden/>
              </w:rPr>
              <w:fldChar w:fldCharType="separate"/>
            </w:r>
            <w:r w:rsidR="00EC57DC">
              <w:rPr>
                <w:noProof/>
                <w:webHidden/>
              </w:rPr>
              <w:t>21</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39" w:history="1">
            <w:r w:rsidR="00EC57DC" w:rsidRPr="0006558A">
              <w:rPr>
                <w:rStyle w:val="Hyperlink"/>
                <w:noProof/>
              </w:rPr>
              <w:t>5.1.</w:t>
            </w:r>
            <w:r w:rsidR="00EC57DC">
              <w:rPr>
                <w:rFonts w:asciiTheme="minorHAnsi" w:eastAsiaTheme="minorEastAsia" w:hAnsiTheme="minorHAnsi" w:cstheme="minorBidi"/>
                <w:noProof/>
                <w:lang w:eastAsia="en-AU"/>
              </w:rPr>
              <w:tab/>
            </w:r>
            <w:r w:rsidR="00EC57DC" w:rsidRPr="0006558A">
              <w:rPr>
                <w:rStyle w:val="Hyperlink"/>
                <w:noProof/>
              </w:rPr>
              <w:t>Study OPT-80-2A</w:t>
            </w:r>
            <w:r w:rsidR="00EC57DC">
              <w:rPr>
                <w:noProof/>
                <w:webHidden/>
              </w:rPr>
              <w:tab/>
            </w:r>
            <w:r>
              <w:rPr>
                <w:noProof/>
                <w:webHidden/>
              </w:rPr>
              <w:fldChar w:fldCharType="begin"/>
            </w:r>
            <w:r w:rsidR="00EC57DC">
              <w:rPr>
                <w:noProof/>
                <w:webHidden/>
              </w:rPr>
              <w:instrText xml:space="preserve"> PAGEREF _Toc370734739 \h </w:instrText>
            </w:r>
            <w:r>
              <w:rPr>
                <w:noProof/>
                <w:webHidden/>
              </w:rPr>
            </w:r>
            <w:r>
              <w:rPr>
                <w:noProof/>
                <w:webHidden/>
              </w:rPr>
              <w:fldChar w:fldCharType="separate"/>
            </w:r>
            <w:r w:rsidR="00EC57DC">
              <w:rPr>
                <w:noProof/>
                <w:webHidden/>
              </w:rPr>
              <w:t>21</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40" w:history="1">
            <w:r w:rsidR="00EC57DC" w:rsidRPr="0006558A">
              <w:rPr>
                <w:rStyle w:val="Hyperlink"/>
                <w:noProof/>
              </w:rPr>
              <w:t>6.</w:t>
            </w:r>
            <w:r w:rsidR="00EC57DC">
              <w:rPr>
                <w:rFonts w:asciiTheme="minorHAnsi" w:eastAsiaTheme="minorEastAsia" w:hAnsiTheme="minorHAnsi" w:cstheme="minorBidi"/>
                <w:b w:val="0"/>
                <w:noProof/>
                <w:sz w:val="22"/>
                <w:lang w:eastAsia="en-AU"/>
              </w:rPr>
              <w:tab/>
            </w:r>
            <w:r w:rsidR="00EC57DC" w:rsidRPr="0006558A">
              <w:rPr>
                <w:rStyle w:val="Hyperlink"/>
                <w:noProof/>
              </w:rPr>
              <w:t>Clinical efficacy</w:t>
            </w:r>
            <w:r w:rsidR="00EC57DC">
              <w:rPr>
                <w:noProof/>
                <w:webHidden/>
              </w:rPr>
              <w:tab/>
            </w:r>
            <w:r>
              <w:rPr>
                <w:noProof/>
                <w:webHidden/>
              </w:rPr>
              <w:fldChar w:fldCharType="begin"/>
            </w:r>
            <w:r w:rsidR="00EC57DC">
              <w:rPr>
                <w:noProof/>
                <w:webHidden/>
              </w:rPr>
              <w:instrText xml:space="preserve"> PAGEREF _Toc370734740 \h </w:instrText>
            </w:r>
            <w:r>
              <w:rPr>
                <w:noProof/>
                <w:webHidden/>
              </w:rPr>
            </w:r>
            <w:r>
              <w:rPr>
                <w:noProof/>
                <w:webHidden/>
              </w:rPr>
              <w:fldChar w:fldCharType="separate"/>
            </w:r>
            <w:r w:rsidR="00EC57DC">
              <w:rPr>
                <w:noProof/>
                <w:webHidden/>
              </w:rPr>
              <w:t>24</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41" w:history="1">
            <w:r w:rsidR="00EC57DC" w:rsidRPr="0006558A">
              <w:rPr>
                <w:rStyle w:val="Hyperlink"/>
                <w:noProof/>
              </w:rPr>
              <w:t>6.1.</w:t>
            </w:r>
            <w:r w:rsidR="00EC57DC">
              <w:rPr>
                <w:rFonts w:asciiTheme="minorHAnsi" w:eastAsiaTheme="minorEastAsia" w:hAnsiTheme="minorHAnsi" w:cstheme="minorBidi"/>
                <w:noProof/>
                <w:lang w:eastAsia="en-AU"/>
              </w:rPr>
              <w:tab/>
            </w:r>
            <w:r w:rsidR="00EC57DC" w:rsidRPr="0006558A">
              <w:rPr>
                <w:rStyle w:val="Hyperlink"/>
                <w:noProof/>
              </w:rPr>
              <w:t>Study 101.1.C.003</w:t>
            </w:r>
            <w:r w:rsidR="00EC57DC">
              <w:rPr>
                <w:noProof/>
                <w:webHidden/>
              </w:rPr>
              <w:tab/>
            </w:r>
            <w:r>
              <w:rPr>
                <w:noProof/>
                <w:webHidden/>
              </w:rPr>
              <w:fldChar w:fldCharType="begin"/>
            </w:r>
            <w:r w:rsidR="00EC57DC">
              <w:rPr>
                <w:noProof/>
                <w:webHidden/>
              </w:rPr>
              <w:instrText xml:space="preserve"> PAGEREF _Toc370734741 \h </w:instrText>
            </w:r>
            <w:r>
              <w:rPr>
                <w:noProof/>
                <w:webHidden/>
              </w:rPr>
            </w:r>
            <w:r>
              <w:rPr>
                <w:noProof/>
                <w:webHidden/>
              </w:rPr>
              <w:fldChar w:fldCharType="separate"/>
            </w:r>
            <w:r w:rsidR="00EC57DC">
              <w:rPr>
                <w:noProof/>
                <w:webHidden/>
              </w:rPr>
              <w:t>24</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42" w:history="1">
            <w:r w:rsidR="00EC57DC" w:rsidRPr="0006558A">
              <w:rPr>
                <w:rStyle w:val="Hyperlink"/>
                <w:noProof/>
              </w:rPr>
              <w:t>6.2.</w:t>
            </w:r>
            <w:r w:rsidR="00EC57DC">
              <w:rPr>
                <w:rFonts w:asciiTheme="minorHAnsi" w:eastAsiaTheme="minorEastAsia" w:hAnsiTheme="minorHAnsi" w:cstheme="minorBidi"/>
                <w:noProof/>
                <w:lang w:eastAsia="en-AU"/>
              </w:rPr>
              <w:tab/>
            </w:r>
            <w:r w:rsidR="00EC57DC" w:rsidRPr="0006558A">
              <w:rPr>
                <w:rStyle w:val="Hyperlink"/>
                <w:noProof/>
              </w:rPr>
              <w:t>Study 101.1.C.004</w:t>
            </w:r>
            <w:r w:rsidR="00EC57DC">
              <w:rPr>
                <w:noProof/>
                <w:webHidden/>
              </w:rPr>
              <w:tab/>
            </w:r>
            <w:r>
              <w:rPr>
                <w:noProof/>
                <w:webHidden/>
              </w:rPr>
              <w:fldChar w:fldCharType="begin"/>
            </w:r>
            <w:r w:rsidR="00EC57DC">
              <w:rPr>
                <w:noProof/>
                <w:webHidden/>
              </w:rPr>
              <w:instrText xml:space="preserve"> PAGEREF _Toc370734742 \h </w:instrText>
            </w:r>
            <w:r>
              <w:rPr>
                <w:noProof/>
                <w:webHidden/>
              </w:rPr>
            </w:r>
            <w:r>
              <w:rPr>
                <w:noProof/>
                <w:webHidden/>
              </w:rPr>
              <w:fldChar w:fldCharType="separate"/>
            </w:r>
            <w:r w:rsidR="00EC57DC">
              <w:rPr>
                <w:noProof/>
                <w:webHidden/>
              </w:rPr>
              <w:t>28</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43" w:history="1">
            <w:r w:rsidR="00EC57DC" w:rsidRPr="0006558A">
              <w:rPr>
                <w:rStyle w:val="Hyperlink"/>
                <w:noProof/>
              </w:rPr>
              <w:t>6.3.</w:t>
            </w:r>
            <w:r w:rsidR="00EC57DC">
              <w:rPr>
                <w:rFonts w:asciiTheme="minorHAnsi" w:eastAsiaTheme="minorEastAsia" w:hAnsiTheme="minorHAnsi" w:cstheme="minorBidi"/>
                <w:noProof/>
                <w:lang w:eastAsia="en-AU"/>
              </w:rPr>
              <w:tab/>
            </w:r>
            <w:r w:rsidR="00EC57DC" w:rsidRPr="0006558A">
              <w:rPr>
                <w:rStyle w:val="Hyperlink"/>
                <w:noProof/>
              </w:rPr>
              <w:t>Evaluator’s conclusions on clinical efficacy</w:t>
            </w:r>
            <w:r w:rsidR="00EC57DC">
              <w:rPr>
                <w:noProof/>
                <w:webHidden/>
              </w:rPr>
              <w:tab/>
            </w:r>
            <w:r>
              <w:rPr>
                <w:noProof/>
                <w:webHidden/>
              </w:rPr>
              <w:fldChar w:fldCharType="begin"/>
            </w:r>
            <w:r w:rsidR="00EC57DC">
              <w:rPr>
                <w:noProof/>
                <w:webHidden/>
              </w:rPr>
              <w:instrText xml:space="preserve"> PAGEREF _Toc370734743 \h </w:instrText>
            </w:r>
            <w:r>
              <w:rPr>
                <w:noProof/>
                <w:webHidden/>
              </w:rPr>
            </w:r>
            <w:r>
              <w:rPr>
                <w:noProof/>
                <w:webHidden/>
              </w:rPr>
              <w:fldChar w:fldCharType="separate"/>
            </w:r>
            <w:r w:rsidR="00EC57DC">
              <w:rPr>
                <w:noProof/>
                <w:webHidden/>
              </w:rPr>
              <w:t>31</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44" w:history="1">
            <w:r w:rsidR="00EC57DC" w:rsidRPr="0006558A">
              <w:rPr>
                <w:rStyle w:val="Hyperlink"/>
                <w:noProof/>
              </w:rPr>
              <w:t>7.</w:t>
            </w:r>
            <w:r w:rsidR="00EC57DC">
              <w:rPr>
                <w:rFonts w:asciiTheme="minorHAnsi" w:eastAsiaTheme="minorEastAsia" w:hAnsiTheme="minorHAnsi" w:cstheme="minorBidi"/>
                <w:b w:val="0"/>
                <w:noProof/>
                <w:sz w:val="22"/>
                <w:lang w:eastAsia="en-AU"/>
              </w:rPr>
              <w:tab/>
            </w:r>
            <w:r w:rsidR="00EC57DC" w:rsidRPr="0006558A">
              <w:rPr>
                <w:rStyle w:val="Hyperlink"/>
                <w:noProof/>
              </w:rPr>
              <w:t>Clinical safety</w:t>
            </w:r>
            <w:r w:rsidR="00EC57DC">
              <w:rPr>
                <w:noProof/>
                <w:webHidden/>
              </w:rPr>
              <w:tab/>
            </w:r>
            <w:r>
              <w:rPr>
                <w:noProof/>
                <w:webHidden/>
              </w:rPr>
              <w:fldChar w:fldCharType="begin"/>
            </w:r>
            <w:r w:rsidR="00EC57DC">
              <w:rPr>
                <w:noProof/>
                <w:webHidden/>
              </w:rPr>
              <w:instrText xml:space="preserve"> PAGEREF _Toc370734744 \h </w:instrText>
            </w:r>
            <w:r>
              <w:rPr>
                <w:noProof/>
                <w:webHidden/>
              </w:rPr>
            </w:r>
            <w:r>
              <w:rPr>
                <w:noProof/>
                <w:webHidden/>
              </w:rPr>
              <w:fldChar w:fldCharType="separate"/>
            </w:r>
            <w:r w:rsidR="00EC57DC">
              <w:rPr>
                <w:noProof/>
                <w:webHidden/>
              </w:rPr>
              <w:t>31</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45" w:history="1">
            <w:r w:rsidR="00EC57DC" w:rsidRPr="0006558A">
              <w:rPr>
                <w:rStyle w:val="Hyperlink"/>
                <w:noProof/>
              </w:rPr>
              <w:t>7.1.</w:t>
            </w:r>
            <w:r w:rsidR="00EC57DC">
              <w:rPr>
                <w:rFonts w:asciiTheme="minorHAnsi" w:eastAsiaTheme="minorEastAsia" w:hAnsiTheme="minorHAnsi" w:cstheme="minorBidi"/>
                <w:noProof/>
                <w:lang w:eastAsia="en-AU"/>
              </w:rPr>
              <w:tab/>
            </w:r>
            <w:r w:rsidR="00EC57DC" w:rsidRPr="0006558A">
              <w:rPr>
                <w:rStyle w:val="Hyperlink"/>
                <w:noProof/>
              </w:rPr>
              <w:t>Studies providing evaluable safety data</w:t>
            </w:r>
            <w:r w:rsidR="00EC57DC">
              <w:rPr>
                <w:noProof/>
                <w:webHidden/>
              </w:rPr>
              <w:tab/>
            </w:r>
            <w:r>
              <w:rPr>
                <w:noProof/>
                <w:webHidden/>
              </w:rPr>
              <w:fldChar w:fldCharType="begin"/>
            </w:r>
            <w:r w:rsidR="00EC57DC">
              <w:rPr>
                <w:noProof/>
                <w:webHidden/>
              </w:rPr>
              <w:instrText xml:space="preserve"> PAGEREF _Toc370734745 \h </w:instrText>
            </w:r>
            <w:r>
              <w:rPr>
                <w:noProof/>
                <w:webHidden/>
              </w:rPr>
            </w:r>
            <w:r>
              <w:rPr>
                <w:noProof/>
                <w:webHidden/>
              </w:rPr>
              <w:fldChar w:fldCharType="separate"/>
            </w:r>
            <w:r w:rsidR="00EC57DC">
              <w:rPr>
                <w:noProof/>
                <w:webHidden/>
              </w:rPr>
              <w:t>31</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46" w:history="1">
            <w:r w:rsidR="00EC57DC" w:rsidRPr="0006558A">
              <w:rPr>
                <w:rStyle w:val="Hyperlink"/>
                <w:noProof/>
              </w:rPr>
              <w:t>7.2.</w:t>
            </w:r>
            <w:r w:rsidR="00EC57DC">
              <w:rPr>
                <w:rFonts w:asciiTheme="minorHAnsi" w:eastAsiaTheme="minorEastAsia" w:hAnsiTheme="minorHAnsi" w:cstheme="minorBidi"/>
                <w:noProof/>
                <w:lang w:eastAsia="en-AU"/>
              </w:rPr>
              <w:tab/>
            </w:r>
            <w:r w:rsidR="00EC57DC" w:rsidRPr="0006558A">
              <w:rPr>
                <w:rStyle w:val="Hyperlink"/>
                <w:noProof/>
              </w:rPr>
              <w:t>Evaluator’s comment on clinical safety</w:t>
            </w:r>
            <w:r w:rsidR="00EC57DC">
              <w:rPr>
                <w:noProof/>
                <w:webHidden/>
              </w:rPr>
              <w:tab/>
            </w:r>
            <w:r>
              <w:rPr>
                <w:noProof/>
                <w:webHidden/>
              </w:rPr>
              <w:fldChar w:fldCharType="begin"/>
            </w:r>
            <w:r w:rsidR="00EC57DC">
              <w:rPr>
                <w:noProof/>
                <w:webHidden/>
              </w:rPr>
              <w:instrText xml:space="preserve"> PAGEREF _Toc370734746 \h </w:instrText>
            </w:r>
            <w:r>
              <w:rPr>
                <w:noProof/>
                <w:webHidden/>
              </w:rPr>
            </w:r>
            <w:r>
              <w:rPr>
                <w:noProof/>
                <w:webHidden/>
              </w:rPr>
              <w:fldChar w:fldCharType="separate"/>
            </w:r>
            <w:r w:rsidR="00EC57DC">
              <w:rPr>
                <w:noProof/>
                <w:webHidden/>
              </w:rPr>
              <w:t>38</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47" w:history="1">
            <w:r w:rsidR="00EC57DC" w:rsidRPr="0006558A">
              <w:rPr>
                <w:rStyle w:val="Hyperlink"/>
                <w:noProof/>
              </w:rPr>
              <w:t>8.</w:t>
            </w:r>
            <w:r w:rsidR="00EC57DC">
              <w:rPr>
                <w:rFonts w:asciiTheme="minorHAnsi" w:eastAsiaTheme="minorEastAsia" w:hAnsiTheme="minorHAnsi" w:cstheme="minorBidi"/>
                <w:b w:val="0"/>
                <w:noProof/>
                <w:sz w:val="22"/>
                <w:lang w:eastAsia="en-AU"/>
              </w:rPr>
              <w:tab/>
            </w:r>
            <w:r w:rsidR="00EC57DC" w:rsidRPr="0006558A">
              <w:rPr>
                <w:rStyle w:val="Hyperlink"/>
                <w:noProof/>
              </w:rPr>
              <w:t>First round benefit-risk assessment</w:t>
            </w:r>
            <w:r w:rsidR="00EC57DC">
              <w:rPr>
                <w:noProof/>
                <w:webHidden/>
              </w:rPr>
              <w:tab/>
            </w:r>
            <w:r>
              <w:rPr>
                <w:noProof/>
                <w:webHidden/>
              </w:rPr>
              <w:fldChar w:fldCharType="begin"/>
            </w:r>
            <w:r w:rsidR="00EC57DC">
              <w:rPr>
                <w:noProof/>
                <w:webHidden/>
              </w:rPr>
              <w:instrText xml:space="preserve"> PAGEREF _Toc370734747 \h </w:instrText>
            </w:r>
            <w:r>
              <w:rPr>
                <w:noProof/>
                <w:webHidden/>
              </w:rPr>
            </w:r>
            <w:r>
              <w:rPr>
                <w:noProof/>
                <w:webHidden/>
              </w:rPr>
              <w:fldChar w:fldCharType="separate"/>
            </w:r>
            <w:r w:rsidR="00EC57DC">
              <w:rPr>
                <w:noProof/>
                <w:webHidden/>
              </w:rPr>
              <w:t>39</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48" w:history="1">
            <w:r w:rsidR="00EC57DC" w:rsidRPr="0006558A">
              <w:rPr>
                <w:rStyle w:val="Hyperlink"/>
                <w:noProof/>
              </w:rPr>
              <w:t>8.1.</w:t>
            </w:r>
            <w:r w:rsidR="00EC57DC">
              <w:rPr>
                <w:rFonts w:asciiTheme="minorHAnsi" w:eastAsiaTheme="minorEastAsia" w:hAnsiTheme="minorHAnsi" w:cstheme="minorBidi"/>
                <w:noProof/>
                <w:lang w:eastAsia="en-AU"/>
              </w:rPr>
              <w:tab/>
            </w:r>
            <w:r w:rsidR="00EC57DC" w:rsidRPr="0006558A">
              <w:rPr>
                <w:rStyle w:val="Hyperlink"/>
                <w:noProof/>
              </w:rPr>
              <w:t>First round assessment of benefits</w:t>
            </w:r>
            <w:r w:rsidR="00EC57DC">
              <w:rPr>
                <w:noProof/>
                <w:webHidden/>
              </w:rPr>
              <w:tab/>
            </w:r>
            <w:r>
              <w:rPr>
                <w:noProof/>
                <w:webHidden/>
              </w:rPr>
              <w:fldChar w:fldCharType="begin"/>
            </w:r>
            <w:r w:rsidR="00EC57DC">
              <w:rPr>
                <w:noProof/>
                <w:webHidden/>
              </w:rPr>
              <w:instrText xml:space="preserve"> PAGEREF _Toc370734748 \h </w:instrText>
            </w:r>
            <w:r>
              <w:rPr>
                <w:noProof/>
                <w:webHidden/>
              </w:rPr>
            </w:r>
            <w:r>
              <w:rPr>
                <w:noProof/>
                <w:webHidden/>
              </w:rPr>
              <w:fldChar w:fldCharType="separate"/>
            </w:r>
            <w:r w:rsidR="00EC57DC">
              <w:rPr>
                <w:noProof/>
                <w:webHidden/>
              </w:rPr>
              <w:t>39</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49" w:history="1">
            <w:r w:rsidR="00EC57DC" w:rsidRPr="0006558A">
              <w:rPr>
                <w:rStyle w:val="Hyperlink"/>
                <w:noProof/>
              </w:rPr>
              <w:t>8.2.</w:t>
            </w:r>
            <w:r w:rsidR="00EC57DC">
              <w:rPr>
                <w:rFonts w:asciiTheme="minorHAnsi" w:eastAsiaTheme="minorEastAsia" w:hAnsiTheme="minorHAnsi" w:cstheme="minorBidi"/>
                <w:noProof/>
                <w:lang w:eastAsia="en-AU"/>
              </w:rPr>
              <w:tab/>
            </w:r>
            <w:r w:rsidR="00EC57DC" w:rsidRPr="0006558A">
              <w:rPr>
                <w:rStyle w:val="Hyperlink"/>
                <w:noProof/>
              </w:rPr>
              <w:t>First round assessment of risks</w:t>
            </w:r>
            <w:r w:rsidR="00EC57DC">
              <w:rPr>
                <w:noProof/>
                <w:webHidden/>
              </w:rPr>
              <w:tab/>
            </w:r>
            <w:r>
              <w:rPr>
                <w:noProof/>
                <w:webHidden/>
              </w:rPr>
              <w:fldChar w:fldCharType="begin"/>
            </w:r>
            <w:r w:rsidR="00EC57DC">
              <w:rPr>
                <w:noProof/>
                <w:webHidden/>
              </w:rPr>
              <w:instrText xml:space="preserve"> PAGEREF _Toc370734749 \h </w:instrText>
            </w:r>
            <w:r>
              <w:rPr>
                <w:noProof/>
                <w:webHidden/>
              </w:rPr>
            </w:r>
            <w:r>
              <w:rPr>
                <w:noProof/>
                <w:webHidden/>
              </w:rPr>
              <w:fldChar w:fldCharType="separate"/>
            </w:r>
            <w:r w:rsidR="00EC57DC">
              <w:rPr>
                <w:noProof/>
                <w:webHidden/>
              </w:rPr>
              <w:t>39</w:t>
            </w:r>
            <w:r>
              <w:rPr>
                <w:noProof/>
                <w:webHidden/>
              </w:rPr>
              <w:fldChar w:fldCharType="end"/>
            </w:r>
          </w:hyperlink>
        </w:p>
        <w:p w:rsidR="00EC57DC" w:rsidRDefault="00694E00">
          <w:pPr>
            <w:pStyle w:val="TOC3"/>
            <w:tabs>
              <w:tab w:val="left" w:pos="1575"/>
            </w:tabs>
            <w:rPr>
              <w:rFonts w:asciiTheme="minorHAnsi" w:eastAsiaTheme="minorEastAsia" w:hAnsiTheme="minorHAnsi" w:cstheme="minorBidi"/>
              <w:noProof/>
              <w:lang w:eastAsia="en-AU"/>
            </w:rPr>
          </w:pPr>
          <w:hyperlink w:anchor="_Toc370734750" w:history="1">
            <w:r w:rsidR="00EC57DC" w:rsidRPr="0006558A">
              <w:rPr>
                <w:rStyle w:val="Hyperlink"/>
                <w:noProof/>
              </w:rPr>
              <w:t>8.3.</w:t>
            </w:r>
            <w:r w:rsidR="00EC57DC">
              <w:rPr>
                <w:rFonts w:asciiTheme="minorHAnsi" w:eastAsiaTheme="minorEastAsia" w:hAnsiTheme="minorHAnsi" w:cstheme="minorBidi"/>
                <w:noProof/>
                <w:lang w:eastAsia="en-AU"/>
              </w:rPr>
              <w:tab/>
            </w:r>
            <w:r w:rsidR="00EC57DC" w:rsidRPr="0006558A">
              <w:rPr>
                <w:rStyle w:val="Hyperlink"/>
                <w:noProof/>
              </w:rPr>
              <w:t>First round assessment of benefit-risk balance</w:t>
            </w:r>
            <w:r w:rsidR="00EC57DC">
              <w:rPr>
                <w:noProof/>
                <w:webHidden/>
              </w:rPr>
              <w:tab/>
            </w:r>
            <w:r>
              <w:rPr>
                <w:noProof/>
                <w:webHidden/>
              </w:rPr>
              <w:fldChar w:fldCharType="begin"/>
            </w:r>
            <w:r w:rsidR="00EC57DC">
              <w:rPr>
                <w:noProof/>
                <w:webHidden/>
              </w:rPr>
              <w:instrText xml:space="preserve"> PAGEREF _Toc370734750 \h </w:instrText>
            </w:r>
            <w:r>
              <w:rPr>
                <w:noProof/>
                <w:webHidden/>
              </w:rPr>
            </w:r>
            <w:r>
              <w:rPr>
                <w:noProof/>
                <w:webHidden/>
              </w:rPr>
              <w:fldChar w:fldCharType="separate"/>
            </w:r>
            <w:r w:rsidR="00EC57DC">
              <w:rPr>
                <w:noProof/>
                <w:webHidden/>
              </w:rPr>
              <w:t>39</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51" w:history="1">
            <w:r w:rsidR="00EC57DC" w:rsidRPr="0006558A">
              <w:rPr>
                <w:rStyle w:val="Hyperlink"/>
                <w:noProof/>
              </w:rPr>
              <w:t>9.</w:t>
            </w:r>
            <w:r w:rsidR="00EC57DC">
              <w:rPr>
                <w:rFonts w:asciiTheme="minorHAnsi" w:eastAsiaTheme="minorEastAsia" w:hAnsiTheme="minorHAnsi" w:cstheme="minorBidi"/>
                <w:b w:val="0"/>
                <w:noProof/>
                <w:sz w:val="22"/>
                <w:lang w:eastAsia="en-AU"/>
              </w:rPr>
              <w:tab/>
            </w:r>
            <w:r w:rsidR="00EC57DC" w:rsidRPr="0006558A">
              <w:rPr>
                <w:rStyle w:val="Hyperlink"/>
                <w:noProof/>
              </w:rPr>
              <w:t>Second round evaluation of clinical data submitted in response to questions</w:t>
            </w:r>
            <w:r w:rsidR="00EC57DC">
              <w:rPr>
                <w:noProof/>
                <w:webHidden/>
              </w:rPr>
              <w:tab/>
            </w:r>
            <w:r>
              <w:rPr>
                <w:noProof/>
                <w:webHidden/>
              </w:rPr>
              <w:fldChar w:fldCharType="begin"/>
            </w:r>
            <w:r w:rsidR="00EC57DC">
              <w:rPr>
                <w:noProof/>
                <w:webHidden/>
              </w:rPr>
              <w:instrText xml:space="preserve"> PAGEREF _Toc370734751 \h </w:instrText>
            </w:r>
            <w:r>
              <w:rPr>
                <w:noProof/>
                <w:webHidden/>
              </w:rPr>
            </w:r>
            <w:r>
              <w:rPr>
                <w:noProof/>
                <w:webHidden/>
              </w:rPr>
              <w:fldChar w:fldCharType="separate"/>
            </w:r>
            <w:r w:rsidR="00EC57DC">
              <w:rPr>
                <w:noProof/>
                <w:webHidden/>
              </w:rPr>
              <w:t>39</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52" w:history="1">
            <w:r w:rsidR="00EC57DC" w:rsidRPr="0006558A">
              <w:rPr>
                <w:rStyle w:val="Hyperlink"/>
                <w:noProof/>
              </w:rPr>
              <w:t>10.</w:t>
            </w:r>
            <w:r w:rsidR="00EC57DC">
              <w:rPr>
                <w:rFonts w:asciiTheme="minorHAnsi" w:eastAsiaTheme="minorEastAsia" w:hAnsiTheme="minorHAnsi" w:cstheme="minorBidi"/>
                <w:b w:val="0"/>
                <w:noProof/>
                <w:sz w:val="22"/>
                <w:lang w:eastAsia="en-AU"/>
              </w:rPr>
              <w:tab/>
            </w:r>
            <w:r w:rsidR="00EC57DC" w:rsidRPr="0006558A">
              <w:rPr>
                <w:rStyle w:val="Hyperlink"/>
                <w:noProof/>
              </w:rPr>
              <w:t>Second round benefit-risk assessment</w:t>
            </w:r>
            <w:r w:rsidR="00EC57DC">
              <w:rPr>
                <w:noProof/>
                <w:webHidden/>
              </w:rPr>
              <w:tab/>
            </w:r>
            <w:r>
              <w:rPr>
                <w:noProof/>
                <w:webHidden/>
              </w:rPr>
              <w:fldChar w:fldCharType="begin"/>
            </w:r>
            <w:r w:rsidR="00EC57DC">
              <w:rPr>
                <w:noProof/>
                <w:webHidden/>
              </w:rPr>
              <w:instrText xml:space="preserve"> PAGEREF _Toc370734752 \h </w:instrText>
            </w:r>
            <w:r>
              <w:rPr>
                <w:noProof/>
                <w:webHidden/>
              </w:rPr>
            </w:r>
            <w:r>
              <w:rPr>
                <w:noProof/>
                <w:webHidden/>
              </w:rPr>
              <w:fldChar w:fldCharType="separate"/>
            </w:r>
            <w:r w:rsidR="00EC57DC">
              <w:rPr>
                <w:noProof/>
                <w:webHidden/>
              </w:rPr>
              <w:t>43</w:t>
            </w:r>
            <w:r>
              <w:rPr>
                <w:noProof/>
                <w:webHidden/>
              </w:rPr>
              <w:fldChar w:fldCharType="end"/>
            </w:r>
          </w:hyperlink>
        </w:p>
        <w:p w:rsidR="00EC57DC" w:rsidRDefault="00694E00">
          <w:pPr>
            <w:pStyle w:val="TOC3"/>
            <w:tabs>
              <w:tab w:val="left" w:pos="1697"/>
            </w:tabs>
            <w:rPr>
              <w:rFonts w:asciiTheme="minorHAnsi" w:eastAsiaTheme="minorEastAsia" w:hAnsiTheme="minorHAnsi" w:cstheme="minorBidi"/>
              <w:noProof/>
              <w:lang w:eastAsia="en-AU"/>
            </w:rPr>
          </w:pPr>
          <w:hyperlink w:anchor="_Toc370734753" w:history="1">
            <w:r w:rsidR="00EC57DC" w:rsidRPr="0006558A">
              <w:rPr>
                <w:rStyle w:val="Hyperlink"/>
                <w:noProof/>
              </w:rPr>
              <w:t>10.1.</w:t>
            </w:r>
            <w:r w:rsidR="00EC57DC">
              <w:rPr>
                <w:rFonts w:asciiTheme="minorHAnsi" w:eastAsiaTheme="minorEastAsia" w:hAnsiTheme="minorHAnsi" w:cstheme="minorBidi"/>
                <w:noProof/>
                <w:lang w:eastAsia="en-AU"/>
              </w:rPr>
              <w:tab/>
            </w:r>
            <w:r w:rsidR="00EC57DC" w:rsidRPr="0006558A">
              <w:rPr>
                <w:rStyle w:val="Hyperlink"/>
                <w:noProof/>
              </w:rPr>
              <w:t>Second round assessment of benefits</w:t>
            </w:r>
            <w:r w:rsidR="00EC57DC">
              <w:rPr>
                <w:noProof/>
                <w:webHidden/>
              </w:rPr>
              <w:tab/>
            </w:r>
            <w:r>
              <w:rPr>
                <w:noProof/>
                <w:webHidden/>
              </w:rPr>
              <w:fldChar w:fldCharType="begin"/>
            </w:r>
            <w:r w:rsidR="00EC57DC">
              <w:rPr>
                <w:noProof/>
                <w:webHidden/>
              </w:rPr>
              <w:instrText xml:space="preserve"> PAGEREF _Toc370734753 \h </w:instrText>
            </w:r>
            <w:r>
              <w:rPr>
                <w:noProof/>
                <w:webHidden/>
              </w:rPr>
            </w:r>
            <w:r>
              <w:rPr>
                <w:noProof/>
                <w:webHidden/>
              </w:rPr>
              <w:fldChar w:fldCharType="separate"/>
            </w:r>
            <w:r w:rsidR="00EC57DC">
              <w:rPr>
                <w:noProof/>
                <w:webHidden/>
              </w:rPr>
              <w:t>43</w:t>
            </w:r>
            <w:r>
              <w:rPr>
                <w:noProof/>
                <w:webHidden/>
              </w:rPr>
              <w:fldChar w:fldCharType="end"/>
            </w:r>
          </w:hyperlink>
        </w:p>
        <w:p w:rsidR="00EC57DC" w:rsidRDefault="00694E00">
          <w:pPr>
            <w:pStyle w:val="TOC3"/>
            <w:tabs>
              <w:tab w:val="left" w:pos="1697"/>
            </w:tabs>
            <w:rPr>
              <w:rFonts w:asciiTheme="minorHAnsi" w:eastAsiaTheme="minorEastAsia" w:hAnsiTheme="minorHAnsi" w:cstheme="minorBidi"/>
              <w:noProof/>
              <w:lang w:eastAsia="en-AU"/>
            </w:rPr>
          </w:pPr>
          <w:hyperlink w:anchor="_Toc370734754" w:history="1">
            <w:r w:rsidR="00EC57DC" w:rsidRPr="0006558A">
              <w:rPr>
                <w:rStyle w:val="Hyperlink"/>
                <w:noProof/>
              </w:rPr>
              <w:t>10.2.</w:t>
            </w:r>
            <w:r w:rsidR="00EC57DC">
              <w:rPr>
                <w:rFonts w:asciiTheme="minorHAnsi" w:eastAsiaTheme="minorEastAsia" w:hAnsiTheme="minorHAnsi" w:cstheme="minorBidi"/>
                <w:noProof/>
                <w:lang w:eastAsia="en-AU"/>
              </w:rPr>
              <w:tab/>
            </w:r>
            <w:r w:rsidR="00EC57DC" w:rsidRPr="0006558A">
              <w:rPr>
                <w:rStyle w:val="Hyperlink"/>
                <w:noProof/>
              </w:rPr>
              <w:t>Second round assessment of risks</w:t>
            </w:r>
            <w:r w:rsidR="00EC57DC">
              <w:rPr>
                <w:noProof/>
                <w:webHidden/>
              </w:rPr>
              <w:tab/>
            </w:r>
            <w:r>
              <w:rPr>
                <w:noProof/>
                <w:webHidden/>
              </w:rPr>
              <w:fldChar w:fldCharType="begin"/>
            </w:r>
            <w:r w:rsidR="00EC57DC">
              <w:rPr>
                <w:noProof/>
                <w:webHidden/>
              </w:rPr>
              <w:instrText xml:space="preserve"> PAGEREF _Toc370734754 \h </w:instrText>
            </w:r>
            <w:r>
              <w:rPr>
                <w:noProof/>
                <w:webHidden/>
              </w:rPr>
            </w:r>
            <w:r>
              <w:rPr>
                <w:noProof/>
                <w:webHidden/>
              </w:rPr>
              <w:fldChar w:fldCharType="separate"/>
            </w:r>
            <w:r w:rsidR="00EC57DC">
              <w:rPr>
                <w:noProof/>
                <w:webHidden/>
              </w:rPr>
              <w:t>43</w:t>
            </w:r>
            <w:r>
              <w:rPr>
                <w:noProof/>
                <w:webHidden/>
              </w:rPr>
              <w:fldChar w:fldCharType="end"/>
            </w:r>
          </w:hyperlink>
        </w:p>
        <w:p w:rsidR="00EC57DC" w:rsidRDefault="00694E00">
          <w:pPr>
            <w:pStyle w:val="TOC3"/>
            <w:tabs>
              <w:tab w:val="left" w:pos="1697"/>
            </w:tabs>
            <w:rPr>
              <w:rFonts w:asciiTheme="minorHAnsi" w:eastAsiaTheme="minorEastAsia" w:hAnsiTheme="minorHAnsi" w:cstheme="minorBidi"/>
              <w:noProof/>
              <w:lang w:eastAsia="en-AU"/>
            </w:rPr>
          </w:pPr>
          <w:hyperlink w:anchor="_Toc370734755" w:history="1">
            <w:r w:rsidR="00EC57DC" w:rsidRPr="0006558A">
              <w:rPr>
                <w:rStyle w:val="Hyperlink"/>
                <w:noProof/>
              </w:rPr>
              <w:t>10.3.</w:t>
            </w:r>
            <w:r w:rsidR="00EC57DC">
              <w:rPr>
                <w:rFonts w:asciiTheme="minorHAnsi" w:eastAsiaTheme="minorEastAsia" w:hAnsiTheme="minorHAnsi" w:cstheme="minorBidi"/>
                <w:noProof/>
                <w:lang w:eastAsia="en-AU"/>
              </w:rPr>
              <w:tab/>
            </w:r>
            <w:r w:rsidR="00EC57DC" w:rsidRPr="0006558A">
              <w:rPr>
                <w:rStyle w:val="Hyperlink"/>
                <w:noProof/>
              </w:rPr>
              <w:t>Second round assessment of benefit-risk balance</w:t>
            </w:r>
            <w:r w:rsidR="00EC57DC">
              <w:rPr>
                <w:noProof/>
                <w:webHidden/>
              </w:rPr>
              <w:tab/>
            </w:r>
            <w:r>
              <w:rPr>
                <w:noProof/>
                <w:webHidden/>
              </w:rPr>
              <w:fldChar w:fldCharType="begin"/>
            </w:r>
            <w:r w:rsidR="00EC57DC">
              <w:rPr>
                <w:noProof/>
                <w:webHidden/>
              </w:rPr>
              <w:instrText xml:space="preserve"> PAGEREF _Toc370734755 \h </w:instrText>
            </w:r>
            <w:r>
              <w:rPr>
                <w:noProof/>
                <w:webHidden/>
              </w:rPr>
            </w:r>
            <w:r>
              <w:rPr>
                <w:noProof/>
                <w:webHidden/>
              </w:rPr>
              <w:fldChar w:fldCharType="separate"/>
            </w:r>
            <w:r w:rsidR="00EC57DC">
              <w:rPr>
                <w:noProof/>
                <w:webHidden/>
              </w:rPr>
              <w:t>43</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56" w:history="1">
            <w:r w:rsidR="00EC57DC" w:rsidRPr="0006558A">
              <w:rPr>
                <w:rStyle w:val="Hyperlink"/>
                <w:noProof/>
              </w:rPr>
              <w:t>11.</w:t>
            </w:r>
            <w:r w:rsidR="00EC57DC">
              <w:rPr>
                <w:rFonts w:asciiTheme="minorHAnsi" w:eastAsiaTheme="minorEastAsia" w:hAnsiTheme="minorHAnsi" w:cstheme="minorBidi"/>
                <w:b w:val="0"/>
                <w:noProof/>
                <w:sz w:val="22"/>
                <w:lang w:eastAsia="en-AU"/>
              </w:rPr>
              <w:tab/>
            </w:r>
            <w:r w:rsidR="00EC57DC" w:rsidRPr="0006558A">
              <w:rPr>
                <w:rStyle w:val="Hyperlink"/>
                <w:noProof/>
              </w:rPr>
              <w:t>Second round clinical summary and conclusion</w:t>
            </w:r>
            <w:r w:rsidR="00EC57DC">
              <w:rPr>
                <w:noProof/>
                <w:webHidden/>
              </w:rPr>
              <w:tab/>
            </w:r>
            <w:r>
              <w:rPr>
                <w:noProof/>
                <w:webHidden/>
              </w:rPr>
              <w:fldChar w:fldCharType="begin"/>
            </w:r>
            <w:r w:rsidR="00EC57DC">
              <w:rPr>
                <w:noProof/>
                <w:webHidden/>
              </w:rPr>
              <w:instrText xml:space="preserve"> PAGEREF _Toc370734756 \h </w:instrText>
            </w:r>
            <w:r>
              <w:rPr>
                <w:noProof/>
                <w:webHidden/>
              </w:rPr>
            </w:r>
            <w:r>
              <w:rPr>
                <w:noProof/>
                <w:webHidden/>
              </w:rPr>
              <w:fldChar w:fldCharType="separate"/>
            </w:r>
            <w:r w:rsidR="00EC57DC">
              <w:rPr>
                <w:noProof/>
                <w:webHidden/>
              </w:rPr>
              <w:t>43</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57" w:history="1">
            <w:r w:rsidR="00EC57DC" w:rsidRPr="0006558A">
              <w:rPr>
                <w:rStyle w:val="Hyperlink"/>
                <w:noProof/>
              </w:rPr>
              <w:t>12.</w:t>
            </w:r>
            <w:r w:rsidR="00EC57DC">
              <w:rPr>
                <w:rFonts w:asciiTheme="minorHAnsi" w:eastAsiaTheme="minorEastAsia" w:hAnsiTheme="minorHAnsi" w:cstheme="minorBidi"/>
                <w:b w:val="0"/>
                <w:noProof/>
                <w:sz w:val="22"/>
                <w:lang w:eastAsia="en-AU"/>
              </w:rPr>
              <w:tab/>
            </w:r>
            <w:r w:rsidR="00EC57DC" w:rsidRPr="0006558A">
              <w:rPr>
                <w:rStyle w:val="Hyperlink"/>
                <w:noProof/>
              </w:rPr>
              <w:t>Second round recommendation regarding authorisation</w:t>
            </w:r>
            <w:r w:rsidR="00EC57DC">
              <w:rPr>
                <w:noProof/>
                <w:webHidden/>
              </w:rPr>
              <w:tab/>
            </w:r>
            <w:r>
              <w:rPr>
                <w:noProof/>
                <w:webHidden/>
              </w:rPr>
              <w:fldChar w:fldCharType="begin"/>
            </w:r>
            <w:r w:rsidR="00EC57DC">
              <w:rPr>
                <w:noProof/>
                <w:webHidden/>
              </w:rPr>
              <w:instrText xml:space="preserve"> PAGEREF _Toc370734757 \h </w:instrText>
            </w:r>
            <w:r>
              <w:rPr>
                <w:noProof/>
                <w:webHidden/>
              </w:rPr>
            </w:r>
            <w:r>
              <w:rPr>
                <w:noProof/>
                <w:webHidden/>
              </w:rPr>
              <w:fldChar w:fldCharType="separate"/>
            </w:r>
            <w:r w:rsidR="00EC57DC">
              <w:rPr>
                <w:noProof/>
                <w:webHidden/>
              </w:rPr>
              <w:t>44</w:t>
            </w:r>
            <w:r>
              <w:rPr>
                <w:noProof/>
                <w:webHidden/>
              </w:rPr>
              <w:fldChar w:fldCharType="end"/>
            </w:r>
          </w:hyperlink>
        </w:p>
        <w:p w:rsidR="00EC57DC" w:rsidRDefault="00694E00">
          <w:pPr>
            <w:pStyle w:val="TOC2"/>
            <w:tabs>
              <w:tab w:val="left" w:pos="1247"/>
            </w:tabs>
            <w:rPr>
              <w:rFonts w:asciiTheme="minorHAnsi" w:eastAsiaTheme="minorEastAsia" w:hAnsiTheme="minorHAnsi" w:cstheme="minorBidi"/>
              <w:b w:val="0"/>
              <w:noProof/>
              <w:sz w:val="22"/>
              <w:lang w:eastAsia="en-AU"/>
            </w:rPr>
          </w:pPr>
          <w:hyperlink w:anchor="_Toc370734758" w:history="1">
            <w:r w:rsidR="00EC57DC" w:rsidRPr="0006558A">
              <w:rPr>
                <w:rStyle w:val="Hyperlink"/>
                <w:noProof/>
              </w:rPr>
              <w:t>13.</w:t>
            </w:r>
            <w:r w:rsidR="00EC57DC">
              <w:rPr>
                <w:rFonts w:asciiTheme="minorHAnsi" w:eastAsiaTheme="minorEastAsia" w:hAnsiTheme="minorHAnsi" w:cstheme="minorBidi"/>
                <w:b w:val="0"/>
                <w:noProof/>
                <w:sz w:val="22"/>
                <w:lang w:eastAsia="en-AU"/>
              </w:rPr>
              <w:tab/>
            </w:r>
            <w:r w:rsidR="00EC57DC" w:rsidRPr="0006558A">
              <w:rPr>
                <w:rStyle w:val="Hyperlink"/>
                <w:noProof/>
              </w:rPr>
              <w:t>References</w:t>
            </w:r>
            <w:r w:rsidR="00EC57DC">
              <w:rPr>
                <w:noProof/>
                <w:webHidden/>
              </w:rPr>
              <w:tab/>
            </w:r>
            <w:r>
              <w:rPr>
                <w:noProof/>
                <w:webHidden/>
              </w:rPr>
              <w:fldChar w:fldCharType="begin"/>
            </w:r>
            <w:r w:rsidR="00EC57DC">
              <w:rPr>
                <w:noProof/>
                <w:webHidden/>
              </w:rPr>
              <w:instrText xml:space="preserve"> PAGEREF _Toc370734758 \h </w:instrText>
            </w:r>
            <w:r>
              <w:rPr>
                <w:noProof/>
                <w:webHidden/>
              </w:rPr>
            </w:r>
            <w:r>
              <w:rPr>
                <w:noProof/>
                <w:webHidden/>
              </w:rPr>
              <w:fldChar w:fldCharType="separate"/>
            </w:r>
            <w:r w:rsidR="00EC57DC">
              <w:rPr>
                <w:noProof/>
                <w:webHidden/>
              </w:rPr>
              <w:t>45</w:t>
            </w:r>
            <w:r>
              <w:rPr>
                <w:noProof/>
                <w:webHidden/>
              </w:rPr>
              <w:fldChar w:fldCharType="end"/>
            </w:r>
          </w:hyperlink>
        </w:p>
        <w:p w:rsidR="003A7F6C" w:rsidRPr="00B811C6" w:rsidRDefault="00694E00" w:rsidP="00B811C6">
          <w:pPr>
            <w:pStyle w:val="TOC2"/>
          </w:pPr>
          <w:r>
            <w:fldChar w:fldCharType="end"/>
          </w:r>
        </w:p>
      </w:sdtContent>
    </w:sdt>
    <w:bookmarkStart w:id="3" w:name="_Toc314842482" w:displacedByCustomXml="prev"/>
    <w:p w:rsidR="00586F98" w:rsidRDefault="00586F98" w:rsidP="0043797D">
      <w:pPr>
        <w:pStyle w:val="Heading2"/>
        <w:pageBreakBefore/>
        <w:rPr>
          <w:lang w:eastAsia="en-AU"/>
        </w:rPr>
      </w:pPr>
      <w:bookmarkStart w:id="4" w:name="_Toc370734721"/>
      <w:bookmarkStart w:id="5" w:name="_Toc351718900"/>
      <w:bookmarkStart w:id="6" w:name="_Toc355338635"/>
      <w:r>
        <w:rPr>
          <w:lang w:eastAsia="en-AU"/>
        </w:rPr>
        <w:lastRenderedPageBreak/>
        <w:t>Clinical rationale</w:t>
      </w:r>
      <w:bookmarkEnd w:id="4"/>
    </w:p>
    <w:p w:rsidR="00C528D5" w:rsidRPr="00C528D5" w:rsidRDefault="00C528D5" w:rsidP="00C528D5">
      <w:r w:rsidRPr="00C528D5">
        <w:rPr>
          <w:i/>
        </w:rPr>
        <w:t>Clostridium difficile</w:t>
      </w:r>
      <w:r w:rsidRPr="00C528D5">
        <w:t xml:space="preserve"> is a gram-positive, spore-forming, obligate anaerobic bacterium. It is the leading cause of nosocomial diarrhoea in patients undergoing antibiotic treatment</w:t>
      </w:r>
      <w:bookmarkStart w:id="7" w:name="d6325e195"/>
      <w:bookmarkStart w:id="8" w:name="d6325e197"/>
      <w:bookmarkEnd w:id="7"/>
      <w:bookmarkEnd w:id="8"/>
      <w:r w:rsidRPr="00C528D5">
        <w:t xml:space="preserve"> and sometimes chemotherapy. The </w:t>
      </w:r>
      <w:r w:rsidRPr="00C528D5">
        <w:rPr>
          <w:i/>
        </w:rPr>
        <w:t>Clostridium difficile</w:t>
      </w:r>
      <w:r w:rsidRPr="00C528D5">
        <w:t>-Associated Disease (CDAD) is the result colonisation and production of enterotoxins A and B by this organism in large intestine. The severity of disease can range from mild diarrhoea to fulminant pseudomembranous colitis with complication like toxic megacolon and intestinal perforatio</w:t>
      </w:r>
      <w:bookmarkStart w:id="9" w:name="d6325e204"/>
      <w:bookmarkStart w:id="10" w:name="d6325e206"/>
      <w:bookmarkStart w:id="11" w:name="d6325e208"/>
      <w:bookmarkStart w:id="12" w:name="d6325e210"/>
      <w:bookmarkEnd w:id="9"/>
      <w:bookmarkEnd w:id="10"/>
      <w:bookmarkEnd w:id="11"/>
      <w:bookmarkEnd w:id="12"/>
      <w:r w:rsidRPr="00C528D5">
        <w:t>n. The reported mortality rates range from 6 to 30%. Community acquired CDAD is also recognised, which case may not be associated with known antibiotic use.</w:t>
      </w:r>
    </w:p>
    <w:p w:rsidR="00C528D5" w:rsidRPr="00C528D5" w:rsidRDefault="00C528D5" w:rsidP="00C528D5">
      <w:proofErr w:type="gramStart"/>
      <w:r w:rsidRPr="00C528D5">
        <w:t xml:space="preserve">The term </w:t>
      </w:r>
      <w:r w:rsidRPr="00C528D5">
        <w:rPr>
          <w:i/>
        </w:rPr>
        <w:t>Clostridium difficile</w:t>
      </w:r>
      <w:r w:rsidRPr="00C528D5">
        <w:t xml:space="preserve"> Infection (CDI) is used interchangeably</w:t>
      </w:r>
      <w:r w:rsidR="00A60293">
        <w:t xml:space="preserve"> </w:t>
      </w:r>
      <w:r w:rsidRPr="00C528D5">
        <w:t>with CDAD.</w:t>
      </w:r>
      <w:proofErr w:type="gramEnd"/>
      <w:r w:rsidRPr="00C528D5">
        <w:t xml:space="preserve"> However, CDAD is preferred in this report as it is unambiguous with respect to intestinal colonisation and disease.</w:t>
      </w:r>
    </w:p>
    <w:p w:rsidR="00C528D5" w:rsidRPr="00C528D5" w:rsidRDefault="00C528D5" w:rsidP="00C528D5">
      <w:r w:rsidRPr="00C528D5">
        <w:t>In North America and the European Union, outbreaks of CDAD associated with the emergence of a hypervirulent strain have occurred. The strain is variously known as Toxinotype III, North American Pulsed-field type 1 (NAP1), Restriction Endonuclease Analysis (REA) type BI or Polymerase Chain Reaction ribotype 027 (NAP1/BI/027). This strain has been shown,</w:t>
      </w:r>
      <w:r w:rsidRPr="003B4B6A">
        <w:rPr>
          <w:i/>
        </w:rPr>
        <w:t xml:space="preserve"> in vitro</w:t>
      </w:r>
      <w:r w:rsidRPr="00C528D5">
        <w:t>, to produce 16 to 23 times more toxins A and B than other strains. It also produces a binary toxin.</w:t>
      </w:r>
    </w:p>
    <w:p w:rsidR="00C528D5" w:rsidRPr="00C528D5" w:rsidRDefault="00C528D5" w:rsidP="00C528D5">
      <w:r w:rsidRPr="00C528D5">
        <w:t>The current treatment options in management of CDAD include discontinuation of the offending medication, supportive measures and antimicrobials. The two most commonly used antibiotics to treat CDAD are oral vancomycin and metronidazole. Both are associated with a high rate of clinical recurrence. Oral vancomycin is the only antibiotic approved for use in the treatment of CDAD in Australia and acts locally unlike metronidazole which is absorbed well acts systemically after oral administration.</w:t>
      </w:r>
    </w:p>
    <w:p w:rsidR="00C528D5" w:rsidRPr="00C528D5" w:rsidRDefault="00C528D5" w:rsidP="00C528D5">
      <w:r w:rsidRPr="00C528D5">
        <w:t xml:space="preserve">The rationale put forward for investigation of fidaxomicin for use in CDAD include the need for a narrow spectrum bactericidal agent against </w:t>
      </w:r>
      <w:r w:rsidRPr="00C528D5">
        <w:rPr>
          <w:i/>
        </w:rPr>
        <w:t>Clostridium difficile</w:t>
      </w:r>
      <w:r w:rsidRPr="00C528D5">
        <w:t xml:space="preserve"> with low potential for development of resistance or cross resistance and minimal systemic absorption.</w:t>
      </w:r>
    </w:p>
    <w:p w:rsidR="00C528D5" w:rsidRPr="00FF58B2" w:rsidRDefault="00C528D5" w:rsidP="00FF58B2">
      <w:pPr>
        <w:pStyle w:val="Heading3"/>
        <w:numPr>
          <w:ilvl w:val="0"/>
          <w:numId w:val="0"/>
        </w:numPr>
        <w:ind w:left="1135" w:hanging="1022"/>
        <w:rPr>
          <w:rFonts w:asciiTheme="minorHAnsi" w:hAnsiTheme="minorHAnsi"/>
        </w:rPr>
      </w:pPr>
      <w:bookmarkStart w:id="13" w:name="_Toc272414609"/>
      <w:bookmarkStart w:id="14" w:name="_Toc290846231"/>
      <w:bookmarkStart w:id="15" w:name="_Toc338860700"/>
      <w:bookmarkStart w:id="16" w:name="_Toc370734722"/>
      <w:r w:rsidRPr="00FF58B2">
        <w:rPr>
          <w:rFonts w:asciiTheme="minorHAnsi" w:hAnsiTheme="minorHAnsi"/>
        </w:rPr>
        <w:t>Guidance</w:t>
      </w:r>
      <w:bookmarkEnd w:id="13"/>
      <w:bookmarkEnd w:id="14"/>
      <w:bookmarkEnd w:id="15"/>
      <w:bookmarkEnd w:id="16"/>
    </w:p>
    <w:p w:rsidR="00C528D5" w:rsidRPr="003B4B6A" w:rsidRDefault="00C528D5" w:rsidP="003B4B6A">
      <w:r w:rsidRPr="003B4B6A">
        <w:t xml:space="preserve">The TGA adopted guidelines include ‘Points to consider on Pharmacokinetics and Pharmacodynamics in the development of antibacterial medicinal products’ accessible from </w:t>
      </w:r>
      <w:r w:rsidR="00FF58B2">
        <w:t>&lt;</w:t>
      </w:r>
      <w:hyperlink r:id="rId14" w:history="1">
        <w:r w:rsidRPr="003B4B6A">
          <w:rPr>
            <w:rStyle w:val="Hyperlink"/>
          </w:rPr>
          <w:t>http://www.tga.gov.au/pdf/euguide/ewp265599en.pdf</w:t>
        </w:r>
      </w:hyperlink>
      <w:r w:rsidR="00FF58B2">
        <w:t>&gt;</w:t>
      </w:r>
      <w:r w:rsidRPr="003B4B6A">
        <w:t>.</w:t>
      </w:r>
    </w:p>
    <w:p w:rsidR="00586F98" w:rsidRDefault="00586F98" w:rsidP="003B4B6A">
      <w:pPr>
        <w:pStyle w:val="Heading2"/>
        <w:rPr>
          <w:lang w:eastAsia="en-AU"/>
        </w:rPr>
      </w:pPr>
      <w:bookmarkStart w:id="17" w:name="_Toc370734723"/>
      <w:r>
        <w:rPr>
          <w:lang w:eastAsia="en-AU"/>
        </w:rPr>
        <w:t>Contents of the clinical dossier</w:t>
      </w:r>
      <w:bookmarkEnd w:id="5"/>
      <w:bookmarkEnd w:id="6"/>
      <w:bookmarkEnd w:id="17"/>
    </w:p>
    <w:p w:rsidR="00586F98" w:rsidRDefault="00586F98" w:rsidP="003B4B6A">
      <w:pPr>
        <w:pStyle w:val="Heading3"/>
      </w:pPr>
      <w:bookmarkStart w:id="18" w:name="_Toc370734724"/>
      <w:r>
        <w:t>Scope of the clinical dossier</w:t>
      </w:r>
      <w:bookmarkEnd w:id="18"/>
    </w:p>
    <w:p w:rsidR="00C528D5" w:rsidRDefault="00C528D5" w:rsidP="003B4B6A">
      <w:r>
        <w:t>The clinical studies supporting this application comprise 1 food study, 1 single dose pharmacokinetics (PK) study and 1 multiple dose PK study. There are 3 drug-drug PK interaction studies. All PK studies were in healthy adult volunteers.</w:t>
      </w:r>
    </w:p>
    <w:p w:rsidR="00C528D5" w:rsidRDefault="00C528D5" w:rsidP="003B4B6A">
      <w:r>
        <w:t>There is one Phase II dose selection study and two Phase III pivotal clinical trials. These three studies were carried out in adult patients with CDAD.</w:t>
      </w:r>
    </w:p>
    <w:p w:rsidR="00C528D5" w:rsidRPr="00366971" w:rsidRDefault="00C528D5" w:rsidP="003B4B6A">
      <w:r>
        <w:t>A study to ascertain absolute bioavailability of fidaxomicin has not been performed. A justification for included in the dossier. The factors supporting this course of action included local (non-systemic) mode of action, localised pathology for which usage is being sought,</w:t>
      </w:r>
      <w:r w:rsidR="003B4B6A">
        <w:t xml:space="preserve"> well-characteris</w:t>
      </w:r>
      <w:r>
        <w:t>ed and simple metabolic fate.</w:t>
      </w:r>
    </w:p>
    <w:p w:rsidR="00586F98" w:rsidRDefault="00586F98" w:rsidP="00586F98">
      <w:pPr>
        <w:pStyle w:val="Heading3"/>
      </w:pPr>
      <w:bookmarkStart w:id="19" w:name="_Toc370734725"/>
      <w:r>
        <w:lastRenderedPageBreak/>
        <w:t>Paediatric data</w:t>
      </w:r>
      <w:bookmarkEnd w:id="19"/>
    </w:p>
    <w:p w:rsidR="00C528D5" w:rsidRPr="009C5EC3" w:rsidRDefault="00C528D5" w:rsidP="003B4B6A">
      <w:r>
        <w:t>This submission does not contain paediatric data.</w:t>
      </w:r>
    </w:p>
    <w:p w:rsidR="00586F98" w:rsidRDefault="00586F98" w:rsidP="00586F98">
      <w:pPr>
        <w:pStyle w:val="Heading3"/>
      </w:pPr>
      <w:bookmarkStart w:id="20" w:name="_Toc370734726"/>
      <w:r>
        <w:t>Good clinical practice</w:t>
      </w:r>
      <w:r w:rsidR="003B4B6A">
        <w:t xml:space="preserve"> (GCP)</w:t>
      </w:r>
      <w:bookmarkEnd w:id="20"/>
    </w:p>
    <w:p w:rsidR="00C528D5" w:rsidRPr="009C5EC3" w:rsidRDefault="00C528D5" w:rsidP="003B4B6A">
      <w:bookmarkStart w:id="21" w:name="_Toc241374282"/>
      <w:bookmarkStart w:id="22" w:name="_Toc355338639"/>
      <w:r>
        <w:t>The clinical studies included in this submission are stated to have complied with the GCP and the applicable ethical standards of human research.</w:t>
      </w:r>
    </w:p>
    <w:p w:rsidR="00586F98" w:rsidRDefault="00586F98" w:rsidP="00586F98">
      <w:pPr>
        <w:pStyle w:val="Heading2"/>
      </w:pPr>
      <w:bookmarkStart w:id="23" w:name="_Toc370734727"/>
      <w:bookmarkEnd w:id="21"/>
      <w:r>
        <w:t>Pharmacokinetics</w:t>
      </w:r>
      <w:bookmarkEnd w:id="22"/>
      <w:bookmarkEnd w:id="23"/>
      <w:r>
        <w:t xml:space="preserve"> </w:t>
      </w:r>
    </w:p>
    <w:p w:rsidR="00C528D5" w:rsidRPr="006B59F3" w:rsidRDefault="00C528D5" w:rsidP="003B4B6A">
      <w:pPr>
        <w:pStyle w:val="Heading3"/>
      </w:pPr>
      <w:bookmarkStart w:id="24" w:name="_Ref271189106"/>
      <w:bookmarkStart w:id="25" w:name="_Ref271189143"/>
      <w:bookmarkStart w:id="26" w:name="_Toc272414618"/>
      <w:bookmarkStart w:id="27" w:name="_Toc290846241"/>
      <w:bookmarkStart w:id="28" w:name="_Toc338860707"/>
      <w:bookmarkStart w:id="29" w:name="_Toc370734728"/>
      <w:r w:rsidRPr="006B59F3">
        <w:t>Pharmacokinetics in healthy subjects</w:t>
      </w:r>
      <w:bookmarkEnd w:id="24"/>
      <w:bookmarkEnd w:id="25"/>
      <w:bookmarkEnd w:id="26"/>
      <w:bookmarkEnd w:id="27"/>
      <w:r>
        <w:t xml:space="preserve"> </w:t>
      </w:r>
      <w:r w:rsidR="003B4B6A">
        <w:t>and</w:t>
      </w:r>
      <w:r>
        <w:t xml:space="preserve"> food effect</w:t>
      </w:r>
      <w:bookmarkEnd w:id="28"/>
      <w:bookmarkEnd w:id="29"/>
    </w:p>
    <w:p w:rsidR="00C528D5" w:rsidRPr="006B59F3" w:rsidRDefault="00C528D5" w:rsidP="003B4B6A">
      <w:pPr>
        <w:pStyle w:val="Heading4"/>
      </w:pPr>
      <w:r>
        <w:t xml:space="preserve">Study </w:t>
      </w:r>
      <w:r w:rsidRPr="006B59F3">
        <w:t>OPT-80-005</w:t>
      </w:r>
    </w:p>
    <w:p w:rsidR="00C528D5" w:rsidRDefault="00C528D5" w:rsidP="003B4B6A">
      <w:r>
        <w:t>This was a study of investigation of relative bioavailability of oral fidaxomicin when taken with food compared to administration in fasted state.</w:t>
      </w:r>
    </w:p>
    <w:p w:rsidR="00C528D5" w:rsidRDefault="00C528D5" w:rsidP="003B4B6A">
      <w:r>
        <w:t>The food study was preceded by a lead-in group of 6 healthy adult volunteers for assessment of single dose pharmacokinetics of fidaxomicin (Group 1), followed by randomised, open-label, 2 treatment periods, crossover study for the assessment of food effect on systemic bioavailability of fidaxomicin in h</w:t>
      </w:r>
      <w:r w:rsidRPr="0028648F">
        <w:t>ealthy</w:t>
      </w:r>
      <w:r>
        <w:t xml:space="preserve"> adult volunteers (Group 2).</w:t>
      </w:r>
    </w:p>
    <w:p w:rsidR="00C528D5" w:rsidRDefault="00C528D5" w:rsidP="003B4B6A">
      <w:r>
        <w:t>The primary objective was to ascertain whether</w:t>
      </w:r>
      <w:r w:rsidRPr="0028648F">
        <w:t xml:space="preserve"> </w:t>
      </w:r>
      <w:r>
        <w:t xml:space="preserve">systemic </w:t>
      </w:r>
      <w:r w:rsidRPr="0028648F">
        <w:t>bioavailability of</w:t>
      </w:r>
      <w:r>
        <w:t xml:space="preserve"> fidaxomicin was influenced by its oral administration </w:t>
      </w:r>
      <w:r w:rsidRPr="0028648F">
        <w:t>wi</w:t>
      </w:r>
      <w:r>
        <w:t>th or without food in healthy adult volunteers. The pharmacokinetic parameters of fidaxomicin</w:t>
      </w:r>
      <w:r w:rsidRPr="0028648F">
        <w:t xml:space="preserve"> </w:t>
      </w:r>
      <w:r>
        <w:t xml:space="preserve">(OPT-80) </w:t>
      </w:r>
      <w:r w:rsidRPr="0028648F">
        <w:t>and its</w:t>
      </w:r>
      <w:r>
        <w:t xml:space="preserve"> major metabolite (OP-1118) were both assessed in plasma. </w:t>
      </w:r>
      <w:r w:rsidRPr="0028648F">
        <w:t>A s</w:t>
      </w:r>
      <w:r>
        <w:t>econdary objective was to analyse levels of fidaxomicin and OP-1118 in urine</w:t>
      </w:r>
      <w:r w:rsidRPr="0028648F">
        <w:t xml:space="preserve"> and f</w:t>
      </w:r>
      <w:r>
        <w:t>a</w:t>
      </w:r>
      <w:r w:rsidRPr="0028648F">
        <w:t>eces.</w:t>
      </w:r>
    </w:p>
    <w:p w:rsidR="00C528D5" w:rsidRDefault="00C528D5" w:rsidP="003B4B6A">
      <w:pPr>
        <w:pStyle w:val="Heading5"/>
        <w:numPr>
          <w:ilvl w:val="0"/>
          <w:numId w:val="0"/>
        </w:numPr>
      </w:pPr>
      <w:r w:rsidRPr="0028648F">
        <w:t>Group 1</w:t>
      </w:r>
    </w:p>
    <w:p w:rsidR="00C528D5" w:rsidRDefault="00C528D5" w:rsidP="003B4B6A">
      <w:r>
        <w:t>This was a lead-in group in which a single 200</w:t>
      </w:r>
      <w:r w:rsidR="003B4B6A">
        <w:t xml:space="preserve"> </w:t>
      </w:r>
      <w:r>
        <w:t>mg oral dose of fidaxomicin</w:t>
      </w:r>
      <w:r w:rsidRPr="0028648F">
        <w:t xml:space="preserve"> was </w:t>
      </w:r>
      <w:r>
        <w:t xml:space="preserve">initially </w:t>
      </w:r>
      <w:r w:rsidRPr="0028648F">
        <w:t>adm</w:t>
      </w:r>
      <w:r>
        <w:t>inistered to 6 healthy adult volunteers (3 males, 3 females) in fasting state</w:t>
      </w:r>
      <w:r w:rsidRPr="0028648F">
        <w:t>.</w:t>
      </w:r>
      <w:r>
        <w:t xml:space="preserve"> The mean age of the group was 35 years.</w:t>
      </w:r>
    </w:p>
    <w:p w:rsidR="00C528D5" w:rsidRDefault="00C528D5" w:rsidP="003B4B6A">
      <w:r>
        <w:t xml:space="preserve">The plasma samples were collected before dosing (predose/baseline) and at </w:t>
      </w:r>
      <w:r w:rsidRPr="0028648F">
        <w:t>0.25, 0.5, 1, 1.5, 2</w:t>
      </w:r>
      <w:r>
        <w:t>, 4, 6, 8, 12, and 24</w:t>
      </w:r>
      <w:r w:rsidR="00353ABC">
        <w:t xml:space="preserve"> h </w:t>
      </w:r>
      <w:r>
        <w:t>after the dose. Urine was collected at b</w:t>
      </w:r>
      <w:r w:rsidRPr="0028648F">
        <w:t>aseline and at 0-4, 4-8, 8-12, and 12-24</w:t>
      </w:r>
      <w:r w:rsidR="00353ABC">
        <w:t xml:space="preserve"> h </w:t>
      </w:r>
      <w:r w:rsidRPr="0028648F">
        <w:t>post</w:t>
      </w:r>
      <w:r>
        <w:t>-</w:t>
      </w:r>
      <w:r w:rsidRPr="0028648F">
        <w:t>dose.</w:t>
      </w:r>
      <w:r>
        <w:t xml:space="preserve"> </w:t>
      </w:r>
      <w:r w:rsidRPr="0028648F">
        <w:t>F</w:t>
      </w:r>
      <w:r>
        <w:t>aecal samples were collected</w:t>
      </w:r>
      <w:r w:rsidRPr="0028648F">
        <w:t xml:space="preserve"> at</w:t>
      </w:r>
      <w:r>
        <w:t xml:space="preserve"> baseline and</w:t>
      </w:r>
      <w:r w:rsidRPr="0028648F">
        <w:t xml:space="preserve"> for 5 days post</w:t>
      </w:r>
      <w:r>
        <w:t>-dose.</w:t>
      </w:r>
    </w:p>
    <w:p w:rsidR="00C528D5" w:rsidRDefault="00C528D5" w:rsidP="003B4B6A">
      <w:pPr>
        <w:pStyle w:val="Heading5"/>
        <w:numPr>
          <w:ilvl w:val="0"/>
          <w:numId w:val="0"/>
        </w:numPr>
      </w:pPr>
      <w:r>
        <w:t>Group 2</w:t>
      </w:r>
    </w:p>
    <w:p w:rsidR="00C528D5" w:rsidRDefault="00C528D5" w:rsidP="003B4B6A">
      <w:r>
        <w:t>This was a randomised, 2</w:t>
      </w:r>
      <w:r w:rsidRPr="0028648F">
        <w:t xml:space="preserve"> </w:t>
      </w:r>
      <w:r>
        <w:t xml:space="preserve">treatment </w:t>
      </w:r>
      <w:r w:rsidRPr="0028648F">
        <w:t>period</w:t>
      </w:r>
      <w:r>
        <w:t>s</w:t>
      </w:r>
      <w:r w:rsidRPr="0028648F">
        <w:t xml:space="preserve">, 2 way crossover study of </w:t>
      </w:r>
      <w:r>
        <w:t xml:space="preserve">a </w:t>
      </w:r>
      <w:r w:rsidRPr="0028648F">
        <w:t>s</w:t>
      </w:r>
      <w:r>
        <w:t>ingle 40</w:t>
      </w:r>
      <w:r w:rsidR="003B4B6A" w:rsidRPr="003B4B6A">
        <w:t>0 mg</w:t>
      </w:r>
      <w:r w:rsidRPr="0028648F">
        <w:t xml:space="preserve"> </w:t>
      </w:r>
      <w:r>
        <w:t xml:space="preserve">oral </w:t>
      </w:r>
      <w:r w:rsidRPr="0028648F">
        <w:t>dose</w:t>
      </w:r>
      <w:r>
        <w:t xml:space="preserve"> of fidaxomicin in healthy adult volunteers. The dose was doubled to 40</w:t>
      </w:r>
      <w:r w:rsidR="003B4B6A" w:rsidRPr="003B4B6A">
        <w:t>0 mg</w:t>
      </w:r>
      <w:r>
        <w:t xml:space="preserve"> compared to the lead-in group in order to ensure sufficient data points for pharmacokinetic analyses.</w:t>
      </w:r>
    </w:p>
    <w:p w:rsidR="00C528D5" w:rsidRDefault="00C528D5" w:rsidP="003B4B6A">
      <w:r>
        <w:t>A total of 28 healthy volunteers were randomised and completed the study. The mean age of the group was 32 years with equal number of men and women</w:t>
      </w:r>
      <w:r w:rsidR="00491D81">
        <w:t>.</w:t>
      </w:r>
    </w:p>
    <w:p w:rsidR="00C528D5" w:rsidRDefault="00C528D5" w:rsidP="003B4B6A">
      <w:r>
        <w:t>The participants in Group 2 received the</w:t>
      </w:r>
      <w:r w:rsidRPr="0028648F">
        <w:t xml:space="preserve"> tr</w:t>
      </w:r>
      <w:r>
        <w:t>eatment in the two periods in a randomised manner as follows:</w:t>
      </w:r>
    </w:p>
    <w:p w:rsidR="00C528D5" w:rsidRDefault="00C528D5" w:rsidP="003B4B6A">
      <w:pPr>
        <w:pStyle w:val="ListBullet"/>
        <w:numPr>
          <w:ilvl w:val="0"/>
          <w:numId w:val="0"/>
        </w:numPr>
        <w:ind w:left="360"/>
      </w:pPr>
      <w:r>
        <w:rPr>
          <w:b/>
        </w:rPr>
        <w:t xml:space="preserve">Period 1 </w:t>
      </w:r>
      <w:r w:rsidRPr="00A60293">
        <w:t>(</w:t>
      </w:r>
      <w:r w:rsidRPr="004425B4">
        <w:rPr>
          <w:b/>
        </w:rPr>
        <w:t xml:space="preserve">Treatment </w:t>
      </w:r>
      <w:r>
        <w:rPr>
          <w:b/>
        </w:rPr>
        <w:t xml:space="preserve">A = </w:t>
      </w:r>
      <w:r w:rsidRPr="004425B4">
        <w:t>40</w:t>
      </w:r>
      <w:r w:rsidR="003B4B6A" w:rsidRPr="003B4B6A">
        <w:t>0 mg</w:t>
      </w:r>
      <w:r>
        <w:t xml:space="preserve"> fidaxomicin</w:t>
      </w:r>
      <w:r w:rsidRPr="004425B4">
        <w:t xml:space="preserve"> administered orally </w:t>
      </w:r>
      <w:r>
        <w:t>in fasting state.</w:t>
      </w:r>
    </w:p>
    <w:p w:rsidR="00C528D5" w:rsidRPr="004425B4" w:rsidRDefault="00C528D5" w:rsidP="003B4B6A">
      <w:pPr>
        <w:pStyle w:val="ListBullet"/>
        <w:numPr>
          <w:ilvl w:val="0"/>
          <w:numId w:val="0"/>
        </w:numPr>
        <w:ind w:left="360"/>
      </w:pPr>
      <w:r>
        <w:rPr>
          <w:b/>
        </w:rPr>
        <w:t>Period 2</w:t>
      </w:r>
      <w:r w:rsidRPr="00A60293">
        <w:t xml:space="preserve"> (</w:t>
      </w:r>
      <w:r w:rsidRPr="004425B4">
        <w:rPr>
          <w:b/>
        </w:rPr>
        <w:t xml:space="preserve">Treatment </w:t>
      </w:r>
      <w:r>
        <w:rPr>
          <w:b/>
        </w:rPr>
        <w:t xml:space="preserve">B = </w:t>
      </w:r>
      <w:r w:rsidRPr="004425B4">
        <w:t>40</w:t>
      </w:r>
      <w:r w:rsidR="003B4B6A" w:rsidRPr="003B4B6A">
        <w:t>0 mg</w:t>
      </w:r>
      <w:r>
        <w:t xml:space="preserve"> fidaxomicin</w:t>
      </w:r>
      <w:r w:rsidRPr="004425B4">
        <w:t xml:space="preserve"> admini</w:t>
      </w:r>
      <w:r>
        <w:t>stered orally with food (high fat meal)</w:t>
      </w:r>
      <w:r w:rsidRPr="004425B4">
        <w:t>.</w:t>
      </w:r>
    </w:p>
    <w:p w:rsidR="00C528D5" w:rsidRDefault="00C528D5" w:rsidP="003B4B6A">
      <w:r>
        <w:t>There was a washout interval of 7 days between the two treatment periods. The p</w:t>
      </w:r>
      <w:r w:rsidRPr="0028648F">
        <w:t>harmacokinetic blood samples we</w:t>
      </w:r>
      <w:r>
        <w:t>re collected prior to dosing and at</w:t>
      </w:r>
      <w:r w:rsidRPr="0028648F">
        <w:t xml:space="preserve"> 0.25, 0.5, 1, 1.5, 2</w:t>
      </w:r>
      <w:r>
        <w:t>, 4, 6, 8, 12, and 24</w:t>
      </w:r>
      <w:r w:rsidR="00353ABC">
        <w:t xml:space="preserve"> h </w:t>
      </w:r>
      <w:r>
        <w:t>after dosing.</w:t>
      </w:r>
    </w:p>
    <w:p w:rsidR="00C528D5" w:rsidRDefault="00C528D5" w:rsidP="003B4B6A">
      <w:r w:rsidRPr="0028648F">
        <w:lastRenderedPageBreak/>
        <w:t xml:space="preserve">Urine </w:t>
      </w:r>
      <w:r>
        <w:t>samples were collected at baseline and at</w:t>
      </w:r>
      <w:r w:rsidRPr="0028648F">
        <w:t xml:space="preserve"> 0-4, 4-8, 8-12, and</w:t>
      </w:r>
      <w:r>
        <w:t xml:space="preserve"> </w:t>
      </w:r>
      <w:r w:rsidRPr="0028648F">
        <w:t>12-24</w:t>
      </w:r>
      <w:r w:rsidR="00353ABC">
        <w:t xml:space="preserve"> h </w:t>
      </w:r>
      <w:r w:rsidRPr="0028648F">
        <w:t>post</w:t>
      </w:r>
      <w:r>
        <w:t>-dose in</w:t>
      </w:r>
      <w:r w:rsidRPr="0028648F">
        <w:t xml:space="preserve"> Period 1 only.</w:t>
      </w:r>
      <w:r>
        <w:t xml:space="preserve"> </w:t>
      </w:r>
      <w:r w:rsidRPr="0028648F">
        <w:t>F</w:t>
      </w:r>
      <w:r>
        <w:t>aecal samples were collected at baseline and</w:t>
      </w:r>
      <w:r w:rsidRPr="0028648F">
        <w:t xml:space="preserve"> for 5 days post</w:t>
      </w:r>
      <w:r>
        <w:t>-dose in</w:t>
      </w:r>
      <w:r w:rsidRPr="0028648F">
        <w:t xml:space="preserve"> Period 1</w:t>
      </w:r>
      <w:r>
        <w:t xml:space="preserve"> </w:t>
      </w:r>
      <w:r w:rsidRPr="0028648F">
        <w:t>only.</w:t>
      </w:r>
    </w:p>
    <w:p w:rsidR="00C528D5" w:rsidRPr="00CF12D5" w:rsidRDefault="00C528D5" w:rsidP="003B4B6A">
      <w:r>
        <w:t>The reported results were as follows:</w:t>
      </w:r>
    </w:p>
    <w:p w:rsidR="00C528D5" w:rsidRPr="00CF12D5" w:rsidRDefault="00C528D5" w:rsidP="00090CE9">
      <w:pPr>
        <w:pStyle w:val="ListBullet"/>
      </w:pPr>
      <w:r>
        <w:t>Following oral administration of 20</w:t>
      </w:r>
      <w:r w:rsidR="003B4B6A" w:rsidRPr="003B4B6A">
        <w:t>0 mg</w:t>
      </w:r>
      <w:r>
        <w:t xml:space="preserve"> fidaxomicin in lead-in group (Group 1) under fasting conditions, the </w:t>
      </w:r>
      <w:r w:rsidRPr="0028648F">
        <w:t>T</w:t>
      </w:r>
      <w:r w:rsidRPr="003C7E3D">
        <w:rPr>
          <w:vertAlign w:val="subscript"/>
        </w:rPr>
        <w:t>max</w:t>
      </w:r>
      <w:r>
        <w:t xml:space="preserve"> ranged from 1 to 8</w:t>
      </w:r>
      <w:r w:rsidR="00353ABC">
        <w:t xml:space="preserve"> h </w:t>
      </w:r>
      <w:r>
        <w:t>for both OPT-80  and its metabolite OP-1118. There were insufficient data to calculate AUC</w:t>
      </w:r>
      <w:r w:rsidRPr="00CF12D5">
        <w:rPr>
          <w:vertAlign w:val="subscript"/>
        </w:rPr>
        <w:t>0-</w:t>
      </w:r>
      <w:r w:rsidR="003B4B6A">
        <w:rPr>
          <w:vertAlign w:val="subscript"/>
        </w:rPr>
        <w:sym w:font="Symbol" w:char="F0A5"/>
      </w:r>
      <w:r>
        <w:rPr>
          <w:vertAlign w:val="subscript"/>
        </w:rPr>
        <w:t xml:space="preserve"> </w:t>
      </w:r>
      <w:r>
        <w:t>and half-life (</w:t>
      </w:r>
      <w:r w:rsidRPr="0028648F">
        <w:t>t</w:t>
      </w:r>
      <w:r w:rsidRPr="003C7E3D">
        <w:rPr>
          <w:vertAlign w:val="subscript"/>
        </w:rPr>
        <w:t>1/2</w:t>
      </w:r>
      <w:r>
        <w:t>) for OPT-80. The mean (SD)</w:t>
      </w:r>
      <w:r>
        <w:rPr>
          <w:rStyle w:val="FootnoteReference"/>
          <w:rFonts w:ascii="Times New Roman" w:hAnsi="Times New Roman"/>
          <w:sz w:val="24"/>
        </w:rPr>
        <w:footnoteReference w:id="1"/>
      </w:r>
      <w:r>
        <w:t xml:space="preserve"> </w:t>
      </w:r>
      <w:r w:rsidRPr="0028648F">
        <w:t>t</w:t>
      </w:r>
      <w:r w:rsidRPr="003C7E3D">
        <w:rPr>
          <w:vertAlign w:val="subscript"/>
        </w:rPr>
        <w:t>1/2</w:t>
      </w:r>
      <w:r>
        <w:rPr>
          <w:vertAlign w:val="subscript"/>
        </w:rPr>
        <w:t xml:space="preserve"> </w:t>
      </w:r>
      <w:r>
        <w:t>of OP-1118 was 8.36 (2.03) hours.</w:t>
      </w:r>
    </w:p>
    <w:p w:rsidR="00C528D5" w:rsidRDefault="00C528D5" w:rsidP="00090CE9">
      <w:pPr>
        <w:pStyle w:val="ListBullet"/>
      </w:pPr>
      <w:r>
        <w:t>Following oral administration of 40</w:t>
      </w:r>
      <w:r w:rsidR="003B4B6A" w:rsidRPr="003B4B6A">
        <w:t>0 mg</w:t>
      </w:r>
      <w:r>
        <w:t xml:space="preserve"> fidaxomicin in Group 2 under fasting conditions (Treatment A), the </w:t>
      </w:r>
      <w:r w:rsidRPr="0028648F">
        <w:t>T</w:t>
      </w:r>
      <w:r w:rsidRPr="003C7E3D">
        <w:rPr>
          <w:vertAlign w:val="subscript"/>
        </w:rPr>
        <w:t>max</w:t>
      </w:r>
      <w:r>
        <w:t xml:space="preserve"> ranged from 5-8</w:t>
      </w:r>
      <w:r w:rsidR="00353ABC">
        <w:t xml:space="preserve"> h </w:t>
      </w:r>
      <w:r>
        <w:t>for OPT-80 with a median of 1 hour and 1-8</w:t>
      </w:r>
      <w:r w:rsidR="00353ABC">
        <w:t xml:space="preserve"> h </w:t>
      </w:r>
      <w:r>
        <w:t xml:space="preserve">for OP-1118 with a median of 1 hour. The mean </w:t>
      </w:r>
      <w:r w:rsidRPr="0028648F">
        <w:t>t</w:t>
      </w:r>
      <w:r w:rsidRPr="003C7E3D">
        <w:rPr>
          <w:vertAlign w:val="subscript"/>
        </w:rPr>
        <w:t>1/2</w:t>
      </w:r>
      <w:r>
        <w:rPr>
          <w:vertAlign w:val="subscript"/>
        </w:rPr>
        <w:t xml:space="preserve"> </w:t>
      </w:r>
      <w:r>
        <w:t>was 9.64 (2.56)</w:t>
      </w:r>
      <w:r w:rsidR="00353ABC">
        <w:t xml:space="preserve"> h </w:t>
      </w:r>
      <w:r>
        <w:t>and 10.1 (1.9)</w:t>
      </w:r>
      <w:r w:rsidR="00353ABC">
        <w:t xml:space="preserve"> h </w:t>
      </w:r>
      <w:r>
        <w:t>for OPT-80 and OP-1118 respectively.</w:t>
      </w:r>
    </w:p>
    <w:p w:rsidR="00C528D5" w:rsidRDefault="00C528D5" w:rsidP="00090CE9">
      <w:pPr>
        <w:pStyle w:val="ListBullet"/>
      </w:pPr>
      <w:r w:rsidRPr="0028648F">
        <w:t>The increase in</w:t>
      </w:r>
      <w:r>
        <w:t xml:space="preserve"> OPT-80 dose level under fasting conditions</w:t>
      </w:r>
      <w:r w:rsidRPr="0028648F">
        <w:t xml:space="preserve"> from 20</w:t>
      </w:r>
      <w:r w:rsidR="003B4B6A" w:rsidRPr="003B4B6A">
        <w:t>0 mg</w:t>
      </w:r>
      <w:r w:rsidRPr="0028648F">
        <w:t xml:space="preserve"> </w:t>
      </w:r>
      <w:r>
        <w:t xml:space="preserve">(Group 1) </w:t>
      </w:r>
      <w:r w:rsidRPr="0028648F">
        <w:t>to</w:t>
      </w:r>
      <w:r>
        <w:t xml:space="preserve"> 40</w:t>
      </w:r>
      <w:r w:rsidR="003B4B6A" w:rsidRPr="003B4B6A">
        <w:t>0 mg</w:t>
      </w:r>
      <w:r w:rsidRPr="0028648F">
        <w:t xml:space="preserve"> </w:t>
      </w:r>
      <w:r>
        <w:t>(Group 2) did not result in</w:t>
      </w:r>
      <w:r w:rsidRPr="0028648F">
        <w:t xml:space="preserve"> proportional increase in OPT-80 C</w:t>
      </w:r>
      <w:r w:rsidRPr="003C7E3D">
        <w:rPr>
          <w:vertAlign w:val="subscript"/>
        </w:rPr>
        <w:t>max</w:t>
      </w:r>
      <w:r>
        <w:t xml:space="preserve"> (9.88</w:t>
      </w:r>
      <w:r w:rsidR="003B4B6A" w:rsidRPr="003B4B6A">
        <w:t xml:space="preserve"> versus </w:t>
      </w:r>
      <w:r>
        <w:t xml:space="preserve">10.6 ng/mL) and </w:t>
      </w:r>
      <w:r w:rsidRPr="0028648F">
        <w:t>AUC</w:t>
      </w:r>
      <w:r w:rsidRPr="003C7E3D">
        <w:rPr>
          <w:vertAlign w:val="subscript"/>
        </w:rPr>
        <w:t>0-t</w:t>
      </w:r>
      <w:r w:rsidRPr="0028648F">
        <w:t xml:space="preserve"> </w:t>
      </w:r>
      <w:r>
        <w:t>(69.5</w:t>
      </w:r>
      <w:r w:rsidR="003B4B6A" w:rsidRPr="003B4B6A">
        <w:t xml:space="preserve"> </w:t>
      </w:r>
      <w:proofErr w:type="gramStart"/>
      <w:r w:rsidR="003B4B6A" w:rsidRPr="003B4B6A">
        <w:t xml:space="preserve">versus </w:t>
      </w:r>
      <w:r>
        <w:t>81.2 ng.h/mL</w:t>
      </w:r>
      <w:proofErr w:type="gramEnd"/>
      <w:r>
        <w:t xml:space="preserve">) levels </w:t>
      </w:r>
      <w:r w:rsidRPr="0028648F">
        <w:t>or OP-1118 C</w:t>
      </w:r>
      <w:r w:rsidRPr="003C7E3D">
        <w:rPr>
          <w:vertAlign w:val="subscript"/>
        </w:rPr>
        <w:t>max</w:t>
      </w:r>
      <w:r>
        <w:t xml:space="preserve"> (17.6</w:t>
      </w:r>
      <w:r w:rsidR="003B4B6A" w:rsidRPr="003B4B6A">
        <w:t xml:space="preserve"> versus </w:t>
      </w:r>
      <w:r>
        <w:t xml:space="preserve">25.5 ng/mL) </w:t>
      </w:r>
      <w:r w:rsidRPr="0028648F">
        <w:t>or AUC</w:t>
      </w:r>
      <w:r w:rsidRPr="003C7E3D">
        <w:rPr>
          <w:vertAlign w:val="subscript"/>
        </w:rPr>
        <w:t>0-t</w:t>
      </w:r>
      <w:r>
        <w:t xml:space="preserve"> (136</w:t>
      </w:r>
      <w:r w:rsidR="003B4B6A" w:rsidRPr="003B4B6A">
        <w:t xml:space="preserve"> versus </w:t>
      </w:r>
      <w:r>
        <w:t>172 ng.h/mL).</w:t>
      </w:r>
    </w:p>
    <w:p w:rsidR="00C528D5" w:rsidRDefault="00C528D5" w:rsidP="00090CE9">
      <w:pPr>
        <w:pStyle w:val="ListBullet"/>
      </w:pPr>
      <w:r>
        <w:t>Following oral administration of 40</w:t>
      </w:r>
      <w:r w:rsidR="003B4B6A" w:rsidRPr="003B4B6A">
        <w:t>0 mg</w:t>
      </w:r>
      <w:r>
        <w:t xml:space="preserve"> fidaxomicin in Group 2 under fed conditions (Treatment B), </w:t>
      </w:r>
      <w:r w:rsidRPr="0028648F">
        <w:t>OPT-80 C</w:t>
      </w:r>
      <w:r w:rsidRPr="003C7E3D">
        <w:rPr>
          <w:vertAlign w:val="subscript"/>
        </w:rPr>
        <w:t>max</w:t>
      </w:r>
      <w:r>
        <w:t xml:space="preserve"> was </w:t>
      </w:r>
      <w:r w:rsidRPr="0028648F">
        <w:t xml:space="preserve">21.5% </w:t>
      </w:r>
      <w:r>
        <w:t>lower (7.52</w:t>
      </w:r>
      <w:r w:rsidR="003B4B6A" w:rsidRPr="003B4B6A">
        <w:t xml:space="preserve"> </w:t>
      </w:r>
      <w:proofErr w:type="gramStart"/>
      <w:r w:rsidR="003B4B6A" w:rsidRPr="003B4B6A">
        <w:t xml:space="preserve">versus </w:t>
      </w:r>
      <w:r>
        <w:t>10.6 ng/mL</w:t>
      </w:r>
      <w:proofErr w:type="gramEnd"/>
      <w:r>
        <w:t xml:space="preserve">) </w:t>
      </w:r>
      <w:r w:rsidRPr="0028648F">
        <w:t>and OP-1118 C</w:t>
      </w:r>
      <w:r w:rsidRPr="003C7E3D">
        <w:rPr>
          <w:vertAlign w:val="subscript"/>
        </w:rPr>
        <w:t>max</w:t>
      </w:r>
      <w:r>
        <w:t xml:space="preserve"> was</w:t>
      </w:r>
      <w:r w:rsidRPr="0028648F">
        <w:t xml:space="preserve"> 33.4% lower </w:t>
      </w:r>
      <w:r>
        <w:t>(15.7</w:t>
      </w:r>
      <w:r w:rsidR="003B4B6A">
        <w:t xml:space="preserve"> </w:t>
      </w:r>
      <w:r w:rsidR="003B4B6A" w:rsidRPr="003B4B6A">
        <w:t>versus</w:t>
      </w:r>
      <w:r w:rsidR="003B4B6A">
        <w:t xml:space="preserve"> </w:t>
      </w:r>
      <w:r>
        <w:t xml:space="preserve">25.5 ng/mL) in fed state compared to fasting state. The </w:t>
      </w:r>
      <w:r w:rsidRPr="0028648F">
        <w:t>median T</w:t>
      </w:r>
      <w:r w:rsidRPr="003C7E3D">
        <w:rPr>
          <w:vertAlign w:val="subscript"/>
        </w:rPr>
        <w:t>max</w:t>
      </w:r>
      <w:r>
        <w:t xml:space="preserve"> was prolonged in</w:t>
      </w:r>
      <w:r w:rsidRPr="0028648F">
        <w:t xml:space="preserve"> fed stat</w:t>
      </w:r>
      <w:r>
        <w:t>e compared to the fasted state (2</w:t>
      </w:r>
      <w:r w:rsidR="003B4B6A" w:rsidRPr="003B4B6A">
        <w:t xml:space="preserve"> versus </w:t>
      </w:r>
      <w:r>
        <w:t xml:space="preserve">1 hour respectively) for both OPT-80 and OP-1118. The total systemic exposures </w:t>
      </w:r>
      <w:r w:rsidRPr="0028648F">
        <w:t>(AUC</w:t>
      </w:r>
      <w:r w:rsidRPr="00CA39F6">
        <w:rPr>
          <w:vertAlign w:val="subscript"/>
        </w:rPr>
        <w:t>0-t</w:t>
      </w:r>
      <w:r w:rsidRPr="0028648F">
        <w:t>)</w:t>
      </w:r>
      <w:r>
        <w:t xml:space="preserve"> to </w:t>
      </w:r>
      <w:r w:rsidRPr="0028648F">
        <w:t xml:space="preserve">OPT-80 </w:t>
      </w:r>
      <w:r>
        <w:t>(78.6</w:t>
      </w:r>
      <w:r w:rsidR="003B4B6A" w:rsidRPr="003B4B6A">
        <w:t xml:space="preserve"> versus </w:t>
      </w:r>
      <w:r>
        <w:t xml:space="preserve">81.2 ng.h/mL) </w:t>
      </w:r>
      <w:r w:rsidRPr="0028648F">
        <w:t>and OP-1118</w:t>
      </w:r>
      <w:r>
        <w:t xml:space="preserve"> (156</w:t>
      </w:r>
      <w:r w:rsidR="003B4B6A" w:rsidRPr="003B4B6A">
        <w:t xml:space="preserve"> versus </w:t>
      </w:r>
      <w:r>
        <w:t>172 ng.h/mL)</w:t>
      </w:r>
      <w:r w:rsidRPr="0028648F">
        <w:t xml:space="preserve"> </w:t>
      </w:r>
      <w:r>
        <w:t>were somewhat lower under</w:t>
      </w:r>
      <w:r w:rsidRPr="0028648F">
        <w:t xml:space="preserve"> </w:t>
      </w:r>
      <w:r>
        <w:t>fed state compared to fasting</w:t>
      </w:r>
      <w:r w:rsidRPr="0028648F">
        <w:t xml:space="preserve"> state.</w:t>
      </w:r>
    </w:p>
    <w:p w:rsidR="00C528D5" w:rsidRDefault="00C528D5" w:rsidP="003B4B6A">
      <w:r>
        <w:t>The statistical comparison gave the following results:</w:t>
      </w:r>
    </w:p>
    <w:p w:rsidR="00C528D5" w:rsidRDefault="00C528D5" w:rsidP="00090CE9">
      <w:pPr>
        <w:pStyle w:val="ListBullet"/>
      </w:pPr>
      <w:r>
        <w:t xml:space="preserve">The fed/fasted (test/reference) ratio for OPT-80 </w:t>
      </w:r>
      <w:r w:rsidRPr="0028648F">
        <w:t>C</w:t>
      </w:r>
      <w:r w:rsidRPr="003C7E3D">
        <w:rPr>
          <w:vertAlign w:val="subscript"/>
        </w:rPr>
        <w:t>max</w:t>
      </w:r>
      <w:r>
        <w:t xml:space="preserve"> (peak systemic exposure) was 78.5% (90%CI 67% to 92%) indicating breach on the lower side of the conventionally accepted equivalence margin of 80-125%.</w:t>
      </w:r>
    </w:p>
    <w:p w:rsidR="00C528D5" w:rsidRPr="00BE00AD" w:rsidRDefault="00C528D5" w:rsidP="00090CE9">
      <w:pPr>
        <w:pStyle w:val="ListBullet"/>
      </w:pPr>
      <w:r>
        <w:t>The fed/fasted ratio for OPT-80 AUC</w:t>
      </w:r>
      <w:r w:rsidRPr="00CF12D5">
        <w:rPr>
          <w:vertAlign w:val="subscript"/>
        </w:rPr>
        <w:t>0-</w:t>
      </w:r>
      <w:r w:rsidRPr="00103BE0">
        <w:rPr>
          <w:vertAlign w:val="subscript"/>
        </w:rPr>
        <w:t>∞</w:t>
      </w:r>
      <w:r>
        <w:rPr>
          <w:vertAlign w:val="subscript"/>
        </w:rPr>
        <w:t xml:space="preserve"> </w:t>
      </w:r>
      <w:r>
        <w:t xml:space="preserve">(total systemic exposure) was 87.5% (90%CI 69% to 111%) indicating similar failure on the lower side of the accepted equivalence margin. The comparison using </w:t>
      </w:r>
      <w:r w:rsidRPr="0028648F">
        <w:t>AUC</w:t>
      </w:r>
      <w:r w:rsidRPr="00CA39F6">
        <w:rPr>
          <w:vertAlign w:val="subscript"/>
        </w:rPr>
        <w:t>0-t</w:t>
      </w:r>
      <w:r>
        <w:rPr>
          <w:vertAlign w:val="subscript"/>
        </w:rPr>
        <w:t xml:space="preserve"> </w:t>
      </w:r>
      <w:r>
        <w:t>was within both equivalence limits.</w:t>
      </w:r>
    </w:p>
    <w:p w:rsidR="00C528D5" w:rsidRDefault="00C528D5" w:rsidP="00090CE9">
      <w:pPr>
        <w:pStyle w:val="ListBullet"/>
      </w:pPr>
      <w:r>
        <w:t xml:space="preserve">The fed/fasted ratio for OP-1118 </w:t>
      </w:r>
      <w:r w:rsidRPr="0028648F">
        <w:t>C</w:t>
      </w:r>
      <w:r w:rsidRPr="003C7E3D">
        <w:rPr>
          <w:vertAlign w:val="subscript"/>
        </w:rPr>
        <w:t>max</w:t>
      </w:r>
      <w:r>
        <w:t xml:space="preserve"> was 66.6% (90%CI 58% to 76%) indicating breach on the lower side of the conventionally accepted equivalence margin of 80-125%.</w:t>
      </w:r>
    </w:p>
    <w:p w:rsidR="00C528D5" w:rsidRDefault="00C528D5" w:rsidP="00090CE9">
      <w:pPr>
        <w:pStyle w:val="ListBullet"/>
      </w:pPr>
      <w:r>
        <w:t>The fed/fasted ratio for OP-1118 AUC</w:t>
      </w:r>
      <w:r w:rsidRPr="00CF12D5">
        <w:rPr>
          <w:vertAlign w:val="subscript"/>
        </w:rPr>
        <w:t>0-</w:t>
      </w:r>
      <w:r w:rsidRPr="00103BE0">
        <w:rPr>
          <w:vertAlign w:val="subscript"/>
        </w:rPr>
        <w:t>∞</w:t>
      </w:r>
      <w:r>
        <w:rPr>
          <w:vertAlign w:val="subscript"/>
        </w:rPr>
        <w:t xml:space="preserve"> </w:t>
      </w:r>
      <w:r>
        <w:t xml:space="preserve">was 78.1%% (90%CI 63% to 98%) indicating similar failure on the lower side of the equivalence margin. The comparison using </w:t>
      </w:r>
      <w:r w:rsidRPr="0028648F">
        <w:t>AUC</w:t>
      </w:r>
      <w:r w:rsidRPr="00CA39F6">
        <w:rPr>
          <w:vertAlign w:val="subscript"/>
        </w:rPr>
        <w:t>0-t</w:t>
      </w:r>
      <w:r>
        <w:rPr>
          <w:vertAlign w:val="subscript"/>
        </w:rPr>
        <w:t xml:space="preserve"> </w:t>
      </w:r>
      <w:r>
        <w:t>was within both equivalence limits.</w:t>
      </w:r>
    </w:p>
    <w:p w:rsidR="00C528D5" w:rsidRDefault="00C528D5" w:rsidP="00090CE9">
      <w:pPr>
        <w:pStyle w:val="ListBullet"/>
      </w:pPr>
      <w:r>
        <w:t>In urine, fidaxomicin was not measureable in any sample from any participant. The metabolite OP-1118 was measurable but &lt; 25</w:t>
      </w:r>
      <w:r w:rsidR="003B4B6A">
        <w:t xml:space="preserve"> </w:t>
      </w:r>
      <w:r>
        <w:t>ng/mL at all timepoints. Thus the u</w:t>
      </w:r>
      <w:r w:rsidRPr="0028648F">
        <w:t>rinary excretion represente</w:t>
      </w:r>
      <w:r>
        <w:t xml:space="preserve">d a minor route of elimination </w:t>
      </w:r>
      <w:r w:rsidR="003B4B6A" w:rsidRPr="003B4B6A">
        <w:t>that is,</w:t>
      </w:r>
      <w:r>
        <w:t xml:space="preserve"> up to</w:t>
      </w:r>
      <w:r w:rsidRPr="0028648F">
        <w:t xml:space="preserve"> 1.23% of administered</w:t>
      </w:r>
      <w:r>
        <w:t xml:space="preserve"> drug</w:t>
      </w:r>
      <w:r w:rsidRPr="0028648F">
        <w:t xml:space="preserve"> as </w:t>
      </w:r>
      <w:r>
        <w:t>its metabolite OP-1118.</w:t>
      </w:r>
    </w:p>
    <w:p w:rsidR="00C528D5" w:rsidRDefault="00C528D5" w:rsidP="00090CE9">
      <w:pPr>
        <w:pStyle w:val="ListBullet"/>
      </w:pPr>
      <w:r>
        <w:t>Faecal route was the dominant route of excretion. The peak faecal concentrations of fidaxomicin measured after a single dose of 20</w:t>
      </w:r>
      <w:r w:rsidR="003B4B6A" w:rsidRPr="003B4B6A">
        <w:t>0 mg</w:t>
      </w:r>
      <w:r>
        <w:t xml:space="preserve"> ranged from 391 to 1240</w:t>
      </w:r>
      <w:r w:rsidR="003B4B6A">
        <w:t xml:space="preserve"> µ</w:t>
      </w:r>
      <w:r>
        <w:t>g/g. Peak faecal concentrations of OP-1118 ranged from 229 to 947</w:t>
      </w:r>
      <w:r w:rsidR="003B4B6A">
        <w:t xml:space="preserve"> µ</w:t>
      </w:r>
      <w:r>
        <w:t>g/g. Faecal levels following 40</w:t>
      </w:r>
      <w:r w:rsidR="003B4B6A" w:rsidRPr="003B4B6A">
        <w:t>0 mg</w:t>
      </w:r>
      <w:r>
        <w:t xml:space="preserve"> dose were higher with peak fidaxomicin levels frequently exceeding 2000µg/g in both fed and fasting states. </w:t>
      </w:r>
    </w:p>
    <w:p w:rsidR="00C528D5" w:rsidRDefault="00C528D5" w:rsidP="00090CE9">
      <w:pPr>
        <w:pStyle w:val="ListBullet"/>
      </w:pPr>
      <w:r>
        <w:t>The mean faecal recovery of fidaxomicin was 62% (</w:t>
      </w:r>
      <w:r w:rsidR="003B4B6A">
        <w:t>±</w:t>
      </w:r>
      <w:r>
        <w:t xml:space="preserve"> 33%) in Group 1 and 51% (</w:t>
      </w:r>
      <w:r w:rsidR="003B4B6A">
        <w:t>±</w:t>
      </w:r>
      <w:r>
        <w:t xml:space="preserve"> 35%) in Group 2. A secondary analysis which removed 3 participants with a single faecal sample increased the mean recovery to 75 (</w:t>
      </w:r>
      <w:r w:rsidR="003B4B6A">
        <w:t>±</w:t>
      </w:r>
      <w:r>
        <w:t xml:space="preserve"> 14%) and (55 </w:t>
      </w:r>
      <w:r w:rsidR="003B4B6A">
        <w:t>±</w:t>
      </w:r>
      <w:r>
        <w:t xml:space="preserve"> 37%) in Groups 1 and 2 respectively.</w:t>
      </w:r>
    </w:p>
    <w:p w:rsidR="00C528D5" w:rsidRPr="00A179AB" w:rsidRDefault="00C528D5" w:rsidP="003B4B6A">
      <w:pPr>
        <w:pStyle w:val="Heading5"/>
        <w:numPr>
          <w:ilvl w:val="0"/>
          <w:numId w:val="0"/>
        </w:numPr>
      </w:pPr>
      <w:r w:rsidRPr="00A179AB">
        <w:t>Evaluator’s comment</w:t>
      </w:r>
    </w:p>
    <w:p w:rsidR="00C528D5" w:rsidRDefault="00C528D5" w:rsidP="003B4B6A">
      <w:r>
        <w:t>The justification for not conducting an absolute bioavailability study is considered acceptable.</w:t>
      </w:r>
    </w:p>
    <w:p w:rsidR="00C528D5" w:rsidRDefault="00C528D5" w:rsidP="003B4B6A">
      <w:r>
        <w:t xml:space="preserve">The systemic exposure to drug (peak and total) </w:t>
      </w:r>
      <w:r w:rsidR="003B4B6A">
        <w:t>following</w:t>
      </w:r>
      <w:r>
        <w:t xml:space="preserve"> oral administration appear</w:t>
      </w:r>
      <w:r w:rsidR="003B4B6A">
        <w:t>s</w:t>
      </w:r>
      <w:r>
        <w:t xml:space="preserve"> to very small (ng range for both the drug and its metabolite) and administration with food does not increase it. Absence of fidaxomicin in urine sample and high recovery (~75%) in faeces support any biotransformation limited mainly to the gastrointestinal tract.</w:t>
      </w:r>
    </w:p>
    <w:p w:rsidR="00C528D5" w:rsidRDefault="00C528D5" w:rsidP="003B4B6A">
      <w:r>
        <w:t>Based on these data, the proposed recommendation that fidaxomicin can be administered regardless of food intake is considered acceptable.</w:t>
      </w:r>
    </w:p>
    <w:p w:rsidR="00C528D5" w:rsidRPr="005D285D" w:rsidRDefault="00C528D5" w:rsidP="003B4B6A">
      <w:pPr>
        <w:pStyle w:val="Heading4"/>
      </w:pPr>
      <w:r>
        <w:t xml:space="preserve">Study </w:t>
      </w:r>
      <w:r w:rsidRPr="005D285D">
        <w:t>OPT-80 1A-SD</w:t>
      </w:r>
    </w:p>
    <w:p w:rsidR="00C528D5" w:rsidRDefault="00C528D5" w:rsidP="003B4B6A">
      <w:r>
        <w:t>This was a Phase I</w:t>
      </w:r>
      <w:r w:rsidRPr="003C7E3D">
        <w:t>,</w:t>
      </w:r>
      <w:r>
        <w:t xml:space="preserve"> trial to study the pharmacokinetic of single doses of oral fidaxomicin in 16 healthy volunteers. The design was randomised</w:t>
      </w:r>
      <w:r w:rsidRPr="003C7E3D">
        <w:t>, d</w:t>
      </w:r>
      <w:r>
        <w:t>ouble-blind, placebo-controlled involving dose escalation. The mean age of the participants was 49 years (range 31 to 62 years) and included both males and females.</w:t>
      </w:r>
    </w:p>
    <w:p w:rsidR="00C528D5" w:rsidRDefault="00C528D5" w:rsidP="003B4B6A">
      <w:r w:rsidRPr="003C7E3D">
        <w:t xml:space="preserve">The four single </w:t>
      </w:r>
      <w:r>
        <w:t>escalating doses of OPT-80</w:t>
      </w:r>
      <w:r w:rsidRPr="003C7E3D">
        <w:t xml:space="preserve"> </w:t>
      </w:r>
      <w:r>
        <w:t xml:space="preserve">(fidaxomicin) </w:t>
      </w:r>
      <w:r w:rsidRPr="003C7E3D">
        <w:t>were 10</w:t>
      </w:r>
      <w:r w:rsidR="003B4B6A" w:rsidRPr="003B4B6A">
        <w:t>0 mg</w:t>
      </w:r>
      <w:r>
        <w:t>, 20</w:t>
      </w:r>
      <w:r w:rsidR="003B4B6A" w:rsidRPr="003B4B6A">
        <w:t>0 mg</w:t>
      </w:r>
      <w:r>
        <w:t>, 30</w:t>
      </w:r>
      <w:r w:rsidR="003B4B6A" w:rsidRPr="003B4B6A">
        <w:t>0 mg</w:t>
      </w:r>
      <w:r>
        <w:t xml:space="preserve"> and 40</w:t>
      </w:r>
      <w:r w:rsidR="003B4B6A" w:rsidRPr="003B4B6A">
        <w:t>0 mg</w:t>
      </w:r>
      <w:r>
        <w:t xml:space="preserve"> administered orally after morning breakfast.</w:t>
      </w:r>
    </w:p>
    <w:p w:rsidR="00C528D5" w:rsidRDefault="00C528D5" w:rsidP="003B4B6A">
      <w:r>
        <w:t>Each patient received two escalating doses (10</w:t>
      </w:r>
      <w:r w:rsidR="003B4B6A" w:rsidRPr="003B4B6A">
        <w:t>0 mg</w:t>
      </w:r>
      <w:r>
        <w:t xml:space="preserve"> </w:t>
      </w:r>
      <w:r w:rsidR="003B4B6A">
        <w:t>and</w:t>
      </w:r>
      <w:r>
        <w:t xml:space="preserve"> 30</w:t>
      </w:r>
      <w:r w:rsidR="003B4B6A" w:rsidRPr="003B4B6A">
        <w:t>0 mg</w:t>
      </w:r>
      <w:r>
        <w:t xml:space="preserve"> in Group 1 and 20</w:t>
      </w:r>
      <w:r w:rsidR="003B4B6A" w:rsidRPr="003B4B6A">
        <w:t>0 mg</w:t>
      </w:r>
      <w:r>
        <w:t xml:space="preserve"> </w:t>
      </w:r>
      <w:r w:rsidR="003B4B6A">
        <w:t>and</w:t>
      </w:r>
      <w:r>
        <w:t xml:space="preserve"> 45</w:t>
      </w:r>
      <w:r w:rsidR="003B4B6A" w:rsidRPr="003B4B6A">
        <w:t>0 mg</w:t>
      </w:r>
      <w:r>
        <w:t xml:space="preserve"> in Group 2) in a crossover manner with 1-2 weeks washout period in between the two treatment periods. </w:t>
      </w:r>
      <w:r w:rsidRPr="003C7E3D">
        <w:t>At each dose level, 6 volunteers were randomiz</w:t>
      </w:r>
      <w:r>
        <w:t>ed to receive active drug and 2 received</w:t>
      </w:r>
      <w:r w:rsidRPr="003C7E3D">
        <w:t xml:space="preserve"> pl</w:t>
      </w:r>
      <w:r>
        <w:t>acebo.</w:t>
      </w:r>
    </w:p>
    <w:p w:rsidR="00C528D5" w:rsidRPr="003C7E3D" w:rsidRDefault="00C528D5" w:rsidP="003B4B6A">
      <w:r>
        <w:t>The reported results were as follows:</w:t>
      </w:r>
    </w:p>
    <w:p w:rsidR="00C528D5" w:rsidRDefault="00C528D5" w:rsidP="00090CE9">
      <w:pPr>
        <w:pStyle w:val="ListBullet"/>
      </w:pPr>
      <w:r>
        <w:t>T</w:t>
      </w:r>
      <w:r w:rsidRPr="006C334C">
        <w:t>here were insufficient OPT-80 plasma levels</w:t>
      </w:r>
      <w:r>
        <w:t xml:space="preserve"> </w:t>
      </w:r>
      <w:r w:rsidRPr="006C334C">
        <w:t>data points above</w:t>
      </w:r>
      <w:r>
        <w:t xml:space="preserve"> the lower limit of quantification in 100, 200 and 30</w:t>
      </w:r>
      <w:r w:rsidR="003B4B6A" w:rsidRPr="003B4B6A">
        <w:t>0 mg</w:t>
      </w:r>
      <w:r w:rsidRPr="006C334C">
        <w:t xml:space="preserve"> dose groups</w:t>
      </w:r>
      <w:r>
        <w:t xml:space="preserve"> to allow pharmacokinetic analysis.</w:t>
      </w:r>
    </w:p>
    <w:p w:rsidR="00C528D5" w:rsidRDefault="00C528D5" w:rsidP="00090CE9">
      <w:pPr>
        <w:pStyle w:val="ListBullet"/>
      </w:pPr>
      <w:r>
        <w:t>Four participants in the 45</w:t>
      </w:r>
      <w:r w:rsidR="003B4B6A" w:rsidRPr="003B4B6A">
        <w:t>0 mg</w:t>
      </w:r>
      <w:r>
        <w:t xml:space="preserve"> dose group had evaluable plasma </w:t>
      </w:r>
      <w:r w:rsidRPr="006C334C">
        <w:t xml:space="preserve">OPT-80 </w:t>
      </w:r>
      <w:r>
        <w:t>data showing T</w:t>
      </w:r>
      <w:r w:rsidRPr="006C334C">
        <w:rPr>
          <w:vertAlign w:val="subscript"/>
        </w:rPr>
        <w:t>max</w:t>
      </w:r>
      <w:r>
        <w:t xml:space="preserve"> from</w:t>
      </w:r>
      <w:r w:rsidRPr="006C334C">
        <w:t xml:space="preserve"> 0.5 to</w:t>
      </w:r>
      <w:r>
        <w:t xml:space="preserve"> </w:t>
      </w:r>
      <w:r w:rsidRPr="006C334C">
        <w:t>3</w:t>
      </w:r>
      <w:r w:rsidR="00353ABC">
        <w:t xml:space="preserve"> h </w:t>
      </w:r>
      <w:r w:rsidRPr="006C334C">
        <w:t>(Mean</w:t>
      </w:r>
      <w:r>
        <w:t xml:space="preserve"> </w:t>
      </w:r>
      <w:r w:rsidR="003B4B6A">
        <w:t>±</w:t>
      </w:r>
      <w:r>
        <w:t xml:space="preserve"> SD, 1.4 </w:t>
      </w:r>
      <w:r w:rsidR="003B4B6A">
        <w:t>±</w:t>
      </w:r>
      <w:r>
        <w:t xml:space="preserve"> 1.1) with</w:t>
      </w:r>
      <w:r w:rsidRPr="006C334C">
        <w:t xml:space="preserve"> mean (± SD) C</w:t>
      </w:r>
      <w:r w:rsidRPr="006C334C">
        <w:rPr>
          <w:vertAlign w:val="subscript"/>
        </w:rPr>
        <w:t>max</w:t>
      </w:r>
      <w:r w:rsidRPr="006C334C">
        <w:t xml:space="preserve"> </w:t>
      </w:r>
      <w:r>
        <w:t>of</w:t>
      </w:r>
      <w:r w:rsidRPr="006C334C">
        <w:t xml:space="preserve"> 26.5 </w:t>
      </w:r>
      <w:r w:rsidR="003B4B6A">
        <w:t>±</w:t>
      </w:r>
      <w:r w:rsidRPr="006C334C">
        <w:t xml:space="preserve"> 7.8</w:t>
      </w:r>
      <w:r w:rsidR="003B4B6A">
        <w:t xml:space="preserve"> </w:t>
      </w:r>
      <w:r w:rsidRPr="006C334C">
        <w:t>ng/mL. The apparent half-life of OPT-80 ranged</w:t>
      </w:r>
      <w:r>
        <w:t xml:space="preserve"> </w:t>
      </w:r>
      <w:r w:rsidRPr="006C334C">
        <w:t>from 0.94 to 2.77</w:t>
      </w:r>
      <w:r w:rsidR="00353ABC">
        <w:t xml:space="preserve"> h </w:t>
      </w:r>
      <w:r w:rsidRPr="006C334C">
        <w:t xml:space="preserve">(Mean </w:t>
      </w:r>
      <w:r w:rsidR="003B4B6A">
        <w:t>±</w:t>
      </w:r>
      <w:r w:rsidRPr="006C334C">
        <w:t xml:space="preserve"> SD, 1.62 </w:t>
      </w:r>
      <w:r w:rsidR="003B4B6A">
        <w:t>±</w:t>
      </w:r>
      <w:r>
        <w:t xml:space="preserve"> 0.84)</w:t>
      </w:r>
      <w:r w:rsidRPr="006C334C">
        <w:t>.</w:t>
      </w:r>
      <w:r>
        <w:t xml:space="preserve"> The m</w:t>
      </w:r>
      <w:r w:rsidRPr="006C334C">
        <w:t>ean AUC</w:t>
      </w:r>
      <w:r w:rsidRPr="002547F4">
        <w:rPr>
          <w:vertAlign w:val="subscript"/>
        </w:rPr>
        <w:t>0-</w:t>
      </w:r>
      <w:r w:rsidR="003B4B6A">
        <w:rPr>
          <w:vertAlign w:val="subscript"/>
        </w:rPr>
        <w:sym w:font="Symbol" w:char="F0A5"/>
      </w:r>
      <w:r>
        <w:t xml:space="preserve"> was 76.18 </w:t>
      </w:r>
      <w:r w:rsidR="003B4B6A">
        <w:t>±</w:t>
      </w:r>
      <w:r>
        <w:t xml:space="preserve"> 29.60 hr-ng/ml (range 52.24 to </w:t>
      </w:r>
      <w:r w:rsidRPr="006C334C">
        <w:t>116.42).</w:t>
      </w:r>
    </w:p>
    <w:p w:rsidR="00C528D5" w:rsidRDefault="00C528D5" w:rsidP="00090CE9">
      <w:pPr>
        <w:pStyle w:val="ListBullet"/>
      </w:pPr>
      <w:r>
        <w:t>No urine data were</w:t>
      </w:r>
      <w:r w:rsidRPr="006C334C">
        <w:t xml:space="preserve"> available </w:t>
      </w:r>
      <w:r>
        <w:t>in this study.</w:t>
      </w:r>
    </w:p>
    <w:p w:rsidR="00C528D5" w:rsidRDefault="00C528D5" w:rsidP="00090CE9">
      <w:pPr>
        <w:pStyle w:val="ListBullet"/>
      </w:pPr>
      <w:r>
        <w:t>Over 26% drug</w:t>
      </w:r>
      <w:r w:rsidRPr="006C334C">
        <w:t xml:space="preserve"> (200 and 300 mg dose groups)</w:t>
      </w:r>
      <w:r>
        <w:t xml:space="preserve"> was recovered</w:t>
      </w:r>
      <w:r w:rsidRPr="006C334C">
        <w:t xml:space="preserve"> unchanged in the f</w:t>
      </w:r>
      <w:r>
        <w:t xml:space="preserve">aeces over </w:t>
      </w:r>
      <w:r w:rsidR="003B4B6A">
        <w:t xml:space="preserve">120 </w:t>
      </w:r>
      <w:r w:rsidRPr="006C334C">
        <w:t>hour collection period</w:t>
      </w:r>
      <w:r>
        <w:t>. Over</w:t>
      </w:r>
      <w:r w:rsidRPr="006C334C">
        <w:t xml:space="preserve"> 66% of the </w:t>
      </w:r>
      <w:r>
        <w:t xml:space="preserve">administered </w:t>
      </w:r>
      <w:r w:rsidRPr="006C334C">
        <w:t xml:space="preserve">dose was excreted </w:t>
      </w:r>
      <w:r>
        <w:t>as OPT-80</w:t>
      </w:r>
      <w:r w:rsidRPr="006C334C">
        <w:t xml:space="preserve"> </w:t>
      </w:r>
      <w:r>
        <w:t>product of hydrolysis metabolite designated</w:t>
      </w:r>
      <w:r w:rsidRPr="006C334C">
        <w:t xml:space="preserve"> M1 (OP-1118</w:t>
      </w:r>
      <w:r>
        <w:t xml:space="preserve">; molecular weight 988). The </w:t>
      </w:r>
      <w:r w:rsidRPr="006C334C">
        <w:t>total f</w:t>
      </w:r>
      <w:r>
        <w:t>a</w:t>
      </w:r>
      <w:r w:rsidRPr="006C334C">
        <w:t xml:space="preserve">ecal </w:t>
      </w:r>
      <w:r>
        <w:t xml:space="preserve">drug </w:t>
      </w:r>
      <w:r w:rsidRPr="006C334C">
        <w:t xml:space="preserve">recovery </w:t>
      </w:r>
      <w:r>
        <w:t xml:space="preserve">(OPT-80 plus OP-1118) </w:t>
      </w:r>
      <w:r w:rsidRPr="006C334C">
        <w:t>approximated 92.6% (±</w:t>
      </w:r>
      <w:r>
        <w:t xml:space="preserve"> </w:t>
      </w:r>
      <w:r w:rsidRPr="006C334C">
        <w:t>42.0%) of</w:t>
      </w:r>
      <w:r>
        <w:t xml:space="preserve"> the administered single doses.</w:t>
      </w:r>
    </w:p>
    <w:p w:rsidR="00C528D5" w:rsidRDefault="00C528D5" w:rsidP="00090CE9">
      <w:pPr>
        <w:pStyle w:val="ListBullet"/>
      </w:pPr>
      <w:r>
        <w:t>The p</w:t>
      </w:r>
      <w:r w:rsidRPr="006C334C">
        <w:t>eak f</w:t>
      </w:r>
      <w:r>
        <w:t>aecal concentrations ranged from</w:t>
      </w:r>
      <w:r w:rsidRPr="006C334C">
        <w:t xml:space="preserve"> 158.4</w:t>
      </w:r>
      <w:r>
        <w:t xml:space="preserve"> </w:t>
      </w:r>
      <w:proofErr w:type="gramStart"/>
      <w:r>
        <w:t>to 480.7</w:t>
      </w:r>
      <w:r w:rsidR="003B4B6A">
        <w:t xml:space="preserve"> µ</w:t>
      </w:r>
      <w:r>
        <w:t>g/g</w:t>
      </w:r>
      <w:proofErr w:type="gramEnd"/>
      <w:r w:rsidRPr="006C334C">
        <w:t xml:space="preserve">. </w:t>
      </w:r>
      <w:r>
        <w:t>When normalized to 10</w:t>
      </w:r>
      <w:r w:rsidR="003B4B6A" w:rsidRPr="003B4B6A">
        <w:t>0 mg</w:t>
      </w:r>
      <w:r w:rsidRPr="006C334C">
        <w:t xml:space="preserve"> dose, the peak</w:t>
      </w:r>
      <w:r>
        <w:t xml:space="preserve"> </w:t>
      </w:r>
      <w:r w:rsidRPr="006C334C">
        <w:t>concentrations</w:t>
      </w:r>
      <w:r>
        <w:t xml:space="preserve"> ranged from 52.8 </w:t>
      </w:r>
      <w:proofErr w:type="gramStart"/>
      <w:r>
        <w:t>to 160.2</w:t>
      </w:r>
      <w:r w:rsidR="003B4B6A">
        <w:t xml:space="preserve"> µ</w:t>
      </w:r>
      <w:r>
        <w:t>g/g (mean ± SD</w:t>
      </w:r>
      <w:r w:rsidRPr="006C334C">
        <w:t xml:space="preserve"> 104.39 ± 34.94</w:t>
      </w:r>
      <w:r w:rsidR="003B4B6A">
        <w:t xml:space="preserve"> µ</w:t>
      </w:r>
      <w:r>
        <w:t>g/g</w:t>
      </w:r>
      <w:r w:rsidRPr="006C334C">
        <w:t>)</w:t>
      </w:r>
      <w:proofErr w:type="gramEnd"/>
      <w:r w:rsidRPr="006C334C">
        <w:t>.</w:t>
      </w:r>
    </w:p>
    <w:p w:rsidR="00C528D5" w:rsidRPr="00C8156C" w:rsidRDefault="00C528D5" w:rsidP="00090CE9">
      <w:pPr>
        <w:pStyle w:val="ListBullet"/>
      </w:pPr>
      <w:r w:rsidRPr="006C334C">
        <w:t>Approxim</w:t>
      </w:r>
      <w:r>
        <w:t xml:space="preserve">ately 7.1% (1.1% to 37.1%) of single oral dose (100 </w:t>
      </w:r>
      <w:r w:rsidR="003B4B6A">
        <w:t xml:space="preserve">and </w:t>
      </w:r>
      <w:r>
        <w:t>45</w:t>
      </w:r>
      <w:r w:rsidR="003B4B6A" w:rsidRPr="003B4B6A">
        <w:t>0 mg</w:t>
      </w:r>
      <w:r>
        <w:t xml:space="preserve"> dose groups) was excreted in</w:t>
      </w:r>
      <w:r w:rsidRPr="006C334C">
        <w:t xml:space="preserve"> f</w:t>
      </w:r>
      <w:r>
        <w:t>a</w:t>
      </w:r>
      <w:r w:rsidRPr="006C334C">
        <w:t>eces as unchanged OPT-80 over the 120</w:t>
      </w:r>
      <w:r w:rsidR="003B4B6A">
        <w:t xml:space="preserve"> </w:t>
      </w:r>
      <w:r w:rsidRPr="006C334C">
        <w:t>hour</w:t>
      </w:r>
      <w:r>
        <w:t xml:space="preserve"> </w:t>
      </w:r>
      <w:r w:rsidRPr="006C334C">
        <w:t>collection period</w:t>
      </w:r>
      <w:r>
        <w:t>. M</w:t>
      </w:r>
      <w:r w:rsidRPr="006C334C">
        <w:t>easurement of M1 (OP</w:t>
      </w:r>
      <w:r>
        <w:t>-1118) for the 10</w:t>
      </w:r>
      <w:r w:rsidR="003B4B6A" w:rsidRPr="003B4B6A">
        <w:t>0 mg</w:t>
      </w:r>
      <w:r>
        <w:t xml:space="preserve"> </w:t>
      </w:r>
      <w:r w:rsidR="003B4B6A">
        <w:t>and</w:t>
      </w:r>
      <w:r>
        <w:t xml:space="preserve"> 45</w:t>
      </w:r>
      <w:r w:rsidR="003B4B6A" w:rsidRPr="003B4B6A">
        <w:t>0 mg</w:t>
      </w:r>
      <w:r>
        <w:t xml:space="preserve"> dose groups was could not be done</w:t>
      </w:r>
      <w:r w:rsidRPr="006C334C">
        <w:t xml:space="preserve"> due to incomplete collection of f</w:t>
      </w:r>
      <w:r>
        <w:t xml:space="preserve">aecal samples. </w:t>
      </w:r>
      <w:r w:rsidRPr="006C334C">
        <w:t xml:space="preserve">Therefore, </w:t>
      </w:r>
      <w:r>
        <w:t>the total recovery for these 2</w:t>
      </w:r>
      <w:r w:rsidRPr="006C334C">
        <w:t xml:space="preserve"> dosing</w:t>
      </w:r>
      <w:r>
        <w:t xml:space="preserve"> groups could</w:t>
      </w:r>
      <w:r w:rsidRPr="006C334C">
        <w:t xml:space="preserve"> not </w:t>
      </w:r>
      <w:r>
        <w:t xml:space="preserve">be </w:t>
      </w:r>
      <w:r w:rsidRPr="006C334C">
        <w:t>calculated.</w:t>
      </w:r>
    </w:p>
    <w:p w:rsidR="00C528D5" w:rsidRPr="005D285D" w:rsidRDefault="00C528D5" w:rsidP="003B4B6A">
      <w:pPr>
        <w:pStyle w:val="Heading4"/>
      </w:pPr>
      <w:r>
        <w:t xml:space="preserve">Study </w:t>
      </w:r>
      <w:r w:rsidRPr="005D285D">
        <w:t>OPT-80 1B-MD</w:t>
      </w:r>
    </w:p>
    <w:p w:rsidR="00C528D5" w:rsidRPr="00491D81" w:rsidRDefault="00C528D5" w:rsidP="003B4B6A">
      <w:r w:rsidRPr="003C7E3D">
        <w:t>Thi</w:t>
      </w:r>
      <w:r>
        <w:t>s was a Phase I, multiple-dose study to assess pharmacokinetics of fidaxomicin in 24 healthy volunteers. The design was</w:t>
      </w:r>
      <w:r w:rsidRPr="003C7E3D">
        <w:t xml:space="preserve"> randomised, double-blind, placebo-c</w:t>
      </w:r>
      <w:r>
        <w:t xml:space="preserve">ontrolled </w:t>
      </w:r>
      <w:r w:rsidRPr="00491D81">
        <w:t>with dose escalation.</w:t>
      </w:r>
    </w:p>
    <w:p w:rsidR="00C528D5" w:rsidRPr="003C7E3D" w:rsidRDefault="00C528D5" w:rsidP="003B4B6A">
      <w:r w:rsidRPr="00491D81">
        <w:t>Following on from the previous single dose study, this study aimed to investigate</w:t>
      </w:r>
      <w:r w:rsidRPr="003C7E3D">
        <w:t xml:space="preserve"> pharmacokinetics of OPT-80</w:t>
      </w:r>
      <w:r>
        <w:t xml:space="preserve"> in healthy volunteers after administration</w:t>
      </w:r>
      <w:r w:rsidRPr="003C7E3D">
        <w:t xml:space="preserve"> of ora</w:t>
      </w:r>
      <w:r>
        <w:t xml:space="preserve">l doses for 10 consecutive days </w:t>
      </w:r>
      <w:r w:rsidR="003B4B6A" w:rsidRPr="003B4B6A">
        <w:t>that is,</w:t>
      </w:r>
      <w:r>
        <w:t xml:space="preserve"> steady state pharmacokinetics.</w:t>
      </w:r>
    </w:p>
    <w:p w:rsidR="00C528D5" w:rsidRDefault="00C528D5" w:rsidP="003B4B6A">
      <w:r w:rsidRPr="003C7E3D">
        <w:t>A total of 24 healthy vol</w:t>
      </w:r>
      <w:r>
        <w:t>unteers</w:t>
      </w:r>
      <w:r w:rsidRPr="003C7E3D">
        <w:t xml:space="preserve"> participated in the study</w:t>
      </w:r>
      <w:r>
        <w:t xml:space="preserve"> in 3 groups of 8 subjects each</w:t>
      </w:r>
      <w:r w:rsidRPr="003C7E3D">
        <w:t xml:space="preserve">. The doses of OPT-80 evaluated </w:t>
      </w:r>
      <w:r>
        <w:t>were 15</w:t>
      </w:r>
      <w:r w:rsidR="003B4B6A" w:rsidRPr="003B4B6A">
        <w:t>0 mg</w:t>
      </w:r>
      <w:r>
        <w:t>, 30</w:t>
      </w:r>
      <w:r w:rsidR="003B4B6A" w:rsidRPr="003B4B6A">
        <w:t>0 mg</w:t>
      </w:r>
      <w:r w:rsidRPr="003C7E3D">
        <w:t xml:space="preserve"> and 4</w:t>
      </w:r>
      <w:r>
        <w:t>5</w:t>
      </w:r>
      <w:r w:rsidR="003B4B6A" w:rsidRPr="003B4B6A">
        <w:t>0 mg</w:t>
      </w:r>
      <w:r>
        <w:t xml:space="preserve"> administered orally (once daily) after morning breakfast on</w:t>
      </w:r>
      <w:r w:rsidRPr="003C7E3D">
        <w:t xml:space="preserve"> 10 consecutive days.</w:t>
      </w:r>
    </w:p>
    <w:p w:rsidR="00C528D5" w:rsidRDefault="00C528D5" w:rsidP="003B4B6A">
      <w:r w:rsidRPr="003C7E3D">
        <w:t>At each dose level, 6 volunteers were r</w:t>
      </w:r>
      <w:r>
        <w:t>andomi</w:t>
      </w:r>
      <w:r w:rsidR="003B4B6A">
        <w:t>s</w:t>
      </w:r>
      <w:r>
        <w:t>ed to receive fidaxomicin (150, 300 or 45</w:t>
      </w:r>
      <w:r w:rsidR="003B4B6A" w:rsidRPr="003B4B6A">
        <w:t>0 mg</w:t>
      </w:r>
      <w:r>
        <w:t>)</w:t>
      </w:r>
      <w:r w:rsidRPr="003C7E3D">
        <w:t xml:space="preserve"> and 2 </w:t>
      </w:r>
      <w:r>
        <w:t>to receive</w:t>
      </w:r>
      <w:r w:rsidRPr="003C7E3D">
        <w:t xml:space="preserve"> placebo</w:t>
      </w:r>
      <w:r>
        <w:t>. The dosing was started in the 15</w:t>
      </w:r>
      <w:r w:rsidR="003B4B6A" w:rsidRPr="003B4B6A">
        <w:t>0 mg</w:t>
      </w:r>
      <w:r>
        <w:t xml:space="preserve"> group followed by 30</w:t>
      </w:r>
      <w:r w:rsidR="003B4B6A" w:rsidRPr="003B4B6A">
        <w:t>0 mg</w:t>
      </w:r>
      <w:r>
        <w:t xml:space="preserve"> and 45</w:t>
      </w:r>
      <w:r w:rsidR="003B4B6A" w:rsidRPr="003B4B6A">
        <w:t>0 mg</w:t>
      </w:r>
      <w:r>
        <w:t xml:space="preserve"> groups on subsequent days. Continued once daily dosing to a total of 10 days of was completed at home.</w:t>
      </w:r>
    </w:p>
    <w:p w:rsidR="00C528D5" w:rsidRPr="003C7E3D" w:rsidRDefault="00C528D5" w:rsidP="003B4B6A">
      <w:r>
        <w:t>The mean age of the participants was 52 years (range 38 - 62 years) and included both males and females.</w:t>
      </w:r>
    </w:p>
    <w:p w:rsidR="00C528D5" w:rsidRDefault="00C528D5" w:rsidP="003B4B6A">
      <w:r>
        <w:t>The results were reported as follows:</w:t>
      </w:r>
    </w:p>
    <w:p w:rsidR="00C528D5" w:rsidRDefault="00C528D5" w:rsidP="00090CE9">
      <w:pPr>
        <w:pStyle w:val="ListBullet"/>
      </w:pPr>
      <w:r w:rsidRPr="003C7E3D">
        <w:t xml:space="preserve">After multiple dose oral administrations, plasma concentrations of OPT-80 were mostly below the limit of quantification across the </w:t>
      </w:r>
      <w:r>
        <w:t xml:space="preserve">studied </w:t>
      </w:r>
      <w:r w:rsidRPr="003C7E3D">
        <w:t>dose range</w:t>
      </w:r>
      <w:r>
        <w:t xml:space="preserve"> (150 – 45</w:t>
      </w:r>
      <w:r w:rsidR="003B4B6A" w:rsidRPr="003B4B6A">
        <w:t>0 mg</w:t>
      </w:r>
      <w:r>
        <w:t>)</w:t>
      </w:r>
      <w:r w:rsidRPr="003C7E3D">
        <w:t>. Detectable plasma concentrations were found</w:t>
      </w:r>
      <w:r>
        <w:t xml:space="preserve"> in 12 samples from 6 subjects</w:t>
      </w:r>
      <w:r w:rsidR="00491D81">
        <w:t>.</w:t>
      </w:r>
    </w:p>
    <w:p w:rsidR="00C528D5" w:rsidRDefault="00C528D5" w:rsidP="00090CE9">
      <w:pPr>
        <w:pStyle w:val="ListBullet"/>
      </w:pPr>
      <w:r w:rsidRPr="003C7E3D">
        <w:t>Of the 12 det</w:t>
      </w:r>
      <w:r>
        <w:t>ectable concentrations, two</w:t>
      </w:r>
      <w:r w:rsidRPr="003C7E3D">
        <w:t xml:space="preserve"> were s</w:t>
      </w:r>
      <w:r>
        <w:t xml:space="preserve">ignificantly above </w:t>
      </w:r>
      <w:r w:rsidRPr="003C7E3D">
        <w:t>the lower</w:t>
      </w:r>
      <w:r>
        <w:t xml:space="preserve"> limit of quantification (LLOQ</w:t>
      </w:r>
      <w:r w:rsidRPr="003C7E3D">
        <w:t>),</w:t>
      </w:r>
      <w:r>
        <w:t xml:space="preserve"> while others were around the LLOQ </w:t>
      </w:r>
      <w:proofErr w:type="gramStart"/>
      <w:r>
        <w:t>(5</w:t>
      </w:r>
      <w:r w:rsidR="003B4B6A">
        <w:t xml:space="preserve"> </w:t>
      </w:r>
      <w:r>
        <w:t>ng/mL)</w:t>
      </w:r>
      <w:proofErr w:type="gramEnd"/>
      <w:r w:rsidRPr="003C7E3D">
        <w:t>.</w:t>
      </w:r>
      <w:r>
        <w:t xml:space="preserve"> </w:t>
      </w:r>
      <w:r w:rsidRPr="003C7E3D">
        <w:t>The</w:t>
      </w:r>
      <w:r>
        <w:t xml:space="preserve"> two significant plasma levels (</w:t>
      </w:r>
      <w:proofErr w:type="gramStart"/>
      <w:r w:rsidRPr="003C7E3D">
        <w:t>11.1</w:t>
      </w:r>
      <w:r w:rsidR="003B4B6A">
        <w:t xml:space="preserve"> </w:t>
      </w:r>
      <w:r>
        <w:t>ng/mL</w:t>
      </w:r>
      <w:proofErr w:type="gramEnd"/>
      <w:r w:rsidRPr="003C7E3D">
        <w:t xml:space="preserve"> and 48.0</w:t>
      </w:r>
      <w:r w:rsidR="003B4B6A">
        <w:t xml:space="preserve"> </w:t>
      </w:r>
      <w:r w:rsidRPr="003C7E3D">
        <w:t>ng/mL</w:t>
      </w:r>
      <w:r>
        <w:t>) observed in the same subject were on Day 1/</w:t>
      </w:r>
      <w:r w:rsidRPr="003C7E3D">
        <w:t>Ho</w:t>
      </w:r>
      <w:r>
        <w:t>ur 1 and pre-dose on Day 10 respectively.</w:t>
      </w:r>
    </w:p>
    <w:p w:rsidR="00C528D5" w:rsidRDefault="00C528D5" w:rsidP="00090CE9">
      <w:pPr>
        <w:pStyle w:val="ListBullet"/>
      </w:pPr>
      <w:r>
        <w:t>T</w:t>
      </w:r>
      <w:r w:rsidRPr="003566A2">
        <w:t>he m</w:t>
      </w:r>
      <w:r>
        <w:t xml:space="preserve">ultiple dose study yielded much </w:t>
      </w:r>
      <w:r w:rsidRPr="003566A2">
        <w:t>lower plasma concentrations</w:t>
      </w:r>
      <w:r>
        <w:t xml:space="preserve"> compared to the single dose study</w:t>
      </w:r>
      <w:r w:rsidRPr="003566A2">
        <w:t xml:space="preserve">. </w:t>
      </w:r>
      <w:r>
        <w:t>The sponsor commented that t</w:t>
      </w:r>
      <w:r w:rsidRPr="003566A2">
        <w:t>his could be due to the u</w:t>
      </w:r>
      <w:r>
        <w:t xml:space="preserve">se of formulations that possess </w:t>
      </w:r>
      <w:r w:rsidRPr="003566A2">
        <w:t>different absorption characteristics. The current study u</w:t>
      </w:r>
      <w:r>
        <w:t xml:space="preserve">sed powder filled capsules that </w:t>
      </w:r>
      <w:r w:rsidRPr="003566A2">
        <w:t>contain</w:t>
      </w:r>
      <w:r>
        <w:t>ed</w:t>
      </w:r>
      <w:r w:rsidRPr="003566A2">
        <w:t xml:space="preserve"> OPT-80 and mi</w:t>
      </w:r>
      <w:r>
        <w:t>crocrystalline cellulose as the bulking agent, w</w:t>
      </w:r>
      <w:r w:rsidRPr="003566A2">
        <w:t>hereas a liquid filled capsule that contained OPT-80 di</w:t>
      </w:r>
      <w:r>
        <w:t xml:space="preserve">ssolved in labrasol was used in </w:t>
      </w:r>
      <w:r w:rsidRPr="003566A2">
        <w:t>the single dose study.</w:t>
      </w:r>
    </w:p>
    <w:p w:rsidR="00C528D5" w:rsidRDefault="00C528D5" w:rsidP="00090CE9">
      <w:pPr>
        <w:pStyle w:val="ListBullet"/>
      </w:pPr>
      <w:r w:rsidRPr="003566A2">
        <w:t>Due to low OPT-80 plasma levels across the dose range,</w:t>
      </w:r>
      <w:r>
        <w:t xml:space="preserve"> there were insufficient plasma </w:t>
      </w:r>
      <w:r w:rsidRPr="003566A2">
        <w:t>data points above LLOQ for pharmacokinetic analysis</w:t>
      </w:r>
      <w:r>
        <w:t xml:space="preserve">. Therefore, no pharmacokinetic </w:t>
      </w:r>
      <w:r w:rsidRPr="003566A2">
        <w:t>parameters could be define</w:t>
      </w:r>
      <w:r>
        <w:t>d from this study.</w:t>
      </w:r>
    </w:p>
    <w:p w:rsidR="00C528D5" w:rsidRPr="003566A2" w:rsidRDefault="00C528D5" w:rsidP="00090CE9">
      <w:pPr>
        <w:pStyle w:val="ListBullet"/>
      </w:pPr>
      <w:r>
        <w:t>Intact OPT-8</w:t>
      </w:r>
      <w:r w:rsidR="003B4B6A">
        <w:t>0</w:t>
      </w:r>
      <w:r>
        <w:t xml:space="preserve"> was not detected in any urine sample.</w:t>
      </w:r>
    </w:p>
    <w:p w:rsidR="00C528D5" w:rsidRPr="009C5EC3" w:rsidRDefault="003B4B6A" w:rsidP="00090CE9">
      <w:pPr>
        <w:pStyle w:val="ListBullet"/>
      </w:pPr>
      <w:r>
        <w:t>Normalis</w:t>
      </w:r>
      <w:r w:rsidR="00C528D5">
        <w:t>ed to</w:t>
      </w:r>
      <w:r w:rsidR="00C528D5" w:rsidRPr="003C7E3D">
        <w:t xml:space="preserve"> 15</w:t>
      </w:r>
      <w:r w:rsidRPr="003B4B6A">
        <w:t>0 mg</w:t>
      </w:r>
      <w:r w:rsidR="00C528D5" w:rsidRPr="003C7E3D">
        <w:t xml:space="preserve"> dose</w:t>
      </w:r>
      <w:r w:rsidR="00491D81">
        <w:t>,</w:t>
      </w:r>
      <w:r w:rsidR="00C528D5" w:rsidRPr="003C7E3D">
        <w:t xml:space="preserve"> </w:t>
      </w:r>
      <w:r w:rsidR="00C528D5">
        <w:t>the mean faecal OPT-80 was 916</w:t>
      </w:r>
      <w:r>
        <w:t xml:space="preserve"> µ</w:t>
      </w:r>
      <w:r w:rsidR="00C528D5">
        <w:t>g/g (138 – 1769</w:t>
      </w:r>
      <w:r>
        <w:t xml:space="preserve"> µ</w:t>
      </w:r>
      <w:r w:rsidR="00C528D5" w:rsidRPr="003C7E3D">
        <w:t xml:space="preserve">g/g), and </w:t>
      </w:r>
      <w:r w:rsidR="00C528D5">
        <w:t>mean faecal OP-1118 was 267</w:t>
      </w:r>
      <w:r>
        <w:t xml:space="preserve"> µ</w:t>
      </w:r>
      <w:r w:rsidR="00C528D5">
        <w:t xml:space="preserve">g/g (51 </w:t>
      </w:r>
      <w:r>
        <w:t>–</w:t>
      </w:r>
      <w:r w:rsidR="00C528D5">
        <w:t xml:space="preserve"> 571</w:t>
      </w:r>
      <w:r>
        <w:t xml:space="preserve"> µ</w:t>
      </w:r>
      <w:r w:rsidR="00C528D5" w:rsidRPr="003C7E3D">
        <w:t>g/g).</w:t>
      </w:r>
    </w:p>
    <w:p w:rsidR="00C528D5" w:rsidRPr="009C5EC3" w:rsidRDefault="00C528D5" w:rsidP="003B4B6A">
      <w:pPr>
        <w:pStyle w:val="Heading3"/>
      </w:pPr>
      <w:bookmarkStart w:id="30" w:name="_Toc241374288"/>
      <w:bookmarkStart w:id="31" w:name="_Toc272414621"/>
      <w:bookmarkStart w:id="32" w:name="_Toc290846244"/>
      <w:bookmarkStart w:id="33" w:name="_Toc338860708"/>
      <w:bookmarkStart w:id="34" w:name="_Toc370734729"/>
      <w:r>
        <w:t xml:space="preserve">Overall Absorption, </w:t>
      </w:r>
      <w:r w:rsidRPr="009C5EC3">
        <w:t>Distribution</w:t>
      </w:r>
      <w:bookmarkEnd w:id="30"/>
      <w:bookmarkEnd w:id="31"/>
      <w:bookmarkEnd w:id="32"/>
      <w:r>
        <w:t xml:space="preserve">, Metabolism </w:t>
      </w:r>
      <w:r w:rsidR="00A60293">
        <w:t>and</w:t>
      </w:r>
      <w:r>
        <w:t xml:space="preserve"> Excretion (ADME) features</w:t>
      </w:r>
      <w:bookmarkEnd w:id="33"/>
      <w:bookmarkEnd w:id="34"/>
    </w:p>
    <w:p w:rsidR="00C528D5" w:rsidRDefault="00C528D5" w:rsidP="003B4B6A">
      <w:r>
        <w:t>Fidaxomicin is locally acting in the gastrointestinal tract. There is minimal systemic absorption (C</w:t>
      </w:r>
      <w:r w:rsidRPr="009C4F4D">
        <w:rPr>
          <w:vertAlign w:val="subscript"/>
        </w:rPr>
        <w:t xml:space="preserve">max </w:t>
      </w:r>
      <w:r>
        <w:t>5-10ng/mL) based on reports in clinical studies in human healthy volunteers.</w:t>
      </w:r>
    </w:p>
    <w:p w:rsidR="00C528D5" w:rsidRDefault="00C528D5" w:rsidP="003B4B6A">
      <w:r>
        <w:t>The metabolic fate of fidaxomicin is well accounted for and does not possess complicated pharmacokinetic features.</w:t>
      </w:r>
    </w:p>
    <w:p w:rsidR="00C528D5" w:rsidRPr="00DE7567" w:rsidRDefault="00C528D5" w:rsidP="003B4B6A">
      <w:r w:rsidRPr="0077278C">
        <w:t xml:space="preserve">Fidaxomicin is not metabolised by human cytochrome P450 (CYP) enzymes and does not induce or inhibit these enzymes </w:t>
      </w:r>
      <w:r w:rsidRPr="00EE279D">
        <w:rPr>
          <w:i/>
        </w:rPr>
        <w:t>in vitro</w:t>
      </w:r>
      <w:r w:rsidRPr="0077278C">
        <w:t>.</w:t>
      </w:r>
      <w:r>
        <w:t xml:space="preserve"> Its biotransformation involves hydrolysis of isobutyryl ester to form OP-1118 likely via an esterase, along with a small amount of glucuronidation and sulfation.</w:t>
      </w:r>
    </w:p>
    <w:p w:rsidR="00C528D5" w:rsidRDefault="00C528D5" w:rsidP="003B4B6A">
      <w:r w:rsidRPr="00EE279D">
        <w:rPr>
          <w:i/>
        </w:rPr>
        <w:t>In vitro</w:t>
      </w:r>
      <w:r w:rsidRPr="0077278C">
        <w:t xml:space="preserve"> fidaxomicin </w:t>
      </w:r>
      <w:r>
        <w:t>and its main metabolite OP-1118</w:t>
      </w:r>
      <w:r w:rsidRPr="0077278C">
        <w:t xml:space="preserve"> are substrates and inhibitors of the efflu</w:t>
      </w:r>
      <w:r>
        <w:t>x transporter P-glycoprotein (P-</w:t>
      </w:r>
      <w:r w:rsidRPr="0077278C">
        <w:t>gp) which is expressed in the gastrointestinal tract.</w:t>
      </w:r>
      <w:r>
        <w:t xml:space="preserve"> </w:t>
      </w:r>
      <w:r w:rsidRPr="00EE279D">
        <w:rPr>
          <w:i/>
        </w:rPr>
        <w:t>In vivo</w:t>
      </w:r>
      <w:r w:rsidRPr="0077278C">
        <w:t xml:space="preserve"> data suggest that fidaxomicin may be a mild to moderate inhibitor of intestinal P-gp.</w:t>
      </w:r>
    </w:p>
    <w:p w:rsidR="00C528D5" w:rsidRDefault="00C528D5" w:rsidP="003B4B6A">
      <w:r>
        <w:t>There do not appear to be any unaccounted metabolites based on pharmacokinetic and mass balance data. More information may be available in the toxicology dossier.</w:t>
      </w:r>
    </w:p>
    <w:p w:rsidR="00C528D5" w:rsidRPr="00EB29B9" w:rsidRDefault="003B4B6A" w:rsidP="003B4B6A">
      <w:r>
        <w:t>In the S</w:t>
      </w:r>
      <w:r w:rsidR="00C528D5">
        <w:t>tudy OPT-80 1A-SD, over 92% of the orally administered drug was accounted for in the faeces as fidaxomicin or its primary metabolite OP-1118. This metabolite has weak antimicrobial activity estimated to be at 32 fold higher MIC</w:t>
      </w:r>
      <w:r w:rsidR="00C528D5" w:rsidRPr="000E6AE7">
        <w:rPr>
          <w:vertAlign w:val="subscript"/>
        </w:rPr>
        <w:t>90</w:t>
      </w:r>
      <w:r w:rsidR="00C528D5">
        <w:rPr>
          <w:sz w:val="16"/>
          <w:szCs w:val="16"/>
        </w:rPr>
        <w:t xml:space="preserve"> </w:t>
      </w:r>
      <w:r w:rsidR="00C528D5">
        <w:t>than that of the parent fidaxomicin. L</w:t>
      </w:r>
      <w:r w:rsidR="00C528D5" w:rsidRPr="00006F7B">
        <w:rPr>
          <w:color w:val="000000"/>
        </w:rPr>
        <w:t xml:space="preserve">ess than 1% of the administered dose is excreted </w:t>
      </w:r>
      <w:r w:rsidR="00C528D5">
        <w:rPr>
          <w:color w:val="000000"/>
        </w:rPr>
        <w:t>via renal route.</w:t>
      </w:r>
    </w:p>
    <w:p w:rsidR="00C528D5" w:rsidRPr="009C5EC3" w:rsidRDefault="00C528D5" w:rsidP="003B4B6A">
      <w:pPr>
        <w:pStyle w:val="Heading3"/>
      </w:pPr>
      <w:bookmarkStart w:id="35" w:name="_Toc241374292"/>
      <w:bookmarkStart w:id="36" w:name="_Ref271189131"/>
      <w:bookmarkStart w:id="37" w:name="_Ref271189136"/>
      <w:bookmarkStart w:id="38" w:name="_Toc272414625"/>
      <w:bookmarkStart w:id="39" w:name="_Toc290846248"/>
      <w:bookmarkStart w:id="40" w:name="_Toc338860709"/>
      <w:bookmarkStart w:id="41" w:name="_Toc370734730"/>
      <w:r>
        <w:t>Pharmacokinetics in</w:t>
      </w:r>
      <w:r w:rsidRPr="009C5EC3">
        <w:t xml:space="preserve"> target population</w:t>
      </w:r>
      <w:bookmarkEnd w:id="35"/>
      <w:bookmarkEnd w:id="36"/>
      <w:bookmarkEnd w:id="37"/>
      <w:bookmarkEnd w:id="38"/>
      <w:bookmarkEnd w:id="39"/>
      <w:bookmarkEnd w:id="40"/>
      <w:bookmarkEnd w:id="41"/>
    </w:p>
    <w:p w:rsidR="00C528D5" w:rsidRDefault="00C528D5" w:rsidP="003B4B6A">
      <w:r>
        <w:t>The following information is based on pharmacokinetic data collected in the clinical efficacy trials:</w:t>
      </w:r>
    </w:p>
    <w:p w:rsidR="00C528D5" w:rsidRPr="00D42F71" w:rsidRDefault="00C528D5" w:rsidP="003B4B6A">
      <w:pPr>
        <w:pStyle w:val="Heading4"/>
      </w:pPr>
      <w:r w:rsidRPr="00D42F71">
        <w:t>Study OPT-80-2A</w:t>
      </w:r>
    </w:p>
    <w:p w:rsidR="00C528D5" w:rsidRDefault="00C528D5" w:rsidP="003B4B6A">
      <w:r>
        <w:t>This was a Phase II dose finding study with the following pharmacokinetic results:</w:t>
      </w:r>
    </w:p>
    <w:p w:rsidR="00C528D5" w:rsidRDefault="00C528D5" w:rsidP="003B4B6A">
      <w:r w:rsidRPr="00D42F71">
        <w:t>In plasma, observable OPT-80 concentrations from Day 1 and Day 10 ranged fr</w:t>
      </w:r>
      <w:r>
        <w:t xml:space="preserve">om 9.45 to </w:t>
      </w:r>
      <w:proofErr w:type="gramStart"/>
      <w:r>
        <w:t>12.3</w:t>
      </w:r>
      <w:r w:rsidR="003B4B6A">
        <w:t xml:space="preserve"> </w:t>
      </w:r>
      <w:r>
        <w:t>ng/mL in the 10</w:t>
      </w:r>
      <w:r w:rsidR="003B4B6A" w:rsidRPr="003B4B6A">
        <w:t>0 mg</w:t>
      </w:r>
      <w:r w:rsidRPr="00D42F71">
        <w:t xml:space="preserve">/day </w:t>
      </w:r>
      <w:r>
        <w:t>(5</w:t>
      </w:r>
      <w:r w:rsidR="003B4B6A" w:rsidRPr="003B4B6A">
        <w:t>0 mg</w:t>
      </w:r>
      <w:r>
        <w:t xml:space="preserve"> BID) </w:t>
      </w:r>
      <w:r w:rsidRPr="00D42F71">
        <w:t>treatment grou</w:t>
      </w:r>
      <w:r>
        <w:t>p</w:t>
      </w:r>
      <w:proofErr w:type="gramEnd"/>
      <w:r>
        <w:t>, 5.12 to 93.7</w:t>
      </w:r>
      <w:r w:rsidR="003B4B6A">
        <w:t xml:space="preserve"> </w:t>
      </w:r>
      <w:r>
        <w:t>ng/mL in the 20</w:t>
      </w:r>
      <w:r w:rsidR="003B4B6A" w:rsidRPr="003B4B6A">
        <w:t>0 mg</w:t>
      </w:r>
      <w:r w:rsidRPr="00D42F71">
        <w:t xml:space="preserve">/day </w:t>
      </w:r>
      <w:r>
        <w:t>(10</w:t>
      </w:r>
      <w:r w:rsidR="003B4B6A" w:rsidRPr="003B4B6A">
        <w:t>0 mg</w:t>
      </w:r>
      <w:r>
        <w:t xml:space="preserve"> BID) </w:t>
      </w:r>
      <w:r w:rsidRPr="00D42F71">
        <w:t>treatment group, a</w:t>
      </w:r>
      <w:r>
        <w:t>nd 5.32 to 84.9</w:t>
      </w:r>
      <w:r w:rsidR="003B4B6A">
        <w:t xml:space="preserve"> </w:t>
      </w:r>
      <w:r>
        <w:t>ng/mL in the 40</w:t>
      </w:r>
      <w:r w:rsidR="003B4B6A" w:rsidRPr="003B4B6A">
        <w:t>0 mg</w:t>
      </w:r>
      <w:r w:rsidRPr="00D42F71">
        <w:t xml:space="preserve">/day </w:t>
      </w:r>
      <w:r>
        <w:t>(20</w:t>
      </w:r>
      <w:r w:rsidR="003B4B6A" w:rsidRPr="003B4B6A">
        <w:t>0 mg</w:t>
      </w:r>
      <w:r>
        <w:t xml:space="preserve"> BID) treatment group.</w:t>
      </w:r>
    </w:p>
    <w:p w:rsidR="00C528D5" w:rsidRPr="00DD718D" w:rsidRDefault="00C528D5" w:rsidP="00DD718D">
      <w:r>
        <w:t>T</w:t>
      </w:r>
      <w:r w:rsidRPr="00D42F71">
        <w:t>he metabolite OP-1118 was present in plasma in measurable concentrations in a greater number of samples than the parent OPT-80. Observable OP-1118 concentrations from Day 1 and Day 10 ranged fr</w:t>
      </w:r>
      <w:r>
        <w:t>om 5.23 to 77.2</w:t>
      </w:r>
      <w:r w:rsidR="003B4B6A">
        <w:t xml:space="preserve"> </w:t>
      </w:r>
      <w:r>
        <w:t>ng/mL in the 10</w:t>
      </w:r>
      <w:r w:rsidR="003B4B6A" w:rsidRPr="003B4B6A">
        <w:t>0 mg</w:t>
      </w:r>
      <w:r w:rsidRPr="00D42F71">
        <w:t>/day treatment group</w:t>
      </w:r>
      <w:r>
        <w:t xml:space="preserve">, </w:t>
      </w:r>
      <w:proofErr w:type="gramStart"/>
      <w:r>
        <w:t>5.12 to 154.3</w:t>
      </w:r>
      <w:r w:rsidR="003B4B6A">
        <w:t xml:space="preserve"> </w:t>
      </w:r>
      <w:r>
        <w:t>ng/mL in the 20</w:t>
      </w:r>
      <w:r w:rsidR="003B4B6A" w:rsidRPr="003B4B6A">
        <w:t>0 mg</w:t>
      </w:r>
      <w:r w:rsidRPr="00D42F71">
        <w:t>/day treatment group,</w:t>
      </w:r>
      <w:proofErr w:type="gramEnd"/>
      <w:r w:rsidRPr="00D42F71">
        <w:t xml:space="preserve"> an</w:t>
      </w:r>
      <w:r>
        <w:t>d 5.92 to 402.3</w:t>
      </w:r>
      <w:r w:rsidR="003B4B6A">
        <w:t xml:space="preserve"> </w:t>
      </w:r>
      <w:r>
        <w:t>ng/mL in the 40</w:t>
      </w:r>
      <w:r w:rsidR="003B4B6A" w:rsidRPr="003B4B6A">
        <w:t>0 mg</w:t>
      </w:r>
      <w:r w:rsidRPr="00D42F71">
        <w:t xml:space="preserve">/day </w:t>
      </w:r>
      <w:r w:rsidRPr="00DD718D">
        <w:t>treatment group.</w:t>
      </w:r>
    </w:p>
    <w:p w:rsidR="00C528D5" w:rsidRPr="00DD718D" w:rsidRDefault="00C528D5" w:rsidP="00DD718D">
      <w:r w:rsidRPr="00DD718D">
        <w:t>The faecal OPT-80 and OP-1118 levels ranged from 81.9 to 558.3</w:t>
      </w:r>
      <w:r w:rsidR="003B4B6A" w:rsidRPr="00DD718D">
        <w:t xml:space="preserve"> µ</w:t>
      </w:r>
      <w:r w:rsidRPr="00DD718D">
        <w:t>g/g and 140.8 to 1050.6</w:t>
      </w:r>
      <w:r w:rsidR="003B4B6A" w:rsidRPr="00DD718D">
        <w:t> µ</w:t>
      </w:r>
      <w:r w:rsidRPr="00DD718D">
        <w:t>g/g respectively in the 10</w:t>
      </w:r>
      <w:r w:rsidR="003B4B6A" w:rsidRPr="00DD718D">
        <w:t>0 mg</w:t>
      </w:r>
      <w:r w:rsidRPr="00DD718D">
        <w:t>/day group; from 11.7 to 786.7</w:t>
      </w:r>
      <w:r w:rsidR="003B4B6A" w:rsidRPr="00DD718D">
        <w:t xml:space="preserve"> µ</w:t>
      </w:r>
      <w:r w:rsidRPr="00DD718D">
        <w:t>g/g and from 16.3 to 937.8</w:t>
      </w:r>
      <w:r w:rsidR="003B4B6A" w:rsidRPr="00DD718D">
        <w:t xml:space="preserve"> µ</w:t>
      </w:r>
      <w:r w:rsidRPr="00DD718D">
        <w:t>g/g respectively in the 20</w:t>
      </w:r>
      <w:r w:rsidR="003B4B6A" w:rsidRPr="00DD718D">
        <w:t>0 mg</w:t>
      </w:r>
      <w:r w:rsidRPr="00DD718D">
        <w:t>/day group, and from 389.0 to 3974.8</w:t>
      </w:r>
      <w:r w:rsidR="003B4B6A" w:rsidRPr="00DD718D">
        <w:t xml:space="preserve"> µ</w:t>
      </w:r>
      <w:r w:rsidRPr="00DD718D">
        <w:t>g/g and from 211.0 to 1535.2</w:t>
      </w:r>
      <w:r w:rsidR="003B4B6A" w:rsidRPr="00DD718D">
        <w:t xml:space="preserve"> µ</w:t>
      </w:r>
      <w:r w:rsidRPr="00DD718D">
        <w:t>g/g, respectively in the 40</w:t>
      </w:r>
      <w:r w:rsidR="003B4B6A" w:rsidRPr="00DD718D">
        <w:t>0 mg</w:t>
      </w:r>
      <w:r w:rsidRPr="00DD718D">
        <w:t>/day group.</w:t>
      </w:r>
    </w:p>
    <w:p w:rsidR="00C528D5" w:rsidRPr="00DD718D" w:rsidRDefault="00C528D5" w:rsidP="00DD718D">
      <w:r w:rsidRPr="00DD718D">
        <w:t>All faecal concentrations of &gt; 1000</w:t>
      </w:r>
      <w:r w:rsidR="003B4B6A" w:rsidRPr="00DD718D">
        <w:t xml:space="preserve"> µ</w:t>
      </w:r>
      <w:r w:rsidRPr="00DD718D">
        <w:t>g/g (8 patients) were found in the 40</w:t>
      </w:r>
      <w:r w:rsidR="003B4B6A" w:rsidRPr="00DD718D">
        <w:t>0 mg</w:t>
      </w:r>
      <w:r w:rsidRPr="00DD718D">
        <w:t>/day (20</w:t>
      </w:r>
      <w:r w:rsidR="003B4B6A" w:rsidRPr="00DD718D">
        <w:t>0 mg</w:t>
      </w:r>
      <w:r w:rsidRPr="00DD718D">
        <w:t xml:space="preserve"> BID) fidaxomicin treatment group.</w:t>
      </w:r>
    </w:p>
    <w:p w:rsidR="00C528D5" w:rsidRPr="00021422" w:rsidRDefault="00C528D5" w:rsidP="003B4B6A">
      <w:pPr>
        <w:pStyle w:val="Heading4"/>
      </w:pPr>
      <w:r w:rsidRPr="00B32C1E">
        <w:t>Study 101.1.C.003</w:t>
      </w:r>
    </w:p>
    <w:p w:rsidR="00C528D5" w:rsidRDefault="00C528D5" w:rsidP="003B4B6A">
      <w:r>
        <w:t>This was the first confirmatory clinical efficacy trial.</w:t>
      </w:r>
    </w:p>
    <w:p w:rsidR="00C528D5" w:rsidRDefault="00C528D5" w:rsidP="003B4B6A">
      <w:r>
        <w:t>For each patient</w:t>
      </w:r>
      <w:r w:rsidRPr="001B3A69">
        <w:t>,</w:t>
      </w:r>
      <w:r>
        <w:t xml:space="preserve"> blood samples were</w:t>
      </w:r>
      <w:r w:rsidRPr="001B3A69">
        <w:t xml:space="preserve"> obt</w:t>
      </w:r>
      <w:r>
        <w:t>ained</w:t>
      </w:r>
      <w:r w:rsidRPr="001B3A69">
        <w:t xml:space="preserve"> pre-dose and betw</w:t>
      </w:r>
      <w:r>
        <w:t>een 3 and 5</w:t>
      </w:r>
      <w:r w:rsidR="00353ABC">
        <w:t xml:space="preserve"> h </w:t>
      </w:r>
      <w:r>
        <w:t xml:space="preserve">post-dose on study Day 1 and again at the end of study treatment of 10 days </w:t>
      </w:r>
      <w:r w:rsidRPr="001B3A69">
        <w:t>or</w:t>
      </w:r>
      <w:r>
        <w:t xml:space="preserve"> at the time of early t</w:t>
      </w:r>
      <w:r w:rsidRPr="001B3A69">
        <w:t>ermination</w:t>
      </w:r>
      <w:r>
        <w:t xml:space="preserve"> (EOT)</w:t>
      </w:r>
      <w:r w:rsidRPr="001B3A69">
        <w:t>. A f</w:t>
      </w:r>
      <w:r>
        <w:t>aecal sample for pharmacokinetic measurements was</w:t>
      </w:r>
      <w:r w:rsidRPr="001B3A69">
        <w:t xml:space="preserve"> obtained</w:t>
      </w:r>
      <w:r>
        <w:t xml:space="preserve"> for each patient at end of study therapy or at early t</w:t>
      </w:r>
      <w:r w:rsidRPr="001B3A69">
        <w:t>ermination</w:t>
      </w:r>
      <w:r>
        <w:t>.</w:t>
      </w:r>
    </w:p>
    <w:p w:rsidR="00C528D5" w:rsidRDefault="00C528D5" w:rsidP="003B4B6A">
      <w:r>
        <w:t>The m</w:t>
      </w:r>
      <w:r w:rsidRPr="001B3A69">
        <w:t>e</w:t>
      </w:r>
      <w:r>
        <w:t xml:space="preserve">an post-dose plasma levels of OPT-80 were </w:t>
      </w:r>
      <w:proofErr w:type="gramStart"/>
      <w:r>
        <w:t xml:space="preserve">22.8 </w:t>
      </w:r>
      <w:r w:rsidR="003B4B6A">
        <w:t>±</w:t>
      </w:r>
      <w:r>
        <w:t xml:space="preserve"> 26.5</w:t>
      </w:r>
      <w:r w:rsidR="003B4B6A">
        <w:t xml:space="preserve"> </w:t>
      </w:r>
      <w:r>
        <w:t>ng/mL on Day 1</w:t>
      </w:r>
      <w:proofErr w:type="gramEnd"/>
      <w:r>
        <w:t xml:space="preserve"> and 26.4 </w:t>
      </w:r>
      <w:r w:rsidR="003B4B6A">
        <w:t>±</w:t>
      </w:r>
      <w:r>
        <w:t xml:space="preserve"> 31.0</w:t>
      </w:r>
      <w:r w:rsidR="00491D81">
        <w:t xml:space="preserve"> </w:t>
      </w:r>
      <w:r>
        <w:t>ng/mL at EOT. The m</w:t>
      </w:r>
      <w:r w:rsidRPr="001B3A69">
        <w:t>e</w:t>
      </w:r>
      <w:r>
        <w:t>an post-dose plasma levels of</w:t>
      </w:r>
      <w:r w:rsidRPr="001B3A69">
        <w:t xml:space="preserve"> OP-1118</w:t>
      </w:r>
      <w:r>
        <w:t xml:space="preserve"> were 43.1 </w:t>
      </w:r>
      <w:r w:rsidR="003B4B6A">
        <w:t>±</w:t>
      </w:r>
      <w:r>
        <w:t xml:space="preserve"> 51.3ng/mL on Day 1 and </w:t>
      </w:r>
      <w:proofErr w:type="gramStart"/>
      <w:r>
        <w:t xml:space="preserve">70.3 </w:t>
      </w:r>
      <w:r w:rsidR="003B4B6A">
        <w:t>±</w:t>
      </w:r>
      <w:r>
        <w:t xml:space="preserve"> 80.5ng/mL at EOT</w:t>
      </w:r>
      <w:proofErr w:type="gramEnd"/>
      <w:r>
        <w:t>.</w:t>
      </w:r>
    </w:p>
    <w:p w:rsidR="00C528D5" w:rsidRDefault="00C528D5" w:rsidP="003B4B6A">
      <w:r>
        <w:t xml:space="preserve">The PK results for over 65 years old age groups </w:t>
      </w:r>
      <w:r w:rsidR="00491D81">
        <w:t>were</w:t>
      </w:r>
      <w:r>
        <w:t xml:space="preserve"> provided and indicate somewhat higher mean values than the overall mean values.</w:t>
      </w:r>
    </w:p>
    <w:p w:rsidR="00C528D5" w:rsidRDefault="00C528D5" w:rsidP="003B4B6A">
      <w:r>
        <w:t>The PK results for estim</w:t>
      </w:r>
      <w:r w:rsidRPr="00491D81">
        <w:t>ated Creatinine Clearance (eCCL) &lt; 50</w:t>
      </w:r>
      <w:r w:rsidR="003B4B6A" w:rsidRPr="00491D81">
        <w:t xml:space="preserve"> </w:t>
      </w:r>
      <w:r w:rsidRPr="00491D81">
        <w:t>mL/minute were similar to the overall results.</w:t>
      </w:r>
    </w:p>
    <w:p w:rsidR="00C528D5" w:rsidRPr="001B3A69" w:rsidRDefault="00C528D5" w:rsidP="003B4B6A">
      <w:r>
        <w:t>At EOT, the m</w:t>
      </w:r>
      <w:r w:rsidRPr="001B3A69">
        <w:t>ean f</w:t>
      </w:r>
      <w:r>
        <w:t>a</w:t>
      </w:r>
      <w:r w:rsidRPr="001B3A69">
        <w:t>ec</w:t>
      </w:r>
      <w:r>
        <w:t>al levels of OPT-80 and OP-1118 in were 1225 ± 759</w:t>
      </w:r>
      <w:r w:rsidR="003B4B6A">
        <w:t xml:space="preserve"> µ</w:t>
      </w:r>
      <w:r>
        <w:t>g/g and 809 ± 651</w:t>
      </w:r>
      <w:r w:rsidR="003B4B6A">
        <w:t xml:space="preserve"> µ</w:t>
      </w:r>
      <w:r>
        <w:t xml:space="preserve">g/g </w:t>
      </w:r>
      <w:r w:rsidRPr="001B3A69">
        <w:t>respectively</w:t>
      </w:r>
      <w:r>
        <w:t xml:space="preserve"> and were noticeably lower in patients who failed to achieve cure as were the resulting OPT-80/MIC ratios</w:t>
      </w:r>
      <w:r w:rsidR="00491D81">
        <w:t>.</w:t>
      </w:r>
    </w:p>
    <w:p w:rsidR="00C528D5" w:rsidRPr="00A179AB" w:rsidRDefault="00C528D5" w:rsidP="003B4B6A">
      <w:pPr>
        <w:pStyle w:val="Heading5"/>
        <w:numPr>
          <w:ilvl w:val="0"/>
          <w:numId w:val="0"/>
        </w:numPr>
      </w:pPr>
      <w:r w:rsidRPr="00A179AB">
        <w:t>Evaluator’s comment</w:t>
      </w:r>
    </w:p>
    <w:p w:rsidR="00C528D5" w:rsidRDefault="00C528D5" w:rsidP="003B4B6A">
      <w:r>
        <w:t>The stratified results in the &gt; 65 years old population and in patients with impaired renal function with slightly higher values do not indicate clinically significantly higher systemic exposure compared to the overall results.</w:t>
      </w:r>
    </w:p>
    <w:p w:rsidR="00C528D5" w:rsidRDefault="00C528D5" w:rsidP="003B4B6A">
      <w:r>
        <w:t>There is indication that overall systemic exposures obtained in this patient population were somewhat higher than those which have been seen in pharmacokinetic studies in healthy volunteers. However, the systemic exposure is very small and supports the conclusion that the drug principally acts locally with no or negligible systemic absorption.</w:t>
      </w:r>
    </w:p>
    <w:p w:rsidR="00C528D5" w:rsidRDefault="00C528D5" w:rsidP="003B4B6A">
      <w:r w:rsidRPr="001B3A69">
        <w:t>All post-dose</w:t>
      </w:r>
      <w:r>
        <w:t xml:space="preserve"> plasma measurements were in ng/mL range. There was n</w:t>
      </w:r>
      <w:r w:rsidRPr="001B3A69">
        <w:t xml:space="preserve">o plasma </w:t>
      </w:r>
      <w:r>
        <w:t>accumulation from baseline to EOT. The</w:t>
      </w:r>
      <w:r w:rsidRPr="001B3A69">
        <w:t xml:space="preserve"> </w:t>
      </w:r>
      <w:r>
        <w:t xml:space="preserve">average </w:t>
      </w:r>
      <w:r w:rsidRPr="001B3A69">
        <w:t>f</w:t>
      </w:r>
      <w:r>
        <w:t>a</w:t>
      </w:r>
      <w:r w:rsidRPr="001B3A69">
        <w:t>ecal dru</w:t>
      </w:r>
      <w:r>
        <w:t xml:space="preserve">g levels were nearly </w:t>
      </w:r>
      <w:r w:rsidRPr="001B3A69">
        <w:t>5</w:t>
      </w:r>
      <w:r>
        <w:t>,000 times higher than the 0.25</w:t>
      </w:r>
      <w:r w:rsidR="003B4B6A">
        <w:t xml:space="preserve"> µ</w:t>
      </w:r>
      <w:r w:rsidRPr="001B3A69">
        <w:t>g/mL MIC</w:t>
      </w:r>
      <w:r w:rsidRPr="00B80D1B">
        <w:rPr>
          <w:vertAlign w:val="subscript"/>
        </w:rPr>
        <w:t xml:space="preserve">90 </w:t>
      </w:r>
      <w:r w:rsidRPr="001B3A69">
        <w:t xml:space="preserve">against </w:t>
      </w:r>
      <w:r w:rsidRPr="00C528D5">
        <w:rPr>
          <w:i/>
        </w:rPr>
        <w:t>Clostridium difficile</w:t>
      </w:r>
      <w:r>
        <w:t xml:space="preserve"> measured in this stu</w:t>
      </w:r>
      <w:r w:rsidRPr="00996A2A">
        <w:t>dy.</w:t>
      </w:r>
    </w:p>
    <w:p w:rsidR="00C528D5" w:rsidRPr="005B1546" w:rsidRDefault="00C528D5" w:rsidP="003B4B6A">
      <w:pPr>
        <w:pStyle w:val="Heading4"/>
      </w:pPr>
      <w:r>
        <w:t>S</w:t>
      </w:r>
      <w:r w:rsidRPr="00021E82">
        <w:t>tudy 101.1.C.00</w:t>
      </w:r>
      <w:r>
        <w:t>4</w:t>
      </w:r>
    </w:p>
    <w:p w:rsidR="00C528D5" w:rsidRDefault="00C528D5" w:rsidP="003B4B6A">
      <w:r>
        <w:t xml:space="preserve">This was the </w:t>
      </w:r>
      <w:r w:rsidR="003B4B6A">
        <w:t>second</w:t>
      </w:r>
      <w:r>
        <w:t xml:space="preserve"> confirmatory clinical efficacy trial.</w:t>
      </w:r>
    </w:p>
    <w:p w:rsidR="00C528D5" w:rsidRDefault="00C528D5" w:rsidP="003B4B6A">
      <w:r>
        <w:t xml:space="preserve">The mean </w:t>
      </w:r>
      <w:r w:rsidRPr="00006F7B">
        <w:t>fidaxomicin concentration 3-5</w:t>
      </w:r>
      <w:r w:rsidR="00353ABC">
        <w:t xml:space="preserve"> h </w:t>
      </w:r>
      <w:r w:rsidRPr="00006F7B">
        <w:t>post</w:t>
      </w:r>
      <w:r>
        <w:t>-</w:t>
      </w:r>
      <w:r w:rsidRPr="00006F7B">
        <w:t xml:space="preserve">dose at both </w:t>
      </w:r>
      <w:r>
        <w:t>Day 1 and EOT were between 20 and 30</w:t>
      </w:r>
      <w:r w:rsidR="00A60293">
        <w:t xml:space="preserve"> </w:t>
      </w:r>
      <w:r>
        <w:t xml:space="preserve">ng/mL. </w:t>
      </w:r>
      <w:r w:rsidRPr="00006F7B">
        <w:t>Plasma levels of the main metabolite OP-</w:t>
      </w:r>
      <w:r>
        <w:t>1118 were approximately 2 to 3 times that of the parent compound</w:t>
      </w:r>
      <w:r w:rsidR="00491D81">
        <w:t>.</w:t>
      </w:r>
    </w:p>
    <w:p w:rsidR="00C528D5" w:rsidRPr="00006F7B" w:rsidRDefault="00C528D5" w:rsidP="003B4B6A">
      <w:r w:rsidRPr="00006F7B">
        <w:t>As in</w:t>
      </w:r>
      <w:r>
        <w:t xml:space="preserve"> the previous</w:t>
      </w:r>
      <w:r w:rsidRPr="00006F7B">
        <w:t xml:space="preserve"> study</w:t>
      </w:r>
      <w:r>
        <w:t xml:space="preserve"> (003)</w:t>
      </w:r>
      <w:r w:rsidRPr="00006F7B">
        <w:t xml:space="preserve">, </w:t>
      </w:r>
      <w:r>
        <w:t xml:space="preserve">the </w:t>
      </w:r>
      <w:r w:rsidRPr="00006F7B">
        <w:t>plasma concentrations of fidaxomicin and OP-1118 were mildly elevated in the elderly (age</w:t>
      </w:r>
      <w:r>
        <w:t xml:space="preserve"> </w:t>
      </w:r>
      <w:r w:rsidRPr="00006F7B">
        <w:t>&gt;</w:t>
      </w:r>
      <w:r>
        <w:t xml:space="preserve"> </w:t>
      </w:r>
      <w:r w:rsidRPr="00006F7B">
        <w:t xml:space="preserve">65 years) </w:t>
      </w:r>
      <w:r>
        <w:t xml:space="preserve">compared to the </w:t>
      </w:r>
      <w:r w:rsidR="003B4B6A">
        <w:t xml:space="preserve">≤ </w:t>
      </w:r>
      <w:r>
        <w:t>65 age group, though the levels were still in ng/mL range.</w:t>
      </w:r>
    </w:p>
    <w:p w:rsidR="00C528D5" w:rsidRDefault="00C528D5" w:rsidP="003B4B6A">
      <w:r>
        <w:t>Similarly, the</w:t>
      </w:r>
      <w:r w:rsidRPr="00006F7B">
        <w:t xml:space="preserve"> plasma concentrations w</w:t>
      </w:r>
      <w:r>
        <w:t>ere mildly elevated in patients</w:t>
      </w:r>
      <w:r w:rsidRPr="00006F7B">
        <w:t xml:space="preserve"> with impaired renal</w:t>
      </w:r>
      <w:r>
        <w:t xml:space="preserve"> </w:t>
      </w:r>
      <w:r w:rsidRPr="00006F7B">
        <w:t>f</w:t>
      </w:r>
      <w:r>
        <w:t>unction with eCCL</w:t>
      </w:r>
      <w:r w:rsidRPr="00006F7B">
        <w:t xml:space="preserve"> &lt;</w:t>
      </w:r>
      <w:r>
        <w:t xml:space="preserve"> 50 mL/</w:t>
      </w:r>
      <w:proofErr w:type="gramStart"/>
      <w:r>
        <w:t xml:space="preserve">min  </w:t>
      </w:r>
      <w:r w:rsidRPr="00006F7B">
        <w:t>compared</w:t>
      </w:r>
      <w:proofErr w:type="gramEnd"/>
      <w:r w:rsidRPr="00006F7B">
        <w:t xml:space="preserve"> to</w:t>
      </w:r>
      <w:r>
        <w:t xml:space="preserve"> patients with normal renal function with eCCL </w:t>
      </w:r>
      <w:r w:rsidR="003B4B6A">
        <w:t xml:space="preserve">≥ </w:t>
      </w:r>
      <w:r>
        <w:t>50 mL/min.</w:t>
      </w:r>
    </w:p>
    <w:p w:rsidR="00C528D5" w:rsidRDefault="00C528D5" w:rsidP="003B4B6A">
      <w:r>
        <w:t xml:space="preserve">At EOT, the mean OPT-80 and OP-1118 levels were 1606 </w:t>
      </w:r>
      <w:r w:rsidR="003B4B6A">
        <w:t>±</w:t>
      </w:r>
      <w:r>
        <w:t xml:space="preserve"> 1248</w:t>
      </w:r>
      <w:r w:rsidR="00DD718D">
        <w:t xml:space="preserve"> µ</w:t>
      </w:r>
      <w:r w:rsidRPr="00006F7B">
        <w:t>g/g</w:t>
      </w:r>
      <w:r>
        <w:t xml:space="preserve"> and 848 </w:t>
      </w:r>
      <w:r w:rsidR="003B4B6A">
        <w:t>±</w:t>
      </w:r>
      <w:r>
        <w:t xml:space="preserve"> 567</w:t>
      </w:r>
      <w:r w:rsidR="00DD718D">
        <w:t xml:space="preserve"> µ</w:t>
      </w:r>
      <w:r>
        <w:t>g/g</w:t>
      </w:r>
      <w:r w:rsidR="00A60293">
        <w:t xml:space="preserve">, </w:t>
      </w:r>
      <w:r>
        <w:t>respectively.</w:t>
      </w:r>
    </w:p>
    <w:p w:rsidR="00C528D5" w:rsidRPr="00A81C22" w:rsidRDefault="00C528D5" w:rsidP="003B4B6A">
      <w:r w:rsidRPr="00006F7B">
        <w:t>Few f</w:t>
      </w:r>
      <w:r>
        <w:t>a</w:t>
      </w:r>
      <w:r w:rsidRPr="00006F7B">
        <w:t>ecal samples were available</w:t>
      </w:r>
      <w:r>
        <w:t xml:space="preserve"> </w:t>
      </w:r>
      <w:r w:rsidRPr="00006F7B">
        <w:t>from clinical failures, but mean f</w:t>
      </w:r>
      <w:r>
        <w:t>aecal levels and OPT-80</w:t>
      </w:r>
      <w:r w:rsidRPr="00006F7B">
        <w:t xml:space="preserve">/MIC ratios were </w:t>
      </w:r>
      <w:r>
        <w:t xml:space="preserve">noted to be </w:t>
      </w:r>
      <w:r w:rsidRPr="00006F7B">
        <w:t>similar between cures and failures</w:t>
      </w:r>
      <w:r w:rsidR="00491D81">
        <w:t>.</w:t>
      </w:r>
    </w:p>
    <w:p w:rsidR="00C528D5" w:rsidRPr="00A179AB" w:rsidRDefault="00C528D5" w:rsidP="003B4B6A">
      <w:pPr>
        <w:pStyle w:val="Heading5"/>
        <w:numPr>
          <w:ilvl w:val="0"/>
          <w:numId w:val="0"/>
        </w:numPr>
      </w:pPr>
      <w:r w:rsidRPr="00A179AB">
        <w:t>Evaluator’s comment</w:t>
      </w:r>
    </w:p>
    <w:p w:rsidR="00C528D5" w:rsidRDefault="00C528D5" w:rsidP="003B4B6A">
      <w:r>
        <w:t xml:space="preserve">The results were consistent with those obtained in the previous </w:t>
      </w:r>
      <w:r w:rsidRPr="007212BA">
        <w:t>Study 101.1.C.003</w:t>
      </w:r>
      <w:r>
        <w:t>.</w:t>
      </w:r>
    </w:p>
    <w:p w:rsidR="00C528D5" w:rsidRPr="009C5EC3" w:rsidRDefault="00C528D5" w:rsidP="003B4B6A">
      <w:pPr>
        <w:pStyle w:val="Heading3"/>
      </w:pPr>
      <w:bookmarkStart w:id="42" w:name="_Toc241374293"/>
      <w:bookmarkStart w:id="43" w:name="_Toc272414626"/>
      <w:bookmarkStart w:id="44" w:name="_Toc290846249"/>
      <w:bookmarkStart w:id="45" w:name="_Toc338860710"/>
      <w:bookmarkStart w:id="46" w:name="_Toc370734731"/>
      <w:r w:rsidRPr="009C5EC3">
        <w:t>Pharmacokinetics in other special populations</w:t>
      </w:r>
      <w:bookmarkEnd w:id="42"/>
      <w:bookmarkEnd w:id="43"/>
      <w:bookmarkEnd w:id="44"/>
      <w:bookmarkEnd w:id="45"/>
      <w:bookmarkEnd w:id="46"/>
    </w:p>
    <w:p w:rsidR="00C528D5" w:rsidRPr="009C5EC3" w:rsidRDefault="00C528D5" w:rsidP="003B4B6A">
      <w:r>
        <w:t>No dedicated studies were done in special populations. However, pharmacokinetic results from the two pivotal clinical studies were stratified and presented with respect to elderly population (&gt; 65 years of age) and impaired renal function as noted above. These two variables did not appear to cause clinically significant higher systemic exposure to the drug compared to the overall results in these trials.</w:t>
      </w:r>
    </w:p>
    <w:p w:rsidR="00C528D5" w:rsidRPr="009C5EC3" w:rsidRDefault="00C528D5" w:rsidP="003B4B6A">
      <w:pPr>
        <w:pStyle w:val="Heading3"/>
      </w:pPr>
      <w:bookmarkStart w:id="47" w:name="_Toc272414630"/>
      <w:bookmarkStart w:id="48" w:name="_Toc290846253"/>
      <w:bookmarkStart w:id="49" w:name="_Toc338860711"/>
      <w:bookmarkStart w:id="50" w:name="_Toc370734732"/>
      <w:r w:rsidRPr="009C5EC3">
        <w:t>Pharmacokinetics related to genetic factors</w:t>
      </w:r>
      <w:bookmarkEnd w:id="47"/>
      <w:bookmarkEnd w:id="48"/>
      <w:bookmarkEnd w:id="49"/>
      <w:bookmarkEnd w:id="50"/>
    </w:p>
    <w:p w:rsidR="00C528D5" w:rsidRPr="009C5EC3" w:rsidRDefault="00C528D5" w:rsidP="00FF58B2">
      <w:pPr>
        <w:rPr>
          <w:rFonts w:ascii="Times New Roman" w:hAnsi="Times New Roman"/>
          <w:bCs/>
          <w:sz w:val="24"/>
        </w:rPr>
      </w:pPr>
      <w:r>
        <w:t>None investigated.</w:t>
      </w:r>
    </w:p>
    <w:p w:rsidR="00C528D5" w:rsidRPr="009C5EC3" w:rsidRDefault="00C528D5" w:rsidP="003B4B6A">
      <w:pPr>
        <w:pStyle w:val="Heading3"/>
      </w:pPr>
      <w:bookmarkStart w:id="51" w:name="_Toc241374294"/>
      <w:bookmarkStart w:id="52" w:name="_Toc272414632"/>
      <w:bookmarkStart w:id="53" w:name="_Toc290846255"/>
      <w:bookmarkStart w:id="54" w:name="_Toc338860712"/>
      <w:bookmarkStart w:id="55" w:name="_Toc370734733"/>
      <w:r w:rsidRPr="009C5EC3">
        <w:t>Pharmacokinetic interactions</w:t>
      </w:r>
      <w:bookmarkEnd w:id="51"/>
      <w:bookmarkEnd w:id="52"/>
      <w:bookmarkEnd w:id="53"/>
      <w:bookmarkEnd w:id="54"/>
      <w:bookmarkEnd w:id="55"/>
    </w:p>
    <w:p w:rsidR="00C528D5" w:rsidRPr="005D285D" w:rsidRDefault="00C528D5" w:rsidP="003B4B6A">
      <w:pPr>
        <w:pStyle w:val="Heading4"/>
      </w:pPr>
      <w:r w:rsidRPr="005D285D">
        <w:t>Study OPT-80-007</w:t>
      </w:r>
      <w:r>
        <w:t xml:space="preserve"> (cyclosporine interaction study)</w:t>
      </w:r>
    </w:p>
    <w:p w:rsidR="00C528D5" w:rsidRDefault="00C528D5" w:rsidP="003B4B6A">
      <w:r>
        <w:t>This was a randomised, open-label, two-period, crossover study to e</w:t>
      </w:r>
      <w:r w:rsidRPr="00D641EC">
        <w:t>valuate the</w:t>
      </w:r>
      <w:r>
        <w:t xml:space="preserve"> effect of a single dose of c</w:t>
      </w:r>
      <w:r w:rsidRPr="00D641EC">
        <w:t xml:space="preserve">yclosporine on the </w:t>
      </w:r>
      <w:r>
        <w:t>pharmacokinetics of a s</w:t>
      </w:r>
      <w:r w:rsidRPr="00D641EC">
        <w:t>ing</w:t>
      </w:r>
      <w:r>
        <w:t>le-dose of f</w:t>
      </w:r>
      <w:r w:rsidRPr="00D641EC">
        <w:t>idaxomicin</w:t>
      </w:r>
      <w:r>
        <w:t xml:space="preserve"> (OPT-80) in healthy male volunte</w:t>
      </w:r>
      <w:r w:rsidRPr="00491D81">
        <w:t>ers.</w:t>
      </w:r>
    </w:p>
    <w:p w:rsidR="00C528D5" w:rsidRDefault="00C528D5" w:rsidP="003B4B6A">
      <w:r w:rsidRPr="00D641EC">
        <w:t>Fourteen hea</w:t>
      </w:r>
      <w:r>
        <w:t>lthy subjects participated in the study.</w:t>
      </w:r>
      <w:r w:rsidRPr="00D641EC">
        <w:t xml:space="preserve"> </w:t>
      </w:r>
      <w:r>
        <w:t>The s</w:t>
      </w:r>
      <w:r w:rsidRPr="00D641EC">
        <w:t>ubjects were ma</w:t>
      </w:r>
      <w:r>
        <w:t>le, with mean age 30 years (range 21 – 40 years), non-smokers</w:t>
      </w:r>
      <w:r w:rsidRPr="00D641EC">
        <w:t xml:space="preserve"> and in go</w:t>
      </w:r>
      <w:r>
        <w:t>od health based o</w:t>
      </w:r>
      <w:r w:rsidRPr="00491D81">
        <w:t>n clinical assessment.</w:t>
      </w:r>
    </w:p>
    <w:p w:rsidR="00C528D5" w:rsidRDefault="00C528D5" w:rsidP="003B4B6A">
      <w:r>
        <w:t>All subjects received single dose 20</w:t>
      </w:r>
      <w:r w:rsidR="003B4B6A" w:rsidRPr="003B4B6A">
        <w:t>0 mg</w:t>
      </w:r>
      <w:r>
        <w:t xml:space="preserve"> oral f</w:t>
      </w:r>
      <w:r w:rsidRPr="00D641EC">
        <w:t xml:space="preserve">idaxomicin alone </w:t>
      </w:r>
      <w:r>
        <w:t>(Treatment A) and single dose 20</w:t>
      </w:r>
      <w:r w:rsidR="003B4B6A" w:rsidRPr="003B4B6A">
        <w:t>0 mg</w:t>
      </w:r>
      <w:r>
        <w:t xml:space="preserve"> oral fidaxomicin in combination with</w:t>
      </w:r>
      <w:r w:rsidRPr="00D641EC">
        <w:t xml:space="preserve"> </w:t>
      </w:r>
      <w:r>
        <w:t>single dose 20</w:t>
      </w:r>
      <w:r w:rsidR="003B4B6A" w:rsidRPr="003B4B6A">
        <w:t>0 mg</w:t>
      </w:r>
      <w:r>
        <w:t xml:space="preserve"> oral </w:t>
      </w:r>
      <w:r w:rsidRPr="00D641EC">
        <w:t>cycl</w:t>
      </w:r>
      <w:r>
        <w:t>osporine (Treatment B) in a crossover design with</w:t>
      </w:r>
      <w:r w:rsidR="003B4B6A">
        <w:t xml:space="preserve"> 7 </w:t>
      </w:r>
      <w:r w:rsidRPr="00D641EC">
        <w:t xml:space="preserve">day washout </w:t>
      </w:r>
      <w:r>
        <w:t xml:space="preserve">period </w:t>
      </w:r>
      <w:r w:rsidRPr="00D641EC">
        <w:t xml:space="preserve">between </w:t>
      </w:r>
      <w:r>
        <w:t xml:space="preserve">the two </w:t>
      </w:r>
      <w:r w:rsidRPr="00D641EC">
        <w:t>treatments,</w:t>
      </w:r>
      <w:r>
        <w:t xml:space="preserve"> </w:t>
      </w:r>
      <w:r w:rsidRPr="00D641EC">
        <w:t>according to</w:t>
      </w:r>
      <w:r>
        <w:t xml:space="preserve"> a randomised schedule under fasting conditions.</w:t>
      </w:r>
    </w:p>
    <w:p w:rsidR="00C528D5" w:rsidRDefault="00C528D5" w:rsidP="003B4B6A">
      <w:r>
        <w:t>The results were as follows:</w:t>
      </w:r>
    </w:p>
    <w:p w:rsidR="00C528D5" w:rsidRDefault="00C528D5" w:rsidP="00090CE9">
      <w:pPr>
        <w:pStyle w:val="ListBullet"/>
      </w:pPr>
      <w:r w:rsidRPr="00D641EC">
        <w:t>Foll</w:t>
      </w:r>
      <w:r>
        <w:t>owing a single oral dose of 20</w:t>
      </w:r>
      <w:r w:rsidR="003B4B6A" w:rsidRPr="003B4B6A">
        <w:t>0 mg</w:t>
      </w:r>
      <w:r w:rsidRPr="00D641EC">
        <w:t xml:space="preserve"> fidaxomicin a</w:t>
      </w:r>
      <w:r>
        <w:t>lone or in combination with 20</w:t>
      </w:r>
      <w:r w:rsidR="003B4B6A" w:rsidRPr="003B4B6A">
        <w:t>0 mg</w:t>
      </w:r>
      <w:r w:rsidRPr="00D641EC">
        <w:t xml:space="preserve"> cyclosporine</w:t>
      </w:r>
      <w:r>
        <w:t xml:space="preserve"> </w:t>
      </w:r>
      <w:r w:rsidRPr="00D641EC">
        <w:t xml:space="preserve">(Neoral 2 x 100 mg </w:t>
      </w:r>
      <w:r>
        <w:t>capsules) in Treatment groups A and B</w:t>
      </w:r>
      <w:r w:rsidRPr="00D641EC">
        <w:t xml:space="preserve"> respectively, </w:t>
      </w:r>
      <w:r>
        <w:t xml:space="preserve">the </w:t>
      </w:r>
      <w:r w:rsidRPr="00D641EC">
        <w:t xml:space="preserve">median fidaxomicin </w:t>
      </w:r>
      <w:r>
        <w:t xml:space="preserve">(OPT-80) </w:t>
      </w:r>
      <w:r w:rsidRPr="00D641EC">
        <w:t>T</w:t>
      </w:r>
      <w:r w:rsidRPr="00D51620">
        <w:rPr>
          <w:vertAlign w:val="subscript"/>
        </w:rPr>
        <w:t>max</w:t>
      </w:r>
      <w:r w:rsidRPr="00D641EC">
        <w:t xml:space="preserve"> values of 2.00 and 2.32</w:t>
      </w:r>
      <w:r w:rsidR="00353ABC">
        <w:t xml:space="preserve"> h </w:t>
      </w:r>
      <w:r w:rsidRPr="00D641EC">
        <w:t xml:space="preserve">were </w:t>
      </w:r>
      <w:r>
        <w:t>observed for Treatments A and B respectively. The m</w:t>
      </w:r>
      <w:r w:rsidRPr="00D641EC">
        <w:t>ean fidaxomicin</w:t>
      </w:r>
      <w:r>
        <w:t xml:space="preserve"> plasma</w:t>
      </w:r>
      <w:r w:rsidRPr="00D641EC">
        <w:t xml:space="preserve"> t</w:t>
      </w:r>
      <w:r w:rsidRPr="00D51620">
        <w:rPr>
          <w:vertAlign w:val="subscript"/>
        </w:rPr>
        <w:t>1/2</w:t>
      </w:r>
      <w:r>
        <w:t xml:space="preserve"> was</w:t>
      </w:r>
      <w:r w:rsidRPr="00D641EC">
        <w:t xml:space="preserve"> 11.7 and 10.2</w:t>
      </w:r>
      <w:r w:rsidR="00353ABC">
        <w:t xml:space="preserve"> h </w:t>
      </w:r>
      <w:r>
        <w:t>in Treatment A and B groups respectively. The</w:t>
      </w:r>
      <w:r w:rsidRPr="00D641EC">
        <w:t xml:space="preserve"> fidaxomicin </w:t>
      </w:r>
      <w:r>
        <w:t>mean residence time (</w:t>
      </w:r>
      <w:r w:rsidRPr="00D641EC">
        <w:t>MRT</w:t>
      </w:r>
      <w:r>
        <w:t>) was</w:t>
      </w:r>
      <w:r w:rsidRPr="00D641EC">
        <w:t xml:space="preserve"> 1</w:t>
      </w:r>
      <w:r>
        <w:t>7.2 and 9.77</w:t>
      </w:r>
      <w:r w:rsidR="00353ABC">
        <w:t xml:space="preserve"> h </w:t>
      </w:r>
      <w:r>
        <w:t>in Treatment A and B groups respectively</w:t>
      </w:r>
      <w:r w:rsidR="00491D81">
        <w:t>.</w:t>
      </w:r>
    </w:p>
    <w:p w:rsidR="00C528D5" w:rsidRDefault="00C528D5" w:rsidP="00090CE9">
      <w:pPr>
        <w:pStyle w:val="ListBullet"/>
      </w:pPr>
      <w:r>
        <w:t>The (least squares</w:t>
      </w:r>
      <w:r w:rsidRPr="00D641EC">
        <w:t>) mean fidaxomicin C</w:t>
      </w:r>
      <w:r w:rsidRPr="00D51620">
        <w:rPr>
          <w:vertAlign w:val="subscript"/>
        </w:rPr>
        <w:t>max</w:t>
      </w:r>
      <w:r w:rsidRPr="00D641EC">
        <w:t xml:space="preserve"> for Treatment B </w:t>
      </w:r>
      <w:r>
        <w:t xml:space="preserve">(19.4 ng/mL) was 4.15 </w:t>
      </w:r>
      <w:r w:rsidRPr="00D641EC">
        <w:t>fold greater than C</w:t>
      </w:r>
      <w:r w:rsidRPr="00D51620">
        <w:rPr>
          <w:vertAlign w:val="subscript"/>
        </w:rPr>
        <w:t>max</w:t>
      </w:r>
      <w:r>
        <w:rPr>
          <w:vertAlign w:val="subscript"/>
        </w:rPr>
        <w:t xml:space="preserve"> </w:t>
      </w:r>
      <w:r w:rsidRPr="00D641EC">
        <w:t>for Tre</w:t>
      </w:r>
      <w:r>
        <w:t>atment A (4.67 ng/mL). The 90% confidence interval (CI) for</w:t>
      </w:r>
      <w:r w:rsidRPr="00D641EC">
        <w:t xml:space="preserve"> </w:t>
      </w:r>
      <w:r>
        <w:t>ratio of test/reference</w:t>
      </w:r>
      <w:r w:rsidRPr="00D641EC">
        <w:t xml:space="preserve"> C</w:t>
      </w:r>
      <w:r w:rsidRPr="00D51620">
        <w:rPr>
          <w:vertAlign w:val="subscript"/>
        </w:rPr>
        <w:t>max</w:t>
      </w:r>
      <w:r w:rsidRPr="00D641EC">
        <w:t xml:space="preserve"> </w:t>
      </w:r>
      <w:r>
        <w:t>was 323% to 532% and</w:t>
      </w:r>
      <w:r w:rsidRPr="00D641EC">
        <w:t xml:space="preserve"> was </w:t>
      </w:r>
      <w:r>
        <w:t xml:space="preserve">thus </w:t>
      </w:r>
      <w:r w:rsidRPr="00D641EC">
        <w:t>entirely o</w:t>
      </w:r>
      <w:r>
        <w:t>utside the 80% to 125% equivalence range</w:t>
      </w:r>
      <w:r w:rsidR="00491D81">
        <w:t>.</w:t>
      </w:r>
    </w:p>
    <w:p w:rsidR="00C528D5" w:rsidRDefault="00C528D5" w:rsidP="00090CE9">
      <w:pPr>
        <w:pStyle w:val="ListBullet"/>
      </w:pPr>
      <w:r w:rsidRPr="00D641EC">
        <w:t>The</w:t>
      </w:r>
      <w:r>
        <w:t xml:space="preserve"> (least squares</w:t>
      </w:r>
      <w:r w:rsidRPr="00D641EC">
        <w:t>) mean fidaxomicin AUC</w:t>
      </w:r>
      <w:r w:rsidRPr="00D51620">
        <w:rPr>
          <w:vertAlign w:val="subscript"/>
        </w:rPr>
        <w:t>0-</w:t>
      </w:r>
      <w:r w:rsidR="003B4B6A">
        <w:rPr>
          <w:rFonts w:eastAsia="SymbolMT"/>
          <w:vertAlign w:val="subscript"/>
        </w:rPr>
        <w:sym w:font="Symbol" w:char="F0A5"/>
      </w:r>
      <w:r w:rsidRPr="00D641EC">
        <w:t xml:space="preserve"> for Treat</w:t>
      </w:r>
      <w:r>
        <w:t xml:space="preserve">ment B (114 ng.hr/mL) was 1.92 </w:t>
      </w:r>
      <w:r w:rsidRPr="00D641EC">
        <w:t>fold greater than AUC</w:t>
      </w:r>
      <w:r w:rsidRPr="00D51620">
        <w:rPr>
          <w:vertAlign w:val="subscript"/>
        </w:rPr>
        <w:t>0-</w:t>
      </w:r>
      <w:r w:rsidR="003B4B6A">
        <w:rPr>
          <w:rFonts w:eastAsia="SymbolMT"/>
          <w:vertAlign w:val="subscript"/>
        </w:rPr>
        <w:sym w:font="Symbol" w:char="F0A5"/>
      </w:r>
      <w:r w:rsidR="003B4B6A">
        <w:rPr>
          <w:rFonts w:eastAsia="SymbolMT"/>
          <w:vertAlign w:val="subscript"/>
        </w:rPr>
        <w:t xml:space="preserve"> </w:t>
      </w:r>
      <w:r w:rsidRPr="00D641EC">
        <w:t xml:space="preserve">for </w:t>
      </w:r>
      <w:r>
        <w:t>Treatment A (59.5 ng.hr/mL). The 90%CI for the ratio of test/reference</w:t>
      </w:r>
      <w:r w:rsidRPr="00D641EC">
        <w:t xml:space="preserve"> AUC</w:t>
      </w:r>
      <w:r w:rsidRPr="00D51620">
        <w:rPr>
          <w:vertAlign w:val="subscript"/>
        </w:rPr>
        <w:t>0-</w:t>
      </w:r>
      <w:r w:rsidR="003B4B6A">
        <w:rPr>
          <w:rFonts w:eastAsia="SymbolMT"/>
          <w:vertAlign w:val="subscript"/>
        </w:rPr>
        <w:sym w:font="Symbol" w:char="F0A5"/>
      </w:r>
      <w:r w:rsidRPr="00D641EC">
        <w:rPr>
          <w:rFonts w:eastAsia="SymbolMT"/>
        </w:rPr>
        <w:t xml:space="preserve"> </w:t>
      </w:r>
      <w:r>
        <w:t>was 139% to 263% and</w:t>
      </w:r>
      <w:r w:rsidRPr="00D641EC">
        <w:t xml:space="preserve"> was </w:t>
      </w:r>
      <w:r>
        <w:t xml:space="preserve">also </w:t>
      </w:r>
      <w:r w:rsidRPr="00D641EC">
        <w:t xml:space="preserve">entirely </w:t>
      </w:r>
      <w:r>
        <w:t>outside of the 80% to 125% equivalence range. Similar result was</w:t>
      </w:r>
      <w:r w:rsidRPr="00D641EC">
        <w:t xml:space="preserve"> observed for fidaxomicin AUC</w:t>
      </w:r>
      <w:r w:rsidRPr="00D51620">
        <w:rPr>
          <w:vertAlign w:val="subscript"/>
        </w:rPr>
        <w:t>0-t</w:t>
      </w:r>
      <w:r w:rsidRPr="00D641EC">
        <w:t xml:space="preserve"> </w:t>
      </w:r>
      <w:r>
        <w:t xml:space="preserve">test/reference ratio with a 2.45 </w:t>
      </w:r>
      <w:r w:rsidRPr="00D641EC">
        <w:t xml:space="preserve">fold </w:t>
      </w:r>
      <w:r>
        <w:t>increase in</w:t>
      </w:r>
      <w:r w:rsidRPr="00D641EC">
        <w:t xml:space="preserve"> fidaxomicin AUC</w:t>
      </w:r>
      <w:r w:rsidRPr="00D51620">
        <w:rPr>
          <w:vertAlign w:val="subscript"/>
        </w:rPr>
        <w:t>0-t</w:t>
      </w:r>
      <w:r w:rsidRPr="00D641EC">
        <w:t xml:space="preserve"> </w:t>
      </w:r>
      <w:r>
        <w:t>on</w:t>
      </w:r>
      <w:r w:rsidRPr="00D641EC">
        <w:t xml:space="preserve"> co</w:t>
      </w:r>
      <w:r>
        <w:t>-administration</w:t>
      </w:r>
      <w:r w:rsidRPr="00D641EC">
        <w:t xml:space="preserve"> with cyclosporine.</w:t>
      </w:r>
    </w:p>
    <w:p w:rsidR="00C528D5" w:rsidRDefault="00C528D5" w:rsidP="00A60293">
      <w:pPr>
        <w:ind w:left="284" w:hanging="284"/>
      </w:pPr>
      <w:r w:rsidRPr="00D641EC">
        <w:t>The effect of cyclosporine on the main metabolite of fidaxomic</w:t>
      </w:r>
      <w:r>
        <w:t>in (OP-1118) was also examined.</w:t>
      </w:r>
    </w:p>
    <w:p w:rsidR="00C528D5" w:rsidRDefault="00C528D5" w:rsidP="00090CE9">
      <w:pPr>
        <w:pStyle w:val="ListBullet"/>
      </w:pPr>
      <w:r w:rsidRPr="00D641EC">
        <w:t xml:space="preserve">After a </w:t>
      </w:r>
      <w:r>
        <w:t>single oral dose of 20</w:t>
      </w:r>
      <w:r w:rsidR="003B4B6A" w:rsidRPr="003B4B6A">
        <w:t>0 mg</w:t>
      </w:r>
      <w:r w:rsidRPr="00D641EC">
        <w:t xml:space="preserve"> fidaxomicin a</w:t>
      </w:r>
      <w:r>
        <w:t>lone or in combination with 20</w:t>
      </w:r>
      <w:r w:rsidR="003B4B6A" w:rsidRPr="003B4B6A">
        <w:t>0 mg</w:t>
      </w:r>
      <w:r>
        <w:t xml:space="preserve"> cyclosporine</w:t>
      </w:r>
      <w:r w:rsidRPr="00D641EC">
        <w:t xml:space="preserve"> in Treatments </w:t>
      </w:r>
      <w:r>
        <w:t>groups A and B</w:t>
      </w:r>
      <w:r w:rsidRPr="00D641EC">
        <w:t xml:space="preserve"> respectively, </w:t>
      </w:r>
      <w:r>
        <w:t xml:space="preserve">the </w:t>
      </w:r>
      <w:r w:rsidRPr="00D641EC">
        <w:t>median OP-1118 T</w:t>
      </w:r>
      <w:r w:rsidRPr="00D51620">
        <w:rPr>
          <w:vertAlign w:val="subscript"/>
        </w:rPr>
        <w:t>max</w:t>
      </w:r>
      <w:r w:rsidRPr="00D641EC">
        <w:t xml:space="preserve"> of 1.02 and 2.00</w:t>
      </w:r>
      <w:r w:rsidR="00353ABC">
        <w:t xml:space="preserve"> h </w:t>
      </w:r>
      <w:r w:rsidRPr="00D641EC">
        <w:t xml:space="preserve">were </w:t>
      </w:r>
      <w:r>
        <w:t>observed for Treatments A and B respectively. The m</w:t>
      </w:r>
      <w:r w:rsidRPr="00D641EC">
        <w:t>ean OP-1118 t</w:t>
      </w:r>
      <w:r w:rsidRPr="00D51620">
        <w:rPr>
          <w:vertAlign w:val="subscript"/>
        </w:rPr>
        <w:t>1/2</w:t>
      </w:r>
      <w:r>
        <w:t xml:space="preserve"> was</w:t>
      </w:r>
      <w:r w:rsidRPr="00D641EC">
        <w:t xml:space="preserve"> 11.2 and 10.4</w:t>
      </w:r>
      <w:r w:rsidR="00353ABC">
        <w:t xml:space="preserve"> h </w:t>
      </w:r>
      <w:r w:rsidRPr="00D641EC">
        <w:t xml:space="preserve">and </w:t>
      </w:r>
      <w:r>
        <w:t>the mean OP-1118 MRT was 14.9 and 8.34</w:t>
      </w:r>
      <w:r w:rsidR="00353ABC">
        <w:t xml:space="preserve"> h </w:t>
      </w:r>
      <w:r>
        <w:t>for Treatments groups A and B</w:t>
      </w:r>
      <w:r w:rsidRPr="00D641EC">
        <w:t xml:space="preserve"> </w:t>
      </w:r>
      <w:r>
        <w:t>respectively</w:t>
      </w:r>
      <w:r w:rsidR="00491D81">
        <w:t>.</w:t>
      </w:r>
    </w:p>
    <w:p w:rsidR="00C528D5" w:rsidRDefault="00C528D5" w:rsidP="00090CE9">
      <w:pPr>
        <w:pStyle w:val="ListBullet"/>
      </w:pPr>
      <w:r w:rsidRPr="00D641EC">
        <w:t xml:space="preserve">The </w:t>
      </w:r>
      <w:r>
        <w:t>(least squares</w:t>
      </w:r>
      <w:r w:rsidRPr="00D641EC">
        <w:t>) mean OP-1118 C</w:t>
      </w:r>
      <w:r w:rsidRPr="00D51620">
        <w:rPr>
          <w:vertAlign w:val="subscript"/>
        </w:rPr>
        <w:t>max</w:t>
      </w:r>
      <w:r w:rsidRPr="00D641EC">
        <w:t xml:space="preserve"> for Treatme</w:t>
      </w:r>
      <w:r>
        <w:t>nt B (100 ng/mL) was 9.5 fold higher</w:t>
      </w:r>
      <w:r w:rsidRPr="00D641EC">
        <w:t xml:space="preserve"> than C</w:t>
      </w:r>
      <w:r w:rsidRPr="00D51620">
        <w:rPr>
          <w:vertAlign w:val="subscript"/>
        </w:rPr>
        <w:t>max</w:t>
      </w:r>
      <w:r>
        <w:rPr>
          <w:vertAlign w:val="subscript"/>
        </w:rPr>
        <w:t xml:space="preserve"> </w:t>
      </w:r>
      <w:r w:rsidRPr="00D641EC">
        <w:t xml:space="preserve">for Treatment A </w:t>
      </w:r>
      <w:r>
        <w:t>(10.6 ng/mL). The 90%CI for ratio of test/reference</w:t>
      </w:r>
      <w:r w:rsidRPr="00D641EC">
        <w:t xml:space="preserve"> OP-1118 C</w:t>
      </w:r>
      <w:r w:rsidRPr="00D51620">
        <w:rPr>
          <w:vertAlign w:val="subscript"/>
        </w:rPr>
        <w:t>max</w:t>
      </w:r>
      <w:r>
        <w:t xml:space="preserve"> was 693% to 1304%</w:t>
      </w:r>
      <w:r w:rsidRPr="00D641EC">
        <w:t xml:space="preserve"> </w:t>
      </w:r>
      <w:r>
        <w:t xml:space="preserve">and </w:t>
      </w:r>
      <w:r w:rsidRPr="00D641EC">
        <w:t>was entirely o</w:t>
      </w:r>
      <w:r>
        <w:t>utside of the 80% to 125% equivalence range</w:t>
      </w:r>
      <w:r w:rsidR="00491D81">
        <w:t>.</w:t>
      </w:r>
    </w:p>
    <w:p w:rsidR="00C528D5" w:rsidRDefault="00C528D5" w:rsidP="00090CE9">
      <w:pPr>
        <w:pStyle w:val="ListBullet"/>
      </w:pPr>
      <w:r w:rsidRPr="00D641EC">
        <w:t xml:space="preserve">The </w:t>
      </w:r>
      <w:r>
        <w:t>(least squares</w:t>
      </w:r>
      <w:r w:rsidRPr="00D641EC">
        <w:t>) mean OP-1118 AUC</w:t>
      </w:r>
      <w:r w:rsidRPr="00D51620">
        <w:rPr>
          <w:vertAlign w:val="subscript"/>
        </w:rPr>
        <w:t>0-</w:t>
      </w:r>
      <w:r w:rsidRPr="00D51620">
        <w:rPr>
          <w:rFonts w:eastAsia="SymbolMT"/>
          <w:vertAlign w:val="subscript"/>
        </w:rPr>
        <w:t>∞</w:t>
      </w:r>
      <w:r w:rsidRPr="00D641EC">
        <w:t xml:space="preserve"> for Treatment B (438</w:t>
      </w:r>
      <w:r>
        <w:t xml:space="preserve"> ng.hr/mL) was 4.1 </w:t>
      </w:r>
      <w:r w:rsidRPr="00D641EC">
        <w:t>fold great</w:t>
      </w:r>
      <w:r>
        <w:t xml:space="preserve">er than </w:t>
      </w:r>
      <w:r w:rsidRPr="00D641EC">
        <w:t>AUC</w:t>
      </w:r>
      <w:r w:rsidRPr="00D51620">
        <w:rPr>
          <w:vertAlign w:val="subscript"/>
        </w:rPr>
        <w:t>0-</w:t>
      </w:r>
      <w:r w:rsidR="003B4B6A">
        <w:rPr>
          <w:rFonts w:eastAsia="SymbolMT"/>
          <w:vertAlign w:val="subscript"/>
        </w:rPr>
        <w:sym w:font="Symbol" w:char="F0A5"/>
      </w:r>
      <w:r w:rsidRPr="00D641EC">
        <w:t xml:space="preserve"> </w:t>
      </w:r>
      <w:r>
        <w:t>for Treatment A (106 ng.hr/mL). The 90%CI for ratio of test/reference</w:t>
      </w:r>
      <w:r w:rsidRPr="00D641EC">
        <w:t xml:space="preserve"> OP-1118 AUC</w:t>
      </w:r>
      <w:r w:rsidRPr="00D51620">
        <w:rPr>
          <w:vertAlign w:val="subscript"/>
        </w:rPr>
        <w:t>0-</w:t>
      </w:r>
      <w:r w:rsidR="003B4B6A">
        <w:rPr>
          <w:rFonts w:eastAsia="SymbolMT"/>
          <w:vertAlign w:val="subscript"/>
        </w:rPr>
        <w:sym w:font="Symbol" w:char="F0A5"/>
      </w:r>
      <w:r w:rsidRPr="00D641EC">
        <w:rPr>
          <w:rFonts w:eastAsia="SymbolMT"/>
        </w:rPr>
        <w:t xml:space="preserve"> </w:t>
      </w:r>
      <w:r>
        <w:t>was 305.97% to</w:t>
      </w:r>
      <w:r w:rsidRPr="00D641EC">
        <w:t xml:space="preserve"> 553.21</w:t>
      </w:r>
      <w:r>
        <w:t>% and</w:t>
      </w:r>
      <w:r w:rsidRPr="00D641EC">
        <w:t xml:space="preserve"> was entirely </w:t>
      </w:r>
      <w:r>
        <w:t>outside of the 80% to 125% equivalence. Similar result was obtained</w:t>
      </w:r>
      <w:r w:rsidRPr="00D641EC">
        <w:t xml:space="preserve"> for OP-1118 AUC</w:t>
      </w:r>
      <w:r w:rsidRPr="007319A1">
        <w:rPr>
          <w:vertAlign w:val="subscript"/>
        </w:rPr>
        <w:t>0-t</w:t>
      </w:r>
      <w:r>
        <w:t xml:space="preserve"> test/reference value with a 4.27 fold increase in mean value</w:t>
      </w:r>
      <w:r w:rsidRPr="00D641EC">
        <w:t xml:space="preserve"> when fidaxomicin was co</w:t>
      </w:r>
      <w:r>
        <w:t>-</w:t>
      </w:r>
      <w:r w:rsidRPr="00D641EC">
        <w:t>administered with cyclosporine</w:t>
      </w:r>
      <w:r>
        <w:t>.</w:t>
      </w:r>
    </w:p>
    <w:p w:rsidR="00C528D5" w:rsidRPr="00166653" w:rsidRDefault="00C528D5" w:rsidP="003B4B6A">
      <w:pPr>
        <w:pStyle w:val="Heading5"/>
        <w:numPr>
          <w:ilvl w:val="0"/>
          <w:numId w:val="0"/>
        </w:numPr>
      </w:pPr>
      <w:r w:rsidRPr="00166653">
        <w:t>Evaluator’s comment</w:t>
      </w:r>
    </w:p>
    <w:p w:rsidR="00C528D5" w:rsidRDefault="00C528D5" w:rsidP="003B4B6A">
      <w:r>
        <w:t>The study showed statistically and clinically significant pharmacokinetic interaction between fidaxomicin and cyclosporine. The magnitude of higher systemic exposure of OPT-80/OP-1118 in this instance was large although the plasma concentrations remained in ng/mL range.</w:t>
      </w:r>
    </w:p>
    <w:p w:rsidR="00C528D5" w:rsidRPr="00DB7E1F" w:rsidRDefault="00C528D5" w:rsidP="003B4B6A">
      <w:r>
        <w:t>The study examined one way interaction only as fidaxomicin is a substrate for p-gp. Its effect on cyclosporine was not examined.</w:t>
      </w:r>
    </w:p>
    <w:p w:rsidR="00C528D5" w:rsidRDefault="00C528D5" w:rsidP="003B4B6A">
      <w:r>
        <w:t xml:space="preserve">In response to </w:t>
      </w:r>
      <w:r w:rsidR="00A60293">
        <w:t>a TGA request for information</w:t>
      </w:r>
      <w:r>
        <w:t>, the sponsor has also provided the following information:</w:t>
      </w:r>
    </w:p>
    <w:p w:rsidR="00C528D5" w:rsidRPr="00FF58B2" w:rsidRDefault="00C528D5" w:rsidP="00FF58B2">
      <w:pPr>
        <w:ind w:left="426"/>
        <w:rPr>
          <w:i/>
        </w:rPr>
      </w:pPr>
      <w:r w:rsidRPr="00FF58B2">
        <w:rPr>
          <w:i/>
        </w:rPr>
        <w:t xml:space="preserve">‘Cyclosporine is a powerful P-glycoprotein (P-gp) inhibitor, and the objective of this study was to determine the impact of P-glycoprotein inhibition on fidaxomicin pharmacokinetics. Fidaxomicin has been poorly characterized, however, as a test substrate for P-glycoprotein, and the importance of P-gp in its intestinal uptake is unclear. While cyclosporine has been reported to be a P-gp substrate, polymorphisms in MDR1 have not been shown to explain differences in pharmacokinetics of cyclosporine and much of the variability is associated instead with polymorphisms in CYP3A4, suggesting that the latter is the major contributor to variability in bioavailability. Substrate-based drug interactions have been reported at the level of the kidney, in terms of increased nephrotoxicity in the presence of P-gp inhibitors in renal epithelial cells. Because fidaxomicin has minimal absorption (ng/mL concentrations in the plasma, well below the μg/mL IC50 for inhibition of P-gp), this interaction is predicted to be irrelevant for fidaxomicin. Cyclosporine is metabolized by CYP3A4, and while fidaxomicin is a very weak inhibitor of CYP3A4, another DDI study (OPT-80-009) demonstrated no impact of fidaxomicin on the pharmacokinetics of CYP3A4 substrate midazolam. Thus, such an interaction was also considered unlikely. Because of the generally conflicting results reported in the literature as to the impact of P-gp on cyclosporine uptake, it was decided to use a more specific test substrate, </w:t>
      </w:r>
      <w:r w:rsidRPr="00FF58B2">
        <w:rPr>
          <w:b/>
          <w:i/>
        </w:rPr>
        <w:t>digoxin</w:t>
      </w:r>
      <w:r w:rsidRPr="00FF58B2">
        <w:rPr>
          <w:i/>
        </w:rPr>
        <w:t>, to evaluate the potential impact of P-gp inhibition. Administration with fidaxomicin had no clinically relevant impact on digoxin pharmacokinetics. It is worth noting that although cyclosporine pharmacokinetics were not compared in a crossover manner in this study (there was no cyclosporine-only dosing sequence), cyclosporine concentrations were measured in the presence of fidaxomicin dosing. Cyclosporine concentrations measured (C</w:t>
      </w:r>
      <w:r w:rsidRPr="00FF58B2">
        <w:rPr>
          <w:i/>
          <w:vertAlign w:val="subscript"/>
        </w:rPr>
        <w:t>max</w:t>
      </w:r>
      <w:r w:rsidRPr="00FF58B2">
        <w:rPr>
          <w:i/>
        </w:rPr>
        <w:t xml:space="preserve"> 395 ± 95ng/mL following a 200 mg dose) were similar to cyclosporine concentrations reported by others using an equivalent assay (LC-MS, rather than ELISA, which can cross-react with metabolites and overestimate concentrations), when adjusted for dose (after a 100 mg dose, C</w:t>
      </w:r>
      <w:r w:rsidRPr="00FF58B2">
        <w:rPr>
          <w:i/>
          <w:vertAlign w:val="subscript"/>
        </w:rPr>
        <w:t>max</w:t>
      </w:r>
      <w:r w:rsidRPr="00FF58B2">
        <w:rPr>
          <w:i/>
        </w:rPr>
        <w:t xml:space="preserve"> was 254 ± 85ng/mL).’</w:t>
      </w:r>
    </w:p>
    <w:p w:rsidR="00C528D5" w:rsidRDefault="00C528D5" w:rsidP="003B4B6A">
      <w:r>
        <w:t>Please also see following studies OPT-80-008 (digoxin) and OPT-80-009 (midazolam).</w:t>
      </w:r>
    </w:p>
    <w:p w:rsidR="00C528D5" w:rsidRDefault="00C528D5" w:rsidP="003B4B6A">
      <w:r w:rsidRPr="00DB7E1F">
        <w:t xml:space="preserve">The sponsor’s proposal </w:t>
      </w:r>
      <w:r>
        <w:t xml:space="preserve">in the PI </w:t>
      </w:r>
      <w:r w:rsidRPr="00DB7E1F">
        <w:t xml:space="preserve">is to allow co-administration based on clinical trials in </w:t>
      </w:r>
      <w:r>
        <w:t>CDAD patients</w:t>
      </w:r>
      <w:r w:rsidRPr="00DB7E1F">
        <w:t xml:space="preserve"> where concomitant P-gp inhibitor use had no </w:t>
      </w:r>
      <w:proofErr w:type="gramStart"/>
      <w:r w:rsidRPr="00DB7E1F">
        <w:t>attributable</w:t>
      </w:r>
      <w:proofErr w:type="gramEnd"/>
      <w:r w:rsidRPr="00DB7E1F">
        <w:t xml:space="preserve"> effect on safety or efficacy.</w:t>
      </w:r>
      <w:r>
        <w:t xml:space="preserve"> It is not clear if this is in reference to the two pivotal trials. The sponsor is requested to include a summary of stratified results to which this comment refers in its pre-ACPM response.</w:t>
      </w:r>
    </w:p>
    <w:p w:rsidR="00C528D5" w:rsidRPr="00DD256F" w:rsidRDefault="00C528D5" w:rsidP="003B4B6A">
      <w:pPr>
        <w:pStyle w:val="Heading4"/>
      </w:pPr>
      <w:r w:rsidRPr="00DD256F">
        <w:t>Study OPT-80-008</w:t>
      </w:r>
      <w:r>
        <w:t xml:space="preserve"> (digoxin interaction study)</w:t>
      </w:r>
    </w:p>
    <w:p w:rsidR="00C528D5" w:rsidRPr="00D4589F" w:rsidRDefault="00C528D5" w:rsidP="003B4B6A">
      <w:r>
        <w:t>This was an open-label, single sequence study to evaluate the e</w:t>
      </w:r>
      <w:r w:rsidRPr="00D4589F">
        <w:t>ffect of</w:t>
      </w:r>
      <w:r>
        <w:t xml:space="preserve"> steady-state fidaxomicin on pharmacokinetics of a single dose of d</w:t>
      </w:r>
      <w:r w:rsidRPr="00D4589F">
        <w:t>igoxin in</w:t>
      </w:r>
      <w:r>
        <w:t xml:space="preserve"> healthy subjects.</w:t>
      </w:r>
    </w:p>
    <w:p w:rsidR="00C528D5" w:rsidRDefault="00C528D5" w:rsidP="003B4B6A">
      <w:r>
        <w:t>The study was carried out</w:t>
      </w:r>
      <w:r w:rsidRPr="00D4589F">
        <w:t xml:space="preserve"> in 14 healthy male and female subjects. </w:t>
      </w:r>
      <w:r>
        <w:t>The mean age of the participants was 31 years (range 21 – 40 years). The participants were non-smokers and in good health based on clinical assessment</w:t>
      </w:r>
      <w:r w:rsidR="00491D81">
        <w:t>.</w:t>
      </w:r>
    </w:p>
    <w:p w:rsidR="00C528D5" w:rsidRPr="00D4589F" w:rsidRDefault="00C528D5" w:rsidP="003B4B6A">
      <w:r>
        <w:t>The study was non-randomised as a</w:t>
      </w:r>
      <w:r w:rsidRPr="00D4589F">
        <w:t>ll subjects received all treatments in a</w:t>
      </w:r>
      <w:r>
        <w:t xml:space="preserve"> sequential manner (mono-sequence crossover design)</w:t>
      </w:r>
      <w:r w:rsidRPr="00D4589F">
        <w:t>.</w:t>
      </w:r>
      <w:r>
        <w:t xml:space="preserve"> The </w:t>
      </w:r>
      <w:r w:rsidRPr="00D4589F">
        <w:t>study drug</w:t>
      </w:r>
      <w:r>
        <w:t>s were</w:t>
      </w:r>
      <w:r w:rsidRPr="00D4589F">
        <w:t xml:space="preserve"> administered </w:t>
      </w:r>
      <w:r>
        <w:t xml:space="preserve">sequentially </w:t>
      </w:r>
      <w:r w:rsidRPr="00D4589F">
        <w:t>according to the following</w:t>
      </w:r>
      <w:r>
        <w:t xml:space="preserve"> treatment schedule:</w:t>
      </w:r>
    </w:p>
    <w:p w:rsidR="00C528D5" w:rsidRPr="00D4589F" w:rsidRDefault="00C528D5" w:rsidP="003B4B6A">
      <w:pPr>
        <w:pStyle w:val="ListBullet"/>
        <w:numPr>
          <w:ilvl w:val="0"/>
          <w:numId w:val="0"/>
        </w:numPr>
        <w:ind w:left="360"/>
      </w:pPr>
      <w:r w:rsidRPr="003B4B6A">
        <w:rPr>
          <w:b/>
        </w:rPr>
        <w:t>Period 1</w:t>
      </w:r>
      <w:r w:rsidR="003B4B6A">
        <w:rPr>
          <w:b/>
        </w:rPr>
        <w:t xml:space="preserve">:  </w:t>
      </w:r>
      <w:r>
        <w:t>All subjects received a single 0.5</w:t>
      </w:r>
      <w:r w:rsidRPr="00D4589F">
        <w:t>m</w:t>
      </w:r>
      <w:r>
        <w:t>g oral dose of digoxin on Day 1</w:t>
      </w:r>
      <w:r w:rsidRPr="00D4589F">
        <w:t xml:space="preserve"> followed</w:t>
      </w:r>
      <w:r>
        <w:t xml:space="preserve"> </w:t>
      </w:r>
      <w:r w:rsidRPr="00D4589F">
        <w:t>by a 6-day washout period.</w:t>
      </w:r>
    </w:p>
    <w:p w:rsidR="00C528D5" w:rsidRPr="00D4589F" w:rsidRDefault="00C528D5" w:rsidP="003B4B6A">
      <w:pPr>
        <w:pStyle w:val="ListBullet"/>
        <w:numPr>
          <w:ilvl w:val="0"/>
          <w:numId w:val="0"/>
        </w:numPr>
        <w:ind w:left="360"/>
      </w:pPr>
      <w:r w:rsidRPr="003B4B6A">
        <w:rPr>
          <w:b/>
        </w:rPr>
        <w:t>Period 2</w:t>
      </w:r>
      <w:r w:rsidR="003B4B6A">
        <w:rPr>
          <w:b/>
        </w:rPr>
        <w:t xml:space="preserve">: </w:t>
      </w:r>
      <w:r>
        <w:t>All subjects received 20</w:t>
      </w:r>
      <w:r w:rsidR="003B4B6A" w:rsidRPr="003B4B6A">
        <w:t>0 mg</w:t>
      </w:r>
      <w:r>
        <w:t xml:space="preserve"> fidaxomicin tablets every </w:t>
      </w:r>
      <w:r w:rsidRPr="00D4589F">
        <w:t>12</w:t>
      </w:r>
      <w:r w:rsidR="00353ABC">
        <w:t xml:space="preserve"> h </w:t>
      </w:r>
      <w:r w:rsidRPr="00D4589F">
        <w:t>for 5 days</w:t>
      </w:r>
      <w:r>
        <w:t xml:space="preserve"> from Day 8 to 12</w:t>
      </w:r>
      <w:r w:rsidRPr="00D4589F">
        <w:t>.</w:t>
      </w:r>
    </w:p>
    <w:p w:rsidR="00C528D5" w:rsidRDefault="00C528D5" w:rsidP="003B4B6A">
      <w:pPr>
        <w:pStyle w:val="ListBullet"/>
        <w:numPr>
          <w:ilvl w:val="0"/>
          <w:numId w:val="0"/>
        </w:numPr>
        <w:ind w:left="360"/>
      </w:pPr>
      <w:r w:rsidRPr="003B4B6A">
        <w:rPr>
          <w:b/>
        </w:rPr>
        <w:t>Period 3</w:t>
      </w:r>
      <w:r w:rsidR="003B4B6A">
        <w:rPr>
          <w:b/>
        </w:rPr>
        <w:t xml:space="preserve">:  </w:t>
      </w:r>
      <w:r w:rsidRPr="00D4589F">
        <w:t>On Day 13</w:t>
      </w:r>
      <w:r>
        <w:t>, a single 0.5</w:t>
      </w:r>
      <w:r w:rsidRPr="00D4589F">
        <w:t>mg oral dose of digoxin was administered 1 hour after the</w:t>
      </w:r>
      <w:r>
        <w:t xml:space="preserve"> morning 20</w:t>
      </w:r>
      <w:r w:rsidR="003B4B6A" w:rsidRPr="003B4B6A">
        <w:t>0 mg</w:t>
      </w:r>
      <w:r w:rsidRPr="00D4589F">
        <w:t xml:space="preserve"> dose of fidaxomicin </w:t>
      </w:r>
      <w:r>
        <w:t xml:space="preserve">on </w:t>
      </w:r>
      <w:r w:rsidRPr="00D4589F">
        <w:t>that day. Trea</w:t>
      </w:r>
      <w:r>
        <w:t>tment with 20</w:t>
      </w:r>
      <w:r w:rsidR="003B4B6A" w:rsidRPr="003B4B6A">
        <w:t>0 mg</w:t>
      </w:r>
      <w:r>
        <w:t xml:space="preserve"> oral fidaxomicin tablets every 12</w:t>
      </w:r>
      <w:r w:rsidR="00353ABC">
        <w:t xml:space="preserve"> h </w:t>
      </w:r>
      <w:r w:rsidRPr="00D4589F">
        <w:t>con</w:t>
      </w:r>
      <w:r>
        <w:t>tinued until the end of Day 18.</w:t>
      </w:r>
    </w:p>
    <w:p w:rsidR="00C528D5" w:rsidRPr="00D4589F" w:rsidRDefault="00C528D5" w:rsidP="003B4B6A">
      <w:pPr>
        <w:pStyle w:val="ListBullet"/>
        <w:numPr>
          <w:ilvl w:val="0"/>
          <w:numId w:val="0"/>
        </w:numPr>
        <w:ind w:left="360"/>
      </w:pPr>
      <w:r w:rsidRPr="00D4589F">
        <w:t>The morning dose of study drug</w:t>
      </w:r>
      <w:r>
        <w:t>s</w:t>
      </w:r>
      <w:r w:rsidRPr="00D4589F">
        <w:t xml:space="preserve"> was administered on </w:t>
      </w:r>
      <w:r w:rsidR="003B4B6A">
        <w:t xml:space="preserve">dosing days after at least a 10 </w:t>
      </w:r>
      <w:r w:rsidRPr="00D4589F">
        <w:t>hour fast. No food</w:t>
      </w:r>
      <w:r>
        <w:t xml:space="preserve"> </w:t>
      </w:r>
      <w:r w:rsidRPr="00D4589F">
        <w:t>or water was allowed for 1 hour before or 2</w:t>
      </w:r>
      <w:r w:rsidR="00353ABC">
        <w:t xml:space="preserve"> h </w:t>
      </w:r>
      <w:r w:rsidRPr="00D4589F">
        <w:t>after the second fidaxomicin dose of the day.</w:t>
      </w:r>
    </w:p>
    <w:p w:rsidR="00C528D5" w:rsidRDefault="00C528D5" w:rsidP="003B4B6A">
      <w:r>
        <w:t>The results were as follows:</w:t>
      </w:r>
    </w:p>
    <w:p w:rsidR="00C528D5" w:rsidRPr="001975E3" w:rsidRDefault="00C528D5" w:rsidP="00090CE9">
      <w:pPr>
        <w:pStyle w:val="ListBullet"/>
      </w:pPr>
      <w:r w:rsidRPr="00D4589F">
        <w:t>Follow</w:t>
      </w:r>
      <w:r>
        <w:t>ing a single oral dose of 0.5</w:t>
      </w:r>
      <w:r w:rsidRPr="00D4589F">
        <w:t>m</w:t>
      </w:r>
      <w:r>
        <w:t>g digoxin alone on Day 1 and on co-administration with 20</w:t>
      </w:r>
      <w:r w:rsidR="003B4B6A" w:rsidRPr="003B4B6A">
        <w:t>0 mg</w:t>
      </w:r>
      <w:r>
        <w:t xml:space="preserve"> fidaxomicin on Day 13, the median digoxin T</w:t>
      </w:r>
      <w:r>
        <w:rPr>
          <w:vertAlign w:val="subscript"/>
        </w:rPr>
        <w:t xml:space="preserve">max </w:t>
      </w:r>
      <w:r>
        <w:t>was unchanged (1 hour) and the mean digoxin half-life was 38.8</w:t>
      </w:r>
      <w:r w:rsidR="00353ABC">
        <w:t xml:space="preserve"> h </w:t>
      </w:r>
      <w:r>
        <w:t>and 41.9</w:t>
      </w:r>
      <w:r w:rsidR="00353ABC">
        <w:t xml:space="preserve"> h </w:t>
      </w:r>
      <w:r>
        <w:t>respectively</w:t>
      </w:r>
      <w:r w:rsidR="00924DE0">
        <w:t>.</w:t>
      </w:r>
    </w:p>
    <w:p w:rsidR="00C528D5" w:rsidRDefault="00C528D5" w:rsidP="00090CE9">
      <w:pPr>
        <w:pStyle w:val="ListBullet"/>
      </w:pPr>
      <w:r>
        <w:t>T</w:t>
      </w:r>
      <w:r w:rsidRPr="00D4589F">
        <w:t xml:space="preserve">he </w:t>
      </w:r>
      <w:r>
        <w:t>(least squares</w:t>
      </w:r>
      <w:r w:rsidRPr="00D4589F">
        <w:t xml:space="preserve">) mean </w:t>
      </w:r>
      <w:r>
        <w:t xml:space="preserve">digoxin </w:t>
      </w:r>
      <w:r w:rsidRPr="00D4589F">
        <w:t>C</w:t>
      </w:r>
      <w:r w:rsidRPr="00286F88">
        <w:rPr>
          <w:vertAlign w:val="subscript"/>
        </w:rPr>
        <w:t xml:space="preserve">max </w:t>
      </w:r>
      <w:r>
        <w:t xml:space="preserve">was </w:t>
      </w:r>
      <w:proofErr w:type="gramStart"/>
      <w:r>
        <w:t>1.66 ng/mL on co-administration</w:t>
      </w:r>
      <w:proofErr w:type="gramEnd"/>
      <w:r>
        <w:t xml:space="preserve"> compared to 1.46 ng/mL on administration alone indicating a 14% increase on co-administration with 90%CI for test/reference C</w:t>
      </w:r>
      <w:r w:rsidRPr="001975E3">
        <w:rPr>
          <w:vertAlign w:val="subscript"/>
        </w:rPr>
        <w:t>max</w:t>
      </w:r>
      <w:r>
        <w:t xml:space="preserve"> ratio of 98.98% to 131.30%. Thus the upper margin of 90%CI for</w:t>
      </w:r>
      <w:r w:rsidRPr="00D4589F">
        <w:t xml:space="preserve"> mean</w:t>
      </w:r>
      <w:r>
        <w:t xml:space="preserve"> </w:t>
      </w:r>
      <w:r w:rsidRPr="00D4589F">
        <w:t>digoxin C</w:t>
      </w:r>
      <w:r w:rsidRPr="00286F88">
        <w:rPr>
          <w:vertAlign w:val="subscript"/>
        </w:rPr>
        <w:t>max</w:t>
      </w:r>
      <w:r w:rsidRPr="00D4589F">
        <w:t xml:space="preserve"> </w:t>
      </w:r>
      <w:r>
        <w:t xml:space="preserve">test/reference ratio was outside the upper limit of </w:t>
      </w:r>
      <w:r w:rsidRPr="00D4589F">
        <w:t xml:space="preserve">125% </w:t>
      </w:r>
      <w:r>
        <w:t>equ</w:t>
      </w:r>
      <w:r w:rsidRPr="00924DE0">
        <w:t>ivalence.</w:t>
      </w:r>
    </w:p>
    <w:p w:rsidR="00C528D5" w:rsidRDefault="00C528D5" w:rsidP="00090CE9">
      <w:pPr>
        <w:pStyle w:val="ListBullet"/>
      </w:pPr>
      <w:r>
        <w:t>T</w:t>
      </w:r>
      <w:r w:rsidRPr="00D4589F">
        <w:t xml:space="preserve">he </w:t>
      </w:r>
      <w:r>
        <w:t>(least squares</w:t>
      </w:r>
      <w:r w:rsidRPr="00D4589F">
        <w:t xml:space="preserve">) mean </w:t>
      </w:r>
      <w:r>
        <w:t xml:space="preserve">digoxin </w:t>
      </w:r>
      <w:r w:rsidRPr="00D4589F">
        <w:t>AUC</w:t>
      </w:r>
      <w:r w:rsidRPr="00AC6467">
        <w:rPr>
          <w:vertAlign w:val="subscript"/>
        </w:rPr>
        <w:t>0-</w:t>
      </w:r>
      <w:r w:rsidR="003B4B6A">
        <w:rPr>
          <w:rFonts w:eastAsia="SymbolMT"/>
          <w:vertAlign w:val="subscript"/>
        </w:rPr>
        <w:sym w:font="Symbol" w:char="F0A5"/>
      </w:r>
      <w:r w:rsidRPr="00D4589F">
        <w:rPr>
          <w:rFonts w:eastAsia="SymbolMT"/>
        </w:rPr>
        <w:t xml:space="preserve"> </w:t>
      </w:r>
      <w:r>
        <w:t xml:space="preserve">was </w:t>
      </w:r>
      <w:proofErr w:type="gramStart"/>
      <w:r>
        <w:t>12.4 ng.h/mL on co-administration</w:t>
      </w:r>
      <w:proofErr w:type="gramEnd"/>
      <w:r>
        <w:t xml:space="preserve"> compared to 11.4 ng.h/mL on administration alone indicating a 12% increase on co-administration with 90%CI with test/reference </w:t>
      </w:r>
      <w:r w:rsidRPr="00D4589F">
        <w:t>AUC</w:t>
      </w:r>
      <w:r w:rsidRPr="00AC6467">
        <w:rPr>
          <w:vertAlign w:val="subscript"/>
        </w:rPr>
        <w:t>0-</w:t>
      </w:r>
      <w:r w:rsidR="003B4B6A">
        <w:rPr>
          <w:rFonts w:eastAsia="SymbolMT"/>
          <w:vertAlign w:val="subscript"/>
        </w:rPr>
        <w:sym w:font="Symbol" w:char="F0A5"/>
      </w:r>
      <w:r>
        <w:t xml:space="preserve"> ratio of 102.67% to 121.58%. Thus the 90%CI for</w:t>
      </w:r>
      <w:r w:rsidRPr="00D4589F">
        <w:t xml:space="preserve"> mean</w:t>
      </w:r>
      <w:r>
        <w:t xml:space="preserve"> digoxin </w:t>
      </w:r>
      <w:r w:rsidRPr="00D4589F">
        <w:t>AUC</w:t>
      </w:r>
      <w:r w:rsidRPr="00AC6467">
        <w:rPr>
          <w:vertAlign w:val="subscript"/>
        </w:rPr>
        <w:t>0-</w:t>
      </w:r>
      <w:r w:rsidR="003B4B6A">
        <w:rPr>
          <w:rFonts w:eastAsia="SymbolMT"/>
          <w:vertAlign w:val="subscript"/>
        </w:rPr>
        <w:sym w:font="Symbol" w:char="F0A5"/>
      </w:r>
      <w:r w:rsidRPr="00D4589F">
        <w:rPr>
          <w:rFonts w:eastAsia="SymbolMT"/>
        </w:rPr>
        <w:t xml:space="preserve"> </w:t>
      </w:r>
      <w:r>
        <w:rPr>
          <w:rFonts w:eastAsia="SymbolMT"/>
        </w:rPr>
        <w:t>test/reference</w:t>
      </w:r>
      <w:r w:rsidRPr="00D4589F">
        <w:t xml:space="preserve"> </w:t>
      </w:r>
      <w:r>
        <w:t xml:space="preserve">ratio </w:t>
      </w:r>
      <w:r w:rsidRPr="00D4589F">
        <w:t xml:space="preserve">was </w:t>
      </w:r>
      <w:r>
        <w:t>within</w:t>
      </w:r>
      <w:r w:rsidRPr="00D4589F">
        <w:t xml:space="preserve"> the 80% to 125% </w:t>
      </w:r>
      <w:r>
        <w:t xml:space="preserve">equivalence </w:t>
      </w:r>
      <w:r w:rsidRPr="00D4589F">
        <w:t>range</w:t>
      </w:r>
      <w:r>
        <w:t>.</w:t>
      </w:r>
    </w:p>
    <w:p w:rsidR="00C528D5" w:rsidRPr="00913B2C" w:rsidRDefault="00C528D5" w:rsidP="00090CE9">
      <w:pPr>
        <w:pStyle w:val="ListBullet"/>
        <w:rPr>
          <w:color w:val="000000"/>
        </w:rPr>
      </w:pPr>
      <w:r>
        <w:rPr>
          <w:color w:val="000000"/>
        </w:rPr>
        <w:t>T</w:t>
      </w:r>
      <w:r w:rsidRPr="00913B2C">
        <w:rPr>
          <w:color w:val="000000"/>
        </w:rPr>
        <w:t xml:space="preserve">he </w:t>
      </w:r>
      <w:r>
        <w:rPr>
          <w:color w:val="000000"/>
        </w:rPr>
        <w:t>sponsor has provided argument that the 90%CI</w:t>
      </w:r>
      <w:r w:rsidRPr="00913B2C">
        <w:rPr>
          <w:color w:val="000000"/>
        </w:rPr>
        <w:t xml:space="preserve"> for AUC</w:t>
      </w:r>
      <w:r w:rsidRPr="00913B2C">
        <w:rPr>
          <w:color w:val="000000"/>
          <w:vertAlign w:val="subscript"/>
        </w:rPr>
        <w:t>0-3</w:t>
      </w:r>
      <w:r w:rsidRPr="00913B2C">
        <w:rPr>
          <w:color w:val="000000"/>
        </w:rPr>
        <w:t xml:space="preserve"> ratio</w:t>
      </w:r>
      <w:r>
        <w:rPr>
          <w:color w:val="000000"/>
        </w:rPr>
        <w:t xml:space="preserve"> was within the 80% to 125% </w:t>
      </w:r>
      <w:r w:rsidRPr="00913B2C">
        <w:rPr>
          <w:color w:val="000000"/>
        </w:rPr>
        <w:t>equivalence range</w:t>
      </w:r>
      <w:r>
        <w:rPr>
          <w:color w:val="000000"/>
        </w:rPr>
        <w:t xml:space="preserve"> and that </w:t>
      </w:r>
      <w:r w:rsidRPr="00913B2C">
        <w:rPr>
          <w:color w:val="000000"/>
        </w:rPr>
        <w:t>AUC</w:t>
      </w:r>
      <w:r w:rsidRPr="00913B2C">
        <w:rPr>
          <w:color w:val="000000"/>
          <w:vertAlign w:val="subscript"/>
        </w:rPr>
        <w:t>0-3</w:t>
      </w:r>
      <w:r w:rsidRPr="00913B2C">
        <w:rPr>
          <w:color w:val="000000"/>
        </w:rPr>
        <w:t xml:space="preserve"> is a </w:t>
      </w:r>
      <w:r>
        <w:rPr>
          <w:color w:val="000000"/>
        </w:rPr>
        <w:t xml:space="preserve">more useful alternative measure of drug </w:t>
      </w:r>
      <w:r w:rsidRPr="00913B2C">
        <w:rPr>
          <w:color w:val="000000"/>
        </w:rPr>
        <w:t xml:space="preserve">exposure </w:t>
      </w:r>
      <w:r>
        <w:rPr>
          <w:color w:val="000000"/>
        </w:rPr>
        <w:t xml:space="preserve">in the drug absorption phase and unlike </w:t>
      </w:r>
      <w:r w:rsidRPr="00913B2C">
        <w:rPr>
          <w:color w:val="000000"/>
        </w:rPr>
        <w:t>C</w:t>
      </w:r>
      <w:r w:rsidRPr="00913B2C">
        <w:rPr>
          <w:color w:val="000000"/>
          <w:vertAlign w:val="subscript"/>
        </w:rPr>
        <w:t>max</w:t>
      </w:r>
      <w:r>
        <w:rPr>
          <w:color w:val="000000"/>
          <w:vertAlign w:val="subscript"/>
        </w:rPr>
        <w:t xml:space="preserve">, </w:t>
      </w:r>
      <w:r>
        <w:rPr>
          <w:color w:val="000000"/>
        </w:rPr>
        <w:t xml:space="preserve">the </w:t>
      </w:r>
      <w:r w:rsidRPr="00913B2C">
        <w:rPr>
          <w:color w:val="000000"/>
        </w:rPr>
        <w:t>AUC</w:t>
      </w:r>
      <w:r w:rsidRPr="00913B2C">
        <w:rPr>
          <w:color w:val="000000"/>
          <w:vertAlign w:val="subscript"/>
        </w:rPr>
        <w:t>0-3</w:t>
      </w:r>
      <w:r>
        <w:rPr>
          <w:color w:val="000000"/>
        </w:rPr>
        <w:t xml:space="preserve"> is not dependent on uncertainty</w:t>
      </w:r>
      <w:r w:rsidRPr="00913B2C">
        <w:rPr>
          <w:color w:val="000000"/>
        </w:rPr>
        <w:t xml:space="preserve"> associated </w:t>
      </w:r>
      <w:r>
        <w:rPr>
          <w:color w:val="000000"/>
        </w:rPr>
        <w:t>with determination at a single point.</w:t>
      </w:r>
    </w:p>
    <w:p w:rsidR="00C528D5" w:rsidRPr="00482429" w:rsidRDefault="00C528D5" w:rsidP="003B4B6A">
      <w:pPr>
        <w:pStyle w:val="Heading5"/>
        <w:numPr>
          <w:ilvl w:val="0"/>
          <w:numId w:val="0"/>
        </w:numPr>
      </w:pPr>
      <w:r w:rsidRPr="00482429">
        <w:t>Evaluator’s comment</w:t>
      </w:r>
    </w:p>
    <w:p w:rsidR="00C528D5" w:rsidRDefault="00C528D5" w:rsidP="003B4B6A">
      <w:r>
        <w:t>Digoxin is P-glycoprotein substrate. The study revealed mild pharmacokinetic interaction between fidaxomicin and digoxin on co-administration (&gt; 10% increase in digoxin C</w:t>
      </w:r>
      <w:r w:rsidRPr="00DB7E1F">
        <w:rPr>
          <w:vertAlign w:val="subscript"/>
        </w:rPr>
        <w:t>max</w:t>
      </w:r>
      <w:r>
        <w:t xml:space="preserve"> and AUC).</w:t>
      </w:r>
    </w:p>
    <w:p w:rsidR="00C528D5" w:rsidRDefault="00C528D5" w:rsidP="003B4B6A">
      <w:r>
        <w:t>No dose adjustment is proposed in the PI.</w:t>
      </w:r>
    </w:p>
    <w:p w:rsidR="00C528D5" w:rsidRDefault="00C528D5" w:rsidP="003B4B6A">
      <w:r>
        <w:t xml:space="preserve">However, a clinically significant interaction in clinical setting </w:t>
      </w:r>
      <w:r w:rsidR="003B4B6A" w:rsidRPr="003B4B6A">
        <w:t>that is,</w:t>
      </w:r>
      <w:r>
        <w:t xml:space="preserve"> CDAD patients with co-morbidities cannot be excluded compared to the results obtained in healthy volunteers in the interaction studies.</w:t>
      </w:r>
    </w:p>
    <w:p w:rsidR="00C528D5" w:rsidRDefault="003B4B6A" w:rsidP="003B4B6A">
      <w:r>
        <w:t>Please also see preceding S</w:t>
      </w:r>
      <w:r w:rsidR="00C528D5">
        <w:t>tudy OPT-80-007 (c</w:t>
      </w:r>
      <w:r>
        <w:t>yclosporine) and the following S</w:t>
      </w:r>
      <w:r w:rsidR="00C528D5">
        <w:t>tudy OPT-80-009 (midazolam/warfarin/omeprazole).</w:t>
      </w:r>
    </w:p>
    <w:p w:rsidR="00C528D5" w:rsidRPr="005D285D" w:rsidRDefault="00C528D5" w:rsidP="003B4B6A">
      <w:pPr>
        <w:pStyle w:val="Heading4"/>
      </w:pPr>
      <w:r>
        <w:t xml:space="preserve">Study </w:t>
      </w:r>
      <w:r w:rsidRPr="005D285D">
        <w:t>OPT-80-009</w:t>
      </w:r>
      <w:r>
        <w:t xml:space="preserve"> (CYP450 interactions)</w:t>
      </w:r>
    </w:p>
    <w:p w:rsidR="00C528D5" w:rsidRPr="00FF0946" w:rsidRDefault="00C528D5" w:rsidP="003B4B6A">
      <w:r>
        <w:t>This was open l</w:t>
      </w:r>
      <w:r w:rsidRPr="00FF0946">
        <w:t xml:space="preserve">abel, </w:t>
      </w:r>
      <w:r>
        <w:t>non-randomised, m</w:t>
      </w:r>
      <w:r w:rsidRPr="00FF0946">
        <w:t>ono</w:t>
      </w:r>
      <w:r>
        <w:t>-</w:t>
      </w:r>
      <w:r w:rsidRPr="00FF0946">
        <w:t>sequence</w:t>
      </w:r>
      <w:r>
        <w:t xml:space="preserve"> crossover study to evaluate the p</w:t>
      </w:r>
      <w:r w:rsidRPr="00FF0946">
        <w:t>otential for</w:t>
      </w:r>
      <w:r>
        <w:t xml:space="preserve"> cytochrome P450 mediated drug interactions with fidaxomicin (OPT-80) in healthy male volunteers.</w:t>
      </w:r>
    </w:p>
    <w:p w:rsidR="00C528D5" w:rsidRPr="00FF0946" w:rsidRDefault="00C528D5" w:rsidP="003B4B6A">
      <w:r w:rsidRPr="00FF0946">
        <w:t>T</w:t>
      </w:r>
      <w:r>
        <w:t>his was achieved by examining</w:t>
      </w:r>
      <w:r w:rsidRPr="00FF0946">
        <w:t xml:space="preserve"> the effect of s</w:t>
      </w:r>
      <w:r>
        <w:t>teady-state fidaxomicin on co-administration with a single-dose</w:t>
      </w:r>
      <w:r w:rsidRPr="00FF0946">
        <w:t xml:space="preserve"> o</w:t>
      </w:r>
      <w:r>
        <w:t>f a</w:t>
      </w:r>
      <w:r w:rsidRPr="00FF0946">
        <w:t xml:space="preserve"> substrate </w:t>
      </w:r>
      <w:r>
        <w:t>cocktail of 3 drugs</w:t>
      </w:r>
      <w:r w:rsidRPr="00FF0946">
        <w:t xml:space="preserve"> warf</w:t>
      </w:r>
      <w:r>
        <w:t>arin (CYP2C9), omeprazole (CYP2C19) and midazolam (CYP3A4/5).</w:t>
      </w:r>
    </w:p>
    <w:p w:rsidR="00C528D5" w:rsidRPr="00FF0946" w:rsidRDefault="00C528D5" w:rsidP="003B4B6A">
      <w:r w:rsidRPr="00FF0946">
        <w:t>Twenty-fo</w:t>
      </w:r>
      <w:r>
        <w:t xml:space="preserve">ur healthy male subjects were enrolled and 22 completed the study. The mean age of the participants was 32 years (range 20 – 40 years) and </w:t>
      </w:r>
      <w:r w:rsidR="003B4B6A">
        <w:t xml:space="preserve">patients </w:t>
      </w:r>
      <w:r>
        <w:t>were in good health based on clinical examination.</w:t>
      </w:r>
    </w:p>
    <w:p w:rsidR="00C528D5" w:rsidRDefault="00C528D5" w:rsidP="003B4B6A">
      <w:r>
        <w:t>In Treatment Period 1, all participants</w:t>
      </w:r>
      <w:r w:rsidRPr="00FF0946">
        <w:t xml:space="preserve"> received a single </w:t>
      </w:r>
      <w:r>
        <w:t>oral dose of a cocktail of 1 x 1</w:t>
      </w:r>
      <w:r w:rsidR="003B4B6A" w:rsidRPr="003B4B6A">
        <w:t>0 mg</w:t>
      </w:r>
      <w:r w:rsidRPr="00FF0946">
        <w:t xml:space="preserve"> warfarin (Coumadin</w:t>
      </w:r>
      <w:r>
        <w:t>) tablet, 2 x 2</w:t>
      </w:r>
      <w:r w:rsidR="003B4B6A" w:rsidRPr="003B4B6A">
        <w:t>0 mg</w:t>
      </w:r>
      <w:r w:rsidRPr="00FF0946">
        <w:t xml:space="preserve"> omeprazole (Prilosec OTC</w:t>
      </w:r>
      <w:r>
        <w:t>) tablets and 5</w:t>
      </w:r>
      <w:r w:rsidR="003B4B6A">
        <w:t xml:space="preserve"> </w:t>
      </w:r>
      <w:r w:rsidRPr="00FF0946">
        <w:t>mg</w:t>
      </w:r>
      <w:r>
        <w:t xml:space="preserve"> midazolam (Versed</w:t>
      </w:r>
      <w:r w:rsidR="003B4B6A">
        <w:t xml:space="preserve"> </w:t>
      </w:r>
      <w:r>
        <w:t>midazolam hydrochloride syrup 2mg/mL) on Day 1. This was followed by a washout interval of 16 days.</w:t>
      </w:r>
    </w:p>
    <w:p w:rsidR="00C528D5" w:rsidRDefault="00C528D5" w:rsidP="003B4B6A">
      <w:r>
        <w:t>In Treatment Period 2, all participants</w:t>
      </w:r>
      <w:r w:rsidRPr="00FF0946">
        <w:t xml:space="preserve"> received </w:t>
      </w:r>
      <w:r>
        <w:t>20</w:t>
      </w:r>
      <w:r w:rsidR="003B4B6A" w:rsidRPr="003B4B6A">
        <w:t>0 mg</w:t>
      </w:r>
      <w:r>
        <w:t xml:space="preserve"> </w:t>
      </w:r>
      <w:r w:rsidRPr="00FF0946">
        <w:t>oral fidaxomicin table</w:t>
      </w:r>
      <w:r>
        <w:t>ts every 12</w:t>
      </w:r>
      <w:r w:rsidR="00353ABC">
        <w:t xml:space="preserve"> h </w:t>
      </w:r>
      <w:r>
        <w:t xml:space="preserve">from study Day 18 to Day </w:t>
      </w:r>
      <w:r w:rsidRPr="00194E9D">
        <w:rPr>
          <w:u w:val="single"/>
        </w:rPr>
        <w:t>24</w:t>
      </w:r>
      <w:r>
        <w:t>.</w:t>
      </w:r>
    </w:p>
    <w:p w:rsidR="00C528D5" w:rsidRDefault="00C528D5" w:rsidP="003B4B6A">
      <w:r>
        <w:t xml:space="preserve">In Treatment Period 3 on study Day </w:t>
      </w:r>
      <w:r w:rsidRPr="00194E9D">
        <w:rPr>
          <w:u w:val="single"/>
        </w:rPr>
        <w:t>21</w:t>
      </w:r>
      <w:r>
        <w:t xml:space="preserve">, all participants also received a </w:t>
      </w:r>
      <w:r w:rsidRPr="00FF0946">
        <w:t xml:space="preserve">single </w:t>
      </w:r>
      <w:r>
        <w:t>oral dose of a cocktail of 1 x 1</w:t>
      </w:r>
      <w:r w:rsidR="003B4B6A" w:rsidRPr="003B4B6A">
        <w:t>0 mg</w:t>
      </w:r>
      <w:r w:rsidRPr="00FF0946">
        <w:t xml:space="preserve"> warfarin</w:t>
      </w:r>
      <w:r>
        <w:t xml:space="preserve"> tablet, 2 x 2</w:t>
      </w:r>
      <w:r w:rsidR="003B4B6A" w:rsidRPr="003B4B6A">
        <w:t>0 mg</w:t>
      </w:r>
      <w:r w:rsidRPr="00FF0946">
        <w:t xml:space="preserve"> omeprazole </w:t>
      </w:r>
      <w:r>
        <w:t>tablets and 5</w:t>
      </w:r>
      <w:r w:rsidR="003B4B6A">
        <w:t xml:space="preserve"> </w:t>
      </w:r>
      <w:r w:rsidRPr="00FF0946">
        <w:t>mg</w:t>
      </w:r>
      <w:r>
        <w:t xml:space="preserve"> midazolam (2</w:t>
      </w:r>
      <w:r w:rsidR="003B4B6A">
        <w:t xml:space="preserve"> </w:t>
      </w:r>
      <w:r>
        <w:t>mg/mL) in co-administration with fidaxomicin. T</w:t>
      </w:r>
      <w:r w:rsidRPr="00FF0946">
        <w:t>he cocktail</w:t>
      </w:r>
      <w:r>
        <w:t xml:space="preserve"> </w:t>
      </w:r>
      <w:r w:rsidRPr="00FF0946">
        <w:t>was given with the first dose of fidaxomicin tablets of</w:t>
      </w:r>
      <w:r>
        <w:t xml:space="preserve"> the day. Administration of 20</w:t>
      </w:r>
      <w:r w:rsidR="003B4B6A" w:rsidRPr="003B4B6A">
        <w:t>0 mg</w:t>
      </w:r>
      <w:r w:rsidRPr="00FF0946">
        <w:t xml:space="preserve"> </w:t>
      </w:r>
      <w:r>
        <w:t>fidaxomicin tablets every 12</w:t>
      </w:r>
      <w:r w:rsidR="00353ABC">
        <w:t xml:space="preserve"> h </w:t>
      </w:r>
      <w:r w:rsidRPr="00FF0946">
        <w:t>continued through Day 24.</w:t>
      </w:r>
    </w:p>
    <w:p w:rsidR="00C528D5" w:rsidRPr="00FF0946" w:rsidRDefault="00C528D5" w:rsidP="003B4B6A">
      <w:r w:rsidRPr="00FF0946">
        <w:t>The morning dose</w:t>
      </w:r>
      <w:r>
        <w:t>s</w:t>
      </w:r>
      <w:r w:rsidRPr="00FF0946">
        <w:t xml:space="preserve"> of study drug</w:t>
      </w:r>
      <w:r>
        <w:t>s were</w:t>
      </w:r>
      <w:r w:rsidRPr="00FF0946">
        <w:t xml:space="preserve"> administered on </w:t>
      </w:r>
      <w:r w:rsidR="003B4B6A">
        <w:t xml:space="preserve">dosing days after at least a 10 </w:t>
      </w:r>
      <w:r w:rsidRPr="00FF0946">
        <w:t>hour fast. No food</w:t>
      </w:r>
      <w:r>
        <w:t xml:space="preserve"> </w:t>
      </w:r>
      <w:r w:rsidRPr="00FF0946">
        <w:t>or water was allowed for 1 hour before or 2</w:t>
      </w:r>
      <w:r w:rsidR="00353ABC">
        <w:t xml:space="preserve"> h </w:t>
      </w:r>
      <w:r w:rsidRPr="00FF0946">
        <w:t>after the second fidaxomicin dose of the day.</w:t>
      </w:r>
    </w:p>
    <w:p w:rsidR="00C528D5" w:rsidRDefault="00C528D5" w:rsidP="003B4B6A">
      <w:r>
        <w:t>The results were reported as follows:</w:t>
      </w:r>
    </w:p>
    <w:p w:rsidR="00C528D5" w:rsidRPr="00E91F35" w:rsidRDefault="00C528D5" w:rsidP="003B4B6A">
      <w:pPr>
        <w:pStyle w:val="Heading5"/>
        <w:numPr>
          <w:ilvl w:val="0"/>
          <w:numId w:val="0"/>
        </w:numPr>
      </w:pPr>
      <w:r w:rsidRPr="00E91F35">
        <w:t>Warfarin</w:t>
      </w:r>
    </w:p>
    <w:p w:rsidR="00C528D5" w:rsidRDefault="00C528D5" w:rsidP="00090CE9">
      <w:pPr>
        <w:pStyle w:val="ListBullet"/>
      </w:pPr>
      <w:r w:rsidRPr="00FF0946">
        <w:t xml:space="preserve">Following a single </w:t>
      </w:r>
      <w:r>
        <w:t>oral dose of a cocktail of a 1</w:t>
      </w:r>
      <w:r w:rsidR="003B4B6A" w:rsidRPr="003B4B6A">
        <w:t>0 mg</w:t>
      </w:r>
      <w:r w:rsidRPr="00FF0946">
        <w:t xml:space="preserve"> warfarin</w:t>
      </w:r>
      <w:r>
        <w:t>, 4</w:t>
      </w:r>
      <w:r w:rsidR="003B4B6A" w:rsidRPr="003B4B6A">
        <w:t>0 mg</w:t>
      </w:r>
      <w:r w:rsidRPr="00FF0946">
        <w:t xml:space="preserve"> om</w:t>
      </w:r>
      <w:r>
        <w:t>eprazole and 5</w:t>
      </w:r>
      <w:r w:rsidR="003B4B6A">
        <w:t xml:space="preserve"> </w:t>
      </w:r>
      <w:r w:rsidRPr="00FF0946">
        <w:t xml:space="preserve">mg midazolam alone or </w:t>
      </w:r>
      <w:r>
        <w:t xml:space="preserve">in combination with oral fidaxomicin tablets </w:t>
      </w:r>
      <w:r w:rsidRPr="00FF0946">
        <w:t>20</w:t>
      </w:r>
      <w:r w:rsidR="003B4B6A" w:rsidRPr="003B4B6A">
        <w:t>0 mg</w:t>
      </w:r>
      <w:r>
        <w:t xml:space="preserve"> every 12</w:t>
      </w:r>
      <w:r w:rsidR="00353ABC">
        <w:t xml:space="preserve"> h </w:t>
      </w:r>
      <w:r w:rsidRPr="00FF0946">
        <w:t>in</w:t>
      </w:r>
      <w:r>
        <w:t xml:space="preserve"> Periods 1 and 3 respectively </w:t>
      </w:r>
      <w:r w:rsidR="003B4B6A" w:rsidRPr="003B4B6A">
        <w:t>that is,</w:t>
      </w:r>
      <w:r>
        <w:t xml:space="preserve"> on Day</w:t>
      </w:r>
      <w:r w:rsidRPr="00FF0946">
        <w:t xml:space="preserve"> 1 and </w:t>
      </w:r>
      <w:r>
        <w:t>Day 21 respectively, the</w:t>
      </w:r>
      <w:r w:rsidRPr="00FF0946">
        <w:t xml:space="preserve"> median R- and S-warfarin T</w:t>
      </w:r>
      <w:r w:rsidRPr="00AB3C73">
        <w:rPr>
          <w:vertAlign w:val="subscript"/>
        </w:rPr>
        <w:t>max</w:t>
      </w:r>
      <w:r w:rsidRPr="00FF0946">
        <w:t xml:space="preserve"> values ranged from</w:t>
      </w:r>
      <w:r>
        <w:t xml:space="preserve"> </w:t>
      </w:r>
      <w:r w:rsidRPr="00FF0946">
        <w:t>1.00 to 2.0</w:t>
      </w:r>
      <w:r>
        <w:t>0</w:t>
      </w:r>
      <w:r w:rsidR="00353ABC">
        <w:t xml:space="preserve"> h </w:t>
      </w:r>
      <w:r>
        <w:t>for both Days 1 and 21</w:t>
      </w:r>
      <w:r w:rsidR="00924DE0">
        <w:t>.</w:t>
      </w:r>
    </w:p>
    <w:p w:rsidR="00C528D5" w:rsidRDefault="00C528D5" w:rsidP="00090CE9">
      <w:pPr>
        <w:pStyle w:val="ListBullet"/>
      </w:pPr>
      <w:r>
        <w:t>A m</w:t>
      </w:r>
      <w:r w:rsidRPr="00FF0946">
        <w:t>ean R-warfarin t</w:t>
      </w:r>
      <w:r w:rsidRPr="00AB3C73">
        <w:rPr>
          <w:vertAlign w:val="subscript"/>
        </w:rPr>
        <w:t>1/2</w:t>
      </w:r>
      <w:r w:rsidRPr="00FF0946">
        <w:t xml:space="preserve"> of 87.1</w:t>
      </w:r>
      <w:r w:rsidR="00353ABC">
        <w:t xml:space="preserve"> h </w:t>
      </w:r>
      <w:r w:rsidRPr="00FF0946">
        <w:t>and 102</w:t>
      </w:r>
      <w:r w:rsidR="00353ABC">
        <w:t xml:space="preserve"> h </w:t>
      </w:r>
      <w:r w:rsidRPr="00FF0946">
        <w:t>and mean</w:t>
      </w:r>
      <w:r>
        <w:t xml:space="preserve"> R-warfarin MRT</w:t>
      </w:r>
      <w:r w:rsidRPr="00FF0946">
        <w:t xml:space="preserve"> of 88.2</w:t>
      </w:r>
      <w:r w:rsidR="00353ABC">
        <w:t xml:space="preserve"> h </w:t>
      </w:r>
      <w:r w:rsidRPr="00FF0946">
        <w:t>and 94.9</w:t>
      </w:r>
      <w:r w:rsidR="00353ABC">
        <w:t xml:space="preserve"> h </w:t>
      </w:r>
      <w:r>
        <w:t>were observed on Days 1 and 21 respectively.</w:t>
      </w:r>
    </w:p>
    <w:p w:rsidR="00C528D5" w:rsidRDefault="00C528D5" w:rsidP="00090CE9">
      <w:pPr>
        <w:pStyle w:val="ListBullet"/>
      </w:pPr>
      <w:r>
        <w:t>A m</w:t>
      </w:r>
      <w:r w:rsidRPr="00FF0946">
        <w:t>ean</w:t>
      </w:r>
      <w:r>
        <w:t xml:space="preserve"> </w:t>
      </w:r>
      <w:r w:rsidRPr="00FF0946">
        <w:t>S-warfarin t</w:t>
      </w:r>
      <w:r w:rsidRPr="00AB3C73">
        <w:rPr>
          <w:vertAlign w:val="subscript"/>
        </w:rPr>
        <w:t>1/2</w:t>
      </w:r>
      <w:r w:rsidRPr="00FF0946">
        <w:t xml:space="preserve"> of 91.2</w:t>
      </w:r>
      <w:r w:rsidR="00353ABC">
        <w:t xml:space="preserve"> h </w:t>
      </w:r>
      <w:r w:rsidRPr="00FF0946">
        <w:t>and 97.3</w:t>
      </w:r>
      <w:r w:rsidR="00353ABC">
        <w:t xml:space="preserve"> h </w:t>
      </w:r>
      <w:r>
        <w:t>and mean S-warfarin MRT</w:t>
      </w:r>
      <w:r w:rsidRPr="00FF0946">
        <w:t xml:space="preserve"> of 70.2</w:t>
      </w:r>
      <w:r w:rsidR="00353ABC">
        <w:t xml:space="preserve"> h </w:t>
      </w:r>
      <w:r w:rsidRPr="00FF0946">
        <w:t>and 71.8</w:t>
      </w:r>
      <w:r w:rsidR="00353ABC">
        <w:t xml:space="preserve"> h </w:t>
      </w:r>
      <w:r>
        <w:t>were observed on Days 1 and 21 respectively.</w:t>
      </w:r>
    </w:p>
    <w:p w:rsidR="00C528D5" w:rsidRDefault="00C528D5" w:rsidP="00090CE9">
      <w:pPr>
        <w:pStyle w:val="ListBullet"/>
      </w:pPr>
      <w:r w:rsidRPr="00FF0946">
        <w:t>The R-warfarin least squares (LS) mean C</w:t>
      </w:r>
      <w:r w:rsidRPr="00286F88">
        <w:rPr>
          <w:vertAlign w:val="subscript"/>
        </w:rPr>
        <w:t>max</w:t>
      </w:r>
      <w:r>
        <w:t xml:space="preserve"> on Day 21 was 9.1</w:t>
      </w:r>
      <w:r w:rsidRPr="00FF0946">
        <w:t xml:space="preserve">% </w:t>
      </w:r>
      <w:r>
        <w:t>higher (661</w:t>
      </w:r>
      <w:r w:rsidR="003B4B6A" w:rsidRPr="003B4B6A">
        <w:t xml:space="preserve"> versus </w:t>
      </w:r>
      <w:r>
        <w:t>606ng/mL) than on Day 1</w:t>
      </w:r>
      <w:r w:rsidR="00924DE0">
        <w:t>.</w:t>
      </w:r>
    </w:p>
    <w:p w:rsidR="00C528D5" w:rsidRDefault="00C528D5" w:rsidP="00090CE9">
      <w:pPr>
        <w:pStyle w:val="ListBullet"/>
      </w:pPr>
      <w:r>
        <w:t>The 90%CI for ratio of test/reference</w:t>
      </w:r>
      <w:r w:rsidRPr="00FF0946">
        <w:t xml:space="preserve"> LS mean C</w:t>
      </w:r>
      <w:r w:rsidRPr="00286F88">
        <w:rPr>
          <w:vertAlign w:val="subscript"/>
        </w:rPr>
        <w:t>max</w:t>
      </w:r>
      <w:r w:rsidRPr="00FF0946">
        <w:t xml:space="preserve"> </w:t>
      </w:r>
      <w:r>
        <w:t>for R-warfarin was 104.6% to 113.8% and was thus contained</w:t>
      </w:r>
      <w:r w:rsidRPr="00FF0946">
        <w:t xml:space="preserve"> within the 80% to 125% equivalence range.</w:t>
      </w:r>
    </w:p>
    <w:p w:rsidR="00C528D5" w:rsidRDefault="00C528D5" w:rsidP="00090CE9">
      <w:pPr>
        <w:pStyle w:val="ListBullet"/>
      </w:pPr>
      <w:r>
        <w:t>The R-warfarin LS</w:t>
      </w:r>
      <w:r w:rsidRPr="00FF0946">
        <w:t xml:space="preserve"> m</w:t>
      </w:r>
      <w:r>
        <w:t xml:space="preserve">ean </w:t>
      </w:r>
      <w:r w:rsidRPr="00FF0946">
        <w:t>AUC</w:t>
      </w:r>
      <w:r w:rsidRPr="00A07885">
        <w:rPr>
          <w:vertAlign w:val="subscript"/>
        </w:rPr>
        <w:t>0-</w:t>
      </w:r>
      <w:r w:rsidR="005F4F28">
        <w:rPr>
          <w:rFonts w:eastAsia="SymbolMT"/>
          <w:vertAlign w:val="subscript"/>
        </w:rPr>
        <w:sym w:font="Symbol" w:char="F0A5"/>
      </w:r>
      <w:r>
        <w:t xml:space="preserve"> on Day 21 was 13.8</w:t>
      </w:r>
      <w:r w:rsidRPr="00FF0946">
        <w:t xml:space="preserve">% </w:t>
      </w:r>
      <w:r>
        <w:t>higher (40862</w:t>
      </w:r>
      <w:r w:rsidR="003B4B6A" w:rsidRPr="003B4B6A">
        <w:t xml:space="preserve"> versus </w:t>
      </w:r>
      <w:r>
        <w:t>35902</w:t>
      </w:r>
      <w:r w:rsidR="003B4B6A">
        <w:t xml:space="preserve"> </w:t>
      </w:r>
      <w:r>
        <w:t>ng.hr/mL) than on Day 1.</w:t>
      </w:r>
    </w:p>
    <w:p w:rsidR="00C528D5" w:rsidRDefault="00C528D5" w:rsidP="00090CE9">
      <w:pPr>
        <w:pStyle w:val="ListBullet"/>
      </w:pPr>
      <w:r>
        <w:t xml:space="preserve">The 90%CI for ratio of test/reference </w:t>
      </w:r>
      <w:r w:rsidRPr="00FF0946">
        <w:t>LS mean AUC</w:t>
      </w:r>
      <w:r w:rsidRPr="00286F88">
        <w:rPr>
          <w:vertAlign w:val="subscript"/>
        </w:rPr>
        <w:t>0-</w:t>
      </w:r>
      <w:r w:rsidR="005F4F28">
        <w:rPr>
          <w:rFonts w:eastAsia="SymbolMT"/>
          <w:vertAlign w:val="subscript"/>
        </w:rPr>
        <w:sym w:font="Symbol" w:char="F0A5"/>
      </w:r>
      <w:r w:rsidRPr="00FF0946">
        <w:rPr>
          <w:rFonts w:eastAsia="SymbolMT"/>
        </w:rPr>
        <w:t xml:space="preserve"> </w:t>
      </w:r>
      <w:r>
        <w:rPr>
          <w:rFonts w:eastAsia="SymbolMT"/>
        </w:rPr>
        <w:t xml:space="preserve">for R-warfarin was 110.6% to 117.08% </w:t>
      </w:r>
      <w:r>
        <w:t>and was thus</w:t>
      </w:r>
      <w:r w:rsidRPr="00FF0946">
        <w:t xml:space="preserve"> within the 80% to 125% equivalence range.</w:t>
      </w:r>
    </w:p>
    <w:p w:rsidR="00C528D5" w:rsidRDefault="00C528D5" w:rsidP="00090CE9">
      <w:pPr>
        <w:pStyle w:val="ListBullet"/>
      </w:pPr>
      <w:r w:rsidRPr="00FF0946">
        <w:t>The S-warfarin</w:t>
      </w:r>
      <w:r>
        <w:t xml:space="preserve"> </w:t>
      </w:r>
      <w:r w:rsidRPr="00FF0946">
        <w:t>LS mean C</w:t>
      </w:r>
      <w:r w:rsidRPr="00286F88">
        <w:rPr>
          <w:vertAlign w:val="subscript"/>
        </w:rPr>
        <w:t>max</w:t>
      </w:r>
      <w:r>
        <w:t xml:space="preserve"> on Day 21 was</w:t>
      </w:r>
      <w:r w:rsidRPr="00FF0946">
        <w:t xml:space="preserve"> 9.35% </w:t>
      </w:r>
      <w:r>
        <w:t>higher (668</w:t>
      </w:r>
      <w:r w:rsidR="003B4B6A" w:rsidRPr="003B4B6A">
        <w:t xml:space="preserve"> versus </w:t>
      </w:r>
      <w:r>
        <w:t>611ng/mL)</w:t>
      </w:r>
      <w:r w:rsidRPr="00FF0946">
        <w:t xml:space="preserve"> than on Day 1</w:t>
      </w:r>
      <w:r>
        <w:t>.</w:t>
      </w:r>
    </w:p>
    <w:p w:rsidR="00C528D5" w:rsidRDefault="00C528D5" w:rsidP="00090CE9">
      <w:pPr>
        <w:pStyle w:val="ListBullet"/>
      </w:pPr>
      <w:r>
        <w:t xml:space="preserve">The 90%CI for ratio of test/reference </w:t>
      </w:r>
      <w:r w:rsidRPr="00FF0946">
        <w:t>S-warfarin LS mean C</w:t>
      </w:r>
      <w:r w:rsidRPr="00286F88">
        <w:rPr>
          <w:vertAlign w:val="subscript"/>
        </w:rPr>
        <w:t>max</w:t>
      </w:r>
      <w:r w:rsidRPr="00FF0946">
        <w:t xml:space="preserve"> </w:t>
      </w:r>
      <w:r>
        <w:t xml:space="preserve">was 104.01% to 114.96%) </w:t>
      </w:r>
      <w:r w:rsidRPr="00FF0946">
        <w:t>and</w:t>
      </w:r>
      <w:r>
        <w:t xml:space="preserve"> was thus</w:t>
      </w:r>
      <w:r w:rsidRPr="00FF0946">
        <w:t xml:space="preserve"> within the 80% to 125% equivalence range.</w:t>
      </w:r>
    </w:p>
    <w:p w:rsidR="00C528D5" w:rsidRDefault="00C528D5" w:rsidP="00090CE9">
      <w:pPr>
        <w:pStyle w:val="ListBullet"/>
      </w:pPr>
      <w:r w:rsidRPr="00FF0946">
        <w:t>The S-warfarin</w:t>
      </w:r>
      <w:r>
        <w:t xml:space="preserve"> LS mean </w:t>
      </w:r>
      <w:r w:rsidRPr="00FF0946">
        <w:t>AUC</w:t>
      </w:r>
      <w:r w:rsidRPr="00A07885">
        <w:rPr>
          <w:vertAlign w:val="subscript"/>
        </w:rPr>
        <w:t>0-</w:t>
      </w:r>
      <w:r w:rsidR="005F4F28">
        <w:rPr>
          <w:rFonts w:eastAsia="TimesNewRomanPSMT"/>
          <w:vertAlign w:val="subscript"/>
        </w:rPr>
        <w:sym w:font="Symbol" w:char="F0A5"/>
      </w:r>
      <w:r w:rsidRPr="00FF0946">
        <w:rPr>
          <w:rFonts w:eastAsia="TimesNewRomanPSMT"/>
        </w:rPr>
        <w:t xml:space="preserve"> </w:t>
      </w:r>
      <w:r>
        <w:t xml:space="preserve">on Day 21 was </w:t>
      </w:r>
      <w:r w:rsidRPr="00FF0946">
        <w:t xml:space="preserve">13.06% </w:t>
      </w:r>
      <w:r>
        <w:t>higher (23171</w:t>
      </w:r>
      <w:r w:rsidR="003B4B6A" w:rsidRPr="003B4B6A">
        <w:t xml:space="preserve"> versus </w:t>
      </w:r>
      <w:r>
        <w:t>20495 ng.hr/mL)</w:t>
      </w:r>
      <w:r w:rsidRPr="00FF0946">
        <w:t xml:space="preserve"> than on Day 1</w:t>
      </w:r>
      <w:r>
        <w:t>.</w:t>
      </w:r>
    </w:p>
    <w:p w:rsidR="00C528D5" w:rsidRDefault="00C528D5" w:rsidP="00090CE9">
      <w:pPr>
        <w:pStyle w:val="ListBullet"/>
      </w:pPr>
      <w:r>
        <w:t xml:space="preserve">The 90%CI for ratio of test/reference </w:t>
      </w:r>
      <w:r w:rsidRPr="00FF0946">
        <w:t>S-warfarin LS mean AUC</w:t>
      </w:r>
      <w:r w:rsidRPr="00286F88">
        <w:rPr>
          <w:vertAlign w:val="subscript"/>
        </w:rPr>
        <w:t>0-</w:t>
      </w:r>
      <w:r w:rsidRPr="00286F88">
        <w:rPr>
          <w:rFonts w:eastAsia="SymbolMT"/>
          <w:vertAlign w:val="subscript"/>
        </w:rPr>
        <w:t>∞</w:t>
      </w:r>
      <w:r w:rsidRPr="00FF0946">
        <w:rPr>
          <w:rFonts w:eastAsia="SymbolMT"/>
        </w:rPr>
        <w:t xml:space="preserve"> </w:t>
      </w:r>
      <w:r>
        <w:rPr>
          <w:rFonts w:eastAsia="SymbolMT"/>
        </w:rPr>
        <w:t xml:space="preserve">was 109.53% to 116.7% </w:t>
      </w:r>
      <w:r>
        <w:t xml:space="preserve">and was thus </w:t>
      </w:r>
      <w:r w:rsidRPr="00FF0946">
        <w:t>contained within the 80% to 125% equivalence range.</w:t>
      </w:r>
    </w:p>
    <w:p w:rsidR="00C528D5" w:rsidRPr="00E91F35" w:rsidRDefault="00C528D5" w:rsidP="005F4F28">
      <w:pPr>
        <w:pStyle w:val="Heading5"/>
        <w:numPr>
          <w:ilvl w:val="0"/>
          <w:numId w:val="0"/>
        </w:numPr>
      </w:pPr>
      <w:r w:rsidRPr="00E91F35">
        <w:t>Omeprazole</w:t>
      </w:r>
    </w:p>
    <w:p w:rsidR="00C528D5" w:rsidRDefault="00C528D5" w:rsidP="00090CE9">
      <w:pPr>
        <w:pStyle w:val="ListBullet"/>
      </w:pPr>
      <w:r w:rsidRPr="00FF0946">
        <w:t xml:space="preserve">After a single </w:t>
      </w:r>
      <w:r>
        <w:t>oral dose of the</w:t>
      </w:r>
      <w:r w:rsidRPr="00FF0946">
        <w:t xml:space="preserve"> cocktail alone or </w:t>
      </w:r>
      <w:r>
        <w:t xml:space="preserve">in combination </w:t>
      </w:r>
      <w:r w:rsidRPr="00FF0946">
        <w:t>with o</w:t>
      </w:r>
      <w:r>
        <w:t>ral fidaxomicin (20</w:t>
      </w:r>
      <w:r w:rsidR="003B4B6A" w:rsidRPr="003B4B6A">
        <w:t>0 mg</w:t>
      </w:r>
      <w:r>
        <w:t xml:space="preserve"> every 12 hours) in Periods 1 and 3 </w:t>
      </w:r>
      <w:r w:rsidR="003B4B6A" w:rsidRPr="003B4B6A">
        <w:t>that is,</w:t>
      </w:r>
      <w:r>
        <w:t xml:space="preserve"> on Days 1 and 21 respectively</w:t>
      </w:r>
      <w:r w:rsidRPr="00FF0946">
        <w:t>, a median omeprazole and 5-hydroxyomeprazole</w:t>
      </w:r>
      <w:r>
        <w:t xml:space="preserve"> </w:t>
      </w:r>
      <w:r w:rsidRPr="00FF0946">
        <w:t>T</w:t>
      </w:r>
      <w:r w:rsidRPr="00286F88">
        <w:rPr>
          <w:vertAlign w:val="subscript"/>
        </w:rPr>
        <w:t>max</w:t>
      </w:r>
      <w:r>
        <w:t xml:space="preserve"> of 2</w:t>
      </w:r>
      <w:r w:rsidR="00353ABC">
        <w:t xml:space="preserve"> h </w:t>
      </w:r>
      <w:r w:rsidRPr="00FF0946">
        <w:t>was o</w:t>
      </w:r>
      <w:r>
        <w:t>bserved on both Days 1 and 2</w:t>
      </w:r>
      <w:r w:rsidRPr="00353ABC">
        <w:t>1.</w:t>
      </w:r>
    </w:p>
    <w:p w:rsidR="00C528D5" w:rsidRDefault="00C528D5" w:rsidP="00090CE9">
      <w:pPr>
        <w:pStyle w:val="ListBullet"/>
      </w:pPr>
      <w:r>
        <w:t>A m</w:t>
      </w:r>
      <w:r w:rsidRPr="00FF0946">
        <w:t>ean omeprazole t</w:t>
      </w:r>
      <w:r w:rsidRPr="00CC6830">
        <w:rPr>
          <w:vertAlign w:val="subscript"/>
        </w:rPr>
        <w:t>1/2</w:t>
      </w:r>
      <w:r w:rsidRPr="00FF0946">
        <w:t xml:space="preserve"> of 1.02</w:t>
      </w:r>
      <w:r w:rsidR="00353ABC">
        <w:t xml:space="preserve"> h </w:t>
      </w:r>
      <w:r w:rsidRPr="00FF0946">
        <w:t>and</w:t>
      </w:r>
      <w:r>
        <w:t xml:space="preserve"> </w:t>
      </w:r>
      <w:r w:rsidRPr="00FF0946">
        <w:t>1.18</w:t>
      </w:r>
      <w:r w:rsidR="00353ABC">
        <w:t xml:space="preserve"> h </w:t>
      </w:r>
      <w:r w:rsidRPr="00FF0946">
        <w:t xml:space="preserve">and </w:t>
      </w:r>
      <w:r>
        <w:t>mean omeprazole MRT</w:t>
      </w:r>
      <w:r w:rsidRPr="00FF0946">
        <w:t xml:space="preserve"> of 3.01</w:t>
      </w:r>
      <w:r w:rsidR="00353ABC">
        <w:t xml:space="preserve"> h </w:t>
      </w:r>
      <w:r>
        <w:t>and 3.19</w:t>
      </w:r>
      <w:r w:rsidR="00353ABC">
        <w:t xml:space="preserve"> h </w:t>
      </w:r>
      <w:r>
        <w:t>were observed on</w:t>
      </w:r>
      <w:r w:rsidRPr="00FF0946">
        <w:t xml:space="preserve"> Days 1 and 21</w:t>
      </w:r>
      <w:r>
        <w:t xml:space="preserve"> respectively.</w:t>
      </w:r>
    </w:p>
    <w:p w:rsidR="00C528D5" w:rsidRDefault="00C528D5" w:rsidP="00090CE9">
      <w:pPr>
        <w:pStyle w:val="ListBullet"/>
      </w:pPr>
      <w:r>
        <w:t>A m</w:t>
      </w:r>
      <w:r w:rsidRPr="00FF0946">
        <w:t>ean 5-hydroxyomeprazole t</w:t>
      </w:r>
      <w:r w:rsidRPr="00CC6830">
        <w:rPr>
          <w:vertAlign w:val="subscript"/>
        </w:rPr>
        <w:t>1/2</w:t>
      </w:r>
      <w:r w:rsidRPr="00FF0946">
        <w:t xml:space="preserve"> of 1.31</w:t>
      </w:r>
      <w:r w:rsidR="00353ABC">
        <w:t xml:space="preserve"> h </w:t>
      </w:r>
      <w:r w:rsidRPr="00FF0946">
        <w:t>an</w:t>
      </w:r>
      <w:r>
        <w:t>d 1.47</w:t>
      </w:r>
      <w:r w:rsidR="00353ABC">
        <w:t xml:space="preserve"> h </w:t>
      </w:r>
      <w:r>
        <w:t>and mean MRT</w:t>
      </w:r>
      <w:r w:rsidRPr="00FF0946">
        <w:t xml:space="preserve"> of</w:t>
      </w:r>
      <w:r>
        <w:t xml:space="preserve"> </w:t>
      </w:r>
      <w:r w:rsidRPr="00FF0946">
        <w:t>3.45</w:t>
      </w:r>
      <w:r w:rsidR="00353ABC">
        <w:t xml:space="preserve"> h </w:t>
      </w:r>
      <w:r>
        <w:t>and 3.68</w:t>
      </w:r>
      <w:r w:rsidR="00353ABC">
        <w:t xml:space="preserve"> h </w:t>
      </w:r>
      <w:r>
        <w:t>were observed on Days 1 and 21 respectively. The mean M/P ratios</w:t>
      </w:r>
      <w:r w:rsidRPr="00FF0946">
        <w:t xml:space="preserve"> on Days 1 and 21 were</w:t>
      </w:r>
      <w:r>
        <w:t xml:space="preserve"> 0.893 and 0.929 respectively.</w:t>
      </w:r>
    </w:p>
    <w:p w:rsidR="00C528D5" w:rsidRDefault="00C528D5" w:rsidP="00090CE9">
      <w:pPr>
        <w:pStyle w:val="ListBullet"/>
      </w:pPr>
      <w:r w:rsidRPr="00FF0946">
        <w:t>The omeprazole LS mean</w:t>
      </w:r>
      <w:r>
        <w:t xml:space="preserve"> </w:t>
      </w:r>
      <w:r w:rsidRPr="00FF0946">
        <w:t>C</w:t>
      </w:r>
      <w:r w:rsidRPr="00286F88">
        <w:rPr>
          <w:vertAlign w:val="subscript"/>
        </w:rPr>
        <w:t>max</w:t>
      </w:r>
      <w:r w:rsidRPr="00FF0946">
        <w:t xml:space="preserve"> </w:t>
      </w:r>
      <w:r>
        <w:t>(561</w:t>
      </w:r>
      <w:r w:rsidR="003B4B6A" w:rsidRPr="003B4B6A">
        <w:t xml:space="preserve"> </w:t>
      </w:r>
      <w:proofErr w:type="gramStart"/>
      <w:r w:rsidR="003B4B6A" w:rsidRPr="003B4B6A">
        <w:t xml:space="preserve">versus </w:t>
      </w:r>
      <w:r>
        <w:t>603 ng/mL</w:t>
      </w:r>
      <w:proofErr w:type="gramEnd"/>
      <w:r>
        <w:t>) was</w:t>
      </w:r>
      <w:r w:rsidRPr="00FF0946">
        <w:t xml:space="preserve"> 6.96</w:t>
      </w:r>
      <w:r>
        <w:t>% lower on Day 21 compared to Day 1.</w:t>
      </w:r>
    </w:p>
    <w:p w:rsidR="00C528D5" w:rsidRDefault="00C528D5" w:rsidP="00090CE9">
      <w:pPr>
        <w:pStyle w:val="ListBullet"/>
      </w:pPr>
      <w:r w:rsidRPr="00FF0946">
        <w:t>The omeprazole LS mean AUC</w:t>
      </w:r>
      <w:r w:rsidRPr="00CC6830">
        <w:rPr>
          <w:vertAlign w:val="subscript"/>
        </w:rPr>
        <w:t>0-</w:t>
      </w:r>
      <w:r w:rsidR="005F4F28">
        <w:rPr>
          <w:rFonts w:eastAsia="TimesNewRomanPSMT"/>
          <w:vertAlign w:val="subscript"/>
        </w:rPr>
        <w:sym w:font="Symbol" w:char="F0A5"/>
      </w:r>
      <w:r w:rsidRPr="00FF0946">
        <w:rPr>
          <w:rFonts w:eastAsia="TimesNewRomanPSMT"/>
        </w:rPr>
        <w:t xml:space="preserve"> </w:t>
      </w:r>
      <w:r>
        <w:rPr>
          <w:rFonts w:eastAsia="TimesNewRomanPSMT"/>
        </w:rPr>
        <w:t>(1132</w:t>
      </w:r>
      <w:r w:rsidR="003B4B6A" w:rsidRPr="003B4B6A">
        <w:rPr>
          <w:rFonts w:eastAsia="TimesNewRomanPSMT"/>
        </w:rPr>
        <w:t xml:space="preserve"> versus </w:t>
      </w:r>
      <w:r>
        <w:rPr>
          <w:rFonts w:eastAsia="TimesNewRomanPSMT"/>
        </w:rPr>
        <w:t>1100 ng.h/mL)</w:t>
      </w:r>
      <w:r>
        <w:t xml:space="preserve"> was 2.85% higher</w:t>
      </w:r>
      <w:r w:rsidRPr="00FF0946">
        <w:t xml:space="preserve"> </w:t>
      </w:r>
      <w:r>
        <w:t>on Day 21 compared to</w:t>
      </w:r>
      <w:r w:rsidRPr="00FF0946">
        <w:t xml:space="preserve"> Day 1.</w:t>
      </w:r>
    </w:p>
    <w:p w:rsidR="00C528D5" w:rsidRDefault="00C528D5" w:rsidP="00090CE9">
      <w:pPr>
        <w:pStyle w:val="ListBullet"/>
      </w:pPr>
      <w:r>
        <w:t>The 90%CIs for omeprazole</w:t>
      </w:r>
      <w:r w:rsidRPr="00FF0946">
        <w:t xml:space="preserve"> LS mean</w:t>
      </w:r>
      <w:r>
        <w:t xml:space="preserve"> </w:t>
      </w:r>
      <w:r w:rsidRPr="00FF0946">
        <w:t>C</w:t>
      </w:r>
      <w:r w:rsidRPr="00286F88">
        <w:rPr>
          <w:vertAlign w:val="subscript"/>
        </w:rPr>
        <w:t>max</w:t>
      </w:r>
      <w:r w:rsidRPr="00FF0946">
        <w:t xml:space="preserve"> </w:t>
      </w:r>
      <w:r>
        <w:t xml:space="preserve">(82.0% to 105.56%) </w:t>
      </w:r>
      <w:r w:rsidRPr="00FF0946">
        <w:t>and AUC</w:t>
      </w:r>
      <w:r w:rsidRPr="00286F88">
        <w:rPr>
          <w:vertAlign w:val="subscript"/>
        </w:rPr>
        <w:t>0-</w:t>
      </w:r>
      <w:r w:rsidR="005F4F28">
        <w:rPr>
          <w:rFonts w:eastAsia="TimesNewRomanPSMT"/>
          <w:vertAlign w:val="subscript"/>
        </w:rPr>
        <w:sym w:font="Symbol" w:char="F0A5"/>
      </w:r>
      <w:r w:rsidRPr="00FF0946">
        <w:rPr>
          <w:rFonts w:eastAsia="TimesNewRomanPSMT"/>
        </w:rPr>
        <w:t xml:space="preserve"> </w:t>
      </w:r>
      <w:r>
        <w:rPr>
          <w:rFonts w:eastAsia="TimesNewRomanPSMT"/>
        </w:rPr>
        <w:t xml:space="preserve">(93.0% to 113.74%) </w:t>
      </w:r>
      <w:r>
        <w:t>ratios (test/reference) were</w:t>
      </w:r>
      <w:r w:rsidRPr="00FF0946">
        <w:t xml:space="preserve"> contained within th</w:t>
      </w:r>
      <w:r>
        <w:t>e 80% to 125% equivalence range.</w:t>
      </w:r>
    </w:p>
    <w:p w:rsidR="00C528D5" w:rsidRDefault="00C528D5" w:rsidP="00090CE9">
      <w:pPr>
        <w:pStyle w:val="ListBullet"/>
      </w:pPr>
      <w:r w:rsidRPr="00FF0946">
        <w:t>The 5-hydroxyomeprazole LS mean C</w:t>
      </w:r>
      <w:r w:rsidRPr="00286F88">
        <w:rPr>
          <w:vertAlign w:val="subscript"/>
        </w:rPr>
        <w:t>max</w:t>
      </w:r>
      <w:r w:rsidRPr="00FF0946">
        <w:t xml:space="preserve"> </w:t>
      </w:r>
      <w:r>
        <w:t>(377</w:t>
      </w:r>
      <w:r w:rsidR="003B4B6A" w:rsidRPr="003B4B6A">
        <w:t xml:space="preserve"> </w:t>
      </w:r>
      <w:proofErr w:type="gramStart"/>
      <w:r w:rsidR="003B4B6A" w:rsidRPr="003B4B6A">
        <w:t xml:space="preserve">versus </w:t>
      </w:r>
      <w:r>
        <w:t>378 ng/mL</w:t>
      </w:r>
      <w:proofErr w:type="gramEnd"/>
      <w:r>
        <w:t>) was 0.42% lower on Day 21 compared to Day 1.</w:t>
      </w:r>
    </w:p>
    <w:p w:rsidR="00C528D5" w:rsidRDefault="00C528D5" w:rsidP="00090CE9">
      <w:pPr>
        <w:pStyle w:val="ListBullet"/>
      </w:pPr>
      <w:r w:rsidRPr="00FF0946">
        <w:t>The 5-hydroxyomeprazole LS mean AUC</w:t>
      </w:r>
      <w:r w:rsidRPr="00CC6830">
        <w:rPr>
          <w:vertAlign w:val="subscript"/>
        </w:rPr>
        <w:t>0-</w:t>
      </w:r>
      <w:r w:rsidR="005F4F28">
        <w:rPr>
          <w:rFonts w:eastAsia="TimesNewRomanPSMT"/>
          <w:vertAlign w:val="subscript"/>
        </w:rPr>
        <w:sym w:font="Symbol" w:char="F0A5"/>
      </w:r>
      <w:r w:rsidR="005F4F28">
        <w:rPr>
          <w:rFonts w:eastAsia="TimesNewRomanPSMT"/>
          <w:vertAlign w:val="subscript"/>
        </w:rPr>
        <w:t xml:space="preserve"> </w:t>
      </w:r>
      <w:r>
        <w:rPr>
          <w:rFonts w:eastAsia="TimesNewRomanPSMT"/>
        </w:rPr>
        <w:t>(961</w:t>
      </w:r>
      <w:r w:rsidR="003B4B6A" w:rsidRPr="003B4B6A">
        <w:rPr>
          <w:rFonts w:eastAsia="TimesNewRomanPSMT"/>
        </w:rPr>
        <w:t xml:space="preserve"> </w:t>
      </w:r>
      <w:proofErr w:type="gramStart"/>
      <w:r w:rsidR="003B4B6A" w:rsidRPr="003B4B6A">
        <w:rPr>
          <w:rFonts w:eastAsia="TimesNewRomanPSMT"/>
        </w:rPr>
        <w:t xml:space="preserve">versus </w:t>
      </w:r>
      <w:r>
        <w:rPr>
          <w:rFonts w:eastAsia="TimesNewRomanPSMT"/>
        </w:rPr>
        <w:t>895 ng.h/mL</w:t>
      </w:r>
      <w:proofErr w:type="gramEnd"/>
      <w:r>
        <w:rPr>
          <w:rFonts w:eastAsia="TimesNewRomanPSMT"/>
        </w:rPr>
        <w:t xml:space="preserve">) </w:t>
      </w:r>
      <w:r>
        <w:t>was</w:t>
      </w:r>
      <w:r w:rsidRPr="00FF0946">
        <w:t xml:space="preserve"> 7.43%</w:t>
      </w:r>
      <w:r>
        <w:t xml:space="preserve"> higher on Day 21 compared to Day 1.</w:t>
      </w:r>
    </w:p>
    <w:p w:rsidR="00C528D5" w:rsidRDefault="00C528D5" w:rsidP="00090CE9">
      <w:pPr>
        <w:pStyle w:val="ListBullet"/>
      </w:pPr>
      <w:r>
        <w:t xml:space="preserve">The 90%CIs for </w:t>
      </w:r>
      <w:r w:rsidRPr="00FF0946">
        <w:t>5-hydroxyomeprazole LS mean</w:t>
      </w:r>
      <w:r>
        <w:t xml:space="preserve"> </w:t>
      </w:r>
      <w:r w:rsidRPr="00FF0946">
        <w:t>C</w:t>
      </w:r>
      <w:r w:rsidRPr="00286F88">
        <w:rPr>
          <w:vertAlign w:val="subscript"/>
        </w:rPr>
        <w:t>max</w:t>
      </w:r>
      <w:r w:rsidRPr="00FF0946">
        <w:t xml:space="preserve"> </w:t>
      </w:r>
      <w:r>
        <w:t xml:space="preserve">(91.2% to 108.73%) </w:t>
      </w:r>
      <w:r w:rsidRPr="00FF0946">
        <w:t>and AUC</w:t>
      </w:r>
      <w:r w:rsidRPr="00286F88">
        <w:rPr>
          <w:vertAlign w:val="subscript"/>
        </w:rPr>
        <w:t>0-</w:t>
      </w:r>
      <w:r w:rsidR="005F4F28">
        <w:rPr>
          <w:rFonts w:eastAsia="TimesNewRomanPSMT"/>
          <w:vertAlign w:val="subscript"/>
        </w:rPr>
        <w:sym w:font="Symbol" w:char="F0A5"/>
      </w:r>
      <w:r w:rsidRPr="00FF0946">
        <w:rPr>
          <w:rFonts w:eastAsia="TimesNewRomanPSMT"/>
        </w:rPr>
        <w:t xml:space="preserve"> </w:t>
      </w:r>
      <w:r>
        <w:rPr>
          <w:rFonts w:eastAsia="TimesNewRomanPSMT"/>
        </w:rPr>
        <w:t xml:space="preserve">(102.66% to 112.41%) </w:t>
      </w:r>
      <w:r>
        <w:t>ratios (test/reference) were</w:t>
      </w:r>
      <w:r w:rsidRPr="00FF0946">
        <w:t xml:space="preserve"> contained within th</w:t>
      </w:r>
      <w:r>
        <w:t>e 80% to 125% equivalence range.</w:t>
      </w:r>
    </w:p>
    <w:p w:rsidR="00C528D5" w:rsidRDefault="00C528D5" w:rsidP="00090CE9">
      <w:pPr>
        <w:pStyle w:val="ListBullet"/>
      </w:pPr>
      <w:r>
        <w:t>INR measurements were taken for 3 consecutive days following each dose of warfarin. Slight elevations (1.2 to 1.5; 1.7 on one case; normal range 0.9-1.1) in the INR were observed in several subjects, there was no trend toward longer INR values when warfarin was taken in combination with fidaxomicin. Of the 14 subjects with an elevated INR at any time following warfarin dosing, 7 had similar elevations after warfarin dosing both with (Period 3) or without (Period 1) fidaxomicin; 6 subjects had elevations only after warfarin was dosed alone (Period 1); and only 1 subject (Subject No. 008) had an elevation (INR 1.2) in Period 3 with no corresponding elevation in Period 1.</w:t>
      </w:r>
    </w:p>
    <w:p w:rsidR="00C528D5" w:rsidRPr="00E91F35" w:rsidRDefault="00C528D5" w:rsidP="005F4F28">
      <w:pPr>
        <w:pStyle w:val="Heading5"/>
        <w:numPr>
          <w:ilvl w:val="0"/>
          <w:numId w:val="0"/>
        </w:numPr>
      </w:pPr>
      <w:r w:rsidRPr="00E91F35">
        <w:t>Midazolam</w:t>
      </w:r>
    </w:p>
    <w:p w:rsidR="00C528D5" w:rsidRDefault="00C528D5" w:rsidP="00090CE9">
      <w:pPr>
        <w:pStyle w:val="ListBullet"/>
      </w:pPr>
      <w:r w:rsidRPr="00FF0946">
        <w:t>After a single o</w:t>
      </w:r>
      <w:r>
        <w:t xml:space="preserve">ral dose of the </w:t>
      </w:r>
      <w:r w:rsidRPr="00FF0946">
        <w:t xml:space="preserve">cocktail alone or </w:t>
      </w:r>
      <w:r>
        <w:t>in combination with oral fidaxomicin (20</w:t>
      </w:r>
      <w:r w:rsidR="003B4B6A" w:rsidRPr="003B4B6A">
        <w:t>0 mg</w:t>
      </w:r>
      <w:r>
        <w:t xml:space="preserve"> every 12 hours</w:t>
      </w:r>
      <w:r w:rsidRPr="00FF0946">
        <w:t>) in</w:t>
      </w:r>
      <w:r>
        <w:t xml:space="preserve"> Periods 1 and 3 </w:t>
      </w:r>
      <w:r w:rsidR="003B4B6A" w:rsidRPr="003B4B6A">
        <w:t>that is,</w:t>
      </w:r>
      <w:r>
        <w:t xml:space="preserve"> Days 1 and 21 respectively</w:t>
      </w:r>
      <w:r w:rsidRPr="00FF0946">
        <w:t>, a median midazolam and</w:t>
      </w:r>
      <w:r>
        <w:t xml:space="preserve"> </w:t>
      </w:r>
      <w:r w:rsidRPr="00FF0946">
        <w:t>1-hydroxymidazolam T</w:t>
      </w:r>
      <w:r w:rsidRPr="00286F88">
        <w:rPr>
          <w:vertAlign w:val="subscript"/>
        </w:rPr>
        <w:t>max</w:t>
      </w:r>
      <w:r>
        <w:t xml:space="preserve"> of 0.5</w:t>
      </w:r>
      <w:r w:rsidR="00353ABC">
        <w:t xml:space="preserve"> h </w:t>
      </w:r>
      <w:r w:rsidRPr="00FF0946">
        <w:t>was o</w:t>
      </w:r>
      <w:r>
        <w:t>bserved on both Days 1 a</w:t>
      </w:r>
      <w:r w:rsidRPr="00924DE0">
        <w:t>nd 21.</w:t>
      </w:r>
    </w:p>
    <w:p w:rsidR="00C528D5" w:rsidRDefault="00C528D5" w:rsidP="00090CE9">
      <w:pPr>
        <w:pStyle w:val="ListBullet"/>
      </w:pPr>
      <w:r>
        <w:t>A m</w:t>
      </w:r>
      <w:r w:rsidRPr="00FF0946">
        <w:t>ean</w:t>
      </w:r>
      <w:r>
        <w:t xml:space="preserve"> </w:t>
      </w:r>
      <w:r w:rsidRPr="00FF0946">
        <w:t>midazolam t</w:t>
      </w:r>
      <w:r w:rsidRPr="00286F88">
        <w:rPr>
          <w:vertAlign w:val="subscript"/>
        </w:rPr>
        <w:t>1/2</w:t>
      </w:r>
      <w:r w:rsidRPr="00FF0946">
        <w:t xml:space="preserve"> of 5.16</w:t>
      </w:r>
      <w:r w:rsidR="00353ABC">
        <w:t xml:space="preserve"> h </w:t>
      </w:r>
      <w:r w:rsidRPr="00FF0946">
        <w:t>an</w:t>
      </w:r>
      <w:r>
        <w:t>d 5.27</w:t>
      </w:r>
      <w:r w:rsidR="00353ABC">
        <w:t xml:space="preserve"> h </w:t>
      </w:r>
      <w:r>
        <w:t>and mean MRT</w:t>
      </w:r>
      <w:r w:rsidRPr="00FF0946">
        <w:t xml:space="preserve"> of 3.97</w:t>
      </w:r>
      <w:r w:rsidR="00353ABC">
        <w:t xml:space="preserve"> h </w:t>
      </w:r>
      <w:r w:rsidRPr="00FF0946">
        <w:t>and 4.09</w:t>
      </w:r>
      <w:r w:rsidR="00353ABC">
        <w:t xml:space="preserve"> h </w:t>
      </w:r>
      <w:r w:rsidRPr="00FF0946">
        <w:t>were</w:t>
      </w:r>
      <w:r>
        <w:t xml:space="preserve"> observed on Days 1 and 21 respectively.</w:t>
      </w:r>
    </w:p>
    <w:p w:rsidR="00C528D5" w:rsidRDefault="00C528D5" w:rsidP="00090CE9">
      <w:pPr>
        <w:pStyle w:val="ListBullet"/>
      </w:pPr>
      <w:r>
        <w:t>A m</w:t>
      </w:r>
      <w:r w:rsidRPr="00FF0946">
        <w:t>ean 1-hydroxymidazolam t</w:t>
      </w:r>
      <w:r w:rsidRPr="00286F88">
        <w:rPr>
          <w:vertAlign w:val="subscript"/>
        </w:rPr>
        <w:t>1/2</w:t>
      </w:r>
      <w:r w:rsidRPr="00FF0946">
        <w:t xml:space="preserve"> of 6.29</w:t>
      </w:r>
      <w:r w:rsidR="00353ABC">
        <w:t xml:space="preserve"> h </w:t>
      </w:r>
      <w:r w:rsidRPr="00FF0946">
        <w:t>and 6.72</w:t>
      </w:r>
      <w:r w:rsidR="00353ABC">
        <w:t xml:space="preserve"> h </w:t>
      </w:r>
      <w:r>
        <w:t>and mean MRT</w:t>
      </w:r>
      <w:r w:rsidRPr="00FF0946">
        <w:t xml:space="preserve"> of 4.56</w:t>
      </w:r>
      <w:r w:rsidR="00353ABC">
        <w:t xml:space="preserve"> h </w:t>
      </w:r>
      <w:r>
        <w:t>and 5.19</w:t>
      </w:r>
      <w:r w:rsidR="00353ABC">
        <w:t xml:space="preserve"> h </w:t>
      </w:r>
      <w:r>
        <w:t xml:space="preserve">were observed on Days 1 and 21 respectively. </w:t>
      </w:r>
      <w:r w:rsidRPr="00FF0946">
        <w:t>The mean</w:t>
      </w:r>
      <w:r>
        <w:t xml:space="preserve"> </w:t>
      </w:r>
      <w:r w:rsidRPr="00FF0946">
        <w:t>M/P ratio</w:t>
      </w:r>
      <w:r>
        <w:t>s</w:t>
      </w:r>
      <w:r w:rsidRPr="00FF0946">
        <w:t xml:space="preserve"> on Day</w:t>
      </w:r>
      <w:r>
        <w:t>s 1 and 21 were 0.469 and 0.551.</w:t>
      </w:r>
    </w:p>
    <w:p w:rsidR="00C528D5" w:rsidRDefault="00C528D5" w:rsidP="00090CE9">
      <w:pPr>
        <w:pStyle w:val="ListBullet"/>
      </w:pPr>
      <w:r w:rsidRPr="00FF0946">
        <w:t>The LS mean midazolam C</w:t>
      </w:r>
      <w:r w:rsidRPr="00286F88">
        <w:rPr>
          <w:vertAlign w:val="subscript"/>
        </w:rPr>
        <w:t>max</w:t>
      </w:r>
      <w:r w:rsidRPr="00FF0946">
        <w:t xml:space="preserve"> </w:t>
      </w:r>
      <w:r>
        <w:t>(25.1</w:t>
      </w:r>
      <w:r w:rsidR="003B4B6A" w:rsidRPr="003B4B6A">
        <w:t xml:space="preserve"> </w:t>
      </w:r>
      <w:proofErr w:type="gramStart"/>
      <w:r w:rsidR="003B4B6A" w:rsidRPr="003B4B6A">
        <w:t xml:space="preserve">versus </w:t>
      </w:r>
      <w:r>
        <w:t>27.4 ng/mL</w:t>
      </w:r>
      <w:proofErr w:type="gramEnd"/>
      <w:r>
        <w:t>) was 8.45% lower on Day 21 compared to Day 1</w:t>
      </w:r>
      <w:r w:rsidR="00924DE0">
        <w:t>.</w:t>
      </w:r>
    </w:p>
    <w:p w:rsidR="00C528D5" w:rsidRDefault="00C528D5" w:rsidP="00090CE9">
      <w:pPr>
        <w:pStyle w:val="ListBullet"/>
      </w:pPr>
      <w:r w:rsidRPr="00FF0946">
        <w:t>The LS mean midazolam AUC</w:t>
      </w:r>
      <w:r w:rsidRPr="00286F88">
        <w:rPr>
          <w:vertAlign w:val="subscript"/>
        </w:rPr>
        <w:t>0-</w:t>
      </w:r>
      <w:r w:rsidRPr="00286F88">
        <w:rPr>
          <w:rFonts w:eastAsia="SymbolMT"/>
          <w:vertAlign w:val="subscript"/>
        </w:rPr>
        <w:t>∞</w:t>
      </w:r>
      <w:r w:rsidRPr="00FF0946">
        <w:rPr>
          <w:rFonts w:eastAsia="SymbolMT"/>
        </w:rPr>
        <w:t xml:space="preserve"> </w:t>
      </w:r>
      <w:r>
        <w:rPr>
          <w:rFonts w:eastAsia="SymbolMT"/>
        </w:rPr>
        <w:t>(63.9</w:t>
      </w:r>
      <w:r w:rsidR="003B4B6A" w:rsidRPr="003B4B6A">
        <w:rPr>
          <w:rFonts w:eastAsia="SymbolMT"/>
        </w:rPr>
        <w:t xml:space="preserve"> </w:t>
      </w:r>
      <w:proofErr w:type="gramStart"/>
      <w:r w:rsidR="003B4B6A" w:rsidRPr="003B4B6A">
        <w:rPr>
          <w:rFonts w:eastAsia="SymbolMT"/>
        </w:rPr>
        <w:t xml:space="preserve">versus </w:t>
      </w:r>
      <w:r>
        <w:rPr>
          <w:rFonts w:eastAsia="SymbolMT"/>
        </w:rPr>
        <w:t>66.2 ng.hr/mL</w:t>
      </w:r>
      <w:proofErr w:type="gramEnd"/>
      <w:r>
        <w:rPr>
          <w:rFonts w:eastAsia="SymbolMT"/>
        </w:rPr>
        <w:t>)</w:t>
      </w:r>
      <w:r>
        <w:t xml:space="preserve"> was 3.52% lower on Day 21 compared to Day 1.</w:t>
      </w:r>
    </w:p>
    <w:p w:rsidR="00C528D5" w:rsidRDefault="00C528D5" w:rsidP="00090CE9">
      <w:pPr>
        <w:pStyle w:val="ListBullet"/>
      </w:pPr>
      <w:r>
        <w:t>The 90%CIs for midazolam</w:t>
      </w:r>
      <w:r w:rsidRPr="00FF0946">
        <w:t xml:space="preserve"> LS mean</w:t>
      </w:r>
      <w:r>
        <w:t xml:space="preserve"> </w:t>
      </w:r>
      <w:r w:rsidRPr="00FF0946">
        <w:t>C</w:t>
      </w:r>
      <w:r w:rsidRPr="00286F88">
        <w:rPr>
          <w:vertAlign w:val="subscript"/>
        </w:rPr>
        <w:t>max</w:t>
      </w:r>
      <w:r w:rsidRPr="00FF0946">
        <w:t xml:space="preserve"> </w:t>
      </w:r>
      <w:r>
        <w:t xml:space="preserve">(82.54% to 101.53%) </w:t>
      </w:r>
      <w:r w:rsidRPr="00FF0946">
        <w:t>and AUC</w:t>
      </w:r>
      <w:r w:rsidRPr="00286F88">
        <w:rPr>
          <w:vertAlign w:val="subscript"/>
        </w:rPr>
        <w:t>0-</w:t>
      </w:r>
      <w:r w:rsidR="005F4F28">
        <w:rPr>
          <w:rFonts w:eastAsia="TimesNewRomanPSMT"/>
          <w:vertAlign w:val="subscript"/>
        </w:rPr>
        <w:sym w:font="Symbol" w:char="F0A5"/>
      </w:r>
      <w:r w:rsidRPr="00FF0946">
        <w:rPr>
          <w:rFonts w:eastAsia="TimesNewRomanPSMT"/>
        </w:rPr>
        <w:t xml:space="preserve"> </w:t>
      </w:r>
      <w:r>
        <w:rPr>
          <w:rFonts w:eastAsia="TimesNewRomanPSMT"/>
        </w:rPr>
        <w:t xml:space="preserve">(88.15% to 105.61%) </w:t>
      </w:r>
      <w:r>
        <w:t>ratios (test/reference) were</w:t>
      </w:r>
      <w:r w:rsidRPr="00FF0946">
        <w:t xml:space="preserve"> contained within th</w:t>
      </w:r>
      <w:r>
        <w:t>e 80% to 125% equivalence range.</w:t>
      </w:r>
    </w:p>
    <w:p w:rsidR="00C528D5" w:rsidRDefault="00C528D5" w:rsidP="00090CE9">
      <w:pPr>
        <w:pStyle w:val="ListBullet"/>
      </w:pPr>
      <w:r w:rsidRPr="00FF0946">
        <w:t>The LS mean 1-hydroxymidazolam C</w:t>
      </w:r>
      <w:r w:rsidRPr="00286F88">
        <w:rPr>
          <w:vertAlign w:val="subscript"/>
        </w:rPr>
        <w:t>max</w:t>
      </w:r>
      <w:r w:rsidRPr="00FF0946">
        <w:t xml:space="preserve"> </w:t>
      </w:r>
      <w:r>
        <w:t>(13.4</w:t>
      </w:r>
      <w:r w:rsidR="003B4B6A" w:rsidRPr="003B4B6A">
        <w:t xml:space="preserve"> </w:t>
      </w:r>
      <w:proofErr w:type="gramStart"/>
      <w:r w:rsidR="003B4B6A" w:rsidRPr="003B4B6A">
        <w:t xml:space="preserve">versus </w:t>
      </w:r>
      <w:r>
        <w:t>13.0 ng/mL</w:t>
      </w:r>
      <w:proofErr w:type="gramEnd"/>
      <w:r>
        <w:t>) was 2.77% higher on Day 21 compared to Day 1</w:t>
      </w:r>
      <w:r w:rsidR="00924DE0">
        <w:t>.</w:t>
      </w:r>
    </w:p>
    <w:p w:rsidR="00C528D5" w:rsidRDefault="00C528D5" w:rsidP="00090CE9">
      <w:pPr>
        <w:pStyle w:val="ListBullet"/>
      </w:pPr>
      <w:r>
        <w:t>The LS mean 1-hydroxymidazolam</w:t>
      </w:r>
      <w:r w:rsidRPr="00FF0946">
        <w:t xml:space="preserve"> AUC</w:t>
      </w:r>
      <w:r w:rsidRPr="00286F88">
        <w:rPr>
          <w:vertAlign w:val="subscript"/>
        </w:rPr>
        <w:t>0-</w:t>
      </w:r>
      <w:r w:rsidR="005F4F28">
        <w:rPr>
          <w:rFonts w:eastAsia="SymbolMT"/>
          <w:vertAlign w:val="subscript"/>
        </w:rPr>
        <w:sym w:font="Symbol" w:char="F0A5"/>
      </w:r>
      <w:r w:rsidRPr="00FF0946">
        <w:rPr>
          <w:rFonts w:eastAsia="SymbolMT"/>
        </w:rPr>
        <w:t xml:space="preserve"> </w:t>
      </w:r>
      <w:r>
        <w:rPr>
          <w:rFonts w:eastAsia="SymbolMT"/>
        </w:rPr>
        <w:t>(36.2</w:t>
      </w:r>
      <w:r w:rsidR="003B4B6A" w:rsidRPr="003B4B6A">
        <w:rPr>
          <w:rFonts w:eastAsia="SymbolMT"/>
        </w:rPr>
        <w:t xml:space="preserve"> </w:t>
      </w:r>
      <w:proofErr w:type="gramStart"/>
      <w:r w:rsidR="003B4B6A" w:rsidRPr="003B4B6A">
        <w:rPr>
          <w:rFonts w:eastAsia="SymbolMT"/>
        </w:rPr>
        <w:t xml:space="preserve">versus </w:t>
      </w:r>
      <w:r>
        <w:rPr>
          <w:rFonts w:eastAsia="SymbolMT"/>
        </w:rPr>
        <w:t>31.0 ng.hr/mL</w:t>
      </w:r>
      <w:proofErr w:type="gramEnd"/>
      <w:r>
        <w:rPr>
          <w:rFonts w:eastAsia="SymbolMT"/>
        </w:rPr>
        <w:t>)</w:t>
      </w:r>
      <w:r>
        <w:t xml:space="preserve"> was 16.81% higher on Day 21 than on Day 1.</w:t>
      </w:r>
    </w:p>
    <w:p w:rsidR="00C528D5" w:rsidRPr="00FF0946" w:rsidRDefault="00C528D5" w:rsidP="00090CE9">
      <w:pPr>
        <w:pStyle w:val="ListBullet"/>
      </w:pPr>
      <w:r>
        <w:t xml:space="preserve">The 90%CIs for </w:t>
      </w:r>
      <w:r w:rsidRPr="00FF0946">
        <w:t>1-hydroxymidazolam LS mean</w:t>
      </w:r>
      <w:r>
        <w:t xml:space="preserve"> </w:t>
      </w:r>
      <w:r w:rsidRPr="00FF0946">
        <w:t>C</w:t>
      </w:r>
      <w:r w:rsidRPr="00286F88">
        <w:rPr>
          <w:vertAlign w:val="subscript"/>
        </w:rPr>
        <w:t>max</w:t>
      </w:r>
      <w:r w:rsidRPr="00FF0946">
        <w:t xml:space="preserve"> </w:t>
      </w:r>
      <w:r>
        <w:t>(90.7% to 116.4%) ratio (test/reference) was within the 80-125% equivalence margin whereas the upper limit of</w:t>
      </w:r>
      <w:r w:rsidRPr="00FF0946">
        <w:t xml:space="preserve"> AUC</w:t>
      </w:r>
      <w:r w:rsidRPr="00286F88">
        <w:rPr>
          <w:vertAlign w:val="subscript"/>
        </w:rPr>
        <w:t>0-</w:t>
      </w:r>
      <w:r w:rsidR="005F4F28">
        <w:rPr>
          <w:rFonts w:eastAsia="TimesNewRomanPSMT"/>
          <w:vertAlign w:val="subscript"/>
        </w:rPr>
        <w:sym w:font="Symbol" w:char="F0A5"/>
      </w:r>
      <w:r w:rsidRPr="00FF0946">
        <w:rPr>
          <w:rFonts w:eastAsia="TimesNewRomanPSMT"/>
        </w:rPr>
        <w:t xml:space="preserve"> </w:t>
      </w:r>
      <w:r>
        <w:rPr>
          <w:rFonts w:eastAsia="TimesNewRomanPSMT"/>
        </w:rPr>
        <w:t xml:space="preserve">(106.69% to 127.88%) </w:t>
      </w:r>
      <w:r>
        <w:t>ratio (test/reference) was outside this margin.</w:t>
      </w:r>
    </w:p>
    <w:p w:rsidR="00C528D5" w:rsidRPr="00C52DFC" w:rsidRDefault="00C528D5" w:rsidP="005F4F28">
      <w:pPr>
        <w:pStyle w:val="Heading5"/>
        <w:numPr>
          <w:ilvl w:val="0"/>
          <w:numId w:val="0"/>
        </w:numPr>
      </w:pPr>
      <w:r w:rsidRPr="00C52DFC">
        <w:t>Evaluator’s comment</w:t>
      </w:r>
    </w:p>
    <w:p w:rsidR="00C528D5" w:rsidRDefault="00C528D5" w:rsidP="005F4F28">
      <w:pPr>
        <w:keepNext/>
      </w:pPr>
      <w:r>
        <w:t>The sponsor has concluded that s</w:t>
      </w:r>
      <w:r w:rsidRPr="00FF0946">
        <w:t>te</w:t>
      </w:r>
      <w:r>
        <w:t>ady-state administration of 20</w:t>
      </w:r>
      <w:r w:rsidR="003B4B6A" w:rsidRPr="003B4B6A">
        <w:t>0 mg</w:t>
      </w:r>
      <w:r w:rsidRPr="00FF0946">
        <w:t xml:space="preserve"> fidaxomicin did not </w:t>
      </w:r>
      <w:r>
        <w:t xml:space="preserve">significantly </w:t>
      </w:r>
      <w:r w:rsidRPr="00FF0946">
        <w:t>alter the drug metabolizing capacity</w:t>
      </w:r>
      <w:r>
        <w:t xml:space="preserve"> </w:t>
      </w:r>
      <w:r w:rsidRPr="00FF0946">
        <w:t>of CYP2C9, CYP2C19, and CYP3A4/5 to metabolize S-warfarin, omeprazole, or midazolam</w:t>
      </w:r>
      <w:r>
        <w:t xml:space="preserve"> </w:t>
      </w:r>
      <w:r w:rsidRPr="00FF0946">
        <w:t>respectively.</w:t>
      </w:r>
      <w:r>
        <w:t xml:space="preserve"> No dose changes are proposed in the PI.</w:t>
      </w:r>
    </w:p>
    <w:p w:rsidR="00C528D5" w:rsidRDefault="00C528D5" w:rsidP="005F4F28">
      <w:r>
        <w:t>The evaluator is in agreement with these recommendations (no dose change). However, cyclosporine, digoxin and warfarin are all narrow therapeutic drugs and clinical relevant interactions in clinical settings as opposite to results in healthy volunteers cannot be excluded.</w:t>
      </w:r>
    </w:p>
    <w:p w:rsidR="00C528D5" w:rsidRPr="009C5EC3" w:rsidRDefault="00C528D5" w:rsidP="005F4F28">
      <w:r>
        <w:t>It is recommended that a precautionary statement in the PI in relation to these interactions be added. Therapeutic drug monitoring of these drugs before and at the end of 10 day course with fidaxomicin in association with any of these drugs may also need to be considered on individual basis.</w:t>
      </w:r>
    </w:p>
    <w:p w:rsidR="00C528D5" w:rsidRPr="009C5EC3" w:rsidRDefault="00C528D5" w:rsidP="005F4F28">
      <w:pPr>
        <w:pStyle w:val="Heading3"/>
      </w:pPr>
      <w:bookmarkStart w:id="56" w:name="_Toc241374296"/>
      <w:bookmarkStart w:id="57" w:name="_Ref269982040"/>
      <w:bookmarkStart w:id="58" w:name="_Ref271018704"/>
      <w:bookmarkStart w:id="59" w:name="_Ref271018755"/>
      <w:bookmarkStart w:id="60" w:name="_Toc272414635"/>
      <w:bookmarkStart w:id="61" w:name="_Toc290846258"/>
      <w:bookmarkStart w:id="62" w:name="_Toc338860713"/>
      <w:bookmarkStart w:id="63" w:name="_Toc370734734"/>
      <w:r w:rsidRPr="009C5EC3">
        <w:t>Evaluator’s overall conclusions on pharmacokinetics</w:t>
      </w:r>
      <w:bookmarkEnd w:id="56"/>
      <w:bookmarkEnd w:id="57"/>
      <w:bookmarkEnd w:id="58"/>
      <w:bookmarkEnd w:id="59"/>
      <w:bookmarkEnd w:id="60"/>
      <w:bookmarkEnd w:id="61"/>
      <w:bookmarkEnd w:id="62"/>
      <w:bookmarkEnd w:id="63"/>
    </w:p>
    <w:p w:rsidR="00C528D5" w:rsidRPr="009C5EC3" w:rsidRDefault="00C528D5" w:rsidP="005F4F28">
      <w:r>
        <w:t>Fidaxomicin has simple pharmacokinetics and is not absorbed systemically to any clinically significant degree. The excretion is via faecal route as intact parent drug and its metabolite. Given the topical action within the gastrointestinal tract, low systemic bioavailability, absence of clinically relevant interaction for fidaxomicin exposure, the plasma pharmacokinetic features may thus not be critical in clinical practice. There is small food effect (lower bioavailability) which is also not clinically relevant. The effect on cyclosporine, digoxin and warfarin may be clinically important in CDAD patients and although no dose adjustments are recommended based on data, such co-administration should be monitored including measurement of plasma drug levels for these drugs.</w:t>
      </w:r>
    </w:p>
    <w:p w:rsidR="00586F98" w:rsidRDefault="00586F98" w:rsidP="005F4F28">
      <w:pPr>
        <w:pStyle w:val="Heading2"/>
      </w:pPr>
      <w:bookmarkStart w:id="64" w:name="_Toc370734735"/>
      <w:r>
        <w:t>Pharmacodynamics</w:t>
      </w:r>
      <w:bookmarkEnd w:id="64"/>
    </w:p>
    <w:p w:rsidR="00C528D5" w:rsidRPr="009C5EC3" w:rsidRDefault="00C528D5" w:rsidP="005F4F28">
      <w:pPr>
        <w:pStyle w:val="Heading3"/>
      </w:pPr>
      <w:bookmarkStart w:id="65" w:name="_Toc272414637"/>
      <w:bookmarkStart w:id="66" w:name="_Toc290846260"/>
      <w:bookmarkStart w:id="67" w:name="_Toc338860715"/>
      <w:bookmarkStart w:id="68" w:name="_Toc370734736"/>
      <w:r w:rsidRPr="009C5EC3">
        <w:t>Studies providing pharmacodynamic data</w:t>
      </w:r>
      <w:bookmarkEnd w:id="65"/>
      <w:bookmarkEnd w:id="66"/>
      <w:bookmarkEnd w:id="67"/>
      <w:bookmarkEnd w:id="68"/>
    </w:p>
    <w:p w:rsidR="00C528D5" w:rsidRDefault="00C528D5" w:rsidP="005F4F28">
      <w:r>
        <w:t xml:space="preserve">Please also see the associated </w:t>
      </w:r>
      <w:r w:rsidR="00A60293">
        <w:t>nonclinical</w:t>
      </w:r>
      <w:r>
        <w:t xml:space="preserve"> evaluation.</w:t>
      </w:r>
    </w:p>
    <w:p w:rsidR="00C528D5" w:rsidRDefault="00C528D5" w:rsidP="00090CE9">
      <w:r w:rsidRPr="00BE1019">
        <w:t xml:space="preserve">Fidaxomicin is bactericidal against </w:t>
      </w:r>
      <w:r w:rsidRPr="00C528D5">
        <w:rPr>
          <w:i/>
          <w:iCs/>
        </w:rPr>
        <w:t>Clostridium difficile</w:t>
      </w:r>
      <w:r w:rsidRPr="00BE1019">
        <w:rPr>
          <w:i/>
          <w:iCs/>
        </w:rPr>
        <w:t xml:space="preserve"> </w:t>
      </w:r>
      <w:r w:rsidRPr="005F4F28">
        <w:rPr>
          <w:i/>
        </w:rPr>
        <w:t>in vitro</w:t>
      </w:r>
      <w:r w:rsidRPr="00BE1019">
        <w:t>,</w:t>
      </w:r>
      <w:r>
        <w:t xml:space="preserve"> </w:t>
      </w:r>
      <w:r w:rsidRPr="00BE1019">
        <w:t>inhibiting RNA synthesis by RNA polymerases (RNAP). It interferes with RNAP at a site</w:t>
      </w:r>
      <w:r>
        <w:t xml:space="preserve"> </w:t>
      </w:r>
      <w:r w:rsidRPr="00BE1019">
        <w:t>distinct from that of rifamycins. Inhibition of the clostridial RNAP occurs at a</w:t>
      </w:r>
      <w:r>
        <w:t xml:space="preserve"> concentration 20-30 </w:t>
      </w:r>
      <w:r w:rsidRPr="00BE1019">
        <w:t xml:space="preserve">fold lower than that for the </w:t>
      </w:r>
      <w:r w:rsidRPr="00BE1019">
        <w:rPr>
          <w:i/>
          <w:iCs/>
        </w:rPr>
        <w:t xml:space="preserve">Escherichia coli </w:t>
      </w:r>
      <w:r>
        <w:t>enzyme which may partly explain</w:t>
      </w:r>
      <w:r w:rsidRPr="00BE1019">
        <w:t xml:space="preserve"> the</w:t>
      </w:r>
      <w:r>
        <w:t xml:space="preserve"> significant species specific antimicrobial activity</w:t>
      </w:r>
      <w:r w:rsidRPr="00BE1019">
        <w:t xml:space="preserve"> of</w:t>
      </w:r>
      <w:r>
        <w:t xml:space="preserve"> </w:t>
      </w:r>
      <w:r w:rsidRPr="00BE1019">
        <w:t>f</w:t>
      </w:r>
      <w:r>
        <w:t>idaxomicin.</w:t>
      </w:r>
    </w:p>
    <w:p w:rsidR="00C528D5" w:rsidRPr="00755712" w:rsidRDefault="00C528D5" w:rsidP="00090CE9">
      <w:r w:rsidRPr="00045B01">
        <w:t>Fidaxomicin has an MIC</w:t>
      </w:r>
      <w:r w:rsidRPr="00E567A0">
        <w:rPr>
          <w:vertAlign w:val="subscript"/>
        </w:rPr>
        <w:t>90</w:t>
      </w:r>
      <w:r>
        <w:t xml:space="preserve"> </w:t>
      </w:r>
      <w:proofErr w:type="gramStart"/>
      <w:r>
        <w:t>of 0.25</w:t>
      </w:r>
      <w:r w:rsidR="005F4F28">
        <w:t xml:space="preserve"> µ</w:t>
      </w:r>
      <w:r>
        <w:t>g</w:t>
      </w:r>
      <w:r w:rsidRPr="00045B01">
        <w:t>/</w:t>
      </w:r>
      <w:r>
        <w:t>mL for</w:t>
      </w:r>
      <w:r w:rsidRPr="00045B01">
        <w:t xml:space="preserve"> </w:t>
      </w:r>
      <w:r w:rsidRPr="00045B01">
        <w:rPr>
          <w:i/>
          <w:iCs/>
        </w:rPr>
        <w:t>C. difficile</w:t>
      </w:r>
      <w:proofErr w:type="gramEnd"/>
      <w:r w:rsidRPr="00045B01">
        <w:t>. Gram negative organisms are intrinsically not susceptible to fidaxomicin.</w:t>
      </w:r>
    </w:p>
    <w:p w:rsidR="00C528D5" w:rsidRPr="006A2E07" w:rsidRDefault="00C528D5" w:rsidP="00090CE9">
      <w:r w:rsidRPr="006A2E07">
        <w:t>Fidaxomicin acts locally in the gastrointestinal tract on</w:t>
      </w:r>
      <w:r>
        <w:t xml:space="preserve"> </w:t>
      </w:r>
      <w:r w:rsidRPr="006A2E07">
        <w:t>with m</w:t>
      </w:r>
      <w:r>
        <w:t>inimal systemic absorption. F</w:t>
      </w:r>
      <w:r w:rsidRPr="006A2E07">
        <w:t xml:space="preserve">aecal concentrations </w:t>
      </w:r>
      <w:r>
        <w:t xml:space="preserve">in colon </w:t>
      </w:r>
      <w:r w:rsidRPr="006A2E07">
        <w:t>exceed</w:t>
      </w:r>
      <w:r>
        <w:t xml:space="preserve">ing </w:t>
      </w:r>
      <w:r w:rsidRPr="006A2E07">
        <w:t>MIC</w:t>
      </w:r>
      <w:r w:rsidRPr="006B4BBF">
        <w:rPr>
          <w:vertAlign w:val="subscript"/>
        </w:rPr>
        <w:t>90</w:t>
      </w:r>
      <w:r>
        <w:t xml:space="preserve"> against</w:t>
      </w:r>
      <w:r w:rsidRPr="006A2E07">
        <w:t xml:space="preserve"> </w:t>
      </w:r>
      <w:r w:rsidRPr="006A2E07">
        <w:rPr>
          <w:i/>
          <w:iCs/>
        </w:rPr>
        <w:t xml:space="preserve">C. difficile </w:t>
      </w:r>
      <w:r>
        <w:t xml:space="preserve">are obtained throughout the dosing interval. </w:t>
      </w:r>
      <w:r w:rsidRPr="006A2E07">
        <w:t xml:space="preserve">However, </w:t>
      </w:r>
      <w:r w:rsidRPr="006B4BBF">
        <w:rPr>
          <w:i/>
        </w:rPr>
        <w:t>in vitro</w:t>
      </w:r>
      <w:r>
        <w:t xml:space="preserve"> data indicate that fidaxomicin has</w:t>
      </w:r>
      <w:r w:rsidRPr="006A2E07">
        <w:t xml:space="preserve"> time-dependent b</w:t>
      </w:r>
      <w:r>
        <w:t>actericidal activity so that</w:t>
      </w:r>
      <w:r w:rsidRPr="006A2E07">
        <w:t xml:space="preserve"> time over minimal inhibitory concentr</w:t>
      </w:r>
      <w:r>
        <w:t>ation (MIC) may be the</w:t>
      </w:r>
      <w:r w:rsidRPr="006A2E07">
        <w:t xml:space="preserve"> most predictive </w:t>
      </w:r>
      <w:r>
        <w:t xml:space="preserve">parameter </w:t>
      </w:r>
      <w:r w:rsidRPr="006A2E07">
        <w:t>of clinical efficacy.</w:t>
      </w:r>
    </w:p>
    <w:p w:rsidR="00C528D5" w:rsidRPr="005F4F28" w:rsidRDefault="00C528D5" w:rsidP="00090CE9">
      <w:r w:rsidRPr="005F4F28">
        <w:t xml:space="preserve">In a clinical study, fidaxomicin predominantly affected faecal concentrations of </w:t>
      </w:r>
      <w:r w:rsidR="0010770C" w:rsidRPr="0010770C">
        <w:rPr>
          <w:i/>
        </w:rPr>
        <w:t>C. difficile</w:t>
      </w:r>
      <w:r w:rsidRPr="005F4F28">
        <w:t xml:space="preserve"> with little to no effect on microflora such as Bacteroides and other major phylogenetic groups</w:t>
      </w:r>
      <w:r w:rsidR="003375F6">
        <w:t>.</w:t>
      </w:r>
      <w:r w:rsidR="003375F6">
        <w:rPr>
          <w:rStyle w:val="FootnoteReference"/>
        </w:rPr>
        <w:footnoteReference w:id="2"/>
      </w:r>
      <w:r w:rsidRPr="005F4F28">
        <w:t xml:space="preserve"> </w:t>
      </w:r>
    </w:p>
    <w:p w:rsidR="003375F6" w:rsidRDefault="00C528D5" w:rsidP="00090CE9">
      <w:r w:rsidRPr="00BE1019">
        <w:t>Treatment with fidaxomic</w:t>
      </w:r>
      <w:r>
        <w:t>in also leads to a lower</w:t>
      </w:r>
      <w:r w:rsidRPr="00BE1019">
        <w:t xml:space="preserve"> </w:t>
      </w:r>
      <w:r w:rsidRPr="00755712">
        <w:t>VRE</w:t>
      </w:r>
      <w:r w:rsidR="005F4F28">
        <w:t xml:space="preserve"> colonis</w:t>
      </w:r>
      <w:r w:rsidRPr="00BE1019">
        <w:t>ation as compared</w:t>
      </w:r>
      <w:r>
        <w:t xml:space="preserve"> </w:t>
      </w:r>
      <w:r w:rsidRPr="00BE1019">
        <w:t xml:space="preserve">to </w:t>
      </w:r>
      <w:r>
        <w:t xml:space="preserve">treatments with </w:t>
      </w:r>
      <w:r w:rsidRPr="00BE1019">
        <w:t>vancomy</w:t>
      </w:r>
      <w:r>
        <w:t>cin and seen</w:t>
      </w:r>
      <w:r w:rsidRPr="00BE1019">
        <w:t xml:space="preserve"> in the </w:t>
      </w:r>
      <w:r w:rsidRPr="00755712">
        <w:t xml:space="preserve">first </w:t>
      </w:r>
      <w:r w:rsidR="005F4F28">
        <w:t>P</w:t>
      </w:r>
      <w:r w:rsidRPr="00755712">
        <w:t xml:space="preserve">hase </w:t>
      </w:r>
      <w:r w:rsidR="005F4F28">
        <w:t>III</w:t>
      </w:r>
      <w:r w:rsidRPr="00755712">
        <w:t xml:space="preserve"> </w:t>
      </w:r>
      <w:r>
        <w:t xml:space="preserve">pivotal efficacy </w:t>
      </w:r>
      <w:r w:rsidRPr="00755712">
        <w:t>study</w:t>
      </w:r>
      <w:r>
        <w:t>. In vancomycin arm, 31% patients</w:t>
      </w:r>
      <w:r w:rsidR="005F4F28">
        <w:t xml:space="preserve"> became colonis</w:t>
      </w:r>
      <w:r>
        <w:t>ed with VRE during treatment compared with 7% of patients receiving fidaxomicin</w:t>
      </w:r>
      <w:r w:rsidR="003375F6">
        <w:t>.</w:t>
      </w:r>
      <w:r w:rsidR="003375F6">
        <w:rPr>
          <w:rStyle w:val="FootnoteReference"/>
        </w:rPr>
        <w:footnoteReference w:id="3"/>
      </w:r>
      <w:r>
        <w:t xml:space="preserve"> </w:t>
      </w:r>
    </w:p>
    <w:p w:rsidR="00C528D5" w:rsidRPr="006A2E07" w:rsidRDefault="00C528D5" w:rsidP="00090CE9">
      <w:r w:rsidRPr="00BE1019">
        <w:t xml:space="preserve">Fidaxomicin has also been shown to inhibit </w:t>
      </w:r>
      <w:r w:rsidRPr="00BE1019">
        <w:rPr>
          <w:i/>
          <w:iCs/>
        </w:rPr>
        <w:t xml:space="preserve">C. difficile </w:t>
      </w:r>
      <w:r w:rsidRPr="00BE1019">
        <w:t>sporulation</w:t>
      </w:r>
      <w:r>
        <w:t xml:space="preserve"> </w:t>
      </w:r>
      <w:r w:rsidRPr="00DD718D">
        <w:rPr>
          <w:i/>
        </w:rPr>
        <w:t>in vitro</w:t>
      </w:r>
      <w:r w:rsidRPr="00BE1019">
        <w:t>. Faecal</w:t>
      </w:r>
      <w:r>
        <w:t xml:space="preserve"> spore counts (CFU count/g) in fidaxomicin treated patients</w:t>
      </w:r>
      <w:r w:rsidRPr="00BE1019">
        <w:t xml:space="preserve"> were</w:t>
      </w:r>
      <w:r>
        <w:t xml:space="preserve"> </w:t>
      </w:r>
      <w:r w:rsidRPr="00BE1019">
        <w:t>found to be 2.3 log</w:t>
      </w:r>
      <w:r w:rsidRPr="00FB3C43">
        <w:rPr>
          <w:vertAlign w:val="subscript"/>
        </w:rPr>
        <w:t>10</w:t>
      </w:r>
      <w:r w:rsidRPr="00BE1019">
        <w:t xml:space="preserve"> lower at 21 to 28 days pos</w:t>
      </w:r>
      <w:r>
        <w:t xml:space="preserve">t-therapy than in those patients who </w:t>
      </w:r>
      <w:r w:rsidRPr="00BE1019">
        <w:t>received vancomycin.</w:t>
      </w:r>
    </w:p>
    <w:p w:rsidR="00C528D5" w:rsidRDefault="00C528D5" w:rsidP="00090CE9">
      <w:r w:rsidRPr="006B4BBF">
        <w:rPr>
          <w:i/>
        </w:rPr>
        <w:t>In vitro</w:t>
      </w:r>
      <w:r>
        <w:t>, Fidaxomicin was also shown to have</w:t>
      </w:r>
      <w:r w:rsidRPr="006A2E07">
        <w:t xml:space="preserve"> a prolonged post-antibiotic effec</w:t>
      </w:r>
      <w:r>
        <w:t xml:space="preserve">t (6 to 10 hours). </w:t>
      </w:r>
    </w:p>
    <w:p w:rsidR="00C528D5" w:rsidRDefault="00C528D5" w:rsidP="00090CE9">
      <w:pPr>
        <w:rPr>
          <w:color w:val="000000"/>
        </w:rPr>
      </w:pPr>
      <w:r w:rsidRPr="006A2E07">
        <w:rPr>
          <w:color w:val="000000"/>
        </w:rPr>
        <w:t>In</w:t>
      </w:r>
      <w:r>
        <w:rPr>
          <w:color w:val="000000"/>
        </w:rPr>
        <w:t>itial studies showed that fidaxomicin (OPT-80)</w:t>
      </w:r>
      <w:r w:rsidRPr="006A2E07">
        <w:rPr>
          <w:color w:val="000000"/>
        </w:rPr>
        <w:t xml:space="preserve"> was at least 2 to 4 fold more active than vancomycin against 15 strains of </w:t>
      </w:r>
      <w:r w:rsidRPr="006A2E07">
        <w:rPr>
          <w:i/>
          <w:iCs/>
          <w:color w:val="000000"/>
        </w:rPr>
        <w:t>C. difficile</w:t>
      </w:r>
      <w:r w:rsidRPr="006A2E07">
        <w:rPr>
          <w:color w:val="000000"/>
        </w:rPr>
        <w:t xml:space="preserve">. The MIC values of </w:t>
      </w:r>
      <w:r>
        <w:rPr>
          <w:color w:val="000000"/>
        </w:rPr>
        <w:t xml:space="preserve">OPT-80 ranged from 0.12 </w:t>
      </w:r>
      <w:proofErr w:type="gramStart"/>
      <w:r>
        <w:rPr>
          <w:color w:val="000000"/>
        </w:rPr>
        <w:t>to 0.25</w:t>
      </w:r>
      <w:r w:rsidR="005F4F28">
        <w:rPr>
          <w:color w:val="000000"/>
        </w:rPr>
        <w:t xml:space="preserve"> </w:t>
      </w:r>
      <w:r w:rsidR="005F4F28">
        <w:rPr>
          <w:rFonts w:eastAsia="SymbolMT"/>
          <w:color w:val="000000"/>
        </w:rPr>
        <w:t>µ</w:t>
      </w:r>
      <w:r w:rsidRPr="006A2E07">
        <w:rPr>
          <w:color w:val="000000"/>
        </w:rPr>
        <w:t>g/mL</w:t>
      </w:r>
      <w:proofErr w:type="gramEnd"/>
      <w:r w:rsidRPr="006A2E07">
        <w:rPr>
          <w:color w:val="000000"/>
        </w:rPr>
        <w:t>. The MIC</w:t>
      </w:r>
      <w:r w:rsidRPr="006A2E07">
        <w:rPr>
          <w:color w:val="000000"/>
          <w:vertAlign w:val="subscript"/>
        </w:rPr>
        <w:t>50</w:t>
      </w:r>
      <w:r w:rsidRPr="006A2E07">
        <w:rPr>
          <w:color w:val="000000"/>
        </w:rPr>
        <w:t xml:space="preserve"> and MIC</w:t>
      </w:r>
      <w:r w:rsidRPr="006A2E07">
        <w:rPr>
          <w:color w:val="000000"/>
          <w:vertAlign w:val="subscript"/>
        </w:rPr>
        <w:t>90</w:t>
      </w:r>
      <w:r>
        <w:rPr>
          <w:color w:val="000000"/>
        </w:rPr>
        <w:t xml:space="preserve"> were both 0.25</w:t>
      </w:r>
      <w:r w:rsidR="005F4F28">
        <w:rPr>
          <w:color w:val="000000"/>
        </w:rPr>
        <w:t xml:space="preserve"> </w:t>
      </w:r>
      <w:r w:rsidR="005F4F28">
        <w:rPr>
          <w:rFonts w:eastAsia="SymbolMT"/>
          <w:color w:val="000000"/>
        </w:rPr>
        <w:t>µ</w:t>
      </w:r>
      <w:r w:rsidRPr="006A2E07">
        <w:rPr>
          <w:color w:val="000000"/>
        </w:rPr>
        <w:t xml:space="preserve">g/mL. The frequency of spontaneous resistance in </w:t>
      </w:r>
      <w:r w:rsidRPr="006A2E07">
        <w:rPr>
          <w:i/>
          <w:iCs/>
          <w:color w:val="000000"/>
        </w:rPr>
        <w:t xml:space="preserve">C. difficile </w:t>
      </w:r>
      <w:r w:rsidRPr="006A2E07">
        <w:rPr>
          <w:color w:val="000000"/>
        </w:rPr>
        <w:t>ATCC 9689 was low at &lt; 2x10</w:t>
      </w:r>
      <w:r w:rsidRPr="006A2E07">
        <w:rPr>
          <w:color w:val="000000"/>
          <w:vertAlign w:val="superscript"/>
        </w:rPr>
        <w:t>-8</w:t>
      </w:r>
      <w:r w:rsidRPr="006A2E07">
        <w:rPr>
          <w:color w:val="000000"/>
        </w:rPr>
        <w:t xml:space="preserve"> and OPT-80 achieved faster killing kinetics than vancomycin.</w:t>
      </w:r>
    </w:p>
    <w:p w:rsidR="00C528D5" w:rsidRDefault="00C528D5" w:rsidP="00090CE9">
      <w:r w:rsidRPr="006A2E07">
        <w:rPr>
          <w:color w:val="000000"/>
        </w:rPr>
        <w:t xml:space="preserve">Fidaxomicin is bactericidal, having a minimum bactericidal concentration (MBC) against </w:t>
      </w:r>
      <w:r w:rsidRPr="006A2E07">
        <w:rPr>
          <w:i/>
          <w:iCs/>
          <w:color w:val="000000"/>
        </w:rPr>
        <w:t xml:space="preserve">C. difficile </w:t>
      </w:r>
      <w:r w:rsidRPr="006A2E07">
        <w:rPr>
          <w:color w:val="000000"/>
        </w:rPr>
        <w:t xml:space="preserve">American Type Culture Collection (ATCC) 9689 that is equal to its MIC. In comparison, the MBC of vancomycin against </w:t>
      </w:r>
      <w:r w:rsidRPr="006A2E07">
        <w:rPr>
          <w:i/>
          <w:iCs/>
          <w:color w:val="000000"/>
        </w:rPr>
        <w:t xml:space="preserve">C. difficile </w:t>
      </w:r>
      <w:r w:rsidRPr="006A2E07">
        <w:rPr>
          <w:color w:val="000000"/>
        </w:rPr>
        <w:t>ATCC 9689 is 4 times higher than its MIC.</w:t>
      </w:r>
    </w:p>
    <w:p w:rsidR="00C528D5" w:rsidRDefault="00C528D5" w:rsidP="00090CE9">
      <w:r w:rsidRPr="006A2E07">
        <w:rPr>
          <w:color w:val="000000"/>
        </w:rPr>
        <w:t xml:space="preserve">In another early report, OPT-80 showed only moderate activity against </w:t>
      </w:r>
      <w:r w:rsidRPr="006A2E07">
        <w:rPr>
          <w:i/>
          <w:iCs/>
          <w:color w:val="000000"/>
        </w:rPr>
        <w:t>Staphylococcus aureus</w:t>
      </w:r>
      <w:r w:rsidRPr="006A2E07">
        <w:rPr>
          <w:color w:val="000000"/>
        </w:rPr>
        <w:t xml:space="preserve">, </w:t>
      </w:r>
      <w:r w:rsidRPr="006A2E07">
        <w:rPr>
          <w:i/>
          <w:iCs/>
          <w:color w:val="000000"/>
        </w:rPr>
        <w:t xml:space="preserve">Streptococcus pyogenes </w:t>
      </w:r>
      <w:r w:rsidRPr="006A2E07">
        <w:rPr>
          <w:color w:val="000000"/>
        </w:rPr>
        <w:t xml:space="preserve">and </w:t>
      </w:r>
      <w:r w:rsidRPr="006A2E07">
        <w:rPr>
          <w:i/>
          <w:iCs/>
          <w:color w:val="000000"/>
        </w:rPr>
        <w:t xml:space="preserve">Enterococcus faecium, </w:t>
      </w:r>
      <w:r w:rsidRPr="006A2E07">
        <w:rPr>
          <w:color w:val="000000"/>
        </w:rPr>
        <w:t xml:space="preserve">and was inactive against aerobic and anaerobic Gram-negative rods, and </w:t>
      </w:r>
      <w:r w:rsidRPr="006A2E07">
        <w:rPr>
          <w:i/>
          <w:iCs/>
          <w:color w:val="000000"/>
        </w:rPr>
        <w:t xml:space="preserve">Candida </w:t>
      </w:r>
      <w:r w:rsidRPr="006A2E07">
        <w:rPr>
          <w:color w:val="000000"/>
        </w:rPr>
        <w:t>species.</w:t>
      </w:r>
    </w:p>
    <w:p w:rsidR="00C528D5" w:rsidRDefault="00C528D5" w:rsidP="00090CE9">
      <w:r w:rsidRPr="006A2E07">
        <w:rPr>
          <w:color w:val="000000"/>
        </w:rPr>
        <w:t>In a more recent study, the MIC</w:t>
      </w:r>
      <w:r w:rsidRPr="006A2E07">
        <w:rPr>
          <w:color w:val="000000"/>
          <w:vertAlign w:val="subscript"/>
        </w:rPr>
        <w:t>90</w:t>
      </w:r>
      <w:r w:rsidRPr="006A2E07">
        <w:rPr>
          <w:color w:val="000000"/>
        </w:rPr>
        <w:t xml:space="preserve"> of OPT-80, vancomycin, and metronidazole against a panel of 207 </w:t>
      </w:r>
      <w:r w:rsidRPr="006A2E07">
        <w:rPr>
          <w:i/>
          <w:iCs/>
          <w:color w:val="000000"/>
        </w:rPr>
        <w:t xml:space="preserve">C. difficile </w:t>
      </w:r>
      <w:r w:rsidRPr="006A2E07">
        <w:rPr>
          <w:color w:val="000000"/>
        </w:rPr>
        <w:t xml:space="preserve">strains obtained from patients at two university hospitals in Germany were 0.0078, 0.5 and </w:t>
      </w:r>
      <w:proofErr w:type="gramStart"/>
      <w:r w:rsidRPr="006A2E07">
        <w:rPr>
          <w:color w:val="000000"/>
        </w:rPr>
        <w:t xml:space="preserve">0.125 </w:t>
      </w:r>
      <w:r w:rsidR="005F4F28">
        <w:rPr>
          <w:rFonts w:eastAsia="SymbolMT"/>
          <w:color w:val="000000"/>
        </w:rPr>
        <w:t>µ</w:t>
      </w:r>
      <w:r w:rsidRPr="006A2E07">
        <w:rPr>
          <w:color w:val="000000"/>
        </w:rPr>
        <w:t>g/mL</w:t>
      </w:r>
      <w:r w:rsidR="003375F6">
        <w:rPr>
          <w:color w:val="000000"/>
        </w:rPr>
        <w:t>,</w:t>
      </w:r>
      <w:r w:rsidRPr="006A2E07">
        <w:rPr>
          <w:color w:val="000000"/>
        </w:rPr>
        <w:t xml:space="preserve"> respectively</w:t>
      </w:r>
      <w:proofErr w:type="gramEnd"/>
      <w:r w:rsidRPr="006A2E07">
        <w:rPr>
          <w:color w:val="000000"/>
        </w:rPr>
        <w:t>.</w:t>
      </w:r>
    </w:p>
    <w:p w:rsidR="00C528D5" w:rsidRDefault="00C528D5" w:rsidP="00090CE9">
      <w:r w:rsidRPr="006A2E07">
        <w:rPr>
          <w:color w:val="000000"/>
        </w:rPr>
        <w:t>A typical MIC</w:t>
      </w:r>
      <w:r w:rsidRPr="006A2E07">
        <w:rPr>
          <w:color w:val="000000"/>
          <w:vertAlign w:val="subscript"/>
        </w:rPr>
        <w:t>90</w:t>
      </w:r>
      <w:r w:rsidRPr="006A2E07">
        <w:rPr>
          <w:color w:val="000000"/>
        </w:rPr>
        <w:t xml:space="preserve"> for this organism, tested via Clinical and Laboratory Standards Institute (CLSI) protocol, was </w:t>
      </w:r>
      <w:proofErr w:type="gramStart"/>
      <w:r w:rsidRPr="006A2E07">
        <w:rPr>
          <w:color w:val="000000"/>
        </w:rPr>
        <w:t xml:space="preserve">0.125 </w:t>
      </w:r>
      <w:r w:rsidR="005F4F28">
        <w:rPr>
          <w:color w:val="000000"/>
        </w:rPr>
        <w:t>µ</w:t>
      </w:r>
      <w:r w:rsidRPr="006A2E07">
        <w:rPr>
          <w:color w:val="000000"/>
        </w:rPr>
        <w:t>g/mL</w:t>
      </w:r>
      <w:proofErr w:type="gramEnd"/>
      <w:r w:rsidRPr="006A2E07">
        <w:rPr>
          <w:color w:val="000000"/>
        </w:rPr>
        <w:t xml:space="preserve">. The same value was obtained in a separate experiment in which 110 genetically distinct strains of </w:t>
      </w:r>
      <w:r w:rsidRPr="006A2E07">
        <w:rPr>
          <w:i/>
          <w:iCs/>
          <w:color w:val="000000"/>
        </w:rPr>
        <w:t xml:space="preserve">C. difficile </w:t>
      </w:r>
      <w:r w:rsidRPr="006A2E07">
        <w:rPr>
          <w:color w:val="000000"/>
        </w:rPr>
        <w:t>were tested.</w:t>
      </w:r>
    </w:p>
    <w:p w:rsidR="00C528D5" w:rsidRDefault="00C528D5" w:rsidP="00090CE9">
      <w:r w:rsidRPr="006A2E07">
        <w:rPr>
          <w:color w:val="000000"/>
        </w:rPr>
        <w:t>Fidaxomicin is 4 and 16 times more potent than metronidazole or vancomycin, respectively, against this species. MIC</w:t>
      </w:r>
      <w:r w:rsidRPr="006A2E07">
        <w:rPr>
          <w:color w:val="000000"/>
          <w:vertAlign w:val="subscript"/>
        </w:rPr>
        <w:t>90</w:t>
      </w:r>
      <w:r w:rsidRPr="006A2E07">
        <w:rPr>
          <w:color w:val="000000"/>
        </w:rPr>
        <w:t xml:space="preserve"> values of metronidazole and vancomycin for the same panels of organisms were typically 0.5 and 2 </w:t>
      </w:r>
      <w:r w:rsidR="005F4F28">
        <w:rPr>
          <w:color w:val="000000"/>
        </w:rPr>
        <w:t>µ</w:t>
      </w:r>
      <w:r w:rsidRPr="006A2E07">
        <w:rPr>
          <w:color w:val="000000"/>
        </w:rPr>
        <w:t>g/mL respectively.</w:t>
      </w:r>
    </w:p>
    <w:p w:rsidR="00C528D5" w:rsidRPr="00B80BBE" w:rsidRDefault="00C528D5" w:rsidP="00090CE9">
      <w:r w:rsidRPr="00BE1019">
        <w:t>Amino acid substitutions that confer reduced susceptibility to fidaxomicin have been located within the chromosomally encoded RNAP. Fidaxomicin</w:t>
      </w:r>
      <w:r>
        <w:t xml:space="preserve"> </w:t>
      </w:r>
      <w:r w:rsidRPr="00BE1019">
        <w:t>resistance genes have not been identified on transferable elements.</w:t>
      </w:r>
    </w:p>
    <w:p w:rsidR="00C528D5" w:rsidRPr="003C65DF" w:rsidRDefault="00C528D5" w:rsidP="005F4F28">
      <w:pPr>
        <w:pStyle w:val="Heading5"/>
      </w:pPr>
      <w:r w:rsidRPr="003C65DF">
        <w:t xml:space="preserve">Risk of </w:t>
      </w:r>
      <w:r w:rsidR="00AE10EA">
        <w:t>d</w:t>
      </w:r>
      <w:r w:rsidRPr="003C65DF">
        <w:t>evelopmen</w:t>
      </w:r>
      <w:r w:rsidR="00AE10EA">
        <w:t>t of a</w:t>
      </w:r>
      <w:r w:rsidRPr="003C65DF">
        <w:t xml:space="preserve">ntibiotic </w:t>
      </w:r>
      <w:r w:rsidR="00AE10EA">
        <w:t>r</w:t>
      </w:r>
      <w:r>
        <w:t>esistance</w:t>
      </w:r>
    </w:p>
    <w:p w:rsidR="00C528D5" w:rsidRDefault="00C528D5" w:rsidP="005F4F28">
      <w:r>
        <w:t xml:space="preserve">A risk assessment has been provided by the sponsor. The </w:t>
      </w:r>
      <w:r w:rsidRPr="00924DE0">
        <w:rPr>
          <w:i/>
        </w:rPr>
        <w:t>in vitro</w:t>
      </w:r>
      <w:r>
        <w:t xml:space="preserve"> activ</w:t>
      </w:r>
      <w:r w:rsidR="005F4F28">
        <w:t>ity of fidaxomicin is as described in the table below.</w:t>
      </w:r>
    </w:p>
    <w:p w:rsidR="005F4F28" w:rsidRPr="00AE10EA" w:rsidRDefault="005F4F28" w:rsidP="00AE10EA">
      <w:pPr>
        <w:pStyle w:val="TableTitle"/>
        <w:rPr>
          <w:sz w:val="22"/>
        </w:rPr>
      </w:pPr>
      <w:proofErr w:type="gramStart"/>
      <w:r w:rsidRPr="00AE10EA">
        <w:rPr>
          <w:sz w:val="22"/>
        </w:rPr>
        <w:t>Table</w:t>
      </w:r>
      <w:r w:rsidR="00924DE0" w:rsidRPr="00AE10EA">
        <w:rPr>
          <w:sz w:val="22"/>
        </w:rPr>
        <w:t xml:space="preserve"> 1.</w:t>
      </w:r>
      <w:proofErr w:type="gramEnd"/>
      <w:r w:rsidR="00924DE0" w:rsidRPr="00AE10EA">
        <w:rPr>
          <w:sz w:val="22"/>
        </w:rPr>
        <w:t xml:space="preserve"> </w:t>
      </w:r>
      <w:r w:rsidR="00924DE0" w:rsidRPr="00AE10EA">
        <w:rPr>
          <w:i/>
          <w:sz w:val="22"/>
        </w:rPr>
        <w:t>In</w:t>
      </w:r>
      <w:r w:rsidR="00924DE0" w:rsidRPr="00AE10EA">
        <w:rPr>
          <w:sz w:val="22"/>
        </w:rPr>
        <w:t xml:space="preserve"> </w:t>
      </w:r>
      <w:r w:rsidR="00924DE0" w:rsidRPr="00AE10EA">
        <w:rPr>
          <w:i/>
          <w:sz w:val="22"/>
        </w:rPr>
        <w:t>vitro</w:t>
      </w:r>
      <w:r w:rsidR="00924DE0" w:rsidRPr="00AE10EA">
        <w:rPr>
          <w:sz w:val="22"/>
        </w:rPr>
        <w:t xml:space="preserve"> activity of fidaxomicin</w:t>
      </w:r>
    </w:p>
    <w:p w:rsidR="00C528D5" w:rsidRDefault="00C528D5" w:rsidP="00353ABC">
      <w:pPr>
        <w:keepNext/>
        <w:autoSpaceDE w:val="0"/>
        <w:autoSpaceDN w:val="0"/>
        <w:adjustRightInd w:val="0"/>
        <w:ind w:right="118"/>
        <w:rPr>
          <w:rFonts w:ascii="Times New Roman" w:hAnsi="Times New Roman"/>
          <w:sz w:val="24"/>
        </w:rPr>
      </w:pPr>
      <w:r>
        <w:rPr>
          <w:rFonts w:asciiTheme="minorHAnsi" w:hAnsiTheme="minorHAnsi" w:cstheme="minorBidi"/>
          <w:noProof/>
          <w:lang w:eastAsia="en-AU"/>
        </w:rPr>
        <w:drawing>
          <wp:inline distT="0" distB="0" distL="0" distR="0">
            <wp:extent cx="4562475" cy="2084579"/>
            <wp:effectExtent l="19050" t="0" r="9525" b="0"/>
            <wp:docPr id="28" name="Picture 2" descr="Table 1. In vitro activity of fidaxomi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duotone>
                        <a:prstClr val="black"/>
                        <a:schemeClr val="bg1">
                          <a:tint val="45000"/>
                          <a:satMod val="400000"/>
                        </a:schemeClr>
                      </a:duotone>
                    </a:blip>
                    <a:srcRect/>
                    <a:stretch>
                      <a:fillRect/>
                    </a:stretch>
                  </pic:blipFill>
                  <pic:spPr bwMode="auto">
                    <a:xfrm>
                      <a:off x="0" y="0"/>
                      <a:ext cx="4562475" cy="2084579"/>
                    </a:xfrm>
                    <a:prstGeom prst="rect">
                      <a:avLst/>
                    </a:prstGeom>
                    <a:noFill/>
                    <a:ln w="9525">
                      <a:noFill/>
                      <a:miter lim="800000"/>
                      <a:headEnd/>
                      <a:tailEnd/>
                    </a:ln>
                  </pic:spPr>
                </pic:pic>
              </a:graphicData>
            </a:graphic>
          </wp:inline>
        </w:drawing>
      </w:r>
    </w:p>
    <w:p w:rsidR="00C528D5" w:rsidRDefault="00C528D5" w:rsidP="005F4F28">
      <w:r>
        <w:t>The distribution of fidaxomicin MIC against</w:t>
      </w:r>
      <w:r w:rsidRPr="00DF7656">
        <w:t xml:space="preserve"> </w:t>
      </w:r>
      <w:r w:rsidRPr="00DF7656">
        <w:rPr>
          <w:i/>
          <w:iCs/>
        </w:rPr>
        <w:t xml:space="preserve">C. difficile </w:t>
      </w:r>
      <w:r w:rsidRPr="00DF7656">
        <w:t xml:space="preserve">clinical isolates from fidaxomicin Phase </w:t>
      </w:r>
      <w:r w:rsidR="005F4F28">
        <w:t>III</w:t>
      </w:r>
      <w:r w:rsidRPr="00DF7656">
        <w:t xml:space="preserve"> trials (safety population)</w:t>
      </w:r>
      <w:r>
        <w:t xml:space="preserve"> is shown below </w:t>
      </w:r>
      <w:r w:rsidR="005F4F28">
        <w:t>in F</w:t>
      </w:r>
      <w:r>
        <w:t>igure</w:t>
      </w:r>
      <w:r w:rsidR="005F4F28">
        <w:t xml:space="preserve"> </w:t>
      </w:r>
      <w:r w:rsidR="00924DE0">
        <w:t>1</w:t>
      </w:r>
      <w:r w:rsidR="005F4F28">
        <w:t>.</w:t>
      </w:r>
    </w:p>
    <w:p w:rsidR="005F4F28" w:rsidRDefault="005F4F28" w:rsidP="00DD718D">
      <w:pPr>
        <w:pStyle w:val="FigureTitle"/>
        <w:keepNext/>
      </w:pPr>
      <w:proofErr w:type="gramStart"/>
      <w:r>
        <w:t>Figure</w:t>
      </w:r>
      <w:r w:rsidR="00924DE0">
        <w:t xml:space="preserve"> 1.</w:t>
      </w:r>
      <w:proofErr w:type="gramEnd"/>
      <w:r w:rsidR="00924DE0">
        <w:t xml:space="preserve"> D</w:t>
      </w:r>
      <w:r w:rsidR="00924DE0" w:rsidRPr="00924DE0">
        <w:t xml:space="preserve">istribution of fidaxomicin MIC against </w:t>
      </w:r>
      <w:r w:rsidR="00924DE0" w:rsidRPr="00924DE0">
        <w:rPr>
          <w:i/>
          <w:iCs/>
        </w:rPr>
        <w:t xml:space="preserve">C. difficile </w:t>
      </w:r>
      <w:r w:rsidR="00924DE0" w:rsidRPr="00924DE0">
        <w:t>clinical isolates from fidaxomicin Phase III trials (safety population)</w:t>
      </w:r>
    </w:p>
    <w:p w:rsidR="00C528D5" w:rsidRPr="00B16841" w:rsidRDefault="00C528D5" w:rsidP="00DD718D">
      <w:pPr>
        <w:keepNext/>
        <w:autoSpaceDE w:val="0"/>
        <w:autoSpaceDN w:val="0"/>
        <w:adjustRightInd w:val="0"/>
        <w:ind w:right="118"/>
        <w:rPr>
          <w:rFonts w:ascii="Times New Roman" w:hAnsi="Times New Roman"/>
          <w:sz w:val="24"/>
        </w:rPr>
      </w:pPr>
      <w:r>
        <w:rPr>
          <w:rFonts w:ascii="Times New Roman" w:hAnsi="Times New Roman"/>
          <w:noProof/>
          <w:sz w:val="24"/>
          <w:lang w:eastAsia="en-AU"/>
        </w:rPr>
        <w:drawing>
          <wp:inline distT="0" distB="0" distL="0" distR="0">
            <wp:extent cx="4740295" cy="2501811"/>
            <wp:effectExtent l="19050" t="0" r="3155" b="0"/>
            <wp:docPr id="134" name="Picture 3" descr="Figure 1. Distribution of fidaxomicin MIC against C. difficile clinical isolates from fidaxomicin Phase III trial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739067" cy="2501163"/>
                    </a:xfrm>
                    <a:prstGeom prst="rect">
                      <a:avLst/>
                    </a:prstGeom>
                    <a:noFill/>
                    <a:ln w="9525">
                      <a:noFill/>
                      <a:miter lim="800000"/>
                      <a:headEnd/>
                      <a:tailEnd/>
                    </a:ln>
                  </pic:spPr>
                </pic:pic>
              </a:graphicData>
            </a:graphic>
          </wp:inline>
        </w:drawing>
      </w:r>
    </w:p>
    <w:p w:rsidR="00C528D5" w:rsidRDefault="00C528D5" w:rsidP="005F4F28">
      <w:r w:rsidRPr="00B16841">
        <w:t>Decreased suscep</w:t>
      </w:r>
      <w:r>
        <w:t>tibility to fidaxomicin was observed</w:t>
      </w:r>
      <w:r w:rsidRPr="00B16841">
        <w:t xml:space="preserve"> in </w:t>
      </w:r>
      <w:r>
        <w:t xml:space="preserve">only </w:t>
      </w:r>
      <w:r w:rsidRPr="00B16841">
        <w:t xml:space="preserve">one clinical isolate </w:t>
      </w:r>
      <w:r>
        <w:t>from a patient</w:t>
      </w:r>
      <w:r w:rsidRPr="00B16841">
        <w:t xml:space="preserve"> enrolled in a </w:t>
      </w:r>
      <w:r>
        <w:t xml:space="preserve">Phase </w:t>
      </w:r>
      <w:r w:rsidR="005F4F28">
        <w:t>III</w:t>
      </w:r>
      <w:r>
        <w:t xml:space="preserve"> trial</w:t>
      </w:r>
      <w:r w:rsidR="00DD718D">
        <w:t>. This patient</w:t>
      </w:r>
      <w:r>
        <w:t xml:space="preserve"> initially achieved clinical cure but later presented with recurrence of CDAD. </w:t>
      </w:r>
      <w:r w:rsidRPr="00B16841">
        <w:t>Day 1 and end of therapy isolates had low MICs (0.06</w:t>
      </w:r>
      <w:r>
        <w:t xml:space="preserve">μg/mL) but </w:t>
      </w:r>
      <w:r w:rsidRPr="00B16841">
        <w:t xml:space="preserve">the recurrence isolate MIC was </w:t>
      </w:r>
      <w:r>
        <w:t xml:space="preserve">much </w:t>
      </w:r>
      <w:r w:rsidRPr="00B16841">
        <w:t>higher (16</w:t>
      </w:r>
      <w:r w:rsidR="005F4F28">
        <w:t xml:space="preserve"> µ</w:t>
      </w:r>
      <w:r w:rsidRPr="00B16841">
        <w:t>g/mL</w:t>
      </w:r>
      <w:r>
        <w:t>). T</w:t>
      </w:r>
      <w:r w:rsidRPr="00B16841">
        <w:t>he typing method used in these clinical studies could not discriminate the strains from each collection (all were “non-specified REA” type), the possibility remains that the strain developed reduced sensitivity to fidaxomi</w:t>
      </w:r>
      <w:r>
        <w:t>cin during the study although it is unclear why this happened</w:t>
      </w:r>
      <w:r w:rsidRPr="00B16841">
        <w:t xml:space="preserve"> once the selective pressure had been removed. An alternate explanation is that there was re-infection with a strain having an innately lower sensitivity to fidaxomicin, although an MIC of &gt; 2</w:t>
      </w:r>
      <w:r w:rsidR="005F4F28">
        <w:t xml:space="preserve"> µ</w:t>
      </w:r>
      <w:r w:rsidRPr="00B16841">
        <w:t xml:space="preserve">g/mL has not been seen previously within the wild type population. The recurrence strain did have a mutation identified in the </w:t>
      </w:r>
      <w:r w:rsidR="005F4F28">
        <w:t>β</w:t>
      </w:r>
      <w:r w:rsidRPr="00B16841">
        <w:t xml:space="preserve"> subunit of RNAP that was not present in the baseline or end of therapy isolates.</w:t>
      </w:r>
    </w:p>
    <w:p w:rsidR="00C528D5" w:rsidRDefault="00C528D5" w:rsidP="005F4F28">
      <w:r w:rsidRPr="005F4F28">
        <w:rPr>
          <w:i/>
        </w:rPr>
        <w:t>In vitro</w:t>
      </w:r>
      <w:r w:rsidRPr="00BE1019">
        <w:t xml:space="preserve"> studies with</w:t>
      </w:r>
      <w:r>
        <w:t xml:space="preserve"> laboratory-</w:t>
      </w:r>
      <w:r w:rsidRPr="00BE1019">
        <w:t xml:space="preserve">generated mutant </w:t>
      </w:r>
      <w:r w:rsidRPr="00BE1019">
        <w:rPr>
          <w:i/>
          <w:iCs/>
        </w:rPr>
        <w:t xml:space="preserve">C. difficile </w:t>
      </w:r>
      <w:r w:rsidRPr="00BE1019">
        <w:t>strains with reduced susceptibility to fidaxomicin</w:t>
      </w:r>
      <w:r>
        <w:t xml:space="preserve"> </w:t>
      </w:r>
      <w:r w:rsidRPr="00BE1019">
        <w:t>did not show any change in their MIC to oth</w:t>
      </w:r>
      <w:r>
        <w:t xml:space="preserve">er antimicrobial classes, </w:t>
      </w:r>
      <w:r w:rsidR="003B4B6A" w:rsidRPr="003B4B6A">
        <w:t>that is,</w:t>
      </w:r>
      <w:r w:rsidRPr="00BE1019">
        <w:t xml:space="preserve"> only</w:t>
      </w:r>
      <w:r>
        <w:t xml:space="preserve"> </w:t>
      </w:r>
      <w:r w:rsidRPr="00BE1019">
        <w:t>fidaxomicin MIC values increased in those mutant strains but not their MIC to other</w:t>
      </w:r>
      <w:r>
        <w:t xml:space="preserve"> antibiotics. </w:t>
      </w:r>
      <w:r w:rsidRPr="00BE1019">
        <w:t xml:space="preserve">Similarly, </w:t>
      </w:r>
      <w:r w:rsidRPr="00BE1019">
        <w:rPr>
          <w:i/>
          <w:iCs/>
        </w:rPr>
        <w:t xml:space="preserve">C. difficile </w:t>
      </w:r>
      <w:r w:rsidRPr="00BE1019">
        <w:t>strain (ATCC 43597), which is known to be resistant to</w:t>
      </w:r>
      <w:r>
        <w:t xml:space="preserve"> </w:t>
      </w:r>
      <w:r w:rsidRPr="00BE1019">
        <w:t>other class of antibacterial agents was susceptible to fidaxomicin</w:t>
      </w:r>
      <w:r>
        <w:t xml:space="preserve"> as shown </w:t>
      </w:r>
      <w:r w:rsidR="005F4F28">
        <w:t xml:space="preserve">in the table </w:t>
      </w:r>
      <w:r>
        <w:t>below</w:t>
      </w:r>
      <w:r w:rsidR="005F4F28">
        <w:t xml:space="preserve">. </w:t>
      </w:r>
    </w:p>
    <w:p w:rsidR="005F4F28" w:rsidRPr="00AE10EA" w:rsidRDefault="005F4F28" w:rsidP="00AE10EA">
      <w:pPr>
        <w:pStyle w:val="TableTitle"/>
        <w:rPr>
          <w:sz w:val="22"/>
        </w:rPr>
      </w:pPr>
      <w:proofErr w:type="gramStart"/>
      <w:r w:rsidRPr="00AE10EA">
        <w:rPr>
          <w:sz w:val="22"/>
        </w:rPr>
        <w:t>Table</w:t>
      </w:r>
      <w:r w:rsidR="00924DE0" w:rsidRPr="00AE10EA">
        <w:rPr>
          <w:sz w:val="22"/>
        </w:rPr>
        <w:t xml:space="preserve"> 2.</w:t>
      </w:r>
      <w:proofErr w:type="gramEnd"/>
      <w:r w:rsidR="00924DE0" w:rsidRPr="00AE10EA">
        <w:rPr>
          <w:sz w:val="22"/>
        </w:rPr>
        <w:t xml:space="preserve"> </w:t>
      </w:r>
      <w:r w:rsidR="00924DE0" w:rsidRPr="00AE10EA">
        <w:rPr>
          <w:i/>
          <w:iCs/>
          <w:sz w:val="22"/>
        </w:rPr>
        <w:t xml:space="preserve">C. difficile </w:t>
      </w:r>
      <w:r w:rsidR="00924DE0" w:rsidRPr="00AE10EA">
        <w:rPr>
          <w:sz w:val="22"/>
        </w:rPr>
        <w:t>strain MIC</w:t>
      </w:r>
    </w:p>
    <w:p w:rsidR="00C528D5" w:rsidRDefault="00C528D5" w:rsidP="00353ABC">
      <w:pPr>
        <w:keepNext/>
        <w:rPr>
          <w:rFonts w:ascii="Times New Roman" w:hAnsi="Times New Roman"/>
          <w:sz w:val="24"/>
        </w:rPr>
      </w:pPr>
      <w:r>
        <w:rPr>
          <w:rFonts w:ascii="Times New Roman" w:hAnsi="Times New Roman"/>
          <w:noProof/>
          <w:sz w:val="24"/>
          <w:lang w:eastAsia="en-AU"/>
        </w:rPr>
        <w:drawing>
          <wp:inline distT="0" distB="0" distL="0" distR="0">
            <wp:extent cx="4706636" cy="2195075"/>
            <wp:effectExtent l="19050" t="0" r="0" b="0"/>
            <wp:docPr id="136" name="Picture 4" descr="Table 2. C. difficile strain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duotone>
                        <a:prstClr val="black"/>
                        <a:schemeClr val="bg1">
                          <a:tint val="45000"/>
                          <a:satMod val="400000"/>
                        </a:schemeClr>
                      </a:duotone>
                    </a:blip>
                    <a:srcRect/>
                    <a:stretch>
                      <a:fillRect/>
                    </a:stretch>
                  </pic:blipFill>
                  <pic:spPr bwMode="auto">
                    <a:xfrm>
                      <a:off x="0" y="0"/>
                      <a:ext cx="4705417" cy="2194507"/>
                    </a:xfrm>
                    <a:prstGeom prst="rect">
                      <a:avLst/>
                    </a:prstGeom>
                    <a:noFill/>
                    <a:ln w="9525">
                      <a:noFill/>
                      <a:miter lim="800000"/>
                      <a:headEnd/>
                      <a:tailEnd/>
                    </a:ln>
                  </pic:spPr>
                </pic:pic>
              </a:graphicData>
            </a:graphic>
          </wp:inline>
        </w:drawing>
      </w:r>
    </w:p>
    <w:p w:rsidR="005F4F28" w:rsidRDefault="00C528D5" w:rsidP="005F4F28">
      <w:r>
        <w:t>In a</w:t>
      </w:r>
      <w:r w:rsidRPr="00BE1019">
        <w:t xml:space="preserve"> reverse experiment, organisms resistant to other classes of antibiotics were tested</w:t>
      </w:r>
      <w:r>
        <w:t xml:space="preserve"> </w:t>
      </w:r>
      <w:r w:rsidRPr="00BE1019">
        <w:t>for reduced susceptibility toward fidaxomicin. No cross-resistance was found in this</w:t>
      </w:r>
      <w:r>
        <w:t xml:space="preserve"> </w:t>
      </w:r>
      <w:r w:rsidRPr="00BE1019">
        <w:t>manner against the other antibiotics, including macrolides, β-lactams, fluoroquinolones,</w:t>
      </w:r>
      <w:r>
        <w:t xml:space="preserve"> </w:t>
      </w:r>
      <w:r w:rsidRPr="00BE1019">
        <w:t>rifamycins, vancomycin and metronidazole</w:t>
      </w:r>
      <w:r>
        <w:t xml:space="preserve"> as shown </w:t>
      </w:r>
      <w:r w:rsidR="005F4F28">
        <w:t xml:space="preserve">in the table </w:t>
      </w:r>
      <w:r>
        <w:t>below</w:t>
      </w:r>
      <w:r w:rsidR="005F4F28">
        <w:t>.</w:t>
      </w:r>
    </w:p>
    <w:p w:rsidR="00C528D5" w:rsidRPr="00AE10EA" w:rsidRDefault="005F4F28" w:rsidP="00AE10EA">
      <w:pPr>
        <w:pStyle w:val="TableTitle"/>
        <w:rPr>
          <w:sz w:val="22"/>
        </w:rPr>
      </w:pPr>
      <w:proofErr w:type="gramStart"/>
      <w:r w:rsidRPr="00AE10EA">
        <w:rPr>
          <w:sz w:val="22"/>
        </w:rPr>
        <w:t>Table</w:t>
      </w:r>
      <w:r w:rsidR="00924DE0" w:rsidRPr="00AE10EA">
        <w:rPr>
          <w:sz w:val="22"/>
        </w:rPr>
        <w:t xml:space="preserve"> 3</w:t>
      </w:r>
      <w:r w:rsidRPr="00AE10EA">
        <w:rPr>
          <w:sz w:val="22"/>
        </w:rPr>
        <w:t>.</w:t>
      </w:r>
      <w:proofErr w:type="gramEnd"/>
      <w:r w:rsidR="00924DE0" w:rsidRPr="00AE10EA">
        <w:rPr>
          <w:sz w:val="22"/>
        </w:rPr>
        <w:t xml:space="preserve"> Organisms resistant to other classes of antibiotics and the effect of fidaxomicin</w:t>
      </w:r>
    </w:p>
    <w:p w:rsidR="00C528D5" w:rsidRPr="00B16841" w:rsidRDefault="00C528D5" w:rsidP="00353ABC">
      <w:pPr>
        <w:spacing w:line="276" w:lineRule="auto"/>
        <w:rPr>
          <w:rFonts w:ascii="Times New Roman" w:hAnsi="Times New Roman"/>
          <w:color w:val="000000"/>
          <w:sz w:val="24"/>
        </w:rPr>
      </w:pPr>
      <w:r>
        <w:rPr>
          <w:rFonts w:ascii="Times New Roman" w:hAnsi="Times New Roman"/>
          <w:noProof/>
          <w:color w:val="000000"/>
          <w:sz w:val="24"/>
          <w:lang w:eastAsia="en-AU"/>
        </w:rPr>
        <w:drawing>
          <wp:inline distT="0" distB="0" distL="0" distR="0">
            <wp:extent cx="4798360" cy="2935694"/>
            <wp:effectExtent l="19050" t="0" r="2240" b="0"/>
            <wp:docPr id="174" name="Picture 5" descr="Table 3.  Organisms resistant to other classes of antibiotics and the effect of fidaxomi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duotone>
                        <a:prstClr val="black"/>
                        <a:schemeClr val="bg1">
                          <a:tint val="45000"/>
                          <a:satMod val="400000"/>
                        </a:schemeClr>
                      </a:duotone>
                    </a:blip>
                    <a:srcRect/>
                    <a:stretch>
                      <a:fillRect/>
                    </a:stretch>
                  </pic:blipFill>
                  <pic:spPr bwMode="auto">
                    <a:xfrm>
                      <a:off x="0" y="0"/>
                      <a:ext cx="4802260" cy="2938080"/>
                    </a:xfrm>
                    <a:prstGeom prst="rect">
                      <a:avLst/>
                    </a:prstGeom>
                    <a:noFill/>
                    <a:ln w="9525">
                      <a:noFill/>
                      <a:miter lim="800000"/>
                      <a:headEnd/>
                      <a:tailEnd/>
                    </a:ln>
                  </pic:spPr>
                </pic:pic>
              </a:graphicData>
            </a:graphic>
          </wp:inline>
        </w:drawing>
      </w:r>
    </w:p>
    <w:p w:rsidR="00C528D5" w:rsidRDefault="00C528D5" w:rsidP="005F4F28">
      <w:r w:rsidRPr="00BE1019">
        <w:t>Co-selection of</w:t>
      </w:r>
      <w:r>
        <w:t xml:space="preserve"> f</w:t>
      </w:r>
      <w:r w:rsidRPr="00BE1019">
        <w:t>idaxomicin resistance by other an</w:t>
      </w:r>
      <w:r>
        <w:t>tibiotics has not been studied.</w:t>
      </w:r>
    </w:p>
    <w:p w:rsidR="00C528D5" w:rsidRPr="00494331" w:rsidRDefault="00C528D5" w:rsidP="005F4F28">
      <w:r>
        <w:t>T</w:t>
      </w:r>
      <w:r w:rsidRPr="00494331">
        <w:t xml:space="preserve">he risk for development of resistant </w:t>
      </w:r>
      <w:r w:rsidRPr="00494331">
        <w:rPr>
          <w:i/>
          <w:iCs/>
        </w:rPr>
        <w:t xml:space="preserve">C. difficile </w:t>
      </w:r>
      <w:r w:rsidRPr="00494331">
        <w:t xml:space="preserve">or </w:t>
      </w:r>
      <w:r>
        <w:t>transferable resistance genes is considered by the sponsor to be</w:t>
      </w:r>
      <w:r w:rsidRPr="00494331">
        <w:t xml:space="preserve"> low due to inherent attributes of fidaxomicin including:</w:t>
      </w:r>
    </w:p>
    <w:p w:rsidR="00C528D5" w:rsidRPr="00494331" w:rsidRDefault="00C528D5" w:rsidP="00AE10EA">
      <w:pPr>
        <w:pStyle w:val="Numberbullet0"/>
        <w:ind w:firstLine="1"/>
      </w:pPr>
      <w:r w:rsidRPr="00494331">
        <w:t>Narrow spectrum of activity</w:t>
      </w:r>
    </w:p>
    <w:p w:rsidR="00C528D5" w:rsidRPr="00494331" w:rsidRDefault="00C528D5" w:rsidP="00AE10EA">
      <w:pPr>
        <w:pStyle w:val="Numberbullet0"/>
        <w:ind w:firstLine="1"/>
      </w:pPr>
      <w:r w:rsidRPr="00494331">
        <w:t>Lack of known transferable elements with fidaxomicin resistance genes</w:t>
      </w:r>
    </w:p>
    <w:p w:rsidR="00C528D5" w:rsidRPr="00494331" w:rsidRDefault="00C528D5" w:rsidP="00AE10EA">
      <w:pPr>
        <w:pStyle w:val="Numberbullet0"/>
        <w:ind w:firstLine="1"/>
      </w:pPr>
      <w:r w:rsidRPr="00494331">
        <w:t>Lack of cross-resistance with other classes of antibiotics, and</w:t>
      </w:r>
    </w:p>
    <w:p w:rsidR="00C528D5" w:rsidRPr="00494331" w:rsidRDefault="00C528D5" w:rsidP="00AE10EA">
      <w:pPr>
        <w:pStyle w:val="Numberbullet0"/>
        <w:ind w:firstLine="1"/>
      </w:pPr>
      <w:r>
        <w:t>R</w:t>
      </w:r>
      <w:r w:rsidRPr="00494331">
        <w:t>estricted use of fidaxomici</w:t>
      </w:r>
      <w:r>
        <w:t>n in humans for treatment of CDAD</w:t>
      </w:r>
      <w:r w:rsidRPr="00494331">
        <w:t xml:space="preserve"> only.</w:t>
      </w:r>
    </w:p>
    <w:p w:rsidR="00C528D5" w:rsidRDefault="00C528D5" w:rsidP="005F4F28">
      <w:r>
        <w:t>At present the</w:t>
      </w:r>
      <w:r w:rsidRPr="00BE1019">
        <w:t xml:space="preserve"> wild type population of </w:t>
      </w:r>
      <w:r w:rsidRPr="00BE1019">
        <w:rPr>
          <w:i/>
          <w:iCs/>
        </w:rPr>
        <w:t xml:space="preserve">C. difficile </w:t>
      </w:r>
      <w:r w:rsidRPr="00BE1019">
        <w:t>is fully susceptible</w:t>
      </w:r>
      <w:r>
        <w:t xml:space="preserve"> to fidaxomicin and</w:t>
      </w:r>
      <w:r w:rsidRPr="00BE1019">
        <w:t xml:space="preserve"> the likelihood of</w:t>
      </w:r>
      <w:r>
        <w:t xml:space="preserve"> </w:t>
      </w:r>
      <w:r w:rsidRPr="00BE1019">
        <w:t xml:space="preserve">exposure to resistant </w:t>
      </w:r>
      <w:r w:rsidRPr="00BE1019">
        <w:rPr>
          <w:i/>
          <w:iCs/>
        </w:rPr>
        <w:t xml:space="preserve">C. difficile </w:t>
      </w:r>
      <w:r>
        <w:t>is low</w:t>
      </w:r>
      <w:r w:rsidRPr="00BE1019">
        <w:t>. Use of fidaxomicin for treatment of</w:t>
      </w:r>
      <w:r>
        <w:t xml:space="preserve"> CDAD overtime can be expected</w:t>
      </w:r>
      <w:r w:rsidRPr="00BE1019">
        <w:t xml:space="preserve"> to </w:t>
      </w:r>
      <w:r>
        <w:t xml:space="preserve">carry </w:t>
      </w:r>
      <w:r w:rsidRPr="00BE1019">
        <w:t xml:space="preserve">low risk of development of </w:t>
      </w:r>
      <w:r w:rsidRPr="00BE1019">
        <w:rPr>
          <w:i/>
          <w:iCs/>
        </w:rPr>
        <w:t xml:space="preserve">C. </w:t>
      </w:r>
      <w:r w:rsidR="00540818">
        <w:rPr>
          <w:i/>
          <w:iCs/>
        </w:rPr>
        <w:t>d</w:t>
      </w:r>
      <w:r w:rsidRPr="00BE1019">
        <w:rPr>
          <w:i/>
          <w:iCs/>
        </w:rPr>
        <w:t>ifficile</w:t>
      </w:r>
      <w:r>
        <w:rPr>
          <w:i/>
          <w:iCs/>
        </w:rPr>
        <w:t xml:space="preserve"> </w:t>
      </w:r>
      <w:r w:rsidRPr="00BE1019">
        <w:t>strains that are clinically resistant</w:t>
      </w:r>
      <w:r>
        <w:t xml:space="preserve"> to fidaxomicin. Resistance s</w:t>
      </w:r>
      <w:r w:rsidRPr="00BE1019">
        <w:t>urveillance is proposed to</w:t>
      </w:r>
      <w:r>
        <w:t xml:space="preserve"> monitor</w:t>
      </w:r>
      <w:r w:rsidRPr="00BE1019">
        <w:t xml:space="preserve"> changes in susceptibility.</w:t>
      </w:r>
    </w:p>
    <w:p w:rsidR="00C528D5" w:rsidRDefault="00C528D5" w:rsidP="005F4F28">
      <w:r>
        <w:t xml:space="preserve">Even though fidaxomicin is excreted mainly unchanged in faeces, the environmental impact is considered contained especially in view of the fact that </w:t>
      </w:r>
      <w:r w:rsidRPr="00A66A3C">
        <w:rPr>
          <w:i/>
        </w:rPr>
        <w:t>C. difficile</w:t>
      </w:r>
      <w:r>
        <w:t xml:space="preserve"> thrives under anaerobic conditions and is present in environment as dormant spores.</w:t>
      </w:r>
    </w:p>
    <w:p w:rsidR="00C528D5" w:rsidRPr="00DA655E" w:rsidRDefault="00C528D5" w:rsidP="005F4F28">
      <w:r w:rsidRPr="00BE1019">
        <w:t>The prima</w:t>
      </w:r>
      <w:r>
        <w:t>ry source of uncertainty in this</w:t>
      </w:r>
      <w:r w:rsidRPr="00BE1019">
        <w:t xml:space="preserve"> risk assessment is the lack of epidemiological</w:t>
      </w:r>
      <w:r>
        <w:t xml:space="preserve"> </w:t>
      </w:r>
      <w:r w:rsidRPr="00BE1019">
        <w:t>data and resulting relianc</w:t>
      </w:r>
      <w:r>
        <w:t>e on in vitro data along with limited isolates from</w:t>
      </w:r>
      <w:r w:rsidRPr="00BE1019">
        <w:t xml:space="preserve"> clinical</w:t>
      </w:r>
      <w:r>
        <w:t xml:space="preserve"> </w:t>
      </w:r>
      <w:r w:rsidRPr="00BE1019">
        <w:t>studies</w:t>
      </w:r>
      <w:r>
        <w:t>.</w:t>
      </w:r>
    </w:p>
    <w:p w:rsidR="00C528D5" w:rsidRPr="009C5EC3" w:rsidRDefault="00C528D5" w:rsidP="005F4F28">
      <w:pPr>
        <w:pStyle w:val="Heading3"/>
      </w:pPr>
      <w:bookmarkStart w:id="69" w:name="_Ref269119989"/>
      <w:bookmarkStart w:id="70" w:name="_Toc272414639"/>
      <w:bookmarkStart w:id="71" w:name="_Toc290846261"/>
      <w:bookmarkStart w:id="72" w:name="_Toc338860716"/>
      <w:bookmarkStart w:id="73" w:name="_Toc370734737"/>
      <w:r w:rsidRPr="009C5EC3">
        <w:t>S</w:t>
      </w:r>
      <w:r>
        <w:t xml:space="preserve">ummary and evaluator’s comment on </w:t>
      </w:r>
      <w:r w:rsidR="00AE10EA">
        <w:t>p</w:t>
      </w:r>
      <w:r w:rsidRPr="009C5EC3">
        <w:t>harmacodynamics</w:t>
      </w:r>
      <w:bookmarkEnd w:id="69"/>
      <w:bookmarkEnd w:id="70"/>
      <w:bookmarkEnd w:id="71"/>
      <w:bookmarkEnd w:id="72"/>
      <w:bookmarkEnd w:id="73"/>
    </w:p>
    <w:p w:rsidR="00C528D5" w:rsidRDefault="00C528D5" w:rsidP="005F4F28">
      <w:r>
        <w:t xml:space="preserve">Fidaxomicin has narrow spectrum of antibacterial activity. It is bactericidal against </w:t>
      </w:r>
      <w:r w:rsidRPr="00A66A3C">
        <w:rPr>
          <w:i/>
        </w:rPr>
        <w:t>C. difficile</w:t>
      </w:r>
      <w:r>
        <w:t xml:space="preserve"> in vitro inhibiting RNA synthesis by RNA polymerase. Gram negative organisms both aerobic and anaerobic are intrinsically insensitive. It has variable activity against facultative and aerobic Gram positive bacteria. It has variable activity against Gram positive anaerobic bacteria.</w:t>
      </w:r>
    </w:p>
    <w:p w:rsidR="00C528D5" w:rsidRDefault="00C528D5" w:rsidP="005F4F28">
      <w:r>
        <w:t>Rate of resistance development to fidaxomicin has been shown to be low. It does not exhibit cross resistance to other classes of antibiotics.</w:t>
      </w:r>
    </w:p>
    <w:p w:rsidR="00C528D5" w:rsidRPr="009C5EC3" w:rsidRDefault="00C528D5" w:rsidP="005F4F28">
      <w:r>
        <w:t>The risk of development of bacterial (</w:t>
      </w:r>
      <w:r w:rsidRPr="00E828B3">
        <w:rPr>
          <w:i/>
        </w:rPr>
        <w:t>C. difficile</w:t>
      </w:r>
      <w:r>
        <w:t>) resistance to fidaxomicin is considered low but will require institution of organised resistance surveillance programme if the drug is approved for marketing.</w:t>
      </w:r>
    </w:p>
    <w:p w:rsidR="00586F98" w:rsidRDefault="00C22678" w:rsidP="005F4F28">
      <w:pPr>
        <w:pStyle w:val="Heading2"/>
      </w:pPr>
      <w:bookmarkStart w:id="74" w:name="_Toc370734738"/>
      <w:r>
        <w:t>Dosage selection for the pivotal studies</w:t>
      </w:r>
      <w:bookmarkEnd w:id="74"/>
    </w:p>
    <w:p w:rsidR="00C528D5" w:rsidRPr="0077278C" w:rsidRDefault="00C528D5" w:rsidP="005F4F28">
      <w:pPr>
        <w:pStyle w:val="Heading3"/>
      </w:pPr>
      <w:bookmarkStart w:id="75" w:name="_Toc370734739"/>
      <w:r>
        <w:t xml:space="preserve">Study </w:t>
      </w:r>
      <w:r w:rsidRPr="0077278C">
        <w:t>OPT-80-2A</w:t>
      </w:r>
      <w:bookmarkEnd w:id="75"/>
    </w:p>
    <w:p w:rsidR="00C528D5" w:rsidRDefault="00C528D5" w:rsidP="005F4F28">
      <w:r>
        <w:t>This was a Phase II, dose finding study (OPT-80 is also referred to as PAR-101 in documentation for this trial). The design was open-label, randomised, parallel groups study in p</w:t>
      </w:r>
      <w:r w:rsidRPr="00072C86">
        <w:t>atients with</w:t>
      </w:r>
      <w:r>
        <w:t xml:space="preserve"> mild to moderate </w:t>
      </w:r>
      <w:r w:rsidRPr="00C528D5">
        <w:rPr>
          <w:i/>
          <w:iCs/>
        </w:rPr>
        <w:t>Clostridium difficile</w:t>
      </w:r>
      <w:r w:rsidRPr="00072C86">
        <w:rPr>
          <w:i/>
          <w:iCs/>
        </w:rPr>
        <w:t>-</w:t>
      </w:r>
      <w:r w:rsidRPr="00072C86">
        <w:t>Associated Diarrh</w:t>
      </w:r>
      <w:r>
        <w:t>o</w:t>
      </w:r>
      <w:r w:rsidRPr="00072C86">
        <w:t>ea (CDAD)</w:t>
      </w:r>
      <w:r>
        <w:t>. The study was carried out across four sites in Canada and the US.</w:t>
      </w:r>
    </w:p>
    <w:p w:rsidR="00C528D5" w:rsidRDefault="00C528D5" w:rsidP="005F4F28">
      <w:r>
        <w:t xml:space="preserve">The participating patients could </w:t>
      </w:r>
      <w:r w:rsidR="005F4F28">
        <w:t xml:space="preserve">be </w:t>
      </w:r>
      <w:r>
        <w:t xml:space="preserve">male or female, over 18 years of age </w:t>
      </w:r>
      <w:r w:rsidR="005F4F28">
        <w:t xml:space="preserve">and </w:t>
      </w:r>
      <w:r>
        <w:t>who may have been hospitalised or treated in outpatient setting for mild to moderate CDAD as defined by:</w:t>
      </w:r>
    </w:p>
    <w:p w:rsidR="00C528D5" w:rsidRDefault="00C528D5" w:rsidP="005F4F28">
      <w:pPr>
        <w:pStyle w:val="ListBullet"/>
      </w:pPr>
      <w:r>
        <w:t>Diarrhoea - change in bowel habits with 3 or more unformed bowel movements in 24 hours, or more than 6 loose or watery stools within 36 hours; and</w:t>
      </w:r>
    </w:p>
    <w:p w:rsidR="00C528D5" w:rsidRPr="00072C86" w:rsidRDefault="00C528D5" w:rsidP="005F4F28">
      <w:pPr>
        <w:pStyle w:val="ListBullet"/>
      </w:pPr>
      <w:r>
        <w:t>Presence of either Toxin A or B of</w:t>
      </w:r>
      <w:r w:rsidRPr="00072C86">
        <w:t xml:space="preserve"> </w:t>
      </w:r>
      <w:r w:rsidRPr="00C528D5">
        <w:rPr>
          <w:i/>
          <w:iCs/>
        </w:rPr>
        <w:t>Clostridium difficile</w:t>
      </w:r>
      <w:r w:rsidRPr="00072C86">
        <w:rPr>
          <w:i/>
          <w:iCs/>
        </w:rPr>
        <w:t xml:space="preserve"> </w:t>
      </w:r>
      <w:r w:rsidRPr="00072C86">
        <w:t xml:space="preserve">toxin </w:t>
      </w:r>
      <w:r>
        <w:t>in stool</w:t>
      </w:r>
      <w:r w:rsidRPr="00072C86">
        <w:t>.</w:t>
      </w:r>
    </w:p>
    <w:p w:rsidR="00C528D5" w:rsidRDefault="00C528D5" w:rsidP="005F4F28">
      <w:r>
        <w:t xml:space="preserve">Patients with a single recurrence episode of recurrent were allowed to enrol but those with multiple recurrences </w:t>
      </w:r>
      <w:r w:rsidR="003B4B6A" w:rsidRPr="003B4B6A">
        <w:t>that is,</w:t>
      </w:r>
      <w:r>
        <w:t xml:space="preserve"> more than one recurrence, of CDAD within the past 3 months were excluded. Patients with inflammatory bow</w:t>
      </w:r>
      <w:r w:rsidR="005F4F28">
        <w:t>e</w:t>
      </w:r>
      <w:r>
        <w:t>l disease (ulcerative colitis and Crohn’s disease) were also excluded. Up to 3 doses of metronidazole and/or vancomycin within 24</w:t>
      </w:r>
      <w:r w:rsidR="00353ABC">
        <w:t xml:space="preserve"> h </w:t>
      </w:r>
      <w:r>
        <w:t>were allowed where the investigator felt clinical imperative to start the treatment before availability of the results for stool toxin. Any other antibiotic or treatment of CDAD was an exclusion criterion.</w:t>
      </w:r>
    </w:p>
    <w:p w:rsidR="00C528D5" w:rsidRDefault="00C528D5" w:rsidP="005F4F28">
      <w:r>
        <w:t>The patients</w:t>
      </w:r>
      <w:r w:rsidRPr="00072C86">
        <w:t xml:space="preserve"> were rando</w:t>
      </w:r>
      <w:r>
        <w:t>mized into 3 treatment groups as follows:</w:t>
      </w:r>
    </w:p>
    <w:p w:rsidR="00C528D5" w:rsidRDefault="00C528D5" w:rsidP="0022392D">
      <w:pPr>
        <w:pStyle w:val="Numberbullet0"/>
        <w:numPr>
          <w:ilvl w:val="0"/>
          <w:numId w:val="27"/>
        </w:numPr>
      </w:pPr>
      <w:r>
        <w:t xml:space="preserve">Fidaxomicin </w:t>
      </w:r>
      <w:r w:rsidRPr="008C66BC">
        <w:t>10</w:t>
      </w:r>
      <w:r w:rsidR="003B4B6A" w:rsidRPr="003B4B6A">
        <w:t>0 mg</w:t>
      </w:r>
      <w:r>
        <w:t xml:space="preserve">/day for 10 days </w:t>
      </w:r>
      <w:r w:rsidR="003B4B6A" w:rsidRPr="003B4B6A">
        <w:t>that is,</w:t>
      </w:r>
      <w:r>
        <w:t xml:space="preserve"> </w:t>
      </w:r>
      <w:r w:rsidRPr="008C66BC">
        <w:t>5</w:t>
      </w:r>
      <w:r w:rsidR="003B4B6A" w:rsidRPr="003B4B6A">
        <w:t>0 mg</w:t>
      </w:r>
      <w:r w:rsidRPr="008C66BC">
        <w:t xml:space="preserve"> every 12 hours</w:t>
      </w:r>
    </w:p>
    <w:p w:rsidR="00C528D5" w:rsidRDefault="00C528D5" w:rsidP="0022392D">
      <w:pPr>
        <w:pStyle w:val="Numberbullet0"/>
        <w:numPr>
          <w:ilvl w:val="0"/>
          <w:numId w:val="27"/>
        </w:numPr>
      </w:pPr>
      <w:r>
        <w:t xml:space="preserve">Fidaxomicin </w:t>
      </w:r>
      <w:r w:rsidRPr="008C66BC">
        <w:t>20</w:t>
      </w:r>
      <w:r w:rsidR="003B4B6A" w:rsidRPr="003B4B6A">
        <w:t>0 mg</w:t>
      </w:r>
      <w:r>
        <w:t xml:space="preserve">/day for 10 days </w:t>
      </w:r>
      <w:r w:rsidR="003B4B6A" w:rsidRPr="003B4B6A">
        <w:t>that is,</w:t>
      </w:r>
      <w:r>
        <w:t xml:space="preserve"> </w:t>
      </w:r>
      <w:r w:rsidRPr="008C66BC">
        <w:t>10</w:t>
      </w:r>
      <w:r w:rsidR="003B4B6A" w:rsidRPr="003B4B6A">
        <w:t>0 mg</w:t>
      </w:r>
      <w:r w:rsidRPr="008C66BC">
        <w:t xml:space="preserve"> every 12 hours</w:t>
      </w:r>
    </w:p>
    <w:p w:rsidR="00C528D5" w:rsidRPr="008C66BC" w:rsidRDefault="00C528D5" w:rsidP="0022392D">
      <w:pPr>
        <w:pStyle w:val="Numberbullet0"/>
        <w:numPr>
          <w:ilvl w:val="0"/>
          <w:numId w:val="27"/>
        </w:numPr>
      </w:pPr>
      <w:r>
        <w:t xml:space="preserve">Fidaxomicin </w:t>
      </w:r>
      <w:r w:rsidRPr="008C66BC">
        <w:t>40</w:t>
      </w:r>
      <w:r w:rsidR="003B4B6A" w:rsidRPr="003B4B6A">
        <w:t>0 mg</w:t>
      </w:r>
      <w:r>
        <w:t xml:space="preserve">/day for 10 days </w:t>
      </w:r>
      <w:r w:rsidR="003B4B6A" w:rsidRPr="003B4B6A">
        <w:t>that is,</w:t>
      </w:r>
      <w:r>
        <w:t xml:space="preserve"> </w:t>
      </w:r>
      <w:r w:rsidRPr="008C66BC">
        <w:t>20</w:t>
      </w:r>
      <w:r w:rsidR="003B4B6A" w:rsidRPr="003B4B6A">
        <w:t>0 mg</w:t>
      </w:r>
      <w:r>
        <w:t xml:space="preserve"> every 12 hours</w:t>
      </w:r>
    </w:p>
    <w:p w:rsidR="00C528D5" w:rsidRDefault="00C528D5" w:rsidP="005F4F28">
      <w:r>
        <w:t xml:space="preserve">The route of administration was oral. OPT-80 </w:t>
      </w:r>
      <w:r w:rsidRPr="00072C86">
        <w:t>was provided as an oral capsule</w:t>
      </w:r>
      <w:r>
        <w:t xml:space="preserve"> containing 5</w:t>
      </w:r>
      <w:r w:rsidR="003B4B6A" w:rsidRPr="003B4B6A">
        <w:t>0 mg</w:t>
      </w:r>
      <w:r>
        <w:t xml:space="preserve"> of fidaxomicin</w:t>
      </w:r>
      <w:r w:rsidRPr="00072C86">
        <w:t xml:space="preserve"> formulated in 110 mg of microcrystalline c</w:t>
      </w:r>
      <w:r>
        <w:t xml:space="preserve">ellulose National Formulary </w:t>
      </w:r>
      <w:r w:rsidRPr="00072C86">
        <w:t>(Avicel</w:t>
      </w:r>
      <w:r w:rsidR="005F4F28">
        <w:t xml:space="preserve"> </w:t>
      </w:r>
      <w:r>
        <w:t>PH-102).</w:t>
      </w:r>
    </w:p>
    <w:p w:rsidR="00C528D5" w:rsidRPr="000F3B29" w:rsidRDefault="00C528D5" w:rsidP="005F4F28">
      <w:r w:rsidRPr="000F3B29">
        <w:t xml:space="preserve">The doses for were based on safety and pharmacokinetic data from the preceding Phase </w:t>
      </w:r>
      <w:r w:rsidR="005F4F28">
        <w:t>I</w:t>
      </w:r>
      <w:r w:rsidRPr="000F3B29">
        <w:t xml:space="preserve"> studies in healthy volunteers and on previous animal toxicology studies. Oral doses of up to 45</w:t>
      </w:r>
      <w:r w:rsidR="003B4B6A" w:rsidRPr="003B4B6A">
        <w:t>0 mg</w:t>
      </w:r>
      <w:r w:rsidRPr="000F3B29">
        <w:t xml:space="preserve"> were had been tolerated in these trials. The concentrations of intact OPT-80 were found to be high in faeces and mostly below the limit of quantification in plasma. The pharmacokinetics </w:t>
      </w:r>
      <w:proofErr w:type="gramStart"/>
      <w:r w:rsidRPr="000F3B29">
        <w:t>were</w:t>
      </w:r>
      <w:proofErr w:type="gramEnd"/>
      <w:r w:rsidRPr="000F3B29">
        <w:t xml:space="preserve"> linear and when normalized to a 15</w:t>
      </w:r>
      <w:r w:rsidR="003B4B6A" w:rsidRPr="003B4B6A">
        <w:t>0 mg</w:t>
      </w:r>
      <w:r w:rsidRPr="000F3B29">
        <w:t xml:space="preserve"> dose, the average faecal concentration was 916</w:t>
      </w:r>
      <w:r w:rsidR="005F4F28">
        <w:t xml:space="preserve"> µ</w:t>
      </w:r>
      <w:r w:rsidRPr="000F3B29">
        <w:t xml:space="preserve">g/g. It was thus expected that a faecal concentration (FC) </w:t>
      </w:r>
      <w:proofErr w:type="gramStart"/>
      <w:r w:rsidRPr="000F3B29">
        <w:t>of approximately 1,220</w:t>
      </w:r>
      <w:r w:rsidR="005F4F28">
        <w:t xml:space="preserve"> µ</w:t>
      </w:r>
      <w:r w:rsidRPr="000F3B29">
        <w:t>g/g OPT-80</w:t>
      </w:r>
      <w:proofErr w:type="gramEnd"/>
      <w:r w:rsidRPr="000F3B29">
        <w:t xml:space="preserve"> will be achieved with 20</w:t>
      </w:r>
      <w:r w:rsidR="003B4B6A" w:rsidRPr="003B4B6A">
        <w:t>0 mg</w:t>
      </w:r>
      <w:r w:rsidRPr="000F3B29">
        <w:t xml:space="preserve"> daily dosing. Likewise, for the pharmacokinetics of the metabolite OP-1118 </w:t>
      </w:r>
      <w:proofErr w:type="gramStart"/>
      <w:r w:rsidRPr="000F3B29">
        <w:t>were</w:t>
      </w:r>
      <w:proofErr w:type="gramEnd"/>
      <w:r w:rsidRPr="000F3B29">
        <w:t xml:space="preserve"> linear and a 20</w:t>
      </w:r>
      <w:r w:rsidR="003B4B6A" w:rsidRPr="003B4B6A">
        <w:t>0 mg</w:t>
      </w:r>
      <w:r w:rsidRPr="000F3B29">
        <w:t>/day dose was expected to achieve faecal levels of about 356</w:t>
      </w:r>
      <w:r w:rsidR="005F4F28">
        <w:t xml:space="preserve"> µ</w:t>
      </w:r>
      <w:r w:rsidRPr="000F3B29">
        <w:t>g/g of the metabolite. The ratio of the faecal OPT-80 concentration to its MIC</w:t>
      </w:r>
      <w:r w:rsidRPr="000F3B29">
        <w:rPr>
          <w:vertAlign w:val="subscript"/>
        </w:rPr>
        <w:t>90</w:t>
      </w:r>
      <w:r w:rsidRPr="000F3B29">
        <w:t xml:space="preserve"> for </w:t>
      </w:r>
      <w:r w:rsidRPr="000F3B29">
        <w:rPr>
          <w:i/>
          <w:iCs/>
        </w:rPr>
        <w:t xml:space="preserve">C. difficile </w:t>
      </w:r>
      <w:r w:rsidRPr="000F3B29">
        <w:t>is considered predictive of clinical efficacy. For MIC</w:t>
      </w:r>
      <w:r w:rsidRPr="000F3B29">
        <w:rPr>
          <w:vertAlign w:val="subscript"/>
        </w:rPr>
        <w:t>90</w:t>
      </w:r>
      <w:r w:rsidRPr="000F3B29">
        <w:t xml:space="preserve"> value of 0.125μg/mL against a panel of 110 genetically distinct </w:t>
      </w:r>
      <w:r w:rsidRPr="000F3B29">
        <w:rPr>
          <w:i/>
          <w:iCs/>
        </w:rPr>
        <w:t xml:space="preserve">C. difficile </w:t>
      </w:r>
      <w:r w:rsidRPr="000F3B29">
        <w:t>isolates, FC/MIC</w:t>
      </w:r>
      <w:r w:rsidRPr="000F3B29">
        <w:rPr>
          <w:vertAlign w:val="subscript"/>
        </w:rPr>
        <w:t>90</w:t>
      </w:r>
      <w:r w:rsidRPr="000F3B29">
        <w:t xml:space="preserve"> ratio for the dose of 200 mg/day was estimated at 9,760. The activity of OP-1118 was 8 to 16 times lower than PAR-101, thus the FC/MIC90 ratio for OP-1118 was estimated at 178 at this dose level.</w:t>
      </w:r>
    </w:p>
    <w:p w:rsidR="00C528D5" w:rsidRDefault="00C528D5" w:rsidP="005F4F28">
      <w:r w:rsidRPr="000F3B29">
        <w:t>The patients recorded symptoms on daily diary cards. Laboratory assessments were performed at screening and at End of Treatment (Day 10-12) or withdrawal (whichever was sooner). The clinical assessment and diary card evaluation were performed at End of Treatment (Day 10-12). An interview was conducted on treatment Days 2 through 9, Day 17 and Day 52. The microbiological assessments (stool toxin and culture) were performed at entry and in case of clinical recurrence. The clinical, laboratory, and microbiological assessments were also performed at exit for patients who failed to respond to treatment.</w:t>
      </w:r>
    </w:p>
    <w:p w:rsidR="00C528D5" w:rsidRDefault="00C528D5" w:rsidP="005F4F28">
      <w:r w:rsidRPr="00072C86">
        <w:t>A total</w:t>
      </w:r>
      <w:r>
        <w:t xml:space="preserve"> of 49 patients were enrolled of which one discontinued before treatment so that there were 16 patients in each of the 3 treatment groups and were included in safety analysis. A total of 41 patients completed the study. Two patients in each groups 10</w:t>
      </w:r>
      <w:r w:rsidR="003B4B6A" w:rsidRPr="003B4B6A">
        <w:t>0 mg</w:t>
      </w:r>
      <w:r>
        <w:t>/day and 20</w:t>
      </w:r>
      <w:r w:rsidR="003B4B6A" w:rsidRPr="003B4B6A">
        <w:t>0 mg</w:t>
      </w:r>
      <w:r>
        <w:t>/day discontinued due to treatment failure.</w:t>
      </w:r>
    </w:p>
    <w:p w:rsidR="00C528D5" w:rsidRPr="00072C86" w:rsidRDefault="00C528D5" w:rsidP="005F4F28">
      <w:r>
        <w:t>There were 47 patients</w:t>
      </w:r>
      <w:r w:rsidRPr="00072C86">
        <w:t xml:space="preserve"> in the modified intent-to-treat (mITT)</w:t>
      </w:r>
      <w:r>
        <w:t xml:space="preserve"> population (patients who received at least one dose of the study drug) with 16 patients in 10</w:t>
      </w:r>
      <w:r w:rsidR="003B4B6A" w:rsidRPr="003B4B6A">
        <w:t>0 mg</w:t>
      </w:r>
      <w:r>
        <w:t>/day treatment group, 16 in 20</w:t>
      </w:r>
      <w:r w:rsidR="003B4B6A" w:rsidRPr="003B4B6A">
        <w:t>0 mg</w:t>
      </w:r>
      <w:r>
        <w:t>/day treatment group and 15 in 40</w:t>
      </w:r>
      <w:r w:rsidR="003B4B6A" w:rsidRPr="003B4B6A">
        <w:t>0 mg</w:t>
      </w:r>
      <w:r>
        <w:t>/day treatment group. A total of 45 patients</w:t>
      </w:r>
      <w:r w:rsidRPr="00072C86">
        <w:t xml:space="preserve"> were evaluable for clinical cure at end of therapy.</w:t>
      </w:r>
    </w:p>
    <w:p w:rsidR="00C528D5" w:rsidRPr="00072C86" w:rsidRDefault="00C528D5" w:rsidP="005F4F28">
      <w:r>
        <w:t>Overall, the sample population consisted of 62.5% females and 37.5% males. The overall mean age of the group was 54.9 (</w:t>
      </w:r>
      <w:r w:rsidR="005F4F28">
        <w:t>±</w:t>
      </w:r>
      <w:r>
        <w:t xml:space="preserve"> 19.26) years. The mean number of daily bowl movements was 6.7 (</w:t>
      </w:r>
      <w:r w:rsidR="005F4F28">
        <w:t>±</w:t>
      </w:r>
      <w:r>
        <w:t xml:space="preserve"> 2.79) at baseline. The three treatment groups were broadly comparable at baseline.</w:t>
      </w:r>
    </w:p>
    <w:p w:rsidR="00C528D5" w:rsidRPr="001F73BC" w:rsidRDefault="00C528D5" w:rsidP="005F4F28">
      <w:r>
        <w:t>The p</w:t>
      </w:r>
      <w:r w:rsidRPr="001F73BC">
        <w:t xml:space="preserve">rimary </w:t>
      </w:r>
      <w:r>
        <w:t xml:space="preserve">efficacy </w:t>
      </w:r>
      <w:r w:rsidRPr="001F73BC">
        <w:t xml:space="preserve">variables </w:t>
      </w:r>
      <w:r>
        <w:t>were as follows:</w:t>
      </w:r>
    </w:p>
    <w:p w:rsidR="00C528D5" w:rsidRDefault="00C528D5" w:rsidP="005F4F28">
      <w:pPr>
        <w:pStyle w:val="ListBullet"/>
      </w:pPr>
      <w:r w:rsidRPr="00830BD1">
        <w:rPr>
          <w:i/>
        </w:rPr>
        <w:t>Clinical cure</w:t>
      </w:r>
      <w:r>
        <w:rPr>
          <w:i/>
        </w:rPr>
        <w:t>/failure</w:t>
      </w:r>
      <w:r w:rsidR="005F4F28">
        <w:rPr>
          <w:i/>
        </w:rPr>
        <w:t>;</w:t>
      </w:r>
      <w:r>
        <w:t xml:space="preserve"> t</w:t>
      </w:r>
      <w:r w:rsidRPr="00072C86">
        <w:t>he inve</w:t>
      </w:r>
      <w:r>
        <w:t>stigator</w:t>
      </w:r>
      <w:r w:rsidRPr="00072C86">
        <w:t xml:space="preserve"> deter</w:t>
      </w:r>
      <w:r>
        <w:t>mined the patient response</w:t>
      </w:r>
      <w:r w:rsidRPr="00072C86">
        <w:t xml:space="preserve"> to therapy as a clinical cure or failure</w:t>
      </w:r>
      <w:r>
        <w:t xml:space="preserve"> based on clinical judgement. The non-</w:t>
      </w:r>
      <w:r w:rsidRPr="00072C86">
        <w:t>respond</w:t>
      </w:r>
      <w:r>
        <w:t>ing patients were to be discontinued</w:t>
      </w:r>
      <w:r w:rsidRPr="00072C86">
        <w:t xml:space="preserve"> and </w:t>
      </w:r>
      <w:r>
        <w:t>placed on conventional therapy. This outcome was the result of a change to the study plan.</w:t>
      </w:r>
    </w:p>
    <w:p w:rsidR="00C528D5" w:rsidRPr="00072C86" w:rsidRDefault="00C528D5" w:rsidP="005F4F28">
      <w:pPr>
        <w:pStyle w:val="ListBullet"/>
      </w:pPr>
      <w:r w:rsidRPr="00830BD1">
        <w:rPr>
          <w:i/>
        </w:rPr>
        <w:t>Relief/No Relie</w:t>
      </w:r>
      <w:r>
        <w:rPr>
          <w:i/>
        </w:rPr>
        <w:t xml:space="preserve">f of symptoms </w:t>
      </w:r>
      <w:r w:rsidR="005F4F28">
        <w:rPr>
          <w:i/>
        </w:rPr>
        <w:t>;</w:t>
      </w:r>
      <w:r>
        <w:t xml:space="preserve"> r</w:t>
      </w:r>
      <w:r w:rsidRPr="00072C86">
        <w:t>elief of symptoms of CDAD was</w:t>
      </w:r>
      <w:r>
        <w:t xml:space="preserve"> </w:t>
      </w:r>
      <w:r w:rsidRPr="00072C86">
        <w:t xml:space="preserve">defined as resolution to </w:t>
      </w:r>
      <w:r w:rsidR="005F4F28">
        <w:rPr>
          <w:rFonts w:eastAsia="SymbolMT"/>
        </w:rPr>
        <w:t>≤</w:t>
      </w:r>
      <w:r>
        <w:rPr>
          <w:rFonts w:eastAsia="SymbolMT"/>
        </w:rPr>
        <w:t xml:space="preserve"> </w:t>
      </w:r>
      <w:r w:rsidRPr="00072C86">
        <w:t>3 bowel movements per day without other associated signs/symptoms such as fever,</w:t>
      </w:r>
      <w:r>
        <w:t xml:space="preserve"> </w:t>
      </w:r>
      <w:r w:rsidRPr="00072C86">
        <w:t xml:space="preserve">abdominal pain, </w:t>
      </w:r>
      <w:r w:rsidRPr="001F73BC">
        <w:rPr>
          <w:u w:val="single"/>
        </w:rPr>
        <w:t>and</w:t>
      </w:r>
      <w:r w:rsidRPr="00072C86">
        <w:t xml:space="preserve"> </w:t>
      </w:r>
      <w:r>
        <w:t>elevated white blood cells</w:t>
      </w:r>
      <w:r w:rsidRPr="00072C86">
        <w:t xml:space="preserve"> by Day 10 of the study</w:t>
      </w:r>
      <w:r>
        <w:t>. This was the initial outcome of interest in the trial protocol.</w:t>
      </w:r>
    </w:p>
    <w:p w:rsidR="00C528D5" w:rsidRPr="001F73BC" w:rsidRDefault="00C528D5" w:rsidP="005F4F28">
      <w:r>
        <w:t>The s</w:t>
      </w:r>
      <w:r w:rsidRPr="001F73BC">
        <w:t xml:space="preserve">econdary </w:t>
      </w:r>
      <w:r>
        <w:t xml:space="preserve">efficacy </w:t>
      </w:r>
      <w:r w:rsidRPr="001F73BC">
        <w:t>variables</w:t>
      </w:r>
      <w:r>
        <w:t xml:space="preserve"> were as follows:</w:t>
      </w:r>
    </w:p>
    <w:p w:rsidR="00C528D5" w:rsidRDefault="00C528D5" w:rsidP="005F4F28">
      <w:pPr>
        <w:pStyle w:val="ListBullet"/>
      </w:pPr>
      <w:r w:rsidRPr="00830BD1">
        <w:rPr>
          <w:i/>
        </w:rPr>
        <w:t>Clinical recurrenc</w:t>
      </w:r>
      <w:r w:rsidR="005F4F28">
        <w:rPr>
          <w:i/>
        </w:rPr>
        <w:t>e</w:t>
      </w:r>
      <w:r>
        <w:t xml:space="preserve"> </w:t>
      </w:r>
      <w:r w:rsidR="005F4F28">
        <w:t>;</w:t>
      </w:r>
      <w:r>
        <w:t xml:space="preserve"> </w:t>
      </w:r>
      <w:r w:rsidRPr="00072C86">
        <w:t xml:space="preserve">defined as </w:t>
      </w:r>
      <w:r w:rsidR="005F4F28">
        <w:rPr>
          <w:rFonts w:eastAsia="SymbolMT"/>
        </w:rPr>
        <w:t>≥</w:t>
      </w:r>
      <w:r>
        <w:rPr>
          <w:rFonts w:eastAsia="SymbolMT"/>
        </w:rPr>
        <w:t xml:space="preserve"> </w:t>
      </w:r>
      <w:r w:rsidRPr="00072C86">
        <w:t xml:space="preserve">3 unformed stools </w:t>
      </w:r>
      <w:r>
        <w:t xml:space="preserve">(loose or watery) </w:t>
      </w:r>
      <w:r w:rsidRPr="00072C86">
        <w:t xml:space="preserve">in a day </w:t>
      </w:r>
      <w:r w:rsidRPr="001F73BC">
        <w:rPr>
          <w:u w:val="single"/>
        </w:rPr>
        <w:t>and</w:t>
      </w:r>
      <w:r w:rsidRPr="00072C86">
        <w:t xml:space="preserve"> positive stool for </w:t>
      </w:r>
      <w:r w:rsidRPr="00072C86">
        <w:rPr>
          <w:i/>
          <w:iCs/>
        </w:rPr>
        <w:t xml:space="preserve">C. difficile </w:t>
      </w:r>
      <w:r w:rsidRPr="00072C86">
        <w:t>toxin A</w:t>
      </w:r>
      <w:r>
        <w:t xml:space="preserve"> or B. Recurrence was assessed within 6 weeks after completion of treatment in the trial </w:t>
      </w:r>
      <w:r w:rsidR="003B4B6A" w:rsidRPr="003B4B6A">
        <w:t>that is,</w:t>
      </w:r>
      <w:r w:rsidR="005F4F28">
        <w:t xml:space="preserve"> between Day 17 and D</w:t>
      </w:r>
      <w:r>
        <w:t>ay 52.</w:t>
      </w:r>
    </w:p>
    <w:p w:rsidR="00C528D5" w:rsidRDefault="00C528D5" w:rsidP="005F4F28">
      <w:pPr>
        <w:pStyle w:val="ListBullet"/>
      </w:pPr>
      <w:r w:rsidRPr="00830BD1">
        <w:rPr>
          <w:i/>
        </w:rPr>
        <w:t>Time to resolution of diarrhoea</w:t>
      </w:r>
      <w:r w:rsidR="005F4F28">
        <w:rPr>
          <w:i/>
        </w:rPr>
        <w:t>;</w:t>
      </w:r>
      <w:r>
        <w:t xml:space="preserve"> </w:t>
      </w:r>
      <w:r w:rsidRPr="00072C86">
        <w:t>defined</w:t>
      </w:r>
      <w:r>
        <w:t xml:space="preserve"> as time (in </w:t>
      </w:r>
      <w:r w:rsidRPr="00072C86">
        <w:t>days) from th</w:t>
      </w:r>
      <w:r>
        <w:t>e first dose of study drug</w:t>
      </w:r>
      <w:r w:rsidRPr="00072C86">
        <w:t xml:space="preserve"> to the</w:t>
      </w:r>
      <w:r>
        <w:t xml:space="preserve"> </w:t>
      </w:r>
      <w:r w:rsidRPr="00072C86">
        <w:t>resolution of diarrh</w:t>
      </w:r>
      <w:r>
        <w:t xml:space="preserve">oea. </w:t>
      </w:r>
      <w:r w:rsidRPr="00072C86">
        <w:t>The day of</w:t>
      </w:r>
      <w:r>
        <w:t xml:space="preserve"> </w:t>
      </w:r>
      <w:r w:rsidRPr="00072C86">
        <w:t>resolution of diarrh</w:t>
      </w:r>
      <w:r>
        <w:t>o</w:t>
      </w:r>
      <w:r w:rsidRPr="00072C86">
        <w:t>ea was defined as</w:t>
      </w:r>
      <w:r>
        <w:t xml:space="preserve"> the first day when</w:t>
      </w:r>
      <w:r w:rsidRPr="00072C86">
        <w:t xml:space="preserve"> &lt;</w:t>
      </w:r>
      <w:r>
        <w:t xml:space="preserve"> </w:t>
      </w:r>
      <w:r w:rsidRPr="00072C86">
        <w:t>3 unformed stool</w:t>
      </w:r>
      <w:r w:rsidR="005F4F28">
        <w:t xml:space="preserve">s (watery or loose) within a 24 </w:t>
      </w:r>
      <w:r w:rsidRPr="00072C86">
        <w:t>hour period</w:t>
      </w:r>
      <w:r>
        <w:t xml:space="preserve"> </w:t>
      </w:r>
      <w:r w:rsidRPr="00072C86">
        <w:t>occurred and was sustained for the duration o</w:t>
      </w:r>
      <w:r>
        <w:t>f treatment up to study Day 10. This</w:t>
      </w:r>
      <w:r w:rsidRPr="00072C86">
        <w:t xml:space="preserve"> was assessed</w:t>
      </w:r>
      <w:r>
        <w:t xml:space="preserve"> during</w:t>
      </w:r>
      <w:r w:rsidRPr="00072C86">
        <w:t xml:space="preserve"> 10 to 12 day period ut</w:t>
      </w:r>
      <w:r w:rsidR="005F4F28">
        <w:t>ilis</w:t>
      </w:r>
      <w:r>
        <w:t>ing patient daily diary data.</w:t>
      </w:r>
    </w:p>
    <w:p w:rsidR="00C528D5" w:rsidRDefault="00C528D5" w:rsidP="005F4F28">
      <w:r>
        <w:t>In addition, the following outcomes were also assessed:</w:t>
      </w:r>
    </w:p>
    <w:p w:rsidR="00C528D5" w:rsidRDefault="00C528D5" w:rsidP="005F4F28">
      <w:pPr>
        <w:pStyle w:val="ListBullet"/>
      </w:pPr>
      <w:r>
        <w:rPr>
          <w:i/>
        </w:rPr>
        <w:t>Effects on b</w:t>
      </w:r>
      <w:r w:rsidRPr="00830BD1">
        <w:rPr>
          <w:i/>
        </w:rPr>
        <w:t>owel flora</w:t>
      </w:r>
      <w:r w:rsidR="005F4F28">
        <w:rPr>
          <w:i/>
        </w:rPr>
        <w:t>;</w:t>
      </w:r>
      <w:r>
        <w:t xml:space="preserve"> including </w:t>
      </w:r>
      <w:r w:rsidRPr="00072C86">
        <w:rPr>
          <w:i/>
          <w:iCs/>
        </w:rPr>
        <w:t xml:space="preserve">C. difficile </w:t>
      </w:r>
      <w:r w:rsidRPr="00072C86">
        <w:t>cult</w:t>
      </w:r>
      <w:r>
        <w:t>ure and toxin detection in patients who failed to achieve clinical cure or experienced</w:t>
      </w:r>
      <w:r w:rsidRPr="00072C86">
        <w:t xml:space="preserve"> </w:t>
      </w:r>
      <w:r>
        <w:t>clinical recurrence. This was not a protocol driven assessment.</w:t>
      </w:r>
    </w:p>
    <w:p w:rsidR="00C528D5" w:rsidRPr="00072C86" w:rsidRDefault="00C528D5" w:rsidP="005F4F28">
      <w:pPr>
        <w:pStyle w:val="ListBullet"/>
      </w:pPr>
      <w:r w:rsidRPr="00FF3743">
        <w:rPr>
          <w:i/>
        </w:rPr>
        <w:t>Pharmacokinetic data</w:t>
      </w:r>
      <w:proofErr w:type="gramStart"/>
      <w:r w:rsidR="005F4F28">
        <w:rPr>
          <w:i/>
        </w:rPr>
        <w:t>;</w:t>
      </w:r>
      <w:r>
        <w:t>-</w:t>
      </w:r>
      <w:proofErr w:type="gramEnd"/>
      <w:r>
        <w:t xml:space="preserve"> measurement of faecal and </w:t>
      </w:r>
      <w:r w:rsidRPr="00072C86">
        <w:t xml:space="preserve">plasma concentrations of </w:t>
      </w:r>
      <w:r>
        <w:t xml:space="preserve">OPT-80 and its metabolite OP-1118. </w:t>
      </w:r>
      <w:r w:rsidRPr="00072C86">
        <w:t>F</w:t>
      </w:r>
      <w:r>
        <w:t>a</w:t>
      </w:r>
      <w:r w:rsidRPr="00072C86">
        <w:t>ecal concentrations at different doses were compared to evaluate</w:t>
      </w:r>
      <w:r>
        <w:t xml:space="preserve"> </w:t>
      </w:r>
      <w:r w:rsidRPr="00072C86">
        <w:t>dose-concentration relationship.</w:t>
      </w:r>
      <w:r>
        <w:t xml:space="preserve"> Please see above for results.</w:t>
      </w:r>
    </w:p>
    <w:p w:rsidR="00C528D5" w:rsidRDefault="00C528D5" w:rsidP="005F4F28">
      <w:r>
        <w:t>The efficacy results were reported as follows:</w:t>
      </w:r>
    </w:p>
    <w:p w:rsidR="00C528D5" w:rsidRDefault="00C528D5" w:rsidP="00090CE9">
      <w:pPr>
        <w:pStyle w:val="ListBullet"/>
      </w:pPr>
      <w:r>
        <w:t>There were no treatment failures</w:t>
      </w:r>
      <w:r w:rsidRPr="00072C86">
        <w:t xml:space="preserve"> in the 4</w:t>
      </w:r>
      <w:r>
        <w:t xml:space="preserve">00 mg/day treatment group, </w:t>
      </w:r>
      <w:r w:rsidR="003B4B6A" w:rsidRPr="003B4B6A">
        <w:t>that is,</w:t>
      </w:r>
      <w:r w:rsidRPr="00072C86">
        <w:t xml:space="preserve"> all</w:t>
      </w:r>
      <w:r>
        <w:t xml:space="preserve"> 16 patients treated with fidaxomicin 40</w:t>
      </w:r>
      <w:r w:rsidR="003B4B6A" w:rsidRPr="003B4B6A">
        <w:t>0 mg</w:t>
      </w:r>
      <w:r w:rsidRPr="00072C86">
        <w:t xml:space="preserve">/day </w:t>
      </w:r>
      <w:r>
        <w:t>(20</w:t>
      </w:r>
      <w:r w:rsidR="003B4B6A" w:rsidRPr="003B4B6A">
        <w:t>0 mg</w:t>
      </w:r>
      <w:r>
        <w:t xml:space="preserve"> every 12 hours)</w:t>
      </w:r>
      <w:r w:rsidRPr="00072C86">
        <w:t xml:space="preserve"> were considered clin</w:t>
      </w:r>
      <w:r>
        <w:t>ical cures by the investigator.</w:t>
      </w:r>
    </w:p>
    <w:p w:rsidR="00C528D5" w:rsidRDefault="00C528D5" w:rsidP="00090CE9">
      <w:pPr>
        <w:pStyle w:val="ListBullet"/>
      </w:pPr>
      <w:r w:rsidRPr="00072C86">
        <w:t>Four treatment</w:t>
      </w:r>
      <w:r>
        <w:t xml:space="preserve"> </w:t>
      </w:r>
      <w:r w:rsidRPr="00072C86">
        <w:t>failures were observed in t</w:t>
      </w:r>
      <w:r>
        <w:t>his study</w:t>
      </w:r>
      <w:r w:rsidR="005F4F28">
        <w:t>;</w:t>
      </w:r>
      <w:r>
        <w:t xml:space="preserve"> 2 in each of the fidaxomicin 20</w:t>
      </w:r>
      <w:r w:rsidR="003B4B6A" w:rsidRPr="003B4B6A">
        <w:t>0 mg</w:t>
      </w:r>
      <w:r w:rsidRPr="00072C86">
        <w:t xml:space="preserve">/day </w:t>
      </w:r>
      <w:r>
        <w:t>(10</w:t>
      </w:r>
      <w:r w:rsidR="003B4B6A" w:rsidRPr="003B4B6A">
        <w:t>0 mg</w:t>
      </w:r>
      <w:r>
        <w:t xml:space="preserve"> every 12 hours) and fidaxomicin 10</w:t>
      </w:r>
      <w:r w:rsidR="003B4B6A" w:rsidRPr="003B4B6A">
        <w:t>0 mg</w:t>
      </w:r>
      <w:r w:rsidRPr="00072C86">
        <w:t xml:space="preserve">/day </w:t>
      </w:r>
      <w:r>
        <w:t>(5</w:t>
      </w:r>
      <w:r w:rsidR="003B4B6A" w:rsidRPr="003B4B6A">
        <w:t>0 mg</w:t>
      </w:r>
      <w:r>
        <w:t xml:space="preserve"> every 12 hours) </w:t>
      </w:r>
      <w:r w:rsidRPr="00072C86">
        <w:t>treatment groups.</w:t>
      </w:r>
    </w:p>
    <w:p w:rsidR="00C528D5" w:rsidRPr="000F3B29" w:rsidRDefault="00C528D5" w:rsidP="00090CE9">
      <w:pPr>
        <w:pStyle w:val="ListBullet"/>
      </w:pPr>
      <w:r w:rsidRPr="000F3B29">
        <w:t>The bowl flora tests in these four patients w</w:t>
      </w:r>
      <w:r>
        <w:t>ith clinical failure showed</w:t>
      </w:r>
      <w:r w:rsidRPr="000F3B29">
        <w:t xml:space="preserve"> </w:t>
      </w:r>
      <w:r w:rsidRPr="000F3B29">
        <w:rPr>
          <w:color w:val="000000"/>
        </w:rPr>
        <w:t xml:space="preserve">one patient in the 200 mg/day treatment group was positive for </w:t>
      </w:r>
      <w:r w:rsidRPr="000F3B29">
        <w:rPr>
          <w:i/>
          <w:iCs/>
          <w:color w:val="000000"/>
        </w:rPr>
        <w:t xml:space="preserve">C. difficile </w:t>
      </w:r>
      <w:r w:rsidRPr="000F3B29">
        <w:rPr>
          <w:color w:val="000000"/>
        </w:rPr>
        <w:t xml:space="preserve">toxin at end of therapy and three (2 patients in the 100 mg/day treatment group and one patient in the 200 mg/day treatment group) were negative for </w:t>
      </w:r>
      <w:r w:rsidRPr="000F3B29">
        <w:rPr>
          <w:i/>
          <w:iCs/>
          <w:color w:val="000000"/>
        </w:rPr>
        <w:t xml:space="preserve">C. difficile </w:t>
      </w:r>
      <w:r w:rsidRPr="000F3B29">
        <w:rPr>
          <w:color w:val="000000"/>
        </w:rPr>
        <w:t>toxin at end of therapy</w:t>
      </w:r>
      <w:r w:rsidRPr="000F3B29">
        <w:t>.</w:t>
      </w:r>
    </w:p>
    <w:p w:rsidR="00C528D5" w:rsidRDefault="00C528D5" w:rsidP="00090CE9">
      <w:pPr>
        <w:pStyle w:val="ListBullet"/>
      </w:pPr>
      <w:r>
        <w:t>Based on the mITT population,</w:t>
      </w:r>
      <w:r w:rsidRPr="00072C86">
        <w:t xml:space="preserve"> relief of </w:t>
      </w:r>
      <w:r>
        <w:t>symptoms of CDAD was observed</w:t>
      </w:r>
      <w:r w:rsidRPr="00072C86">
        <w:t xml:space="preserve"> in 13/15</w:t>
      </w:r>
      <w:r>
        <w:t xml:space="preserve"> (86.7%</w:t>
      </w:r>
      <w:r w:rsidRPr="00072C86">
        <w:t>)</w:t>
      </w:r>
      <w:r>
        <w:t xml:space="preserve"> patients in </w:t>
      </w:r>
      <w:r w:rsidRPr="00072C86">
        <w:t>the 400 mg/day</w:t>
      </w:r>
      <w:r>
        <w:t xml:space="preserve"> treatment group, 8/16 (50.0%) patients in the 20</w:t>
      </w:r>
      <w:r w:rsidR="003B4B6A" w:rsidRPr="003B4B6A">
        <w:t>0 mg</w:t>
      </w:r>
      <w:r>
        <w:t>/day group and 6/16 (37.5%) patients in the 10</w:t>
      </w:r>
      <w:r w:rsidR="003B4B6A" w:rsidRPr="003B4B6A">
        <w:t>0 mg</w:t>
      </w:r>
      <w:r>
        <w:t>/day group. A total of 2/15 (13%) patients experienced no relief in the 40</w:t>
      </w:r>
      <w:r w:rsidR="003B4B6A" w:rsidRPr="003B4B6A">
        <w:t>0 mg</w:t>
      </w:r>
      <w:r>
        <w:t>/day group compared to 6/16 (37%) in 20</w:t>
      </w:r>
      <w:r w:rsidR="003B4B6A" w:rsidRPr="003B4B6A">
        <w:t>0 mg</w:t>
      </w:r>
      <w:r>
        <w:t>/day and 9/16 (56%) patients in 10</w:t>
      </w:r>
      <w:r w:rsidR="003B4B6A" w:rsidRPr="003B4B6A">
        <w:t>0 mg</w:t>
      </w:r>
      <w:r>
        <w:t>/day group.</w:t>
      </w:r>
    </w:p>
    <w:p w:rsidR="00C528D5" w:rsidRDefault="00C528D5" w:rsidP="00090CE9">
      <w:pPr>
        <w:pStyle w:val="ListBullet"/>
      </w:pPr>
      <w:r>
        <w:t>One patient in 40</w:t>
      </w:r>
      <w:r w:rsidR="003B4B6A" w:rsidRPr="003B4B6A">
        <w:t>0 mg</w:t>
      </w:r>
      <w:r w:rsidRPr="00072C86">
        <w:t>/day treatm</w:t>
      </w:r>
      <w:r>
        <w:t>ent group and one patient in 10</w:t>
      </w:r>
      <w:r w:rsidR="003B4B6A" w:rsidRPr="003B4B6A">
        <w:t>0 mg</w:t>
      </w:r>
      <w:r w:rsidRPr="00072C86">
        <w:t>/day treatment</w:t>
      </w:r>
      <w:r>
        <w:t xml:space="preserve"> group</w:t>
      </w:r>
      <w:r w:rsidRPr="00072C86">
        <w:t xml:space="preserve"> experienced </w:t>
      </w:r>
      <w:r>
        <w:t>clinical recurrence (</w:t>
      </w:r>
      <w:r w:rsidR="005F4F28">
        <w:rPr>
          <w:rFonts w:eastAsia="SymbolMT"/>
        </w:rPr>
        <w:t>≥</w:t>
      </w:r>
      <w:r>
        <w:rPr>
          <w:rFonts w:eastAsia="SymbolMT"/>
        </w:rPr>
        <w:t xml:space="preserve"> </w:t>
      </w:r>
      <w:r w:rsidRPr="00072C86">
        <w:t xml:space="preserve">3 unformed stools and a positive stool for </w:t>
      </w:r>
      <w:r w:rsidRPr="00072C86">
        <w:rPr>
          <w:i/>
          <w:iCs/>
        </w:rPr>
        <w:t xml:space="preserve">C. difficile </w:t>
      </w:r>
      <w:r w:rsidRPr="00072C86">
        <w:t>toxin A or</w:t>
      </w:r>
      <w:r>
        <w:t xml:space="preserve"> </w:t>
      </w:r>
      <w:r w:rsidRPr="00072C86">
        <w:t>B</w:t>
      </w:r>
      <w:r>
        <w:t>)</w:t>
      </w:r>
      <w:r w:rsidRPr="00072C86">
        <w:t xml:space="preserve"> within 6 weeks post</w:t>
      </w:r>
      <w:r>
        <w:t xml:space="preserve">-treatment </w:t>
      </w:r>
      <w:r w:rsidR="003B4B6A" w:rsidRPr="003B4B6A">
        <w:t>that is,</w:t>
      </w:r>
      <w:r w:rsidR="00924DE0">
        <w:t xml:space="preserve"> Day 17 to Day 52.</w:t>
      </w:r>
    </w:p>
    <w:p w:rsidR="00C528D5" w:rsidRPr="00072C86" w:rsidRDefault="00C528D5" w:rsidP="00090CE9">
      <w:pPr>
        <w:pStyle w:val="ListBullet"/>
      </w:pPr>
      <w:r>
        <w:t>The bowel flora tests in</w:t>
      </w:r>
      <w:r w:rsidRPr="00072C86">
        <w:t xml:space="preserve"> </w:t>
      </w:r>
      <w:r>
        <w:t>these 2 patients with recurrence showed</w:t>
      </w:r>
      <w:r w:rsidRPr="00072C86">
        <w:t xml:space="preserve"> </w:t>
      </w:r>
      <w:r w:rsidRPr="00072C86">
        <w:rPr>
          <w:i/>
          <w:iCs/>
        </w:rPr>
        <w:t xml:space="preserve">C. difficile </w:t>
      </w:r>
      <w:r>
        <w:t>isolated</w:t>
      </w:r>
      <w:r w:rsidRPr="00072C86">
        <w:t xml:space="preserve"> in f</w:t>
      </w:r>
      <w:r>
        <w:t>a</w:t>
      </w:r>
      <w:r w:rsidRPr="00072C86">
        <w:t>eces pre</w:t>
      </w:r>
      <w:r>
        <w:t>-treatment</w:t>
      </w:r>
      <w:r w:rsidRPr="00072C86">
        <w:t xml:space="preserve"> </w:t>
      </w:r>
      <w:r>
        <w:t xml:space="preserve">but negative at Day 10. However, both were </w:t>
      </w:r>
      <w:r w:rsidRPr="00072C86">
        <w:t>positive</w:t>
      </w:r>
      <w:r>
        <w:t xml:space="preserve"> for</w:t>
      </w:r>
      <w:r w:rsidRPr="00072C86">
        <w:t xml:space="preserve"> </w:t>
      </w:r>
      <w:r w:rsidRPr="00072C86">
        <w:rPr>
          <w:i/>
          <w:iCs/>
        </w:rPr>
        <w:t xml:space="preserve">C. difficile </w:t>
      </w:r>
      <w:r w:rsidRPr="00072C86">
        <w:t>toxin in f</w:t>
      </w:r>
      <w:r>
        <w:t>a</w:t>
      </w:r>
      <w:r w:rsidRPr="00072C86">
        <w:t>eces at recurrence.</w:t>
      </w:r>
    </w:p>
    <w:p w:rsidR="00C528D5" w:rsidRDefault="00C528D5" w:rsidP="00090CE9">
      <w:pPr>
        <w:pStyle w:val="ListBullet"/>
      </w:pPr>
      <w:r>
        <w:t>The T</w:t>
      </w:r>
      <w:r w:rsidRPr="00072C86">
        <w:t>ime to relief of diarrh</w:t>
      </w:r>
      <w:r>
        <w:t>o</w:t>
      </w:r>
      <w:r w:rsidRPr="00072C86">
        <w:t>ea appeared to decrease with increasing dose. The estimated</w:t>
      </w:r>
      <w:r>
        <w:t xml:space="preserve"> </w:t>
      </w:r>
      <w:r w:rsidRPr="00072C86">
        <w:t>median time to relief was 5.5 days, 3.5 da</w:t>
      </w:r>
      <w:r>
        <w:t>ys, and 3.0 days for the 10</w:t>
      </w:r>
      <w:r w:rsidR="003B4B6A" w:rsidRPr="003B4B6A">
        <w:t>0 mg</w:t>
      </w:r>
      <w:r>
        <w:t>/day, 20</w:t>
      </w:r>
      <w:r w:rsidR="003B4B6A" w:rsidRPr="003B4B6A">
        <w:t>0 mg</w:t>
      </w:r>
      <w:r w:rsidRPr="00072C86">
        <w:t>/day and</w:t>
      </w:r>
      <w:r>
        <w:t xml:space="preserve"> 40</w:t>
      </w:r>
      <w:r w:rsidR="003B4B6A" w:rsidRPr="003B4B6A">
        <w:t>0 mg</w:t>
      </w:r>
      <w:r>
        <w:t>/day treatment groups respectively. The</w:t>
      </w:r>
      <w:r w:rsidRPr="00072C86">
        <w:t xml:space="preserve"> differ</w:t>
      </w:r>
      <w:r>
        <w:t>ences among treatment groups were</w:t>
      </w:r>
      <w:r w:rsidRPr="00072C86">
        <w:t xml:space="preserve"> not statistically</w:t>
      </w:r>
      <w:r>
        <w:t xml:space="preserve"> </w:t>
      </w:r>
      <w:r w:rsidRPr="00072C86">
        <w:t>significant.</w:t>
      </w:r>
    </w:p>
    <w:p w:rsidR="00C528D5" w:rsidRDefault="00C528D5" w:rsidP="00090CE9">
      <w:pPr>
        <w:pStyle w:val="ListBullet"/>
      </w:pPr>
      <w:r>
        <w:t>In this trial, nine</w:t>
      </w:r>
      <w:r w:rsidRPr="00A33B15">
        <w:t xml:space="preserve"> </w:t>
      </w:r>
      <w:r>
        <w:t>patients had blood with bow</w:t>
      </w:r>
      <w:r w:rsidR="005F4F28">
        <w:t>e</w:t>
      </w:r>
      <w:r>
        <w:t xml:space="preserve">l movements. </w:t>
      </w:r>
      <w:r w:rsidRPr="00A33B15">
        <w:t>Four</w:t>
      </w:r>
      <w:r>
        <w:t xml:space="preserve"> </w:t>
      </w:r>
      <w:r w:rsidRPr="00A33B15">
        <w:t>subjects had blood in their stools after Day 4</w:t>
      </w:r>
      <w:r>
        <w:t>.</w:t>
      </w:r>
    </w:p>
    <w:p w:rsidR="00C528D5" w:rsidRPr="004435A7" w:rsidRDefault="00C528D5" w:rsidP="00090CE9">
      <w:pPr>
        <w:pStyle w:val="ListBullet"/>
      </w:pPr>
      <w:r w:rsidRPr="004435A7">
        <w:rPr>
          <w:color w:val="000000"/>
        </w:rPr>
        <w:t xml:space="preserve">The use of selected prior medications </w:t>
      </w:r>
      <w:r w:rsidR="003B4B6A" w:rsidRPr="003B4B6A">
        <w:rPr>
          <w:color w:val="000000"/>
        </w:rPr>
        <w:t>that is,</w:t>
      </w:r>
      <w:r w:rsidRPr="004435A7">
        <w:rPr>
          <w:color w:val="000000"/>
        </w:rPr>
        <w:t xml:space="preserve"> vancomycin and metronidazole was also examined. At total of 9 patients were recorded as taking these medications (8 for metronidazole and 1 vancomycin) for CDAD</w:t>
      </w:r>
      <w:r w:rsidRPr="004435A7">
        <w:rPr>
          <w:i/>
          <w:iCs/>
          <w:color w:val="000000"/>
        </w:rPr>
        <w:t xml:space="preserve"> </w:t>
      </w:r>
      <w:r w:rsidRPr="004435A7">
        <w:rPr>
          <w:color w:val="000000"/>
        </w:rPr>
        <w:t>prior to initiation of treatment with fidaxomicin. These consisted of 2 patients in the 10</w:t>
      </w:r>
      <w:r w:rsidR="003B4B6A" w:rsidRPr="003B4B6A">
        <w:rPr>
          <w:color w:val="000000"/>
        </w:rPr>
        <w:t>0 mg</w:t>
      </w:r>
      <w:r w:rsidRPr="004435A7">
        <w:rPr>
          <w:color w:val="000000"/>
        </w:rPr>
        <w:t>/day treatment group who took metronidazole 500 mg three times daily for 10 days, one patient for 1 day and one patient for a single dose. Two patients in the 20</w:t>
      </w:r>
      <w:r w:rsidR="003B4B6A" w:rsidRPr="003B4B6A">
        <w:rPr>
          <w:color w:val="000000"/>
        </w:rPr>
        <w:t>0 mg</w:t>
      </w:r>
      <w:r w:rsidRPr="004435A7">
        <w:rPr>
          <w:color w:val="000000"/>
        </w:rPr>
        <w:t>/day treatment group took either metronidazole 500 mg as 1 dose or vancomycin 500 mg q12h for 1 day (2 doses). Three patients in the 40</w:t>
      </w:r>
      <w:r w:rsidR="003B4B6A" w:rsidRPr="003B4B6A">
        <w:rPr>
          <w:color w:val="000000"/>
        </w:rPr>
        <w:t>0 mg</w:t>
      </w:r>
      <w:r w:rsidRPr="004435A7">
        <w:rPr>
          <w:color w:val="000000"/>
        </w:rPr>
        <w:t>/day treatment group took metronidazole 500 mg either three times daily for 10 days (one patient) or as 1 dose (2 patients). Four subjects took prohibited concomitant medications during the course of the study, one patient in the 10</w:t>
      </w:r>
      <w:r w:rsidR="003B4B6A" w:rsidRPr="003B4B6A">
        <w:rPr>
          <w:color w:val="000000"/>
        </w:rPr>
        <w:t>0 mg</w:t>
      </w:r>
      <w:r w:rsidRPr="004435A7">
        <w:rPr>
          <w:color w:val="000000"/>
        </w:rPr>
        <w:t>/day treatment group, two patients in the 20</w:t>
      </w:r>
      <w:r w:rsidR="003B4B6A" w:rsidRPr="003B4B6A">
        <w:rPr>
          <w:color w:val="000000"/>
        </w:rPr>
        <w:t>0 mg</w:t>
      </w:r>
      <w:r w:rsidRPr="004435A7">
        <w:rPr>
          <w:color w:val="000000"/>
        </w:rPr>
        <w:t>/day treatment group, and one patient in the 40</w:t>
      </w:r>
      <w:r w:rsidR="003B4B6A" w:rsidRPr="003B4B6A">
        <w:rPr>
          <w:color w:val="000000"/>
        </w:rPr>
        <w:t>0 mg</w:t>
      </w:r>
      <w:r w:rsidRPr="004435A7">
        <w:rPr>
          <w:color w:val="000000"/>
        </w:rPr>
        <w:t>/day treatment group.</w:t>
      </w:r>
    </w:p>
    <w:p w:rsidR="00C528D5" w:rsidRPr="00AE10EA" w:rsidRDefault="00C528D5" w:rsidP="0022392D">
      <w:pPr>
        <w:pStyle w:val="Heading4"/>
        <w:numPr>
          <w:ilvl w:val="0"/>
          <w:numId w:val="0"/>
        </w:numPr>
        <w:rPr>
          <w:i/>
        </w:rPr>
      </w:pPr>
      <w:r w:rsidRPr="00AE10EA">
        <w:rPr>
          <w:i/>
        </w:rPr>
        <w:t>Evaluator’s comment</w:t>
      </w:r>
    </w:p>
    <w:p w:rsidR="00C528D5" w:rsidRDefault="00C528D5" w:rsidP="005F4F28">
      <w:r>
        <w:t>Fidaxomicin</w:t>
      </w:r>
      <w:r w:rsidRPr="00072C86">
        <w:t xml:space="preserve"> </w:t>
      </w:r>
      <w:r>
        <w:t>administration (</w:t>
      </w:r>
      <w:r w:rsidR="005F4F28">
        <w:t xml:space="preserve">at </w:t>
      </w:r>
      <w:r>
        <w:t xml:space="preserve">50, 100, 200 mg BID for 10 days) showed </w:t>
      </w:r>
      <w:r w:rsidR="005F4F28">
        <w:t xml:space="preserve">a </w:t>
      </w:r>
      <w:r>
        <w:t xml:space="preserve">dose response with clinical cure and relief of symptoms of CDAD </w:t>
      </w:r>
      <w:r w:rsidRPr="00072C86">
        <w:t>incr</w:t>
      </w:r>
      <w:r>
        <w:t>easing with increasing</w:t>
      </w:r>
      <w:r w:rsidRPr="00072C86">
        <w:t xml:space="preserve"> </w:t>
      </w:r>
      <w:r>
        <w:t>dose</w:t>
      </w:r>
      <w:r w:rsidRPr="00072C86">
        <w:t>.</w:t>
      </w:r>
      <w:r>
        <w:t xml:space="preserve"> A placebo comparator was not included but is considered appropriate due to the nature of the illness.</w:t>
      </w:r>
    </w:p>
    <w:p w:rsidR="00C528D5" w:rsidRDefault="00C528D5" w:rsidP="005F4F28">
      <w:r>
        <w:t>The results support the use of 20</w:t>
      </w:r>
      <w:r w:rsidR="003B4B6A" w:rsidRPr="003B4B6A">
        <w:t>0 mg</w:t>
      </w:r>
      <w:r>
        <w:t xml:space="preserve"> 12 hourly dose administration for further clinical testing.</w:t>
      </w:r>
    </w:p>
    <w:p w:rsidR="00C22678" w:rsidRDefault="00C22678" w:rsidP="005F4F28">
      <w:pPr>
        <w:pStyle w:val="Heading2"/>
      </w:pPr>
      <w:bookmarkStart w:id="76" w:name="_Toc370734740"/>
      <w:r>
        <w:t>Clinical efficacy</w:t>
      </w:r>
      <w:bookmarkEnd w:id="76"/>
    </w:p>
    <w:p w:rsidR="00C528D5" w:rsidRDefault="00C528D5" w:rsidP="005F4F28">
      <w:r>
        <w:t>There were two identically designed pivotal efficacy studies to support the regulatory approval of this product. The studies are summarised below:</w:t>
      </w:r>
    </w:p>
    <w:p w:rsidR="00C528D5" w:rsidRPr="00F1405B" w:rsidRDefault="00C528D5" w:rsidP="005F4F28">
      <w:pPr>
        <w:pStyle w:val="Heading3"/>
      </w:pPr>
      <w:bookmarkStart w:id="77" w:name="_Toc370734741"/>
      <w:r w:rsidRPr="00F1405B">
        <w:t>Study 101.1.C.003</w:t>
      </w:r>
      <w:bookmarkEnd w:id="77"/>
    </w:p>
    <w:p w:rsidR="00C528D5" w:rsidRDefault="00C528D5" w:rsidP="005F4F28">
      <w:r>
        <w:t>This was a Phase III, randomised, double-blind, placebo-controlled, parallel group study of efficacy and safety of 20</w:t>
      </w:r>
      <w:r w:rsidR="003B4B6A" w:rsidRPr="003B4B6A">
        <w:t>0 mg</w:t>
      </w:r>
      <w:r>
        <w:t xml:space="preserve"> fidaxomicin orally every </w:t>
      </w:r>
      <w:r w:rsidRPr="001B3A69">
        <w:t>12</w:t>
      </w:r>
      <w:r w:rsidR="00353ABC">
        <w:t xml:space="preserve"> h </w:t>
      </w:r>
      <w:r>
        <w:t>compared with 125</w:t>
      </w:r>
      <w:r w:rsidR="005F4F28">
        <w:t xml:space="preserve"> </w:t>
      </w:r>
      <w:r>
        <w:t xml:space="preserve">mg vancomycin orally every </w:t>
      </w:r>
      <w:r w:rsidRPr="001B3A69">
        <w:t>6</w:t>
      </w:r>
      <w:r w:rsidR="00353ABC">
        <w:t xml:space="preserve"> h </w:t>
      </w:r>
      <w:r>
        <w:t>for 10 days in patients w</w:t>
      </w:r>
      <w:r w:rsidRPr="001B3A69">
        <w:t>ith</w:t>
      </w:r>
      <w:r>
        <w:t xml:space="preserve"> </w:t>
      </w:r>
      <w:r w:rsidRPr="00C528D5">
        <w:rPr>
          <w:i/>
          <w:iCs/>
        </w:rPr>
        <w:t>Clostridium difficile</w:t>
      </w:r>
      <w:r w:rsidRPr="001B3A69">
        <w:t>-Associated Diarrh</w:t>
      </w:r>
      <w:r>
        <w:t>o</w:t>
      </w:r>
      <w:r w:rsidRPr="001B3A69">
        <w:t>ea</w:t>
      </w:r>
      <w:r>
        <w:t xml:space="preserve"> (CDAD). The study was carried out across multiple centres in Canada and </w:t>
      </w:r>
      <w:r w:rsidRPr="001B3A69">
        <w:t>the United States</w:t>
      </w:r>
      <w:r>
        <w:t>. The trial was designed as a non-inferiority comparison.</w:t>
      </w:r>
    </w:p>
    <w:p w:rsidR="00C528D5" w:rsidRDefault="00C528D5" w:rsidP="005F4F28">
      <w:r>
        <w:t>The eligible patients were male or female inpatients or outpatients, who were 16 years of age or older and who had CDAD as defined by:</w:t>
      </w:r>
    </w:p>
    <w:p w:rsidR="00C528D5" w:rsidRDefault="00C528D5" w:rsidP="005F4F28">
      <w:pPr>
        <w:pStyle w:val="ListBullet"/>
      </w:pPr>
      <w:r>
        <w:t>Diarrhoea</w:t>
      </w:r>
      <w:r w:rsidR="005F4F28">
        <w:t>;</w:t>
      </w:r>
      <w:r>
        <w:t xml:space="preserve"> change in bowel habits, with &gt; 3 unformed bowel movements (UBMs; or &gt; 200</w:t>
      </w:r>
      <w:r w:rsidR="005F4F28">
        <w:t xml:space="preserve"> </w:t>
      </w:r>
      <w:r>
        <w:t>mL unformed stool for patients with rectal collection devices) in 24</w:t>
      </w:r>
      <w:r w:rsidR="00353ABC">
        <w:t xml:space="preserve"> h </w:t>
      </w:r>
      <w:r>
        <w:t>before randomisation; and</w:t>
      </w:r>
    </w:p>
    <w:p w:rsidR="00C528D5" w:rsidRDefault="00C528D5" w:rsidP="005F4F28">
      <w:pPr>
        <w:pStyle w:val="ListBullet"/>
        <w:rPr>
          <w:iCs/>
        </w:rPr>
      </w:pPr>
      <w:r>
        <w:t xml:space="preserve">Presence of either toxin A or B of </w:t>
      </w:r>
      <w:r w:rsidRPr="00C528D5">
        <w:rPr>
          <w:i/>
          <w:iCs/>
        </w:rPr>
        <w:t>Clostridium difficile</w:t>
      </w:r>
      <w:r>
        <w:rPr>
          <w:i/>
          <w:iCs/>
        </w:rPr>
        <w:t xml:space="preserve"> </w:t>
      </w:r>
      <w:r>
        <w:rPr>
          <w:iCs/>
        </w:rPr>
        <w:t>in the stool within 48</w:t>
      </w:r>
      <w:r w:rsidR="00353ABC">
        <w:rPr>
          <w:iCs/>
        </w:rPr>
        <w:t xml:space="preserve"> h </w:t>
      </w:r>
      <w:r>
        <w:rPr>
          <w:iCs/>
        </w:rPr>
        <w:t>of randomisation.</w:t>
      </w:r>
    </w:p>
    <w:p w:rsidR="00C528D5" w:rsidRDefault="00C528D5" w:rsidP="005F4F28">
      <w:proofErr w:type="gramStart"/>
      <w:r>
        <w:t>Patients who failed at least a full 3-day course of metronidazole but continued to meet the definition of diarrhoea without any significant clinical improvement and remained toxin positive could also be enrolled.</w:t>
      </w:r>
      <w:proofErr w:type="gramEnd"/>
    </w:p>
    <w:p w:rsidR="00C528D5" w:rsidRDefault="00C528D5" w:rsidP="005F4F28">
      <w:r>
        <w:t>Pre-treatment with metronidazole and/or vancomycin ≤ 24</w:t>
      </w:r>
      <w:r w:rsidR="00353ABC">
        <w:t xml:space="preserve"> h </w:t>
      </w:r>
      <w:r>
        <w:t>of randomisation for less than 4 doses was also allowed. However, use of other antibiotics for CDAD was an exclusion criterion.</w:t>
      </w:r>
    </w:p>
    <w:p w:rsidR="00C528D5" w:rsidRDefault="00C528D5" w:rsidP="005F4F28">
      <w:r>
        <w:t>Patients with multiple recurrences (&gt; 1 prior occurrence) of CDAD within the past 3 months were excluded. Patients with history of ulcerative colitis and Crohn’s disease were also excluded.</w:t>
      </w:r>
    </w:p>
    <w:p w:rsidR="00C528D5" w:rsidRPr="00851BF3" w:rsidRDefault="00C528D5" w:rsidP="005F4F28">
      <w:r>
        <w:t>Due to ongoing development of the product, two formulations of fidaxomicin were used in this trial.</w:t>
      </w:r>
    </w:p>
    <w:p w:rsidR="00C528D5" w:rsidRDefault="00C528D5" w:rsidP="005F4F28">
      <w:r>
        <w:t>The sample size was calculated based on known</w:t>
      </w:r>
      <w:r w:rsidRPr="001B3A69">
        <w:t xml:space="preserve"> rates</w:t>
      </w:r>
      <w:r>
        <w:t xml:space="preserve"> of vancomycin efficacy in CDAD from literature which indicated that 530 evaluable patients (</w:t>
      </w:r>
      <w:r w:rsidRPr="001B3A69">
        <w:t xml:space="preserve">265 evaluable </w:t>
      </w:r>
      <w:r>
        <w:t>patients per group) will</w:t>
      </w:r>
      <w:r w:rsidRPr="001B3A69">
        <w:t xml:space="preserve"> be needed to demonstrate</w:t>
      </w:r>
      <w:r>
        <w:t xml:space="preserve"> non-inferiority of fidaxomicin</w:t>
      </w:r>
      <w:r w:rsidRPr="001B3A69">
        <w:t xml:space="preserve"> to </w:t>
      </w:r>
      <w:r>
        <w:t xml:space="preserve">vancomycin with a delta of 10% </w:t>
      </w:r>
      <w:r w:rsidR="003B4B6A" w:rsidRPr="003B4B6A">
        <w:t>that is,</w:t>
      </w:r>
      <w:r>
        <w:t xml:space="preserve"> 90% power</w:t>
      </w:r>
      <w:r w:rsidRPr="001B3A69">
        <w:t>.</w:t>
      </w:r>
    </w:p>
    <w:p w:rsidR="00C528D5" w:rsidRDefault="00C528D5" w:rsidP="005F4F28">
      <w:r>
        <w:t>A total of 629 patients were randomised with 302 in fidaxomicin</w:t>
      </w:r>
      <w:r w:rsidRPr="001B3A69">
        <w:t xml:space="preserve"> </w:t>
      </w:r>
      <w:r>
        <w:t xml:space="preserve">treatment </w:t>
      </w:r>
      <w:r w:rsidRPr="001B3A69">
        <w:t>group</w:t>
      </w:r>
      <w:r>
        <w:t xml:space="preserve"> and 327 in vancomycin treatment group</w:t>
      </w:r>
      <w:r w:rsidR="00924DE0">
        <w:t>.</w:t>
      </w:r>
    </w:p>
    <w:p w:rsidR="00C528D5" w:rsidRPr="00D1675E" w:rsidRDefault="00C528D5" w:rsidP="005F4F28">
      <w:r>
        <w:t>The eligible patients underwent</w:t>
      </w:r>
      <w:r w:rsidRPr="001B3A69">
        <w:t xml:space="preserve"> stratified </w:t>
      </w:r>
      <w:r>
        <w:t>randomisation at each trial site on the basis of having experienced (yes/no) a single prior</w:t>
      </w:r>
      <w:r w:rsidRPr="001B3A69">
        <w:t xml:space="preserve"> episode </w:t>
      </w:r>
      <w:r>
        <w:t>of CDAD in the 3 months prior to enrolment. The patients were randomised to the following two treatment groups:</w:t>
      </w:r>
    </w:p>
    <w:p w:rsidR="00C528D5" w:rsidRDefault="00C528D5" w:rsidP="0022392D">
      <w:pPr>
        <w:pStyle w:val="Numberbullet0"/>
        <w:numPr>
          <w:ilvl w:val="0"/>
          <w:numId w:val="26"/>
        </w:numPr>
      </w:pPr>
      <w:r>
        <w:t>Fidaxomicin treatment group – fidaxomicin 20</w:t>
      </w:r>
      <w:r w:rsidR="003B4B6A" w:rsidRPr="003B4B6A">
        <w:t>0 mg</w:t>
      </w:r>
      <w:r>
        <w:t xml:space="preserve"> every 12 hours.</w:t>
      </w:r>
    </w:p>
    <w:p w:rsidR="00C528D5" w:rsidRPr="00132D21" w:rsidRDefault="00C528D5" w:rsidP="0022392D">
      <w:pPr>
        <w:pStyle w:val="Numberbullet0"/>
        <w:numPr>
          <w:ilvl w:val="0"/>
          <w:numId w:val="26"/>
        </w:numPr>
      </w:pPr>
      <w:r>
        <w:t xml:space="preserve">Vancomycin treatment group – vancomycin </w:t>
      </w:r>
      <w:r w:rsidRPr="00132D21">
        <w:t>125m</w:t>
      </w:r>
      <w:r>
        <w:t>g every 6 hours.</w:t>
      </w:r>
    </w:p>
    <w:p w:rsidR="00C528D5" w:rsidRDefault="00C528D5" w:rsidP="005F4F28">
      <w:r>
        <w:t>Both study drugs were administered by oral route. The duration of treatment was 10 days. Matching placebos were given in both arms to maintain blinding.</w:t>
      </w:r>
    </w:p>
    <w:p w:rsidR="00C528D5" w:rsidRDefault="00C528D5" w:rsidP="005F4F28">
      <w:r>
        <w:t>As there was no validated measure of severity of CDAD, none was included as part of trial protocol or randomisation. However, a non-validated scale was used as a covariate in the analysis</w:t>
      </w:r>
      <w:r w:rsidR="00924DE0">
        <w:t>.</w:t>
      </w:r>
    </w:p>
    <w:p w:rsidR="00C528D5" w:rsidRDefault="00C528D5" w:rsidP="005F4F28">
      <w:r w:rsidRPr="001B3A69">
        <w:t xml:space="preserve">The </w:t>
      </w:r>
      <w:r>
        <w:t xml:space="preserve">primary efficacy variable was rate of </w:t>
      </w:r>
      <w:r w:rsidRPr="001B3A69">
        <w:t>c</w:t>
      </w:r>
      <w:r>
        <w:t>ure at E</w:t>
      </w:r>
      <w:r w:rsidRPr="001B3A69">
        <w:t xml:space="preserve">nd </w:t>
      </w:r>
      <w:r>
        <w:t>of Therapy (EOT) visit.</w:t>
      </w:r>
    </w:p>
    <w:p w:rsidR="00C528D5" w:rsidRDefault="00C528D5" w:rsidP="005F4F28">
      <w:r>
        <w:t>The secondary efficacy variable was recurrence rate at the end of post-study follow-up visit (study Day 36 to 40).</w:t>
      </w:r>
    </w:p>
    <w:p w:rsidR="00C528D5" w:rsidRDefault="00C528D5" w:rsidP="005F4F28">
      <w:r>
        <w:t>Both clinical outcomes</w:t>
      </w:r>
      <w:r w:rsidRPr="001B3A69">
        <w:t xml:space="preserve"> (cure/failure, recurrence)</w:t>
      </w:r>
      <w:r>
        <w:t xml:space="preserve"> were based on investigators’</w:t>
      </w:r>
      <w:r w:rsidRPr="001B3A69">
        <w:t xml:space="preserve"> </w:t>
      </w:r>
      <w:r>
        <w:t xml:space="preserve">clinical </w:t>
      </w:r>
      <w:r w:rsidRPr="001B3A69">
        <w:t>as</w:t>
      </w:r>
      <w:r>
        <w:t>sessment,</w:t>
      </w:r>
      <w:r w:rsidRPr="001B3A69">
        <w:t xml:space="preserve"> most importantly diarrh</w:t>
      </w:r>
      <w:r>
        <w:t>oea.</w:t>
      </w:r>
    </w:p>
    <w:p w:rsidR="00C528D5" w:rsidRDefault="00C528D5" w:rsidP="005F4F28">
      <w:r>
        <w:t>For the primary variable, the patients</w:t>
      </w:r>
      <w:r w:rsidRPr="001B3A69">
        <w:t xml:space="preserve"> were evaluated clinically dur</w:t>
      </w:r>
      <w:r>
        <w:t>ing the 10 day treatment phase</w:t>
      </w:r>
      <w:r w:rsidRPr="001B3A69">
        <w:t xml:space="preserve"> for </w:t>
      </w:r>
      <w:r>
        <w:t>assessment of clinical cure or failure.</w:t>
      </w:r>
    </w:p>
    <w:p w:rsidR="00C528D5" w:rsidRDefault="00C528D5" w:rsidP="005F4F28">
      <w:r>
        <w:t>The patients</w:t>
      </w:r>
      <w:r w:rsidRPr="001B3A69">
        <w:t xml:space="preserve"> who, in the</w:t>
      </w:r>
      <w:r>
        <w:t xml:space="preserve"> opinion of the investigator, required no further treatment</w:t>
      </w:r>
      <w:r w:rsidRPr="001B3A69">
        <w:t xml:space="preserve"> 2 days after completion of study medication were considered</w:t>
      </w:r>
      <w:r>
        <w:t xml:space="preserve"> cured.</w:t>
      </w:r>
    </w:p>
    <w:p w:rsidR="00C528D5" w:rsidRDefault="00C528D5" w:rsidP="005F4F28">
      <w:r>
        <w:t>The patients</w:t>
      </w:r>
      <w:r w:rsidRPr="001B3A69">
        <w:t xml:space="preserve"> who had 3 or fewer unformed stools for 2 consecutive days and who </w:t>
      </w:r>
      <w:r>
        <w:t xml:space="preserve">remained well before </w:t>
      </w:r>
      <w:r w:rsidRPr="001B3A69">
        <w:t>study medication discontinuat</w:t>
      </w:r>
      <w:r>
        <w:t>ion were also considered cured.</w:t>
      </w:r>
    </w:p>
    <w:p w:rsidR="00C528D5" w:rsidRDefault="00C528D5" w:rsidP="005F4F28">
      <w:r>
        <w:t>The patients</w:t>
      </w:r>
      <w:r w:rsidRPr="001B3A69">
        <w:t xml:space="preserve"> who, at the end of treatment, had a</w:t>
      </w:r>
      <w:r>
        <w:t xml:space="preserve"> </w:t>
      </w:r>
      <w:r w:rsidRPr="001B3A69">
        <w:t>marked reduction in the number of unformed stools but who had residual and mild abdominal discomfort interpreted as</w:t>
      </w:r>
      <w:r>
        <w:t xml:space="preserve"> recovering bowel by the i</w:t>
      </w:r>
      <w:r w:rsidRPr="001B3A69">
        <w:t xml:space="preserve">nvestigator could be </w:t>
      </w:r>
      <w:r>
        <w:t xml:space="preserve">also be </w:t>
      </w:r>
      <w:r w:rsidRPr="001B3A69">
        <w:t>consid</w:t>
      </w:r>
      <w:r>
        <w:t>ered cured at that time provided that</w:t>
      </w:r>
      <w:r w:rsidRPr="001B3A69">
        <w:t xml:space="preserve"> n</w:t>
      </w:r>
      <w:r>
        <w:t>o new anti-infective treatment was required for CDAD.</w:t>
      </w:r>
    </w:p>
    <w:p w:rsidR="00C528D5" w:rsidRDefault="00C528D5" w:rsidP="005F4F28">
      <w:r>
        <w:t>The patients</w:t>
      </w:r>
      <w:r w:rsidRPr="001B3A69">
        <w:t xml:space="preserve"> who were considered cured based on stab</w:t>
      </w:r>
      <w:r w:rsidR="005F4F28">
        <w:t>ilis</w:t>
      </w:r>
      <w:r>
        <w:t>ation and improvement in</w:t>
      </w:r>
      <w:r w:rsidRPr="001B3A69">
        <w:t xml:space="preserve"> signs and symptoms</w:t>
      </w:r>
      <w:r>
        <w:t xml:space="preserve"> of CDAD </w:t>
      </w:r>
      <w:r w:rsidRPr="001B3A69">
        <w:t>were evaluated 2 to 3 days after the end of study medication. In the event that their signs or sympt</w:t>
      </w:r>
      <w:r>
        <w:t>oms of CDAD</w:t>
      </w:r>
      <w:r w:rsidRPr="001B3A69">
        <w:t xml:space="preserve"> worsened,</w:t>
      </w:r>
      <w:r>
        <w:t xml:space="preserve"> the patients</w:t>
      </w:r>
      <w:r w:rsidRPr="001B3A69">
        <w:t xml:space="preserve"> were to be designated primary failures. If they remained stable and were not c</w:t>
      </w:r>
      <w:r>
        <w:t xml:space="preserve">onsidered not requiring further CDAD </w:t>
      </w:r>
      <w:r w:rsidRPr="001B3A69">
        <w:t>therapy to maintain their stable state, they we</w:t>
      </w:r>
      <w:r>
        <w:t>re considered cured.</w:t>
      </w:r>
    </w:p>
    <w:p w:rsidR="00C528D5" w:rsidRDefault="00C528D5" w:rsidP="005F4F28">
      <w:r>
        <w:t xml:space="preserve">For the secondary variable, the cured patients were </w:t>
      </w:r>
      <w:r w:rsidRPr="001B3A69">
        <w:t xml:space="preserve">followed for 28 </w:t>
      </w:r>
      <w:r w:rsidR="005F4F28">
        <w:t>±</w:t>
      </w:r>
      <w:r>
        <w:t xml:space="preserve"> </w:t>
      </w:r>
      <w:r w:rsidRPr="001B3A69">
        <w:t>2 days after the last dose of s</w:t>
      </w:r>
      <w:r>
        <w:t>tudy medication for assessment of recurrence of CDAD.</w:t>
      </w:r>
    </w:p>
    <w:p w:rsidR="00C528D5" w:rsidRDefault="00C528D5" w:rsidP="005F4F28">
      <w:r>
        <w:t>The primary operational objective of the</w:t>
      </w:r>
      <w:r w:rsidRPr="001B3A69">
        <w:t xml:space="preserve"> study was to show tha</w:t>
      </w:r>
      <w:r>
        <w:t>t a 10 day course of fidaxomicin 20</w:t>
      </w:r>
      <w:r w:rsidR="003B4B6A" w:rsidRPr="003B4B6A">
        <w:t>0 mg</w:t>
      </w:r>
      <w:r>
        <w:t xml:space="preserve"> orally every 12</w:t>
      </w:r>
      <w:r w:rsidR="00353ABC">
        <w:t xml:space="preserve"> h </w:t>
      </w:r>
      <w:r w:rsidRPr="001B3A69">
        <w:t>was at least</w:t>
      </w:r>
      <w:r>
        <w:t xml:space="preserve"> as efficacious</w:t>
      </w:r>
      <w:r w:rsidRPr="001B3A69">
        <w:t xml:space="preserve"> as </w:t>
      </w:r>
      <w:proofErr w:type="gramStart"/>
      <w:r w:rsidRPr="001B3A69">
        <w:t xml:space="preserve">a </w:t>
      </w:r>
      <w:r>
        <w:t>10 day course</w:t>
      </w:r>
      <w:proofErr w:type="gramEnd"/>
      <w:r>
        <w:t xml:space="preserve"> of vancomycin 125</w:t>
      </w:r>
      <w:r w:rsidR="005F4F28">
        <w:t xml:space="preserve"> </w:t>
      </w:r>
      <w:r>
        <w:t>mg orally every 6</w:t>
      </w:r>
      <w:r w:rsidR="00353ABC">
        <w:t xml:space="preserve"> h </w:t>
      </w:r>
      <w:r>
        <w:t>in the</w:t>
      </w:r>
      <w:r w:rsidRPr="001B3A69">
        <w:t xml:space="preserve"> treatment of</w:t>
      </w:r>
      <w:r>
        <w:t xml:space="preserve"> CDAD for achieving clinical </w:t>
      </w:r>
      <w:r w:rsidRPr="001B3A69">
        <w:t>cur</w:t>
      </w:r>
      <w:r>
        <w:t>e at the End of Therapy</w:t>
      </w:r>
      <w:r w:rsidRPr="001B3A69">
        <w:t>. Two-sid</w:t>
      </w:r>
      <w:r>
        <w:t>ed 95% confidence intervals (CI</w:t>
      </w:r>
      <w:r w:rsidRPr="001B3A69">
        <w:t>) were computed for the</w:t>
      </w:r>
      <w:r>
        <w:t xml:space="preserve"> difference in cure rates (fidaxomicin minus</w:t>
      </w:r>
      <w:r w:rsidRPr="001B3A69">
        <w:t xml:space="preserve"> vancomycin</w:t>
      </w:r>
      <w:r>
        <w:t>).</w:t>
      </w:r>
      <w:r w:rsidRPr="001B3A69">
        <w:t xml:space="preserve"> A </w:t>
      </w:r>
      <w:r>
        <w:t>lower limit of the 95%CI</w:t>
      </w:r>
      <w:r w:rsidR="005F4F28">
        <w:t>,</w:t>
      </w:r>
      <w:r>
        <w:t xml:space="preserve"> no worse than</w:t>
      </w:r>
      <w:r w:rsidRPr="001B3A69">
        <w:t xml:space="preserve"> -10%</w:t>
      </w:r>
      <w:r w:rsidR="005F4F28">
        <w:t>,</w:t>
      </w:r>
      <w:r>
        <w:t xml:space="preserve"> was the predefined margin for demonstration of</w:t>
      </w:r>
      <w:r w:rsidRPr="001B3A69">
        <w:t xml:space="preserve"> n</w:t>
      </w:r>
      <w:r>
        <w:t>on-inferiority between the 2 drugs.</w:t>
      </w:r>
    </w:p>
    <w:p w:rsidR="00C528D5" w:rsidRDefault="00C528D5" w:rsidP="005F4F28">
      <w:r w:rsidRPr="001B3A69">
        <w:t xml:space="preserve">The secondary efficacy endpoint for this study was recurrence rate of CDI by 28 days </w:t>
      </w:r>
      <w:r w:rsidR="005F4F28">
        <w:rPr>
          <w:rFonts w:eastAsia="SymbolMT"/>
        </w:rPr>
        <w:t>±</w:t>
      </w:r>
      <w:r>
        <w:rPr>
          <w:rFonts w:eastAsia="SymbolMT"/>
        </w:rPr>
        <w:t xml:space="preserve"> </w:t>
      </w:r>
      <w:r w:rsidRPr="001B3A69">
        <w:t>2 days after the last dose of study</w:t>
      </w:r>
      <w:r>
        <w:t xml:space="preserve"> drugs</w:t>
      </w:r>
      <w:r w:rsidRPr="001B3A69">
        <w:t>. Two-sided 95% CIs were computed for the difference</w:t>
      </w:r>
      <w:r>
        <w:t xml:space="preserve"> in treatment recurrence rates.</w:t>
      </w:r>
    </w:p>
    <w:p w:rsidR="00C528D5" w:rsidRDefault="00C528D5" w:rsidP="005F4F28">
      <w:r>
        <w:t>Two additional</w:t>
      </w:r>
      <w:r w:rsidRPr="001B3A69">
        <w:t xml:space="preserve"> </w:t>
      </w:r>
      <w:r>
        <w:t xml:space="preserve">exploratory </w:t>
      </w:r>
      <w:r w:rsidRPr="001B3A69">
        <w:t>variables</w:t>
      </w:r>
      <w:r>
        <w:t xml:space="preserve"> of clinical efficacy were assessed as follows:</w:t>
      </w:r>
    </w:p>
    <w:p w:rsidR="00C528D5" w:rsidRDefault="00C528D5" w:rsidP="0022392D">
      <w:pPr>
        <w:pStyle w:val="Numberbullet0"/>
        <w:numPr>
          <w:ilvl w:val="0"/>
          <w:numId w:val="28"/>
        </w:numPr>
      </w:pPr>
      <w:r w:rsidRPr="000339A9">
        <w:t>Global Cure</w:t>
      </w:r>
      <w:r w:rsidR="005F4F28">
        <w:t>;</w:t>
      </w:r>
      <w:r w:rsidRPr="000339A9">
        <w:t xml:space="preserve"> </w:t>
      </w:r>
      <w:r>
        <w:t>defined as cure without experiencing</w:t>
      </w:r>
      <w:r w:rsidRPr="000339A9">
        <w:t xml:space="preserve"> a re</w:t>
      </w:r>
      <w:r>
        <w:t>currence in the follow up period.</w:t>
      </w:r>
    </w:p>
    <w:p w:rsidR="00C528D5" w:rsidRPr="000339A9" w:rsidRDefault="00C528D5" w:rsidP="0024442F">
      <w:pPr>
        <w:pStyle w:val="Numberbullet0"/>
        <w:numPr>
          <w:ilvl w:val="0"/>
          <w:numId w:val="24"/>
        </w:numPr>
      </w:pPr>
      <w:r w:rsidRPr="000339A9">
        <w:t xml:space="preserve">Time to resolution of diarrhoea </w:t>
      </w:r>
      <w:r>
        <w:t>(TTROD)</w:t>
      </w:r>
      <w:r w:rsidR="005F4F28">
        <w:t>;</w:t>
      </w:r>
      <w:r w:rsidRPr="000339A9">
        <w:t xml:space="preserve"> defined as the time </w:t>
      </w:r>
      <w:r>
        <w:t xml:space="preserve">taken </w:t>
      </w:r>
      <w:r w:rsidRPr="000339A9">
        <w:t xml:space="preserve">from start of treatment to achieving resolution of diarrhoea </w:t>
      </w:r>
      <w:r>
        <w:t xml:space="preserve">which was </w:t>
      </w:r>
      <w:r w:rsidRPr="000339A9">
        <w:t xml:space="preserve">sustained through </w:t>
      </w:r>
      <w:r>
        <w:t xml:space="preserve">to the </w:t>
      </w:r>
      <w:r w:rsidRPr="000339A9">
        <w:t>end-of-therapy (EOT).</w:t>
      </w:r>
    </w:p>
    <w:p w:rsidR="00C528D5" w:rsidRDefault="00C528D5" w:rsidP="005F4F28">
      <w:r w:rsidRPr="001B3A69">
        <w:t>All statistical analyses were performed on the modified intent-to treat (mITT) population</w:t>
      </w:r>
      <w:r>
        <w:t xml:space="preserve"> </w:t>
      </w:r>
      <w:r w:rsidRPr="001B3A69">
        <w:t>and the Per Protocol (PP)</w:t>
      </w:r>
      <w:r>
        <w:t xml:space="preserve"> </w:t>
      </w:r>
      <w:r w:rsidRPr="001B3A69">
        <w:t>population</w:t>
      </w:r>
      <w:r>
        <w:t>s.</w:t>
      </w:r>
    </w:p>
    <w:p w:rsidR="00C528D5" w:rsidRDefault="00C528D5" w:rsidP="005F4F28">
      <w:r>
        <w:t>As the numbers of centre</w:t>
      </w:r>
      <w:r w:rsidRPr="001B3A69">
        <w:t>s</w:t>
      </w:r>
      <w:r>
        <w:t xml:space="preserve"> with a small number of patients</w:t>
      </w:r>
      <w:r w:rsidRPr="001B3A69">
        <w:t xml:space="preserve"> was expected to b</w:t>
      </w:r>
      <w:r>
        <w:t>e relatively large, study centre</w:t>
      </w:r>
      <w:r w:rsidRPr="001B3A69">
        <w:t xml:space="preserve"> was not</w:t>
      </w:r>
      <w:r>
        <w:t xml:space="preserve"> </w:t>
      </w:r>
      <w:r w:rsidRPr="001B3A69">
        <w:t>included in sta</w:t>
      </w:r>
      <w:r>
        <w:t>tistical models, but the</w:t>
      </w:r>
      <w:r w:rsidRPr="001B3A69">
        <w:t xml:space="preserve"> cons</w:t>
      </w:r>
      <w:r>
        <w:t>istency of results across centre</w:t>
      </w:r>
      <w:r w:rsidRPr="001B3A69">
        <w:t xml:space="preserve">s was evaluated by </w:t>
      </w:r>
      <w:r>
        <w:t xml:space="preserve">descriptive </w:t>
      </w:r>
      <w:r w:rsidRPr="001B3A69">
        <w:t>review of efficacy</w:t>
      </w:r>
      <w:r>
        <w:t xml:space="preserve"> </w:t>
      </w:r>
      <w:r w:rsidRPr="001B3A69">
        <w:t>resu</w:t>
      </w:r>
      <w:r>
        <w:t>lts presented by centre.</w:t>
      </w:r>
    </w:p>
    <w:p w:rsidR="00C528D5" w:rsidRDefault="00C528D5" w:rsidP="005F4F28">
      <w:r>
        <w:t>The subgroup analyse</w:t>
      </w:r>
      <w:r w:rsidRPr="001B3A69">
        <w:t>s on efficacy endpoints were con</w:t>
      </w:r>
      <w:r>
        <w:t xml:space="preserve">ducted by </w:t>
      </w:r>
      <w:r w:rsidRPr="001B3A69">
        <w:t>age, race, sex, baseline disease</w:t>
      </w:r>
      <w:r>
        <w:t xml:space="preserve"> severity, country, prior recurrences</w:t>
      </w:r>
      <w:r w:rsidRPr="001B3A69">
        <w:t>, inpatient/</w:t>
      </w:r>
      <w:r>
        <w:t xml:space="preserve">outpatient status, stratification stratum, </w:t>
      </w:r>
      <w:r w:rsidRPr="001B3A69">
        <w:t>metronidazole failure status, and by the use of</w:t>
      </w:r>
      <w:r>
        <w:t xml:space="preserve"> any</w:t>
      </w:r>
      <w:r w:rsidRPr="001B3A69">
        <w:t xml:space="preserve"> antibiotic p</w:t>
      </w:r>
      <w:r>
        <w:t>rescribed for CDAD</w:t>
      </w:r>
      <w:r w:rsidRPr="001B3A69">
        <w:t xml:space="preserve"> within 2</w:t>
      </w:r>
      <w:r>
        <w:t>4</w:t>
      </w:r>
      <w:r w:rsidR="00353ABC">
        <w:t xml:space="preserve"> h </w:t>
      </w:r>
      <w:r>
        <w:t>before study treatment. No interim analysis</w:t>
      </w:r>
      <w:r w:rsidRPr="001B3A69">
        <w:t xml:space="preserve"> was</w:t>
      </w:r>
      <w:r>
        <w:t xml:space="preserve"> conducted in this study.</w:t>
      </w:r>
    </w:p>
    <w:p w:rsidR="00C528D5" w:rsidRDefault="00C528D5" w:rsidP="005F4F28">
      <w:r>
        <w:t>Overall, 95% and 87% patients were included in mITT and PP analyses respectively for assessment of clinical cure and 82% and 69% patients were included in mITT and PP analyses respectively for assessment of recurrence</w:t>
      </w:r>
      <w:r w:rsidR="00924DE0">
        <w:t>.</w:t>
      </w:r>
    </w:p>
    <w:p w:rsidR="00C528D5" w:rsidRDefault="00C528D5" w:rsidP="005F4F28">
      <w:r>
        <w:t>The overall mean age of the sample population was 61.6 (</w:t>
      </w:r>
      <w:r w:rsidR="005F4F28">
        <w:t>±</w:t>
      </w:r>
      <w:r>
        <w:t xml:space="preserve"> 16.9) years. The over </w:t>
      </w:r>
      <w:r w:rsidR="005F4F28">
        <w:t>≥</w:t>
      </w:r>
      <w:r>
        <w:t xml:space="preserve"> 75 years old age group comprised 27% of the total. At baseline, the groups were reasonably balanced with respect to demographic and prognostic features including inpatient/outpatient status, number of bowl movements at baseline, baseline disease severity, prior use of antibiotics for CDAD and metronidazole failure</w:t>
      </w:r>
      <w:r w:rsidR="00924DE0">
        <w:t>.</w:t>
      </w:r>
    </w:p>
    <w:p w:rsidR="00C528D5" w:rsidRDefault="00C528D5" w:rsidP="005F4F28">
      <w:r>
        <w:t>The results were reported as follows:</w:t>
      </w:r>
    </w:p>
    <w:p w:rsidR="00C528D5" w:rsidRDefault="00C528D5" w:rsidP="00090CE9">
      <w:pPr>
        <w:pStyle w:val="ListBullet"/>
      </w:pPr>
      <w:r>
        <w:t>Based on mITT analysis, t</w:t>
      </w:r>
      <w:r w:rsidRPr="001B3A69">
        <w:t>he proportion</w:t>
      </w:r>
      <w:r>
        <w:t xml:space="preserve"> of patients judged by the investigator to have achieved clinical cure</w:t>
      </w:r>
      <w:r w:rsidRPr="001B3A69">
        <w:t xml:space="preserve"> at the</w:t>
      </w:r>
      <w:r>
        <w:t xml:space="preserve"> end of 10 day treatment (EOT) was 253/287 (88.2%)</w:t>
      </w:r>
      <w:r w:rsidRPr="001B3A69">
        <w:t xml:space="preserve"> </w:t>
      </w:r>
      <w:r>
        <w:t>in fidaxomicin</w:t>
      </w:r>
      <w:r w:rsidRPr="001B3A69">
        <w:t xml:space="preserve"> </w:t>
      </w:r>
      <w:r>
        <w:t>group compared to 265/309 (85.8</w:t>
      </w:r>
      <w:r w:rsidRPr="001B3A69">
        <w:t>%</w:t>
      </w:r>
      <w:r>
        <w:t>)</w:t>
      </w:r>
      <w:r w:rsidRPr="001B3A69">
        <w:t xml:space="preserve"> </w:t>
      </w:r>
      <w:r>
        <w:t xml:space="preserve">in </w:t>
      </w:r>
      <w:r w:rsidRPr="001B3A69">
        <w:t>vancomycin</w:t>
      </w:r>
      <w:r>
        <w:t xml:space="preserve"> group. The treatment difference was 2.4% with 95%CI of -3.1% to 7.8%. </w:t>
      </w:r>
      <w:r w:rsidRPr="001B3A69">
        <w:t>A similar result wa</w:t>
      </w:r>
      <w:r>
        <w:t>s obtained using PP population</w:t>
      </w:r>
      <w:r w:rsidRPr="001B3A69">
        <w:t xml:space="preserve"> with</w:t>
      </w:r>
      <w:r>
        <w:t xml:space="preserve"> cure rates of 92.1% for fidaxomicin and 89.8% for vancomycin (treatment difference 2.3% with 95%CI from -2.6 to 7.1). The non-inferiority was thus successfully demonstrated based on pre-defined criterion of</w:t>
      </w:r>
      <w:r w:rsidR="00DD718D">
        <w:t xml:space="preserve"> a</w:t>
      </w:r>
      <w:r>
        <w:t xml:space="preserve"> -10% margin</w:t>
      </w:r>
      <w:r w:rsidR="00924DE0">
        <w:t>.</w:t>
      </w:r>
    </w:p>
    <w:p w:rsidR="00C528D5" w:rsidRDefault="00C528D5" w:rsidP="00090CE9">
      <w:pPr>
        <w:pStyle w:val="ListBullet"/>
      </w:pPr>
      <w:r>
        <w:t>The cure rates for fidaxomicin were</w:t>
      </w:r>
      <w:r w:rsidRPr="001B3A69">
        <w:t xml:space="preserve"> numerically higher but not statis</w:t>
      </w:r>
      <w:r>
        <w:t>tically superior to vancomycin</w:t>
      </w:r>
      <w:r w:rsidRPr="001B3A69">
        <w:t>.</w:t>
      </w:r>
    </w:p>
    <w:p w:rsidR="00C528D5" w:rsidRDefault="00C528D5" w:rsidP="00090CE9">
      <w:pPr>
        <w:pStyle w:val="ListBullet"/>
      </w:pPr>
      <w:r>
        <w:t xml:space="preserve">A sensitivity analysis to assess the robustness of the primary result, using an alternative definition of cure </w:t>
      </w:r>
      <w:r w:rsidR="003B4B6A" w:rsidRPr="003B4B6A">
        <w:t>that is,</w:t>
      </w:r>
      <w:r>
        <w:t xml:space="preserve"> </w:t>
      </w:r>
      <w:r w:rsidR="005F4F28">
        <w:t>≤</w:t>
      </w:r>
      <w:r>
        <w:t xml:space="preserve"> 3 unformed bowel movements during treatment sustained to the EOT, supported the primary results</w:t>
      </w:r>
      <w:r w:rsidR="00924DE0">
        <w:t>.</w:t>
      </w:r>
    </w:p>
    <w:p w:rsidR="00C528D5" w:rsidRDefault="00C528D5" w:rsidP="00090CE9">
      <w:pPr>
        <w:pStyle w:val="ListBullet"/>
      </w:pPr>
      <w:r>
        <w:t xml:space="preserve">Subgroup analyses based on a number of baseline features were carried out and indicated consistent effect across studied strata including the initial strain of </w:t>
      </w:r>
      <w:r w:rsidRPr="0087221F">
        <w:rPr>
          <w:i/>
        </w:rPr>
        <w:t>C. difficile</w:t>
      </w:r>
      <w:r>
        <w:t xml:space="preserve"> (BI/non-BI) and the 2 formulations used in the trial. The cure rates at most participating centres were similar in both study drugs.</w:t>
      </w:r>
    </w:p>
    <w:p w:rsidR="00C528D5" w:rsidRDefault="00C528D5" w:rsidP="00090CE9">
      <w:pPr>
        <w:pStyle w:val="ListBullet"/>
      </w:pPr>
      <w:r w:rsidRPr="001B3A69">
        <w:t xml:space="preserve">The secondary </w:t>
      </w:r>
      <w:r>
        <w:t>efficacy variable</w:t>
      </w:r>
      <w:r w:rsidRPr="001B3A69">
        <w:t xml:space="preserve"> of </w:t>
      </w:r>
      <w:r>
        <w:t xml:space="preserve">rate of occurrence of </w:t>
      </w:r>
      <w:r w:rsidRPr="001B3A69">
        <w:t xml:space="preserve">recurrence was </w:t>
      </w:r>
      <w:r>
        <w:t>examined based on follow-up</w:t>
      </w:r>
      <w:r w:rsidRPr="001B3A69">
        <w:t xml:space="preserve"> for 28 (</w:t>
      </w:r>
      <w:r w:rsidR="005F4F28">
        <w:t>±</w:t>
      </w:r>
      <w:r w:rsidRPr="001B3A69">
        <w:t>2) days aft</w:t>
      </w:r>
      <w:r>
        <w:t>er the last dose of study medications in patients who achieved cure at EOT.</w:t>
      </w:r>
    </w:p>
    <w:p w:rsidR="00C528D5" w:rsidRDefault="00C528D5" w:rsidP="00090CE9">
      <w:pPr>
        <w:pStyle w:val="ListBullet"/>
      </w:pPr>
      <w:r>
        <w:t>In mITT</w:t>
      </w:r>
      <w:r w:rsidRPr="001B3A69">
        <w:t xml:space="preserve"> population, </w:t>
      </w:r>
      <w:r>
        <w:t>39/253 (15.4</w:t>
      </w:r>
      <w:r w:rsidRPr="001B3A69">
        <w:t>%</w:t>
      </w:r>
      <w:r>
        <w:t>) patients in fidaxomicin group compared to</w:t>
      </w:r>
      <w:r w:rsidRPr="001B3A69">
        <w:t xml:space="preserve"> </w:t>
      </w:r>
      <w:r>
        <w:t>67/265 (25.3</w:t>
      </w:r>
      <w:r w:rsidRPr="001B3A69">
        <w:t>%</w:t>
      </w:r>
      <w:r>
        <w:t>)</w:t>
      </w:r>
      <w:r w:rsidRPr="001B3A69">
        <w:t xml:space="preserve"> </w:t>
      </w:r>
      <w:r>
        <w:t xml:space="preserve">patients </w:t>
      </w:r>
      <w:r w:rsidRPr="001B3A69">
        <w:t>in the vancomycin group experienced</w:t>
      </w:r>
      <w:r>
        <w:t xml:space="preserve"> clinical recurrence</w:t>
      </w:r>
      <w:r w:rsidRPr="001B3A69">
        <w:t xml:space="preserve">. The </w:t>
      </w:r>
      <w:r>
        <w:t>treatment difference was -9.9% in favour of fidaxomicin (p = 0.005) with 95%</w:t>
      </w:r>
      <w:r w:rsidRPr="001B3A69">
        <w:t xml:space="preserve">CI </w:t>
      </w:r>
      <w:r>
        <w:t>for the between</w:t>
      </w:r>
      <w:r w:rsidRPr="001B3A69">
        <w:t xml:space="preserve"> groups </w:t>
      </w:r>
      <w:r>
        <w:t>treatment difference of -16.6% to -2.9%.</w:t>
      </w:r>
    </w:p>
    <w:p w:rsidR="00C528D5" w:rsidRDefault="00C528D5" w:rsidP="00090CE9">
      <w:pPr>
        <w:pStyle w:val="ListBullet"/>
      </w:pPr>
      <w:r w:rsidRPr="001B3A69">
        <w:t xml:space="preserve">In the PP population, </w:t>
      </w:r>
      <w:r>
        <w:t>28/211 (</w:t>
      </w:r>
      <w:r w:rsidRPr="001B3A69">
        <w:t>13.3%</w:t>
      </w:r>
      <w:r>
        <w:t>) patients in fidaxomicin group compared to 53/221</w:t>
      </w:r>
      <w:r w:rsidRPr="001B3A69">
        <w:t xml:space="preserve"> </w:t>
      </w:r>
      <w:r>
        <w:t>(</w:t>
      </w:r>
      <w:r w:rsidRPr="001B3A69">
        <w:t>24.0%</w:t>
      </w:r>
      <w:r>
        <w:t xml:space="preserve">) patients in </w:t>
      </w:r>
      <w:r w:rsidRPr="001B3A69">
        <w:t>vancomycin group experienced</w:t>
      </w:r>
      <w:r>
        <w:t xml:space="preserve"> clinical recurrence. The treatment difference was -10.7% with 95%CI from -17.9% to -3.3% (p = 0.004).</w:t>
      </w:r>
    </w:p>
    <w:p w:rsidR="00C528D5" w:rsidRDefault="00C528D5" w:rsidP="00A60293">
      <w:pPr>
        <w:ind w:left="284" w:hanging="284"/>
      </w:pPr>
      <w:r>
        <w:t>A modified recurrence analysi</w:t>
      </w:r>
      <w:r w:rsidR="005F4F28">
        <w:t>s using alternative definition wa</w:t>
      </w:r>
      <w:r>
        <w:t>s provided.</w:t>
      </w:r>
    </w:p>
    <w:p w:rsidR="00C528D5" w:rsidRDefault="00C528D5" w:rsidP="00090CE9">
      <w:r>
        <w:t xml:space="preserve">A number of subgroup analyses were conducted and showed consistent effect across all studied </w:t>
      </w:r>
      <w:r w:rsidRPr="00924DE0">
        <w:t>strata. Notable</w:t>
      </w:r>
      <w:r>
        <w:t xml:space="preserve"> instances where recurrence rates with fidaxomicin treatment were higher than with vancomycin treatment included Black participants (18.5%</w:t>
      </w:r>
      <w:r w:rsidR="003B4B6A" w:rsidRPr="003B4B6A">
        <w:t xml:space="preserve"> versus </w:t>
      </w:r>
      <w:r>
        <w:t>11.1%), CDAD antibiotic 24</w:t>
      </w:r>
      <w:r w:rsidR="00353ABC">
        <w:t xml:space="preserve"> h </w:t>
      </w:r>
      <w:r>
        <w:t>prior to study</w:t>
      </w:r>
      <w:r w:rsidR="005F4F28">
        <w:t xml:space="preserve"> ≥</w:t>
      </w:r>
      <w:r>
        <w:t xml:space="preserve"> 4 doses (44.4%</w:t>
      </w:r>
      <w:r w:rsidR="003B4B6A" w:rsidRPr="003B4B6A">
        <w:t xml:space="preserve"> versus </w:t>
      </w:r>
      <w:r>
        <w:t>27.8% based on small numbers) and initial BI strain (27.1%</w:t>
      </w:r>
      <w:r w:rsidR="003B4B6A" w:rsidRPr="003B4B6A">
        <w:t xml:space="preserve"> versus </w:t>
      </w:r>
      <w:r>
        <w:t>20.9%). Recurrence rates by centres were generally similar.</w:t>
      </w:r>
    </w:p>
    <w:p w:rsidR="00C528D5" w:rsidRDefault="00C528D5" w:rsidP="00090CE9">
      <w:r>
        <w:t>The median time to recurrence could not be calculated as recurrence rates were &lt; 50% in both groups.</w:t>
      </w:r>
    </w:p>
    <w:p w:rsidR="00C528D5" w:rsidRDefault="00C528D5" w:rsidP="00090CE9">
      <w:r>
        <w:t>Global efficacy as judged by global cure rate which aimed to capture patients who achieved clinical cure at EOT</w:t>
      </w:r>
      <w:r w:rsidRPr="001B3A69">
        <w:t xml:space="preserve"> without</w:t>
      </w:r>
      <w:r>
        <w:t xml:space="preserve"> </w:t>
      </w:r>
      <w:r w:rsidRPr="001B3A69">
        <w:t>recurrence</w:t>
      </w:r>
      <w:r>
        <w:t xml:space="preserve"> in the next 4 weeks of follow-up was 74.6% (214/287) in fidaxomicin treated patients compared to</w:t>
      </w:r>
      <w:r w:rsidRPr="001B3A69">
        <w:t xml:space="preserve"> </w:t>
      </w:r>
      <w:r>
        <w:t>64.1% (198/309) in</w:t>
      </w:r>
      <w:r w:rsidRPr="001B3A69">
        <w:t xml:space="preserve"> vanc</w:t>
      </w:r>
      <w:r>
        <w:t>omycin treated patients using mITT population. The treatment difference was 10.5% with 95%CI from 3.1% to 17.7% (p</w:t>
      </w:r>
      <w:r w:rsidR="00924DE0">
        <w:t> </w:t>
      </w:r>
      <w:r>
        <w:t>= 0.006). The results were similar using PP population</w:t>
      </w:r>
      <w:r w:rsidR="00924DE0">
        <w:t>.</w:t>
      </w:r>
    </w:p>
    <w:p w:rsidR="00C528D5" w:rsidRDefault="00C528D5" w:rsidP="00090CE9">
      <w:r>
        <w:t>The subgroup analyses for global cure rates also showed consistent effect across all strata. As noted earlier for the recurrence rate, the global response rate with fidaxomicin treatment (57.3%) was lower c</w:t>
      </w:r>
      <w:r w:rsidRPr="00924DE0">
        <w:t xml:space="preserve">ompared to that with vancomycin treatment (63.9%) when the initial strain of </w:t>
      </w:r>
      <w:r w:rsidRPr="00924DE0">
        <w:rPr>
          <w:i/>
        </w:rPr>
        <w:t>C. difficile</w:t>
      </w:r>
      <w:r w:rsidRPr="00924DE0">
        <w:t xml:space="preserve"> was BI. The global cure rates by study centres were similar between the two groups.</w:t>
      </w:r>
    </w:p>
    <w:p w:rsidR="00C528D5" w:rsidRDefault="00C528D5" w:rsidP="00090CE9">
      <w:r>
        <w:t>The median time to r</w:t>
      </w:r>
      <w:r w:rsidRPr="001B3A69">
        <w:t>esolution of</w:t>
      </w:r>
      <w:r>
        <w:t xml:space="preserve"> diarrhoea (TTROD) in mITT</w:t>
      </w:r>
      <w:r w:rsidRPr="001B3A69">
        <w:t xml:space="preserve"> popu</w:t>
      </w:r>
      <w:r>
        <w:t>lation was 58</w:t>
      </w:r>
      <w:r w:rsidR="00353ABC">
        <w:t xml:space="preserve"> h </w:t>
      </w:r>
      <w:r>
        <w:t>(95%CI from 54 to 73 hours) in fidaxomicin group compared with 78</w:t>
      </w:r>
      <w:r w:rsidR="00353ABC">
        <w:t xml:space="preserve"> h </w:t>
      </w:r>
      <w:r>
        <w:t xml:space="preserve">(95%CI from 60 to 95 hours) in </w:t>
      </w:r>
      <w:r w:rsidRPr="001B3A69">
        <w:t>vancomycin</w:t>
      </w:r>
      <w:r>
        <w:t xml:space="preserve"> patients. The group</w:t>
      </w:r>
      <w:r w:rsidRPr="001B3A69">
        <w:t xml:space="preserve"> diffe</w:t>
      </w:r>
      <w:r>
        <w:t>rence</w:t>
      </w:r>
      <w:r w:rsidRPr="001B3A69">
        <w:t xml:space="preserve"> was not stat</w:t>
      </w:r>
      <w:r>
        <w:t>istically significant.</w:t>
      </w:r>
    </w:p>
    <w:p w:rsidR="00C528D5" w:rsidRDefault="00C528D5" w:rsidP="00090CE9">
      <w:r>
        <w:t>At baseline, the mean unformed bowel movements (UBMs) were 8.1 (</w:t>
      </w:r>
      <w:r w:rsidR="005F4F28">
        <w:t>±</w:t>
      </w:r>
      <w:r>
        <w:t xml:space="preserve"> 4.2) and 8.4 (</w:t>
      </w:r>
      <w:r w:rsidR="005F4F28">
        <w:t>±</w:t>
      </w:r>
      <w:r>
        <w:t xml:space="preserve"> 5.4) per day in fidaxomicin and vancomycin groups respectively. On study </w:t>
      </w:r>
      <w:r w:rsidR="005F4F28">
        <w:t>D</w:t>
      </w:r>
      <w:r>
        <w:t>ay 12, the mean UBMs per were 0.4 (</w:t>
      </w:r>
      <w:r w:rsidR="005F4F28">
        <w:t>±</w:t>
      </w:r>
      <w:r>
        <w:t xml:space="preserve"> 1.3) and 0.7 (</w:t>
      </w:r>
      <w:r w:rsidR="005F4F28">
        <w:t>±</w:t>
      </w:r>
      <w:r>
        <w:t xml:space="preserve"> 1.6) for fidaxomicin and vancomycin groups respectively.</w:t>
      </w:r>
    </w:p>
    <w:p w:rsidR="00C528D5" w:rsidRDefault="00C528D5" w:rsidP="00090CE9">
      <w:r>
        <w:t xml:space="preserve">For plasma pharmacokinetic results, please also see above under the </w:t>
      </w:r>
      <w:r w:rsidRPr="00924DE0">
        <w:rPr>
          <w:i/>
        </w:rPr>
        <w:t>Pharmacokinetics</w:t>
      </w:r>
      <w:r>
        <w:t xml:space="preserve"> section.</w:t>
      </w:r>
    </w:p>
    <w:p w:rsidR="00C528D5" w:rsidRDefault="00C528D5" w:rsidP="00090CE9">
      <w:r>
        <w:t>At EOT, a</w:t>
      </w:r>
      <w:r w:rsidRPr="00666F0F">
        <w:t>verage</w:t>
      </w:r>
      <w:r>
        <w:t xml:space="preserve"> </w:t>
      </w:r>
      <w:r w:rsidRPr="00666F0F">
        <w:t>OPT-80 f</w:t>
      </w:r>
      <w:r>
        <w:t>a</w:t>
      </w:r>
      <w:r w:rsidRPr="00666F0F">
        <w:t>eca</w:t>
      </w:r>
      <w:r>
        <w:t>l levels were in excess of 1000</w:t>
      </w:r>
      <w:r w:rsidRPr="00666F0F">
        <w:t>μg/g</w:t>
      </w:r>
      <w:r>
        <w:t xml:space="preserve"> and OP-1118 levels were about 2/3 </w:t>
      </w:r>
      <w:r w:rsidRPr="00666F0F">
        <w:t>of the parent</w:t>
      </w:r>
      <w:r>
        <w:t xml:space="preserve"> consistent with what has previously seen in the clinical studies. T</w:t>
      </w:r>
      <w:r w:rsidRPr="00666F0F">
        <w:t>here was an indication of lower f</w:t>
      </w:r>
      <w:r>
        <w:t>a</w:t>
      </w:r>
      <w:r w:rsidRPr="00666F0F">
        <w:t>ecal levels and lower f</w:t>
      </w:r>
      <w:r>
        <w:t>a</w:t>
      </w:r>
      <w:r w:rsidRPr="00666F0F">
        <w:t>ecal</w:t>
      </w:r>
      <w:r>
        <w:t xml:space="preserve"> level/MIC in patients who</w:t>
      </w:r>
      <w:r w:rsidRPr="00666F0F">
        <w:t xml:space="preserve"> failed therapy</w:t>
      </w:r>
      <w:r>
        <w:t>. However, there was</w:t>
      </w:r>
      <w:r w:rsidRPr="00666F0F">
        <w:t xml:space="preserve"> broad overlap between the rang</w:t>
      </w:r>
      <w:r>
        <w:t>es for cures and failures and the</w:t>
      </w:r>
      <w:r w:rsidRPr="00666F0F">
        <w:t xml:space="preserve"> f</w:t>
      </w:r>
      <w:r>
        <w:t>a</w:t>
      </w:r>
      <w:r w:rsidRPr="00666F0F">
        <w:t>ecal levels were far in excess of the MIC in</w:t>
      </w:r>
      <w:r>
        <w:t xml:space="preserve"> </w:t>
      </w:r>
      <w:r w:rsidRPr="00666F0F">
        <w:t>both cures and failures.</w:t>
      </w:r>
    </w:p>
    <w:p w:rsidR="00C528D5" w:rsidRDefault="00C528D5" w:rsidP="00090CE9">
      <w:r>
        <w:rPr>
          <w:color w:val="000000"/>
        </w:rPr>
        <w:t>With respect to typing, m</w:t>
      </w:r>
      <w:r w:rsidRPr="00666F0F">
        <w:rPr>
          <w:color w:val="000000"/>
        </w:rPr>
        <w:t xml:space="preserve">any strains </w:t>
      </w:r>
      <w:r>
        <w:rPr>
          <w:color w:val="000000"/>
        </w:rPr>
        <w:t xml:space="preserve">did not fit into an REA group (Non-Sp. REA; 148/415; 35.6%). </w:t>
      </w:r>
      <w:r w:rsidRPr="00666F0F">
        <w:rPr>
          <w:color w:val="000000"/>
        </w:rPr>
        <w:t>BI was</w:t>
      </w:r>
      <w:r>
        <w:rPr>
          <w:color w:val="000000"/>
        </w:rPr>
        <w:t xml:space="preserve"> the most frequently</w:t>
      </w:r>
      <w:r w:rsidRPr="00666F0F">
        <w:rPr>
          <w:color w:val="000000"/>
        </w:rPr>
        <w:t xml:space="preserve"> isolat</w:t>
      </w:r>
      <w:r>
        <w:rPr>
          <w:color w:val="000000"/>
        </w:rPr>
        <w:t>ed strain (</w:t>
      </w:r>
      <w:r w:rsidRPr="00666F0F">
        <w:rPr>
          <w:color w:val="000000"/>
        </w:rPr>
        <w:t>158/415</w:t>
      </w:r>
      <w:r>
        <w:rPr>
          <w:color w:val="000000"/>
        </w:rPr>
        <w:t>; 38.1%</w:t>
      </w:r>
      <w:r w:rsidRPr="00666F0F">
        <w:rPr>
          <w:color w:val="000000"/>
        </w:rPr>
        <w:t xml:space="preserve">). </w:t>
      </w:r>
      <w:r>
        <w:rPr>
          <w:color w:val="000000"/>
        </w:rPr>
        <w:t xml:space="preserve">The </w:t>
      </w:r>
      <w:r w:rsidRPr="00666F0F">
        <w:rPr>
          <w:color w:val="000000"/>
        </w:rPr>
        <w:t>OPT-80 MIC</w:t>
      </w:r>
      <w:r w:rsidRPr="00666F0F">
        <w:rPr>
          <w:color w:val="000000"/>
          <w:vertAlign w:val="subscript"/>
        </w:rPr>
        <w:t>90</w:t>
      </w:r>
      <w:r w:rsidRPr="00666F0F">
        <w:rPr>
          <w:color w:val="000000"/>
        </w:rPr>
        <w:t xml:space="preserve"> values for all strains ranged</w:t>
      </w:r>
      <w:r>
        <w:rPr>
          <w:color w:val="000000"/>
        </w:rPr>
        <w:t xml:space="preserve"> between 0.003 and 0.5</w:t>
      </w:r>
      <w:r w:rsidR="005F4F28">
        <w:rPr>
          <w:color w:val="000000"/>
        </w:rPr>
        <w:t xml:space="preserve"> µ</w:t>
      </w:r>
      <w:r w:rsidRPr="00666F0F">
        <w:rPr>
          <w:color w:val="000000"/>
        </w:rPr>
        <w:t>g/mL, with the overall MIC</w:t>
      </w:r>
      <w:r w:rsidRPr="00666F0F">
        <w:rPr>
          <w:color w:val="000000"/>
          <w:vertAlign w:val="subscript"/>
        </w:rPr>
        <w:t>90</w:t>
      </w:r>
      <w:r>
        <w:rPr>
          <w:color w:val="000000"/>
        </w:rPr>
        <w:t xml:space="preserve"> being 0.25</w:t>
      </w:r>
      <w:r w:rsidR="005F4F28">
        <w:rPr>
          <w:color w:val="000000"/>
        </w:rPr>
        <w:t xml:space="preserve"> µ</w:t>
      </w:r>
      <w:r w:rsidRPr="00666F0F">
        <w:rPr>
          <w:color w:val="000000"/>
        </w:rPr>
        <w:t>g/mL</w:t>
      </w:r>
      <w:r w:rsidR="00924DE0">
        <w:rPr>
          <w:color w:val="000000"/>
        </w:rPr>
        <w:t>.</w:t>
      </w:r>
    </w:p>
    <w:p w:rsidR="00C528D5" w:rsidRPr="0024442F" w:rsidRDefault="00C528D5" w:rsidP="0024442F">
      <w:pPr>
        <w:pStyle w:val="Heading4"/>
        <w:numPr>
          <w:ilvl w:val="0"/>
          <w:numId w:val="0"/>
        </w:numPr>
        <w:rPr>
          <w:i/>
        </w:rPr>
      </w:pPr>
      <w:r w:rsidRPr="0024442F">
        <w:rPr>
          <w:i/>
        </w:rPr>
        <w:t>Evaluator’s comment</w:t>
      </w:r>
    </w:p>
    <w:p w:rsidR="00C528D5" w:rsidRDefault="00C528D5" w:rsidP="005F4F28">
      <w:r>
        <w:t>The trial successfully demonstrated equivalent efficacy with respect to clinical cure after 10 days of treatment with oral fidaxomicin (20</w:t>
      </w:r>
      <w:r w:rsidR="003B4B6A" w:rsidRPr="003B4B6A">
        <w:t>0 mg</w:t>
      </w:r>
      <w:r>
        <w:t xml:space="preserve"> 12 hourly) compared to oral vancomycin (15</w:t>
      </w:r>
      <w:r w:rsidR="003B4B6A" w:rsidRPr="003B4B6A">
        <w:t>0 mg</w:t>
      </w:r>
      <w:r>
        <w:t xml:space="preserve"> 6 hourly).</w:t>
      </w:r>
    </w:p>
    <w:p w:rsidR="00C528D5" w:rsidRDefault="00C528D5" w:rsidP="005F4F28">
      <w:r>
        <w:t xml:space="preserve">The fidaxomicin treatment was clinically and statistically superior to vancomycin treatment with respect to sustained efficacy </w:t>
      </w:r>
      <w:r w:rsidR="003B4B6A" w:rsidRPr="003B4B6A">
        <w:t>that is,</w:t>
      </w:r>
      <w:r>
        <w:t xml:space="preserve"> prevention of CDAD recurrence within 4 weeks after a 10 day course.</w:t>
      </w:r>
    </w:p>
    <w:p w:rsidR="00C528D5" w:rsidRDefault="00C528D5" w:rsidP="005F4F28">
      <w:r>
        <w:rPr>
          <w:color w:val="000000"/>
        </w:rPr>
        <w:t>Microbiological examination of clinical isolates from the trial showed no apparent differences</w:t>
      </w:r>
      <w:r w:rsidRPr="00666F0F">
        <w:rPr>
          <w:color w:val="000000"/>
        </w:rPr>
        <w:t xml:space="preserve"> between</w:t>
      </w:r>
      <w:r>
        <w:rPr>
          <w:color w:val="000000"/>
        </w:rPr>
        <w:t xml:space="preserve"> </w:t>
      </w:r>
      <w:r w:rsidRPr="00666F0F">
        <w:rPr>
          <w:color w:val="000000"/>
        </w:rPr>
        <w:t xml:space="preserve">the susceptibility of </w:t>
      </w:r>
      <w:r w:rsidRPr="004B7758">
        <w:rPr>
          <w:i/>
          <w:color w:val="000000"/>
        </w:rPr>
        <w:t>C. difficile</w:t>
      </w:r>
      <w:r>
        <w:rPr>
          <w:color w:val="000000"/>
        </w:rPr>
        <w:t xml:space="preserve"> </w:t>
      </w:r>
      <w:r w:rsidRPr="00666F0F">
        <w:rPr>
          <w:color w:val="000000"/>
        </w:rPr>
        <w:t xml:space="preserve">strains isolated from </w:t>
      </w:r>
      <w:r>
        <w:rPr>
          <w:color w:val="000000"/>
        </w:rPr>
        <w:t xml:space="preserve">clinical </w:t>
      </w:r>
      <w:r w:rsidRPr="00666F0F">
        <w:rPr>
          <w:color w:val="000000"/>
        </w:rPr>
        <w:t xml:space="preserve">cures versus </w:t>
      </w:r>
      <w:r>
        <w:rPr>
          <w:color w:val="000000"/>
        </w:rPr>
        <w:t xml:space="preserve">clinical </w:t>
      </w:r>
      <w:r w:rsidRPr="00666F0F">
        <w:rPr>
          <w:color w:val="000000"/>
        </w:rPr>
        <w:t>failures</w:t>
      </w:r>
      <w:r w:rsidR="00924DE0">
        <w:rPr>
          <w:color w:val="000000"/>
        </w:rPr>
        <w:t>.</w:t>
      </w:r>
    </w:p>
    <w:p w:rsidR="00C528D5" w:rsidRPr="00F1405B" w:rsidRDefault="00C528D5" w:rsidP="005F4F28">
      <w:pPr>
        <w:pStyle w:val="Heading3"/>
      </w:pPr>
      <w:bookmarkStart w:id="78" w:name="_Toc370734742"/>
      <w:r w:rsidRPr="00F1405B">
        <w:t>Study 101.1.C.004</w:t>
      </w:r>
      <w:bookmarkEnd w:id="78"/>
    </w:p>
    <w:p w:rsidR="00C528D5" w:rsidRDefault="00C528D5" w:rsidP="005F4F28">
      <w:r>
        <w:t>This was a also a randomised, double-blind, parallel group study to investigate</w:t>
      </w:r>
      <w:r w:rsidRPr="00006F7B">
        <w:t xml:space="preserve"> the</w:t>
      </w:r>
      <w:r>
        <w:t xml:space="preserve"> e</w:t>
      </w:r>
      <w:r w:rsidRPr="00006F7B">
        <w:t xml:space="preserve">fficacy </w:t>
      </w:r>
      <w:r>
        <w:t>and safety of fidaxomicin 20</w:t>
      </w:r>
      <w:r w:rsidR="003B4B6A" w:rsidRPr="003B4B6A">
        <w:t>0 mg</w:t>
      </w:r>
      <w:r>
        <w:t xml:space="preserve"> orally every 12</w:t>
      </w:r>
      <w:r w:rsidR="00353ABC">
        <w:t xml:space="preserve"> h </w:t>
      </w:r>
      <w:r>
        <w:t xml:space="preserve">compared with vancomycin 125mg orally every </w:t>
      </w:r>
      <w:r w:rsidRPr="00006F7B">
        <w:t>6</w:t>
      </w:r>
      <w:r w:rsidR="00353ABC">
        <w:t xml:space="preserve"> h </w:t>
      </w:r>
      <w:r>
        <w:t>for 10 days in patients w</w:t>
      </w:r>
      <w:r w:rsidRPr="00006F7B">
        <w:t xml:space="preserve">ith </w:t>
      </w:r>
      <w:r w:rsidRPr="00C528D5">
        <w:rPr>
          <w:i/>
          <w:iCs/>
        </w:rPr>
        <w:t>Clostridium difficile</w:t>
      </w:r>
      <w:r w:rsidRPr="00006F7B">
        <w:t>-Associated Diarrh</w:t>
      </w:r>
      <w:r>
        <w:t xml:space="preserve">oea (CDAD). The design of the study was similar to the preceding </w:t>
      </w:r>
      <w:r w:rsidR="005F4F28">
        <w:t>S</w:t>
      </w:r>
      <w:r>
        <w:t>tudy 003 including the non-inferiority comparison. The study was carried out at multiple sites in Europe, Canada and the United State.</w:t>
      </w:r>
    </w:p>
    <w:p w:rsidR="00C528D5" w:rsidRDefault="00C528D5" w:rsidP="005F4F28">
      <w:r>
        <w:t>The eligible patients</w:t>
      </w:r>
      <w:r w:rsidRPr="00006F7B">
        <w:t xml:space="preserve"> were male or female, 16 years of age or older, diagnosed</w:t>
      </w:r>
      <w:r>
        <w:t xml:space="preserve"> with CDAD who</w:t>
      </w:r>
      <w:r w:rsidRPr="00006F7B">
        <w:t xml:space="preserve"> had recei</w:t>
      </w:r>
      <w:r>
        <w:t>ved no more than 24</w:t>
      </w:r>
      <w:r w:rsidR="00353ABC">
        <w:t xml:space="preserve"> h </w:t>
      </w:r>
      <w:r>
        <w:t xml:space="preserve">of CDAD </w:t>
      </w:r>
      <w:r w:rsidRPr="00006F7B">
        <w:t>treatment with vancomycin and/or metronidazole (up to</w:t>
      </w:r>
      <w:r>
        <w:t xml:space="preserve"> </w:t>
      </w:r>
      <w:r w:rsidRPr="00006F7B">
        <w:t>four doses in total)</w:t>
      </w:r>
      <w:r>
        <w:t xml:space="preserve"> but other antibiotic use for CDAD was an exclusion factor. Individuals who failed at least a full 3 day course of metronidazole but continued to meet the definition of diarrhoea without any significant clinical improvement and remained toxic positive were eligible to participate. Patients with more than 1 episode of CDAD in last 3 months and those with history of inflammatory bow</w:t>
      </w:r>
      <w:r w:rsidR="005F4F28">
        <w:t>e</w:t>
      </w:r>
      <w:r>
        <w:t>l disease (ulcerative colitis and Crohn’s disease were also excluded</w:t>
      </w:r>
      <w:r w:rsidR="00924DE0">
        <w:t>.</w:t>
      </w:r>
    </w:p>
    <w:p w:rsidR="00C528D5" w:rsidRPr="00006F7B" w:rsidRDefault="00C528D5" w:rsidP="005F4F28">
      <w:r>
        <w:t>CDAD was defined as:</w:t>
      </w:r>
    </w:p>
    <w:p w:rsidR="00C528D5" w:rsidRDefault="00C528D5" w:rsidP="005F4F28">
      <w:pPr>
        <w:pStyle w:val="ListBullet"/>
      </w:pPr>
      <w:r w:rsidRPr="00006F7B">
        <w:t>Diarrh</w:t>
      </w:r>
      <w:r>
        <w:t>oea</w:t>
      </w:r>
      <w:r w:rsidR="005F4F28">
        <w:t>:</w:t>
      </w:r>
      <w:r>
        <w:t xml:space="preserve"> </w:t>
      </w:r>
      <w:r w:rsidRPr="00006F7B">
        <w:t xml:space="preserve">change in bowel habits with </w:t>
      </w:r>
      <w:r w:rsidRPr="00006F7B">
        <w:rPr>
          <w:rFonts w:eastAsia="SymbolMT"/>
        </w:rPr>
        <w:t>&gt;</w:t>
      </w:r>
      <w:r>
        <w:rPr>
          <w:rFonts w:eastAsia="SymbolMT"/>
        </w:rPr>
        <w:t xml:space="preserve"> </w:t>
      </w:r>
      <w:r w:rsidRPr="00006F7B">
        <w:t xml:space="preserve">3 unformed bowel movements (or </w:t>
      </w:r>
      <w:r w:rsidRPr="00006F7B">
        <w:rPr>
          <w:rFonts w:eastAsia="SymbolMT"/>
        </w:rPr>
        <w:t>&gt;</w:t>
      </w:r>
      <w:r>
        <w:rPr>
          <w:rFonts w:eastAsia="SymbolMT"/>
        </w:rPr>
        <w:t xml:space="preserve"> </w:t>
      </w:r>
      <w:r>
        <w:t>200mL unformed stool for patients on</w:t>
      </w:r>
      <w:r w:rsidRPr="00006F7B">
        <w:t xml:space="preserve"> rectal collection devices)</w:t>
      </w:r>
      <w:r>
        <w:t xml:space="preserve"> in the 24</w:t>
      </w:r>
      <w:r w:rsidR="00353ABC">
        <w:t xml:space="preserve"> h </w:t>
      </w:r>
      <w:r>
        <w:t>before randomis</w:t>
      </w:r>
      <w:r w:rsidRPr="00006F7B">
        <w:t>ation</w:t>
      </w:r>
      <w:r>
        <w:t>;</w:t>
      </w:r>
    </w:p>
    <w:p w:rsidR="00C528D5" w:rsidRPr="00006F7B" w:rsidRDefault="00C528D5" w:rsidP="005F4F28">
      <w:pPr>
        <w:pStyle w:val="ListBullet"/>
        <w:numPr>
          <w:ilvl w:val="0"/>
          <w:numId w:val="0"/>
        </w:numPr>
        <w:ind w:left="360"/>
      </w:pPr>
      <w:r>
        <w:t>and</w:t>
      </w:r>
    </w:p>
    <w:p w:rsidR="00C528D5" w:rsidRDefault="00C528D5" w:rsidP="005F4F28">
      <w:pPr>
        <w:pStyle w:val="ListBullet"/>
      </w:pPr>
      <w:r>
        <w:t>Presence of</w:t>
      </w:r>
      <w:r w:rsidRPr="00006F7B">
        <w:t xml:space="preserve"> toxin A or B of </w:t>
      </w:r>
      <w:r w:rsidRPr="00C528D5">
        <w:rPr>
          <w:i/>
          <w:iCs/>
        </w:rPr>
        <w:t>Clostridium difficile</w:t>
      </w:r>
      <w:r w:rsidRPr="00006F7B">
        <w:rPr>
          <w:i/>
          <w:iCs/>
        </w:rPr>
        <w:t xml:space="preserve"> </w:t>
      </w:r>
      <w:r w:rsidRPr="00006F7B">
        <w:t>in the s</w:t>
      </w:r>
      <w:r>
        <w:t>tool within 48</w:t>
      </w:r>
      <w:r w:rsidR="00353ABC">
        <w:t xml:space="preserve"> h </w:t>
      </w:r>
      <w:r>
        <w:t>of randomis</w:t>
      </w:r>
      <w:r w:rsidRPr="00006F7B">
        <w:t>ation for metronidazole</w:t>
      </w:r>
      <w:r>
        <w:t xml:space="preserve"> </w:t>
      </w:r>
      <w:r w:rsidRPr="00006F7B">
        <w:t>failures</w:t>
      </w:r>
      <w:r>
        <w:t>, or within 96</w:t>
      </w:r>
      <w:r w:rsidR="00353ABC">
        <w:t xml:space="preserve"> h </w:t>
      </w:r>
      <w:r>
        <w:t>of randomisation for patients</w:t>
      </w:r>
      <w:r w:rsidRPr="00006F7B">
        <w:t xml:space="preserve"> with ≤</w:t>
      </w:r>
      <w:r>
        <w:t xml:space="preserve"> </w:t>
      </w:r>
      <w:r w:rsidRPr="00006F7B">
        <w:t>24</w:t>
      </w:r>
      <w:r w:rsidR="00353ABC">
        <w:t xml:space="preserve"> h </w:t>
      </w:r>
      <w:r w:rsidRPr="00006F7B">
        <w:t>pre</w:t>
      </w:r>
      <w:r>
        <w:t>-treatment with CDAD</w:t>
      </w:r>
      <w:r w:rsidRPr="00006F7B">
        <w:t xml:space="preserve"> therapy</w:t>
      </w:r>
      <w:r>
        <w:t>.</w:t>
      </w:r>
    </w:p>
    <w:p w:rsidR="00C528D5" w:rsidRDefault="00C528D5" w:rsidP="005F4F28">
      <w:r>
        <w:t>Based on the results from the</w:t>
      </w:r>
      <w:r w:rsidR="005F4F28">
        <w:t xml:space="preserve"> previous S</w:t>
      </w:r>
      <w:r w:rsidRPr="00006F7B">
        <w:t>tudy</w:t>
      </w:r>
      <w:r>
        <w:t xml:space="preserve"> 003 which became available during planning of this study, </w:t>
      </w:r>
      <w:r w:rsidRPr="00006F7B">
        <w:t>the assum</w:t>
      </w:r>
      <w:r>
        <w:t>ptions for sample size calculation</w:t>
      </w:r>
      <w:r w:rsidRPr="00006F7B">
        <w:t xml:space="preserve"> were</w:t>
      </w:r>
      <w:r>
        <w:t xml:space="preserve"> updated to 90% cure rate and</w:t>
      </w:r>
      <w:r w:rsidRPr="00006F7B">
        <w:t xml:space="preserve"> 85% evaluability rate. </w:t>
      </w:r>
      <w:r>
        <w:t>T</w:t>
      </w:r>
      <w:r w:rsidRPr="00006F7B">
        <w:t xml:space="preserve">he sample size </w:t>
      </w:r>
      <w:r>
        <w:t>thus required was 483 patients to achieve</w:t>
      </w:r>
      <w:r w:rsidRPr="00006F7B">
        <w:t xml:space="preserve"> 90% power</w:t>
      </w:r>
      <w:r>
        <w:t xml:space="preserve"> at</w:t>
      </w:r>
      <w:r w:rsidR="00DD718D">
        <w:t xml:space="preserve"> a</w:t>
      </w:r>
      <w:r w:rsidRPr="00006F7B">
        <w:t xml:space="preserve"> </w:t>
      </w:r>
      <w:r w:rsidR="00DD718D">
        <w:noBreakHyphen/>
        <w:t>1</w:t>
      </w:r>
      <w:r w:rsidRPr="00006F7B">
        <w:t>0% non-inf</w:t>
      </w:r>
      <w:r>
        <w:t xml:space="preserve">eriority margin. A total of 535 patients were randomised with </w:t>
      </w:r>
      <w:r w:rsidRPr="00006F7B">
        <w:t>270 to the fidaxomicin treatment grou</w:t>
      </w:r>
      <w:r>
        <w:t xml:space="preserve">p and </w:t>
      </w:r>
      <w:r w:rsidRPr="00006F7B">
        <w:t>265 to th</w:t>
      </w:r>
      <w:r>
        <w:t>e vancomycin treatment group</w:t>
      </w:r>
      <w:r w:rsidR="00924DE0">
        <w:t>.</w:t>
      </w:r>
    </w:p>
    <w:p w:rsidR="00C528D5" w:rsidRDefault="00C528D5" w:rsidP="005F4F28">
      <w:r>
        <w:t>At randomisation, the patients</w:t>
      </w:r>
      <w:r w:rsidRPr="00006F7B">
        <w:t xml:space="preserve"> were stratifi</w:t>
      </w:r>
      <w:r>
        <w:t>ed based on having been with or without one episode of CDAD in 3 months preceding enrolment. The two treatment groups were as follows:</w:t>
      </w:r>
    </w:p>
    <w:p w:rsidR="00C528D5" w:rsidRDefault="00C528D5" w:rsidP="0024442F">
      <w:pPr>
        <w:pStyle w:val="Numberbullet0"/>
        <w:numPr>
          <w:ilvl w:val="0"/>
          <w:numId w:val="25"/>
        </w:numPr>
      </w:pPr>
      <w:r>
        <w:t>F</w:t>
      </w:r>
      <w:r w:rsidRPr="00E63634">
        <w:t xml:space="preserve">idaxomicin </w:t>
      </w:r>
      <w:r>
        <w:t>group (20</w:t>
      </w:r>
      <w:r w:rsidR="003B4B6A" w:rsidRPr="003B4B6A">
        <w:t>0 mg</w:t>
      </w:r>
      <w:r>
        <w:t xml:space="preserve"> capsule every 12 hours)</w:t>
      </w:r>
    </w:p>
    <w:p w:rsidR="00C528D5" w:rsidRPr="00E63634" w:rsidRDefault="00C528D5" w:rsidP="0024442F">
      <w:pPr>
        <w:pStyle w:val="Numberbullet0"/>
        <w:numPr>
          <w:ilvl w:val="0"/>
          <w:numId w:val="25"/>
        </w:numPr>
      </w:pPr>
      <w:r>
        <w:t>V</w:t>
      </w:r>
      <w:r w:rsidRPr="00E63634">
        <w:t xml:space="preserve">ancomycin </w:t>
      </w:r>
      <w:r>
        <w:t>group (</w:t>
      </w:r>
      <w:r w:rsidRPr="00E63634">
        <w:t xml:space="preserve">125mg </w:t>
      </w:r>
      <w:r>
        <w:t>capsule every 6 hours)</w:t>
      </w:r>
    </w:p>
    <w:p w:rsidR="00C528D5" w:rsidRDefault="00C528D5" w:rsidP="00673A80">
      <w:r>
        <w:t xml:space="preserve">The study drugs were administered orally. The duration of treatment was 10 days. The fidaxomicin formulation used in this trial was similar to the formulation 1 in the previous </w:t>
      </w:r>
      <w:r w:rsidR="00673A80">
        <w:t>S</w:t>
      </w:r>
      <w:r>
        <w:t>tudy 003. The study drugs needed over-encapsulated in both trials and placebo for masking.</w:t>
      </w:r>
    </w:p>
    <w:p w:rsidR="00C528D5" w:rsidRPr="00006F7B" w:rsidRDefault="00C528D5" w:rsidP="00673A80">
      <w:r w:rsidRPr="00006F7B">
        <w:t>The p</w:t>
      </w:r>
      <w:r>
        <w:t>rimary efficacy variable was</w:t>
      </w:r>
      <w:r w:rsidRPr="00006F7B">
        <w:t xml:space="preserve"> cure rate at end of therapy</w:t>
      </w:r>
      <w:r>
        <w:t xml:space="preserve"> (EOT). The secondary efficacy variables were rate of recurrence</w:t>
      </w:r>
      <w:r w:rsidRPr="00006F7B">
        <w:t xml:space="preserve"> and </w:t>
      </w:r>
      <w:r>
        <w:t>rate of global cure</w:t>
      </w:r>
      <w:r w:rsidRPr="00006F7B">
        <w:t>.</w:t>
      </w:r>
    </w:p>
    <w:p w:rsidR="00C528D5" w:rsidRDefault="00C528D5" w:rsidP="00673A80">
      <w:r>
        <w:t>The patients</w:t>
      </w:r>
      <w:r w:rsidRPr="00006F7B">
        <w:t xml:space="preserve"> were evaluated</w:t>
      </w:r>
      <w:r>
        <w:t xml:space="preserve"> </w:t>
      </w:r>
      <w:r w:rsidR="00673A80">
        <w:t xml:space="preserve">clinically during the 10 </w:t>
      </w:r>
      <w:r w:rsidRPr="00006F7B">
        <w:t xml:space="preserve">day course of therapy for </w:t>
      </w:r>
      <w:r>
        <w:t xml:space="preserve">clinical cure or failure. The cured patients were </w:t>
      </w:r>
      <w:r w:rsidRPr="00006F7B">
        <w:t xml:space="preserve">followed for 28 </w:t>
      </w:r>
      <w:r w:rsidR="00673A80">
        <w:t>±</w:t>
      </w:r>
      <w:r>
        <w:t xml:space="preserve"> </w:t>
      </w:r>
      <w:r w:rsidRPr="00006F7B">
        <w:t>2 days after the last dose</w:t>
      </w:r>
      <w:r>
        <w:t xml:space="preserve"> of study drugs</w:t>
      </w:r>
      <w:r w:rsidRPr="00006F7B">
        <w:t xml:space="preserve"> </w:t>
      </w:r>
      <w:r>
        <w:t xml:space="preserve">to ascertain </w:t>
      </w:r>
      <w:r w:rsidRPr="00006F7B">
        <w:t xml:space="preserve">recurrence. </w:t>
      </w:r>
    </w:p>
    <w:p w:rsidR="00C528D5" w:rsidRDefault="00C528D5" w:rsidP="00673A80">
      <w:r>
        <w:t>Both clinical outcomes</w:t>
      </w:r>
      <w:r w:rsidRPr="00006F7B">
        <w:t xml:space="preserve"> (cure/failure,</w:t>
      </w:r>
      <w:r>
        <w:t xml:space="preserve"> recurrence) were based on investigator assessment of symptoms of CDAD in particular diarrhoea.</w:t>
      </w:r>
    </w:p>
    <w:p w:rsidR="00C528D5" w:rsidRDefault="00C528D5" w:rsidP="00673A80">
      <w:r>
        <w:t>All patients in</w:t>
      </w:r>
      <w:r w:rsidRPr="00006F7B">
        <w:t xml:space="preserve"> were also</w:t>
      </w:r>
      <w:r>
        <w:t xml:space="preserve"> </w:t>
      </w:r>
      <w:r w:rsidRPr="00006F7B">
        <w:t>evaluated for g</w:t>
      </w:r>
      <w:r>
        <w:t xml:space="preserve">lobal cure </w:t>
      </w:r>
      <w:r w:rsidR="003B4B6A" w:rsidRPr="003B4B6A">
        <w:t>that is,</w:t>
      </w:r>
      <w:r>
        <w:t xml:space="preserve"> cure without </w:t>
      </w:r>
      <w:r w:rsidRPr="00006F7B">
        <w:t xml:space="preserve">recurrence at any </w:t>
      </w:r>
      <w:r>
        <w:t>time up to the post-study follow visit.</w:t>
      </w:r>
    </w:p>
    <w:p w:rsidR="00C528D5" w:rsidRDefault="00C528D5" w:rsidP="00673A80">
      <w:r>
        <w:t>The patients</w:t>
      </w:r>
      <w:r w:rsidRPr="00006F7B">
        <w:t xml:space="preserve"> who were cured were evaluated for</w:t>
      </w:r>
      <w:r>
        <w:t xml:space="preserve"> </w:t>
      </w:r>
      <w:r w:rsidRPr="00006F7B">
        <w:t>diarrh</w:t>
      </w:r>
      <w:r>
        <w:t xml:space="preserve">oea during the post-treatment follow-up from </w:t>
      </w:r>
      <w:r w:rsidR="00673A80">
        <w:t>D</w:t>
      </w:r>
      <w:r w:rsidRPr="00006F7B">
        <w:t>ays 36</w:t>
      </w:r>
      <w:r>
        <w:t>-40 (post-study visit). The patients</w:t>
      </w:r>
      <w:r w:rsidRPr="00006F7B">
        <w:t xml:space="preserve"> with recurring</w:t>
      </w:r>
      <w:r>
        <w:t xml:space="preserve"> </w:t>
      </w:r>
      <w:r w:rsidRPr="00006F7B">
        <w:t>diarrh</w:t>
      </w:r>
      <w:r>
        <w:t>o</w:t>
      </w:r>
      <w:r w:rsidRPr="00006F7B">
        <w:t>ea were evaluated for the presence of toxin A and B. The co-administration of any oral or parenteral</w:t>
      </w:r>
      <w:r>
        <w:t xml:space="preserve"> antibacterial</w:t>
      </w:r>
      <w:r w:rsidRPr="00006F7B">
        <w:t xml:space="preserve"> was captured up to the</w:t>
      </w:r>
      <w:r>
        <w:t xml:space="preserve"> post-study visit. </w:t>
      </w:r>
      <w:r w:rsidRPr="00006F7B">
        <w:t>Toxin A and B</w:t>
      </w:r>
      <w:r>
        <w:t xml:space="preserve"> </w:t>
      </w:r>
      <w:r w:rsidRPr="00006F7B">
        <w:t xml:space="preserve">assays were </w:t>
      </w:r>
      <w:r>
        <w:t xml:space="preserve">also </w:t>
      </w:r>
      <w:r w:rsidRPr="00006F7B">
        <w:t>performed at the early termination visit f</w:t>
      </w:r>
      <w:r>
        <w:t>or patients who experienced clinical failure.</w:t>
      </w:r>
    </w:p>
    <w:p w:rsidR="00C528D5" w:rsidRDefault="00C528D5" w:rsidP="00673A80">
      <w:r>
        <w:t>The patients</w:t>
      </w:r>
      <w:r w:rsidRPr="00006F7B">
        <w:t xml:space="preserve"> who, in the</w:t>
      </w:r>
      <w:r>
        <w:t xml:space="preserve"> opinion of the i</w:t>
      </w:r>
      <w:r w:rsidRPr="00006F7B">
        <w:t>nvestigator, required no further CDI therapy 2 days after completion of study medication were</w:t>
      </w:r>
      <w:r>
        <w:t xml:space="preserve"> </w:t>
      </w:r>
      <w:r w:rsidRPr="00006F7B">
        <w:t>consid</w:t>
      </w:r>
      <w:r>
        <w:t>ered cured.</w:t>
      </w:r>
    </w:p>
    <w:p w:rsidR="00C528D5" w:rsidRDefault="00C528D5" w:rsidP="00673A80">
      <w:r>
        <w:t>The patients</w:t>
      </w:r>
      <w:r w:rsidRPr="00006F7B">
        <w:t xml:space="preserve"> who had three or fewer unformed stools for two consecutive days and who remained well</w:t>
      </w:r>
      <w:r>
        <w:t xml:space="preserve"> </w:t>
      </w:r>
      <w:r w:rsidRPr="00006F7B">
        <w:t>before study medication discontinuat</w:t>
      </w:r>
      <w:r>
        <w:t>ion were also considered cured.</w:t>
      </w:r>
    </w:p>
    <w:p w:rsidR="00C528D5" w:rsidRDefault="00C528D5" w:rsidP="00673A80">
      <w:r>
        <w:t>The investigator assessment of cure was as follows:</w:t>
      </w:r>
    </w:p>
    <w:p w:rsidR="00C528D5" w:rsidRDefault="00C528D5" w:rsidP="00673A80">
      <w:r>
        <w:t>At EOT, the patients with</w:t>
      </w:r>
      <w:r w:rsidRPr="00006F7B">
        <w:t xml:space="preserve"> marked reduction in the numbe</w:t>
      </w:r>
      <w:r>
        <w:t>r of unformed stools and whose</w:t>
      </w:r>
      <w:r w:rsidRPr="00006F7B">
        <w:t xml:space="preserve"> residual and mild abdominal discomfort</w:t>
      </w:r>
      <w:r>
        <w:t xml:space="preserve"> was interpreted by the i</w:t>
      </w:r>
      <w:r w:rsidRPr="00006F7B">
        <w:t>nvestigator as recovering bowel</w:t>
      </w:r>
      <w:r>
        <w:t xml:space="preserve"> could be deemed cured provided</w:t>
      </w:r>
      <w:r w:rsidRPr="00006F7B">
        <w:t xml:space="preserve"> that no new</w:t>
      </w:r>
      <w:r>
        <w:t xml:space="preserve"> anti-infective</w:t>
      </w:r>
      <w:r w:rsidRPr="00006F7B">
        <w:t xml:space="preserve"> therapy </w:t>
      </w:r>
      <w:r>
        <w:t xml:space="preserve">for CDAD </w:t>
      </w:r>
      <w:r w:rsidRPr="00006F7B">
        <w:t>was required, and provided they remained stable for the two</w:t>
      </w:r>
      <w:r>
        <w:t xml:space="preserve"> </w:t>
      </w:r>
      <w:r w:rsidRPr="00006F7B">
        <w:t>subsequent days following completion of study medicat</w:t>
      </w:r>
      <w:r>
        <w:t>ion.</w:t>
      </w:r>
    </w:p>
    <w:p w:rsidR="00C528D5" w:rsidRDefault="00C528D5" w:rsidP="00673A80">
      <w:r>
        <w:t>The patients</w:t>
      </w:r>
      <w:r w:rsidRPr="00006F7B">
        <w:t xml:space="preserve"> who were co</w:t>
      </w:r>
      <w:r w:rsidR="00673A80">
        <w:t>nsidered cured based on stabilis</w:t>
      </w:r>
      <w:r w:rsidRPr="00006F7B">
        <w:t>ation</w:t>
      </w:r>
      <w:r>
        <w:t xml:space="preserve"> and improvement in CDAD</w:t>
      </w:r>
      <w:r w:rsidRPr="00006F7B">
        <w:t xml:space="preserve"> signs and symptoms were evaluated 2 to 3 days after the completion of study medication. In</w:t>
      </w:r>
      <w:r>
        <w:t xml:space="preserve"> </w:t>
      </w:r>
      <w:r w:rsidRPr="00006F7B">
        <w:t>the event that signs or sy</w:t>
      </w:r>
      <w:r>
        <w:t>mptoms of CDI worsened, patients</w:t>
      </w:r>
      <w:r w:rsidRPr="00006F7B">
        <w:t xml:space="preserve"> were to be designated primary failures. If they remained</w:t>
      </w:r>
      <w:r>
        <w:t xml:space="preserve"> </w:t>
      </w:r>
      <w:r w:rsidRPr="00006F7B">
        <w:t>stable and were not conside</w:t>
      </w:r>
      <w:r>
        <w:t>red to have required further CDAD</w:t>
      </w:r>
      <w:r w:rsidRPr="00006F7B">
        <w:t xml:space="preserve"> therapy to maintain the</w:t>
      </w:r>
      <w:r>
        <w:t xml:space="preserve">ir stable state, they were </w:t>
      </w:r>
      <w:r w:rsidRPr="00006F7B">
        <w:t>followed for recurrence as cures.</w:t>
      </w:r>
    </w:p>
    <w:p w:rsidR="00C528D5" w:rsidRPr="00006F7B" w:rsidRDefault="00C528D5" w:rsidP="00673A80">
      <w:r>
        <w:t>Another efficacy variable was</w:t>
      </w:r>
      <w:r w:rsidRPr="00006F7B">
        <w:t xml:space="preserve"> time to resolution of diarrh</w:t>
      </w:r>
      <w:r>
        <w:t>o</w:t>
      </w:r>
      <w:r w:rsidRPr="00006F7B">
        <w:t>ea (T</w:t>
      </w:r>
      <w:r>
        <w:t xml:space="preserve">TROD) </w:t>
      </w:r>
      <w:r w:rsidRPr="00006F7B">
        <w:t>defined as the time</w:t>
      </w:r>
      <w:r>
        <w:t xml:space="preserve"> </w:t>
      </w:r>
      <w:r w:rsidRPr="00006F7B">
        <w:t>from</w:t>
      </w:r>
      <w:r>
        <w:t xml:space="preserve"> start of treatment to</w:t>
      </w:r>
      <w:r w:rsidRPr="00006F7B">
        <w:t xml:space="preserve"> resolution of diarrh</w:t>
      </w:r>
      <w:r>
        <w:t>o</w:t>
      </w:r>
      <w:r w:rsidRPr="00006F7B">
        <w:t xml:space="preserve">ea </w:t>
      </w:r>
      <w:r>
        <w:t>which was sustained to</w:t>
      </w:r>
      <w:r w:rsidRPr="00006F7B">
        <w:t xml:space="preserve"> EOT.</w:t>
      </w:r>
    </w:p>
    <w:p w:rsidR="00C528D5" w:rsidRPr="00006F7B" w:rsidRDefault="00C528D5" w:rsidP="00673A80">
      <w:r w:rsidRPr="00006F7B">
        <w:t>The prima</w:t>
      </w:r>
      <w:r>
        <w:t xml:space="preserve">ry statistical objective of the study was to show that a 10 </w:t>
      </w:r>
      <w:r w:rsidRPr="00006F7B">
        <w:t>day course of fidaxomicin</w:t>
      </w:r>
      <w:r>
        <w:t xml:space="preserve"> 20</w:t>
      </w:r>
      <w:r w:rsidR="003B4B6A" w:rsidRPr="003B4B6A">
        <w:t>0 mg</w:t>
      </w:r>
      <w:r>
        <w:t xml:space="preserve"> orally every 12</w:t>
      </w:r>
      <w:r w:rsidR="00353ABC">
        <w:t xml:space="preserve"> h </w:t>
      </w:r>
      <w:r>
        <w:t>was non-</w:t>
      </w:r>
      <w:r w:rsidRPr="00006F7B">
        <w:t xml:space="preserve">inferior to </w:t>
      </w:r>
      <w:r>
        <w:t xml:space="preserve">a 10 </w:t>
      </w:r>
      <w:r w:rsidRPr="00006F7B">
        <w:t>day course of vancomyc</w:t>
      </w:r>
      <w:r>
        <w:t>in 125</w:t>
      </w:r>
      <w:r w:rsidR="00673A80">
        <w:t xml:space="preserve"> </w:t>
      </w:r>
      <w:r>
        <w:t>mg orally every 6</w:t>
      </w:r>
      <w:r w:rsidR="00353ABC">
        <w:t xml:space="preserve"> h </w:t>
      </w:r>
      <w:r>
        <w:t>in the treatment of CDAD for achieving clinical cure at end of therapy</w:t>
      </w:r>
      <w:r w:rsidRPr="00006F7B">
        <w:t>. The primary efficacy endpoint was the cure rate</w:t>
      </w:r>
      <w:r>
        <w:t xml:space="preserve"> at EOT</w:t>
      </w:r>
      <w:r w:rsidRPr="00006F7B">
        <w:t>.</w:t>
      </w:r>
      <w:r>
        <w:t xml:space="preserve"> The pre-defined non-inferiority margin was -10% with respect to the treatment difference between the two groups</w:t>
      </w:r>
      <w:r w:rsidRPr="00006F7B">
        <w:t>.</w:t>
      </w:r>
    </w:p>
    <w:p w:rsidR="00C528D5" w:rsidRDefault="00C528D5" w:rsidP="00673A80">
      <w:r w:rsidRPr="00006F7B">
        <w:t xml:space="preserve">A gate-keeping strategy </w:t>
      </w:r>
      <w:r>
        <w:t>was employed to control Type 1 error rate in</w:t>
      </w:r>
      <w:r w:rsidRPr="00006F7B">
        <w:t xml:space="preserve"> testing secondary endpoints.</w:t>
      </w:r>
      <w:r>
        <w:t xml:space="preserve"> If the non-inferiority of fidaxomicin to vancomycin was demonstrated for both the PP and mITT populations at 2-sided alpha 0.05, then the superiority comparison of treatments for recurrence rates was made (2-sided alpha = 0.05). If the treatment comparison for recurrence rates was statistically significant in favour of fidaxomicin for both the mITT and PP populations, then the superiority comparison of treatments for global cure All efficacy analyses was performed (2-sided alpha = 0.05).</w:t>
      </w:r>
    </w:p>
    <w:p w:rsidR="00C528D5" w:rsidRPr="00006F7B" w:rsidRDefault="00C528D5" w:rsidP="00673A80">
      <w:r w:rsidRPr="00006F7B">
        <w:t xml:space="preserve">All efficacy endpoints were </w:t>
      </w:r>
      <w:r>
        <w:t xml:space="preserve">also </w:t>
      </w:r>
      <w:r w:rsidRPr="00006F7B">
        <w:t>evaluated across</w:t>
      </w:r>
      <w:r>
        <w:t xml:space="preserve"> several subgroups including</w:t>
      </w:r>
      <w:r w:rsidRPr="00006F7B">
        <w:t xml:space="preserve"> age group, sex, race, prior occurrence of</w:t>
      </w:r>
      <w:r>
        <w:t xml:space="preserve"> CDAD</w:t>
      </w:r>
      <w:r w:rsidRPr="00006F7B">
        <w:t>, country, baseline disease severity</w:t>
      </w:r>
      <w:r w:rsidR="00DD718D">
        <w:t>.</w:t>
      </w:r>
      <w:r>
        <w:t xml:space="preserve"> CDAD</w:t>
      </w:r>
      <w:r w:rsidRPr="00006F7B">
        <w:t xml:space="preserve"> antibiotic therapy received 24</w:t>
      </w:r>
      <w:r w:rsidR="00353ABC">
        <w:t xml:space="preserve"> h </w:t>
      </w:r>
      <w:r w:rsidRPr="00006F7B">
        <w:t>prior to study, metronidazole failure</w:t>
      </w:r>
      <w:r>
        <w:t xml:space="preserve"> </w:t>
      </w:r>
      <w:r w:rsidRPr="00006F7B">
        <w:t>before study, concomitant antibacteria</w:t>
      </w:r>
      <w:r>
        <w:t xml:space="preserve">l therapy, inpatient/outpatient status, and initial strain of </w:t>
      </w:r>
      <w:r w:rsidRPr="0024253B">
        <w:rPr>
          <w:i/>
        </w:rPr>
        <w:t>C. difficile</w:t>
      </w:r>
      <w:r>
        <w:t xml:space="preserve"> </w:t>
      </w:r>
      <w:r w:rsidR="003B4B6A" w:rsidRPr="003B4B6A">
        <w:t>that is,</w:t>
      </w:r>
      <w:r w:rsidRPr="00006F7B">
        <w:t xml:space="preserve"> BI</w:t>
      </w:r>
      <w:r>
        <w:t xml:space="preserve"> strain/non-BI strain</w:t>
      </w:r>
      <w:r w:rsidRPr="00006F7B">
        <w:t>.</w:t>
      </w:r>
    </w:p>
    <w:p w:rsidR="00C528D5" w:rsidRDefault="00C528D5" w:rsidP="00673A80">
      <w:r>
        <w:t>As the number of centre</w:t>
      </w:r>
      <w:r w:rsidRPr="00006F7B">
        <w:t>s</w:t>
      </w:r>
      <w:r>
        <w:t xml:space="preserve"> with a small number of patients</w:t>
      </w:r>
      <w:r w:rsidRPr="00006F7B">
        <w:t xml:space="preserve"> was expected to be relatively large, the general consistency of</w:t>
      </w:r>
      <w:r>
        <w:t xml:space="preserve"> results across centre</w:t>
      </w:r>
      <w:r w:rsidRPr="00006F7B">
        <w:t>s</w:t>
      </w:r>
      <w:r>
        <w:t xml:space="preserve"> was also evaluated only by</w:t>
      </w:r>
      <w:r w:rsidRPr="00006F7B">
        <w:t xml:space="preserve"> </w:t>
      </w:r>
      <w:r>
        <w:t xml:space="preserve">descriptive statistics </w:t>
      </w:r>
      <w:r w:rsidRPr="00006F7B">
        <w:t>pr</w:t>
      </w:r>
      <w:r>
        <w:t>esented by cent</w:t>
      </w:r>
      <w:r w:rsidRPr="00006F7B">
        <w:t>r</w:t>
      </w:r>
      <w:r>
        <w:t>e.</w:t>
      </w:r>
    </w:p>
    <w:p w:rsidR="00C528D5" w:rsidRPr="00006F7B" w:rsidRDefault="00C528D5" w:rsidP="00673A80">
      <w:r>
        <w:t>Overall, 95% patients were included in the mITT analysis for clinical cure and 83% in the assessment of recurrence. A total of 8 patients (3.0%) patients in fidaxomicin group and 7 patients (2.6%) patients in vancomycin group discontinued due to adverse events</w:t>
      </w:r>
      <w:r w:rsidR="00686E06">
        <w:t>.</w:t>
      </w:r>
    </w:p>
    <w:p w:rsidR="00C528D5" w:rsidRDefault="00C528D5" w:rsidP="00673A80">
      <w:r>
        <w:t>The overall mean age of the sample population was 63.4 (</w:t>
      </w:r>
      <w:r w:rsidR="00673A80">
        <w:t>±</w:t>
      </w:r>
      <w:r>
        <w:t xml:space="preserve"> 18.1) years. Over 34% patients were in the age group </w:t>
      </w:r>
      <w:r w:rsidR="00673A80">
        <w:t>≥</w:t>
      </w:r>
      <w:r>
        <w:t xml:space="preserve"> 75 years. The groups were well balanced with respect to baseline demographic and prognostic features.</w:t>
      </w:r>
    </w:p>
    <w:p w:rsidR="00C528D5" w:rsidRDefault="00C528D5" w:rsidP="00673A80">
      <w:r>
        <w:t>The results were as follows:</w:t>
      </w:r>
    </w:p>
    <w:p w:rsidR="00C528D5" w:rsidRDefault="00C528D5" w:rsidP="00090CE9">
      <w:pPr>
        <w:pStyle w:val="ListBullet"/>
      </w:pPr>
      <w:r>
        <w:t>In the mITT</w:t>
      </w:r>
      <w:r w:rsidRPr="00006F7B">
        <w:t xml:space="preserve"> population</w:t>
      </w:r>
      <w:r>
        <w:t xml:space="preserve"> at EOT</w:t>
      </w:r>
      <w:r w:rsidRPr="00006F7B">
        <w:t>, the clinical c</w:t>
      </w:r>
      <w:r>
        <w:t>ure rate in fidaxomicin group was 87.7</w:t>
      </w:r>
      <w:r w:rsidRPr="00006F7B">
        <w:t>%</w:t>
      </w:r>
      <w:r>
        <w:t xml:space="preserve"> (221/252) compared to 86.8</w:t>
      </w:r>
      <w:r w:rsidRPr="00006F7B">
        <w:t>%</w:t>
      </w:r>
      <w:r>
        <w:t xml:space="preserve"> (223/257) in vancomycin group. The 95% CI for the treatment difference was 0.9% (95%CI -4.9%, 6.7%). Using PP population</w:t>
      </w:r>
      <w:r w:rsidRPr="00006F7B">
        <w:t>, the clinical c</w:t>
      </w:r>
      <w:r>
        <w:t>ure rate in fidaxomicin group was 91.7% (198/216) compared to 90.6</w:t>
      </w:r>
      <w:r w:rsidRPr="00006F7B">
        <w:t>%</w:t>
      </w:r>
      <w:r>
        <w:t xml:space="preserve"> (213/235) in vancomycin group. The treatment difference was 1.0% (95%CI -4.3%, 6.3%). The non-inferiority was thus successfully demonstrated based on pre-defined criterion</w:t>
      </w:r>
      <w:r w:rsidR="00686E06">
        <w:t>.</w:t>
      </w:r>
    </w:p>
    <w:p w:rsidR="00C528D5" w:rsidRDefault="00C528D5" w:rsidP="00090CE9">
      <w:pPr>
        <w:pStyle w:val="ListBullet"/>
      </w:pPr>
      <w:r>
        <w:t>A supplemental analysis using modified definition of clinical cure (</w:t>
      </w:r>
      <w:r w:rsidR="00673A80">
        <w:t xml:space="preserve">≤ </w:t>
      </w:r>
      <w:r>
        <w:t>3 unformed bowel movements during treatment sustained to the EOT visit) supported the primary analysis</w:t>
      </w:r>
      <w:r w:rsidR="00686E06">
        <w:t>.</w:t>
      </w:r>
    </w:p>
    <w:p w:rsidR="00686E06" w:rsidRPr="00686E06" w:rsidRDefault="00C528D5" w:rsidP="00090CE9">
      <w:pPr>
        <w:pStyle w:val="ListBullet"/>
      </w:pPr>
      <w:r>
        <w:t>The subgroup a</w:t>
      </w:r>
      <w:r w:rsidRPr="00686E06">
        <w:t>nalyses were generally consistent with the overall results including baseline BI/non-BI strain type as were results from individual centres</w:t>
      </w:r>
      <w:r w:rsidR="00686E06" w:rsidRPr="00686E06">
        <w:t>.</w:t>
      </w:r>
    </w:p>
    <w:p w:rsidR="00C528D5" w:rsidRDefault="00C528D5" w:rsidP="00090CE9">
      <w:pPr>
        <w:pStyle w:val="ListBullet"/>
      </w:pPr>
      <w:r>
        <w:t>An exploratory logistic regression analysis was carried using both mITT and PP datasets to assess predictors of clinical cure. In the mITT population, baseline severity of disease and log-adjusted vancomycin MIC were the two covariates significantly associated with higher clinical cure while adjusting for all other covariates in the model. In PP population, prior CDAD therapy (lower rates if yes) and log-adjusted vancomycin MIC were significant covariates for achieving clinical cure. Prior metronidazole failure was not included in this model due to low numbers for this multiple logistic regression model to work.</w:t>
      </w:r>
    </w:p>
    <w:p w:rsidR="00C528D5" w:rsidRDefault="00C528D5" w:rsidP="00090CE9">
      <w:pPr>
        <w:pStyle w:val="ListBullet"/>
      </w:pPr>
      <w:r>
        <w:t>Using mITT</w:t>
      </w:r>
      <w:r w:rsidRPr="00006F7B">
        <w:t xml:space="preserve"> population</w:t>
      </w:r>
      <w:r>
        <w:t xml:space="preserve"> at 28 </w:t>
      </w:r>
      <w:r w:rsidR="00673A80">
        <w:t>±</w:t>
      </w:r>
      <w:r>
        <w:t xml:space="preserve"> 2 days after EOT, the rate of recurrence of CDAD in fidaxomicin group was 12.7</w:t>
      </w:r>
      <w:r w:rsidRPr="00006F7B">
        <w:t>%</w:t>
      </w:r>
      <w:r>
        <w:t xml:space="preserve"> (28/221) compared to 26.9</w:t>
      </w:r>
      <w:r w:rsidRPr="00006F7B">
        <w:t>%</w:t>
      </w:r>
      <w:r>
        <w:t xml:space="preserve"> (60/223) in vancomycin group. The 95%CI for the treatment difference was -14.2% in favour of fidaxomicin treatment (95%CI -21.4%, -6.8%), p &lt; 0.001. Using PP</w:t>
      </w:r>
      <w:r w:rsidRPr="00006F7B">
        <w:t xml:space="preserve"> population</w:t>
      </w:r>
      <w:r>
        <w:t xml:space="preserve"> at 28 </w:t>
      </w:r>
      <w:r w:rsidR="00673A80">
        <w:t>±</w:t>
      </w:r>
      <w:r>
        <w:t xml:space="preserve"> 2 days after EOT, the rate of recurrence of CDAD in fidaxomicin group was 12.8</w:t>
      </w:r>
      <w:r w:rsidRPr="00006F7B">
        <w:t>%</w:t>
      </w:r>
      <w:r>
        <w:t xml:space="preserve"> (23/180) compared to 25.3</w:t>
      </w:r>
      <w:r w:rsidRPr="00006F7B">
        <w:t>%</w:t>
      </w:r>
      <w:r>
        <w:t xml:space="preserve"> (46/182) in vancomycin group. The 95%CI for the treatment difference was -12.5% in favour of fidaxomicin treatment (95%CI -</w:t>
      </w:r>
      <w:r w:rsidR="00686E06">
        <w:t> </w:t>
      </w:r>
      <w:r>
        <w:t>20.3%, -4.4%), p = 0.002.</w:t>
      </w:r>
    </w:p>
    <w:p w:rsidR="00C528D5" w:rsidRPr="00686E06" w:rsidRDefault="00C528D5" w:rsidP="00A60293">
      <w:pPr>
        <w:ind w:left="284" w:hanging="284"/>
      </w:pPr>
      <w:r>
        <w:t>A supplemental analysis using modified definition of recurrence suppor</w:t>
      </w:r>
      <w:r w:rsidRPr="00686E06">
        <w:t>ted the above findings.</w:t>
      </w:r>
    </w:p>
    <w:p w:rsidR="00C528D5" w:rsidRPr="00686E06" w:rsidRDefault="00C528D5" w:rsidP="00090CE9">
      <w:r w:rsidRPr="00686E06">
        <w:t>The subgroup analyses for recurrence were consistent with the overall results including baseline BI/non-BI strain as were the results by individual centres.</w:t>
      </w:r>
    </w:p>
    <w:p w:rsidR="00C528D5" w:rsidRDefault="00C528D5" w:rsidP="00090CE9">
      <w:r w:rsidRPr="00686E06">
        <w:t xml:space="preserve">An exploratory logistic regression analysis was carried using both mITT and PP </w:t>
      </w:r>
      <w:r>
        <w:t>datasets to assess predictors of recurrence. In the mITT population, no prior CDAD episode, lack of concomitant systemic antibacterial therapy, mild baseline severity and fidaxomicin treatment were the covariates significantly associated with lower risk of recurrence. In PP population, fidaxomicin treatment, no concomitant systemic antibacterial therapy, not receiving CDAD antibiotic within 24</w:t>
      </w:r>
      <w:r w:rsidR="00353ABC">
        <w:t xml:space="preserve"> h </w:t>
      </w:r>
      <w:r>
        <w:t>prior to study, low baseline severity, and no prior CDAD episode were significantly related to lower recurrence risk.</w:t>
      </w:r>
    </w:p>
    <w:p w:rsidR="00C528D5" w:rsidRDefault="00C528D5" w:rsidP="00090CE9">
      <w:r>
        <w:t>The median time to recurrence could not be calculated as recurrence rate was below 50% in both groups. The Wilcoxon test was statistically significant (p &lt; 0.0001) in favour of fidaxomicin</w:t>
      </w:r>
      <w:r w:rsidR="00686E06">
        <w:t>.</w:t>
      </w:r>
    </w:p>
    <w:p w:rsidR="00686E06" w:rsidRDefault="00C528D5" w:rsidP="00090CE9">
      <w:r>
        <w:t>Using mITT</w:t>
      </w:r>
      <w:r w:rsidRPr="00006F7B">
        <w:t xml:space="preserve"> population</w:t>
      </w:r>
      <w:r>
        <w:t>, the global efficacy</w:t>
      </w:r>
      <w:r w:rsidR="00673A80">
        <w:t>,</w:t>
      </w:r>
      <w:r>
        <w:t xml:space="preserve"> </w:t>
      </w:r>
      <w:r w:rsidR="003B4B6A" w:rsidRPr="003B4B6A">
        <w:t>that is,</w:t>
      </w:r>
      <w:r>
        <w:t xml:space="preserve"> cure without recurrence in the study in fidaxomicin group was 76.6</w:t>
      </w:r>
      <w:r w:rsidRPr="00006F7B">
        <w:t>%</w:t>
      </w:r>
      <w:r>
        <w:t xml:space="preserve"> (193/252) compared to 63.4</w:t>
      </w:r>
      <w:r w:rsidRPr="00006F7B">
        <w:t>%</w:t>
      </w:r>
      <w:r>
        <w:t xml:space="preserve"> (163/257) in vancomycin group. The 95%CI for the treatment difference was 13.2% in favour of fidaxomicin treatment (95%CI 5.2%, 20.9%), p = 0.001. The results were similar using PP population</w:t>
      </w:r>
      <w:r w:rsidR="00686E06">
        <w:t>.</w:t>
      </w:r>
    </w:p>
    <w:p w:rsidR="00C528D5" w:rsidRDefault="00C528D5" w:rsidP="00090CE9">
      <w:r>
        <w:t>The subgroup analyses for global efficacy were consistent with the overall results including baseline BI/non-BI strain</w:t>
      </w:r>
      <w:r w:rsidR="00686E06">
        <w:t>.</w:t>
      </w:r>
    </w:p>
    <w:p w:rsidR="00C528D5" w:rsidRDefault="00C528D5" w:rsidP="00090CE9">
      <w:r>
        <w:t>Exploratory logistic regression modelling indicted fidaxomicin treatment, absence of concomitant systemic antibacterial therapy and mi</w:t>
      </w:r>
      <w:r w:rsidRPr="00686E06">
        <w:t>ld baseline severity of disease were statistically significantly associated with higher global cure rates in both mITT and PP populations</w:t>
      </w:r>
      <w:r w:rsidR="00DD718D">
        <w:t>.</w:t>
      </w:r>
    </w:p>
    <w:p w:rsidR="00C528D5" w:rsidRDefault="00C528D5" w:rsidP="00090CE9">
      <w:r w:rsidRPr="00006F7B">
        <w:t>In the mITT population, the median TTROD was 50</w:t>
      </w:r>
      <w:r w:rsidR="00353ABC">
        <w:t xml:space="preserve"> h </w:t>
      </w:r>
      <w:r>
        <w:t xml:space="preserve">(95%CI 30 to 66 hours) </w:t>
      </w:r>
      <w:r w:rsidRPr="00006F7B">
        <w:t>for</w:t>
      </w:r>
      <w:r>
        <w:t xml:space="preserve"> patients in fidaxomicin</w:t>
      </w:r>
      <w:r w:rsidRPr="00006F7B">
        <w:t xml:space="preserve"> </w:t>
      </w:r>
      <w:r>
        <w:t xml:space="preserve">group compared to </w:t>
      </w:r>
      <w:r w:rsidRPr="00006F7B">
        <w:t>48</w:t>
      </w:r>
      <w:r w:rsidR="00353ABC">
        <w:t xml:space="preserve"> h </w:t>
      </w:r>
      <w:r>
        <w:t xml:space="preserve">(95%CI 31 to 63 hours) </w:t>
      </w:r>
      <w:r w:rsidRPr="00006F7B">
        <w:t xml:space="preserve">for </w:t>
      </w:r>
      <w:r>
        <w:t>patients in vancomycin group. T</w:t>
      </w:r>
      <w:r w:rsidRPr="00006F7B">
        <w:t>he difference was not statistica</w:t>
      </w:r>
      <w:r>
        <w:t>lly significant</w:t>
      </w:r>
      <w:r w:rsidR="00686E06">
        <w:t>.</w:t>
      </w:r>
    </w:p>
    <w:p w:rsidR="00C528D5" w:rsidRDefault="00C528D5" w:rsidP="00090CE9">
      <w:r>
        <w:t xml:space="preserve">At baseline, in the mITT population, the mean daily unformed bowel movements were 7.5 ± 4.4 versus 7.4 </w:t>
      </w:r>
      <w:r w:rsidR="00673A80">
        <w:t>±</w:t>
      </w:r>
      <w:r>
        <w:t xml:space="preserve"> 4.4 in fidaxomicin and vancomycin groups respectively. On study </w:t>
      </w:r>
      <w:r w:rsidR="00673A80">
        <w:t>D</w:t>
      </w:r>
      <w:r>
        <w:t xml:space="preserve">ay 12, the mean unformed bowel movements were 0.5 </w:t>
      </w:r>
      <w:r w:rsidR="00673A80">
        <w:t>±</w:t>
      </w:r>
      <w:r>
        <w:t xml:space="preserve"> 1.1 and 0.7 </w:t>
      </w:r>
      <w:r w:rsidR="00673A80">
        <w:t>±</w:t>
      </w:r>
      <w:r>
        <w:t xml:space="preserve"> 1.6 in the two groups respectively</w:t>
      </w:r>
      <w:r w:rsidR="00686E06">
        <w:t>.</w:t>
      </w:r>
    </w:p>
    <w:p w:rsidR="00C528D5" w:rsidRDefault="00C528D5" w:rsidP="00090CE9">
      <w:pPr>
        <w:rPr>
          <w:color w:val="000000"/>
        </w:rPr>
      </w:pPr>
      <w:r w:rsidRPr="00666F0F">
        <w:rPr>
          <w:color w:val="000000"/>
        </w:rPr>
        <w:t>Few f</w:t>
      </w:r>
      <w:r>
        <w:rPr>
          <w:color w:val="000000"/>
        </w:rPr>
        <w:t>a</w:t>
      </w:r>
      <w:r w:rsidRPr="00666F0F">
        <w:rPr>
          <w:color w:val="000000"/>
        </w:rPr>
        <w:t>ecal samples were available from clinical failures, but both mean f</w:t>
      </w:r>
      <w:r>
        <w:rPr>
          <w:color w:val="000000"/>
        </w:rPr>
        <w:t>a</w:t>
      </w:r>
      <w:r w:rsidRPr="00666F0F">
        <w:rPr>
          <w:color w:val="000000"/>
        </w:rPr>
        <w:t>ecal levels and</w:t>
      </w:r>
      <w:r>
        <w:rPr>
          <w:color w:val="000000"/>
        </w:rPr>
        <w:t xml:space="preserve"> </w:t>
      </w:r>
      <w:r w:rsidRPr="00666F0F">
        <w:rPr>
          <w:color w:val="000000"/>
        </w:rPr>
        <w:t>fidaxomicin f</w:t>
      </w:r>
      <w:r>
        <w:rPr>
          <w:color w:val="000000"/>
        </w:rPr>
        <w:t>aecal level/minimum inhibitory concentration (MIC)</w:t>
      </w:r>
      <w:r w:rsidRPr="00666F0F">
        <w:rPr>
          <w:color w:val="000000"/>
        </w:rPr>
        <w:t xml:space="preserve"> ratios were similar between cures and failures, and f</w:t>
      </w:r>
      <w:r>
        <w:rPr>
          <w:color w:val="000000"/>
        </w:rPr>
        <w:t>a</w:t>
      </w:r>
      <w:r w:rsidRPr="00666F0F">
        <w:rPr>
          <w:color w:val="000000"/>
        </w:rPr>
        <w:t>ecal levels</w:t>
      </w:r>
      <w:r>
        <w:rPr>
          <w:color w:val="000000"/>
        </w:rPr>
        <w:t xml:space="preserve"> of fidaxomicin were far in excess of MIC</w:t>
      </w:r>
      <w:r w:rsidR="00686E06">
        <w:t xml:space="preserve">. </w:t>
      </w:r>
      <w:r>
        <w:rPr>
          <w:color w:val="000000"/>
        </w:rPr>
        <w:t>For further results, please see above under Pharmacokinetics section.</w:t>
      </w:r>
    </w:p>
    <w:p w:rsidR="00C528D5" w:rsidRPr="0024442F" w:rsidRDefault="00C528D5" w:rsidP="0024442F">
      <w:pPr>
        <w:pStyle w:val="Heading4"/>
        <w:numPr>
          <w:ilvl w:val="0"/>
          <w:numId w:val="0"/>
        </w:numPr>
        <w:rPr>
          <w:i/>
        </w:rPr>
      </w:pPr>
      <w:r w:rsidRPr="0024442F">
        <w:rPr>
          <w:i/>
        </w:rPr>
        <w:t>Evaluator’s comment</w:t>
      </w:r>
    </w:p>
    <w:p w:rsidR="00C528D5" w:rsidRDefault="00C528D5" w:rsidP="00673A80">
      <w:r>
        <w:t>The trial successfully demonstrated non-inferiority between fidaxomicin and vancomycin with respect to investigator assessed clinical cure after 10 days of treatment. Fidaxomicin was shown to be statistically superior to vancomycin for reducing recurrences within 4 weeks of treatment.</w:t>
      </w:r>
    </w:p>
    <w:p w:rsidR="00C528D5" w:rsidRPr="00006F7B" w:rsidRDefault="00C528D5" w:rsidP="00673A80">
      <w:r>
        <w:t>In consort wit</w:t>
      </w:r>
      <w:r w:rsidR="00673A80">
        <w:t>h the preceding S</w:t>
      </w:r>
      <w:r>
        <w:t>tudy 003, the two trials provide reliable confirmatory evidence of efficacy. The trial design, comparator (vancomycin), the doses, the duration and the non-inferiority margin used in the trial are considered appropriate to the objective.</w:t>
      </w:r>
    </w:p>
    <w:p w:rsidR="00C528D5" w:rsidRPr="009C5EC3" w:rsidRDefault="00C528D5" w:rsidP="00673A80">
      <w:pPr>
        <w:pStyle w:val="Heading3"/>
      </w:pPr>
      <w:bookmarkStart w:id="79" w:name="_Ref271126605"/>
      <w:bookmarkStart w:id="80" w:name="_Toc272414657"/>
      <w:bookmarkStart w:id="81" w:name="_Toc290846282"/>
      <w:bookmarkStart w:id="82" w:name="_Toc338860719"/>
      <w:bookmarkStart w:id="83" w:name="_Toc370734743"/>
      <w:r w:rsidRPr="009C5EC3">
        <w:t>Evaluator’s conclusions on clinical efficacy</w:t>
      </w:r>
      <w:bookmarkEnd w:id="79"/>
      <w:bookmarkEnd w:id="80"/>
      <w:bookmarkEnd w:id="81"/>
      <w:bookmarkEnd w:id="82"/>
      <w:bookmarkEnd w:id="83"/>
    </w:p>
    <w:p w:rsidR="00C528D5" w:rsidRPr="009C5EC3" w:rsidRDefault="00C528D5" w:rsidP="00673A80">
      <w:r>
        <w:t>The use of 20</w:t>
      </w:r>
      <w:r w:rsidR="003B4B6A" w:rsidRPr="003B4B6A">
        <w:t>0 mg</w:t>
      </w:r>
      <w:r>
        <w:t xml:space="preserve"> fidaxomicin every 12</w:t>
      </w:r>
      <w:r w:rsidR="00353ABC">
        <w:t xml:space="preserve"> h </w:t>
      </w:r>
      <w:r>
        <w:t>was appropriate based on Phase II dose finding study. The two pivotal efficacy trials were appropriately designed. The follow up was complete especially with respect to the primary outcomes. The results, repeated in two separate and similarly designed double blind, active controlled studies, are considered reliable demonstration of efficacy of fidaxomicin over vancomycin in the treatment of CDAD.</w:t>
      </w:r>
    </w:p>
    <w:p w:rsidR="00C22678" w:rsidRDefault="00C22678" w:rsidP="00673A80">
      <w:pPr>
        <w:pStyle w:val="Heading2"/>
      </w:pPr>
      <w:bookmarkStart w:id="84" w:name="_Toc370734744"/>
      <w:r>
        <w:t>Clinical safety</w:t>
      </w:r>
      <w:bookmarkEnd w:id="84"/>
    </w:p>
    <w:p w:rsidR="00C528D5" w:rsidRPr="009C5EC3" w:rsidRDefault="00C528D5" w:rsidP="00673A80">
      <w:pPr>
        <w:pStyle w:val="Heading3"/>
      </w:pPr>
      <w:bookmarkStart w:id="85" w:name="_Toc272414659"/>
      <w:bookmarkStart w:id="86" w:name="_Toc290846284"/>
      <w:bookmarkStart w:id="87" w:name="_Toc338860721"/>
      <w:bookmarkStart w:id="88" w:name="_Toc370734745"/>
      <w:r w:rsidRPr="009C5EC3">
        <w:t>Studies providing evaluable safety data</w:t>
      </w:r>
      <w:bookmarkEnd w:id="85"/>
      <w:bookmarkEnd w:id="86"/>
      <w:bookmarkEnd w:id="87"/>
      <w:bookmarkEnd w:id="88"/>
    </w:p>
    <w:p w:rsidR="00C528D5" w:rsidRDefault="00C528D5" w:rsidP="00673A80">
      <w:bookmarkStart w:id="89" w:name="_Ref268776745"/>
      <w:r>
        <w:t>Safety data were collected in all clinical studies included in the dossier and are summarised below by each study.</w:t>
      </w:r>
    </w:p>
    <w:p w:rsidR="00C528D5" w:rsidRPr="008D2F4E" w:rsidRDefault="00C528D5" w:rsidP="00673A80">
      <w:pPr>
        <w:pStyle w:val="Heading4"/>
      </w:pPr>
      <w:r w:rsidRPr="008D2F4E">
        <w:t>Study OPT-80-005</w:t>
      </w:r>
      <w:r>
        <w:t xml:space="preserve"> (PK and food effect study)</w:t>
      </w:r>
    </w:p>
    <w:p w:rsidR="00686E06" w:rsidRPr="00686E06" w:rsidRDefault="00C528D5" w:rsidP="00673A80">
      <w:r>
        <w:t>This was food effect study in healthy volunteers in which 6 participants (Group 1) were exposed to a single dose of 20</w:t>
      </w:r>
      <w:r w:rsidR="003B4B6A" w:rsidRPr="003B4B6A">
        <w:t>0 mg</w:t>
      </w:r>
      <w:r>
        <w:t xml:space="preserve"> fidaxomicin and 28 participants (Group 2) were exposed to 2 se</w:t>
      </w:r>
      <w:r w:rsidRPr="00686E06">
        <w:t>parate single dose administrations of 40</w:t>
      </w:r>
      <w:r w:rsidR="003B4B6A" w:rsidRPr="00686E06">
        <w:t>0 mg</w:t>
      </w:r>
      <w:r w:rsidRPr="00686E06">
        <w:t xml:space="preserve"> fidaxomicin</w:t>
      </w:r>
      <w:r w:rsidR="00686E06" w:rsidRPr="00686E06">
        <w:t>.</w:t>
      </w:r>
    </w:p>
    <w:p w:rsidR="00C528D5" w:rsidRPr="00686E06" w:rsidRDefault="00C528D5" w:rsidP="00673A80">
      <w:r w:rsidRPr="00686E06">
        <w:t>In Group 1, 2/6 participants reported headache</w:t>
      </w:r>
      <w:r w:rsidR="00686E06" w:rsidRPr="00686E06">
        <w:t>.</w:t>
      </w:r>
    </w:p>
    <w:p w:rsidR="00C528D5" w:rsidRPr="00686E06" w:rsidRDefault="00C528D5" w:rsidP="00673A80">
      <w:r w:rsidRPr="00686E06">
        <w:t>In Group 2, 3/28 participants reported headache</w:t>
      </w:r>
      <w:r w:rsidR="00686E06" w:rsidRPr="00686E06">
        <w:t>.</w:t>
      </w:r>
    </w:p>
    <w:p w:rsidR="00C528D5" w:rsidRDefault="00C528D5" w:rsidP="00673A80">
      <w:r w:rsidRPr="00686E06">
        <w:t>Overall, 24 treatment emergent adverse events were</w:t>
      </w:r>
      <w:r>
        <w:t xml:space="preserve"> reported by 13 participants. No adverse events of severe intensity were reported. There were no serious adverse events or deaths</w:t>
      </w:r>
      <w:r w:rsidRPr="0028648F">
        <w:t xml:space="preserve"> or withdrawals due</w:t>
      </w:r>
      <w:r>
        <w:t xml:space="preserve"> adverse events</w:t>
      </w:r>
      <w:r w:rsidRPr="0028648F">
        <w:t>.</w:t>
      </w:r>
      <w:r>
        <w:t xml:space="preserve"> </w:t>
      </w:r>
      <w:r w:rsidRPr="0028648F">
        <w:t>No clinically significan</w:t>
      </w:r>
      <w:r>
        <w:t>t changes were reported</w:t>
      </w:r>
      <w:r w:rsidRPr="0028648F">
        <w:t xml:space="preserve"> from</w:t>
      </w:r>
      <w:r>
        <w:t xml:space="preserve"> laboratory tests, vital signs assessment or from ECGs</w:t>
      </w:r>
      <w:r w:rsidRPr="0028648F">
        <w:t>.</w:t>
      </w:r>
    </w:p>
    <w:p w:rsidR="00C528D5" w:rsidRDefault="00C528D5" w:rsidP="00673A80">
      <w:pPr>
        <w:pStyle w:val="Heading4"/>
      </w:pPr>
      <w:r>
        <w:t xml:space="preserve">Study </w:t>
      </w:r>
      <w:r w:rsidRPr="005D285D">
        <w:t>OPT-80 1A-SD</w:t>
      </w:r>
      <w:r>
        <w:t xml:space="preserve"> (single dose PK study)</w:t>
      </w:r>
    </w:p>
    <w:p w:rsidR="00C528D5" w:rsidRDefault="00C528D5" w:rsidP="00673A80">
      <w:r>
        <w:t>This was a single dose study in healthy volunteers in which 6 participants were exposed to single 10</w:t>
      </w:r>
      <w:r w:rsidR="003B4B6A" w:rsidRPr="003B4B6A">
        <w:t>0 mg</w:t>
      </w:r>
      <w:r>
        <w:t xml:space="preserve"> and 30</w:t>
      </w:r>
      <w:r w:rsidR="003B4B6A" w:rsidRPr="003B4B6A">
        <w:t>0 mg</w:t>
      </w:r>
      <w:r>
        <w:t xml:space="preserve"> oral doses in two periods and another 6 participants were exposed to single 20</w:t>
      </w:r>
      <w:r w:rsidR="003B4B6A" w:rsidRPr="003B4B6A">
        <w:t>0 mg</w:t>
      </w:r>
      <w:r>
        <w:t xml:space="preserve"> and 45</w:t>
      </w:r>
      <w:r w:rsidR="003B4B6A" w:rsidRPr="003B4B6A">
        <w:t>0 mg</w:t>
      </w:r>
      <w:r>
        <w:t xml:space="preserve"> oral doses in two periods.</w:t>
      </w:r>
    </w:p>
    <w:p w:rsidR="00C528D5" w:rsidRDefault="00C528D5" w:rsidP="00673A80">
      <w:r>
        <w:t xml:space="preserve">There was a single report of headache in one </w:t>
      </w:r>
      <w:r w:rsidRPr="00686E06">
        <w:t>subject and report of elevated amylase and lipase in another subject. Both events were reported to have resolved.</w:t>
      </w:r>
      <w:r w:rsidR="00DD718D">
        <w:t xml:space="preserve"> </w:t>
      </w:r>
      <w:r w:rsidRPr="00686E06">
        <w:t>The amylase and lipase in the affected subject were normal at screen but were elevated at pre-dose.</w:t>
      </w:r>
    </w:p>
    <w:p w:rsidR="00C528D5" w:rsidRPr="00DD256F" w:rsidRDefault="00C528D5" w:rsidP="00673A80">
      <w:pPr>
        <w:pStyle w:val="Heading4"/>
      </w:pPr>
      <w:r>
        <w:t xml:space="preserve">Study </w:t>
      </w:r>
      <w:r w:rsidRPr="005D285D">
        <w:t>OPT-80 1B-MD</w:t>
      </w:r>
      <w:r>
        <w:t xml:space="preserve"> (multiple dose PK study)</w:t>
      </w:r>
    </w:p>
    <w:p w:rsidR="00C528D5" w:rsidRDefault="00C528D5" w:rsidP="00DD718D">
      <w:r>
        <w:t>A total of 18 healthy volunteers were exposed to multiple doses of fidaxomicin in this study. Six participants each received 15</w:t>
      </w:r>
      <w:r w:rsidR="003B4B6A" w:rsidRPr="003B4B6A">
        <w:t>0 mg</w:t>
      </w:r>
      <w:r>
        <w:t xml:space="preserve"> or 30</w:t>
      </w:r>
      <w:r w:rsidR="003B4B6A" w:rsidRPr="003B4B6A">
        <w:t>0 mg</w:t>
      </w:r>
      <w:r>
        <w:t xml:space="preserve"> or 45</w:t>
      </w:r>
      <w:r w:rsidR="003B4B6A" w:rsidRPr="003B4B6A">
        <w:t>0 mg</w:t>
      </w:r>
      <w:r>
        <w:t xml:space="preserve"> once daily oral fidaxomicin for 10 days. </w:t>
      </w:r>
    </w:p>
    <w:p w:rsidR="00C528D5" w:rsidRPr="003C7E3D" w:rsidRDefault="00C528D5" w:rsidP="00DD718D">
      <w:r>
        <w:t>There were 2 reports of headache</w:t>
      </w:r>
      <w:r w:rsidR="00673A80">
        <w:t>;</w:t>
      </w:r>
      <w:r>
        <w:t xml:space="preserve"> one each in 15</w:t>
      </w:r>
      <w:r w:rsidR="003B4B6A" w:rsidRPr="003B4B6A">
        <w:t>0 mg</w:t>
      </w:r>
      <w:r>
        <w:t xml:space="preserve"> and 45</w:t>
      </w:r>
      <w:r w:rsidR="003B4B6A" w:rsidRPr="003B4B6A">
        <w:t>0 mg</w:t>
      </w:r>
      <w:r>
        <w:t xml:space="preserve"> dose </w:t>
      </w:r>
      <w:proofErr w:type="gramStart"/>
      <w:r>
        <w:t>group</w:t>
      </w:r>
      <w:proofErr w:type="gramEnd"/>
      <w:r>
        <w:t>. There was one report each of weakness, fatigue, dizzin</w:t>
      </w:r>
      <w:r w:rsidRPr="00686E06">
        <w:t xml:space="preserve">ess, rash and </w:t>
      </w:r>
      <w:r w:rsidR="00540818" w:rsidRPr="00686E06">
        <w:t>prurit</w:t>
      </w:r>
      <w:r w:rsidR="00540818">
        <w:t>u</w:t>
      </w:r>
      <w:r w:rsidR="00540818" w:rsidRPr="00686E06">
        <w:t>s</w:t>
      </w:r>
      <w:r w:rsidRPr="00686E06">
        <w:t xml:space="preserve">. </w:t>
      </w:r>
      <w:proofErr w:type="gramStart"/>
      <w:r w:rsidRPr="00686E06">
        <w:t>A</w:t>
      </w:r>
      <w:proofErr w:type="gramEnd"/>
      <w:r w:rsidRPr="00686E06">
        <w:t xml:space="preserve"> instance of eosinphilia was reported to be due to lab</w:t>
      </w:r>
      <w:r>
        <w:t xml:space="preserve"> e</w:t>
      </w:r>
      <w:r w:rsidRPr="00686E06">
        <w:t>rror.</w:t>
      </w:r>
    </w:p>
    <w:p w:rsidR="00C528D5" w:rsidRDefault="00C528D5" w:rsidP="00673A80">
      <w:pPr>
        <w:pStyle w:val="Heading4"/>
      </w:pPr>
      <w:r w:rsidRPr="005D285D">
        <w:t xml:space="preserve">Study </w:t>
      </w:r>
      <w:r>
        <w:t>OPT-80-007 (cyclosporine interaction study)</w:t>
      </w:r>
    </w:p>
    <w:p w:rsidR="00C528D5" w:rsidRDefault="00C528D5" w:rsidP="00673A80">
      <w:r>
        <w:t>This was a single dose (20</w:t>
      </w:r>
      <w:r w:rsidR="003B4B6A" w:rsidRPr="003B4B6A">
        <w:t>0 mg</w:t>
      </w:r>
      <w:r>
        <w:t xml:space="preserve"> fidaxomicin) study with and without cyclosporine in two periods.</w:t>
      </w:r>
    </w:p>
    <w:p w:rsidR="00C528D5" w:rsidRDefault="00C528D5" w:rsidP="00673A80">
      <w:r>
        <w:t>Overall</w:t>
      </w:r>
      <w:r w:rsidRPr="00D641EC">
        <w:t xml:space="preserve"> 6 </w:t>
      </w:r>
      <w:r>
        <w:t>adverse events (</w:t>
      </w:r>
      <w:r w:rsidRPr="00D641EC">
        <w:t>AEs</w:t>
      </w:r>
      <w:r>
        <w:t>) were reported comprising of one</w:t>
      </w:r>
      <w:r w:rsidRPr="00D641EC">
        <w:t xml:space="preserve"> 1 AE reported </w:t>
      </w:r>
      <w:r>
        <w:t>after administration of 20</w:t>
      </w:r>
      <w:r w:rsidR="003B4B6A" w:rsidRPr="003B4B6A">
        <w:t>0 mg</w:t>
      </w:r>
      <w:r w:rsidRPr="00D641EC">
        <w:t xml:space="preserve"> fidaxomicin </w:t>
      </w:r>
      <w:r>
        <w:t>alone and 5 AEs reported after</w:t>
      </w:r>
      <w:r w:rsidRPr="00D641EC">
        <w:t xml:space="preserve"> </w:t>
      </w:r>
      <w:r>
        <w:t>co-</w:t>
      </w:r>
      <w:r w:rsidRPr="00D641EC">
        <w:t>administ</w:t>
      </w:r>
      <w:r>
        <w:t>ration with cyclosporine. These included 2 cases of abdominal discomfort and 1 case each of diarrhoea, chest discomfort and pain in extremity on co-administration of the two drugs. One case of diarrhoea was reported on fidaxomicin alone administration.</w:t>
      </w:r>
    </w:p>
    <w:p w:rsidR="00C528D5" w:rsidRPr="00DD256F" w:rsidRDefault="00C528D5" w:rsidP="00686E06">
      <w:pPr>
        <w:rPr>
          <w:b/>
        </w:rPr>
      </w:pPr>
      <w:r>
        <w:t>There were no deaths or</w:t>
      </w:r>
      <w:r w:rsidRPr="00D641EC">
        <w:t xml:space="preserve"> SAEs</w:t>
      </w:r>
      <w:r>
        <w:t>.</w:t>
      </w:r>
    </w:p>
    <w:p w:rsidR="00C528D5" w:rsidRPr="00DD256F" w:rsidRDefault="00C528D5" w:rsidP="00673A80">
      <w:pPr>
        <w:pStyle w:val="Heading4"/>
      </w:pPr>
      <w:r w:rsidRPr="00DD256F">
        <w:t>Study OPT-80-008</w:t>
      </w:r>
      <w:r>
        <w:t xml:space="preserve"> (digoxin interaction study)</w:t>
      </w:r>
    </w:p>
    <w:p w:rsidR="00C528D5" w:rsidRDefault="00C528D5" w:rsidP="00673A80">
      <w:r>
        <w:t>This was a multiple dose study in which 14 healthy volunteers were administered 20</w:t>
      </w:r>
      <w:r w:rsidR="003B4B6A" w:rsidRPr="003B4B6A">
        <w:t>0 mg</w:t>
      </w:r>
      <w:r>
        <w:t xml:space="preserve"> oral fidaxomicin every 12</w:t>
      </w:r>
      <w:r w:rsidR="00353ABC">
        <w:t xml:space="preserve"> h </w:t>
      </w:r>
      <w:r>
        <w:t>for 10-12 days. They also received a single dose of digoxin with and with fidaxomicin (at steady state) during the study.</w:t>
      </w:r>
    </w:p>
    <w:p w:rsidR="00C528D5" w:rsidRDefault="00C528D5" w:rsidP="00673A80">
      <w:r w:rsidRPr="00D4589F">
        <w:t xml:space="preserve">Overall, </w:t>
      </w:r>
      <w:r>
        <w:t xml:space="preserve">a total of </w:t>
      </w:r>
      <w:r w:rsidRPr="00D4589F">
        <w:t>28 A</w:t>
      </w:r>
      <w:r>
        <w:t>Es were reported by 10 participants</w:t>
      </w:r>
      <w:r w:rsidRPr="00D4589F">
        <w:t xml:space="preserve">. </w:t>
      </w:r>
      <w:r>
        <w:t>All were of mild or moderate intensity. There were no severe or serious AEs and none led to premature discontinuation</w:t>
      </w:r>
      <w:r w:rsidR="00686E06">
        <w:t>.</w:t>
      </w:r>
    </w:p>
    <w:p w:rsidR="00C528D5" w:rsidRDefault="00C528D5" w:rsidP="00673A80">
      <w:r>
        <w:t>There was no evidence of higher frequency of adverse events, including headache, on co-administration of the two drugs compared to administration alone</w:t>
      </w:r>
      <w:r w:rsidR="00686E06">
        <w:t>.</w:t>
      </w:r>
      <w:r>
        <w:t xml:space="preserve"> </w:t>
      </w:r>
    </w:p>
    <w:p w:rsidR="00C528D5" w:rsidRPr="005D285D" w:rsidRDefault="00C528D5" w:rsidP="00673A80">
      <w:pPr>
        <w:pStyle w:val="Heading4"/>
      </w:pPr>
      <w:r>
        <w:t xml:space="preserve">Study </w:t>
      </w:r>
      <w:r w:rsidRPr="005D285D">
        <w:t>OPT-80-009</w:t>
      </w:r>
      <w:r>
        <w:t xml:space="preserve"> (CYP450 probe study)</w:t>
      </w:r>
    </w:p>
    <w:p w:rsidR="00C528D5" w:rsidRDefault="00C528D5" w:rsidP="00673A80">
      <w:r>
        <w:t>In this study 25 healthy volunteers received 20</w:t>
      </w:r>
      <w:r w:rsidR="003B4B6A" w:rsidRPr="003B4B6A">
        <w:t>0 mg</w:t>
      </w:r>
      <w:r>
        <w:t xml:space="preserve"> oral fidaxomicin every 12</w:t>
      </w:r>
      <w:r w:rsidR="00353ABC">
        <w:t xml:space="preserve"> h </w:t>
      </w:r>
      <w:r>
        <w:t>for one week. They also received cocktail of warfarin, omeprazole and midazolam with and without fidaxomicin</w:t>
      </w:r>
      <w:r w:rsidR="00686E06">
        <w:t>.</w:t>
      </w:r>
    </w:p>
    <w:p w:rsidR="00C528D5" w:rsidRDefault="00C528D5" w:rsidP="00673A80">
      <w:r>
        <w:t>Overall, a total of 23 AEs were reported by 14 participants</w:t>
      </w:r>
      <w:r w:rsidRPr="00FF0946">
        <w:t xml:space="preserve"> with 6 AEs report</w:t>
      </w:r>
      <w:r>
        <w:t>ed following administration of the cocktail,</w:t>
      </w:r>
      <w:r w:rsidRPr="00FF0946">
        <w:t xml:space="preserve"> 5 AEs reported following administration of</w:t>
      </w:r>
      <w:r>
        <w:t xml:space="preserve"> fidaxomicin </w:t>
      </w:r>
      <w:r w:rsidRPr="00FF0946">
        <w:t>and 12 AEs reported following co-administrati</w:t>
      </w:r>
      <w:r>
        <w:t>on.</w:t>
      </w:r>
    </w:p>
    <w:p w:rsidR="00C528D5" w:rsidRDefault="00C528D5" w:rsidP="00673A80">
      <w:r w:rsidRPr="00FF0946">
        <w:t>The AEs with the highest reported incidence included dizziness (3 AEs),</w:t>
      </w:r>
      <w:r>
        <w:t xml:space="preserve"> chest discomfort (2 AEs)</w:t>
      </w:r>
      <w:r w:rsidRPr="00FF0946">
        <w:t xml:space="preserve"> and diarrh</w:t>
      </w:r>
      <w:r>
        <w:t>oea (2 AEs). There was one instance of clinically significant increase in eosinophil count</w:t>
      </w:r>
      <w:r w:rsidRPr="00FF0946">
        <w:t xml:space="preserve"> </w:t>
      </w:r>
      <w:r>
        <w:t>(4 x ULN) on Day</w:t>
      </w:r>
      <w:r w:rsidRPr="00FF0946">
        <w:t xml:space="preserve"> 21</w:t>
      </w:r>
      <w:r>
        <w:t xml:space="preserve"> through to Day 34 in fidaxomicin alone group</w:t>
      </w:r>
      <w:r w:rsidR="00686E06">
        <w:t>.</w:t>
      </w:r>
      <w:r>
        <w:t xml:space="preserve"> This AE led to t</w:t>
      </w:r>
      <w:r w:rsidRPr="00FF0946">
        <w:t>he subject’s discontinuation</w:t>
      </w:r>
      <w:r>
        <w:t xml:space="preserve"> </w:t>
      </w:r>
      <w:r w:rsidRPr="00FF0946">
        <w:t>from t</w:t>
      </w:r>
      <w:r>
        <w:t>he study</w:t>
      </w:r>
      <w:r w:rsidRPr="00FF0946">
        <w:t>.</w:t>
      </w:r>
    </w:p>
    <w:p w:rsidR="00C528D5" w:rsidRPr="00DD256F" w:rsidRDefault="00C528D5" w:rsidP="00673A80">
      <w:pPr>
        <w:rPr>
          <w:b/>
        </w:rPr>
      </w:pPr>
      <w:r>
        <w:t>Slight elevations in INR</w:t>
      </w:r>
      <w:r w:rsidRPr="00FF0946">
        <w:t xml:space="preserve"> </w:t>
      </w:r>
      <w:r>
        <w:t xml:space="preserve">(1.2 to 1.7) </w:t>
      </w:r>
      <w:r w:rsidRPr="00FF0946">
        <w:t>were observed in several</w:t>
      </w:r>
      <w:r>
        <w:t xml:space="preserve"> subjects. However,</w:t>
      </w:r>
      <w:r w:rsidRPr="00FF0946">
        <w:t xml:space="preserve"> no trend </w:t>
      </w:r>
      <w:r>
        <w:t xml:space="preserve">was evident toward longer INRs </w:t>
      </w:r>
      <w:r w:rsidRPr="00FF0946">
        <w:t>when warfarin was taken in combination</w:t>
      </w:r>
      <w:r>
        <w:t xml:space="preserve"> with fidaxomicin.</w:t>
      </w:r>
    </w:p>
    <w:p w:rsidR="00C528D5" w:rsidRPr="0077278C" w:rsidRDefault="00C528D5" w:rsidP="00673A80">
      <w:pPr>
        <w:pStyle w:val="Heading4"/>
      </w:pPr>
      <w:r>
        <w:t xml:space="preserve">Study </w:t>
      </w:r>
      <w:r w:rsidRPr="0077278C">
        <w:t>OPT-80-2A</w:t>
      </w:r>
      <w:r>
        <w:t xml:space="preserve"> (Phase II dose selection study)</w:t>
      </w:r>
    </w:p>
    <w:p w:rsidR="00C528D5" w:rsidRDefault="00C528D5" w:rsidP="00673A80">
      <w:r>
        <w:t>This was a parallel group study in which 48 CDAD patients were treated with oral fidaxomicin (16 patients each with 5</w:t>
      </w:r>
      <w:r w:rsidR="003B4B6A" w:rsidRPr="003B4B6A">
        <w:t>0 mg</w:t>
      </w:r>
      <w:r>
        <w:t xml:space="preserve"> or 10</w:t>
      </w:r>
      <w:r w:rsidR="003B4B6A" w:rsidRPr="003B4B6A">
        <w:t>0 mg</w:t>
      </w:r>
      <w:r>
        <w:t xml:space="preserve"> or 20</w:t>
      </w:r>
      <w:r w:rsidR="003B4B6A" w:rsidRPr="003B4B6A">
        <w:t>0 mg</w:t>
      </w:r>
      <w:r>
        <w:t xml:space="preserve"> every 12 hours) for 10 days.</w:t>
      </w:r>
    </w:p>
    <w:p w:rsidR="00C528D5" w:rsidRPr="00072C86" w:rsidRDefault="00C528D5" w:rsidP="00673A80">
      <w:r>
        <w:t xml:space="preserve">A total of </w:t>
      </w:r>
      <w:r w:rsidRPr="00072C86">
        <w:t>9</w:t>
      </w:r>
      <w:r>
        <w:t xml:space="preserve">/48 (19%) patients treated </w:t>
      </w:r>
      <w:r w:rsidRPr="00072C86">
        <w:t>reported</w:t>
      </w:r>
      <w:r>
        <w:t xml:space="preserve"> </w:t>
      </w:r>
      <w:r w:rsidRPr="00072C86">
        <w:t>an AE during the study</w:t>
      </w:r>
      <w:r w:rsidR="00673A80">
        <w:t>;</w:t>
      </w:r>
      <w:r>
        <w:t xml:space="preserve"> </w:t>
      </w:r>
      <w:r w:rsidRPr="00072C86">
        <w:t xml:space="preserve">4 </w:t>
      </w:r>
      <w:r>
        <w:t>patients in the 10</w:t>
      </w:r>
      <w:r w:rsidR="003B4B6A" w:rsidRPr="003B4B6A">
        <w:t>0 mg</w:t>
      </w:r>
      <w:r>
        <w:t>/day</w:t>
      </w:r>
      <w:r w:rsidRPr="00072C86">
        <w:t xml:space="preserve"> treatment group, 4 </w:t>
      </w:r>
      <w:r>
        <w:t>patients in 20</w:t>
      </w:r>
      <w:r w:rsidR="003B4B6A" w:rsidRPr="003B4B6A">
        <w:t>0 mg</w:t>
      </w:r>
      <w:r>
        <w:t>/day treatment group</w:t>
      </w:r>
      <w:r w:rsidRPr="00072C86">
        <w:t xml:space="preserve"> and 1</w:t>
      </w:r>
      <w:r>
        <w:t xml:space="preserve"> patient in 40</w:t>
      </w:r>
      <w:r w:rsidR="003B4B6A" w:rsidRPr="003B4B6A">
        <w:t>0 mg</w:t>
      </w:r>
      <w:r>
        <w:t>/day</w:t>
      </w:r>
      <w:r w:rsidRPr="00072C86">
        <w:t xml:space="preserve"> treatment group</w:t>
      </w:r>
      <w:r w:rsidR="00686E06">
        <w:t>.</w:t>
      </w:r>
    </w:p>
    <w:p w:rsidR="00686E06" w:rsidRDefault="00C528D5" w:rsidP="00673A80">
      <w:r>
        <w:t>One death was reported in the study in the 20</w:t>
      </w:r>
      <w:r w:rsidR="003B4B6A" w:rsidRPr="003B4B6A">
        <w:t>0 mg</w:t>
      </w:r>
      <w:r>
        <w:t>/day (10</w:t>
      </w:r>
      <w:r w:rsidR="003B4B6A" w:rsidRPr="003B4B6A">
        <w:t>0 mg</w:t>
      </w:r>
      <w:r>
        <w:t xml:space="preserve"> every 12 hours) group on Day 10 due to staphylococcal sepsis and cerebral haemorrhage</w:t>
      </w:r>
      <w:r w:rsidR="00686E06">
        <w:t>.</w:t>
      </w:r>
    </w:p>
    <w:p w:rsidR="00C528D5" w:rsidRDefault="00C528D5" w:rsidP="00673A80">
      <w:r>
        <w:t xml:space="preserve">A total of five </w:t>
      </w:r>
      <w:r w:rsidRPr="00072C86">
        <w:t>S</w:t>
      </w:r>
      <w:r>
        <w:t xml:space="preserve">AEs, including death from cerebral haemorrhage noted above, </w:t>
      </w:r>
      <w:r w:rsidRPr="00072C86">
        <w:t>were reporte</w:t>
      </w:r>
      <w:r>
        <w:t>d in 5 patients</w:t>
      </w:r>
      <w:r w:rsidRPr="00072C86">
        <w:t>.</w:t>
      </w:r>
      <w:r>
        <w:t xml:space="preserve"> These include one case each of gastrointestinal haemorrhage, congestive heart fa</w:t>
      </w:r>
      <w:r w:rsidR="00DD718D">
        <w:t xml:space="preserve">ilure, </w:t>
      </w:r>
      <w:proofErr w:type="gramStart"/>
      <w:r w:rsidR="0089260B">
        <w:t>diarrhoea</w:t>
      </w:r>
      <w:proofErr w:type="gramEnd"/>
      <w:r w:rsidR="00DD718D">
        <w:t xml:space="preserve"> </w:t>
      </w:r>
      <w:r w:rsidR="0089260B">
        <w:t>and chest pain</w:t>
      </w:r>
      <w:r w:rsidR="00686E06">
        <w:t>.</w:t>
      </w:r>
    </w:p>
    <w:p w:rsidR="00C528D5" w:rsidRDefault="00C528D5" w:rsidP="0089260B">
      <w:pPr>
        <w:pStyle w:val="Heading4"/>
      </w:pPr>
      <w:r w:rsidRPr="00F1405B">
        <w:t>Study 101.1.C.003</w:t>
      </w:r>
      <w:r w:rsidR="00A60293">
        <w:t xml:space="preserve"> (Phase III Pivotal E</w:t>
      </w:r>
      <w:r>
        <w:t xml:space="preserve">fficacy </w:t>
      </w:r>
      <w:r w:rsidR="00A60293">
        <w:t>S</w:t>
      </w:r>
      <w:r>
        <w:t>tudy 1)</w:t>
      </w:r>
    </w:p>
    <w:p w:rsidR="00C528D5" w:rsidRDefault="00C528D5" w:rsidP="0089260B">
      <w:r>
        <w:t>In this pivotal efficacy/safety study 300 and 323 adult CDAD patients were treated with oral fidaxomicin (20</w:t>
      </w:r>
      <w:r w:rsidR="003B4B6A" w:rsidRPr="003B4B6A">
        <w:t>0 mg</w:t>
      </w:r>
      <w:r>
        <w:t xml:space="preserve"> 12 hourly) and oral vancomycin (15</w:t>
      </w:r>
      <w:r w:rsidR="003B4B6A" w:rsidRPr="003B4B6A">
        <w:t>0 mg</w:t>
      </w:r>
      <w:r>
        <w:t xml:space="preserve"> 6 hourly) respectively for 10 days</w:t>
      </w:r>
      <w:r w:rsidR="00686E06">
        <w:t>.</w:t>
      </w:r>
    </w:p>
    <w:p w:rsidR="00C528D5" w:rsidRDefault="00C528D5" w:rsidP="0089260B">
      <w:r>
        <w:t>At least one Treatment E</w:t>
      </w:r>
      <w:r w:rsidRPr="001B3A69">
        <w:t xml:space="preserve">mergent AE </w:t>
      </w:r>
      <w:r>
        <w:t xml:space="preserve">(TEAE) </w:t>
      </w:r>
      <w:r w:rsidRPr="001B3A69">
        <w:t xml:space="preserve">was reported in 62.3% </w:t>
      </w:r>
      <w:r>
        <w:t xml:space="preserve">fidaxomicin treated patients compared to 60.4% vancomycin </w:t>
      </w:r>
      <w:r w:rsidRPr="00686E06">
        <w:t>treated patients.</w:t>
      </w:r>
    </w:p>
    <w:p w:rsidR="00C528D5" w:rsidRDefault="00C528D5" w:rsidP="0089260B">
      <w:r>
        <w:t xml:space="preserve">Gastrointestinal </w:t>
      </w:r>
      <w:r w:rsidR="0089260B">
        <w:t xml:space="preserve">Disorders </w:t>
      </w:r>
      <w:r>
        <w:t>(25.0%</w:t>
      </w:r>
      <w:r w:rsidR="003B4B6A" w:rsidRPr="003B4B6A">
        <w:t xml:space="preserve"> versus </w:t>
      </w:r>
      <w:r>
        <w:t>22.3%</w:t>
      </w:r>
      <w:r w:rsidRPr="001B3A69">
        <w:t>)</w:t>
      </w:r>
      <w:r>
        <w:t xml:space="preserve"> </w:t>
      </w:r>
      <w:r w:rsidRPr="001B3A69">
        <w:t xml:space="preserve">followed by </w:t>
      </w:r>
      <w:r w:rsidR="0089260B" w:rsidRPr="001B3A69">
        <w:t>General Disorde</w:t>
      </w:r>
      <w:r w:rsidRPr="001B3A69">
        <w:t>rs (15.3%</w:t>
      </w:r>
      <w:r w:rsidR="003B4B6A" w:rsidRPr="003B4B6A">
        <w:t xml:space="preserve"> versus </w:t>
      </w:r>
      <w:r w:rsidRPr="001B3A69">
        <w:t>16.7%) an</w:t>
      </w:r>
      <w:r>
        <w:t xml:space="preserve">d </w:t>
      </w:r>
      <w:r w:rsidR="0089260B">
        <w:t xml:space="preserve">Infections </w:t>
      </w:r>
      <w:r>
        <w:t>(21.3%</w:t>
      </w:r>
      <w:r w:rsidR="003B4B6A" w:rsidRPr="003B4B6A">
        <w:t xml:space="preserve"> versus </w:t>
      </w:r>
      <w:r>
        <w:t>19.5%) were the most commonly reported system organ classes in fidaxomicin and vancomycin groups respectively. The incidences of some selected AEs in fidaxomicin</w:t>
      </w:r>
      <w:r w:rsidR="003B4B6A" w:rsidRPr="003B4B6A">
        <w:t xml:space="preserve"> versus </w:t>
      </w:r>
      <w:r>
        <w:t>vancomycin groups were anaemia (3.3%</w:t>
      </w:r>
      <w:r w:rsidR="003B4B6A" w:rsidRPr="003B4B6A">
        <w:t xml:space="preserve"> versus </w:t>
      </w:r>
      <w:r>
        <w:t>2.2%), arthralgia (2.0%</w:t>
      </w:r>
      <w:r w:rsidR="003B4B6A" w:rsidRPr="003B4B6A">
        <w:t xml:space="preserve"> versus </w:t>
      </w:r>
      <w:r>
        <w:t>0.6%), headache (6.7%</w:t>
      </w:r>
      <w:r w:rsidR="003B4B6A" w:rsidRPr="003B4B6A">
        <w:t xml:space="preserve"> versus </w:t>
      </w:r>
      <w:r>
        <w:t>4.3%), dizziness (4.0%</w:t>
      </w:r>
      <w:r w:rsidR="003B4B6A" w:rsidRPr="003B4B6A">
        <w:t xml:space="preserve"> versus </w:t>
      </w:r>
      <w:r>
        <w:t>1.2%) and rash (3.0%</w:t>
      </w:r>
      <w:r w:rsidR="003B4B6A" w:rsidRPr="003B4B6A">
        <w:t xml:space="preserve"> versus </w:t>
      </w:r>
      <w:r>
        <w:t>0.6%) respectively</w:t>
      </w:r>
      <w:r w:rsidR="00686E06">
        <w:t>.</w:t>
      </w:r>
    </w:p>
    <w:p w:rsidR="00C528D5" w:rsidRDefault="00C528D5" w:rsidP="0089260B">
      <w:r>
        <w:t>Incidence of TEAE leading to dose reduction or drug stopping temporarily was 0.7% in fidaxomicin group compared to 0.9% in vancomycin group. Incidence of TEAE leading to permanent drug stopping or discontinuation from study was 7.7% in fidaxomicin group compared to 9.0% in vancomycin group</w:t>
      </w:r>
      <w:r w:rsidR="00686E06">
        <w:t>.</w:t>
      </w:r>
    </w:p>
    <w:p w:rsidR="00C528D5" w:rsidRDefault="00C528D5" w:rsidP="0089260B">
      <w:r>
        <w:t>S</w:t>
      </w:r>
      <w:r w:rsidRPr="001B3A69">
        <w:t>AE</w:t>
      </w:r>
      <w:r>
        <w:t>s were</w:t>
      </w:r>
      <w:r w:rsidRPr="001B3A69">
        <w:t xml:space="preserve"> reported in 25.0% </w:t>
      </w:r>
      <w:r>
        <w:t xml:space="preserve">fidaxomicin patients compared to </w:t>
      </w:r>
      <w:r w:rsidRPr="001B3A69">
        <w:t>24.1%</w:t>
      </w:r>
      <w:r>
        <w:t xml:space="preserve"> vancomycin patients</w:t>
      </w:r>
      <w:r w:rsidR="00686E06">
        <w:t>.</w:t>
      </w:r>
    </w:p>
    <w:p w:rsidR="00C528D5" w:rsidRDefault="00C528D5" w:rsidP="0089260B">
      <w:r w:rsidRPr="001B3A69">
        <w:t>All-cause mortality was</w:t>
      </w:r>
      <w:r>
        <w:t xml:space="preserve"> 5.3% (16/300) for fidaxomicin compared to 6.5% (21/323) in vancomycin group</w:t>
      </w:r>
      <w:r w:rsidR="00686E06">
        <w:t>.</w:t>
      </w:r>
    </w:p>
    <w:p w:rsidR="00C528D5" w:rsidRDefault="00C528D5" w:rsidP="0089260B">
      <w:r>
        <w:t xml:space="preserve">There was no </w:t>
      </w:r>
      <w:r w:rsidRPr="00686E06">
        <w:t>definitive trend in mean haematology or mean biochemical changes in either treatment group. Similarly no definitive trend was obvious in assessment of vital signs.</w:t>
      </w:r>
    </w:p>
    <w:p w:rsidR="00C528D5" w:rsidRDefault="00C528D5" w:rsidP="0089260B">
      <w:r>
        <w:t>From baseline to end of treatment, the assessment of ECG showed that mean RR interval was increased by 27.</w:t>
      </w:r>
      <w:r w:rsidR="0089260B">
        <w:t xml:space="preserve"> </w:t>
      </w:r>
      <w:r>
        <w:t>8</w:t>
      </w:r>
      <w:r w:rsidR="00686E06">
        <w:t xml:space="preserve"> ±</w:t>
      </w:r>
      <w:r>
        <w:t xml:space="preserve"> 153.2 msec in fidaxomicin compared to 6.5 ± 124.0 msec in vancomycin group</w:t>
      </w:r>
      <w:r w:rsidR="00686E06">
        <w:t>.</w:t>
      </w:r>
    </w:p>
    <w:p w:rsidR="00C528D5" w:rsidRDefault="00C528D5" w:rsidP="0089260B">
      <w:r>
        <w:t>From baseline to the end of treatment, change in QTcF &gt; 30</w:t>
      </w:r>
      <w:r w:rsidR="0089260B">
        <w:t xml:space="preserve"> </w:t>
      </w:r>
      <w:r>
        <w:t>msec was reported in 4/253 (1.6%) fidaxomicin patients compared to 4/264 (1.5%) vancomycin patients. At the end of treatment QTcF interval &gt; 500</w:t>
      </w:r>
      <w:r w:rsidR="0089260B">
        <w:t xml:space="preserve"> </w:t>
      </w:r>
      <w:r>
        <w:t>msec was reported in 4/253 (1.6%) fidaxomicin treated patients compared to 5/264 (1.9%) vancomycin treated patie</w:t>
      </w:r>
      <w:r w:rsidRPr="00686E06">
        <w:t>nts.</w:t>
      </w:r>
    </w:p>
    <w:p w:rsidR="00C528D5" w:rsidRDefault="00C528D5" w:rsidP="0089260B">
      <w:r>
        <w:t>There was a report of (multipl</w:t>
      </w:r>
      <w:r w:rsidR="0089260B">
        <w:t>e) pregnancy in a 19 years old B</w:t>
      </w:r>
      <w:r>
        <w:t>lack patient in fidaxomicin treatment group. The pregnancy was confirmed in this patient on Day 25 with detection of 5 live intrauterine foetuses. The age of pregnancy at this time was approximately 4 weeks. Subsequently, there was one intrauterine death on Day 126. The remaining foetuses were delivered approximately 3.5 months premature with 3 live including one with cleft palate and 1 deceased foetus. The patient had significant and ongoing morbidities and was being treated for precursor B cell lymphocytic leukaemia at the time of developing CDAD and enrolment into the fidaxomicin trial.</w:t>
      </w:r>
    </w:p>
    <w:p w:rsidR="00C528D5" w:rsidRDefault="00C528D5" w:rsidP="0089260B">
      <w:r w:rsidRPr="006143F9">
        <w:t>A 66</w:t>
      </w:r>
      <w:r w:rsidR="0089260B">
        <w:t xml:space="preserve"> </w:t>
      </w:r>
      <w:r>
        <w:t>year</w:t>
      </w:r>
      <w:r w:rsidR="00A60293">
        <w:t xml:space="preserve"> </w:t>
      </w:r>
      <w:r>
        <w:t xml:space="preserve">old male patient in </w:t>
      </w:r>
      <w:r w:rsidRPr="006143F9">
        <w:t xml:space="preserve">fidaxomicin </w:t>
      </w:r>
      <w:r>
        <w:t xml:space="preserve">group </w:t>
      </w:r>
      <w:r w:rsidRPr="006143F9">
        <w:t>reported an anap</w:t>
      </w:r>
      <w:r>
        <w:t>hylactic reaction. The patient experienced</w:t>
      </w:r>
      <w:r w:rsidRPr="006143F9">
        <w:t xml:space="preserve"> elevated INR and received an injection of vitamin</w:t>
      </w:r>
      <w:r>
        <w:t xml:space="preserve"> </w:t>
      </w:r>
      <w:r w:rsidRPr="006143F9">
        <w:t>K and frozen plasma for the elevated INR on Day 2 of the study. Approximately 20 minutes</w:t>
      </w:r>
      <w:r>
        <w:t xml:space="preserve"> later, the patient</w:t>
      </w:r>
      <w:r w:rsidRPr="006143F9">
        <w:t xml:space="preserve"> developed nausea</w:t>
      </w:r>
      <w:r>
        <w:t>, vomiting and hypotension. The</w:t>
      </w:r>
      <w:r w:rsidRPr="006143F9">
        <w:t xml:space="preserve"> symptoms resolved after</w:t>
      </w:r>
      <w:r>
        <w:t xml:space="preserve"> about 3.5</w:t>
      </w:r>
      <w:r w:rsidR="00353ABC">
        <w:t xml:space="preserve"> h </w:t>
      </w:r>
      <w:r>
        <w:t>and the patient</w:t>
      </w:r>
      <w:r w:rsidRPr="006143F9">
        <w:t xml:space="preserve"> completed therapy with fidaxomicin with an</w:t>
      </w:r>
      <w:r>
        <w:t xml:space="preserve"> </w:t>
      </w:r>
      <w:r w:rsidRPr="006143F9">
        <w:t>outcome of cure and no further reactions.</w:t>
      </w:r>
    </w:p>
    <w:p w:rsidR="00C528D5" w:rsidRDefault="00C528D5" w:rsidP="0089260B">
      <w:r>
        <w:t>There was one report of drug overdose in this trial when a 64 years old woman was given full daily dose (40</w:t>
      </w:r>
      <w:r w:rsidR="003B4B6A" w:rsidRPr="003B4B6A">
        <w:t>0 mg</w:t>
      </w:r>
      <w:r>
        <w:t>) of fidaxomicin at a single time on Day 3 of the study. No adverse effects were reported. The patient was withdrawn and commenced on vancomycin.</w:t>
      </w:r>
    </w:p>
    <w:p w:rsidR="00C528D5" w:rsidRDefault="00C528D5" w:rsidP="0089260B">
      <w:r>
        <w:t>Results of susceptibility testing of clinical isolates at baseline by REA type and by antibiotic and by clinical outcome have been noted elsewhere in the report.</w:t>
      </w:r>
    </w:p>
    <w:p w:rsidR="00C528D5" w:rsidRPr="00F1405B" w:rsidRDefault="00C528D5" w:rsidP="0089260B">
      <w:pPr>
        <w:pStyle w:val="Heading4"/>
      </w:pPr>
      <w:r w:rsidRPr="00F1405B">
        <w:t>Study 101.1.C.004</w:t>
      </w:r>
      <w:r w:rsidR="00A60293">
        <w:t xml:space="preserve"> (Phase III P</w:t>
      </w:r>
      <w:r>
        <w:t xml:space="preserve">ivotal </w:t>
      </w:r>
      <w:r w:rsidR="00A60293">
        <w:t>Efficacy S</w:t>
      </w:r>
      <w:r>
        <w:t>tudy 2)</w:t>
      </w:r>
    </w:p>
    <w:p w:rsidR="00C528D5" w:rsidRDefault="00C528D5" w:rsidP="0089260B">
      <w:r>
        <w:t>In this pivotal efficacy/safety study 264 and 260 adult CDAD patients were treated with oral fidaxomicin (20</w:t>
      </w:r>
      <w:r w:rsidR="003B4B6A" w:rsidRPr="003B4B6A">
        <w:t>0 mg</w:t>
      </w:r>
      <w:r>
        <w:t xml:space="preserve"> 12 hourly) and oral vancomycin (15</w:t>
      </w:r>
      <w:r w:rsidR="003B4B6A" w:rsidRPr="003B4B6A">
        <w:t>0 mg</w:t>
      </w:r>
      <w:r>
        <w:t xml:space="preserve"> 6 hourly) respectively for 10 days.</w:t>
      </w:r>
    </w:p>
    <w:p w:rsidR="00C528D5" w:rsidRDefault="00C528D5" w:rsidP="0089260B">
      <w:r>
        <w:t xml:space="preserve">At least one </w:t>
      </w:r>
      <w:r w:rsidRPr="00006F7B">
        <w:t>T</w:t>
      </w:r>
      <w:r>
        <w:t xml:space="preserve">reatment </w:t>
      </w:r>
      <w:r w:rsidRPr="00006F7B">
        <w:t>E</w:t>
      </w:r>
      <w:r>
        <w:t xml:space="preserve">mergent </w:t>
      </w:r>
      <w:r w:rsidRPr="00006F7B">
        <w:t xml:space="preserve">AE </w:t>
      </w:r>
      <w:r>
        <w:t xml:space="preserve">(TEAE) </w:t>
      </w:r>
      <w:r w:rsidRPr="00006F7B">
        <w:t xml:space="preserve">was reported in 70.5% </w:t>
      </w:r>
      <w:r>
        <w:t>fidaxomicin treated patients compared with 68.1% vancomycin treated patients. Incidence of TEAE leading to dose reduction or drug stopping temporarily was nil in fidaxomicin</w:t>
      </w:r>
      <w:r w:rsidR="003B4B6A" w:rsidRPr="003B4B6A">
        <w:t xml:space="preserve"> versus </w:t>
      </w:r>
      <w:r>
        <w:t>1.9% in vancomycin group. Incidence of TEAE leading to drug stopping or study discontinuation was 8.3% in fidaxomicin</w:t>
      </w:r>
      <w:r w:rsidR="003B4B6A" w:rsidRPr="003B4B6A">
        <w:t xml:space="preserve"> versus </w:t>
      </w:r>
      <w:r>
        <w:t>7.7% in vancomycin group</w:t>
      </w:r>
      <w:r w:rsidR="00686E06">
        <w:t>.</w:t>
      </w:r>
    </w:p>
    <w:p w:rsidR="00C528D5" w:rsidRDefault="00C528D5" w:rsidP="0089260B">
      <w:r>
        <w:t xml:space="preserve">Gastrointestinal </w:t>
      </w:r>
      <w:r w:rsidR="0089260B">
        <w:t xml:space="preserve">Disorders </w:t>
      </w:r>
      <w:r>
        <w:t>(32.2%</w:t>
      </w:r>
      <w:r w:rsidR="003B4B6A" w:rsidRPr="003B4B6A">
        <w:t xml:space="preserve"> versus </w:t>
      </w:r>
      <w:r>
        <w:t>33.8%</w:t>
      </w:r>
      <w:r w:rsidRPr="00006F7B">
        <w:t xml:space="preserve">) followed by </w:t>
      </w:r>
      <w:r w:rsidR="0089260B" w:rsidRPr="00006F7B">
        <w:t>General Disorders</w:t>
      </w:r>
      <w:r w:rsidR="0089260B">
        <w:t xml:space="preserve"> </w:t>
      </w:r>
      <w:r w:rsidRPr="00006F7B">
        <w:t>(14.0%</w:t>
      </w:r>
      <w:r w:rsidR="003B4B6A" w:rsidRPr="003B4B6A">
        <w:t xml:space="preserve"> versus </w:t>
      </w:r>
      <w:r w:rsidRPr="00006F7B">
        <w:t xml:space="preserve">18.1%) and </w:t>
      </w:r>
      <w:r w:rsidR="0089260B" w:rsidRPr="00006F7B">
        <w:t xml:space="preserve">Infections </w:t>
      </w:r>
      <w:r w:rsidRPr="00006F7B">
        <w:t xml:space="preserve">and </w:t>
      </w:r>
      <w:r w:rsidR="0089260B">
        <w:t xml:space="preserve">Infestations </w:t>
      </w:r>
      <w:r>
        <w:t>(19.7%</w:t>
      </w:r>
      <w:r w:rsidR="003B4B6A" w:rsidRPr="003B4B6A">
        <w:t xml:space="preserve"> versus </w:t>
      </w:r>
      <w:r>
        <w:t>17.3%) were the most commonly reported system organ classes in fidaxomicin and vancomycin groups respectively. Reported incidences of select AEs were abdominal pain (8.7%</w:t>
      </w:r>
      <w:r w:rsidR="003B4B6A" w:rsidRPr="003B4B6A">
        <w:t xml:space="preserve"> versus </w:t>
      </w:r>
      <w:r>
        <w:t>4.2%), constipation (4.2%</w:t>
      </w:r>
      <w:r w:rsidR="003B4B6A" w:rsidRPr="003B4B6A">
        <w:t xml:space="preserve"> versus </w:t>
      </w:r>
      <w:r>
        <w:t>2.3%), abdominal distension (3.4%</w:t>
      </w:r>
      <w:r w:rsidR="003B4B6A" w:rsidRPr="003B4B6A">
        <w:t xml:space="preserve"> versus </w:t>
      </w:r>
      <w:r>
        <w:t>1.9%), sepsis (2.3%</w:t>
      </w:r>
      <w:r w:rsidR="003B4B6A" w:rsidRPr="003B4B6A">
        <w:t xml:space="preserve"> versus </w:t>
      </w:r>
      <w:r>
        <w:t>0.8%), ECG QT prolonged (2.7%</w:t>
      </w:r>
      <w:r w:rsidR="003B4B6A" w:rsidRPr="003B4B6A">
        <w:t xml:space="preserve"> versus </w:t>
      </w:r>
      <w:r>
        <w:t>1.2%) and cough (2.7%</w:t>
      </w:r>
      <w:r w:rsidR="003B4B6A" w:rsidRPr="003B4B6A">
        <w:t xml:space="preserve"> versus </w:t>
      </w:r>
      <w:r>
        <w:t>0.8%) for fidaxomicin</w:t>
      </w:r>
      <w:r w:rsidR="003B4B6A" w:rsidRPr="003B4B6A">
        <w:t xml:space="preserve"> versus </w:t>
      </w:r>
      <w:r>
        <w:t>vancomycin groups respectively</w:t>
      </w:r>
      <w:r w:rsidR="00686E06">
        <w:t>.</w:t>
      </w:r>
    </w:p>
    <w:p w:rsidR="00C528D5" w:rsidRDefault="00C528D5" w:rsidP="0089260B">
      <w:r>
        <w:t>All-cause mortality was 7.6% (20/264) in fidaxomicin group compared to 6.5% (17/260) in vancomycin group.</w:t>
      </w:r>
    </w:p>
    <w:p w:rsidR="00C528D5" w:rsidRPr="00996A2A" w:rsidRDefault="00C528D5" w:rsidP="0089260B">
      <w:r w:rsidRPr="00006F7B">
        <w:t>A</w:t>
      </w:r>
      <w:r w:rsidRPr="00996A2A">
        <w:t>ny SAE was reported in 26.5% fidaxomicin treated patients compared with 22.3% vancomycin groups patients</w:t>
      </w:r>
      <w:r w:rsidR="00686E06" w:rsidRPr="00996A2A">
        <w:t>.</w:t>
      </w:r>
    </w:p>
    <w:p w:rsidR="00C528D5" w:rsidRDefault="00C528D5" w:rsidP="0089260B">
      <w:r w:rsidRPr="00996A2A">
        <w:t xml:space="preserve">Laboratory shifts in haematology variables in provided in </w:t>
      </w:r>
      <w:r w:rsidR="00996A2A" w:rsidRPr="00996A2A">
        <w:t>Table 4</w:t>
      </w:r>
      <w:r w:rsidRPr="00996A2A">
        <w:t xml:space="preserve">. Marked changes in blood biochemistry and haematology are provided in </w:t>
      </w:r>
      <w:r w:rsidR="00996A2A" w:rsidRPr="00996A2A">
        <w:t>Table 5.</w:t>
      </w:r>
    </w:p>
    <w:p w:rsidR="00996A2A" w:rsidRPr="00AD3856" w:rsidRDefault="00996A2A" w:rsidP="00AD3856">
      <w:pPr>
        <w:pStyle w:val="TableTitle"/>
        <w:rPr>
          <w:rFonts w:ascii="Times New Roman" w:hAnsi="Times New Roman"/>
          <w:sz w:val="28"/>
        </w:rPr>
      </w:pPr>
      <w:bookmarkStart w:id="90" w:name="_Ref334003668"/>
      <w:proofErr w:type="gramStart"/>
      <w:r w:rsidRPr="00AD3856">
        <w:rPr>
          <w:sz w:val="22"/>
        </w:rPr>
        <w:t>Table 4</w:t>
      </w:r>
      <w:bookmarkEnd w:id="90"/>
      <w:r w:rsidRPr="00AD3856">
        <w:rPr>
          <w:sz w:val="22"/>
        </w:rPr>
        <w:t>.</w:t>
      </w:r>
      <w:proofErr w:type="gramEnd"/>
      <w:r w:rsidRPr="00AD3856">
        <w:rPr>
          <w:sz w:val="22"/>
        </w:rPr>
        <w:t xml:space="preserve"> </w:t>
      </w:r>
      <w:proofErr w:type="gramStart"/>
      <w:r w:rsidRPr="00AD3856">
        <w:rPr>
          <w:sz w:val="22"/>
        </w:rPr>
        <w:t>Study 101.1.C.004.</w:t>
      </w:r>
      <w:proofErr w:type="gramEnd"/>
      <w:r w:rsidRPr="00AD3856">
        <w:rPr>
          <w:sz w:val="22"/>
        </w:rPr>
        <w:t xml:space="preserve"> Laboratory </w:t>
      </w:r>
      <w:r w:rsidR="00AD3856">
        <w:rPr>
          <w:sz w:val="22"/>
        </w:rPr>
        <w:t>t</w:t>
      </w:r>
      <w:r w:rsidRPr="00AD3856">
        <w:rPr>
          <w:sz w:val="22"/>
        </w:rPr>
        <w:t xml:space="preserve">est </w:t>
      </w:r>
      <w:r w:rsidR="00AD3856">
        <w:rPr>
          <w:sz w:val="22"/>
        </w:rPr>
        <w:t>s</w:t>
      </w:r>
      <w:r w:rsidRPr="00AD3856">
        <w:rPr>
          <w:sz w:val="22"/>
        </w:rPr>
        <w:t xml:space="preserve">hift table. </w:t>
      </w:r>
      <w:proofErr w:type="gramStart"/>
      <w:r w:rsidRPr="00AD3856">
        <w:rPr>
          <w:sz w:val="22"/>
        </w:rPr>
        <w:t xml:space="preserve">Baseline versus </w:t>
      </w:r>
      <w:r w:rsidR="00AD3856">
        <w:rPr>
          <w:sz w:val="22"/>
        </w:rPr>
        <w:t>e</w:t>
      </w:r>
      <w:r w:rsidRPr="00AD3856">
        <w:rPr>
          <w:sz w:val="22"/>
        </w:rPr>
        <w:t xml:space="preserve">nd of </w:t>
      </w:r>
      <w:r w:rsidR="00AD3856">
        <w:rPr>
          <w:sz w:val="22"/>
        </w:rPr>
        <w:t>therapy.</w:t>
      </w:r>
      <w:proofErr w:type="gramEnd"/>
      <w:r w:rsidR="00AD3856">
        <w:rPr>
          <w:sz w:val="22"/>
        </w:rPr>
        <w:t xml:space="preserve"> </w:t>
      </w:r>
      <w:proofErr w:type="gramStart"/>
      <w:r w:rsidR="00AD3856">
        <w:rPr>
          <w:sz w:val="22"/>
        </w:rPr>
        <w:t>h</w:t>
      </w:r>
      <w:r w:rsidRPr="00AD3856">
        <w:rPr>
          <w:sz w:val="22"/>
        </w:rPr>
        <w:t>aematology</w:t>
      </w:r>
      <w:proofErr w:type="gramEnd"/>
      <w:r w:rsidRPr="00AD3856">
        <w:rPr>
          <w:sz w:val="22"/>
        </w:rPr>
        <w:t xml:space="preserve">. </w:t>
      </w:r>
      <w:proofErr w:type="gramStart"/>
      <w:r w:rsidRPr="00AD3856">
        <w:rPr>
          <w:sz w:val="22"/>
        </w:rPr>
        <w:t>Safety population.</w:t>
      </w:r>
      <w:proofErr w:type="gramEnd"/>
    </w:p>
    <w:p w:rsidR="00996A2A" w:rsidRDefault="00996A2A" w:rsidP="00353ABC">
      <w:pPr>
        <w:keepNext/>
        <w:rPr>
          <w:rFonts w:ascii="Times New Roman" w:hAnsi="Times New Roman"/>
          <w:sz w:val="24"/>
        </w:rPr>
      </w:pPr>
      <w:r>
        <w:rPr>
          <w:rFonts w:ascii="Times New Roman" w:hAnsi="Times New Roman"/>
          <w:noProof/>
          <w:sz w:val="24"/>
          <w:lang w:eastAsia="en-AU"/>
        </w:rPr>
        <w:drawing>
          <wp:inline distT="0" distB="0" distL="0" distR="0">
            <wp:extent cx="6329792" cy="3589361"/>
            <wp:effectExtent l="19050" t="0" r="0" b="0"/>
            <wp:docPr id="397" name="Picture 397" descr="Table 4. Study 101.1.C.004. Laboratory Test Shift table. Baseline versus End of Therapy. Haematolog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9" cstate="print">
                      <a:duotone>
                        <a:prstClr val="black"/>
                        <a:schemeClr val="bg1">
                          <a:tint val="45000"/>
                          <a:satMod val="400000"/>
                        </a:schemeClr>
                      </a:duotone>
                    </a:blip>
                    <a:srcRect b="5470"/>
                    <a:stretch>
                      <a:fillRect/>
                    </a:stretch>
                  </pic:blipFill>
                  <pic:spPr bwMode="auto">
                    <a:xfrm>
                      <a:off x="0" y="0"/>
                      <a:ext cx="6334167" cy="3591842"/>
                    </a:xfrm>
                    <a:prstGeom prst="rect">
                      <a:avLst/>
                    </a:prstGeom>
                    <a:noFill/>
                    <a:ln w="9525">
                      <a:noFill/>
                      <a:miter lim="800000"/>
                      <a:headEnd/>
                      <a:tailEnd/>
                    </a:ln>
                  </pic:spPr>
                </pic:pic>
              </a:graphicData>
            </a:graphic>
          </wp:inline>
        </w:drawing>
      </w:r>
    </w:p>
    <w:p w:rsidR="00996A2A" w:rsidRPr="00AD3856" w:rsidRDefault="00996A2A" w:rsidP="00AD3856">
      <w:pPr>
        <w:pStyle w:val="TableTitle"/>
        <w:rPr>
          <w:rFonts w:ascii="Times New Roman" w:hAnsi="Times New Roman"/>
          <w:sz w:val="28"/>
        </w:rPr>
      </w:pPr>
      <w:bookmarkStart w:id="91" w:name="_Ref334003734"/>
      <w:proofErr w:type="gramStart"/>
      <w:r w:rsidRPr="00AD3856">
        <w:rPr>
          <w:sz w:val="22"/>
        </w:rPr>
        <w:t>Table 5.</w:t>
      </w:r>
      <w:bookmarkEnd w:id="91"/>
      <w:proofErr w:type="gramEnd"/>
      <w:r w:rsidRPr="00AD3856">
        <w:rPr>
          <w:sz w:val="22"/>
        </w:rPr>
        <w:t xml:space="preserve"> </w:t>
      </w:r>
      <w:proofErr w:type="gramStart"/>
      <w:r w:rsidRPr="00AD3856">
        <w:rPr>
          <w:sz w:val="22"/>
        </w:rPr>
        <w:t>Study 101.1.C.004.</w:t>
      </w:r>
      <w:proofErr w:type="gramEnd"/>
      <w:r w:rsidRPr="00AD3856">
        <w:rPr>
          <w:sz w:val="22"/>
        </w:rPr>
        <w:t xml:space="preserve"> </w:t>
      </w:r>
      <w:proofErr w:type="gramStart"/>
      <w:r w:rsidRPr="00AD3856">
        <w:rPr>
          <w:sz w:val="22"/>
        </w:rPr>
        <w:t>Summary of clinically significant, treatment emergent and markedly abnormal laboratory test abnormalities.</w:t>
      </w:r>
      <w:proofErr w:type="gramEnd"/>
      <w:r w:rsidRPr="00AD3856">
        <w:rPr>
          <w:sz w:val="22"/>
        </w:rPr>
        <w:t xml:space="preserve"> </w:t>
      </w:r>
      <w:proofErr w:type="gramStart"/>
      <w:r w:rsidRPr="00AD3856">
        <w:rPr>
          <w:sz w:val="22"/>
        </w:rPr>
        <w:t xml:space="preserve">Safety </w:t>
      </w:r>
      <w:r w:rsidR="00AD3856">
        <w:rPr>
          <w:sz w:val="22"/>
        </w:rPr>
        <w:t>p</w:t>
      </w:r>
      <w:r w:rsidRPr="00AD3856">
        <w:rPr>
          <w:sz w:val="22"/>
        </w:rPr>
        <w:t>opulation.</w:t>
      </w:r>
      <w:proofErr w:type="gramEnd"/>
    </w:p>
    <w:p w:rsidR="00996A2A" w:rsidRDefault="00996A2A" w:rsidP="00996A2A">
      <w:pPr>
        <w:keepNext/>
        <w:jc w:val="center"/>
        <w:rPr>
          <w:rFonts w:ascii="Times New Roman" w:hAnsi="Times New Roman"/>
          <w:sz w:val="24"/>
        </w:rPr>
      </w:pPr>
      <w:r>
        <w:rPr>
          <w:rFonts w:ascii="Times New Roman" w:hAnsi="Times New Roman"/>
          <w:noProof/>
          <w:sz w:val="24"/>
          <w:lang w:eastAsia="en-AU"/>
        </w:rPr>
        <w:drawing>
          <wp:inline distT="0" distB="0" distL="0" distR="0">
            <wp:extent cx="5747603" cy="3200400"/>
            <wp:effectExtent l="19050" t="0" r="5497" b="0"/>
            <wp:docPr id="399" name="Picture 399" descr="Table 5.  Study 101.1.C.004. Summary of clinically significant, treatment emergent and markedly abnormal laboratory test abnormalit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0" cstate="print">
                      <a:duotone>
                        <a:prstClr val="black"/>
                        <a:schemeClr val="bg1">
                          <a:tint val="45000"/>
                          <a:satMod val="400000"/>
                        </a:schemeClr>
                      </a:duotone>
                    </a:blip>
                    <a:srcRect t="6944"/>
                    <a:stretch>
                      <a:fillRect/>
                    </a:stretch>
                  </pic:blipFill>
                  <pic:spPr bwMode="auto">
                    <a:xfrm>
                      <a:off x="0" y="0"/>
                      <a:ext cx="5747603" cy="3200400"/>
                    </a:xfrm>
                    <a:prstGeom prst="rect">
                      <a:avLst/>
                    </a:prstGeom>
                    <a:noFill/>
                    <a:ln w="9525">
                      <a:noFill/>
                      <a:miter lim="800000"/>
                      <a:headEnd/>
                      <a:tailEnd/>
                    </a:ln>
                  </pic:spPr>
                </pic:pic>
              </a:graphicData>
            </a:graphic>
          </wp:inline>
        </w:drawing>
      </w:r>
    </w:p>
    <w:p w:rsidR="00A60293" w:rsidRDefault="00A60293" w:rsidP="00A60293">
      <w:pPr>
        <w:pStyle w:val="FigureTitle"/>
      </w:pPr>
    </w:p>
    <w:p w:rsidR="00A60293" w:rsidRPr="009A0B6C" w:rsidRDefault="00A60293" w:rsidP="009A0B6C">
      <w:pPr>
        <w:pStyle w:val="TableTitle"/>
        <w:rPr>
          <w:sz w:val="22"/>
        </w:rPr>
      </w:pPr>
      <w:r w:rsidRPr="009A0B6C">
        <w:rPr>
          <w:sz w:val="22"/>
        </w:rPr>
        <w:t xml:space="preserve">Table 5 continued. </w:t>
      </w:r>
      <w:proofErr w:type="gramStart"/>
      <w:r w:rsidRPr="009A0B6C">
        <w:rPr>
          <w:sz w:val="22"/>
        </w:rPr>
        <w:t>Study 101.1.C.004.</w:t>
      </w:r>
      <w:proofErr w:type="gramEnd"/>
      <w:r w:rsidRPr="009A0B6C">
        <w:rPr>
          <w:sz w:val="22"/>
        </w:rPr>
        <w:t xml:space="preserve"> </w:t>
      </w:r>
      <w:proofErr w:type="gramStart"/>
      <w:r w:rsidRPr="009A0B6C">
        <w:rPr>
          <w:sz w:val="22"/>
        </w:rPr>
        <w:t>Summary of clinically significant, treatment emergent and markedly abnormal laboratory test abnormalities.</w:t>
      </w:r>
      <w:proofErr w:type="gramEnd"/>
      <w:r w:rsidRPr="009A0B6C">
        <w:rPr>
          <w:sz w:val="22"/>
        </w:rPr>
        <w:t xml:space="preserve"> </w:t>
      </w:r>
      <w:proofErr w:type="gramStart"/>
      <w:r w:rsidRPr="009A0B6C">
        <w:rPr>
          <w:sz w:val="22"/>
        </w:rPr>
        <w:t>Safety Population.</w:t>
      </w:r>
      <w:proofErr w:type="gramEnd"/>
    </w:p>
    <w:p w:rsidR="00996A2A" w:rsidRDefault="00996A2A" w:rsidP="00A60293">
      <w:pPr>
        <w:keepNext/>
        <w:jc w:val="center"/>
        <w:rPr>
          <w:rFonts w:ascii="Times New Roman" w:hAnsi="Times New Roman"/>
          <w:sz w:val="24"/>
        </w:rPr>
      </w:pPr>
      <w:r>
        <w:rPr>
          <w:rFonts w:ascii="Times New Roman" w:hAnsi="Times New Roman"/>
          <w:noProof/>
          <w:sz w:val="24"/>
          <w:lang w:eastAsia="en-AU"/>
        </w:rPr>
        <w:drawing>
          <wp:inline distT="0" distB="0" distL="0" distR="0">
            <wp:extent cx="5969000" cy="3378200"/>
            <wp:effectExtent l="19050" t="0" r="0" b="0"/>
            <wp:docPr id="400" name="Picture 400" descr="Table 5 continued. Study 101.1.C.004. Summary of clinically significant, treatment emergent and markedly abnormal laboratory test abnormalit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1" cstate="print">
                      <a:duotone>
                        <a:prstClr val="black"/>
                        <a:schemeClr val="bg1">
                          <a:tint val="45000"/>
                          <a:satMod val="400000"/>
                        </a:schemeClr>
                      </a:duotone>
                    </a:blip>
                    <a:srcRect/>
                    <a:stretch>
                      <a:fillRect/>
                    </a:stretch>
                  </pic:blipFill>
                  <pic:spPr bwMode="auto">
                    <a:xfrm>
                      <a:off x="0" y="0"/>
                      <a:ext cx="5969000" cy="3378200"/>
                    </a:xfrm>
                    <a:prstGeom prst="rect">
                      <a:avLst/>
                    </a:prstGeom>
                    <a:noFill/>
                    <a:ln w="9525">
                      <a:noFill/>
                      <a:miter lim="800000"/>
                      <a:headEnd/>
                      <a:tailEnd/>
                    </a:ln>
                  </pic:spPr>
                </pic:pic>
              </a:graphicData>
            </a:graphic>
          </wp:inline>
        </w:drawing>
      </w:r>
    </w:p>
    <w:p w:rsidR="00996A2A" w:rsidRDefault="00996A2A" w:rsidP="00996A2A">
      <w:pPr>
        <w:jc w:val="center"/>
        <w:rPr>
          <w:rFonts w:ascii="Times New Roman" w:hAnsi="Times New Roman"/>
          <w:sz w:val="24"/>
        </w:rPr>
      </w:pPr>
      <w:r>
        <w:rPr>
          <w:rFonts w:ascii="Times New Roman" w:hAnsi="Times New Roman"/>
          <w:noProof/>
          <w:sz w:val="24"/>
          <w:lang w:eastAsia="en-AU"/>
        </w:rPr>
        <w:drawing>
          <wp:inline distT="0" distB="0" distL="0" distR="0">
            <wp:extent cx="5969000" cy="3536950"/>
            <wp:effectExtent l="19050" t="0" r="0" b="0"/>
            <wp:docPr id="401" name="Picture 401" descr="Table 5 continued. Study 101.1.C.004. Summary of clinically significant, treatment emergent and markedly abnormal laboratory test abnormalit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2" cstate="print">
                      <a:duotone>
                        <a:prstClr val="black"/>
                        <a:schemeClr val="bg1">
                          <a:tint val="45000"/>
                          <a:satMod val="400000"/>
                        </a:schemeClr>
                      </a:duotone>
                    </a:blip>
                    <a:srcRect/>
                    <a:stretch>
                      <a:fillRect/>
                    </a:stretch>
                  </pic:blipFill>
                  <pic:spPr bwMode="auto">
                    <a:xfrm>
                      <a:off x="0" y="0"/>
                      <a:ext cx="5969000" cy="3536950"/>
                    </a:xfrm>
                    <a:prstGeom prst="rect">
                      <a:avLst/>
                    </a:prstGeom>
                    <a:noFill/>
                    <a:ln w="9525">
                      <a:noFill/>
                      <a:miter lim="800000"/>
                      <a:headEnd/>
                      <a:tailEnd/>
                    </a:ln>
                  </pic:spPr>
                </pic:pic>
              </a:graphicData>
            </a:graphic>
          </wp:inline>
        </w:drawing>
      </w:r>
    </w:p>
    <w:p w:rsidR="00A60293" w:rsidRDefault="00A60293" w:rsidP="009A0B6C">
      <w:pPr>
        <w:rPr>
          <w:rFonts w:ascii="Times New Roman" w:hAnsi="Times New Roman"/>
          <w:sz w:val="24"/>
        </w:rPr>
      </w:pPr>
    </w:p>
    <w:p w:rsidR="00A60293" w:rsidRPr="009A0B6C" w:rsidRDefault="00A60293" w:rsidP="009A0B6C">
      <w:pPr>
        <w:pStyle w:val="TableTitle"/>
        <w:rPr>
          <w:sz w:val="22"/>
        </w:rPr>
      </w:pPr>
      <w:r w:rsidRPr="009A0B6C">
        <w:rPr>
          <w:sz w:val="22"/>
        </w:rPr>
        <w:t xml:space="preserve">Table 5 continued. </w:t>
      </w:r>
      <w:proofErr w:type="gramStart"/>
      <w:r w:rsidRPr="009A0B6C">
        <w:rPr>
          <w:sz w:val="22"/>
        </w:rPr>
        <w:t>Study 101.1.C.004.</w:t>
      </w:r>
      <w:proofErr w:type="gramEnd"/>
      <w:r w:rsidRPr="009A0B6C">
        <w:rPr>
          <w:sz w:val="22"/>
        </w:rPr>
        <w:t xml:space="preserve"> </w:t>
      </w:r>
      <w:proofErr w:type="gramStart"/>
      <w:r w:rsidRPr="009A0B6C">
        <w:rPr>
          <w:sz w:val="22"/>
        </w:rPr>
        <w:t>Summary of clinically significant, treatment emergent and markedly abnormal laboratory test abnormalities.</w:t>
      </w:r>
      <w:proofErr w:type="gramEnd"/>
      <w:r w:rsidRPr="009A0B6C">
        <w:rPr>
          <w:sz w:val="22"/>
        </w:rPr>
        <w:t xml:space="preserve"> </w:t>
      </w:r>
      <w:proofErr w:type="gramStart"/>
      <w:r w:rsidRPr="009A0B6C">
        <w:rPr>
          <w:sz w:val="22"/>
        </w:rPr>
        <w:t>Safety Population.</w:t>
      </w:r>
      <w:proofErr w:type="gramEnd"/>
    </w:p>
    <w:p w:rsidR="00996A2A" w:rsidRDefault="00996A2A" w:rsidP="00A60293">
      <w:pPr>
        <w:keepNext/>
        <w:jc w:val="center"/>
        <w:rPr>
          <w:rFonts w:ascii="Times New Roman" w:hAnsi="Times New Roman"/>
          <w:sz w:val="24"/>
        </w:rPr>
      </w:pPr>
      <w:r>
        <w:rPr>
          <w:rFonts w:ascii="Times New Roman" w:hAnsi="Times New Roman"/>
          <w:noProof/>
          <w:sz w:val="24"/>
          <w:lang w:eastAsia="en-AU"/>
        </w:rPr>
        <w:drawing>
          <wp:inline distT="0" distB="0" distL="0" distR="0">
            <wp:extent cx="5938672" cy="3113073"/>
            <wp:effectExtent l="19050" t="0" r="4928" b="0"/>
            <wp:docPr id="402" name="Picture 402" descr="Table 5 continued. Study 101.1.C.004. Summary of clinically significant, treatment emergent and markedly abnormal laboratory test abnormalit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3" cstate="print">
                      <a:duotone>
                        <a:prstClr val="black"/>
                        <a:schemeClr val="bg1">
                          <a:tint val="45000"/>
                          <a:satMod val="400000"/>
                        </a:schemeClr>
                      </a:duotone>
                    </a:blip>
                    <a:srcRect b="6324"/>
                    <a:stretch>
                      <a:fillRect/>
                    </a:stretch>
                  </pic:blipFill>
                  <pic:spPr bwMode="auto">
                    <a:xfrm>
                      <a:off x="0" y="0"/>
                      <a:ext cx="5938672" cy="3113073"/>
                    </a:xfrm>
                    <a:prstGeom prst="rect">
                      <a:avLst/>
                    </a:prstGeom>
                    <a:noFill/>
                    <a:ln w="9525">
                      <a:noFill/>
                      <a:miter lim="800000"/>
                      <a:headEnd/>
                      <a:tailEnd/>
                    </a:ln>
                  </pic:spPr>
                </pic:pic>
              </a:graphicData>
            </a:graphic>
          </wp:inline>
        </w:drawing>
      </w:r>
    </w:p>
    <w:p w:rsidR="00C528D5" w:rsidRDefault="00C528D5" w:rsidP="0089260B">
      <w:r>
        <w:t>There were no significant changes in vital signs.</w:t>
      </w:r>
    </w:p>
    <w:p w:rsidR="00C528D5" w:rsidRDefault="00C528D5" w:rsidP="0089260B">
      <w:r>
        <w:t xml:space="preserve">From baseline to the end of treatment, change in QTcF &gt; 30msec was reported in 18/229 (7.9%) fidaxomicin treated patients compared to 17/219 (7.8%) vancomycin treated patients. At the end of treatment, QTcF interval &gt; 500msec was reported in 3/229 (1.3%) fidaxomicin treated patients compared to 6/219 (2.7%) vancomycin treated patients. </w:t>
      </w:r>
      <w:r w:rsidRPr="00B66739">
        <w:t xml:space="preserve">One case of Torsades de Pointes </w:t>
      </w:r>
      <w:r>
        <w:t xml:space="preserve">was </w:t>
      </w:r>
      <w:r w:rsidRPr="00B66739">
        <w:t>reported in the vancomycin group.</w:t>
      </w:r>
    </w:p>
    <w:p w:rsidR="00C528D5" w:rsidRPr="00F43F89" w:rsidRDefault="00C528D5" w:rsidP="0089260B">
      <w:pPr>
        <w:pStyle w:val="Heading4"/>
      </w:pPr>
      <w:r w:rsidRPr="00F43F89">
        <w:t>Po</w:t>
      </w:r>
      <w:r w:rsidR="0089260B">
        <w:t>oled data (2 Phase III studies)</w:t>
      </w:r>
    </w:p>
    <w:p w:rsidR="00C528D5" w:rsidRDefault="00C528D5" w:rsidP="0089260B">
      <w:r>
        <w:t xml:space="preserve">A total of 564 CDAD patients were treated with fidaxomicin in the two pivotal clinical trials compared to 583 vancomycin treated patients. AEs were reported in 68.3% and 65.5% patients in the two groups respectively. Notable AEs (incidence </w:t>
      </w:r>
      <w:r w:rsidR="0089260B">
        <w:t>≥</w:t>
      </w:r>
      <w:r>
        <w:t xml:space="preserve"> 2%) with frequency higher in fidaxomicin treated group compared to vancomycin treated group respectively were anaemia (2.5%</w:t>
      </w:r>
      <w:r w:rsidR="003B4B6A" w:rsidRPr="003B4B6A">
        <w:t xml:space="preserve"> versus </w:t>
      </w:r>
      <w:r>
        <w:t>2.1%), vomiting (7.3%</w:t>
      </w:r>
      <w:r w:rsidR="003B4B6A" w:rsidRPr="003B4B6A">
        <w:t xml:space="preserve"> versus </w:t>
      </w:r>
      <w:r>
        <w:t>6.3%), abdominal pain (5.9%</w:t>
      </w:r>
      <w:r w:rsidR="003B4B6A" w:rsidRPr="003B4B6A">
        <w:t xml:space="preserve"> versus </w:t>
      </w:r>
      <w:r>
        <w:t>3.9%), constipation (4.4%, 2.1%), hypokalemia (7.3%</w:t>
      </w:r>
      <w:r w:rsidR="003B4B6A" w:rsidRPr="003B4B6A">
        <w:t xml:space="preserve"> versus </w:t>
      </w:r>
      <w:r>
        <w:t>6.5%), hyperkalemia (2.8%</w:t>
      </w:r>
      <w:r w:rsidR="003B4B6A" w:rsidRPr="003B4B6A">
        <w:t xml:space="preserve"> versus </w:t>
      </w:r>
      <w:r>
        <w:t>1.7%), headache (6.6%</w:t>
      </w:r>
      <w:r w:rsidR="003B4B6A" w:rsidRPr="003B4B6A">
        <w:t xml:space="preserve"> versus </w:t>
      </w:r>
      <w:r>
        <w:t>4.6%), dizziness (2.8%</w:t>
      </w:r>
      <w:r w:rsidR="003B4B6A" w:rsidRPr="003B4B6A">
        <w:t xml:space="preserve"> versus </w:t>
      </w:r>
      <w:r>
        <w:t>2.1%) and dyspnoea (2.5%</w:t>
      </w:r>
      <w:r w:rsidR="003B4B6A" w:rsidRPr="003B4B6A">
        <w:t xml:space="preserve"> versus </w:t>
      </w:r>
      <w:r>
        <w:t>2.2).</w:t>
      </w:r>
    </w:p>
    <w:p w:rsidR="00C528D5" w:rsidRDefault="00C528D5" w:rsidP="0089260B">
      <w:r>
        <w:t>A total of 5.9% patients in fidaxomicin and 6.9% patients in vancomycin groups experienced AEs leading to discontinuation for the study drug. SAEs were reported in 25.7% fidaxomicin treated patients compared to 23.2% vancomycin treated patients. Notable SAEs (</w:t>
      </w:r>
      <w:r w:rsidR="0089260B">
        <w:t>≥</w:t>
      </w:r>
      <w:r>
        <w:t xml:space="preserve"> 2 patients) with higher occurrence in fidaxomicin treated group compared to vancomycin treated group respectively were anaemia (4</w:t>
      </w:r>
      <w:r w:rsidR="003B4B6A" w:rsidRPr="003B4B6A">
        <w:t xml:space="preserve"> versus </w:t>
      </w:r>
      <w:r>
        <w:t>2), leucopenia (4</w:t>
      </w:r>
      <w:r w:rsidR="003B4B6A" w:rsidRPr="003B4B6A">
        <w:t xml:space="preserve"> versus </w:t>
      </w:r>
      <w:r>
        <w:t>1), thrombocytopenia (3</w:t>
      </w:r>
      <w:r w:rsidR="003B4B6A" w:rsidRPr="003B4B6A">
        <w:t xml:space="preserve"> versus </w:t>
      </w:r>
      <w:r>
        <w:t>2), lymphopenia (3</w:t>
      </w:r>
      <w:r w:rsidR="003B4B6A" w:rsidRPr="003B4B6A">
        <w:t xml:space="preserve"> versus </w:t>
      </w:r>
      <w:r>
        <w:t>2), neutropenia (4</w:t>
      </w:r>
      <w:r w:rsidR="003B4B6A" w:rsidRPr="003B4B6A">
        <w:t xml:space="preserve"> versus </w:t>
      </w:r>
      <w:r>
        <w:t>0), congestive cardiac failure (5</w:t>
      </w:r>
      <w:r w:rsidR="003B4B6A" w:rsidRPr="003B4B6A">
        <w:t xml:space="preserve"> versus </w:t>
      </w:r>
      <w:r>
        <w:t>3), myocardial infarction (4</w:t>
      </w:r>
      <w:r w:rsidR="003B4B6A" w:rsidRPr="003B4B6A">
        <w:t xml:space="preserve"> versus </w:t>
      </w:r>
      <w:r>
        <w:t>2), atrial fibrillation (4</w:t>
      </w:r>
      <w:r w:rsidR="003B4B6A" w:rsidRPr="003B4B6A">
        <w:t xml:space="preserve"> versus </w:t>
      </w:r>
      <w:r>
        <w:t>1), gastrointestinal hemorrhage (4</w:t>
      </w:r>
      <w:r w:rsidR="003B4B6A" w:rsidRPr="003B4B6A">
        <w:t xml:space="preserve"> versus </w:t>
      </w:r>
      <w:r>
        <w:t>1), intestinal obstruction (4</w:t>
      </w:r>
      <w:r w:rsidR="003B4B6A" w:rsidRPr="003B4B6A">
        <w:t xml:space="preserve"> versus </w:t>
      </w:r>
      <w:r>
        <w:t>1), abdominal pain (4</w:t>
      </w:r>
      <w:r w:rsidR="003B4B6A" w:rsidRPr="003B4B6A">
        <w:t xml:space="preserve"> versus </w:t>
      </w:r>
      <w:r>
        <w:t>1), megacolon (3</w:t>
      </w:r>
      <w:r w:rsidR="003B4B6A" w:rsidRPr="003B4B6A">
        <w:t xml:space="preserve"> versus </w:t>
      </w:r>
      <w:r>
        <w:t>0), haemorrhagic diarrhoea (2</w:t>
      </w:r>
      <w:r w:rsidR="003B4B6A" w:rsidRPr="003B4B6A">
        <w:t xml:space="preserve"> versus </w:t>
      </w:r>
      <w:r>
        <w:t>0), colitis (2</w:t>
      </w:r>
      <w:r w:rsidR="003B4B6A" w:rsidRPr="003B4B6A">
        <w:t xml:space="preserve"> versus </w:t>
      </w:r>
      <w:r>
        <w:t>0), chest pain (2</w:t>
      </w:r>
      <w:r w:rsidR="003B4B6A" w:rsidRPr="003B4B6A">
        <w:t xml:space="preserve"> versus </w:t>
      </w:r>
      <w:r>
        <w:t>1), sepsis (7</w:t>
      </w:r>
      <w:r w:rsidR="003B4B6A" w:rsidRPr="003B4B6A">
        <w:t xml:space="preserve"> versus </w:t>
      </w:r>
      <w:r>
        <w:t>5), bacteraemia (2</w:t>
      </w:r>
      <w:r w:rsidR="003B4B6A" w:rsidRPr="003B4B6A">
        <w:t xml:space="preserve"> versus </w:t>
      </w:r>
      <w:r>
        <w:t>1), hip fracture (2</w:t>
      </w:r>
      <w:r w:rsidR="003B4B6A" w:rsidRPr="003B4B6A">
        <w:t xml:space="preserve"> versus </w:t>
      </w:r>
      <w:r>
        <w:t>1), blood uric acid increased (5</w:t>
      </w:r>
      <w:r w:rsidR="003B4B6A" w:rsidRPr="003B4B6A">
        <w:t xml:space="preserve"> versus </w:t>
      </w:r>
      <w:r>
        <w:t>1), lymphocyte count decreased (4</w:t>
      </w:r>
      <w:r w:rsidR="003B4B6A" w:rsidRPr="003B4B6A">
        <w:t xml:space="preserve"> versus </w:t>
      </w:r>
      <w:r>
        <w:t>1), liver function tests abnormal (2</w:t>
      </w:r>
      <w:r w:rsidR="003B4B6A" w:rsidRPr="003B4B6A">
        <w:t xml:space="preserve"> versus </w:t>
      </w:r>
      <w:r>
        <w:t>1), WBC count decreased (2</w:t>
      </w:r>
      <w:r w:rsidR="003B4B6A" w:rsidRPr="003B4B6A">
        <w:t xml:space="preserve"> versus </w:t>
      </w:r>
      <w:r>
        <w:t>0), neutrophil count decreased (2</w:t>
      </w:r>
      <w:r w:rsidR="003B4B6A" w:rsidRPr="003B4B6A">
        <w:t xml:space="preserve"> versus </w:t>
      </w:r>
      <w:r>
        <w:t>1), hyponatremia (6</w:t>
      </w:r>
      <w:r w:rsidR="003B4B6A" w:rsidRPr="003B4B6A">
        <w:t xml:space="preserve"> versus </w:t>
      </w:r>
      <w:r>
        <w:t>3), hyperkalemia (5</w:t>
      </w:r>
      <w:r w:rsidR="003B4B6A" w:rsidRPr="003B4B6A">
        <w:t xml:space="preserve"> versus </w:t>
      </w:r>
      <w:r>
        <w:t>2), hypophosphatemia (5</w:t>
      </w:r>
      <w:r w:rsidR="003B4B6A" w:rsidRPr="003B4B6A">
        <w:t xml:space="preserve"> versus </w:t>
      </w:r>
      <w:r>
        <w:t>0), hypoglycaemia (3</w:t>
      </w:r>
      <w:r w:rsidR="003B4B6A" w:rsidRPr="003B4B6A">
        <w:t xml:space="preserve"> versus </w:t>
      </w:r>
      <w:r>
        <w:t>0), acute renal failure (4</w:t>
      </w:r>
      <w:r w:rsidR="003B4B6A" w:rsidRPr="003B4B6A">
        <w:t xml:space="preserve"> versus </w:t>
      </w:r>
      <w:r>
        <w:t>3), respiratory distress (3</w:t>
      </w:r>
      <w:r w:rsidR="003B4B6A" w:rsidRPr="003B4B6A">
        <w:t xml:space="preserve"> versus </w:t>
      </w:r>
      <w:r>
        <w:t>0), hypoxia (2</w:t>
      </w:r>
      <w:r w:rsidR="003B4B6A" w:rsidRPr="003B4B6A">
        <w:t xml:space="preserve"> versus </w:t>
      </w:r>
      <w:r>
        <w:t>1), chronic obstructive pulmonary disease (2</w:t>
      </w:r>
      <w:r w:rsidR="003B4B6A" w:rsidRPr="003B4B6A">
        <w:t xml:space="preserve"> versus </w:t>
      </w:r>
      <w:r>
        <w:t>0) and hypotension (2</w:t>
      </w:r>
      <w:r w:rsidR="003B4B6A" w:rsidRPr="003B4B6A">
        <w:t xml:space="preserve"> versus </w:t>
      </w:r>
      <w:r>
        <w:t>1).</w:t>
      </w:r>
    </w:p>
    <w:p w:rsidR="00C528D5" w:rsidRDefault="00C528D5" w:rsidP="0089260B">
      <w:r>
        <w:t>Gastrointestinal treatment-emergent adverse events (TEAEs) were reported in 31.4% fidaxomicin treated patients compared with 29.0% vancomycin treated patients. Identified GI bleeding TEAEs were reported in 4.1% fidaxomicin treated patients compared to 3.1% vancomycin treated patients.</w:t>
      </w:r>
    </w:p>
    <w:p w:rsidR="00C528D5" w:rsidRDefault="00C528D5" w:rsidP="0089260B">
      <w:r>
        <w:t>Shifts in WBCs (</w:t>
      </w:r>
      <w:r w:rsidRPr="008E35F9">
        <w:t>preferred terms of febrile neutropenia, granulocytopenia, leuc</w:t>
      </w:r>
      <w:r w:rsidR="00CF2CB6">
        <w:t>o</w:t>
      </w:r>
      <w:r w:rsidRPr="008E35F9">
        <w:t>penia,</w:t>
      </w:r>
      <w:r>
        <w:t xml:space="preserve"> </w:t>
      </w:r>
      <w:r w:rsidRPr="008E35F9">
        <w:t>lymphopenia, neutropenia, pancytopenia, neutropenic s</w:t>
      </w:r>
      <w:r>
        <w:t xml:space="preserve">epsis, WBC disorder, lymphocyte </w:t>
      </w:r>
      <w:r w:rsidRPr="008E35F9">
        <w:t>count abnormal, lymphocyte count decreased, neutrophil count decreased, WBC decreased</w:t>
      </w:r>
      <w:r>
        <w:t>) were more prevalent in fidaxomicin treated group (4.1%) compared to vancomycin treated group (1.9%).</w:t>
      </w:r>
    </w:p>
    <w:p w:rsidR="00C528D5" w:rsidRDefault="00C528D5" w:rsidP="0089260B">
      <w:r>
        <w:t xml:space="preserve">The incidence of increased </w:t>
      </w:r>
      <w:r w:rsidRPr="008E35F9">
        <w:t>alanine aminotransfer</w:t>
      </w:r>
      <w:r>
        <w:t>ase was 1.6% in</w:t>
      </w:r>
      <w:r w:rsidRPr="008E35F9">
        <w:t xml:space="preserve"> fidaxomicin </w:t>
      </w:r>
      <w:r>
        <w:t xml:space="preserve">treated group compared to 1.0% in </w:t>
      </w:r>
      <w:r w:rsidRPr="008E35F9">
        <w:t>van</w:t>
      </w:r>
      <w:r>
        <w:t>comycin treated group.</w:t>
      </w:r>
    </w:p>
    <w:p w:rsidR="00C528D5" w:rsidRPr="006143F9" w:rsidRDefault="00C528D5" w:rsidP="0089260B">
      <w:r>
        <w:t xml:space="preserve">AEs leading to death were reported in 36/564 (6.4%) fidaxomicin treated patients compared to 38/583 (6.5%) vancomycin treated patients. </w:t>
      </w:r>
    </w:p>
    <w:p w:rsidR="00C528D5" w:rsidRPr="00C21DB3" w:rsidRDefault="00DD718D" w:rsidP="0089260B">
      <w:pPr>
        <w:pStyle w:val="Heading4"/>
      </w:pPr>
      <w:r>
        <w:t>Postm</w:t>
      </w:r>
      <w:r w:rsidR="00C528D5" w:rsidRPr="00C21DB3">
        <w:t>arket data</w:t>
      </w:r>
    </w:p>
    <w:p w:rsidR="00C528D5" w:rsidRDefault="00C528D5" w:rsidP="0089260B">
      <w:r w:rsidRPr="00C21DB3">
        <w:t xml:space="preserve">The total exposure estimate for the current aggregate reporting period </w:t>
      </w:r>
      <w:r>
        <w:t>based on overseas (US and some Canadian exposure) approval (27</w:t>
      </w:r>
      <w:r w:rsidR="0089260B">
        <w:t xml:space="preserve"> May 20</w:t>
      </w:r>
      <w:r w:rsidRPr="00C21DB3">
        <w:t xml:space="preserve">11 to </w:t>
      </w:r>
      <w:r>
        <w:t>26</w:t>
      </w:r>
      <w:r w:rsidR="0089260B">
        <w:t xml:space="preserve"> November 201</w:t>
      </w:r>
      <w:r w:rsidRPr="00C21DB3">
        <w:t>1) is approximately 5414 patient-courses of therapy</w:t>
      </w:r>
      <w:r>
        <w:t>.</w:t>
      </w:r>
    </w:p>
    <w:p w:rsidR="00C528D5" w:rsidRDefault="00C528D5" w:rsidP="0089260B">
      <w:r>
        <w:t xml:space="preserve">A total of 47 individual safety reports </w:t>
      </w:r>
      <w:r w:rsidRPr="00C21DB3">
        <w:t xml:space="preserve">were </w:t>
      </w:r>
      <w:r>
        <w:t>received with a</w:t>
      </w:r>
      <w:r w:rsidRPr="00C21DB3">
        <w:t xml:space="preserve"> t</w:t>
      </w:r>
      <w:r>
        <w:t>otal of 121 reported events including 5 reports</w:t>
      </w:r>
      <w:r w:rsidRPr="00C21DB3">
        <w:t xml:space="preserve"> with </w:t>
      </w:r>
      <w:r>
        <w:t>a fatal outcome were received</w:t>
      </w:r>
      <w:r w:rsidRPr="00C21DB3">
        <w:t>.</w:t>
      </w:r>
      <w:r>
        <w:t xml:space="preserve"> </w:t>
      </w:r>
      <w:r w:rsidRPr="00C21DB3">
        <w:t xml:space="preserve">The reports designated </w:t>
      </w:r>
      <w:r w:rsidRPr="00C21DB3">
        <w:rPr>
          <w:i/>
          <w:iCs/>
        </w:rPr>
        <w:t xml:space="preserve">serious and unlisted </w:t>
      </w:r>
      <w:r>
        <w:t>included</w:t>
      </w:r>
      <w:r w:rsidRPr="00C21DB3">
        <w:t xml:space="preserve"> Infections and Infestations (9; most frequent PT was Clostridial infection [4]), Cardiac disorders (5; all PTs were n=1), Gastrointestinal disorders (5; all PTs were n</w:t>
      </w:r>
      <w:r>
        <w:t xml:space="preserve"> </w:t>
      </w:r>
      <w:r w:rsidRPr="00C21DB3">
        <w:t>=</w:t>
      </w:r>
      <w:r>
        <w:t xml:space="preserve"> </w:t>
      </w:r>
      <w:r w:rsidRPr="00C21DB3">
        <w:t xml:space="preserve">1), and Investigations (5; most </w:t>
      </w:r>
      <w:r>
        <w:t>frequent PT was WBC</w:t>
      </w:r>
      <w:r w:rsidRPr="00C21DB3">
        <w:t xml:space="preserve"> count increased [2]). The most frequent serious unlisted PT w</w:t>
      </w:r>
      <w:r>
        <w:t>as Clostridial infection (n=4).</w:t>
      </w:r>
      <w:r w:rsidRPr="00C21DB3">
        <w:t xml:space="preserve"> The most frequent non-serious unlisted PTs included diarrhoea (n=9), Clostr</w:t>
      </w:r>
      <w:r>
        <w:t xml:space="preserve">idial infection (n=5) and </w:t>
      </w:r>
      <w:r w:rsidRPr="006143F9">
        <w:rPr>
          <w:i/>
        </w:rPr>
        <w:t>C. difficile colitis</w:t>
      </w:r>
      <w:r>
        <w:t xml:space="preserve"> (n=4).</w:t>
      </w:r>
    </w:p>
    <w:p w:rsidR="00C528D5" w:rsidRPr="00C21DB3" w:rsidRDefault="00C528D5" w:rsidP="0089260B">
      <w:r w:rsidRPr="00C21DB3">
        <w:t>Possible hypersensitivity reactions reported in the post</w:t>
      </w:r>
      <w:r>
        <w:t>-</w:t>
      </w:r>
      <w:r w:rsidRPr="00C21DB3">
        <w:t>marketing sett</w:t>
      </w:r>
      <w:r>
        <w:t>ing</w:t>
      </w:r>
      <w:r w:rsidRPr="00C21DB3">
        <w:t xml:space="preserve"> and in Phase </w:t>
      </w:r>
      <w:r w:rsidR="0089260B">
        <w:t>III</w:t>
      </w:r>
      <w:r w:rsidRPr="00C21DB3">
        <w:t xml:space="preserve"> trial</w:t>
      </w:r>
      <w:r>
        <w:t>s were also reviewed</w:t>
      </w:r>
      <w:r w:rsidRPr="00C21DB3">
        <w:t>. Overall, 20 cases of rash were identified searching both the global safety an</w:t>
      </w:r>
      <w:r>
        <w:t>d clinical trial databases: 16/564</w:t>
      </w:r>
      <w:r w:rsidRPr="00C21DB3">
        <w:t xml:space="preserve"> </w:t>
      </w:r>
      <w:r>
        <w:t>(</w:t>
      </w:r>
      <w:r w:rsidRPr="00C21DB3">
        <w:t>2.8%</w:t>
      </w:r>
      <w:r>
        <w:t>) fidaxomicin treated patients experienced skin rash</w:t>
      </w:r>
      <w:r w:rsidRPr="00C21DB3">
        <w:t xml:space="preserve"> and 4 cases of rash were </w:t>
      </w:r>
      <w:r>
        <w:t xml:space="preserve">reported in </w:t>
      </w:r>
      <w:r w:rsidRPr="00C21DB3">
        <w:t>spontaneous post-marketing reports. All 20 cases reported mild to moderate rash events that resolved on discontinuation with or withou</w:t>
      </w:r>
      <w:r>
        <w:t>t treatment</w:t>
      </w:r>
      <w:r w:rsidRPr="00C21DB3">
        <w:t>.</w:t>
      </w:r>
    </w:p>
    <w:p w:rsidR="00C528D5" w:rsidRPr="009C5EC3" w:rsidRDefault="00C528D5" w:rsidP="0089260B">
      <w:pPr>
        <w:pStyle w:val="Heading3"/>
      </w:pPr>
      <w:bookmarkStart w:id="92" w:name="_Toc241374328"/>
      <w:bookmarkStart w:id="93" w:name="_Toc272414691"/>
      <w:bookmarkStart w:id="94" w:name="_Toc290846329"/>
      <w:bookmarkStart w:id="95" w:name="_Toc338860722"/>
      <w:bookmarkStart w:id="96" w:name="_Toc370734746"/>
      <w:bookmarkEnd w:id="89"/>
      <w:r w:rsidRPr="009C5EC3">
        <w:t>E</w:t>
      </w:r>
      <w:r>
        <w:t>valuator’s comment</w:t>
      </w:r>
      <w:r w:rsidRPr="009C5EC3">
        <w:t xml:space="preserve"> on clinical safety</w:t>
      </w:r>
      <w:bookmarkEnd w:id="92"/>
      <w:bookmarkEnd w:id="93"/>
      <w:bookmarkEnd w:id="94"/>
      <w:bookmarkEnd w:id="95"/>
      <w:bookmarkEnd w:id="96"/>
    </w:p>
    <w:p w:rsidR="00C528D5" w:rsidRDefault="00C528D5" w:rsidP="0089260B">
      <w:r>
        <w:t>The safety dataset is limited comprises about 120 healthy adult volunteers exposed to fidaxomicin in pharmacokinetic studies and 52 healthy adult volunteers exposed to fidaxomicin in drug-drug interaction studies. Most of this experience was single dose exposure. A total of 612 adult CDAD patients (260 males; 352 females) including elderly (</w:t>
      </w:r>
      <w:r w:rsidR="0089260B">
        <w:t>≥</w:t>
      </w:r>
      <w:r>
        <w:t xml:space="preserve"> 65 years old; n = 285) were exposed to fidaxomicin in the 3 Phase II and Phase III studies for treatment up to 10 days.</w:t>
      </w:r>
    </w:p>
    <w:p w:rsidR="00C528D5" w:rsidRDefault="00C528D5" w:rsidP="0089260B">
      <w:r>
        <w:t>Another limitation in assessment of the adverse effects profile is the issue of confounding by the underlying disease especially with respect to effects on electrolytes, haematology and gastrointestinal adverse events. Placebo controlled data is not available.</w:t>
      </w:r>
    </w:p>
    <w:p w:rsidR="00C528D5" w:rsidRPr="009C5EC3" w:rsidRDefault="00C528D5" w:rsidP="0089260B">
      <w:r>
        <w:t>Despite these limitations, it can be concluded due to the controlled nature of the data that the overall adverse effects profile of oral fidaxomicin is similar to oral vancomycin in the treatment of CDAD including deaths and SAEs although the pattern for SAEs is somewhat different in the two groups. For fidaxomicin, the haematological effects especially on white blood cells and effects on hepatic function (enzymes) will need further data for convincing attribution.</w:t>
      </w:r>
    </w:p>
    <w:p w:rsidR="00C22678" w:rsidRDefault="00C22678" w:rsidP="0089260B">
      <w:pPr>
        <w:pStyle w:val="Heading2"/>
      </w:pPr>
      <w:bookmarkStart w:id="97" w:name="_Toc370734747"/>
      <w:r>
        <w:t>First round benefit-risk assessment</w:t>
      </w:r>
      <w:bookmarkEnd w:id="97"/>
    </w:p>
    <w:p w:rsidR="00C528D5" w:rsidRPr="009C5EC3" w:rsidRDefault="0089260B" w:rsidP="0089260B">
      <w:pPr>
        <w:pStyle w:val="Heading3"/>
      </w:pPr>
      <w:bookmarkStart w:id="98" w:name="_Toc236802592"/>
      <w:bookmarkStart w:id="99" w:name="_Toc241374331"/>
      <w:bookmarkStart w:id="100" w:name="_Ref272160836"/>
      <w:bookmarkStart w:id="101" w:name="_Toc272414693"/>
      <w:bookmarkStart w:id="102" w:name="_Toc290846331"/>
      <w:bookmarkStart w:id="103" w:name="_Toc338860724"/>
      <w:bookmarkStart w:id="104" w:name="_Toc370734748"/>
      <w:r>
        <w:t>First</w:t>
      </w:r>
      <w:r w:rsidR="00C528D5" w:rsidRPr="009C5EC3">
        <w:t xml:space="preserve"> round assessment of benefits</w:t>
      </w:r>
      <w:bookmarkEnd w:id="98"/>
      <w:bookmarkEnd w:id="99"/>
      <w:bookmarkEnd w:id="100"/>
      <w:bookmarkEnd w:id="101"/>
      <w:bookmarkEnd w:id="102"/>
      <w:bookmarkEnd w:id="103"/>
      <w:bookmarkEnd w:id="104"/>
    </w:p>
    <w:p w:rsidR="00C528D5" w:rsidRDefault="00C528D5" w:rsidP="0089260B">
      <w:r>
        <w:t>The clinical efficacy of 10 day course of 20</w:t>
      </w:r>
      <w:r w:rsidR="003B4B6A" w:rsidRPr="003B4B6A">
        <w:t>0 mg</w:t>
      </w:r>
      <w:r>
        <w:t xml:space="preserve"> oral fidaxomicin every 12</w:t>
      </w:r>
      <w:r w:rsidR="00353ABC">
        <w:t xml:space="preserve"> h </w:t>
      </w:r>
      <w:r>
        <w:t>was found to be similar (non inferior) to 10 day course of 15</w:t>
      </w:r>
      <w:r w:rsidR="003B4B6A" w:rsidRPr="003B4B6A">
        <w:t>0 mg</w:t>
      </w:r>
      <w:r>
        <w:t xml:space="preserve"> oral vancomycin every 6</w:t>
      </w:r>
      <w:r w:rsidR="00353ABC">
        <w:t xml:space="preserve"> h </w:t>
      </w:r>
      <w:r>
        <w:t>in the treatment of CDAD with respect to the physician’s assessment of clinical cure based on signs and symptoms of disease in particular diarrhoea (88%</w:t>
      </w:r>
      <w:r w:rsidR="003B4B6A" w:rsidRPr="003B4B6A">
        <w:t xml:space="preserve"> versus </w:t>
      </w:r>
      <w:r>
        <w:t>86% and 88%</w:t>
      </w:r>
      <w:r w:rsidR="003B4B6A" w:rsidRPr="003B4B6A">
        <w:t xml:space="preserve"> versus </w:t>
      </w:r>
      <w:r>
        <w:t>87% in the two trials).</w:t>
      </w:r>
    </w:p>
    <w:p w:rsidR="00C528D5" w:rsidRDefault="00C528D5" w:rsidP="0089260B">
      <w:r>
        <w:t>However, fidaxomicin treatment provided clear advantage and was superior to the comparator vancomycin in preventing recurrence of disease within 4 weeks of completion of therapy (14%</w:t>
      </w:r>
      <w:r w:rsidR="003B4B6A" w:rsidRPr="003B4B6A">
        <w:t xml:space="preserve"> versus </w:t>
      </w:r>
      <w:r>
        <w:t>26% respectively across both pivotal clinical studies).</w:t>
      </w:r>
    </w:p>
    <w:p w:rsidR="00C528D5" w:rsidRPr="009C5EC3" w:rsidRDefault="00C528D5" w:rsidP="0089260B">
      <w:r>
        <w:t>The global cure rate which may be interpreted as sustained clinical response</w:t>
      </w:r>
      <w:r w:rsidR="0089260B">
        <w:t>,</w:t>
      </w:r>
      <w:r>
        <w:t xml:space="preserve"> </w:t>
      </w:r>
      <w:r w:rsidR="003B4B6A" w:rsidRPr="003B4B6A">
        <w:t>that is,</w:t>
      </w:r>
      <w:r>
        <w:t xml:space="preserve"> clinical cure without recurrence within 4 weeks was also statistically and clinically higher with fidaxomicin treatment than with vancomycin.</w:t>
      </w:r>
    </w:p>
    <w:p w:rsidR="00C528D5" w:rsidRPr="009C5EC3" w:rsidRDefault="0089260B" w:rsidP="0089260B">
      <w:pPr>
        <w:pStyle w:val="Heading3"/>
      </w:pPr>
      <w:bookmarkStart w:id="105" w:name="_Toc236802596"/>
      <w:bookmarkStart w:id="106" w:name="_Toc241374334"/>
      <w:bookmarkStart w:id="107" w:name="_Ref272160964"/>
      <w:bookmarkStart w:id="108" w:name="_Toc272414694"/>
      <w:bookmarkStart w:id="109" w:name="_Toc290846332"/>
      <w:bookmarkStart w:id="110" w:name="_Toc338860725"/>
      <w:bookmarkStart w:id="111" w:name="_Toc370734749"/>
      <w:r>
        <w:t>First</w:t>
      </w:r>
      <w:r w:rsidR="00C528D5" w:rsidRPr="009C5EC3">
        <w:t xml:space="preserve"> round assessment of risks</w:t>
      </w:r>
      <w:bookmarkEnd w:id="105"/>
      <w:bookmarkEnd w:id="106"/>
      <w:bookmarkEnd w:id="107"/>
      <w:bookmarkEnd w:id="108"/>
      <w:bookmarkEnd w:id="109"/>
      <w:bookmarkEnd w:id="110"/>
      <w:bookmarkEnd w:id="111"/>
    </w:p>
    <w:p w:rsidR="00C528D5" w:rsidRDefault="00C528D5" w:rsidP="0089260B">
      <w:r>
        <w:t>Neutropenia in association with fidaxomicin may need to be monitored. The risk of development of resistance is considered low.</w:t>
      </w:r>
    </w:p>
    <w:p w:rsidR="00C528D5" w:rsidRPr="009C5EC3" w:rsidRDefault="00C528D5" w:rsidP="0089260B">
      <w:r>
        <w:t>Please also see the accompanying RMP evaluation.</w:t>
      </w:r>
    </w:p>
    <w:p w:rsidR="00C528D5" w:rsidRPr="009C5EC3" w:rsidRDefault="0089260B" w:rsidP="0089260B">
      <w:pPr>
        <w:pStyle w:val="Heading3"/>
      </w:pPr>
      <w:bookmarkStart w:id="112" w:name="_Toc236802597"/>
      <w:bookmarkStart w:id="113" w:name="_Toc241374335"/>
      <w:bookmarkStart w:id="114" w:name="_Toc272414695"/>
      <w:bookmarkStart w:id="115" w:name="_Toc290846333"/>
      <w:bookmarkStart w:id="116" w:name="_Toc338860726"/>
      <w:bookmarkStart w:id="117" w:name="_Toc370734750"/>
      <w:r>
        <w:t>First</w:t>
      </w:r>
      <w:r w:rsidR="00C528D5" w:rsidRPr="009C5EC3">
        <w:t xml:space="preserve"> round assessment of benefit-risk balance</w:t>
      </w:r>
      <w:bookmarkEnd w:id="112"/>
      <w:bookmarkEnd w:id="113"/>
      <w:bookmarkEnd w:id="114"/>
      <w:bookmarkEnd w:id="115"/>
      <w:bookmarkEnd w:id="116"/>
      <w:bookmarkEnd w:id="117"/>
    </w:p>
    <w:p w:rsidR="00C528D5" w:rsidRDefault="00C528D5" w:rsidP="0089260B">
      <w:r>
        <w:t>Overall, the benefit-risk balance is considered in favour of fidaxomicin use in the treatment of CDAD and provides potentially advantages over the currently approved drug vancomycin in this condition such as lower rate of recurrence within 4 weeks of treatment, narrower spectrum of activity low potential to affect resident gastrointestinal flora, simple pharmacokinetics and easier twice daily dosing regimen.</w:t>
      </w:r>
    </w:p>
    <w:p w:rsidR="00C528D5" w:rsidRPr="009C5EC3" w:rsidRDefault="00C528D5" w:rsidP="0089260B">
      <w:r>
        <w:t>The fidaxomicin treatment also provides potential benefit of lower risk of contributing to antibiotic resistance since cross resistance with other antibiotic groups has not been observed and a lower risk of colonisation with vancomycin resistant enterococcus (VRE) observed the clinical study.</w:t>
      </w:r>
    </w:p>
    <w:p w:rsidR="00192E54" w:rsidRDefault="00192E54" w:rsidP="00192E54">
      <w:pPr>
        <w:pStyle w:val="Heading2"/>
      </w:pPr>
      <w:bookmarkStart w:id="118" w:name="_Toc370734751"/>
      <w:r>
        <w:t>Second round evaluation of clinical data submitted in response to questions</w:t>
      </w:r>
      <w:bookmarkEnd w:id="118"/>
    </w:p>
    <w:p w:rsidR="00C528D5" w:rsidRPr="00D9233A" w:rsidRDefault="00C528D5" w:rsidP="0089260B">
      <w:r>
        <w:t>The</w:t>
      </w:r>
      <w:r w:rsidR="00192E54">
        <w:t xml:space="preserve"> following further information wa</w:t>
      </w:r>
      <w:r>
        <w:t>s sought from the sponsor during course of the evaluation:</w:t>
      </w:r>
    </w:p>
    <w:p w:rsidR="00C528D5" w:rsidRPr="009A0B6C" w:rsidRDefault="00C528D5" w:rsidP="009A0B6C">
      <w:pPr>
        <w:ind w:left="284"/>
        <w:rPr>
          <w:b/>
          <w:i/>
        </w:rPr>
      </w:pPr>
      <w:r w:rsidRPr="009A0B6C">
        <w:rPr>
          <w:b/>
          <w:i/>
        </w:rPr>
        <w:t>Q</w:t>
      </w:r>
      <w:r w:rsidR="0089260B" w:rsidRPr="009A0B6C">
        <w:rPr>
          <w:b/>
          <w:i/>
        </w:rPr>
        <w:t xml:space="preserve">uestion 1: </w:t>
      </w:r>
      <w:r w:rsidRPr="009A0B6C">
        <w:rPr>
          <w:b/>
          <w:i/>
        </w:rPr>
        <w:t xml:space="preserve"> Study OPT-80-1B-MD: it is not clear why no faecal OPT-80/Op-1118 were detected in 6 out 24 participants even though the samples seem to have been available for all~~participants. The sponsor is requested to provide comment.</w:t>
      </w:r>
    </w:p>
    <w:p w:rsidR="00C528D5" w:rsidRPr="0089260B" w:rsidRDefault="00C528D5" w:rsidP="00C528D5">
      <w:pPr>
        <w:ind w:right="118"/>
        <w:jc w:val="both"/>
      </w:pPr>
      <w:r w:rsidRPr="009A0B6C">
        <w:rPr>
          <w:b/>
          <w:i/>
        </w:rPr>
        <w:t>Sponsor’s response:</w:t>
      </w:r>
      <w:r w:rsidRPr="005B1911">
        <w:rPr>
          <w:rFonts w:ascii="Times New Roman" w:hAnsi="Times New Roman"/>
          <w:b/>
          <w:bCs/>
          <w:color w:val="000000"/>
          <w:sz w:val="24"/>
        </w:rPr>
        <w:t xml:space="preserve"> </w:t>
      </w:r>
      <w:r w:rsidRPr="0089260B">
        <w:t>No fidaxomicin concentrations were present in the faeces of 6 subjects because each group (3 groups) contained 2 placebo-treated subjects.</w:t>
      </w:r>
    </w:p>
    <w:p w:rsidR="009A0B6C" w:rsidRDefault="00C528D5" w:rsidP="00C528D5">
      <w:pPr>
        <w:ind w:right="118"/>
        <w:jc w:val="both"/>
      </w:pPr>
      <w:r w:rsidRPr="009A0B6C">
        <w:rPr>
          <w:b/>
          <w:i/>
        </w:rPr>
        <w:t>TGA response:</w:t>
      </w:r>
      <w:r>
        <w:rPr>
          <w:rFonts w:ascii="Times New Roman" w:hAnsi="Times New Roman"/>
          <w:color w:val="000000"/>
          <w:sz w:val="24"/>
        </w:rPr>
        <w:t xml:space="preserve"> </w:t>
      </w:r>
      <w:r w:rsidRPr="0089260B">
        <w:t>Noted.</w:t>
      </w:r>
    </w:p>
    <w:p w:rsidR="009A0B6C" w:rsidRDefault="009A0B6C">
      <w:pPr>
        <w:spacing w:before="0" w:after="200" w:line="0" w:lineRule="auto"/>
      </w:pPr>
      <w:r>
        <w:br w:type="page"/>
      </w:r>
    </w:p>
    <w:p w:rsidR="00C528D5" w:rsidRPr="009A0B6C" w:rsidRDefault="00C528D5" w:rsidP="009A0B6C">
      <w:pPr>
        <w:ind w:left="284"/>
        <w:rPr>
          <w:b/>
          <w:i/>
        </w:rPr>
      </w:pPr>
      <w:proofErr w:type="gramStart"/>
      <w:r w:rsidRPr="009A0B6C">
        <w:rPr>
          <w:b/>
          <w:i/>
        </w:rPr>
        <w:t>Q</w:t>
      </w:r>
      <w:r w:rsidR="0089260B" w:rsidRPr="009A0B6C">
        <w:rPr>
          <w:b/>
          <w:i/>
        </w:rPr>
        <w:t xml:space="preserve">uestion </w:t>
      </w:r>
      <w:r w:rsidRPr="009A0B6C">
        <w:rPr>
          <w:b/>
          <w:i/>
        </w:rPr>
        <w:t>2</w:t>
      </w:r>
      <w:r w:rsidR="0089260B" w:rsidRPr="009A0B6C">
        <w:rPr>
          <w:b/>
          <w:i/>
        </w:rPr>
        <w:t>.</w:t>
      </w:r>
      <w:proofErr w:type="gramEnd"/>
      <w:r w:rsidRPr="009A0B6C">
        <w:rPr>
          <w:b/>
          <w:i/>
        </w:rPr>
        <w:t xml:space="preserve"> Study OPT-80-007 (cyclosporine interaction study): Although fidaxomicin is a substrate for P-gp, given the proposed recommendation that cyclosporine/fidaxomicin co-administration be allowed, has the effect of fidaxomicin on cyclosporine been studied or provide comment why the two way interaction is not considered applicable especially on multiple dosing?</w:t>
      </w:r>
    </w:p>
    <w:p w:rsidR="00C528D5" w:rsidRPr="0089260B" w:rsidRDefault="00C528D5" w:rsidP="00C528D5">
      <w:pPr>
        <w:ind w:right="118"/>
        <w:jc w:val="both"/>
      </w:pPr>
      <w:r w:rsidRPr="009A0B6C">
        <w:rPr>
          <w:b/>
          <w:i/>
        </w:rPr>
        <w:t>Sponsor’s response:</w:t>
      </w:r>
      <w:r w:rsidRPr="00D9233A">
        <w:rPr>
          <w:rFonts w:ascii="Times New Roman" w:hAnsi="Times New Roman"/>
          <w:b/>
          <w:bCs/>
          <w:color w:val="000000"/>
          <w:sz w:val="24"/>
        </w:rPr>
        <w:t xml:space="preserve"> </w:t>
      </w:r>
      <w:r w:rsidRPr="0089260B">
        <w:t>Cyclosporine is a powerful P-glycoprotein (P-gp) inhibitor, and the objective of this study was to determine the impact of P-glycoprotein inhibition on fidaxomicin pharmacokinetics. Fidaxomicin has been poorly characteri</w:t>
      </w:r>
      <w:r w:rsidR="0089260B">
        <w:t>s</w:t>
      </w:r>
      <w:r w:rsidRPr="0089260B">
        <w:t>ed, however, as a test substrate for P-glycoprotein, and the importance of P-gp in its intestinal uptake is unclear. While cyclosporine has been reported to be a P-gp substrate (Fricker, 1996), polymorphisms in MDR1 have not been shown to explain differences in pharmacokinetics of cyclosporine (Haufroid, 2004) and much of the variability is associated instead with polymorphisms in CYP3A4, suggesting that the latter is the major contributor to variability in bioavailability. Substrate-based drug interactions have been reported at the level of the kidney, in terms of increased nephrotoxicity in the presence of P-gp inhibitors in renal epithelial cells (Anglicheau, 2006). Because fidaxomicin has minimal absorption (ng/mL concentrations in the plasma, well below the μg/mL IC</w:t>
      </w:r>
      <w:r w:rsidRPr="0089260B">
        <w:rPr>
          <w:vertAlign w:val="subscript"/>
        </w:rPr>
        <w:t xml:space="preserve">50 </w:t>
      </w:r>
      <w:r w:rsidRPr="0089260B">
        <w:t>for inhibition of P-gp), this interaction is predicted to be irrelevant for fidaxo</w:t>
      </w:r>
      <w:r w:rsidR="0089260B">
        <w:t>micin. Cyclosporine is metabolis</w:t>
      </w:r>
      <w:r w:rsidRPr="0089260B">
        <w:t>ed by CYP3A4, and while fidaxomicin is a very weak inhibitor of CYP3A4, another DDI study (OPT-80-009) demonstrated no impact of fidaxomicin on the pharmacokinetics of CYP3A4 substrate midazolam. Thus, such an interaction was also considered unlikely. Because of the generally conflicting results reported in the literature as to the impact of P-gp on cyclosporine uptake, it was decided to use a more specific test substrate, digoxin, to evaluate the potential impact of P-gp inhibition. Administration with fidaxomicin had no clinically relevant impact on digoxin pharmacokinetics. It is worth noting that although cyclosporine pharmacokinetics were not compared in a crossover manner in this study (there was no cyclosporine-only dosing sequence), cyclosporine concentrations were measured in the presence of fidaxomicin dosing. Cyclosporine concentrations measured (C</w:t>
      </w:r>
      <w:r w:rsidRPr="0089260B">
        <w:rPr>
          <w:vertAlign w:val="subscript"/>
        </w:rPr>
        <w:t>max</w:t>
      </w:r>
      <w:r w:rsidRPr="0089260B">
        <w:t xml:space="preserve">, 395 </w:t>
      </w:r>
      <w:r w:rsidR="0089260B">
        <w:t>±</w:t>
      </w:r>
      <w:r w:rsidRPr="0089260B">
        <w:t xml:space="preserve"> 95</w:t>
      </w:r>
      <w:r w:rsidR="0089260B">
        <w:t xml:space="preserve"> </w:t>
      </w:r>
      <w:r w:rsidRPr="0089260B">
        <w:t>ng/mL following a 200 mg dose) were similar to cyclosporine concentrations reported by others using an equivalent assay (LC-MS, rather than ELISA, which can cross-react with metabolites and overestimate concentrations), when adjusted for dose (after a 10</w:t>
      </w:r>
      <w:r w:rsidR="003B4B6A" w:rsidRPr="0089260B">
        <w:t>0 mg</w:t>
      </w:r>
      <w:r w:rsidRPr="0089260B">
        <w:t xml:space="preserve"> dose, Cmax was 254 </w:t>
      </w:r>
      <w:r w:rsidR="0089260B">
        <w:t>±</w:t>
      </w:r>
      <w:r w:rsidRPr="0089260B">
        <w:t xml:space="preserve"> 85ng/mL) [Najib, 2003].</w:t>
      </w:r>
    </w:p>
    <w:p w:rsidR="00C528D5" w:rsidRPr="0089260B" w:rsidRDefault="00C528D5" w:rsidP="00C528D5">
      <w:pPr>
        <w:ind w:right="119"/>
        <w:jc w:val="both"/>
      </w:pPr>
      <w:r w:rsidRPr="009A0B6C">
        <w:rPr>
          <w:b/>
          <w:i/>
        </w:rPr>
        <w:t>TGA response:</w:t>
      </w:r>
      <w:r>
        <w:rPr>
          <w:rFonts w:ascii="Times New Roman" w:hAnsi="Times New Roman"/>
          <w:color w:val="000000"/>
          <w:sz w:val="24"/>
        </w:rPr>
        <w:t xml:space="preserve"> </w:t>
      </w:r>
      <w:r w:rsidRPr="0089260B">
        <w:t>This reply was also quoted earlier in discussing interaction with cyclosporine. As noted earlier, this interaction (and with digoxin and warfarin) are small in quantitative terms but may be clinically significant in patient population under treatment. Although no dose adjustments are proposed but monitoring including therapeutic drug measurements on individual risk assessment basis may be required when fidaxomicin is given to these patients.</w:t>
      </w:r>
    </w:p>
    <w:p w:rsidR="00C528D5" w:rsidRPr="009A0B6C" w:rsidRDefault="00C528D5" w:rsidP="009A0B6C">
      <w:pPr>
        <w:ind w:left="284"/>
        <w:rPr>
          <w:b/>
          <w:i/>
        </w:rPr>
      </w:pPr>
      <w:proofErr w:type="gramStart"/>
      <w:r w:rsidRPr="009A0B6C">
        <w:rPr>
          <w:b/>
          <w:i/>
        </w:rPr>
        <w:t>Q</w:t>
      </w:r>
      <w:r w:rsidR="00192E54" w:rsidRPr="009A0B6C">
        <w:rPr>
          <w:b/>
          <w:i/>
        </w:rPr>
        <w:t xml:space="preserve">uestion </w:t>
      </w:r>
      <w:r w:rsidRPr="009A0B6C">
        <w:rPr>
          <w:b/>
          <w:i/>
        </w:rPr>
        <w:t>3</w:t>
      </w:r>
      <w:r w:rsidR="00192E54" w:rsidRPr="009A0B6C">
        <w:rPr>
          <w:b/>
          <w:i/>
        </w:rPr>
        <w:t>.</w:t>
      </w:r>
      <w:proofErr w:type="gramEnd"/>
      <w:r w:rsidRPr="009A0B6C">
        <w:rPr>
          <w:b/>
          <w:i/>
        </w:rPr>
        <w:t xml:space="preserve"> Are any other interaction studies being done or planned such as co-administration with dabigatran?</w:t>
      </w:r>
    </w:p>
    <w:p w:rsidR="00C528D5" w:rsidRPr="00192E54" w:rsidRDefault="00C528D5" w:rsidP="00C528D5">
      <w:pPr>
        <w:ind w:right="119"/>
        <w:jc w:val="both"/>
      </w:pPr>
      <w:r w:rsidRPr="009A0B6C">
        <w:rPr>
          <w:b/>
          <w:i/>
        </w:rPr>
        <w:t>Sponsor’s response:</w:t>
      </w:r>
      <w:r w:rsidRPr="00D9233A">
        <w:rPr>
          <w:rFonts w:ascii="Times New Roman" w:hAnsi="Times New Roman"/>
          <w:b/>
          <w:bCs/>
          <w:color w:val="000000"/>
          <w:sz w:val="24"/>
        </w:rPr>
        <w:t xml:space="preserve"> </w:t>
      </w:r>
      <w:r w:rsidRPr="00192E54">
        <w:t>No specific DDI studies are planned around P-</w:t>
      </w:r>
      <w:proofErr w:type="gramStart"/>
      <w:r w:rsidRPr="00192E54">
        <w:t>gp,</w:t>
      </w:r>
      <w:proofErr w:type="gramEnd"/>
      <w:r w:rsidRPr="00192E54">
        <w:t xml:space="preserve"> however, targeted pharmacovigilance activities include aggregate review of patients who are reported to have received concomitant p-gp inhibitors for identification of potential safety signals.</w:t>
      </w:r>
    </w:p>
    <w:p w:rsidR="00C528D5" w:rsidRPr="00192E54" w:rsidRDefault="00C528D5" w:rsidP="00C528D5">
      <w:pPr>
        <w:ind w:right="119"/>
        <w:jc w:val="both"/>
      </w:pPr>
      <w:r w:rsidRPr="009A0B6C">
        <w:rPr>
          <w:b/>
          <w:i/>
        </w:rPr>
        <w:t>TGA response:</w:t>
      </w:r>
      <w:r>
        <w:rPr>
          <w:rFonts w:ascii="Times New Roman" w:hAnsi="Times New Roman"/>
          <w:color w:val="000000"/>
          <w:sz w:val="24"/>
        </w:rPr>
        <w:t xml:space="preserve"> </w:t>
      </w:r>
      <w:r w:rsidRPr="00192E54">
        <w:t>Noted.</w:t>
      </w:r>
    </w:p>
    <w:p w:rsidR="00C528D5" w:rsidRPr="009A0B6C" w:rsidRDefault="00C528D5" w:rsidP="009A0B6C">
      <w:pPr>
        <w:ind w:left="284"/>
        <w:rPr>
          <w:b/>
          <w:i/>
        </w:rPr>
      </w:pPr>
      <w:proofErr w:type="gramStart"/>
      <w:r w:rsidRPr="009A0B6C">
        <w:rPr>
          <w:b/>
          <w:i/>
        </w:rPr>
        <w:t>Q</w:t>
      </w:r>
      <w:r w:rsidR="00192E54" w:rsidRPr="009A0B6C">
        <w:rPr>
          <w:b/>
          <w:i/>
        </w:rPr>
        <w:t>uestion 4.</w:t>
      </w:r>
      <w:proofErr w:type="gramEnd"/>
      <w:r w:rsidR="00192E54" w:rsidRPr="009A0B6C">
        <w:rPr>
          <w:b/>
          <w:i/>
        </w:rPr>
        <w:t xml:space="preserve"> </w:t>
      </w:r>
      <w:r w:rsidRPr="009A0B6C">
        <w:rPr>
          <w:b/>
          <w:i/>
        </w:rPr>
        <w:t xml:space="preserve">Please confirm whether commercial formulation was used in Phase </w:t>
      </w:r>
      <w:r w:rsidR="00192E54" w:rsidRPr="009A0B6C">
        <w:rPr>
          <w:b/>
          <w:i/>
        </w:rPr>
        <w:t>II</w:t>
      </w:r>
      <w:r w:rsidRPr="009A0B6C">
        <w:rPr>
          <w:b/>
          <w:i/>
        </w:rPr>
        <w:t xml:space="preserve"> and both Phase </w:t>
      </w:r>
      <w:r w:rsidR="00192E54" w:rsidRPr="009A0B6C">
        <w:rPr>
          <w:b/>
          <w:i/>
        </w:rPr>
        <w:t>III</w:t>
      </w:r>
      <w:r w:rsidRPr="009A0B6C">
        <w:rPr>
          <w:b/>
          <w:i/>
        </w:rPr>
        <w:t xml:space="preserve"> trials. If not please outline the differences.</w:t>
      </w:r>
    </w:p>
    <w:p w:rsidR="00C528D5" w:rsidRPr="00192E54" w:rsidRDefault="00C528D5" w:rsidP="00C528D5">
      <w:pPr>
        <w:ind w:right="119"/>
        <w:jc w:val="both"/>
      </w:pPr>
      <w:r w:rsidRPr="009A0B6C">
        <w:rPr>
          <w:b/>
          <w:i/>
        </w:rPr>
        <w:t xml:space="preserve">Sponsor’s response: </w:t>
      </w:r>
      <w:r w:rsidRPr="00192E54">
        <w:t xml:space="preserve">The commercial formulation (200 mg film coated tablet) was used in both Phase </w:t>
      </w:r>
      <w:r w:rsidR="00192E54" w:rsidRPr="00192E54">
        <w:t>III</w:t>
      </w:r>
      <w:r w:rsidRPr="00192E54">
        <w:t xml:space="preserve"> studies (101.1.C.003 and 101.1.C.004). Below, see Table </w:t>
      </w:r>
      <w:r w:rsidR="00996A2A">
        <w:t>6</w:t>
      </w:r>
      <w:r w:rsidRPr="00192E54">
        <w:t xml:space="preserve"> for a list of all formulations used during development. A 50 mg powder-filled capsule w</w:t>
      </w:r>
      <w:r w:rsidR="00996A2A">
        <w:t>as used in study, OPT-80 Phase II</w:t>
      </w:r>
      <w:r w:rsidRPr="00192E54">
        <w:t>A.</w:t>
      </w:r>
    </w:p>
    <w:p w:rsidR="00C528D5" w:rsidRPr="009A0B6C" w:rsidRDefault="00C528D5" w:rsidP="009A0B6C">
      <w:pPr>
        <w:pStyle w:val="TableTitle"/>
        <w:rPr>
          <w:sz w:val="22"/>
        </w:rPr>
      </w:pPr>
      <w:proofErr w:type="gramStart"/>
      <w:r w:rsidRPr="009A0B6C">
        <w:rPr>
          <w:sz w:val="22"/>
        </w:rPr>
        <w:t xml:space="preserve">Table </w:t>
      </w:r>
      <w:r w:rsidR="00996A2A" w:rsidRPr="009A0B6C">
        <w:rPr>
          <w:sz w:val="22"/>
        </w:rPr>
        <w:t>6</w:t>
      </w:r>
      <w:r w:rsidR="00686E06" w:rsidRPr="009A0B6C">
        <w:rPr>
          <w:sz w:val="22"/>
        </w:rPr>
        <w:t>.</w:t>
      </w:r>
      <w:proofErr w:type="gramEnd"/>
      <w:r w:rsidRPr="009A0B6C">
        <w:rPr>
          <w:sz w:val="22"/>
        </w:rPr>
        <w:t xml:space="preserve"> Batch History of Fidaxomicin Clinical Trial Material</w:t>
      </w:r>
    </w:p>
    <w:p w:rsidR="00C528D5" w:rsidRDefault="00C528D5" w:rsidP="00192E54">
      <w:pPr>
        <w:keepNext/>
        <w:ind w:right="119"/>
        <w:rPr>
          <w:rFonts w:ascii="Times New Roman" w:hAnsi="Times New Roman"/>
          <w:sz w:val="24"/>
        </w:rPr>
      </w:pPr>
      <w:r>
        <w:rPr>
          <w:rFonts w:ascii="Times New Roman" w:hAnsi="Times New Roman"/>
          <w:noProof/>
          <w:sz w:val="24"/>
          <w:lang w:eastAsia="en-AU"/>
        </w:rPr>
        <w:drawing>
          <wp:inline distT="0" distB="0" distL="0" distR="0">
            <wp:extent cx="3550404" cy="3254991"/>
            <wp:effectExtent l="19050" t="0" r="0" b="0"/>
            <wp:docPr id="184" name="Picture 6" descr="Table 4. Batch History of Fidaxomicin Clinical Trial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duotone>
                        <a:prstClr val="black"/>
                        <a:schemeClr val="bg1">
                          <a:tint val="45000"/>
                          <a:satMod val="400000"/>
                        </a:schemeClr>
                      </a:duotone>
                    </a:blip>
                    <a:srcRect r="-16"/>
                    <a:stretch>
                      <a:fillRect/>
                    </a:stretch>
                  </pic:blipFill>
                  <pic:spPr bwMode="auto">
                    <a:xfrm>
                      <a:off x="0" y="0"/>
                      <a:ext cx="3550404" cy="3254991"/>
                    </a:xfrm>
                    <a:prstGeom prst="rect">
                      <a:avLst/>
                    </a:prstGeom>
                    <a:noFill/>
                    <a:ln w="9525">
                      <a:noFill/>
                      <a:miter lim="800000"/>
                      <a:headEnd/>
                      <a:tailEnd/>
                    </a:ln>
                  </pic:spPr>
                </pic:pic>
              </a:graphicData>
            </a:graphic>
          </wp:inline>
        </w:drawing>
      </w:r>
    </w:p>
    <w:p w:rsidR="00C528D5" w:rsidRPr="00192E54" w:rsidRDefault="00C528D5" w:rsidP="00C528D5">
      <w:pPr>
        <w:ind w:right="119"/>
        <w:jc w:val="both"/>
      </w:pPr>
      <w:r w:rsidRPr="009A0B6C">
        <w:rPr>
          <w:b/>
          <w:i/>
        </w:rPr>
        <w:t>TGA response:</w:t>
      </w:r>
      <w:r>
        <w:rPr>
          <w:rFonts w:ascii="Times New Roman" w:hAnsi="Times New Roman"/>
          <w:sz w:val="24"/>
        </w:rPr>
        <w:t xml:space="preserve"> </w:t>
      </w:r>
      <w:r w:rsidRPr="00192E54">
        <w:t>Noted.</w:t>
      </w:r>
    </w:p>
    <w:p w:rsidR="00C528D5" w:rsidRPr="009A0B6C" w:rsidRDefault="00C528D5" w:rsidP="009A0B6C">
      <w:pPr>
        <w:ind w:left="284"/>
        <w:rPr>
          <w:b/>
          <w:i/>
        </w:rPr>
      </w:pPr>
      <w:proofErr w:type="gramStart"/>
      <w:r w:rsidRPr="009A0B6C">
        <w:rPr>
          <w:b/>
          <w:i/>
        </w:rPr>
        <w:t>Q</w:t>
      </w:r>
      <w:r w:rsidR="00192E54" w:rsidRPr="009A0B6C">
        <w:rPr>
          <w:b/>
          <w:i/>
        </w:rPr>
        <w:t>uestion 5.</w:t>
      </w:r>
      <w:proofErr w:type="gramEnd"/>
      <w:r w:rsidRPr="009A0B6C">
        <w:rPr>
          <w:b/>
          <w:i/>
        </w:rPr>
        <w:t xml:space="preserve"> Study 101.1.C.003: It is not clear why a small number of patients had detectable levels of OPT-80 and OP-1118 in plasma prior to dosing on Day 1 of the study. Please provide comments.</w:t>
      </w:r>
    </w:p>
    <w:p w:rsidR="00C528D5" w:rsidRPr="00192E54" w:rsidRDefault="00C528D5" w:rsidP="00C528D5">
      <w:pPr>
        <w:jc w:val="both"/>
      </w:pPr>
      <w:r w:rsidRPr="009A0B6C">
        <w:rPr>
          <w:b/>
          <w:i/>
        </w:rPr>
        <w:t>Sponsor’s response:</w:t>
      </w:r>
      <w:r w:rsidRPr="00D9233A">
        <w:rPr>
          <w:rFonts w:ascii="Times New Roman" w:hAnsi="Times New Roman"/>
          <w:b/>
          <w:bCs/>
          <w:sz w:val="24"/>
        </w:rPr>
        <w:t xml:space="preserve"> </w:t>
      </w:r>
      <w:r w:rsidR="00192E54">
        <w:t>Seven subjects in S</w:t>
      </w:r>
      <w:r w:rsidRPr="00192E54">
        <w:t>tudy 003 had “pre-dose” levels above the quantification limit at the start of study. Of these, 1 had the first sampling time point on the second day of dosing, explaining the measurable concentration. The other 6 may be “post-dose” samples placed in “pre-dose” tubes, since:</w:t>
      </w:r>
    </w:p>
    <w:p w:rsidR="00C528D5" w:rsidRPr="00D9233A" w:rsidRDefault="00C528D5" w:rsidP="00192E54">
      <w:pPr>
        <w:pStyle w:val="ListBullet"/>
      </w:pPr>
      <w:r w:rsidRPr="00D9233A">
        <w:t>In two cases the “post-dose” sample was “missing” and two “pre-dose” tubes were received and analysed,</w:t>
      </w:r>
    </w:p>
    <w:p w:rsidR="00C528D5" w:rsidRPr="00D9233A" w:rsidRDefault="00C528D5" w:rsidP="00192E54">
      <w:pPr>
        <w:pStyle w:val="ListBullet"/>
        <w:rPr>
          <w:color w:val="000000"/>
        </w:rPr>
      </w:pPr>
      <w:r w:rsidRPr="00D9233A">
        <w:t xml:space="preserve">In one case only one pre-dose sample was analysed but the post-dose sample was missing (although recorded as having been collected), and </w:t>
      </w:r>
      <w:r w:rsidR="00192E54">
        <w:rPr>
          <w:color w:val="000000"/>
        </w:rPr>
        <w:t>t</w:t>
      </w:r>
      <w:r w:rsidRPr="00D9233A">
        <w:rPr>
          <w:color w:val="000000"/>
        </w:rPr>
        <w:t>he last three are potentially duplicate post-dose samples inadvertently placed in predose tubes, as the fidaxomicin concentrations are virtually identical between the “predose” and “post-dose” samples; this suggests that these were duplicate samples inadvertently placed in pre-and post-dose tubes, rather than both being placed in post</w:t>
      </w:r>
      <w:r>
        <w:rPr>
          <w:color w:val="000000"/>
        </w:rPr>
        <w:t>-</w:t>
      </w:r>
      <w:r w:rsidRPr="00D9233A">
        <w:rPr>
          <w:color w:val="000000"/>
        </w:rPr>
        <w:t>dose tubes.</w:t>
      </w:r>
    </w:p>
    <w:p w:rsidR="00C528D5" w:rsidRDefault="00C528D5" w:rsidP="00192E54">
      <w:pPr>
        <w:pStyle w:val="ListBullet"/>
        <w:rPr>
          <w:color w:val="000000"/>
        </w:rPr>
      </w:pPr>
      <w:r w:rsidRPr="00D9233A">
        <w:rPr>
          <w:color w:val="000000"/>
        </w:rPr>
        <w:t>While human error cannot be eliminated entirely in sample collection, these events are expected to have been very infrequent based on the rarity of the positive pre-dose samples (only 6 out of 265 pre-dose samples were positive.) Thus, these rare errors would have had no significant impact on the outcomes or conclusions of the pharmacokinetic analysis overall.</w:t>
      </w:r>
    </w:p>
    <w:p w:rsidR="009A0B6C" w:rsidRDefault="00C528D5" w:rsidP="00C528D5">
      <w:pPr>
        <w:ind w:right="119"/>
        <w:jc w:val="both"/>
        <w:rPr>
          <w:rFonts w:ascii="Times New Roman" w:hAnsi="Times New Roman"/>
          <w:color w:val="000000"/>
          <w:sz w:val="24"/>
        </w:rPr>
      </w:pPr>
      <w:r w:rsidRPr="009A0B6C">
        <w:rPr>
          <w:b/>
          <w:i/>
        </w:rPr>
        <w:t>TGA response:</w:t>
      </w:r>
      <w:r>
        <w:rPr>
          <w:rFonts w:ascii="Times New Roman" w:hAnsi="Times New Roman"/>
          <w:color w:val="000000"/>
          <w:sz w:val="24"/>
        </w:rPr>
        <w:t xml:space="preserve"> </w:t>
      </w:r>
      <w:r w:rsidRPr="00192E54">
        <w:t>Noted</w:t>
      </w:r>
      <w:r>
        <w:rPr>
          <w:rFonts w:ascii="Times New Roman" w:hAnsi="Times New Roman"/>
          <w:color w:val="000000"/>
          <w:sz w:val="24"/>
        </w:rPr>
        <w:t>.</w:t>
      </w:r>
    </w:p>
    <w:p w:rsidR="009A0B6C" w:rsidRDefault="009A0B6C">
      <w:pPr>
        <w:spacing w:before="0" w:after="200" w:line="0" w:lineRule="auto"/>
        <w:rPr>
          <w:rFonts w:ascii="Times New Roman" w:hAnsi="Times New Roman"/>
          <w:color w:val="000000"/>
          <w:sz w:val="24"/>
        </w:rPr>
      </w:pPr>
      <w:r>
        <w:rPr>
          <w:rFonts w:ascii="Times New Roman" w:hAnsi="Times New Roman"/>
          <w:color w:val="000000"/>
          <w:sz w:val="24"/>
        </w:rPr>
        <w:br w:type="page"/>
      </w:r>
    </w:p>
    <w:p w:rsidR="00C528D5" w:rsidRPr="009A0B6C" w:rsidRDefault="00C528D5" w:rsidP="009A0B6C">
      <w:pPr>
        <w:ind w:left="284"/>
        <w:rPr>
          <w:b/>
          <w:i/>
        </w:rPr>
      </w:pPr>
      <w:proofErr w:type="gramStart"/>
      <w:r w:rsidRPr="009A0B6C">
        <w:rPr>
          <w:b/>
          <w:i/>
        </w:rPr>
        <w:t>Q</w:t>
      </w:r>
      <w:r w:rsidR="00192E54" w:rsidRPr="009A0B6C">
        <w:rPr>
          <w:b/>
          <w:i/>
        </w:rPr>
        <w:t>uestion 6.</w:t>
      </w:r>
      <w:proofErr w:type="gramEnd"/>
      <w:r w:rsidR="00192E54" w:rsidRPr="009A0B6C">
        <w:rPr>
          <w:b/>
          <w:i/>
        </w:rPr>
        <w:t xml:space="preserve"> </w:t>
      </w:r>
      <w:r w:rsidRPr="009A0B6C">
        <w:rPr>
          <w:b/>
          <w:i/>
        </w:rPr>
        <w:t>Please provide Australian prevalence data for CDAD, if available. Please provide a copy of the Ferguson (2011) paper referred to in the sponsor's assessment of risk of antibiotic resistance development. Has infection with virulent strain (NAP1/BI/027) been reported here? Has any data on epidemiological breakpoints become available?</w:t>
      </w:r>
    </w:p>
    <w:p w:rsidR="00C528D5" w:rsidRPr="00192E54" w:rsidRDefault="00192E54" w:rsidP="00C528D5">
      <w:pPr>
        <w:ind w:right="119"/>
        <w:jc w:val="both"/>
      </w:pPr>
      <w:r w:rsidRPr="009A0B6C">
        <w:rPr>
          <w:b/>
          <w:i/>
        </w:rPr>
        <w:t xml:space="preserve">Sponsor </w:t>
      </w:r>
      <w:r w:rsidR="00C528D5" w:rsidRPr="009A0B6C">
        <w:rPr>
          <w:b/>
          <w:i/>
        </w:rPr>
        <w:t>Response:</w:t>
      </w:r>
      <w:r w:rsidR="00C528D5" w:rsidRPr="00192E54">
        <w:rPr>
          <w:rStyle w:val="Heading5Char"/>
          <w:rFonts w:eastAsia="Cambria"/>
        </w:rPr>
        <w:t xml:space="preserve"> </w:t>
      </w:r>
      <w:r w:rsidR="00C528D5" w:rsidRPr="00192E54">
        <w:t xml:space="preserve">The Ferguson, 2011 reference </w:t>
      </w:r>
      <w:r>
        <w:t xml:space="preserve">was </w:t>
      </w:r>
      <w:r w:rsidR="00C528D5" w:rsidRPr="00192E54">
        <w:t xml:space="preserve">provided </w:t>
      </w:r>
      <w:r>
        <w:t xml:space="preserve">with the current </w:t>
      </w:r>
      <w:r w:rsidR="00540818">
        <w:t>submission</w:t>
      </w:r>
      <w:r w:rsidR="00C528D5" w:rsidRPr="00192E54">
        <w:t xml:space="preserve">; in general, there are few studies of </w:t>
      </w:r>
      <w:r w:rsidR="00C528D5" w:rsidRPr="00192E54">
        <w:rPr>
          <w:i/>
        </w:rPr>
        <w:t>C. difficile</w:t>
      </w:r>
      <w:r w:rsidR="00C528D5" w:rsidRPr="00192E54">
        <w:t xml:space="preserve"> incidence in Australia. Although this paper notes that there are limitations to the data captured (</w:t>
      </w:r>
      <w:r w:rsidR="003B4B6A" w:rsidRPr="00192E54">
        <w:t>that is,</w:t>
      </w:r>
      <w:r w:rsidR="00C528D5" w:rsidRPr="00192E54">
        <w:t xml:space="preserve"> reporting was voluntary, one site could not report data, and there was no central control regarding what stools were tested, what criteria were used for select stools for testing, or what tests were used), the estimated incidence they report is 18.0-35.8 cases per 100,000 population. NAP1/BI/027 has been reported in Australia, although the incidence is as yet unknown (Riley, 2009; Richards, 2011). An epidemiological cut off (ECOFF) value </w:t>
      </w:r>
      <w:proofErr w:type="gramStart"/>
      <w:r w:rsidR="00C528D5" w:rsidRPr="00192E54">
        <w:t>of 0.5</w:t>
      </w:r>
      <w:r>
        <w:t xml:space="preserve"> µ</w:t>
      </w:r>
      <w:r w:rsidR="00C528D5" w:rsidRPr="00192E54">
        <w:t>g/mL</w:t>
      </w:r>
      <w:proofErr w:type="gramEnd"/>
      <w:r w:rsidR="00C528D5" w:rsidRPr="00192E54">
        <w:t xml:space="preserve"> was set up by EUCAST based on Minimal Inhibitory Concentration (MIC) data from the two fidaxomicin clinical trials and from 5 other independent laboratories as listed below in Table</w:t>
      </w:r>
      <w:r w:rsidR="00996A2A">
        <w:t xml:space="preserve"> 7</w:t>
      </w:r>
      <w:r>
        <w:t>.</w:t>
      </w:r>
    </w:p>
    <w:p w:rsidR="00C528D5" w:rsidRPr="009A0B6C" w:rsidRDefault="00C528D5" w:rsidP="009A0B6C">
      <w:pPr>
        <w:pStyle w:val="TableTitle"/>
        <w:rPr>
          <w:sz w:val="22"/>
        </w:rPr>
      </w:pPr>
      <w:proofErr w:type="gramStart"/>
      <w:r w:rsidRPr="009A0B6C">
        <w:rPr>
          <w:sz w:val="22"/>
        </w:rPr>
        <w:t xml:space="preserve">Table </w:t>
      </w:r>
      <w:r w:rsidR="00996A2A" w:rsidRPr="009A0B6C">
        <w:rPr>
          <w:sz w:val="22"/>
        </w:rPr>
        <w:t>7</w:t>
      </w:r>
      <w:r w:rsidRPr="009A0B6C">
        <w:rPr>
          <w:sz w:val="22"/>
        </w:rPr>
        <w:t>.</w:t>
      </w:r>
      <w:proofErr w:type="gramEnd"/>
      <w:r w:rsidRPr="009A0B6C">
        <w:rPr>
          <w:sz w:val="22"/>
        </w:rPr>
        <w:t xml:space="preserve"> </w:t>
      </w:r>
      <w:r w:rsidRPr="009A0B6C">
        <w:rPr>
          <w:i/>
          <w:sz w:val="22"/>
        </w:rPr>
        <w:t>In vitro</w:t>
      </w:r>
      <w:r w:rsidRPr="009A0B6C">
        <w:rPr>
          <w:sz w:val="22"/>
        </w:rPr>
        <w:t xml:space="preserve"> studies of Fidaxomicin MIC distributions against clinical</w:t>
      </w:r>
      <w:r w:rsidR="00192E54" w:rsidRPr="009A0B6C">
        <w:rPr>
          <w:sz w:val="22"/>
        </w:rPr>
        <w:t xml:space="preserve"> </w:t>
      </w:r>
      <w:r w:rsidRPr="009A0B6C">
        <w:rPr>
          <w:i/>
          <w:sz w:val="22"/>
        </w:rPr>
        <w:t xml:space="preserve">C. difficile </w:t>
      </w:r>
      <w:r w:rsidRPr="009A0B6C">
        <w:rPr>
          <w:sz w:val="22"/>
        </w:rPr>
        <w:t>isolates.</w:t>
      </w:r>
    </w:p>
    <w:p w:rsidR="00C528D5" w:rsidRDefault="00C528D5" w:rsidP="00192E54">
      <w:pPr>
        <w:ind w:right="119"/>
        <w:rPr>
          <w:rFonts w:ascii="Times New Roman" w:hAnsi="Times New Roman"/>
          <w:sz w:val="24"/>
        </w:rPr>
      </w:pPr>
      <w:r>
        <w:rPr>
          <w:rFonts w:ascii="Times New Roman" w:hAnsi="Times New Roman"/>
          <w:noProof/>
          <w:sz w:val="24"/>
          <w:lang w:eastAsia="en-AU"/>
        </w:rPr>
        <w:drawing>
          <wp:inline distT="0" distB="0" distL="0" distR="0">
            <wp:extent cx="5581934" cy="3111690"/>
            <wp:effectExtent l="19050" t="0" r="0" b="0"/>
            <wp:docPr id="185" name="Picture 7" descr="Table 5. In vitro studies of Fidaxomicin MIC distributions against clinical C. difficile iso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duotone>
                        <a:prstClr val="black"/>
                        <a:schemeClr val="bg1">
                          <a:tint val="45000"/>
                          <a:satMod val="400000"/>
                        </a:schemeClr>
                      </a:duotone>
                    </a:blip>
                    <a:srcRect l="1113"/>
                    <a:stretch>
                      <a:fillRect/>
                    </a:stretch>
                  </pic:blipFill>
                  <pic:spPr bwMode="auto">
                    <a:xfrm>
                      <a:off x="0" y="0"/>
                      <a:ext cx="5581934" cy="3111690"/>
                    </a:xfrm>
                    <a:prstGeom prst="rect">
                      <a:avLst/>
                    </a:prstGeom>
                    <a:noFill/>
                    <a:ln w="9525">
                      <a:noFill/>
                      <a:miter lim="800000"/>
                      <a:headEnd/>
                      <a:tailEnd/>
                    </a:ln>
                  </pic:spPr>
                </pic:pic>
              </a:graphicData>
            </a:graphic>
          </wp:inline>
        </w:drawing>
      </w:r>
    </w:p>
    <w:p w:rsidR="00C528D5" w:rsidRDefault="00C528D5" w:rsidP="00192E54">
      <w:r w:rsidRPr="00B22CB8">
        <w:t>The rational for choosing 0.5 (in lieu of 1</w:t>
      </w:r>
      <w:proofErr w:type="gramStart"/>
      <w:r w:rsidRPr="00B22CB8">
        <w:t>)</w:t>
      </w:r>
      <w:r w:rsidR="00192E54">
        <w:t>µ</w:t>
      </w:r>
      <w:proofErr w:type="gramEnd"/>
      <w:r w:rsidRPr="00B22CB8">
        <w:t>g/mL as ECOFF was based on the f</w:t>
      </w:r>
      <w:r>
        <w:t>act that isolates with MIC of 1</w:t>
      </w:r>
      <w:r w:rsidR="00192E54">
        <w:t xml:space="preserve"> µ</w:t>
      </w:r>
      <w:r w:rsidRPr="00B22CB8">
        <w:t xml:space="preserve">g/mL were mostly observed in one laboratory in Canada (Karlowsky, 2008). Because of the generally high MIC range at this site (0.06-1 </w:t>
      </w:r>
      <w:r w:rsidR="00192E54">
        <w:t>µ</w:t>
      </w:r>
      <w:r w:rsidRPr="00B22CB8">
        <w:t>g/mL) and the nearly exclusive localization of the isolates with an MIC of 1μg/mL to this single site, EUCAST could not rule out the possibility that the MIC values of 1</w:t>
      </w:r>
      <w:r w:rsidR="00192E54">
        <w:t xml:space="preserve"> µ</w:t>
      </w:r>
      <w:r w:rsidRPr="00B22CB8">
        <w:t xml:space="preserve">g/mL reflected a slight but systematic bias to the MIC values at this site (despite QC results that were within acceptable ranges). Since then, however, </w:t>
      </w:r>
      <w:r w:rsidRPr="00B22CB8">
        <w:rPr>
          <w:i/>
          <w:iCs/>
        </w:rPr>
        <w:t xml:space="preserve">C. difficile </w:t>
      </w:r>
      <w:r w:rsidRPr="00B22CB8">
        <w:t>isolates with MIC of 1</w:t>
      </w:r>
      <w:r w:rsidR="00192E54">
        <w:t xml:space="preserve"> µ</w:t>
      </w:r>
      <w:r w:rsidRPr="00B22CB8">
        <w:t>g/mL have also been reported and identified during our ongoing surveillance study. The ongoing surveillance investigation is a post-marketing study that involves participation of six US centres and has so far resulted in testing of over 470 isolates from different geographic locations (Snydman, 2012).</w:t>
      </w:r>
    </w:p>
    <w:p w:rsidR="009A0B6C" w:rsidRDefault="00C528D5" w:rsidP="00C528D5">
      <w:pPr>
        <w:jc w:val="both"/>
      </w:pPr>
      <w:r w:rsidRPr="009A0B6C">
        <w:rPr>
          <w:b/>
          <w:i/>
        </w:rPr>
        <w:t>TGA response:</w:t>
      </w:r>
      <w:r w:rsidRPr="00B22CB8">
        <w:rPr>
          <w:rFonts w:ascii="Times New Roman" w:hAnsi="Times New Roman"/>
          <w:b/>
          <w:sz w:val="24"/>
        </w:rPr>
        <w:t xml:space="preserve"> </w:t>
      </w:r>
      <w:r>
        <w:rPr>
          <w:rFonts w:ascii="Times New Roman" w:hAnsi="Times New Roman"/>
          <w:sz w:val="24"/>
        </w:rPr>
        <w:t>T</w:t>
      </w:r>
      <w:r w:rsidRPr="00192E54">
        <w:t>he ECOFF is recommended for inclusion in the Australian PI.</w:t>
      </w:r>
    </w:p>
    <w:p w:rsidR="009A0B6C" w:rsidRDefault="009A0B6C">
      <w:pPr>
        <w:spacing w:before="0" w:after="200" w:line="0" w:lineRule="auto"/>
      </w:pPr>
      <w:r>
        <w:br w:type="page"/>
      </w:r>
    </w:p>
    <w:p w:rsidR="00C528D5" w:rsidRPr="009A0B6C" w:rsidRDefault="00C528D5" w:rsidP="009A0B6C">
      <w:pPr>
        <w:ind w:left="284"/>
        <w:rPr>
          <w:b/>
          <w:i/>
        </w:rPr>
      </w:pPr>
      <w:proofErr w:type="gramStart"/>
      <w:r w:rsidRPr="009A0B6C">
        <w:rPr>
          <w:b/>
          <w:i/>
        </w:rPr>
        <w:t>Q</w:t>
      </w:r>
      <w:r w:rsidR="00192E54" w:rsidRPr="009A0B6C">
        <w:rPr>
          <w:b/>
          <w:i/>
        </w:rPr>
        <w:t>uestion 7.</w:t>
      </w:r>
      <w:proofErr w:type="gramEnd"/>
      <w:r w:rsidR="00192E54" w:rsidRPr="009A0B6C">
        <w:rPr>
          <w:b/>
          <w:i/>
        </w:rPr>
        <w:t xml:space="preserve"> </w:t>
      </w:r>
      <w:r w:rsidRPr="009A0B6C">
        <w:rPr>
          <w:b/>
          <w:i/>
        </w:rPr>
        <w:t>Please provide comment on surveillance studies of C. difficile that are being planned internationally. Will surveillance program be instituted in Australia? This may have been included in the RMP in refer to RMP should be sufficient.</w:t>
      </w:r>
    </w:p>
    <w:p w:rsidR="00C528D5" w:rsidRDefault="00C528D5" w:rsidP="00192E54">
      <w:r w:rsidRPr="00D9233A">
        <w:t>Optimer has, thus far, implemented surveillance in the U</w:t>
      </w:r>
      <w:r w:rsidR="00192E54">
        <w:t>S</w:t>
      </w:r>
      <w:r w:rsidRPr="00D9233A">
        <w:t xml:space="preserve"> and is setting up surveillance in Canada (to begin in approximately </w:t>
      </w:r>
      <w:r w:rsidR="00192E54">
        <w:t>first quarter of</w:t>
      </w:r>
      <w:r w:rsidRPr="00D9233A">
        <w:t xml:space="preserve"> 2013), the two regions for which it is the marketing authorization holder</w:t>
      </w:r>
      <w:r w:rsidR="00192E54">
        <w:t>,</w:t>
      </w:r>
      <w:r w:rsidRPr="00D9233A">
        <w:t xml:space="preserve"> Astellas Pharma Europe Ltd., the MAH in Europe, has initiated surveillance in Europe. STA is evaluating the best method to conduct surveillance in Australia (</w:t>
      </w:r>
      <w:r w:rsidR="003B4B6A" w:rsidRPr="003B4B6A">
        <w:t>that is,</w:t>
      </w:r>
      <w:r w:rsidRPr="00D9233A">
        <w:t xml:space="preserve"> either arrange for sentinel sites in Australia to submit toxin-positive stool samples/</w:t>
      </w:r>
      <w:r w:rsidRPr="00D9233A">
        <w:rPr>
          <w:i/>
          <w:iCs/>
        </w:rPr>
        <w:t xml:space="preserve">C. difficile </w:t>
      </w:r>
      <w:r w:rsidRPr="00D9233A">
        <w:t>isolates to an existing program, or alternatively initiate a new local program).</w:t>
      </w:r>
    </w:p>
    <w:p w:rsidR="00C618F7" w:rsidRDefault="00C618F7" w:rsidP="00192E54">
      <w:pPr>
        <w:pStyle w:val="Heading2"/>
      </w:pPr>
      <w:bookmarkStart w:id="119" w:name="_Toc370734752"/>
      <w:r>
        <w:t>Second round benefit-risk assessment</w:t>
      </w:r>
      <w:bookmarkEnd w:id="119"/>
    </w:p>
    <w:p w:rsidR="00C528D5" w:rsidRPr="009C5EC3" w:rsidRDefault="00192E54" w:rsidP="00192E54">
      <w:pPr>
        <w:pStyle w:val="Heading3"/>
      </w:pPr>
      <w:bookmarkStart w:id="120" w:name="_Toc272414709"/>
      <w:bookmarkStart w:id="121" w:name="_Toc290846349"/>
      <w:bookmarkStart w:id="122" w:name="_Toc338860729"/>
      <w:bookmarkStart w:id="123" w:name="_Toc370734753"/>
      <w:r>
        <w:t>Second</w:t>
      </w:r>
      <w:r w:rsidR="00C528D5" w:rsidRPr="009C5EC3">
        <w:t xml:space="preserve"> round assessment of benefits</w:t>
      </w:r>
      <w:bookmarkEnd w:id="120"/>
      <w:bookmarkEnd w:id="121"/>
      <w:bookmarkEnd w:id="122"/>
      <w:bookmarkEnd w:id="123"/>
    </w:p>
    <w:p w:rsidR="00C528D5" w:rsidRPr="009C5EC3" w:rsidRDefault="00C528D5" w:rsidP="00192E54">
      <w:r>
        <w:t>The expected benefits of treating CDAD with 10 day course of fidaxomicin (20</w:t>
      </w:r>
      <w:r w:rsidR="003B4B6A" w:rsidRPr="003B4B6A">
        <w:t>0 mg</w:t>
      </w:r>
      <w:r>
        <w:t xml:space="preserve"> every 12 hours) compared to vancomycin (125</w:t>
      </w:r>
      <w:r w:rsidR="00192E54">
        <w:t xml:space="preserve"> </w:t>
      </w:r>
      <w:r>
        <w:t xml:space="preserve">mg every 6 hours) remain unaltered </w:t>
      </w:r>
      <w:r w:rsidR="003B4B6A" w:rsidRPr="003B4B6A">
        <w:t>that is,</w:t>
      </w:r>
      <w:r>
        <w:t xml:space="preserve"> non-inferior clinical response at end of therapy (88%</w:t>
      </w:r>
      <w:r w:rsidR="003B4B6A" w:rsidRPr="003B4B6A">
        <w:t xml:space="preserve"> versus </w:t>
      </w:r>
      <w:r>
        <w:t>86% and 88%</w:t>
      </w:r>
      <w:r w:rsidR="003B4B6A" w:rsidRPr="003B4B6A">
        <w:t xml:space="preserve"> versus </w:t>
      </w:r>
      <w:r>
        <w:t>87% in the two pivotal trials respectively) and superior sustained efficacy in terms of recurrence at 4 weeks after completion of treatment (15%</w:t>
      </w:r>
      <w:r w:rsidR="003B4B6A" w:rsidRPr="003B4B6A">
        <w:t xml:space="preserve"> versus </w:t>
      </w:r>
      <w:r>
        <w:t>25% and 13%</w:t>
      </w:r>
      <w:r w:rsidR="003B4B6A" w:rsidRPr="003B4B6A">
        <w:t xml:space="preserve"> versus </w:t>
      </w:r>
      <w:r>
        <w:t>27% in the two pivotal studies respectively).</w:t>
      </w:r>
    </w:p>
    <w:p w:rsidR="00C528D5" w:rsidRPr="009C5EC3" w:rsidRDefault="00192E54" w:rsidP="00192E54">
      <w:pPr>
        <w:pStyle w:val="Heading3"/>
      </w:pPr>
      <w:bookmarkStart w:id="124" w:name="_Toc272414710"/>
      <w:bookmarkStart w:id="125" w:name="_Toc290846350"/>
      <w:bookmarkStart w:id="126" w:name="_Toc338860730"/>
      <w:bookmarkStart w:id="127" w:name="_Toc370734754"/>
      <w:r>
        <w:t>Second</w:t>
      </w:r>
      <w:r w:rsidR="00C528D5" w:rsidRPr="009C5EC3">
        <w:t xml:space="preserve"> round assessment of risks</w:t>
      </w:r>
      <w:bookmarkEnd w:id="124"/>
      <w:bookmarkEnd w:id="125"/>
      <w:bookmarkEnd w:id="126"/>
      <w:bookmarkEnd w:id="127"/>
    </w:p>
    <w:p w:rsidR="00C528D5" w:rsidRDefault="00C528D5" w:rsidP="00192E54">
      <w:r>
        <w:t>The expected risks and need for further collection of data such as incidence of neutropenia remain unchanged.</w:t>
      </w:r>
    </w:p>
    <w:p w:rsidR="00C528D5" w:rsidRDefault="00C528D5" w:rsidP="00192E54">
      <w:r>
        <w:t>Drug-drug interactions assessed during the development indicate only small magnitude of changes in pharmacokinetic on use with P-gp or CYP substrates. However, these may be meaningful in clinical practice and for narrow therapeutic index drugs such as cyclosporine, digoxin and warfarin, concomitant use with fidaxomicin may need monitoring.</w:t>
      </w:r>
    </w:p>
    <w:p w:rsidR="00C528D5" w:rsidRPr="009C5EC3" w:rsidRDefault="00C528D5" w:rsidP="00192E54">
      <w:r>
        <w:t>The risk of development of resistance is low but non-negligible and will require systematic surveillance.</w:t>
      </w:r>
    </w:p>
    <w:p w:rsidR="00C528D5" w:rsidRPr="009C5EC3" w:rsidRDefault="00192E54" w:rsidP="00192E54">
      <w:pPr>
        <w:pStyle w:val="Heading3"/>
      </w:pPr>
      <w:bookmarkStart w:id="128" w:name="_Toc272414711"/>
      <w:bookmarkStart w:id="129" w:name="_Toc290846351"/>
      <w:bookmarkStart w:id="130" w:name="_Toc338860731"/>
      <w:bookmarkStart w:id="131" w:name="_Toc370734755"/>
      <w:r>
        <w:t>Second</w:t>
      </w:r>
      <w:r w:rsidR="00C528D5" w:rsidRPr="009C5EC3">
        <w:t xml:space="preserve"> round assessment of benefit-risk balance</w:t>
      </w:r>
      <w:bookmarkEnd w:id="128"/>
      <w:bookmarkEnd w:id="129"/>
      <w:bookmarkEnd w:id="130"/>
      <w:bookmarkEnd w:id="131"/>
    </w:p>
    <w:p w:rsidR="00C528D5" w:rsidRDefault="00C528D5" w:rsidP="00192E54">
      <w:r>
        <w:t>Overall, the risk-benefit balance is in favour of benefit especially in light of sustained efficacy at 4 weeks compared to vancomycin and the postulated low potential for cross-resistance.</w:t>
      </w:r>
    </w:p>
    <w:p w:rsidR="00C528D5" w:rsidRDefault="00686E06" w:rsidP="00192E54">
      <w:pPr>
        <w:pStyle w:val="Heading2"/>
      </w:pPr>
      <w:bookmarkStart w:id="132" w:name="_Toc338860733"/>
      <w:bookmarkStart w:id="133" w:name="_Toc370734756"/>
      <w:r>
        <w:t xml:space="preserve">Second </w:t>
      </w:r>
      <w:r w:rsidR="00DD718D">
        <w:t>r</w:t>
      </w:r>
      <w:r>
        <w:t xml:space="preserve">ound </w:t>
      </w:r>
      <w:r w:rsidR="00DD718D">
        <w:t>c</w:t>
      </w:r>
      <w:r w:rsidR="00192E54">
        <w:t xml:space="preserve">linical </w:t>
      </w:r>
      <w:r w:rsidR="00DD718D">
        <w:t>s</w:t>
      </w:r>
      <w:r w:rsidR="00192E54">
        <w:t xml:space="preserve">ummary and </w:t>
      </w:r>
      <w:r w:rsidR="00DD718D">
        <w:t>c</w:t>
      </w:r>
      <w:r w:rsidR="00192E54">
        <w:t>onclusion</w:t>
      </w:r>
      <w:bookmarkEnd w:id="132"/>
      <w:bookmarkEnd w:id="133"/>
    </w:p>
    <w:p w:rsidR="00C528D5" w:rsidRDefault="00C528D5" w:rsidP="00192E54">
      <w:r>
        <w:t xml:space="preserve">Vancomycin is the currently only approved antibiotic for use in the treatment of </w:t>
      </w:r>
      <w:r w:rsidRPr="00C528D5">
        <w:rPr>
          <w:i/>
        </w:rPr>
        <w:t>Clostridium difficile</w:t>
      </w:r>
      <w:r>
        <w:t xml:space="preserve"> Associated Diarrhoea (CDAD), although a number of other antibiotics such as metronidazole are used off label in clinical practice. Oral vancomycin acts locally whereas metronidazole is absorbed systemically.</w:t>
      </w:r>
    </w:p>
    <w:p w:rsidR="00C528D5" w:rsidRDefault="00C528D5" w:rsidP="00192E54">
      <w:r>
        <w:t>The evidence of clinical efficacy of fidaxomicin presented in this dossier relied on the two pivotal clinical efficacy trials. Both were similarly designed, active (oral vancomycin) controlled, randomised, double blind trials in adult CDAD patients and successfully established non-inferiority of 10 day course of 20</w:t>
      </w:r>
      <w:r w:rsidR="003B4B6A" w:rsidRPr="003B4B6A">
        <w:t>0 mg</w:t>
      </w:r>
      <w:r>
        <w:t xml:space="preserve"> oral fidaxomicin every 12</w:t>
      </w:r>
      <w:r w:rsidR="00353ABC">
        <w:t xml:space="preserve"> h </w:t>
      </w:r>
      <w:r>
        <w:t>to 15</w:t>
      </w:r>
      <w:r w:rsidR="003B4B6A" w:rsidRPr="003B4B6A">
        <w:t>0 mg</w:t>
      </w:r>
      <w:r>
        <w:t xml:space="preserve"> oral vancomycin every 4</w:t>
      </w:r>
      <w:r w:rsidR="00353ABC">
        <w:t xml:space="preserve"> h </w:t>
      </w:r>
      <w:r>
        <w:t>with respect to clinical cure (physician ascertained resolution of signs and symptoms of CDAD based on clinical examination and patient kept daily diary). The trials were well planned there were no identifiable critical shortcoming in design or execution. The non-inferiority was tested using both modified ITT (88%</w:t>
      </w:r>
      <w:r w:rsidR="003B4B6A" w:rsidRPr="003B4B6A">
        <w:t xml:space="preserve"> versus </w:t>
      </w:r>
      <w:r>
        <w:t>86% and 88%</w:t>
      </w:r>
      <w:r w:rsidR="003B4B6A" w:rsidRPr="003B4B6A">
        <w:t xml:space="preserve"> versus </w:t>
      </w:r>
      <w:r>
        <w:t>87% respectively in fidaxomicin and vancomycin groups in the two trials) and PP statistical populations and the lower side 95% confidence interval for the treatment difference fell safely within the predefined maximum tolerable inferiority margin.</w:t>
      </w:r>
    </w:p>
    <w:p w:rsidR="00C528D5" w:rsidRDefault="00C528D5" w:rsidP="00192E54">
      <w:r>
        <w:t>Furthermore, fidaxomicin was statistically and clinically superior to vancomycin with respect to prevention of recurrence of CDAD (relapse within 28 days of competing treatment) of disease and higher global cure (clinical cure without relapse up till 28 days after completion of therapy).</w:t>
      </w:r>
    </w:p>
    <w:p w:rsidR="00C528D5" w:rsidRDefault="00C528D5" w:rsidP="00192E54">
      <w:r>
        <w:t>Where the evidence for efficacy is considered reliable and confirmatory, the dataset for safety evaluation is too small (about 565 fidaxomicin treated patients in the 2 pivotal trials) to enable full safety characterisation of the drug. Based on the limited data in this dossier, the adverse effects profile of fidaxomicin treatment was similar to the comparator vancomycin.</w:t>
      </w:r>
    </w:p>
    <w:p w:rsidR="00C528D5" w:rsidRDefault="00C528D5" w:rsidP="00192E54">
      <w:r>
        <w:t>Other advantages of fidaxomicin include simple pharmacokinetics, local action without significant systemic absorption, long post antibiotic effect (although its significance is unclear), lack of CYP450 interactions, narrow spectrum of antimicrobial activity, lack cross resistance to other antibiotics and expected low risk of development of resistance.</w:t>
      </w:r>
    </w:p>
    <w:p w:rsidR="00C528D5" w:rsidRDefault="00C528D5" w:rsidP="00192E54">
      <w:r>
        <w:t>Fidaxomicin achieves very high faecal levels – many thousands of times it MIC</w:t>
      </w:r>
      <w:r w:rsidRPr="00A24BBE">
        <w:rPr>
          <w:vertAlign w:val="subscript"/>
        </w:rPr>
        <w:t>90</w:t>
      </w:r>
      <w:r>
        <w:t xml:space="preserve"> value against </w:t>
      </w:r>
      <w:r w:rsidRPr="00924597">
        <w:rPr>
          <w:i/>
        </w:rPr>
        <w:t>C. difficile</w:t>
      </w:r>
      <w:r>
        <w:t>. However, a relationship between faecal levels, MIC and clinical failures was not established in the clinical efficacy trials.</w:t>
      </w:r>
    </w:p>
    <w:p w:rsidR="00C528D5" w:rsidRDefault="00C528D5" w:rsidP="00192E54">
      <w:pPr>
        <w:rPr>
          <w:lang w:val="en-CA"/>
        </w:rPr>
      </w:pPr>
      <w:r>
        <w:t>Based on these findings</w:t>
      </w:r>
      <w:r w:rsidR="001A205B">
        <w:t>, the evaluator</w:t>
      </w:r>
      <w:r>
        <w:t xml:space="preserve"> agree</w:t>
      </w:r>
      <w:r w:rsidR="001A205B">
        <w:t>d</w:t>
      </w:r>
      <w:r>
        <w:t xml:space="preserve"> that a first line indication is appropriate. However, the sponsor’s proposed indication which includes </w:t>
      </w:r>
      <w:r w:rsidRPr="00924597">
        <w:rPr>
          <w:lang w:val="en-CA"/>
        </w:rPr>
        <w:t>‘</w:t>
      </w:r>
      <w:r w:rsidRPr="001A205B">
        <w:rPr>
          <w:i/>
          <w:lang w:val="en-CA"/>
        </w:rPr>
        <w:t>reducing the risk of recurrence when used for treatment of CDI</w:t>
      </w:r>
      <w:r w:rsidRPr="00924597">
        <w:rPr>
          <w:lang w:val="en-CA"/>
        </w:rPr>
        <w:t xml:space="preserve">’ </w:t>
      </w:r>
      <w:r>
        <w:rPr>
          <w:lang w:val="en-CA"/>
        </w:rPr>
        <w:t>is not supported.</w:t>
      </w:r>
    </w:p>
    <w:p w:rsidR="00C528D5" w:rsidRPr="004D315A" w:rsidRDefault="001A205B" w:rsidP="00192E54">
      <w:r>
        <w:rPr>
          <w:lang w:val="en-CA"/>
        </w:rPr>
        <w:t>The evaluator</w:t>
      </w:r>
      <w:r w:rsidR="00C528D5">
        <w:rPr>
          <w:lang w:val="en-CA"/>
        </w:rPr>
        <w:t xml:space="preserve"> agree</w:t>
      </w:r>
      <w:r>
        <w:rPr>
          <w:lang w:val="en-CA"/>
        </w:rPr>
        <w:t>d</w:t>
      </w:r>
      <w:r w:rsidR="00C528D5">
        <w:rPr>
          <w:lang w:val="en-CA"/>
        </w:rPr>
        <w:t xml:space="preserve"> that fidaxomicin treatment was satisfactorily shown to have led to lower rate of recurrence within 28 days of completing treatment compared to vancomycin (15%</w:t>
      </w:r>
      <w:r w:rsidR="003B4B6A" w:rsidRPr="003B4B6A">
        <w:rPr>
          <w:lang w:val="en-CA"/>
        </w:rPr>
        <w:t xml:space="preserve"> versus </w:t>
      </w:r>
      <w:r w:rsidR="00C528D5">
        <w:rPr>
          <w:lang w:val="en-CA"/>
        </w:rPr>
        <w:t>25% and 13%</w:t>
      </w:r>
      <w:r w:rsidR="003B4B6A" w:rsidRPr="003B4B6A">
        <w:rPr>
          <w:lang w:val="en-CA"/>
        </w:rPr>
        <w:t xml:space="preserve"> versus </w:t>
      </w:r>
      <w:r w:rsidR="00C528D5">
        <w:rPr>
          <w:lang w:val="en-CA"/>
        </w:rPr>
        <w:t>27%) and this is the most important efficacy benefit of fidaxomicin over vancomycin. However, this is more appropriate a measure of sustained efficacy or alternatively more appropriate timepoint for measurement of clinical cure rather than prevention of recurrence.</w:t>
      </w:r>
    </w:p>
    <w:p w:rsidR="00C528D5" w:rsidRDefault="00C528D5" w:rsidP="00192E54">
      <w:r>
        <w:t>A comprehensive assessment of risk of development of resistance was provided. The risk appears low but resistance surveillance will need to be instituted if the drug is given marketing approval.</w:t>
      </w:r>
    </w:p>
    <w:p w:rsidR="00C618F7" w:rsidRDefault="00C618F7" w:rsidP="001A205B">
      <w:pPr>
        <w:pStyle w:val="Heading2"/>
      </w:pPr>
      <w:bookmarkStart w:id="134" w:name="_Toc370734757"/>
      <w:r>
        <w:t>Second round recommendation regarding authorisation</w:t>
      </w:r>
      <w:bookmarkEnd w:id="134"/>
    </w:p>
    <w:p w:rsidR="00C528D5" w:rsidRDefault="00C528D5" w:rsidP="001A205B">
      <w:r>
        <w:t>It is recommended that the sponsor’s submission to register fidaxomicin (20</w:t>
      </w:r>
      <w:r w:rsidR="003B4B6A" w:rsidRPr="003B4B6A">
        <w:t>0 mg</w:t>
      </w:r>
      <w:r>
        <w:t>) tablets be approved for the following therapeutic indication and usage guidelines:</w:t>
      </w:r>
    </w:p>
    <w:p w:rsidR="00C528D5" w:rsidRPr="00250BCA" w:rsidRDefault="00C528D5" w:rsidP="00250BCA">
      <w:pPr>
        <w:ind w:left="720"/>
        <w:rPr>
          <w:i/>
          <w:lang w:val="en-CA"/>
        </w:rPr>
      </w:pPr>
      <w:r w:rsidRPr="00250BCA">
        <w:rPr>
          <w:i/>
          <w:lang w:val="en-CA"/>
        </w:rPr>
        <w:t>Fidaxomicin is indicated for the treatment of Clostridium difficile Associated Diarrhoea (CDAD) in adults.</w:t>
      </w:r>
    </w:p>
    <w:p w:rsidR="00C528D5" w:rsidRPr="00250BCA" w:rsidRDefault="00C528D5" w:rsidP="00250BCA">
      <w:pPr>
        <w:ind w:left="720"/>
        <w:rPr>
          <w:i/>
          <w:lang w:val="en-CA"/>
        </w:rPr>
      </w:pPr>
      <w:r w:rsidRPr="00250BCA">
        <w:rPr>
          <w:i/>
          <w:lang w:val="en-CA"/>
        </w:rPr>
        <w:t>To reduce the development of drug-resistant bacteria and maintain the effectiveness of DIFICID and other antibacterial drugs, DIFICID should be used only to treat infections that are diagnosed to be caused by Clostridium difficile.</w:t>
      </w:r>
    </w:p>
    <w:p w:rsidR="00C528D5" w:rsidRPr="00A24BBE" w:rsidRDefault="00C528D5" w:rsidP="001A205B">
      <w:pPr>
        <w:rPr>
          <w:b/>
          <w:lang w:val="en-CA"/>
        </w:rPr>
      </w:pPr>
      <w:r w:rsidRPr="00A24BBE">
        <w:t>The recommended dose is 20</w:t>
      </w:r>
      <w:r w:rsidR="003B4B6A" w:rsidRPr="003B4B6A">
        <w:t>0 mg</w:t>
      </w:r>
      <w:r w:rsidRPr="00A24BBE">
        <w:t xml:space="preserve"> administered twice daily for 10 days.</w:t>
      </w:r>
    </w:p>
    <w:p w:rsidR="00C528D5" w:rsidRDefault="001A205B" w:rsidP="001A205B">
      <w:r w:rsidRPr="00A24BBE">
        <w:t xml:space="preserve">Dificid </w:t>
      </w:r>
      <w:r w:rsidR="00C528D5" w:rsidRPr="00A24BBE">
        <w:t>can be taken</w:t>
      </w:r>
      <w:r w:rsidR="00C528D5">
        <w:t xml:space="preserve"> before, during or after meals.</w:t>
      </w:r>
    </w:p>
    <w:p w:rsidR="00C528D5" w:rsidRDefault="00C528D5" w:rsidP="001A205B">
      <w:r w:rsidRPr="00A24BBE">
        <w:t>No dose adjustment is needed for elderly patients, patients with renal insufficiency, hepatic impairment o</w:t>
      </w:r>
      <w:r>
        <w:t>r patients undergoing dialysis.</w:t>
      </w:r>
    </w:p>
    <w:p w:rsidR="00C528D5" w:rsidRPr="00491D81" w:rsidRDefault="00C528D5" w:rsidP="001A205B">
      <w:r w:rsidRPr="00A24BBE">
        <w:t xml:space="preserve">Safety and efficacy of fidaxomicin in patients under the age of 18 has not been established. </w:t>
      </w:r>
      <w:r w:rsidRPr="00491D81">
        <w:t>Therefore fidaxomicin is not recommended for use in children.</w:t>
      </w:r>
    </w:p>
    <w:p w:rsidR="003D1E62" w:rsidRDefault="00C528D5" w:rsidP="002666AC">
      <w:pPr>
        <w:pStyle w:val="Heading2"/>
      </w:pPr>
      <w:r w:rsidRPr="00491D81">
        <w:t xml:space="preserve"> </w:t>
      </w:r>
      <w:bookmarkStart w:id="135" w:name="_Toc370734758"/>
      <w:r w:rsidR="00C618F7" w:rsidRPr="00491D81">
        <w:t>References</w:t>
      </w:r>
      <w:bookmarkEnd w:id="135"/>
      <w:bookmarkEnd w:id="3"/>
      <w:bookmarkEnd w:id="2"/>
      <w:bookmarkEnd w:id="1"/>
    </w:p>
    <w:p w:rsidR="00491D81" w:rsidRPr="001D043B" w:rsidRDefault="00491D81" w:rsidP="00491D81">
      <w:pPr>
        <w:sectPr w:rsidR="00491D81" w:rsidRPr="001D043B" w:rsidSect="008D770F">
          <w:headerReference w:type="even" r:id="rId26"/>
          <w:headerReference w:type="default" r:id="rId27"/>
          <w:footerReference w:type="default" r:id="rId28"/>
          <w:headerReference w:type="first" r:id="rId29"/>
          <w:footerReference w:type="first" r:id="rId30"/>
          <w:pgSz w:w="11906" w:h="16838" w:code="9"/>
          <w:pgMar w:top="1440" w:right="1440" w:bottom="1440" w:left="1440" w:header="907" w:footer="216" w:gutter="0"/>
          <w:cols w:space="708"/>
          <w:docGrid w:linePitch="360"/>
        </w:sectPr>
      </w:pPr>
      <w:r>
        <w:t>Nil listed.</w:t>
      </w:r>
    </w:p>
    <w:p w:rsidR="00774E1D" w:rsidRPr="008A5E0B" w:rsidRDefault="00774E1D" w:rsidP="008A5E0B"/>
    <w:sectPr w:rsidR="00774E1D" w:rsidRPr="008A5E0B" w:rsidSect="008D770F">
      <w:headerReference w:type="even" r:id="rId31"/>
      <w:headerReference w:type="default" r:id="rId32"/>
      <w:footerReference w:type="default" r:id="rId33"/>
      <w:headerReference w:type="first" r:id="rId34"/>
      <w:footerReference w:type="first" r:id="rId35"/>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42F" w:rsidRDefault="0024442F" w:rsidP="00C40A36">
      <w:pPr>
        <w:spacing w:after="0"/>
      </w:pPr>
      <w:r>
        <w:separator/>
      </w:r>
    </w:p>
  </w:endnote>
  <w:endnote w:type="continuationSeparator" w:id="0">
    <w:p w:rsidR="0024442F" w:rsidRDefault="0024442F"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24442F" w:rsidRPr="00487162" w:rsidTr="0053625B">
      <w:trPr>
        <w:trHeight w:val="269"/>
      </w:trPr>
      <w:tc>
        <w:tcPr>
          <w:tcW w:w="7938" w:type="dxa"/>
          <w:tcMar>
            <w:top w:w="142" w:type="dxa"/>
            <w:bottom w:w="0" w:type="dxa"/>
          </w:tcMar>
        </w:tcPr>
        <w:p w:rsidR="0024442F" w:rsidRPr="00487162" w:rsidRDefault="0024442F" w:rsidP="0047428B">
          <w:pPr>
            <w:pStyle w:val="Footer"/>
          </w:pPr>
          <w:r w:rsidRPr="001A205B">
            <w:t>Submission PM-201</w:t>
          </w:r>
          <w:r>
            <w:t>2</w:t>
          </w:r>
          <w:r w:rsidRPr="001A205B">
            <w:t>-04269-3-2 Extract from the Clinical Evaluation Report for Dificid</w:t>
          </w:r>
        </w:p>
      </w:tc>
      <w:tc>
        <w:tcPr>
          <w:tcW w:w="923" w:type="dxa"/>
          <w:tcMar>
            <w:top w:w="142" w:type="dxa"/>
            <w:bottom w:w="0" w:type="dxa"/>
          </w:tcMar>
        </w:tcPr>
        <w:p w:rsidR="0024442F" w:rsidRPr="00487162" w:rsidRDefault="0024442F" w:rsidP="00D855D4">
          <w:pPr>
            <w:pStyle w:val="Footer"/>
            <w:jc w:val="right"/>
          </w:pPr>
          <w:r w:rsidRPr="00487162">
            <w:t xml:space="preserve">Page </w:t>
          </w:r>
          <w:r>
            <w:t>2</w:t>
          </w:r>
          <w:r w:rsidRPr="00487162">
            <w:t xml:space="preserve"> of </w:t>
          </w:r>
          <w:fldSimple w:instr=" NUMPAGES  \* Arabic ">
            <w:r w:rsidR="000E5739">
              <w:rPr>
                <w:noProof/>
              </w:rPr>
              <w:t>4</w:t>
            </w:r>
          </w:fldSimple>
        </w:p>
      </w:tc>
    </w:tr>
  </w:tbl>
  <w:p w:rsidR="0024442F" w:rsidRDefault="0024442F"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24442F" w:rsidRPr="00487162" w:rsidTr="00586F98">
      <w:trPr>
        <w:trHeight w:val="269"/>
      </w:trPr>
      <w:tc>
        <w:tcPr>
          <w:tcW w:w="7655" w:type="dxa"/>
          <w:tcMar>
            <w:top w:w="142" w:type="dxa"/>
            <w:bottom w:w="0" w:type="dxa"/>
          </w:tcMar>
        </w:tcPr>
        <w:p w:rsidR="0024442F" w:rsidRPr="00487162" w:rsidRDefault="0024442F" w:rsidP="0047428B">
          <w:pPr>
            <w:pStyle w:val="Footer"/>
          </w:pPr>
          <w:r>
            <w:t>Submission</w:t>
          </w:r>
          <w:r w:rsidRPr="00487162">
            <w:t xml:space="preserve"> PM-20</w:t>
          </w:r>
          <w:r>
            <w:t>12</w:t>
          </w:r>
          <w:r w:rsidRPr="00487162">
            <w:t>-</w:t>
          </w:r>
          <w:r>
            <w:t>04269-3-2 Extract from the Clinical Evaluation Report for Dificid</w:t>
          </w:r>
        </w:p>
      </w:tc>
      <w:tc>
        <w:tcPr>
          <w:tcW w:w="1206" w:type="dxa"/>
          <w:tcMar>
            <w:top w:w="142" w:type="dxa"/>
            <w:bottom w:w="0" w:type="dxa"/>
          </w:tcMar>
        </w:tcPr>
        <w:p w:rsidR="0024442F" w:rsidRPr="00487162" w:rsidRDefault="0024442F" w:rsidP="00E45619">
          <w:pPr>
            <w:pStyle w:val="Footer"/>
            <w:jc w:val="right"/>
          </w:pPr>
          <w:r w:rsidRPr="00487162">
            <w:t xml:space="preserve">Page </w:t>
          </w:r>
          <w:fldSimple w:instr="PAGE">
            <w:r w:rsidR="000E5739">
              <w:rPr>
                <w:noProof/>
              </w:rPr>
              <w:t>6</w:t>
            </w:r>
          </w:fldSimple>
          <w:r w:rsidRPr="00487162">
            <w:t xml:space="preserve"> of </w:t>
          </w:r>
          <w:fldSimple w:instr=" NUMPAGES  \* Arabic ">
            <w:r w:rsidR="000E5739">
              <w:rPr>
                <w:noProof/>
              </w:rPr>
              <w:t>6</w:t>
            </w:r>
          </w:fldSimple>
        </w:p>
      </w:tc>
    </w:tr>
  </w:tbl>
  <w:p w:rsidR="0024442F" w:rsidRDefault="0024442F"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24442F" w:rsidRPr="00487162" w:rsidTr="00E45619">
      <w:trPr>
        <w:trHeight w:val="269"/>
      </w:trPr>
      <w:tc>
        <w:tcPr>
          <w:tcW w:w="4519" w:type="dxa"/>
          <w:tcBorders>
            <w:top w:val="single" w:sz="4" w:space="0" w:color="auto"/>
          </w:tcBorders>
          <w:tcMar>
            <w:top w:w="142" w:type="dxa"/>
            <w:bottom w:w="0" w:type="dxa"/>
          </w:tcMar>
        </w:tcPr>
        <w:p w:rsidR="0024442F" w:rsidRPr="00487162" w:rsidRDefault="0024442F" w:rsidP="00FE1DEE">
          <w:pPr>
            <w:pStyle w:val="Footer"/>
          </w:pPr>
          <w:r w:rsidRPr="00487162">
            <w:t>Document title, Part #, Section # - Section title</w:t>
          </w:r>
        </w:p>
        <w:p w:rsidR="0024442F" w:rsidRPr="00487162" w:rsidRDefault="0024442F" w:rsidP="00FE1DEE">
          <w:pPr>
            <w:pStyle w:val="Footer"/>
          </w:pPr>
          <w:r w:rsidRPr="00487162">
            <w:t>V1.0 October 2010</w:t>
          </w:r>
        </w:p>
      </w:tc>
      <w:tc>
        <w:tcPr>
          <w:tcW w:w="4342" w:type="dxa"/>
          <w:tcBorders>
            <w:top w:val="single" w:sz="4" w:space="0" w:color="auto"/>
          </w:tcBorders>
          <w:tcMar>
            <w:top w:w="142" w:type="dxa"/>
            <w:bottom w:w="0" w:type="dxa"/>
          </w:tcMar>
        </w:tcPr>
        <w:p w:rsidR="0024442F" w:rsidRPr="00487162" w:rsidRDefault="0024442F"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24442F" w:rsidRDefault="0024442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24442F" w:rsidRPr="00487162" w:rsidTr="008D770F">
              <w:trPr>
                <w:trHeight w:hRule="exact" w:val="564"/>
              </w:trPr>
              <w:tc>
                <w:tcPr>
                  <w:tcW w:w="9175" w:type="dxa"/>
                </w:tcPr>
                <w:p w:rsidR="0024442F" w:rsidRPr="00487162" w:rsidRDefault="0024442F" w:rsidP="008E7846">
                  <w:pPr>
                    <w:pStyle w:val="TGASignoff"/>
                  </w:pPr>
                  <w:r w:rsidRPr="00487162">
                    <w:t>Therapeutic Goods Administration</w:t>
                  </w:r>
                </w:p>
              </w:tc>
            </w:tr>
            <w:tr w:rsidR="0024442F" w:rsidRPr="00487162" w:rsidTr="00E45619">
              <w:trPr>
                <w:trHeight w:val="1221"/>
              </w:trPr>
              <w:tc>
                <w:tcPr>
                  <w:tcW w:w="9175" w:type="dxa"/>
                  <w:tcMar>
                    <w:top w:w="28" w:type="dxa"/>
                  </w:tcMar>
                </w:tcPr>
                <w:p w:rsidR="0024442F" w:rsidRPr="00487162" w:rsidRDefault="0024442F" w:rsidP="00E45619">
                  <w:pPr>
                    <w:pStyle w:val="Address"/>
                  </w:pPr>
                  <w:r w:rsidRPr="00487162">
                    <w:t>PO Box 100 Woden ACT 2606 Australia</w:t>
                  </w:r>
                </w:p>
                <w:p w:rsidR="0024442F" w:rsidRPr="00487162" w:rsidRDefault="0024442F" w:rsidP="00E45619">
                  <w:pPr>
                    <w:pStyle w:val="Address"/>
                  </w:pPr>
                  <w:r w:rsidRPr="00487162">
                    <w:t xml:space="preserve">Email: </w:t>
                  </w:r>
                  <w:hyperlink r:id="rId1" w:history="1">
                    <w:r w:rsidRPr="008D770F">
                      <w:rPr>
                        <w:rStyle w:val="Hyperlink"/>
                      </w:rPr>
                      <w:t>info@tga.gov.au</w:t>
                    </w:r>
                  </w:hyperlink>
                  <w:r w:rsidRPr="003B4B6A">
                    <w:t xml:space="preserve"> </w:t>
                  </w:r>
                  <w:r w:rsidRPr="00487162">
                    <w:t>Phone: 1800 020 653</w:t>
                  </w:r>
                  <w:r w:rsidRPr="003B4B6A">
                    <w:t xml:space="preserve"> </w:t>
                  </w:r>
                  <w:r w:rsidRPr="00487162">
                    <w:t>Fax: 02 6232 8605</w:t>
                  </w:r>
                </w:p>
                <w:p w:rsidR="0024442F" w:rsidRPr="008D770F" w:rsidRDefault="00694E00" w:rsidP="008D770F">
                  <w:pPr>
                    <w:pStyle w:val="Address"/>
                    <w:spacing w:line="260" w:lineRule="atLeast"/>
                    <w:rPr>
                      <w:b/>
                      <w:color w:val="0000FF"/>
                      <w:u w:val="single"/>
                    </w:rPr>
                  </w:pPr>
                  <w:hyperlink r:id="rId2" w:history="1">
                    <w:r w:rsidR="0024442F" w:rsidRPr="007C06C7">
                      <w:rPr>
                        <w:rStyle w:val="Hyperlink"/>
                        <w:b/>
                      </w:rPr>
                      <w:t>http://www.tga.gov.au</w:t>
                    </w:r>
                  </w:hyperlink>
                </w:p>
              </w:tc>
            </w:tr>
          </w:tbl>
          <w:p w:rsidR="0024442F" w:rsidRDefault="00694E00"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24442F" w:rsidTr="0010601F">
      <w:trPr>
        <w:trHeight w:val="108"/>
      </w:trPr>
      <w:tc>
        <w:tcPr>
          <w:tcW w:w="8875" w:type="dxa"/>
          <w:gridSpan w:val="2"/>
          <w:tcBorders>
            <w:bottom w:val="single" w:sz="4" w:space="0" w:color="auto"/>
          </w:tcBorders>
          <w:tcMar>
            <w:right w:w="284" w:type="dxa"/>
          </w:tcMar>
        </w:tcPr>
        <w:p w:rsidR="0024442F" w:rsidRDefault="0024442F" w:rsidP="006E08B3">
          <w:pPr>
            <w:pStyle w:val="Heading3"/>
          </w:pPr>
          <w:r>
            <w:t>Copyright</w:t>
          </w:r>
        </w:p>
        <w:p w:rsidR="0024442F" w:rsidRDefault="0024442F" w:rsidP="006E08B3">
          <w:r>
            <w:rPr>
              <w:rFonts w:cs="Arial"/>
            </w:rPr>
            <w:t>©</w:t>
          </w:r>
          <w:r>
            <w:t xml:space="preserve"> Commonwealth of Australia [add year]</w:t>
          </w:r>
        </w:p>
        <w:p w:rsidR="0024442F" w:rsidRDefault="0024442F" w:rsidP="006E08B3"/>
        <w:p w:rsidR="0024442F" w:rsidRDefault="0024442F" w:rsidP="006E08B3">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w:t>
          </w:r>
          <w:r w:rsidRPr="003B4B6A">
            <w:t xml:space="preserve"> </w:t>
          </w:r>
          <w:r w:rsidRPr="006E08B3">
            <w:t>http://www.ag.gov.au/cca</w:t>
          </w:r>
        </w:p>
        <w:p w:rsidR="0024442F" w:rsidRDefault="0024442F" w:rsidP="006E08B3"/>
        <w:p w:rsidR="0024442F" w:rsidRDefault="0024442F" w:rsidP="006E08B3">
          <w:pPr>
            <w:pStyle w:val="Heading3"/>
          </w:pPr>
          <w:r>
            <w:t>Confidentiality</w:t>
          </w:r>
        </w:p>
        <w:p w:rsidR="0024442F" w:rsidRDefault="0024442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4442F" w:rsidRDefault="0024442F" w:rsidP="006E08B3"/>
        <w:p w:rsidR="0024442F" w:rsidRDefault="0024442F" w:rsidP="006E08B3">
          <w:r>
            <w:t>For submission made by individuals, all personal details, other than your name, will be removed from your submission before it is published on the TGA’s Internet site.</w:t>
          </w:r>
        </w:p>
        <w:p w:rsidR="0024442F" w:rsidRDefault="0024442F" w:rsidP="006E08B3"/>
        <w:p w:rsidR="0024442F" w:rsidRDefault="0024442F" w:rsidP="006E08B3">
          <w:r>
            <w:t>In addition, a list of parties making submissions will be published. If you do not wish to be identified with your submission you must specifically request this in the space provided ib the submission coversheet.</w:t>
          </w:r>
        </w:p>
      </w:tc>
    </w:tr>
    <w:tr w:rsidR="0024442F" w:rsidTr="0010601F">
      <w:trPr>
        <w:trHeight w:val="417"/>
      </w:trPr>
      <w:tc>
        <w:tcPr>
          <w:tcW w:w="4519" w:type="dxa"/>
          <w:tcBorders>
            <w:top w:val="single" w:sz="4" w:space="0" w:color="auto"/>
          </w:tcBorders>
          <w:tcMar>
            <w:top w:w="142" w:type="dxa"/>
            <w:bottom w:w="0" w:type="dxa"/>
          </w:tcMar>
        </w:tcPr>
        <w:p w:rsidR="0024442F" w:rsidRDefault="0024442F" w:rsidP="006E08B3">
          <w:r>
            <w:t>Document title, Part #, Section # - Section title</w:t>
          </w:r>
        </w:p>
        <w:p w:rsidR="0024442F" w:rsidRDefault="0024442F" w:rsidP="006E08B3">
          <w:r>
            <w:t>V1.0 October 2010</w:t>
          </w:r>
        </w:p>
      </w:tc>
      <w:tc>
        <w:tcPr>
          <w:tcW w:w="4356" w:type="dxa"/>
          <w:tcBorders>
            <w:top w:val="single" w:sz="4" w:space="0" w:color="auto"/>
          </w:tcBorders>
          <w:tcMar>
            <w:top w:w="142" w:type="dxa"/>
            <w:bottom w:w="0" w:type="dxa"/>
          </w:tcMar>
        </w:tcPr>
        <w:p w:rsidR="0024442F" w:rsidRDefault="0024442F" w:rsidP="006E08B3">
          <w:pPr>
            <w:jc w:val="right"/>
          </w:pPr>
          <w:r>
            <w:t xml:space="preserve">Page </w:t>
          </w:r>
          <w:fldSimple w:instr=" PAGE   \* MERGEFORMAT ">
            <w:r>
              <w:rPr>
                <w:noProof/>
              </w:rPr>
              <w:t>1</w:t>
            </w:r>
          </w:fldSimple>
          <w:r>
            <w:t xml:space="preserve"> of </w:t>
          </w:r>
          <w:fldSimple w:instr=" NUMPAGES  \* Arabic ">
            <w:r>
              <w:rPr>
                <w:noProof/>
              </w:rPr>
              <w:t>2</w:t>
            </w:r>
          </w:fldSimple>
          <w:r w:rsidRPr="003B4B6A">
            <w:t xml:space="preserve"> </w:t>
          </w:r>
        </w:p>
      </w:tc>
    </w:tr>
  </w:tbl>
  <w:p w:rsidR="0024442F" w:rsidRDefault="0024442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42F" w:rsidRDefault="0024442F" w:rsidP="00C40A36">
      <w:pPr>
        <w:spacing w:after="0"/>
      </w:pPr>
      <w:r>
        <w:separator/>
      </w:r>
    </w:p>
  </w:footnote>
  <w:footnote w:type="continuationSeparator" w:id="0">
    <w:p w:rsidR="0024442F" w:rsidRDefault="0024442F" w:rsidP="00C40A36">
      <w:pPr>
        <w:spacing w:after="0"/>
      </w:pPr>
      <w:r>
        <w:continuationSeparator/>
      </w:r>
    </w:p>
  </w:footnote>
  <w:footnote w:id="1">
    <w:p w:rsidR="0024442F" w:rsidRDefault="0024442F" w:rsidP="00C528D5">
      <w:pPr>
        <w:pStyle w:val="FootnoteText"/>
      </w:pPr>
      <w:r>
        <w:rPr>
          <w:rStyle w:val="FootnoteReference"/>
        </w:rPr>
        <w:footnoteRef/>
      </w:r>
      <w:r>
        <w:t xml:space="preserve"> SD = standard deviation.</w:t>
      </w:r>
    </w:p>
  </w:footnote>
  <w:footnote w:id="2">
    <w:p w:rsidR="0024442F" w:rsidRPr="003375F6" w:rsidRDefault="0024442F" w:rsidP="003375F6">
      <w:pPr>
        <w:pStyle w:val="FootnoteText"/>
        <w:ind w:left="142" w:hanging="142"/>
        <w:rPr>
          <w:sz w:val="18"/>
          <w:szCs w:val="18"/>
        </w:rPr>
      </w:pPr>
      <w:r w:rsidRPr="003375F6">
        <w:rPr>
          <w:rStyle w:val="FootnoteReference"/>
          <w:sz w:val="18"/>
          <w:szCs w:val="18"/>
        </w:rPr>
        <w:footnoteRef/>
      </w:r>
      <w:r w:rsidRPr="003375F6">
        <w:rPr>
          <w:sz w:val="18"/>
          <w:szCs w:val="18"/>
        </w:rPr>
        <w:t xml:space="preserve"> Louie TJ </w:t>
      </w:r>
      <w:r w:rsidRPr="003375F6">
        <w:rPr>
          <w:i/>
          <w:sz w:val="18"/>
          <w:szCs w:val="18"/>
        </w:rPr>
        <w:t>et al</w:t>
      </w:r>
      <w:r w:rsidRPr="003375F6">
        <w:rPr>
          <w:sz w:val="18"/>
          <w:szCs w:val="18"/>
        </w:rPr>
        <w:t xml:space="preserve"> (2009). </w:t>
      </w:r>
      <w:proofErr w:type="gramStart"/>
      <w:r w:rsidRPr="003375F6">
        <w:rPr>
          <w:sz w:val="18"/>
          <w:szCs w:val="18"/>
        </w:rPr>
        <w:t>OPT-80 Eliminates Clostridium difficile and Is Sparing of Bacteroides</w:t>
      </w:r>
      <w:r>
        <w:rPr>
          <w:sz w:val="18"/>
          <w:szCs w:val="18"/>
        </w:rPr>
        <w:t xml:space="preserve"> </w:t>
      </w:r>
      <w:r w:rsidRPr="003375F6">
        <w:rPr>
          <w:sz w:val="18"/>
          <w:szCs w:val="18"/>
        </w:rPr>
        <w:t>Species during Treatment of C. difficile Infection.</w:t>
      </w:r>
      <w:proofErr w:type="gramEnd"/>
      <w:r w:rsidRPr="003375F6">
        <w:rPr>
          <w:sz w:val="18"/>
          <w:szCs w:val="18"/>
        </w:rPr>
        <w:t xml:space="preserve"> Antimicrobial Agents and Chemotherapy 53 (1) p. 261–263</w:t>
      </w:r>
    </w:p>
  </w:footnote>
  <w:footnote w:id="3">
    <w:p w:rsidR="0024442F" w:rsidRPr="003375F6" w:rsidRDefault="0024442F" w:rsidP="003375F6">
      <w:pPr>
        <w:pStyle w:val="FootnoteText"/>
        <w:ind w:left="142" w:hanging="142"/>
        <w:rPr>
          <w:sz w:val="18"/>
          <w:szCs w:val="18"/>
        </w:rPr>
      </w:pPr>
      <w:r w:rsidRPr="003375F6">
        <w:rPr>
          <w:rStyle w:val="FootnoteReference"/>
          <w:sz w:val="18"/>
          <w:szCs w:val="18"/>
        </w:rPr>
        <w:footnoteRef/>
      </w:r>
      <w:r w:rsidRPr="003375F6">
        <w:rPr>
          <w:sz w:val="18"/>
          <w:szCs w:val="18"/>
        </w:rPr>
        <w:t xml:space="preserve"> </w:t>
      </w:r>
      <w:proofErr w:type="gramStart"/>
      <w:r w:rsidRPr="003375F6">
        <w:rPr>
          <w:sz w:val="18"/>
          <w:szCs w:val="18"/>
        </w:rPr>
        <w:t>Nerandzic  MM</w:t>
      </w:r>
      <w:proofErr w:type="gramEnd"/>
      <w:r w:rsidRPr="003375F6">
        <w:rPr>
          <w:sz w:val="18"/>
          <w:szCs w:val="18"/>
        </w:rPr>
        <w:t xml:space="preserve"> </w:t>
      </w:r>
      <w:r w:rsidRPr="003375F6">
        <w:rPr>
          <w:i/>
          <w:sz w:val="18"/>
          <w:szCs w:val="18"/>
        </w:rPr>
        <w:t xml:space="preserve">et al </w:t>
      </w:r>
      <w:r w:rsidRPr="003375F6">
        <w:rPr>
          <w:sz w:val="18"/>
          <w:szCs w:val="18"/>
        </w:rPr>
        <w:t xml:space="preserve">. </w:t>
      </w:r>
      <w:proofErr w:type="gramStart"/>
      <w:r w:rsidRPr="003375F6">
        <w:rPr>
          <w:sz w:val="18"/>
          <w:szCs w:val="18"/>
        </w:rPr>
        <w:t>Acquisition and Overgrowth of Vancomycin-Resistant Enterococci in Patients Treated with Either Fidaxomicin or Vancomycin for C. difficile Infection.</w:t>
      </w:r>
      <w:proofErr w:type="gramEnd"/>
      <w:r w:rsidRPr="003375F6">
        <w:rPr>
          <w:sz w:val="18"/>
          <w:szCs w:val="18"/>
        </w:rPr>
        <w:t xml:space="preserve"> </w:t>
      </w:r>
      <w:r>
        <w:rPr>
          <w:sz w:val="18"/>
          <w:szCs w:val="18"/>
        </w:rPr>
        <w:t>P</w:t>
      </w:r>
      <w:r w:rsidRPr="003375F6">
        <w:rPr>
          <w:sz w:val="18"/>
          <w:szCs w:val="18"/>
        </w:rPr>
        <w:t>rovided as slides among literature references included in Module 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F" w:rsidRDefault="0024442F"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F" w:rsidRDefault="0024442F">
    <w:pPr>
      <w:rPr>
        <w:noProof/>
        <w:lang w:eastAsia="en-AU"/>
      </w:rPr>
    </w:pPr>
    <w:r w:rsidRPr="00BA2039">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4442F" w:rsidRDefault="0024442F" w:rsidP="00593AD1">
    <w:pPr>
      <w:pStyle w:val="HeaderNoLine"/>
    </w:pPr>
    <w:r>
      <w:rPr>
        <w:noProof/>
        <w:lang w:eastAsia="en-AU"/>
      </w:rPr>
      <w:drawing>
        <wp:inline distT="0" distB="0" distL="0" distR="0">
          <wp:extent cx="5405120" cy="7640955"/>
          <wp:effectExtent l="0" t="0" r="5080" b="4445"/>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5120" cy="764095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F" w:rsidRDefault="0024442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F" w:rsidRDefault="0024442F">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F" w:rsidRDefault="0024442F">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F" w:rsidRDefault="0024442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F" w:rsidRDefault="0024442F"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F" w:rsidRDefault="0024442F" w:rsidP="006E08B3">
    <w:r>
      <w:t>Therapeutic Goods Administration</w:t>
    </w:r>
  </w:p>
  <w:p w:rsidR="0024442F" w:rsidRDefault="0024442F"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DE4D37E"/>
    <w:lvl w:ilvl="0">
      <w:start w:val="1"/>
      <w:numFmt w:val="decimal"/>
      <w:lvlText w:val="%1."/>
      <w:lvlJc w:val="left"/>
      <w:pPr>
        <w:tabs>
          <w:tab w:val="num" w:pos="1492"/>
        </w:tabs>
        <w:ind w:left="1492" w:hanging="360"/>
      </w:pPr>
    </w:lvl>
  </w:abstractNum>
  <w:abstractNum w:abstractNumId="1">
    <w:nsid w:val="FFFFFF7D"/>
    <w:multiLevelType w:val="singleLevel"/>
    <w:tmpl w:val="0B3C8256"/>
    <w:lvl w:ilvl="0">
      <w:start w:val="1"/>
      <w:numFmt w:val="decimal"/>
      <w:lvlText w:val="%1."/>
      <w:lvlJc w:val="left"/>
      <w:pPr>
        <w:tabs>
          <w:tab w:val="num" w:pos="1209"/>
        </w:tabs>
        <w:ind w:left="1209" w:hanging="360"/>
      </w:pPr>
    </w:lvl>
  </w:abstractNum>
  <w:abstractNum w:abstractNumId="2">
    <w:nsid w:val="FFFFFF7E"/>
    <w:multiLevelType w:val="singleLevel"/>
    <w:tmpl w:val="5FA83B80"/>
    <w:lvl w:ilvl="0">
      <w:start w:val="1"/>
      <w:numFmt w:val="decimal"/>
      <w:lvlText w:val="%1."/>
      <w:lvlJc w:val="left"/>
      <w:pPr>
        <w:tabs>
          <w:tab w:val="num" w:pos="926"/>
        </w:tabs>
        <w:ind w:left="926" w:hanging="360"/>
      </w:pPr>
    </w:lvl>
  </w:abstractNum>
  <w:abstractNum w:abstractNumId="3">
    <w:nsid w:val="FFFFFF7F"/>
    <w:multiLevelType w:val="singleLevel"/>
    <w:tmpl w:val="EE18D1AC"/>
    <w:lvl w:ilvl="0">
      <w:start w:val="1"/>
      <w:numFmt w:val="decimal"/>
      <w:lvlText w:val="%1."/>
      <w:lvlJc w:val="left"/>
      <w:pPr>
        <w:tabs>
          <w:tab w:val="num" w:pos="643"/>
        </w:tabs>
        <w:ind w:left="643" w:hanging="360"/>
      </w:pPr>
    </w:lvl>
  </w:abstractNum>
  <w:abstractNum w:abstractNumId="4">
    <w:nsid w:val="FFFFFF80"/>
    <w:multiLevelType w:val="singleLevel"/>
    <w:tmpl w:val="A900EA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ECB83E"/>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EA22C26A"/>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663F595D"/>
    <w:multiLevelType w:val="hybridMultilevel"/>
    <w:tmpl w:val="86B69502"/>
    <w:lvl w:ilvl="0" w:tplc="8C66A024">
      <w:start w:val="1"/>
      <w:numFmt w:val="bullet"/>
      <w:pStyle w:val="Instructions2"/>
      <w:lvlText w:val="­"/>
      <w:lvlJc w:val="left"/>
      <w:pPr>
        <w:ind w:left="644" w:hanging="360"/>
      </w:pPr>
      <w:rPr>
        <w:rFonts w:ascii="Calibri" w:hAnsi="Calibri" w:hint="default"/>
      </w:rPr>
    </w:lvl>
    <w:lvl w:ilvl="1" w:tplc="34EEDE48" w:tentative="1">
      <w:start w:val="1"/>
      <w:numFmt w:val="bullet"/>
      <w:lvlText w:val="o"/>
      <w:lvlJc w:val="left"/>
      <w:pPr>
        <w:ind w:left="1610" w:hanging="360"/>
      </w:pPr>
      <w:rPr>
        <w:rFonts w:ascii="Courier New" w:hAnsi="Courier New" w:cs="Courier New" w:hint="default"/>
      </w:rPr>
    </w:lvl>
    <w:lvl w:ilvl="2" w:tplc="2C60B14C" w:tentative="1">
      <w:start w:val="1"/>
      <w:numFmt w:val="bullet"/>
      <w:lvlText w:val=""/>
      <w:lvlJc w:val="left"/>
      <w:pPr>
        <w:ind w:left="2330" w:hanging="360"/>
      </w:pPr>
      <w:rPr>
        <w:rFonts w:ascii="Wingdings" w:hAnsi="Wingdings" w:hint="default"/>
      </w:rPr>
    </w:lvl>
    <w:lvl w:ilvl="3" w:tplc="41F0E36A" w:tentative="1">
      <w:start w:val="1"/>
      <w:numFmt w:val="bullet"/>
      <w:lvlText w:val=""/>
      <w:lvlJc w:val="left"/>
      <w:pPr>
        <w:ind w:left="3050" w:hanging="360"/>
      </w:pPr>
      <w:rPr>
        <w:rFonts w:ascii="Symbol" w:hAnsi="Symbol" w:hint="default"/>
      </w:rPr>
    </w:lvl>
    <w:lvl w:ilvl="4" w:tplc="13F84DAC" w:tentative="1">
      <w:start w:val="1"/>
      <w:numFmt w:val="bullet"/>
      <w:lvlText w:val="o"/>
      <w:lvlJc w:val="left"/>
      <w:pPr>
        <w:ind w:left="3770" w:hanging="360"/>
      </w:pPr>
      <w:rPr>
        <w:rFonts w:ascii="Courier New" w:hAnsi="Courier New" w:cs="Courier New" w:hint="default"/>
      </w:rPr>
    </w:lvl>
    <w:lvl w:ilvl="5" w:tplc="1E342820" w:tentative="1">
      <w:start w:val="1"/>
      <w:numFmt w:val="bullet"/>
      <w:lvlText w:val=""/>
      <w:lvlJc w:val="left"/>
      <w:pPr>
        <w:ind w:left="4490" w:hanging="360"/>
      </w:pPr>
      <w:rPr>
        <w:rFonts w:ascii="Wingdings" w:hAnsi="Wingdings" w:hint="default"/>
      </w:rPr>
    </w:lvl>
    <w:lvl w:ilvl="6" w:tplc="A2809952" w:tentative="1">
      <w:start w:val="1"/>
      <w:numFmt w:val="bullet"/>
      <w:lvlText w:val=""/>
      <w:lvlJc w:val="left"/>
      <w:pPr>
        <w:ind w:left="5210" w:hanging="360"/>
      </w:pPr>
      <w:rPr>
        <w:rFonts w:ascii="Symbol" w:hAnsi="Symbol" w:hint="default"/>
      </w:rPr>
    </w:lvl>
    <w:lvl w:ilvl="7" w:tplc="537C1474" w:tentative="1">
      <w:start w:val="1"/>
      <w:numFmt w:val="bullet"/>
      <w:lvlText w:val="o"/>
      <w:lvlJc w:val="left"/>
      <w:pPr>
        <w:ind w:left="5930" w:hanging="360"/>
      </w:pPr>
      <w:rPr>
        <w:rFonts w:ascii="Courier New" w:hAnsi="Courier New" w:cs="Courier New" w:hint="default"/>
      </w:rPr>
    </w:lvl>
    <w:lvl w:ilvl="8" w:tplc="F29CF4EE" w:tentative="1">
      <w:start w:val="1"/>
      <w:numFmt w:val="bullet"/>
      <w:lvlText w:val=""/>
      <w:lvlJc w:val="left"/>
      <w:pPr>
        <w:ind w:left="6650" w:hanging="360"/>
      </w:pPr>
      <w:rPr>
        <w:rFonts w:ascii="Wingdings" w:hAnsi="Wingdings" w:hint="default"/>
      </w:rPr>
    </w:lvl>
  </w:abstractNum>
  <w:abstractNum w:abstractNumId="13">
    <w:nsid w:val="6B420A11"/>
    <w:multiLevelType w:val="multilevel"/>
    <w:tmpl w:val="06F0989C"/>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D214E8B"/>
    <w:multiLevelType w:val="hybridMultilevel"/>
    <w:tmpl w:val="4426C4F8"/>
    <w:lvl w:ilvl="0" w:tplc="264CA118">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92E4BDA8" w:tentative="1">
      <w:start w:val="1"/>
      <w:numFmt w:val="bullet"/>
      <w:lvlText w:val="o"/>
      <w:lvlJc w:val="left"/>
      <w:pPr>
        <w:tabs>
          <w:tab w:val="num" w:pos="1440"/>
        </w:tabs>
        <w:ind w:left="1440" w:hanging="360"/>
      </w:pPr>
      <w:rPr>
        <w:rFonts w:ascii="Courier New" w:hAnsi="Courier New" w:cs="Courier New" w:hint="default"/>
      </w:rPr>
    </w:lvl>
    <w:lvl w:ilvl="2" w:tplc="7F02DC9E" w:tentative="1">
      <w:start w:val="1"/>
      <w:numFmt w:val="bullet"/>
      <w:lvlText w:val=""/>
      <w:lvlJc w:val="left"/>
      <w:pPr>
        <w:tabs>
          <w:tab w:val="num" w:pos="2160"/>
        </w:tabs>
        <w:ind w:left="2160" w:hanging="360"/>
      </w:pPr>
      <w:rPr>
        <w:rFonts w:ascii="Wingdings" w:hAnsi="Wingdings" w:hint="default"/>
      </w:rPr>
    </w:lvl>
    <w:lvl w:ilvl="3" w:tplc="2D1AC916" w:tentative="1">
      <w:start w:val="1"/>
      <w:numFmt w:val="bullet"/>
      <w:lvlText w:val=""/>
      <w:lvlJc w:val="left"/>
      <w:pPr>
        <w:tabs>
          <w:tab w:val="num" w:pos="2880"/>
        </w:tabs>
        <w:ind w:left="2880" w:hanging="360"/>
      </w:pPr>
      <w:rPr>
        <w:rFonts w:ascii="Symbol" w:hAnsi="Symbol" w:hint="default"/>
      </w:rPr>
    </w:lvl>
    <w:lvl w:ilvl="4" w:tplc="E222BA80" w:tentative="1">
      <w:start w:val="1"/>
      <w:numFmt w:val="bullet"/>
      <w:lvlText w:val="o"/>
      <w:lvlJc w:val="left"/>
      <w:pPr>
        <w:tabs>
          <w:tab w:val="num" w:pos="3600"/>
        </w:tabs>
        <w:ind w:left="3600" w:hanging="360"/>
      </w:pPr>
      <w:rPr>
        <w:rFonts w:ascii="Courier New" w:hAnsi="Courier New" w:cs="Courier New" w:hint="default"/>
      </w:rPr>
    </w:lvl>
    <w:lvl w:ilvl="5" w:tplc="393E7F5C" w:tentative="1">
      <w:start w:val="1"/>
      <w:numFmt w:val="bullet"/>
      <w:lvlText w:val=""/>
      <w:lvlJc w:val="left"/>
      <w:pPr>
        <w:tabs>
          <w:tab w:val="num" w:pos="4320"/>
        </w:tabs>
        <w:ind w:left="4320" w:hanging="360"/>
      </w:pPr>
      <w:rPr>
        <w:rFonts w:ascii="Wingdings" w:hAnsi="Wingdings" w:hint="default"/>
      </w:rPr>
    </w:lvl>
    <w:lvl w:ilvl="6" w:tplc="6C7A2452" w:tentative="1">
      <w:start w:val="1"/>
      <w:numFmt w:val="bullet"/>
      <w:lvlText w:val=""/>
      <w:lvlJc w:val="left"/>
      <w:pPr>
        <w:tabs>
          <w:tab w:val="num" w:pos="5040"/>
        </w:tabs>
        <w:ind w:left="5040" w:hanging="360"/>
      </w:pPr>
      <w:rPr>
        <w:rFonts w:ascii="Symbol" w:hAnsi="Symbol" w:hint="default"/>
      </w:rPr>
    </w:lvl>
    <w:lvl w:ilvl="7" w:tplc="B7189CA0" w:tentative="1">
      <w:start w:val="1"/>
      <w:numFmt w:val="bullet"/>
      <w:lvlText w:val="o"/>
      <w:lvlJc w:val="left"/>
      <w:pPr>
        <w:tabs>
          <w:tab w:val="num" w:pos="5760"/>
        </w:tabs>
        <w:ind w:left="5760" w:hanging="360"/>
      </w:pPr>
      <w:rPr>
        <w:rFonts w:ascii="Courier New" w:hAnsi="Courier New" w:cs="Courier New" w:hint="default"/>
      </w:rPr>
    </w:lvl>
    <w:lvl w:ilvl="8" w:tplc="0F42B49E" w:tentative="1">
      <w:start w:val="1"/>
      <w:numFmt w:val="bullet"/>
      <w:lvlText w:val=""/>
      <w:lvlJc w:val="left"/>
      <w:pPr>
        <w:tabs>
          <w:tab w:val="num" w:pos="6480"/>
        </w:tabs>
        <w:ind w:left="6480" w:hanging="360"/>
      </w:pPr>
      <w:rPr>
        <w:rFonts w:ascii="Wingdings" w:hAnsi="Wingdings" w:hint="default"/>
      </w:rPr>
    </w:lvl>
  </w:abstractNum>
  <w:abstractNum w:abstractNumId="16">
    <w:nsid w:val="736076CA"/>
    <w:multiLevelType w:val="multilevel"/>
    <w:tmpl w:val="06F0989C"/>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nsid w:val="7A9D337B"/>
    <w:multiLevelType w:val="multilevel"/>
    <w:tmpl w:val="06F0989C"/>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nsid w:val="7B33157C"/>
    <w:multiLevelType w:val="multilevel"/>
    <w:tmpl w:val="06F0989C"/>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4"/>
  </w:num>
  <w:num w:numId="6">
    <w:abstractNumId w:val="11"/>
  </w:num>
  <w:num w:numId="7">
    <w:abstractNumId w:val="15"/>
  </w:num>
  <w:num w:numId="8">
    <w:abstractNumId w:val="10"/>
  </w:num>
  <w:num w:numId="9">
    <w:abstractNumId w:val="7"/>
  </w:num>
  <w:num w:numId="10">
    <w:abstractNumId w:val="12"/>
  </w:num>
  <w:num w:numId="11">
    <w:abstractNumId w:val="17"/>
  </w:num>
  <w:num w:numId="12">
    <w:abstractNumId w:val="18"/>
  </w:num>
  <w:num w:numId="13">
    <w:abstractNumId w:val="13"/>
  </w:num>
  <w:num w:numId="14">
    <w:abstractNumId w:val="16"/>
  </w:num>
  <w:num w:numId="15">
    <w:abstractNumId w:val="5"/>
  </w:num>
  <w:num w:numId="16">
    <w:abstractNumId w:val="4"/>
  </w:num>
  <w:num w:numId="17">
    <w:abstractNumId w:val="6"/>
  </w:num>
  <w:num w:numId="18">
    <w:abstractNumId w:val="3"/>
  </w:num>
  <w:num w:numId="19">
    <w:abstractNumId w:val="2"/>
  </w:num>
  <w:num w:numId="20">
    <w:abstractNumId w:val="1"/>
  </w:num>
  <w:num w:numId="21">
    <w:abstractNumId w:val="0"/>
  </w:num>
  <w:num w:numId="22">
    <w:abstractNumId w:val="8"/>
  </w:num>
  <w:num w:numId="23">
    <w:abstractNumId w:val="8"/>
  </w:num>
  <w:num w:numId="24">
    <w:abstractNumId w:val="8"/>
  </w:num>
  <w:num w:numId="25">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stylePaneFormatFilter w:val="1008"/>
  <w:stylePaneSortMethod w:val="0000"/>
  <w:defaultTabStop w:val="720"/>
  <w:drawingGridHorizontalSpacing w:val="110"/>
  <w:displayHorizontalDrawingGridEvery w:val="2"/>
  <w:characterSpacingControl w:val="doNotCompress"/>
  <w:hdrShapeDefaults>
    <o:shapedefaults v:ext="edit" spidmax="72705">
      <o:colormenu v:ext="edit" fillcolor="none [3206]"/>
    </o:shapedefaults>
  </w:hdrShapeDefaults>
  <w:footnotePr>
    <w:footnote w:id="-1"/>
    <w:footnote w:id="0"/>
  </w:footnotePr>
  <w:endnotePr>
    <w:endnote w:id="-1"/>
    <w:endnote w:id="0"/>
  </w:endnotePr>
  <w:compat/>
  <w:rsids>
    <w:rsidRoot w:val="00924DE0"/>
    <w:rsid w:val="00002031"/>
    <w:rsid w:val="00003FAC"/>
    <w:rsid w:val="00004734"/>
    <w:rsid w:val="00006B22"/>
    <w:rsid w:val="0001276A"/>
    <w:rsid w:val="000246AE"/>
    <w:rsid w:val="00025C67"/>
    <w:rsid w:val="00040ACB"/>
    <w:rsid w:val="0005559E"/>
    <w:rsid w:val="00077775"/>
    <w:rsid w:val="00085EB6"/>
    <w:rsid w:val="00090471"/>
    <w:rsid w:val="00090CE9"/>
    <w:rsid w:val="000A3AED"/>
    <w:rsid w:val="000A63AF"/>
    <w:rsid w:val="000B3532"/>
    <w:rsid w:val="000B3A75"/>
    <w:rsid w:val="000C690F"/>
    <w:rsid w:val="000D1295"/>
    <w:rsid w:val="000D391B"/>
    <w:rsid w:val="000D3D6D"/>
    <w:rsid w:val="000D4FC7"/>
    <w:rsid w:val="000E5739"/>
    <w:rsid w:val="000F02F9"/>
    <w:rsid w:val="000F4869"/>
    <w:rsid w:val="000F5B42"/>
    <w:rsid w:val="000F6E6F"/>
    <w:rsid w:val="00104613"/>
    <w:rsid w:val="0010601F"/>
    <w:rsid w:val="0010770C"/>
    <w:rsid w:val="0010788A"/>
    <w:rsid w:val="00107A31"/>
    <w:rsid w:val="00110EA5"/>
    <w:rsid w:val="00112F56"/>
    <w:rsid w:val="00125318"/>
    <w:rsid w:val="001305A2"/>
    <w:rsid w:val="00132A21"/>
    <w:rsid w:val="00133238"/>
    <w:rsid w:val="0014197B"/>
    <w:rsid w:val="001447CD"/>
    <w:rsid w:val="001516B1"/>
    <w:rsid w:val="00154EBB"/>
    <w:rsid w:val="00156316"/>
    <w:rsid w:val="00165389"/>
    <w:rsid w:val="0017078F"/>
    <w:rsid w:val="0017693F"/>
    <w:rsid w:val="0018110E"/>
    <w:rsid w:val="00181684"/>
    <w:rsid w:val="001843C6"/>
    <w:rsid w:val="001850E0"/>
    <w:rsid w:val="00191C65"/>
    <w:rsid w:val="00192E54"/>
    <w:rsid w:val="001A205B"/>
    <w:rsid w:val="001A2158"/>
    <w:rsid w:val="001A525F"/>
    <w:rsid w:val="001B09F9"/>
    <w:rsid w:val="001B6448"/>
    <w:rsid w:val="001E07CF"/>
    <w:rsid w:val="001E59F1"/>
    <w:rsid w:val="001F49EB"/>
    <w:rsid w:val="001F6CBA"/>
    <w:rsid w:val="00201D4E"/>
    <w:rsid w:val="002076C9"/>
    <w:rsid w:val="00220B8A"/>
    <w:rsid w:val="0022392D"/>
    <w:rsid w:val="002257F3"/>
    <w:rsid w:val="00233456"/>
    <w:rsid w:val="002339A5"/>
    <w:rsid w:val="0024442F"/>
    <w:rsid w:val="00250BCA"/>
    <w:rsid w:val="00257848"/>
    <w:rsid w:val="002666AC"/>
    <w:rsid w:val="0027084A"/>
    <w:rsid w:val="00286434"/>
    <w:rsid w:val="00286C59"/>
    <w:rsid w:val="00291463"/>
    <w:rsid w:val="00291D5B"/>
    <w:rsid w:val="00292113"/>
    <w:rsid w:val="002942D1"/>
    <w:rsid w:val="0029501A"/>
    <w:rsid w:val="002B1638"/>
    <w:rsid w:val="002C63ED"/>
    <w:rsid w:val="002D6161"/>
    <w:rsid w:val="002E4C9A"/>
    <w:rsid w:val="002F11F8"/>
    <w:rsid w:val="002F3F56"/>
    <w:rsid w:val="002F44B5"/>
    <w:rsid w:val="00311AC0"/>
    <w:rsid w:val="0032583B"/>
    <w:rsid w:val="00327883"/>
    <w:rsid w:val="00335504"/>
    <w:rsid w:val="003375F6"/>
    <w:rsid w:val="003521E8"/>
    <w:rsid w:val="00353ABC"/>
    <w:rsid w:val="003728F3"/>
    <w:rsid w:val="0037496E"/>
    <w:rsid w:val="0037623D"/>
    <w:rsid w:val="00386150"/>
    <w:rsid w:val="003874CE"/>
    <w:rsid w:val="00390900"/>
    <w:rsid w:val="00396C92"/>
    <w:rsid w:val="003A7F6C"/>
    <w:rsid w:val="003B1113"/>
    <w:rsid w:val="003B4B6A"/>
    <w:rsid w:val="003B4D60"/>
    <w:rsid w:val="003B634F"/>
    <w:rsid w:val="003B7E39"/>
    <w:rsid w:val="003C58DC"/>
    <w:rsid w:val="003D0A3B"/>
    <w:rsid w:val="003D1E62"/>
    <w:rsid w:val="003E2486"/>
    <w:rsid w:val="003E3208"/>
    <w:rsid w:val="003F0B04"/>
    <w:rsid w:val="003F0CE7"/>
    <w:rsid w:val="0040134E"/>
    <w:rsid w:val="00415D59"/>
    <w:rsid w:val="004166E2"/>
    <w:rsid w:val="0043797D"/>
    <w:rsid w:val="00440A2D"/>
    <w:rsid w:val="004564A7"/>
    <w:rsid w:val="004617BF"/>
    <w:rsid w:val="00463658"/>
    <w:rsid w:val="004722CC"/>
    <w:rsid w:val="0047428B"/>
    <w:rsid w:val="00491D81"/>
    <w:rsid w:val="004936E4"/>
    <w:rsid w:val="00494E60"/>
    <w:rsid w:val="00497487"/>
    <w:rsid w:val="004A7E13"/>
    <w:rsid w:val="004B7B76"/>
    <w:rsid w:val="004C2DCA"/>
    <w:rsid w:val="004F0F38"/>
    <w:rsid w:val="00501921"/>
    <w:rsid w:val="00530354"/>
    <w:rsid w:val="0053625B"/>
    <w:rsid w:val="00540818"/>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5E5E28"/>
    <w:rsid w:val="005F4F28"/>
    <w:rsid w:val="00603F32"/>
    <w:rsid w:val="00620406"/>
    <w:rsid w:val="00621947"/>
    <w:rsid w:val="00632398"/>
    <w:rsid w:val="00640FC3"/>
    <w:rsid w:val="00642020"/>
    <w:rsid w:val="00646206"/>
    <w:rsid w:val="0065337B"/>
    <w:rsid w:val="0065419D"/>
    <w:rsid w:val="006604D8"/>
    <w:rsid w:val="00664A5B"/>
    <w:rsid w:val="00673A80"/>
    <w:rsid w:val="006763D2"/>
    <w:rsid w:val="00680C08"/>
    <w:rsid w:val="00686C20"/>
    <w:rsid w:val="00686E06"/>
    <w:rsid w:val="006919B5"/>
    <w:rsid w:val="006931B1"/>
    <w:rsid w:val="00694E00"/>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805D27"/>
    <w:rsid w:val="00821776"/>
    <w:rsid w:val="008321F5"/>
    <w:rsid w:val="00832369"/>
    <w:rsid w:val="00834660"/>
    <w:rsid w:val="00836BC2"/>
    <w:rsid w:val="008414A0"/>
    <w:rsid w:val="0085641B"/>
    <w:rsid w:val="00857136"/>
    <w:rsid w:val="00886D15"/>
    <w:rsid w:val="00887DD8"/>
    <w:rsid w:val="0089260B"/>
    <w:rsid w:val="00896018"/>
    <w:rsid w:val="008960DD"/>
    <w:rsid w:val="0089635C"/>
    <w:rsid w:val="008A0328"/>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3B35"/>
    <w:rsid w:val="008F6943"/>
    <w:rsid w:val="00902A21"/>
    <w:rsid w:val="00920330"/>
    <w:rsid w:val="009219D7"/>
    <w:rsid w:val="00922D53"/>
    <w:rsid w:val="00923B70"/>
    <w:rsid w:val="00924482"/>
    <w:rsid w:val="00924DE0"/>
    <w:rsid w:val="00930237"/>
    <w:rsid w:val="00946EA5"/>
    <w:rsid w:val="0095160F"/>
    <w:rsid w:val="00963C08"/>
    <w:rsid w:val="0098585A"/>
    <w:rsid w:val="0098669D"/>
    <w:rsid w:val="00996A2A"/>
    <w:rsid w:val="009A0B6C"/>
    <w:rsid w:val="009A4CED"/>
    <w:rsid w:val="009A690D"/>
    <w:rsid w:val="009B1D12"/>
    <w:rsid w:val="009B416B"/>
    <w:rsid w:val="009C1304"/>
    <w:rsid w:val="009C4BD5"/>
    <w:rsid w:val="009C5408"/>
    <w:rsid w:val="009D7B77"/>
    <w:rsid w:val="009E0BB0"/>
    <w:rsid w:val="009E3FBB"/>
    <w:rsid w:val="00A102E4"/>
    <w:rsid w:val="00A12C42"/>
    <w:rsid w:val="00A14DF7"/>
    <w:rsid w:val="00A235D9"/>
    <w:rsid w:val="00A3246D"/>
    <w:rsid w:val="00A36FA7"/>
    <w:rsid w:val="00A475B7"/>
    <w:rsid w:val="00A47AF7"/>
    <w:rsid w:val="00A47C3E"/>
    <w:rsid w:val="00A50226"/>
    <w:rsid w:val="00A60293"/>
    <w:rsid w:val="00A60BAD"/>
    <w:rsid w:val="00A94342"/>
    <w:rsid w:val="00A964D1"/>
    <w:rsid w:val="00AA0ED0"/>
    <w:rsid w:val="00AA3499"/>
    <w:rsid w:val="00AC2B40"/>
    <w:rsid w:val="00AC2BB2"/>
    <w:rsid w:val="00AC2C3C"/>
    <w:rsid w:val="00AC512D"/>
    <w:rsid w:val="00AD3856"/>
    <w:rsid w:val="00AE01C2"/>
    <w:rsid w:val="00AE10EA"/>
    <w:rsid w:val="00AE65EB"/>
    <w:rsid w:val="00AE67A7"/>
    <w:rsid w:val="00AF1D94"/>
    <w:rsid w:val="00AF60C5"/>
    <w:rsid w:val="00B009C6"/>
    <w:rsid w:val="00B01548"/>
    <w:rsid w:val="00B02208"/>
    <w:rsid w:val="00B1425E"/>
    <w:rsid w:val="00B21D29"/>
    <w:rsid w:val="00B25034"/>
    <w:rsid w:val="00B33588"/>
    <w:rsid w:val="00B33863"/>
    <w:rsid w:val="00B37D17"/>
    <w:rsid w:val="00B4175E"/>
    <w:rsid w:val="00B452CE"/>
    <w:rsid w:val="00B54C25"/>
    <w:rsid w:val="00B71433"/>
    <w:rsid w:val="00B76B91"/>
    <w:rsid w:val="00B77EB1"/>
    <w:rsid w:val="00B811C6"/>
    <w:rsid w:val="00B85A87"/>
    <w:rsid w:val="00B92E08"/>
    <w:rsid w:val="00B96EBE"/>
    <w:rsid w:val="00BA2039"/>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528D5"/>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2CB6"/>
    <w:rsid w:val="00CF58B6"/>
    <w:rsid w:val="00D017ED"/>
    <w:rsid w:val="00D040D3"/>
    <w:rsid w:val="00D04C65"/>
    <w:rsid w:val="00D224FE"/>
    <w:rsid w:val="00D53A31"/>
    <w:rsid w:val="00D55709"/>
    <w:rsid w:val="00D6493E"/>
    <w:rsid w:val="00D65022"/>
    <w:rsid w:val="00D7301E"/>
    <w:rsid w:val="00D83AE1"/>
    <w:rsid w:val="00D855D4"/>
    <w:rsid w:val="00D93466"/>
    <w:rsid w:val="00DA1124"/>
    <w:rsid w:val="00DB75B7"/>
    <w:rsid w:val="00DC6E02"/>
    <w:rsid w:val="00DD718D"/>
    <w:rsid w:val="00DE02AE"/>
    <w:rsid w:val="00DF1D7F"/>
    <w:rsid w:val="00DF4BE4"/>
    <w:rsid w:val="00E02FB4"/>
    <w:rsid w:val="00E04AB1"/>
    <w:rsid w:val="00E07F15"/>
    <w:rsid w:val="00E20571"/>
    <w:rsid w:val="00E235F7"/>
    <w:rsid w:val="00E23659"/>
    <w:rsid w:val="00E239D4"/>
    <w:rsid w:val="00E26130"/>
    <w:rsid w:val="00E2741C"/>
    <w:rsid w:val="00E37618"/>
    <w:rsid w:val="00E40B22"/>
    <w:rsid w:val="00E45619"/>
    <w:rsid w:val="00E4588F"/>
    <w:rsid w:val="00E46DA3"/>
    <w:rsid w:val="00E51BB1"/>
    <w:rsid w:val="00E624A5"/>
    <w:rsid w:val="00E62D87"/>
    <w:rsid w:val="00E7344E"/>
    <w:rsid w:val="00E936E3"/>
    <w:rsid w:val="00EA56F0"/>
    <w:rsid w:val="00EB0798"/>
    <w:rsid w:val="00EB40AD"/>
    <w:rsid w:val="00EB586E"/>
    <w:rsid w:val="00EB5FC8"/>
    <w:rsid w:val="00EC57DC"/>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D6A05"/>
    <w:rsid w:val="00FE1DEE"/>
    <w:rsid w:val="00FF2126"/>
    <w:rsid w:val="00FF5755"/>
    <w:rsid w:val="00FF58B2"/>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705">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132A2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C528D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C528D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character" w:styleId="Emphasis">
    <w:name w:val="Emphasis"/>
    <w:basedOn w:val="DefaultParagraphFont"/>
    <w:uiPriority w:val="20"/>
    <w:qFormat/>
    <w:rsid w:val="00C528D5"/>
    <w:rPr>
      <w:i/>
      <w:iCs/>
    </w:rPr>
  </w:style>
  <w:style w:type="paragraph" w:customStyle="1" w:styleId="Bullet2">
    <w:name w:val="Bullet 2"/>
    <w:basedOn w:val="Normal"/>
    <w:rsid w:val="00C528D5"/>
    <w:pPr>
      <w:numPr>
        <w:numId w:val="6"/>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rsid w:val="00C528D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C528D5"/>
    <w:rPr>
      <w:rFonts w:ascii="Arial" w:eastAsia="Times New Roman" w:hAnsi="Arial" w:cs="Arial"/>
      <w:kern w:val="16"/>
      <w:u w:val="single"/>
      <w:lang w:eastAsia="en-AU"/>
    </w:rPr>
  </w:style>
  <w:style w:type="paragraph" w:customStyle="1" w:styleId="Bullet1">
    <w:name w:val="Bullet 1"/>
    <w:basedOn w:val="Normal"/>
    <w:rsid w:val="00C528D5"/>
    <w:pPr>
      <w:numPr>
        <w:numId w:val="8"/>
      </w:numPr>
      <w:spacing w:after="0" w:line="240" w:lineRule="auto"/>
    </w:pPr>
    <w:rPr>
      <w:rFonts w:eastAsia="Times New Roman"/>
      <w:kern w:val="24"/>
      <w:szCs w:val="24"/>
      <w:lang w:eastAsia="en-AU"/>
    </w:rPr>
  </w:style>
  <w:style w:type="paragraph" w:customStyle="1" w:styleId="Heading0inTOC">
    <w:name w:val="Heading 0 (in TOC)"/>
    <w:basedOn w:val="Heading1"/>
    <w:next w:val="Normal"/>
    <w:rsid w:val="00C528D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C528D5"/>
    <w:rPr>
      <w:sz w:val="20"/>
    </w:rPr>
  </w:style>
  <w:style w:type="paragraph" w:customStyle="1" w:styleId="TableBullet">
    <w:name w:val="Table Bullet"/>
    <w:basedOn w:val="Normal"/>
    <w:rsid w:val="00C528D5"/>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C528D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C528D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C528D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C528D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C528D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C528D5"/>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C528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C528D5"/>
    <w:rPr>
      <w:rFonts w:ascii="Cambria" w:eastAsia="Times New Roman" w:hAnsi="Cambria" w:cs="Times New Roman"/>
      <w:kern w:val="16"/>
      <w:sz w:val="20"/>
      <w:szCs w:val="20"/>
      <w:lang w:eastAsia="en-AU"/>
    </w:rPr>
  </w:style>
  <w:style w:type="character" w:styleId="EndnoteReference">
    <w:name w:val="endnote reference"/>
    <w:semiHidden/>
    <w:rsid w:val="00C528D5"/>
    <w:rPr>
      <w:dstrike w:val="0"/>
      <w:vertAlign w:val="baseline"/>
    </w:rPr>
  </w:style>
  <w:style w:type="paragraph" w:styleId="FootnoteText">
    <w:name w:val="footnote text"/>
    <w:basedOn w:val="Normal"/>
    <w:link w:val="FootnoteTextChar"/>
    <w:semiHidden/>
    <w:rsid w:val="00C528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C528D5"/>
    <w:rPr>
      <w:rFonts w:ascii="Cambria" w:eastAsia="Times New Roman" w:hAnsi="Cambria" w:cs="Times New Roman"/>
      <w:kern w:val="16"/>
      <w:sz w:val="20"/>
      <w:szCs w:val="20"/>
      <w:lang w:eastAsia="en-AU"/>
    </w:rPr>
  </w:style>
  <w:style w:type="character" w:styleId="FootnoteReference">
    <w:name w:val="footnote reference"/>
    <w:semiHidden/>
    <w:rsid w:val="00C528D5"/>
    <w:rPr>
      <w:vertAlign w:val="superscript"/>
    </w:rPr>
  </w:style>
  <w:style w:type="paragraph" w:customStyle="1" w:styleId="Abbreviations">
    <w:name w:val="Abbreviations"/>
    <w:basedOn w:val="Normal"/>
    <w:rsid w:val="00C528D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C528D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C528D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C528D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C528D5"/>
    <w:pPr>
      <w:numPr>
        <w:numId w:val="9"/>
      </w:numPr>
      <w:tabs>
        <w:tab w:val="clear" w:pos="1134"/>
      </w:tabs>
      <w:spacing w:before="120"/>
      <w:ind w:left="1418" w:hanging="284"/>
    </w:pPr>
  </w:style>
  <w:style w:type="paragraph" w:customStyle="1" w:styleId="Instructions1">
    <w:name w:val="Instructions 1"/>
    <w:basedOn w:val="Normal"/>
    <w:qFormat/>
    <w:rsid w:val="00C528D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C528D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C528D5"/>
    <w:rPr>
      <w:sz w:val="16"/>
      <w:szCs w:val="16"/>
    </w:rPr>
  </w:style>
  <w:style w:type="paragraph" w:styleId="CommentText">
    <w:name w:val="annotation text"/>
    <w:basedOn w:val="Normal"/>
    <w:link w:val="CommentTextChar"/>
    <w:rsid w:val="00C528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C528D5"/>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C528D5"/>
    <w:rPr>
      <w:b/>
      <w:bCs/>
    </w:rPr>
  </w:style>
  <w:style w:type="character" w:customStyle="1" w:styleId="CommentSubjectChar">
    <w:name w:val="Comment Subject Char"/>
    <w:basedOn w:val="CommentTextChar"/>
    <w:link w:val="CommentSubject"/>
    <w:rsid w:val="00C528D5"/>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C528D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C528D5"/>
    <w:pPr>
      <w:spacing w:before="0" w:after="0"/>
    </w:pPr>
    <w:rPr>
      <w:b w:val="0"/>
    </w:rPr>
  </w:style>
  <w:style w:type="paragraph" w:styleId="ListParagraph">
    <w:name w:val="List Paragraph"/>
    <w:basedOn w:val="Normal"/>
    <w:uiPriority w:val="34"/>
    <w:qFormat/>
    <w:rsid w:val="00C528D5"/>
    <w:pPr>
      <w:spacing w:before="0" w:after="200" w:line="276" w:lineRule="auto"/>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hyperlink" Target="http://www.tga.gov.au/pdf/euguide/ewp265599en.pdf" TargetMode="External"/><Relationship Id="rId22" Type="http://schemas.openxmlformats.org/officeDocument/2006/relationships/image" Target="media/image10.emf"/><Relationship Id="rId27" Type="http://schemas.openxmlformats.org/officeDocument/2006/relationships/header" Target="header4.xml"/><Relationship Id="rId30" Type="http://schemas.openxmlformats.org/officeDocument/2006/relationships/footer" Target="footer3.xml"/><Relationship Id="rId35"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89708-BACA-4173-8C49-7FE6C1842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7</Pages>
  <Words>19146</Words>
  <Characters>103390</Characters>
  <Application>Microsoft Office Word</Application>
  <DocSecurity>0</DocSecurity>
  <Lines>3976</Lines>
  <Paragraphs>3603</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Fidaxomicin</vt:lpstr>
    </vt:vector>
  </TitlesOfParts>
  <Company>Department of Health Therapeutic Goods Administration</Company>
  <LinksUpToDate>false</LinksUpToDate>
  <CharactersWithSpaces>118933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Fidaxomicin</dc:title>
  <dc:subject>prescription medicine regulation</dc:subject>
  <dc:creator>Therapeutic Goods Administration</dc:creator>
  <cp:keywords>clinical, evaluation, report, medicine, assessment, regulation, australia, fidaxomicin, dificid, specialist, therapeutics</cp:keywords>
  <cp:lastModifiedBy>Sheppard, Fran</cp:lastModifiedBy>
  <cp:revision>7</cp:revision>
  <cp:lastPrinted>2013-07-26T00:25:00Z</cp:lastPrinted>
  <dcterms:created xsi:type="dcterms:W3CDTF">2013-10-07T23:36:00Z</dcterms:created>
  <dcterms:modified xsi:type="dcterms:W3CDTF">2013-10-28T03:54:00Z</dcterms:modified>
</cp:coreProperties>
</file>